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5D3A7" w14:textId="77777777" w:rsidR="005E1F9D" w:rsidRDefault="001F7350">
      <w:pPr>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noProof/>
          <w:sz w:val="24"/>
          <w:szCs w:val="24"/>
        </w:rPr>
        <w:drawing>
          <wp:inline distT="114300" distB="114300" distL="114300" distR="114300" wp14:anchorId="4DA0D8B9" wp14:editId="2EA70102">
            <wp:extent cx="2232753" cy="747713"/>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232753" cy="747713"/>
                    </a:xfrm>
                    <a:prstGeom prst="rect">
                      <a:avLst/>
                    </a:prstGeom>
                    <a:ln/>
                  </pic:spPr>
                </pic:pic>
              </a:graphicData>
            </a:graphic>
          </wp:inline>
        </w:drawing>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Avenir" w:eastAsia="Avenir" w:hAnsi="Avenir" w:cs="Avenir"/>
          <w:noProof/>
          <w:color w:val="083F76"/>
          <w:sz w:val="21"/>
          <w:szCs w:val="21"/>
        </w:rPr>
        <w:drawing>
          <wp:inline distT="0" distB="0" distL="0" distR="0" wp14:anchorId="57DE6E5C" wp14:editId="0B3CA7F3">
            <wp:extent cx="1206242" cy="1159700"/>
            <wp:effectExtent l="0" t="0" r="0" b="0"/>
            <wp:docPr id="2" name="image1.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 company name&#10;&#10;Description automatically generated"/>
                    <pic:cNvPicPr preferRelativeResize="0"/>
                  </pic:nvPicPr>
                  <pic:blipFill>
                    <a:blip r:embed="rId8"/>
                    <a:srcRect/>
                    <a:stretch>
                      <a:fillRect/>
                    </a:stretch>
                  </pic:blipFill>
                  <pic:spPr>
                    <a:xfrm>
                      <a:off x="0" y="0"/>
                      <a:ext cx="1206242" cy="1159700"/>
                    </a:xfrm>
                    <a:prstGeom prst="rect">
                      <a:avLst/>
                    </a:prstGeom>
                    <a:ln/>
                  </pic:spPr>
                </pic:pic>
              </a:graphicData>
            </a:graphic>
          </wp:inline>
        </w:drawing>
      </w:r>
    </w:p>
    <w:p w14:paraId="50F575D3" w14:textId="77777777" w:rsidR="005E1F9D" w:rsidRDefault="005E1F9D">
      <w:pPr>
        <w:spacing w:before="100" w:line="240" w:lineRule="auto"/>
        <w:jc w:val="center"/>
        <w:rPr>
          <w:rFonts w:ascii="Times New Roman" w:eastAsia="Times New Roman" w:hAnsi="Times New Roman" w:cs="Times New Roman"/>
          <w:b/>
          <w:sz w:val="24"/>
          <w:szCs w:val="24"/>
        </w:rPr>
      </w:pPr>
    </w:p>
    <w:p w14:paraId="73B5F66B" w14:textId="77777777" w:rsidR="005E1F9D" w:rsidRDefault="005E1F9D">
      <w:pPr>
        <w:spacing w:line="240" w:lineRule="auto"/>
        <w:rPr>
          <w:rFonts w:ascii="Times New Roman" w:eastAsia="Times New Roman" w:hAnsi="Times New Roman" w:cs="Times New Roman"/>
          <w:b/>
          <w:sz w:val="24"/>
          <w:szCs w:val="24"/>
        </w:rPr>
      </w:pPr>
    </w:p>
    <w:p w14:paraId="26BB4DC0" w14:textId="77777777" w:rsidR="005E1F9D" w:rsidRDefault="001F735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AFAF8"/>
        </w:rPr>
        <w:t xml:space="preserve">Ms. Tania María Abdo </w:t>
      </w:r>
      <w:proofErr w:type="spellStart"/>
      <w:r>
        <w:rPr>
          <w:rFonts w:ascii="Times New Roman" w:eastAsia="Times New Roman" w:hAnsi="Times New Roman" w:cs="Times New Roman"/>
          <w:sz w:val="24"/>
          <w:szCs w:val="24"/>
          <w:shd w:val="clear" w:color="auto" w:fill="FAFAF8"/>
        </w:rPr>
        <w:t>Rocholl</w:t>
      </w:r>
      <w:proofErr w:type="spellEnd"/>
      <w:r>
        <w:rPr>
          <w:rFonts w:ascii="Times New Roman" w:eastAsia="Times New Roman" w:hAnsi="Times New Roman" w:cs="Times New Roman"/>
          <w:sz w:val="24"/>
          <w:szCs w:val="24"/>
          <w:shd w:val="clear" w:color="auto" w:fill="FAFAF8"/>
        </w:rPr>
        <w:t xml:space="preserve"> </w:t>
      </w:r>
    </w:p>
    <w:p w14:paraId="7AA2815C" w14:textId="77777777" w:rsidR="005E1F9D" w:rsidRDefault="001F735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Chair, Human Rights Committee </w:t>
      </w:r>
    </w:p>
    <w:p w14:paraId="4749929E" w14:textId="77777777" w:rsidR="005E1F9D" w:rsidRDefault="001F735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6C8A9C53" w14:textId="77777777" w:rsidR="005E1F9D" w:rsidRDefault="001F735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p>
    <w:p w14:paraId="1C9C0FB2" w14:textId="77777777" w:rsidR="005E1F9D" w:rsidRDefault="001F735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 (Switzerland)</w:t>
      </w:r>
    </w:p>
    <w:p w14:paraId="2A12D6BD" w14:textId="77777777" w:rsidR="005E1F9D" w:rsidRDefault="001F7350">
      <w:pPr>
        <w:spacing w:line="240" w:lineRule="auto"/>
        <w:rPr>
          <w:rFonts w:ascii="Times New Roman" w:eastAsia="Times New Roman" w:hAnsi="Times New Roman" w:cs="Times New Roman"/>
          <w:color w:val="1155CC"/>
          <w:sz w:val="24"/>
          <w:szCs w:val="24"/>
        </w:rPr>
      </w:pPr>
      <w:r>
        <w:rPr>
          <w:rFonts w:ascii="Times New Roman" w:eastAsia="Times New Roman" w:hAnsi="Times New Roman" w:cs="Times New Roman"/>
          <w:sz w:val="24"/>
          <w:szCs w:val="24"/>
          <w:highlight w:val="white"/>
        </w:rPr>
        <w:t xml:space="preserve">Via E-mail: </w:t>
      </w:r>
      <w:hyperlink r:id="rId9">
        <w:r>
          <w:rPr>
            <w:rFonts w:ascii="Times New Roman" w:eastAsia="Times New Roman" w:hAnsi="Times New Roman" w:cs="Times New Roman"/>
            <w:color w:val="1155CC"/>
            <w:sz w:val="24"/>
            <w:szCs w:val="24"/>
            <w:highlight w:val="white"/>
            <w:u w:val="single"/>
          </w:rPr>
          <w:t>ccpr@ohchr.org</w:t>
        </w:r>
      </w:hyperlink>
      <w:r>
        <w:rPr>
          <w:rFonts w:ascii="Times New Roman" w:eastAsia="Times New Roman" w:hAnsi="Times New Roman" w:cs="Times New Roman"/>
          <w:sz w:val="24"/>
          <w:szCs w:val="24"/>
          <w:highlight w:val="white"/>
        </w:rPr>
        <w:t xml:space="preserve">; </w:t>
      </w:r>
      <w:hyperlink r:id="rId10">
        <w:r>
          <w:rPr>
            <w:rFonts w:ascii="Times New Roman" w:eastAsia="Times New Roman" w:hAnsi="Times New Roman" w:cs="Times New Roman"/>
            <w:color w:val="1155CC"/>
            <w:sz w:val="24"/>
            <w:szCs w:val="24"/>
            <w:highlight w:val="white"/>
            <w:u w:val="single"/>
          </w:rPr>
          <w:t>ohchr-ccpr@un.org</w:t>
        </w:r>
      </w:hyperlink>
      <w:r>
        <w:rPr>
          <w:rFonts w:ascii="Times New Roman" w:eastAsia="Times New Roman" w:hAnsi="Times New Roman" w:cs="Times New Roman"/>
          <w:color w:val="1155CC"/>
          <w:sz w:val="24"/>
          <w:szCs w:val="24"/>
          <w:highlight w:val="white"/>
        </w:rPr>
        <w:t xml:space="preserve">  </w:t>
      </w:r>
    </w:p>
    <w:p w14:paraId="2FC4D78B" w14:textId="77777777" w:rsidR="005E1F9D" w:rsidRDefault="005E1F9D">
      <w:pPr>
        <w:spacing w:before="100" w:after="200" w:line="240" w:lineRule="auto"/>
        <w:jc w:val="right"/>
        <w:rPr>
          <w:rFonts w:ascii="Times New Roman" w:eastAsia="Times New Roman" w:hAnsi="Times New Roman" w:cs="Times New Roman"/>
          <w:b/>
          <w:sz w:val="24"/>
          <w:szCs w:val="24"/>
        </w:rPr>
      </w:pPr>
    </w:p>
    <w:p w14:paraId="2D8DC2E5" w14:textId="77777777" w:rsidR="005E1F9D" w:rsidRDefault="001F7350">
      <w:pPr>
        <w:spacing w:before="100" w:after="200" w:line="240" w:lineRule="auto"/>
        <w:jc w:val="right"/>
        <w:rPr>
          <w:rFonts w:ascii="Times New Roman" w:eastAsia="Times New Roman" w:hAnsi="Times New Roman" w:cs="Times New Roman"/>
          <w:sz w:val="24"/>
          <w:szCs w:val="24"/>
        </w:rPr>
      </w:pPr>
      <w:r>
        <w:rPr>
          <w:rFonts w:ascii="Times New Roman" w:eastAsia="Times New Roman" w:hAnsi="Times New Roman" w:cs="Times New Roman"/>
          <w:b/>
          <w:sz w:val="24"/>
          <w:szCs w:val="24"/>
        </w:rPr>
        <w:t>5 February 2024</w:t>
      </w:r>
    </w:p>
    <w:p w14:paraId="327A850A" w14:textId="77777777" w:rsidR="005E1F9D" w:rsidRDefault="001F7350">
      <w:pPr>
        <w:spacing w:before="100" w:after="200" w:line="240" w:lineRule="auto"/>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Re:  Information on Somalia for its Review by the Human Rights Committee at the 140th Session (4 - 28 March 2024)</w:t>
      </w:r>
    </w:p>
    <w:p w14:paraId="214E8CCD" w14:textId="77777777" w:rsidR="005E1F9D" w:rsidRDefault="001F7350">
      <w:pPr>
        <w:spacing w:before="120"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w:t>
      </w:r>
    </w:p>
    <w:p w14:paraId="5D7C68D7"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Now</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the Ifrah Foundation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present the following submission in advance of the 140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of the Human Rights Committee (the Committee) taking place between 4th and 28th March 2024. In this submission, we express deep concern a</w:t>
      </w:r>
      <w:r>
        <w:rPr>
          <w:rFonts w:ascii="Times New Roman" w:eastAsia="Times New Roman" w:hAnsi="Times New Roman" w:cs="Times New Roman"/>
          <w:sz w:val="24"/>
          <w:szCs w:val="24"/>
        </w:rPr>
        <w:t xml:space="preserve">bout the condition of women and girls in Somalia with regard to sexual and </w:t>
      </w:r>
      <w:proofErr w:type="gramStart"/>
      <w:r>
        <w:rPr>
          <w:rFonts w:ascii="Times New Roman" w:eastAsia="Times New Roman" w:hAnsi="Times New Roman" w:cs="Times New Roman"/>
          <w:sz w:val="24"/>
          <w:szCs w:val="24"/>
        </w:rPr>
        <w:t>gender based</w:t>
      </w:r>
      <w:proofErr w:type="gramEnd"/>
      <w:r>
        <w:rPr>
          <w:rFonts w:ascii="Times New Roman" w:eastAsia="Times New Roman" w:hAnsi="Times New Roman" w:cs="Times New Roman"/>
          <w:sz w:val="24"/>
          <w:szCs w:val="24"/>
        </w:rPr>
        <w:t xml:space="preserve"> violence and the practice and prevalence of female genital mutilation (FGM), both of which </w:t>
      </w:r>
      <w:r>
        <w:rPr>
          <w:rFonts w:ascii="Times New Roman" w:eastAsia="Times New Roman" w:hAnsi="Times New Roman" w:cs="Times New Roman"/>
          <w:sz w:val="24"/>
          <w:szCs w:val="24"/>
          <w:highlight w:val="white"/>
        </w:rPr>
        <w:t>constitute violations of Somalia’s obligations under the International Covena</w:t>
      </w:r>
      <w:r>
        <w:rPr>
          <w:rFonts w:ascii="Times New Roman" w:eastAsia="Times New Roman" w:hAnsi="Times New Roman" w:cs="Times New Roman"/>
          <w:sz w:val="24"/>
          <w:szCs w:val="24"/>
          <w:highlight w:val="white"/>
        </w:rPr>
        <w:t xml:space="preserve">nt </w:t>
      </w:r>
      <w:proofErr w:type="spellStart"/>
      <w:r>
        <w:rPr>
          <w:rFonts w:ascii="Times New Roman" w:eastAsia="Times New Roman" w:hAnsi="Times New Roman" w:cs="Times New Roman"/>
          <w:sz w:val="24"/>
          <w:szCs w:val="24"/>
          <w:highlight w:val="white"/>
        </w:rPr>
        <w:t>of</w:t>
      </w:r>
      <w:proofErr w:type="spellEnd"/>
      <w:r>
        <w:rPr>
          <w:rFonts w:ascii="Times New Roman" w:eastAsia="Times New Roman" w:hAnsi="Times New Roman" w:cs="Times New Roman"/>
          <w:sz w:val="24"/>
          <w:szCs w:val="24"/>
          <w:highlight w:val="white"/>
        </w:rPr>
        <w:t xml:space="preserve"> Civil and Political Rights (ICCPR).</w:t>
      </w:r>
    </w:p>
    <w:p w14:paraId="08CEEE2E"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Pr>
          <w:rFonts w:ascii="Times New Roman" w:eastAsia="Times New Roman" w:hAnsi="Times New Roman" w:cs="Times New Roman"/>
          <w:sz w:val="24"/>
          <w:szCs w:val="24"/>
          <w:highlight w:val="white"/>
        </w:rPr>
        <w:t>n this submission, we note the State Party’s failure to comply with its obligations under the ICCPR which explicitly prohibits violence against persons and discrimination on the basis of sex, and mandates States P</w:t>
      </w:r>
      <w:r>
        <w:rPr>
          <w:rFonts w:ascii="Times New Roman" w:eastAsia="Times New Roman" w:hAnsi="Times New Roman" w:cs="Times New Roman"/>
          <w:sz w:val="24"/>
          <w:szCs w:val="24"/>
          <w:highlight w:val="white"/>
        </w:rPr>
        <w:t xml:space="preserve">arties to “ensure that any person whose rights or freedoms as herein recognized are violated shall have an effective remedy” and to “undertake to ensure the equal right of men and women to the enjoyment of all civil and political rights” (Articles 2 and 3 </w:t>
      </w:r>
      <w:r>
        <w:rPr>
          <w:rFonts w:ascii="Times New Roman" w:eastAsia="Times New Roman" w:hAnsi="Times New Roman" w:cs="Times New Roman"/>
          <w:sz w:val="24"/>
          <w:szCs w:val="24"/>
          <w:highlight w:val="white"/>
        </w:rPr>
        <w:t>ICCPR). The State Party is also in violation of the ICCPR provision that "all persons are equal before the law and are entitled without any discrimination to the equal protection of the law” (Article 26). In addition, the ICCPR protects individuals from “t</w:t>
      </w:r>
      <w:r>
        <w:rPr>
          <w:rFonts w:ascii="Times New Roman" w:eastAsia="Times New Roman" w:hAnsi="Times New Roman" w:cs="Times New Roman"/>
          <w:sz w:val="24"/>
          <w:szCs w:val="24"/>
          <w:highlight w:val="white"/>
        </w:rPr>
        <w:t xml:space="preserve">orture or cruel, inhuman or degrading treatment” and “arbitrary or unlawful interference with his or her privacy.” (Articles 7 and 17). The ICCPR states that everyone has the “right to liberty and security of person” and that “[e]very child shall </w:t>
      </w:r>
      <w:r>
        <w:rPr>
          <w:rFonts w:ascii="Times New Roman" w:eastAsia="Times New Roman" w:hAnsi="Times New Roman" w:cs="Times New Roman"/>
          <w:sz w:val="24"/>
          <w:szCs w:val="24"/>
          <w:highlight w:val="white"/>
        </w:rPr>
        <w:lastRenderedPageBreak/>
        <w:t>have … th</w:t>
      </w:r>
      <w:r>
        <w:rPr>
          <w:rFonts w:ascii="Times New Roman" w:eastAsia="Times New Roman" w:hAnsi="Times New Roman" w:cs="Times New Roman"/>
          <w:sz w:val="24"/>
          <w:szCs w:val="24"/>
          <w:highlight w:val="white"/>
        </w:rPr>
        <w:t>e right to such measures of protection as are required by his status as a minor, on the part of his family, society and the State.” (Articles 9 and 24).</w:t>
      </w:r>
      <w:r>
        <w:rPr>
          <w:rFonts w:ascii="Times New Roman" w:eastAsia="Times New Roman" w:hAnsi="Times New Roman" w:cs="Times New Roman"/>
          <w:sz w:val="24"/>
          <w:szCs w:val="24"/>
          <w:highlight w:val="white"/>
          <w:vertAlign w:val="superscript"/>
        </w:rPr>
        <w:footnoteReference w:id="3"/>
      </w:r>
    </w:p>
    <w:p w14:paraId="059407AC" w14:textId="77777777" w:rsidR="005E1F9D" w:rsidRDefault="001F7350">
      <w:pPr>
        <w:spacing w:before="120"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Information about the authors of the submission </w:t>
      </w:r>
    </w:p>
    <w:p w14:paraId="1AF7045D"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Now is an international organization founded</w:t>
      </w:r>
      <w:r>
        <w:rPr>
          <w:rFonts w:ascii="Times New Roman" w:eastAsia="Times New Roman" w:hAnsi="Times New Roman" w:cs="Times New Roman"/>
          <w:sz w:val="24"/>
          <w:szCs w:val="24"/>
        </w:rPr>
        <w:t xml:space="preserve"> in 1992 with ECOSOC status and</w:t>
      </w:r>
      <w:r>
        <w:rPr>
          <w:rFonts w:ascii="Times New Roman" w:eastAsia="Times New Roman" w:hAnsi="Times New Roman" w:cs="Times New Roman"/>
          <w:sz w:val="24"/>
          <w:szCs w:val="24"/>
          <w:highlight w:val="white"/>
        </w:rPr>
        <w:t xml:space="preserve"> has been using a unique combination of legal advocacy, regional partnership-building and community mobilization to encourage governments to adopt, improve and enforce laws that protect and promote the human rights of women a</w:t>
      </w:r>
      <w:r>
        <w:rPr>
          <w:rFonts w:ascii="Times New Roman" w:eastAsia="Times New Roman" w:hAnsi="Times New Roman" w:cs="Times New Roman"/>
          <w:sz w:val="24"/>
          <w:szCs w:val="24"/>
          <w:highlight w:val="white"/>
        </w:rPr>
        <w:t>nd girls around the world. With an international team, our campaigns are centered on four program areas: Achieve Legal Equality, End Sexual Violence, End Harmful Practices, and End Sexual Exploitation, with a cross-cutting focus on the unique needs of adol</w:t>
      </w:r>
      <w:r>
        <w:rPr>
          <w:rFonts w:ascii="Times New Roman" w:eastAsia="Times New Roman" w:hAnsi="Times New Roman" w:cs="Times New Roman"/>
          <w:sz w:val="24"/>
          <w:szCs w:val="24"/>
          <w:highlight w:val="white"/>
        </w:rPr>
        <w:t xml:space="preserve">escent girls. </w:t>
      </w:r>
    </w:p>
    <w:p w14:paraId="116F2414" w14:textId="77777777" w:rsidR="005E1F9D" w:rsidRDefault="001F7350">
      <w:pPr>
        <w:numPr>
          <w:ilvl w:val="0"/>
          <w:numId w:val="2"/>
        </w:numPr>
        <w:shd w:val="clear" w:color="auto" w:fill="FFFFFF"/>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Ifrah Foundation is a survivor-led NGO working in Somalia since 2016 to end FGM through 3 pillars of action: Advocacy, Awareness Raising and Community Empowerment. The work is led by Ifrah Ahmed, Somali survivor of FGM and internationally </w:t>
      </w:r>
      <w:proofErr w:type="spellStart"/>
      <w:r>
        <w:rPr>
          <w:rFonts w:ascii="Times New Roman" w:eastAsia="Times New Roman" w:hAnsi="Times New Roman" w:cs="Times New Roman"/>
          <w:sz w:val="24"/>
          <w:szCs w:val="24"/>
        </w:rPr>
        <w:t>re</w:t>
      </w:r>
      <w:r>
        <w:rPr>
          <w:rFonts w:ascii="Times New Roman" w:eastAsia="Times New Roman" w:hAnsi="Times New Roman" w:cs="Times New Roman"/>
          <w:sz w:val="24"/>
          <w:szCs w:val="24"/>
        </w:rPr>
        <w:t>cognised</w:t>
      </w:r>
      <w:proofErr w:type="spellEnd"/>
      <w:r>
        <w:rPr>
          <w:rFonts w:ascii="Times New Roman" w:eastAsia="Times New Roman" w:hAnsi="Times New Roman" w:cs="Times New Roman"/>
          <w:sz w:val="24"/>
          <w:szCs w:val="24"/>
        </w:rPr>
        <w:t xml:space="preserve"> activist with over 15 years’ experience engaging on FGM. Ifrah Foundation is supported by a small team with expertise in addressing gender equality in Somalia. </w:t>
      </w:r>
    </w:p>
    <w:p w14:paraId="6FC7C0E5" w14:textId="77777777" w:rsidR="005E1F9D" w:rsidRDefault="001F7350">
      <w:pPr>
        <w:spacing w:before="120"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FGM in Somalia </w:t>
      </w:r>
    </w:p>
    <w:p w14:paraId="5D4002C8"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FGM prevalence in Somalia remains one of the highest in the world. The United Nations Children's Fund (UNICEF)</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and the Somali Demographic and Health Survey (DHS) data</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show that the prevalence rate of FGM among women and girls in Somalia is a staggering 99%. This means that the practice of FGM in Somalia is nearly universal. 64% of women in Somalia aged 15-49 have undergone one of the most severe forms of FGM - Type III</w:t>
      </w:r>
      <w:r>
        <w:rPr>
          <w:rFonts w:ascii="Times New Roman" w:eastAsia="Times New Roman" w:hAnsi="Times New Roman" w:cs="Times New Roman"/>
          <w:sz w:val="24"/>
          <w:szCs w:val="24"/>
        </w:rPr>
        <w:t xml:space="preserve"> (infibulation), which involves the narrowing of the vaginal opening with the creation of a covering seal; cutting and repositioning the labia minora or labia majora and sometimes removal of the clitoris as well.</w:t>
      </w:r>
      <w:r>
        <w:rPr>
          <w:rFonts w:ascii="Times New Roman" w:eastAsia="Times New Roman" w:hAnsi="Times New Roman" w:cs="Times New Roman"/>
          <w:sz w:val="24"/>
          <w:szCs w:val="24"/>
          <w:vertAlign w:val="superscript"/>
        </w:rPr>
        <w:footnoteReference w:id="6"/>
      </w:r>
    </w:p>
    <w:p w14:paraId="7BB79A94"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known medical benefit to this </w:t>
      </w:r>
      <w:r>
        <w:rPr>
          <w:rFonts w:ascii="Times New Roman" w:eastAsia="Times New Roman" w:hAnsi="Times New Roman" w:cs="Times New Roman"/>
          <w:sz w:val="24"/>
          <w:szCs w:val="24"/>
        </w:rPr>
        <w:t xml:space="preserve">harmful practice and the survivors of FGM are at risk of infection, birth complications, </w:t>
      </w:r>
      <w:proofErr w:type="spellStart"/>
      <w:r>
        <w:rPr>
          <w:rFonts w:ascii="Times New Roman" w:eastAsia="Times New Roman" w:hAnsi="Times New Roman" w:cs="Times New Roman"/>
          <w:sz w:val="24"/>
          <w:szCs w:val="24"/>
        </w:rPr>
        <w:t>haemorrhage</w:t>
      </w:r>
      <w:proofErr w:type="spellEnd"/>
      <w:r>
        <w:rPr>
          <w:rFonts w:ascii="Times New Roman" w:eastAsia="Times New Roman" w:hAnsi="Times New Roman" w:cs="Times New Roman"/>
          <w:sz w:val="24"/>
          <w:szCs w:val="24"/>
        </w:rPr>
        <w:t xml:space="preserve"> and even death. Survivors of FGM are as a result also made vulnerable to early marriage, dropping out of school, mental health concerns, and reduced opport</w:t>
      </w:r>
      <w:r>
        <w:rPr>
          <w:rFonts w:ascii="Times New Roman" w:eastAsia="Times New Roman" w:hAnsi="Times New Roman" w:cs="Times New Roman"/>
          <w:sz w:val="24"/>
          <w:szCs w:val="24"/>
        </w:rPr>
        <w:t>unities for growth and development.</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 failure to prevent FGM is a serious violation of women and girls’ fundamental human rights and is a form of discrimination based on sex, prohibited under multiple international and regional human rights legal instrume</w:t>
      </w:r>
      <w:r>
        <w:rPr>
          <w:rFonts w:ascii="Times New Roman" w:eastAsia="Times New Roman" w:hAnsi="Times New Roman" w:cs="Times New Roman"/>
          <w:sz w:val="24"/>
          <w:szCs w:val="24"/>
        </w:rPr>
        <w:t>nts.</w:t>
      </w:r>
    </w:p>
    <w:p w14:paraId="4DB21D7F"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practice of FGM is rooted in social norms, traditions, community, and culture. 76% of women between 15 and 49 years of age in Somalia believe that FGM should continue.</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Similar to many countries globally where FGM is practiced, the social drivers </w:t>
      </w:r>
      <w:r>
        <w:rPr>
          <w:rFonts w:ascii="Times New Roman" w:eastAsia="Times New Roman" w:hAnsi="Times New Roman" w:cs="Times New Roman"/>
          <w:sz w:val="24"/>
          <w:szCs w:val="24"/>
          <w:highlight w:val="white"/>
        </w:rPr>
        <w:t>and root causes of FGM in Somalia stem from gender inequality, including a desire to control female sexuality, support for religious narratives, limited access to education and economic opportunities for girls and women and assurance of girls’ or women’s s</w:t>
      </w:r>
      <w:r>
        <w:rPr>
          <w:rFonts w:ascii="Times New Roman" w:eastAsia="Times New Roman" w:hAnsi="Times New Roman" w:cs="Times New Roman"/>
          <w:sz w:val="24"/>
          <w:szCs w:val="24"/>
          <w:highlight w:val="white"/>
        </w:rPr>
        <w:t>ocial status, chastity or marriageability.</w:t>
      </w:r>
      <w:r>
        <w:rPr>
          <w:rFonts w:ascii="Times New Roman" w:eastAsia="Times New Roman" w:hAnsi="Times New Roman" w:cs="Times New Roman"/>
          <w:sz w:val="24"/>
          <w:szCs w:val="24"/>
          <w:highlight w:val="white"/>
          <w:vertAlign w:val="superscript"/>
        </w:rPr>
        <w:footnoteReference w:id="9"/>
      </w:r>
    </w:p>
    <w:p w14:paraId="4522632F"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reports of “medicalized FGM” in Somalia, where women and girls have been cut by a medical and health professional. The medicalization of FGM has been increasing as a recourse for people who have greater</w:t>
      </w:r>
      <w:r>
        <w:rPr>
          <w:rFonts w:ascii="Times New Roman" w:eastAsia="Times New Roman" w:hAnsi="Times New Roman" w:cs="Times New Roman"/>
          <w:sz w:val="24"/>
          <w:szCs w:val="24"/>
        </w:rPr>
        <w:t xml:space="preserve"> access to education and economic resources with the false belief that this approach is less damaging.</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There are also reports of cross-border cutting where Somali women and girls are traveling to Somalia from among the Western diaspora as well as from </w:t>
      </w:r>
      <w:proofErr w:type="spellStart"/>
      <w:r>
        <w:rPr>
          <w:rFonts w:ascii="Times New Roman" w:eastAsia="Times New Roman" w:hAnsi="Times New Roman" w:cs="Times New Roman"/>
          <w:sz w:val="24"/>
          <w:szCs w:val="24"/>
        </w:rPr>
        <w:t>nei</w:t>
      </w:r>
      <w:r>
        <w:rPr>
          <w:rFonts w:ascii="Times New Roman" w:eastAsia="Times New Roman" w:hAnsi="Times New Roman" w:cs="Times New Roman"/>
          <w:sz w:val="24"/>
          <w:szCs w:val="24"/>
        </w:rPr>
        <w:t>ghbouring</w:t>
      </w:r>
      <w:proofErr w:type="spellEnd"/>
      <w:r>
        <w:rPr>
          <w:rFonts w:ascii="Times New Roman" w:eastAsia="Times New Roman" w:hAnsi="Times New Roman" w:cs="Times New Roman"/>
          <w:sz w:val="24"/>
          <w:szCs w:val="24"/>
        </w:rPr>
        <w:t xml:space="preserve"> countries, to escape prosecution in places where FGM is illegal. For instance, in 2019, a Somali woman was found guilty under the Swiss anti-FGM laws for taking her daughter to Somalia to undergo FGM.</w:t>
      </w:r>
      <w:r>
        <w:rPr>
          <w:rFonts w:ascii="Times New Roman" w:eastAsia="Times New Roman" w:hAnsi="Times New Roman" w:cs="Times New Roman"/>
          <w:sz w:val="24"/>
          <w:szCs w:val="24"/>
          <w:vertAlign w:val="superscript"/>
        </w:rPr>
        <w:footnoteReference w:id="11"/>
      </w:r>
    </w:p>
    <w:p w14:paraId="5343D7F1"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is a lack of reliable and acc</w:t>
      </w:r>
      <w:r>
        <w:rPr>
          <w:rFonts w:ascii="Times New Roman" w:eastAsia="Times New Roman" w:hAnsi="Times New Roman" w:cs="Times New Roman"/>
          <w:sz w:val="24"/>
          <w:szCs w:val="24"/>
        </w:rPr>
        <w:t>urate data on the number of women and girls undergoing ‘medicalized’ FGM and the number of survivors or at-risk women and girls who are coming to Somalia from other countries for FGM.</w:t>
      </w:r>
      <w:r>
        <w:rPr>
          <w:rFonts w:ascii="Times New Roman" w:eastAsia="Times New Roman" w:hAnsi="Times New Roman" w:cs="Times New Roman"/>
          <w:sz w:val="24"/>
          <w:szCs w:val="24"/>
          <w:vertAlign w:val="superscript"/>
        </w:rPr>
        <w:footnoteReference w:id="12"/>
      </w:r>
    </w:p>
    <w:p w14:paraId="6CC01888"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reiterate and support the 2022 Concluding Observations on Somalia by</w:t>
      </w:r>
      <w:r>
        <w:rPr>
          <w:rFonts w:ascii="Times New Roman" w:eastAsia="Times New Roman" w:hAnsi="Times New Roman" w:cs="Times New Roman"/>
          <w:sz w:val="24"/>
          <w:szCs w:val="24"/>
        </w:rPr>
        <w:t xml:space="preserve"> the Committee on the Rights of the Child (CRC). The CRC noted the development of draft legislation but maintained serious concerns about the widespread practice of FGM in the country, especially for girls between the ages of 5 and 10. The CRC made recomme</w:t>
      </w:r>
      <w:r>
        <w:rPr>
          <w:rFonts w:ascii="Times New Roman" w:eastAsia="Times New Roman" w:hAnsi="Times New Roman" w:cs="Times New Roman"/>
          <w:sz w:val="24"/>
          <w:szCs w:val="24"/>
        </w:rPr>
        <w:t xml:space="preserve">ndations to “put an end to female genital mutilation” including by accelerating the adoption of the bill against FGM, developing awareness-raising campaigns and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on the harmful effects of FGM, and establishing protection schemes for FGM. In addit</w:t>
      </w:r>
      <w:r>
        <w:rPr>
          <w:rFonts w:ascii="Times New Roman" w:eastAsia="Times New Roman" w:hAnsi="Times New Roman" w:cs="Times New Roman"/>
          <w:sz w:val="24"/>
          <w:szCs w:val="24"/>
        </w:rPr>
        <w:t>ion, it also recommended that the State encourages children to report instances of FGM to the authorities, and ensure their access to social, medical, psychological and rehabilitative services free of charge and to legal redress, including through internat</w:t>
      </w:r>
      <w:r>
        <w:rPr>
          <w:rFonts w:ascii="Times New Roman" w:eastAsia="Times New Roman" w:hAnsi="Times New Roman" w:cs="Times New Roman"/>
          <w:sz w:val="24"/>
          <w:szCs w:val="24"/>
        </w:rPr>
        <w:t>ional cooperation and assistance.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(CRC/C/SOM/CO/1).</w:t>
      </w:r>
    </w:p>
    <w:p w14:paraId="207A0D66"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reiterate and support the 2022 Concluding Observations on Somalia by the Committee against Torture (CAT) which also expressed grave concerns on the extremely high rate of FGM in Somalia and the lack o</w:t>
      </w:r>
      <w:r>
        <w:rPr>
          <w:rFonts w:ascii="Times New Roman" w:eastAsia="Times New Roman" w:hAnsi="Times New Roman" w:cs="Times New Roman"/>
          <w:sz w:val="24"/>
          <w:szCs w:val="24"/>
        </w:rPr>
        <w:t xml:space="preserve">f legislation explicitly criminalizing it. The CAT </w:t>
      </w:r>
      <w:r>
        <w:rPr>
          <w:rFonts w:ascii="Times New Roman" w:eastAsia="Times New Roman" w:hAnsi="Times New Roman" w:cs="Times New Roman"/>
          <w:sz w:val="24"/>
          <w:szCs w:val="24"/>
        </w:rPr>
        <w:lastRenderedPageBreak/>
        <w:t>recommended that Somalia “strengthened its efforts to eliminate female genital mutilation” and that the State considers adopting legislation criminalizing FGM, along with launching an awareness-raising cam</w:t>
      </w:r>
      <w:r>
        <w:rPr>
          <w:rFonts w:ascii="Times New Roman" w:eastAsia="Times New Roman" w:hAnsi="Times New Roman" w:cs="Times New Roman"/>
          <w:sz w:val="24"/>
          <w:szCs w:val="24"/>
        </w:rPr>
        <w:t>paign on the dangers and prohibition of FGM.</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(CAT/C/SOM/CO/1) </w:t>
      </w:r>
    </w:p>
    <w:p w14:paraId="0560BC6D" w14:textId="77777777" w:rsidR="005E1F9D" w:rsidRDefault="001F7350">
      <w:pPr>
        <w:spacing w:before="120" w:after="12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Legal and Policy Interventions of the Somalian Government relating to FGM </w:t>
      </w:r>
    </w:p>
    <w:p w14:paraId="6B29682E"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Under the international human rights framework, FGM is </w:t>
      </w:r>
      <w:proofErr w:type="spellStart"/>
      <w:r>
        <w:rPr>
          <w:rFonts w:ascii="Times New Roman" w:eastAsia="Times New Roman" w:hAnsi="Times New Roman" w:cs="Times New Roman"/>
          <w:sz w:val="24"/>
          <w:szCs w:val="24"/>
          <w:highlight w:val="white"/>
        </w:rPr>
        <w:t>recognised</w:t>
      </w:r>
      <w:proofErr w:type="spellEnd"/>
      <w:r>
        <w:rPr>
          <w:rFonts w:ascii="Times New Roman" w:eastAsia="Times New Roman" w:hAnsi="Times New Roman" w:cs="Times New Roman"/>
          <w:sz w:val="24"/>
          <w:szCs w:val="24"/>
          <w:highlight w:val="white"/>
        </w:rPr>
        <w:t xml:space="preserve"> as a serious human rights violation and an extreme </w:t>
      </w:r>
      <w:r>
        <w:rPr>
          <w:rFonts w:ascii="Times New Roman" w:eastAsia="Times New Roman" w:hAnsi="Times New Roman" w:cs="Times New Roman"/>
          <w:sz w:val="24"/>
          <w:szCs w:val="24"/>
          <w:highlight w:val="white"/>
        </w:rPr>
        <w:t>form of gender-based violence. More specifically, it is a violation of the right to life, equality,</w:t>
      </w:r>
      <w:r>
        <w:rPr>
          <w:rFonts w:ascii="Times New Roman" w:eastAsia="Times New Roman" w:hAnsi="Times New Roman" w:cs="Times New Roman"/>
          <w:sz w:val="24"/>
          <w:szCs w:val="24"/>
          <w:highlight w:val="white"/>
          <w:vertAlign w:val="superscript"/>
        </w:rPr>
        <w:t xml:space="preserve"> </w:t>
      </w:r>
      <w:r>
        <w:rPr>
          <w:rFonts w:ascii="Times New Roman" w:eastAsia="Times New Roman" w:hAnsi="Times New Roman" w:cs="Times New Roman"/>
          <w:sz w:val="24"/>
          <w:szCs w:val="24"/>
          <w:highlight w:val="white"/>
        </w:rPr>
        <w:t xml:space="preserve">freedom and security, the right to be free from discrimination, the right to the best possible state of physical and mental health, and the right not to be </w:t>
      </w:r>
      <w:r>
        <w:rPr>
          <w:rFonts w:ascii="Times New Roman" w:eastAsia="Times New Roman" w:hAnsi="Times New Roman" w:cs="Times New Roman"/>
          <w:sz w:val="24"/>
          <w:szCs w:val="24"/>
          <w:highlight w:val="white"/>
        </w:rPr>
        <w:t>subjected to torture or cruel and degrading punishment or treatment and other relevant rights under the various international conventions, treaties, and declarations. Somalia has signed on to the International Covenant on Civil and Political Rights (ICCPR)</w:t>
      </w:r>
      <w:r>
        <w:rPr>
          <w:rFonts w:ascii="Times New Roman" w:eastAsia="Times New Roman" w:hAnsi="Times New Roman" w:cs="Times New Roman"/>
          <w:sz w:val="24"/>
          <w:szCs w:val="24"/>
          <w:highlight w:val="white"/>
        </w:rPr>
        <w:t>, the International Covenant on Economic, Social and Cultural Rights (ICESCR), the Convention against Torture and Other Cruel Inhuman or Degrading Treatment or Punishment (CAT), and the Convention on the Rights of the Child (CRC).</w:t>
      </w:r>
      <w:r>
        <w:rPr>
          <w:rFonts w:ascii="Times New Roman" w:eastAsia="Times New Roman" w:hAnsi="Times New Roman" w:cs="Times New Roman"/>
          <w:sz w:val="24"/>
          <w:szCs w:val="24"/>
          <w:highlight w:val="white"/>
          <w:vertAlign w:val="superscript"/>
        </w:rPr>
        <w:footnoteReference w:id="15"/>
      </w:r>
      <w:r>
        <w:rPr>
          <w:rFonts w:ascii="Times New Roman" w:eastAsia="Times New Roman" w:hAnsi="Times New Roman" w:cs="Times New Roman"/>
          <w:sz w:val="24"/>
          <w:szCs w:val="24"/>
          <w:highlight w:val="white"/>
        </w:rPr>
        <w:t xml:space="preserve"> Somalia is yet to sign o</w:t>
      </w:r>
      <w:r>
        <w:rPr>
          <w:rFonts w:ascii="Times New Roman" w:eastAsia="Times New Roman" w:hAnsi="Times New Roman" w:cs="Times New Roman"/>
          <w:sz w:val="24"/>
          <w:szCs w:val="24"/>
          <w:highlight w:val="white"/>
        </w:rPr>
        <w:t>n and ratify the Convention on the Elimination of all Forms of Discrimination Against Women (CEDAW).</w:t>
      </w:r>
      <w:r>
        <w:rPr>
          <w:rFonts w:ascii="Times New Roman" w:eastAsia="Times New Roman" w:hAnsi="Times New Roman" w:cs="Times New Roman"/>
          <w:sz w:val="24"/>
          <w:szCs w:val="24"/>
          <w:highlight w:val="white"/>
          <w:vertAlign w:val="superscript"/>
        </w:rPr>
        <w:footnoteReference w:id="16"/>
      </w:r>
    </w:p>
    <w:p w14:paraId="2E8E8A99"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Somalia has also signed the African Charter on Human &amp; Peoples’ Rights (ACHPR) (the Banjul Charter), African Charter on the Rights and Welfare of the Chil</w:t>
      </w:r>
      <w:r>
        <w:rPr>
          <w:rFonts w:ascii="Times New Roman" w:eastAsia="Times New Roman" w:hAnsi="Times New Roman" w:cs="Times New Roman"/>
          <w:sz w:val="24"/>
          <w:szCs w:val="24"/>
          <w:highlight w:val="white"/>
        </w:rPr>
        <w:t>d (the ACRWC) and the Protocol to the African Charter on Human and Peoples’ Rights on the Rights of the Women in Africa (the Maputo Protocol).</w:t>
      </w:r>
      <w:r>
        <w:rPr>
          <w:rFonts w:ascii="Times New Roman" w:eastAsia="Times New Roman" w:hAnsi="Times New Roman" w:cs="Times New Roman"/>
          <w:sz w:val="24"/>
          <w:szCs w:val="24"/>
          <w:highlight w:val="white"/>
          <w:vertAlign w:val="superscript"/>
        </w:rPr>
        <w:footnoteReference w:id="17"/>
      </w:r>
      <w:r>
        <w:rPr>
          <w:rFonts w:ascii="Times New Roman" w:eastAsia="Times New Roman" w:hAnsi="Times New Roman" w:cs="Times New Roman"/>
          <w:sz w:val="24"/>
          <w:szCs w:val="24"/>
          <w:highlight w:val="white"/>
        </w:rPr>
        <w:t xml:space="preserve"> The Maputo Protocol explicitly prohibits harmful practices including all forms of FGM and advocates for the prot</w:t>
      </w:r>
      <w:r>
        <w:rPr>
          <w:rFonts w:ascii="Times New Roman" w:eastAsia="Times New Roman" w:hAnsi="Times New Roman" w:cs="Times New Roman"/>
          <w:sz w:val="24"/>
          <w:szCs w:val="24"/>
          <w:highlight w:val="white"/>
        </w:rPr>
        <w:t xml:space="preserve">ection of women at risk of being subjected to harmful practices or other forms of violence. At the time of this submission, Somalia has not yet acceded to the ACRWC or the Maputo Protocol. </w:t>
      </w:r>
    </w:p>
    <w:p w14:paraId="2D67D9FD"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Article 15 of the Constitution of Somalia prohibits “circumcision of girls” and states that </w:t>
      </w:r>
      <w:r>
        <w:rPr>
          <w:rFonts w:ascii="Times New Roman" w:eastAsia="Times New Roman" w:hAnsi="Times New Roman" w:cs="Times New Roman"/>
          <w:sz w:val="24"/>
          <w:szCs w:val="24"/>
          <w:shd w:val="clear" w:color="auto" w:fill="FAFAFA"/>
        </w:rPr>
        <w:t>circumcision of girls is “a cruel and degrading customary practice, and is tantamount to torture.” Article 29 (2) of the Constitution further provides, ‘Every child</w:t>
      </w:r>
      <w:r>
        <w:rPr>
          <w:rFonts w:ascii="Times New Roman" w:eastAsia="Times New Roman" w:hAnsi="Times New Roman" w:cs="Times New Roman"/>
          <w:sz w:val="24"/>
          <w:szCs w:val="24"/>
          <w:shd w:val="clear" w:color="auto" w:fill="FAFAFA"/>
        </w:rPr>
        <w:t xml:space="preserve"> has the right to be protected from mistreatment, neglect, abuse or degradation.’</w:t>
      </w:r>
      <w:r>
        <w:rPr>
          <w:rFonts w:ascii="Times New Roman" w:eastAsia="Times New Roman" w:hAnsi="Times New Roman" w:cs="Times New Roman"/>
          <w:sz w:val="24"/>
          <w:szCs w:val="24"/>
          <w:shd w:val="clear" w:color="auto" w:fill="FAFAFA"/>
          <w:vertAlign w:val="superscript"/>
        </w:rPr>
        <w:footnoteReference w:id="18"/>
      </w:r>
      <w:r>
        <w:rPr>
          <w:rFonts w:ascii="Times New Roman" w:eastAsia="Times New Roman" w:hAnsi="Times New Roman" w:cs="Times New Roman"/>
          <w:sz w:val="24"/>
          <w:szCs w:val="24"/>
          <w:shd w:val="clear" w:color="auto" w:fill="FAFAFA"/>
        </w:rPr>
        <w:t xml:space="preserve"> However, despite this, there is no specific provision within Somali law which criminalizes FGM and creates penalties for those who practice FGM. </w:t>
      </w:r>
    </w:p>
    <w:p w14:paraId="0422808D"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shd w:val="clear" w:color="auto" w:fill="FAFAFA"/>
        </w:rPr>
      </w:pPr>
      <w:r>
        <w:rPr>
          <w:rFonts w:ascii="Times New Roman" w:eastAsia="Times New Roman" w:hAnsi="Times New Roman" w:cs="Times New Roman"/>
          <w:sz w:val="24"/>
          <w:szCs w:val="24"/>
          <w:highlight w:val="white"/>
        </w:rPr>
        <w:t>The Somali Penal Code makes</w:t>
      </w:r>
      <w:r>
        <w:rPr>
          <w:rFonts w:ascii="Times New Roman" w:eastAsia="Times New Roman" w:hAnsi="Times New Roman" w:cs="Times New Roman"/>
          <w:sz w:val="24"/>
          <w:szCs w:val="24"/>
          <w:highlight w:val="white"/>
        </w:rPr>
        <w:t xml:space="preserve"> it a criminal offense to cause hurt to another and sets out the associated punishments. Under Article 440 (3), hurt is deemed ‘very grievous’ if it results in (b) ‘loss of a sense’ or (c) ‘loss of a limb, or a mutilation which renders the limb </w:t>
      </w:r>
      <w:r>
        <w:rPr>
          <w:rFonts w:ascii="Times New Roman" w:eastAsia="Times New Roman" w:hAnsi="Times New Roman" w:cs="Times New Roman"/>
          <w:sz w:val="24"/>
          <w:szCs w:val="24"/>
          <w:highlight w:val="white"/>
        </w:rPr>
        <w:lastRenderedPageBreak/>
        <w:t>useless, or</w:t>
      </w:r>
      <w:r>
        <w:rPr>
          <w:rFonts w:ascii="Times New Roman" w:eastAsia="Times New Roman" w:hAnsi="Times New Roman" w:cs="Times New Roman"/>
          <w:sz w:val="24"/>
          <w:szCs w:val="24"/>
          <w:highlight w:val="white"/>
        </w:rPr>
        <w:t xml:space="preserve"> the loss of the use of an organ or of the capacity to procreate.</w:t>
      </w:r>
      <w:r>
        <w:rPr>
          <w:rFonts w:ascii="Times New Roman" w:eastAsia="Times New Roman" w:hAnsi="Times New Roman" w:cs="Times New Roman"/>
          <w:sz w:val="24"/>
          <w:szCs w:val="24"/>
          <w:highlight w:val="white"/>
          <w:vertAlign w:val="superscript"/>
        </w:rPr>
        <w:footnoteReference w:id="19"/>
      </w:r>
      <w:r>
        <w:rPr>
          <w:rFonts w:ascii="Times New Roman" w:eastAsia="Times New Roman" w:hAnsi="Times New Roman" w:cs="Times New Roman"/>
          <w:sz w:val="24"/>
          <w:szCs w:val="24"/>
          <w:highlight w:val="white"/>
        </w:rPr>
        <w:t xml:space="preserve"> However, there is no known case of this provision being used to prosecute cases of FGM in the country. </w:t>
      </w:r>
    </w:p>
    <w:p w14:paraId="3AAA5932"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shd w:val="clear" w:color="auto" w:fill="FAFAFA"/>
        </w:rPr>
      </w:pPr>
      <w:r>
        <w:rPr>
          <w:rFonts w:ascii="Times New Roman" w:eastAsia="Times New Roman" w:hAnsi="Times New Roman" w:cs="Times New Roman"/>
          <w:sz w:val="24"/>
          <w:szCs w:val="24"/>
          <w:highlight w:val="white"/>
        </w:rPr>
        <w:t>The State Party submits to the Committee that,</w:t>
      </w:r>
    </w:p>
    <w:p w14:paraId="342CA0F1" w14:textId="77777777" w:rsidR="005E1F9D" w:rsidRDefault="001F7350">
      <w:pPr>
        <w:spacing w:before="120" w:after="120" w:line="240" w:lineRule="auto"/>
        <w:ind w:left="1440"/>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“The Government has also developed leg</w:t>
      </w:r>
      <w:r>
        <w:rPr>
          <w:rFonts w:ascii="Times New Roman" w:eastAsia="Times New Roman" w:hAnsi="Times New Roman" w:cs="Times New Roman"/>
          <w:i/>
          <w:sz w:val="24"/>
          <w:szCs w:val="24"/>
          <w:highlight w:val="white"/>
        </w:rPr>
        <w:t>islative measures aimed at preventing gender-based violence, including harmful practices such as female genital mutilation, which are a result of gender inequality.” [para 87]</w:t>
      </w:r>
    </w:p>
    <w:p w14:paraId="2F2705DC" w14:textId="77777777" w:rsidR="005E1F9D" w:rsidRDefault="001F7350">
      <w:pPr>
        <w:spacing w:before="120" w:after="120" w:line="24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above-mentioned submission is a reference to a bill developed by the Ministr</w:t>
      </w:r>
      <w:r>
        <w:rPr>
          <w:rFonts w:ascii="Times New Roman" w:eastAsia="Times New Roman" w:hAnsi="Times New Roman" w:cs="Times New Roman"/>
          <w:sz w:val="24"/>
          <w:szCs w:val="24"/>
          <w:highlight w:val="white"/>
        </w:rPr>
        <w:t xml:space="preserve">y of Women and Human Rights Development to ban and criminalize FGM in Somalia. The bill prohibits all types of FGM and creates criminal liability for individuals and accomplices who perform FGM, incite or instruct others to perform FGM, and those who fail </w:t>
      </w:r>
      <w:r>
        <w:rPr>
          <w:rFonts w:ascii="Times New Roman" w:eastAsia="Times New Roman" w:hAnsi="Times New Roman" w:cs="Times New Roman"/>
          <w:sz w:val="24"/>
          <w:szCs w:val="24"/>
          <w:highlight w:val="white"/>
        </w:rPr>
        <w:t>to report the risk or occurrence of FGM. Further, as submitted by the State Party, there is a draft Child Rights Bill which would create domestic mechanisms with regards to its obligations under the CRC [Paras 110, 111, and 112].</w:t>
      </w:r>
    </w:p>
    <w:p w14:paraId="07188744" w14:textId="77777777" w:rsidR="005E1F9D" w:rsidRDefault="001F7350">
      <w:pPr>
        <w:spacing w:before="120" w:after="120" w:line="240" w:lineRule="auto"/>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However, none of these bil</w:t>
      </w:r>
      <w:r>
        <w:rPr>
          <w:rFonts w:ascii="Times New Roman" w:eastAsia="Times New Roman" w:hAnsi="Times New Roman" w:cs="Times New Roman"/>
          <w:sz w:val="24"/>
          <w:szCs w:val="24"/>
          <w:highlight w:val="white"/>
        </w:rPr>
        <w:t>ls and ‘developed legislatures’ have been enacted into law and continue to face opposition on religious and cultural grounds.</w:t>
      </w:r>
      <w:r>
        <w:rPr>
          <w:rFonts w:ascii="Times New Roman" w:eastAsia="Times New Roman" w:hAnsi="Times New Roman" w:cs="Times New Roman"/>
          <w:sz w:val="24"/>
          <w:szCs w:val="24"/>
          <w:highlight w:val="white"/>
          <w:vertAlign w:val="superscript"/>
        </w:rPr>
        <w:footnoteReference w:id="20"/>
      </w:r>
    </w:p>
    <w:p w14:paraId="5309F3F9"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shd w:val="clear" w:color="auto" w:fill="FAFAFA"/>
        </w:rPr>
        <w:t xml:space="preserve">Despite the proposed pieces of legislation, </w:t>
      </w:r>
      <w:r>
        <w:rPr>
          <w:rFonts w:ascii="Times New Roman" w:eastAsia="Times New Roman" w:hAnsi="Times New Roman" w:cs="Times New Roman"/>
          <w:b/>
          <w:sz w:val="24"/>
          <w:szCs w:val="24"/>
          <w:shd w:val="clear" w:color="auto" w:fill="FAFAFA"/>
        </w:rPr>
        <w:t>there is still no national legislation that explicitly criminalizes, prohibits, and p</w:t>
      </w:r>
      <w:r>
        <w:rPr>
          <w:rFonts w:ascii="Times New Roman" w:eastAsia="Times New Roman" w:hAnsi="Times New Roman" w:cs="Times New Roman"/>
          <w:b/>
          <w:sz w:val="24"/>
          <w:szCs w:val="24"/>
          <w:shd w:val="clear" w:color="auto" w:fill="FAFAFA"/>
        </w:rPr>
        <w:t>unishes the practice of FGM.</w:t>
      </w:r>
      <w:r>
        <w:rPr>
          <w:rFonts w:ascii="Times New Roman" w:eastAsia="Times New Roman" w:hAnsi="Times New Roman" w:cs="Times New Roman"/>
          <w:sz w:val="24"/>
          <w:szCs w:val="24"/>
          <w:shd w:val="clear" w:color="auto" w:fill="FAFAFA"/>
        </w:rPr>
        <w:t xml:space="preserve"> This demonstrates a seriously lack of political will to urgently prevent and address FGM, thereby enabling this human rights violation to continue taking place in the country. The Constitutional provision does not offer adequat</w:t>
      </w:r>
      <w:r>
        <w:rPr>
          <w:rFonts w:ascii="Times New Roman" w:eastAsia="Times New Roman" w:hAnsi="Times New Roman" w:cs="Times New Roman"/>
          <w:sz w:val="24"/>
          <w:szCs w:val="24"/>
          <w:shd w:val="clear" w:color="auto" w:fill="FAFAFA"/>
        </w:rPr>
        <w:t>e protection for women and girls as it does not define FGM and what constitutes as ‘circumcision’. There is no provision relating to whether the prohibition covers those who perform FGM, or if it could also include those who plan, procure, aid, facilitate,</w:t>
      </w:r>
      <w:r>
        <w:rPr>
          <w:rFonts w:ascii="Times New Roman" w:eastAsia="Times New Roman" w:hAnsi="Times New Roman" w:cs="Times New Roman"/>
          <w:sz w:val="24"/>
          <w:szCs w:val="24"/>
          <w:shd w:val="clear" w:color="auto" w:fill="FAFAFA"/>
        </w:rPr>
        <w:t xml:space="preserve"> or assist acts of FGM, or who fail to report FGM that has already, or is due to, take place.</w:t>
      </w:r>
      <w:r>
        <w:rPr>
          <w:rFonts w:ascii="Times New Roman" w:eastAsia="Times New Roman" w:hAnsi="Times New Roman" w:cs="Times New Roman"/>
          <w:sz w:val="24"/>
          <w:szCs w:val="24"/>
          <w:shd w:val="clear" w:color="auto" w:fill="FAFAFA"/>
          <w:vertAlign w:val="superscript"/>
        </w:rPr>
        <w:footnoteReference w:id="21"/>
      </w:r>
      <w:r>
        <w:rPr>
          <w:rFonts w:ascii="Times New Roman" w:eastAsia="Times New Roman" w:hAnsi="Times New Roman" w:cs="Times New Roman"/>
          <w:sz w:val="24"/>
          <w:szCs w:val="24"/>
          <w:shd w:val="clear" w:color="auto" w:fill="FAFAFA"/>
        </w:rPr>
        <w:t xml:space="preserve"> All this would be better addressed by the adoption of national legislation prohibiting FGM, which would be considered necessary for the Constitutional provision </w:t>
      </w:r>
      <w:r>
        <w:rPr>
          <w:rFonts w:ascii="Times New Roman" w:eastAsia="Times New Roman" w:hAnsi="Times New Roman" w:cs="Times New Roman"/>
          <w:sz w:val="24"/>
          <w:szCs w:val="24"/>
          <w:shd w:val="clear" w:color="auto" w:fill="FAFAFA"/>
        </w:rPr>
        <w:t xml:space="preserve">to take effect. </w:t>
      </w:r>
    </w:p>
    <w:p w14:paraId="3FE1811B"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Somalia’s first attempt at </w:t>
      </w:r>
      <w:proofErr w:type="gramStart"/>
      <w:r>
        <w:rPr>
          <w:rFonts w:ascii="Times New Roman" w:eastAsia="Times New Roman" w:hAnsi="Times New Roman" w:cs="Times New Roman"/>
          <w:sz w:val="24"/>
          <w:szCs w:val="24"/>
          <w:highlight w:val="white"/>
        </w:rPr>
        <w:t>prosecuting  an</w:t>
      </w:r>
      <w:proofErr w:type="gramEnd"/>
      <w:r>
        <w:rPr>
          <w:rFonts w:ascii="Times New Roman" w:eastAsia="Times New Roman" w:hAnsi="Times New Roman" w:cs="Times New Roman"/>
          <w:sz w:val="24"/>
          <w:szCs w:val="24"/>
          <w:highlight w:val="white"/>
        </w:rPr>
        <w:t xml:space="preserve"> FGM case was in July 2018, after the death of a 10-year old girl after having undergone FGM. The case received widespread media and global attention; the persistent efforts of activists and civil </w:t>
      </w:r>
      <w:r>
        <w:rPr>
          <w:rFonts w:ascii="Times New Roman" w:eastAsia="Times New Roman" w:hAnsi="Times New Roman" w:cs="Times New Roman"/>
          <w:sz w:val="24"/>
          <w:szCs w:val="24"/>
          <w:highlight w:val="white"/>
        </w:rPr>
        <w:t>society organizations (CSOs) led the Attorney-General to make a public statement to the effect that the perpetrators in this case would be prosecuted. However, the police did not file any charges in this case and it was eventually dropped due to difficulti</w:t>
      </w:r>
      <w:r>
        <w:rPr>
          <w:rFonts w:ascii="Times New Roman" w:eastAsia="Times New Roman" w:hAnsi="Times New Roman" w:cs="Times New Roman"/>
          <w:sz w:val="24"/>
          <w:szCs w:val="24"/>
          <w:highlight w:val="white"/>
        </w:rPr>
        <w:t>es in obtaining evidence and locating the cutter who performed the act.</w:t>
      </w:r>
      <w:r>
        <w:rPr>
          <w:rFonts w:ascii="Times New Roman" w:eastAsia="Times New Roman" w:hAnsi="Times New Roman" w:cs="Times New Roman"/>
          <w:sz w:val="24"/>
          <w:szCs w:val="24"/>
          <w:highlight w:val="white"/>
          <w:vertAlign w:val="superscript"/>
        </w:rPr>
        <w:footnoteReference w:id="22"/>
      </w:r>
      <w:r>
        <w:rPr>
          <w:rFonts w:ascii="Times New Roman" w:eastAsia="Times New Roman" w:hAnsi="Times New Roman" w:cs="Times New Roman"/>
          <w:sz w:val="24"/>
          <w:szCs w:val="24"/>
          <w:highlight w:val="white"/>
        </w:rPr>
        <w:t xml:space="preserve"> A short while later, in September 2018, two sisters (10 and 11 years old) were reported to have died in the remote village of </w:t>
      </w:r>
      <w:proofErr w:type="spellStart"/>
      <w:r>
        <w:rPr>
          <w:rFonts w:ascii="Times New Roman" w:eastAsia="Times New Roman" w:hAnsi="Times New Roman" w:cs="Times New Roman"/>
          <w:sz w:val="24"/>
          <w:szCs w:val="24"/>
          <w:highlight w:val="white"/>
        </w:rPr>
        <w:t>Arawda</w:t>
      </w:r>
      <w:proofErr w:type="spellEnd"/>
      <w:r>
        <w:rPr>
          <w:rFonts w:ascii="Times New Roman" w:eastAsia="Times New Roman" w:hAnsi="Times New Roman" w:cs="Times New Roman"/>
          <w:sz w:val="24"/>
          <w:szCs w:val="24"/>
          <w:highlight w:val="white"/>
        </w:rPr>
        <w:t>, in Puntland State, from complications arising fro</w:t>
      </w:r>
      <w:r>
        <w:rPr>
          <w:rFonts w:ascii="Times New Roman" w:eastAsia="Times New Roman" w:hAnsi="Times New Roman" w:cs="Times New Roman"/>
          <w:sz w:val="24"/>
          <w:szCs w:val="24"/>
          <w:highlight w:val="white"/>
        </w:rPr>
        <w:t>m FGM.</w:t>
      </w:r>
      <w:r>
        <w:rPr>
          <w:rFonts w:ascii="Times New Roman" w:eastAsia="Times New Roman" w:hAnsi="Times New Roman" w:cs="Times New Roman"/>
          <w:sz w:val="24"/>
          <w:szCs w:val="24"/>
          <w:highlight w:val="white"/>
          <w:vertAlign w:val="superscript"/>
        </w:rPr>
        <w:footnoteReference w:id="23"/>
      </w:r>
      <w:r>
        <w:rPr>
          <w:rFonts w:ascii="Times New Roman" w:eastAsia="Times New Roman" w:hAnsi="Times New Roman" w:cs="Times New Roman"/>
          <w:sz w:val="24"/>
          <w:szCs w:val="24"/>
          <w:highlight w:val="white"/>
        </w:rPr>
        <w:t xml:space="preserve"> In 2021, a 13-year old girl was reported to have </w:t>
      </w:r>
      <w:r>
        <w:rPr>
          <w:rFonts w:ascii="Times New Roman" w:eastAsia="Times New Roman" w:hAnsi="Times New Roman" w:cs="Times New Roman"/>
          <w:sz w:val="24"/>
          <w:szCs w:val="24"/>
          <w:highlight w:val="white"/>
        </w:rPr>
        <w:lastRenderedPageBreak/>
        <w:t xml:space="preserve">died due to </w:t>
      </w:r>
      <w:proofErr w:type="spellStart"/>
      <w:r>
        <w:rPr>
          <w:rFonts w:ascii="Times New Roman" w:eastAsia="Times New Roman" w:hAnsi="Times New Roman" w:cs="Times New Roman"/>
          <w:sz w:val="24"/>
          <w:szCs w:val="24"/>
          <w:highlight w:val="white"/>
        </w:rPr>
        <w:t>execessive</w:t>
      </w:r>
      <w:proofErr w:type="spellEnd"/>
      <w:r>
        <w:rPr>
          <w:rFonts w:ascii="Times New Roman" w:eastAsia="Times New Roman" w:hAnsi="Times New Roman" w:cs="Times New Roman"/>
          <w:sz w:val="24"/>
          <w:szCs w:val="24"/>
          <w:highlight w:val="white"/>
        </w:rPr>
        <w:t xml:space="preserve"> bleeding after undergoing FGM.</w:t>
      </w:r>
      <w:r>
        <w:rPr>
          <w:rFonts w:ascii="Times New Roman" w:eastAsia="Times New Roman" w:hAnsi="Times New Roman" w:cs="Times New Roman"/>
          <w:sz w:val="24"/>
          <w:szCs w:val="24"/>
          <w:highlight w:val="white"/>
          <w:vertAlign w:val="superscript"/>
        </w:rPr>
        <w:footnoteReference w:id="24"/>
      </w:r>
      <w:r>
        <w:rPr>
          <w:rFonts w:ascii="Times New Roman" w:eastAsia="Times New Roman" w:hAnsi="Times New Roman" w:cs="Times New Roman"/>
          <w:sz w:val="24"/>
          <w:szCs w:val="24"/>
          <w:highlight w:val="white"/>
        </w:rPr>
        <w:t xml:space="preserve">These widely reported deaths have not led to prosecutions or convictions under existing law and policies. </w:t>
      </w:r>
    </w:p>
    <w:p w14:paraId="4922C6FE"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 </w:t>
      </w:r>
      <w:proofErr w:type="spellStart"/>
      <w:r>
        <w:rPr>
          <w:rFonts w:ascii="Times New Roman" w:eastAsia="Times New Roman" w:hAnsi="Times New Roman" w:cs="Times New Roman"/>
          <w:sz w:val="24"/>
          <w:szCs w:val="24"/>
          <w:highlight w:val="white"/>
        </w:rPr>
        <w:t>recognise</w:t>
      </w:r>
      <w:proofErr w:type="spellEnd"/>
      <w:r>
        <w:rPr>
          <w:rFonts w:ascii="Times New Roman" w:eastAsia="Times New Roman" w:hAnsi="Times New Roman" w:cs="Times New Roman"/>
          <w:sz w:val="24"/>
          <w:szCs w:val="24"/>
          <w:highlight w:val="white"/>
        </w:rPr>
        <w:t xml:space="preserve"> that addressing FGM requires multi-sectoral and structural solutions which are not limited to legal measures and needs to </w:t>
      </w:r>
      <w:proofErr w:type="gramStart"/>
      <w:r>
        <w:rPr>
          <w:rFonts w:ascii="Times New Roman" w:eastAsia="Times New Roman" w:hAnsi="Times New Roman" w:cs="Times New Roman"/>
          <w:sz w:val="24"/>
          <w:szCs w:val="24"/>
          <w:highlight w:val="white"/>
        </w:rPr>
        <w:t>take into account</w:t>
      </w:r>
      <w:proofErr w:type="gramEnd"/>
      <w:r>
        <w:rPr>
          <w:rFonts w:ascii="Times New Roman" w:eastAsia="Times New Roman" w:hAnsi="Times New Roman" w:cs="Times New Roman"/>
          <w:sz w:val="24"/>
          <w:szCs w:val="24"/>
          <w:highlight w:val="white"/>
        </w:rPr>
        <w:t xml:space="preserve"> the cultural and social norms of the country. However, international human rights law provides the fram</w:t>
      </w:r>
      <w:r>
        <w:rPr>
          <w:rFonts w:ascii="Times New Roman" w:eastAsia="Times New Roman" w:hAnsi="Times New Roman" w:cs="Times New Roman"/>
          <w:sz w:val="24"/>
          <w:szCs w:val="24"/>
          <w:highlight w:val="white"/>
        </w:rPr>
        <w:t xml:space="preserve">ework for a substantive approach to ending the harmful practice. Criminalizing and explicitly prohibiting FGM under the law is the first of many other systemic solutions to meaningfully address the problem. </w:t>
      </w:r>
    </w:p>
    <w:p w14:paraId="5638E479"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Ifrah Foundation model of effecting systemic</w:t>
      </w:r>
      <w:r>
        <w:rPr>
          <w:rFonts w:ascii="Times New Roman" w:eastAsia="Times New Roman" w:hAnsi="Times New Roman" w:cs="Times New Roman"/>
          <w:sz w:val="24"/>
          <w:szCs w:val="24"/>
          <w:highlight w:val="white"/>
        </w:rPr>
        <w:t xml:space="preserve"> change by addressing FGM from the 3 pillars of Advocacy, Awareness Raising and Community Empowerment, has evidence to prove its effectiveness. Ifrah Foundation’s ‘Dear Daughter Campaign’, with the support of UNFPA, is an effective model to tackle FGM. The</w:t>
      </w:r>
      <w:r>
        <w:rPr>
          <w:rFonts w:ascii="Times New Roman" w:eastAsia="Times New Roman" w:hAnsi="Times New Roman" w:cs="Times New Roman"/>
          <w:sz w:val="24"/>
          <w:szCs w:val="24"/>
          <w:highlight w:val="white"/>
        </w:rPr>
        <w:t xml:space="preserve">re is a need to increase resources to support this approach to accelerate the reducing of FGM </w:t>
      </w:r>
      <w:proofErr w:type="spellStart"/>
      <w:r>
        <w:rPr>
          <w:rFonts w:ascii="Times New Roman" w:eastAsia="Times New Roman" w:hAnsi="Times New Roman" w:cs="Times New Roman"/>
          <w:sz w:val="24"/>
          <w:szCs w:val="24"/>
          <w:highlight w:val="white"/>
        </w:rPr>
        <w:t>prevalance</w:t>
      </w:r>
      <w:proofErr w:type="spellEnd"/>
      <w:r>
        <w:rPr>
          <w:rFonts w:ascii="Times New Roman" w:eastAsia="Times New Roman" w:hAnsi="Times New Roman" w:cs="Times New Roman"/>
          <w:sz w:val="24"/>
          <w:szCs w:val="24"/>
          <w:highlight w:val="white"/>
        </w:rPr>
        <w:t xml:space="preserve"> in Somalia.</w:t>
      </w:r>
      <w:r>
        <w:rPr>
          <w:rFonts w:ascii="Times New Roman" w:eastAsia="Times New Roman" w:hAnsi="Times New Roman" w:cs="Times New Roman"/>
          <w:sz w:val="24"/>
          <w:szCs w:val="24"/>
          <w:highlight w:val="white"/>
          <w:vertAlign w:val="superscript"/>
        </w:rPr>
        <w:footnoteReference w:id="25"/>
      </w:r>
    </w:p>
    <w:p w14:paraId="5FA1ECDE"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According to the Committee’s General Comment No. 28, State Parties in countries where FGM is </w:t>
      </w:r>
      <w:proofErr w:type="spellStart"/>
      <w:r>
        <w:rPr>
          <w:rFonts w:ascii="Times New Roman" w:eastAsia="Times New Roman" w:hAnsi="Times New Roman" w:cs="Times New Roman"/>
          <w:sz w:val="24"/>
          <w:szCs w:val="24"/>
          <w:highlight w:val="white"/>
        </w:rPr>
        <w:t>practised</w:t>
      </w:r>
      <w:proofErr w:type="spellEnd"/>
      <w:r>
        <w:rPr>
          <w:rFonts w:ascii="Times New Roman" w:eastAsia="Times New Roman" w:hAnsi="Times New Roman" w:cs="Times New Roman"/>
          <w:sz w:val="24"/>
          <w:szCs w:val="24"/>
          <w:highlight w:val="white"/>
        </w:rPr>
        <w:t xml:space="preserve"> should provide the Committee with “</w:t>
      </w:r>
      <w:r>
        <w:rPr>
          <w:rFonts w:ascii="Times New Roman" w:eastAsia="Times New Roman" w:hAnsi="Times New Roman" w:cs="Times New Roman"/>
          <w:sz w:val="24"/>
          <w:szCs w:val="24"/>
          <w:highlight w:val="white"/>
        </w:rPr>
        <w:t>information on its extent and on measures to eliminate it.”</w:t>
      </w:r>
      <w:r>
        <w:rPr>
          <w:rFonts w:ascii="Times New Roman" w:eastAsia="Times New Roman" w:hAnsi="Times New Roman" w:cs="Times New Roman"/>
          <w:sz w:val="24"/>
          <w:szCs w:val="24"/>
          <w:highlight w:val="white"/>
          <w:vertAlign w:val="superscript"/>
        </w:rPr>
        <w:footnoteReference w:id="26"/>
      </w:r>
      <w:r>
        <w:rPr>
          <w:rFonts w:ascii="Times New Roman" w:eastAsia="Times New Roman" w:hAnsi="Times New Roman" w:cs="Times New Roman"/>
          <w:sz w:val="24"/>
          <w:szCs w:val="24"/>
          <w:highlight w:val="white"/>
        </w:rPr>
        <w:t xml:space="preserve"> However in the State Party report submitted to the Committee on 22 October 2020, no comprehensive information on the delays and lack of actions to criminalize and punish acts of FGM has been prov</w:t>
      </w:r>
      <w:r>
        <w:rPr>
          <w:rFonts w:ascii="Times New Roman" w:eastAsia="Times New Roman" w:hAnsi="Times New Roman" w:cs="Times New Roman"/>
          <w:sz w:val="24"/>
          <w:szCs w:val="24"/>
          <w:highlight w:val="white"/>
        </w:rPr>
        <w:t xml:space="preserve">ided. </w:t>
      </w:r>
    </w:p>
    <w:p w14:paraId="6208E49A" w14:textId="77777777" w:rsidR="005E1F9D" w:rsidRDefault="001F7350">
      <w:pPr>
        <w:spacing w:before="120" w:after="12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Sexual and Gender Based violence and violence against women in Somalia</w:t>
      </w:r>
    </w:p>
    <w:p w14:paraId="0A36CDA0" w14:textId="77777777" w:rsidR="005E1F9D" w:rsidRDefault="001F7350">
      <w:pPr>
        <w:numPr>
          <w:ilvl w:val="0"/>
          <w:numId w:val="2"/>
        </w:num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According to a </w:t>
      </w:r>
      <w:hyperlink r:id="rId11">
        <w:r>
          <w:rPr>
            <w:rFonts w:ascii="Times New Roman" w:eastAsia="Times New Roman" w:hAnsi="Times New Roman" w:cs="Times New Roman"/>
            <w:color w:val="1155CC"/>
            <w:sz w:val="24"/>
            <w:szCs w:val="24"/>
            <w:u w:val="single"/>
          </w:rPr>
          <w:t>report</w:t>
        </w:r>
      </w:hyperlink>
      <w:r>
        <w:rPr>
          <w:rFonts w:ascii="Times New Roman" w:eastAsia="Times New Roman" w:hAnsi="Times New Roman" w:cs="Times New Roman"/>
          <w:sz w:val="24"/>
          <w:szCs w:val="24"/>
        </w:rPr>
        <w:t xml:space="preserve"> by UNFPA in 2021, Sexual and Gender-Based Violence (SGBV) continues to be an issue of major concern in Somalia. A spike in Intimate Partner Violence, rape, sexual exploitation, sexual harassment and abuse have multiplied GBV risks for women and girls with</w:t>
      </w:r>
      <w:r>
        <w:rPr>
          <w:rFonts w:ascii="Times New Roman" w:eastAsia="Times New Roman" w:hAnsi="Times New Roman" w:cs="Times New Roman"/>
          <w:sz w:val="24"/>
          <w:szCs w:val="24"/>
        </w:rPr>
        <w:t xml:space="preserve"> worsening impact on women and girls living with disabilities.</w:t>
      </w:r>
    </w:p>
    <w:p w14:paraId="737B3941" w14:textId="77777777" w:rsidR="005E1F9D" w:rsidRDefault="001F7350">
      <w:pPr>
        <w:numPr>
          <w:ilvl w:val="0"/>
          <w:numId w:val="2"/>
        </w:numPr>
        <w:spacing w:after="16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With regard to SGBV and violence against women, the Constitution of Somalia (2012) states that every person has the right to personal security including the prohibition of illegal detention, al</w:t>
      </w:r>
      <w:r>
        <w:rPr>
          <w:rFonts w:ascii="Times New Roman" w:eastAsia="Times New Roman" w:hAnsi="Times New Roman" w:cs="Times New Roman"/>
          <w:sz w:val="24"/>
          <w:szCs w:val="24"/>
        </w:rPr>
        <w:t>l forms of violence, including any form of violence against women, torture, or inhumane treatment under Article 15.2.</w:t>
      </w:r>
    </w:p>
    <w:p w14:paraId="5950736A" w14:textId="77777777" w:rsidR="005E1F9D" w:rsidRDefault="001F7350">
      <w:pPr>
        <w:numPr>
          <w:ilvl w:val="0"/>
          <w:numId w:val="2"/>
        </w:numPr>
        <w:spacing w:after="16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However, the above constitutional provisions are hard to realize because of a duplicity of and lack of their harmonization relevant to sex</w:t>
      </w:r>
      <w:r>
        <w:rPr>
          <w:rFonts w:ascii="Times New Roman" w:eastAsia="Times New Roman" w:hAnsi="Times New Roman" w:cs="Times New Roman"/>
          <w:sz w:val="24"/>
          <w:szCs w:val="24"/>
        </w:rPr>
        <w:t>ual violence.</w:t>
      </w:r>
    </w:p>
    <w:p w14:paraId="7E688CA2" w14:textId="77777777" w:rsidR="005E1F9D" w:rsidRDefault="001F7350">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In Somalia, crimes of sexual violence are addressed through three separate legal frameworks, the 1962 Penal Code and 1963 Criminal Procedure Code, customary law </w:t>
      </w:r>
      <w:r>
        <w:rPr>
          <w:rFonts w:ascii="Times New Roman" w:eastAsia="Times New Roman" w:hAnsi="Times New Roman" w:cs="Times New Roman"/>
          <w:sz w:val="24"/>
          <w:szCs w:val="24"/>
        </w:rPr>
        <w:lastRenderedPageBreak/>
        <w:t>(</w:t>
      </w:r>
      <w:proofErr w:type="spellStart"/>
      <w:r>
        <w:rPr>
          <w:rFonts w:ascii="Times New Roman" w:eastAsia="Times New Roman" w:hAnsi="Times New Roman" w:cs="Times New Roman"/>
          <w:sz w:val="24"/>
          <w:szCs w:val="24"/>
        </w:rPr>
        <w:t>Xeer</w:t>
      </w:r>
      <w:proofErr w:type="spellEnd"/>
      <w:r>
        <w:rPr>
          <w:rFonts w:ascii="Times New Roman" w:eastAsia="Times New Roman" w:hAnsi="Times New Roman" w:cs="Times New Roman"/>
          <w:sz w:val="24"/>
          <w:szCs w:val="24"/>
        </w:rPr>
        <w:t>), and Sharia law.</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This multiplicity of laws on sexual violence makes it di</w:t>
      </w:r>
      <w:r>
        <w:rPr>
          <w:rFonts w:ascii="Times New Roman" w:eastAsia="Times New Roman" w:hAnsi="Times New Roman" w:cs="Times New Roman"/>
          <w:sz w:val="24"/>
          <w:szCs w:val="24"/>
        </w:rPr>
        <w:t>fficult to address crimes of SGBV because they contain contradictory provisions.</w:t>
      </w:r>
    </w:p>
    <w:p w14:paraId="0BE82EF9" w14:textId="77777777" w:rsidR="005E1F9D" w:rsidRDefault="005E1F9D">
      <w:pPr>
        <w:spacing w:line="240" w:lineRule="auto"/>
        <w:ind w:left="720"/>
        <w:jc w:val="both"/>
        <w:rPr>
          <w:rFonts w:ascii="Times New Roman" w:eastAsia="Times New Roman" w:hAnsi="Times New Roman" w:cs="Times New Roman"/>
          <w:sz w:val="24"/>
          <w:szCs w:val="24"/>
        </w:rPr>
      </w:pPr>
    </w:p>
    <w:p w14:paraId="655EAD58" w14:textId="77777777" w:rsidR="005E1F9D" w:rsidRDefault="001F7350">
      <w:pPr>
        <w:numPr>
          <w:ilvl w:val="0"/>
          <w:numId w:val="2"/>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Customary law is entrenched and impedes access to justice in SGBV cases because under customary law, sexual violence is not </w:t>
      </w:r>
      <w:proofErr w:type="spellStart"/>
      <w:r>
        <w:rPr>
          <w:rFonts w:ascii="Times New Roman" w:eastAsia="Times New Roman" w:hAnsi="Times New Roman" w:cs="Times New Roman"/>
          <w:sz w:val="24"/>
          <w:szCs w:val="24"/>
        </w:rPr>
        <w:t>conceptualised</w:t>
      </w:r>
      <w:proofErr w:type="spellEnd"/>
      <w:r>
        <w:rPr>
          <w:rFonts w:ascii="Times New Roman" w:eastAsia="Times New Roman" w:hAnsi="Times New Roman" w:cs="Times New Roman"/>
          <w:sz w:val="24"/>
          <w:szCs w:val="24"/>
        </w:rPr>
        <w:t xml:space="preserve"> as a violation of individual bodily</w:t>
      </w:r>
      <w:r>
        <w:rPr>
          <w:rFonts w:ascii="Times New Roman" w:eastAsia="Times New Roman" w:hAnsi="Times New Roman" w:cs="Times New Roman"/>
          <w:sz w:val="24"/>
          <w:szCs w:val="24"/>
        </w:rPr>
        <w:t xml:space="preserve"> integrity but rather as an issue of morality and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and a crime perpetrated first and foremost against the family, clan or wider community.</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Such cases often result in double </w:t>
      </w:r>
      <w:proofErr w:type="spellStart"/>
      <w:r>
        <w:rPr>
          <w:rFonts w:ascii="Times New Roman" w:eastAsia="Times New Roman" w:hAnsi="Times New Roman" w:cs="Times New Roman"/>
          <w:sz w:val="24"/>
          <w:szCs w:val="24"/>
        </w:rPr>
        <w:t>victimisation</w:t>
      </w:r>
      <w:proofErr w:type="spellEnd"/>
      <w:r>
        <w:rPr>
          <w:rFonts w:ascii="Times New Roman" w:eastAsia="Times New Roman" w:hAnsi="Times New Roman" w:cs="Times New Roman"/>
          <w:sz w:val="24"/>
          <w:szCs w:val="24"/>
        </w:rPr>
        <w:t xml:space="preserve"> as victims and survivors are excluded from the process and may</w:t>
      </w:r>
      <w:r>
        <w:rPr>
          <w:rFonts w:ascii="Times New Roman" w:eastAsia="Times New Roman" w:hAnsi="Times New Roman" w:cs="Times New Roman"/>
          <w:sz w:val="24"/>
          <w:szCs w:val="24"/>
        </w:rPr>
        <w:t xml:space="preserve"> be forced to marry the perpetrator whilst a nominal fine may be imposed, payable to their male relatives, with no further sanction envisaged.</w:t>
      </w:r>
    </w:p>
    <w:p w14:paraId="7C2CED38" w14:textId="77777777" w:rsidR="005E1F9D" w:rsidRDefault="005E1F9D">
      <w:pPr>
        <w:spacing w:line="240" w:lineRule="auto"/>
        <w:ind w:left="720"/>
        <w:jc w:val="both"/>
        <w:rPr>
          <w:rFonts w:ascii="Times New Roman" w:eastAsia="Times New Roman" w:hAnsi="Times New Roman" w:cs="Times New Roman"/>
          <w:sz w:val="24"/>
          <w:szCs w:val="24"/>
        </w:rPr>
      </w:pPr>
    </w:p>
    <w:p w14:paraId="62957EE5" w14:textId="77777777" w:rsidR="005E1F9D" w:rsidRDefault="001F7350">
      <w:pPr>
        <w:numPr>
          <w:ilvl w:val="0"/>
          <w:numId w:val="2"/>
        </w:numPr>
        <w:spacing w:after="16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An attempt to have a stand-alone </w:t>
      </w:r>
      <w:r>
        <w:rPr>
          <w:rFonts w:ascii="Times New Roman" w:eastAsia="Times New Roman" w:hAnsi="Times New Roman" w:cs="Times New Roman"/>
          <w:b/>
          <w:sz w:val="24"/>
          <w:szCs w:val="24"/>
        </w:rPr>
        <w:t>Sexual Offences Bill</w:t>
      </w:r>
      <w:r>
        <w:rPr>
          <w:rFonts w:ascii="Times New Roman" w:eastAsia="Times New Roman" w:hAnsi="Times New Roman" w:cs="Times New Roman"/>
          <w:sz w:val="24"/>
          <w:szCs w:val="24"/>
        </w:rPr>
        <w:t xml:space="preserve"> and harmonization of the above systems of laws failed in 2020 and an alternative bill pertaining to sexual offenses, the 2020 </w:t>
      </w:r>
      <w:r>
        <w:rPr>
          <w:rFonts w:ascii="Times New Roman" w:eastAsia="Times New Roman" w:hAnsi="Times New Roman" w:cs="Times New Roman"/>
          <w:b/>
          <w:sz w:val="24"/>
          <w:szCs w:val="24"/>
        </w:rPr>
        <w:t>Sexual Intercourse Related Crimes Bill</w:t>
      </w:r>
      <w:r>
        <w:rPr>
          <w:rFonts w:ascii="Times New Roman" w:eastAsia="Times New Roman" w:hAnsi="Times New Roman" w:cs="Times New Roman"/>
          <w:sz w:val="24"/>
          <w:szCs w:val="24"/>
        </w:rPr>
        <w:t>, was introduced.</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This Bill is said to contravene a number of Somalia’s obligations under </w:t>
      </w:r>
      <w:r>
        <w:rPr>
          <w:rFonts w:ascii="Times New Roman" w:eastAsia="Times New Roman" w:hAnsi="Times New Roman" w:cs="Times New Roman"/>
          <w:sz w:val="24"/>
          <w:szCs w:val="24"/>
        </w:rPr>
        <w:t>international human rights law, particularly in relation to children’s rights. For instance, the proposed law legalizes child marriages, omits the age of consent, omits the offence of sexual exploitation and significantly reduces the types of admissible ev</w:t>
      </w:r>
      <w:r>
        <w:rPr>
          <w:rFonts w:ascii="Times New Roman" w:eastAsia="Times New Roman" w:hAnsi="Times New Roman" w:cs="Times New Roman"/>
          <w:sz w:val="24"/>
          <w:szCs w:val="24"/>
        </w:rPr>
        <w:t>idence in rape cases. Other wanting provisions of the proposed law include reductions in the rights of the survivors by allowing the (irrelevant) introduction of their sexual history to evidence during the trial, and reduction of situations where a person’</w:t>
      </w:r>
      <w:r>
        <w:rPr>
          <w:rFonts w:ascii="Times New Roman" w:eastAsia="Times New Roman" w:hAnsi="Times New Roman" w:cs="Times New Roman"/>
          <w:sz w:val="24"/>
          <w:szCs w:val="24"/>
        </w:rPr>
        <w:t>s consent can be violated or invalidated even in the context of coercion.</w:t>
      </w:r>
    </w:p>
    <w:p w14:paraId="1C31F348" w14:textId="77777777" w:rsidR="005E1F9D" w:rsidRDefault="001F7350">
      <w:pPr>
        <w:spacing w:before="120" w:after="12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Suggested Recommendations to the State Party</w:t>
      </w:r>
    </w:p>
    <w:p w14:paraId="434ECDB3" w14:textId="77777777" w:rsidR="005E1F9D" w:rsidRDefault="001F7350">
      <w:pPr>
        <w:numPr>
          <w:ilvl w:val="0"/>
          <w:numId w:val="2"/>
        </w:numPr>
        <w:spacing w:before="120"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 respectfully urge the Committee to make recommendations and urge the following with the Government of Somalia: </w:t>
      </w:r>
    </w:p>
    <w:p w14:paraId="41361CE0" w14:textId="77777777" w:rsidR="005E1F9D" w:rsidRDefault="005E1F9D">
      <w:pPr>
        <w:spacing w:line="240" w:lineRule="auto"/>
        <w:ind w:left="720"/>
        <w:jc w:val="both"/>
        <w:rPr>
          <w:rFonts w:ascii="Times New Roman" w:eastAsia="Times New Roman" w:hAnsi="Times New Roman" w:cs="Times New Roman"/>
          <w:sz w:val="24"/>
          <w:szCs w:val="24"/>
          <w:highlight w:val="white"/>
        </w:rPr>
      </w:pPr>
    </w:p>
    <w:p w14:paraId="53FE96D7" w14:textId="77777777" w:rsidR="005E1F9D" w:rsidRDefault="001F7350">
      <w:pPr>
        <w:numPr>
          <w:ilvl w:val="0"/>
          <w:numId w:val="1"/>
        </w:numPr>
        <w:spacing w:before="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expedite and ensur</w:t>
      </w:r>
      <w:r>
        <w:rPr>
          <w:rFonts w:ascii="Times New Roman" w:eastAsia="Times New Roman" w:hAnsi="Times New Roman" w:cs="Times New Roman"/>
          <w:sz w:val="24"/>
          <w:szCs w:val="24"/>
          <w:highlight w:val="white"/>
        </w:rPr>
        <w:t>e the urgent adoption of a comprehensive national legislation that (</w:t>
      </w:r>
      <w:proofErr w:type="spellStart"/>
      <w:r>
        <w:rPr>
          <w:rFonts w:ascii="Times New Roman" w:eastAsia="Times New Roman" w:hAnsi="Times New Roman" w:cs="Times New Roman"/>
          <w:sz w:val="24"/>
          <w:szCs w:val="24"/>
          <w:highlight w:val="white"/>
        </w:rPr>
        <w:t>i</w:t>
      </w:r>
      <w:proofErr w:type="spellEnd"/>
      <w:r>
        <w:rPr>
          <w:rFonts w:ascii="Times New Roman" w:eastAsia="Times New Roman" w:hAnsi="Times New Roman" w:cs="Times New Roman"/>
          <w:sz w:val="24"/>
          <w:szCs w:val="24"/>
          <w:highlight w:val="white"/>
        </w:rPr>
        <w:t xml:space="preserve">) defines and criminalizes FGM, (ii) provides penalties for those who perform the act or plan, procure or assist </w:t>
      </w:r>
      <w:proofErr w:type="gramStart"/>
      <w:r>
        <w:rPr>
          <w:rFonts w:ascii="Times New Roman" w:eastAsia="Times New Roman" w:hAnsi="Times New Roman" w:cs="Times New Roman"/>
          <w:sz w:val="24"/>
          <w:szCs w:val="24"/>
          <w:highlight w:val="white"/>
        </w:rPr>
        <w:t>it;  (</w:t>
      </w:r>
      <w:proofErr w:type="gramEnd"/>
      <w:r>
        <w:rPr>
          <w:rFonts w:ascii="Times New Roman" w:eastAsia="Times New Roman" w:hAnsi="Times New Roman" w:cs="Times New Roman"/>
          <w:sz w:val="24"/>
          <w:szCs w:val="24"/>
          <w:highlight w:val="white"/>
        </w:rPr>
        <w:t>iii) provides penalties for those who fail to report FGM that has al</w:t>
      </w:r>
      <w:r>
        <w:rPr>
          <w:rFonts w:ascii="Times New Roman" w:eastAsia="Times New Roman" w:hAnsi="Times New Roman" w:cs="Times New Roman"/>
          <w:sz w:val="24"/>
          <w:szCs w:val="24"/>
          <w:highlight w:val="white"/>
        </w:rPr>
        <w:t xml:space="preserve">ready, or is due to take place and (iv) addresses medicalization of FGM and cross-border FGM. </w:t>
      </w:r>
    </w:p>
    <w:p w14:paraId="68ED8B4C" w14:textId="77777777" w:rsidR="005E1F9D" w:rsidRDefault="001F735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provide for legislation and </w:t>
      </w:r>
      <w:proofErr w:type="spellStart"/>
      <w:r>
        <w:rPr>
          <w:rFonts w:ascii="Times New Roman" w:eastAsia="Times New Roman" w:hAnsi="Times New Roman" w:cs="Times New Roman"/>
          <w:sz w:val="24"/>
          <w:szCs w:val="24"/>
          <w:highlight w:val="white"/>
        </w:rPr>
        <w:t>programmes</w:t>
      </w:r>
      <w:proofErr w:type="spellEnd"/>
      <w:r>
        <w:rPr>
          <w:rFonts w:ascii="Times New Roman" w:eastAsia="Times New Roman" w:hAnsi="Times New Roman" w:cs="Times New Roman"/>
          <w:sz w:val="24"/>
          <w:szCs w:val="24"/>
          <w:highlight w:val="white"/>
        </w:rPr>
        <w:t xml:space="preserve"> for extensive public and community education, awareness-building, training and engagement to change the deep-rooted soc</w:t>
      </w:r>
      <w:r>
        <w:rPr>
          <w:rFonts w:ascii="Times New Roman" w:eastAsia="Times New Roman" w:hAnsi="Times New Roman" w:cs="Times New Roman"/>
          <w:sz w:val="24"/>
          <w:szCs w:val="24"/>
          <w:highlight w:val="white"/>
        </w:rPr>
        <w:t xml:space="preserve">ial and community norms with regards to harmful practices such as FGM. </w:t>
      </w:r>
    </w:p>
    <w:p w14:paraId="7C05D09A" w14:textId="77777777" w:rsidR="005E1F9D" w:rsidRDefault="001F735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implement a robust campaign to educate and raise awareness amongst citizens about FGM as a gendered and harmful practice, from a human rights lens; as well as to educate stakeholder</w:t>
      </w:r>
      <w:r>
        <w:rPr>
          <w:rFonts w:ascii="Times New Roman" w:eastAsia="Times New Roman" w:hAnsi="Times New Roman" w:cs="Times New Roman"/>
          <w:sz w:val="24"/>
          <w:szCs w:val="24"/>
          <w:highlight w:val="white"/>
        </w:rPr>
        <w:t xml:space="preserve">s, particularly religious, cultural and elected leaders, in order to address challenges to enacting legislation criminalizing FGM. </w:t>
      </w:r>
    </w:p>
    <w:p w14:paraId="062096AA" w14:textId="77777777" w:rsidR="005E1F9D" w:rsidRDefault="001F735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To take concrete steps to coordinate the collection and maintenance of a </w:t>
      </w:r>
      <w:proofErr w:type="spellStart"/>
      <w:r>
        <w:rPr>
          <w:rFonts w:ascii="Times New Roman" w:eastAsia="Times New Roman" w:hAnsi="Times New Roman" w:cs="Times New Roman"/>
          <w:sz w:val="24"/>
          <w:szCs w:val="24"/>
          <w:highlight w:val="white"/>
        </w:rPr>
        <w:t>centralised</w:t>
      </w:r>
      <w:proofErr w:type="spellEnd"/>
      <w:r>
        <w:rPr>
          <w:rFonts w:ascii="Times New Roman" w:eastAsia="Times New Roman" w:hAnsi="Times New Roman" w:cs="Times New Roman"/>
          <w:sz w:val="24"/>
          <w:szCs w:val="24"/>
          <w:highlight w:val="white"/>
        </w:rPr>
        <w:t>, accurate and accessible database of qu</w:t>
      </w:r>
      <w:r>
        <w:rPr>
          <w:rFonts w:ascii="Times New Roman" w:eastAsia="Times New Roman" w:hAnsi="Times New Roman" w:cs="Times New Roman"/>
          <w:sz w:val="24"/>
          <w:szCs w:val="24"/>
          <w:highlight w:val="white"/>
        </w:rPr>
        <w:t xml:space="preserve">alitative and quantitative data of FGM prevalence and trends in the country, including data on cross-border FGM.  </w:t>
      </w:r>
    </w:p>
    <w:p w14:paraId="2B40AED5" w14:textId="77777777" w:rsidR="005E1F9D" w:rsidRDefault="001F735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develop a comprehensive and detailed National Action Plan with clear timelines, accountability measures, and designated public institution</w:t>
      </w:r>
      <w:r>
        <w:rPr>
          <w:rFonts w:ascii="Times New Roman" w:eastAsia="Times New Roman" w:hAnsi="Times New Roman" w:cs="Times New Roman"/>
          <w:sz w:val="24"/>
          <w:szCs w:val="24"/>
          <w:highlight w:val="white"/>
        </w:rPr>
        <w:t xml:space="preserve">s to end all forms of FGM with effective and meaningful consultation and collaboration with CSOs, survivors, and experts working on the elimination of FGM.  </w:t>
      </w:r>
    </w:p>
    <w:p w14:paraId="6B7FE842" w14:textId="77777777" w:rsidR="005E1F9D" w:rsidRDefault="001F735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support and allocate adequate funding to ensure the implementation of the Anti-FGM law and National Action Plan as well as advocacy </w:t>
      </w:r>
      <w:proofErr w:type="spellStart"/>
      <w:r>
        <w:rPr>
          <w:rFonts w:ascii="Times New Roman" w:eastAsia="Times New Roman" w:hAnsi="Times New Roman" w:cs="Times New Roman"/>
          <w:sz w:val="24"/>
          <w:szCs w:val="24"/>
          <w:highlight w:val="white"/>
        </w:rPr>
        <w:t>programmes</w:t>
      </w:r>
      <w:proofErr w:type="spellEnd"/>
      <w:r>
        <w:rPr>
          <w:rFonts w:ascii="Times New Roman" w:eastAsia="Times New Roman" w:hAnsi="Times New Roman" w:cs="Times New Roman"/>
          <w:sz w:val="24"/>
          <w:szCs w:val="24"/>
          <w:highlight w:val="white"/>
        </w:rPr>
        <w:t xml:space="preserve"> aimed at social and gender norms change such as community awareness-raising campaigns. </w:t>
      </w:r>
    </w:p>
    <w:p w14:paraId="24FE25BD" w14:textId="77777777" w:rsidR="005E1F9D" w:rsidRDefault="001F735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Adopt a strong law on </w:t>
      </w:r>
      <w:r>
        <w:rPr>
          <w:rFonts w:ascii="Times New Roman" w:eastAsia="Times New Roman" w:hAnsi="Times New Roman" w:cs="Times New Roman"/>
          <w:sz w:val="24"/>
          <w:szCs w:val="24"/>
          <w:highlight w:val="white"/>
        </w:rPr>
        <w:t xml:space="preserve">sexual violence conforming to international human rights standards based on consent and </w:t>
      </w:r>
      <w:proofErr w:type="spellStart"/>
      <w:r>
        <w:rPr>
          <w:rFonts w:ascii="Times New Roman" w:eastAsia="Times New Roman" w:hAnsi="Times New Roman" w:cs="Times New Roman"/>
          <w:sz w:val="24"/>
          <w:szCs w:val="24"/>
          <w:highlight w:val="white"/>
        </w:rPr>
        <w:t>recognising</w:t>
      </w:r>
      <w:proofErr w:type="spellEnd"/>
      <w:r>
        <w:rPr>
          <w:rFonts w:ascii="Times New Roman" w:eastAsia="Times New Roman" w:hAnsi="Times New Roman" w:cs="Times New Roman"/>
          <w:sz w:val="24"/>
          <w:szCs w:val="24"/>
          <w:highlight w:val="white"/>
        </w:rPr>
        <w:t xml:space="preserve"> fully all coercive circumstances which negate free, voluntary and genuine consent and </w:t>
      </w:r>
      <w:proofErr w:type="spellStart"/>
      <w:r>
        <w:rPr>
          <w:rFonts w:ascii="Times New Roman" w:eastAsia="Times New Roman" w:hAnsi="Times New Roman" w:cs="Times New Roman"/>
          <w:sz w:val="24"/>
          <w:szCs w:val="24"/>
          <w:highlight w:val="white"/>
        </w:rPr>
        <w:t>harmonise</w:t>
      </w:r>
      <w:proofErr w:type="spellEnd"/>
      <w:r>
        <w:rPr>
          <w:rFonts w:ascii="Times New Roman" w:eastAsia="Times New Roman" w:hAnsi="Times New Roman" w:cs="Times New Roman"/>
          <w:sz w:val="24"/>
          <w:szCs w:val="24"/>
          <w:highlight w:val="white"/>
        </w:rPr>
        <w:t xml:space="preserve"> all laws on sexual violence by recognizing sexual violence a</w:t>
      </w:r>
      <w:r>
        <w:rPr>
          <w:rFonts w:ascii="Times New Roman" w:eastAsia="Times New Roman" w:hAnsi="Times New Roman" w:cs="Times New Roman"/>
          <w:sz w:val="24"/>
          <w:szCs w:val="24"/>
          <w:highlight w:val="white"/>
        </w:rPr>
        <w:t xml:space="preserve">s an attack on personal dignity and security of the </w:t>
      </w:r>
      <w:proofErr w:type="gramStart"/>
      <w:r>
        <w:rPr>
          <w:rFonts w:ascii="Times New Roman" w:eastAsia="Times New Roman" w:hAnsi="Times New Roman" w:cs="Times New Roman"/>
          <w:sz w:val="24"/>
          <w:szCs w:val="24"/>
          <w:highlight w:val="white"/>
        </w:rPr>
        <w:t>person..</w:t>
      </w:r>
      <w:proofErr w:type="gramEnd"/>
    </w:p>
    <w:p w14:paraId="44FA7D94" w14:textId="77777777" w:rsidR="005E1F9D" w:rsidRDefault="001F735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Take tangible steps to prevent sexual violence against women and children, including by adopting a new national action plan that will raise public awareness about sexual and gender-based violence</w:t>
      </w:r>
      <w:r>
        <w:rPr>
          <w:rFonts w:ascii="Times New Roman" w:eastAsia="Times New Roman" w:hAnsi="Times New Roman" w:cs="Times New Roman"/>
          <w:sz w:val="24"/>
          <w:szCs w:val="24"/>
          <w:highlight w:val="white"/>
        </w:rPr>
        <w:t xml:space="preserve"> and its causes based on gender-based discrimination with a view to promoting zero societal, institutional and law enforcement tolerance of such gender-based and sexual violence.</w:t>
      </w:r>
    </w:p>
    <w:p w14:paraId="58B08043" w14:textId="77777777" w:rsidR="005E1F9D" w:rsidRDefault="001F7350">
      <w:pPr>
        <w:numPr>
          <w:ilvl w:val="0"/>
          <w:numId w:val="1"/>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ratify and implement the CEDAW and the Optional Protocol to the CEDAW whic</w:t>
      </w:r>
      <w:r>
        <w:rPr>
          <w:rFonts w:ascii="Times New Roman" w:eastAsia="Times New Roman" w:hAnsi="Times New Roman" w:cs="Times New Roman"/>
          <w:sz w:val="24"/>
          <w:szCs w:val="24"/>
          <w:highlight w:val="white"/>
        </w:rPr>
        <w:t xml:space="preserve">h creates complaints and inquiry mechanisms for these conventions. </w:t>
      </w:r>
    </w:p>
    <w:p w14:paraId="063580F5" w14:textId="77777777" w:rsidR="005E1F9D" w:rsidRDefault="001F7350">
      <w:pPr>
        <w:numPr>
          <w:ilvl w:val="0"/>
          <w:numId w:val="1"/>
        </w:numPr>
        <w:spacing w:after="1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ratify and implement the Maputo Protocol.</w:t>
      </w:r>
    </w:p>
    <w:sectPr w:rsidR="005E1F9D">
      <w:headerReference w:type="default" r:id="rId12"/>
      <w:head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68E10" w14:textId="77777777" w:rsidR="00000000" w:rsidRDefault="001F7350">
      <w:pPr>
        <w:spacing w:line="240" w:lineRule="auto"/>
      </w:pPr>
      <w:r>
        <w:separator/>
      </w:r>
    </w:p>
  </w:endnote>
  <w:endnote w:type="continuationSeparator" w:id="0">
    <w:p w14:paraId="2CE29FF0" w14:textId="77777777" w:rsidR="00000000" w:rsidRDefault="001F73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56C0C" w14:textId="77777777" w:rsidR="00000000" w:rsidRDefault="001F7350">
      <w:pPr>
        <w:spacing w:line="240" w:lineRule="auto"/>
      </w:pPr>
      <w:r>
        <w:separator/>
      </w:r>
    </w:p>
  </w:footnote>
  <w:footnote w:type="continuationSeparator" w:id="0">
    <w:p w14:paraId="537C47B8" w14:textId="77777777" w:rsidR="00000000" w:rsidRDefault="001F7350">
      <w:pPr>
        <w:spacing w:line="240" w:lineRule="auto"/>
      </w:pPr>
      <w:r>
        <w:continuationSeparator/>
      </w:r>
    </w:p>
  </w:footnote>
  <w:footnote w:id="1">
    <w:p w14:paraId="069742C4"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Equality Now, </w:t>
      </w:r>
      <w:hyperlink r:id="rId1">
        <w:r>
          <w:rPr>
            <w:rFonts w:ascii="Times New Roman" w:eastAsia="Times New Roman" w:hAnsi="Times New Roman" w:cs="Times New Roman"/>
            <w:color w:val="1155CC"/>
            <w:sz w:val="20"/>
            <w:szCs w:val="20"/>
            <w:u w:val="single"/>
          </w:rPr>
          <w:t>https://www.equalitynow.org/</w:t>
        </w:r>
      </w:hyperlink>
      <w:r>
        <w:rPr>
          <w:rFonts w:ascii="Times New Roman" w:eastAsia="Times New Roman" w:hAnsi="Times New Roman" w:cs="Times New Roman"/>
          <w:sz w:val="20"/>
          <w:szCs w:val="20"/>
        </w:rPr>
        <w:t>, last accessed 2023-04-12</w:t>
      </w:r>
    </w:p>
  </w:footnote>
  <w:footnote w:id="2">
    <w:p w14:paraId="73E912F8"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Ifrah Foundation, </w:t>
      </w:r>
      <w:hyperlink r:id="rId2">
        <w:r>
          <w:rPr>
            <w:rFonts w:ascii="Times New Roman" w:eastAsia="Times New Roman" w:hAnsi="Times New Roman" w:cs="Times New Roman"/>
            <w:color w:val="1155CC"/>
            <w:sz w:val="20"/>
            <w:szCs w:val="20"/>
            <w:u w:val="single"/>
          </w:rPr>
          <w:t>https://www.ifrahfoundation.org/</w:t>
        </w:r>
      </w:hyperlink>
      <w:r>
        <w:rPr>
          <w:rFonts w:ascii="Times New Roman" w:eastAsia="Times New Roman" w:hAnsi="Times New Roman" w:cs="Times New Roman"/>
          <w:sz w:val="20"/>
          <w:szCs w:val="20"/>
        </w:rPr>
        <w:t>, last accessed 2023-04-12</w:t>
      </w:r>
    </w:p>
  </w:footnote>
  <w:footnote w:id="3">
    <w:p w14:paraId="4F89B605"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International Covenant on Civil and Political Rights, Uni</w:t>
      </w:r>
      <w:r>
        <w:rPr>
          <w:rFonts w:ascii="Times New Roman" w:eastAsia="Times New Roman" w:hAnsi="Times New Roman" w:cs="Times New Roman"/>
          <w:sz w:val="20"/>
          <w:szCs w:val="20"/>
        </w:rPr>
        <w:t xml:space="preserve">ted Nations Treaty Collection, online at: </w:t>
      </w:r>
      <w:hyperlink r:id="rId3">
        <w:r>
          <w:rPr>
            <w:rFonts w:ascii="Times New Roman" w:eastAsia="Times New Roman" w:hAnsi="Times New Roman" w:cs="Times New Roman"/>
            <w:color w:val="1155CC"/>
            <w:sz w:val="20"/>
            <w:szCs w:val="20"/>
            <w:u w:val="single"/>
          </w:rPr>
          <w:t>https://treaties.un.org/Pages/ViewDetails.aspx?chapter=4&amp;clang=_en&amp;mtdsg_no=IV-4&amp;src=IND</w:t>
        </w:r>
      </w:hyperlink>
      <w:r>
        <w:rPr>
          <w:rFonts w:ascii="Times New Roman" w:eastAsia="Times New Roman" w:hAnsi="Times New Roman" w:cs="Times New Roman"/>
          <w:sz w:val="20"/>
          <w:szCs w:val="20"/>
        </w:rPr>
        <w:t xml:space="preserve"> </w:t>
      </w:r>
    </w:p>
  </w:footnote>
  <w:footnote w:id="4">
    <w:p w14:paraId="7118B674"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 </w:t>
      </w:r>
      <w:r>
        <w:rPr>
          <w:rFonts w:ascii="Times New Roman" w:eastAsia="Times New Roman" w:hAnsi="Times New Roman" w:cs="Times New Roman"/>
          <w:i/>
          <w:sz w:val="20"/>
          <w:szCs w:val="20"/>
        </w:rPr>
        <w:t xml:space="preserve">Case Study on Ending Female Genital Mutilation in the </w:t>
      </w:r>
      <w:r>
        <w:rPr>
          <w:rFonts w:ascii="Times New Roman" w:eastAsia="Times New Roman" w:hAnsi="Times New Roman" w:cs="Times New Roman"/>
          <w:i/>
          <w:sz w:val="20"/>
          <w:szCs w:val="20"/>
        </w:rPr>
        <w:t>Federal Republic of Somalia</w:t>
      </w:r>
      <w:r>
        <w:rPr>
          <w:rFonts w:ascii="Times New Roman" w:eastAsia="Times New Roman" w:hAnsi="Times New Roman" w:cs="Times New Roman"/>
          <w:sz w:val="20"/>
          <w:szCs w:val="20"/>
        </w:rPr>
        <w:t xml:space="preserve">, April 2021, online at: </w:t>
      </w:r>
      <w:hyperlink r:id="rId4">
        <w:r>
          <w:rPr>
            <w:rFonts w:ascii="Times New Roman" w:eastAsia="Times New Roman" w:hAnsi="Times New Roman" w:cs="Times New Roman"/>
            <w:color w:val="1155CC"/>
            <w:sz w:val="20"/>
            <w:szCs w:val="20"/>
            <w:u w:val="single"/>
          </w:rPr>
          <w:t>https://www.unicef.org/esa/media/8936/file/Somalia-Case-Study-FGM-2021.pdf</w:t>
        </w:r>
      </w:hyperlink>
      <w:r>
        <w:rPr>
          <w:rFonts w:ascii="Times New Roman" w:eastAsia="Times New Roman" w:hAnsi="Times New Roman" w:cs="Times New Roman"/>
          <w:sz w:val="20"/>
          <w:szCs w:val="20"/>
        </w:rPr>
        <w:t>. (UNICEF Somalia Case Study)</w:t>
      </w:r>
    </w:p>
  </w:footnote>
  <w:footnote w:id="5">
    <w:p w14:paraId="5C1C7BC5"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Directorate of National Statistics, Federal Government of Somalia,</w:t>
      </w:r>
      <w:r>
        <w:rPr>
          <w:rFonts w:ascii="Times New Roman" w:eastAsia="Times New Roman" w:hAnsi="Times New Roman" w:cs="Times New Roman"/>
          <w:i/>
          <w:sz w:val="20"/>
          <w:szCs w:val="20"/>
        </w:rPr>
        <w:t xml:space="preserve"> The Somali Health and Demographic Survey 2020, </w:t>
      </w:r>
      <w:r>
        <w:rPr>
          <w:rFonts w:ascii="Times New Roman" w:eastAsia="Times New Roman" w:hAnsi="Times New Roman" w:cs="Times New Roman"/>
          <w:sz w:val="20"/>
          <w:szCs w:val="20"/>
        </w:rPr>
        <w:t>online at:</w:t>
      </w:r>
      <w:r>
        <w:rPr>
          <w:rFonts w:ascii="Times New Roman" w:eastAsia="Times New Roman" w:hAnsi="Times New Roman" w:cs="Times New Roman"/>
          <w:i/>
          <w:sz w:val="20"/>
          <w:szCs w:val="20"/>
        </w:rPr>
        <w:t xml:space="preserve"> </w:t>
      </w:r>
      <w:hyperlink r:id="rId5">
        <w:r>
          <w:rPr>
            <w:rFonts w:ascii="Times New Roman" w:eastAsia="Times New Roman" w:hAnsi="Times New Roman" w:cs="Times New Roman"/>
            <w:color w:val="1155CC"/>
            <w:sz w:val="20"/>
            <w:szCs w:val="20"/>
            <w:u w:val="single"/>
          </w:rPr>
          <w:t>https://somalia.un</w:t>
        </w:r>
        <w:r>
          <w:rPr>
            <w:rFonts w:ascii="Times New Roman" w:eastAsia="Times New Roman" w:hAnsi="Times New Roman" w:cs="Times New Roman"/>
            <w:color w:val="1155CC"/>
            <w:sz w:val="20"/>
            <w:szCs w:val="20"/>
            <w:u w:val="single"/>
          </w:rPr>
          <w:t>fpa.org/sites/default/files/pub-pdf/FINAL%20SHDS%20Report%202020_V7_0.pdf</w:t>
        </w:r>
      </w:hyperlink>
      <w:r>
        <w:rPr>
          <w:rFonts w:ascii="Times New Roman" w:eastAsia="Times New Roman" w:hAnsi="Times New Roman" w:cs="Times New Roman"/>
          <w:sz w:val="20"/>
          <w:szCs w:val="20"/>
        </w:rPr>
        <w:t xml:space="preserve"> </w:t>
      </w:r>
    </w:p>
  </w:footnote>
  <w:footnote w:id="6">
    <w:p w14:paraId="4BC529AE"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at 242</w:t>
      </w:r>
    </w:p>
  </w:footnote>
  <w:footnote w:id="7">
    <w:p w14:paraId="65DCCE60"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UNFPA Somalia, Female Genital Mutilation, online at: </w:t>
      </w:r>
    </w:p>
    <w:p w14:paraId="62E634BB" w14:textId="77777777" w:rsidR="005E1F9D" w:rsidRDefault="001F7350">
      <w:pPr>
        <w:spacing w:line="240" w:lineRule="auto"/>
        <w:rPr>
          <w:rFonts w:ascii="Times New Roman" w:eastAsia="Times New Roman" w:hAnsi="Times New Roman" w:cs="Times New Roman"/>
          <w:sz w:val="20"/>
          <w:szCs w:val="20"/>
        </w:rPr>
      </w:pPr>
      <w:hyperlink r:id="rId6" w:anchor=":~:text=Those%20subjected%20to%20FGM%20are,complications%2C%20haemorrhage%20and%20even%20death">
        <w:r>
          <w:rPr>
            <w:rFonts w:ascii="Times New Roman" w:eastAsia="Times New Roman" w:hAnsi="Times New Roman" w:cs="Times New Roman"/>
            <w:color w:val="1155CC"/>
            <w:sz w:val="20"/>
            <w:szCs w:val="20"/>
            <w:u w:val="single"/>
          </w:rPr>
          <w:t>https://somalia.unfpa.org/en/topics/female-genital-mutilation-5#:~:text=Those%20subjected%20to%20FGM%20are,complications%2C%20haemorrhage%20and%20even%20death</w:t>
        </w:r>
      </w:hyperlink>
      <w:r>
        <w:rPr>
          <w:rFonts w:ascii="Times New Roman" w:eastAsia="Times New Roman" w:hAnsi="Times New Roman" w:cs="Times New Roman"/>
          <w:sz w:val="20"/>
          <w:szCs w:val="20"/>
        </w:rPr>
        <w:t xml:space="preserve">. </w:t>
      </w:r>
    </w:p>
  </w:footnote>
  <w:footnote w:id="8">
    <w:p w14:paraId="3481CD70"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at 247</w:t>
      </w:r>
    </w:p>
  </w:footnote>
  <w:footnote w:id="9">
    <w:p w14:paraId="72B323EA"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note 3</w:t>
      </w:r>
    </w:p>
  </w:footnote>
  <w:footnote w:id="10">
    <w:p w14:paraId="5D75CD3B"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Medicalization of FGM In Kenya, Somalia, Ethiopia And Eritrea, UNICEF</w:t>
      </w:r>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color w:val="1155CC"/>
            <w:sz w:val="20"/>
            <w:szCs w:val="20"/>
            <w:u w:val="single"/>
          </w:rPr>
          <w:t>https://www.unicef.org/esa/media/8866/file/The-Medicalization-of-FGM-2021.pdf</w:t>
        </w:r>
      </w:hyperlink>
      <w:r>
        <w:rPr>
          <w:sz w:val="20"/>
          <w:szCs w:val="20"/>
        </w:rPr>
        <w:t xml:space="preserve"> </w:t>
      </w:r>
      <w:r>
        <w:rPr>
          <w:rFonts w:ascii="Times New Roman" w:eastAsia="Times New Roman" w:hAnsi="Times New Roman" w:cs="Times New Roman"/>
          <w:sz w:val="20"/>
          <w:szCs w:val="20"/>
        </w:rPr>
        <w:t>(Medicalization report)</w:t>
      </w:r>
    </w:p>
  </w:footnote>
  <w:footnote w:id="11">
    <w:p w14:paraId="0B4F28C7"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John Miller, </w:t>
      </w:r>
      <w:r>
        <w:rPr>
          <w:rFonts w:ascii="Times New Roman" w:eastAsia="Times New Roman" w:hAnsi="Times New Roman" w:cs="Times New Roman"/>
          <w:i/>
          <w:sz w:val="20"/>
          <w:szCs w:val="20"/>
        </w:rPr>
        <w:t>Swiss court upholds sentence in genital mutilation case</w:t>
      </w:r>
      <w:r>
        <w:rPr>
          <w:rFonts w:ascii="Times New Roman" w:eastAsia="Times New Roman" w:hAnsi="Times New Roman" w:cs="Times New Roman"/>
          <w:sz w:val="20"/>
          <w:szCs w:val="20"/>
        </w:rPr>
        <w:t xml:space="preserve">, February 22, 2019, </w:t>
      </w:r>
    </w:p>
    <w:p w14:paraId="76DC13AF" w14:textId="77777777" w:rsidR="005E1F9D" w:rsidRDefault="001F7350">
      <w:pPr>
        <w:spacing w:line="240" w:lineRule="auto"/>
        <w:rPr>
          <w:rFonts w:ascii="Times New Roman" w:eastAsia="Times New Roman" w:hAnsi="Times New Roman" w:cs="Times New Roman"/>
          <w:color w:val="1155CC"/>
          <w:sz w:val="20"/>
          <w:szCs w:val="20"/>
        </w:rPr>
      </w:pPr>
      <w:hyperlink r:id="rId8">
        <w:r>
          <w:rPr>
            <w:rFonts w:ascii="Times New Roman" w:eastAsia="Times New Roman" w:hAnsi="Times New Roman" w:cs="Times New Roman"/>
            <w:color w:val="1155CC"/>
            <w:sz w:val="20"/>
            <w:szCs w:val="20"/>
            <w:u w:val="single"/>
          </w:rPr>
          <w:t>https://www.reuters.com/article/us-swiss-fgm-africa-idUSKCN1QB1IU</w:t>
        </w:r>
      </w:hyperlink>
      <w:r>
        <w:rPr>
          <w:rFonts w:ascii="Times New Roman" w:eastAsia="Times New Roman" w:hAnsi="Times New Roman" w:cs="Times New Roman"/>
          <w:color w:val="1155CC"/>
          <w:sz w:val="20"/>
          <w:szCs w:val="20"/>
        </w:rPr>
        <w:t xml:space="preserve"> </w:t>
      </w:r>
    </w:p>
  </w:footnote>
  <w:footnote w:id="12">
    <w:p w14:paraId="73EC2605"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Somalia: The law and the FGM, 28andTooMany, July 2018, online at: </w:t>
      </w:r>
      <w:hyperlink r:id="rId9">
        <w:r>
          <w:rPr>
            <w:rFonts w:ascii="Times New Roman" w:eastAsia="Times New Roman" w:hAnsi="Times New Roman" w:cs="Times New Roman"/>
            <w:color w:val="1155CC"/>
            <w:sz w:val="20"/>
            <w:szCs w:val="20"/>
            <w:u w:val="single"/>
          </w:rPr>
          <w:t>https://www.28toomany.org/media/uploads/Law%20Reports/somalia_law_report_v2_(j</w:t>
        </w:r>
        <w:r>
          <w:rPr>
            <w:rFonts w:ascii="Times New Roman" w:eastAsia="Times New Roman" w:hAnsi="Times New Roman" w:cs="Times New Roman"/>
            <w:color w:val="1155CC"/>
            <w:sz w:val="20"/>
            <w:szCs w:val="20"/>
            <w:u w:val="single"/>
          </w:rPr>
          <w:t>uly_2021).pdf</w:t>
        </w:r>
      </w:hyperlink>
      <w:r>
        <w:rPr>
          <w:rFonts w:ascii="Times New Roman" w:eastAsia="Times New Roman" w:hAnsi="Times New Roman" w:cs="Times New Roman"/>
          <w:sz w:val="20"/>
          <w:szCs w:val="20"/>
        </w:rPr>
        <w:t xml:space="preserve"> (Somalia and Law) at 4; Also see: Medicalization report</w:t>
      </w:r>
    </w:p>
  </w:footnote>
  <w:footnote w:id="13">
    <w:p w14:paraId="457B7AFD" w14:textId="77777777" w:rsidR="005E1F9D" w:rsidRDefault="001F7350">
      <w:pPr>
        <w:spacing w:line="240" w:lineRule="auto"/>
        <w:rPr>
          <w:rFonts w:ascii="Times New Roman" w:eastAsia="Times New Roman" w:hAnsi="Times New Roman" w:cs="Times New Roman"/>
          <w:color w:val="1155CC"/>
          <w:sz w:val="20"/>
          <w:szCs w:val="20"/>
        </w:rPr>
      </w:pPr>
      <w:r>
        <w:rPr>
          <w:vertAlign w:val="superscript"/>
        </w:rPr>
        <w:footnoteRef/>
      </w:r>
      <w:r>
        <w:rPr>
          <w:rFonts w:ascii="Times New Roman" w:eastAsia="Times New Roman" w:hAnsi="Times New Roman" w:cs="Times New Roman"/>
          <w:sz w:val="20"/>
          <w:szCs w:val="20"/>
        </w:rPr>
        <w:t xml:space="preserve"> Concluding observations on the initial report of Somalia, Committee on the Rights of the Child, CRC/C/SOM/CO/1) online at: </w:t>
      </w:r>
      <w:hyperlink r:id="rId10">
        <w:r>
          <w:rPr>
            <w:rFonts w:ascii="Times New Roman" w:eastAsia="Times New Roman" w:hAnsi="Times New Roman" w:cs="Times New Roman"/>
            <w:color w:val="1155CC"/>
            <w:sz w:val="20"/>
            <w:szCs w:val="20"/>
            <w:u w:val="single"/>
          </w:rPr>
          <w:t>https://tbinternet.ohchr.org/_layouts/15/treatybodyexternal/Download.aspx?symbolno=CRC%2FC%2FSOM%2FCO%2F1&amp;Lang=en</w:t>
        </w:r>
      </w:hyperlink>
      <w:r>
        <w:rPr>
          <w:rFonts w:ascii="Times New Roman" w:eastAsia="Times New Roman" w:hAnsi="Times New Roman" w:cs="Times New Roman"/>
          <w:color w:val="1155CC"/>
          <w:sz w:val="20"/>
          <w:szCs w:val="20"/>
        </w:rPr>
        <w:t xml:space="preserve"> </w:t>
      </w:r>
    </w:p>
  </w:footnote>
  <w:footnote w:id="14">
    <w:p w14:paraId="2D2A086A"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on the initial report of Somalia,</w:t>
      </w:r>
      <w:r>
        <w:rPr>
          <w:rFonts w:ascii="Times New Roman" w:eastAsia="Times New Roman" w:hAnsi="Times New Roman" w:cs="Times New Roman"/>
          <w:sz w:val="20"/>
          <w:szCs w:val="20"/>
          <w:highlight w:val="white"/>
        </w:rPr>
        <w:t xml:space="preserve"> Committee against Torture, </w:t>
      </w:r>
      <w:r>
        <w:rPr>
          <w:rFonts w:ascii="Times New Roman" w:eastAsia="Times New Roman" w:hAnsi="Times New Roman" w:cs="Times New Roman"/>
          <w:sz w:val="20"/>
          <w:szCs w:val="20"/>
        </w:rPr>
        <w:t xml:space="preserve"> CAT/C/SOM/CO/1, at para 30, online at:</w:t>
      </w:r>
      <w:hyperlink r:id="rId11">
        <w:r>
          <w:rPr>
            <w:rFonts w:ascii="Times New Roman" w:eastAsia="Times New Roman" w:hAnsi="Times New Roman" w:cs="Times New Roman"/>
            <w:color w:val="1155CC"/>
            <w:sz w:val="20"/>
            <w:szCs w:val="20"/>
            <w:u w:val="single"/>
          </w:rPr>
          <w:t>https://tbinternet.ohchr.org/_layouts/15/treatybodyexternal/Download.aspx?symbolno=CAT%2FC%2FSOM%2FCO%2F1&amp;Lang=en</w:t>
        </w:r>
      </w:hyperlink>
      <w:r>
        <w:rPr>
          <w:rFonts w:ascii="Times New Roman" w:eastAsia="Times New Roman" w:hAnsi="Times New Roman" w:cs="Times New Roman"/>
          <w:sz w:val="20"/>
          <w:szCs w:val="20"/>
        </w:rPr>
        <w:t xml:space="preserve"> </w:t>
      </w:r>
    </w:p>
  </w:footnote>
  <w:footnote w:id="15">
    <w:p w14:paraId="40918F71"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Ratification Status for Somalia, UN Treaty Body Database, online at: </w:t>
      </w:r>
      <w:hyperlink r:id="rId12">
        <w:r>
          <w:rPr>
            <w:rFonts w:ascii="Times New Roman" w:eastAsia="Times New Roman" w:hAnsi="Times New Roman" w:cs="Times New Roman"/>
            <w:color w:val="1155CC"/>
            <w:sz w:val="20"/>
            <w:szCs w:val="20"/>
            <w:u w:val="single"/>
          </w:rPr>
          <w:t>https://tbinternet.ohchr.org/_layouts/15/TreatyBodyExternal/Treaty.aspx?CountryID=161&amp;Lang=EN</w:t>
        </w:r>
      </w:hyperlink>
      <w:r>
        <w:rPr>
          <w:rFonts w:ascii="Times New Roman" w:eastAsia="Times New Roman" w:hAnsi="Times New Roman" w:cs="Times New Roman"/>
          <w:sz w:val="20"/>
          <w:szCs w:val="20"/>
        </w:rPr>
        <w:t xml:space="preserve"> </w:t>
      </w:r>
    </w:p>
  </w:footnote>
  <w:footnote w:id="16">
    <w:p w14:paraId="2B38C016"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note 4</w:t>
      </w:r>
    </w:p>
  </w:footnote>
  <w:footnote w:id="17">
    <w:p w14:paraId="3B2DE442" w14:textId="77777777" w:rsidR="005E1F9D" w:rsidRDefault="001F735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Somalia: The law and the FGM, 28andTooMany, July 2018, online at: </w:t>
      </w:r>
      <w:hyperlink r:id="rId13">
        <w:r>
          <w:rPr>
            <w:rFonts w:ascii="Times New Roman" w:eastAsia="Times New Roman" w:hAnsi="Times New Roman" w:cs="Times New Roman"/>
            <w:color w:val="1155CC"/>
            <w:sz w:val="20"/>
            <w:szCs w:val="20"/>
            <w:u w:val="single"/>
          </w:rPr>
          <w:t>https://www.28toomany.org/media/uploads/Law%20Re</w:t>
        </w:r>
        <w:r>
          <w:rPr>
            <w:rFonts w:ascii="Times New Roman" w:eastAsia="Times New Roman" w:hAnsi="Times New Roman" w:cs="Times New Roman"/>
            <w:color w:val="1155CC"/>
            <w:sz w:val="20"/>
            <w:szCs w:val="20"/>
            <w:u w:val="single"/>
          </w:rPr>
          <w:t>ports/somalia_law_report_v2_(july_2021).pdf</w:t>
        </w:r>
      </w:hyperlink>
      <w:r>
        <w:rPr>
          <w:rFonts w:ascii="Times New Roman" w:eastAsia="Times New Roman" w:hAnsi="Times New Roman" w:cs="Times New Roman"/>
          <w:sz w:val="20"/>
          <w:szCs w:val="20"/>
        </w:rPr>
        <w:t xml:space="preserve"> </w:t>
      </w:r>
    </w:p>
  </w:footnote>
  <w:footnote w:id="18">
    <w:p w14:paraId="6A9A90C4"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Constitution of the Federal Republic of Somalia, online at: </w:t>
      </w:r>
      <w:hyperlink r:id="rId14" w:anchor=":~:text=Article%2015%3A,%2C%20torture%2C%20or%20inhumane%20treatment">
        <w:r>
          <w:rPr>
            <w:rFonts w:ascii="Times New Roman" w:eastAsia="Times New Roman" w:hAnsi="Times New Roman" w:cs="Times New Roman"/>
            <w:color w:val="1155CC"/>
            <w:sz w:val="20"/>
            <w:szCs w:val="20"/>
            <w:u w:val="single"/>
          </w:rPr>
          <w:t>https://evaw-global-database.unwomen.org/fr/countries/africa/somalia/2012/constitution</w:t>
        </w:r>
        <w:r>
          <w:rPr>
            <w:rFonts w:ascii="Times New Roman" w:eastAsia="Times New Roman" w:hAnsi="Times New Roman" w:cs="Times New Roman"/>
            <w:color w:val="1155CC"/>
            <w:sz w:val="20"/>
            <w:szCs w:val="20"/>
            <w:u w:val="single"/>
          </w:rPr>
          <w:t>-2012#:~:text=Article%2015%3A,%2C%20torture%2C%20or%20inhumane%20treatment</w:t>
        </w:r>
      </w:hyperlink>
      <w:r>
        <w:rPr>
          <w:rFonts w:ascii="Times New Roman" w:eastAsia="Times New Roman" w:hAnsi="Times New Roman" w:cs="Times New Roman"/>
          <w:sz w:val="20"/>
          <w:szCs w:val="20"/>
        </w:rPr>
        <w:t xml:space="preserve"> </w:t>
      </w:r>
    </w:p>
  </w:footnote>
  <w:footnote w:id="19">
    <w:p w14:paraId="46B09268"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Penal Code Legislative Decree No. 5 OF 16 December 1962, online at: </w:t>
      </w:r>
      <w:hyperlink r:id="rId15">
        <w:r>
          <w:rPr>
            <w:rFonts w:ascii="Times New Roman" w:eastAsia="Times New Roman" w:hAnsi="Times New Roman" w:cs="Times New Roman"/>
            <w:color w:val="1155CC"/>
            <w:sz w:val="20"/>
            <w:szCs w:val="20"/>
            <w:u w:val="single"/>
          </w:rPr>
          <w:t>http://www.somalilandlaw.com/Penal_Code</w:t>
        </w:r>
        <w:r>
          <w:rPr>
            <w:rFonts w:ascii="Times New Roman" w:eastAsia="Times New Roman" w:hAnsi="Times New Roman" w:cs="Times New Roman"/>
            <w:color w:val="1155CC"/>
            <w:sz w:val="20"/>
            <w:szCs w:val="20"/>
            <w:u w:val="single"/>
          </w:rPr>
          <w:t>_English.pdf</w:t>
        </w:r>
      </w:hyperlink>
      <w:r>
        <w:rPr>
          <w:rFonts w:ascii="Times New Roman" w:eastAsia="Times New Roman" w:hAnsi="Times New Roman" w:cs="Times New Roman"/>
          <w:sz w:val="20"/>
          <w:szCs w:val="20"/>
        </w:rPr>
        <w:t xml:space="preserve"> </w:t>
      </w:r>
    </w:p>
  </w:footnote>
  <w:footnote w:id="20">
    <w:p w14:paraId="7EED8C80"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note 6 at 4, UNICEF Somalia Case Study</w:t>
      </w:r>
    </w:p>
  </w:footnote>
  <w:footnote w:id="21">
    <w:p w14:paraId="7A33F9D7"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Supra note 14, Somalia and the Law </w:t>
      </w:r>
    </w:p>
  </w:footnote>
  <w:footnote w:id="22">
    <w:p w14:paraId="3704AA50"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6">
        <w:r>
          <w:rPr>
            <w:rFonts w:ascii="Times New Roman" w:eastAsia="Times New Roman" w:hAnsi="Times New Roman" w:cs="Times New Roman"/>
            <w:sz w:val="20"/>
            <w:szCs w:val="20"/>
          </w:rPr>
          <w:t>Emma Batha</w:t>
        </w:r>
      </w:hyperlink>
      <w:r>
        <w:rPr>
          <w:rFonts w:ascii="Times New Roman" w:eastAsia="Times New Roman" w:hAnsi="Times New Roman" w:cs="Times New Roman"/>
          <w:sz w:val="20"/>
          <w:szCs w:val="20"/>
        </w:rPr>
        <w:t xml:space="preserve">, Thomson Reuters Foundation, </w:t>
      </w:r>
      <w:r>
        <w:rPr>
          <w:rFonts w:ascii="Times New Roman" w:eastAsia="Times New Roman" w:hAnsi="Times New Roman" w:cs="Times New Roman"/>
          <w:i/>
          <w:sz w:val="20"/>
          <w:szCs w:val="20"/>
        </w:rPr>
        <w:t>Somalia's first FGM prosecution 'hampered' by victim's parents</w:t>
      </w:r>
      <w:r>
        <w:rPr>
          <w:rFonts w:ascii="Times New Roman" w:eastAsia="Times New Roman" w:hAnsi="Times New Roman" w:cs="Times New Roman"/>
          <w:sz w:val="20"/>
          <w:szCs w:val="20"/>
        </w:rPr>
        <w:t>, August 23, 2018, online at:</w:t>
      </w:r>
      <w:r>
        <w:rPr>
          <w:rFonts w:ascii="Times New Roman" w:eastAsia="Times New Roman" w:hAnsi="Times New Roman" w:cs="Times New Roman"/>
          <w:color w:val="1155CC"/>
          <w:sz w:val="20"/>
          <w:szCs w:val="20"/>
        </w:rPr>
        <w:t xml:space="preserve"> </w:t>
      </w:r>
      <w:hyperlink r:id="rId17">
        <w:r>
          <w:rPr>
            <w:rFonts w:ascii="Times New Roman" w:eastAsia="Times New Roman" w:hAnsi="Times New Roman" w:cs="Times New Roman"/>
            <w:color w:val="1155CC"/>
            <w:sz w:val="20"/>
            <w:szCs w:val="20"/>
            <w:u w:val="single"/>
          </w:rPr>
          <w:t>https://www.reuters.com/article/us-somalia-fgm-prosecution-idUSKCN1L824R</w:t>
        </w:r>
      </w:hyperlink>
      <w:r>
        <w:rPr>
          <w:rFonts w:ascii="Times New Roman" w:eastAsia="Times New Roman" w:hAnsi="Times New Roman" w:cs="Times New Roman"/>
          <w:sz w:val="20"/>
          <w:szCs w:val="20"/>
        </w:rPr>
        <w:t xml:space="preserve"> </w:t>
      </w:r>
    </w:p>
  </w:footnote>
  <w:footnote w:id="23">
    <w:p w14:paraId="4906869E"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CNN, Bukola Adebayo, </w:t>
      </w:r>
      <w:r>
        <w:rPr>
          <w:rFonts w:ascii="Times New Roman" w:eastAsia="Times New Roman" w:hAnsi="Times New Roman" w:cs="Times New Roman"/>
          <w:i/>
          <w:sz w:val="20"/>
          <w:szCs w:val="20"/>
        </w:rPr>
        <w:t>Two sisters die after undergoing FGM in Somalia, campaigner says</w:t>
      </w:r>
      <w:r>
        <w:rPr>
          <w:rFonts w:ascii="Times New Roman" w:eastAsia="Times New Roman" w:hAnsi="Times New Roman" w:cs="Times New Roman"/>
          <w:sz w:val="20"/>
          <w:szCs w:val="20"/>
        </w:rPr>
        <w:t>, September 1</w:t>
      </w:r>
      <w:r>
        <w:rPr>
          <w:rFonts w:ascii="Times New Roman" w:eastAsia="Times New Roman" w:hAnsi="Times New Roman" w:cs="Times New Roman"/>
          <w:sz w:val="20"/>
          <w:szCs w:val="20"/>
        </w:rPr>
        <w:t xml:space="preserve">4, 2018, online at: </w:t>
      </w:r>
      <w:hyperlink r:id="rId18">
        <w:r>
          <w:rPr>
            <w:rFonts w:ascii="Times New Roman" w:eastAsia="Times New Roman" w:hAnsi="Times New Roman" w:cs="Times New Roman"/>
            <w:color w:val="1155CC"/>
            <w:sz w:val="20"/>
            <w:szCs w:val="20"/>
            <w:u w:val="single"/>
          </w:rPr>
          <w:t>https://www.cnn.com/2018/09/13/africa/somali-fgm-victims-intl/index.html</w:t>
        </w:r>
      </w:hyperlink>
    </w:p>
  </w:footnote>
  <w:footnote w:id="24">
    <w:p w14:paraId="1A674726" w14:textId="77777777" w:rsidR="005E1F9D" w:rsidRDefault="001F735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The Guardian, </w:t>
      </w:r>
      <w:r>
        <w:rPr>
          <w:rFonts w:ascii="Times New Roman" w:eastAsia="Times New Roman" w:hAnsi="Times New Roman" w:cs="Times New Roman"/>
          <w:i/>
          <w:sz w:val="20"/>
          <w:szCs w:val="20"/>
        </w:rPr>
        <w:t>Death of 13-year-old girl sparks calls for action on FG</w:t>
      </w:r>
      <w:r>
        <w:rPr>
          <w:rFonts w:ascii="Times New Roman" w:eastAsia="Times New Roman" w:hAnsi="Times New Roman" w:cs="Times New Roman"/>
          <w:i/>
          <w:sz w:val="20"/>
          <w:szCs w:val="20"/>
        </w:rPr>
        <w:t>M in Somalia</w:t>
      </w:r>
      <w:r>
        <w:rPr>
          <w:rFonts w:ascii="Times New Roman" w:eastAsia="Times New Roman" w:hAnsi="Times New Roman" w:cs="Times New Roman"/>
          <w:sz w:val="20"/>
          <w:szCs w:val="20"/>
        </w:rPr>
        <w:t xml:space="preserve">, July 21, 2021, online at: </w:t>
      </w:r>
      <w:hyperlink r:id="rId19">
        <w:r>
          <w:rPr>
            <w:rFonts w:ascii="Times New Roman" w:eastAsia="Times New Roman" w:hAnsi="Times New Roman" w:cs="Times New Roman"/>
            <w:color w:val="1155CC"/>
            <w:sz w:val="20"/>
            <w:szCs w:val="20"/>
            <w:u w:val="single"/>
          </w:rPr>
          <w:t>https://www.theguardian.com/global-development/2021/jul/21/death-of-13</w:t>
        </w:r>
        <w:r>
          <w:rPr>
            <w:rFonts w:ascii="Times New Roman" w:eastAsia="Times New Roman" w:hAnsi="Times New Roman" w:cs="Times New Roman"/>
            <w:color w:val="1155CC"/>
            <w:sz w:val="20"/>
            <w:szCs w:val="20"/>
            <w:u w:val="single"/>
          </w:rPr>
          <w:t>-year-old-girl-sparks-calls-for-action-on-fgm-in-somalia</w:t>
        </w:r>
      </w:hyperlink>
      <w:r>
        <w:rPr>
          <w:rFonts w:ascii="Times New Roman" w:eastAsia="Times New Roman" w:hAnsi="Times New Roman" w:cs="Times New Roman"/>
          <w:sz w:val="20"/>
          <w:szCs w:val="20"/>
        </w:rPr>
        <w:t xml:space="preserve"> </w:t>
      </w:r>
    </w:p>
  </w:footnote>
  <w:footnote w:id="25">
    <w:p w14:paraId="072137ED"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Ifrah Foundation, </w:t>
      </w:r>
      <w:r>
        <w:rPr>
          <w:rFonts w:ascii="Times New Roman" w:eastAsia="Times New Roman" w:hAnsi="Times New Roman" w:cs="Times New Roman"/>
          <w:i/>
          <w:sz w:val="20"/>
          <w:szCs w:val="20"/>
        </w:rPr>
        <w:t>Dear Daughter Campaign</w:t>
      </w:r>
      <w:r>
        <w:rPr>
          <w:rFonts w:ascii="Times New Roman" w:eastAsia="Times New Roman" w:hAnsi="Times New Roman" w:cs="Times New Roman"/>
          <w:sz w:val="20"/>
          <w:szCs w:val="20"/>
        </w:rPr>
        <w:t xml:space="preserve">, online at: </w:t>
      </w:r>
      <w:hyperlink r:id="rId20">
        <w:r>
          <w:rPr>
            <w:rFonts w:ascii="Times New Roman" w:eastAsia="Times New Roman" w:hAnsi="Times New Roman" w:cs="Times New Roman"/>
            <w:color w:val="1155CC"/>
            <w:sz w:val="20"/>
            <w:szCs w:val="20"/>
            <w:u w:val="single"/>
          </w:rPr>
          <w:t>https://www.ifrahfoundation.org/copy-of-model-of-systemic-change</w:t>
        </w:r>
      </w:hyperlink>
      <w:r>
        <w:rPr>
          <w:rFonts w:ascii="Times New Roman" w:eastAsia="Times New Roman" w:hAnsi="Times New Roman" w:cs="Times New Roman"/>
          <w:sz w:val="20"/>
          <w:szCs w:val="20"/>
        </w:rPr>
        <w:t xml:space="preserve">; Also see: UNFPA and Ifrah Foundation, Dear Daughter Campaign, online at: </w:t>
      </w:r>
      <w:hyperlink r:id="rId21">
        <w:r>
          <w:rPr>
            <w:rFonts w:ascii="Times New Roman" w:eastAsia="Times New Roman" w:hAnsi="Times New Roman" w:cs="Times New Roman"/>
            <w:color w:val="1155CC"/>
            <w:sz w:val="20"/>
            <w:szCs w:val="20"/>
            <w:u w:val="single"/>
          </w:rPr>
          <w:t>https://deardaughter.unfpa.org/</w:t>
        </w:r>
      </w:hyperlink>
      <w:r>
        <w:rPr>
          <w:rFonts w:ascii="Times New Roman" w:eastAsia="Times New Roman" w:hAnsi="Times New Roman" w:cs="Times New Roman"/>
          <w:sz w:val="20"/>
          <w:szCs w:val="20"/>
        </w:rPr>
        <w:t xml:space="preserve"> </w:t>
      </w:r>
    </w:p>
  </w:footnote>
  <w:footnote w:id="26">
    <w:p w14:paraId="206B3EA4" w14:textId="77777777" w:rsidR="005E1F9D" w:rsidRDefault="001F735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General Comment No. 28 Article 3, </w:t>
      </w:r>
      <w:r>
        <w:rPr>
          <w:rFonts w:ascii="Times New Roman" w:eastAsia="Times New Roman" w:hAnsi="Times New Roman" w:cs="Times New Roman"/>
          <w:i/>
          <w:sz w:val="20"/>
          <w:szCs w:val="20"/>
        </w:rPr>
        <w:t>The equality of rights between men and women</w:t>
      </w:r>
      <w:r>
        <w:rPr>
          <w:rFonts w:ascii="Times New Roman" w:eastAsia="Times New Roman" w:hAnsi="Times New Roman" w:cs="Times New Roman"/>
          <w:sz w:val="20"/>
          <w:szCs w:val="20"/>
        </w:rPr>
        <w:t xml:space="preserve">, HRI/GEN/1/Rev.9, online at: </w:t>
      </w:r>
      <w:hyperlink r:id="rId22">
        <w:r>
          <w:rPr>
            <w:rFonts w:ascii="Times New Roman" w:eastAsia="Times New Roman" w:hAnsi="Times New Roman" w:cs="Times New Roman"/>
            <w:color w:val="1155CC"/>
            <w:sz w:val="20"/>
            <w:szCs w:val="20"/>
            <w:u w:val="single"/>
          </w:rPr>
          <w:t>https://tbinternet.ohchr.org/_layouts/15/treatybodyexternal/Download.aspx?symbolno=CCPR%2FC%2F21%2FRev.1%2FAdd.10&amp;Lan</w:t>
        </w:r>
        <w:r>
          <w:rPr>
            <w:rFonts w:ascii="Times New Roman" w:eastAsia="Times New Roman" w:hAnsi="Times New Roman" w:cs="Times New Roman"/>
            <w:color w:val="1155CC"/>
            <w:sz w:val="20"/>
            <w:szCs w:val="20"/>
            <w:u w:val="single"/>
          </w:rPr>
          <w:t>g=en</w:t>
        </w:r>
      </w:hyperlink>
      <w:r>
        <w:rPr>
          <w:rFonts w:ascii="Times New Roman" w:eastAsia="Times New Roman" w:hAnsi="Times New Roman" w:cs="Times New Roman"/>
          <w:sz w:val="20"/>
          <w:szCs w:val="20"/>
        </w:rPr>
        <w:t xml:space="preserve"> </w:t>
      </w:r>
    </w:p>
  </w:footnote>
  <w:footnote w:id="27">
    <w:p w14:paraId="4D4ECE41" w14:textId="77777777" w:rsidR="005E1F9D" w:rsidRDefault="001F735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International Alert, ‘The complexity of sexual and gender-based violence- Insights from Mogadishu and </w:t>
      </w:r>
      <w:proofErr w:type="gramStart"/>
      <w:r>
        <w:rPr>
          <w:rFonts w:ascii="Times New Roman" w:eastAsia="Times New Roman" w:hAnsi="Times New Roman" w:cs="Times New Roman"/>
          <w:sz w:val="18"/>
          <w:szCs w:val="18"/>
        </w:rPr>
        <w:t>South Central</w:t>
      </w:r>
      <w:proofErr w:type="gramEnd"/>
      <w:r>
        <w:rPr>
          <w:rFonts w:ascii="Times New Roman" w:eastAsia="Times New Roman" w:hAnsi="Times New Roman" w:cs="Times New Roman"/>
          <w:sz w:val="18"/>
          <w:szCs w:val="18"/>
        </w:rPr>
        <w:t xml:space="preserve"> Somalia,’ p. 22. </w:t>
      </w:r>
    </w:p>
  </w:footnote>
  <w:footnote w:id="28">
    <w:p w14:paraId="634B61B0" w14:textId="77777777" w:rsidR="005E1F9D" w:rsidRDefault="001F735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 </w:t>
      </w:r>
      <w:proofErr w:type="spellStart"/>
      <w:r>
        <w:rPr>
          <w:rFonts w:ascii="Times New Roman" w:eastAsia="Times New Roman" w:hAnsi="Times New Roman" w:cs="Times New Roman"/>
          <w:sz w:val="18"/>
          <w:szCs w:val="18"/>
        </w:rPr>
        <w:t>Sonalia</w:t>
      </w:r>
      <w:proofErr w:type="spellEnd"/>
      <w:r>
        <w:rPr>
          <w:rFonts w:ascii="Times New Roman" w:eastAsia="Times New Roman" w:hAnsi="Times New Roman" w:cs="Times New Roman"/>
          <w:sz w:val="18"/>
          <w:szCs w:val="18"/>
        </w:rPr>
        <w:t xml:space="preserve"> (2021) Universal Periodic Review, [Second Cycle], </w:t>
      </w:r>
      <w:hyperlink r:id="rId23">
        <w:r>
          <w:rPr>
            <w:rFonts w:ascii="Times New Roman" w:eastAsia="Times New Roman" w:hAnsi="Times New Roman" w:cs="Times New Roman"/>
            <w:color w:val="1155CC"/>
            <w:sz w:val="18"/>
            <w:szCs w:val="18"/>
            <w:u w:val="single"/>
          </w:rPr>
          <w:t>https://uprdoc.ohchr.org/uprweb/downloadfile.aspx?filename=8623&amp;file=EnglishTranslation</w:t>
        </w:r>
      </w:hyperlink>
      <w:r>
        <w:rPr>
          <w:rFonts w:ascii="Times New Roman" w:eastAsia="Times New Roman" w:hAnsi="Times New Roman" w:cs="Times New Roman"/>
          <w:sz w:val="18"/>
          <w:szCs w:val="18"/>
        </w:rPr>
        <w:t xml:space="preserve">. </w:t>
      </w:r>
    </w:p>
  </w:footnote>
  <w:footnote w:id="29">
    <w:p w14:paraId="5DEF811D" w14:textId="77777777" w:rsidR="005E1F9D" w:rsidRDefault="001F735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See </w:t>
      </w:r>
      <w:hyperlink r:id="rId24">
        <w:r>
          <w:rPr>
            <w:rFonts w:ascii="Times New Roman" w:eastAsia="Times New Roman" w:hAnsi="Times New Roman" w:cs="Times New Roman"/>
            <w:color w:val="1155CC"/>
            <w:sz w:val="18"/>
            <w:szCs w:val="18"/>
            <w:u w:val="single"/>
          </w:rPr>
          <w:t>https://plan-international.org/news/2020-08-13-concern-bill</w:t>
        </w:r>
        <w:r>
          <w:rPr>
            <w:rFonts w:ascii="Times New Roman" w:eastAsia="Times New Roman" w:hAnsi="Times New Roman" w:cs="Times New Roman"/>
            <w:color w:val="1155CC"/>
            <w:sz w:val="18"/>
            <w:szCs w:val="18"/>
            <w:u w:val="single"/>
          </w:rPr>
          <w:t>-normalises-violence-against-girls-women-somalia</w:t>
        </w:r>
      </w:hyperlink>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Sonalia</w:t>
      </w:r>
      <w:proofErr w:type="spellEnd"/>
      <w:r>
        <w:rPr>
          <w:rFonts w:ascii="Times New Roman" w:eastAsia="Times New Roman" w:hAnsi="Times New Roman" w:cs="Times New Roman"/>
          <w:sz w:val="18"/>
          <w:szCs w:val="18"/>
        </w:rPr>
        <w:t xml:space="preserve"> (2021) Universal Periodic Review, [Second Cycle], </w:t>
      </w:r>
      <w:hyperlink r:id="rId25">
        <w:r>
          <w:rPr>
            <w:rFonts w:ascii="Times New Roman" w:eastAsia="Times New Roman" w:hAnsi="Times New Roman" w:cs="Times New Roman"/>
            <w:color w:val="1155CC"/>
            <w:sz w:val="18"/>
            <w:szCs w:val="18"/>
            <w:u w:val="single"/>
          </w:rPr>
          <w:t>https://uprdoc.ohchr.org/uprweb/downloadf</w:t>
        </w:r>
        <w:r>
          <w:rPr>
            <w:rFonts w:ascii="Times New Roman" w:eastAsia="Times New Roman" w:hAnsi="Times New Roman" w:cs="Times New Roman"/>
            <w:color w:val="1155CC"/>
            <w:sz w:val="18"/>
            <w:szCs w:val="18"/>
            <w:u w:val="single"/>
          </w:rPr>
          <w:t>ile.aspx?filename=8623&amp;file=EnglishTranslation</w:t>
        </w:r>
      </w:hyperlink>
      <w:r>
        <w:rPr>
          <w:rFonts w:ascii="Times New Roman" w:eastAsia="Times New Roman" w:hAnsi="Times New Roman" w:cs="Times New Roman"/>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0E585" w14:textId="77777777" w:rsidR="005E1F9D" w:rsidRDefault="001F7350">
    <w:pPr>
      <w:jc w:val="right"/>
    </w:pPr>
    <w:r>
      <w:fldChar w:fldCharType="begin"/>
    </w:r>
    <w:r>
      <w:instrText>PAGE</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F1062" w14:textId="77777777" w:rsidR="005E1F9D" w:rsidRDefault="001F7350">
    <w:pPr>
      <w:jc w:val="right"/>
    </w:pPr>
    <w:r>
      <w:fldChar w:fldCharType="begin"/>
    </w:r>
    <w:r>
      <w:instrText>PAGE</w:instrText>
    </w:r>
    <w:r>
      <w:fldChar w:fldCharType="separate"/>
    </w:r>
    <w:r>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A276D1"/>
    <w:multiLevelType w:val="multilevel"/>
    <w:tmpl w:val="F168AA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CA551C3"/>
    <w:multiLevelType w:val="multilevel"/>
    <w:tmpl w:val="DBBE93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F9D"/>
    <w:rsid w:val="001F7350"/>
    <w:rsid w:val="005E1F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E4178"/>
  <w15:docId w15:val="{4C05B5C0-C2D6-4DB1-8CAF-E60A6A516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malia.unfpa.org/en/resources/overview-gender-based-violence-somalia-advocacy-brief-202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hchr-ccpr@un.org" TargetMode="External"/><Relationship Id="rId4" Type="http://schemas.openxmlformats.org/officeDocument/2006/relationships/webSettings" Target="webSettings.xml"/><Relationship Id="rId9" Type="http://schemas.openxmlformats.org/officeDocument/2006/relationships/hyperlink" Target="mailto:ccpr@ohchr.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reuters.com/article/us-swiss-fgm-africa-idUSKCN1QB1IU" TargetMode="External"/><Relationship Id="rId13" Type="http://schemas.openxmlformats.org/officeDocument/2006/relationships/hyperlink" Target="https://www.28toomany.org/media/uploads/Law%20Reports/somalia_law_report_v2_(july_2021).pdf" TargetMode="External"/><Relationship Id="rId18" Type="http://schemas.openxmlformats.org/officeDocument/2006/relationships/hyperlink" Target="https://www.cnn.com/2018/09/13/africa/somali-fgm-victims-intl/index.html" TargetMode="External"/><Relationship Id="rId3" Type="http://schemas.openxmlformats.org/officeDocument/2006/relationships/hyperlink" Target="https://treaties.un.org/Pages/ViewDetails.aspx?chapter=4&amp;clang=_en&amp;mtdsg_no=IV-4&amp;src=IND" TargetMode="External"/><Relationship Id="rId21" Type="http://schemas.openxmlformats.org/officeDocument/2006/relationships/hyperlink" Target="https://deardaughter.unfpa.org/" TargetMode="External"/><Relationship Id="rId7" Type="http://schemas.openxmlformats.org/officeDocument/2006/relationships/hyperlink" Target="https://www.unicef.org/esa/media/8866/file/The-Medicalization-of-FGM-2021.pdf" TargetMode="External"/><Relationship Id="rId12" Type="http://schemas.openxmlformats.org/officeDocument/2006/relationships/hyperlink" Target="https://tbinternet.ohchr.org/_layouts/15/TreatyBodyExternal/Treaty.aspx?CountryID=161&amp;Lang=EN" TargetMode="External"/><Relationship Id="rId17" Type="http://schemas.openxmlformats.org/officeDocument/2006/relationships/hyperlink" Target="https://www.reuters.com/article/us-somalia-fgm-prosecution-idUSKCN1L824R" TargetMode="External"/><Relationship Id="rId25" Type="http://schemas.openxmlformats.org/officeDocument/2006/relationships/hyperlink" Target="https://uprdoc.ohchr.org/uprweb/downloadfile.aspx?filename=8623&amp;file=EnglishTranslation" TargetMode="External"/><Relationship Id="rId2" Type="http://schemas.openxmlformats.org/officeDocument/2006/relationships/hyperlink" Target="https://www.ifrahfoundation.org/" TargetMode="External"/><Relationship Id="rId16" Type="http://schemas.openxmlformats.org/officeDocument/2006/relationships/hyperlink" Target="https://www.reuters.com/journalists/emma-batha" TargetMode="External"/><Relationship Id="rId20" Type="http://schemas.openxmlformats.org/officeDocument/2006/relationships/hyperlink" Target="https://www.ifrahfoundation.org/copy-of-model-of-systemic-change" TargetMode="External"/><Relationship Id="rId1" Type="http://schemas.openxmlformats.org/officeDocument/2006/relationships/hyperlink" Target="https://www.equalitynow.org/" TargetMode="External"/><Relationship Id="rId6" Type="http://schemas.openxmlformats.org/officeDocument/2006/relationships/hyperlink" Target="https://somalia.unfpa.org/en/topics/female-genital-mutilation-5" TargetMode="External"/><Relationship Id="rId11" Type="http://schemas.openxmlformats.org/officeDocument/2006/relationships/hyperlink" Target="https://tbinternet.ohchr.org/_layouts/15/treatybodyexternal/Download.aspx?symbolno=CAT%2FC%2FSOM%2FCO%2F1&amp;Lang=en" TargetMode="External"/><Relationship Id="rId24" Type="http://schemas.openxmlformats.org/officeDocument/2006/relationships/hyperlink" Target="https://plan-international.org/news/2020-08-13-concern-bill-normalises-violence-against-girls-women-somalia" TargetMode="External"/><Relationship Id="rId5" Type="http://schemas.openxmlformats.org/officeDocument/2006/relationships/hyperlink" Target="https://somalia.unfpa.org/sites/default/files/pub-pdf/FINAL%20SHDS%20Report%202020_V7_0.pdf" TargetMode="External"/><Relationship Id="rId15" Type="http://schemas.openxmlformats.org/officeDocument/2006/relationships/hyperlink" Target="http://www.somalilandlaw.com/Penal_Code_English.pdf" TargetMode="External"/><Relationship Id="rId23" Type="http://schemas.openxmlformats.org/officeDocument/2006/relationships/hyperlink" Target="https://uprdoc.ohchr.org/uprweb/downloadfile.aspx?filename=8623&amp;file=EnglishTranslation" TargetMode="External"/><Relationship Id="rId10" Type="http://schemas.openxmlformats.org/officeDocument/2006/relationships/hyperlink" Target="https://tbinternet.ohchr.org/_layouts/15/treatybodyexternal/Download.aspx?symbolno=CRC%2FC%2FSOM%2FCO%2F1&amp;Lang=en" TargetMode="External"/><Relationship Id="rId19" Type="http://schemas.openxmlformats.org/officeDocument/2006/relationships/hyperlink" Target="https://www.theguardian.com/global-development/2021/jul/21/death-of-13-year-old-girl-sparks-calls-for-action-on-fgm-in-somalia" TargetMode="External"/><Relationship Id="rId4" Type="http://schemas.openxmlformats.org/officeDocument/2006/relationships/hyperlink" Target="https://www.unicef.org/esa/media/8936/file/Somalia-Case-Study-FGM-2021.pdf" TargetMode="External"/><Relationship Id="rId9" Type="http://schemas.openxmlformats.org/officeDocument/2006/relationships/hyperlink" Target="https://www.28toomany.org/media/uploads/Law%20Reports/somalia_law_report_v2_(july_2021).pdf" TargetMode="External"/><Relationship Id="rId14" Type="http://schemas.openxmlformats.org/officeDocument/2006/relationships/hyperlink" Target="https://evaw-global-database.unwomen.org/fr/countries/africa/somalia/2012/constitution-2012" TargetMode="External"/><Relationship Id="rId22" Type="http://schemas.openxmlformats.org/officeDocument/2006/relationships/hyperlink" Target="https://tbinternet.ohchr.org/_layouts/15/treatybodyexternal/Download.aspx?symbolno=CCPR%2FC%2F21%2FRev.1%2FAdd.10&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2922</Words>
  <Characters>16657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Shivangi M</dc:creator>
  <cp:lastModifiedBy>Shivangi M</cp:lastModifiedBy>
  <cp:revision>2</cp:revision>
  <dcterms:created xsi:type="dcterms:W3CDTF">2024-02-05T15:06:00Z</dcterms:created>
  <dcterms:modified xsi:type="dcterms:W3CDTF">2024-02-05T15:06:00Z</dcterms:modified>
</cp:coreProperties>
</file>