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BD32C" w14:textId="77777777" w:rsidR="000E1BBC" w:rsidRDefault="00000000">
      <w:pPr>
        <w:ind w:firstLine="720"/>
        <w:rPr>
          <w:rFonts w:ascii="Nunito" w:eastAsia="Nunito" w:hAnsi="Nunito" w:cs="Nunito"/>
          <w:b/>
          <w:sz w:val="27"/>
          <w:szCs w:val="27"/>
        </w:rPr>
      </w:pPr>
      <w:r>
        <w:rPr>
          <w:rFonts w:ascii="Nunito" w:eastAsia="Nunito" w:hAnsi="Nunito" w:cs="Nunito"/>
          <w:b/>
          <w:sz w:val="27"/>
          <w:szCs w:val="27"/>
        </w:rPr>
        <w:t xml:space="preserve">                               INFORME ALTERNATIVO </w:t>
      </w:r>
    </w:p>
    <w:p w14:paraId="20710B30" w14:textId="77777777" w:rsidR="000E1BBC" w:rsidRDefault="000E1BBC">
      <w:pPr>
        <w:jc w:val="center"/>
        <w:rPr>
          <w:rFonts w:ascii="Nunito" w:eastAsia="Nunito" w:hAnsi="Nunito" w:cs="Nunito"/>
          <w:b/>
          <w:sz w:val="27"/>
          <w:szCs w:val="27"/>
        </w:rPr>
      </w:pPr>
    </w:p>
    <w:p w14:paraId="2BC6FFDD" w14:textId="77777777" w:rsidR="000E1BBC" w:rsidRDefault="00000000">
      <w:pPr>
        <w:jc w:val="center"/>
        <w:rPr>
          <w:rFonts w:ascii="Nunito" w:eastAsia="Nunito" w:hAnsi="Nunito" w:cs="Nunito"/>
          <w:b/>
          <w:sz w:val="27"/>
          <w:szCs w:val="27"/>
        </w:rPr>
      </w:pPr>
      <w:r>
        <w:rPr>
          <w:rFonts w:ascii="Nunito" w:eastAsia="Nunito" w:hAnsi="Nunito" w:cs="Nunito"/>
          <w:b/>
          <w:sz w:val="27"/>
          <w:szCs w:val="27"/>
        </w:rPr>
        <w:t xml:space="preserve">Comité para la Eliminación de la Discriminación Racial </w:t>
      </w:r>
    </w:p>
    <w:p w14:paraId="0C528972" w14:textId="77777777" w:rsidR="000E1BBC" w:rsidRDefault="000E1BBC">
      <w:pPr>
        <w:jc w:val="center"/>
        <w:rPr>
          <w:rFonts w:ascii="Nunito" w:eastAsia="Nunito" w:hAnsi="Nunito" w:cs="Nunito"/>
          <w:b/>
          <w:sz w:val="27"/>
          <w:szCs w:val="27"/>
        </w:rPr>
      </w:pPr>
    </w:p>
    <w:p w14:paraId="556F8AD1" w14:textId="77777777" w:rsidR="000E1BBC" w:rsidRDefault="00000000">
      <w:pPr>
        <w:jc w:val="center"/>
        <w:rPr>
          <w:rFonts w:ascii="Nunito" w:eastAsia="Nunito" w:hAnsi="Nunito" w:cs="Nunito"/>
          <w:sz w:val="27"/>
          <w:szCs w:val="27"/>
        </w:rPr>
      </w:pPr>
      <w:r>
        <w:rPr>
          <w:rFonts w:ascii="Nunito" w:eastAsia="Nunito" w:hAnsi="Nunito" w:cs="Nunito"/>
          <w:sz w:val="27"/>
          <w:szCs w:val="27"/>
        </w:rPr>
        <w:t>En el marco del examen de la República de Guatemala sobre el cumplimiento de la Convención Internacional sobre la Eliminación de todas las Formas de Discriminación Racial</w:t>
      </w:r>
    </w:p>
    <w:p w14:paraId="332D5ACE" w14:textId="77777777" w:rsidR="000E1BBC" w:rsidRDefault="000E1BBC">
      <w:pPr>
        <w:jc w:val="center"/>
        <w:rPr>
          <w:rFonts w:ascii="Nunito" w:eastAsia="Nunito" w:hAnsi="Nunito" w:cs="Nunito"/>
          <w:sz w:val="27"/>
          <w:szCs w:val="27"/>
        </w:rPr>
      </w:pPr>
    </w:p>
    <w:p w14:paraId="6E01535F" w14:textId="77777777" w:rsidR="000E1BBC" w:rsidRDefault="000E1BBC">
      <w:pPr>
        <w:jc w:val="center"/>
        <w:rPr>
          <w:rFonts w:ascii="Nunito" w:eastAsia="Nunito" w:hAnsi="Nunito" w:cs="Nunito"/>
          <w:sz w:val="27"/>
          <w:szCs w:val="27"/>
        </w:rPr>
      </w:pPr>
    </w:p>
    <w:p w14:paraId="43E848BD" w14:textId="77777777" w:rsidR="000E1BBC" w:rsidRDefault="00000000">
      <w:pPr>
        <w:jc w:val="center"/>
        <w:rPr>
          <w:rFonts w:ascii="Nunito" w:eastAsia="Nunito" w:hAnsi="Nunito" w:cs="Nunito"/>
          <w:b/>
          <w:sz w:val="27"/>
          <w:szCs w:val="27"/>
        </w:rPr>
      </w:pPr>
      <w:r>
        <w:rPr>
          <w:rFonts w:ascii="Nunito" w:eastAsia="Nunito" w:hAnsi="Nunito" w:cs="Nunito"/>
          <w:b/>
          <w:sz w:val="27"/>
          <w:szCs w:val="27"/>
        </w:rPr>
        <w:t>116° Período de Sesiones</w:t>
      </w:r>
    </w:p>
    <w:p w14:paraId="413B63C9" w14:textId="77777777" w:rsidR="000E1BBC" w:rsidRDefault="00000000">
      <w:pPr>
        <w:jc w:val="center"/>
        <w:rPr>
          <w:rFonts w:ascii="Nunito" w:eastAsia="Nunito" w:hAnsi="Nunito" w:cs="Nunito"/>
          <w:b/>
          <w:sz w:val="27"/>
          <w:szCs w:val="27"/>
        </w:rPr>
      </w:pPr>
      <w:r>
        <w:rPr>
          <w:noProof/>
        </w:rPr>
        <w:drawing>
          <wp:anchor distT="114300" distB="114300" distL="114300" distR="114300" simplePos="0" relativeHeight="251658240" behindDoc="1" locked="0" layoutInCell="1" hidden="0" allowOverlap="1" wp14:anchorId="38A3FEF5" wp14:editId="0678DD37">
            <wp:simplePos x="0" y="0"/>
            <wp:positionH relativeFrom="column">
              <wp:posOffset>1162050</wp:posOffset>
            </wp:positionH>
            <wp:positionV relativeFrom="paragraph">
              <wp:posOffset>335611</wp:posOffset>
            </wp:positionV>
            <wp:extent cx="1644650" cy="1535733"/>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44650" cy="1535733"/>
                    </a:xfrm>
                    <a:prstGeom prst="rect">
                      <a:avLst/>
                    </a:prstGeom>
                    <a:ln/>
                  </pic:spPr>
                </pic:pic>
              </a:graphicData>
            </a:graphic>
          </wp:anchor>
        </w:drawing>
      </w:r>
    </w:p>
    <w:p w14:paraId="1E6FE9CB" w14:textId="77777777" w:rsidR="000E1BBC" w:rsidRDefault="00000000">
      <w:pPr>
        <w:jc w:val="center"/>
        <w:rPr>
          <w:rFonts w:ascii="Nunito" w:eastAsia="Nunito" w:hAnsi="Nunito" w:cs="Nunito"/>
          <w:b/>
          <w:sz w:val="27"/>
          <w:szCs w:val="27"/>
        </w:rPr>
      </w:pPr>
      <w:r>
        <w:rPr>
          <w:noProof/>
        </w:rPr>
        <w:drawing>
          <wp:anchor distT="114300" distB="114300" distL="114300" distR="114300" simplePos="0" relativeHeight="251659264" behindDoc="1" locked="0" layoutInCell="1" hidden="0" allowOverlap="1" wp14:anchorId="65CB4325" wp14:editId="41DBDD2D">
            <wp:simplePos x="0" y="0"/>
            <wp:positionH relativeFrom="column">
              <wp:posOffset>3028950</wp:posOffset>
            </wp:positionH>
            <wp:positionV relativeFrom="paragraph">
              <wp:posOffset>293039</wp:posOffset>
            </wp:positionV>
            <wp:extent cx="1619250" cy="107688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19250" cy="1076880"/>
                    </a:xfrm>
                    <a:prstGeom prst="rect">
                      <a:avLst/>
                    </a:prstGeom>
                    <a:ln/>
                  </pic:spPr>
                </pic:pic>
              </a:graphicData>
            </a:graphic>
          </wp:anchor>
        </w:drawing>
      </w:r>
    </w:p>
    <w:p w14:paraId="4668C712" w14:textId="77777777" w:rsidR="000E1BBC" w:rsidRDefault="000E1BBC">
      <w:pPr>
        <w:jc w:val="center"/>
        <w:rPr>
          <w:rFonts w:ascii="Nunito" w:eastAsia="Nunito" w:hAnsi="Nunito" w:cs="Nunito"/>
          <w:b/>
          <w:sz w:val="27"/>
          <w:szCs w:val="27"/>
        </w:rPr>
      </w:pPr>
    </w:p>
    <w:p w14:paraId="3CA9CB77" w14:textId="77777777" w:rsidR="000E1BBC" w:rsidRDefault="000E1BBC">
      <w:pPr>
        <w:jc w:val="center"/>
        <w:rPr>
          <w:rFonts w:ascii="Nunito" w:eastAsia="Nunito" w:hAnsi="Nunito" w:cs="Nunito"/>
          <w:b/>
          <w:sz w:val="27"/>
          <w:szCs w:val="27"/>
        </w:rPr>
      </w:pPr>
    </w:p>
    <w:p w14:paraId="58EF6A79" w14:textId="77777777" w:rsidR="000E1BBC" w:rsidRDefault="000E1BBC">
      <w:pPr>
        <w:jc w:val="center"/>
        <w:rPr>
          <w:rFonts w:ascii="Nunito" w:eastAsia="Nunito" w:hAnsi="Nunito" w:cs="Nunito"/>
          <w:b/>
          <w:sz w:val="27"/>
          <w:szCs w:val="27"/>
        </w:rPr>
      </w:pPr>
    </w:p>
    <w:p w14:paraId="73D4806A" w14:textId="77777777" w:rsidR="000E1BBC" w:rsidRDefault="000E1BBC">
      <w:pPr>
        <w:jc w:val="center"/>
        <w:rPr>
          <w:rFonts w:ascii="Nunito" w:eastAsia="Nunito" w:hAnsi="Nunito" w:cs="Nunito"/>
          <w:b/>
          <w:sz w:val="27"/>
          <w:szCs w:val="27"/>
        </w:rPr>
      </w:pPr>
    </w:p>
    <w:p w14:paraId="3A4F6841" w14:textId="77777777" w:rsidR="000E1BBC" w:rsidRDefault="000E1BBC">
      <w:pPr>
        <w:jc w:val="center"/>
        <w:rPr>
          <w:rFonts w:ascii="Nunito" w:eastAsia="Nunito" w:hAnsi="Nunito" w:cs="Nunito"/>
          <w:b/>
          <w:sz w:val="27"/>
          <w:szCs w:val="27"/>
        </w:rPr>
      </w:pPr>
    </w:p>
    <w:p w14:paraId="135F684C" w14:textId="77777777" w:rsidR="000E1BBC" w:rsidRDefault="000E1BBC">
      <w:pPr>
        <w:jc w:val="center"/>
        <w:rPr>
          <w:rFonts w:ascii="Nunito" w:eastAsia="Nunito" w:hAnsi="Nunito" w:cs="Nunito"/>
          <w:b/>
          <w:sz w:val="27"/>
          <w:szCs w:val="27"/>
        </w:rPr>
      </w:pPr>
    </w:p>
    <w:p w14:paraId="4E30E78D" w14:textId="77777777" w:rsidR="000E1BBC" w:rsidRDefault="000E1BBC">
      <w:pPr>
        <w:rPr>
          <w:rFonts w:ascii="Nunito" w:eastAsia="Nunito" w:hAnsi="Nunito" w:cs="Nunito"/>
          <w:b/>
          <w:sz w:val="27"/>
          <w:szCs w:val="27"/>
        </w:rPr>
      </w:pPr>
    </w:p>
    <w:p w14:paraId="452FF20D" w14:textId="77777777" w:rsidR="000E1BBC" w:rsidRDefault="000E1BBC">
      <w:pPr>
        <w:rPr>
          <w:rFonts w:ascii="Nunito" w:eastAsia="Nunito" w:hAnsi="Nunito" w:cs="Nunito"/>
          <w:b/>
          <w:sz w:val="27"/>
          <w:szCs w:val="27"/>
        </w:rPr>
      </w:pPr>
    </w:p>
    <w:p w14:paraId="5B65B0CA" w14:textId="77777777" w:rsidR="000E1BBC" w:rsidRDefault="00000000">
      <w:pPr>
        <w:jc w:val="center"/>
        <w:rPr>
          <w:rFonts w:ascii="Nunito" w:eastAsia="Nunito" w:hAnsi="Nunito" w:cs="Nunito"/>
          <w:b/>
          <w:sz w:val="27"/>
          <w:szCs w:val="27"/>
        </w:rPr>
      </w:pPr>
      <w:r>
        <w:rPr>
          <w:rFonts w:ascii="Nunito" w:eastAsia="Nunito" w:hAnsi="Nunito" w:cs="Nunito"/>
          <w:b/>
          <w:sz w:val="27"/>
          <w:szCs w:val="27"/>
        </w:rPr>
        <w:t>17 de noviembre al 05 de diciembre de 2025</w:t>
      </w:r>
    </w:p>
    <w:p w14:paraId="673C2DF1" w14:textId="77777777" w:rsidR="000E1BBC" w:rsidRDefault="000E1BBC">
      <w:pPr>
        <w:jc w:val="center"/>
        <w:rPr>
          <w:rFonts w:ascii="Nunito" w:eastAsia="Nunito" w:hAnsi="Nunito" w:cs="Nunito"/>
          <w:b/>
          <w:sz w:val="27"/>
          <w:szCs w:val="27"/>
        </w:rPr>
      </w:pPr>
    </w:p>
    <w:p w14:paraId="0ABB5A5C" w14:textId="77777777" w:rsidR="000E1BBC" w:rsidRDefault="000E1BBC">
      <w:pPr>
        <w:jc w:val="both"/>
        <w:rPr>
          <w:rFonts w:ascii="Nunito" w:eastAsia="Nunito" w:hAnsi="Nunito" w:cs="Nunito"/>
          <w:b/>
          <w:sz w:val="25"/>
          <w:szCs w:val="25"/>
        </w:rPr>
      </w:pPr>
    </w:p>
    <w:p w14:paraId="50862CCD" w14:textId="77777777" w:rsidR="000E1BBC" w:rsidRDefault="000E1BBC">
      <w:pPr>
        <w:jc w:val="both"/>
        <w:rPr>
          <w:rFonts w:ascii="Nunito" w:eastAsia="Nunito" w:hAnsi="Nunito" w:cs="Nunito"/>
          <w:sz w:val="21"/>
          <w:szCs w:val="21"/>
        </w:rPr>
      </w:pPr>
    </w:p>
    <w:p w14:paraId="467182D9" w14:textId="77777777" w:rsidR="000E1BBC" w:rsidRDefault="00000000">
      <w:pPr>
        <w:spacing w:line="259" w:lineRule="auto"/>
        <w:jc w:val="both"/>
        <w:rPr>
          <w:rFonts w:ascii="Nunito" w:eastAsia="Nunito" w:hAnsi="Nunito" w:cs="Nunito"/>
          <w:b/>
          <w:sz w:val="18"/>
          <w:szCs w:val="18"/>
        </w:rPr>
      </w:pPr>
      <w:r>
        <w:rPr>
          <w:rFonts w:ascii="Nunito" w:eastAsia="Nunito" w:hAnsi="Nunito" w:cs="Nunito"/>
          <w:b/>
          <w:sz w:val="18"/>
          <w:szCs w:val="18"/>
        </w:rPr>
        <w:t xml:space="preserve">ASOCIACIÓN LAMBDA </w:t>
      </w:r>
    </w:p>
    <w:p w14:paraId="0BB59886" w14:textId="77777777" w:rsidR="000E1BBC" w:rsidRDefault="00000000">
      <w:pPr>
        <w:spacing w:line="259" w:lineRule="auto"/>
        <w:jc w:val="both"/>
        <w:rPr>
          <w:rFonts w:ascii="Nunito" w:eastAsia="Nunito" w:hAnsi="Nunito" w:cs="Nunito"/>
          <w:color w:val="4A86E8"/>
          <w:sz w:val="18"/>
          <w:szCs w:val="18"/>
          <w:u w:val="single"/>
        </w:rPr>
      </w:pPr>
      <w:r>
        <w:rPr>
          <w:rFonts w:ascii="Nunito" w:eastAsia="Nunito" w:hAnsi="Nunito" w:cs="Nunito"/>
          <w:sz w:val="18"/>
          <w:szCs w:val="18"/>
        </w:rPr>
        <w:t xml:space="preserve">Website:  </w:t>
      </w:r>
      <w:hyperlink r:id="rId9">
        <w:r w:rsidR="000E1BBC">
          <w:rPr>
            <w:rFonts w:ascii="Nunito" w:eastAsia="Nunito" w:hAnsi="Nunito" w:cs="Nunito"/>
            <w:color w:val="1155CC"/>
            <w:sz w:val="18"/>
            <w:szCs w:val="18"/>
            <w:u w:val="single"/>
          </w:rPr>
          <w:t>https://www.asociacion-lambda.org</w:t>
        </w:r>
      </w:hyperlink>
      <w:r>
        <w:rPr>
          <w:rFonts w:ascii="Nunito" w:eastAsia="Nunito" w:hAnsi="Nunito" w:cs="Nunito"/>
          <w:sz w:val="18"/>
          <w:szCs w:val="18"/>
        </w:rPr>
        <w:br/>
        <w:t xml:space="preserve">Email: </w:t>
      </w:r>
      <w:hyperlink r:id="rId10">
        <w:r w:rsidR="000E1BBC">
          <w:rPr>
            <w:rFonts w:ascii="Nunito" w:eastAsia="Nunito" w:hAnsi="Nunito" w:cs="Nunito"/>
            <w:color w:val="1155CC"/>
            <w:sz w:val="18"/>
            <w:szCs w:val="18"/>
            <w:highlight w:val="white"/>
            <w:u w:val="single"/>
          </w:rPr>
          <w:t>direccion1.lambda@gmail.com</w:t>
        </w:r>
      </w:hyperlink>
    </w:p>
    <w:p w14:paraId="50A9106A" w14:textId="77777777" w:rsidR="000E1BBC" w:rsidRDefault="000E1BBC">
      <w:pPr>
        <w:spacing w:line="259" w:lineRule="auto"/>
        <w:jc w:val="both"/>
        <w:rPr>
          <w:rFonts w:ascii="Nunito" w:eastAsia="Nunito" w:hAnsi="Nunito" w:cs="Nunito"/>
          <w:sz w:val="18"/>
          <w:szCs w:val="18"/>
        </w:rPr>
      </w:pPr>
    </w:p>
    <w:p w14:paraId="00E79425" w14:textId="77777777" w:rsidR="000E1BBC" w:rsidRDefault="00000000">
      <w:pPr>
        <w:spacing w:line="259" w:lineRule="auto"/>
        <w:jc w:val="both"/>
        <w:rPr>
          <w:rFonts w:ascii="Nunito" w:eastAsia="Nunito" w:hAnsi="Nunito" w:cs="Nunito"/>
          <w:sz w:val="18"/>
          <w:szCs w:val="18"/>
        </w:rPr>
      </w:pPr>
      <w:r>
        <w:rPr>
          <w:rFonts w:ascii="Nunito" w:eastAsia="Nunito" w:hAnsi="Nunito" w:cs="Nunito"/>
          <w:b/>
          <w:sz w:val="18"/>
          <w:szCs w:val="18"/>
        </w:rPr>
        <w:t xml:space="preserve">RED DE LITIGANTES LGBTI+ DE LAS AMÉRICAS </w:t>
      </w:r>
    </w:p>
    <w:p w14:paraId="4F2AF68E" w14:textId="77777777" w:rsidR="000E1BBC" w:rsidRPr="00E612C2" w:rsidRDefault="00000000">
      <w:pPr>
        <w:spacing w:line="259" w:lineRule="auto"/>
        <w:jc w:val="both"/>
        <w:rPr>
          <w:rFonts w:ascii="Nunito" w:eastAsia="Nunito" w:hAnsi="Nunito" w:cs="Nunito"/>
          <w:color w:val="4A86E8"/>
          <w:sz w:val="18"/>
          <w:szCs w:val="18"/>
          <w:u w:val="single"/>
          <w:lang w:val="en-US"/>
        </w:rPr>
      </w:pPr>
      <w:r w:rsidRPr="00E612C2">
        <w:rPr>
          <w:rFonts w:ascii="Nunito" w:eastAsia="Nunito" w:hAnsi="Nunito" w:cs="Nunito"/>
          <w:sz w:val="18"/>
          <w:szCs w:val="18"/>
          <w:lang w:val="en-US"/>
        </w:rPr>
        <w:t xml:space="preserve">Website: </w:t>
      </w:r>
      <w:hyperlink r:id="rId11">
        <w:r w:rsidR="000E1BBC" w:rsidRPr="00E612C2">
          <w:rPr>
            <w:rFonts w:ascii="Nunito" w:eastAsia="Nunito" w:hAnsi="Nunito" w:cs="Nunito"/>
            <w:color w:val="1155CC"/>
            <w:sz w:val="18"/>
            <w:szCs w:val="18"/>
            <w:u w:val="single"/>
            <w:lang w:val="en-US"/>
          </w:rPr>
          <w:t xml:space="preserve"> https://litiganteslgbt.org</w:t>
        </w:r>
        <w:r w:rsidR="000E1BBC" w:rsidRPr="00E612C2">
          <w:rPr>
            <w:rFonts w:ascii="Nunito" w:eastAsia="Nunito" w:hAnsi="Nunito" w:cs="Nunito"/>
            <w:color w:val="1155CC"/>
            <w:sz w:val="18"/>
            <w:szCs w:val="18"/>
            <w:u w:val="single"/>
            <w:lang w:val="en-US"/>
          </w:rPr>
          <w:br/>
        </w:r>
      </w:hyperlink>
      <w:r w:rsidRPr="00E612C2">
        <w:rPr>
          <w:rFonts w:ascii="Nunito" w:eastAsia="Nunito" w:hAnsi="Nunito" w:cs="Nunito"/>
          <w:sz w:val="18"/>
          <w:szCs w:val="18"/>
          <w:lang w:val="en-US"/>
        </w:rPr>
        <w:t>Email:</w:t>
      </w:r>
      <w:hyperlink r:id="rId12">
        <w:r w:rsidR="000E1BBC" w:rsidRPr="00E612C2">
          <w:rPr>
            <w:rFonts w:ascii="Nunito" w:eastAsia="Nunito" w:hAnsi="Nunito" w:cs="Nunito"/>
            <w:color w:val="1155CC"/>
            <w:sz w:val="18"/>
            <w:szCs w:val="18"/>
            <w:u w:val="single"/>
            <w:lang w:val="en-US"/>
          </w:rPr>
          <w:t xml:space="preserve"> litiganteslgbtamericas@gmail.com</w:t>
        </w:r>
      </w:hyperlink>
    </w:p>
    <w:p w14:paraId="3E417862" w14:textId="77777777" w:rsidR="000E1BBC" w:rsidRPr="00E612C2" w:rsidRDefault="00000000">
      <w:pPr>
        <w:spacing w:line="259" w:lineRule="auto"/>
        <w:jc w:val="both"/>
        <w:rPr>
          <w:rFonts w:ascii="Nunito" w:eastAsia="Nunito" w:hAnsi="Nunito" w:cs="Nunito"/>
          <w:sz w:val="18"/>
          <w:szCs w:val="18"/>
          <w:lang w:val="en-US"/>
        </w:rPr>
      </w:pPr>
      <w:r w:rsidRPr="00E612C2">
        <w:rPr>
          <w:rFonts w:ascii="Nunito" w:eastAsia="Nunito" w:hAnsi="Nunito" w:cs="Nunito"/>
          <w:sz w:val="18"/>
          <w:szCs w:val="18"/>
          <w:lang w:val="en-US"/>
        </w:rPr>
        <w:t xml:space="preserve"> </w:t>
      </w:r>
    </w:p>
    <w:p w14:paraId="70B421E3" w14:textId="77777777" w:rsidR="000E1BBC" w:rsidRDefault="00000000">
      <w:pPr>
        <w:spacing w:line="259" w:lineRule="auto"/>
        <w:jc w:val="both"/>
        <w:rPr>
          <w:rFonts w:ascii="Nunito" w:eastAsia="Nunito" w:hAnsi="Nunito" w:cs="Nunito"/>
          <w:sz w:val="18"/>
          <w:szCs w:val="18"/>
        </w:rPr>
      </w:pPr>
      <w:r>
        <w:rPr>
          <w:rFonts w:ascii="Nunito" w:eastAsia="Nunito" w:hAnsi="Nunito" w:cs="Nunito"/>
          <w:sz w:val="18"/>
          <w:szCs w:val="18"/>
        </w:rPr>
        <w:t xml:space="preserve">Se contó con la colaboración técnica de Akãhatã - Equipo de Trabajo en Sexualidades y Géneros. </w:t>
      </w:r>
      <w:r>
        <w:rPr>
          <w:rFonts w:ascii="Nunito" w:eastAsia="Nunito" w:hAnsi="Nunito" w:cs="Nunito"/>
          <w:sz w:val="18"/>
          <w:szCs w:val="18"/>
        </w:rPr>
        <w:br/>
        <w:t>Website:</w:t>
      </w:r>
      <w:hyperlink r:id="rId13">
        <w:r w:rsidR="000E1BBC">
          <w:rPr>
            <w:rFonts w:ascii="Nunito" w:eastAsia="Nunito" w:hAnsi="Nunito" w:cs="Nunito"/>
            <w:color w:val="1155CC"/>
            <w:sz w:val="18"/>
            <w:szCs w:val="18"/>
            <w:u w:val="single"/>
          </w:rPr>
          <w:t xml:space="preserve"> </w:t>
        </w:r>
      </w:hyperlink>
      <w:hyperlink r:id="rId14">
        <w:r w:rsidR="000E1BBC">
          <w:rPr>
            <w:rFonts w:ascii="Nunito" w:eastAsia="Nunito" w:hAnsi="Nunito" w:cs="Nunito"/>
            <w:color w:val="1155CC"/>
            <w:sz w:val="18"/>
            <w:szCs w:val="18"/>
            <w:u w:val="single"/>
          </w:rPr>
          <w:t>https://akahataorg.org/</w:t>
        </w:r>
      </w:hyperlink>
      <w:hyperlink r:id="rId15">
        <w:r w:rsidR="000E1BBC">
          <w:rPr>
            <w:rFonts w:ascii="Nunito" w:eastAsia="Nunito" w:hAnsi="Nunito" w:cs="Nunito"/>
            <w:color w:val="1155CC"/>
            <w:sz w:val="18"/>
            <w:szCs w:val="18"/>
            <w:u w:val="single"/>
          </w:rPr>
          <w:br/>
        </w:r>
      </w:hyperlink>
    </w:p>
    <w:p w14:paraId="4984FCF2" w14:textId="77777777" w:rsidR="000E1BBC" w:rsidRDefault="000E1BBC">
      <w:pPr>
        <w:spacing w:line="259" w:lineRule="auto"/>
        <w:jc w:val="both"/>
        <w:rPr>
          <w:rFonts w:ascii="Nunito" w:eastAsia="Nunito" w:hAnsi="Nunito" w:cs="Nunito"/>
          <w:sz w:val="18"/>
          <w:szCs w:val="18"/>
        </w:rPr>
      </w:pPr>
    </w:p>
    <w:p w14:paraId="0DE8B6F2" w14:textId="77777777" w:rsidR="000E1BBC" w:rsidRDefault="000E1BBC">
      <w:pPr>
        <w:spacing w:line="259" w:lineRule="auto"/>
        <w:jc w:val="both"/>
        <w:rPr>
          <w:rFonts w:ascii="Nunito" w:eastAsia="Nunito" w:hAnsi="Nunito" w:cs="Nunito"/>
          <w:sz w:val="18"/>
          <w:szCs w:val="18"/>
        </w:rPr>
      </w:pPr>
    </w:p>
    <w:p w14:paraId="33BF0C06" w14:textId="77777777" w:rsidR="000E1BBC" w:rsidRDefault="000E1BBC">
      <w:pPr>
        <w:spacing w:line="259" w:lineRule="auto"/>
        <w:jc w:val="both"/>
        <w:rPr>
          <w:rFonts w:ascii="Nunito" w:eastAsia="Nunito" w:hAnsi="Nunito" w:cs="Nunito"/>
          <w:sz w:val="18"/>
          <w:szCs w:val="18"/>
        </w:rPr>
      </w:pPr>
    </w:p>
    <w:p w14:paraId="433D1F2A" w14:textId="77777777" w:rsidR="000E1BBC" w:rsidRDefault="00000000">
      <w:pPr>
        <w:numPr>
          <w:ilvl w:val="0"/>
          <w:numId w:val="4"/>
        </w:numPr>
        <w:jc w:val="both"/>
        <w:rPr>
          <w:rFonts w:ascii="Nunito" w:eastAsia="Nunito" w:hAnsi="Nunito" w:cs="Nunito"/>
          <w:b/>
          <w:sz w:val="24"/>
          <w:szCs w:val="24"/>
        </w:rPr>
      </w:pPr>
      <w:r>
        <w:rPr>
          <w:rFonts w:ascii="Nunito" w:eastAsia="Nunito" w:hAnsi="Nunito" w:cs="Nunito"/>
          <w:b/>
          <w:sz w:val="24"/>
          <w:szCs w:val="24"/>
        </w:rPr>
        <w:lastRenderedPageBreak/>
        <w:t xml:space="preserve">Presentación </w:t>
      </w:r>
    </w:p>
    <w:p w14:paraId="1AE1780F" w14:textId="77777777" w:rsidR="000E1BBC" w:rsidRDefault="000E1BBC">
      <w:pPr>
        <w:ind w:left="720"/>
        <w:jc w:val="both"/>
        <w:rPr>
          <w:rFonts w:ascii="Nunito" w:eastAsia="Nunito" w:hAnsi="Nunito" w:cs="Nunito"/>
          <w:b/>
          <w:sz w:val="24"/>
          <w:szCs w:val="24"/>
        </w:rPr>
      </w:pPr>
    </w:p>
    <w:p w14:paraId="56C79D35" w14:textId="77777777" w:rsidR="000E1BBC" w:rsidRDefault="00000000">
      <w:pPr>
        <w:spacing w:line="240" w:lineRule="auto"/>
        <w:jc w:val="both"/>
        <w:rPr>
          <w:rFonts w:ascii="Nunito" w:eastAsia="Nunito" w:hAnsi="Nunito" w:cs="Nunito"/>
          <w:sz w:val="24"/>
          <w:szCs w:val="24"/>
        </w:rPr>
      </w:pPr>
      <w:r>
        <w:rPr>
          <w:rFonts w:ascii="Nunito" w:eastAsia="Nunito" w:hAnsi="Nunito" w:cs="Nunito"/>
          <w:b/>
          <w:sz w:val="24"/>
          <w:szCs w:val="24"/>
        </w:rPr>
        <w:t>Asociación Lambda</w:t>
      </w:r>
      <w:r>
        <w:rPr>
          <w:rFonts w:ascii="Nunito" w:eastAsia="Nunito" w:hAnsi="Nunito" w:cs="Nunito"/>
          <w:sz w:val="24"/>
          <w:szCs w:val="24"/>
        </w:rPr>
        <w:t xml:space="preserve"> es una organización no gubernamental guatemalteca, de sociedad civil sin fines de lucro ni intereses partidarios, legalmente constituida desde el año 2010. Su  misión es promover la inclusión y la participación ciudadana de las personas LGBTIQ+ en la sociedad guatemalteca, apegada al ejercicio de los derechos humanos. Es un referente en la defensa, orientación, promoción, formación, capacitación e inclusión de la referida población. </w:t>
      </w:r>
    </w:p>
    <w:p w14:paraId="42E6D837" w14:textId="77777777" w:rsidR="000E1BBC" w:rsidRDefault="000E1BBC">
      <w:pPr>
        <w:spacing w:line="240" w:lineRule="auto"/>
        <w:jc w:val="both"/>
        <w:rPr>
          <w:rFonts w:ascii="Nunito" w:eastAsia="Nunito" w:hAnsi="Nunito" w:cs="Nunito"/>
          <w:sz w:val="24"/>
          <w:szCs w:val="24"/>
        </w:rPr>
      </w:pPr>
    </w:p>
    <w:p w14:paraId="2D018747" w14:textId="77777777" w:rsidR="000E1BBC" w:rsidRDefault="00000000">
      <w:pPr>
        <w:spacing w:line="240" w:lineRule="auto"/>
        <w:jc w:val="both"/>
        <w:rPr>
          <w:rFonts w:ascii="Nunito" w:eastAsia="Nunito" w:hAnsi="Nunito" w:cs="Nunito"/>
          <w:sz w:val="24"/>
          <w:szCs w:val="24"/>
        </w:rPr>
      </w:pPr>
      <w:r>
        <w:rPr>
          <w:rFonts w:ascii="Nunito" w:eastAsia="Nunito" w:hAnsi="Nunito" w:cs="Nunito"/>
          <w:sz w:val="24"/>
          <w:szCs w:val="24"/>
        </w:rPr>
        <w:t xml:space="preserve">La </w:t>
      </w:r>
      <w:r>
        <w:rPr>
          <w:rFonts w:ascii="Nunito" w:eastAsia="Nunito" w:hAnsi="Nunito" w:cs="Nunito"/>
          <w:b/>
          <w:sz w:val="24"/>
          <w:szCs w:val="24"/>
        </w:rPr>
        <w:t>Red de Litigantes LGBTI+ de las Américas</w:t>
      </w:r>
      <w:r>
        <w:rPr>
          <w:rFonts w:ascii="Nunito" w:eastAsia="Nunito" w:hAnsi="Nunito" w:cs="Nunito"/>
          <w:sz w:val="24"/>
          <w:szCs w:val="24"/>
        </w:rPr>
        <w:t xml:space="preserve"> es una red internacional e independiente conformada por personas y organizaciones sociales que trabajan por el reconocimiento, la protección y la garantía de los derechos de las personas LGBTI+ en el continente americano a través del litigio estratégico y acciones de incidencia. Se conformó en 2019 como un espacio de diálogo, cooperación e intercambio de experiencias entre sus integrantes de 17 países de Latinoamérica y el Caribe. </w:t>
      </w:r>
    </w:p>
    <w:p w14:paraId="2EAF8BB5" w14:textId="77777777" w:rsidR="000E1BBC" w:rsidRDefault="000E1BBC">
      <w:pPr>
        <w:spacing w:line="240" w:lineRule="auto"/>
        <w:jc w:val="both"/>
        <w:rPr>
          <w:rFonts w:ascii="Nunito" w:eastAsia="Nunito" w:hAnsi="Nunito" w:cs="Nunito"/>
          <w:sz w:val="24"/>
          <w:szCs w:val="24"/>
        </w:rPr>
      </w:pPr>
    </w:p>
    <w:p w14:paraId="1F8F5B39" w14:textId="77777777" w:rsidR="000E1BBC" w:rsidRDefault="00000000">
      <w:pPr>
        <w:spacing w:line="240" w:lineRule="auto"/>
        <w:jc w:val="both"/>
        <w:rPr>
          <w:rFonts w:ascii="Nunito" w:eastAsia="Nunito" w:hAnsi="Nunito" w:cs="Nunito"/>
          <w:sz w:val="24"/>
          <w:szCs w:val="24"/>
        </w:rPr>
      </w:pPr>
      <w:r>
        <w:rPr>
          <w:rFonts w:ascii="Nunito" w:eastAsia="Nunito" w:hAnsi="Nunito" w:cs="Nunito"/>
          <w:sz w:val="24"/>
          <w:szCs w:val="24"/>
        </w:rPr>
        <w:t>Ambas organizaciones conformamos una coalición para la elaboración y presentación de este informe alternativo ante el Comité para la Eliminación de la Discriminación Racial (en adelante “el Comité”</w:t>
      </w:r>
      <w:r>
        <w:rPr>
          <w:rFonts w:ascii="Nunito" w:eastAsia="Nunito" w:hAnsi="Nunito" w:cs="Nunito"/>
          <w:i/>
          <w:sz w:val="24"/>
          <w:szCs w:val="24"/>
        </w:rPr>
        <w:t xml:space="preserve">) </w:t>
      </w:r>
      <w:r>
        <w:rPr>
          <w:rFonts w:ascii="Nunito" w:eastAsia="Nunito" w:hAnsi="Nunito" w:cs="Nunito"/>
          <w:sz w:val="24"/>
          <w:szCs w:val="24"/>
        </w:rPr>
        <w:t xml:space="preserve">respecto al grado de cumplimiento de la Convención Internacional sobre la Eliminación de todas las Formas de Discriminación Racial (en adalente “la Convención”) por parte del Estado de Guatemala, así como la implementación de algunas de las recomendaciones realizadas por el Comité al Estado guatemalteco producto de la evaluación de los ciclos periódicos 16° y 17° combinados (CERD/C/GTM/CO/16-17). Esta evaluación se enfoca en las personas LGBTIQ+ indígenas en Guatemala, y el respeto y garantía de sus derechos. </w:t>
      </w:r>
    </w:p>
    <w:p w14:paraId="59AB6396" w14:textId="77777777" w:rsidR="000E1BBC" w:rsidRDefault="000E1BBC">
      <w:pPr>
        <w:spacing w:line="240" w:lineRule="auto"/>
        <w:jc w:val="both"/>
        <w:rPr>
          <w:rFonts w:ascii="Nunito" w:eastAsia="Nunito" w:hAnsi="Nunito" w:cs="Nunito"/>
          <w:sz w:val="24"/>
          <w:szCs w:val="24"/>
        </w:rPr>
      </w:pPr>
    </w:p>
    <w:p w14:paraId="1F184F14" w14:textId="77777777" w:rsidR="000E1BBC" w:rsidRDefault="00000000">
      <w:pPr>
        <w:spacing w:line="240" w:lineRule="auto"/>
        <w:jc w:val="both"/>
        <w:rPr>
          <w:rFonts w:ascii="Nunito" w:eastAsia="Nunito" w:hAnsi="Nunito" w:cs="Nunito"/>
          <w:sz w:val="24"/>
          <w:szCs w:val="24"/>
        </w:rPr>
      </w:pPr>
      <w:r>
        <w:rPr>
          <w:rFonts w:ascii="Nunito" w:eastAsia="Nunito" w:hAnsi="Nunito" w:cs="Nunito"/>
          <w:sz w:val="24"/>
          <w:szCs w:val="24"/>
        </w:rPr>
        <w:t>Para la elaboración del presente informe se desarrolló una investigación de carácter cualitativo y participativo, orientada a formular un análisis teórico y contextual sobre la situación de los derechos de las personas LGBTQ+ indígenas en Guatemala. La metodología incluyó la revisión de documentación teórica y jurídica, investigaciones previas, legislación nacional, así como materiales elaborados por la sociedad civil. En una primera fase, se compiló y analizó el marco teórico y normativo pertinente. Posteriormente, se seleccionaron personas entrevistadas con base en la población atendida por la Asociación Lambda en sus servicios comunitarios. Las limitaciones logísticas y de acceso permitieron contactar solo a un número reducido de participantes en todo el territorio nacional.</w:t>
      </w:r>
    </w:p>
    <w:p w14:paraId="029E8717" w14:textId="77777777" w:rsidR="000E1BBC" w:rsidRDefault="000E1BBC">
      <w:pPr>
        <w:jc w:val="both"/>
        <w:rPr>
          <w:rFonts w:ascii="Nunito" w:eastAsia="Nunito" w:hAnsi="Nunito" w:cs="Nunito"/>
          <w:sz w:val="24"/>
          <w:szCs w:val="24"/>
        </w:rPr>
      </w:pPr>
    </w:p>
    <w:p w14:paraId="16B12226" w14:textId="77777777" w:rsidR="000E1BBC" w:rsidRDefault="00000000">
      <w:pPr>
        <w:jc w:val="both"/>
        <w:rPr>
          <w:rFonts w:ascii="Nunito" w:eastAsia="Nunito" w:hAnsi="Nunito" w:cs="Nunito"/>
          <w:sz w:val="24"/>
          <w:szCs w:val="24"/>
        </w:rPr>
      </w:pPr>
      <w:r>
        <w:rPr>
          <w:rFonts w:ascii="Nunito" w:eastAsia="Nunito" w:hAnsi="Nunito" w:cs="Nunito"/>
          <w:sz w:val="24"/>
          <w:szCs w:val="24"/>
        </w:rPr>
        <w:t xml:space="preserve">Este informe es de carácter público y en esa medida, puede publicarse en la página web del Comité.   </w:t>
      </w:r>
    </w:p>
    <w:p w14:paraId="2477C667" w14:textId="77777777" w:rsidR="000E1BBC" w:rsidRDefault="00000000">
      <w:pPr>
        <w:jc w:val="both"/>
        <w:rPr>
          <w:rFonts w:ascii="Nunito" w:eastAsia="Nunito" w:hAnsi="Nunito" w:cs="Nunito"/>
          <w:sz w:val="24"/>
          <w:szCs w:val="24"/>
        </w:rPr>
      </w:pPr>
      <w:r>
        <w:rPr>
          <w:rFonts w:ascii="Nunito" w:eastAsia="Nunito" w:hAnsi="Nunito" w:cs="Nunito"/>
          <w:sz w:val="24"/>
          <w:szCs w:val="24"/>
        </w:rPr>
        <w:t xml:space="preserve">El documento se centrará en los ejes temáticos de </w:t>
      </w:r>
      <w:r>
        <w:rPr>
          <w:rFonts w:ascii="Nunito" w:eastAsia="Nunito" w:hAnsi="Nunito" w:cs="Nunito"/>
          <w:b/>
          <w:sz w:val="24"/>
          <w:szCs w:val="24"/>
        </w:rPr>
        <w:t xml:space="preserve">violencia y discriminación; educación y salud, considerando su relación con la discriminación racial hacia </w:t>
      </w:r>
      <w:r>
        <w:rPr>
          <w:rFonts w:ascii="Nunito" w:eastAsia="Nunito" w:hAnsi="Nunito" w:cs="Nunito"/>
          <w:b/>
          <w:sz w:val="24"/>
          <w:szCs w:val="24"/>
        </w:rPr>
        <w:lastRenderedPageBreak/>
        <w:t xml:space="preserve">personas LGBTQ+. </w:t>
      </w:r>
      <w:r>
        <w:rPr>
          <w:rFonts w:ascii="Nunito" w:eastAsia="Nunito" w:hAnsi="Nunito" w:cs="Nunito"/>
          <w:sz w:val="24"/>
          <w:szCs w:val="24"/>
        </w:rPr>
        <w:t xml:space="preserve">Finalmente, se sugieren algunas recomendaciones que este Comité puede realizar al Estado de Guatemala en estas materias. </w:t>
      </w:r>
    </w:p>
    <w:p w14:paraId="2203298C" w14:textId="77777777" w:rsidR="000E1BBC" w:rsidRDefault="000E1BBC">
      <w:pPr>
        <w:jc w:val="both"/>
        <w:rPr>
          <w:rFonts w:ascii="Nunito" w:eastAsia="Nunito" w:hAnsi="Nunito" w:cs="Nunito"/>
          <w:sz w:val="24"/>
          <w:szCs w:val="24"/>
        </w:rPr>
      </w:pPr>
    </w:p>
    <w:p w14:paraId="6E5DA850" w14:textId="77777777" w:rsidR="000E1BBC" w:rsidRDefault="00000000">
      <w:pPr>
        <w:numPr>
          <w:ilvl w:val="0"/>
          <w:numId w:val="4"/>
        </w:numPr>
        <w:jc w:val="both"/>
        <w:rPr>
          <w:rFonts w:ascii="Nunito" w:eastAsia="Nunito" w:hAnsi="Nunito" w:cs="Nunito"/>
          <w:b/>
          <w:sz w:val="24"/>
          <w:szCs w:val="24"/>
        </w:rPr>
      </w:pPr>
      <w:r>
        <w:rPr>
          <w:rFonts w:ascii="Nunito" w:eastAsia="Nunito" w:hAnsi="Nunito" w:cs="Nunito"/>
          <w:b/>
          <w:sz w:val="24"/>
          <w:szCs w:val="24"/>
        </w:rPr>
        <w:t xml:space="preserve">Análisis de la situación de derechos de personas LGBTQ+ indígenas </w:t>
      </w:r>
    </w:p>
    <w:p w14:paraId="1A0EF7B5" w14:textId="77777777" w:rsidR="000E1BBC" w:rsidRDefault="000E1BBC">
      <w:pPr>
        <w:ind w:left="720"/>
        <w:jc w:val="both"/>
        <w:rPr>
          <w:rFonts w:ascii="Nunito" w:eastAsia="Nunito" w:hAnsi="Nunito" w:cs="Nunito"/>
          <w:b/>
          <w:sz w:val="24"/>
          <w:szCs w:val="24"/>
        </w:rPr>
      </w:pPr>
    </w:p>
    <w:p w14:paraId="4B418AEF" w14:textId="77777777" w:rsidR="000E1BBC" w:rsidRDefault="00000000">
      <w:pPr>
        <w:numPr>
          <w:ilvl w:val="0"/>
          <w:numId w:val="1"/>
        </w:numPr>
        <w:jc w:val="both"/>
        <w:rPr>
          <w:rFonts w:ascii="Nunito" w:eastAsia="Nunito" w:hAnsi="Nunito" w:cs="Nunito"/>
          <w:b/>
          <w:sz w:val="24"/>
          <w:szCs w:val="24"/>
        </w:rPr>
      </w:pPr>
      <w:r>
        <w:rPr>
          <w:rFonts w:ascii="Nunito" w:eastAsia="Nunito" w:hAnsi="Nunito" w:cs="Nunito"/>
          <w:b/>
          <w:sz w:val="24"/>
          <w:szCs w:val="24"/>
        </w:rPr>
        <w:t>Violencia y discriminación</w:t>
      </w:r>
    </w:p>
    <w:p w14:paraId="2C7BC4CC" w14:textId="77777777" w:rsidR="000E1BBC" w:rsidRDefault="000E1BBC">
      <w:pPr>
        <w:ind w:left="720"/>
        <w:jc w:val="both"/>
        <w:rPr>
          <w:rFonts w:ascii="Nunito" w:eastAsia="Nunito" w:hAnsi="Nunito" w:cs="Nunito"/>
          <w:b/>
          <w:sz w:val="24"/>
          <w:szCs w:val="24"/>
        </w:rPr>
      </w:pPr>
    </w:p>
    <w:p w14:paraId="23399503"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Según datos oficiales recolectados en 2023, al menos el 38.8 % de la población de Guatemala se identificaba como parte de uno de los pueblos indígenas</w:t>
      </w:r>
      <w:r>
        <w:rPr>
          <w:rFonts w:ascii="Nunito" w:eastAsia="Nunito" w:hAnsi="Nunito" w:cs="Nunito"/>
          <w:sz w:val="24"/>
          <w:szCs w:val="24"/>
          <w:vertAlign w:val="superscript"/>
        </w:rPr>
        <w:footnoteReference w:id="1"/>
      </w:r>
      <w:r>
        <w:rPr>
          <w:rFonts w:ascii="Nunito" w:eastAsia="Nunito" w:hAnsi="Nunito" w:cs="Nunito"/>
          <w:sz w:val="24"/>
          <w:szCs w:val="24"/>
        </w:rPr>
        <w:t xml:space="preserve"> que habitan el territorio, que son los maya, xinka o los garífuna</w:t>
      </w:r>
      <w:r>
        <w:rPr>
          <w:rFonts w:ascii="Nunito" w:eastAsia="Nunito" w:hAnsi="Nunito" w:cs="Nunito"/>
          <w:sz w:val="24"/>
          <w:szCs w:val="24"/>
          <w:vertAlign w:val="superscript"/>
        </w:rPr>
        <w:footnoteReference w:id="2"/>
      </w:r>
      <w:r>
        <w:rPr>
          <w:rFonts w:ascii="Nunito" w:eastAsia="Nunito" w:hAnsi="Nunito" w:cs="Nunito"/>
          <w:sz w:val="24"/>
          <w:szCs w:val="24"/>
        </w:rPr>
        <w:t>. El pueblo maya, originario del territorio, e integrado por 22 comunidades distintas con sus propias lenguas; los xincas, provenientes de raíces andinas del sur y con 4 lenguas; los garífunas, de origen afrodescendiente</w:t>
      </w:r>
      <w:r>
        <w:rPr>
          <w:rFonts w:ascii="Nunito" w:eastAsia="Nunito" w:hAnsi="Nunito" w:cs="Nunito"/>
          <w:sz w:val="24"/>
          <w:szCs w:val="24"/>
          <w:vertAlign w:val="superscript"/>
        </w:rPr>
        <w:footnoteReference w:id="3"/>
      </w:r>
      <w:r>
        <w:rPr>
          <w:rFonts w:ascii="Nunito" w:eastAsia="Nunito" w:hAnsi="Nunito" w:cs="Nunito"/>
          <w:sz w:val="24"/>
          <w:szCs w:val="24"/>
        </w:rPr>
        <w:t>. Las poblaciones indígenas están mayoritariamente ubicadas en la zona norte de la geografía guatemalteca, en los departamentos de Huehuetenango, Quiché, Alta y Baja Verapaz</w:t>
      </w:r>
      <w:r>
        <w:rPr>
          <w:rFonts w:ascii="Nunito" w:eastAsia="Nunito" w:hAnsi="Nunito" w:cs="Nunito"/>
          <w:sz w:val="24"/>
          <w:szCs w:val="24"/>
          <w:vertAlign w:val="superscript"/>
        </w:rPr>
        <w:footnoteReference w:id="4"/>
      </w:r>
      <w:r>
        <w:rPr>
          <w:rFonts w:ascii="Nunito" w:eastAsia="Nunito" w:hAnsi="Nunito" w:cs="Nunito"/>
          <w:sz w:val="24"/>
          <w:szCs w:val="24"/>
        </w:rPr>
        <w:t xml:space="preserve">, y las garífunas, principalmente, en Izabal. </w:t>
      </w:r>
    </w:p>
    <w:p w14:paraId="731651D4" w14:textId="77777777" w:rsidR="000E1BBC" w:rsidRDefault="000E1BBC">
      <w:pPr>
        <w:spacing w:line="259" w:lineRule="auto"/>
        <w:jc w:val="both"/>
        <w:rPr>
          <w:rFonts w:ascii="Nunito" w:eastAsia="Nunito" w:hAnsi="Nunito" w:cs="Nunito"/>
          <w:sz w:val="24"/>
          <w:szCs w:val="24"/>
        </w:rPr>
      </w:pPr>
    </w:p>
    <w:p w14:paraId="3A4E25A1"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Pese a su presencia mayoritaria en el territorio guatemalteco, y a la cláusula de igualdad en derechos y no discriminación contenida en la Constitución</w:t>
      </w:r>
      <w:r>
        <w:rPr>
          <w:rFonts w:ascii="Nunito" w:eastAsia="Nunito" w:hAnsi="Nunito" w:cs="Nunito"/>
          <w:sz w:val="24"/>
          <w:szCs w:val="24"/>
          <w:vertAlign w:val="superscript"/>
        </w:rPr>
        <w:footnoteReference w:id="5"/>
      </w:r>
      <w:r>
        <w:rPr>
          <w:rFonts w:ascii="Nunito" w:eastAsia="Nunito" w:hAnsi="Nunito" w:cs="Nunito"/>
          <w:sz w:val="24"/>
          <w:szCs w:val="24"/>
        </w:rPr>
        <w:t>, las comunidades indígenas enfrentan condiciones de extrema desigualdad en Guatemala. Así, por ejemplo, las zonas donde hay mayor prevalencia de pobreza y pobreza extrema, son aquellas que son habitadas de manera predominante por indígenas</w:t>
      </w:r>
      <w:r>
        <w:rPr>
          <w:rFonts w:ascii="Nunito" w:eastAsia="Nunito" w:hAnsi="Nunito" w:cs="Nunito"/>
          <w:sz w:val="24"/>
          <w:szCs w:val="24"/>
          <w:vertAlign w:val="superscript"/>
        </w:rPr>
        <w:footnoteReference w:id="6"/>
      </w:r>
      <w:r>
        <w:rPr>
          <w:rFonts w:ascii="Nunito" w:eastAsia="Nunito" w:hAnsi="Nunito" w:cs="Nunito"/>
          <w:sz w:val="24"/>
          <w:szCs w:val="24"/>
        </w:rPr>
        <w:t>. Esta situación, aunada a la falta de representación de personas indígenas en posiciones de poder institucionales</w:t>
      </w:r>
      <w:r>
        <w:rPr>
          <w:rFonts w:ascii="Nunito" w:eastAsia="Nunito" w:hAnsi="Nunito" w:cs="Nunito"/>
          <w:sz w:val="24"/>
          <w:szCs w:val="24"/>
          <w:vertAlign w:val="superscript"/>
        </w:rPr>
        <w:footnoteReference w:id="7"/>
      </w:r>
      <w:r>
        <w:rPr>
          <w:rFonts w:ascii="Nunito" w:eastAsia="Nunito" w:hAnsi="Nunito" w:cs="Nunito"/>
          <w:sz w:val="24"/>
          <w:szCs w:val="24"/>
        </w:rPr>
        <w:t>, ha instalado en el imaginario social una visión peyorativa y de inferioridad hacia los pueblos originarios</w:t>
      </w:r>
      <w:r>
        <w:rPr>
          <w:rFonts w:ascii="Nunito" w:eastAsia="Nunito" w:hAnsi="Nunito" w:cs="Nunito"/>
          <w:sz w:val="24"/>
          <w:szCs w:val="24"/>
          <w:highlight w:val="white"/>
          <w:vertAlign w:val="superscript"/>
        </w:rPr>
        <w:footnoteReference w:id="8"/>
      </w:r>
      <w:r>
        <w:rPr>
          <w:rFonts w:ascii="Nunito" w:eastAsia="Nunito" w:hAnsi="Nunito" w:cs="Nunito"/>
          <w:sz w:val="24"/>
          <w:szCs w:val="24"/>
          <w:highlight w:val="white"/>
        </w:rPr>
        <w:t>.</w:t>
      </w:r>
      <w:r>
        <w:rPr>
          <w:rFonts w:ascii="Nunito" w:eastAsia="Nunito" w:hAnsi="Nunito" w:cs="Nunito"/>
          <w:sz w:val="24"/>
          <w:szCs w:val="24"/>
        </w:rPr>
        <w:t xml:space="preserve"> </w:t>
      </w:r>
    </w:p>
    <w:p w14:paraId="630675D1" w14:textId="77777777" w:rsidR="000E1BBC" w:rsidRDefault="000E1BBC">
      <w:pPr>
        <w:spacing w:line="259" w:lineRule="auto"/>
        <w:jc w:val="both"/>
        <w:rPr>
          <w:rFonts w:ascii="Nunito" w:eastAsia="Nunito" w:hAnsi="Nunito" w:cs="Nunito"/>
          <w:sz w:val="24"/>
          <w:szCs w:val="24"/>
        </w:rPr>
      </w:pPr>
    </w:p>
    <w:p w14:paraId="09E2B516" w14:textId="77777777" w:rsidR="000E1BBC" w:rsidRDefault="00000000">
      <w:pPr>
        <w:spacing w:line="259" w:lineRule="auto"/>
        <w:jc w:val="both"/>
        <w:rPr>
          <w:rFonts w:ascii="Nunito" w:eastAsia="Nunito" w:hAnsi="Nunito" w:cs="Nunito"/>
          <w:sz w:val="24"/>
          <w:szCs w:val="24"/>
        </w:rPr>
      </w:pPr>
      <w:r>
        <w:rPr>
          <w:rFonts w:ascii="Nunito" w:eastAsia="Nunito" w:hAnsi="Nunito" w:cs="Nunito"/>
          <w:b/>
          <w:sz w:val="24"/>
          <w:szCs w:val="24"/>
        </w:rPr>
        <w:lastRenderedPageBreak/>
        <w:t>En este dificil contexto, a las experiencias de vida de las personas LGBTQ+ indígenas se suma el prejuicio en contra de su identidad, generando una discriminación interseccional la cual no ha sido atendida por el Estado guatemalteco</w:t>
      </w:r>
      <w:r>
        <w:rPr>
          <w:rFonts w:ascii="Nunito" w:eastAsia="Nunito" w:hAnsi="Nunito" w:cs="Nunito"/>
          <w:sz w:val="24"/>
          <w:szCs w:val="24"/>
        </w:rPr>
        <w:t>. Así, se ha incumplido el mandato dictado por este Comité de interpretar de forma interseccional la prohibición de discriminación racial</w:t>
      </w:r>
      <w:r>
        <w:rPr>
          <w:rFonts w:ascii="Nunito" w:eastAsia="Nunito" w:hAnsi="Nunito" w:cs="Nunito"/>
          <w:sz w:val="24"/>
          <w:szCs w:val="24"/>
          <w:vertAlign w:val="superscript"/>
        </w:rPr>
        <w:footnoteReference w:id="9"/>
      </w:r>
      <w:r>
        <w:rPr>
          <w:rFonts w:ascii="Nunito" w:eastAsia="Nunito" w:hAnsi="Nunito" w:cs="Nunito"/>
          <w:sz w:val="24"/>
          <w:szCs w:val="24"/>
        </w:rPr>
        <w:t xml:space="preserve">. </w:t>
      </w:r>
    </w:p>
    <w:p w14:paraId="5949BE85" w14:textId="77777777" w:rsidR="000E1BBC" w:rsidRDefault="000E1BBC">
      <w:pPr>
        <w:spacing w:line="259" w:lineRule="auto"/>
        <w:jc w:val="both"/>
        <w:rPr>
          <w:rFonts w:ascii="Nunito" w:eastAsia="Nunito" w:hAnsi="Nunito" w:cs="Nunito"/>
          <w:sz w:val="24"/>
          <w:szCs w:val="24"/>
        </w:rPr>
      </w:pPr>
    </w:p>
    <w:p w14:paraId="7D1ED0A0"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 xml:space="preserve">A continuación, se abordará la segregación y desprotección que viven las personas indígenas con orientaciones sexuales, expresiones e identidades de género diversas en Guatemala, para luego, a partir de las entrevistas realizadas para este informe, caracterizar las particularidades que esta adquiere sobre la base de la identidad étnica. </w:t>
      </w:r>
    </w:p>
    <w:p w14:paraId="223681F0" w14:textId="77777777" w:rsidR="000E1BBC" w:rsidRDefault="000E1BBC">
      <w:pPr>
        <w:spacing w:line="259" w:lineRule="auto"/>
        <w:jc w:val="both"/>
        <w:rPr>
          <w:rFonts w:ascii="Nunito" w:eastAsia="Nunito" w:hAnsi="Nunito" w:cs="Nunito"/>
          <w:sz w:val="24"/>
          <w:szCs w:val="24"/>
        </w:rPr>
      </w:pPr>
    </w:p>
    <w:p w14:paraId="202398C0"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En Guatemala, aunque las relaciones homosexuales se despenalizaron totalmente desde el año 1834</w:t>
      </w:r>
      <w:r>
        <w:rPr>
          <w:rFonts w:ascii="Nunito" w:eastAsia="Nunito" w:hAnsi="Nunito" w:cs="Nunito"/>
          <w:sz w:val="24"/>
          <w:szCs w:val="24"/>
          <w:vertAlign w:val="superscript"/>
        </w:rPr>
        <w:footnoteReference w:id="10"/>
      </w:r>
      <w:r>
        <w:rPr>
          <w:rFonts w:ascii="Nunito" w:eastAsia="Nunito" w:hAnsi="Nunito" w:cs="Nunito"/>
          <w:sz w:val="24"/>
          <w:szCs w:val="24"/>
        </w:rPr>
        <w:t>, no existen instrumentos legales que reconozcan ni protejan a las personas LGBTQ+. El matrimonio igualitario no ha sido reconocido en este país como tampoco el reconocimiento legal de la identidad de género de las personas trans. El órgano parlamentario no ha desplegado esfuerzos para conceder estos derechos, al contrario, ante iniciativas progresistas como lo fue la Ley 5395 de 2018, que buscaba el reconocimiento de la identidad de género, movimientos sociales religiosos con fuerte influencia política, organizaron manifestaciones y campañas de desinformación y estigmatización contra las personas con orientaciones sexuales e identidades de género diversas</w:t>
      </w:r>
      <w:r>
        <w:rPr>
          <w:rFonts w:ascii="Nunito" w:eastAsia="Nunito" w:hAnsi="Nunito" w:cs="Nunito"/>
          <w:sz w:val="24"/>
          <w:szCs w:val="24"/>
          <w:vertAlign w:val="superscript"/>
        </w:rPr>
        <w:footnoteReference w:id="11"/>
      </w:r>
      <w:r>
        <w:rPr>
          <w:rFonts w:ascii="Nunito" w:eastAsia="Nunito" w:hAnsi="Nunito" w:cs="Nunito"/>
          <w:sz w:val="24"/>
          <w:szCs w:val="24"/>
        </w:rPr>
        <w:t xml:space="preserve"> , lo que obstaculizó su aprobación. </w:t>
      </w:r>
    </w:p>
    <w:p w14:paraId="10A7B8F2" w14:textId="77777777" w:rsidR="000E1BBC" w:rsidRDefault="000E1BBC">
      <w:pPr>
        <w:spacing w:line="259" w:lineRule="auto"/>
        <w:jc w:val="both"/>
        <w:rPr>
          <w:rFonts w:ascii="Nunito" w:eastAsia="Nunito" w:hAnsi="Nunito" w:cs="Nunito"/>
          <w:sz w:val="24"/>
          <w:szCs w:val="24"/>
        </w:rPr>
      </w:pPr>
    </w:p>
    <w:p w14:paraId="0D6EE26D"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Además, dentro del legislativo se ha avalado proyectos abiertamente discriminatorios. Tal fue el caso de la Iniciativa</w:t>
      </w:r>
      <w:r>
        <w:rPr>
          <w:rFonts w:ascii="Nunito" w:eastAsia="Nunito" w:hAnsi="Nunito" w:cs="Nunito"/>
          <w:i/>
          <w:sz w:val="24"/>
          <w:szCs w:val="24"/>
        </w:rPr>
        <w:t xml:space="preserve"> de Ley Para la Protección de la Vida y la Familia</w:t>
      </w:r>
      <w:r>
        <w:rPr>
          <w:rFonts w:ascii="Nunito" w:eastAsia="Nunito" w:hAnsi="Nunito" w:cs="Nunito"/>
          <w:i/>
          <w:sz w:val="24"/>
          <w:szCs w:val="24"/>
          <w:vertAlign w:val="superscript"/>
        </w:rPr>
        <w:footnoteReference w:id="12"/>
      </w:r>
      <w:r>
        <w:rPr>
          <w:rFonts w:ascii="Nunito" w:eastAsia="Nunito" w:hAnsi="Nunito" w:cs="Nunito"/>
          <w:i/>
          <w:sz w:val="24"/>
          <w:szCs w:val="24"/>
        </w:rPr>
        <w:t xml:space="preserve">, </w:t>
      </w:r>
      <w:r>
        <w:rPr>
          <w:rFonts w:ascii="Nunito" w:eastAsia="Nunito" w:hAnsi="Nunito" w:cs="Nunito"/>
          <w:sz w:val="24"/>
          <w:szCs w:val="24"/>
        </w:rPr>
        <w:t xml:space="preserve">movilizada por las bancadas conservadoras del Congreso, que tenía por objeto proscribir de forma explícita el matrimonio entre personas del mismo sexo y establecerlo únicamente como la unión entre un hombre y una mujer “así nacidos”, con el propósito de excluir también a las personas trans de dicha definición. Asimismo, dicha propuesta despenalizaba los actos de discriminación motivados por </w:t>
      </w:r>
      <w:r>
        <w:rPr>
          <w:rFonts w:ascii="Nunito" w:eastAsia="Nunito" w:hAnsi="Nunito" w:cs="Nunito"/>
          <w:sz w:val="24"/>
          <w:szCs w:val="24"/>
        </w:rPr>
        <w:lastRenderedPageBreak/>
        <w:t>la orientación sexual; prohibía la pedagogía en sexualidad y diversidad en las instituciones educativas y declaraba a la diversidad sexual como un comportamiento desviado que atenta contra la naturaleza humana. Este proyecto fue aprobado en marzo de 2022 pero por las presiones de los movimientos nacionales e internacionales de derechos humanos fue archivado antes de ser vetado por el Presidente</w:t>
      </w:r>
      <w:r>
        <w:rPr>
          <w:rFonts w:ascii="Nunito" w:eastAsia="Nunito" w:hAnsi="Nunito" w:cs="Nunito"/>
          <w:sz w:val="24"/>
          <w:szCs w:val="24"/>
          <w:vertAlign w:val="superscript"/>
        </w:rPr>
        <w:footnoteReference w:id="13"/>
      </w:r>
      <w:r>
        <w:rPr>
          <w:rFonts w:ascii="Nunito" w:eastAsia="Nunito" w:hAnsi="Nunito" w:cs="Nunito"/>
          <w:sz w:val="24"/>
          <w:szCs w:val="24"/>
        </w:rPr>
        <w:t xml:space="preserve">. </w:t>
      </w:r>
    </w:p>
    <w:p w14:paraId="71F12026" w14:textId="77777777" w:rsidR="000E1BBC" w:rsidRDefault="000E1BBC">
      <w:pPr>
        <w:spacing w:line="259" w:lineRule="auto"/>
        <w:jc w:val="both"/>
        <w:rPr>
          <w:rFonts w:ascii="Nunito" w:eastAsia="Nunito" w:hAnsi="Nunito" w:cs="Nunito"/>
          <w:sz w:val="24"/>
          <w:szCs w:val="24"/>
        </w:rPr>
      </w:pPr>
    </w:p>
    <w:p w14:paraId="4A6B469E"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Estas manifestaciones institucionales de homotransfobia, refuerzan las narrativas fuertemente discriminatorias en contra de las personas LGBTQ+ que circulan con regularidad entre la población y los medios de comunicación guatemaltecos, obstaculizando o impidiendo, el ejercicio de varios de sus derechos humanos, como la participación política</w:t>
      </w:r>
      <w:r>
        <w:rPr>
          <w:rFonts w:ascii="Nunito" w:eastAsia="Nunito" w:hAnsi="Nunito" w:cs="Nunito"/>
          <w:sz w:val="24"/>
          <w:szCs w:val="24"/>
          <w:vertAlign w:val="superscript"/>
        </w:rPr>
        <w:footnoteReference w:id="14"/>
      </w:r>
      <w:r>
        <w:rPr>
          <w:rFonts w:ascii="Nunito" w:eastAsia="Nunito" w:hAnsi="Nunito" w:cs="Nunito"/>
          <w:sz w:val="24"/>
          <w:szCs w:val="24"/>
        </w:rPr>
        <w:t xml:space="preserve"> o la libertad de expresión</w:t>
      </w:r>
      <w:r>
        <w:rPr>
          <w:rFonts w:ascii="Nunito" w:eastAsia="Nunito" w:hAnsi="Nunito" w:cs="Nunito"/>
          <w:sz w:val="24"/>
          <w:szCs w:val="24"/>
          <w:vertAlign w:val="superscript"/>
        </w:rPr>
        <w:footnoteReference w:id="15"/>
      </w:r>
      <w:r>
        <w:rPr>
          <w:rFonts w:ascii="Nunito" w:eastAsia="Nunito" w:hAnsi="Nunito" w:cs="Nunito"/>
          <w:sz w:val="24"/>
          <w:szCs w:val="24"/>
        </w:rPr>
        <w:t xml:space="preserve">. Ahora, en el caso de las personas LGBTQ+ indígenas este marco de desprotección, e incluso de discriminación estatal por la concurrencia de diversos factores identitarios, se manifiesta de formas particulares, que merecen una atención específica. </w:t>
      </w:r>
    </w:p>
    <w:p w14:paraId="1080FC22" w14:textId="77777777" w:rsidR="000E1BBC" w:rsidRDefault="000E1BBC">
      <w:pPr>
        <w:spacing w:line="259" w:lineRule="auto"/>
        <w:jc w:val="both"/>
        <w:rPr>
          <w:rFonts w:ascii="Nunito" w:eastAsia="Nunito" w:hAnsi="Nunito" w:cs="Nunito"/>
          <w:sz w:val="24"/>
          <w:szCs w:val="24"/>
        </w:rPr>
      </w:pPr>
    </w:p>
    <w:p w14:paraId="3F556AEF" w14:textId="77777777" w:rsidR="000E1BBC" w:rsidRDefault="00000000">
      <w:pPr>
        <w:spacing w:line="259" w:lineRule="auto"/>
        <w:jc w:val="both"/>
        <w:rPr>
          <w:rFonts w:ascii="Nunito" w:eastAsia="Nunito" w:hAnsi="Nunito" w:cs="Nunito"/>
          <w:sz w:val="24"/>
          <w:szCs w:val="24"/>
        </w:rPr>
      </w:pPr>
      <w:r>
        <w:rPr>
          <w:rFonts w:ascii="Nunito" w:eastAsia="Nunito" w:hAnsi="Nunito" w:cs="Nunito"/>
          <w:b/>
          <w:sz w:val="24"/>
          <w:szCs w:val="24"/>
        </w:rPr>
        <w:t>De acuerdo con las entrevistas realizadas por la Asociación Lambda para este informe,</w:t>
      </w:r>
      <w:r>
        <w:rPr>
          <w:rFonts w:ascii="Nunito" w:eastAsia="Nunito" w:hAnsi="Nunito" w:cs="Nunito"/>
          <w:sz w:val="24"/>
          <w:szCs w:val="24"/>
        </w:rPr>
        <w:t xml:space="preserve"> las tradiciones, creencias y estructuras sociales de las comunidades indígenas de Guatemala -aunque en un principio distaban de las occidentales-, producto del proceso de conquista y colonización</w:t>
      </w:r>
      <w:r>
        <w:rPr>
          <w:rFonts w:ascii="Nunito" w:eastAsia="Nunito" w:hAnsi="Nunito" w:cs="Nunito"/>
          <w:sz w:val="24"/>
          <w:szCs w:val="24"/>
          <w:vertAlign w:val="superscript"/>
        </w:rPr>
        <w:footnoteReference w:id="16"/>
      </w:r>
      <w:r>
        <w:rPr>
          <w:rFonts w:ascii="Nunito" w:eastAsia="Nunito" w:hAnsi="Nunito" w:cs="Nunito"/>
          <w:sz w:val="24"/>
          <w:szCs w:val="24"/>
        </w:rPr>
        <w:t xml:space="preserve">, en su mayoría reproducen actualmente nociones hegemónicas de los conceptos de familia, género y sexualidad. Esto ha traído como consecuencia que personas LGBTQ+ que pertenecen a estos grupos, sean víctimas de rechazo, discriminación, ostracismo e incluso violencia por </w:t>
      </w:r>
      <w:r>
        <w:rPr>
          <w:rFonts w:ascii="Nunito" w:eastAsia="Nunito" w:hAnsi="Nunito" w:cs="Nunito"/>
          <w:sz w:val="24"/>
          <w:szCs w:val="24"/>
        </w:rPr>
        <w:lastRenderedPageBreak/>
        <w:t>parte de sus propias familias y demás vinculos cercanos dentro de su comunidad</w:t>
      </w:r>
      <w:r>
        <w:rPr>
          <w:rFonts w:ascii="Nunito" w:eastAsia="Nunito" w:hAnsi="Nunito" w:cs="Nunito"/>
          <w:sz w:val="24"/>
          <w:szCs w:val="24"/>
          <w:vertAlign w:val="superscript"/>
        </w:rPr>
        <w:footnoteReference w:id="17"/>
      </w:r>
      <w:r>
        <w:rPr>
          <w:rFonts w:ascii="Nunito" w:eastAsia="Nunito" w:hAnsi="Nunito" w:cs="Nunito"/>
          <w:sz w:val="24"/>
          <w:szCs w:val="24"/>
        </w:rPr>
        <w:t xml:space="preserve">, quienes los señalan como una amenaza para las costumbres comunitarias o un mal ejemplo para los demás miembros, particularmente para la niñez. </w:t>
      </w:r>
    </w:p>
    <w:p w14:paraId="4AF430B6" w14:textId="77777777" w:rsidR="000E1BBC" w:rsidRDefault="000E1BBC">
      <w:pPr>
        <w:spacing w:line="259" w:lineRule="auto"/>
        <w:jc w:val="both"/>
        <w:rPr>
          <w:rFonts w:ascii="Nunito" w:eastAsia="Nunito" w:hAnsi="Nunito" w:cs="Nunito"/>
          <w:sz w:val="24"/>
          <w:szCs w:val="24"/>
        </w:rPr>
      </w:pPr>
    </w:p>
    <w:p w14:paraId="14FD8073"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 xml:space="preserve">Sumado a esto, la amplia distancia geográfica de los territorios indígenas a las cabeceras municipales o áreas urbanas donde hay mayor actividad económica, motiva a las personas LGBTIQ+ indígenas a migrar a ciudades en donde consideran que pueden expresar con mayor libertad su sexualidad o identidad de género, así como conseguir mejores oportunidades laborales. El destino de recepción que suelen elegir con más frecuencia es Ciudad de Guatemala. En estas ciudades o municipios en los que gran parte de la población es mestiza (ladina), la exposición a discriminación por motivos raciales aumenta significativamente. </w:t>
      </w:r>
    </w:p>
    <w:p w14:paraId="5C357672" w14:textId="77777777" w:rsidR="000E1BBC" w:rsidRDefault="000E1BBC">
      <w:pPr>
        <w:spacing w:line="259" w:lineRule="auto"/>
        <w:jc w:val="both"/>
        <w:rPr>
          <w:rFonts w:ascii="Nunito" w:eastAsia="Nunito" w:hAnsi="Nunito" w:cs="Nunito"/>
          <w:sz w:val="24"/>
          <w:szCs w:val="24"/>
        </w:rPr>
      </w:pPr>
    </w:p>
    <w:p w14:paraId="0A0DD5E0"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 xml:space="preserve">Los testimonios de las personas LGBTQ+ consultadas son reiterativos al afirmar que fuera de sus territorios además de sentirse señaladas por su identidad y expresión de género o por su orientación sexual, han sido discriminadas por su origen étnico. En contextos en los que no es sabido que estas personas se identifican como indígenas, se les ha estigmatizado partiendo de rasgos fenotípicos, acentos al hablar, utilización de lenguas autóctonas o por tener apellidos de origen indígena. </w:t>
      </w:r>
    </w:p>
    <w:p w14:paraId="4FD29969" w14:textId="77777777" w:rsidR="000E1BBC" w:rsidRDefault="000E1BBC">
      <w:pPr>
        <w:spacing w:line="259" w:lineRule="auto"/>
        <w:jc w:val="both"/>
        <w:rPr>
          <w:rFonts w:ascii="Nunito" w:eastAsia="Nunito" w:hAnsi="Nunito" w:cs="Nunito"/>
          <w:sz w:val="24"/>
          <w:szCs w:val="24"/>
        </w:rPr>
      </w:pPr>
    </w:p>
    <w:p w14:paraId="5D544355"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Vale la pena resaltar la experiencia de una mujer trans que, estando en ciudad de Guatemala decidió vestirse con indumentaria maya y fue discriminada en repetidas ocasiones con insultos tanto por su vestimenta como por su expresión de género femenina. Algunas de estas personas de origen maya señalan también haber sufrido discriminación por no saber hablar español. Debido a esto, varias mencionaron que para protegerse de agresiones y otras formas de marginalización,  se ven obligadas a ocultar su identidad étnica. Con frecuencia, adoptan una apariencia o expresión ladina o mestiza como estrategia para evitar la discriminación, lo que es en sí mismo, una forma de violencia</w:t>
      </w:r>
      <w:r>
        <w:rPr>
          <w:rFonts w:ascii="Nunito" w:eastAsia="Nunito" w:hAnsi="Nunito" w:cs="Nunito"/>
          <w:sz w:val="24"/>
          <w:szCs w:val="24"/>
          <w:vertAlign w:val="superscript"/>
        </w:rPr>
        <w:footnoteReference w:id="18"/>
      </w:r>
      <w:r>
        <w:rPr>
          <w:rFonts w:ascii="Nunito" w:eastAsia="Nunito" w:hAnsi="Nunito" w:cs="Nunito"/>
          <w:sz w:val="24"/>
          <w:szCs w:val="24"/>
        </w:rPr>
        <w:t xml:space="preserve">.  </w:t>
      </w:r>
    </w:p>
    <w:p w14:paraId="04A80D31"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En consecuencia, el Estado no acató la recomendación de este Comité de adoptar todas las medidas necesarias para la protección y preservación de la identidad cultural de los pueblos indígenas</w:t>
      </w:r>
      <w:r>
        <w:rPr>
          <w:rFonts w:ascii="Nunito" w:eastAsia="Nunito" w:hAnsi="Nunito" w:cs="Nunito"/>
          <w:sz w:val="24"/>
          <w:szCs w:val="24"/>
          <w:vertAlign w:val="superscript"/>
        </w:rPr>
        <w:footnoteReference w:id="19"/>
      </w:r>
      <w:r>
        <w:rPr>
          <w:rFonts w:ascii="Nunito" w:eastAsia="Nunito" w:hAnsi="Nunito" w:cs="Nunito"/>
          <w:sz w:val="24"/>
          <w:szCs w:val="24"/>
        </w:rPr>
        <w:t xml:space="preserve">. </w:t>
      </w:r>
    </w:p>
    <w:p w14:paraId="3E0EC733" w14:textId="77777777" w:rsidR="000E1BBC" w:rsidRDefault="000E1BBC">
      <w:pPr>
        <w:spacing w:line="259" w:lineRule="auto"/>
        <w:jc w:val="both"/>
        <w:rPr>
          <w:rFonts w:ascii="Nunito" w:eastAsia="Nunito" w:hAnsi="Nunito" w:cs="Nunito"/>
          <w:sz w:val="24"/>
          <w:szCs w:val="24"/>
        </w:rPr>
      </w:pPr>
    </w:p>
    <w:p w14:paraId="57FCC46C"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lastRenderedPageBreak/>
        <w:t xml:space="preserve">Producto de estas situaciones de discriminación y en algunos casos de barreras idiomaticas, las personas LGBTQ+ indígenas con las que se pudo dialogar afirman que se les dificultó conseguir oportunidades laborales formales. Ello derivó en que tuvieran que participar en economías informales para conseguir su sustento. En el caso de las mujeres trans, el ejercicio del trabajo sexual ha sido su principal fuente de ingresos. En el ejercicio de esta actividad señalan también ser discriminadas por otras compañeras y por sus clientes aludiendo a motivos raciales. </w:t>
      </w:r>
    </w:p>
    <w:p w14:paraId="1708355C" w14:textId="77777777" w:rsidR="000E1BBC" w:rsidRDefault="000E1BBC">
      <w:pPr>
        <w:spacing w:line="259" w:lineRule="auto"/>
        <w:jc w:val="both"/>
        <w:rPr>
          <w:rFonts w:ascii="Nunito" w:eastAsia="Nunito" w:hAnsi="Nunito" w:cs="Nunito"/>
          <w:sz w:val="24"/>
          <w:szCs w:val="24"/>
        </w:rPr>
      </w:pPr>
    </w:p>
    <w:p w14:paraId="30F3C0E5"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Lastimosamente, esto demuestra que el Estado de Guatemala ha incumplido la recomendación realizada en el ciclo anterior de adoptar una política nacional integral de lucha contra la discriminación racial y el racismo que promueva de manera efectiva la inclusión social y reduzca los altos índices de pobreza y desigualdad que afectan a miembros de los pueblos indígenas</w:t>
      </w:r>
      <w:r>
        <w:rPr>
          <w:rFonts w:ascii="Nunito" w:eastAsia="Nunito" w:hAnsi="Nunito" w:cs="Nunito"/>
          <w:sz w:val="24"/>
          <w:szCs w:val="24"/>
          <w:vertAlign w:val="superscript"/>
        </w:rPr>
        <w:footnoteReference w:id="20"/>
      </w:r>
      <w:r>
        <w:rPr>
          <w:rFonts w:ascii="Nunito" w:eastAsia="Nunito" w:hAnsi="Nunito" w:cs="Nunito"/>
          <w:sz w:val="24"/>
          <w:szCs w:val="24"/>
        </w:rPr>
        <w:t xml:space="preserve">. </w:t>
      </w:r>
    </w:p>
    <w:p w14:paraId="123BED0E" w14:textId="77777777" w:rsidR="000E1BBC" w:rsidRDefault="000E1BBC">
      <w:pPr>
        <w:spacing w:line="259" w:lineRule="auto"/>
        <w:jc w:val="both"/>
        <w:rPr>
          <w:rFonts w:ascii="Nunito" w:eastAsia="Nunito" w:hAnsi="Nunito" w:cs="Nunito"/>
          <w:sz w:val="24"/>
          <w:szCs w:val="24"/>
        </w:rPr>
      </w:pPr>
    </w:p>
    <w:p w14:paraId="20020017"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 xml:space="preserve">Además de la discriminación, las personas LGBTQ+ indígenas están expuestas a actos de violencia. Como se mencionó anteriormente, uno de los escenarios donde estos actos suelen ocurrir es dentro de las mismas comunidades. De las entrevistas realizadas se hizo notorio que existe una práctica generalizada, especialmente en los pueblos mayas de Petén, Alta y Baja Verapaz de castigar a aquellas integrantes del grupo que tienen una orientación sexual, identidad o expresión de género diversa. Entre las prácticas habituales está el escarnio público, golpes, linchamientos o amenazas de muerte. Asimismo en el caso de mujeres trans denuncian que entre las sanciones aplicadas está cortarles el pelo como una forma de corrección de su identidad. </w:t>
      </w:r>
    </w:p>
    <w:p w14:paraId="07CA2935" w14:textId="77777777" w:rsidR="000E1BBC" w:rsidRDefault="000E1BBC">
      <w:pPr>
        <w:spacing w:line="259" w:lineRule="auto"/>
        <w:jc w:val="both"/>
        <w:rPr>
          <w:rFonts w:ascii="Nunito" w:eastAsia="Nunito" w:hAnsi="Nunito" w:cs="Nunito"/>
          <w:sz w:val="24"/>
          <w:szCs w:val="24"/>
        </w:rPr>
      </w:pPr>
    </w:p>
    <w:p w14:paraId="719B883A"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Es alarmante también que se estén utilizando rituales ancestrales como Esfuerzos para Cambiar la Orientación Sexual o la Identidad y Expresión de Género (ECOSIEG), considerados como formas de tortura u otros tratos crueles, inhumanos o degradantes por diferentes organismos de Naciones Unidas</w:t>
      </w:r>
      <w:r>
        <w:rPr>
          <w:rFonts w:ascii="Nunito" w:eastAsia="Nunito" w:hAnsi="Nunito" w:cs="Nunito"/>
          <w:sz w:val="24"/>
          <w:szCs w:val="24"/>
          <w:vertAlign w:val="superscript"/>
        </w:rPr>
        <w:footnoteReference w:id="21"/>
      </w:r>
      <w:r>
        <w:rPr>
          <w:rFonts w:ascii="Nunito" w:eastAsia="Nunito" w:hAnsi="Nunito" w:cs="Nunito"/>
          <w:sz w:val="24"/>
          <w:szCs w:val="24"/>
        </w:rPr>
        <w:t>, en contra de las personas indígenas LGBTQ+.  Este fue el caso de un joven gay de Baja Verapaz, que fue engañado por su padre para ir a comprar una medicina cuando en realidad lo llevaba donde unos pastores maya</w:t>
      </w:r>
      <w:r>
        <w:rPr>
          <w:rFonts w:ascii="Nunito" w:eastAsia="Nunito" w:hAnsi="Nunito" w:cs="Nunito"/>
          <w:i/>
          <w:sz w:val="24"/>
          <w:szCs w:val="24"/>
        </w:rPr>
        <w:t xml:space="preserve">. </w:t>
      </w:r>
      <w:r>
        <w:rPr>
          <w:rFonts w:ascii="Nunito" w:eastAsia="Nunito" w:hAnsi="Nunito" w:cs="Nunito"/>
          <w:sz w:val="24"/>
          <w:szCs w:val="24"/>
        </w:rPr>
        <w:t>Lo obligaron a tomar un bebedizo</w:t>
      </w:r>
      <w:r>
        <w:rPr>
          <w:rFonts w:ascii="Nunito" w:eastAsia="Nunito" w:hAnsi="Nunito" w:cs="Nunito"/>
          <w:sz w:val="24"/>
          <w:szCs w:val="24"/>
          <w:vertAlign w:val="superscript"/>
        </w:rPr>
        <w:footnoteReference w:id="22"/>
      </w:r>
      <w:r>
        <w:rPr>
          <w:rFonts w:ascii="Nunito" w:eastAsia="Nunito" w:hAnsi="Nunito" w:cs="Nunito"/>
          <w:sz w:val="24"/>
          <w:szCs w:val="24"/>
        </w:rPr>
        <w:t xml:space="preserve"> mientras realizaban un ritual que prometía </w:t>
      </w:r>
      <w:r>
        <w:rPr>
          <w:rFonts w:ascii="Nunito" w:eastAsia="Nunito" w:hAnsi="Nunito" w:cs="Nunito"/>
          <w:i/>
          <w:sz w:val="24"/>
          <w:szCs w:val="24"/>
        </w:rPr>
        <w:t xml:space="preserve">curarlo </w:t>
      </w:r>
      <w:r>
        <w:rPr>
          <w:rFonts w:ascii="Nunito" w:eastAsia="Nunito" w:hAnsi="Nunito" w:cs="Nunito"/>
          <w:sz w:val="24"/>
          <w:szCs w:val="24"/>
        </w:rPr>
        <w:t xml:space="preserve">y hacer que le gustaran las mujeres. Este brebaje le produjo fuertes malestares gastrointestinales afectando su salud. </w:t>
      </w:r>
    </w:p>
    <w:p w14:paraId="76C61F30" w14:textId="77777777" w:rsidR="000E1BBC" w:rsidRDefault="000E1BBC">
      <w:pPr>
        <w:spacing w:line="259" w:lineRule="auto"/>
        <w:jc w:val="both"/>
        <w:rPr>
          <w:rFonts w:ascii="Nunito" w:eastAsia="Nunito" w:hAnsi="Nunito" w:cs="Nunito"/>
          <w:sz w:val="24"/>
          <w:szCs w:val="24"/>
        </w:rPr>
      </w:pPr>
    </w:p>
    <w:p w14:paraId="29A77A09" w14:textId="4E98EDE1"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lastRenderedPageBreak/>
        <w:t>La violencia letal contra las personas LGBTQ+ indígenas es la manifestación última y más severa de la conjunción entre los prejuicios sobre el género y la sexualidad, y el racismo. Aunque en Guatemala no existe un registro oficial que reporte las cifras de muertes violentas ocurridas por esta razón, el Observatorio de Derechos Humanos y Violencias por Orientación Sexual e Identidad de Género de Lambda reportó en 2024 víctimas indígenas. El primero caso es el de un joven de etnia maya, quien fue ejecutado extrajudicialmente junto con su pareja que era un ciudadano canadiense, por parte de miembros de la Policía Nacional Civil en el departamento de Chimaltenango. En 2023 se reportaron dos muertes violentas de al menos dos personas LGBTI+ garífunas una en el departamento de Izabal y otra más en el departamento de Chiquimula, no obstante, no se cuentan con más detalles</w:t>
      </w:r>
      <w:r>
        <w:rPr>
          <w:rFonts w:ascii="Nunito" w:eastAsia="Nunito" w:hAnsi="Nunito" w:cs="Nunito"/>
          <w:sz w:val="24"/>
          <w:szCs w:val="24"/>
          <w:vertAlign w:val="superscript"/>
        </w:rPr>
        <w:footnoteReference w:id="23"/>
      </w:r>
      <w:r>
        <w:rPr>
          <w:rFonts w:ascii="Nunito" w:eastAsia="Nunito" w:hAnsi="Nunito" w:cs="Nunito"/>
          <w:sz w:val="24"/>
          <w:szCs w:val="24"/>
        </w:rPr>
        <w:t xml:space="preserve">. </w:t>
      </w:r>
    </w:p>
    <w:p w14:paraId="19018004" w14:textId="77777777" w:rsidR="000E1BBC" w:rsidRDefault="000E1BBC">
      <w:pPr>
        <w:spacing w:line="259" w:lineRule="auto"/>
        <w:jc w:val="both"/>
        <w:rPr>
          <w:rFonts w:ascii="Nunito" w:eastAsia="Nunito" w:hAnsi="Nunito" w:cs="Nunito"/>
          <w:sz w:val="24"/>
          <w:szCs w:val="24"/>
        </w:rPr>
      </w:pPr>
    </w:p>
    <w:p w14:paraId="6998DDA3" w14:textId="0D88300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Otro caso res</w:t>
      </w:r>
      <w:r w:rsidR="00744FBB">
        <w:rPr>
          <w:rFonts w:ascii="Nunito" w:eastAsia="Nunito" w:hAnsi="Nunito" w:cs="Nunito"/>
          <w:sz w:val="24"/>
          <w:szCs w:val="24"/>
        </w:rPr>
        <w:t>al</w:t>
      </w:r>
      <w:r>
        <w:rPr>
          <w:rFonts w:ascii="Nunito" w:eastAsia="Nunito" w:hAnsi="Nunito" w:cs="Nunito"/>
          <w:sz w:val="24"/>
          <w:szCs w:val="24"/>
        </w:rPr>
        <w:t>ta cómo en Guatemala la confluencia de factores identitarios subordinados a sistemas de dominación como el patriarcado o la blanquitud, así como el ejercicio del activismo en derechos humanos, pueden exponer a una persona a graves situaciones de vulnerabilidad que resulten en su asesinato, es el transfeminicidio de una mujer indígena</w:t>
      </w:r>
      <w:r w:rsidR="00D160C8">
        <w:rPr>
          <w:rFonts w:ascii="Nunito" w:eastAsia="Nunito" w:hAnsi="Nunito" w:cs="Nunito"/>
          <w:sz w:val="24"/>
          <w:szCs w:val="24"/>
        </w:rPr>
        <w:t xml:space="preserve"> en Ci</w:t>
      </w:r>
      <w:r w:rsidR="000526EA">
        <w:rPr>
          <w:rFonts w:ascii="Nunito" w:eastAsia="Nunito" w:hAnsi="Nunito" w:cs="Nunito"/>
          <w:sz w:val="24"/>
          <w:szCs w:val="24"/>
        </w:rPr>
        <w:t>u</w:t>
      </w:r>
      <w:r w:rsidR="00D160C8">
        <w:rPr>
          <w:rFonts w:ascii="Nunito" w:eastAsia="Nunito" w:hAnsi="Nunito" w:cs="Nunito"/>
          <w:sz w:val="24"/>
          <w:szCs w:val="24"/>
        </w:rPr>
        <w:t>dad de Guatemala en el año 2022. La víctima</w:t>
      </w:r>
      <w:r>
        <w:rPr>
          <w:rFonts w:ascii="Nunito" w:eastAsia="Nunito" w:hAnsi="Nunito" w:cs="Nunito"/>
          <w:sz w:val="24"/>
          <w:szCs w:val="24"/>
        </w:rPr>
        <w:t xml:space="preserve"> era una defensora de derechos humanos y trabajadora sexual que desde muy joven llegó a </w:t>
      </w:r>
      <w:r w:rsidR="00D160C8">
        <w:rPr>
          <w:rFonts w:ascii="Nunito" w:eastAsia="Nunito" w:hAnsi="Nunito" w:cs="Nunito"/>
          <w:sz w:val="24"/>
          <w:szCs w:val="24"/>
        </w:rPr>
        <w:t>la capital</w:t>
      </w:r>
      <w:r>
        <w:rPr>
          <w:rFonts w:ascii="Nunito" w:eastAsia="Nunito" w:hAnsi="Nunito" w:cs="Nunito"/>
          <w:sz w:val="24"/>
          <w:szCs w:val="24"/>
        </w:rPr>
        <w:t xml:space="preserve"> huyendo de la pobreza y la discriminación de su familia. Luego de realizar una denuncia contra la Policía de la ciudad por extorsiones y malos tratos contra las trabajadoras sexuales, fue brutalmente golpeada y amenazada. Aunque ella y sus compañeras denunciaron los hechos, a la semana otro hombre le disparó en la cara luego de burlarse de su identidad de género. </w:t>
      </w:r>
    </w:p>
    <w:p w14:paraId="287B9B4B" w14:textId="77777777" w:rsidR="000E1BBC" w:rsidRDefault="000E1BBC">
      <w:pPr>
        <w:spacing w:line="259" w:lineRule="auto"/>
        <w:jc w:val="both"/>
        <w:rPr>
          <w:rFonts w:ascii="Nunito" w:eastAsia="Nunito" w:hAnsi="Nunito" w:cs="Nunito"/>
          <w:sz w:val="24"/>
          <w:szCs w:val="24"/>
        </w:rPr>
      </w:pPr>
    </w:p>
    <w:p w14:paraId="2901675C"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A propósito de este caso se puede afirmar que el Estado de Guatemala incumplió su deber convencional de garantizar el derecho a la seguridad personal y a la protección del Estado contra todo acto de violencia o atentado contra la integridad personal cometido por funcionarios públicos o por cualquier individuo</w:t>
      </w:r>
      <w:r>
        <w:rPr>
          <w:rFonts w:ascii="Nunito" w:eastAsia="Nunito" w:hAnsi="Nunito" w:cs="Nunito"/>
          <w:sz w:val="24"/>
          <w:szCs w:val="24"/>
          <w:vertAlign w:val="superscript"/>
        </w:rPr>
        <w:footnoteReference w:id="24"/>
      </w:r>
      <w:r>
        <w:rPr>
          <w:rFonts w:ascii="Nunito" w:eastAsia="Nunito" w:hAnsi="Nunito" w:cs="Nunito"/>
          <w:sz w:val="24"/>
          <w:szCs w:val="24"/>
        </w:rPr>
        <w:t xml:space="preserve">. </w:t>
      </w:r>
    </w:p>
    <w:p w14:paraId="35E70977" w14:textId="77777777" w:rsidR="000E1BBC" w:rsidRDefault="000E1BBC">
      <w:pPr>
        <w:spacing w:line="259" w:lineRule="auto"/>
        <w:jc w:val="both"/>
        <w:rPr>
          <w:rFonts w:ascii="Nunito" w:eastAsia="Nunito" w:hAnsi="Nunito" w:cs="Nunito"/>
          <w:sz w:val="24"/>
          <w:szCs w:val="24"/>
        </w:rPr>
      </w:pPr>
    </w:p>
    <w:p w14:paraId="7B62FA49"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En cuanto a la tipificación y judicialización de los hechos discriminatorios aquí descritos, aunque el Código Penal tipifica la discriminación</w:t>
      </w:r>
      <w:r>
        <w:rPr>
          <w:rFonts w:ascii="Nunito" w:eastAsia="Nunito" w:hAnsi="Nunito" w:cs="Nunito"/>
          <w:sz w:val="24"/>
          <w:szCs w:val="24"/>
          <w:vertAlign w:val="superscript"/>
        </w:rPr>
        <w:footnoteReference w:id="25"/>
      </w:r>
      <w:r>
        <w:rPr>
          <w:rFonts w:ascii="Nunito" w:eastAsia="Nunito" w:hAnsi="Nunito" w:cs="Nunito"/>
          <w:sz w:val="24"/>
          <w:szCs w:val="24"/>
          <w:vertAlign w:val="superscript"/>
        </w:rPr>
        <w:t xml:space="preserve"> </w:t>
      </w:r>
      <w:r>
        <w:rPr>
          <w:rFonts w:ascii="Nunito" w:eastAsia="Nunito" w:hAnsi="Nunito" w:cs="Nunito"/>
          <w:sz w:val="24"/>
          <w:szCs w:val="24"/>
        </w:rPr>
        <w:t xml:space="preserve">como un delito, esta ley no incluye explícitamente la orientación sexual, identidad o expresión de género como categorías protegidas. Y a pesar de que sí incluye la discriminación por motivos étnico-raciales, la elaboración de esta norma no contó con consulta previa a </w:t>
      </w:r>
      <w:r>
        <w:rPr>
          <w:rFonts w:ascii="Nunito" w:eastAsia="Nunito" w:hAnsi="Nunito" w:cs="Nunito"/>
          <w:sz w:val="24"/>
          <w:szCs w:val="24"/>
        </w:rPr>
        <w:lastRenderedPageBreak/>
        <w:t>movimientos sociales indígenas</w:t>
      </w:r>
      <w:r>
        <w:rPr>
          <w:rFonts w:ascii="Nunito" w:eastAsia="Nunito" w:hAnsi="Nunito" w:cs="Nunito"/>
          <w:sz w:val="24"/>
          <w:szCs w:val="24"/>
          <w:vertAlign w:val="superscript"/>
        </w:rPr>
        <w:footnoteReference w:id="26"/>
      </w:r>
      <w:r>
        <w:rPr>
          <w:rFonts w:ascii="Nunito" w:eastAsia="Nunito" w:hAnsi="Nunito" w:cs="Nunito"/>
          <w:sz w:val="24"/>
          <w:szCs w:val="24"/>
        </w:rPr>
        <w:t xml:space="preserve">. En esa medida, tampoco contempla las experiencias y necesidades puntuales que tienen estas comunidades, y que al no ser uniformes requieren de enfoques diferenciales, como es el caso de las personas LGBTQ+ indígenas. En consecuencia, en la práctica, esta prohibición legal no ha servido para eliminar la segregación en su contra y no contempla la confluencia de factores identitarios que puedan resultar en una doble discriminación, como lo es la raza y la orientación sexual o la expresión e identidad de género. </w:t>
      </w:r>
    </w:p>
    <w:p w14:paraId="1F28BD7B" w14:textId="77777777" w:rsidR="000E1BBC" w:rsidRDefault="000E1BBC">
      <w:pPr>
        <w:spacing w:line="259" w:lineRule="auto"/>
        <w:jc w:val="both"/>
        <w:rPr>
          <w:rFonts w:ascii="Nunito" w:eastAsia="Nunito" w:hAnsi="Nunito" w:cs="Nunito"/>
          <w:sz w:val="24"/>
          <w:szCs w:val="24"/>
        </w:rPr>
      </w:pPr>
    </w:p>
    <w:p w14:paraId="78F9CE01"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En cuanto a las cifras de judicialización de casos en los que se invoca la comisión del delito de discriminación contra personas indígenas con orientaciones sexuales e identidades de género diversas, el Organismo Judicial de Guatemala a través de su Sistema de Gestión de Tribunales, no cuenta con información exacta en cuanto a la cantidad de sentencias condenatorias y absolutorias emitidas, solamente informa que han sido 40 hasta el año 2024</w:t>
      </w:r>
      <w:r>
        <w:rPr>
          <w:rFonts w:ascii="Nunito" w:eastAsia="Nunito" w:hAnsi="Nunito" w:cs="Nunito"/>
          <w:sz w:val="24"/>
          <w:szCs w:val="24"/>
          <w:vertAlign w:val="superscript"/>
        </w:rPr>
        <w:footnoteReference w:id="27"/>
      </w:r>
      <w:r>
        <w:rPr>
          <w:rFonts w:ascii="Nunito" w:eastAsia="Nunito" w:hAnsi="Nunito" w:cs="Nunito"/>
          <w:sz w:val="24"/>
          <w:szCs w:val="24"/>
        </w:rPr>
        <w:t>. Asimismo, las estadísticas no están desagregadas por orientación sexual, identidad de género u origen étnico de la persona víctima del delito juzgado</w:t>
      </w:r>
      <w:r>
        <w:rPr>
          <w:rFonts w:ascii="Nunito" w:eastAsia="Nunito" w:hAnsi="Nunito" w:cs="Nunito"/>
          <w:sz w:val="24"/>
          <w:szCs w:val="24"/>
          <w:vertAlign w:val="superscript"/>
        </w:rPr>
        <w:footnoteReference w:id="28"/>
      </w:r>
      <w:r>
        <w:rPr>
          <w:rFonts w:ascii="Nunito" w:eastAsia="Nunito" w:hAnsi="Nunito" w:cs="Nunito"/>
          <w:sz w:val="24"/>
          <w:szCs w:val="24"/>
        </w:rPr>
        <w:t xml:space="preserve">. </w:t>
      </w:r>
    </w:p>
    <w:p w14:paraId="2260F0A7" w14:textId="77777777" w:rsidR="000E1BBC" w:rsidRDefault="000E1BBC">
      <w:pPr>
        <w:spacing w:line="259" w:lineRule="auto"/>
        <w:jc w:val="both"/>
        <w:rPr>
          <w:rFonts w:ascii="Nunito" w:eastAsia="Nunito" w:hAnsi="Nunito" w:cs="Nunito"/>
          <w:sz w:val="24"/>
          <w:szCs w:val="24"/>
        </w:rPr>
      </w:pPr>
    </w:p>
    <w:p w14:paraId="7BFD0CE8"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No obstante, el Ministerio Público</w:t>
      </w:r>
      <w:r>
        <w:rPr>
          <w:rFonts w:ascii="Nunito" w:eastAsia="Nunito" w:hAnsi="Nunito" w:cs="Nunito"/>
          <w:sz w:val="24"/>
          <w:szCs w:val="24"/>
          <w:vertAlign w:val="superscript"/>
        </w:rPr>
        <w:footnoteReference w:id="29"/>
      </w:r>
      <w:r>
        <w:rPr>
          <w:rFonts w:ascii="Nunito" w:eastAsia="Nunito" w:hAnsi="Nunito" w:cs="Nunito"/>
          <w:sz w:val="24"/>
          <w:szCs w:val="24"/>
        </w:rPr>
        <w:t xml:space="preserve"> sí cuenta con variables para recoger algunos de estos datos. Según la información proporcionada por este organismo, en el periodo de enero de 2020 al 17 de julio de 2025, a nivel nacional en Guatemala, se reportaron 68 denuncias por el delito de discriminación promovidas por personas LGBTIQ+, de las cuales solo 1 de ellas indicó ser indígena de etnia maya. Ninguna llegó a tener sentencia. De esa cifra 55 denuncias fueron desestimadas; 5 fueron archivadas; 2 fueron resueltas por medio de criterio de oportunidad; 1 fue conexada a otra causa penal; 1 se encuentra en procedimiento intermedio y 4 se encuentran en investigación. </w:t>
      </w:r>
    </w:p>
    <w:p w14:paraId="35E5231B" w14:textId="77777777" w:rsidR="000E1BBC" w:rsidRDefault="000E1BBC">
      <w:pPr>
        <w:spacing w:line="259" w:lineRule="auto"/>
        <w:jc w:val="both"/>
        <w:rPr>
          <w:rFonts w:ascii="Nunito" w:eastAsia="Nunito" w:hAnsi="Nunito" w:cs="Nunito"/>
          <w:sz w:val="24"/>
          <w:szCs w:val="24"/>
        </w:rPr>
      </w:pPr>
    </w:p>
    <w:p w14:paraId="3280A258"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 xml:space="preserve">Esta información evidencia dos problemáticas principales. En primer lugar, el Sistema Judicial de Guatemala carece de registros que incorporen variables como etnia, orientación sexual e identidad de género de las personas que acuden al sistema de justicia. Como resultado, no existen datos que permitan analizar los casos de discriminación en contra de personas LGBTQ+ indígenas y racializadas, ni su acceso efectivo a la justicia. En segundo lugar, se observa la ineficacia del tipo penal de discriminación motivada por el racismo, así como la falta de un abordaje interseccional que considere factores identitarios como orientación sexual, expresión </w:t>
      </w:r>
      <w:r>
        <w:rPr>
          <w:rFonts w:ascii="Nunito" w:eastAsia="Nunito" w:hAnsi="Nunito" w:cs="Nunito"/>
          <w:sz w:val="24"/>
          <w:szCs w:val="24"/>
        </w:rPr>
        <w:lastRenderedPageBreak/>
        <w:t xml:space="preserve">e identidad de género en el análisis interseccional de las denuncias por discriminación de este grupo. </w:t>
      </w:r>
    </w:p>
    <w:p w14:paraId="0BE0D427" w14:textId="77777777" w:rsidR="000E1BBC" w:rsidRDefault="000E1BBC">
      <w:pPr>
        <w:spacing w:line="259" w:lineRule="auto"/>
        <w:jc w:val="both"/>
        <w:rPr>
          <w:rFonts w:ascii="Nunito" w:eastAsia="Nunito" w:hAnsi="Nunito" w:cs="Nunito"/>
          <w:sz w:val="24"/>
          <w:szCs w:val="24"/>
        </w:rPr>
      </w:pPr>
    </w:p>
    <w:p w14:paraId="4B3788E6"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La ausencia de datos oficiales que registren las variables de orientación sexual e identidad de género no es exclusiva del Organismo Judicial de Guatemala. Instituciones de gran relevancia para la prevención y eliminación de la discriminación hacia los pueblos indígenas como la Comisión Presidencial Contra la Discriminación y el Racismo contra los Pueblos Indígenas en Guatemala (CODISRA)</w:t>
      </w:r>
      <w:r>
        <w:rPr>
          <w:rFonts w:ascii="Nunito" w:eastAsia="Nunito" w:hAnsi="Nunito" w:cs="Nunito"/>
          <w:sz w:val="24"/>
          <w:szCs w:val="24"/>
          <w:vertAlign w:val="superscript"/>
        </w:rPr>
        <w:footnoteReference w:id="30"/>
      </w:r>
      <w:r>
        <w:rPr>
          <w:rFonts w:ascii="Nunito" w:eastAsia="Nunito" w:hAnsi="Nunito" w:cs="Nunito"/>
          <w:sz w:val="24"/>
          <w:szCs w:val="24"/>
        </w:rPr>
        <w:t xml:space="preserve"> tampoco cuentan con dicha información. En el caso de otros entes relevantes en la lucha contra la discriminación y la transformación cultural como la Defensoría de la Mujer Indígena y el Ministerio de Cultura y Deporte, históricamente se han limitado a aplicar el enfoque étnico-cultural</w:t>
      </w:r>
      <w:r>
        <w:rPr>
          <w:rFonts w:ascii="Nunito" w:eastAsia="Nunito" w:hAnsi="Nunito" w:cs="Nunito"/>
          <w:sz w:val="24"/>
          <w:szCs w:val="24"/>
          <w:vertAlign w:val="superscript"/>
        </w:rPr>
        <w:footnoteReference w:id="31"/>
      </w:r>
      <w:r>
        <w:rPr>
          <w:rFonts w:ascii="Nunito" w:eastAsia="Nunito" w:hAnsi="Nunito" w:cs="Nunito"/>
          <w:sz w:val="24"/>
          <w:szCs w:val="24"/>
        </w:rPr>
        <w:t xml:space="preserve"> y no han explorado otras dimensiones de la identidad que se intersectan con lo indígena, como lo es la orientación sexual y la identidad o expresión de género de estas personas. Por ende, ninguna de estas entidades cuentan con datos para lograr la caracterización de las experiencias de vida y necesidades de las personas LGBTIQ+ indígenas, y en esa medida, tampoco pueden formular políticas públicas y asignar recursos públicos para responder a ellas y cumplir con su mandato de eliminación de la discriminación. </w:t>
      </w:r>
    </w:p>
    <w:p w14:paraId="2C8BCA41" w14:textId="77777777" w:rsidR="000E1BBC" w:rsidRDefault="000E1BBC">
      <w:pPr>
        <w:spacing w:line="259" w:lineRule="auto"/>
        <w:jc w:val="both"/>
        <w:rPr>
          <w:rFonts w:ascii="Nunito" w:eastAsia="Nunito" w:hAnsi="Nunito" w:cs="Nunito"/>
          <w:sz w:val="24"/>
          <w:szCs w:val="24"/>
        </w:rPr>
      </w:pPr>
    </w:p>
    <w:p w14:paraId="09DAEC45"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A partir de lo mencionado, es plausible afirmar que Guatemala no acató la recomendación realizada por este Comité sobre recopilar de forma sistemática datos demográficos desglosados por variables como el género, para diseñar y evaluar políticas públicas orientadas a eliminar de forma integral la discriminación racial</w:t>
      </w:r>
      <w:r>
        <w:rPr>
          <w:rFonts w:ascii="Nunito" w:eastAsia="Nunito" w:hAnsi="Nunito" w:cs="Nunito"/>
          <w:sz w:val="24"/>
          <w:szCs w:val="24"/>
          <w:vertAlign w:val="superscript"/>
        </w:rPr>
        <w:footnoteReference w:id="32"/>
      </w:r>
      <w:r>
        <w:rPr>
          <w:rFonts w:ascii="Nunito" w:eastAsia="Nunito" w:hAnsi="Nunito" w:cs="Nunito"/>
          <w:sz w:val="24"/>
          <w:szCs w:val="24"/>
        </w:rPr>
        <w:t xml:space="preserve">. </w:t>
      </w:r>
    </w:p>
    <w:p w14:paraId="2EA6BF93" w14:textId="77777777" w:rsidR="000E1BBC" w:rsidRDefault="000E1BBC">
      <w:pPr>
        <w:spacing w:line="259" w:lineRule="auto"/>
        <w:jc w:val="both"/>
        <w:rPr>
          <w:rFonts w:ascii="Nunito" w:eastAsia="Nunito" w:hAnsi="Nunito" w:cs="Nunito"/>
          <w:sz w:val="24"/>
          <w:szCs w:val="24"/>
        </w:rPr>
      </w:pPr>
    </w:p>
    <w:p w14:paraId="4E104032" w14:textId="77777777" w:rsidR="000E1BBC" w:rsidRDefault="00000000">
      <w:pPr>
        <w:numPr>
          <w:ilvl w:val="0"/>
          <w:numId w:val="1"/>
        </w:numPr>
        <w:spacing w:line="259" w:lineRule="auto"/>
        <w:jc w:val="both"/>
        <w:rPr>
          <w:rFonts w:ascii="Nunito" w:eastAsia="Nunito" w:hAnsi="Nunito" w:cs="Nunito"/>
          <w:b/>
          <w:sz w:val="24"/>
          <w:szCs w:val="24"/>
        </w:rPr>
      </w:pPr>
      <w:r>
        <w:rPr>
          <w:rFonts w:ascii="Nunito" w:eastAsia="Nunito" w:hAnsi="Nunito" w:cs="Nunito"/>
          <w:b/>
          <w:sz w:val="24"/>
          <w:szCs w:val="24"/>
        </w:rPr>
        <w:t>Educación</w:t>
      </w:r>
    </w:p>
    <w:p w14:paraId="607B972D"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En Guatemala uno de los factores que en mayor medida ha dificultado el acceso a la educación de los pueblos indígenas son las grandes distancias geográficas que hay entre sus territorios y los centros educativos locales. Por otra parte, las mismas comunidades carecen en su mayoría de profesores que pudiesen impartir la educación básica de las infancias. Asimismo, las dificultades económicas de pobreza y pobreza extrema impiden que los niños y niñas indígenas se adhieran a estos procesos educativos porque deben asumir labores domésticas y de cuidado</w:t>
      </w:r>
      <w:r>
        <w:rPr>
          <w:rFonts w:ascii="Nunito" w:eastAsia="Nunito" w:hAnsi="Nunito" w:cs="Nunito"/>
          <w:sz w:val="24"/>
          <w:szCs w:val="24"/>
          <w:vertAlign w:val="superscript"/>
        </w:rPr>
        <w:footnoteReference w:id="33"/>
      </w:r>
      <w:r>
        <w:rPr>
          <w:rFonts w:ascii="Nunito" w:eastAsia="Nunito" w:hAnsi="Nunito" w:cs="Nunito"/>
          <w:sz w:val="24"/>
          <w:szCs w:val="24"/>
        </w:rPr>
        <w:t xml:space="preserve">. </w:t>
      </w:r>
    </w:p>
    <w:p w14:paraId="00639176" w14:textId="77777777" w:rsidR="000E1BBC" w:rsidRDefault="000E1BBC">
      <w:pPr>
        <w:spacing w:line="259" w:lineRule="auto"/>
        <w:jc w:val="both"/>
        <w:rPr>
          <w:rFonts w:ascii="Nunito" w:eastAsia="Nunito" w:hAnsi="Nunito" w:cs="Nunito"/>
          <w:sz w:val="24"/>
          <w:szCs w:val="24"/>
        </w:rPr>
      </w:pPr>
    </w:p>
    <w:p w14:paraId="06D015DE"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 xml:space="preserve">Las personas LGBTQ+ indígenas son aún más vulnerables a la deserción escolar porque, sumado a lo antes dicho, los entornos educativos suelen reproducir </w:t>
      </w:r>
      <w:r>
        <w:rPr>
          <w:rFonts w:ascii="Nunito" w:eastAsia="Nunito" w:hAnsi="Nunito" w:cs="Nunito"/>
          <w:sz w:val="24"/>
          <w:szCs w:val="24"/>
        </w:rPr>
        <w:lastRenderedPageBreak/>
        <w:t>narrativas discriminatorias y ser escenarios fértiles para el acoso o bullying motivado por el prejuicio hacia las orientaciones sexuales y las identidades y expresiones de género diversas</w:t>
      </w:r>
      <w:r>
        <w:rPr>
          <w:rFonts w:ascii="Nunito" w:eastAsia="Nunito" w:hAnsi="Nunito" w:cs="Nunito"/>
          <w:sz w:val="24"/>
          <w:szCs w:val="24"/>
          <w:vertAlign w:val="superscript"/>
        </w:rPr>
        <w:footnoteReference w:id="34"/>
      </w:r>
      <w:r>
        <w:rPr>
          <w:rFonts w:ascii="Nunito" w:eastAsia="Nunito" w:hAnsi="Nunito" w:cs="Nunito"/>
          <w:sz w:val="24"/>
          <w:szCs w:val="24"/>
        </w:rPr>
        <w:t xml:space="preserve">. Algunas personas trans entrevistadas por la Asociación Lambda señalan que la vulnerabilidad socioeconómica, sumada a las condiciones de discriminación que enfrentan en espacios educativos debido a su identidad de género, han sido los principales factores disuasores para terminar su educación básica. </w:t>
      </w:r>
    </w:p>
    <w:p w14:paraId="77E38963" w14:textId="77777777" w:rsidR="000E1BBC" w:rsidRDefault="000E1BBC">
      <w:pPr>
        <w:spacing w:line="259" w:lineRule="auto"/>
        <w:jc w:val="both"/>
        <w:rPr>
          <w:rFonts w:ascii="Nunito" w:eastAsia="Nunito" w:hAnsi="Nunito" w:cs="Nunito"/>
          <w:sz w:val="24"/>
          <w:szCs w:val="24"/>
        </w:rPr>
      </w:pPr>
    </w:p>
    <w:p w14:paraId="6F1A9BD4"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 xml:space="preserve">De otra parte, dado que en el proceso de colonización la Iglesia Católica asumió la labor de evangelización y secundariamente de </w:t>
      </w:r>
      <w:r>
        <w:rPr>
          <w:rFonts w:ascii="Nunito" w:eastAsia="Nunito" w:hAnsi="Nunito" w:cs="Nunito"/>
          <w:i/>
          <w:sz w:val="24"/>
          <w:szCs w:val="24"/>
        </w:rPr>
        <w:t xml:space="preserve">letramiento o castellanización </w:t>
      </w:r>
      <w:r>
        <w:rPr>
          <w:rFonts w:ascii="Nunito" w:eastAsia="Nunito" w:hAnsi="Nunito" w:cs="Nunito"/>
          <w:sz w:val="24"/>
          <w:szCs w:val="24"/>
        </w:rPr>
        <w:t>de los pueblos indígenas</w:t>
      </w:r>
      <w:r>
        <w:rPr>
          <w:rFonts w:ascii="Nunito" w:eastAsia="Nunito" w:hAnsi="Nunito" w:cs="Nunito"/>
          <w:sz w:val="24"/>
          <w:szCs w:val="24"/>
          <w:vertAlign w:val="superscript"/>
        </w:rPr>
        <w:footnoteReference w:id="35"/>
      </w:r>
      <w:r>
        <w:rPr>
          <w:rFonts w:ascii="Nunito" w:eastAsia="Nunito" w:hAnsi="Nunito" w:cs="Nunito"/>
          <w:sz w:val="24"/>
          <w:szCs w:val="24"/>
        </w:rPr>
        <w:t>; en la actualidad las misiones religiosas, particularmente misiones evangélicas han tenido un rol central en los procesos de educación en estas comunidades junto con la provisión de otros servicios básicos que el Estado no satisface</w:t>
      </w:r>
      <w:r>
        <w:rPr>
          <w:rFonts w:ascii="Nunito" w:eastAsia="Nunito" w:hAnsi="Nunito" w:cs="Nunito"/>
          <w:sz w:val="24"/>
          <w:szCs w:val="24"/>
          <w:vertAlign w:val="superscript"/>
        </w:rPr>
        <w:footnoteReference w:id="36"/>
      </w:r>
      <w:r>
        <w:rPr>
          <w:rFonts w:ascii="Nunito" w:eastAsia="Nunito" w:hAnsi="Nunito" w:cs="Nunito"/>
          <w:sz w:val="24"/>
          <w:szCs w:val="24"/>
        </w:rPr>
        <w:t>. Estas organizaciones defienden visiones tradicionales y conservadoras de la sexualidad, el género y la familia</w:t>
      </w:r>
      <w:r>
        <w:rPr>
          <w:rFonts w:ascii="Nunito" w:eastAsia="Nunito" w:hAnsi="Nunito" w:cs="Nunito"/>
          <w:sz w:val="24"/>
          <w:szCs w:val="24"/>
          <w:vertAlign w:val="superscript"/>
        </w:rPr>
        <w:footnoteReference w:id="37"/>
      </w:r>
      <w:r>
        <w:rPr>
          <w:rFonts w:ascii="Nunito" w:eastAsia="Nunito" w:hAnsi="Nunito" w:cs="Nunito"/>
          <w:sz w:val="24"/>
          <w:szCs w:val="24"/>
        </w:rPr>
        <w:t>, por lo que al asumir las labores de educación dentro de los territorios indígenas, reproducen este sistema de valores y discursos de odio que fortalecen las estructuras de discriminación en contra de las personas LGTBIQ+ de estos territorios tanto dentro, como fuera de la escuela</w:t>
      </w:r>
      <w:r>
        <w:rPr>
          <w:rFonts w:ascii="Nunito" w:eastAsia="Nunito" w:hAnsi="Nunito" w:cs="Nunito"/>
          <w:sz w:val="24"/>
          <w:szCs w:val="24"/>
          <w:vertAlign w:val="superscript"/>
        </w:rPr>
        <w:footnoteReference w:id="38"/>
      </w:r>
      <w:r>
        <w:rPr>
          <w:rFonts w:ascii="Nunito" w:eastAsia="Nunito" w:hAnsi="Nunito" w:cs="Nunito"/>
          <w:sz w:val="24"/>
          <w:szCs w:val="24"/>
        </w:rPr>
        <w:t xml:space="preserve">. </w:t>
      </w:r>
    </w:p>
    <w:p w14:paraId="6AD91544" w14:textId="77777777" w:rsidR="000E1BBC" w:rsidRDefault="000E1BBC">
      <w:pPr>
        <w:spacing w:line="259" w:lineRule="auto"/>
        <w:jc w:val="both"/>
        <w:rPr>
          <w:rFonts w:ascii="Nunito" w:eastAsia="Nunito" w:hAnsi="Nunito" w:cs="Nunito"/>
          <w:sz w:val="24"/>
          <w:szCs w:val="24"/>
        </w:rPr>
      </w:pPr>
    </w:p>
    <w:p w14:paraId="2511B848"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Además de tener una gran legitimidad dentro de las comunidades indígenas por las labores de atención que realizan en sus territorios</w:t>
      </w:r>
      <w:r>
        <w:rPr>
          <w:rFonts w:ascii="Nunito" w:eastAsia="Nunito" w:hAnsi="Nunito" w:cs="Nunito"/>
          <w:sz w:val="24"/>
          <w:szCs w:val="24"/>
          <w:vertAlign w:val="superscript"/>
        </w:rPr>
        <w:footnoteReference w:id="39"/>
      </w:r>
      <w:r>
        <w:rPr>
          <w:rFonts w:ascii="Nunito" w:eastAsia="Nunito" w:hAnsi="Nunito" w:cs="Nunito"/>
          <w:sz w:val="24"/>
          <w:szCs w:val="24"/>
        </w:rPr>
        <w:t xml:space="preserve">. Estos movimientos evangélicos cuentan con gran influencia política y con representantes en órganos de toma de decisiones como el Congreso de la República. Han impulsado, por ejemplo, el Proyecto de Ley 5272 que además de buscar que Ciudad de Guatemala fuese declarada la capital iberoamericana de la </w:t>
      </w:r>
      <w:r>
        <w:rPr>
          <w:rFonts w:ascii="Nunito" w:eastAsia="Nunito" w:hAnsi="Nunito" w:cs="Nunito"/>
          <w:i/>
          <w:sz w:val="24"/>
          <w:szCs w:val="24"/>
        </w:rPr>
        <w:t>vida y la familia</w:t>
      </w:r>
      <w:r>
        <w:rPr>
          <w:rFonts w:ascii="Nunito" w:eastAsia="Nunito" w:hAnsi="Nunito" w:cs="Nunito"/>
          <w:sz w:val="24"/>
          <w:szCs w:val="24"/>
        </w:rPr>
        <w:t>, tenía el objetivo de prohibir cualquier programa relativo a la diversidad sexual o la enseñanza de  conductas sexuales distintas a la heterosexualidad</w:t>
      </w:r>
      <w:r>
        <w:rPr>
          <w:rFonts w:ascii="Nunito" w:eastAsia="Nunito" w:hAnsi="Nunito" w:cs="Nunito"/>
          <w:sz w:val="24"/>
          <w:szCs w:val="24"/>
          <w:vertAlign w:val="superscript"/>
        </w:rPr>
        <w:footnoteReference w:id="40"/>
      </w:r>
      <w:r>
        <w:rPr>
          <w:rFonts w:ascii="Nunito" w:eastAsia="Nunito" w:hAnsi="Nunito" w:cs="Nunito"/>
          <w:sz w:val="24"/>
          <w:szCs w:val="24"/>
        </w:rPr>
        <w:t xml:space="preserve">. Este tipo de proyectos tendrían un carácter perjudicial y peligroso para las personas indígenas LGBTQ+, que no encontrarían un espacio seguro para educarse ni en sus territorios ni fuera de ellos. </w:t>
      </w:r>
    </w:p>
    <w:p w14:paraId="33D76F42" w14:textId="77777777" w:rsidR="000E1BBC" w:rsidRDefault="000E1BBC">
      <w:pPr>
        <w:spacing w:line="259" w:lineRule="auto"/>
        <w:jc w:val="both"/>
        <w:rPr>
          <w:rFonts w:ascii="Nunito" w:eastAsia="Nunito" w:hAnsi="Nunito" w:cs="Nunito"/>
          <w:sz w:val="24"/>
          <w:szCs w:val="24"/>
        </w:rPr>
      </w:pPr>
    </w:p>
    <w:p w14:paraId="6AD40D4B"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Estas situaciones permiten señalar que el Estado de Guatemala no ha cumplido con las recomendaciones realizadas a los Estados por este Comité en su Recomendación general Nº 35 sobre lucha contra el discurso de odio racista en la que dispone que los sistemas de educación deben estar basados en los derechos humanos y deben promover el respeto y la tolerancia mutuos entre personas, naciones y entre grupos raciales y étnicos</w:t>
      </w:r>
      <w:r>
        <w:rPr>
          <w:rFonts w:ascii="Nunito" w:eastAsia="Nunito" w:hAnsi="Nunito" w:cs="Nunito"/>
          <w:sz w:val="24"/>
          <w:szCs w:val="24"/>
          <w:vertAlign w:val="superscript"/>
        </w:rPr>
        <w:footnoteReference w:id="41"/>
      </w:r>
      <w:r>
        <w:rPr>
          <w:rFonts w:ascii="Nunito" w:eastAsia="Nunito" w:hAnsi="Nunito" w:cs="Nunito"/>
          <w:sz w:val="24"/>
          <w:szCs w:val="24"/>
        </w:rPr>
        <w:t xml:space="preserve">.  </w:t>
      </w:r>
    </w:p>
    <w:p w14:paraId="640ED9AD" w14:textId="77777777" w:rsidR="000E1BBC" w:rsidRDefault="000E1BBC">
      <w:pPr>
        <w:spacing w:line="259" w:lineRule="auto"/>
        <w:jc w:val="both"/>
        <w:rPr>
          <w:rFonts w:ascii="Nunito" w:eastAsia="Nunito" w:hAnsi="Nunito" w:cs="Nunito"/>
          <w:sz w:val="24"/>
          <w:szCs w:val="24"/>
        </w:rPr>
      </w:pPr>
    </w:p>
    <w:p w14:paraId="28C19D30" w14:textId="77777777" w:rsidR="000E1BBC" w:rsidRDefault="00000000">
      <w:pPr>
        <w:numPr>
          <w:ilvl w:val="0"/>
          <w:numId w:val="1"/>
        </w:numPr>
        <w:spacing w:line="259" w:lineRule="auto"/>
        <w:jc w:val="both"/>
        <w:rPr>
          <w:rFonts w:ascii="Nunito" w:eastAsia="Nunito" w:hAnsi="Nunito" w:cs="Nunito"/>
          <w:b/>
          <w:sz w:val="24"/>
          <w:szCs w:val="24"/>
        </w:rPr>
      </w:pPr>
      <w:r>
        <w:rPr>
          <w:rFonts w:ascii="Nunito" w:eastAsia="Nunito" w:hAnsi="Nunito" w:cs="Nunito"/>
          <w:b/>
          <w:sz w:val="24"/>
          <w:szCs w:val="24"/>
        </w:rPr>
        <w:t>Salud</w:t>
      </w:r>
    </w:p>
    <w:p w14:paraId="26B7FE06"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El acceso a la salud de las personas indígenas en Guatemala experimentan brechas importantes de acceso a los servicios de salud, que resultan en que los índices de morbilidad y mortalidad sean más altos en los territorios habitados por indígenas que en los del resto de la población</w:t>
      </w:r>
      <w:r>
        <w:rPr>
          <w:rFonts w:ascii="Nunito" w:eastAsia="Nunito" w:hAnsi="Nunito" w:cs="Nunito"/>
          <w:sz w:val="24"/>
          <w:szCs w:val="24"/>
          <w:vertAlign w:val="superscript"/>
        </w:rPr>
        <w:footnoteReference w:id="42"/>
      </w:r>
      <w:r>
        <w:rPr>
          <w:rFonts w:ascii="Nunito" w:eastAsia="Nunito" w:hAnsi="Nunito" w:cs="Nunito"/>
          <w:sz w:val="24"/>
          <w:szCs w:val="24"/>
        </w:rPr>
        <w:t>. Factores como los largos desplazamientos desde los territorios hasta los lugares de atención en salud; la carga económica de estos trayectos así como de los tratamientos médicos; el irrespeto a las cosmogonías y saberes ancestrales por parte de los profesionales de salud mestizos/ladinos y la ausencia de traductores maya-español o de protocolos escritos en idioma maya,  obstaculizan de forma determinante el disfrute del nivel más alto de salud física y mental por parte de estos pueblos</w:t>
      </w:r>
      <w:r>
        <w:rPr>
          <w:rFonts w:ascii="Nunito" w:eastAsia="Nunito" w:hAnsi="Nunito" w:cs="Nunito"/>
          <w:sz w:val="24"/>
          <w:szCs w:val="24"/>
          <w:vertAlign w:val="superscript"/>
        </w:rPr>
        <w:footnoteReference w:id="43"/>
      </w:r>
      <w:r>
        <w:rPr>
          <w:rFonts w:ascii="Nunito" w:eastAsia="Nunito" w:hAnsi="Nunito" w:cs="Nunito"/>
          <w:sz w:val="24"/>
          <w:szCs w:val="24"/>
        </w:rPr>
        <w:t xml:space="preserve">. </w:t>
      </w:r>
    </w:p>
    <w:p w14:paraId="7B98FFDF" w14:textId="77777777" w:rsidR="000E1BBC" w:rsidRDefault="000E1BBC">
      <w:pPr>
        <w:spacing w:line="259" w:lineRule="auto"/>
        <w:jc w:val="both"/>
        <w:rPr>
          <w:rFonts w:ascii="Nunito" w:eastAsia="Nunito" w:hAnsi="Nunito" w:cs="Nunito"/>
          <w:sz w:val="24"/>
          <w:szCs w:val="24"/>
        </w:rPr>
      </w:pPr>
    </w:p>
    <w:p w14:paraId="379D0A18"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 xml:space="preserve">El panorama de acceso a este servicio es aún más complejo en el caso de las personas LGBTQ+ indígenas, que sumado a las barreras ya mencionadas, deben enfrentarse a situaciones de abuso verbal o físico por parte de los prestadores del servicio de salud motivados por el prejuicio en contra de su orientación sexual, expresión o identidad de género. Así lo señalaron varias de las personas entrevistadas por la Asociación LAMBDA. </w:t>
      </w:r>
    </w:p>
    <w:p w14:paraId="1E990CC5" w14:textId="77777777" w:rsidR="000E1BBC" w:rsidRDefault="000E1BBC">
      <w:pPr>
        <w:spacing w:line="259" w:lineRule="auto"/>
        <w:jc w:val="both"/>
        <w:rPr>
          <w:rFonts w:ascii="Nunito" w:eastAsia="Nunito" w:hAnsi="Nunito" w:cs="Nunito"/>
          <w:sz w:val="24"/>
          <w:szCs w:val="24"/>
        </w:rPr>
      </w:pPr>
    </w:p>
    <w:p w14:paraId="708B9111"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En materia de salud mental, El Ministerio de Salud  no ha actualizado la Clasificación Médica de diagnósticos del CIE-10 al CIE-11, motivo por el cual el Ministerio de Salud sigue registrando la identidad de género como un trastorno de la preferencia sexual</w:t>
      </w:r>
      <w:r>
        <w:rPr>
          <w:rFonts w:ascii="Nunito" w:eastAsia="Nunito" w:hAnsi="Nunito" w:cs="Nunito"/>
          <w:sz w:val="24"/>
          <w:szCs w:val="24"/>
          <w:vertAlign w:val="superscript"/>
        </w:rPr>
        <w:footnoteReference w:id="44"/>
      </w:r>
      <w:r>
        <w:rPr>
          <w:rFonts w:ascii="Nunito" w:eastAsia="Nunito" w:hAnsi="Nunito" w:cs="Nunito"/>
          <w:sz w:val="24"/>
          <w:szCs w:val="24"/>
        </w:rPr>
        <w:t xml:space="preserve">. En el caso de personas trans indígenas, debido a la falta de información institucional traducida al idioma maya, así como a la ausencia de programas sobre educación </w:t>
      </w:r>
      <w:r>
        <w:rPr>
          <w:rFonts w:ascii="Nunito" w:eastAsia="Nunito" w:hAnsi="Nunito" w:cs="Nunito"/>
          <w:sz w:val="24"/>
          <w:szCs w:val="24"/>
        </w:rPr>
        <w:lastRenderedPageBreak/>
        <w:t>sexual integral para comunidades indígenas, estas clasificaciones patologizantes de la identidad las hace más propensas a ser involucradas, sin su pleno conocimiento, en prácticas que buscan cambiar su identidad de género (ECOSIEG)</w:t>
      </w:r>
      <w:r>
        <w:rPr>
          <w:rFonts w:ascii="Nunito" w:eastAsia="Nunito" w:hAnsi="Nunito" w:cs="Nunito"/>
          <w:sz w:val="24"/>
          <w:szCs w:val="24"/>
          <w:vertAlign w:val="superscript"/>
        </w:rPr>
        <w:footnoteReference w:id="45"/>
      </w:r>
      <w:r>
        <w:rPr>
          <w:rFonts w:ascii="Nunito" w:eastAsia="Nunito" w:hAnsi="Nunito" w:cs="Nunito"/>
          <w:sz w:val="24"/>
          <w:szCs w:val="24"/>
        </w:rPr>
        <w:t xml:space="preserve">. </w:t>
      </w:r>
    </w:p>
    <w:p w14:paraId="35493F86" w14:textId="77777777" w:rsidR="000E1BBC" w:rsidRDefault="000E1BBC">
      <w:pPr>
        <w:spacing w:line="259" w:lineRule="auto"/>
        <w:jc w:val="both"/>
        <w:rPr>
          <w:rFonts w:ascii="Nunito" w:eastAsia="Nunito" w:hAnsi="Nunito" w:cs="Nunito"/>
          <w:sz w:val="24"/>
          <w:szCs w:val="24"/>
        </w:rPr>
      </w:pPr>
    </w:p>
    <w:p w14:paraId="5616C561"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En 2019 el Ministerio de Salud diseñó el Manual de lineamientos de atención integral en salud para lesbianas, gais y bisexuales</w:t>
      </w:r>
      <w:r>
        <w:rPr>
          <w:rFonts w:ascii="Nunito" w:eastAsia="Nunito" w:hAnsi="Nunito" w:cs="Nunito"/>
          <w:sz w:val="24"/>
          <w:szCs w:val="24"/>
          <w:vertAlign w:val="superscript"/>
        </w:rPr>
        <w:footnoteReference w:id="46"/>
      </w:r>
      <w:r>
        <w:rPr>
          <w:rFonts w:ascii="Nunito" w:eastAsia="Nunito" w:hAnsi="Nunito" w:cs="Nunito"/>
          <w:sz w:val="24"/>
          <w:szCs w:val="24"/>
        </w:rPr>
        <w:t xml:space="preserve"> así como la Estrategia de Atención Integral y Diferenciada en Salud para las Personas Trans 2016-2030</w:t>
      </w:r>
      <w:r>
        <w:rPr>
          <w:rFonts w:ascii="Nunito" w:eastAsia="Nunito" w:hAnsi="Nunito" w:cs="Nunito"/>
          <w:sz w:val="24"/>
          <w:szCs w:val="24"/>
          <w:vertAlign w:val="superscript"/>
        </w:rPr>
        <w:footnoteReference w:id="47"/>
      </w:r>
      <w:r>
        <w:rPr>
          <w:rFonts w:ascii="Nunito" w:eastAsia="Nunito" w:hAnsi="Nunito" w:cs="Nunito"/>
          <w:sz w:val="24"/>
          <w:szCs w:val="24"/>
        </w:rPr>
        <w:t xml:space="preserve"> con la finalidad de que la atención a las personas que hacen parte de las diversidades sexuales sean atendidas libres de discriminación y de forma integral. No obstante, estos protocolos no exploran la interseccionalidad que puede confluir en las identidades de las personas LGBTQ+, dejando vacíos respecto al trato y al protocolo de atención diferencial que requieren las personas indígenas con orientaciones sexuales e identidades de género diversas. </w:t>
      </w:r>
    </w:p>
    <w:p w14:paraId="429F01F0" w14:textId="77777777" w:rsidR="000E1BBC" w:rsidRDefault="000E1BBC">
      <w:pPr>
        <w:spacing w:line="259" w:lineRule="auto"/>
        <w:jc w:val="both"/>
        <w:rPr>
          <w:rFonts w:ascii="Nunito" w:eastAsia="Nunito" w:hAnsi="Nunito" w:cs="Nunito"/>
          <w:sz w:val="24"/>
          <w:szCs w:val="24"/>
        </w:rPr>
      </w:pPr>
    </w:p>
    <w:p w14:paraId="691A3D03"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En ese sentido, los lineamientos en salud, los estudios médicos y las consultas con profesionales médicos que tienen en cuenta esta intersección, se han limitado a la prevención y tratamiento del VIH y del SIDA</w:t>
      </w:r>
      <w:r>
        <w:rPr>
          <w:rFonts w:ascii="Nunito" w:eastAsia="Nunito" w:hAnsi="Nunito" w:cs="Nunito"/>
          <w:sz w:val="24"/>
          <w:szCs w:val="24"/>
          <w:vertAlign w:val="superscript"/>
        </w:rPr>
        <w:footnoteReference w:id="48"/>
      </w:r>
      <w:r>
        <w:rPr>
          <w:rFonts w:ascii="Nunito" w:eastAsia="Nunito" w:hAnsi="Nunito" w:cs="Nunito"/>
          <w:sz w:val="24"/>
          <w:szCs w:val="24"/>
        </w:rPr>
        <w:t xml:space="preserve">, resultando incluso discriminatorio el sesgo motivado tanto por la identidad étnica como sexogenérica de estas personas, que considera que estos son los únicos asuntos de salud que se requieren atender en esta población. </w:t>
      </w:r>
    </w:p>
    <w:p w14:paraId="2EA37A5A" w14:textId="77777777" w:rsidR="000E1BBC" w:rsidRDefault="000E1BBC">
      <w:pPr>
        <w:spacing w:line="259" w:lineRule="auto"/>
        <w:jc w:val="both"/>
        <w:rPr>
          <w:rFonts w:ascii="Nunito" w:eastAsia="Nunito" w:hAnsi="Nunito" w:cs="Nunito"/>
          <w:sz w:val="24"/>
          <w:szCs w:val="24"/>
        </w:rPr>
      </w:pPr>
    </w:p>
    <w:p w14:paraId="50999580" w14:textId="77777777" w:rsidR="000E1BBC" w:rsidRDefault="00000000">
      <w:pPr>
        <w:spacing w:line="259" w:lineRule="auto"/>
        <w:jc w:val="both"/>
        <w:rPr>
          <w:rFonts w:ascii="Nunito" w:eastAsia="Nunito" w:hAnsi="Nunito" w:cs="Nunito"/>
          <w:sz w:val="24"/>
          <w:szCs w:val="24"/>
        </w:rPr>
      </w:pPr>
      <w:r>
        <w:rPr>
          <w:rFonts w:ascii="Nunito" w:eastAsia="Nunito" w:hAnsi="Nunito" w:cs="Nunito"/>
          <w:sz w:val="24"/>
          <w:szCs w:val="24"/>
        </w:rPr>
        <w:t>Con lo aquí mencionado, no cabe duda que el Estado no implementó la recomendación que este Comité le realizó en el ciclo pasado para combatir las formas múltiples de discriminación que enfrentan las personas indígenas, intensificando la perspectiva de género en todas las políticas públicas</w:t>
      </w:r>
      <w:r>
        <w:rPr>
          <w:rFonts w:ascii="Nunito" w:eastAsia="Nunito" w:hAnsi="Nunito" w:cs="Nunito"/>
          <w:sz w:val="24"/>
          <w:szCs w:val="24"/>
          <w:vertAlign w:val="superscript"/>
        </w:rPr>
        <w:footnoteReference w:id="49"/>
      </w:r>
      <w:r>
        <w:rPr>
          <w:rFonts w:ascii="Nunito" w:eastAsia="Nunito" w:hAnsi="Nunito" w:cs="Nunito"/>
          <w:sz w:val="24"/>
          <w:szCs w:val="24"/>
        </w:rPr>
        <w:t>, particularmente en aquellas que garantizan el acceso a servicios como la salud. Asimismo, desconocieron la recomendación realizada a los Estados por este Comité de proporcionar acceso a la cobertura sanitaria universal a las personas indígenas, teniendo en cuenta a las personas LGBTQ+ que pertenecen a estos grupos</w:t>
      </w:r>
      <w:r>
        <w:rPr>
          <w:rFonts w:ascii="Nunito" w:eastAsia="Nunito" w:hAnsi="Nunito" w:cs="Nunito"/>
          <w:sz w:val="24"/>
          <w:szCs w:val="24"/>
          <w:vertAlign w:val="superscript"/>
        </w:rPr>
        <w:footnoteReference w:id="50"/>
      </w:r>
      <w:r>
        <w:rPr>
          <w:rFonts w:ascii="Nunito" w:eastAsia="Nunito" w:hAnsi="Nunito" w:cs="Nunito"/>
          <w:sz w:val="24"/>
          <w:szCs w:val="24"/>
        </w:rPr>
        <w:t xml:space="preserve">. </w:t>
      </w:r>
    </w:p>
    <w:p w14:paraId="2F09424B" w14:textId="77777777" w:rsidR="000E1BBC" w:rsidRDefault="000E1BBC">
      <w:pPr>
        <w:spacing w:after="160" w:line="240" w:lineRule="auto"/>
        <w:jc w:val="both"/>
        <w:rPr>
          <w:rFonts w:ascii="Calibri" w:eastAsia="Calibri" w:hAnsi="Calibri" w:cs="Calibri"/>
          <w:sz w:val="24"/>
          <w:szCs w:val="24"/>
        </w:rPr>
      </w:pPr>
    </w:p>
    <w:p w14:paraId="26941495" w14:textId="77777777" w:rsidR="00E612C2" w:rsidRPr="00E612C2" w:rsidRDefault="00E612C2" w:rsidP="00E612C2">
      <w:p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lastRenderedPageBreak/>
        <w:t>RECOMENDACIONES  </w:t>
      </w:r>
    </w:p>
    <w:p w14:paraId="19E66130" w14:textId="77777777" w:rsidR="00E612C2" w:rsidRPr="00E612C2" w:rsidRDefault="00E612C2" w:rsidP="00E612C2">
      <w:pPr>
        <w:spacing w:line="240" w:lineRule="auto"/>
        <w:jc w:val="both"/>
        <w:rPr>
          <w:rFonts w:ascii="Nunito" w:eastAsia="Calibri" w:hAnsi="Nunito" w:cs="Calibri"/>
          <w:sz w:val="24"/>
          <w:szCs w:val="24"/>
          <w:lang w:val="es-AR"/>
        </w:rPr>
      </w:pPr>
    </w:p>
    <w:p w14:paraId="362B25BC" w14:textId="77777777" w:rsidR="00E612C2" w:rsidRPr="00E612C2" w:rsidRDefault="00E612C2" w:rsidP="00E612C2">
      <w:pPr>
        <w:spacing w:line="240" w:lineRule="auto"/>
        <w:jc w:val="both"/>
        <w:rPr>
          <w:rFonts w:ascii="Nunito" w:eastAsia="Calibri" w:hAnsi="Nunito" w:cs="Calibri"/>
          <w:sz w:val="24"/>
          <w:szCs w:val="24"/>
          <w:lang w:val="es-AR"/>
        </w:rPr>
      </w:pPr>
      <w:r w:rsidRPr="00E612C2">
        <w:rPr>
          <w:rFonts w:ascii="Nunito" w:eastAsia="Calibri" w:hAnsi="Nunito" w:cs="Calibri"/>
          <w:sz w:val="24"/>
          <w:szCs w:val="24"/>
          <w:lang w:val="es-AR"/>
        </w:rPr>
        <w:t>En virtud de la información ofrecida, solicitamos respetuosamente al Comité para la Eliminación de la Discriminación Racial, realice las siguientes recomendaciones a la República de Guatemala, de conformidad con el cumplimiento de la Convención:  </w:t>
      </w:r>
    </w:p>
    <w:p w14:paraId="30537916" w14:textId="72438B94" w:rsidR="00E612C2" w:rsidRPr="00E612C2" w:rsidRDefault="00E612C2" w:rsidP="00E612C2">
      <w:pPr>
        <w:spacing w:line="240" w:lineRule="auto"/>
        <w:jc w:val="both"/>
        <w:rPr>
          <w:rFonts w:ascii="Nunito" w:eastAsia="Calibri" w:hAnsi="Nunito" w:cs="Calibri"/>
          <w:sz w:val="24"/>
          <w:szCs w:val="24"/>
          <w:lang w:val="es-AR"/>
        </w:rPr>
      </w:pPr>
    </w:p>
    <w:p w14:paraId="0D590807" w14:textId="77777777" w:rsidR="00E612C2" w:rsidRPr="00E612C2" w:rsidRDefault="00E612C2" w:rsidP="00E612C2">
      <w:pPr>
        <w:numPr>
          <w:ilvl w:val="0"/>
          <w:numId w:val="5"/>
        </w:num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t>Tipificación explícita de la discriminación</w:t>
      </w:r>
      <w:r w:rsidRPr="00E612C2">
        <w:rPr>
          <w:rFonts w:ascii="Nunito" w:eastAsia="Calibri" w:hAnsi="Nunito" w:cs="Calibri"/>
          <w:sz w:val="24"/>
          <w:szCs w:val="24"/>
          <w:lang w:val="es-AR"/>
        </w:rPr>
        <w:t xml:space="preserve"> por orientación sexual, identidad y expresión de género, reconociendo sus intersecciones con el origen étnico y racial, para asegurar su aplicación efectiva en el marco legal.</w:t>
      </w:r>
    </w:p>
    <w:p w14:paraId="2B95AF83" w14:textId="77777777" w:rsidR="00E612C2" w:rsidRPr="00E612C2" w:rsidRDefault="00E612C2" w:rsidP="00E612C2">
      <w:pPr>
        <w:numPr>
          <w:ilvl w:val="0"/>
          <w:numId w:val="5"/>
        </w:num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t>Fortalecimiento de los sistemas de información estatales</w:t>
      </w:r>
      <w:r w:rsidRPr="00E612C2">
        <w:rPr>
          <w:rFonts w:ascii="Nunito" w:eastAsia="Calibri" w:hAnsi="Nunito" w:cs="Calibri"/>
          <w:sz w:val="24"/>
          <w:szCs w:val="24"/>
          <w:lang w:val="es-AR"/>
        </w:rPr>
        <w:t xml:space="preserve">, incorporando variables como orientación sexual e identidad de género en la recolección y desagregación de datos. Es fundamental contar con información que visibilice las intersecciones identitarias en grupos indígenas y racializados (por ejemplo, personas trans </w:t>
      </w:r>
      <w:proofErr w:type="spellStart"/>
      <w:r w:rsidRPr="00E612C2">
        <w:rPr>
          <w:rFonts w:ascii="Nunito" w:eastAsia="Calibri" w:hAnsi="Nunito" w:cs="Calibri"/>
          <w:sz w:val="24"/>
          <w:szCs w:val="24"/>
          <w:lang w:val="es-AR"/>
        </w:rPr>
        <w:t>Q’eqchi</w:t>
      </w:r>
      <w:proofErr w:type="spellEnd"/>
      <w:r w:rsidRPr="00E612C2">
        <w:rPr>
          <w:rFonts w:ascii="Nunito" w:eastAsia="Calibri" w:hAnsi="Nunito" w:cs="Calibri"/>
          <w:sz w:val="24"/>
          <w:szCs w:val="24"/>
          <w:lang w:val="es-AR"/>
        </w:rPr>
        <w:t>’, mujeres lesbianas Kaqchikel, hombres gay Ixil), así como otros factores como ubicación geográfica (rural o urbana), nivel socioeconómico e idioma, etc. Esto permitirá identificar formas específicas de discriminación y necesidades diferenciadas.</w:t>
      </w:r>
    </w:p>
    <w:p w14:paraId="287B0C8F" w14:textId="77777777" w:rsidR="00E612C2" w:rsidRPr="00E612C2" w:rsidRDefault="00E612C2" w:rsidP="00E612C2">
      <w:pPr>
        <w:numPr>
          <w:ilvl w:val="0"/>
          <w:numId w:val="5"/>
        </w:num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t>Creación de una Ley Integral de Identidad de Género</w:t>
      </w:r>
      <w:r w:rsidRPr="00E612C2">
        <w:rPr>
          <w:rFonts w:ascii="Nunito" w:eastAsia="Calibri" w:hAnsi="Nunito" w:cs="Calibri"/>
          <w:sz w:val="24"/>
          <w:szCs w:val="24"/>
          <w:lang w:val="es-AR"/>
        </w:rPr>
        <w:t xml:space="preserve"> que reconozca la identidad de género autopercibida como un derecho. Esta ley debe facilitar el cambio de nombre y sexo registral para personas trans y de género diverso en todo el país, incluyendo acceso a intérpretes y procedimientos culturalmente adecuados para estas personas de comunidades indígenas y afrodescendientes.</w:t>
      </w:r>
    </w:p>
    <w:p w14:paraId="139D86DE" w14:textId="77777777" w:rsidR="00E612C2" w:rsidRPr="00E612C2" w:rsidRDefault="00E612C2" w:rsidP="00E612C2">
      <w:pPr>
        <w:numPr>
          <w:ilvl w:val="0"/>
          <w:numId w:val="5"/>
        </w:num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t>Inclusión de preguntas desagregadas en el próximo censo poblacional y de vivienda</w:t>
      </w:r>
      <w:r w:rsidRPr="00E612C2">
        <w:rPr>
          <w:rFonts w:ascii="Nunito" w:eastAsia="Calibri" w:hAnsi="Nunito" w:cs="Calibri"/>
          <w:sz w:val="24"/>
          <w:szCs w:val="24"/>
          <w:lang w:val="es-AR"/>
        </w:rPr>
        <w:t xml:space="preserve"> sobre orientación sexual e identidad de género, garantizando la confidencialidad y el respeto a la autoidentificación. Asimismo, se propone la creación de un registro que permita el reconocimiento legal de estas identidades, con el fin de contar con datos precisos sobre la población indígena y racializada LGBTIQ+, y así diseñar políticas públicas basadas en evidencia desde un enfoque interseccional.</w:t>
      </w:r>
    </w:p>
    <w:p w14:paraId="1D4BBFFA" w14:textId="77777777" w:rsidR="00E612C2" w:rsidRPr="00E612C2" w:rsidRDefault="00E612C2" w:rsidP="00E612C2">
      <w:pPr>
        <w:numPr>
          <w:ilvl w:val="0"/>
          <w:numId w:val="5"/>
        </w:num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t xml:space="preserve">Reforma de la </w:t>
      </w:r>
      <w:proofErr w:type="spellStart"/>
      <w:r w:rsidRPr="00E612C2">
        <w:rPr>
          <w:rFonts w:ascii="Nunito" w:eastAsia="Calibri" w:hAnsi="Nunito" w:cs="Calibri"/>
          <w:b/>
          <w:bCs/>
          <w:sz w:val="24"/>
          <w:szCs w:val="24"/>
          <w:lang w:val="es-AR"/>
        </w:rPr>
        <w:t>currícula</w:t>
      </w:r>
      <w:proofErr w:type="spellEnd"/>
      <w:r w:rsidRPr="00E612C2">
        <w:rPr>
          <w:rFonts w:ascii="Nunito" w:eastAsia="Calibri" w:hAnsi="Nunito" w:cs="Calibri"/>
          <w:b/>
          <w:bCs/>
          <w:sz w:val="24"/>
          <w:szCs w:val="24"/>
          <w:lang w:val="es-AR"/>
        </w:rPr>
        <w:t xml:space="preserve"> educativa nacional</w:t>
      </w:r>
      <w:r w:rsidRPr="00E612C2">
        <w:rPr>
          <w:rFonts w:ascii="Nunito" w:eastAsia="Calibri" w:hAnsi="Nunito" w:cs="Calibri"/>
          <w:sz w:val="24"/>
          <w:szCs w:val="24"/>
          <w:lang w:val="es-AR"/>
        </w:rPr>
        <w:t xml:space="preserve"> para incorporar de manera obligatoria la educación sexual integral. Esta debe ser inclusiva, libre de prejuicios y respetuosa de las cosmovisiones culturales de los pueblos indígenas y afrodescendientes, reconociendo la autoidentificación de las personas indígenas con diversas orientaciones sexuales, expresiones e identidades de género según sus culturas.</w:t>
      </w:r>
    </w:p>
    <w:p w14:paraId="7E109EAD" w14:textId="77777777" w:rsidR="00E612C2" w:rsidRPr="00E612C2" w:rsidRDefault="00E612C2" w:rsidP="00E612C2">
      <w:pPr>
        <w:numPr>
          <w:ilvl w:val="0"/>
          <w:numId w:val="5"/>
        </w:num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t>Diseño y aplicación de protocolos específicos y culturalmente pertinentes</w:t>
      </w:r>
      <w:r w:rsidRPr="00E612C2">
        <w:rPr>
          <w:rFonts w:ascii="Nunito" w:eastAsia="Calibri" w:hAnsi="Nunito" w:cs="Calibri"/>
          <w:sz w:val="24"/>
          <w:szCs w:val="24"/>
          <w:lang w:val="es-AR"/>
        </w:rPr>
        <w:t xml:space="preserve"> que garanticen el acceso efectivo y digno al derecho a la salud para la población LGBTIQ+ indígena y racializada. Estos protocolos deben abordar la salud mental, sexual y reproductiva, y estar acompañados de capacitaciones en enfoque intercultural y de género para el personal de salud en zonas rurales y con alta población indígena.</w:t>
      </w:r>
    </w:p>
    <w:p w14:paraId="5EA45047" w14:textId="77777777" w:rsidR="00E612C2" w:rsidRPr="00E612C2" w:rsidRDefault="00E612C2" w:rsidP="00E612C2">
      <w:pPr>
        <w:numPr>
          <w:ilvl w:val="0"/>
          <w:numId w:val="5"/>
        </w:num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lastRenderedPageBreak/>
        <w:t>Promoción de campañas masivas y sostenidas contra la discriminación</w:t>
      </w:r>
      <w:r w:rsidRPr="00E612C2">
        <w:rPr>
          <w:rFonts w:ascii="Nunito" w:eastAsia="Calibri" w:hAnsi="Nunito" w:cs="Calibri"/>
          <w:sz w:val="24"/>
          <w:szCs w:val="24"/>
          <w:lang w:val="es-AR"/>
        </w:rPr>
        <w:t xml:space="preserve"> hacia personas LGBTIQ+ indígenas, diseñadas desde una perspectiva interseccional y respetuosa de la autoidentificación cultural. Estas campañas deben dirigirse tanto a la población general como a las comunidades indígenas, en sus respectivos idiomas y formatos adecuados para combatir prejuicios.</w:t>
      </w:r>
    </w:p>
    <w:p w14:paraId="60A89054" w14:textId="77777777" w:rsidR="00E612C2" w:rsidRPr="00E612C2" w:rsidRDefault="00E612C2" w:rsidP="00E612C2">
      <w:pPr>
        <w:numPr>
          <w:ilvl w:val="0"/>
          <w:numId w:val="5"/>
        </w:num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t>Inclusión explícita de la población LGBTIQ+ indígena y afrodescendiente</w:t>
      </w:r>
      <w:r w:rsidRPr="00E612C2">
        <w:rPr>
          <w:rFonts w:ascii="Nunito" w:eastAsia="Calibri" w:hAnsi="Nunito" w:cs="Calibri"/>
          <w:sz w:val="24"/>
          <w:szCs w:val="24"/>
          <w:lang w:val="es-AR"/>
        </w:rPr>
        <w:t xml:space="preserve"> en las acciones de la Comisión Presidencial Contra la Discriminación y el Racismo contra los Pueblos Indígenas en Guatemala y de la Defensoría de la Mujer Indígena. Se debe reconocer y atender la doble discriminación que enfrentan estas personas.</w:t>
      </w:r>
    </w:p>
    <w:p w14:paraId="4BD800D0" w14:textId="789616A0" w:rsidR="000E1BBC" w:rsidRPr="00E612C2" w:rsidRDefault="00E612C2" w:rsidP="00E612C2">
      <w:pPr>
        <w:pStyle w:val="ListParagraph"/>
        <w:numPr>
          <w:ilvl w:val="0"/>
          <w:numId w:val="5"/>
        </w:numPr>
        <w:spacing w:line="240" w:lineRule="auto"/>
        <w:jc w:val="both"/>
        <w:rPr>
          <w:rFonts w:ascii="Nunito" w:eastAsia="Calibri" w:hAnsi="Nunito" w:cs="Calibri"/>
          <w:sz w:val="24"/>
          <w:szCs w:val="24"/>
          <w:lang w:val="es-AR"/>
        </w:rPr>
      </w:pPr>
      <w:r w:rsidRPr="00E612C2">
        <w:rPr>
          <w:rFonts w:ascii="Nunito" w:eastAsia="Calibri" w:hAnsi="Nunito" w:cs="Calibri"/>
          <w:b/>
          <w:bCs/>
          <w:sz w:val="24"/>
          <w:szCs w:val="24"/>
          <w:lang w:val="es-AR"/>
        </w:rPr>
        <w:t>Implementación de programas de capacitación obligatorios y continuos</w:t>
      </w:r>
      <w:r w:rsidRPr="00E612C2">
        <w:rPr>
          <w:rFonts w:ascii="Nunito" w:eastAsia="Calibri" w:hAnsi="Nunito" w:cs="Calibri"/>
          <w:sz w:val="24"/>
          <w:szCs w:val="24"/>
          <w:lang w:val="es-AR"/>
        </w:rPr>
        <w:t xml:space="preserve"> para todo el personal público (salud, educación, seguridad, justicia, entre otros) sobre discriminación interseccional. Estas capacitaciones deben enfocarse en la realidad de la población LGBTIQ+ indígena y racializada, garantizando una atención digna, libre de prejuicios y culturalmente competente.</w:t>
      </w:r>
    </w:p>
    <w:sectPr w:rsidR="000E1BBC" w:rsidRPr="00E612C2">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0217F" w14:textId="77777777" w:rsidR="00691B03" w:rsidRDefault="00691B03">
      <w:pPr>
        <w:spacing w:line="240" w:lineRule="auto"/>
      </w:pPr>
      <w:r>
        <w:separator/>
      </w:r>
    </w:p>
  </w:endnote>
  <w:endnote w:type="continuationSeparator" w:id="0">
    <w:p w14:paraId="7C617C58" w14:textId="77777777" w:rsidR="00691B03" w:rsidRDefault="00691B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embedRegular r:id="rId1" w:fontKey="{4E2F7273-A351-4F2F-9D9D-70E23E88C94C}"/>
    <w:embedBold r:id="rId2" w:fontKey="{F09FE66B-ADB2-4393-9602-1BA83AD730DF}"/>
    <w:embedItalic r:id="rId3" w:fontKey="{9FBFCC13-06DD-4278-B1BB-55A2699382C9}"/>
  </w:font>
  <w:font w:name="Calibri">
    <w:panose1 w:val="020F0502020204030204"/>
    <w:charset w:val="00"/>
    <w:family w:val="swiss"/>
    <w:pitch w:val="variable"/>
    <w:sig w:usb0="E4002EFF" w:usb1="C200247B" w:usb2="00000009" w:usb3="00000000" w:csb0="000001FF" w:csb1="00000000"/>
    <w:embedRegular r:id="rId4" w:fontKey="{A29CD89E-532C-4644-9FBA-9F44DDA4C4FD}"/>
    <w:embedBold r:id="rId5" w:fontKey="{0812496D-E665-476B-980C-F2F2237FEBAC}"/>
    <w:embedItalic r:id="rId6" w:fontKey="{37D63967-508F-43D7-BAFC-6DBB8E73FD8A}"/>
  </w:font>
  <w:font w:name="Cambria">
    <w:panose1 w:val="02040503050406030204"/>
    <w:charset w:val="00"/>
    <w:family w:val="roman"/>
    <w:pitch w:val="variable"/>
    <w:sig w:usb0="E00006FF" w:usb1="420024FF" w:usb2="02000000" w:usb3="00000000" w:csb0="0000019F" w:csb1="00000000"/>
    <w:embedRegular r:id="rId7" w:fontKey="{67E6786E-3318-413C-96C5-D6B9C285A2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A44A" w14:textId="77777777" w:rsidR="000E1BBC" w:rsidRDefault="000E1B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62FC4" w14:textId="77777777" w:rsidR="00691B03" w:rsidRDefault="00691B03">
      <w:pPr>
        <w:spacing w:line="240" w:lineRule="auto"/>
      </w:pPr>
      <w:r>
        <w:separator/>
      </w:r>
    </w:p>
  </w:footnote>
  <w:footnote w:type="continuationSeparator" w:id="0">
    <w:p w14:paraId="310A443D" w14:textId="77777777" w:rsidR="00691B03" w:rsidRDefault="00691B03">
      <w:pPr>
        <w:spacing w:line="240" w:lineRule="auto"/>
      </w:pPr>
      <w:r>
        <w:continuationSeparator/>
      </w:r>
    </w:p>
  </w:footnote>
  <w:footnote w:id="1">
    <w:p w14:paraId="4ACD39F7"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Instituto Nacional de Estadística. Datos demográficos y de pobreza de los pueblos indígenas según la ENCOVI 2023. Octubre 2024. p. 7. Disponible en: </w:t>
      </w:r>
      <w:hyperlink r:id="rId1">
        <w:r w:rsidR="000E1BBC">
          <w:rPr>
            <w:rFonts w:ascii="Calibri" w:eastAsia="Calibri" w:hAnsi="Calibri" w:cs="Calibri"/>
            <w:color w:val="1155CC"/>
            <w:sz w:val="18"/>
            <w:szCs w:val="18"/>
            <w:u w:val="single"/>
          </w:rPr>
          <w:t>https://www.ine.gob.gt/sistema/uploads/2024/12/05/20241205142224hb2DT5INXvYSKOiMBuPeeIOjO8GrLLIT.pdf</w:t>
        </w:r>
      </w:hyperlink>
      <w:r>
        <w:rPr>
          <w:rFonts w:ascii="Calibri" w:eastAsia="Calibri" w:hAnsi="Calibri" w:cs="Calibri"/>
          <w:sz w:val="18"/>
          <w:szCs w:val="18"/>
        </w:rPr>
        <w:t xml:space="preserve"> </w:t>
      </w:r>
    </w:p>
  </w:footnote>
  <w:footnote w:id="2">
    <w:p w14:paraId="3E35A501"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IWGIA. Pueblos Indígenas en Guatemala. Disponible en: </w:t>
      </w:r>
      <w:hyperlink r:id="rId2">
        <w:r w:rsidR="000E1BBC">
          <w:rPr>
            <w:rFonts w:ascii="Calibri" w:eastAsia="Calibri" w:hAnsi="Calibri" w:cs="Calibri"/>
            <w:color w:val="1155CC"/>
            <w:sz w:val="18"/>
            <w:szCs w:val="18"/>
            <w:u w:val="single"/>
          </w:rPr>
          <w:t>https://iwgia.org/es/guatemala.html</w:t>
        </w:r>
      </w:hyperlink>
      <w:r>
        <w:rPr>
          <w:rFonts w:ascii="Calibri" w:eastAsia="Calibri" w:hAnsi="Calibri" w:cs="Calibri"/>
          <w:sz w:val="18"/>
          <w:szCs w:val="18"/>
        </w:rPr>
        <w:t xml:space="preserve"> </w:t>
      </w:r>
    </w:p>
  </w:footnote>
  <w:footnote w:id="3">
    <w:p w14:paraId="2B07DCE6"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Congreso de la República de Guatemala. </w:t>
      </w:r>
      <w:r>
        <w:rPr>
          <w:rFonts w:ascii="Calibri" w:eastAsia="Calibri" w:hAnsi="Calibri" w:cs="Calibri"/>
          <w:i/>
          <w:sz w:val="18"/>
          <w:szCs w:val="18"/>
        </w:rPr>
        <w:t xml:space="preserve">Día de la Hispanidad: destacamos nuestra diversidad étnica y cultural. </w:t>
      </w:r>
      <w:r>
        <w:rPr>
          <w:rFonts w:ascii="Calibri" w:eastAsia="Calibri" w:hAnsi="Calibri" w:cs="Calibri"/>
          <w:sz w:val="18"/>
          <w:szCs w:val="18"/>
        </w:rPr>
        <w:t xml:space="preserve">12 de octubre de 2022. Disponible en: </w:t>
      </w:r>
      <w:hyperlink r:id="rId3" w:anchor=":~:text=Entre%20los%20pueblos%20mayas%20se,%2C%20Tz'utujil%20y%20Uspanteko">
        <w:r w:rsidR="000E1BBC">
          <w:rPr>
            <w:rFonts w:ascii="Calibri" w:eastAsia="Calibri" w:hAnsi="Calibri" w:cs="Calibri"/>
            <w:color w:val="1155CC"/>
            <w:sz w:val="18"/>
            <w:szCs w:val="18"/>
            <w:u w:val="single"/>
          </w:rPr>
          <w:t>https://www.congreso.gob.gt/noticias_congreso/9233/2022/4#:~:text=Entre%20los%20pueblos%20mayas%20se,%2C%20Tz'utujil%20y%20Uspanteko</w:t>
        </w:r>
      </w:hyperlink>
      <w:r>
        <w:rPr>
          <w:rFonts w:ascii="Calibri" w:eastAsia="Calibri" w:hAnsi="Calibri" w:cs="Calibri"/>
          <w:sz w:val="18"/>
          <w:szCs w:val="18"/>
        </w:rPr>
        <w:t xml:space="preserve">. </w:t>
      </w:r>
    </w:p>
  </w:footnote>
  <w:footnote w:id="4">
    <w:p w14:paraId="67B22C9C"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Op. Cit. Instituto Nacional de Estadística. p. 8. </w:t>
      </w:r>
    </w:p>
  </w:footnote>
  <w:footnote w:id="5">
    <w:p w14:paraId="39663A55"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Constitución Política de la República de Guatemala. Art. 4. </w:t>
      </w:r>
    </w:p>
  </w:footnote>
  <w:footnote w:id="6">
    <w:p w14:paraId="21D8AAAB"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Los departamentos con mayor incidencia de pobreza en el 2023 son: Alta Verapaz, con 90.3%, seguido de Quiché con 86.4%, Huehuetenango con 81.2%; Baja Verapaz con 80.2% y Jalapa con 80.0%. Instituto Nacional de Estadística. E</w:t>
      </w:r>
      <w:r>
        <w:rPr>
          <w:rFonts w:ascii="Calibri" w:eastAsia="Calibri" w:hAnsi="Calibri" w:cs="Calibri"/>
          <w:i/>
          <w:sz w:val="18"/>
          <w:szCs w:val="18"/>
        </w:rPr>
        <w:t>l INE presenta cifras de pobreza en Guatemala.</w:t>
      </w:r>
      <w:r>
        <w:rPr>
          <w:rFonts w:ascii="Calibri" w:eastAsia="Calibri" w:hAnsi="Calibri" w:cs="Calibri"/>
          <w:sz w:val="18"/>
          <w:szCs w:val="18"/>
        </w:rPr>
        <w:t xml:space="preserve"> 2024. Disponible en: </w:t>
      </w:r>
      <w:hyperlink r:id="rId4">
        <w:r w:rsidR="000E1BBC">
          <w:rPr>
            <w:rFonts w:ascii="Calibri" w:eastAsia="Calibri" w:hAnsi="Calibri" w:cs="Calibri"/>
            <w:color w:val="1155CC"/>
            <w:sz w:val="18"/>
            <w:szCs w:val="18"/>
            <w:u w:val="single"/>
          </w:rPr>
          <w:t>https://www.ine.gob.gt/2024/08/21/el-ine-presenta-cifras-de-pobreza-en-guatemala/</w:t>
        </w:r>
      </w:hyperlink>
      <w:r>
        <w:rPr>
          <w:rFonts w:ascii="Calibri" w:eastAsia="Calibri" w:hAnsi="Calibri" w:cs="Calibri"/>
          <w:sz w:val="18"/>
          <w:szCs w:val="18"/>
        </w:rPr>
        <w:t xml:space="preserve"> </w:t>
      </w:r>
    </w:p>
  </w:footnote>
  <w:footnote w:id="7">
    <w:p w14:paraId="10182928" w14:textId="77777777" w:rsidR="000E1BBC" w:rsidRDefault="00000000">
      <w:pPr>
        <w:spacing w:line="240" w:lineRule="auto"/>
        <w:rPr>
          <w:sz w:val="18"/>
          <w:szCs w:val="18"/>
        </w:rPr>
      </w:pPr>
      <w:r>
        <w:rPr>
          <w:vertAlign w:val="superscript"/>
        </w:rPr>
        <w:footnoteRef/>
      </w:r>
      <w:r>
        <w:rPr>
          <w:sz w:val="18"/>
          <w:szCs w:val="18"/>
        </w:rPr>
        <w:t xml:space="preserve"> </w:t>
      </w:r>
      <w:r>
        <w:rPr>
          <w:rFonts w:ascii="Calibri" w:eastAsia="Calibri" w:hAnsi="Calibri" w:cs="Calibri"/>
          <w:sz w:val="18"/>
          <w:szCs w:val="18"/>
        </w:rPr>
        <w:t xml:space="preserve"> Comisión Interamericana de Derechos Humanos. Situación de Derechos Humanos en Guatemala: diversidad, desigualdad y exclusión. 2016. p. 56</w:t>
      </w:r>
    </w:p>
  </w:footnote>
  <w:footnote w:id="8">
    <w:p w14:paraId="09EF9E81" w14:textId="77777777" w:rsidR="000E1BBC"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41</w:t>
      </w:r>
    </w:p>
  </w:footnote>
  <w:footnote w:id="9">
    <w:p w14:paraId="48A06C77"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Comité para la Eliminación de la Discriminación Racial. Recomendación general núm. 37 relativa a la igualdad y al derecho a no ser objeto de discriminación racial en el disfrute del derecho a la salud. 2024. CERD/C/GC/37. párr. 12. </w:t>
      </w:r>
    </w:p>
  </w:footnote>
  <w:footnote w:id="10">
    <w:p w14:paraId="4D6DF483"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ILGA WORLD. Informe Homofobia de Estado. 2020. pp. 102. Disponible en: </w:t>
      </w:r>
      <w:hyperlink r:id="rId5">
        <w:r w:rsidR="000E1BBC">
          <w:rPr>
            <w:rFonts w:ascii="Calibri" w:eastAsia="Calibri" w:hAnsi="Calibri" w:cs="Calibri"/>
            <w:color w:val="1155CC"/>
            <w:sz w:val="18"/>
            <w:szCs w:val="18"/>
            <w:u w:val="single"/>
          </w:rPr>
          <w:t>https://ilga.org/wp-content/uploads/2024/02/ILGA_Mundo_Homofobia_de_Estado_Actualizacion_Panorama_global_Legislacion_diciembre_2020.pdf</w:t>
        </w:r>
      </w:hyperlink>
      <w:r>
        <w:rPr>
          <w:rFonts w:ascii="Calibri" w:eastAsia="Calibri" w:hAnsi="Calibri" w:cs="Calibri"/>
          <w:sz w:val="18"/>
          <w:szCs w:val="18"/>
        </w:rPr>
        <w:t xml:space="preserve"> </w:t>
      </w:r>
    </w:p>
  </w:footnote>
  <w:footnote w:id="11">
    <w:p w14:paraId="0E4A12EB"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ACIPRENSA.</w:t>
      </w:r>
      <w:r>
        <w:rPr>
          <w:rFonts w:ascii="Calibri" w:eastAsia="Calibri" w:hAnsi="Calibri" w:cs="Calibri"/>
          <w:i/>
          <w:sz w:val="18"/>
          <w:szCs w:val="18"/>
        </w:rPr>
        <w:t xml:space="preserve"> Anuncian marcha nacional en defensa de la vida y la familia en Guatemala.</w:t>
      </w:r>
      <w:r>
        <w:rPr>
          <w:rFonts w:ascii="Calibri" w:eastAsia="Calibri" w:hAnsi="Calibri" w:cs="Calibri"/>
          <w:sz w:val="18"/>
          <w:szCs w:val="18"/>
        </w:rPr>
        <w:t xml:space="preserve"> 27 de agosto de 2018. Disponible en: </w:t>
      </w:r>
      <w:hyperlink r:id="rId6">
        <w:r w:rsidR="000E1BBC">
          <w:rPr>
            <w:rFonts w:ascii="Calibri" w:eastAsia="Calibri" w:hAnsi="Calibri" w:cs="Calibri"/>
            <w:color w:val="1155CC"/>
            <w:sz w:val="18"/>
            <w:szCs w:val="18"/>
            <w:u w:val="single"/>
          </w:rPr>
          <w:t>https://www.aciprensa.com/noticias/71669/anuncian-marcha-nacional-en-defensa-de-la-vida-y-la-familia-en-guatemala</w:t>
        </w:r>
      </w:hyperlink>
      <w:r>
        <w:rPr>
          <w:rFonts w:ascii="Calibri" w:eastAsia="Calibri" w:hAnsi="Calibri" w:cs="Calibri"/>
          <w:sz w:val="18"/>
          <w:szCs w:val="18"/>
        </w:rPr>
        <w:t xml:space="preserve"> </w:t>
      </w:r>
    </w:p>
  </w:footnote>
  <w:footnote w:id="12">
    <w:p w14:paraId="4AC4863B"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Congreso de la República de Guatemala. Iniciativa de Ley Para la Protección de la Vida y la Familia 52/72. Aprobada el 8 de marzo de 2022. Archivada el 15 de marzo de 2022. Disponible en: </w:t>
      </w:r>
      <w:hyperlink r:id="rId7">
        <w:r w:rsidR="000E1BBC">
          <w:rPr>
            <w:rFonts w:ascii="Calibri" w:eastAsia="Calibri" w:hAnsi="Calibri" w:cs="Calibri"/>
            <w:color w:val="1155CC"/>
            <w:sz w:val="18"/>
            <w:szCs w:val="18"/>
            <w:u w:val="single"/>
          </w:rPr>
          <w:t>https://database.ilga.org/api/downloader/download/1/GT%20-%20LEG%20-%20Bill%205272%20(2017)%20-%20OR-OFF(es).pdf</w:t>
        </w:r>
      </w:hyperlink>
      <w:r>
        <w:rPr>
          <w:rFonts w:ascii="Calibri" w:eastAsia="Calibri" w:hAnsi="Calibri" w:cs="Calibri"/>
          <w:sz w:val="18"/>
          <w:szCs w:val="18"/>
        </w:rPr>
        <w:t xml:space="preserve"> </w:t>
      </w:r>
    </w:p>
  </w:footnote>
  <w:footnote w:id="13">
    <w:p w14:paraId="705E5C7F"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OXFAM. </w:t>
      </w:r>
      <w:proofErr w:type="spellStart"/>
      <w:r>
        <w:rPr>
          <w:rFonts w:ascii="Calibri" w:eastAsia="Calibri" w:hAnsi="Calibri" w:cs="Calibri"/>
          <w:sz w:val="18"/>
          <w:szCs w:val="18"/>
        </w:rPr>
        <w:t>Views</w:t>
      </w:r>
      <w:proofErr w:type="spellEnd"/>
      <w:r>
        <w:rPr>
          <w:rFonts w:ascii="Calibri" w:eastAsia="Calibri" w:hAnsi="Calibri" w:cs="Calibri"/>
          <w:sz w:val="18"/>
          <w:szCs w:val="18"/>
        </w:rPr>
        <w:t xml:space="preserve"> and </w:t>
      </w:r>
      <w:proofErr w:type="spellStart"/>
      <w:r>
        <w:rPr>
          <w:rFonts w:ascii="Calibri" w:eastAsia="Calibri" w:hAnsi="Calibri" w:cs="Calibri"/>
          <w:sz w:val="18"/>
          <w:szCs w:val="18"/>
        </w:rPr>
        <w:t>Voices</w:t>
      </w:r>
      <w:proofErr w:type="spellEnd"/>
      <w:r>
        <w:rPr>
          <w:rFonts w:ascii="Calibri" w:eastAsia="Calibri" w:hAnsi="Calibri" w:cs="Calibri"/>
          <w:sz w:val="18"/>
          <w:szCs w:val="18"/>
        </w:rPr>
        <w:t xml:space="preserve">: El intento de Guatemala de prohibir los derechos de las personas LGBTQIA+ refleja lo lejos que estamos de lograr la igualdad. 2022. Disponible en: </w:t>
      </w:r>
      <w:hyperlink r:id="rId8">
        <w:r w:rsidR="000E1BBC">
          <w:rPr>
            <w:rFonts w:ascii="Calibri" w:eastAsia="Calibri" w:hAnsi="Calibri" w:cs="Calibri"/>
            <w:color w:val="1155CC"/>
            <w:sz w:val="18"/>
            <w:szCs w:val="18"/>
            <w:u w:val="single"/>
          </w:rPr>
          <w:t>https://views-voices.oxfam.org.uk/2022/06/el-intento-de-guatemala-de-prohibir-los-derechos-de-las-personas-lgbtqia/</w:t>
        </w:r>
      </w:hyperlink>
      <w:r>
        <w:rPr>
          <w:rFonts w:ascii="Calibri" w:eastAsia="Calibri" w:hAnsi="Calibri" w:cs="Calibri"/>
          <w:sz w:val="18"/>
          <w:szCs w:val="18"/>
        </w:rPr>
        <w:t xml:space="preserve"> </w:t>
      </w:r>
    </w:p>
  </w:footnote>
  <w:footnote w:id="14">
    <w:p w14:paraId="6F0F76E2" w14:textId="77777777" w:rsidR="000E1BBC" w:rsidRDefault="00000000">
      <w:pPr>
        <w:spacing w:line="240" w:lineRule="auto"/>
        <w:rPr>
          <w:sz w:val="20"/>
          <w:szCs w:val="20"/>
        </w:rPr>
      </w:pPr>
      <w:r>
        <w:rPr>
          <w:vertAlign w:val="superscript"/>
        </w:rPr>
        <w:footnoteRef/>
      </w:r>
      <w:r>
        <w:rPr>
          <w:rFonts w:ascii="Calibri" w:eastAsia="Calibri" w:hAnsi="Calibri" w:cs="Calibri"/>
          <w:sz w:val="18"/>
          <w:szCs w:val="18"/>
        </w:rPr>
        <w:t xml:space="preserve"> Aldo Dávila, hombre gay activista se convirtió en diputado del Congreso de la República, y enfrentó persecución política que lo imposibilitó de participar en las elecciones de 2023. La Hora GT. </w:t>
      </w:r>
      <w:r>
        <w:rPr>
          <w:rFonts w:ascii="Calibri" w:eastAsia="Calibri" w:hAnsi="Calibri" w:cs="Calibri"/>
          <w:i/>
          <w:sz w:val="18"/>
          <w:szCs w:val="18"/>
        </w:rPr>
        <w:t xml:space="preserve">Organizaciones señalan persecución judicial y política contra el diputado Dávila. </w:t>
      </w:r>
      <w:r>
        <w:rPr>
          <w:rFonts w:ascii="Calibri" w:eastAsia="Calibri" w:hAnsi="Calibri" w:cs="Calibri"/>
          <w:sz w:val="18"/>
          <w:szCs w:val="18"/>
        </w:rPr>
        <w:t xml:space="preserve">18 de noviembre de 2021. Disponible en: </w:t>
      </w:r>
      <w:hyperlink r:id="rId9">
        <w:r w:rsidR="000E1BBC">
          <w:rPr>
            <w:rFonts w:ascii="Calibri" w:eastAsia="Calibri" w:hAnsi="Calibri" w:cs="Calibri"/>
            <w:color w:val="1155CC"/>
            <w:sz w:val="18"/>
            <w:szCs w:val="18"/>
            <w:u w:val="single"/>
          </w:rPr>
          <w:t>https://lahora.gt/nacionales/sara/2021/11/18/organizaciones-senalan-persecucion-judicial-y-politica-contra-el-diputado-davila/</w:t>
        </w:r>
      </w:hyperlink>
      <w:r>
        <w:rPr>
          <w:rFonts w:ascii="Calibri" w:eastAsia="Calibri" w:hAnsi="Calibri" w:cs="Calibri"/>
          <w:sz w:val="18"/>
          <w:szCs w:val="18"/>
        </w:rPr>
        <w:t xml:space="preserve"> </w:t>
      </w:r>
    </w:p>
  </w:footnote>
  <w:footnote w:id="15">
    <w:p w14:paraId="3F50BAF5"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El 28 de junio de 2024  la Corte de Constitucionalidad de Guatemala, producto de una petición de amparo de un ciudadano que buscaba impedir la realización del Desfile del Orgullo LGBTIQ+ en el país, emitió una resolución en la que ordenó al Presidente Bernardo Arévalo y  las Fuerzas de Seguridad del Estado que “velaran por la protección de los valores espirituales y morales de la sociedad, en especial de los niños, niñas y adolescentes”. Red de Litigantes LGBTI+ de las Américas.</w:t>
      </w:r>
      <w:r>
        <w:rPr>
          <w:rFonts w:ascii="Calibri" w:eastAsia="Calibri" w:hAnsi="Calibri" w:cs="Calibri"/>
          <w:i/>
          <w:sz w:val="18"/>
          <w:szCs w:val="18"/>
        </w:rPr>
        <w:t xml:space="preserve"> La Red de Litigantes LGBTI+ de las Américas rechaza los obstáculos al desarrollo de las marchas del Orgullo en Guatemala y Costa Rica. </w:t>
      </w:r>
      <w:r>
        <w:rPr>
          <w:rFonts w:ascii="Calibri" w:eastAsia="Calibri" w:hAnsi="Calibri" w:cs="Calibri"/>
          <w:sz w:val="18"/>
          <w:szCs w:val="18"/>
        </w:rPr>
        <w:t xml:space="preserve">4 de julio de 2024. Disponible en: </w:t>
      </w:r>
      <w:hyperlink r:id="rId10">
        <w:r w:rsidR="000E1BBC">
          <w:rPr>
            <w:rFonts w:ascii="Calibri" w:eastAsia="Calibri" w:hAnsi="Calibri" w:cs="Calibri"/>
            <w:color w:val="1155CC"/>
            <w:sz w:val="18"/>
            <w:szCs w:val="18"/>
            <w:u w:val="single"/>
          </w:rPr>
          <w:t>https://litiganteslgbt.org/news/la-red-de-litigantes-lgbti-de-las-americas-rechaza-los-obstaculos-al-desarrollo-de-las-marchas-del-orgullo/</w:t>
        </w:r>
      </w:hyperlink>
      <w:r>
        <w:rPr>
          <w:rFonts w:ascii="Calibri" w:eastAsia="Calibri" w:hAnsi="Calibri" w:cs="Calibri"/>
          <w:sz w:val="18"/>
          <w:szCs w:val="18"/>
        </w:rPr>
        <w:t xml:space="preserve"> </w:t>
      </w:r>
    </w:p>
  </w:footnote>
  <w:footnote w:id="16">
    <w:p w14:paraId="1721106A" w14:textId="77777777" w:rsidR="000E1BBC" w:rsidRDefault="00000000">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i/>
          <w:sz w:val="18"/>
          <w:szCs w:val="18"/>
        </w:rPr>
        <w:t xml:space="preserve"> El pecado de sodomía se incorporó al derecho durante los imperios posteriores al Romano-cristiano, como el español. La sanción del pecado-delito de sodomía justificó el exterminio de las sexualidades e identidades de género no-normativas que existían en los pueblos originarios del continente americano. Esta técnica del terror tuvo como resultado que progresivamente las sexualidades e identidades no normativas fueran reprimidas, instalando en las sociedades colonizadas y mestizadas el prejuicio, avalándose la aplicación de la violencia mediante los tribunales de la Inquisición que a hoy día subsisten. </w:t>
      </w:r>
      <w:r>
        <w:rPr>
          <w:rFonts w:ascii="Calibri" w:eastAsia="Calibri" w:hAnsi="Calibri" w:cs="Calibri"/>
          <w:sz w:val="18"/>
          <w:szCs w:val="18"/>
        </w:rPr>
        <w:t xml:space="preserve">Christian Paula, Red de Litigantes LGBTI+ de las Américas. Contribución de la Red de Litigantes LGBTI+ de las Américas al informe temático del Experto Independiente sobre OSIEG acerca de Colonialismo y orientación sexual e identidad de género. 2023. Disponible en: </w:t>
      </w:r>
      <w:hyperlink r:id="rId11">
        <w:r w:rsidR="000E1BBC">
          <w:rPr>
            <w:rFonts w:ascii="Calibri" w:eastAsia="Calibri" w:hAnsi="Calibri" w:cs="Calibri"/>
            <w:color w:val="1155CC"/>
            <w:sz w:val="18"/>
            <w:szCs w:val="18"/>
            <w:u w:val="single"/>
          </w:rPr>
          <w:t>https://docs.google.com/document/d/14wRfAjr4NK9gj8j2lzgG5UhT3YzK-mUP/edit?usp=sharing&amp;ouid=117981244824339983919&amp;rtpof=true&amp;sd=true</w:t>
        </w:r>
      </w:hyperlink>
      <w:r>
        <w:rPr>
          <w:rFonts w:ascii="Calibri" w:eastAsia="Calibri" w:hAnsi="Calibri" w:cs="Calibri"/>
          <w:sz w:val="18"/>
          <w:szCs w:val="18"/>
        </w:rPr>
        <w:t xml:space="preserve"> </w:t>
      </w:r>
    </w:p>
  </w:footnote>
  <w:footnote w:id="17">
    <w:p w14:paraId="6A7F69F4"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Esto ha sido reportado en varias oportunidades. Cfr. Agencia Presentes. Hombres gay indígenas viven la disidencia desde la espiritualidad maya. 2023. Disponible en: </w:t>
      </w:r>
      <w:hyperlink r:id="rId12">
        <w:r w:rsidR="000E1BBC">
          <w:rPr>
            <w:rFonts w:ascii="Calibri" w:eastAsia="Calibri" w:hAnsi="Calibri" w:cs="Calibri"/>
            <w:color w:val="1155CC"/>
            <w:sz w:val="18"/>
            <w:szCs w:val="18"/>
            <w:u w:val="single"/>
          </w:rPr>
          <w:t>https://agenciapresentes.org/2023/01/17/hombres-gay-indigenas-viven-la-disidencia-desde-la-espiritualidad-maya/</w:t>
        </w:r>
      </w:hyperlink>
      <w:r>
        <w:rPr>
          <w:rFonts w:ascii="Calibri" w:eastAsia="Calibri" w:hAnsi="Calibri" w:cs="Calibri"/>
          <w:sz w:val="18"/>
          <w:szCs w:val="18"/>
        </w:rPr>
        <w:t xml:space="preserve"> </w:t>
      </w:r>
    </w:p>
  </w:footnote>
  <w:footnote w:id="18">
    <w:p w14:paraId="35109F5E"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Comisión Interamericana de Derechos Humanos. Violencia contra personas lesbianas, gay, bisexuales, trans e intersex en América. 2015. párr. 266. </w:t>
      </w:r>
    </w:p>
  </w:footnote>
  <w:footnote w:id="19">
    <w:p w14:paraId="59BE97F0" w14:textId="77777777" w:rsidR="000E1BBC" w:rsidRDefault="00000000">
      <w:pPr>
        <w:spacing w:line="240" w:lineRule="auto"/>
        <w:rPr>
          <w:rFonts w:ascii="Calibri" w:eastAsia="Calibri" w:hAnsi="Calibri" w:cs="Calibri"/>
          <w:sz w:val="18"/>
          <w:szCs w:val="18"/>
        </w:rPr>
      </w:pPr>
      <w:r>
        <w:rPr>
          <w:vertAlign w:val="superscript"/>
        </w:rPr>
        <w:footnoteRef/>
      </w:r>
      <w:r>
        <w:rPr>
          <w:sz w:val="20"/>
          <w:szCs w:val="20"/>
        </w:rPr>
        <w:t xml:space="preserve"> </w:t>
      </w:r>
      <w:r>
        <w:rPr>
          <w:rFonts w:ascii="Calibri" w:eastAsia="Calibri" w:hAnsi="Calibri" w:cs="Calibri"/>
          <w:sz w:val="18"/>
          <w:szCs w:val="18"/>
        </w:rPr>
        <w:t xml:space="preserve"> Comité para la Eliminación de la Discriminación Racial. Observaciones finales sobre los informes periódicos 16ᵒ</w:t>
      </w:r>
    </w:p>
    <w:p w14:paraId="7FD7B444" w14:textId="77777777" w:rsidR="000E1BBC" w:rsidRDefault="00000000">
      <w:pPr>
        <w:spacing w:line="240" w:lineRule="auto"/>
        <w:rPr>
          <w:sz w:val="20"/>
          <w:szCs w:val="20"/>
        </w:rPr>
      </w:pPr>
      <w:r>
        <w:rPr>
          <w:rFonts w:ascii="Calibri" w:eastAsia="Calibri" w:hAnsi="Calibri" w:cs="Calibri"/>
          <w:sz w:val="18"/>
          <w:szCs w:val="18"/>
        </w:rPr>
        <w:t xml:space="preserve">y 17ᵒ combinados de Guatemala. 27 de mayo de 2019. </w:t>
      </w:r>
      <w:r w:rsidRPr="00E612C2">
        <w:rPr>
          <w:rFonts w:ascii="Calibri" w:eastAsia="Calibri" w:hAnsi="Calibri" w:cs="Calibri"/>
          <w:sz w:val="18"/>
          <w:szCs w:val="18"/>
          <w:lang w:val="en-US"/>
        </w:rPr>
        <w:t xml:space="preserve">CERD/C/GTM/CO/16-17. párr. </w:t>
      </w:r>
      <w:r>
        <w:rPr>
          <w:rFonts w:ascii="Calibri" w:eastAsia="Calibri" w:hAnsi="Calibri" w:cs="Calibri"/>
          <w:sz w:val="18"/>
          <w:szCs w:val="18"/>
        </w:rPr>
        <w:t>24.</w:t>
      </w:r>
    </w:p>
  </w:footnote>
  <w:footnote w:id="20">
    <w:p w14:paraId="112B8BFE" w14:textId="77777777" w:rsidR="000E1BBC" w:rsidRDefault="00000000">
      <w:pPr>
        <w:spacing w:line="240" w:lineRule="auto"/>
        <w:rPr>
          <w:rFonts w:ascii="Calibri" w:eastAsia="Calibri" w:hAnsi="Calibri" w:cs="Calibri"/>
          <w:sz w:val="18"/>
          <w:szCs w:val="18"/>
        </w:rPr>
      </w:pPr>
      <w:r>
        <w:rPr>
          <w:vertAlign w:val="superscript"/>
        </w:rPr>
        <w:footnoteRef/>
      </w:r>
      <w:r>
        <w:rPr>
          <w:sz w:val="20"/>
          <w:szCs w:val="20"/>
        </w:rPr>
        <w:t xml:space="preserve"> </w:t>
      </w:r>
      <w:r>
        <w:rPr>
          <w:rFonts w:ascii="Calibri" w:eastAsia="Calibri" w:hAnsi="Calibri" w:cs="Calibri"/>
          <w:sz w:val="18"/>
          <w:szCs w:val="18"/>
        </w:rPr>
        <w:t xml:space="preserve">Ibid. párr. 14A.  </w:t>
      </w:r>
    </w:p>
  </w:footnote>
  <w:footnote w:id="21">
    <w:p w14:paraId="4EA64958"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Ver más en: A/HRC/44/53 párr. </w:t>
      </w:r>
      <w:r w:rsidRPr="00D160C8">
        <w:rPr>
          <w:rFonts w:ascii="Calibri" w:eastAsia="Calibri" w:hAnsi="Calibri" w:cs="Calibri"/>
          <w:sz w:val="18"/>
          <w:szCs w:val="18"/>
          <w:lang w:val="es-AR"/>
        </w:rPr>
        <w:t xml:space="preserve">64;  CAT/C/CHN/CO/5, párr. </w:t>
      </w:r>
      <w:r w:rsidRPr="00E612C2">
        <w:rPr>
          <w:rFonts w:ascii="Calibri" w:eastAsia="Calibri" w:hAnsi="Calibri" w:cs="Calibri"/>
          <w:sz w:val="18"/>
          <w:szCs w:val="18"/>
          <w:lang w:val="en-US"/>
        </w:rPr>
        <w:t xml:space="preserve">55; CCPR/C/UKR/CO/7, </w:t>
      </w:r>
      <w:proofErr w:type="spellStart"/>
      <w:r w:rsidRPr="00E612C2">
        <w:rPr>
          <w:rFonts w:ascii="Calibri" w:eastAsia="Calibri" w:hAnsi="Calibri" w:cs="Calibri"/>
          <w:sz w:val="18"/>
          <w:szCs w:val="18"/>
          <w:lang w:val="en-US"/>
        </w:rPr>
        <w:t>párr</w:t>
      </w:r>
      <w:proofErr w:type="spellEnd"/>
      <w:r w:rsidRPr="00E612C2">
        <w:rPr>
          <w:rFonts w:ascii="Calibri" w:eastAsia="Calibri" w:hAnsi="Calibri" w:cs="Calibri"/>
          <w:sz w:val="18"/>
          <w:szCs w:val="18"/>
          <w:lang w:val="en-US"/>
        </w:rPr>
        <w:t xml:space="preserve">. </w:t>
      </w:r>
      <w:r>
        <w:rPr>
          <w:rFonts w:ascii="Calibri" w:eastAsia="Calibri" w:hAnsi="Calibri" w:cs="Calibri"/>
          <w:sz w:val="18"/>
          <w:szCs w:val="18"/>
        </w:rPr>
        <w:t>10</w:t>
      </w:r>
    </w:p>
  </w:footnote>
  <w:footnote w:id="22">
    <w:p w14:paraId="5C58860A" w14:textId="77777777" w:rsidR="000E1BBC" w:rsidRDefault="00000000">
      <w:pPr>
        <w:spacing w:line="240" w:lineRule="auto"/>
        <w:jc w:val="both"/>
        <w:rPr>
          <w:sz w:val="20"/>
          <w:szCs w:val="20"/>
        </w:rPr>
      </w:pPr>
      <w:r>
        <w:rPr>
          <w:vertAlign w:val="superscript"/>
        </w:rPr>
        <w:footnoteRef/>
      </w:r>
      <w:r>
        <w:rPr>
          <w:sz w:val="20"/>
          <w:szCs w:val="20"/>
        </w:rPr>
        <w:t xml:space="preserve"> Bebida que se prepara con ingredientes especiales, generalmente con fines curativos, mágicos o supersticiosos.</w:t>
      </w:r>
    </w:p>
  </w:footnote>
  <w:footnote w:id="23">
    <w:p w14:paraId="6A0E1B31"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Asociación LAMBDA. Territorios invisibles Informe anual 2023: Informe anual del observatorio Derechos Humanos y Violencias por Orientación Sexual e Identidad de Género. p. 25. </w:t>
      </w:r>
    </w:p>
  </w:footnote>
  <w:footnote w:id="24">
    <w:p w14:paraId="47F3C085"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Convención Internacional sobre la Eliminación de todas las Formas de Discriminación Racial. Artículo 5.B. </w:t>
      </w:r>
    </w:p>
  </w:footnote>
  <w:footnote w:id="25">
    <w:p w14:paraId="6D2D9A96"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20"/>
          <w:szCs w:val="20"/>
        </w:rPr>
        <w:t xml:space="preserve"> </w:t>
      </w:r>
      <w:r>
        <w:rPr>
          <w:rFonts w:ascii="Calibri" w:eastAsia="Calibri" w:hAnsi="Calibri" w:cs="Calibri"/>
          <w:sz w:val="18"/>
          <w:szCs w:val="18"/>
        </w:rPr>
        <w:t>Código Penal, Decreto Número 17-73 del Congreso de la República. Art. 202 bis.</w:t>
      </w:r>
    </w:p>
  </w:footnote>
  <w:footnote w:id="26">
    <w:p w14:paraId="09905864"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Comisión Interamericana de Derechos Humanos. Situación de Derechos Humanos en Guatemala: Situación de los pueblos indígenas. 2003. Disponible en: </w:t>
      </w:r>
      <w:hyperlink r:id="rId13" w:anchor="_ftnref243">
        <w:r w:rsidR="000E1BBC">
          <w:rPr>
            <w:rFonts w:ascii="Calibri" w:eastAsia="Calibri" w:hAnsi="Calibri" w:cs="Calibri"/>
            <w:color w:val="1155CC"/>
            <w:sz w:val="18"/>
            <w:szCs w:val="18"/>
            <w:u w:val="single"/>
          </w:rPr>
          <w:t>https://cidh.oas.org/countryrep/guatemala2003sp/capitulo4.htm#_ftnref243</w:t>
        </w:r>
      </w:hyperlink>
      <w:r>
        <w:rPr>
          <w:rFonts w:ascii="Calibri" w:eastAsia="Calibri" w:hAnsi="Calibri" w:cs="Calibri"/>
          <w:sz w:val="18"/>
          <w:szCs w:val="18"/>
        </w:rPr>
        <w:t xml:space="preserve"> </w:t>
      </w:r>
    </w:p>
  </w:footnote>
  <w:footnote w:id="27">
    <w:p w14:paraId="019BBD63"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Respuesta a solicitud de información pública No. 2391-2025 IOROZCO </w:t>
      </w:r>
    </w:p>
  </w:footnote>
  <w:footnote w:id="28">
    <w:p w14:paraId="4EBD3643" w14:textId="77777777" w:rsidR="000E1BBC"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18"/>
          <w:szCs w:val="18"/>
        </w:rPr>
        <w:t>Ibid</w:t>
      </w:r>
      <w:r>
        <w:rPr>
          <w:rFonts w:ascii="Calibri" w:eastAsia="Calibri" w:hAnsi="Calibri" w:cs="Calibri"/>
          <w:sz w:val="20"/>
          <w:szCs w:val="20"/>
        </w:rPr>
        <w:t>.</w:t>
      </w:r>
    </w:p>
  </w:footnote>
  <w:footnote w:id="29">
    <w:p w14:paraId="4BD78421"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Respuesta a Solicitud de información pública. UDIP/G 2025 - O03991/</w:t>
      </w:r>
      <w:proofErr w:type="spellStart"/>
      <w:r>
        <w:rPr>
          <w:rFonts w:ascii="Calibri" w:eastAsia="Calibri" w:hAnsi="Calibri" w:cs="Calibri"/>
          <w:sz w:val="18"/>
          <w:szCs w:val="18"/>
        </w:rPr>
        <w:t>bglp</w:t>
      </w:r>
      <w:proofErr w:type="spellEnd"/>
    </w:p>
  </w:footnote>
  <w:footnote w:id="30">
    <w:p w14:paraId="25F4B87C"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Respuesta a solicitud de información pública CCOORD No. 059-2025/VATS</w:t>
      </w:r>
    </w:p>
  </w:footnote>
  <w:footnote w:id="31">
    <w:p w14:paraId="3856465D"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Ver más al respecto en: </w:t>
      </w:r>
      <w:hyperlink r:id="rId14">
        <w:r w:rsidR="000E1BBC">
          <w:rPr>
            <w:rFonts w:ascii="Calibri" w:eastAsia="Calibri" w:hAnsi="Calibri" w:cs="Calibri"/>
            <w:color w:val="1155CC"/>
            <w:sz w:val="18"/>
            <w:szCs w:val="18"/>
            <w:u w:val="single"/>
          </w:rPr>
          <w:t xml:space="preserve">Defensoría de la Mujer Indígena </w:t>
        </w:r>
      </w:hyperlink>
      <w:r>
        <w:rPr>
          <w:rFonts w:ascii="Calibri" w:eastAsia="Calibri" w:hAnsi="Calibri" w:cs="Calibri"/>
          <w:sz w:val="18"/>
          <w:szCs w:val="18"/>
        </w:rPr>
        <w:t xml:space="preserve">y </w:t>
      </w:r>
      <w:hyperlink r:id="rId15">
        <w:r w:rsidR="000E1BBC">
          <w:rPr>
            <w:rFonts w:ascii="Calibri" w:eastAsia="Calibri" w:hAnsi="Calibri" w:cs="Calibri"/>
            <w:color w:val="1155CC"/>
            <w:sz w:val="18"/>
            <w:szCs w:val="18"/>
            <w:u w:val="single"/>
          </w:rPr>
          <w:t>Ministerio de la Cultura y Deporte</w:t>
        </w:r>
      </w:hyperlink>
    </w:p>
  </w:footnote>
  <w:footnote w:id="32">
    <w:p w14:paraId="60D6250A"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Op. Cit. Comité para la Eliminación de la Discriminación Racial. 2019. párr. 8. </w:t>
      </w:r>
    </w:p>
  </w:footnote>
  <w:footnote w:id="33">
    <w:p w14:paraId="1257E6DF"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Op. Cit. Comisión Interamericana de Derechos Humanos. 2016. párr. 85</w:t>
      </w:r>
    </w:p>
  </w:footnote>
  <w:footnote w:id="34">
    <w:p w14:paraId="5140C49D" w14:textId="77777777" w:rsidR="000E1BB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Op. Cit. Comisión Interamericana de Derechos Humanos. 2015. párr. 322. </w:t>
      </w:r>
    </w:p>
  </w:footnote>
  <w:footnote w:id="35">
    <w:p w14:paraId="3CC39F71" w14:textId="77777777" w:rsidR="000E1BBC" w:rsidRDefault="00000000">
      <w:pPr>
        <w:spacing w:line="240" w:lineRule="auto"/>
        <w:rPr>
          <w:sz w:val="20"/>
          <w:szCs w:val="20"/>
        </w:rPr>
      </w:pPr>
      <w:r>
        <w:rPr>
          <w:vertAlign w:val="superscript"/>
        </w:rPr>
        <w:footnoteRef/>
      </w:r>
      <w:r>
        <w:rPr>
          <w:sz w:val="20"/>
          <w:szCs w:val="20"/>
        </w:rPr>
        <w:t xml:space="preserve"> Instituto Cervantes. Enseñanza del español en la América Colonial: Venezuela del siglo XVII. pág. 479. Disponible en: </w:t>
      </w:r>
      <w:hyperlink r:id="rId16">
        <w:r w:rsidR="000E1BBC">
          <w:rPr>
            <w:color w:val="1155CC"/>
            <w:sz w:val="20"/>
            <w:szCs w:val="20"/>
            <w:u w:val="single"/>
          </w:rPr>
          <w:t>https://cvc.cervantes.es/literatura/cauce/pdf/cauce20-21/cauce20-21_27.pdf</w:t>
        </w:r>
      </w:hyperlink>
      <w:r>
        <w:rPr>
          <w:sz w:val="20"/>
          <w:szCs w:val="20"/>
        </w:rPr>
        <w:t xml:space="preserve"> </w:t>
      </w:r>
    </w:p>
  </w:footnote>
  <w:footnote w:id="36">
    <w:p w14:paraId="37C874D0" w14:textId="77777777" w:rsidR="000E1BBC" w:rsidRDefault="00000000">
      <w:pPr>
        <w:spacing w:line="240" w:lineRule="auto"/>
        <w:rPr>
          <w:sz w:val="20"/>
          <w:szCs w:val="20"/>
        </w:rPr>
      </w:pPr>
      <w:r>
        <w:rPr>
          <w:vertAlign w:val="superscript"/>
        </w:rPr>
        <w:footnoteRef/>
      </w:r>
      <w:r>
        <w:rPr>
          <w:sz w:val="20"/>
          <w:szCs w:val="20"/>
        </w:rPr>
        <w:t xml:space="preserve"> García </w:t>
      </w:r>
      <w:proofErr w:type="spellStart"/>
      <w:r>
        <w:rPr>
          <w:sz w:val="20"/>
          <w:szCs w:val="20"/>
        </w:rPr>
        <w:t>Vettorazzi</w:t>
      </w:r>
      <w:proofErr w:type="spellEnd"/>
      <w:r>
        <w:rPr>
          <w:sz w:val="20"/>
          <w:szCs w:val="20"/>
        </w:rPr>
        <w:t xml:space="preserve">, María. </w:t>
      </w:r>
      <w:r>
        <w:rPr>
          <w:i/>
          <w:sz w:val="20"/>
          <w:szCs w:val="20"/>
        </w:rPr>
        <w:t xml:space="preserve">Religión, política y guerra fría en Guatemala. </w:t>
      </w:r>
      <w:r>
        <w:rPr>
          <w:sz w:val="20"/>
          <w:szCs w:val="20"/>
        </w:rPr>
        <w:t xml:space="preserve">Rev. Rupturas 12(1), Costa Rica, Ene-Jun 2022. </w:t>
      </w:r>
      <w:proofErr w:type="spellStart"/>
      <w:r>
        <w:rPr>
          <w:sz w:val="20"/>
          <w:szCs w:val="20"/>
        </w:rPr>
        <w:t>pp</w:t>
      </w:r>
      <w:proofErr w:type="spellEnd"/>
      <w:r>
        <w:rPr>
          <w:sz w:val="20"/>
          <w:szCs w:val="20"/>
        </w:rPr>
        <w:t xml:space="preserve"> 169-194.</w:t>
      </w:r>
    </w:p>
  </w:footnote>
  <w:footnote w:id="37">
    <w:p w14:paraId="20362356" w14:textId="77777777" w:rsidR="000E1BBC" w:rsidRDefault="00000000">
      <w:pPr>
        <w:spacing w:line="240" w:lineRule="auto"/>
        <w:rPr>
          <w:sz w:val="20"/>
          <w:szCs w:val="20"/>
        </w:rPr>
      </w:pPr>
      <w:r>
        <w:rPr>
          <w:vertAlign w:val="superscript"/>
        </w:rPr>
        <w:footnoteRef/>
      </w:r>
      <w:r>
        <w:rPr>
          <w:sz w:val="20"/>
          <w:szCs w:val="20"/>
        </w:rPr>
        <w:t xml:space="preserve"> Triana Ballesteros, E. </w:t>
      </w:r>
      <w:r>
        <w:rPr>
          <w:i/>
          <w:sz w:val="20"/>
          <w:szCs w:val="20"/>
        </w:rPr>
        <w:t xml:space="preserve">Imaginarios sobre la homosexualidad en el fundamentalismo evangélico colombiano. </w:t>
      </w:r>
      <w:r>
        <w:rPr>
          <w:sz w:val="20"/>
          <w:szCs w:val="20"/>
        </w:rPr>
        <w:t xml:space="preserve">Universidad Nacional de Colombia. 2021. Disponible en: </w:t>
      </w:r>
      <w:hyperlink r:id="rId17">
        <w:r w:rsidR="000E1BBC">
          <w:rPr>
            <w:color w:val="1155CC"/>
            <w:sz w:val="20"/>
            <w:szCs w:val="20"/>
            <w:u w:val="single"/>
          </w:rPr>
          <w:t>https://bffrepositorio.unal.edu.co/server/api/core/bitstreams/4f664120-cc11-42b1-a570-bcfa09074a43/content</w:t>
        </w:r>
      </w:hyperlink>
      <w:r>
        <w:rPr>
          <w:sz w:val="20"/>
          <w:szCs w:val="20"/>
        </w:rPr>
        <w:t xml:space="preserve"> </w:t>
      </w:r>
    </w:p>
  </w:footnote>
  <w:footnote w:id="38">
    <w:p w14:paraId="57F65090" w14:textId="77777777" w:rsidR="000E1BBC" w:rsidRDefault="00000000">
      <w:pPr>
        <w:spacing w:line="240" w:lineRule="auto"/>
        <w:rPr>
          <w:i/>
          <w:sz w:val="20"/>
          <w:szCs w:val="20"/>
        </w:rPr>
      </w:pPr>
      <w:r>
        <w:rPr>
          <w:vertAlign w:val="superscript"/>
        </w:rPr>
        <w:footnoteRef/>
      </w:r>
      <w:r>
        <w:rPr>
          <w:sz w:val="20"/>
          <w:szCs w:val="20"/>
        </w:rPr>
        <w:t xml:space="preserve"> FLACSO Guatemala.</w:t>
      </w:r>
      <w:r>
        <w:rPr>
          <w:i/>
          <w:sz w:val="20"/>
          <w:szCs w:val="20"/>
        </w:rPr>
        <w:t xml:space="preserve"> Entre la sobrevivencia y la visibilidad: vivencias de la población LGBTIQ+ en centros educativos. </w:t>
      </w:r>
      <w:r>
        <w:rPr>
          <w:sz w:val="20"/>
          <w:szCs w:val="20"/>
        </w:rPr>
        <w:t>2021. pp. 9,72</w:t>
      </w:r>
    </w:p>
  </w:footnote>
  <w:footnote w:id="39">
    <w:p w14:paraId="1F7D989B" w14:textId="77777777" w:rsidR="000E1BBC" w:rsidRDefault="00000000">
      <w:pPr>
        <w:spacing w:line="240" w:lineRule="auto"/>
        <w:rPr>
          <w:sz w:val="20"/>
          <w:szCs w:val="20"/>
        </w:rPr>
      </w:pPr>
      <w:r>
        <w:rPr>
          <w:vertAlign w:val="superscript"/>
        </w:rPr>
        <w:footnoteRef/>
      </w:r>
      <w:r>
        <w:rPr>
          <w:sz w:val="20"/>
          <w:szCs w:val="20"/>
        </w:rPr>
        <w:t xml:space="preserve"> Op.Cit. García </w:t>
      </w:r>
      <w:proofErr w:type="spellStart"/>
      <w:r>
        <w:rPr>
          <w:sz w:val="20"/>
          <w:szCs w:val="20"/>
        </w:rPr>
        <w:t>Vettorazi</w:t>
      </w:r>
      <w:proofErr w:type="spellEnd"/>
      <w:r>
        <w:rPr>
          <w:sz w:val="20"/>
          <w:szCs w:val="20"/>
        </w:rPr>
        <w:t>.</w:t>
      </w:r>
    </w:p>
  </w:footnote>
  <w:footnote w:id="40">
    <w:p w14:paraId="30542230" w14:textId="77777777" w:rsidR="000E1BBC" w:rsidRDefault="00000000">
      <w:pPr>
        <w:spacing w:line="240" w:lineRule="auto"/>
        <w:rPr>
          <w:sz w:val="20"/>
          <w:szCs w:val="20"/>
        </w:rPr>
      </w:pPr>
      <w:r>
        <w:rPr>
          <w:vertAlign w:val="superscript"/>
        </w:rPr>
        <w:footnoteRef/>
      </w:r>
      <w:r>
        <w:rPr>
          <w:sz w:val="20"/>
          <w:szCs w:val="20"/>
        </w:rPr>
        <w:t xml:space="preserve"> BBC News. </w:t>
      </w:r>
      <w:r>
        <w:rPr>
          <w:i/>
          <w:sz w:val="20"/>
          <w:szCs w:val="20"/>
        </w:rPr>
        <w:t xml:space="preserve">Guatemala: el Congreso aprueba una ley que prohíbe el matrimonio homosexual y eleva las penas por aborto. </w:t>
      </w:r>
      <w:r>
        <w:rPr>
          <w:sz w:val="20"/>
          <w:szCs w:val="20"/>
        </w:rPr>
        <w:t xml:space="preserve">9 de marzo de 2022. Disponible en: </w:t>
      </w:r>
      <w:hyperlink r:id="rId18">
        <w:r w:rsidR="000E1BBC">
          <w:rPr>
            <w:color w:val="1155CC"/>
            <w:sz w:val="20"/>
            <w:szCs w:val="20"/>
            <w:u w:val="single"/>
          </w:rPr>
          <w:t>https://www.bbc.com/mundo/noticias-america-latina-60677336</w:t>
        </w:r>
      </w:hyperlink>
      <w:r>
        <w:rPr>
          <w:sz w:val="20"/>
          <w:szCs w:val="20"/>
        </w:rPr>
        <w:t xml:space="preserve"> </w:t>
      </w:r>
    </w:p>
  </w:footnote>
  <w:footnote w:id="41">
    <w:p w14:paraId="26B067E7" w14:textId="77777777" w:rsidR="000E1BBC" w:rsidRDefault="00000000">
      <w:pPr>
        <w:spacing w:line="240" w:lineRule="auto"/>
        <w:rPr>
          <w:sz w:val="20"/>
          <w:szCs w:val="20"/>
        </w:rPr>
      </w:pPr>
      <w:r>
        <w:rPr>
          <w:vertAlign w:val="superscript"/>
        </w:rPr>
        <w:footnoteRef/>
      </w:r>
      <w:r>
        <w:rPr>
          <w:sz w:val="20"/>
          <w:szCs w:val="20"/>
        </w:rPr>
        <w:t xml:space="preserve"> Comité para la Eliminación de la Discriminación Racial. Recomendación general Nº 35. La lucha contra el discurso de odio racista. 2015. CERD/C/GC/35. párr. 32. </w:t>
      </w:r>
    </w:p>
  </w:footnote>
  <w:footnote w:id="42">
    <w:p w14:paraId="588EC1F0" w14:textId="77777777" w:rsidR="000E1BBC" w:rsidRDefault="00000000">
      <w:pPr>
        <w:spacing w:line="240" w:lineRule="auto"/>
        <w:rPr>
          <w:sz w:val="20"/>
          <w:szCs w:val="20"/>
        </w:rPr>
      </w:pPr>
      <w:r>
        <w:rPr>
          <w:vertAlign w:val="superscript"/>
        </w:rPr>
        <w:footnoteRef/>
      </w:r>
      <w:r>
        <w:rPr>
          <w:sz w:val="20"/>
          <w:szCs w:val="20"/>
        </w:rPr>
        <w:t xml:space="preserve"> Op. Cit. Comisión Interamericana de Derechos Humanos. 2016. párr. 91. </w:t>
      </w:r>
    </w:p>
  </w:footnote>
  <w:footnote w:id="43">
    <w:p w14:paraId="77B2F6CA" w14:textId="77777777" w:rsidR="000E1BBC" w:rsidRDefault="00000000">
      <w:pPr>
        <w:spacing w:line="240" w:lineRule="auto"/>
        <w:rPr>
          <w:sz w:val="20"/>
          <w:szCs w:val="20"/>
        </w:rPr>
      </w:pPr>
      <w:r>
        <w:rPr>
          <w:vertAlign w:val="superscript"/>
        </w:rPr>
        <w:footnoteRef/>
      </w:r>
      <w:r>
        <w:rPr>
          <w:sz w:val="20"/>
          <w:szCs w:val="20"/>
        </w:rPr>
        <w:t xml:space="preserve"> OPS. OMS. Análisis de barreras de acceso a los servicios de salud y valoración de condiciones esenciales en 22 distritos municipales de salud de Alta Verapaz, Huehuetenango, Ixil y Chiquimula. 2014. Disponible en: </w:t>
      </w:r>
      <w:hyperlink r:id="rId19">
        <w:r w:rsidR="000E1BBC">
          <w:rPr>
            <w:color w:val="1155CC"/>
            <w:sz w:val="20"/>
            <w:szCs w:val="20"/>
            <w:u w:val="single"/>
          </w:rPr>
          <w:t>https://www.paho.org/sites/default/files/2024-04/gtmanalisisbarrerasaccesoassen22dms4das.pdf</w:t>
        </w:r>
      </w:hyperlink>
      <w:r>
        <w:rPr>
          <w:sz w:val="20"/>
          <w:szCs w:val="20"/>
        </w:rPr>
        <w:t xml:space="preserve"> </w:t>
      </w:r>
    </w:p>
  </w:footnote>
  <w:footnote w:id="44">
    <w:p w14:paraId="27B2A516" w14:textId="77777777" w:rsidR="000E1BBC" w:rsidRDefault="00000000">
      <w:pPr>
        <w:spacing w:line="240" w:lineRule="auto"/>
        <w:rPr>
          <w:sz w:val="20"/>
          <w:szCs w:val="20"/>
        </w:rPr>
      </w:pPr>
      <w:r>
        <w:rPr>
          <w:vertAlign w:val="superscript"/>
        </w:rPr>
        <w:footnoteRef/>
      </w:r>
      <w:r>
        <w:rPr>
          <w:sz w:val="20"/>
          <w:szCs w:val="20"/>
        </w:rPr>
        <w:t xml:space="preserve"> Plaza Pública. </w:t>
      </w:r>
      <w:r>
        <w:rPr>
          <w:i/>
          <w:sz w:val="20"/>
          <w:szCs w:val="20"/>
        </w:rPr>
        <w:t>Para Salud Pública la identidad de género sigue siendo un trastorno. 24 de junio de 2022.</w:t>
      </w:r>
      <w:r>
        <w:rPr>
          <w:sz w:val="20"/>
          <w:szCs w:val="20"/>
        </w:rPr>
        <w:t xml:space="preserve"> Disponible en: </w:t>
      </w:r>
      <w:hyperlink r:id="rId20">
        <w:r w:rsidR="000E1BBC">
          <w:rPr>
            <w:color w:val="1155CC"/>
            <w:sz w:val="20"/>
            <w:szCs w:val="20"/>
            <w:u w:val="single"/>
          </w:rPr>
          <w:t>https://www.plazapublica.com.gt/content/para-salud-publica-la-identidad-de-genero-sigue-siendo-un-trastorno</w:t>
        </w:r>
      </w:hyperlink>
      <w:r>
        <w:rPr>
          <w:sz w:val="20"/>
          <w:szCs w:val="20"/>
        </w:rPr>
        <w:t xml:space="preserve"> </w:t>
      </w:r>
    </w:p>
  </w:footnote>
  <w:footnote w:id="45">
    <w:p w14:paraId="0B7400A8" w14:textId="77777777" w:rsidR="000E1BBC"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The</w:t>
      </w:r>
      <w:proofErr w:type="spellEnd"/>
      <w:r>
        <w:rPr>
          <w:sz w:val="20"/>
          <w:szCs w:val="20"/>
        </w:rPr>
        <w:t xml:space="preserve"> Trevor Project. La salud mental y el bienestar de los jóvenes indígenas LGBTQ+. 30 de noviembre de 2023. Disponible en: </w:t>
      </w:r>
      <w:hyperlink r:id="rId21">
        <w:r w:rsidR="000E1BBC">
          <w:rPr>
            <w:color w:val="1155CC"/>
            <w:sz w:val="20"/>
            <w:szCs w:val="20"/>
            <w:u w:val="single"/>
          </w:rPr>
          <w:t>https://www.thetrevorproject.org/research-briefs/the-mental-health-and-well-being-of-indigenous-lgbtq-young-people/</w:t>
        </w:r>
      </w:hyperlink>
      <w:r>
        <w:rPr>
          <w:sz w:val="20"/>
          <w:szCs w:val="20"/>
        </w:rPr>
        <w:t xml:space="preserve"> </w:t>
      </w:r>
    </w:p>
  </w:footnote>
  <w:footnote w:id="46">
    <w:p w14:paraId="7C49E154" w14:textId="77777777" w:rsidR="000E1BBC" w:rsidRDefault="00000000">
      <w:pPr>
        <w:spacing w:line="240" w:lineRule="auto"/>
        <w:rPr>
          <w:sz w:val="20"/>
          <w:szCs w:val="20"/>
        </w:rPr>
      </w:pPr>
      <w:r>
        <w:rPr>
          <w:vertAlign w:val="superscript"/>
        </w:rPr>
        <w:footnoteRef/>
      </w:r>
      <w:r>
        <w:rPr>
          <w:sz w:val="20"/>
          <w:szCs w:val="20"/>
        </w:rPr>
        <w:t xml:space="preserve"> Disponible en: </w:t>
      </w:r>
      <w:hyperlink r:id="rId22">
        <w:r w:rsidR="000E1BBC">
          <w:rPr>
            <w:color w:val="1155CC"/>
            <w:sz w:val="20"/>
            <w:szCs w:val="20"/>
            <w:u w:val="single"/>
          </w:rPr>
          <w:t>https://www.scribd.com/document/626200005/Manual-de-Lineamientos-de-Atencion-en-Salud-Para-Poblacion-Lgb</w:t>
        </w:r>
      </w:hyperlink>
      <w:r>
        <w:rPr>
          <w:sz w:val="20"/>
          <w:szCs w:val="20"/>
        </w:rPr>
        <w:t xml:space="preserve"> </w:t>
      </w:r>
    </w:p>
  </w:footnote>
  <w:footnote w:id="47">
    <w:p w14:paraId="39564B7A" w14:textId="77777777" w:rsidR="000E1BBC" w:rsidRDefault="00000000">
      <w:pPr>
        <w:spacing w:line="240" w:lineRule="auto"/>
        <w:rPr>
          <w:sz w:val="20"/>
          <w:szCs w:val="20"/>
        </w:rPr>
      </w:pPr>
      <w:r>
        <w:rPr>
          <w:vertAlign w:val="superscript"/>
        </w:rPr>
        <w:footnoteRef/>
      </w:r>
      <w:r>
        <w:rPr>
          <w:sz w:val="20"/>
          <w:szCs w:val="20"/>
        </w:rPr>
        <w:t xml:space="preserve"> Disponible en: </w:t>
      </w:r>
      <w:hyperlink r:id="rId23">
        <w:r w:rsidR="000E1BBC">
          <w:rPr>
            <w:color w:val="1155CC"/>
            <w:sz w:val="20"/>
            <w:szCs w:val="20"/>
            <w:u w:val="single"/>
          </w:rPr>
          <w:t>https://guatemala.unfpa.org/sites/default/files/pub-pdf/Estrategia%20Pob.%20TRANS.pdf</w:t>
        </w:r>
      </w:hyperlink>
      <w:r>
        <w:rPr>
          <w:sz w:val="20"/>
          <w:szCs w:val="20"/>
        </w:rPr>
        <w:t xml:space="preserve"> </w:t>
      </w:r>
    </w:p>
  </w:footnote>
  <w:footnote w:id="48">
    <w:p w14:paraId="3E9A59D1" w14:textId="77777777" w:rsidR="000E1BBC" w:rsidRPr="00E612C2" w:rsidRDefault="00000000">
      <w:pPr>
        <w:spacing w:line="240" w:lineRule="auto"/>
        <w:rPr>
          <w:sz w:val="20"/>
          <w:szCs w:val="20"/>
          <w:lang w:val="en-US"/>
        </w:rPr>
      </w:pPr>
      <w:r>
        <w:rPr>
          <w:vertAlign w:val="superscript"/>
        </w:rPr>
        <w:footnoteRef/>
      </w:r>
      <w:r>
        <w:rPr>
          <w:sz w:val="20"/>
          <w:szCs w:val="20"/>
        </w:rPr>
        <w:t xml:space="preserve"> Davis, Orellana, Estrada, Brower. </w:t>
      </w:r>
      <w:r>
        <w:rPr>
          <w:i/>
          <w:sz w:val="20"/>
          <w:szCs w:val="20"/>
        </w:rPr>
        <w:t xml:space="preserve">COVID-19, violencia y salud mental entre hombres indígenas gays y bisexuales en Guatemala: Un llamado urgente de actores clave. </w:t>
      </w:r>
      <w:r w:rsidRPr="00E612C2">
        <w:rPr>
          <w:sz w:val="20"/>
          <w:szCs w:val="20"/>
          <w:lang w:val="en-US"/>
        </w:rPr>
        <w:t xml:space="preserve">Glob Public Health. 2022. Disponible en: </w:t>
      </w:r>
      <w:hyperlink r:id="rId24">
        <w:r w:rsidR="000E1BBC" w:rsidRPr="00E612C2">
          <w:rPr>
            <w:color w:val="1155CC"/>
            <w:sz w:val="20"/>
            <w:szCs w:val="20"/>
            <w:u w:val="single"/>
            <w:lang w:val="en-US"/>
          </w:rPr>
          <w:t>https://pmc.ncbi.nlm.nih.gov/articles/PMC9118334/</w:t>
        </w:r>
      </w:hyperlink>
      <w:r w:rsidRPr="00E612C2">
        <w:rPr>
          <w:sz w:val="20"/>
          <w:szCs w:val="20"/>
          <w:lang w:val="en-US"/>
        </w:rPr>
        <w:t xml:space="preserve"> </w:t>
      </w:r>
    </w:p>
  </w:footnote>
  <w:footnote w:id="49">
    <w:p w14:paraId="4274803E" w14:textId="77777777" w:rsidR="000E1BBC" w:rsidRDefault="00000000">
      <w:pPr>
        <w:spacing w:line="240" w:lineRule="auto"/>
        <w:rPr>
          <w:sz w:val="20"/>
          <w:szCs w:val="20"/>
        </w:rPr>
      </w:pPr>
      <w:r>
        <w:rPr>
          <w:vertAlign w:val="superscript"/>
        </w:rPr>
        <w:footnoteRef/>
      </w:r>
      <w:r>
        <w:rPr>
          <w:sz w:val="20"/>
          <w:szCs w:val="20"/>
        </w:rPr>
        <w:t xml:space="preserve"> Op.Cit. Comité para la Eliminación de la Discriminación Racial. 2019. párr. 34A, B y C. </w:t>
      </w:r>
    </w:p>
  </w:footnote>
  <w:footnote w:id="50">
    <w:p w14:paraId="0A6891C9" w14:textId="77777777" w:rsidR="000E1BBC" w:rsidRDefault="00000000">
      <w:pPr>
        <w:spacing w:line="240" w:lineRule="auto"/>
        <w:rPr>
          <w:sz w:val="20"/>
          <w:szCs w:val="20"/>
        </w:rPr>
      </w:pPr>
      <w:r>
        <w:rPr>
          <w:vertAlign w:val="superscript"/>
        </w:rPr>
        <w:footnoteRef/>
      </w:r>
      <w:r>
        <w:rPr>
          <w:sz w:val="20"/>
          <w:szCs w:val="20"/>
        </w:rPr>
        <w:t xml:space="preserve"> Op. Cit. Comité para la Eliminación de la Discriminación Racial. 2024. párr. 52D.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7312E"/>
    <w:multiLevelType w:val="multilevel"/>
    <w:tmpl w:val="EFECBCC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C9D56B7"/>
    <w:multiLevelType w:val="multilevel"/>
    <w:tmpl w:val="CFFC89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53F9494E"/>
    <w:multiLevelType w:val="multilevel"/>
    <w:tmpl w:val="EEE43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096B55"/>
    <w:multiLevelType w:val="multilevel"/>
    <w:tmpl w:val="B8E480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CD65A26"/>
    <w:multiLevelType w:val="multilevel"/>
    <w:tmpl w:val="73526A86"/>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271548183">
    <w:abstractNumId w:val="0"/>
  </w:num>
  <w:num w:numId="2" w16cid:durableId="737168630">
    <w:abstractNumId w:val="1"/>
  </w:num>
  <w:num w:numId="3" w16cid:durableId="1799520151">
    <w:abstractNumId w:val="4"/>
  </w:num>
  <w:num w:numId="4" w16cid:durableId="1997611739">
    <w:abstractNumId w:val="3"/>
  </w:num>
  <w:num w:numId="5" w16cid:durableId="2079281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BBC"/>
    <w:rsid w:val="000526EA"/>
    <w:rsid w:val="000E1BBC"/>
    <w:rsid w:val="001622C5"/>
    <w:rsid w:val="00691B03"/>
    <w:rsid w:val="00706075"/>
    <w:rsid w:val="00744FBB"/>
    <w:rsid w:val="00D160C8"/>
    <w:rsid w:val="00D40D15"/>
    <w:rsid w:val="00E61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A6721"/>
  <w15:docId w15:val="{56F6F50B-EFDA-4EA4-AA23-6978F4254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612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exualrightsinitiative.com"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mailto:litiganteslgbtamericas@gmai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tiganteslgbt.org" TargetMode="External"/><Relationship Id="rId5" Type="http://schemas.openxmlformats.org/officeDocument/2006/relationships/footnotes" Target="footnotes.xml"/><Relationship Id="rId15" Type="http://schemas.openxmlformats.org/officeDocument/2006/relationships/hyperlink" Target="https://sexualrightsinitiative.com" TargetMode="External"/><Relationship Id="rId10" Type="http://schemas.openxmlformats.org/officeDocument/2006/relationships/hyperlink" Target="mailto:direccion1.lambda@gmail.com"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asociacion-lambda.org" TargetMode="External"/><Relationship Id="rId14" Type="http://schemas.openxmlformats.org/officeDocument/2006/relationships/hyperlink" Target="https://akahataorg.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views-voices.oxfam.org.uk/2022/06/el-intento-de-guatemala-de-prohibir-los-derechos-de-las-personas-lgbtqia/" TargetMode="External"/><Relationship Id="rId13" Type="http://schemas.openxmlformats.org/officeDocument/2006/relationships/hyperlink" Target="https://cidh.oas.org/countryrep/guatemala2003sp/capitulo4.htm" TargetMode="External"/><Relationship Id="rId18" Type="http://schemas.openxmlformats.org/officeDocument/2006/relationships/hyperlink" Target="https://www.bbc.com/mundo/noticias-america-latina-60677336" TargetMode="External"/><Relationship Id="rId3" Type="http://schemas.openxmlformats.org/officeDocument/2006/relationships/hyperlink" Target="https://www.congreso.gob.gt/noticias_congreso/9233/2022/4" TargetMode="External"/><Relationship Id="rId21" Type="http://schemas.openxmlformats.org/officeDocument/2006/relationships/hyperlink" Target="https://www.thetrevorproject.org/research-briefs/the-mental-health-and-well-being-of-indigenous-lgbtq-young-people/" TargetMode="External"/><Relationship Id="rId7" Type="http://schemas.openxmlformats.org/officeDocument/2006/relationships/hyperlink" Target="https://database.ilga.org/api/downloader/download/1/GT%20-%20LEG%20-%20Bill%205272%20(2017)%20-%20OR-OFF(es).pdf" TargetMode="External"/><Relationship Id="rId12" Type="http://schemas.openxmlformats.org/officeDocument/2006/relationships/hyperlink" Target="https://agenciapresentes.org/2023/01/17/hombres-gay-indigenas-viven-la-disidencia-desde-la-espiritualidad-maya/" TargetMode="External"/><Relationship Id="rId17" Type="http://schemas.openxmlformats.org/officeDocument/2006/relationships/hyperlink" Target="https://bffrepositorio.unal.edu.co/server/api/core/bitstreams/4f664120-cc11-42b1-a570-bcfa09074a43/content" TargetMode="External"/><Relationship Id="rId2" Type="http://schemas.openxmlformats.org/officeDocument/2006/relationships/hyperlink" Target="https://iwgia.org/es/guatemala.html" TargetMode="External"/><Relationship Id="rId16" Type="http://schemas.openxmlformats.org/officeDocument/2006/relationships/hyperlink" Target="https://cvc.cervantes.es/literatura/cauce/pdf/cauce20-21/cauce20-21_27.pdf" TargetMode="External"/><Relationship Id="rId20" Type="http://schemas.openxmlformats.org/officeDocument/2006/relationships/hyperlink" Target="https://www.plazapublica.com.gt/content/para-salud-publica-la-identidad-de-genero-sigue-siendo-un-trastorno" TargetMode="External"/><Relationship Id="rId1" Type="http://schemas.openxmlformats.org/officeDocument/2006/relationships/hyperlink" Target="https://www.ine.gob.gt/sistema/uploads/2024/12/05/20241205142224hb2DT5INXvYSKOiMBuPeeIOjO8GrLLIT.pdf" TargetMode="External"/><Relationship Id="rId6" Type="http://schemas.openxmlformats.org/officeDocument/2006/relationships/hyperlink" Target="https://www.aciprensa.com/noticias/71669/anuncian-marcha-nacional-en-defensa-de-la-vida-y-la-familia-en-guatemala" TargetMode="External"/><Relationship Id="rId11" Type="http://schemas.openxmlformats.org/officeDocument/2006/relationships/hyperlink" Target="https://docs.google.com/document/d/14wRfAjr4NK9gj8j2lzgG5UhT3YzK-mUP/edit?usp=sharing&amp;ouid=117981244824339983919&amp;rtpof=true&amp;sd=true" TargetMode="External"/><Relationship Id="rId24" Type="http://schemas.openxmlformats.org/officeDocument/2006/relationships/hyperlink" Target="https://pmc.ncbi.nlm.nih.gov/articles/PMC9118334/" TargetMode="External"/><Relationship Id="rId5" Type="http://schemas.openxmlformats.org/officeDocument/2006/relationships/hyperlink" Target="https://ilga.org/wp-content/uploads/2024/02/ILGA_Mundo_Homofobia_de_Estado_Actualizacion_Panorama_global_Legislacion_diciembre_2020.pdf" TargetMode="External"/><Relationship Id="rId15" Type="http://schemas.openxmlformats.org/officeDocument/2006/relationships/hyperlink" Target="https://mcd.gob.gt/mision-y-vision/" TargetMode="External"/><Relationship Id="rId23" Type="http://schemas.openxmlformats.org/officeDocument/2006/relationships/hyperlink" Target="https://guatemala.unfpa.org/sites/default/files/pub-pdf/Estrategia%20Pob.%20TRANS.pdf" TargetMode="External"/><Relationship Id="rId10" Type="http://schemas.openxmlformats.org/officeDocument/2006/relationships/hyperlink" Target="https://litiganteslgbt.org/news/la-red-de-litigantes-lgbti-de-las-americas-rechaza-los-obstaculos-al-desarrollo-de-las-marchas-del-orgullo/" TargetMode="External"/><Relationship Id="rId19" Type="http://schemas.openxmlformats.org/officeDocument/2006/relationships/hyperlink" Target="https://www.paho.org/sites/default/files/2024-04/gtmanalisisbarrerasaccesoassen22dms4das.pdf" TargetMode="External"/><Relationship Id="rId4" Type="http://schemas.openxmlformats.org/officeDocument/2006/relationships/hyperlink" Target="https://www.ine.gob.gt/2024/08/21/el-ine-presenta-cifras-de-pobreza-en-guatemala/" TargetMode="External"/><Relationship Id="rId9" Type="http://schemas.openxmlformats.org/officeDocument/2006/relationships/hyperlink" Target="https://lahora.gt/nacionales/sara/2021/11/18/organizaciones-senalan-persecucion-judicial-y-politica-contra-el-diputado-davila/" TargetMode="External"/><Relationship Id="rId14" Type="http://schemas.openxmlformats.org/officeDocument/2006/relationships/hyperlink" Target="https://consensomontevideo.cepal.org/es/instrumento/defensoria-de-la-mujer-indigena-demi" TargetMode="External"/><Relationship Id="rId22" Type="http://schemas.openxmlformats.org/officeDocument/2006/relationships/hyperlink" Target="https://www.scribd.com/document/626200005/Manual-de-Lineamientos-de-Atencion-en-Salud-Para-Poblacion-L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2025-10-21T15:24:52Z</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F6D8F29-A586-4292-B9BA-380E7A0C6B5A}"/>
</file>

<file path=customXml/itemProps2.xml><?xml version="1.0" encoding="utf-8"?>
<ds:datastoreItem xmlns:ds="http://schemas.openxmlformats.org/officeDocument/2006/customXml" ds:itemID="{C0C3B53F-F5C6-492D-B984-D498239B16EB}"/>
</file>

<file path=customXml/itemProps3.xml><?xml version="1.0" encoding="utf-8"?>
<ds:datastoreItem xmlns:ds="http://schemas.openxmlformats.org/officeDocument/2006/customXml" ds:itemID="{896F86BD-6FD9-417B-B1CF-DEF99429F309}"/>
</file>

<file path=docProps/app.xml><?xml version="1.0" encoding="utf-8"?>
<Properties xmlns="http://schemas.openxmlformats.org/officeDocument/2006/extended-properties" xmlns:vt="http://schemas.openxmlformats.org/officeDocument/2006/docPropsVTypes">
  <Template>Normal</Template>
  <TotalTime>58</TotalTime>
  <Pages>15</Pages>
  <Words>4600</Words>
  <Characters>26226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V. Rocha</dc:creator>
  <cp:lastModifiedBy>Laura V. Rocha</cp:lastModifiedBy>
  <cp:revision>16</cp:revision>
  <dcterms:created xsi:type="dcterms:W3CDTF">2025-10-20T22:01:00Z</dcterms:created>
  <dcterms:modified xsi:type="dcterms:W3CDTF">2025-10-22T00:01:00Z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