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17D36" w14:textId="71165B43" w:rsidR="007023F3" w:rsidRPr="001F3A56" w:rsidRDefault="007023F3" w:rsidP="007023F3">
      <w:pPr>
        <w:jc w:val="center"/>
        <w:rPr>
          <w:rFonts w:ascii="Times New Roman" w:hAnsi="Times New Roman" w:cs="Times New Roman"/>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3A56">
        <w:rPr>
          <w:rFonts w:ascii="Times New Roman" w:hAnsi="Times New Roman" w:cs="Times New Roman"/>
          <w:b/>
          <w:color w:val="2F5496" w:themeColor="accent5"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Maat for Peace’ Report submitted to the Committee on the Elimination of Discrimination Against Women regarding </w:t>
      </w:r>
      <w:r>
        <w:rPr>
          <w:rFonts w:ascii="Times New Roman" w:hAnsi="Times New Roman" w:cs="Times New Roman"/>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Iraq</w:t>
      </w:r>
    </w:p>
    <w:p w14:paraId="29FD470D" w14:textId="77777777" w:rsidR="007023F3" w:rsidRPr="001F3A56" w:rsidRDefault="007023F3" w:rsidP="007023F3">
      <w:pPr>
        <w:pBdr>
          <w:bottom w:val="single" w:sz="18" w:space="1" w:color="auto"/>
        </w:pBdr>
        <w:jc w:val="center"/>
        <w:rPr>
          <w:rFonts w:ascii="Times New Roman" w:hAnsi="Times New Roman" w:cs="Times New Roman"/>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3A56">
        <w:rPr>
          <w:rFonts w:ascii="Times New Roman" w:hAnsi="Times New Roman" w:cs="Times New Roman"/>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January 2026</w:t>
      </w:r>
    </w:p>
    <w:p w14:paraId="08835FDC" w14:textId="77777777" w:rsidR="006B7E91" w:rsidRPr="00F47E46" w:rsidRDefault="006B7E91" w:rsidP="006B7E91">
      <w:pPr>
        <w:jc w:val="both"/>
        <w:rPr>
          <w:rFonts w:asciiTheme="majorBidi" w:hAnsiTheme="majorBidi" w:cstheme="majorBidi"/>
        </w:rPr>
      </w:pPr>
      <w:r w:rsidRPr="00482F65">
        <w:rPr>
          <w:rFonts w:asciiTheme="majorBidi" w:hAnsiTheme="majorBidi" w:cstheme="majorBidi"/>
        </w:rPr>
        <w:t>Maat</w:t>
      </w:r>
      <w:r w:rsidRPr="00F47E46">
        <w:rPr>
          <w:rFonts w:asciiTheme="majorBidi" w:hAnsiTheme="majorBidi" w:cstheme="majorBidi"/>
        </w:rPr>
        <w:t xml:space="preserve"> for Peace, Development, and Human Rights, referred to in this report as "</w:t>
      </w:r>
      <w:r w:rsidRPr="00482F65">
        <w:rPr>
          <w:rFonts w:asciiTheme="majorBidi" w:hAnsiTheme="majorBidi" w:cstheme="majorBidi"/>
        </w:rPr>
        <w:t>Maat</w:t>
      </w:r>
      <w:r w:rsidRPr="00F47E46">
        <w:rPr>
          <w:rFonts w:asciiTheme="majorBidi" w:hAnsiTheme="majorBidi" w:cstheme="majorBidi"/>
        </w:rPr>
        <w:t>," submits this report to the Committee on the Elimination of Discrimination Against Women to assess the compliance of the Republic of Iraq with the provisions of the Convention on the Elimination of All Forms of Discrimination Against Women, hereinafter referred to as "the Convention."</w:t>
      </w:r>
      <w:r w:rsidRPr="00482F65">
        <w:rPr>
          <w:rFonts w:asciiTheme="majorBidi" w:hAnsiTheme="majorBidi" w:cstheme="majorBidi"/>
        </w:rPr>
        <w:t xml:space="preserve"> Maat</w:t>
      </w:r>
      <w:r w:rsidRPr="00F47E46">
        <w:rPr>
          <w:rFonts w:asciiTheme="majorBidi" w:hAnsiTheme="majorBidi" w:cstheme="majorBidi"/>
        </w:rPr>
        <w:t xml:space="preserve"> acknowledges the positive developments related to women's rights in Iraq, including the continued establishment of shelters for women subjected to violence, awareness campaigns focused on practices of violence against women and girls, and the implementation of the National Women’s Strategy, which will continue until 2030. However, there are still various challenges that Iraq faces in implementing the provisions of the Convention, as highlighted in this report.</w:t>
      </w:r>
    </w:p>
    <w:p w14:paraId="33012C3A" w14:textId="77777777" w:rsidR="006B7E91" w:rsidRPr="00DF12D7" w:rsidRDefault="006B7E91" w:rsidP="006B7E91">
      <w:pPr>
        <w:pStyle w:val="ListParagraph"/>
        <w:numPr>
          <w:ilvl w:val="0"/>
          <w:numId w:val="52"/>
        </w:numPr>
        <w:jc w:val="both"/>
        <w:rPr>
          <w:rFonts w:asciiTheme="majorBidi" w:hAnsiTheme="majorBidi" w:cstheme="majorBidi"/>
          <w:b/>
          <w:bCs/>
          <w:color w:val="C45911" w:themeColor="accent2" w:themeShade="BF"/>
          <w:sz w:val="28"/>
          <w:szCs w:val="28"/>
        </w:rPr>
      </w:pPr>
      <w:r w:rsidRPr="00DF12D7">
        <w:rPr>
          <w:rFonts w:asciiTheme="majorBidi" w:hAnsiTheme="majorBidi" w:cstheme="majorBidi"/>
          <w:b/>
          <w:bCs/>
          <w:color w:val="C45911" w:themeColor="accent2" w:themeShade="BF"/>
          <w:sz w:val="28"/>
          <w:szCs w:val="28"/>
        </w:rPr>
        <w:t>Legislative Measures – Article 2</w:t>
      </w:r>
    </w:p>
    <w:p w14:paraId="4F0A747A" w14:textId="65B4A761" w:rsidR="006B7E91" w:rsidRPr="00F47E46" w:rsidRDefault="006B7E91" w:rsidP="006B7E91">
      <w:pPr>
        <w:jc w:val="both"/>
        <w:rPr>
          <w:rFonts w:asciiTheme="majorBidi" w:hAnsiTheme="majorBidi" w:cstheme="majorBidi" w:hint="cs"/>
          <w:rtl/>
          <w:lang w:bidi="ar-EG"/>
        </w:rPr>
      </w:pPr>
      <w:r w:rsidRPr="00482F65">
        <w:rPr>
          <w:rFonts w:asciiTheme="majorBidi" w:hAnsiTheme="majorBidi" w:cstheme="majorBidi"/>
        </w:rPr>
        <w:t>Maat</w:t>
      </w:r>
      <w:r w:rsidRPr="00F47E46">
        <w:rPr>
          <w:rFonts w:asciiTheme="majorBidi" w:hAnsiTheme="majorBidi" w:cstheme="majorBidi"/>
        </w:rPr>
        <w:t xml:space="preserve"> notes that the Iraqi Constitution includes good provisions affirming the principle of equality and prohibiting discrimination. Article 14 of the Constitution guarantees that all Iraqis are equal before the law without discrimination on the basis of gender, providing a theoretical constitutional foundation for the protection of women's rights.</w:t>
      </w:r>
    </w:p>
    <w:p w14:paraId="5F234A21" w14:textId="77777777" w:rsidR="006B7E91" w:rsidRPr="00F47E46" w:rsidRDefault="006B7E91" w:rsidP="006B7E91">
      <w:pPr>
        <w:jc w:val="both"/>
        <w:rPr>
          <w:rFonts w:asciiTheme="majorBidi" w:hAnsiTheme="majorBidi" w:cstheme="majorBidi"/>
        </w:rPr>
      </w:pPr>
      <w:r w:rsidRPr="00482F65">
        <w:rPr>
          <w:rFonts w:asciiTheme="majorBidi" w:hAnsiTheme="majorBidi" w:cstheme="majorBidi"/>
        </w:rPr>
        <w:t>Maat</w:t>
      </w:r>
      <w:r w:rsidRPr="00F47E46">
        <w:rPr>
          <w:rFonts w:asciiTheme="majorBidi" w:hAnsiTheme="majorBidi" w:cstheme="majorBidi"/>
        </w:rPr>
        <w:t xml:space="preserve"> has been monitoring legislative developments in Iraq affecting women's rights, the most significant of which in recent years has been the exclusion of the Domestic Violence Protection Bill from the agenda of the Iraqi Council of Representatives during its recent session. This is despite the urgent need to adopt a specialized legislative framework to address domestic violence. The continued absence of this law leaves women and girls without adequate legal protection and undermines the legal system's ability </w:t>
      </w:r>
      <w:r w:rsidRPr="00482F65">
        <w:rPr>
          <w:rFonts w:asciiTheme="majorBidi" w:hAnsiTheme="majorBidi" w:cstheme="majorBidi"/>
        </w:rPr>
        <w:t>to address instances of gender-based violence effectively</w:t>
      </w:r>
      <w:r w:rsidRPr="00F47E46">
        <w:rPr>
          <w:rFonts w:asciiTheme="majorBidi" w:hAnsiTheme="majorBidi" w:cstheme="majorBidi"/>
        </w:rPr>
        <w:t xml:space="preserve">. It also contributes to the entrenchment of patterns of inequality within the family and society, limiting women’s access to effective justice, which constitutes a form of indirect discrimination against women and contradicts the principle of equality and non-discrimination enshrined in the Iraqi </w:t>
      </w:r>
      <w:r w:rsidRPr="00F47E46">
        <w:rPr>
          <w:rFonts w:asciiTheme="majorBidi" w:hAnsiTheme="majorBidi" w:cstheme="majorBidi"/>
        </w:rPr>
        <w:lastRenderedPageBreak/>
        <w:t>Constitution and Iraq's international obligations under the Convention on the Elimination of All Forms of Discrimination Against Women.</w:t>
      </w:r>
      <w:r w:rsidRPr="00482F65">
        <w:rPr>
          <w:rStyle w:val="FootnoteReference"/>
          <w:rFonts w:asciiTheme="majorBidi" w:hAnsiTheme="majorBidi" w:cstheme="majorBidi"/>
        </w:rPr>
        <w:footnoteReference w:id="1"/>
      </w:r>
    </w:p>
    <w:p w14:paraId="67DFBDB6" w14:textId="77777777" w:rsidR="006B7E91" w:rsidRPr="00F47E46" w:rsidRDefault="006B7E91" w:rsidP="006B7E91">
      <w:pPr>
        <w:jc w:val="both"/>
        <w:rPr>
          <w:rFonts w:asciiTheme="majorBidi" w:hAnsiTheme="majorBidi" w:cstheme="majorBidi"/>
        </w:rPr>
      </w:pPr>
      <w:r w:rsidRPr="00482F65">
        <w:rPr>
          <w:rFonts w:asciiTheme="majorBidi" w:hAnsiTheme="majorBidi" w:cstheme="majorBidi"/>
        </w:rPr>
        <w:t>Maat</w:t>
      </w:r>
      <w:r w:rsidRPr="00F47E46">
        <w:rPr>
          <w:rFonts w:asciiTheme="majorBidi" w:hAnsiTheme="majorBidi" w:cstheme="majorBidi"/>
        </w:rPr>
        <w:t xml:space="preserve"> expresses concerns regarding the amendment to the Personal Status Law that came into effect in February 2025. This amendment allows couples to choose whether to subject their marriage to the 1959 Personal Status Law or to a "Code of Islamic Provisions." </w:t>
      </w:r>
      <w:r w:rsidRPr="00482F65">
        <w:rPr>
          <w:rFonts w:asciiTheme="majorBidi" w:hAnsiTheme="majorBidi" w:cstheme="majorBidi"/>
        </w:rPr>
        <w:t>Maat</w:t>
      </w:r>
      <w:r w:rsidRPr="00F47E46">
        <w:rPr>
          <w:rFonts w:asciiTheme="majorBidi" w:hAnsiTheme="majorBidi" w:cstheme="majorBidi"/>
        </w:rPr>
        <w:t xml:space="preserve"> notes that this amendment creates multiple legal systems where rights and obligations vary depending on religious sect, leading to legal discrimination among citizens based on gender and sect, undermining the principle of equality before the law, and effectively resulting in discrimination in civil and family rights for women and girls within the same community, due to differing provisions that may apply to marriage, divorce, custody, and inheritance.</w:t>
      </w:r>
      <w:r w:rsidRPr="00482F65">
        <w:rPr>
          <w:rFonts w:asciiTheme="majorBidi" w:hAnsiTheme="majorBidi" w:cstheme="majorBidi"/>
        </w:rPr>
        <w:t xml:space="preserve"> Maat</w:t>
      </w:r>
      <w:r w:rsidRPr="00F47E46">
        <w:rPr>
          <w:rFonts w:asciiTheme="majorBidi" w:hAnsiTheme="majorBidi" w:cstheme="majorBidi"/>
        </w:rPr>
        <w:t xml:space="preserve"> views this law as a violation of women's rights, as it leaves the choice of determining the sect to the husband in the event of a dispute with his wife. Consequently, the man can choose the sect and alter the marriage contract accordingly, practically diminishing many rights of women, especially considering that religious rulings change over time, and the jurists themselves differ in their interpretations.</w:t>
      </w:r>
      <w:r w:rsidRPr="00482F65">
        <w:rPr>
          <w:rStyle w:val="FootnoteReference"/>
          <w:rFonts w:asciiTheme="majorBidi" w:hAnsiTheme="majorBidi" w:cstheme="majorBidi"/>
        </w:rPr>
        <w:footnoteReference w:id="2"/>
      </w:r>
      <w:r w:rsidRPr="00F47E46">
        <w:rPr>
          <w:rFonts w:asciiTheme="majorBidi" w:hAnsiTheme="majorBidi" w:cstheme="majorBidi"/>
        </w:rPr>
        <w:t xml:space="preserve"> The law also grants religious </w:t>
      </w:r>
      <w:proofErr w:type="gramStart"/>
      <w:r w:rsidRPr="00F47E46">
        <w:rPr>
          <w:rFonts w:asciiTheme="majorBidi" w:hAnsiTheme="majorBidi" w:cstheme="majorBidi"/>
        </w:rPr>
        <w:t>authorities</w:t>
      </w:r>
      <w:proofErr w:type="gramEnd"/>
      <w:r w:rsidRPr="00F47E46">
        <w:rPr>
          <w:rFonts w:asciiTheme="majorBidi" w:hAnsiTheme="majorBidi" w:cstheme="majorBidi"/>
        </w:rPr>
        <w:t xml:space="preserve"> powers that may allow for the marriage of minors, which constitutes a serious violation of girls' rights. These legislative amendments may further increase already high rates of child marriage; reliable statistics indicate that 28% of girls in Iraq marry before the age of 18.</w:t>
      </w:r>
      <w:r w:rsidRPr="00482F65">
        <w:rPr>
          <w:rStyle w:val="FootnoteReference"/>
          <w:rFonts w:asciiTheme="majorBidi" w:hAnsiTheme="majorBidi" w:cstheme="majorBidi"/>
        </w:rPr>
        <w:footnoteReference w:id="3"/>
      </w:r>
    </w:p>
    <w:p w14:paraId="0D7DD446" w14:textId="77777777" w:rsidR="006B7E91" w:rsidRPr="007023F3" w:rsidRDefault="006B7E91" w:rsidP="006B7E91">
      <w:pPr>
        <w:pStyle w:val="ListParagraph"/>
        <w:numPr>
          <w:ilvl w:val="0"/>
          <w:numId w:val="52"/>
        </w:numPr>
        <w:jc w:val="both"/>
        <w:rPr>
          <w:rFonts w:asciiTheme="majorBidi" w:hAnsiTheme="majorBidi" w:cstheme="majorBidi"/>
          <w:b/>
          <w:bCs/>
          <w:color w:val="C45911" w:themeColor="accent2" w:themeShade="BF"/>
          <w:sz w:val="28"/>
          <w:szCs w:val="28"/>
        </w:rPr>
      </w:pPr>
      <w:r w:rsidRPr="007023F3">
        <w:rPr>
          <w:rFonts w:asciiTheme="majorBidi" w:hAnsiTheme="majorBidi" w:cstheme="majorBidi"/>
          <w:b/>
          <w:bCs/>
          <w:color w:val="C45911" w:themeColor="accent2" w:themeShade="BF"/>
          <w:sz w:val="28"/>
          <w:szCs w:val="28"/>
        </w:rPr>
        <w:t>Trafficking in Women – Article 6</w:t>
      </w:r>
    </w:p>
    <w:p w14:paraId="2F453D26" w14:textId="77777777" w:rsidR="006B7E91" w:rsidRPr="00F47E46" w:rsidRDefault="006B7E91" w:rsidP="006B7E91">
      <w:pPr>
        <w:jc w:val="both"/>
        <w:rPr>
          <w:rFonts w:asciiTheme="majorBidi" w:hAnsiTheme="majorBidi" w:cstheme="majorBidi"/>
        </w:rPr>
      </w:pPr>
      <w:r w:rsidRPr="00482F65">
        <w:rPr>
          <w:rFonts w:asciiTheme="majorBidi" w:hAnsiTheme="majorBidi" w:cstheme="majorBidi"/>
        </w:rPr>
        <w:t>Maat</w:t>
      </w:r>
      <w:r w:rsidRPr="00F47E46">
        <w:rPr>
          <w:rFonts w:asciiTheme="majorBidi" w:hAnsiTheme="majorBidi" w:cstheme="majorBidi"/>
        </w:rPr>
        <w:t xml:space="preserve"> observes that Iraqi authorities have established a robust legal framework to combat human trafficking, represented by the Human Trafficking Act No. 28 of 2012, which prohibits all forms of human trafficking and imposes severe penalties, including life imprisonment or temporary prison sentences, along with fines ranging from 15 to 25 million Iraqi dinars. The penalty may even extend to the death sentence in cases where the victim dies as a result of trafficking crimes.</w:t>
      </w:r>
      <w:r w:rsidRPr="00482F65">
        <w:rPr>
          <w:rStyle w:val="FootnoteReference"/>
          <w:rFonts w:asciiTheme="majorBidi" w:hAnsiTheme="majorBidi" w:cstheme="majorBidi"/>
        </w:rPr>
        <w:footnoteReference w:id="4"/>
      </w:r>
      <w:r w:rsidRPr="00482F65">
        <w:rPr>
          <w:rFonts w:asciiTheme="majorBidi" w:hAnsiTheme="majorBidi" w:cstheme="majorBidi"/>
        </w:rPr>
        <w:t xml:space="preserve"> </w:t>
      </w:r>
      <w:r w:rsidRPr="00F47E46">
        <w:rPr>
          <w:rFonts w:asciiTheme="majorBidi" w:hAnsiTheme="majorBidi" w:cstheme="majorBidi"/>
        </w:rPr>
        <w:t>The Iraqi Ministry of Interior has been working to identify female victims of trafficking, but in 2024, the ministry reported identifying only approximately 83 women as trafficking victims, despite the likelihood that the actual number of victims may be higher.</w:t>
      </w:r>
    </w:p>
    <w:p w14:paraId="0E47ABBB" w14:textId="77777777" w:rsidR="006B7E91" w:rsidRPr="00F47E46" w:rsidRDefault="006B7E91" w:rsidP="006B7E91">
      <w:pPr>
        <w:jc w:val="both"/>
        <w:rPr>
          <w:rFonts w:asciiTheme="majorBidi" w:hAnsiTheme="majorBidi" w:cstheme="majorBidi"/>
        </w:rPr>
      </w:pPr>
      <w:r w:rsidRPr="00F47E46">
        <w:rPr>
          <w:rFonts w:asciiTheme="majorBidi" w:hAnsiTheme="majorBidi" w:cstheme="majorBidi"/>
        </w:rPr>
        <w:lastRenderedPageBreak/>
        <w:t>The Iraqi government has also taken positive steps to enhance its legal and executive framework. In March 2024, Iraq ratified the Arab Protocol for the Prevention and Combating of Human Trafficking, particularly concerning women and children, which is a supplementary protocol to the Arab Convention Against Transnational Organized Crime, reflecting Iraq's commitment to regional and international standards in combating this phenomenon.</w:t>
      </w:r>
      <w:r w:rsidRPr="00482F65">
        <w:rPr>
          <w:rStyle w:val="FootnoteReference"/>
          <w:rFonts w:asciiTheme="majorBidi" w:hAnsiTheme="majorBidi" w:cstheme="majorBidi"/>
        </w:rPr>
        <w:footnoteReference w:id="5"/>
      </w:r>
      <w:r w:rsidRPr="00F47E46">
        <w:rPr>
          <w:rFonts w:asciiTheme="majorBidi" w:hAnsiTheme="majorBidi" w:cstheme="majorBidi"/>
        </w:rPr>
        <w:t xml:space="preserve"> Moreover, in November 2024, Iraqi authorities completed standard operating procedures for investigating human trafficking and migrant smuggling cases in cooperation with the United Nations Office on Drugs and Crime and the European Union, as part of the Global Initiative to Combat Human Trafficking and Migrant Smuggling, aimed at enhancing the effectiveness of investigations and developing the capabilities of security and judicial entities.</w:t>
      </w:r>
      <w:r w:rsidRPr="00482F65">
        <w:rPr>
          <w:rStyle w:val="FootnoteReference"/>
          <w:rFonts w:asciiTheme="majorBidi" w:hAnsiTheme="majorBidi" w:cstheme="majorBidi"/>
        </w:rPr>
        <w:footnoteReference w:id="6"/>
      </w:r>
    </w:p>
    <w:p w14:paraId="6E93DF00" w14:textId="77777777" w:rsidR="006B7E91" w:rsidRPr="00F47E46" w:rsidRDefault="006B7E91" w:rsidP="006B7E91">
      <w:pPr>
        <w:jc w:val="both"/>
        <w:rPr>
          <w:rFonts w:asciiTheme="majorBidi" w:hAnsiTheme="majorBidi" w:cstheme="majorBidi"/>
        </w:rPr>
      </w:pPr>
      <w:r w:rsidRPr="00482F65">
        <w:rPr>
          <w:rFonts w:asciiTheme="majorBidi" w:hAnsiTheme="majorBidi" w:cstheme="majorBidi"/>
        </w:rPr>
        <w:t>Maat</w:t>
      </w:r>
      <w:r w:rsidRPr="00F47E46">
        <w:rPr>
          <w:rFonts w:asciiTheme="majorBidi" w:hAnsiTheme="majorBidi" w:cstheme="majorBidi"/>
        </w:rPr>
        <w:t xml:space="preserve"> notes developments related to combating human trafficking, especially regarding women. From January to mid-October 2025, more than 150 networks linked to sexual exploitation, human trafficking, and labor smuggling were dismantled across various provinces. Estimates indicate that women and girls comprise about 65% of the total human trafficking victims in Iraq, reflecting the vulnerabilities of this group to exploitation risks, particularly in conflict and humanitarian disaster areas, where the likelihood of exposure to sexual exploitation, forced labor, forced begging, and human organ trafficking increases.</w:t>
      </w:r>
      <w:r w:rsidRPr="00482F65">
        <w:rPr>
          <w:rStyle w:val="FootnoteReference"/>
          <w:rFonts w:asciiTheme="majorBidi" w:hAnsiTheme="majorBidi" w:cstheme="majorBidi"/>
        </w:rPr>
        <w:footnoteReference w:id="7"/>
      </w:r>
      <w:r w:rsidRPr="00482F65">
        <w:rPr>
          <w:rFonts w:asciiTheme="majorBidi" w:hAnsiTheme="majorBidi" w:cstheme="majorBidi"/>
        </w:rPr>
        <w:t xml:space="preserve"> </w:t>
      </w:r>
      <w:r w:rsidRPr="00F47E46">
        <w:rPr>
          <w:rFonts w:asciiTheme="majorBidi" w:hAnsiTheme="majorBidi" w:cstheme="majorBidi"/>
        </w:rPr>
        <w:t xml:space="preserve">Despite previous positive measures, </w:t>
      </w:r>
      <w:r w:rsidRPr="00482F65">
        <w:rPr>
          <w:rFonts w:asciiTheme="majorBidi" w:hAnsiTheme="majorBidi" w:cstheme="majorBidi"/>
        </w:rPr>
        <w:t>Maat</w:t>
      </w:r>
      <w:r w:rsidRPr="00F47E46">
        <w:rPr>
          <w:rFonts w:asciiTheme="majorBidi" w:hAnsiTheme="majorBidi" w:cstheme="majorBidi"/>
        </w:rPr>
        <w:t xml:space="preserve"> notes that Iraq still faces challenges in combating the trafficking of women, which limit the effectiveness of the legal framework and executive policies.</w:t>
      </w:r>
    </w:p>
    <w:p w14:paraId="39DEFA70" w14:textId="77777777" w:rsidR="006B7E91" w:rsidRPr="00F47E46" w:rsidRDefault="006B7E91" w:rsidP="006B7E91">
      <w:pPr>
        <w:jc w:val="both"/>
        <w:rPr>
          <w:rFonts w:asciiTheme="majorBidi" w:hAnsiTheme="majorBidi" w:cstheme="majorBidi"/>
        </w:rPr>
      </w:pPr>
      <w:r w:rsidRPr="00F47E46">
        <w:rPr>
          <w:rFonts w:asciiTheme="majorBidi" w:hAnsiTheme="majorBidi" w:cstheme="majorBidi"/>
        </w:rPr>
        <w:t xml:space="preserve">On another note, the phenomenon of trafficking in women and girls in Iraq is linked to organized and complex networks that interact with a fragile social environment, exploiting weak law enforcement, corruption, and chaos arising from political tensions and security conditions to expand their activities. Research indicates that the majority of victims are displaced individuals, from impoverished backgrounds, and unemployed, making them more susceptible to recruitment and exploitation through promises of marriage, job opportunities, or travel, which later turn into sexual or economic exploitation, forced labor, forced begging, and human organ trafficking, </w:t>
      </w:r>
      <w:r w:rsidRPr="00F47E46">
        <w:rPr>
          <w:rFonts w:asciiTheme="majorBidi" w:hAnsiTheme="majorBidi" w:cstheme="majorBidi"/>
        </w:rPr>
        <w:lastRenderedPageBreak/>
        <w:t>creating a security and social threat.</w:t>
      </w:r>
      <w:r w:rsidRPr="00482F65">
        <w:rPr>
          <w:rFonts w:asciiTheme="majorBidi" w:hAnsiTheme="majorBidi" w:cstheme="majorBidi"/>
        </w:rPr>
        <w:t xml:space="preserve"> </w:t>
      </w:r>
      <w:r w:rsidRPr="00F47E46">
        <w:rPr>
          <w:rFonts w:asciiTheme="majorBidi" w:hAnsiTheme="majorBidi" w:cstheme="majorBidi"/>
        </w:rPr>
        <w:t>This crime is not merely an individual act but a complex societal and security issue. Moreover, execution challenges in combating trafficking in women persist, as weak law enforcement and corruption enable criminal networks to occasionally escape punishment. Additionally, limited coordination among government entities, and shortcomings in services for prevention, shelter, and psychological and social support for victims, reduce the effectiveness of governmental efforts.</w:t>
      </w:r>
      <w:r w:rsidRPr="00482F65">
        <w:rPr>
          <w:rStyle w:val="FootnoteReference"/>
          <w:rFonts w:asciiTheme="majorBidi" w:hAnsiTheme="majorBidi" w:cstheme="majorBidi"/>
        </w:rPr>
        <w:footnoteReference w:id="8"/>
      </w:r>
    </w:p>
    <w:p w14:paraId="3A3A62D8" w14:textId="77777777" w:rsidR="006B7E91" w:rsidRPr="007023F3" w:rsidRDefault="006B7E91" w:rsidP="006B7E91">
      <w:pPr>
        <w:pStyle w:val="ListParagraph"/>
        <w:numPr>
          <w:ilvl w:val="0"/>
          <w:numId w:val="52"/>
        </w:numPr>
        <w:jc w:val="both"/>
        <w:rPr>
          <w:rFonts w:asciiTheme="majorBidi" w:hAnsiTheme="majorBidi" w:cstheme="majorBidi"/>
          <w:b/>
          <w:bCs/>
          <w:color w:val="C45911" w:themeColor="accent2" w:themeShade="BF"/>
          <w:sz w:val="28"/>
          <w:szCs w:val="28"/>
        </w:rPr>
      </w:pPr>
      <w:r w:rsidRPr="007023F3">
        <w:rPr>
          <w:rFonts w:asciiTheme="majorBidi" w:hAnsiTheme="majorBidi" w:cstheme="majorBidi"/>
          <w:b/>
          <w:bCs/>
          <w:color w:val="C45911" w:themeColor="accent2" w:themeShade="BF"/>
          <w:sz w:val="28"/>
          <w:szCs w:val="28"/>
        </w:rPr>
        <w:t>Women's Political Participation – Article 7</w:t>
      </w:r>
    </w:p>
    <w:p w14:paraId="6CEECF3C" w14:textId="77777777" w:rsidR="006B7E91" w:rsidRPr="00F47E46" w:rsidRDefault="006B7E91" w:rsidP="006B7E91">
      <w:pPr>
        <w:jc w:val="both"/>
        <w:rPr>
          <w:rFonts w:asciiTheme="majorBidi" w:hAnsiTheme="majorBidi" w:cstheme="majorBidi"/>
        </w:rPr>
      </w:pPr>
      <w:r w:rsidRPr="00F47E46">
        <w:rPr>
          <w:rFonts w:asciiTheme="majorBidi" w:hAnsiTheme="majorBidi" w:cstheme="majorBidi"/>
        </w:rPr>
        <w:t>The Iraqi Constitution and the Electoral Law guarantee women the right to political participation and ensure proportional representation in the Council of Representatives. The electoral legislation stipulates a quota of no less than 25% of parliamentary seats for women, reflecting a legal commitment to the provisions that ensure the right to political representation and integration into public life. In the parliamentary elections held on November 11, 2025, 7,768 candidates competed for 329 seats in the Council of Representatives, including approximately 2,248 women, which constitutes about 30% of the total candidates.</w:t>
      </w:r>
      <w:r w:rsidRPr="00482F65">
        <w:rPr>
          <w:rStyle w:val="FootnoteReference"/>
          <w:rFonts w:asciiTheme="majorBidi" w:hAnsiTheme="majorBidi" w:cstheme="majorBidi"/>
        </w:rPr>
        <w:footnoteReference w:id="9"/>
      </w:r>
      <w:r w:rsidRPr="00F47E46">
        <w:rPr>
          <w:rFonts w:asciiTheme="majorBidi" w:hAnsiTheme="majorBidi" w:cstheme="majorBidi"/>
        </w:rPr>
        <w:t xml:space="preserve"> This represents the highest percentage of female participation in the history of Iraqi elections to date.</w:t>
      </w:r>
      <w:r w:rsidRPr="00482F65">
        <w:rPr>
          <w:rStyle w:val="FootnoteReference"/>
          <w:rFonts w:asciiTheme="majorBidi" w:hAnsiTheme="majorBidi" w:cstheme="majorBidi"/>
        </w:rPr>
        <w:footnoteReference w:id="10"/>
      </w:r>
    </w:p>
    <w:p w14:paraId="209117AD" w14:textId="77777777" w:rsidR="006B7E91" w:rsidRPr="00F47E46" w:rsidRDefault="006B7E91" w:rsidP="006B7E91">
      <w:pPr>
        <w:jc w:val="both"/>
        <w:rPr>
          <w:rFonts w:asciiTheme="majorBidi" w:hAnsiTheme="majorBidi" w:cstheme="majorBidi"/>
        </w:rPr>
      </w:pPr>
      <w:r w:rsidRPr="00F47E46">
        <w:rPr>
          <w:rFonts w:asciiTheme="majorBidi" w:hAnsiTheme="majorBidi" w:cstheme="majorBidi"/>
        </w:rPr>
        <w:t xml:space="preserve">However, </w:t>
      </w:r>
      <w:r w:rsidRPr="00482F65">
        <w:rPr>
          <w:rFonts w:asciiTheme="majorBidi" w:hAnsiTheme="majorBidi" w:cstheme="majorBidi"/>
        </w:rPr>
        <w:t>Maat</w:t>
      </w:r>
      <w:r w:rsidRPr="00F47E46">
        <w:rPr>
          <w:rFonts w:asciiTheme="majorBidi" w:hAnsiTheme="majorBidi" w:cstheme="majorBidi"/>
        </w:rPr>
        <w:t xml:space="preserve"> notes that despite the legal measures to ensure women's representation in the Iraqi parliament, the recent parliamentary elections saw a relative decline in the number of seats won by women compared to the previous session. Women secured 84 parliamentary seats out of 329, slightly exceeding the mandated quota; however, only 25 of these seats were obtained directly through votes without relying on the quota system. This decline is evident when compared to the previous elections in 2021, where women secured 97 seats, including 57 seats through direct votes without the quota, reflecting a reduction in women's direct electoral impact in the current session. Additionally, women's representation in the Iraqi Cabinet is limited to just three ministerial portfolios, a small proportion.</w:t>
      </w:r>
    </w:p>
    <w:p w14:paraId="79460A75" w14:textId="77777777" w:rsidR="006B7E91" w:rsidRPr="00F47E46" w:rsidRDefault="006B7E91" w:rsidP="006B7E91">
      <w:pPr>
        <w:jc w:val="both"/>
        <w:rPr>
          <w:rFonts w:asciiTheme="majorBidi" w:hAnsiTheme="majorBidi" w:cstheme="majorBidi"/>
        </w:rPr>
      </w:pPr>
      <w:r w:rsidRPr="00F47E46">
        <w:rPr>
          <w:rFonts w:asciiTheme="majorBidi" w:hAnsiTheme="majorBidi" w:cstheme="majorBidi"/>
        </w:rPr>
        <w:t xml:space="preserve">In a related context, women's participation in local councils has seen similar results, with women obtaining 76 seats in Iraqi provincial councils, 17 of which were won directly without relying on </w:t>
      </w:r>
      <w:r w:rsidRPr="00F47E46">
        <w:rPr>
          <w:rFonts w:asciiTheme="majorBidi" w:hAnsiTheme="majorBidi" w:cstheme="majorBidi"/>
        </w:rPr>
        <w:lastRenderedPageBreak/>
        <w:t>the quota, underscoring the ongoing gap between official participation through quotas and actual influence in decision-making roles.</w:t>
      </w:r>
      <w:r w:rsidRPr="00482F65">
        <w:rPr>
          <w:rStyle w:val="FootnoteReference"/>
          <w:rFonts w:asciiTheme="majorBidi" w:hAnsiTheme="majorBidi" w:cstheme="majorBidi"/>
        </w:rPr>
        <w:footnoteReference w:id="11"/>
      </w:r>
    </w:p>
    <w:p w14:paraId="0F0C16B4" w14:textId="77777777" w:rsidR="006B7E91" w:rsidRPr="00F47E46" w:rsidRDefault="006B7E91" w:rsidP="006B7E91">
      <w:pPr>
        <w:jc w:val="both"/>
        <w:rPr>
          <w:rFonts w:asciiTheme="majorBidi" w:hAnsiTheme="majorBidi" w:cstheme="majorBidi"/>
        </w:rPr>
      </w:pPr>
      <w:r w:rsidRPr="00F47E46">
        <w:rPr>
          <w:rFonts w:asciiTheme="majorBidi" w:hAnsiTheme="majorBidi" w:cstheme="majorBidi"/>
        </w:rPr>
        <w:t xml:space="preserve">Moreover, </w:t>
      </w:r>
      <w:r w:rsidRPr="00482F65">
        <w:rPr>
          <w:rFonts w:asciiTheme="majorBidi" w:hAnsiTheme="majorBidi" w:cstheme="majorBidi"/>
        </w:rPr>
        <w:t>Maat</w:t>
      </w:r>
      <w:r w:rsidRPr="00F47E46">
        <w:rPr>
          <w:rFonts w:asciiTheme="majorBidi" w:hAnsiTheme="majorBidi" w:cstheme="majorBidi"/>
        </w:rPr>
        <w:t xml:space="preserve"> observes that women's representation in parliament does not always translate to their actual ability to influence legislation and policies. Female legislators have been unable to pass bills that are crucial for Iraq and promote women's rights, such as the Domestic Violence Prevention Bill. Attempts to amend the Personal Status Law have not met women’s demands, highlighting the persistent gap between numerical representation and political influence. Often, women legislators, including independents, join major political blocs that control funding and decision-making, limiting their roles in shaping policies or occupying leadership positions within these blocs. Additionally, low female voter turnout contributes to diminishing political influence for women, and social and cultural factors, including community oversight of women's voting, pose barriers to achieving effective and equal political participation.</w:t>
      </w:r>
      <w:r w:rsidRPr="00482F65">
        <w:rPr>
          <w:rStyle w:val="FootnoteReference"/>
          <w:rFonts w:asciiTheme="majorBidi" w:hAnsiTheme="majorBidi" w:cstheme="majorBidi"/>
        </w:rPr>
        <w:footnoteReference w:id="12"/>
      </w:r>
    </w:p>
    <w:p w14:paraId="5DCFB5F4" w14:textId="77777777" w:rsidR="006B7E91" w:rsidRPr="00F47E46" w:rsidRDefault="006B7E91" w:rsidP="006B7E91">
      <w:pPr>
        <w:jc w:val="both"/>
        <w:rPr>
          <w:rFonts w:asciiTheme="majorBidi" w:hAnsiTheme="majorBidi" w:cstheme="majorBidi"/>
        </w:rPr>
      </w:pPr>
      <w:r w:rsidRPr="00F47E46">
        <w:rPr>
          <w:rFonts w:asciiTheme="majorBidi" w:hAnsiTheme="majorBidi" w:cstheme="majorBidi"/>
        </w:rPr>
        <w:t xml:space="preserve">Despite the current proportional representation of Iraqi women in provincial councils, which stands at 76 women, executive positions within these councils are often dominated by men, limiting women's capacity </w:t>
      </w:r>
      <w:r>
        <w:rPr>
          <w:rFonts w:asciiTheme="majorBidi" w:hAnsiTheme="majorBidi" w:cstheme="majorBidi"/>
        </w:rPr>
        <w:t>to influence decision-making and local policy formulation effectively</w:t>
      </w:r>
      <w:r w:rsidRPr="00F47E46">
        <w:rPr>
          <w:rFonts w:asciiTheme="majorBidi" w:hAnsiTheme="majorBidi" w:cstheme="majorBidi"/>
        </w:rPr>
        <w:t>. This reality indicates a clear gap between women's numerical representation under the quota system and the exercise of authority and executive responsibility, necessitating enhanced procedures and policies to empower women in leadership positions and ensure their active participation in local decision-making.</w:t>
      </w:r>
      <w:r w:rsidRPr="00482F65">
        <w:rPr>
          <w:rStyle w:val="FootnoteReference"/>
          <w:rFonts w:asciiTheme="majorBidi" w:hAnsiTheme="majorBidi" w:cstheme="majorBidi"/>
        </w:rPr>
        <w:footnoteReference w:id="13"/>
      </w:r>
      <w:r w:rsidRPr="00F47E46">
        <w:rPr>
          <w:rFonts w:asciiTheme="majorBidi" w:hAnsiTheme="majorBidi" w:cstheme="majorBidi"/>
        </w:rPr>
        <w:t xml:space="preserve"> Women occupy only 12% of senior management positions in various ministries and agencies, meaning that for every 88 positions held by men, only 12 are held by women, indicating an imbalance that needs rectification.</w:t>
      </w:r>
      <w:r w:rsidRPr="00482F65">
        <w:rPr>
          <w:rStyle w:val="FootnoteReference"/>
          <w:rFonts w:asciiTheme="majorBidi" w:hAnsiTheme="majorBidi" w:cstheme="majorBidi"/>
        </w:rPr>
        <w:footnoteReference w:id="14"/>
      </w:r>
    </w:p>
    <w:p w14:paraId="0484452F" w14:textId="77777777" w:rsidR="006B7E91" w:rsidRPr="007023F3" w:rsidRDefault="006B7E91" w:rsidP="006B7E91">
      <w:pPr>
        <w:pStyle w:val="ListParagraph"/>
        <w:numPr>
          <w:ilvl w:val="0"/>
          <w:numId w:val="52"/>
        </w:numPr>
        <w:jc w:val="both"/>
        <w:rPr>
          <w:rFonts w:asciiTheme="majorBidi" w:hAnsiTheme="majorBidi" w:cstheme="majorBidi"/>
          <w:b/>
          <w:bCs/>
          <w:color w:val="C45911" w:themeColor="accent2" w:themeShade="BF"/>
          <w:sz w:val="28"/>
          <w:szCs w:val="28"/>
        </w:rPr>
      </w:pPr>
      <w:r w:rsidRPr="007023F3">
        <w:rPr>
          <w:rFonts w:asciiTheme="majorBidi" w:hAnsiTheme="majorBidi" w:cstheme="majorBidi"/>
          <w:b/>
          <w:bCs/>
          <w:color w:val="C45911" w:themeColor="accent2" w:themeShade="BF"/>
          <w:sz w:val="28"/>
          <w:szCs w:val="28"/>
        </w:rPr>
        <w:t>Right to Education – Article 8</w:t>
      </w:r>
    </w:p>
    <w:p w14:paraId="615ED2FF" w14:textId="77777777" w:rsidR="006B7E91" w:rsidRPr="00F47E46" w:rsidRDefault="006B7E91" w:rsidP="006B7E91">
      <w:pPr>
        <w:jc w:val="both"/>
        <w:rPr>
          <w:rFonts w:asciiTheme="majorBidi" w:hAnsiTheme="majorBidi" w:cstheme="majorBidi"/>
        </w:rPr>
      </w:pPr>
      <w:r w:rsidRPr="00F47E46">
        <w:rPr>
          <w:rFonts w:asciiTheme="majorBidi" w:hAnsiTheme="majorBidi" w:cstheme="majorBidi"/>
        </w:rPr>
        <w:t xml:space="preserve">There are still over 1.2 million children in Iraq who do not receive formal education, with at least 50% of them being girls. Factors such as poverty and security tensions have led to significant waves of displacement from rural areas to cities, directly affecting girls' opportunities to </w:t>
      </w:r>
      <w:proofErr w:type="spellStart"/>
      <w:r w:rsidRPr="00F47E46">
        <w:rPr>
          <w:rFonts w:asciiTheme="majorBidi" w:hAnsiTheme="majorBidi" w:cstheme="majorBidi"/>
        </w:rPr>
        <w:t>enroll</w:t>
      </w:r>
      <w:proofErr w:type="spellEnd"/>
      <w:r w:rsidRPr="00F47E46">
        <w:rPr>
          <w:rFonts w:asciiTheme="majorBidi" w:hAnsiTheme="majorBidi" w:cstheme="majorBidi"/>
        </w:rPr>
        <w:t xml:space="preserve"> in and continue their education, particularly in the southern and rural provinces. Drought, water </w:t>
      </w:r>
      <w:r w:rsidRPr="00F47E46">
        <w:rPr>
          <w:rFonts w:asciiTheme="majorBidi" w:hAnsiTheme="majorBidi" w:cstheme="majorBidi"/>
        </w:rPr>
        <w:lastRenderedPageBreak/>
        <w:t>scarcity, and the degradation of agricultural land have resulted in the loss of families' primary sources of income, driving many to pull their daughters out of school and thrust them into the labor market or impose additional household burdens on them. This clearly violates their constitutionally guaranteed right to education.</w:t>
      </w:r>
      <w:r w:rsidRPr="00482F65">
        <w:rPr>
          <w:rStyle w:val="FootnoteReference"/>
          <w:rFonts w:asciiTheme="majorBidi" w:hAnsiTheme="majorBidi" w:cstheme="majorBidi"/>
        </w:rPr>
        <w:footnoteReference w:id="15"/>
      </w:r>
    </w:p>
    <w:p w14:paraId="0DD15FF3" w14:textId="77777777" w:rsidR="006B7E91" w:rsidRPr="00F47E46" w:rsidRDefault="006B7E91" w:rsidP="006B7E91">
      <w:pPr>
        <w:jc w:val="both"/>
        <w:rPr>
          <w:rFonts w:asciiTheme="majorBidi" w:hAnsiTheme="majorBidi" w:cstheme="majorBidi"/>
        </w:rPr>
      </w:pPr>
      <w:r w:rsidRPr="00F47E46">
        <w:rPr>
          <w:rFonts w:asciiTheme="majorBidi" w:hAnsiTheme="majorBidi" w:cstheme="majorBidi"/>
        </w:rPr>
        <w:t>Girls in rural and displaced areas face a higher risk of dropping out of education compared to boys due to poverty, the distance of schools, a lack of educational facilities, and poor infrastructure, along with social norms that deprioritize girls' education. This situation perpetuates cycles of poverty and marginalization and limits girls' opportunities for empowerment and future participation in public life.</w:t>
      </w:r>
      <w:r w:rsidRPr="00482F65">
        <w:rPr>
          <w:rStyle w:val="FootnoteReference"/>
          <w:rFonts w:asciiTheme="majorBidi" w:hAnsiTheme="majorBidi" w:cstheme="majorBidi"/>
        </w:rPr>
        <w:footnoteReference w:id="16"/>
      </w:r>
      <w:r w:rsidRPr="00F47E46">
        <w:rPr>
          <w:rFonts w:asciiTheme="majorBidi" w:hAnsiTheme="majorBidi" w:cstheme="majorBidi"/>
        </w:rPr>
        <w:t xml:space="preserve"> Additionally, challenges related to inadequate infrastructure and educational services impact the continuity of girls' education, highlighting the urgent need to build thousands of schools to address the severe shortage of educational facilities and to operate schools on double or triple shifts, thereby diminishing the quality of education and the ability of girls to continue their studies regularly. Reports from the Iraqi Ministry of Education indicate that Iraq requires approximately 10,000 additional schools to meet current demand, posing an economic and social burden that obstructs achieving educational equality between genders.</w:t>
      </w:r>
      <w:r w:rsidRPr="00482F65">
        <w:rPr>
          <w:rStyle w:val="FootnoteReference"/>
          <w:rFonts w:asciiTheme="majorBidi" w:hAnsiTheme="majorBidi" w:cstheme="majorBidi"/>
        </w:rPr>
        <w:footnoteReference w:id="17"/>
      </w:r>
    </w:p>
    <w:p w14:paraId="345AA28D" w14:textId="77777777" w:rsidR="006B7E91" w:rsidRPr="007023F3" w:rsidRDefault="006B7E91" w:rsidP="006B7E91">
      <w:pPr>
        <w:jc w:val="both"/>
        <w:rPr>
          <w:rFonts w:asciiTheme="majorBidi" w:hAnsiTheme="majorBidi" w:cstheme="majorBidi"/>
          <w:b/>
          <w:bCs/>
          <w:color w:val="C45911" w:themeColor="accent2" w:themeShade="BF"/>
          <w:sz w:val="28"/>
          <w:szCs w:val="28"/>
        </w:rPr>
      </w:pPr>
      <w:r w:rsidRPr="007023F3">
        <w:rPr>
          <w:rFonts w:asciiTheme="majorBidi" w:hAnsiTheme="majorBidi" w:cstheme="majorBidi"/>
          <w:b/>
          <w:bCs/>
          <w:color w:val="C45911" w:themeColor="accent2" w:themeShade="BF"/>
          <w:sz w:val="28"/>
          <w:szCs w:val="28"/>
        </w:rPr>
        <w:t>Recommendations</w:t>
      </w:r>
    </w:p>
    <w:p w14:paraId="141ADAAF" w14:textId="77777777" w:rsidR="006B7E91" w:rsidRPr="00F47E46" w:rsidRDefault="006B7E91" w:rsidP="006B7E91">
      <w:pPr>
        <w:numPr>
          <w:ilvl w:val="0"/>
          <w:numId w:val="51"/>
        </w:numPr>
        <w:jc w:val="both"/>
        <w:rPr>
          <w:rFonts w:asciiTheme="majorBidi" w:hAnsiTheme="majorBidi" w:cstheme="majorBidi"/>
        </w:rPr>
      </w:pPr>
      <w:r w:rsidRPr="00F47E46">
        <w:rPr>
          <w:rFonts w:asciiTheme="majorBidi" w:hAnsiTheme="majorBidi" w:cstheme="majorBidi"/>
        </w:rPr>
        <w:t>Amend the law to ensure the unification of rights and obligations for all citizens, regardless of religious sect.</w:t>
      </w:r>
    </w:p>
    <w:p w14:paraId="65442EC8" w14:textId="77777777" w:rsidR="006B7E91" w:rsidRPr="00F47E46" w:rsidRDefault="006B7E91" w:rsidP="006B7E91">
      <w:pPr>
        <w:numPr>
          <w:ilvl w:val="0"/>
          <w:numId w:val="51"/>
        </w:numPr>
        <w:jc w:val="both"/>
        <w:rPr>
          <w:rFonts w:asciiTheme="majorBidi" w:hAnsiTheme="majorBidi" w:cstheme="majorBidi"/>
        </w:rPr>
      </w:pPr>
      <w:r w:rsidRPr="00F47E46">
        <w:rPr>
          <w:rFonts w:asciiTheme="majorBidi" w:hAnsiTheme="majorBidi" w:cstheme="majorBidi"/>
        </w:rPr>
        <w:t xml:space="preserve">Urgently </w:t>
      </w:r>
      <w:r w:rsidRPr="00482F65">
        <w:rPr>
          <w:rFonts w:asciiTheme="majorBidi" w:hAnsiTheme="majorBidi" w:cstheme="majorBidi"/>
        </w:rPr>
        <w:t xml:space="preserve">pass </w:t>
      </w:r>
      <w:r w:rsidRPr="00F47E46">
        <w:rPr>
          <w:rFonts w:asciiTheme="majorBidi" w:hAnsiTheme="majorBidi" w:cstheme="majorBidi"/>
        </w:rPr>
        <w:t>the Domestic Violence Protection Bill</w:t>
      </w:r>
      <w:r w:rsidRPr="00482F65">
        <w:rPr>
          <w:rFonts w:asciiTheme="majorBidi" w:hAnsiTheme="majorBidi" w:cstheme="majorBidi"/>
        </w:rPr>
        <w:t xml:space="preserve"> and</w:t>
      </w:r>
      <w:r w:rsidRPr="00F47E46">
        <w:rPr>
          <w:rFonts w:asciiTheme="majorBidi" w:hAnsiTheme="majorBidi" w:cstheme="majorBidi"/>
        </w:rPr>
        <w:t xml:space="preserve"> </w:t>
      </w:r>
      <w:r w:rsidRPr="00482F65">
        <w:rPr>
          <w:rFonts w:asciiTheme="majorBidi" w:hAnsiTheme="majorBidi" w:cstheme="majorBidi"/>
        </w:rPr>
        <w:t xml:space="preserve">establish </w:t>
      </w:r>
      <w:r w:rsidRPr="00F47E46">
        <w:rPr>
          <w:rFonts w:asciiTheme="majorBidi" w:hAnsiTheme="majorBidi" w:cstheme="majorBidi"/>
        </w:rPr>
        <w:t>a clear timeline for its implementation</w:t>
      </w:r>
      <w:r w:rsidRPr="00482F65">
        <w:rPr>
          <w:rFonts w:asciiTheme="majorBidi" w:hAnsiTheme="majorBidi" w:cstheme="majorBidi"/>
        </w:rPr>
        <w:t>,</w:t>
      </w:r>
      <w:r w:rsidRPr="00F47E46">
        <w:rPr>
          <w:rFonts w:asciiTheme="majorBidi" w:hAnsiTheme="majorBidi" w:cstheme="majorBidi"/>
        </w:rPr>
        <w:t xml:space="preserve"> along with monitoring and evaluation mechanisms to ensure the protection of women and girls from gender-based violence.</w:t>
      </w:r>
    </w:p>
    <w:p w14:paraId="03C3AC3D" w14:textId="77777777" w:rsidR="006B7E91" w:rsidRPr="00F47E46" w:rsidRDefault="006B7E91" w:rsidP="006B7E91">
      <w:pPr>
        <w:numPr>
          <w:ilvl w:val="0"/>
          <w:numId w:val="51"/>
        </w:numPr>
        <w:jc w:val="both"/>
        <w:rPr>
          <w:rFonts w:asciiTheme="majorBidi" w:hAnsiTheme="majorBidi" w:cstheme="majorBidi"/>
        </w:rPr>
      </w:pPr>
      <w:r w:rsidRPr="00F47E46">
        <w:rPr>
          <w:rFonts w:asciiTheme="majorBidi" w:hAnsiTheme="majorBidi" w:cstheme="majorBidi"/>
        </w:rPr>
        <w:t xml:space="preserve">Establish </w:t>
      </w:r>
      <w:r w:rsidRPr="00482F65">
        <w:rPr>
          <w:rFonts w:asciiTheme="majorBidi" w:hAnsiTheme="majorBidi" w:cstheme="majorBidi"/>
        </w:rPr>
        <w:t xml:space="preserve">specialized units </w:t>
      </w:r>
      <w:r w:rsidRPr="00F47E46">
        <w:rPr>
          <w:rFonts w:asciiTheme="majorBidi" w:hAnsiTheme="majorBidi" w:cstheme="majorBidi"/>
        </w:rPr>
        <w:t>to follow up with women and girls at risk of trafficking and provide urgent legal, psychological, and social support.</w:t>
      </w:r>
    </w:p>
    <w:p w14:paraId="04B36420" w14:textId="77777777" w:rsidR="006B7E91" w:rsidRPr="00F47E46" w:rsidRDefault="006B7E91" w:rsidP="006B7E91">
      <w:pPr>
        <w:numPr>
          <w:ilvl w:val="0"/>
          <w:numId w:val="51"/>
        </w:numPr>
        <w:jc w:val="both"/>
        <w:rPr>
          <w:rFonts w:asciiTheme="majorBidi" w:hAnsiTheme="majorBidi" w:cstheme="majorBidi"/>
        </w:rPr>
      </w:pPr>
      <w:r w:rsidRPr="00F47E46">
        <w:rPr>
          <w:rFonts w:asciiTheme="majorBidi" w:hAnsiTheme="majorBidi" w:cstheme="majorBidi"/>
        </w:rPr>
        <w:t>Formulate a national strategy to combat violence against women with the involvement of stakeholders, including civil society.</w:t>
      </w:r>
    </w:p>
    <w:p w14:paraId="7114C96F" w14:textId="77777777" w:rsidR="006B7E91" w:rsidRPr="00F47E46" w:rsidRDefault="006B7E91" w:rsidP="006B7E91">
      <w:pPr>
        <w:numPr>
          <w:ilvl w:val="0"/>
          <w:numId w:val="51"/>
        </w:numPr>
        <w:jc w:val="both"/>
        <w:rPr>
          <w:rFonts w:asciiTheme="majorBidi" w:hAnsiTheme="majorBidi" w:cstheme="majorBidi"/>
        </w:rPr>
      </w:pPr>
      <w:r w:rsidRPr="00F47E46">
        <w:rPr>
          <w:rFonts w:asciiTheme="majorBidi" w:hAnsiTheme="majorBidi" w:cstheme="majorBidi"/>
        </w:rPr>
        <w:lastRenderedPageBreak/>
        <w:t xml:space="preserve">Enhance </w:t>
      </w:r>
      <w:r w:rsidRPr="00482F65">
        <w:rPr>
          <w:rFonts w:asciiTheme="majorBidi" w:hAnsiTheme="majorBidi" w:cstheme="majorBidi"/>
        </w:rPr>
        <w:t>women's participation in</w:t>
      </w:r>
      <w:r w:rsidRPr="00F47E46">
        <w:rPr>
          <w:rFonts w:asciiTheme="majorBidi" w:hAnsiTheme="majorBidi" w:cstheme="majorBidi"/>
        </w:rPr>
        <w:t xml:space="preserve"> senior executive positions within provincial councils through training programs aimed at increasing their representation in decision-making and policy-making roles.</w:t>
      </w:r>
    </w:p>
    <w:p w14:paraId="45808ECD" w14:textId="77777777" w:rsidR="006B7E91" w:rsidRPr="00F47E46" w:rsidRDefault="006B7E91" w:rsidP="006B7E91">
      <w:pPr>
        <w:numPr>
          <w:ilvl w:val="0"/>
          <w:numId w:val="51"/>
        </w:numPr>
        <w:jc w:val="both"/>
        <w:rPr>
          <w:rFonts w:asciiTheme="majorBidi" w:hAnsiTheme="majorBidi" w:cstheme="majorBidi"/>
        </w:rPr>
      </w:pPr>
      <w:r w:rsidRPr="00F47E46">
        <w:rPr>
          <w:rFonts w:asciiTheme="majorBidi" w:hAnsiTheme="majorBidi" w:cstheme="majorBidi"/>
        </w:rPr>
        <w:t>Facilitate the ability of women lawmakers to influence legislation and policies by providing resources and protection, enabling them to pass laws that enhance women's rights, such as the Domestic Violence Prevention Bill.</w:t>
      </w:r>
    </w:p>
    <w:p w14:paraId="6FF32277" w14:textId="77777777" w:rsidR="006B7E91" w:rsidRPr="00F47E46" w:rsidRDefault="006B7E91" w:rsidP="006B7E91">
      <w:pPr>
        <w:numPr>
          <w:ilvl w:val="0"/>
          <w:numId w:val="51"/>
        </w:numPr>
        <w:jc w:val="both"/>
        <w:rPr>
          <w:rFonts w:asciiTheme="majorBidi" w:hAnsiTheme="majorBidi" w:cstheme="majorBidi"/>
        </w:rPr>
      </w:pPr>
      <w:r w:rsidRPr="00F47E46">
        <w:rPr>
          <w:rFonts w:asciiTheme="majorBidi" w:hAnsiTheme="majorBidi" w:cstheme="majorBidi"/>
        </w:rPr>
        <w:t xml:space="preserve">Develop an </w:t>
      </w:r>
      <w:r w:rsidRPr="00482F65">
        <w:rPr>
          <w:rFonts w:asciiTheme="majorBidi" w:hAnsiTheme="majorBidi" w:cstheme="majorBidi"/>
        </w:rPr>
        <w:t xml:space="preserve">emergency action plan </w:t>
      </w:r>
      <w:r w:rsidRPr="00F47E46">
        <w:rPr>
          <w:rFonts w:asciiTheme="majorBidi" w:hAnsiTheme="majorBidi" w:cstheme="majorBidi"/>
        </w:rPr>
        <w:t>for building and operating schools in rural and displaced areas, with a focus on girls, to mitigate the impact of school distance and inadequate educational facilities, ensuring the continuity of education consistently.</w:t>
      </w:r>
    </w:p>
    <w:p w14:paraId="5D7E20D2" w14:textId="77777777" w:rsidR="006B7E91" w:rsidRPr="00482F65" w:rsidRDefault="006B7E91" w:rsidP="006B7E91">
      <w:pPr>
        <w:jc w:val="both"/>
        <w:rPr>
          <w:rFonts w:asciiTheme="majorBidi" w:hAnsiTheme="majorBidi" w:cstheme="majorBidi"/>
        </w:rPr>
      </w:pPr>
    </w:p>
    <w:p w14:paraId="4994A190" w14:textId="532B01AF" w:rsidR="004A7201" w:rsidRPr="00BF478D" w:rsidRDefault="004A7201" w:rsidP="00BF478D">
      <w:pPr>
        <w:rPr>
          <w:rtl/>
        </w:rPr>
      </w:pPr>
    </w:p>
    <w:sectPr w:rsidR="004A7201" w:rsidRPr="00BF478D"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C4CEC" w14:textId="77777777" w:rsidR="00371015" w:rsidRDefault="00371015" w:rsidP="004F6D5A">
      <w:pPr>
        <w:spacing w:after="0" w:line="240" w:lineRule="auto"/>
      </w:pPr>
      <w:r>
        <w:separator/>
      </w:r>
    </w:p>
  </w:endnote>
  <w:endnote w:type="continuationSeparator" w:id="0">
    <w:p w14:paraId="69D1918C" w14:textId="77777777" w:rsidR="00371015" w:rsidRDefault="00371015"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proofErr w:type="spellStart"/>
          <w:r w:rsidRPr="000F15D5">
            <w:rPr>
              <w:rFonts w:asciiTheme="majorBidi" w:eastAsia="Times New Roman" w:hAnsiTheme="majorBidi" w:cstheme="majorBidi"/>
              <w:color w:val="000000"/>
              <w:sz w:val="18"/>
              <w:szCs w:val="18"/>
            </w:rPr>
            <w:t>Sq</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14FD8" w14:textId="77777777" w:rsidR="00371015" w:rsidRDefault="00371015" w:rsidP="004F6D5A">
      <w:pPr>
        <w:spacing w:after="0" w:line="240" w:lineRule="auto"/>
      </w:pPr>
      <w:r>
        <w:separator/>
      </w:r>
    </w:p>
  </w:footnote>
  <w:footnote w:type="continuationSeparator" w:id="0">
    <w:p w14:paraId="58355B49" w14:textId="77777777" w:rsidR="00371015" w:rsidRDefault="00371015" w:rsidP="004F6D5A">
      <w:pPr>
        <w:spacing w:after="0" w:line="240" w:lineRule="auto"/>
      </w:pPr>
      <w:r>
        <w:continuationSeparator/>
      </w:r>
    </w:p>
  </w:footnote>
  <w:footnote w:id="1">
    <w:p w14:paraId="761B1558" w14:textId="77777777" w:rsidR="006B7E91" w:rsidRPr="007023F3" w:rsidRDefault="006B7E91" w:rsidP="008B3F18">
      <w:pPr>
        <w:pStyle w:val="FootnoteText"/>
        <w:rPr>
          <w:rFonts w:asciiTheme="majorBidi" w:hAnsiTheme="majorBidi" w:cstheme="majorBidi"/>
          <w:sz w:val="16"/>
          <w:szCs w:val="16"/>
        </w:rPr>
      </w:pPr>
      <w:r w:rsidRPr="007023F3">
        <w:rPr>
          <w:rStyle w:val="FootnoteReference"/>
          <w:rFonts w:asciiTheme="majorBidi" w:hAnsiTheme="majorBidi" w:cstheme="majorBidi"/>
          <w:sz w:val="16"/>
          <w:szCs w:val="16"/>
        </w:rPr>
        <w:footnoteRef/>
      </w:r>
      <w:r w:rsidRPr="007023F3">
        <w:rPr>
          <w:rFonts w:asciiTheme="majorBidi" w:hAnsiTheme="majorBidi" w:cstheme="majorBidi"/>
          <w:sz w:val="16"/>
          <w:szCs w:val="16"/>
        </w:rPr>
        <w:t xml:space="preserve"> Civil Society Organizations Monitor Progress, Iraqi Women’s Network, </w:t>
      </w:r>
      <w:hyperlink r:id="rId1" w:history="1">
        <w:r w:rsidRPr="007023F3">
          <w:rPr>
            <w:rStyle w:val="Hyperlink"/>
            <w:rFonts w:asciiTheme="majorBidi" w:hAnsiTheme="majorBidi" w:cstheme="majorBidi"/>
            <w:sz w:val="16"/>
            <w:szCs w:val="16"/>
          </w:rPr>
          <w:t>https://2cm.es/1gmhL</w:t>
        </w:r>
      </w:hyperlink>
      <w:r w:rsidRPr="007023F3">
        <w:rPr>
          <w:rFonts w:asciiTheme="majorBidi" w:hAnsiTheme="majorBidi" w:cstheme="majorBidi"/>
          <w:sz w:val="16"/>
          <w:szCs w:val="16"/>
        </w:rPr>
        <w:t xml:space="preserve"> </w:t>
      </w:r>
    </w:p>
  </w:footnote>
  <w:footnote w:id="2">
    <w:p w14:paraId="080EC93B" w14:textId="77777777" w:rsidR="006B7E91" w:rsidRPr="007023F3" w:rsidRDefault="006B7E91" w:rsidP="00DF12D7">
      <w:pPr>
        <w:pStyle w:val="FootnoteText"/>
        <w:rPr>
          <w:rFonts w:asciiTheme="majorBidi" w:hAnsiTheme="majorBidi" w:cstheme="majorBidi"/>
          <w:sz w:val="16"/>
          <w:szCs w:val="16"/>
        </w:rPr>
      </w:pPr>
      <w:r w:rsidRPr="007023F3">
        <w:rPr>
          <w:rStyle w:val="FootnoteReference"/>
          <w:rFonts w:asciiTheme="majorBidi" w:hAnsiTheme="majorBidi" w:cstheme="majorBidi"/>
          <w:sz w:val="16"/>
          <w:szCs w:val="16"/>
        </w:rPr>
        <w:footnoteRef/>
      </w:r>
      <w:r w:rsidRPr="007023F3">
        <w:rPr>
          <w:rFonts w:asciiTheme="majorBidi" w:hAnsiTheme="majorBidi" w:cstheme="majorBidi"/>
          <w:sz w:val="16"/>
          <w:szCs w:val="16"/>
        </w:rPr>
        <w:t xml:space="preserve"> Law No. 1 of 2025, amending Personal Status Law No. 188 of 1959, February 11, 2025, </w:t>
      </w:r>
      <w:hyperlink r:id="rId2" w:history="1">
        <w:r w:rsidRPr="007023F3">
          <w:rPr>
            <w:rStyle w:val="Hyperlink"/>
            <w:rFonts w:asciiTheme="majorBidi" w:hAnsiTheme="majorBidi" w:cstheme="majorBidi"/>
            <w:sz w:val="16"/>
            <w:szCs w:val="16"/>
          </w:rPr>
          <w:t>https://iq.parliament.iq/law/frm_file/aWQ6MjQ1MXxmaWxlbmFtZTp3XzFfMjAyNS5wZGY=</w:t>
        </w:r>
      </w:hyperlink>
      <w:r w:rsidRPr="007023F3">
        <w:rPr>
          <w:rFonts w:asciiTheme="majorBidi" w:hAnsiTheme="majorBidi" w:cstheme="majorBidi"/>
          <w:sz w:val="16"/>
          <w:szCs w:val="16"/>
        </w:rPr>
        <w:t xml:space="preserve"> </w:t>
      </w:r>
    </w:p>
  </w:footnote>
  <w:footnote w:id="3">
    <w:p w14:paraId="3A4AA471" w14:textId="77777777" w:rsidR="006B7E91" w:rsidRPr="007023F3" w:rsidRDefault="006B7E91" w:rsidP="008B3F18">
      <w:pPr>
        <w:pStyle w:val="FootnoteText"/>
        <w:rPr>
          <w:rFonts w:asciiTheme="majorBidi" w:hAnsiTheme="majorBidi" w:cstheme="majorBidi"/>
          <w:sz w:val="16"/>
          <w:szCs w:val="16"/>
        </w:rPr>
      </w:pPr>
      <w:r w:rsidRPr="007023F3">
        <w:rPr>
          <w:rStyle w:val="FootnoteReference"/>
          <w:rFonts w:asciiTheme="majorBidi" w:hAnsiTheme="majorBidi" w:cstheme="majorBidi"/>
          <w:sz w:val="16"/>
          <w:szCs w:val="16"/>
        </w:rPr>
        <w:footnoteRef/>
      </w:r>
      <w:r w:rsidRPr="007023F3">
        <w:rPr>
          <w:rFonts w:asciiTheme="majorBidi" w:hAnsiTheme="majorBidi" w:cstheme="majorBidi"/>
          <w:sz w:val="16"/>
          <w:szCs w:val="16"/>
        </w:rPr>
        <w:t xml:space="preserve"> The State of the World's Children for Every Child, at the following link: </w:t>
      </w:r>
      <w:hyperlink r:id="rId3" w:history="1">
        <w:r w:rsidRPr="007023F3">
          <w:rPr>
            <w:rStyle w:val="Hyperlink"/>
            <w:rFonts w:asciiTheme="majorBidi" w:hAnsiTheme="majorBidi" w:cstheme="majorBidi"/>
            <w:sz w:val="16"/>
            <w:szCs w:val="16"/>
          </w:rPr>
          <w:t>https://www.unicef.org/media/151976/file/ArabicSOWC2023Web.pdf</w:t>
        </w:r>
      </w:hyperlink>
      <w:r w:rsidRPr="007023F3">
        <w:rPr>
          <w:rFonts w:asciiTheme="majorBidi" w:hAnsiTheme="majorBidi" w:cstheme="majorBidi"/>
          <w:sz w:val="16"/>
          <w:szCs w:val="16"/>
        </w:rPr>
        <w:t xml:space="preserve"> </w:t>
      </w:r>
    </w:p>
  </w:footnote>
  <w:footnote w:id="4">
    <w:p w14:paraId="5C934BE1" w14:textId="77777777" w:rsidR="006B7E91" w:rsidRPr="007023F3" w:rsidRDefault="006B7E91" w:rsidP="008B3F18">
      <w:pPr>
        <w:pStyle w:val="FootnoteText"/>
        <w:rPr>
          <w:rFonts w:asciiTheme="majorBidi" w:hAnsiTheme="majorBidi" w:cstheme="majorBidi"/>
          <w:sz w:val="16"/>
          <w:szCs w:val="16"/>
        </w:rPr>
      </w:pPr>
      <w:r w:rsidRPr="007023F3">
        <w:rPr>
          <w:rStyle w:val="FootnoteReference"/>
          <w:rFonts w:asciiTheme="majorBidi" w:hAnsiTheme="majorBidi" w:cstheme="majorBidi"/>
          <w:sz w:val="16"/>
          <w:szCs w:val="16"/>
        </w:rPr>
        <w:footnoteRef/>
      </w:r>
      <w:r w:rsidRPr="007023F3">
        <w:rPr>
          <w:rFonts w:asciiTheme="majorBidi" w:hAnsiTheme="majorBidi" w:cstheme="majorBidi"/>
          <w:sz w:val="16"/>
          <w:szCs w:val="16"/>
        </w:rPr>
        <w:t xml:space="preserve"> Anti-Human Trafficking Law No. 28 of 2012, </w:t>
      </w:r>
      <w:hyperlink r:id="rId4" w:history="1">
        <w:r w:rsidRPr="007023F3">
          <w:rPr>
            <w:rStyle w:val="Hyperlink"/>
            <w:rFonts w:asciiTheme="majorBidi" w:hAnsiTheme="majorBidi" w:cstheme="majorBidi"/>
            <w:sz w:val="16"/>
            <w:szCs w:val="16"/>
          </w:rPr>
          <w:t>https://n9.cl/k5buii</w:t>
        </w:r>
      </w:hyperlink>
      <w:r w:rsidRPr="007023F3">
        <w:rPr>
          <w:rFonts w:asciiTheme="majorBidi" w:hAnsiTheme="majorBidi" w:cstheme="majorBidi"/>
          <w:sz w:val="16"/>
          <w:szCs w:val="16"/>
        </w:rPr>
        <w:t xml:space="preserve"> </w:t>
      </w:r>
    </w:p>
  </w:footnote>
  <w:footnote w:id="5">
    <w:p w14:paraId="19D2E5DC" w14:textId="77777777" w:rsidR="006B7E91" w:rsidRPr="007023F3" w:rsidRDefault="006B7E91" w:rsidP="008B3F18">
      <w:pPr>
        <w:pStyle w:val="FootnoteText"/>
        <w:rPr>
          <w:rFonts w:asciiTheme="majorBidi" w:hAnsiTheme="majorBidi" w:cstheme="majorBidi"/>
          <w:sz w:val="16"/>
          <w:szCs w:val="16"/>
        </w:rPr>
      </w:pPr>
      <w:r w:rsidRPr="007023F3">
        <w:rPr>
          <w:rStyle w:val="FootnoteReference"/>
          <w:rFonts w:asciiTheme="majorBidi" w:hAnsiTheme="majorBidi" w:cstheme="majorBidi"/>
          <w:sz w:val="16"/>
          <w:szCs w:val="16"/>
        </w:rPr>
        <w:footnoteRef/>
      </w:r>
      <w:r w:rsidRPr="007023F3">
        <w:rPr>
          <w:rFonts w:asciiTheme="majorBidi" w:hAnsiTheme="majorBidi" w:cstheme="majorBidi"/>
          <w:sz w:val="16"/>
          <w:szCs w:val="16"/>
        </w:rPr>
        <w:t xml:space="preserve"> Law “Ratification by the Republic of Iraq of the Arab Protocol to Prevent and Combat Trafficking in Human Beings, Especially Women and Children, annexed and supplementing the Arab Convention to Combat Transnational Organized Crime” No. (4) of 2024, </w:t>
      </w:r>
      <w:hyperlink r:id="rId5" w:history="1">
        <w:r w:rsidRPr="007023F3">
          <w:rPr>
            <w:rStyle w:val="Hyperlink"/>
            <w:rFonts w:asciiTheme="majorBidi" w:hAnsiTheme="majorBidi" w:cstheme="majorBidi"/>
            <w:sz w:val="16"/>
            <w:szCs w:val="16"/>
          </w:rPr>
          <w:t>https://moj.gov.iq/view.8011/</w:t>
        </w:r>
      </w:hyperlink>
      <w:r w:rsidRPr="007023F3">
        <w:rPr>
          <w:rFonts w:asciiTheme="majorBidi" w:hAnsiTheme="majorBidi" w:cstheme="majorBidi"/>
          <w:sz w:val="16"/>
          <w:szCs w:val="16"/>
        </w:rPr>
        <w:t xml:space="preserve"> </w:t>
      </w:r>
    </w:p>
  </w:footnote>
  <w:footnote w:id="6">
    <w:p w14:paraId="4AC8EAB5" w14:textId="77777777" w:rsidR="006B7E91" w:rsidRPr="007023F3" w:rsidRDefault="006B7E91" w:rsidP="008B3F18">
      <w:pPr>
        <w:pStyle w:val="FootnoteText"/>
        <w:rPr>
          <w:rFonts w:asciiTheme="majorBidi" w:hAnsiTheme="majorBidi" w:cstheme="majorBidi"/>
          <w:sz w:val="16"/>
          <w:szCs w:val="16"/>
        </w:rPr>
      </w:pPr>
      <w:r w:rsidRPr="007023F3">
        <w:rPr>
          <w:rStyle w:val="FootnoteReference"/>
          <w:rFonts w:asciiTheme="majorBidi" w:hAnsiTheme="majorBidi" w:cstheme="majorBidi"/>
          <w:sz w:val="16"/>
          <w:szCs w:val="16"/>
        </w:rPr>
        <w:footnoteRef/>
      </w:r>
      <w:r w:rsidRPr="007023F3">
        <w:rPr>
          <w:rFonts w:asciiTheme="majorBidi" w:hAnsiTheme="majorBidi" w:cstheme="majorBidi"/>
          <w:sz w:val="16"/>
          <w:szCs w:val="16"/>
        </w:rPr>
        <w:t xml:space="preserve"> Iraq completes standard operating procedures for investigating cases of human trafficking and migrant smuggling, United Nations, </w:t>
      </w:r>
      <w:hyperlink r:id="rId6" w:history="1">
        <w:r w:rsidRPr="007023F3">
          <w:rPr>
            <w:rStyle w:val="Hyperlink"/>
            <w:rFonts w:asciiTheme="majorBidi" w:hAnsiTheme="majorBidi" w:cstheme="majorBidi"/>
            <w:sz w:val="16"/>
            <w:szCs w:val="16"/>
          </w:rPr>
          <w:t>https://n9.cl/q3heda</w:t>
        </w:r>
      </w:hyperlink>
      <w:r w:rsidRPr="007023F3">
        <w:rPr>
          <w:rFonts w:asciiTheme="majorBidi" w:hAnsiTheme="majorBidi" w:cstheme="majorBidi"/>
          <w:sz w:val="16"/>
          <w:szCs w:val="16"/>
        </w:rPr>
        <w:t xml:space="preserve"> </w:t>
      </w:r>
    </w:p>
  </w:footnote>
  <w:footnote w:id="7">
    <w:p w14:paraId="18E10E07" w14:textId="77777777" w:rsidR="006B7E91" w:rsidRPr="007023F3" w:rsidRDefault="006B7E91" w:rsidP="008B3F18">
      <w:pPr>
        <w:pStyle w:val="FootnoteText"/>
        <w:rPr>
          <w:rFonts w:asciiTheme="majorBidi" w:hAnsiTheme="majorBidi" w:cstheme="majorBidi"/>
          <w:sz w:val="16"/>
          <w:szCs w:val="16"/>
        </w:rPr>
      </w:pPr>
      <w:r w:rsidRPr="007023F3">
        <w:rPr>
          <w:rStyle w:val="FootnoteReference"/>
          <w:rFonts w:asciiTheme="majorBidi" w:hAnsiTheme="majorBidi" w:cstheme="majorBidi"/>
          <w:sz w:val="16"/>
          <w:szCs w:val="16"/>
        </w:rPr>
        <w:footnoteRef/>
      </w:r>
      <w:r w:rsidRPr="007023F3">
        <w:rPr>
          <w:rFonts w:asciiTheme="majorBidi" w:hAnsiTheme="majorBidi" w:cstheme="majorBidi"/>
          <w:sz w:val="16"/>
          <w:szCs w:val="16"/>
        </w:rPr>
        <w:t xml:space="preserve"> Dismantling more than 150 sexual exploitation, human trafficking, and labor smuggling networks in Iraq, Al-</w:t>
      </w:r>
      <w:proofErr w:type="spellStart"/>
      <w:r w:rsidRPr="007023F3">
        <w:rPr>
          <w:rFonts w:asciiTheme="majorBidi" w:hAnsiTheme="majorBidi" w:cstheme="majorBidi"/>
          <w:sz w:val="16"/>
          <w:szCs w:val="16"/>
        </w:rPr>
        <w:t>Taraq</w:t>
      </w:r>
      <w:proofErr w:type="spellEnd"/>
      <w:r w:rsidRPr="007023F3">
        <w:rPr>
          <w:rFonts w:asciiTheme="majorBidi" w:hAnsiTheme="majorBidi" w:cstheme="majorBidi"/>
          <w:sz w:val="16"/>
          <w:szCs w:val="16"/>
        </w:rPr>
        <w:t xml:space="preserve">, October 22, 2025, </w:t>
      </w:r>
      <w:hyperlink r:id="rId7" w:history="1">
        <w:r w:rsidRPr="007023F3">
          <w:rPr>
            <w:rStyle w:val="Hyperlink"/>
            <w:rFonts w:asciiTheme="majorBidi" w:hAnsiTheme="majorBidi" w:cstheme="majorBidi"/>
            <w:sz w:val="16"/>
            <w:szCs w:val="16"/>
          </w:rPr>
          <w:t>https://n9.cl/0v0wr3</w:t>
        </w:r>
      </w:hyperlink>
      <w:r w:rsidRPr="007023F3">
        <w:rPr>
          <w:rFonts w:asciiTheme="majorBidi" w:hAnsiTheme="majorBidi" w:cstheme="majorBidi"/>
          <w:sz w:val="16"/>
          <w:szCs w:val="16"/>
        </w:rPr>
        <w:t xml:space="preserve"> </w:t>
      </w:r>
    </w:p>
  </w:footnote>
  <w:footnote w:id="8">
    <w:p w14:paraId="0CE3E814" w14:textId="77777777" w:rsidR="006B7E91" w:rsidRPr="007023F3" w:rsidRDefault="006B7E91" w:rsidP="008B3F18">
      <w:pPr>
        <w:pStyle w:val="FootnoteText"/>
        <w:rPr>
          <w:rFonts w:asciiTheme="majorBidi" w:hAnsiTheme="majorBidi" w:cstheme="majorBidi"/>
          <w:sz w:val="16"/>
          <w:szCs w:val="16"/>
        </w:rPr>
      </w:pPr>
      <w:r w:rsidRPr="007023F3">
        <w:rPr>
          <w:rStyle w:val="FootnoteReference"/>
          <w:rFonts w:asciiTheme="majorBidi" w:hAnsiTheme="majorBidi" w:cstheme="majorBidi"/>
          <w:sz w:val="16"/>
          <w:szCs w:val="16"/>
        </w:rPr>
        <w:footnoteRef/>
      </w:r>
      <w:r w:rsidRPr="007023F3">
        <w:rPr>
          <w:rFonts w:asciiTheme="majorBidi" w:hAnsiTheme="majorBidi" w:cstheme="majorBidi"/>
          <w:sz w:val="16"/>
          <w:szCs w:val="16"/>
        </w:rPr>
        <w:t xml:space="preserve"> Trafficking in women...a dark path that leads to violence and terrorism, Al-</w:t>
      </w:r>
      <w:proofErr w:type="spellStart"/>
      <w:r w:rsidRPr="007023F3">
        <w:rPr>
          <w:rFonts w:asciiTheme="majorBidi" w:hAnsiTheme="majorBidi" w:cstheme="majorBidi"/>
          <w:sz w:val="16"/>
          <w:szCs w:val="16"/>
        </w:rPr>
        <w:t>Shabaka</w:t>
      </w:r>
      <w:proofErr w:type="spellEnd"/>
      <w:r w:rsidRPr="007023F3">
        <w:rPr>
          <w:rFonts w:asciiTheme="majorBidi" w:hAnsiTheme="majorBidi" w:cstheme="majorBidi"/>
          <w:sz w:val="16"/>
          <w:szCs w:val="16"/>
        </w:rPr>
        <w:t xml:space="preserve"> Al-Iraqiya Magazine, December 16, 2025, </w:t>
      </w:r>
      <w:hyperlink r:id="rId8" w:history="1">
        <w:r w:rsidRPr="007023F3">
          <w:rPr>
            <w:rStyle w:val="Hyperlink"/>
            <w:rFonts w:asciiTheme="majorBidi" w:hAnsiTheme="majorBidi" w:cstheme="majorBidi"/>
            <w:sz w:val="16"/>
            <w:szCs w:val="16"/>
          </w:rPr>
          <w:t>https://magazine.imn.iq/archives/30957</w:t>
        </w:r>
      </w:hyperlink>
      <w:r w:rsidRPr="007023F3">
        <w:rPr>
          <w:rFonts w:asciiTheme="majorBidi" w:hAnsiTheme="majorBidi" w:cstheme="majorBidi"/>
          <w:sz w:val="16"/>
          <w:szCs w:val="16"/>
        </w:rPr>
        <w:t xml:space="preserve"> </w:t>
      </w:r>
    </w:p>
  </w:footnote>
  <w:footnote w:id="9">
    <w:p w14:paraId="1E4B1053" w14:textId="77777777" w:rsidR="006B7E91" w:rsidRPr="007023F3" w:rsidRDefault="006B7E91" w:rsidP="008B3F18">
      <w:pPr>
        <w:pStyle w:val="FootnoteText"/>
        <w:rPr>
          <w:rFonts w:asciiTheme="majorBidi" w:hAnsiTheme="majorBidi" w:cstheme="majorBidi"/>
          <w:sz w:val="16"/>
          <w:szCs w:val="16"/>
        </w:rPr>
      </w:pPr>
      <w:r w:rsidRPr="007023F3">
        <w:rPr>
          <w:rStyle w:val="FootnoteReference"/>
          <w:rFonts w:asciiTheme="majorBidi" w:hAnsiTheme="majorBidi" w:cstheme="majorBidi"/>
          <w:sz w:val="16"/>
          <w:szCs w:val="16"/>
        </w:rPr>
        <w:footnoteRef/>
      </w:r>
      <w:r w:rsidRPr="007023F3">
        <w:rPr>
          <w:rFonts w:asciiTheme="majorBidi" w:hAnsiTheme="majorBidi" w:cstheme="majorBidi"/>
          <w:sz w:val="16"/>
          <w:szCs w:val="16"/>
        </w:rPr>
        <w:t xml:space="preserve"> Women Make up 30% of Candidates for Iraqi Parliament: 83 of 329 Seats Secured</w:t>
      </w:r>
      <w:r w:rsidRPr="007023F3">
        <w:rPr>
          <w:rFonts w:asciiTheme="majorBidi" w:hAnsiTheme="majorBidi" w:cstheme="majorBidi"/>
          <w:sz w:val="16"/>
          <w:szCs w:val="16"/>
          <w:lang w:bidi="ar-EG"/>
        </w:rPr>
        <w:t xml:space="preserve">, Kirkuk now, 7 October 2025, </w:t>
      </w:r>
      <w:hyperlink r:id="rId9" w:history="1">
        <w:r w:rsidRPr="007023F3">
          <w:rPr>
            <w:rStyle w:val="Hyperlink"/>
            <w:rFonts w:asciiTheme="majorBidi" w:hAnsiTheme="majorBidi" w:cstheme="majorBidi"/>
            <w:sz w:val="16"/>
            <w:szCs w:val="16"/>
            <w:lang w:bidi="ar-EG"/>
          </w:rPr>
          <w:t>https://kirkuknow.com/en/news/71348</w:t>
        </w:r>
      </w:hyperlink>
    </w:p>
  </w:footnote>
  <w:footnote w:id="10">
    <w:p w14:paraId="40BDF773" w14:textId="00CCE188" w:rsidR="006B7E91" w:rsidRPr="007023F3" w:rsidRDefault="006B7E91" w:rsidP="008B3F18">
      <w:pPr>
        <w:pStyle w:val="FootnoteText"/>
        <w:rPr>
          <w:rFonts w:asciiTheme="majorBidi" w:hAnsiTheme="majorBidi" w:cstheme="majorBidi"/>
          <w:sz w:val="16"/>
          <w:szCs w:val="16"/>
        </w:rPr>
      </w:pPr>
      <w:r w:rsidRPr="007023F3">
        <w:rPr>
          <w:rStyle w:val="FootnoteReference"/>
          <w:rFonts w:asciiTheme="majorBidi" w:hAnsiTheme="majorBidi" w:cstheme="majorBidi"/>
          <w:sz w:val="16"/>
          <w:szCs w:val="16"/>
        </w:rPr>
        <w:footnoteRef/>
      </w:r>
      <w:r w:rsidRPr="007023F3">
        <w:rPr>
          <w:rFonts w:asciiTheme="majorBidi" w:hAnsiTheme="majorBidi" w:cstheme="majorBidi"/>
          <w:sz w:val="16"/>
          <w:szCs w:val="16"/>
        </w:rPr>
        <w:t xml:space="preserve"> </w:t>
      </w:r>
      <w:r w:rsidRPr="007023F3">
        <w:rPr>
          <w:rFonts w:asciiTheme="majorBidi" w:hAnsiTheme="majorBidi" w:cstheme="majorBidi"/>
          <w:sz w:val="16"/>
          <w:szCs w:val="16"/>
          <w:lang w:bidi="ar-EG"/>
        </w:rPr>
        <w:t xml:space="preserve">Iraqi women gain seats in parliament but struggle to exert political influence, </w:t>
      </w:r>
      <w:r w:rsidR="008B3F18">
        <w:rPr>
          <w:rFonts w:asciiTheme="majorBidi" w:hAnsiTheme="majorBidi" w:cstheme="majorBidi"/>
          <w:sz w:val="16"/>
          <w:szCs w:val="16"/>
          <w:lang w:bidi="ar-EG"/>
        </w:rPr>
        <w:t>N</w:t>
      </w:r>
      <w:r w:rsidRPr="007023F3">
        <w:rPr>
          <w:rFonts w:asciiTheme="majorBidi" w:hAnsiTheme="majorBidi" w:cstheme="majorBidi"/>
          <w:sz w:val="16"/>
          <w:szCs w:val="16"/>
          <w:lang w:bidi="ar-EG"/>
        </w:rPr>
        <w:t xml:space="preserve">ew Arab, 15 December 2025, </w:t>
      </w:r>
      <w:hyperlink r:id="rId10" w:history="1">
        <w:r w:rsidRPr="007023F3">
          <w:rPr>
            <w:rStyle w:val="Hyperlink"/>
            <w:rFonts w:asciiTheme="majorBidi" w:hAnsiTheme="majorBidi" w:cstheme="majorBidi"/>
            <w:sz w:val="16"/>
            <w:szCs w:val="16"/>
            <w:lang w:bidi="ar-EG"/>
          </w:rPr>
          <w:t>https://www.newarab.com/opinion/iraqs-women-mps-hold-more-seats-little-sway</w:t>
        </w:r>
      </w:hyperlink>
    </w:p>
  </w:footnote>
  <w:footnote w:id="11">
    <w:p w14:paraId="52CAD290" w14:textId="77777777" w:rsidR="006B7E91" w:rsidRPr="007023F3" w:rsidRDefault="006B7E91" w:rsidP="008B3F18">
      <w:pPr>
        <w:pStyle w:val="FootnoteText"/>
        <w:rPr>
          <w:rFonts w:asciiTheme="majorBidi" w:hAnsiTheme="majorBidi" w:cstheme="majorBidi"/>
          <w:sz w:val="16"/>
          <w:szCs w:val="16"/>
        </w:rPr>
      </w:pPr>
      <w:r w:rsidRPr="007023F3">
        <w:rPr>
          <w:rStyle w:val="FootnoteReference"/>
          <w:rFonts w:asciiTheme="majorBidi" w:hAnsiTheme="majorBidi" w:cstheme="majorBidi"/>
          <w:sz w:val="16"/>
          <w:szCs w:val="16"/>
        </w:rPr>
        <w:footnoteRef/>
      </w:r>
      <w:r w:rsidRPr="007023F3">
        <w:rPr>
          <w:rFonts w:asciiTheme="majorBidi" w:hAnsiTheme="majorBidi" w:cstheme="majorBidi"/>
          <w:sz w:val="16"/>
          <w:szCs w:val="16"/>
        </w:rPr>
        <w:t xml:space="preserve"> Women lost 13 seats in the Iraqi parliament, Kirkuk Now, November 23, 2025, </w:t>
      </w:r>
      <w:hyperlink r:id="rId11" w:history="1">
        <w:r w:rsidRPr="007023F3">
          <w:rPr>
            <w:rStyle w:val="Hyperlink"/>
            <w:rFonts w:asciiTheme="majorBidi" w:hAnsiTheme="majorBidi" w:cstheme="majorBidi"/>
            <w:sz w:val="16"/>
            <w:szCs w:val="16"/>
          </w:rPr>
          <w:t>https://kirkuknow.com/ar/news/71413</w:t>
        </w:r>
      </w:hyperlink>
      <w:r w:rsidRPr="007023F3">
        <w:rPr>
          <w:rFonts w:asciiTheme="majorBidi" w:hAnsiTheme="majorBidi" w:cstheme="majorBidi"/>
          <w:sz w:val="16"/>
          <w:szCs w:val="16"/>
        </w:rPr>
        <w:t xml:space="preserve"> </w:t>
      </w:r>
    </w:p>
  </w:footnote>
  <w:footnote w:id="12">
    <w:p w14:paraId="49FCCBB5" w14:textId="77777777" w:rsidR="006B7E91" w:rsidRPr="007023F3" w:rsidRDefault="006B7E91" w:rsidP="008B3F18">
      <w:pPr>
        <w:pStyle w:val="FootnoteText"/>
        <w:rPr>
          <w:rFonts w:asciiTheme="majorBidi" w:hAnsiTheme="majorBidi" w:cstheme="majorBidi"/>
          <w:sz w:val="16"/>
          <w:szCs w:val="16"/>
        </w:rPr>
      </w:pPr>
      <w:r w:rsidRPr="007023F3">
        <w:rPr>
          <w:rStyle w:val="FootnoteReference"/>
          <w:rFonts w:asciiTheme="majorBidi" w:hAnsiTheme="majorBidi" w:cstheme="majorBidi"/>
          <w:sz w:val="16"/>
          <w:szCs w:val="16"/>
        </w:rPr>
        <w:footnoteRef/>
      </w:r>
      <w:r w:rsidRPr="007023F3">
        <w:rPr>
          <w:rFonts w:asciiTheme="majorBidi" w:hAnsiTheme="majorBidi" w:cstheme="majorBidi"/>
          <w:sz w:val="16"/>
          <w:szCs w:val="16"/>
        </w:rPr>
        <w:t xml:space="preserve"> Ibid, </w:t>
      </w:r>
      <w:hyperlink r:id="rId12" w:history="1">
        <w:r w:rsidRPr="007023F3">
          <w:rPr>
            <w:rStyle w:val="Hyperlink"/>
            <w:rFonts w:asciiTheme="majorBidi" w:hAnsiTheme="majorBidi" w:cstheme="majorBidi"/>
            <w:sz w:val="16"/>
            <w:szCs w:val="16"/>
            <w:lang w:bidi="ar-EG"/>
          </w:rPr>
          <w:t>https://www.newarab.com/opinion/iraqs-women-mps-hold-more-seats-little-sway</w:t>
        </w:r>
      </w:hyperlink>
    </w:p>
  </w:footnote>
  <w:footnote w:id="13">
    <w:p w14:paraId="021FC017" w14:textId="77777777" w:rsidR="006B7E91" w:rsidRPr="007023F3" w:rsidRDefault="006B7E91" w:rsidP="008B3F18">
      <w:pPr>
        <w:pStyle w:val="FootnoteText"/>
        <w:rPr>
          <w:rFonts w:asciiTheme="majorBidi" w:hAnsiTheme="majorBidi" w:cstheme="majorBidi"/>
          <w:sz w:val="16"/>
          <w:szCs w:val="16"/>
        </w:rPr>
      </w:pPr>
      <w:r w:rsidRPr="007023F3">
        <w:rPr>
          <w:rStyle w:val="FootnoteReference"/>
          <w:rFonts w:asciiTheme="majorBidi" w:hAnsiTheme="majorBidi" w:cstheme="majorBidi"/>
          <w:sz w:val="16"/>
          <w:szCs w:val="16"/>
        </w:rPr>
        <w:footnoteRef/>
      </w:r>
      <w:r w:rsidRPr="007023F3">
        <w:rPr>
          <w:rFonts w:asciiTheme="majorBidi" w:hAnsiTheme="majorBidi" w:cstheme="majorBidi"/>
          <w:sz w:val="16"/>
          <w:szCs w:val="16"/>
        </w:rPr>
        <w:t xml:space="preserve"> Their voices are rising in the provincial councils: Challenges still face women in local decision-making, Kirkuk Now, December 2, 2024, </w:t>
      </w:r>
      <w:hyperlink r:id="rId13" w:history="1">
        <w:r w:rsidRPr="007023F3">
          <w:rPr>
            <w:rStyle w:val="Hyperlink"/>
            <w:rFonts w:asciiTheme="majorBidi" w:hAnsiTheme="majorBidi" w:cstheme="majorBidi"/>
            <w:sz w:val="16"/>
            <w:szCs w:val="16"/>
          </w:rPr>
          <w:t>https://kirkuknow.com/ar/news/70723</w:t>
        </w:r>
      </w:hyperlink>
      <w:r w:rsidRPr="007023F3">
        <w:rPr>
          <w:rFonts w:asciiTheme="majorBidi" w:hAnsiTheme="majorBidi" w:cstheme="majorBidi"/>
          <w:sz w:val="16"/>
          <w:szCs w:val="16"/>
        </w:rPr>
        <w:t xml:space="preserve"> </w:t>
      </w:r>
    </w:p>
  </w:footnote>
  <w:footnote w:id="14">
    <w:p w14:paraId="1718E3F6" w14:textId="77777777" w:rsidR="006B7E91" w:rsidRPr="007023F3" w:rsidRDefault="006B7E91" w:rsidP="008B3F18">
      <w:pPr>
        <w:pStyle w:val="FootnoteText"/>
        <w:rPr>
          <w:rFonts w:asciiTheme="majorBidi" w:hAnsiTheme="majorBidi" w:cstheme="majorBidi"/>
          <w:sz w:val="16"/>
          <w:szCs w:val="16"/>
        </w:rPr>
      </w:pPr>
      <w:r w:rsidRPr="007023F3">
        <w:rPr>
          <w:rStyle w:val="FootnoteReference"/>
          <w:rFonts w:asciiTheme="majorBidi" w:hAnsiTheme="majorBidi" w:cstheme="majorBidi"/>
          <w:sz w:val="16"/>
          <w:szCs w:val="16"/>
        </w:rPr>
        <w:footnoteRef/>
      </w:r>
      <w:r w:rsidRPr="007023F3">
        <w:rPr>
          <w:rFonts w:asciiTheme="majorBidi" w:hAnsiTheme="majorBidi" w:cstheme="majorBidi"/>
          <w:sz w:val="16"/>
          <w:szCs w:val="16"/>
        </w:rPr>
        <w:t xml:space="preserve"> There are no opportunities to empower them, the unbridgeable gap between women and men in senior positions, at the following link: </w:t>
      </w:r>
      <w:hyperlink r:id="rId14" w:history="1">
        <w:r w:rsidRPr="007023F3">
          <w:rPr>
            <w:rStyle w:val="Hyperlink"/>
            <w:rFonts w:asciiTheme="majorBidi" w:hAnsiTheme="majorBidi" w:cstheme="majorBidi"/>
            <w:sz w:val="16"/>
            <w:szCs w:val="16"/>
          </w:rPr>
          <w:t>https://h7.cl/1lBCj</w:t>
        </w:r>
      </w:hyperlink>
      <w:r w:rsidRPr="007023F3">
        <w:rPr>
          <w:rFonts w:asciiTheme="majorBidi" w:hAnsiTheme="majorBidi" w:cstheme="majorBidi"/>
          <w:sz w:val="16"/>
          <w:szCs w:val="16"/>
        </w:rPr>
        <w:t xml:space="preserve"> </w:t>
      </w:r>
    </w:p>
  </w:footnote>
  <w:footnote w:id="15">
    <w:p w14:paraId="30EE114A" w14:textId="77777777" w:rsidR="006B7E91" w:rsidRPr="007023F3" w:rsidRDefault="006B7E91" w:rsidP="006B7E91">
      <w:pPr>
        <w:pStyle w:val="FootnoteText"/>
        <w:jc w:val="both"/>
        <w:rPr>
          <w:rFonts w:asciiTheme="majorBidi" w:hAnsiTheme="majorBidi" w:cstheme="majorBidi"/>
          <w:sz w:val="16"/>
          <w:szCs w:val="16"/>
        </w:rPr>
      </w:pPr>
      <w:r w:rsidRPr="007023F3">
        <w:rPr>
          <w:rStyle w:val="FootnoteReference"/>
          <w:rFonts w:asciiTheme="majorBidi" w:hAnsiTheme="majorBidi" w:cstheme="majorBidi"/>
          <w:sz w:val="16"/>
          <w:szCs w:val="16"/>
        </w:rPr>
        <w:footnoteRef/>
      </w:r>
      <w:r w:rsidRPr="007023F3">
        <w:rPr>
          <w:rFonts w:asciiTheme="majorBidi" w:hAnsiTheme="majorBidi" w:cstheme="majorBidi"/>
          <w:sz w:val="16"/>
          <w:szCs w:val="16"/>
        </w:rPr>
        <w:t xml:space="preserve"> Victims of drought and poverty... depriving girls of education is another effect of climate change in Diwaniyah, June 3, 2024, </w:t>
      </w:r>
      <w:hyperlink r:id="rId15" w:history="1">
        <w:r w:rsidRPr="007023F3">
          <w:rPr>
            <w:rStyle w:val="Hyperlink"/>
            <w:rFonts w:asciiTheme="majorBidi" w:hAnsiTheme="majorBidi" w:cstheme="majorBidi"/>
            <w:sz w:val="16"/>
            <w:szCs w:val="16"/>
          </w:rPr>
          <w:t>https://n9.cl/4xqic</w:t>
        </w:r>
      </w:hyperlink>
      <w:r w:rsidRPr="007023F3">
        <w:rPr>
          <w:rFonts w:asciiTheme="majorBidi" w:hAnsiTheme="majorBidi" w:cstheme="majorBidi"/>
          <w:sz w:val="16"/>
          <w:szCs w:val="16"/>
        </w:rPr>
        <w:t xml:space="preserve"> </w:t>
      </w:r>
    </w:p>
  </w:footnote>
  <w:footnote w:id="16">
    <w:p w14:paraId="381A01D9" w14:textId="77777777" w:rsidR="006B7E91" w:rsidRPr="007023F3" w:rsidRDefault="006B7E91" w:rsidP="006B7E91">
      <w:pPr>
        <w:pStyle w:val="FootnoteText"/>
        <w:jc w:val="both"/>
        <w:rPr>
          <w:rFonts w:asciiTheme="majorBidi" w:hAnsiTheme="majorBidi" w:cstheme="majorBidi"/>
          <w:sz w:val="16"/>
          <w:szCs w:val="16"/>
        </w:rPr>
      </w:pPr>
      <w:r w:rsidRPr="007023F3">
        <w:rPr>
          <w:rStyle w:val="FootnoteReference"/>
          <w:rFonts w:asciiTheme="majorBidi" w:hAnsiTheme="majorBidi" w:cstheme="majorBidi"/>
          <w:sz w:val="16"/>
          <w:szCs w:val="16"/>
        </w:rPr>
        <w:footnoteRef/>
      </w:r>
      <w:r w:rsidRPr="007023F3">
        <w:rPr>
          <w:rFonts w:asciiTheme="majorBidi" w:hAnsiTheme="majorBidi" w:cstheme="majorBidi"/>
          <w:sz w:val="16"/>
          <w:szCs w:val="16"/>
        </w:rPr>
        <w:t xml:space="preserve"> Ibid, </w:t>
      </w:r>
      <w:hyperlink r:id="rId16" w:history="1">
        <w:r w:rsidRPr="007023F3">
          <w:rPr>
            <w:rStyle w:val="Hyperlink"/>
            <w:rFonts w:asciiTheme="majorBidi" w:hAnsiTheme="majorBidi" w:cstheme="majorBidi"/>
            <w:sz w:val="16"/>
            <w:szCs w:val="16"/>
          </w:rPr>
          <w:t>https://n9.cl/4xqic</w:t>
        </w:r>
      </w:hyperlink>
    </w:p>
  </w:footnote>
  <w:footnote w:id="17">
    <w:p w14:paraId="58C5C3FD" w14:textId="00555BF0" w:rsidR="006B7E91" w:rsidRPr="007023F3" w:rsidRDefault="006B7E91" w:rsidP="008B3F18">
      <w:pPr>
        <w:pStyle w:val="FootnoteText"/>
        <w:rPr>
          <w:rFonts w:asciiTheme="majorBidi" w:hAnsiTheme="majorBidi" w:cstheme="majorBidi"/>
          <w:sz w:val="16"/>
          <w:szCs w:val="16"/>
        </w:rPr>
      </w:pPr>
      <w:r w:rsidRPr="007023F3">
        <w:rPr>
          <w:rStyle w:val="FootnoteReference"/>
          <w:rFonts w:asciiTheme="majorBidi" w:hAnsiTheme="majorBidi" w:cstheme="majorBidi"/>
          <w:sz w:val="16"/>
          <w:szCs w:val="16"/>
        </w:rPr>
        <w:footnoteRef/>
      </w:r>
      <w:r w:rsidR="008B3F18">
        <w:rPr>
          <w:rFonts w:asciiTheme="majorBidi" w:hAnsiTheme="majorBidi" w:cstheme="majorBidi"/>
          <w:sz w:val="16"/>
          <w:szCs w:val="16"/>
        </w:rPr>
        <w:t xml:space="preserve"> </w:t>
      </w:r>
      <w:r w:rsidRPr="007023F3">
        <w:rPr>
          <w:rFonts w:asciiTheme="majorBidi" w:hAnsiTheme="majorBidi" w:cstheme="majorBidi"/>
          <w:sz w:val="16"/>
          <w:szCs w:val="16"/>
        </w:rPr>
        <w:t xml:space="preserve">Iraq: Improving Quality of Education and Access to Enable All Students to Learn, </w:t>
      </w:r>
      <w:r w:rsidR="008B3F18">
        <w:rPr>
          <w:rFonts w:asciiTheme="majorBidi" w:hAnsiTheme="majorBidi" w:cstheme="majorBidi"/>
          <w:sz w:val="16"/>
          <w:szCs w:val="16"/>
        </w:rPr>
        <w:t>W</w:t>
      </w:r>
      <w:r w:rsidRPr="007023F3">
        <w:rPr>
          <w:rFonts w:asciiTheme="majorBidi" w:hAnsiTheme="majorBidi" w:cstheme="majorBidi"/>
          <w:sz w:val="16"/>
          <w:szCs w:val="16"/>
        </w:rPr>
        <w:t xml:space="preserve">orld </w:t>
      </w:r>
      <w:r w:rsidR="008B3F18">
        <w:rPr>
          <w:rFonts w:asciiTheme="majorBidi" w:hAnsiTheme="majorBidi" w:cstheme="majorBidi"/>
          <w:sz w:val="16"/>
          <w:szCs w:val="16"/>
        </w:rPr>
        <w:t>B</w:t>
      </w:r>
      <w:r w:rsidRPr="007023F3">
        <w:rPr>
          <w:rFonts w:asciiTheme="majorBidi" w:hAnsiTheme="majorBidi" w:cstheme="majorBidi"/>
          <w:sz w:val="16"/>
          <w:szCs w:val="16"/>
        </w:rPr>
        <w:t xml:space="preserve">ank, 29 October 2024, </w:t>
      </w:r>
      <w:hyperlink r:id="rId17" w:history="1">
        <w:r w:rsidRPr="007023F3">
          <w:rPr>
            <w:rStyle w:val="Hyperlink"/>
            <w:rFonts w:asciiTheme="majorBidi" w:hAnsiTheme="majorBidi" w:cstheme="majorBidi"/>
            <w:sz w:val="16"/>
            <w:szCs w:val="16"/>
          </w:rPr>
          <w:t>https://www.worldbank.org/en/results/2024/10/29/iraq-improving-quality-of-education-and-access-to-enable-all-students-to-learn</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CF735" w14:textId="18E60A97" w:rsidR="0058685C" w:rsidRPr="0058685C" w:rsidRDefault="0058685C" w:rsidP="0058685C">
    <w:pPr>
      <w:pStyle w:val="Header"/>
    </w:pPr>
    <w:r>
      <w:rPr>
        <w:noProof/>
        <w:lang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085395F"/>
    <w:multiLevelType w:val="multilevel"/>
    <w:tmpl w:val="5CF0E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EB2DF9"/>
    <w:multiLevelType w:val="multilevel"/>
    <w:tmpl w:val="D67AB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D53309C"/>
    <w:multiLevelType w:val="multilevel"/>
    <w:tmpl w:val="23B40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081896"/>
    <w:multiLevelType w:val="hybridMultilevel"/>
    <w:tmpl w:val="D2FE152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AE764FB"/>
    <w:multiLevelType w:val="multilevel"/>
    <w:tmpl w:val="55F2B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B57414E"/>
    <w:multiLevelType w:val="multilevel"/>
    <w:tmpl w:val="FE6AE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08B47DF"/>
    <w:multiLevelType w:val="multilevel"/>
    <w:tmpl w:val="E95AD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0C46772"/>
    <w:multiLevelType w:val="multilevel"/>
    <w:tmpl w:val="77568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9"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20"/>
  </w:num>
  <w:num w:numId="2" w16cid:durableId="319427900">
    <w:abstractNumId w:val="6"/>
  </w:num>
  <w:num w:numId="3" w16cid:durableId="483819352">
    <w:abstractNumId w:val="1"/>
  </w:num>
  <w:num w:numId="4" w16cid:durableId="1550531087">
    <w:abstractNumId w:val="15"/>
  </w:num>
  <w:num w:numId="5" w16cid:durableId="365302262">
    <w:abstractNumId w:val="4"/>
  </w:num>
  <w:num w:numId="6" w16cid:durableId="1490904455">
    <w:abstractNumId w:val="36"/>
  </w:num>
  <w:num w:numId="7" w16cid:durableId="1975796718">
    <w:abstractNumId w:val="45"/>
  </w:num>
  <w:num w:numId="8" w16cid:durableId="168910388">
    <w:abstractNumId w:val="49"/>
  </w:num>
  <w:num w:numId="9" w16cid:durableId="864364265">
    <w:abstractNumId w:val="33"/>
  </w:num>
  <w:num w:numId="10" w16cid:durableId="1110662610">
    <w:abstractNumId w:val="37"/>
  </w:num>
  <w:num w:numId="11" w16cid:durableId="48504678">
    <w:abstractNumId w:val="27"/>
  </w:num>
  <w:num w:numId="12" w16cid:durableId="1057243330">
    <w:abstractNumId w:val="48"/>
  </w:num>
  <w:num w:numId="13" w16cid:durableId="113838224">
    <w:abstractNumId w:val="25"/>
  </w:num>
  <w:num w:numId="14" w16cid:durableId="1819300015">
    <w:abstractNumId w:val="9"/>
  </w:num>
  <w:num w:numId="15" w16cid:durableId="1354769003">
    <w:abstractNumId w:val="31"/>
  </w:num>
  <w:num w:numId="16" w16cid:durableId="765884069">
    <w:abstractNumId w:val="16"/>
  </w:num>
  <w:num w:numId="17" w16cid:durableId="1830708544">
    <w:abstractNumId w:val="0"/>
  </w:num>
  <w:num w:numId="18" w16cid:durableId="1195772453">
    <w:abstractNumId w:val="22"/>
  </w:num>
  <w:num w:numId="19" w16cid:durableId="116266373">
    <w:abstractNumId w:val="2"/>
  </w:num>
  <w:num w:numId="20" w16cid:durableId="1165899663">
    <w:abstractNumId w:val="12"/>
  </w:num>
  <w:num w:numId="21" w16cid:durableId="1921870603">
    <w:abstractNumId w:val="51"/>
  </w:num>
  <w:num w:numId="22" w16cid:durableId="1106846340">
    <w:abstractNumId w:val="14"/>
  </w:num>
  <w:num w:numId="23" w16cid:durableId="1120413215">
    <w:abstractNumId w:val="19"/>
  </w:num>
  <w:num w:numId="24" w16cid:durableId="884490536">
    <w:abstractNumId w:val="35"/>
  </w:num>
  <w:num w:numId="25" w16cid:durableId="1098991049">
    <w:abstractNumId w:val="40"/>
  </w:num>
  <w:num w:numId="26" w16cid:durableId="631596808">
    <w:abstractNumId w:val="10"/>
  </w:num>
  <w:num w:numId="27" w16cid:durableId="1306087360">
    <w:abstractNumId w:val="8"/>
  </w:num>
  <w:num w:numId="28" w16cid:durableId="909191109">
    <w:abstractNumId w:val="28"/>
  </w:num>
  <w:num w:numId="29" w16cid:durableId="556204899">
    <w:abstractNumId w:val="29"/>
  </w:num>
  <w:num w:numId="30" w16cid:durableId="1668284805">
    <w:abstractNumId w:val="17"/>
  </w:num>
  <w:num w:numId="31" w16cid:durableId="1777868951">
    <w:abstractNumId w:val="26"/>
  </w:num>
  <w:num w:numId="32" w16cid:durableId="1614898655">
    <w:abstractNumId w:val="7"/>
  </w:num>
  <w:num w:numId="33" w16cid:durableId="364449577">
    <w:abstractNumId w:val="13"/>
  </w:num>
  <w:num w:numId="34" w16cid:durableId="248081818">
    <w:abstractNumId w:val="47"/>
  </w:num>
  <w:num w:numId="35" w16cid:durableId="1742749116">
    <w:abstractNumId w:val="42"/>
  </w:num>
  <w:num w:numId="36" w16cid:durableId="1632056943">
    <w:abstractNumId w:val="30"/>
  </w:num>
  <w:num w:numId="37" w16cid:durableId="16198188">
    <w:abstractNumId w:val="39"/>
  </w:num>
  <w:num w:numId="38" w16cid:durableId="995642619">
    <w:abstractNumId w:val="23"/>
  </w:num>
  <w:num w:numId="39" w16cid:durableId="1951429902">
    <w:abstractNumId w:val="50"/>
  </w:num>
  <w:num w:numId="40" w16cid:durableId="1660618793">
    <w:abstractNumId w:val="24"/>
  </w:num>
  <w:num w:numId="41" w16cid:durableId="566649021">
    <w:abstractNumId w:val="46"/>
  </w:num>
  <w:num w:numId="42" w16cid:durableId="230387690">
    <w:abstractNumId w:val="18"/>
  </w:num>
  <w:num w:numId="43" w16cid:durableId="335613693">
    <w:abstractNumId w:val="3"/>
  </w:num>
  <w:num w:numId="44" w16cid:durableId="1955866269">
    <w:abstractNumId w:val="5"/>
  </w:num>
  <w:num w:numId="45" w16cid:durableId="1236166310">
    <w:abstractNumId w:val="32"/>
  </w:num>
  <w:num w:numId="46" w16cid:durableId="1135757983">
    <w:abstractNumId w:val="43"/>
  </w:num>
  <w:num w:numId="47" w16cid:durableId="1772360755">
    <w:abstractNumId w:val="38"/>
  </w:num>
  <w:num w:numId="48" w16cid:durableId="562985464">
    <w:abstractNumId w:val="11"/>
  </w:num>
  <w:num w:numId="49" w16cid:durableId="1870022964">
    <w:abstractNumId w:val="21"/>
  </w:num>
  <w:num w:numId="50" w16cid:durableId="373162735">
    <w:abstractNumId w:val="44"/>
  </w:num>
  <w:num w:numId="51" w16cid:durableId="995065344">
    <w:abstractNumId w:val="41"/>
  </w:num>
  <w:num w:numId="52" w16cid:durableId="72695102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650"/>
    <w:rsid w:val="00015BCC"/>
    <w:rsid w:val="0002084A"/>
    <w:rsid w:val="00042C6F"/>
    <w:rsid w:val="0004495D"/>
    <w:rsid w:val="0004619A"/>
    <w:rsid w:val="00046C49"/>
    <w:rsid w:val="00047ED5"/>
    <w:rsid w:val="00050B79"/>
    <w:rsid w:val="00086352"/>
    <w:rsid w:val="00093D9F"/>
    <w:rsid w:val="000A0E24"/>
    <w:rsid w:val="000B5D57"/>
    <w:rsid w:val="000B6F75"/>
    <w:rsid w:val="000C7C14"/>
    <w:rsid w:val="00101544"/>
    <w:rsid w:val="00107673"/>
    <w:rsid w:val="00114CCA"/>
    <w:rsid w:val="001167C4"/>
    <w:rsid w:val="00156C09"/>
    <w:rsid w:val="001668A8"/>
    <w:rsid w:val="00196443"/>
    <w:rsid w:val="001A6E66"/>
    <w:rsid w:val="001B13EB"/>
    <w:rsid w:val="001B450B"/>
    <w:rsid w:val="001C7043"/>
    <w:rsid w:val="001D1DBC"/>
    <w:rsid w:val="001D532C"/>
    <w:rsid w:val="001D6213"/>
    <w:rsid w:val="001F354D"/>
    <w:rsid w:val="001F47FD"/>
    <w:rsid w:val="002257CD"/>
    <w:rsid w:val="002305C5"/>
    <w:rsid w:val="002533B2"/>
    <w:rsid w:val="00284AAE"/>
    <w:rsid w:val="0028723E"/>
    <w:rsid w:val="002876FE"/>
    <w:rsid w:val="0029400A"/>
    <w:rsid w:val="002C79F5"/>
    <w:rsid w:val="002D0B34"/>
    <w:rsid w:val="002D5B01"/>
    <w:rsid w:val="002D65A3"/>
    <w:rsid w:val="002D7273"/>
    <w:rsid w:val="00307051"/>
    <w:rsid w:val="003216C7"/>
    <w:rsid w:val="00326F85"/>
    <w:rsid w:val="003319F3"/>
    <w:rsid w:val="003439F7"/>
    <w:rsid w:val="00360DAB"/>
    <w:rsid w:val="00371015"/>
    <w:rsid w:val="00371F59"/>
    <w:rsid w:val="00372B51"/>
    <w:rsid w:val="0038184B"/>
    <w:rsid w:val="00383811"/>
    <w:rsid w:val="003A0EBE"/>
    <w:rsid w:val="003A1F96"/>
    <w:rsid w:val="003A60A9"/>
    <w:rsid w:val="003A745E"/>
    <w:rsid w:val="003B7C83"/>
    <w:rsid w:val="003C01C1"/>
    <w:rsid w:val="00401F8D"/>
    <w:rsid w:val="004055DB"/>
    <w:rsid w:val="004134D4"/>
    <w:rsid w:val="00414D42"/>
    <w:rsid w:val="00424B8B"/>
    <w:rsid w:val="004273C5"/>
    <w:rsid w:val="00434DDB"/>
    <w:rsid w:val="00436AE3"/>
    <w:rsid w:val="004650D2"/>
    <w:rsid w:val="00477C56"/>
    <w:rsid w:val="00484A19"/>
    <w:rsid w:val="00490571"/>
    <w:rsid w:val="0049174B"/>
    <w:rsid w:val="004A7201"/>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3A8D"/>
    <w:rsid w:val="005C3446"/>
    <w:rsid w:val="005D38D7"/>
    <w:rsid w:val="005E2E96"/>
    <w:rsid w:val="005E642C"/>
    <w:rsid w:val="006105E2"/>
    <w:rsid w:val="00640577"/>
    <w:rsid w:val="006412F6"/>
    <w:rsid w:val="00644334"/>
    <w:rsid w:val="00644785"/>
    <w:rsid w:val="00646A53"/>
    <w:rsid w:val="006807A3"/>
    <w:rsid w:val="00683E71"/>
    <w:rsid w:val="00690C3F"/>
    <w:rsid w:val="00693967"/>
    <w:rsid w:val="006946CB"/>
    <w:rsid w:val="006B1AFB"/>
    <w:rsid w:val="006B7E91"/>
    <w:rsid w:val="006C53FC"/>
    <w:rsid w:val="006F5D15"/>
    <w:rsid w:val="007023F3"/>
    <w:rsid w:val="00713444"/>
    <w:rsid w:val="00720C57"/>
    <w:rsid w:val="00741D51"/>
    <w:rsid w:val="007421E4"/>
    <w:rsid w:val="0074772B"/>
    <w:rsid w:val="0075015E"/>
    <w:rsid w:val="00755B2C"/>
    <w:rsid w:val="00771104"/>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71BB0"/>
    <w:rsid w:val="00875304"/>
    <w:rsid w:val="008823E1"/>
    <w:rsid w:val="00884133"/>
    <w:rsid w:val="008A0867"/>
    <w:rsid w:val="008B3F18"/>
    <w:rsid w:val="008B71B3"/>
    <w:rsid w:val="008F0744"/>
    <w:rsid w:val="008F2641"/>
    <w:rsid w:val="0091285A"/>
    <w:rsid w:val="00920472"/>
    <w:rsid w:val="009337BF"/>
    <w:rsid w:val="009412A9"/>
    <w:rsid w:val="009850AD"/>
    <w:rsid w:val="00990858"/>
    <w:rsid w:val="009B028E"/>
    <w:rsid w:val="009C623E"/>
    <w:rsid w:val="009D1F8F"/>
    <w:rsid w:val="009E15C5"/>
    <w:rsid w:val="009E290C"/>
    <w:rsid w:val="00A10665"/>
    <w:rsid w:val="00A15C06"/>
    <w:rsid w:val="00A162C1"/>
    <w:rsid w:val="00A31EA7"/>
    <w:rsid w:val="00A3448D"/>
    <w:rsid w:val="00A37636"/>
    <w:rsid w:val="00A45C79"/>
    <w:rsid w:val="00A537CE"/>
    <w:rsid w:val="00A63977"/>
    <w:rsid w:val="00A64F85"/>
    <w:rsid w:val="00A81650"/>
    <w:rsid w:val="00A81860"/>
    <w:rsid w:val="00A83C1E"/>
    <w:rsid w:val="00AB2EAB"/>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D5FAD"/>
    <w:rsid w:val="00BE6F35"/>
    <w:rsid w:val="00BF1B11"/>
    <w:rsid w:val="00BF478D"/>
    <w:rsid w:val="00C0706B"/>
    <w:rsid w:val="00C26FE4"/>
    <w:rsid w:val="00C34E13"/>
    <w:rsid w:val="00C351FE"/>
    <w:rsid w:val="00C47923"/>
    <w:rsid w:val="00C86D0C"/>
    <w:rsid w:val="00CC193E"/>
    <w:rsid w:val="00CC2F15"/>
    <w:rsid w:val="00CC606D"/>
    <w:rsid w:val="00CD3720"/>
    <w:rsid w:val="00CD497F"/>
    <w:rsid w:val="00CD5381"/>
    <w:rsid w:val="00D01C6A"/>
    <w:rsid w:val="00D11899"/>
    <w:rsid w:val="00D500E7"/>
    <w:rsid w:val="00D56CB6"/>
    <w:rsid w:val="00D57B63"/>
    <w:rsid w:val="00D65CAF"/>
    <w:rsid w:val="00D674C8"/>
    <w:rsid w:val="00DA1879"/>
    <w:rsid w:val="00DB04A9"/>
    <w:rsid w:val="00DB5AB9"/>
    <w:rsid w:val="00DC35AC"/>
    <w:rsid w:val="00DD77D6"/>
    <w:rsid w:val="00DE35AB"/>
    <w:rsid w:val="00DE6A62"/>
    <w:rsid w:val="00DF12D7"/>
    <w:rsid w:val="00DF3596"/>
    <w:rsid w:val="00E12DC0"/>
    <w:rsid w:val="00E3117B"/>
    <w:rsid w:val="00E4520A"/>
    <w:rsid w:val="00E45A93"/>
    <w:rsid w:val="00E47C87"/>
    <w:rsid w:val="00E55456"/>
    <w:rsid w:val="00E820AA"/>
    <w:rsid w:val="00E94DD0"/>
    <w:rsid w:val="00E9641B"/>
    <w:rsid w:val="00EA2C34"/>
    <w:rsid w:val="00EA4670"/>
    <w:rsid w:val="00EB7424"/>
    <w:rsid w:val="00ED3ED2"/>
    <w:rsid w:val="00ED7702"/>
    <w:rsid w:val="00EF597D"/>
    <w:rsid w:val="00F27F37"/>
    <w:rsid w:val="00F533B4"/>
    <w:rsid w:val="00F56B3D"/>
    <w:rsid w:val="00F60E10"/>
    <w:rsid w:val="00F715CB"/>
    <w:rsid w:val="00F72F2C"/>
    <w:rsid w:val="00F8429A"/>
    <w:rsid w:val="00F871C7"/>
    <w:rsid w:val="00F94355"/>
    <w:rsid w:val="00FA13E3"/>
    <w:rsid w:val="00FA5CD7"/>
    <w:rsid w:val="00FD2C1E"/>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8E1D3"/>
  <w15:docId w15:val="{0E187A29-D660-4C26-BA25-C451F12E6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9F5"/>
    <w:pPr>
      <w:spacing w:line="278" w:lineRule="auto"/>
    </w:pPr>
    <w:rPr>
      <w:kern w:val="2"/>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magazine.imn.iq/archives/30957" TargetMode="External"/><Relationship Id="rId13" Type="http://schemas.openxmlformats.org/officeDocument/2006/relationships/hyperlink" Target="https://kirkuknow.com/ar/news/70723" TargetMode="External"/><Relationship Id="rId3" Type="http://schemas.openxmlformats.org/officeDocument/2006/relationships/hyperlink" Target="https://www.unicef.org/media/151976/file/ArabicSOWC2023Web.pdf" TargetMode="External"/><Relationship Id="rId7" Type="http://schemas.openxmlformats.org/officeDocument/2006/relationships/hyperlink" Target="https://n9.cl/0v0wr3" TargetMode="External"/><Relationship Id="rId12" Type="http://schemas.openxmlformats.org/officeDocument/2006/relationships/hyperlink" Target="https://www.newarab.com/opinion/iraqs-women-mps-hold-more-seats-little-sway" TargetMode="External"/><Relationship Id="rId17" Type="http://schemas.openxmlformats.org/officeDocument/2006/relationships/hyperlink" Target="https://www.worldbank.org/en/results/2024/10/29/iraq-improving-quality-of-education-and-access-to-enable-all-students-to-learn" TargetMode="External"/><Relationship Id="rId2" Type="http://schemas.openxmlformats.org/officeDocument/2006/relationships/hyperlink" Target="https://iq.parliament.iq/law/frm_file/aWQ6MjQ1MXxmaWxlbmFtZTp3XzFfMjAyNS5wZGY=" TargetMode="External"/><Relationship Id="rId16" Type="http://schemas.openxmlformats.org/officeDocument/2006/relationships/hyperlink" Target="https://n9.cl/4xqic" TargetMode="External"/><Relationship Id="rId1" Type="http://schemas.openxmlformats.org/officeDocument/2006/relationships/hyperlink" Target="https://2cm.es/1gmhL" TargetMode="External"/><Relationship Id="rId6" Type="http://schemas.openxmlformats.org/officeDocument/2006/relationships/hyperlink" Target="https://n9.cl/q3heda" TargetMode="External"/><Relationship Id="rId11" Type="http://schemas.openxmlformats.org/officeDocument/2006/relationships/hyperlink" Target="https://kirkuknow.com/ar/news/71413" TargetMode="External"/><Relationship Id="rId5" Type="http://schemas.openxmlformats.org/officeDocument/2006/relationships/hyperlink" Target="https://moj.gov.iq/view.8011/" TargetMode="External"/><Relationship Id="rId15" Type="http://schemas.openxmlformats.org/officeDocument/2006/relationships/hyperlink" Target="https://n9.cl/4xqic" TargetMode="External"/><Relationship Id="rId10" Type="http://schemas.openxmlformats.org/officeDocument/2006/relationships/hyperlink" Target="https://www.newarab.com/opinion/iraqs-women-mps-hold-more-seats-little-sway" TargetMode="External"/><Relationship Id="rId4" Type="http://schemas.openxmlformats.org/officeDocument/2006/relationships/hyperlink" Target="https://n9.cl/k5buii" TargetMode="External"/><Relationship Id="rId9" Type="http://schemas.openxmlformats.org/officeDocument/2006/relationships/hyperlink" Target="https://kirkuknow.com/en/news/71348" TargetMode="External"/><Relationship Id="rId14" Type="http://schemas.openxmlformats.org/officeDocument/2006/relationships/hyperlink" Target="https://h7.cl/1lBCj"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2125</Words>
  <Characters>12118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cp:lastModifiedBy>
  <cp:revision>4</cp:revision>
  <dcterms:created xsi:type="dcterms:W3CDTF">2026-01-05T12:32:00Z</dcterms:created>
  <dcterms:modified xsi:type="dcterms:W3CDTF">2026-01-05T12:49:00Z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