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D5075" w14:textId="77777777" w:rsidR="00AA4A67" w:rsidRDefault="00AA4A67" w:rsidP="009F4594">
      <w:pPr>
        <w:spacing w:after="120"/>
        <w:rPr>
          <w:rFonts w:ascii="Proxima Nova Rg" w:hAnsi="Proxima Nova Rg" w:cstheme="minorHAnsi"/>
          <w:b/>
          <w:sz w:val="32"/>
          <w:szCs w:val="32"/>
        </w:rPr>
      </w:pPr>
      <w:bookmarkStart w:id="0" w:name="_Toc197483692"/>
    </w:p>
    <w:p w14:paraId="0E9F3C38" w14:textId="1CC2F3C4"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sz w:val="32"/>
          <w:szCs w:val="32"/>
        </w:rPr>
        <w:t xml:space="preserve">BRIEFING ON </w:t>
      </w:r>
      <w:r w:rsidR="00C236FC">
        <w:rPr>
          <w:rFonts w:ascii="Proxima Nova Rg" w:hAnsi="Proxima Nova Rg" w:cstheme="minorHAnsi"/>
          <w:b/>
          <w:sz w:val="32"/>
          <w:szCs w:val="32"/>
          <w:u w:val="single"/>
          <w:lang w:val="fr-FR"/>
        </w:rPr>
        <w:t>INDONESIA</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0C2495" w:rsidRPr="00E35A27">
        <w:rPr>
          <w:rFonts w:ascii="Proxima Nova Rg" w:hAnsi="Proxima Nova Rg" w:cstheme="minorHAnsi"/>
          <w:b/>
          <w:sz w:val="32"/>
          <w:szCs w:val="32"/>
          <w:lang w:val="fr-FR"/>
        </w:rPr>
        <w:t xml:space="preserve">ON THE RIGHTS </w:t>
      </w:r>
      <w:r w:rsidR="00AD473C" w:rsidRPr="00E35A27">
        <w:rPr>
          <w:rFonts w:ascii="Proxima Nova Rg" w:hAnsi="Proxima Nova Rg" w:cstheme="minorHAnsi"/>
          <w:b/>
          <w:sz w:val="32"/>
          <w:szCs w:val="32"/>
          <w:lang w:val="fr-FR"/>
        </w:rPr>
        <w:t>O</w:t>
      </w:r>
      <w:r w:rsidR="000C2495" w:rsidRPr="00E35A27">
        <w:rPr>
          <w:rFonts w:ascii="Proxima Nova Rg" w:hAnsi="Proxima Nova Rg" w:cstheme="minorHAnsi"/>
          <w:b/>
          <w:sz w:val="32"/>
          <w:szCs w:val="32"/>
          <w:lang w:val="fr-FR"/>
        </w:rPr>
        <w:t>F THE CHILD</w:t>
      </w:r>
      <w:r w:rsidRPr="00E35A27">
        <w:rPr>
          <w:rFonts w:ascii="Proxima Nova Rg" w:hAnsi="Proxima Nova Rg" w:cstheme="minorHAnsi"/>
          <w:b/>
          <w:sz w:val="32"/>
          <w:szCs w:val="32"/>
          <w:lang w:val="fr-FR"/>
        </w:rPr>
        <w:t xml:space="preserve">, SESSION </w:t>
      </w:r>
      <w:r w:rsidR="000C2495" w:rsidRPr="00E35A27">
        <w:rPr>
          <w:rFonts w:ascii="Proxima Nova Rg" w:hAnsi="Proxima Nova Rg" w:cstheme="minorHAnsi"/>
          <w:b/>
          <w:sz w:val="32"/>
          <w:szCs w:val="32"/>
          <w:lang w:val="fr-FR"/>
        </w:rPr>
        <w:t>9</w:t>
      </w:r>
      <w:r w:rsidR="00C236FC">
        <w:rPr>
          <w:rFonts w:ascii="Proxima Nova Rg" w:hAnsi="Proxima Nova Rg" w:cstheme="minorHAnsi"/>
          <w:b/>
          <w:sz w:val="32"/>
          <w:szCs w:val="32"/>
          <w:lang w:val="fr-FR"/>
        </w:rPr>
        <w:t>8</w:t>
      </w:r>
      <w:r w:rsidR="000C2495" w:rsidRPr="00E35A27">
        <w:rPr>
          <w:rFonts w:ascii="Proxima Nova Rg" w:hAnsi="Proxima Nova Rg" w:cstheme="minorHAnsi"/>
          <w:b/>
          <w:sz w:val="32"/>
          <w:szCs w:val="32"/>
          <w:lang w:val="fr-FR"/>
        </w:rPr>
        <w:t xml:space="preserve"> PRE-SESSIONAL WORKING GROUP</w:t>
      </w:r>
      <w:r w:rsidR="00403D99" w:rsidRPr="00E35A27">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C236FC">
        <w:rPr>
          <w:rFonts w:ascii="Proxima Nova Rg" w:hAnsi="Proxima Nova Rg" w:cstheme="minorHAnsi"/>
          <w:b/>
          <w:sz w:val="32"/>
          <w:szCs w:val="32"/>
          <w:u w:val="single"/>
        </w:rPr>
        <w:t>MAY</w:t>
      </w:r>
      <w:r w:rsidR="00A97A12" w:rsidRPr="00E35A27">
        <w:rPr>
          <w:rFonts w:ascii="Proxima Nova Rg" w:hAnsi="Proxima Nova Rg" w:cstheme="minorHAnsi"/>
          <w:b/>
          <w:sz w:val="32"/>
          <w:szCs w:val="32"/>
          <w:u w:val="single"/>
        </w:rPr>
        <w:t xml:space="preserve"> </w:t>
      </w:r>
      <w:r w:rsidRPr="00E35A27">
        <w:rPr>
          <w:rFonts w:ascii="Proxima Nova Rg" w:hAnsi="Proxima Nova Rg" w:cstheme="minorHAnsi"/>
          <w:b/>
          <w:sz w:val="32"/>
          <w:szCs w:val="32"/>
          <w:u w:val="single"/>
        </w:rPr>
        <w:t>202</w:t>
      </w:r>
      <w:r w:rsidR="006E0F24">
        <w:rPr>
          <w:rFonts w:ascii="Proxima Nova Rg" w:hAnsi="Proxima Nova Rg" w:cstheme="minorHAnsi"/>
          <w:b/>
          <w:sz w:val="32"/>
          <w:szCs w:val="32"/>
          <w:u w:val="single"/>
        </w:rPr>
        <w:t>4</w:t>
      </w:r>
      <w:r w:rsidRPr="00E35A27">
        <w:rPr>
          <w:rFonts w:ascii="Proxima Nova Rg" w:hAnsi="Proxima Nova Rg" w:cstheme="minorHAnsi"/>
          <w:b/>
          <w:sz w:val="32"/>
          <w:szCs w:val="32"/>
        </w:rPr>
        <w:t xml:space="preserve"> </w:t>
      </w:r>
    </w:p>
    <w:p w14:paraId="0DD5D7E9" w14:textId="33E30556"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End </w:t>
      </w:r>
      <w:r w:rsidR="006E0F24">
        <w:rPr>
          <w:rFonts w:ascii="Proxima Nova Rg" w:hAnsi="Proxima Nova Rg" w:cstheme="minorHAnsi"/>
          <w:i/>
        </w:rPr>
        <w:t>Corporal Punishment</w:t>
      </w:r>
      <w:r w:rsidRPr="00E35A27">
        <w:rPr>
          <w:rFonts w:ascii="Proxima Nova Rg" w:hAnsi="Proxima Nova Rg" w:cstheme="minorHAnsi"/>
          <w:i/>
        </w:rPr>
        <w:t xml:space="preserve">, </w:t>
      </w:r>
      <w:r w:rsidR="00C236FC">
        <w:rPr>
          <w:rFonts w:ascii="Proxima Nova Rg" w:hAnsi="Proxima Nova Rg" w:cstheme="minorHAnsi"/>
          <w:i/>
        </w:rPr>
        <w:t>February</w:t>
      </w:r>
      <w:r w:rsidR="00A97A12" w:rsidRPr="00E35A27">
        <w:rPr>
          <w:rFonts w:ascii="Proxima Nova Rg" w:hAnsi="Proxima Nova Rg" w:cstheme="minorHAnsi"/>
          <w:i/>
        </w:rPr>
        <w:t xml:space="preserve"> </w:t>
      </w:r>
      <w:r w:rsidRPr="00E35A27">
        <w:rPr>
          <w:rFonts w:ascii="Proxima Nova Rg" w:hAnsi="Proxima Nova Rg" w:cstheme="minorHAnsi"/>
          <w:i/>
        </w:rPr>
        <w:t>202</w:t>
      </w:r>
      <w:r w:rsidR="00C236FC">
        <w:rPr>
          <w:rFonts w:ascii="Proxima Nova Rg" w:hAnsi="Proxima Nova Rg" w:cstheme="minorHAnsi"/>
          <w:i/>
        </w:rPr>
        <w:t>4</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294E70AD" w:rsidR="00A36CC0"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2A4A02">
        <w:rPr>
          <w:rFonts w:ascii="Proxima Nova Rg" w:hAnsi="Proxima Nova Rg"/>
          <w:b/>
          <w:sz w:val="28"/>
          <w:szCs w:val="28"/>
        </w:rPr>
        <w:t>Indonesia</w:t>
      </w:r>
      <w:r w:rsidRPr="00E35A27">
        <w:rPr>
          <w:rFonts w:ascii="Proxima Nova Rg" w:hAnsi="Proxima Nova Rg"/>
          <w:b/>
          <w:sz w:val="28"/>
          <w:szCs w:val="28"/>
        </w:rPr>
        <w:t xml:space="preserve">. In light of the </w:t>
      </w:r>
      <w:r w:rsidR="00EF5D91" w:rsidRPr="00E35A27">
        <w:rPr>
          <w:rFonts w:ascii="Proxima Nova Rg" w:hAnsi="Proxima Nova Rg"/>
          <w:b/>
          <w:sz w:val="28"/>
          <w:szCs w:val="28"/>
        </w:rPr>
        <w:t xml:space="preserve">Committee’s General Comment No. 8 on “The </w:t>
      </w:r>
      <w:r w:rsidR="001D690A" w:rsidRPr="00E35A27">
        <w:rPr>
          <w:rFonts w:ascii="Proxima Nova Rg" w:hAnsi="Proxima Nova Rg"/>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E35A27">
        <w:rPr>
          <w:rFonts w:ascii="Proxima Nova Rg" w:hAnsi="Proxima Nova Rg"/>
          <w:b/>
          <w:sz w:val="28"/>
          <w:szCs w:val="28"/>
        </w:rPr>
        <w:t xml:space="preserve"> </w:t>
      </w:r>
      <w:r w:rsidR="00094B70" w:rsidRPr="00E35A27">
        <w:rPr>
          <w:rFonts w:ascii="Proxima Nova Rg" w:hAnsi="Proxima Nova Rg"/>
          <w:b/>
          <w:sz w:val="28"/>
          <w:szCs w:val="28"/>
        </w:rPr>
        <w:t xml:space="preserve">recommendations to prohibit all corporal punishment made </w:t>
      </w:r>
      <w:r w:rsidR="006F0FB1" w:rsidRPr="00E35A27">
        <w:rPr>
          <w:rFonts w:ascii="Proxima Nova Rg" w:hAnsi="Proxima Nova Rg"/>
          <w:b/>
          <w:sz w:val="28"/>
          <w:szCs w:val="28"/>
        </w:rPr>
        <w:t>during the Universal Periodic Review</w:t>
      </w:r>
      <w:r w:rsidR="00521FA7">
        <w:rPr>
          <w:rFonts w:ascii="Proxima Nova Rg" w:hAnsi="Proxima Nova Rg"/>
          <w:b/>
          <w:sz w:val="28"/>
          <w:szCs w:val="28"/>
        </w:rPr>
        <w:t>s</w:t>
      </w:r>
      <w:r w:rsidR="006F0FB1" w:rsidRPr="00E35A27">
        <w:rPr>
          <w:rFonts w:ascii="Proxima Nova Rg" w:hAnsi="Proxima Nova Rg"/>
          <w:b/>
          <w:sz w:val="28"/>
          <w:szCs w:val="28"/>
        </w:rPr>
        <w:t xml:space="preserve"> in </w:t>
      </w:r>
      <w:r w:rsidR="0053743C">
        <w:rPr>
          <w:rFonts w:ascii="Proxima Nova Rg" w:hAnsi="Proxima Nova Rg"/>
          <w:b/>
          <w:sz w:val="28"/>
          <w:szCs w:val="28"/>
        </w:rPr>
        <w:t>201</w:t>
      </w:r>
      <w:r w:rsidR="00521FA7">
        <w:rPr>
          <w:rFonts w:ascii="Proxima Nova Rg" w:hAnsi="Proxima Nova Rg"/>
          <w:b/>
          <w:sz w:val="28"/>
          <w:szCs w:val="28"/>
        </w:rPr>
        <w:t>7 and 2022</w:t>
      </w:r>
      <w:r w:rsidR="00546A2A" w:rsidRPr="00E35A27">
        <w:rPr>
          <w:rFonts w:ascii="Proxima Nova Rg" w:hAnsi="Proxima Nova Rg"/>
          <w:b/>
          <w:sz w:val="28"/>
          <w:szCs w:val="28"/>
        </w:rPr>
        <w:t xml:space="preserve">, </w:t>
      </w:r>
      <w:r w:rsidR="006F0FB1" w:rsidRPr="00E35A27">
        <w:rPr>
          <w:rFonts w:ascii="Proxima Nova Rg" w:hAnsi="Proxima Nova Rg"/>
          <w:b/>
          <w:sz w:val="28"/>
          <w:szCs w:val="28"/>
        </w:rPr>
        <w:t xml:space="preserve">as well as </w:t>
      </w:r>
      <w:r w:rsidR="00A36CC0" w:rsidRPr="00E35A27">
        <w:rPr>
          <w:rFonts w:ascii="Proxima Nova Rg" w:hAnsi="Proxima Nova Rg"/>
          <w:b/>
          <w:sz w:val="28"/>
          <w:szCs w:val="28"/>
        </w:rPr>
        <w:t>the global commitment to ending all violence against children in the context of the 2030 Agenda for Sustainable Development, we hope the Committee will:</w:t>
      </w:r>
    </w:p>
    <w:p w14:paraId="0C0D62CD" w14:textId="77777777" w:rsidR="00FF0AD8" w:rsidRDefault="00FF0AD8"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p>
    <w:p w14:paraId="73F94920" w14:textId="4F9E9238" w:rsidR="00FF0AD8" w:rsidRPr="00E35A27" w:rsidRDefault="00FF0AD8" w:rsidP="00FF0AD8">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List of Issues for </w:t>
      </w:r>
      <w:r>
        <w:rPr>
          <w:rFonts w:ascii="Proxima Nova Rg" w:hAnsi="Proxima Nova Rg"/>
          <w:b/>
          <w:sz w:val="28"/>
          <w:szCs w:val="28"/>
        </w:rPr>
        <w:t>Indonesia</w:t>
      </w:r>
      <w:r w:rsidRPr="00E35A27">
        <w:rPr>
          <w:rFonts w:ascii="Proxima Nova Rg" w:hAnsi="Proxima Nova Rg"/>
          <w:b/>
          <w:sz w:val="28"/>
          <w:szCs w:val="28"/>
        </w:rPr>
        <w:t xml:space="preserve">, raise the issue of corporal punishment of children, in particular asking what </w:t>
      </w:r>
      <w:r>
        <w:rPr>
          <w:rFonts w:ascii="Proxima Nova Rg" w:hAnsi="Proxima Nova Rg"/>
          <w:b/>
          <w:sz w:val="28"/>
          <w:szCs w:val="28"/>
        </w:rPr>
        <w:t>steps are being taken</w:t>
      </w:r>
      <w:r w:rsidRPr="00E35A27">
        <w:rPr>
          <w:rFonts w:ascii="Proxima Nova Rg" w:hAnsi="Proxima Nova Rg"/>
          <w:b/>
          <w:sz w:val="28"/>
          <w:szCs w:val="28"/>
        </w:rPr>
        <w:t xml:space="preserve"> </w:t>
      </w:r>
      <w:r>
        <w:rPr>
          <w:rFonts w:ascii="Proxima Nova Rg" w:hAnsi="Proxima Nova Rg"/>
          <w:b/>
          <w:sz w:val="28"/>
          <w:szCs w:val="28"/>
        </w:rPr>
        <w:t>to enact legislation to</w:t>
      </w:r>
      <w:r w:rsidRPr="00E35A27">
        <w:rPr>
          <w:rFonts w:ascii="Proxima Nova Rg" w:hAnsi="Proxima Nova Rg"/>
          <w:b/>
          <w:sz w:val="28"/>
          <w:szCs w:val="28"/>
        </w:rPr>
        <w:t xml:space="preserve"> explicitly prohibit corporal punishment of children in all settings; and,</w:t>
      </w:r>
    </w:p>
    <w:p w14:paraId="01D78E95" w14:textId="7DFCBAC3"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0323EA">
        <w:rPr>
          <w:rFonts w:ascii="Proxima Nova Rg" w:hAnsi="Proxima Nova Rg"/>
          <w:b/>
          <w:sz w:val="28"/>
          <w:szCs w:val="28"/>
        </w:rPr>
        <w:t>f</w:t>
      </w:r>
      <w:r w:rsidR="00677507">
        <w:rPr>
          <w:rFonts w:ascii="Proxima Nova Rg" w:hAnsi="Proxima Nova Rg"/>
          <w:b/>
          <w:sz w:val="28"/>
          <w:szCs w:val="28"/>
        </w:rPr>
        <w:t xml:space="preserve">ifth- </w:t>
      </w:r>
      <w:r w:rsidR="00546A2A" w:rsidRPr="00E35A27">
        <w:rPr>
          <w:rFonts w:ascii="Proxima Nova Rg" w:hAnsi="Proxima Nova Rg"/>
          <w:b/>
          <w:sz w:val="28"/>
          <w:szCs w:val="28"/>
        </w:rPr>
        <w:t>sixth</w:t>
      </w:r>
      <w:r w:rsidR="000323EA">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B924F4">
        <w:rPr>
          <w:rFonts w:ascii="Proxima Nova Rg" w:hAnsi="Proxima Nova Rg"/>
          <w:b/>
          <w:sz w:val="28"/>
          <w:szCs w:val="28"/>
        </w:rPr>
        <w:t>Indonesia</w:t>
      </w:r>
      <w:r w:rsidRPr="00E35A27">
        <w:rPr>
          <w:rFonts w:ascii="Proxima Nova Rg" w:hAnsi="Proxima Nova Rg"/>
          <w:b/>
          <w:sz w:val="28"/>
          <w:szCs w:val="28"/>
        </w:rPr>
        <w:t xml:space="preserve">, recommend that </w:t>
      </w:r>
      <w:r w:rsidR="006E7A39" w:rsidRPr="00E35A27">
        <w:rPr>
          <w:rFonts w:ascii="Proxima Nova Rg" w:hAnsi="Proxima Nova Rg"/>
          <w:b/>
          <w:sz w:val="28"/>
          <w:szCs w:val="28"/>
        </w:rPr>
        <w:t>a legislation</w:t>
      </w:r>
      <w:r w:rsidRPr="00E35A27">
        <w:rPr>
          <w:rFonts w:ascii="Proxima Nova Rg" w:hAnsi="Proxima Nova Rg"/>
          <w:b/>
          <w:sz w:val="28"/>
          <w:szCs w:val="28"/>
        </w:rPr>
        <w:t xml:space="preserve"> is enacted as a matter of priority to </w:t>
      </w:r>
      <w:r w:rsidR="006E7A39" w:rsidRPr="00E35A27">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E35A27">
        <w:rPr>
          <w:rFonts w:ascii="Proxima Nova Rg" w:hAnsi="Proxima Nova Rg"/>
          <w:b/>
          <w:sz w:val="28"/>
          <w:szCs w:val="28"/>
        </w:rPr>
        <w:t>.</w:t>
      </w:r>
    </w:p>
    <w:p w14:paraId="6C43FA3C" w14:textId="77777777" w:rsidR="001D690A" w:rsidRPr="00E35A27"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p>
    <w:p w14:paraId="14B51F65" w14:textId="77777777" w:rsidR="00EF5D91" w:rsidRPr="00E35A27" w:rsidRDefault="00EF5D91" w:rsidP="00A36CC0">
      <w:pPr>
        <w:rPr>
          <w:rFonts w:ascii="Proxima Nova Rg" w:hAnsi="Proxima Nova Rg" w:cstheme="minorHAnsi"/>
        </w:rPr>
      </w:pPr>
    </w:p>
    <w:p w14:paraId="3448330C" w14:textId="77777777" w:rsidR="00EF5D91" w:rsidRPr="00E35A27" w:rsidRDefault="00EF5D91" w:rsidP="00A36CC0">
      <w:pPr>
        <w:rPr>
          <w:rFonts w:ascii="Proxima Nova Rg" w:hAnsi="Proxima Nova Rg" w:cstheme="minorHAnsi"/>
        </w:rPr>
      </w:pPr>
    </w:p>
    <w:p w14:paraId="03AC8BD7" w14:textId="77777777" w:rsidR="00EF5D91" w:rsidRPr="00E35A27" w:rsidRDefault="00EF5D91" w:rsidP="00A36CC0">
      <w:pPr>
        <w:rPr>
          <w:rFonts w:ascii="Proxima Nova Rg" w:hAnsi="Proxima Nova Rg" w:cstheme="minorHAnsi"/>
        </w:rPr>
      </w:pPr>
    </w:p>
    <w:p w14:paraId="53EDA8B0" w14:textId="417FBC3B" w:rsidR="00674645" w:rsidRDefault="00A36CC0" w:rsidP="004D7F41">
      <w:pPr>
        <w:rPr>
          <w:rFonts w:ascii="Proxima Nova Rg" w:hAnsi="Proxima Nova Rg" w:cstheme="minorHAnsi"/>
        </w:rPr>
      </w:pPr>
      <w:r w:rsidRPr="00E35A27">
        <w:rPr>
          <w:rFonts w:ascii="Proxima Nova Rg" w:hAnsi="Proxima Nova Rg" w:cstheme="minorHAnsi"/>
        </w:rPr>
        <w:br w:type="page"/>
      </w:r>
    </w:p>
    <w:p w14:paraId="5C64EAFD" w14:textId="77777777" w:rsidR="00AA4A67" w:rsidRPr="00E35A27" w:rsidRDefault="00AA4A67" w:rsidP="004D7F41">
      <w:pPr>
        <w:rPr>
          <w:rFonts w:ascii="Proxima Nova Rg" w:hAnsi="Proxima Nova Rg" w:cstheme="minorHAnsi"/>
        </w:rPr>
      </w:pPr>
    </w:p>
    <w:p w14:paraId="71914024" w14:textId="77777777" w:rsidR="00410E4B" w:rsidRPr="00E35A27" w:rsidRDefault="00410E4B" w:rsidP="004D7F41">
      <w:pPr>
        <w:rPr>
          <w:rFonts w:ascii="Proxima Nova Rg" w:hAnsi="Proxima Nova Rg" w:cstheme="minorHAnsi"/>
        </w:rPr>
      </w:pPr>
    </w:p>
    <w:p w14:paraId="5E7B9EAE" w14:textId="63E4AB5F" w:rsidR="0053743C" w:rsidRPr="00542E5B" w:rsidRDefault="00B924F4" w:rsidP="0053743C">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Pr>
          <w:rFonts w:ascii="Proxima Nova Rg" w:hAnsi="Proxima Nova Rg"/>
          <w:color w:val="1E3250"/>
        </w:rPr>
        <w:t>Indones</w:t>
      </w:r>
      <w:r w:rsidR="00C76E0B">
        <w:rPr>
          <w:rFonts w:ascii="Proxima Nova Rg" w:hAnsi="Proxima Nova Rg"/>
          <w:color w:val="1E3250"/>
        </w:rPr>
        <w:t>ia</w:t>
      </w:r>
      <w:r w:rsidR="0053743C" w:rsidRPr="00542E5B">
        <w:rPr>
          <w:rFonts w:ascii="Proxima Nova Rg" w:hAnsi="Proxima Nova Rg"/>
          <w:color w:val="1E3250"/>
        </w:rPr>
        <w:t>’s commitment to prohibiting corporal punishment</w:t>
      </w:r>
    </w:p>
    <w:p w14:paraId="22A1D74E" w14:textId="5A2857FD" w:rsidR="00B924F4" w:rsidRPr="00ED45DE" w:rsidRDefault="00B924F4" w:rsidP="00B924F4">
      <w:pPr>
        <w:pBdr>
          <w:top w:val="single" w:sz="24" w:space="14" w:color="0096A3"/>
          <w:left w:val="single" w:sz="24" w:space="10" w:color="0096A3"/>
          <w:bottom w:val="single" w:sz="24" w:space="14" w:color="0096A3"/>
          <w:right w:val="single" w:sz="24" w:space="10" w:color="0096A3"/>
        </w:pBdr>
        <w:rPr>
          <w:rFonts w:ascii="Proxima Nova Rg" w:hAnsi="Proxima Nova Rg" w:cstheme="minorHAnsi"/>
        </w:rPr>
      </w:pPr>
      <w:r w:rsidRPr="00ED45DE">
        <w:rPr>
          <w:rFonts w:ascii="Proxima Nova Rg" w:hAnsi="Proxima Nova Rg" w:cstheme="minorHAnsi"/>
        </w:rPr>
        <w:t>Indonesia expressed its commitment to prohibiting all corporal punishment of children, including in the home, by clearly accepting the recommendation to do so made during the Universal Periodic Review of Indonesia in 2017</w:t>
      </w:r>
      <w:r>
        <w:rPr>
          <w:rFonts w:ascii="Proxima Nova Rg" w:hAnsi="Proxima Nova Rg" w:cstheme="minorHAnsi"/>
        </w:rPr>
        <w:t xml:space="preserve"> and 2022</w:t>
      </w:r>
      <w:r w:rsidRPr="00ED45DE">
        <w:rPr>
          <w:rFonts w:ascii="Proxima Nova Rg" w:hAnsi="Proxima Nova Rg" w:cstheme="minorHAnsi"/>
        </w:rPr>
        <w:t xml:space="preserve">. </w:t>
      </w:r>
    </w:p>
    <w:p w14:paraId="17EA1F4C" w14:textId="77777777" w:rsidR="0053743C" w:rsidRPr="00542E5B" w:rsidRDefault="0053743C" w:rsidP="0053743C">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0BBF67CD" w14:textId="77777777" w:rsidR="0053743C" w:rsidRPr="00542E5B" w:rsidRDefault="0053743C" w:rsidP="0053743C">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sidRPr="00542E5B">
        <w:rPr>
          <w:rFonts w:ascii="Proxima Nova Rg" w:hAnsi="Proxima Nova Rg"/>
          <w:color w:val="1E3250"/>
        </w:rPr>
        <w:t>Summary of necessary legal reform to achieve full prohibition</w:t>
      </w:r>
    </w:p>
    <w:p w14:paraId="7231754D" w14:textId="77777777" w:rsidR="00B924F4" w:rsidRPr="00ED45DE" w:rsidRDefault="00B924F4" w:rsidP="00B924F4">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D45DE">
        <w:rPr>
          <w:rFonts w:ascii="Proxima Nova Rg" w:hAnsi="Proxima Nova Rg"/>
        </w:rPr>
        <w:t>Prohibition is still to be achieved in the home, alternative care settings, day care, schools and as a sentence for crime.</w:t>
      </w:r>
    </w:p>
    <w:p w14:paraId="6E6E0DA5" w14:textId="77777777" w:rsidR="00B924F4" w:rsidRPr="00ED45DE" w:rsidRDefault="00B924F4" w:rsidP="00B924F4">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D45DE">
        <w:rPr>
          <w:rFonts w:ascii="Proxima Nova Rg" w:hAnsi="Proxima Nova Rg"/>
        </w:rPr>
        <w:t xml:space="preserve">There appears to be no defence of “reasonable chastisement” or similar enshrined in legislation (information unconfirmed) but provisions against violence and abuse in the Penal Code, the Law on Child Protection, the Law on Human Rights, the Law on Domestic </w:t>
      </w:r>
      <w:proofErr w:type="gramStart"/>
      <w:r w:rsidRPr="00ED45DE">
        <w:rPr>
          <w:rFonts w:ascii="Proxima Nova Rg" w:hAnsi="Proxima Nova Rg"/>
        </w:rPr>
        <w:t>Violence</w:t>
      </w:r>
      <w:proofErr w:type="gramEnd"/>
      <w:r w:rsidRPr="00ED45DE">
        <w:rPr>
          <w:rFonts w:ascii="Proxima Nova Rg" w:hAnsi="Proxima Nova Rg"/>
        </w:rPr>
        <w:t xml:space="preserve"> and the Constitution are not interpreted as prohibiting all corporal punishment. The near universal social acceptance of corporal punishment in childrearing necessitates clarity in law that no level of corporal punishment can be considered “reasonable” and prohibition of all corporal punishment and other cruel or degrading forms of punishment, in the home and all other settings where adults have authority over children.</w:t>
      </w:r>
    </w:p>
    <w:p w14:paraId="0F0E6AC1" w14:textId="77777777" w:rsidR="00B924F4" w:rsidRPr="00ED45DE" w:rsidRDefault="00B924F4" w:rsidP="00B924F4">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D45DE">
        <w:rPr>
          <w:rFonts w:ascii="Proxima Nova Rg" w:hAnsi="Proxima Nova Rg"/>
          <w:i/>
        </w:rPr>
        <w:t>Alternative care settings</w:t>
      </w:r>
      <w:r w:rsidRPr="00ED45DE">
        <w:rPr>
          <w:rFonts w:ascii="Proxima Nova Rg" w:hAnsi="Proxima Nova Rg"/>
        </w:rPr>
        <w:t xml:space="preserve"> – The provision in the National Standards of Care for Child Welfare Institutions stating that corporal punishment should not be used should be confirmed through clear prohibition of corporal punishment in legislation. The law should prohibit corporal punishment in all alternative care settings (foster care, institutions, orphanages, places of safety, emergency care, etc).</w:t>
      </w:r>
    </w:p>
    <w:p w14:paraId="372232AC" w14:textId="77777777" w:rsidR="00B924F4" w:rsidRPr="00ED45DE" w:rsidRDefault="00B924F4" w:rsidP="00B924F4">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D45DE">
        <w:rPr>
          <w:rFonts w:ascii="Proxima Nova Rg" w:hAnsi="Proxima Nova Rg"/>
          <w:i/>
        </w:rPr>
        <w:t>Day care</w:t>
      </w:r>
      <w:r w:rsidRPr="00ED45DE">
        <w:rPr>
          <w:rFonts w:ascii="Proxima Nova Rg" w:hAnsi="Proxima Nova Rg"/>
        </w:rPr>
        <w:t xml:space="preserve"> – Corporal punishment should be prohibited by law in all early childhood care (nurseries, preschools, crèches, family centres, etc) and </w:t>
      </w:r>
      <w:proofErr w:type="gramStart"/>
      <w:r w:rsidRPr="00ED45DE">
        <w:rPr>
          <w:rFonts w:ascii="Proxima Nova Rg" w:hAnsi="Proxima Nova Rg"/>
        </w:rPr>
        <w:t>all day</w:t>
      </w:r>
      <w:proofErr w:type="gramEnd"/>
      <w:r w:rsidRPr="00ED45DE">
        <w:rPr>
          <w:rFonts w:ascii="Proxima Nova Rg" w:hAnsi="Proxima Nova Rg"/>
        </w:rPr>
        <w:t xml:space="preserve"> care for older children (day centres, after-school childcare, childminding, etc).</w:t>
      </w:r>
    </w:p>
    <w:p w14:paraId="35FED20B" w14:textId="77777777" w:rsidR="00B924F4" w:rsidRDefault="00B924F4" w:rsidP="00B924F4">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D45DE">
        <w:rPr>
          <w:rFonts w:ascii="Proxima Nova Rg" w:hAnsi="Proxima Nova Rg"/>
          <w:i/>
        </w:rPr>
        <w:t>Schools</w:t>
      </w:r>
      <w:r w:rsidRPr="00ED45DE">
        <w:rPr>
          <w:rFonts w:ascii="Proxima Nova Rg" w:hAnsi="Proxima Nova Rg"/>
        </w:rPr>
        <w:t xml:space="preserve"> – Prohibition of all corporal punishment should be included in legislation applicable to all education settings, including primary and secondary, </w:t>
      </w:r>
      <w:proofErr w:type="gramStart"/>
      <w:r w:rsidRPr="00ED45DE">
        <w:rPr>
          <w:rFonts w:ascii="Proxima Nova Rg" w:hAnsi="Proxima Nova Rg"/>
        </w:rPr>
        <w:t>public</w:t>
      </w:r>
      <w:proofErr w:type="gramEnd"/>
      <w:r w:rsidRPr="00ED45DE">
        <w:rPr>
          <w:rFonts w:ascii="Proxima Nova Rg" w:hAnsi="Proxima Nova Rg"/>
        </w:rPr>
        <w:t xml:space="preserve"> and private.</w:t>
      </w:r>
    </w:p>
    <w:p w14:paraId="27508E93" w14:textId="7F722CA9" w:rsidR="00677507" w:rsidRPr="00542E5B" w:rsidRDefault="00B924F4" w:rsidP="0053743C">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D45DE">
        <w:rPr>
          <w:rFonts w:ascii="Proxima Nova Rg" w:hAnsi="Proxima Nova Rg"/>
          <w:i/>
        </w:rPr>
        <w:t>Sentence for crime</w:t>
      </w:r>
      <w:r w:rsidRPr="00ED45DE">
        <w:rPr>
          <w:rFonts w:ascii="Proxima Nova Rg" w:hAnsi="Proxima Nova Rg"/>
        </w:rPr>
        <w:t xml:space="preserve"> – The law should be clear that corporal punishment may not be imposed as a sentence for crime for persons under 18 at the time of the offence, including under </w:t>
      </w:r>
      <w:proofErr w:type="spellStart"/>
      <w:r w:rsidRPr="00ED45DE">
        <w:rPr>
          <w:rFonts w:ascii="Proxima Nova Rg" w:hAnsi="Proxima Nova Rg"/>
        </w:rPr>
        <w:t>Shari’a</w:t>
      </w:r>
      <w:proofErr w:type="spellEnd"/>
      <w:r w:rsidRPr="00ED45DE">
        <w:rPr>
          <w:rFonts w:ascii="Proxima Nova Rg" w:hAnsi="Proxima Nova Rg"/>
        </w:rPr>
        <w:t xml:space="preserve"> law.</w:t>
      </w:r>
    </w:p>
    <w:p w14:paraId="0131CDD1" w14:textId="77777777" w:rsidR="004D7F41" w:rsidRPr="00E35A27"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Proxima Nova Rg" w:hAnsi="Proxima Nova Rg" w:cstheme="minorHAnsi"/>
        </w:rPr>
      </w:pPr>
    </w:p>
    <w:bookmarkEnd w:id="0"/>
    <w:p w14:paraId="11BA9209" w14:textId="4C02E570" w:rsidR="00C47964" w:rsidRPr="00E35A27" w:rsidRDefault="00B439AA" w:rsidP="00C47964">
      <w:pPr>
        <w:pStyle w:val="BodyText1"/>
        <w:numPr>
          <w:ilvl w:val="0"/>
          <w:numId w:val="8"/>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B924F4">
        <w:rPr>
          <w:rFonts w:ascii="Proxima Nova Rg" w:hAnsi="Proxima Nova Rg" w:cstheme="minorHAnsi"/>
          <w:b/>
          <w:sz w:val="28"/>
          <w:szCs w:val="28"/>
        </w:rPr>
        <w:t>Indonesia</w:t>
      </w:r>
    </w:p>
    <w:p w14:paraId="792AE9B4" w14:textId="02B70E33" w:rsidR="00E44610" w:rsidRPr="00AC6754" w:rsidRDefault="00EE5054" w:rsidP="00E44610">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AC6754" w:rsidRPr="00AC6754">
        <w:rPr>
          <w:rFonts w:ascii="Proxima Nova Rg" w:hAnsi="Proxima Nova Rg"/>
          <w:sz w:val="22"/>
          <w:szCs w:val="22"/>
        </w:rPr>
        <w:t xml:space="preserve">Corporal punishment is lawful in the home. The Law on Child Protection 2014 (amending the 2002 Child Protection Law) states that parents and other carers must protect the child (defined as persons under 18, art. 1(1)) from “harsh treatment violence and abuse” (art. 13), that every child shall be entitled to protection from “abuse, torture or inhuman punishment” (art. 16) and that every person who commits or threatens violence against a child shall be punished (art. 80); the Law on Human Rights 1999 states that children – have the right “to protection by parents, family, society, and state” (art. 52), to “protection before the law against all forms of physical and mental violence, neglect, mistreatment and sexual assault while under the care of his parents, guardian, or any other party responsible for his care” (art. 58), and “not to be the object of oppression, torture, or inhuman legal punishment” (art. 66(1)).But the Law on Child Protection </w:t>
      </w:r>
      <w:r w:rsidR="00AC6754" w:rsidRPr="00AC6754">
        <w:rPr>
          <w:rFonts w:ascii="Proxima Nova Rg" w:hAnsi="Proxima Nova Rg"/>
          <w:sz w:val="22"/>
          <w:szCs w:val="22"/>
        </w:rPr>
        <w:lastRenderedPageBreak/>
        <w:t>2014 and other provisions against violence and ill-treatment in the Penal Code 1918, the Law on Child Welfare 1979, the Law on Domestic Violence 2004, the Law on Youth 2009 and the Constitution 1945 are not interpreted as prohibiting all corporal punishment in childrearing. We have been unable to examine the text of the Marriage Law 1974.</w:t>
      </w:r>
    </w:p>
    <w:p w14:paraId="5A80CE93" w14:textId="77777777" w:rsidR="00E44610" w:rsidRPr="00F8547D" w:rsidRDefault="00E44610" w:rsidP="00E44610">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p>
    <w:p w14:paraId="496DAC70" w14:textId="19284FD3" w:rsidR="00AC6754" w:rsidRDefault="00AC6754" w:rsidP="00AC6754">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AC6754">
        <w:rPr>
          <w:rFonts w:ascii="Proxima Nova Rg" w:hAnsi="Proxima Nova Rg"/>
          <w:sz w:val="22"/>
          <w:szCs w:val="22"/>
        </w:rPr>
        <w:t>A draft new Criminal Code has long been under discussion: in March 2013 the Ministry of Justice and Human Rights reported that the revised Code had been submitted to the lawmakers.</w:t>
      </w:r>
      <w:r w:rsidRPr="009A1E11">
        <w:rPr>
          <w:rStyle w:val="FootnoteReference"/>
          <w:rFonts w:ascii="Proxima Nova Rg" w:hAnsi="Proxima Nova Rg"/>
          <w:sz w:val="22"/>
          <w:szCs w:val="22"/>
        </w:rPr>
        <w:footnoteReference w:id="2"/>
      </w:r>
      <w:r w:rsidRPr="00AC6754">
        <w:rPr>
          <w:rFonts w:ascii="Proxima Nova Rg" w:hAnsi="Proxima Nova Rg"/>
          <w:sz w:val="22"/>
          <w:szCs w:val="22"/>
        </w:rPr>
        <w:t xml:space="preserve"> It appears no new Code has yet been adopted.</w:t>
      </w:r>
    </w:p>
    <w:p w14:paraId="554ED42C" w14:textId="77777777" w:rsidR="00AC6754" w:rsidRDefault="00AC6754" w:rsidP="00AC6754">
      <w:pPr>
        <w:pStyle w:val="ListParagraph"/>
        <w:rPr>
          <w:rFonts w:ascii="Proxima Nova Rg" w:hAnsi="Proxima Nova Rg"/>
          <w:sz w:val="22"/>
          <w:szCs w:val="22"/>
        </w:rPr>
      </w:pPr>
    </w:p>
    <w:p w14:paraId="094F63B6" w14:textId="4C2E76A6" w:rsidR="003E745A" w:rsidRPr="00AC6754" w:rsidRDefault="00AC6754" w:rsidP="00F8547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AC6754">
        <w:rPr>
          <w:rFonts w:ascii="Proxima Nova Rg" w:hAnsi="Proxima Nova Rg"/>
          <w:sz w:val="22"/>
          <w:szCs w:val="22"/>
        </w:rPr>
        <w:t>A National Strategy on the Elimination of Violence Against Children 2016-2020 was adopted by the Ministry for Women’s Empowerment and Child Protection in 2015. The strategy identifies corporal punishment as a “dangerous practice” and highlights prohibition of physical punishment as an international obligation not yet translated into national law, and a challenge in relation to rules of law that needs to be overcome.</w:t>
      </w:r>
    </w:p>
    <w:p w14:paraId="204A628A" w14:textId="2F4A7B93" w:rsidR="00C8254B" w:rsidRPr="00C8254B" w:rsidRDefault="00016CB3" w:rsidP="00C8254B">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E35A27">
        <w:rPr>
          <w:rFonts w:ascii="Proxima Nova Rg" w:hAnsi="Proxima Nova Rg" w:cstheme="minorHAnsi"/>
          <w:b/>
          <w:bCs/>
          <w:i/>
          <w:iCs/>
        </w:rPr>
        <w:t>Alternative care settings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C8254B" w:rsidRPr="00C8254B">
        <w:rPr>
          <w:rFonts w:ascii="Proxima Nova Rg" w:hAnsi="Proxima Nova Rg"/>
          <w:sz w:val="22"/>
          <w:szCs w:val="22"/>
        </w:rPr>
        <w:t>There is no explicit prohibition of corporal punishment in alternative care settings, where it is lawful as for parents (see under “Home”). National Standards of Care for Child Welfare Institutions, adopted under Ministry of Social Affairs regulation 30/HUK/2011, state that corporal punishment should not be used but there is no prohibition in law. Children have limited protection under the Ministerial Regulation No. 6/2011 on Protection of Women and Child Victims of Violence (see under “Home”).</w:t>
      </w:r>
    </w:p>
    <w:p w14:paraId="1951ACD1" w14:textId="77777777" w:rsidR="00E35A27" w:rsidRPr="00E35A27" w:rsidRDefault="00E35A27"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6BEEEA59" w14:textId="0D404E5D" w:rsidR="00C8254B" w:rsidRPr="00C8254B" w:rsidRDefault="004A62CE" w:rsidP="00C8254B">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E35A27">
        <w:rPr>
          <w:rFonts w:ascii="Proxima Nova Rg" w:hAnsi="Proxima Nova Rg" w:cstheme="minorHAnsi"/>
          <w:b/>
          <w:bCs/>
          <w:i/>
          <w:iCs/>
        </w:rPr>
        <w:t>Day care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C8254B" w:rsidRPr="00C8254B">
        <w:rPr>
          <w:rFonts w:ascii="Proxima Nova Rg" w:hAnsi="Proxima Nova Rg"/>
          <w:sz w:val="22"/>
          <w:szCs w:val="22"/>
        </w:rPr>
        <w:t>There is no explicit prohibition of corporal punishment in day care: it is lawful as for parents. Children have limited protection under the Ministerial Regulation No. 6/2011 on Protection of Women and Child Victims of Violence (see under “Home”).</w:t>
      </w:r>
    </w:p>
    <w:p w14:paraId="4D64E372" w14:textId="77777777" w:rsidR="00E35A27" w:rsidRPr="00E35A27" w:rsidRDefault="00E35A27"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1BD92EC5" w14:textId="195D9D5E" w:rsidR="00C8254B" w:rsidRPr="00C8254B" w:rsidRDefault="00EE5054" w:rsidP="00C8254B">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E35A27">
        <w:rPr>
          <w:rFonts w:ascii="Proxima Nova Rg" w:hAnsi="Proxima Nova Rg" w:cstheme="minorHAnsi"/>
          <w:b/>
          <w:bCs/>
          <w:i/>
          <w:iCs/>
        </w:rPr>
        <w:t>Schools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C8254B" w:rsidRPr="00C8254B">
        <w:rPr>
          <w:rFonts w:ascii="Proxima Nova Rg" w:hAnsi="Proxima Nova Rg"/>
          <w:sz w:val="22"/>
          <w:szCs w:val="22"/>
        </w:rPr>
        <w:t xml:space="preserve">Corporal punishment is lawful in schools. The Law on Child Protection 2014 protects children in schools from “violence and abuse from teachers, school managers, and school mates both in the school and other educational institutions” (art. 54); Ministerial Regulation No. 82/2015 on the Prevention and Sanction of Violence in Schools also provides protection from violence but neither text explicitly prohibits corporal punishment. A group of teachers has been reported to pursue a judicial review procedure of the Law on Child Protection 2014 </w:t>
      </w:r>
      <w:proofErr w:type="gramStart"/>
      <w:r w:rsidR="00C8254B" w:rsidRPr="00C8254B">
        <w:rPr>
          <w:rFonts w:ascii="Proxima Nova Rg" w:hAnsi="Proxima Nova Rg"/>
          <w:sz w:val="22"/>
          <w:szCs w:val="22"/>
        </w:rPr>
        <w:t>in order to</w:t>
      </w:r>
      <w:proofErr w:type="gramEnd"/>
      <w:r w:rsidR="00C8254B" w:rsidRPr="00C8254B">
        <w:rPr>
          <w:rFonts w:ascii="Proxima Nova Rg" w:hAnsi="Proxima Nova Rg"/>
          <w:sz w:val="22"/>
          <w:szCs w:val="22"/>
        </w:rPr>
        <w:t xml:space="preserve"> clarify the interpretation of the term “violence and abuse”</w:t>
      </w:r>
      <w:r w:rsidR="00C8254B" w:rsidRPr="009A1E11">
        <w:rPr>
          <w:rStyle w:val="FootnoteReference"/>
          <w:rFonts w:ascii="Proxima Nova Rg" w:hAnsi="Proxima Nova Rg"/>
          <w:sz w:val="22"/>
          <w:szCs w:val="22"/>
        </w:rPr>
        <w:footnoteReference w:id="3"/>
      </w:r>
      <w:r w:rsidR="00C8254B" w:rsidRPr="00C8254B">
        <w:rPr>
          <w:rFonts w:ascii="Proxima Nova Rg" w:hAnsi="Proxima Nova Rg"/>
          <w:sz w:val="22"/>
          <w:szCs w:val="22"/>
        </w:rPr>
        <w:t xml:space="preserve"> – as of July 2017 the Constitutional Court does not appear to have a decision yet.</w:t>
      </w:r>
    </w:p>
    <w:p w14:paraId="245E8D97" w14:textId="77777777" w:rsidR="00C8254B" w:rsidRDefault="00C8254B" w:rsidP="00C8254B">
      <w:pPr>
        <w:pStyle w:val="ListParagraph"/>
        <w:rPr>
          <w:rFonts w:ascii="Proxima Nova Rg" w:hAnsi="Proxima Nova Rg" w:cstheme="minorHAnsi"/>
          <w:sz w:val="22"/>
          <w:szCs w:val="22"/>
        </w:rPr>
      </w:pPr>
    </w:p>
    <w:p w14:paraId="5F9899BC" w14:textId="77777777" w:rsidR="00C8254B" w:rsidRPr="00C8254B" w:rsidRDefault="00C8254B" w:rsidP="00C8254B">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C8254B">
        <w:rPr>
          <w:rFonts w:ascii="Proxima Nova Rg" w:hAnsi="Proxima Nova Rg"/>
          <w:sz w:val="22"/>
          <w:szCs w:val="22"/>
        </w:rPr>
        <w:t>The Act on the National Education System 2003 is silent on the issue of corporal punishment. We have been unable to examine the text of the Teachers and Lecturers Law 2015 but there are no indications that it addresses corporal punishment. Children have limited protection under the Ministerial Regulation No. 6/2011 on Protection of Women and Child Victims of Violence (see under “Home”).</w:t>
      </w:r>
    </w:p>
    <w:p w14:paraId="018ADDDF" w14:textId="77777777" w:rsidR="007666F1" w:rsidRDefault="007666F1" w:rsidP="007666F1">
      <w:pPr>
        <w:pStyle w:val="ListParagraph"/>
        <w:rPr>
          <w:rFonts w:ascii="Proxima Nova Rg" w:hAnsi="Proxima Nova Rg" w:cstheme="minorHAnsi"/>
          <w:sz w:val="22"/>
          <w:szCs w:val="22"/>
        </w:rPr>
      </w:pPr>
    </w:p>
    <w:p w14:paraId="3EB48953" w14:textId="2A2516CF" w:rsidR="00C8254B" w:rsidRPr="00C8254B" w:rsidRDefault="007666F1" w:rsidP="00C8254B">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7666F1">
        <w:rPr>
          <w:rFonts w:ascii="Proxima Nova Rg" w:hAnsi="Proxima Nova Rg" w:cstheme="minorHAnsi"/>
          <w:b/>
          <w:bCs/>
          <w:i/>
          <w:iCs/>
        </w:rPr>
        <w:t>Penal institutions:</w:t>
      </w:r>
      <w:r>
        <w:rPr>
          <w:rFonts w:ascii="Proxima Nova Rg" w:hAnsi="Proxima Nova Rg" w:cstheme="minorHAnsi"/>
          <w:sz w:val="22"/>
          <w:szCs w:val="22"/>
        </w:rPr>
        <w:t xml:space="preserve"> </w:t>
      </w:r>
      <w:r w:rsidR="00C8254B" w:rsidRPr="00C8254B">
        <w:rPr>
          <w:rFonts w:ascii="Proxima Nova Rg" w:hAnsi="Proxima Nova Rg"/>
          <w:sz w:val="22"/>
          <w:szCs w:val="22"/>
        </w:rPr>
        <w:t xml:space="preserve">Corporal punishment is considered unlawful as a disciplinary measure in penal institutions, but it is not explicitly prohibited. The Law on Correctional Facilities 1995 provides for respect for human dignity (art. 5) and corporal punishment is not among permitted disciplinary measures (art. 47). The Law on Human Rights states that children deprived of their liberty have </w:t>
      </w:r>
      <w:r w:rsidR="00C8254B" w:rsidRPr="00C8254B">
        <w:rPr>
          <w:rFonts w:ascii="Proxima Nova Rg" w:hAnsi="Proxima Nova Rg"/>
          <w:sz w:val="22"/>
          <w:szCs w:val="22"/>
        </w:rPr>
        <w:lastRenderedPageBreak/>
        <w:t xml:space="preserve">the right to “humane treatment, as befits the personal development needs of his age” (art. 66); the protections from violence and cruel treatment in the Law on the Juvenile Justice System 2012, the Constitution 1945 and the Law on Child Protection 2014 also apply (see under “Home”). Protection from cruel and degrading treatment is provided for in the Regulations of the Minister of Justice No. M.04-UM.01.06 1983 on Procedures for Placement of Prisoners and the Discipline of Prisoners in Correctional Facilities and No. M.04-UM.01.06 1983 on Detention and Care of Detainees, and Order of State Detention </w:t>
      </w:r>
      <w:proofErr w:type="spellStart"/>
      <w:r w:rsidR="00C8254B" w:rsidRPr="00C8254B">
        <w:rPr>
          <w:rFonts w:ascii="Proxima Nova Rg" w:hAnsi="Proxima Nova Rg"/>
          <w:sz w:val="22"/>
          <w:szCs w:val="22"/>
        </w:rPr>
        <w:t>Center</w:t>
      </w:r>
      <w:proofErr w:type="spellEnd"/>
      <w:r w:rsidR="00C8254B" w:rsidRPr="00C8254B">
        <w:rPr>
          <w:rFonts w:ascii="Proxima Nova Rg" w:hAnsi="Proxima Nova Rg"/>
          <w:sz w:val="22"/>
          <w:szCs w:val="22"/>
        </w:rPr>
        <w:t xml:space="preserve">. </w:t>
      </w:r>
    </w:p>
    <w:p w14:paraId="2E1AA50E" w14:textId="77777777" w:rsidR="007666F1" w:rsidRDefault="007666F1" w:rsidP="007666F1">
      <w:pPr>
        <w:pStyle w:val="ListParagraph"/>
        <w:rPr>
          <w:rFonts w:ascii="Proxima Nova Rg" w:hAnsi="Proxima Nova Rg" w:cstheme="minorHAnsi"/>
          <w:sz w:val="22"/>
          <w:szCs w:val="22"/>
        </w:rPr>
      </w:pPr>
    </w:p>
    <w:p w14:paraId="597B72F5" w14:textId="1D6FCC51" w:rsidR="00C8254B" w:rsidRPr="00C8254B" w:rsidRDefault="007666F1" w:rsidP="00C8254B">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r w:rsidRPr="007666F1">
        <w:rPr>
          <w:rFonts w:ascii="Proxima Nova Rg" w:hAnsi="Proxima Nova Rg" w:cstheme="minorHAnsi"/>
          <w:b/>
          <w:bCs/>
          <w:i/>
          <w:iCs/>
        </w:rPr>
        <w:t>Sentence for crime:</w:t>
      </w:r>
      <w:r>
        <w:rPr>
          <w:rFonts w:ascii="Proxima Nova Rg" w:hAnsi="Proxima Nova Rg" w:cstheme="minorHAnsi"/>
          <w:sz w:val="22"/>
          <w:szCs w:val="22"/>
        </w:rPr>
        <w:t xml:space="preserve"> </w:t>
      </w:r>
      <w:r w:rsidR="00C8254B" w:rsidRPr="00C8254B">
        <w:rPr>
          <w:rFonts w:ascii="Proxima Nova Rg" w:hAnsi="Proxima Nova Rg"/>
          <w:sz w:val="22"/>
          <w:szCs w:val="22"/>
        </w:rPr>
        <w:t xml:space="preserve">Corporal punishment is unlawful as a sentence for crime under provisions protecting children from “inhuman punishment” in the Law on Human Rights 1999 (art. 66) and the Child Protection Law 2014 (art. 16). </w:t>
      </w:r>
      <w:r w:rsidR="00C8254B" w:rsidRPr="00C8254B">
        <w:rPr>
          <w:rFonts w:ascii="Proxima Nova Rg" w:eastAsiaTheme="minorHAnsi" w:hAnsi="Proxima Nova Rg"/>
          <w:sz w:val="22"/>
          <w:szCs w:val="22"/>
        </w:rPr>
        <w:t xml:space="preserve">The Law on the Juvenile Justice System 2012 states that children in conflict with the law have a right to “be treated humanely and in accordance with the needs of their age” and to “freedom from torture and other cruel, inhuman or degrading punishment or treatment” (art. 3, unofficial translation) and article 71(4) states that “the penalties imposed on children must not violate the dignity of the child”. However, we have yet to ascertain the applicability if these laws in relation to </w:t>
      </w:r>
      <w:proofErr w:type="spellStart"/>
      <w:r w:rsidR="00C8254B" w:rsidRPr="00C8254B">
        <w:rPr>
          <w:rFonts w:ascii="Proxima Nova Rg" w:eastAsiaTheme="minorHAnsi" w:hAnsi="Proxima Nova Rg"/>
          <w:sz w:val="22"/>
          <w:szCs w:val="22"/>
        </w:rPr>
        <w:t>Shari’a</w:t>
      </w:r>
      <w:proofErr w:type="spellEnd"/>
      <w:r w:rsidR="00C8254B" w:rsidRPr="00C8254B">
        <w:rPr>
          <w:rFonts w:ascii="Proxima Nova Rg" w:eastAsiaTheme="minorHAnsi" w:hAnsi="Proxima Nova Rg"/>
          <w:sz w:val="22"/>
          <w:szCs w:val="22"/>
        </w:rPr>
        <w:t xml:space="preserve"> law in Aceh and other areas.</w:t>
      </w:r>
    </w:p>
    <w:p w14:paraId="78853229" w14:textId="77777777" w:rsidR="00C8254B" w:rsidRDefault="00C8254B" w:rsidP="00C8254B">
      <w:pPr>
        <w:pStyle w:val="ListParagraph"/>
        <w:rPr>
          <w:rFonts w:ascii="Proxima Nova Rg" w:hAnsi="Proxima Nova Rg" w:cstheme="minorHAnsi"/>
          <w:sz w:val="22"/>
          <w:szCs w:val="22"/>
        </w:rPr>
      </w:pPr>
    </w:p>
    <w:p w14:paraId="409D823E" w14:textId="4A2E3059" w:rsidR="008549A7" w:rsidRPr="00C8254B" w:rsidRDefault="00C8254B" w:rsidP="00C8254B">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sz w:val="22"/>
          <w:szCs w:val="22"/>
        </w:rPr>
      </w:pPr>
      <w:proofErr w:type="spellStart"/>
      <w:r w:rsidRPr="00C8254B">
        <w:rPr>
          <w:rFonts w:ascii="Proxima Nova Rg" w:hAnsi="Proxima Nova Rg"/>
          <w:sz w:val="22"/>
          <w:szCs w:val="22"/>
        </w:rPr>
        <w:t>Shari’a</w:t>
      </w:r>
      <w:proofErr w:type="spellEnd"/>
      <w:r w:rsidRPr="00C8254B">
        <w:rPr>
          <w:rFonts w:ascii="Proxima Nova Rg" w:hAnsi="Proxima Nova Rg"/>
          <w:sz w:val="22"/>
          <w:szCs w:val="22"/>
        </w:rPr>
        <w:t xml:space="preserve"> law has been implemented in the province of Aceh and other areas. Law No. 11/2006 on the Government of Aceh authorises that Government to establish bylaws, including criminal law (Qanun </w:t>
      </w:r>
      <w:proofErr w:type="spellStart"/>
      <w:r w:rsidRPr="00C8254B">
        <w:rPr>
          <w:rFonts w:ascii="Proxima Nova Rg" w:hAnsi="Proxima Nova Rg"/>
          <w:sz w:val="22"/>
          <w:szCs w:val="22"/>
        </w:rPr>
        <w:t>Jinayah</w:t>
      </w:r>
      <w:proofErr w:type="spellEnd"/>
      <w:r w:rsidRPr="00C8254B">
        <w:rPr>
          <w:rFonts w:ascii="Proxima Nova Rg" w:hAnsi="Proxima Nova Rg"/>
          <w:sz w:val="22"/>
          <w:szCs w:val="22"/>
        </w:rPr>
        <w:t xml:space="preserve">), criminal procedure (Qanun </w:t>
      </w:r>
      <w:proofErr w:type="spellStart"/>
      <w:r w:rsidRPr="00C8254B">
        <w:rPr>
          <w:rFonts w:ascii="Proxima Nova Rg" w:hAnsi="Proxima Nova Rg"/>
          <w:sz w:val="22"/>
          <w:szCs w:val="22"/>
        </w:rPr>
        <w:t>Jinayah</w:t>
      </w:r>
      <w:proofErr w:type="spellEnd"/>
      <w:r w:rsidRPr="00C8254B">
        <w:rPr>
          <w:rFonts w:ascii="Proxima Nova Rg" w:hAnsi="Proxima Nova Rg"/>
          <w:sz w:val="22"/>
          <w:szCs w:val="22"/>
        </w:rPr>
        <w:t xml:space="preserve"> on Procedural Law) and the </w:t>
      </w:r>
      <w:proofErr w:type="spellStart"/>
      <w:r w:rsidRPr="00C8254B">
        <w:rPr>
          <w:rFonts w:ascii="Proxima Nova Rg" w:hAnsi="Proxima Nova Rg"/>
          <w:sz w:val="22"/>
          <w:szCs w:val="22"/>
        </w:rPr>
        <w:t>Shari’a</w:t>
      </w:r>
      <w:proofErr w:type="spellEnd"/>
      <w:r w:rsidRPr="00C8254B">
        <w:rPr>
          <w:rFonts w:ascii="Proxima Nova Rg" w:hAnsi="Proxima Nova Rg"/>
          <w:sz w:val="22"/>
          <w:szCs w:val="22"/>
        </w:rPr>
        <w:t xml:space="preserve"> Court (</w:t>
      </w:r>
      <w:proofErr w:type="spellStart"/>
      <w:r w:rsidRPr="00C8254B">
        <w:rPr>
          <w:rFonts w:ascii="Proxima Nova Rg" w:hAnsi="Proxima Nova Rg"/>
          <w:sz w:val="22"/>
          <w:szCs w:val="22"/>
        </w:rPr>
        <w:t>Mahkamah</w:t>
      </w:r>
      <w:proofErr w:type="spellEnd"/>
      <w:r w:rsidRPr="00C8254B">
        <w:rPr>
          <w:rFonts w:ascii="Proxima Nova Rg" w:hAnsi="Proxima Nova Rg"/>
          <w:sz w:val="22"/>
          <w:szCs w:val="22"/>
        </w:rPr>
        <w:t xml:space="preserve"> Syariah): these should be consistent with national law. In 2009, the Aceh Legislative Council endorsed the Aceh Criminal Code (Qanun Hukum </w:t>
      </w:r>
      <w:proofErr w:type="spellStart"/>
      <w:r w:rsidRPr="00C8254B">
        <w:rPr>
          <w:rFonts w:ascii="Proxima Nova Rg" w:hAnsi="Proxima Nova Rg"/>
          <w:sz w:val="22"/>
          <w:szCs w:val="22"/>
        </w:rPr>
        <w:t>Jinayat</w:t>
      </w:r>
      <w:proofErr w:type="spellEnd"/>
      <w:r w:rsidRPr="00C8254B">
        <w:rPr>
          <w:rFonts w:ascii="Proxima Nova Rg" w:hAnsi="Proxima Nova Rg"/>
          <w:sz w:val="22"/>
          <w:szCs w:val="22"/>
        </w:rPr>
        <w:t xml:space="preserve">) – a set of bylaws which would replace part of the Indonesian Criminal Code with Islamic provisions applicable to Muslims, including punishment for adultery and premarital or homosexual sex with caning or stoning to death. In March 2013, the draft Code was revised to remove the punishment of stoning for adultery; it was signed into law in December 2013 and sent to the Jakarta, the capital, for approval. The proposed Criminal Code is under discussion alongside a proposed Criminal Procedure Code (Qanun Acara </w:t>
      </w:r>
      <w:proofErr w:type="spellStart"/>
      <w:r w:rsidRPr="00C8254B">
        <w:rPr>
          <w:rFonts w:ascii="Proxima Nova Rg" w:hAnsi="Proxima Nova Rg"/>
          <w:sz w:val="22"/>
          <w:szCs w:val="22"/>
        </w:rPr>
        <w:t>Jinayat</w:t>
      </w:r>
      <w:proofErr w:type="spellEnd"/>
      <w:r w:rsidRPr="00C8254B">
        <w:rPr>
          <w:rFonts w:ascii="Proxima Nova Rg" w:hAnsi="Proxima Nova Rg"/>
          <w:sz w:val="22"/>
          <w:szCs w:val="22"/>
        </w:rPr>
        <w:t>).</w:t>
      </w:r>
      <w:r>
        <w:rPr>
          <w:rFonts w:ascii="Proxima Nova Rg" w:hAnsi="Proxima Nova Rg"/>
          <w:sz w:val="22"/>
          <w:szCs w:val="22"/>
        </w:rPr>
        <w:t xml:space="preserve"> </w:t>
      </w:r>
      <w:r w:rsidRPr="00C8254B">
        <w:rPr>
          <w:rFonts w:ascii="Proxima Nova Rg" w:eastAsiaTheme="minorHAnsi" w:hAnsi="Proxima Nova Rg"/>
          <w:sz w:val="22"/>
          <w:szCs w:val="22"/>
        </w:rPr>
        <w:t xml:space="preserve">In September 2014, the Aceh provincial parliament approved the Principles of the Islamic Bylaw and the Islamic criminal code (Qanun </w:t>
      </w:r>
      <w:proofErr w:type="spellStart"/>
      <w:r w:rsidRPr="00C8254B">
        <w:rPr>
          <w:rFonts w:ascii="Proxima Nova Rg" w:eastAsiaTheme="minorHAnsi" w:hAnsi="Proxima Nova Rg"/>
          <w:sz w:val="22"/>
          <w:szCs w:val="22"/>
        </w:rPr>
        <w:t>Jinayah</w:t>
      </w:r>
      <w:proofErr w:type="spellEnd"/>
      <w:r w:rsidRPr="00C8254B">
        <w:rPr>
          <w:rFonts w:ascii="Proxima Nova Rg" w:eastAsiaTheme="minorHAnsi" w:hAnsi="Proxima Nova Rg"/>
          <w:sz w:val="22"/>
          <w:szCs w:val="22"/>
        </w:rPr>
        <w:t>) which extend Sharia law to non-Muslims and provide for judicial corporal punishment.</w:t>
      </w:r>
      <w:r w:rsidRPr="009A1E11">
        <w:rPr>
          <w:rStyle w:val="FootnoteReference"/>
          <w:rFonts w:ascii="Proxima Nova Rg" w:eastAsiaTheme="minorHAnsi" w:hAnsi="Proxima Nova Rg"/>
          <w:sz w:val="22"/>
          <w:szCs w:val="22"/>
        </w:rPr>
        <w:footnoteReference w:id="4"/>
      </w:r>
    </w:p>
    <w:p w14:paraId="6DAC1825" w14:textId="77777777" w:rsidR="008549A7" w:rsidRPr="00E35A27" w:rsidRDefault="008549A7" w:rsidP="000C4C49">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p>
    <w:p w14:paraId="7A722C3F" w14:textId="1F027C39" w:rsidR="00EE5054" w:rsidRPr="00E35A27" w:rsidRDefault="00EE5054" w:rsidP="000C4C49">
      <w:pPr>
        <w:pStyle w:val="Heading2"/>
        <w:numPr>
          <w:ilvl w:val="0"/>
          <w:numId w:val="8"/>
        </w:numPr>
        <w:spacing w:after="120"/>
        <w:jc w:val="both"/>
        <w:rPr>
          <w:rFonts w:ascii="Proxima Nova Rg" w:hAnsi="Proxima Nova Rg" w:cstheme="minorHAnsi"/>
          <w:sz w:val="28"/>
          <w:szCs w:val="28"/>
        </w:rPr>
      </w:pPr>
      <w:bookmarkStart w:id="1" w:name="_Toc197483587"/>
      <w:r w:rsidRPr="00E35A27">
        <w:rPr>
          <w:rFonts w:ascii="Proxima Nova Rg" w:hAnsi="Proxima Nova Rg" w:cstheme="minorHAnsi"/>
          <w:sz w:val="28"/>
          <w:szCs w:val="28"/>
        </w:rPr>
        <w:t>Recommendations by human rights treaty bodies</w:t>
      </w:r>
      <w:bookmarkEnd w:id="1"/>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0DFD6B6B" w14:textId="16DF7729" w:rsidR="00CE32D9" w:rsidRPr="00CE32D9" w:rsidRDefault="00CE32D9" w:rsidP="00CE32D9">
      <w:pPr>
        <w:pStyle w:val="ListParagraph"/>
        <w:numPr>
          <w:ilvl w:val="1"/>
          <w:numId w:val="18"/>
        </w:numPr>
        <w:spacing w:after="120"/>
        <w:ind w:left="360"/>
        <w:jc w:val="both"/>
        <w:rPr>
          <w:rStyle w:val="normaltextrun"/>
          <w:rFonts w:ascii="Proxima Nova Rg" w:hAnsi="Proxima Nova Rg" w:cstheme="minorHAnsi"/>
          <w:bCs/>
          <w:sz w:val="22"/>
          <w:szCs w:val="22"/>
        </w:rPr>
      </w:pPr>
      <w:r w:rsidRPr="00CE32D9">
        <w:rPr>
          <w:rStyle w:val="normaltextrun"/>
          <w:rFonts w:ascii="Proxima Nova Rg" w:hAnsi="Proxima Nova Rg"/>
          <w:b/>
          <w:bCs/>
          <w:i/>
          <w:iCs/>
          <w:color w:val="000000"/>
          <w:sz w:val="22"/>
          <w:szCs w:val="22"/>
          <w:shd w:val="clear" w:color="auto" w:fill="FFFFFF"/>
        </w:rPr>
        <w:t>CRC:</w:t>
      </w:r>
      <w:r>
        <w:rPr>
          <w:rStyle w:val="normaltextrun"/>
          <w:rFonts w:ascii="Proxima Nova Rg" w:hAnsi="Proxima Nova Rg"/>
          <w:color w:val="000000"/>
          <w:sz w:val="22"/>
          <w:szCs w:val="22"/>
          <w:shd w:val="clear" w:color="auto" w:fill="FFFFFF"/>
        </w:rPr>
        <w:t xml:space="preserve"> </w:t>
      </w:r>
      <w:r w:rsidRPr="00CE32D9">
        <w:rPr>
          <w:rStyle w:val="normaltextrun"/>
          <w:rFonts w:ascii="Proxima Nova Rg" w:hAnsi="Proxima Nova Rg"/>
          <w:color w:val="000000"/>
          <w:sz w:val="22"/>
          <w:szCs w:val="22"/>
          <w:shd w:val="clear" w:color="auto" w:fill="FFFFFF"/>
        </w:rPr>
        <w:t>The Committee on the Rights of the Child has expressed concern at corporal punishment of children in Indonesia and recommended it be explicitly prohibited in all settings – in its concluding observations on the state party’s second report in 2004,</w:t>
      </w:r>
      <w:r>
        <w:rPr>
          <w:rStyle w:val="FootnoteReference"/>
          <w:rFonts w:ascii="Proxima Nova Rg" w:hAnsi="Proxima Nova Rg"/>
          <w:color w:val="000000"/>
          <w:sz w:val="22"/>
          <w:szCs w:val="22"/>
          <w:shd w:val="clear" w:color="auto" w:fill="FFFFFF"/>
        </w:rPr>
        <w:footnoteReference w:id="5"/>
      </w:r>
      <w:r>
        <w:rPr>
          <w:rStyle w:val="normaltextrun"/>
          <w:rFonts w:ascii="Proxima Nova Rg" w:hAnsi="Proxima Nova Rg"/>
          <w:color w:val="000000"/>
          <w:sz w:val="22"/>
          <w:szCs w:val="22"/>
          <w:shd w:val="clear" w:color="auto" w:fill="FFFFFF"/>
        </w:rPr>
        <w:t xml:space="preserve"> </w:t>
      </w:r>
      <w:r w:rsidRPr="00CE32D9">
        <w:rPr>
          <w:rStyle w:val="normaltextrun"/>
          <w:rFonts w:ascii="Proxima Nova Rg" w:hAnsi="Proxima Nova Rg"/>
          <w:color w:val="000000"/>
          <w:sz w:val="22"/>
          <w:szCs w:val="22"/>
          <w:shd w:val="clear" w:color="auto" w:fill="FFFFFF"/>
        </w:rPr>
        <w:t>and in the state party’s third-fourth report in 2014</w:t>
      </w:r>
      <w:r>
        <w:rPr>
          <w:rStyle w:val="normaltextrun"/>
          <w:rFonts w:ascii="Proxima Nova Rg" w:hAnsi="Proxima Nova Rg"/>
          <w:color w:val="000000"/>
          <w:sz w:val="22"/>
          <w:szCs w:val="22"/>
          <w:shd w:val="clear" w:color="auto" w:fill="FFFFFF"/>
        </w:rPr>
        <w:t>.</w:t>
      </w:r>
      <w:r>
        <w:rPr>
          <w:rStyle w:val="FootnoteReference"/>
          <w:rFonts w:ascii="Proxima Nova Rg" w:hAnsi="Proxima Nova Rg"/>
          <w:color w:val="000000"/>
          <w:sz w:val="22"/>
          <w:szCs w:val="22"/>
          <w:shd w:val="clear" w:color="auto" w:fill="FFFFFF"/>
        </w:rPr>
        <w:footnoteReference w:id="6"/>
      </w:r>
    </w:p>
    <w:p w14:paraId="1C324A42" w14:textId="77777777" w:rsidR="00CE32D9" w:rsidRPr="00CE32D9" w:rsidRDefault="00CE32D9" w:rsidP="00CE32D9">
      <w:pPr>
        <w:pStyle w:val="ListParagraph"/>
        <w:spacing w:after="120"/>
        <w:ind w:left="360"/>
        <w:jc w:val="both"/>
        <w:rPr>
          <w:rStyle w:val="normaltextrun"/>
          <w:rFonts w:ascii="Proxima Nova Rg" w:hAnsi="Proxima Nova Rg" w:cstheme="minorHAnsi"/>
          <w:bCs/>
          <w:sz w:val="22"/>
          <w:szCs w:val="22"/>
        </w:rPr>
      </w:pPr>
    </w:p>
    <w:p w14:paraId="747DA919" w14:textId="6AD783C1" w:rsidR="00226B7E" w:rsidRPr="007F76EA" w:rsidRDefault="00CE32D9" w:rsidP="00CE32D9">
      <w:pPr>
        <w:pStyle w:val="ListParagraph"/>
        <w:numPr>
          <w:ilvl w:val="1"/>
          <w:numId w:val="18"/>
        </w:numPr>
        <w:spacing w:after="120"/>
        <w:ind w:left="360"/>
        <w:jc w:val="both"/>
        <w:rPr>
          <w:rStyle w:val="normaltextrun"/>
          <w:rFonts w:ascii="Proxima Nova Rg" w:hAnsi="Proxima Nova Rg" w:cstheme="minorHAnsi"/>
          <w:bCs/>
          <w:sz w:val="22"/>
          <w:szCs w:val="22"/>
        </w:rPr>
      </w:pPr>
      <w:r>
        <w:rPr>
          <w:rStyle w:val="normaltextrun"/>
          <w:rFonts w:ascii="Proxima Nova Rg" w:hAnsi="Proxima Nova Rg"/>
          <w:color w:val="000000"/>
          <w:sz w:val="22"/>
          <w:szCs w:val="22"/>
          <w:shd w:val="clear" w:color="auto" w:fill="FFFFFF"/>
        </w:rPr>
        <w:t xml:space="preserve"> </w:t>
      </w:r>
      <w:r w:rsidRPr="00CE32D9">
        <w:rPr>
          <w:rStyle w:val="normaltextrun"/>
          <w:rFonts w:ascii="Proxima Nova Rg" w:hAnsi="Proxima Nova Rg"/>
          <w:b/>
          <w:bCs/>
          <w:i/>
          <w:iCs/>
          <w:color w:val="000000"/>
          <w:sz w:val="22"/>
          <w:szCs w:val="22"/>
          <w:shd w:val="clear" w:color="auto" w:fill="FFFFFF"/>
        </w:rPr>
        <w:t>CAT:</w:t>
      </w:r>
      <w:r>
        <w:rPr>
          <w:rStyle w:val="normaltextrun"/>
          <w:rFonts w:ascii="Proxima Nova Rg" w:hAnsi="Proxima Nova Rg"/>
          <w:color w:val="000000"/>
          <w:sz w:val="22"/>
          <w:szCs w:val="22"/>
          <w:shd w:val="clear" w:color="auto" w:fill="FFFFFF"/>
        </w:rPr>
        <w:t xml:space="preserve"> </w:t>
      </w:r>
      <w:r w:rsidRPr="00CE32D9">
        <w:rPr>
          <w:rStyle w:val="normaltextrun"/>
          <w:rFonts w:ascii="Proxima Nova Rg" w:hAnsi="Proxima Nova Rg"/>
          <w:color w:val="000000"/>
          <w:sz w:val="22"/>
          <w:szCs w:val="22"/>
          <w:shd w:val="clear" w:color="auto" w:fill="FFFFFF"/>
        </w:rPr>
        <w:t xml:space="preserve">In its 2008 concluding observations on the state party’s second report, the Committee Against Torture expressed concern at corporal punishment of children and recommended the Government abolish all corporal </w:t>
      </w:r>
      <w:r w:rsidRPr="00CE32D9">
        <w:rPr>
          <w:rStyle w:val="normaltextrun"/>
          <w:rFonts w:ascii="Proxima Nova Rg" w:hAnsi="Proxima Nova Rg"/>
          <w:color w:val="000000"/>
          <w:sz w:val="22"/>
          <w:szCs w:val="22"/>
        </w:rPr>
        <w:t>punishment.</w:t>
      </w:r>
      <w:r>
        <w:rPr>
          <w:rStyle w:val="FootnoteReference"/>
          <w:rFonts w:ascii="Proxima Nova Rg" w:hAnsi="Proxima Nova Rg"/>
          <w:color w:val="000000"/>
          <w:sz w:val="22"/>
          <w:szCs w:val="22"/>
        </w:rPr>
        <w:footnoteReference w:id="7"/>
      </w:r>
    </w:p>
    <w:p w14:paraId="246E85FD" w14:textId="77777777" w:rsidR="007F76EA" w:rsidRPr="007F76EA" w:rsidRDefault="007F76EA" w:rsidP="007F76EA">
      <w:pPr>
        <w:pStyle w:val="ListParagraph"/>
        <w:rPr>
          <w:rFonts w:ascii="Proxima Nova Rg" w:hAnsi="Proxima Nova Rg" w:cstheme="minorHAnsi"/>
          <w:bCs/>
          <w:sz w:val="22"/>
          <w:szCs w:val="22"/>
        </w:rPr>
      </w:pPr>
    </w:p>
    <w:p w14:paraId="00A689DE" w14:textId="4A07D2D7" w:rsidR="00CE32D9" w:rsidRPr="007F76EA" w:rsidRDefault="007F76EA" w:rsidP="007F76EA">
      <w:pPr>
        <w:pStyle w:val="ListParagraph"/>
        <w:numPr>
          <w:ilvl w:val="1"/>
          <w:numId w:val="18"/>
        </w:numPr>
        <w:spacing w:after="120"/>
        <w:ind w:left="360"/>
        <w:jc w:val="both"/>
        <w:rPr>
          <w:rFonts w:ascii="Proxima Nova Rg" w:hAnsi="Proxima Nova Rg" w:cstheme="minorHAnsi"/>
          <w:bCs/>
          <w:sz w:val="22"/>
          <w:szCs w:val="22"/>
        </w:rPr>
      </w:pPr>
      <w:r>
        <w:rPr>
          <w:rStyle w:val="normaltextrun"/>
          <w:rFonts w:ascii="Proxima Nova Rg" w:hAnsi="Proxima Nova Rg"/>
          <w:color w:val="000000"/>
          <w:sz w:val="22"/>
          <w:szCs w:val="22"/>
          <w:shd w:val="clear" w:color="auto" w:fill="FFFFFF"/>
        </w:rPr>
        <w:lastRenderedPageBreak/>
        <w:t xml:space="preserve"> </w:t>
      </w:r>
      <w:r w:rsidRPr="007F76EA">
        <w:rPr>
          <w:rStyle w:val="normaltextrun"/>
          <w:rFonts w:ascii="Proxima Nova Rg" w:hAnsi="Proxima Nova Rg"/>
          <w:b/>
          <w:bCs/>
          <w:i/>
          <w:iCs/>
          <w:color w:val="000000"/>
          <w:sz w:val="22"/>
          <w:szCs w:val="22"/>
          <w:shd w:val="clear" w:color="auto" w:fill="FFFFFF"/>
        </w:rPr>
        <w:t>HRC:</w:t>
      </w:r>
      <w:r>
        <w:rPr>
          <w:rStyle w:val="normaltextrun"/>
          <w:rFonts w:ascii="Proxima Nova Rg" w:hAnsi="Proxima Nova Rg"/>
          <w:color w:val="000000"/>
          <w:sz w:val="22"/>
          <w:szCs w:val="22"/>
          <w:shd w:val="clear" w:color="auto" w:fill="FFFFFF"/>
        </w:rPr>
        <w:t xml:space="preserve"> </w:t>
      </w:r>
      <w:r w:rsidRPr="007F76EA">
        <w:rPr>
          <w:rStyle w:val="normaltextrun"/>
          <w:rFonts w:ascii="Proxima Nova Rg" w:hAnsi="Proxima Nova Rg"/>
          <w:color w:val="000000"/>
          <w:sz w:val="22"/>
          <w:szCs w:val="22"/>
          <w:shd w:val="clear" w:color="auto" w:fill="FFFFFF"/>
        </w:rPr>
        <w:t xml:space="preserve">The Human Rights Committee expressed concern at the use of corporal punishment in the penal system and recommended that the Government put an end to it, in its concluding observations on the state party’s initial report in </w:t>
      </w:r>
      <w:r w:rsidRPr="007F76EA">
        <w:rPr>
          <w:rStyle w:val="normaltextrun"/>
          <w:rFonts w:ascii="Proxima Nova Rg" w:hAnsi="Proxima Nova Rg"/>
          <w:color w:val="000000"/>
          <w:sz w:val="22"/>
          <w:szCs w:val="22"/>
        </w:rPr>
        <w:t>2013.</w:t>
      </w:r>
      <w:r>
        <w:rPr>
          <w:rStyle w:val="FootnoteReference"/>
          <w:rFonts w:ascii="Proxima Nova Rg" w:hAnsi="Proxima Nova Rg"/>
          <w:color w:val="000000"/>
          <w:sz w:val="22"/>
          <w:szCs w:val="22"/>
        </w:rPr>
        <w:footnoteReference w:id="8"/>
      </w:r>
    </w:p>
    <w:p w14:paraId="7C866EC2" w14:textId="77777777" w:rsidR="00CE32D9" w:rsidRPr="00DB6D8A" w:rsidRDefault="00CE32D9" w:rsidP="000C4C49">
      <w:pPr>
        <w:pStyle w:val="ListParagraph"/>
        <w:jc w:val="both"/>
        <w:rPr>
          <w:rFonts w:ascii="Proxima Nova Rg" w:hAnsi="Proxima Nova Rg" w:cstheme="minorHAnsi"/>
          <w:bCs/>
        </w:rPr>
      </w:pPr>
    </w:p>
    <w:p w14:paraId="500A67BE" w14:textId="1563F88A" w:rsidR="00E35A27" w:rsidRPr="007F76EA" w:rsidRDefault="007F76EA" w:rsidP="007F76EA">
      <w:pPr>
        <w:pStyle w:val="ListParagraph"/>
        <w:numPr>
          <w:ilvl w:val="1"/>
          <w:numId w:val="18"/>
        </w:numPr>
        <w:spacing w:after="60"/>
        <w:ind w:left="360"/>
        <w:jc w:val="both"/>
        <w:rPr>
          <w:rFonts w:ascii="Proxima Nova Rg" w:eastAsia="Calibri" w:hAnsi="Proxima Nova Rg" w:cstheme="minorHAnsi"/>
          <w:sz w:val="20"/>
          <w:szCs w:val="20"/>
          <w:lang w:val="en-US" w:eastAsia="en-GB"/>
        </w:rPr>
      </w:pPr>
      <w:r>
        <w:rPr>
          <w:rFonts w:ascii="Proxima Nova Rg" w:hAnsi="Proxima Nova Rg" w:cstheme="minorHAnsi"/>
          <w:bCs/>
          <w:sz w:val="22"/>
          <w:szCs w:val="22"/>
        </w:rPr>
        <w:t xml:space="preserve"> </w:t>
      </w:r>
      <w:r w:rsidRPr="007F76EA">
        <w:rPr>
          <w:rFonts w:ascii="Proxima Nova Rg" w:hAnsi="Proxima Nova Rg" w:cstheme="minorHAnsi"/>
          <w:b/>
          <w:i/>
          <w:iCs/>
          <w:sz w:val="22"/>
          <w:szCs w:val="22"/>
        </w:rPr>
        <w:t>UPR:</w:t>
      </w:r>
      <w:r>
        <w:rPr>
          <w:rFonts w:ascii="Proxima Nova Rg" w:hAnsi="Proxima Nova Rg" w:cstheme="minorHAnsi"/>
          <w:bCs/>
          <w:sz w:val="22"/>
          <w:szCs w:val="22"/>
        </w:rPr>
        <w:t xml:space="preserve"> </w:t>
      </w:r>
      <w:r w:rsidRPr="007F76EA">
        <w:rPr>
          <w:rStyle w:val="normaltextrun"/>
          <w:rFonts w:ascii="Proxima Nova Rg" w:hAnsi="Proxima Nova Rg" w:cs="Calibri"/>
          <w:color w:val="000000"/>
          <w:sz w:val="22"/>
          <w:szCs w:val="22"/>
          <w:shd w:val="clear" w:color="auto" w:fill="FFFFFF"/>
        </w:rPr>
        <w:t>In 2012,</w:t>
      </w:r>
      <w:r w:rsidRPr="007F76EA">
        <w:rPr>
          <w:rStyle w:val="normaltextrun"/>
          <w:rFonts w:ascii="Proxima Nova Rg" w:hAnsi="Proxima Nova Rg" w:cs="Calibri"/>
          <w:i/>
          <w:iCs/>
          <w:color w:val="000000"/>
          <w:sz w:val="22"/>
          <w:szCs w:val="22"/>
          <w:shd w:val="clear" w:color="auto" w:fill="FFFFFF"/>
        </w:rPr>
        <w:t xml:space="preserve"> </w:t>
      </w:r>
      <w:r w:rsidRPr="007F76EA">
        <w:rPr>
          <w:rStyle w:val="normaltextrun"/>
          <w:rFonts w:ascii="Proxima Nova Rg" w:hAnsi="Proxima Nova Rg" w:cs="Calibri"/>
          <w:color w:val="000000"/>
          <w:sz w:val="22"/>
          <w:szCs w:val="22"/>
          <w:shd w:val="clear" w:color="auto" w:fill="FFFFFF"/>
        </w:rPr>
        <w:t>during</w:t>
      </w:r>
      <w:r w:rsidRPr="007F76EA">
        <w:rPr>
          <w:rStyle w:val="normaltextrun"/>
          <w:rFonts w:ascii="Proxima Nova Rg" w:hAnsi="Proxima Nova Rg" w:cs="Calibri"/>
          <w:i/>
          <w:iCs/>
          <w:color w:val="000000"/>
          <w:sz w:val="22"/>
          <w:szCs w:val="22"/>
          <w:shd w:val="clear" w:color="auto" w:fill="FFFFFF"/>
        </w:rPr>
        <w:t xml:space="preserve"> </w:t>
      </w:r>
      <w:r w:rsidRPr="007F76EA">
        <w:rPr>
          <w:rStyle w:val="normaltextrun"/>
          <w:rFonts w:ascii="Proxima Nova Rg" w:hAnsi="Proxima Nova Rg" w:cs="Calibri"/>
          <w:color w:val="000000"/>
          <w:sz w:val="22"/>
          <w:szCs w:val="22"/>
          <w:shd w:val="clear" w:color="auto" w:fill="FFFFFF"/>
        </w:rPr>
        <w:t>the second cycle of the</w:t>
      </w:r>
      <w:r w:rsidRPr="007F76EA">
        <w:rPr>
          <w:rStyle w:val="normaltextrun"/>
          <w:rFonts w:ascii="Proxima Nova Rg" w:hAnsi="Proxima Nova Rg" w:cs="Calibri"/>
          <w:i/>
          <w:iCs/>
          <w:color w:val="000000"/>
          <w:sz w:val="22"/>
          <w:szCs w:val="22"/>
          <w:shd w:val="clear" w:color="auto" w:fill="FFFFFF"/>
        </w:rPr>
        <w:t xml:space="preserve"> </w:t>
      </w:r>
      <w:r w:rsidRPr="007F76EA">
        <w:rPr>
          <w:rStyle w:val="normaltextrun"/>
          <w:rFonts w:ascii="Proxima Nova Rg" w:hAnsi="Proxima Nova Rg" w:cs="Calibri"/>
          <w:color w:val="000000"/>
          <w:sz w:val="22"/>
          <w:szCs w:val="22"/>
          <w:shd w:val="clear" w:color="auto" w:fill="FFFFFF"/>
        </w:rPr>
        <w:t>Universal Periodic Review,</w:t>
      </w:r>
      <w:r w:rsidRPr="007F76EA">
        <w:rPr>
          <w:rStyle w:val="normaltextrun"/>
          <w:rFonts w:ascii="Proxima Nova Rg" w:hAnsi="Proxima Nova Rg" w:cs="Calibri"/>
          <w:i/>
          <w:iCs/>
          <w:color w:val="000000"/>
          <w:sz w:val="22"/>
          <w:szCs w:val="22"/>
          <w:shd w:val="clear" w:color="auto" w:fill="FFFFFF"/>
        </w:rPr>
        <w:t xml:space="preserve"> </w:t>
      </w:r>
      <w:r w:rsidRPr="007F76EA">
        <w:rPr>
          <w:rStyle w:val="normaltextrun"/>
          <w:rFonts w:ascii="Proxima Nova Rg" w:hAnsi="Proxima Nova Rg" w:cs="Calibri"/>
          <w:color w:val="000000"/>
          <w:sz w:val="22"/>
          <w:szCs w:val="22"/>
          <w:shd w:val="clear" w:color="auto" w:fill="FFFFFF"/>
        </w:rPr>
        <w:t>two</w:t>
      </w:r>
      <w:r>
        <w:rPr>
          <w:rStyle w:val="normaltextrun"/>
          <w:rFonts w:ascii="Proxima Nova Rg" w:hAnsi="Proxima Nova Rg" w:cs="Calibri"/>
          <w:i/>
          <w:iCs/>
          <w:color w:val="000000"/>
          <w:sz w:val="22"/>
          <w:szCs w:val="22"/>
          <w:shd w:val="clear" w:color="auto" w:fill="FFFFFF"/>
        </w:rPr>
        <w:t xml:space="preserve"> </w:t>
      </w:r>
      <w:r w:rsidRPr="007F76EA">
        <w:rPr>
          <w:rStyle w:val="normaltextrun"/>
          <w:rFonts w:ascii="Proxima Nova Rg" w:hAnsi="Proxima Nova Rg" w:cs="Calibri"/>
          <w:color w:val="000000"/>
          <w:sz w:val="22"/>
          <w:szCs w:val="22"/>
          <w:shd w:val="clear" w:color="auto" w:fill="FFFFFF"/>
        </w:rPr>
        <w:t>recommendations</w:t>
      </w:r>
      <w:r>
        <w:rPr>
          <w:rStyle w:val="normaltextrun"/>
          <w:rFonts w:ascii="Proxima Nova Rg" w:hAnsi="Proxima Nova Rg" w:cs="Calibri"/>
          <w:color w:val="000000"/>
          <w:sz w:val="22"/>
          <w:szCs w:val="22"/>
          <w:shd w:val="clear" w:color="auto" w:fill="FFFFFF"/>
        </w:rPr>
        <w:t xml:space="preserve"> </w:t>
      </w:r>
      <w:r w:rsidRPr="009A1E11">
        <w:rPr>
          <w:rFonts w:ascii="Proxima Nova Rg" w:hAnsi="Proxima Nova Rg"/>
          <w:bCs/>
          <w:sz w:val="22"/>
          <w:szCs w:val="22"/>
          <w:lang w:eastAsia="en-GB"/>
        </w:rPr>
        <w:t>were made to prohibit corporal punishment</w:t>
      </w:r>
      <w:r>
        <w:rPr>
          <w:rFonts w:ascii="Proxima Nova Rg" w:hAnsi="Proxima Nova Rg"/>
          <w:bCs/>
          <w:sz w:val="22"/>
          <w:szCs w:val="22"/>
          <w:lang w:eastAsia="en-GB"/>
        </w:rPr>
        <w:t>.</w:t>
      </w:r>
      <w:r>
        <w:rPr>
          <w:rStyle w:val="normaltextrun"/>
          <w:rFonts w:ascii="Proxima Nova Rg" w:hAnsi="Proxima Nova Rg" w:cs="Calibri"/>
          <w:color w:val="000000"/>
          <w:sz w:val="22"/>
          <w:szCs w:val="22"/>
          <w:shd w:val="clear" w:color="auto" w:fill="FFFFFF"/>
        </w:rPr>
        <w:t xml:space="preserve"> </w:t>
      </w:r>
      <w:r w:rsidRPr="007F76EA">
        <w:rPr>
          <w:rFonts w:ascii="Proxima Nova Rg" w:hAnsi="Proxima Nova Rg"/>
          <w:sz w:val="22"/>
          <w:szCs w:val="22"/>
        </w:rPr>
        <w:t>The Government accepted the recommendation to prohibit violence but rejected the recommendation abolish all corporal punishment, stating that “corporal punishment of children is not an issue as such practices are not tolerated in Indonesia both legally and culturally”.</w:t>
      </w:r>
      <w:r w:rsidRPr="009A1E11">
        <w:rPr>
          <w:rStyle w:val="FootnoteReference"/>
          <w:rFonts w:ascii="Proxima Nova Rg" w:hAnsi="Proxima Nova Rg"/>
          <w:sz w:val="22"/>
          <w:szCs w:val="22"/>
        </w:rPr>
        <w:footnoteReference w:id="9"/>
      </w:r>
      <w:r w:rsidRPr="007F76EA">
        <w:rPr>
          <w:rStyle w:val="normaltextrun"/>
          <w:rFonts w:ascii="Proxima Nova Rg" w:hAnsi="Proxima Nova Rg" w:cs="Calibri"/>
          <w:color w:val="000000"/>
          <w:sz w:val="22"/>
          <w:szCs w:val="22"/>
          <w:shd w:val="clear" w:color="auto" w:fill="FFFFFF"/>
        </w:rPr>
        <w:t xml:space="preserve"> During the fourth cycle examination in 2022, the Government accepted </w:t>
      </w:r>
      <w:r w:rsidRPr="0075008E">
        <w:rPr>
          <w:rFonts w:ascii="Proxima Nova Rg" w:hAnsi="Proxima Nova Rg" w:cstheme="minorHAnsi"/>
          <w:sz w:val="22"/>
          <w:szCs w:val="22"/>
        </w:rPr>
        <w:t xml:space="preserve">recommendations </w:t>
      </w:r>
      <w:r>
        <w:rPr>
          <w:rFonts w:ascii="Proxima Nova Rg" w:hAnsi="Proxima Nova Rg" w:cstheme="minorHAnsi"/>
          <w:sz w:val="22"/>
          <w:szCs w:val="22"/>
        </w:rPr>
        <w:t>pertaining to corporal punishment</w:t>
      </w:r>
      <w:r>
        <w:rPr>
          <w:rStyle w:val="normaltextrun"/>
          <w:rFonts w:ascii="Proxima Nova Rg" w:hAnsi="Proxima Nova Rg" w:cs="Calibri"/>
          <w:color w:val="000000"/>
          <w:sz w:val="22"/>
          <w:szCs w:val="22"/>
          <w:shd w:val="clear" w:color="auto" w:fill="FFFFFF"/>
        </w:rPr>
        <w:t xml:space="preserve">. </w:t>
      </w:r>
      <w:r>
        <w:rPr>
          <w:rFonts w:ascii="Proxima Nova Rg" w:hAnsi="Proxima Nova Rg" w:cstheme="minorHAnsi"/>
          <w:sz w:val="22"/>
          <w:szCs w:val="22"/>
        </w:rPr>
        <w:t xml:space="preserve">It </w:t>
      </w:r>
      <w:r w:rsidRPr="0075008E">
        <w:rPr>
          <w:rFonts w:ascii="Proxima Nova Rg" w:hAnsi="Proxima Nova Rg" w:cstheme="minorHAnsi"/>
          <w:sz w:val="22"/>
          <w:szCs w:val="22"/>
        </w:rPr>
        <w:t xml:space="preserve">noted </w:t>
      </w:r>
      <w:r>
        <w:rPr>
          <w:rFonts w:ascii="Proxima Nova Rg" w:hAnsi="Proxima Nova Rg" w:cstheme="minorHAnsi"/>
          <w:sz w:val="22"/>
          <w:szCs w:val="22"/>
        </w:rPr>
        <w:t>a recommendation which also referred to abolishing capital punishment.</w:t>
      </w:r>
      <w:r>
        <w:rPr>
          <w:rStyle w:val="FootnoteReference"/>
          <w:rFonts w:ascii="Proxima Nova Rg" w:hAnsi="Proxima Nova Rg"/>
          <w:sz w:val="22"/>
          <w:szCs w:val="22"/>
        </w:rPr>
        <w:footnoteReference w:id="10"/>
      </w:r>
    </w:p>
    <w:sectPr w:rsidR="00E35A27" w:rsidRPr="007F76EA" w:rsidSect="00271BEC">
      <w:headerReference w:type="default" r:id="rId11"/>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9C334" w14:textId="77777777" w:rsidR="00271BEC" w:rsidRDefault="00271BEC" w:rsidP="00323C9D">
      <w:r>
        <w:separator/>
      </w:r>
    </w:p>
    <w:p w14:paraId="75A25344" w14:textId="77777777" w:rsidR="00271BEC" w:rsidRDefault="00271BEC"/>
  </w:endnote>
  <w:endnote w:type="continuationSeparator" w:id="0">
    <w:p w14:paraId="02BE64E5" w14:textId="77777777" w:rsidR="00271BEC" w:rsidRDefault="00271BEC" w:rsidP="00323C9D">
      <w:r>
        <w:continuationSeparator/>
      </w:r>
    </w:p>
    <w:p w14:paraId="5D315093" w14:textId="77777777" w:rsidR="00271BEC" w:rsidRDefault="00271BEC"/>
  </w:endnote>
  <w:endnote w:type="continuationNotice" w:id="1">
    <w:p w14:paraId="68E9D4F2" w14:textId="77777777" w:rsidR="00271BEC" w:rsidRDefault="00271BEC"/>
    <w:p w14:paraId="6D9B3156" w14:textId="77777777" w:rsidR="00271BEC" w:rsidRDefault="00271B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Tahoma"/>
    <w:charset w:val="4D"/>
    <w:family w:val="auto"/>
    <w:pitch w:val="variable"/>
    <w:sig w:usb0="8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C2811" w14:textId="77777777" w:rsidR="00271BEC" w:rsidRDefault="00271BEC" w:rsidP="00323C9D">
      <w:r>
        <w:separator/>
      </w:r>
    </w:p>
    <w:p w14:paraId="65E9F9C7" w14:textId="77777777" w:rsidR="00271BEC" w:rsidRDefault="00271BEC"/>
  </w:footnote>
  <w:footnote w:type="continuationSeparator" w:id="0">
    <w:p w14:paraId="596452D9" w14:textId="77777777" w:rsidR="00271BEC" w:rsidRDefault="00271BEC" w:rsidP="00323C9D">
      <w:r>
        <w:continuationSeparator/>
      </w:r>
    </w:p>
    <w:p w14:paraId="78CB3182" w14:textId="77777777" w:rsidR="00271BEC" w:rsidRDefault="00271BEC"/>
  </w:footnote>
  <w:footnote w:type="continuationNotice" w:id="1">
    <w:p w14:paraId="33274705" w14:textId="77777777" w:rsidR="00271BEC" w:rsidRDefault="00271BEC"/>
    <w:p w14:paraId="04DC5EE4" w14:textId="77777777" w:rsidR="00271BEC" w:rsidRDefault="00271BEC"/>
  </w:footnote>
  <w:footnote w:id="2">
    <w:p w14:paraId="0F7D1D68" w14:textId="77777777" w:rsidR="00AC6754" w:rsidRPr="00ED3942" w:rsidRDefault="00AC6754" w:rsidP="00AC6754">
      <w:pPr>
        <w:pStyle w:val="FootnoteText"/>
        <w:rPr>
          <w:rFonts w:ascii="Proxima Nova Rg" w:hAnsi="Proxima Nova Rg" w:cstheme="minorHAnsi"/>
          <w:sz w:val="18"/>
          <w:szCs w:val="18"/>
          <w:lang w:val="en-US"/>
        </w:rPr>
      </w:pPr>
      <w:r w:rsidRPr="00ED3942">
        <w:rPr>
          <w:rStyle w:val="FootnoteReference"/>
          <w:rFonts w:ascii="Proxima Nova Rg" w:hAnsi="Proxima Nova Rg" w:cstheme="minorHAnsi"/>
          <w:sz w:val="18"/>
          <w:szCs w:val="18"/>
        </w:rPr>
        <w:footnoteRef/>
      </w:r>
      <w:r w:rsidRPr="00ED3942">
        <w:rPr>
          <w:rFonts w:ascii="Proxima Nova Rg" w:hAnsi="Proxima Nova Rg" w:cstheme="minorHAnsi"/>
          <w:sz w:val="18"/>
          <w:szCs w:val="18"/>
        </w:rPr>
        <w:t xml:space="preserve"> Reported in </w:t>
      </w:r>
      <w:r w:rsidRPr="00ED3942">
        <w:rPr>
          <w:rFonts w:ascii="Proxima Nova Rg" w:hAnsi="Proxima Nova Rg" w:cstheme="minorHAnsi"/>
          <w:i/>
          <w:sz w:val="18"/>
          <w:szCs w:val="18"/>
        </w:rPr>
        <w:t>Jakarta Globe</w:t>
      </w:r>
      <w:r w:rsidRPr="00ED3942">
        <w:rPr>
          <w:rFonts w:ascii="Proxima Nova Rg" w:hAnsi="Proxima Nova Rg" w:cstheme="minorHAnsi"/>
          <w:sz w:val="18"/>
          <w:szCs w:val="18"/>
        </w:rPr>
        <w:t>, 7 March 2013</w:t>
      </w:r>
    </w:p>
  </w:footnote>
  <w:footnote w:id="3">
    <w:p w14:paraId="75E40E49" w14:textId="0619B7DD" w:rsidR="00C8254B" w:rsidRPr="00ED3942" w:rsidRDefault="00C8254B" w:rsidP="00C8254B">
      <w:pPr>
        <w:pStyle w:val="FootnoteText"/>
        <w:rPr>
          <w:rFonts w:ascii="Proxima Nova Rg" w:hAnsi="Proxima Nova Rg" w:cstheme="minorHAnsi"/>
          <w:sz w:val="18"/>
          <w:szCs w:val="18"/>
        </w:rPr>
      </w:pPr>
      <w:r w:rsidRPr="00ED3942">
        <w:rPr>
          <w:rStyle w:val="FootnoteReference"/>
          <w:rFonts w:ascii="Proxima Nova Rg" w:hAnsi="Proxima Nova Rg" w:cstheme="minorHAnsi"/>
          <w:sz w:val="18"/>
          <w:szCs w:val="18"/>
        </w:rPr>
        <w:footnoteRef/>
      </w:r>
      <w:r w:rsidRPr="00ED3942">
        <w:rPr>
          <w:rFonts w:ascii="Proxima Nova Rg" w:hAnsi="Proxima Nova Rg" w:cstheme="minorHAnsi"/>
          <w:sz w:val="18"/>
          <w:szCs w:val="18"/>
        </w:rPr>
        <w:t xml:space="preserve"> See </w:t>
      </w:r>
      <w:hyperlink r:id="rId1" w:history="1">
        <w:r w:rsidRPr="00ED3942">
          <w:rPr>
            <w:rStyle w:val="Hyperlink"/>
            <w:rFonts w:ascii="Proxima Nova Rg" w:hAnsi="Proxima Nova Rg" w:cstheme="minorHAnsi"/>
            <w:color w:val="auto"/>
            <w:sz w:val="18"/>
            <w:szCs w:val="18"/>
          </w:rPr>
          <w:t>http://indonesiaexpat.biz/news/corporal-punishment-students/</w:t>
        </w:r>
      </w:hyperlink>
      <w:r w:rsidRPr="00ED3942">
        <w:rPr>
          <w:rFonts w:ascii="Proxima Nova Rg" w:hAnsi="Proxima Nova Rg" w:cstheme="minorHAnsi"/>
          <w:sz w:val="18"/>
          <w:szCs w:val="18"/>
        </w:rPr>
        <w:t xml:space="preserve">, accessed </w:t>
      </w:r>
      <w:r w:rsidR="0036262A">
        <w:rPr>
          <w:rFonts w:ascii="Proxima Nova Rg" w:hAnsi="Proxima Nova Rg" w:cstheme="minorHAnsi"/>
          <w:sz w:val="18"/>
          <w:szCs w:val="18"/>
        </w:rPr>
        <w:t>26 February</w:t>
      </w:r>
      <w:r w:rsidRPr="00ED3942">
        <w:rPr>
          <w:rFonts w:ascii="Proxima Nova Rg" w:hAnsi="Proxima Nova Rg" w:cstheme="minorHAnsi"/>
          <w:sz w:val="18"/>
          <w:szCs w:val="18"/>
        </w:rPr>
        <w:t xml:space="preserve"> 20</w:t>
      </w:r>
      <w:r w:rsidR="0036262A">
        <w:rPr>
          <w:rFonts w:ascii="Proxima Nova Rg" w:hAnsi="Proxima Nova Rg" w:cstheme="minorHAnsi"/>
          <w:sz w:val="18"/>
          <w:szCs w:val="18"/>
        </w:rPr>
        <w:t>24</w:t>
      </w:r>
    </w:p>
  </w:footnote>
  <w:footnote w:id="4">
    <w:p w14:paraId="3528FE92" w14:textId="77777777" w:rsidR="00C8254B" w:rsidRPr="007F76EA" w:rsidRDefault="00C8254B" w:rsidP="00C8254B">
      <w:pPr>
        <w:pStyle w:val="FootnoteText"/>
        <w:rPr>
          <w:rFonts w:ascii="Proxima Nova Rg" w:hAnsi="Proxima Nova Rg" w:cstheme="minorHAnsi"/>
          <w:sz w:val="18"/>
          <w:szCs w:val="18"/>
          <w:lang w:val="en-US"/>
        </w:rPr>
      </w:pPr>
      <w:r w:rsidRPr="00ED3942">
        <w:rPr>
          <w:rStyle w:val="FootnoteReference"/>
          <w:rFonts w:ascii="Proxima Nova Rg" w:hAnsi="Proxima Nova Rg" w:cstheme="minorHAnsi"/>
          <w:sz w:val="18"/>
          <w:szCs w:val="18"/>
        </w:rPr>
        <w:footnoteRef/>
      </w:r>
      <w:r w:rsidRPr="00ED3942">
        <w:rPr>
          <w:rFonts w:ascii="Proxima Nova Rg" w:hAnsi="Proxima Nova Rg" w:cstheme="minorHAnsi"/>
          <w:sz w:val="18"/>
          <w:szCs w:val="18"/>
        </w:rPr>
        <w:t xml:space="preserve"> </w:t>
      </w:r>
      <w:r w:rsidRPr="00ED3942">
        <w:rPr>
          <w:rFonts w:ascii="Proxima Nova Rg" w:hAnsi="Proxima Nova Rg" w:cstheme="minorHAnsi"/>
          <w:sz w:val="18"/>
          <w:szCs w:val="18"/>
          <w:lang w:val="en-US"/>
        </w:rPr>
        <w:t xml:space="preserve">2 October 2014, Human Rights Watch press release, </w:t>
      </w:r>
      <w:hyperlink r:id="rId2" w:history="1">
        <w:r w:rsidRPr="007F76EA">
          <w:rPr>
            <w:rStyle w:val="Hyperlink"/>
            <w:rFonts w:ascii="Proxima Nova Rg" w:hAnsi="Proxima Nova Rg" w:cstheme="minorHAnsi"/>
            <w:color w:val="auto"/>
            <w:sz w:val="18"/>
            <w:szCs w:val="18"/>
            <w:lang w:val="en-US"/>
          </w:rPr>
          <w:t>http://www.hrw.org/news/2014/10/02/indonesia-aceh-s-new-islamic-laws-violate-rights</w:t>
        </w:r>
      </w:hyperlink>
      <w:r w:rsidRPr="007F76EA">
        <w:rPr>
          <w:rFonts w:ascii="Proxima Nova Rg" w:hAnsi="Proxima Nova Rg" w:cstheme="minorHAnsi"/>
          <w:sz w:val="18"/>
          <w:szCs w:val="18"/>
          <w:lang w:val="en-US"/>
        </w:rPr>
        <w:t>, accessed 27 October 2014</w:t>
      </w:r>
    </w:p>
  </w:footnote>
  <w:footnote w:id="5">
    <w:p w14:paraId="15EB2AFA" w14:textId="2ED7B284" w:rsidR="00CE32D9" w:rsidRPr="007F76EA" w:rsidRDefault="00CE32D9">
      <w:pPr>
        <w:pStyle w:val="FootnoteText"/>
        <w:rPr>
          <w:rFonts w:ascii="Proxima Nova Rg" w:hAnsi="Proxima Nova Rg"/>
          <w:sz w:val="18"/>
          <w:szCs w:val="18"/>
          <w:lang w:val="en-US"/>
        </w:rPr>
      </w:pPr>
      <w:r w:rsidRPr="007F76EA">
        <w:rPr>
          <w:rStyle w:val="FootnoteReference"/>
          <w:rFonts w:ascii="Proxima Nova Rg" w:hAnsi="Proxima Nova Rg"/>
          <w:sz w:val="18"/>
          <w:szCs w:val="18"/>
        </w:rPr>
        <w:footnoteRef/>
      </w:r>
      <w:r w:rsidRPr="007F76EA">
        <w:rPr>
          <w:rFonts w:ascii="Proxima Nova Rg" w:hAnsi="Proxima Nova Rg"/>
          <w:sz w:val="18"/>
          <w:szCs w:val="18"/>
        </w:rPr>
        <w:t xml:space="preserve"> 26 February 2004, CRC/C/15/Add.223, Concluding observations on second report, paras. 43, 44 and 61</w:t>
      </w:r>
    </w:p>
  </w:footnote>
  <w:footnote w:id="6">
    <w:p w14:paraId="288752F0" w14:textId="2D924DB4" w:rsidR="00CE32D9" w:rsidRPr="007F76EA" w:rsidRDefault="00CE32D9">
      <w:pPr>
        <w:pStyle w:val="FootnoteText"/>
        <w:rPr>
          <w:rFonts w:ascii="Proxima Nova Rg" w:hAnsi="Proxima Nova Rg"/>
          <w:sz w:val="18"/>
          <w:szCs w:val="18"/>
          <w:lang w:val="en-US"/>
        </w:rPr>
      </w:pPr>
      <w:r w:rsidRPr="007F76EA">
        <w:rPr>
          <w:rStyle w:val="FootnoteReference"/>
          <w:rFonts w:ascii="Proxima Nova Rg" w:hAnsi="Proxima Nova Rg"/>
          <w:sz w:val="18"/>
          <w:szCs w:val="18"/>
        </w:rPr>
        <w:footnoteRef/>
      </w:r>
      <w:r w:rsidRPr="007F76EA">
        <w:rPr>
          <w:rFonts w:ascii="Proxima Nova Rg" w:hAnsi="Proxima Nova Rg"/>
          <w:sz w:val="18"/>
          <w:szCs w:val="18"/>
        </w:rPr>
        <w:t xml:space="preserve"> </w:t>
      </w:r>
      <w:r w:rsidRPr="007F76EA">
        <w:rPr>
          <w:rFonts w:ascii="Proxima Nova Rg" w:eastAsiaTheme="minorHAnsi" w:hAnsi="Proxima Nova Rg"/>
          <w:color w:val="000000"/>
          <w:sz w:val="18"/>
          <w:szCs w:val="18"/>
          <w:lang w:val="en-US"/>
        </w:rPr>
        <w:t>10 July 2014, CRC/C/IDN/CO/3-4, Concluding observations on third/fourth report, paras. 7, 8 and 60</w:t>
      </w:r>
    </w:p>
  </w:footnote>
  <w:footnote w:id="7">
    <w:p w14:paraId="68E678D3" w14:textId="212A239A" w:rsidR="00CE32D9" w:rsidRPr="007F76EA" w:rsidRDefault="00CE32D9">
      <w:pPr>
        <w:pStyle w:val="FootnoteText"/>
        <w:rPr>
          <w:rFonts w:ascii="Proxima Nova Rg" w:hAnsi="Proxima Nova Rg"/>
          <w:sz w:val="18"/>
          <w:szCs w:val="18"/>
          <w:lang w:val="en-US"/>
        </w:rPr>
      </w:pPr>
      <w:r w:rsidRPr="007F76EA">
        <w:rPr>
          <w:rStyle w:val="FootnoteReference"/>
          <w:rFonts w:ascii="Proxima Nova Rg" w:hAnsi="Proxima Nova Rg"/>
          <w:sz w:val="18"/>
          <w:szCs w:val="18"/>
        </w:rPr>
        <w:footnoteRef/>
      </w:r>
      <w:r w:rsidRPr="007F76EA">
        <w:rPr>
          <w:rFonts w:ascii="Proxima Nova Rg" w:hAnsi="Proxima Nova Rg"/>
          <w:sz w:val="18"/>
          <w:szCs w:val="18"/>
        </w:rPr>
        <w:t xml:space="preserve"> 2 July 2008, CAT/C/IDN/CO/2, Concluding observations on second report, paras. 15 and 17</w:t>
      </w:r>
    </w:p>
  </w:footnote>
  <w:footnote w:id="8">
    <w:p w14:paraId="29305EF1" w14:textId="1CB17603" w:rsidR="007F76EA" w:rsidRPr="007F76EA" w:rsidRDefault="007F76EA">
      <w:pPr>
        <w:pStyle w:val="FootnoteText"/>
        <w:rPr>
          <w:lang w:val="en-US"/>
        </w:rPr>
      </w:pPr>
      <w:r w:rsidRPr="007F76EA">
        <w:rPr>
          <w:rStyle w:val="FootnoteReference"/>
          <w:rFonts w:ascii="Proxima Nova Rg" w:hAnsi="Proxima Nova Rg"/>
          <w:sz w:val="18"/>
          <w:szCs w:val="18"/>
        </w:rPr>
        <w:footnoteRef/>
      </w:r>
      <w:r w:rsidRPr="007F76EA">
        <w:rPr>
          <w:rFonts w:ascii="Proxima Nova Rg" w:hAnsi="Proxima Nova Rg"/>
          <w:sz w:val="18"/>
          <w:szCs w:val="18"/>
        </w:rPr>
        <w:t xml:space="preserve"> 21 August 2013, CCPR/C/IND/CO/1, Concluding observations on initial report, para. 15</w:t>
      </w:r>
    </w:p>
  </w:footnote>
  <w:footnote w:id="9">
    <w:p w14:paraId="2D7C7223" w14:textId="77777777" w:rsidR="007F76EA" w:rsidRPr="00ED3942" w:rsidRDefault="007F76EA" w:rsidP="007F76EA">
      <w:pPr>
        <w:pStyle w:val="FootnoteText"/>
        <w:rPr>
          <w:rFonts w:ascii="Proxima Nova Rg" w:hAnsi="Proxima Nova Rg" w:cstheme="minorHAnsi"/>
          <w:sz w:val="18"/>
          <w:szCs w:val="18"/>
          <w:lang w:val="en-US"/>
        </w:rPr>
      </w:pPr>
      <w:r w:rsidRPr="00ED3942">
        <w:rPr>
          <w:rStyle w:val="FootnoteReference"/>
          <w:rFonts w:ascii="Proxima Nova Rg" w:hAnsi="Proxima Nova Rg" w:cstheme="minorHAnsi"/>
          <w:sz w:val="18"/>
          <w:szCs w:val="18"/>
        </w:rPr>
        <w:footnoteRef/>
      </w:r>
      <w:r w:rsidRPr="00ED3942">
        <w:rPr>
          <w:rFonts w:ascii="Proxima Nova Rg" w:hAnsi="Proxima Nova Rg" w:cstheme="minorHAnsi"/>
          <w:sz w:val="18"/>
          <w:szCs w:val="18"/>
        </w:rPr>
        <w:t xml:space="preserve"> 5 July 2012, A/HRC/21/7, Report of the working group, paras. 108(75); 5 September 2012, A/HRC/21/7/Add.1, Report of the working group: Addendum, para. 6(9)</w:t>
      </w:r>
    </w:p>
  </w:footnote>
  <w:footnote w:id="10">
    <w:p w14:paraId="47CEF21C" w14:textId="77777777" w:rsidR="007F76EA" w:rsidRPr="00CF4405" w:rsidRDefault="007F76EA" w:rsidP="007F76EA">
      <w:pPr>
        <w:pStyle w:val="FootnoteText"/>
        <w:rPr>
          <w:rFonts w:ascii="Proxima Nova Rg" w:hAnsi="Proxima Nova Rg"/>
          <w:sz w:val="18"/>
          <w:szCs w:val="18"/>
          <w:lang w:val="en-US"/>
        </w:rPr>
      </w:pPr>
      <w:r w:rsidRPr="00CF4405">
        <w:rPr>
          <w:rStyle w:val="FootnoteReference"/>
          <w:rFonts w:ascii="Proxima Nova Rg" w:hAnsi="Proxima Nova Rg"/>
          <w:sz w:val="18"/>
          <w:szCs w:val="18"/>
        </w:rPr>
        <w:footnoteRef/>
      </w:r>
      <w:r w:rsidRPr="00CF4405">
        <w:rPr>
          <w:rFonts w:ascii="Proxima Nova Rg" w:hAnsi="Proxima Nova Rg"/>
          <w:sz w:val="18"/>
          <w:szCs w:val="18"/>
        </w:rPr>
        <w:t xml:space="preserve"> 17 March 2023, A/HRC/52/8/Add.1, Report of the Working Group</w:t>
      </w:r>
      <w:r>
        <w:rPr>
          <w:rFonts w:ascii="Proxima Nova Rg" w:hAnsi="Proxima Nova Rg"/>
          <w:sz w:val="18"/>
          <w:szCs w:val="18"/>
        </w:rPr>
        <w:t>:</w:t>
      </w:r>
      <w:r w:rsidRPr="00CF4405">
        <w:rPr>
          <w:rFonts w:ascii="Proxima Nova Rg" w:hAnsi="Proxima Nova Rg"/>
          <w:sz w:val="18"/>
          <w:szCs w:val="18"/>
        </w:rPr>
        <w:t xml:space="preserve"> Addendum, Advance version, para. 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7BAD" w14:textId="638C8D9B" w:rsidR="00AA4A67" w:rsidRDefault="00AA4A67">
    <w:pPr>
      <w:pStyle w:val="Header"/>
    </w:pPr>
    <w:r>
      <w:rPr>
        <w:noProof/>
        <w:sz w:val="20"/>
      </w:rPr>
      <w:drawing>
        <wp:anchor distT="0" distB="0" distL="114300" distR="114300" simplePos="0" relativeHeight="251659264" behindDoc="0" locked="0" layoutInCell="1" allowOverlap="1" wp14:anchorId="22216115" wp14:editId="5428EFAE">
          <wp:simplePos x="0" y="0"/>
          <wp:positionH relativeFrom="column">
            <wp:posOffset>4563174</wp:posOffset>
          </wp:positionH>
          <wp:positionV relativeFrom="paragraph">
            <wp:posOffset>-218371</wp:posOffset>
          </wp:positionV>
          <wp:extent cx="1845310" cy="634365"/>
          <wp:effectExtent l="0" t="0" r="0" b="0"/>
          <wp:wrapSquare wrapText="bothSides"/>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45310" cy="63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7"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1"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6" w15:restartNumberingAfterBreak="0">
    <w:nsid w:val="6DE37E4F"/>
    <w:multiLevelType w:val="multilevel"/>
    <w:tmpl w:val="6C0C823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sz w:val="24"/>
        <w:szCs w:val="24"/>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17"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8"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225605503">
    <w:abstractNumId w:val="13"/>
  </w:num>
  <w:num w:numId="2" w16cid:durableId="703409305">
    <w:abstractNumId w:val="8"/>
  </w:num>
  <w:num w:numId="3" w16cid:durableId="1955018056">
    <w:abstractNumId w:val="7"/>
  </w:num>
  <w:num w:numId="4" w16cid:durableId="14880923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0092702">
    <w:abstractNumId w:val="14"/>
  </w:num>
  <w:num w:numId="6" w16cid:durableId="2012219308">
    <w:abstractNumId w:val="0"/>
  </w:num>
  <w:num w:numId="7" w16cid:durableId="1990672619">
    <w:abstractNumId w:val="4"/>
  </w:num>
  <w:num w:numId="8" w16cid:durableId="2087723875">
    <w:abstractNumId w:val="1"/>
  </w:num>
  <w:num w:numId="9" w16cid:durableId="825513918">
    <w:abstractNumId w:val="6"/>
  </w:num>
  <w:num w:numId="10" w16cid:durableId="491919519">
    <w:abstractNumId w:val="2"/>
  </w:num>
  <w:num w:numId="11" w16cid:durableId="1696081865">
    <w:abstractNumId w:val="11"/>
  </w:num>
  <w:num w:numId="12" w16cid:durableId="1120802199">
    <w:abstractNumId w:val="15"/>
  </w:num>
  <w:num w:numId="13" w16cid:durableId="1920289315">
    <w:abstractNumId w:val="17"/>
  </w:num>
  <w:num w:numId="14" w16cid:durableId="1659335760">
    <w:abstractNumId w:val="18"/>
  </w:num>
  <w:num w:numId="15" w16cid:durableId="1638757092">
    <w:abstractNumId w:val="9"/>
  </w:num>
  <w:num w:numId="16" w16cid:durableId="1733917757">
    <w:abstractNumId w:val="3"/>
  </w:num>
  <w:num w:numId="17" w16cid:durableId="1617836497">
    <w:abstractNumId w:val="12"/>
  </w:num>
  <w:num w:numId="18" w16cid:durableId="817767155">
    <w:abstractNumId w:val="16"/>
  </w:num>
  <w:num w:numId="19" w16cid:durableId="89591864">
    <w:abstractNumId w:val="5"/>
  </w:num>
  <w:num w:numId="20" w16cid:durableId="16275394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27F29"/>
    <w:rsid w:val="000320CF"/>
    <w:rsid w:val="000323EA"/>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C310D"/>
    <w:rsid w:val="000C4C49"/>
    <w:rsid w:val="000D0D88"/>
    <w:rsid w:val="000D3662"/>
    <w:rsid w:val="000E62CC"/>
    <w:rsid w:val="000F60CE"/>
    <w:rsid w:val="00105465"/>
    <w:rsid w:val="0010748C"/>
    <w:rsid w:val="00120D68"/>
    <w:rsid w:val="00123508"/>
    <w:rsid w:val="001245DF"/>
    <w:rsid w:val="001356B5"/>
    <w:rsid w:val="001410F0"/>
    <w:rsid w:val="00142C16"/>
    <w:rsid w:val="00172037"/>
    <w:rsid w:val="00175ECF"/>
    <w:rsid w:val="001A06FE"/>
    <w:rsid w:val="001B43C5"/>
    <w:rsid w:val="001C0CB6"/>
    <w:rsid w:val="001C29C3"/>
    <w:rsid w:val="001C4244"/>
    <w:rsid w:val="001C5EF8"/>
    <w:rsid w:val="001D53D3"/>
    <w:rsid w:val="001D690A"/>
    <w:rsid w:val="001D6B19"/>
    <w:rsid w:val="001E43C2"/>
    <w:rsid w:val="001F0E48"/>
    <w:rsid w:val="001F720B"/>
    <w:rsid w:val="00213532"/>
    <w:rsid w:val="00214EE1"/>
    <w:rsid w:val="00220C08"/>
    <w:rsid w:val="00222FAB"/>
    <w:rsid w:val="00225A07"/>
    <w:rsid w:val="00226A92"/>
    <w:rsid w:val="00226B7E"/>
    <w:rsid w:val="00231F5D"/>
    <w:rsid w:val="00234040"/>
    <w:rsid w:val="00240EA1"/>
    <w:rsid w:val="00247F0E"/>
    <w:rsid w:val="00255E92"/>
    <w:rsid w:val="00257FE2"/>
    <w:rsid w:val="00260954"/>
    <w:rsid w:val="00271923"/>
    <w:rsid w:val="00271BEC"/>
    <w:rsid w:val="00273EEE"/>
    <w:rsid w:val="00280116"/>
    <w:rsid w:val="002834F2"/>
    <w:rsid w:val="00283D0A"/>
    <w:rsid w:val="00284A40"/>
    <w:rsid w:val="00284BD8"/>
    <w:rsid w:val="00294582"/>
    <w:rsid w:val="00294AEE"/>
    <w:rsid w:val="002A0B7F"/>
    <w:rsid w:val="002A4A02"/>
    <w:rsid w:val="002A51B6"/>
    <w:rsid w:val="002B4939"/>
    <w:rsid w:val="002B7146"/>
    <w:rsid w:val="002C429C"/>
    <w:rsid w:val="002D2B67"/>
    <w:rsid w:val="002D4988"/>
    <w:rsid w:val="002D7F89"/>
    <w:rsid w:val="002E53C2"/>
    <w:rsid w:val="002E6523"/>
    <w:rsid w:val="002E799C"/>
    <w:rsid w:val="002F67AB"/>
    <w:rsid w:val="00304BF9"/>
    <w:rsid w:val="00305B1E"/>
    <w:rsid w:val="00323C9D"/>
    <w:rsid w:val="003323EB"/>
    <w:rsid w:val="00332473"/>
    <w:rsid w:val="00333AE9"/>
    <w:rsid w:val="003360DB"/>
    <w:rsid w:val="00337AB1"/>
    <w:rsid w:val="00337F08"/>
    <w:rsid w:val="0034398E"/>
    <w:rsid w:val="003518B5"/>
    <w:rsid w:val="00355E0D"/>
    <w:rsid w:val="00355F91"/>
    <w:rsid w:val="00356F60"/>
    <w:rsid w:val="0036262A"/>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E745A"/>
    <w:rsid w:val="003F0753"/>
    <w:rsid w:val="003F72BA"/>
    <w:rsid w:val="00403D99"/>
    <w:rsid w:val="00410E4B"/>
    <w:rsid w:val="004215AF"/>
    <w:rsid w:val="004220DF"/>
    <w:rsid w:val="00424D29"/>
    <w:rsid w:val="0044577B"/>
    <w:rsid w:val="00464D72"/>
    <w:rsid w:val="004671DD"/>
    <w:rsid w:val="00467907"/>
    <w:rsid w:val="00486A01"/>
    <w:rsid w:val="00492FE5"/>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F68"/>
    <w:rsid w:val="0051748B"/>
    <w:rsid w:val="00521FA7"/>
    <w:rsid w:val="005269A3"/>
    <w:rsid w:val="0053400C"/>
    <w:rsid w:val="005350B0"/>
    <w:rsid w:val="00535471"/>
    <w:rsid w:val="005354D3"/>
    <w:rsid w:val="0053743C"/>
    <w:rsid w:val="00546A2A"/>
    <w:rsid w:val="00551E97"/>
    <w:rsid w:val="00560E4F"/>
    <w:rsid w:val="00562432"/>
    <w:rsid w:val="00564DD8"/>
    <w:rsid w:val="00565B6E"/>
    <w:rsid w:val="00565FA6"/>
    <w:rsid w:val="00570B3A"/>
    <w:rsid w:val="00582C8E"/>
    <w:rsid w:val="00587C74"/>
    <w:rsid w:val="00591C56"/>
    <w:rsid w:val="005920BB"/>
    <w:rsid w:val="005A74E9"/>
    <w:rsid w:val="005B7F97"/>
    <w:rsid w:val="005D04BC"/>
    <w:rsid w:val="005D1E87"/>
    <w:rsid w:val="005D2B0F"/>
    <w:rsid w:val="005D367F"/>
    <w:rsid w:val="005D7900"/>
    <w:rsid w:val="005E19BB"/>
    <w:rsid w:val="005E2681"/>
    <w:rsid w:val="005E6A3D"/>
    <w:rsid w:val="005E6E59"/>
    <w:rsid w:val="005F1FFE"/>
    <w:rsid w:val="00600C12"/>
    <w:rsid w:val="00604123"/>
    <w:rsid w:val="0060457A"/>
    <w:rsid w:val="006074E7"/>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77507"/>
    <w:rsid w:val="006825A3"/>
    <w:rsid w:val="00682E39"/>
    <w:rsid w:val="006929A1"/>
    <w:rsid w:val="006A1C2C"/>
    <w:rsid w:val="006C2E7A"/>
    <w:rsid w:val="006D0138"/>
    <w:rsid w:val="006D767D"/>
    <w:rsid w:val="006E0F24"/>
    <w:rsid w:val="006E765C"/>
    <w:rsid w:val="006E7A39"/>
    <w:rsid w:val="006F0FB1"/>
    <w:rsid w:val="006F1AB7"/>
    <w:rsid w:val="006F2157"/>
    <w:rsid w:val="006F553D"/>
    <w:rsid w:val="00706843"/>
    <w:rsid w:val="007069FF"/>
    <w:rsid w:val="0070788B"/>
    <w:rsid w:val="00707EFA"/>
    <w:rsid w:val="00712323"/>
    <w:rsid w:val="00727FCA"/>
    <w:rsid w:val="00733D0A"/>
    <w:rsid w:val="00735A54"/>
    <w:rsid w:val="0074008B"/>
    <w:rsid w:val="0074554E"/>
    <w:rsid w:val="00760FB3"/>
    <w:rsid w:val="007650B3"/>
    <w:rsid w:val="007656F5"/>
    <w:rsid w:val="00766433"/>
    <w:rsid w:val="007666F1"/>
    <w:rsid w:val="00767063"/>
    <w:rsid w:val="00770493"/>
    <w:rsid w:val="0077062F"/>
    <w:rsid w:val="007709C9"/>
    <w:rsid w:val="007746C8"/>
    <w:rsid w:val="00776A55"/>
    <w:rsid w:val="00783762"/>
    <w:rsid w:val="00794894"/>
    <w:rsid w:val="00796A56"/>
    <w:rsid w:val="00796E3F"/>
    <w:rsid w:val="007A4233"/>
    <w:rsid w:val="007A5017"/>
    <w:rsid w:val="007A5E80"/>
    <w:rsid w:val="007B02C0"/>
    <w:rsid w:val="007B60E4"/>
    <w:rsid w:val="007C5364"/>
    <w:rsid w:val="007C56DC"/>
    <w:rsid w:val="007C687F"/>
    <w:rsid w:val="007D0DF5"/>
    <w:rsid w:val="007E0EE4"/>
    <w:rsid w:val="007E3D40"/>
    <w:rsid w:val="007F76EA"/>
    <w:rsid w:val="008034D8"/>
    <w:rsid w:val="00804717"/>
    <w:rsid w:val="0080766A"/>
    <w:rsid w:val="00810387"/>
    <w:rsid w:val="00820DC0"/>
    <w:rsid w:val="00823B96"/>
    <w:rsid w:val="0082500B"/>
    <w:rsid w:val="008331FF"/>
    <w:rsid w:val="0084366B"/>
    <w:rsid w:val="008549A7"/>
    <w:rsid w:val="00855E97"/>
    <w:rsid w:val="00856F81"/>
    <w:rsid w:val="00861C1F"/>
    <w:rsid w:val="00862AF5"/>
    <w:rsid w:val="00864245"/>
    <w:rsid w:val="0087083D"/>
    <w:rsid w:val="00882B26"/>
    <w:rsid w:val="00883606"/>
    <w:rsid w:val="008848D4"/>
    <w:rsid w:val="008906D8"/>
    <w:rsid w:val="00892749"/>
    <w:rsid w:val="0089745C"/>
    <w:rsid w:val="008A12B3"/>
    <w:rsid w:val="008A612B"/>
    <w:rsid w:val="008C5580"/>
    <w:rsid w:val="008C5CA7"/>
    <w:rsid w:val="008C689B"/>
    <w:rsid w:val="008D4938"/>
    <w:rsid w:val="008D7981"/>
    <w:rsid w:val="008F31D8"/>
    <w:rsid w:val="008F4411"/>
    <w:rsid w:val="008F6A26"/>
    <w:rsid w:val="00905ADB"/>
    <w:rsid w:val="00907813"/>
    <w:rsid w:val="00912AE7"/>
    <w:rsid w:val="0091489B"/>
    <w:rsid w:val="009358B8"/>
    <w:rsid w:val="00951E40"/>
    <w:rsid w:val="00956A2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073"/>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97A12"/>
    <w:rsid w:val="00AA4A67"/>
    <w:rsid w:val="00AA5911"/>
    <w:rsid w:val="00AA7ACB"/>
    <w:rsid w:val="00AB5645"/>
    <w:rsid w:val="00AC10E4"/>
    <w:rsid w:val="00AC2417"/>
    <w:rsid w:val="00AC6754"/>
    <w:rsid w:val="00AC7805"/>
    <w:rsid w:val="00AC78F1"/>
    <w:rsid w:val="00AD1084"/>
    <w:rsid w:val="00AD473C"/>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55607"/>
    <w:rsid w:val="00B612D8"/>
    <w:rsid w:val="00B64C3E"/>
    <w:rsid w:val="00B8659A"/>
    <w:rsid w:val="00B868B0"/>
    <w:rsid w:val="00B924F4"/>
    <w:rsid w:val="00BA270B"/>
    <w:rsid w:val="00BA2A88"/>
    <w:rsid w:val="00BA4ED3"/>
    <w:rsid w:val="00BA65C7"/>
    <w:rsid w:val="00BB2236"/>
    <w:rsid w:val="00BB7DC3"/>
    <w:rsid w:val="00BC5176"/>
    <w:rsid w:val="00BE1697"/>
    <w:rsid w:val="00BE175D"/>
    <w:rsid w:val="00BE5B45"/>
    <w:rsid w:val="00BE6087"/>
    <w:rsid w:val="00BE7D46"/>
    <w:rsid w:val="00BF375F"/>
    <w:rsid w:val="00C00A59"/>
    <w:rsid w:val="00C06E41"/>
    <w:rsid w:val="00C2104E"/>
    <w:rsid w:val="00C236FC"/>
    <w:rsid w:val="00C25080"/>
    <w:rsid w:val="00C25807"/>
    <w:rsid w:val="00C30137"/>
    <w:rsid w:val="00C3049C"/>
    <w:rsid w:val="00C315C5"/>
    <w:rsid w:val="00C32DAF"/>
    <w:rsid w:val="00C402BD"/>
    <w:rsid w:val="00C41E08"/>
    <w:rsid w:val="00C42D95"/>
    <w:rsid w:val="00C45076"/>
    <w:rsid w:val="00C47964"/>
    <w:rsid w:val="00C542E5"/>
    <w:rsid w:val="00C707B9"/>
    <w:rsid w:val="00C72FDB"/>
    <w:rsid w:val="00C73434"/>
    <w:rsid w:val="00C76E0B"/>
    <w:rsid w:val="00C77C73"/>
    <w:rsid w:val="00C8025C"/>
    <w:rsid w:val="00C8254B"/>
    <w:rsid w:val="00CA1110"/>
    <w:rsid w:val="00CA6A19"/>
    <w:rsid w:val="00CB23B9"/>
    <w:rsid w:val="00CC7967"/>
    <w:rsid w:val="00CD5FFE"/>
    <w:rsid w:val="00CE32D9"/>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3AD4"/>
    <w:rsid w:val="00D7345E"/>
    <w:rsid w:val="00D7371D"/>
    <w:rsid w:val="00D74358"/>
    <w:rsid w:val="00D77A77"/>
    <w:rsid w:val="00D77C99"/>
    <w:rsid w:val="00D80B70"/>
    <w:rsid w:val="00D86D9B"/>
    <w:rsid w:val="00D9344E"/>
    <w:rsid w:val="00D94B85"/>
    <w:rsid w:val="00DA1D06"/>
    <w:rsid w:val="00DA3604"/>
    <w:rsid w:val="00DA6F47"/>
    <w:rsid w:val="00DB6D8A"/>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21A6B"/>
    <w:rsid w:val="00E31EB8"/>
    <w:rsid w:val="00E35A27"/>
    <w:rsid w:val="00E4270B"/>
    <w:rsid w:val="00E44610"/>
    <w:rsid w:val="00E5291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6750"/>
    <w:rsid w:val="00EF7B48"/>
    <w:rsid w:val="00F05051"/>
    <w:rsid w:val="00F06234"/>
    <w:rsid w:val="00F210EF"/>
    <w:rsid w:val="00F254E0"/>
    <w:rsid w:val="00F26B60"/>
    <w:rsid w:val="00F31816"/>
    <w:rsid w:val="00F501D1"/>
    <w:rsid w:val="00F54D11"/>
    <w:rsid w:val="00F604EC"/>
    <w:rsid w:val="00F63FD9"/>
    <w:rsid w:val="00F71688"/>
    <w:rsid w:val="00F71F67"/>
    <w:rsid w:val="00F73C0C"/>
    <w:rsid w:val="00F74F9D"/>
    <w:rsid w:val="00F777F7"/>
    <w:rsid w:val="00F77E37"/>
    <w:rsid w:val="00F80626"/>
    <w:rsid w:val="00F81F4E"/>
    <w:rsid w:val="00F8547D"/>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0AD8"/>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A97A12"/>
    <w:rPr>
      <w:rFonts w:ascii="Grota Sans" w:eastAsia="Times New Roman" w:hAnsi="Grota Sans"/>
      <w:sz w:val="24"/>
      <w:szCs w:val="24"/>
      <w:lang w:eastAsia="en-US"/>
    </w:rPr>
  </w:style>
  <w:style w:type="paragraph" w:customStyle="1" w:styleId="paragraph">
    <w:name w:val="paragraph"/>
    <w:basedOn w:val="Normal"/>
    <w:rsid w:val="00677507"/>
    <w:pPr>
      <w:spacing w:before="100" w:beforeAutospacing="1" w:after="100" w:afterAutospacing="1"/>
    </w:pPr>
    <w:rPr>
      <w:rFonts w:ascii="Times New Roman" w:hAnsi="Times New Roman"/>
      <w:lang w:val="en-US"/>
    </w:rPr>
  </w:style>
  <w:style w:type="character" w:customStyle="1" w:styleId="superscript">
    <w:name w:val="superscript"/>
    <w:basedOn w:val="DefaultParagraphFont"/>
    <w:rsid w:val="00707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6743394">
      <w:bodyDiv w:val="1"/>
      <w:marLeft w:val="0"/>
      <w:marRight w:val="0"/>
      <w:marTop w:val="0"/>
      <w:marBottom w:val="0"/>
      <w:divBdr>
        <w:top w:val="none" w:sz="0" w:space="0" w:color="auto"/>
        <w:left w:val="none" w:sz="0" w:space="0" w:color="auto"/>
        <w:bottom w:val="none" w:sz="0" w:space="0" w:color="auto"/>
        <w:right w:val="none" w:sz="0" w:space="0" w:color="auto"/>
      </w:divBdr>
      <w:divsChild>
        <w:div w:id="387000303">
          <w:marLeft w:val="0"/>
          <w:marRight w:val="0"/>
          <w:marTop w:val="0"/>
          <w:marBottom w:val="0"/>
          <w:divBdr>
            <w:top w:val="none" w:sz="0" w:space="0" w:color="auto"/>
            <w:left w:val="none" w:sz="0" w:space="0" w:color="auto"/>
            <w:bottom w:val="none" w:sz="0" w:space="0" w:color="auto"/>
            <w:right w:val="none" w:sz="0" w:space="0" w:color="auto"/>
          </w:divBdr>
        </w:div>
        <w:div w:id="466582780">
          <w:marLeft w:val="0"/>
          <w:marRight w:val="0"/>
          <w:marTop w:val="0"/>
          <w:marBottom w:val="0"/>
          <w:divBdr>
            <w:top w:val="none" w:sz="0" w:space="0" w:color="auto"/>
            <w:left w:val="none" w:sz="0" w:space="0" w:color="auto"/>
            <w:bottom w:val="none" w:sz="0" w:space="0" w:color="auto"/>
            <w:right w:val="none" w:sz="0" w:space="0" w:color="auto"/>
          </w:divBdr>
        </w:div>
        <w:div w:id="83575384">
          <w:marLeft w:val="0"/>
          <w:marRight w:val="0"/>
          <w:marTop w:val="0"/>
          <w:marBottom w:val="0"/>
          <w:divBdr>
            <w:top w:val="none" w:sz="0" w:space="0" w:color="auto"/>
            <w:left w:val="none" w:sz="0" w:space="0" w:color="auto"/>
            <w:bottom w:val="none" w:sz="0" w:space="0" w:color="auto"/>
            <w:right w:val="none" w:sz="0" w:space="0" w:color="auto"/>
          </w:divBdr>
        </w:div>
        <w:div w:id="913929042">
          <w:marLeft w:val="0"/>
          <w:marRight w:val="0"/>
          <w:marTop w:val="0"/>
          <w:marBottom w:val="0"/>
          <w:divBdr>
            <w:top w:val="none" w:sz="0" w:space="0" w:color="auto"/>
            <w:left w:val="none" w:sz="0" w:space="0" w:color="auto"/>
            <w:bottom w:val="none" w:sz="0" w:space="0" w:color="auto"/>
            <w:right w:val="none" w:sz="0" w:space="0" w:color="auto"/>
          </w:divBdr>
        </w:div>
      </w:divsChild>
    </w:div>
    <w:div w:id="1108891852">
      <w:bodyDiv w:val="1"/>
      <w:marLeft w:val="0"/>
      <w:marRight w:val="0"/>
      <w:marTop w:val="0"/>
      <w:marBottom w:val="0"/>
      <w:divBdr>
        <w:top w:val="none" w:sz="0" w:space="0" w:color="auto"/>
        <w:left w:val="none" w:sz="0" w:space="0" w:color="auto"/>
        <w:bottom w:val="none" w:sz="0" w:space="0" w:color="auto"/>
        <w:right w:val="none" w:sz="0" w:space="0" w:color="auto"/>
      </w:divBdr>
      <w:divsChild>
        <w:div w:id="1737122158">
          <w:marLeft w:val="0"/>
          <w:marRight w:val="0"/>
          <w:marTop w:val="0"/>
          <w:marBottom w:val="0"/>
          <w:divBdr>
            <w:top w:val="none" w:sz="0" w:space="0" w:color="auto"/>
            <w:left w:val="none" w:sz="0" w:space="0" w:color="auto"/>
            <w:bottom w:val="none" w:sz="0" w:space="0" w:color="auto"/>
            <w:right w:val="none" w:sz="0" w:space="0" w:color="auto"/>
          </w:divBdr>
        </w:div>
        <w:div w:id="1529374075">
          <w:marLeft w:val="0"/>
          <w:marRight w:val="0"/>
          <w:marTop w:val="0"/>
          <w:marBottom w:val="0"/>
          <w:divBdr>
            <w:top w:val="none" w:sz="0" w:space="0" w:color="auto"/>
            <w:left w:val="none" w:sz="0" w:space="0" w:color="auto"/>
            <w:bottom w:val="none" w:sz="0" w:space="0" w:color="auto"/>
            <w:right w:val="none" w:sz="0" w:space="0" w:color="auto"/>
          </w:divBdr>
        </w:div>
        <w:div w:id="1083531853">
          <w:marLeft w:val="0"/>
          <w:marRight w:val="0"/>
          <w:marTop w:val="0"/>
          <w:marBottom w:val="0"/>
          <w:divBdr>
            <w:top w:val="none" w:sz="0" w:space="0" w:color="auto"/>
            <w:left w:val="none" w:sz="0" w:space="0" w:color="auto"/>
            <w:bottom w:val="none" w:sz="0" w:space="0" w:color="auto"/>
            <w:right w:val="none" w:sz="0" w:space="0" w:color="auto"/>
          </w:divBdr>
        </w:div>
        <w:div w:id="1297294727">
          <w:marLeft w:val="0"/>
          <w:marRight w:val="0"/>
          <w:marTop w:val="0"/>
          <w:marBottom w:val="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hrw.org/news/2014/10/02/indonesia-aceh-s-new-islamic-laws-violate-rights" TargetMode="External"/><Relationship Id="rId1" Type="http://schemas.openxmlformats.org/officeDocument/2006/relationships/hyperlink" Target="http://indonesiaexpat.biz/news/corporal-punishment-stud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2.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0C0F7A-4BCD-4629-B7D0-768A18063C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1953</Words>
  <Characters>9944</Characters>
  <Application>Microsoft Office Word</Application>
  <DocSecurity>0</DocSecurity>
  <Lines>248</Lines>
  <Paragraphs>127</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James Boit</cp:lastModifiedBy>
  <cp:revision>2</cp:revision>
  <cp:lastPrinted>2014-10-30T23:06:00Z</cp:lastPrinted>
  <dcterms:created xsi:type="dcterms:W3CDTF">2024-07-16T10:46:00Z</dcterms:created>
  <dcterms:modified xsi:type="dcterms:W3CDTF">2024-07-16T10:46:00Z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