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CC33F" w14:textId="1AC262DA" w:rsidR="00D83FAA" w:rsidRPr="00502B7D" w:rsidRDefault="00D83FAA" w:rsidP="003878DD">
      <w:pPr>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European Union</w:t>
      </w:r>
      <w:r w:rsidR="00B85EBC">
        <w:rPr>
          <w:rFonts w:ascii="Times New Roman" w:eastAsia="Times New Roman" w:hAnsi="Times New Roman" w:cs="Times New Roman"/>
          <w:color w:val="17365D"/>
          <w:spacing w:val="5"/>
          <w:kern w:val="28"/>
          <w:sz w:val="50"/>
          <w:szCs w:val="50"/>
        </w:rPr>
        <w:t xml:space="preserve"> Agency for Fundamental Rights, </w:t>
      </w:r>
      <w:r w:rsidR="00F956F0" w:rsidRPr="00502B7D">
        <w:rPr>
          <w:rFonts w:ascii="Times New Roman" w:eastAsia="Times New Roman" w:hAnsi="Times New Roman" w:cs="Times New Roman"/>
          <w:color w:val="17365D"/>
          <w:spacing w:val="5"/>
          <w:kern w:val="28"/>
          <w:sz w:val="50"/>
          <w:szCs w:val="50"/>
        </w:rPr>
        <w:t>select</w:t>
      </w:r>
      <w:r w:rsidR="00F956F0">
        <w:rPr>
          <w:rFonts w:ascii="Times New Roman" w:eastAsia="Times New Roman" w:hAnsi="Times New Roman" w:cs="Times New Roman"/>
          <w:color w:val="17365D"/>
          <w:spacing w:val="5"/>
          <w:kern w:val="28"/>
          <w:sz w:val="50"/>
          <w:szCs w:val="50"/>
        </w:rPr>
        <w:t>ed</w:t>
      </w:r>
      <w:r w:rsidR="00F956F0" w:rsidRPr="00502B7D">
        <w:rPr>
          <w:rFonts w:ascii="Times New Roman" w:eastAsia="Times New Roman" w:hAnsi="Times New Roman" w:cs="Times New Roman"/>
          <w:color w:val="17365D"/>
          <w:spacing w:val="5"/>
          <w:kern w:val="28"/>
          <w:sz w:val="50"/>
          <w:szCs w:val="50"/>
        </w:rPr>
        <w:t xml:space="preserve"> </w:t>
      </w:r>
      <w:r w:rsidR="00F956F0">
        <w:rPr>
          <w:rFonts w:ascii="Times New Roman" w:eastAsia="Times New Roman" w:hAnsi="Times New Roman" w:cs="Times New Roman"/>
          <w:color w:val="17365D"/>
          <w:spacing w:val="5"/>
          <w:kern w:val="28"/>
          <w:sz w:val="50"/>
          <w:szCs w:val="50"/>
        </w:rPr>
        <w:t>passages on the</w:t>
      </w:r>
      <w:r w:rsidRPr="00502B7D">
        <w:rPr>
          <w:rFonts w:ascii="Times New Roman" w:eastAsia="Times New Roman" w:hAnsi="Times New Roman" w:cs="Times New Roman"/>
          <w:color w:val="17365D"/>
          <w:spacing w:val="5"/>
          <w:kern w:val="28"/>
          <w:sz w:val="50"/>
          <w:szCs w:val="50"/>
        </w:rPr>
        <w:t xml:space="preserve"> </w:t>
      </w:r>
      <w:r w:rsidR="00DE0651" w:rsidRPr="00502B7D">
        <w:rPr>
          <w:rFonts w:ascii="Times New Roman" w:eastAsia="Times New Roman" w:hAnsi="Times New Roman" w:cs="Times New Roman"/>
          <w:color w:val="17365D"/>
          <w:spacing w:val="5"/>
          <w:kern w:val="28"/>
          <w:sz w:val="50"/>
          <w:szCs w:val="50"/>
        </w:rPr>
        <w:t xml:space="preserve">rights of </w:t>
      </w:r>
      <w:r w:rsidR="00F956F0">
        <w:rPr>
          <w:rFonts w:ascii="Times New Roman" w:eastAsia="Times New Roman" w:hAnsi="Times New Roman" w:cs="Times New Roman"/>
          <w:color w:val="17365D"/>
          <w:spacing w:val="5"/>
          <w:kern w:val="28"/>
          <w:sz w:val="50"/>
          <w:szCs w:val="50"/>
        </w:rPr>
        <w:t xml:space="preserve">persons </w:t>
      </w:r>
      <w:r w:rsidR="00551C6F">
        <w:rPr>
          <w:rFonts w:ascii="Times New Roman" w:eastAsia="Times New Roman" w:hAnsi="Times New Roman" w:cs="Times New Roman"/>
          <w:color w:val="17365D"/>
          <w:spacing w:val="5"/>
          <w:kern w:val="28"/>
          <w:sz w:val="50"/>
          <w:szCs w:val="50"/>
        </w:rPr>
        <w:t>with disabilities</w:t>
      </w:r>
      <w:r w:rsidR="00DE0651" w:rsidRPr="00502B7D">
        <w:rPr>
          <w:rFonts w:ascii="Times New Roman" w:eastAsia="Times New Roman" w:hAnsi="Times New Roman" w:cs="Times New Roman"/>
          <w:color w:val="17365D"/>
          <w:spacing w:val="5"/>
          <w:kern w:val="28"/>
          <w:sz w:val="50"/>
          <w:szCs w:val="50"/>
        </w:rPr>
        <w:t xml:space="preserve"> </w:t>
      </w:r>
      <w:r w:rsidRPr="00502B7D">
        <w:rPr>
          <w:rFonts w:ascii="Times New Roman" w:eastAsia="Times New Roman" w:hAnsi="Times New Roman" w:cs="Times New Roman"/>
          <w:color w:val="17365D"/>
          <w:spacing w:val="5"/>
          <w:kern w:val="28"/>
          <w:sz w:val="50"/>
          <w:szCs w:val="50"/>
        </w:rPr>
        <w:t>from pub</w:t>
      </w:r>
      <w:r w:rsidR="00551C6F">
        <w:rPr>
          <w:rFonts w:ascii="Times New Roman" w:eastAsia="Times New Roman" w:hAnsi="Times New Roman" w:cs="Times New Roman"/>
          <w:color w:val="17365D"/>
          <w:spacing w:val="5"/>
          <w:kern w:val="28"/>
          <w:sz w:val="50"/>
          <w:szCs w:val="50"/>
        </w:rPr>
        <w:t xml:space="preserve">lished reports related to </w:t>
      </w:r>
      <w:r w:rsidR="00AB04F9">
        <w:rPr>
          <w:rFonts w:ascii="Times New Roman" w:eastAsia="Times New Roman" w:hAnsi="Times New Roman" w:cs="Times New Roman"/>
          <w:color w:val="17365D"/>
          <w:spacing w:val="5"/>
          <w:kern w:val="28"/>
          <w:sz w:val="50"/>
          <w:szCs w:val="50"/>
        </w:rPr>
        <w:t>Poland</w:t>
      </w:r>
    </w:p>
    <w:p w14:paraId="4AECC340" w14:textId="77777777" w:rsidR="00D83FAA" w:rsidRPr="00502B7D" w:rsidRDefault="00D83FAA" w:rsidP="003878DD">
      <w:pPr>
        <w:pBdr>
          <w:bottom w:val="single" w:sz="8" w:space="4" w:color="4F81BD"/>
        </w:pBdr>
        <w:spacing w:after="300"/>
        <w:contextualSpacing/>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fra.europa.eu</w:t>
      </w:r>
    </w:p>
    <w:p w14:paraId="4AECC341" w14:textId="5638E0B3" w:rsidR="00392DA1" w:rsidRPr="00502B7D" w:rsidRDefault="00392DA1" w:rsidP="003878DD"/>
    <w:p w14:paraId="4BB653B1" w14:textId="67294BB0" w:rsidR="00EA5BD7" w:rsidRPr="00502B7D" w:rsidRDefault="00D71E3D" w:rsidP="003878DD">
      <w:pPr>
        <w:rPr>
          <w:i/>
        </w:rPr>
      </w:pPr>
      <w:r>
        <w:rPr>
          <w:i/>
        </w:rPr>
        <w:t xml:space="preserve"> </w:t>
      </w:r>
      <w:r w:rsidR="00454CBC">
        <w:rPr>
          <w:i/>
        </w:rPr>
        <w:t>June 2018</w:t>
      </w:r>
      <w:r w:rsidR="00EA5BD7" w:rsidRPr="00502B7D">
        <w:rPr>
          <w:i/>
        </w:rPr>
        <w:t>, Vienna</w:t>
      </w:r>
    </w:p>
    <w:sdt>
      <w:sdtPr>
        <w:rPr>
          <w:rFonts w:asciiTheme="minorHAnsi" w:eastAsiaTheme="minorHAnsi" w:hAnsiTheme="minorHAnsi" w:cstheme="minorBidi"/>
          <w:color w:val="auto"/>
          <w:sz w:val="22"/>
          <w:szCs w:val="22"/>
          <w:lang w:val="en-IE"/>
        </w:rPr>
        <w:id w:val="1229737705"/>
        <w:docPartObj>
          <w:docPartGallery w:val="Table of Contents"/>
          <w:docPartUnique/>
        </w:docPartObj>
      </w:sdtPr>
      <w:sdtEndPr>
        <w:rPr>
          <w:b/>
          <w:bCs/>
          <w:noProof/>
        </w:rPr>
      </w:sdtEndPr>
      <w:sdtContent>
        <w:p w14:paraId="2B071B0D" w14:textId="7D64F20C" w:rsidR="00EA5BD7" w:rsidRPr="00F83F6A" w:rsidRDefault="00EA5BD7" w:rsidP="003878DD">
          <w:pPr>
            <w:pStyle w:val="TOCHeading"/>
            <w:rPr>
              <w:lang w:val="en-IE"/>
            </w:rPr>
          </w:pPr>
          <w:r w:rsidRPr="00F83F6A">
            <w:rPr>
              <w:lang w:val="en-IE"/>
            </w:rPr>
            <w:t>Contents</w:t>
          </w:r>
        </w:p>
        <w:p w14:paraId="66CF3AA1" w14:textId="77777777" w:rsidR="006F0D8F" w:rsidRDefault="00EA5BD7">
          <w:pPr>
            <w:pStyle w:val="TOC1"/>
            <w:rPr>
              <w:rFonts w:eastAsiaTheme="minorEastAsia"/>
              <w:noProof/>
              <w:lang w:eastAsia="en-IE"/>
            </w:rPr>
          </w:pPr>
          <w:r w:rsidRPr="00F83F6A">
            <w:fldChar w:fldCharType="begin"/>
          </w:r>
          <w:r w:rsidRPr="00502B7D">
            <w:instrText xml:space="preserve"> TOC \o "1-3" \h \z \u </w:instrText>
          </w:r>
          <w:r w:rsidRPr="00F83F6A">
            <w:fldChar w:fldCharType="separate"/>
          </w:r>
          <w:hyperlink w:anchor="_Toc518292257" w:history="1">
            <w:r w:rsidR="006F0D8F" w:rsidRPr="00384267">
              <w:rPr>
                <w:rStyle w:val="Hyperlink"/>
                <w:noProof/>
              </w:rPr>
              <w:t>1</w:t>
            </w:r>
            <w:r w:rsidR="006F0D8F">
              <w:rPr>
                <w:rFonts w:eastAsiaTheme="minorEastAsia"/>
                <w:noProof/>
                <w:lang w:eastAsia="en-IE"/>
              </w:rPr>
              <w:tab/>
            </w:r>
            <w:r w:rsidR="006F0D8F" w:rsidRPr="00384267">
              <w:rPr>
                <w:rStyle w:val="Hyperlink"/>
                <w:noProof/>
              </w:rPr>
              <w:t>Annual reports</w:t>
            </w:r>
            <w:r w:rsidR="006F0D8F">
              <w:rPr>
                <w:noProof/>
                <w:webHidden/>
              </w:rPr>
              <w:tab/>
            </w:r>
            <w:r w:rsidR="006F0D8F">
              <w:rPr>
                <w:noProof/>
                <w:webHidden/>
              </w:rPr>
              <w:fldChar w:fldCharType="begin"/>
            </w:r>
            <w:r w:rsidR="006F0D8F">
              <w:rPr>
                <w:noProof/>
                <w:webHidden/>
              </w:rPr>
              <w:instrText xml:space="preserve"> PAGEREF _Toc518292257 \h </w:instrText>
            </w:r>
            <w:r w:rsidR="006F0D8F">
              <w:rPr>
                <w:noProof/>
                <w:webHidden/>
              </w:rPr>
            </w:r>
            <w:r w:rsidR="006F0D8F">
              <w:rPr>
                <w:noProof/>
                <w:webHidden/>
              </w:rPr>
              <w:fldChar w:fldCharType="separate"/>
            </w:r>
            <w:r w:rsidR="006F0D8F">
              <w:rPr>
                <w:noProof/>
                <w:webHidden/>
              </w:rPr>
              <w:t>3</w:t>
            </w:r>
            <w:r w:rsidR="006F0D8F">
              <w:rPr>
                <w:noProof/>
                <w:webHidden/>
              </w:rPr>
              <w:fldChar w:fldCharType="end"/>
            </w:r>
          </w:hyperlink>
        </w:p>
        <w:p w14:paraId="37092F78" w14:textId="77777777" w:rsidR="006F0D8F" w:rsidRDefault="006F0D8F">
          <w:pPr>
            <w:pStyle w:val="TOC2"/>
            <w:tabs>
              <w:tab w:val="left" w:pos="880"/>
              <w:tab w:val="right" w:leader="dot" w:pos="9016"/>
            </w:tabs>
            <w:rPr>
              <w:rFonts w:eastAsiaTheme="minorEastAsia"/>
              <w:noProof/>
              <w:lang w:eastAsia="en-IE"/>
            </w:rPr>
          </w:pPr>
          <w:hyperlink w:anchor="_Toc518292258" w:history="1">
            <w:r w:rsidRPr="00384267">
              <w:rPr>
                <w:rStyle w:val="Hyperlink"/>
                <w:noProof/>
              </w:rPr>
              <w:t>1.1</w:t>
            </w:r>
            <w:r>
              <w:rPr>
                <w:rFonts w:eastAsiaTheme="minorEastAsia"/>
                <w:noProof/>
                <w:lang w:eastAsia="en-IE"/>
              </w:rPr>
              <w:tab/>
            </w:r>
            <w:r w:rsidRPr="00384267">
              <w:rPr>
                <w:rStyle w:val="Hyperlink"/>
                <w:noProof/>
              </w:rPr>
              <w:t>Fundamental Rights Report 2017</w:t>
            </w:r>
            <w:r>
              <w:rPr>
                <w:noProof/>
                <w:webHidden/>
              </w:rPr>
              <w:tab/>
            </w:r>
            <w:r>
              <w:rPr>
                <w:noProof/>
                <w:webHidden/>
              </w:rPr>
              <w:fldChar w:fldCharType="begin"/>
            </w:r>
            <w:r>
              <w:rPr>
                <w:noProof/>
                <w:webHidden/>
              </w:rPr>
              <w:instrText xml:space="preserve"> PAGEREF _Toc518292258 \h </w:instrText>
            </w:r>
            <w:r>
              <w:rPr>
                <w:noProof/>
                <w:webHidden/>
              </w:rPr>
            </w:r>
            <w:r>
              <w:rPr>
                <w:noProof/>
                <w:webHidden/>
              </w:rPr>
              <w:fldChar w:fldCharType="separate"/>
            </w:r>
            <w:r>
              <w:rPr>
                <w:noProof/>
                <w:webHidden/>
              </w:rPr>
              <w:t>3</w:t>
            </w:r>
            <w:r>
              <w:rPr>
                <w:noProof/>
                <w:webHidden/>
              </w:rPr>
              <w:fldChar w:fldCharType="end"/>
            </w:r>
          </w:hyperlink>
        </w:p>
        <w:p w14:paraId="766EE788" w14:textId="77777777" w:rsidR="006F0D8F" w:rsidRDefault="006F0D8F">
          <w:pPr>
            <w:pStyle w:val="TOC2"/>
            <w:tabs>
              <w:tab w:val="left" w:pos="880"/>
              <w:tab w:val="right" w:leader="dot" w:pos="9016"/>
            </w:tabs>
            <w:rPr>
              <w:rFonts w:eastAsiaTheme="minorEastAsia"/>
              <w:noProof/>
              <w:lang w:eastAsia="en-IE"/>
            </w:rPr>
          </w:pPr>
          <w:hyperlink w:anchor="_Toc518292259" w:history="1">
            <w:r w:rsidRPr="00384267">
              <w:rPr>
                <w:rStyle w:val="Hyperlink"/>
                <w:noProof/>
              </w:rPr>
              <w:t>1.2</w:t>
            </w:r>
            <w:r>
              <w:rPr>
                <w:rFonts w:eastAsiaTheme="minorEastAsia"/>
                <w:noProof/>
                <w:lang w:eastAsia="en-IE"/>
              </w:rPr>
              <w:tab/>
            </w:r>
            <w:r w:rsidRPr="00384267">
              <w:rPr>
                <w:rStyle w:val="Hyperlink"/>
                <w:noProof/>
              </w:rPr>
              <w:t>Fundamental Rights Report 2016</w:t>
            </w:r>
            <w:r>
              <w:rPr>
                <w:noProof/>
                <w:webHidden/>
              </w:rPr>
              <w:tab/>
            </w:r>
            <w:r>
              <w:rPr>
                <w:noProof/>
                <w:webHidden/>
              </w:rPr>
              <w:fldChar w:fldCharType="begin"/>
            </w:r>
            <w:r>
              <w:rPr>
                <w:noProof/>
                <w:webHidden/>
              </w:rPr>
              <w:instrText xml:space="preserve"> PAGEREF _Toc518292259 \h </w:instrText>
            </w:r>
            <w:r>
              <w:rPr>
                <w:noProof/>
                <w:webHidden/>
              </w:rPr>
            </w:r>
            <w:r>
              <w:rPr>
                <w:noProof/>
                <w:webHidden/>
              </w:rPr>
              <w:fldChar w:fldCharType="separate"/>
            </w:r>
            <w:r>
              <w:rPr>
                <w:noProof/>
                <w:webHidden/>
              </w:rPr>
              <w:t>3</w:t>
            </w:r>
            <w:r>
              <w:rPr>
                <w:noProof/>
                <w:webHidden/>
              </w:rPr>
              <w:fldChar w:fldCharType="end"/>
            </w:r>
          </w:hyperlink>
        </w:p>
        <w:p w14:paraId="17B53D8D" w14:textId="11CFF147" w:rsidR="006F0D8F" w:rsidRDefault="006F0D8F">
          <w:pPr>
            <w:pStyle w:val="TOC2"/>
            <w:tabs>
              <w:tab w:val="left" w:pos="880"/>
              <w:tab w:val="right" w:leader="dot" w:pos="9016"/>
            </w:tabs>
            <w:rPr>
              <w:rFonts w:eastAsiaTheme="minorEastAsia"/>
              <w:noProof/>
              <w:lang w:eastAsia="en-IE"/>
            </w:rPr>
          </w:pPr>
          <w:hyperlink w:anchor="_Toc518292260" w:history="1">
            <w:r w:rsidRPr="00384267">
              <w:rPr>
                <w:rStyle w:val="Hyperlink"/>
                <w:noProof/>
              </w:rPr>
              <w:t>1.3</w:t>
            </w:r>
            <w:r>
              <w:rPr>
                <w:rFonts w:eastAsiaTheme="minorEastAsia"/>
                <w:noProof/>
                <w:lang w:eastAsia="en-IE"/>
              </w:rPr>
              <w:tab/>
            </w:r>
            <w:r w:rsidRPr="00384267">
              <w:rPr>
                <w:rStyle w:val="Hyperlink"/>
                <w:noProof/>
              </w:rPr>
              <w:t>Fundamental rights: challenges and achievements in 2014 – Annual Report 2014 (June 2015)</w:t>
            </w:r>
            <w:r>
              <w:rPr>
                <w:noProof/>
                <w:webHidden/>
              </w:rPr>
              <w:tab/>
              <w:t>…………………………………………………………………………………………………………………………………………..</w:t>
            </w:r>
            <w:r>
              <w:rPr>
                <w:noProof/>
                <w:webHidden/>
              </w:rPr>
              <w:fldChar w:fldCharType="begin"/>
            </w:r>
            <w:r>
              <w:rPr>
                <w:noProof/>
                <w:webHidden/>
              </w:rPr>
              <w:instrText xml:space="preserve"> PAGEREF _Toc518292260 \h </w:instrText>
            </w:r>
            <w:r>
              <w:rPr>
                <w:noProof/>
                <w:webHidden/>
              </w:rPr>
            </w:r>
            <w:r>
              <w:rPr>
                <w:noProof/>
                <w:webHidden/>
              </w:rPr>
              <w:fldChar w:fldCharType="separate"/>
            </w:r>
            <w:r>
              <w:rPr>
                <w:noProof/>
                <w:webHidden/>
              </w:rPr>
              <w:t>4</w:t>
            </w:r>
            <w:r>
              <w:rPr>
                <w:noProof/>
                <w:webHidden/>
              </w:rPr>
              <w:fldChar w:fldCharType="end"/>
            </w:r>
          </w:hyperlink>
        </w:p>
        <w:p w14:paraId="1F07087E" w14:textId="77777777" w:rsidR="006F0D8F" w:rsidRDefault="006F0D8F">
          <w:pPr>
            <w:pStyle w:val="TOC1"/>
            <w:rPr>
              <w:rFonts w:eastAsiaTheme="minorEastAsia"/>
              <w:noProof/>
              <w:lang w:eastAsia="en-IE"/>
            </w:rPr>
          </w:pPr>
          <w:hyperlink w:anchor="_Toc518292261" w:history="1">
            <w:r w:rsidRPr="00384267">
              <w:rPr>
                <w:rStyle w:val="Hyperlink"/>
                <w:noProof/>
              </w:rPr>
              <w:t>2</w:t>
            </w:r>
            <w:r>
              <w:rPr>
                <w:rFonts w:eastAsiaTheme="minorEastAsia"/>
                <w:noProof/>
                <w:lang w:eastAsia="en-IE"/>
              </w:rPr>
              <w:tab/>
            </w:r>
            <w:r w:rsidRPr="00384267">
              <w:rPr>
                <w:rStyle w:val="Hyperlink"/>
                <w:noProof/>
              </w:rPr>
              <w:t>Thematic reports on the rights of persons with disabilities</w:t>
            </w:r>
            <w:r>
              <w:rPr>
                <w:noProof/>
                <w:webHidden/>
              </w:rPr>
              <w:tab/>
            </w:r>
            <w:r>
              <w:rPr>
                <w:noProof/>
                <w:webHidden/>
              </w:rPr>
              <w:fldChar w:fldCharType="begin"/>
            </w:r>
            <w:r>
              <w:rPr>
                <w:noProof/>
                <w:webHidden/>
              </w:rPr>
              <w:instrText xml:space="preserve"> PAGEREF _Toc518292261 \h </w:instrText>
            </w:r>
            <w:r>
              <w:rPr>
                <w:noProof/>
                <w:webHidden/>
              </w:rPr>
            </w:r>
            <w:r>
              <w:rPr>
                <w:noProof/>
                <w:webHidden/>
              </w:rPr>
              <w:fldChar w:fldCharType="separate"/>
            </w:r>
            <w:r>
              <w:rPr>
                <w:noProof/>
                <w:webHidden/>
              </w:rPr>
              <w:t>4</w:t>
            </w:r>
            <w:r>
              <w:rPr>
                <w:noProof/>
                <w:webHidden/>
              </w:rPr>
              <w:fldChar w:fldCharType="end"/>
            </w:r>
          </w:hyperlink>
        </w:p>
        <w:p w14:paraId="6BDD7B13" w14:textId="77777777" w:rsidR="006F0D8F" w:rsidRDefault="006F0D8F">
          <w:pPr>
            <w:pStyle w:val="TOC2"/>
            <w:tabs>
              <w:tab w:val="left" w:pos="880"/>
              <w:tab w:val="right" w:leader="dot" w:pos="9016"/>
            </w:tabs>
            <w:rPr>
              <w:rFonts w:eastAsiaTheme="minorEastAsia"/>
              <w:noProof/>
              <w:lang w:eastAsia="en-IE"/>
            </w:rPr>
          </w:pPr>
          <w:hyperlink w:anchor="_Toc518292262" w:history="1">
            <w:r w:rsidRPr="00384267">
              <w:rPr>
                <w:rStyle w:val="Hyperlink"/>
                <w:noProof/>
              </w:rPr>
              <w:t>2.1</w:t>
            </w:r>
            <w:r>
              <w:rPr>
                <w:rFonts w:eastAsiaTheme="minorEastAsia"/>
                <w:noProof/>
                <w:lang w:eastAsia="en-IE"/>
              </w:rPr>
              <w:tab/>
            </w:r>
            <w:r w:rsidRPr="00384267">
              <w:rPr>
                <w:rStyle w:val="Hyperlink"/>
                <w:noProof/>
              </w:rPr>
              <w:t>From institutions to community living - Part I: commitments and structures</w:t>
            </w:r>
            <w:r>
              <w:rPr>
                <w:noProof/>
                <w:webHidden/>
              </w:rPr>
              <w:tab/>
            </w:r>
            <w:r>
              <w:rPr>
                <w:noProof/>
                <w:webHidden/>
              </w:rPr>
              <w:fldChar w:fldCharType="begin"/>
            </w:r>
            <w:r>
              <w:rPr>
                <w:noProof/>
                <w:webHidden/>
              </w:rPr>
              <w:instrText xml:space="preserve"> PAGEREF _Toc518292262 \h </w:instrText>
            </w:r>
            <w:r>
              <w:rPr>
                <w:noProof/>
                <w:webHidden/>
              </w:rPr>
            </w:r>
            <w:r>
              <w:rPr>
                <w:noProof/>
                <w:webHidden/>
              </w:rPr>
              <w:fldChar w:fldCharType="separate"/>
            </w:r>
            <w:r>
              <w:rPr>
                <w:noProof/>
                <w:webHidden/>
              </w:rPr>
              <w:t>4</w:t>
            </w:r>
            <w:r>
              <w:rPr>
                <w:noProof/>
                <w:webHidden/>
              </w:rPr>
              <w:fldChar w:fldCharType="end"/>
            </w:r>
          </w:hyperlink>
        </w:p>
        <w:p w14:paraId="2AC775AD" w14:textId="77777777" w:rsidR="006F0D8F" w:rsidRDefault="006F0D8F">
          <w:pPr>
            <w:pStyle w:val="TOC2"/>
            <w:tabs>
              <w:tab w:val="left" w:pos="880"/>
              <w:tab w:val="right" w:leader="dot" w:pos="9016"/>
            </w:tabs>
            <w:rPr>
              <w:rFonts w:eastAsiaTheme="minorEastAsia"/>
              <w:noProof/>
              <w:lang w:eastAsia="en-IE"/>
            </w:rPr>
          </w:pPr>
          <w:hyperlink w:anchor="_Toc518292263" w:history="1">
            <w:r w:rsidRPr="00384267">
              <w:rPr>
                <w:rStyle w:val="Hyperlink"/>
                <w:noProof/>
              </w:rPr>
              <w:t>2.2</w:t>
            </w:r>
            <w:r>
              <w:rPr>
                <w:rFonts w:eastAsiaTheme="minorEastAsia"/>
                <w:noProof/>
                <w:lang w:eastAsia="en-IE"/>
              </w:rPr>
              <w:tab/>
            </w:r>
            <w:r w:rsidRPr="00384267">
              <w:rPr>
                <w:rStyle w:val="Hyperlink"/>
                <w:noProof/>
              </w:rPr>
              <w:t>From institutions to community living - Part II: funding and budgeting</w:t>
            </w:r>
            <w:r>
              <w:rPr>
                <w:noProof/>
                <w:webHidden/>
              </w:rPr>
              <w:tab/>
            </w:r>
            <w:r>
              <w:rPr>
                <w:noProof/>
                <w:webHidden/>
              </w:rPr>
              <w:fldChar w:fldCharType="begin"/>
            </w:r>
            <w:r>
              <w:rPr>
                <w:noProof/>
                <w:webHidden/>
              </w:rPr>
              <w:instrText xml:space="preserve"> PAGEREF _Toc518292263 \h </w:instrText>
            </w:r>
            <w:r>
              <w:rPr>
                <w:noProof/>
                <w:webHidden/>
              </w:rPr>
            </w:r>
            <w:r>
              <w:rPr>
                <w:noProof/>
                <w:webHidden/>
              </w:rPr>
              <w:fldChar w:fldCharType="separate"/>
            </w:r>
            <w:r>
              <w:rPr>
                <w:noProof/>
                <w:webHidden/>
              </w:rPr>
              <w:t>5</w:t>
            </w:r>
            <w:r>
              <w:rPr>
                <w:noProof/>
                <w:webHidden/>
              </w:rPr>
              <w:fldChar w:fldCharType="end"/>
            </w:r>
          </w:hyperlink>
        </w:p>
        <w:p w14:paraId="40FA255F" w14:textId="77777777" w:rsidR="006F0D8F" w:rsidRDefault="006F0D8F">
          <w:pPr>
            <w:pStyle w:val="TOC2"/>
            <w:tabs>
              <w:tab w:val="left" w:pos="880"/>
              <w:tab w:val="right" w:leader="dot" w:pos="9016"/>
            </w:tabs>
            <w:rPr>
              <w:rFonts w:eastAsiaTheme="minorEastAsia"/>
              <w:noProof/>
              <w:lang w:eastAsia="en-IE"/>
            </w:rPr>
          </w:pPr>
          <w:hyperlink w:anchor="_Toc518292264" w:history="1">
            <w:r w:rsidRPr="00384267">
              <w:rPr>
                <w:rStyle w:val="Hyperlink"/>
                <w:noProof/>
              </w:rPr>
              <w:t>2.3</w:t>
            </w:r>
            <w:r>
              <w:rPr>
                <w:rFonts w:eastAsiaTheme="minorEastAsia"/>
                <w:noProof/>
                <w:lang w:eastAsia="en-IE"/>
              </w:rPr>
              <w:tab/>
            </w:r>
            <w:r w:rsidRPr="00384267">
              <w:rPr>
                <w:rStyle w:val="Hyperlink"/>
                <w:noProof/>
              </w:rPr>
              <w:t>From institutions to community living - Part III: outcomes for persons with disabilities</w:t>
            </w:r>
            <w:r>
              <w:rPr>
                <w:noProof/>
                <w:webHidden/>
              </w:rPr>
              <w:tab/>
            </w:r>
            <w:r>
              <w:rPr>
                <w:noProof/>
                <w:webHidden/>
              </w:rPr>
              <w:fldChar w:fldCharType="begin"/>
            </w:r>
            <w:r>
              <w:rPr>
                <w:noProof/>
                <w:webHidden/>
              </w:rPr>
              <w:instrText xml:space="preserve"> PAGEREF _Toc518292264 \h </w:instrText>
            </w:r>
            <w:r>
              <w:rPr>
                <w:noProof/>
                <w:webHidden/>
              </w:rPr>
            </w:r>
            <w:r>
              <w:rPr>
                <w:noProof/>
                <w:webHidden/>
              </w:rPr>
              <w:fldChar w:fldCharType="separate"/>
            </w:r>
            <w:r>
              <w:rPr>
                <w:noProof/>
                <w:webHidden/>
              </w:rPr>
              <w:t>5</w:t>
            </w:r>
            <w:r>
              <w:rPr>
                <w:noProof/>
                <w:webHidden/>
              </w:rPr>
              <w:fldChar w:fldCharType="end"/>
            </w:r>
          </w:hyperlink>
        </w:p>
        <w:p w14:paraId="577877D7" w14:textId="77777777" w:rsidR="006F0D8F" w:rsidRDefault="006F0D8F">
          <w:pPr>
            <w:pStyle w:val="TOC2"/>
            <w:tabs>
              <w:tab w:val="left" w:pos="880"/>
              <w:tab w:val="right" w:leader="dot" w:pos="9016"/>
            </w:tabs>
            <w:rPr>
              <w:rFonts w:eastAsiaTheme="minorEastAsia"/>
              <w:noProof/>
              <w:lang w:eastAsia="en-IE"/>
            </w:rPr>
          </w:pPr>
          <w:hyperlink w:anchor="_Toc518292265" w:history="1">
            <w:r w:rsidRPr="00384267">
              <w:rPr>
                <w:rStyle w:val="Hyperlink"/>
                <w:noProof/>
              </w:rPr>
              <w:t>2.4</w:t>
            </w:r>
            <w:r>
              <w:rPr>
                <w:rFonts w:eastAsiaTheme="minorEastAsia"/>
                <w:noProof/>
                <w:lang w:eastAsia="en-IE"/>
              </w:rPr>
              <w:tab/>
            </w:r>
            <w:r w:rsidRPr="00384267">
              <w:rPr>
                <w:rStyle w:val="Hyperlink"/>
                <w:noProof/>
              </w:rPr>
              <w:t>Violence against children with disabilities: legislation, policies and programmes in the EU report (2015)</w:t>
            </w:r>
            <w:r>
              <w:rPr>
                <w:noProof/>
                <w:webHidden/>
              </w:rPr>
              <w:tab/>
            </w:r>
            <w:r>
              <w:rPr>
                <w:noProof/>
                <w:webHidden/>
              </w:rPr>
              <w:fldChar w:fldCharType="begin"/>
            </w:r>
            <w:r>
              <w:rPr>
                <w:noProof/>
                <w:webHidden/>
              </w:rPr>
              <w:instrText xml:space="preserve"> PAGEREF _Toc518292265 \h </w:instrText>
            </w:r>
            <w:r>
              <w:rPr>
                <w:noProof/>
                <w:webHidden/>
              </w:rPr>
            </w:r>
            <w:r>
              <w:rPr>
                <w:noProof/>
                <w:webHidden/>
              </w:rPr>
              <w:fldChar w:fldCharType="separate"/>
            </w:r>
            <w:r>
              <w:rPr>
                <w:noProof/>
                <w:webHidden/>
              </w:rPr>
              <w:t>6</w:t>
            </w:r>
            <w:r>
              <w:rPr>
                <w:noProof/>
                <w:webHidden/>
              </w:rPr>
              <w:fldChar w:fldCharType="end"/>
            </w:r>
          </w:hyperlink>
        </w:p>
        <w:p w14:paraId="439A5423" w14:textId="77777777" w:rsidR="006F0D8F" w:rsidRDefault="006F0D8F">
          <w:pPr>
            <w:pStyle w:val="TOC2"/>
            <w:tabs>
              <w:tab w:val="left" w:pos="880"/>
              <w:tab w:val="right" w:leader="dot" w:pos="9016"/>
            </w:tabs>
            <w:rPr>
              <w:rFonts w:eastAsiaTheme="minorEastAsia"/>
              <w:noProof/>
              <w:lang w:eastAsia="en-IE"/>
            </w:rPr>
          </w:pPr>
          <w:hyperlink w:anchor="_Toc518292266" w:history="1">
            <w:r w:rsidRPr="00384267">
              <w:rPr>
                <w:rStyle w:val="Hyperlink"/>
                <w:noProof/>
              </w:rPr>
              <w:t>2.5</w:t>
            </w:r>
            <w:r>
              <w:rPr>
                <w:rFonts w:eastAsiaTheme="minorEastAsia"/>
                <w:noProof/>
                <w:lang w:eastAsia="en-IE"/>
              </w:rPr>
              <w:tab/>
            </w:r>
            <w:r w:rsidRPr="00384267">
              <w:rPr>
                <w:rStyle w:val="Hyperlink"/>
                <w:noProof/>
              </w:rPr>
              <w:t>Implementing the UN CRPD: An overview of legal reforms in EU Member States (2015)</w:t>
            </w:r>
            <w:r>
              <w:rPr>
                <w:noProof/>
                <w:webHidden/>
              </w:rPr>
              <w:tab/>
            </w:r>
            <w:r>
              <w:rPr>
                <w:noProof/>
                <w:webHidden/>
              </w:rPr>
              <w:fldChar w:fldCharType="begin"/>
            </w:r>
            <w:r>
              <w:rPr>
                <w:noProof/>
                <w:webHidden/>
              </w:rPr>
              <w:instrText xml:space="preserve"> PAGEREF _Toc518292266 \h </w:instrText>
            </w:r>
            <w:r>
              <w:rPr>
                <w:noProof/>
                <w:webHidden/>
              </w:rPr>
            </w:r>
            <w:r>
              <w:rPr>
                <w:noProof/>
                <w:webHidden/>
              </w:rPr>
              <w:fldChar w:fldCharType="separate"/>
            </w:r>
            <w:r>
              <w:rPr>
                <w:noProof/>
                <w:webHidden/>
              </w:rPr>
              <w:t>9</w:t>
            </w:r>
            <w:r>
              <w:rPr>
                <w:noProof/>
                <w:webHidden/>
              </w:rPr>
              <w:fldChar w:fldCharType="end"/>
            </w:r>
          </w:hyperlink>
        </w:p>
        <w:p w14:paraId="129AA52C" w14:textId="7894FAAF" w:rsidR="006F0D8F" w:rsidRDefault="006F0D8F">
          <w:pPr>
            <w:pStyle w:val="TOC2"/>
            <w:tabs>
              <w:tab w:val="left" w:pos="880"/>
              <w:tab w:val="right" w:leader="dot" w:pos="9016"/>
            </w:tabs>
            <w:rPr>
              <w:rFonts w:eastAsiaTheme="minorEastAsia"/>
              <w:noProof/>
              <w:lang w:eastAsia="en-IE"/>
            </w:rPr>
          </w:pPr>
          <w:hyperlink w:anchor="_Toc518292267" w:history="1">
            <w:r w:rsidRPr="00384267">
              <w:rPr>
                <w:rStyle w:val="Hyperlink"/>
                <w:noProof/>
              </w:rPr>
              <w:t>2.6</w:t>
            </w:r>
            <w:r>
              <w:rPr>
                <w:rFonts w:eastAsiaTheme="minorEastAsia"/>
                <w:noProof/>
                <w:lang w:eastAsia="en-IE"/>
              </w:rPr>
              <w:tab/>
            </w:r>
            <w:r w:rsidRPr="00384267">
              <w:rPr>
                <w:rStyle w:val="Hyperlink"/>
                <w:noProof/>
              </w:rPr>
              <w:t>The right to political participation for persons with disabilities: human rights indicators (2014)</w:t>
            </w:r>
            <w:r>
              <w:rPr>
                <w:rStyle w:val="Hyperlink"/>
                <w:noProof/>
              </w:rPr>
              <w:t>……………..</w:t>
            </w:r>
            <w:r>
              <w:rPr>
                <w:noProof/>
                <w:webHidden/>
              </w:rPr>
              <w:tab/>
            </w:r>
            <w:r>
              <w:rPr>
                <w:noProof/>
                <w:webHidden/>
              </w:rPr>
              <w:fldChar w:fldCharType="begin"/>
            </w:r>
            <w:r>
              <w:rPr>
                <w:noProof/>
                <w:webHidden/>
              </w:rPr>
              <w:instrText xml:space="preserve"> PAGEREF _Toc518292267 \h </w:instrText>
            </w:r>
            <w:r>
              <w:rPr>
                <w:noProof/>
                <w:webHidden/>
              </w:rPr>
            </w:r>
            <w:r>
              <w:rPr>
                <w:noProof/>
                <w:webHidden/>
              </w:rPr>
              <w:fldChar w:fldCharType="separate"/>
            </w:r>
            <w:r>
              <w:rPr>
                <w:noProof/>
                <w:webHidden/>
              </w:rPr>
              <w:t>10</w:t>
            </w:r>
            <w:r>
              <w:rPr>
                <w:noProof/>
                <w:webHidden/>
              </w:rPr>
              <w:fldChar w:fldCharType="end"/>
            </w:r>
          </w:hyperlink>
        </w:p>
        <w:p w14:paraId="51BF5662" w14:textId="77777777" w:rsidR="006F0D8F" w:rsidRDefault="006F0D8F">
          <w:pPr>
            <w:pStyle w:val="TOC2"/>
            <w:tabs>
              <w:tab w:val="left" w:pos="880"/>
              <w:tab w:val="right" w:leader="dot" w:pos="9016"/>
            </w:tabs>
            <w:rPr>
              <w:rFonts w:eastAsiaTheme="minorEastAsia"/>
              <w:noProof/>
              <w:lang w:eastAsia="en-IE"/>
            </w:rPr>
          </w:pPr>
          <w:hyperlink w:anchor="_Toc518292268" w:history="1">
            <w:r w:rsidRPr="00384267">
              <w:rPr>
                <w:rStyle w:val="Hyperlink"/>
                <w:noProof/>
              </w:rPr>
              <w:t>2.7</w:t>
            </w:r>
            <w:r>
              <w:rPr>
                <w:rFonts w:eastAsiaTheme="minorEastAsia"/>
                <w:noProof/>
                <w:lang w:eastAsia="en-IE"/>
              </w:rPr>
              <w:tab/>
            </w:r>
            <w:r w:rsidRPr="00384267">
              <w:rPr>
                <w:rStyle w:val="Hyperlink"/>
                <w:noProof/>
              </w:rPr>
              <w:t>Legal capacity of persons with intellectual disabilities and persons with mental health problems (2013)</w:t>
            </w:r>
            <w:r>
              <w:rPr>
                <w:noProof/>
                <w:webHidden/>
              </w:rPr>
              <w:tab/>
            </w:r>
            <w:r>
              <w:rPr>
                <w:noProof/>
                <w:webHidden/>
              </w:rPr>
              <w:fldChar w:fldCharType="begin"/>
            </w:r>
            <w:r>
              <w:rPr>
                <w:noProof/>
                <w:webHidden/>
              </w:rPr>
              <w:instrText xml:space="preserve"> PAGEREF _Toc518292268 \h </w:instrText>
            </w:r>
            <w:r>
              <w:rPr>
                <w:noProof/>
                <w:webHidden/>
              </w:rPr>
            </w:r>
            <w:r>
              <w:rPr>
                <w:noProof/>
                <w:webHidden/>
              </w:rPr>
              <w:fldChar w:fldCharType="separate"/>
            </w:r>
            <w:r>
              <w:rPr>
                <w:noProof/>
                <w:webHidden/>
              </w:rPr>
              <w:t>12</w:t>
            </w:r>
            <w:r>
              <w:rPr>
                <w:noProof/>
                <w:webHidden/>
              </w:rPr>
              <w:fldChar w:fldCharType="end"/>
            </w:r>
          </w:hyperlink>
        </w:p>
        <w:p w14:paraId="3461DFCB" w14:textId="7530E1B0" w:rsidR="006F0D8F" w:rsidRDefault="006F0D8F">
          <w:pPr>
            <w:pStyle w:val="TOC2"/>
            <w:tabs>
              <w:tab w:val="left" w:pos="880"/>
              <w:tab w:val="right" w:leader="dot" w:pos="9016"/>
            </w:tabs>
            <w:rPr>
              <w:rFonts w:eastAsiaTheme="minorEastAsia"/>
              <w:noProof/>
              <w:lang w:eastAsia="en-IE"/>
            </w:rPr>
          </w:pPr>
          <w:hyperlink w:anchor="_Toc518292269" w:history="1">
            <w:r w:rsidRPr="00384267">
              <w:rPr>
                <w:rStyle w:val="Hyperlink"/>
                <w:noProof/>
              </w:rPr>
              <w:t>2.8</w:t>
            </w:r>
            <w:r>
              <w:rPr>
                <w:rFonts w:eastAsiaTheme="minorEastAsia"/>
                <w:noProof/>
                <w:lang w:eastAsia="en-IE"/>
              </w:rPr>
              <w:tab/>
            </w:r>
            <w:r w:rsidRPr="00384267">
              <w:rPr>
                <w:rStyle w:val="Hyperlink"/>
                <w:noProof/>
              </w:rPr>
              <w:t>Involuntary placement and involuntary treatment of persons with mental health problems (2012)</w:t>
            </w:r>
            <w:r>
              <w:rPr>
                <w:noProof/>
                <w:webHidden/>
              </w:rPr>
              <w:tab/>
              <w:t>…………………………………………………………………………………………………………………………………………</w:t>
            </w:r>
            <w:r>
              <w:rPr>
                <w:noProof/>
                <w:webHidden/>
              </w:rPr>
              <w:fldChar w:fldCharType="begin"/>
            </w:r>
            <w:r>
              <w:rPr>
                <w:noProof/>
                <w:webHidden/>
              </w:rPr>
              <w:instrText xml:space="preserve"> PAGEREF _Toc518292269 \h </w:instrText>
            </w:r>
            <w:r>
              <w:rPr>
                <w:noProof/>
                <w:webHidden/>
              </w:rPr>
            </w:r>
            <w:r>
              <w:rPr>
                <w:noProof/>
                <w:webHidden/>
              </w:rPr>
              <w:fldChar w:fldCharType="separate"/>
            </w:r>
            <w:r>
              <w:rPr>
                <w:noProof/>
                <w:webHidden/>
              </w:rPr>
              <w:t>14</w:t>
            </w:r>
            <w:r>
              <w:rPr>
                <w:noProof/>
                <w:webHidden/>
              </w:rPr>
              <w:fldChar w:fldCharType="end"/>
            </w:r>
          </w:hyperlink>
        </w:p>
        <w:p w14:paraId="29D341B2" w14:textId="79E206D2" w:rsidR="006F0D8F" w:rsidRDefault="006F0D8F">
          <w:pPr>
            <w:pStyle w:val="TOC2"/>
            <w:tabs>
              <w:tab w:val="left" w:pos="880"/>
              <w:tab w:val="right" w:leader="dot" w:pos="9016"/>
            </w:tabs>
            <w:rPr>
              <w:rFonts w:eastAsiaTheme="minorEastAsia"/>
              <w:noProof/>
              <w:lang w:eastAsia="en-IE"/>
            </w:rPr>
          </w:pPr>
          <w:hyperlink w:anchor="_Toc518292270" w:history="1">
            <w:r w:rsidRPr="00384267">
              <w:rPr>
                <w:rStyle w:val="Hyperlink"/>
                <w:noProof/>
              </w:rPr>
              <w:t>2.9</w:t>
            </w:r>
            <w:r>
              <w:rPr>
                <w:rFonts w:eastAsiaTheme="minorEastAsia"/>
                <w:noProof/>
                <w:lang w:eastAsia="en-IE"/>
              </w:rPr>
              <w:tab/>
            </w:r>
            <w:r w:rsidRPr="00384267">
              <w:rPr>
                <w:rStyle w:val="Hyperlink"/>
                <w:noProof/>
              </w:rPr>
              <w:t>The legal protection of persons with mental health problems under non-discrimination law (2011)</w:t>
            </w:r>
            <w:r>
              <w:rPr>
                <w:rStyle w:val="Hyperlink"/>
                <w:noProof/>
              </w:rPr>
              <w:t>…………..</w:t>
            </w:r>
            <w:bookmarkStart w:id="0" w:name="_GoBack"/>
            <w:bookmarkEnd w:id="0"/>
            <w:r>
              <w:rPr>
                <w:noProof/>
                <w:webHidden/>
              </w:rPr>
              <w:tab/>
            </w:r>
            <w:r>
              <w:rPr>
                <w:noProof/>
                <w:webHidden/>
              </w:rPr>
              <w:fldChar w:fldCharType="begin"/>
            </w:r>
            <w:r>
              <w:rPr>
                <w:noProof/>
                <w:webHidden/>
              </w:rPr>
              <w:instrText xml:space="preserve"> PAGEREF _Toc518292270 \h </w:instrText>
            </w:r>
            <w:r>
              <w:rPr>
                <w:noProof/>
                <w:webHidden/>
              </w:rPr>
            </w:r>
            <w:r>
              <w:rPr>
                <w:noProof/>
                <w:webHidden/>
              </w:rPr>
              <w:fldChar w:fldCharType="separate"/>
            </w:r>
            <w:r>
              <w:rPr>
                <w:noProof/>
                <w:webHidden/>
              </w:rPr>
              <w:t>14</w:t>
            </w:r>
            <w:r>
              <w:rPr>
                <w:noProof/>
                <w:webHidden/>
              </w:rPr>
              <w:fldChar w:fldCharType="end"/>
            </w:r>
          </w:hyperlink>
        </w:p>
        <w:p w14:paraId="288C0010" w14:textId="77777777" w:rsidR="006F0D8F" w:rsidRDefault="006F0D8F">
          <w:pPr>
            <w:pStyle w:val="TOC2"/>
            <w:tabs>
              <w:tab w:val="left" w:pos="880"/>
              <w:tab w:val="right" w:leader="dot" w:pos="9016"/>
            </w:tabs>
            <w:rPr>
              <w:rFonts w:eastAsiaTheme="minorEastAsia"/>
              <w:noProof/>
              <w:lang w:eastAsia="en-IE"/>
            </w:rPr>
          </w:pPr>
          <w:hyperlink w:anchor="_Toc518292271" w:history="1">
            <w:r w:rsidRPr="00384267">
              <w:rPr>
                <w:rStyle w:val="Hyperlink"/>
                <w:noProof/>
              </w:rPr>
              <w:t>2.10</w:t>
            </w:r>
            <w:r>
              <w:rPr>
                <w:rFonts w:eastAsiaTheme="minorEastAsia"/>
                <w:noProof/>
                <w:lang w:eastAsia="en-IE"/>
              </w:rPr>
              <w:tab/>
            </w:r>
            <w:r w:rsidRPr="00384267">
              <w:rPr>
                <w:rStyle w:val="Hyperlink"/>
                <w:noProof/>
              </w:rPr>
              <w:t>The right to political participation of persons with mental health problems and persons with intellectual disabilities (2010)</w:t>
            </w:r>
            <w:r>
              <w:rPr>
                <w:noProof/>
                <w:webHidden/>
              </w:rPr>
              <w:tab/>
            </w:r>
            <w:r>
              <w:rPr>
                <w:noProof/>
                <w:webHidden/>
              </w:rPr>
              <w:fldChar w:fldCharType="begin"/>
            </w:r>
            <w:r>
              <w:rPr>
                <w:noProof/>
                <w:webHidden/>
              </w:rPr>
              <w:instrText xml:space="preserve"> PAGEREF _Toc518292271 \h </w:instrText>
            </w:r>
            <w:r>
              <w:rPr>
                <w:noProof/>
                <w:webHidden/>
              </w:rPr>
            </w:r>
            <w:r>
              <w:rPr>
                <w:noProof/>
                <w:webHidden/>
              </w:rPr>
              <w:fldChar w:fldCharType="separate"/>
            </w:r>
            <w:r>
              <w:rPr>
                <w:noProof/>
                <w:webHidden/>
              </w:rPr>
              <w:t>15</w:t>
            </w:r>
            <w:r>
              <w:rPr>
                <w:noProof/>
                <w:webHidden/>
              </w:rPr>
              <w:fldChar w:fldCharType="end"/>
            </w:r>
          </w:hyperlink>
        </w:p>
        <w:p w14:paraId="1DEB3AB5" w14:textId="77777777" w:rsidR="006F0D8F" w:rsidRDefault="006F0D8F">
          <w:pPr>
            <w:pStyle w:val="TOC1"/>
            <w:rPr>
              <w:rFonts w:eastAsiaTheme="minorEastAsia"/>
              <w:noProof/>
              <w:lang w:eastAsia="en-IE"/>
            </w:rPr>
          </w:pPr>
          <w:hyperlink w:anchor="_Toc518292272" w:history="1">
            <w:r w:rsidRPr="00384267">
              <w:rPr>
                <w:rStyle w:val="Hyperlink"/>
                <w:noProof/>
              </w:rPr>
              <w:t>3</w:t>
            </w:r>
            <w:r>
              <w:rPr>
                <w:rFonts w:eastAsiaTheme="minorEastAsia"/>
                <w:noProof/>
                <w:lang w:eastAsia="en-IE"/>
              </w:rPr>
              <w:tab/>
            </w:r>
            <w:r w:rsidRPr="00384267">
              <w:rPr>
                <w:rStyle w:val="Hyperlink"/>
                <w:noProof/>
              </w:rPr>
              <w:t>Other reports related to disability</w:t>
            </w:r>
            <w:r>
              <w:rPr>
                <w:noProof/>
                <w:webHidden/>
              </w:rPr>
              <w:tab/>
            </w:r>
            <w:r>
              <w:rPr>
                <w:noProof/>
                <w:webHidden/>
              </w:rPr>
              <w:fldChar w:fldCharType="begin"/>
            </w:r>
            <w:r>
              <w:rPr>
                <w:noProof/>
                <w:webHidden/>
              </w:rPr>
              <w:instrText xml:space="preserve"> PAGEREF _Toc518292272 \h </w:instrText>
            </w:r>
            <w:r>
              <w:rPr>
                <w:noProof/>
                <w:webHidden/>
              </w:rPr>
            </w:r>
            <w:r>
              <w:rPr>
                <w:noProof/>
                <w:webHidden/>
              </w:rPr>
              <w:fldChar w:fldCharType="separate"/>
            </w:r>
            <w:r>
              <w:rPr>
                <w:noProof/>
                <w:webHidden/>
              </w:rPr>
              <w:t>15</w:t>
            </w:r>
            <w:r>
              <w:rPr>
                <w:noProof/>
                <w:webHidden/>
              </w:rPr>
              <w:fldChar w:fldCharType="end"/>
            </w:r>
          </w:hyperlink>
        </w:p>
        <w:p w14:paraId="643803E0" w14:textId="77777777" w:rsidR="006F0D8F" w:rsidRDefault="006F0D8F">
          <w:pPr>
            <w:pStyle w:val="TOC2"/>
            <w:tabs>
              <w:tab w:val="left" w:pos="880"/>
              <w:tab w:val="right" w:leader="dot" w:pos="9016"/>
            </w:tabs>
            <w:rPr>
              <w:rFonts w:eastAsiaTheme="minorEastAsia"/>
              <w:noProof/>
              <w:lang w:eastAsia="en-IE"/>
            </w:rPr>
          </w:pPr>
          <w:hyperlink w:anchor="_Toc518292273" w:history="1">
            <w:r w:rsidRPr="00384267">
              <w:rPr>
                <w:rStyle w:val="Hyperlink"/>
                <w:noProof/>
              </w:rPr>
              <w:t>3.1</w:t>
            </w:r>
            <w:r>
              <w:rPr>
                <w:rFonts w:eastAsiaTheme="minorEastAsia"/>
                <w:noProof/>
                <w:lang w:eastAsia="en-IE"/>
              </w:rPr>
              <w:tab/>
            </w:r>
            <w:r w:rsidRPr="00384267">
              <w:rPr>
                <w:rStyle w:val="Hyperlink"/>
                <w:noProof/>
              </w:rPr>
              <w:t>Rights of suspected and accused persons across the EU: translation, interpretation and information (2016)</w:t>
            </w:r>
            <w:r>
              <w:rPr>
                <w:noProof/>
                <w:webHidden/>
              </w:rPr>
              <w:tab/>
            </w:r>
            <w:r>
              <w:rPr>
                <w:noProof/>
                <w:webHidden/>
              </w:rPr>
              <w:fldChar w:fldCharType="begin"/>
            </w:r>
            <w:r>
              <w:rPr>
                <w:noProof/>
                <w:webHidden/>
              </w:rPr>
              <w:instrText xml:space="preserve"> PAGEREF _Toc518292273 \h </w:instrText>
            </w:r>
            <w:r>
              <w:rPr>
                <w:noProof/>
                <w:webHidden/>
              </w:rPr>
            </w:r>
            <w:r>
              <w:rPr>
                <w:noProof/>
                <w:webHidden/>
              </w:rPr>
              <w:fldChar w:fldCharType="separate"/>
            </w:r>
            <w:r>
              <w:rPr>
                <w:noProof/>
                <w:webHidden/>
              </w:rPr>
              <w:t>15</w:t>
            </w:r>
            <w:r>
              <w:rPr>
                <w:noProof/>
                <w:webHidden/>
              </w:rPr>
              <w:fldChar w:fldCharType="end"/>
            </w:r>
          </w:hyperlink>
        </w:p>
        <w:p w14:paraId="53F98536" w14:textId="77777777" w:rsidR="006F0D8F" w:rsidRDefault="006F0D8F">
          <w:pPr>
            <w:pStyle w:val="TOC2"/>
            <w:tabs>
              <w:tab w:val="left" w:pos="880"/>
              <w:tab w:val="right" w:leader="dot" w:pos="9016"/>
            </w:tabs>
            <w:rPr>
              <w:rFonts w:eastAsiaTheme="minorEastAsia"/>
              <w:noProof/>
              <w:lang w:eastAsia="en-IE"/>
            </w:rPr>
          </w:pPr>
          <w:hyperlink w:anchor="_Toc518292274" w:history="1">
            <w:r w:rsidRPr="00384267">
              <w:rPr>
                <w:rStyle w:val="Hyperlink"/>
                <w:noProof/>
              </w:rPr>
              <w:t>3.2</w:t>
            </w:r>
            <w:r>
              <w:rPr>
                <w:rFonts w:eastAsiaTheme="minorEastAsia"/>
                <w:noProof/>
                <w:lang w:eastAsia="en-IE"/>
              </w:rPr>
              <w:tab/>
            </w:r>
            <w:r w:rsidRPr="00384267">
              <w:rPr>
                <w:rStyle w:val="Hyperlink"/>
                <w:noProof/>
              </w:rPr>
              <w:t>Inequalities and multiple discrimination in access to and quality of healthcare (2013)</w:t>
            </w:r>
            <w:r>
              <w:rPr>
                <w:noProof/>
                <w:webHidden/>
              </w:rPr>
              <w:tab/>
            </w:r>
            <w:r>
              <w:rPr>
                <w:noProof/>
                <w:webHidden/>
              </w:rPr>
              <w:fldChar w:fldCharType="begin"/>
            </w:r>
            <w:r>
              <w:rPr>
                <w:noProof/>
                <w:webHidden/>
              </w:rPr>
              <w:instrText xml:space="preserve"> PAGEREF _Toc518292274 \h </w:instrText>
            </w:r>
            <w:r>
              <w:rPr>
                <w:noProof/>
                <w:webHidden/>
              </w:rPr>
            </w:r>
            <w:r>
              <w:rPr>
                <w:noProof/>
                <w:webHidden/>
              </w:rPr>
              <w:fldChar w:fldCharType="separate"/>
            </w:r>
            <w:r>
              <w:rPr>
                <w:noProof/>
                <w:webHidden/>
              </w:rPr>
              <w:t>15</w:t>
            </w:r>
            <w:r>
              <w:rPr>
                <w:noProof/>
                <w:webHidden/>
              </w:rPr>
              <w:fldChar w:fldCharType="end"/>
            </w:r>
          </w:hyperlink>
        </w:p>
        <w:p w14:paraId="25682C65" w14:textId="21BF3336" w:rsidR="00C4175B" w:rsidRPr="00473A78" w:rsidRDefault="00EA5BD7" w:rsidP="003878DD">
          <w:r w:rsidRPr="00F83F6A">
            <w:rPr>
              <w:b/>
              <w:bCs/>
              <w:noProof/>
            </w:rPr>
            <w:fldChar w:fldCharType="end"/>
          </w:r>
        </w:p>
      </w:sdtContent>
    </w:sdt>
    <w:bookmarkStart w:id="1" w:name="_Toc437340013" w:displacedByCustomXml="prev"/>
    <w:bookmarkEnd w:id="1" w:displacedByCustomXml="prev"/>
    <w:bookmarkStart w:id="2" w:name="_Toc437340012" w:displacedByCustomXml="prev"/>
    <w:bookmarkEnd w:id="2" w:displacedByCustomXml="prev"/>
    <w:bookmarkStart w:id="3" w:name="_Toc437340011" w:displacedByCustomXml="prev"/>
    <w:bookmarkEnd w:id="3" w:displacedByCustomXml="prev"/>
    <w:bookmarkStart w:id="4" w:name="_Toc437340010" w:displacedByCustomXml="prev"/>
    <w:bookmarkEnd w:id="4" w:displacedByCustomXml="prev"/>
    <w:p w14:paraId="36499D7E" w14:textId="0DD7AE2B" w:rsidR="00454CBC" w:rsidRDefault="00454CBC" w:rsidP="00454CBC">
      <w:pPr>
        <w:pStyle w:val="Heading1"/>
        <w:numPr>
          <w:ilvl w:val="0"/>
          <w:numId w:val="0"/>
        </w:numPr>
        <w:ind w:left="432"/>
      </w:pPr>
    </w:p>
    <w:p w14:paraId="4B72CAB7" w14:textId="77777777" w:rsidR="00454CBC" w:rsidRDefault="00454CBC" w:rsidP="00454CBC"/>
    <w:p w14:paraId="26415960" w14:textId="77777777" w:rsidR="00454CBC" w:rsidRDefault="00454CBC" w:rsidP="00454CBC"/>
    <w:p w14:paraId="0991A44E" w14:textId="77777777" w:rsidR="00454CBC" w:rsidRDefault="00454CBC" w:rsidP="00454CBC"/>
    <w:p w14:paraId="072563F4" w14:textId="77777777" w:rsidR="00454CBC" w:rsidRDefault="00454CBC" w:rsidP="00454CBC"/>
    <w:p w14:paraId="3D4097FA" w14:textId="77777777" w:rsidR="00454CBC" w:rsidRDefault="00454CBC" w:rsidP="00454CBC"/>
    <w:p w14:paraId="31D6A15D" w14:textId="77777777" w:rsidR="00454CBC" w:rsidRDefault="00454CBC" w:rsidP="00454CBC"/>
    <w:p w14:paraId="5C83F570" w14:textId="77777777" w:rsidR="00454CBC" w:rsidRDefault="00454CBC" w:rsidP="00454CBC"/>
    <w:p w14:paraId="53BD6AF0" w14:textId="77777777" w:rsidR="00454CBC" w:rsidRDefault="00454CBC" w:rsidP="00454CBC"/>
    <w:p w14:paraId="24010C90" w14:textId="77777777" w:rsidR="00454CBC" w:rsidRDefault="00454CBC" w:rsidP="00454CBC"/>
    <w:p w14:paraId="3431C3D3" w14:textId="77777777" w:rsidR="00454CBC" w:rsidRDefault="00454CBC" w:rsidP="00454CBC"/>
    <w:p w14:paraId="26594C78" w14:textId="77777777" w:rsidR="00454CBC" w:rsidRDefault="00454CBC" w:rsidP="00454CBC"/>
    <w:p w14:paraId="552BCF27" w14:textId="77777777" w:rsidR="00454CBC" w:rsidRDefault="00454CBC" w:rsidP="00454CBC"/>
    <w:p w14:paraId="62FCFC62" w14:textId="77777777" w:rsidR="00454CBC" w:rsidRDefault="00454CBC" w:rsidP="00454CBC"/>
    <w:p w14:paraId="4A39ACBA" w14:textId="77777777" w:rsidR="00454CBC" w:rsidRDefault="00454CBC" w:rsidP="00454CBC"/>
    <w:p w14:paraId="25AB28EA" w14:textId="77777777" w:rsidR="00454CBC" w:rsidRDefault="00454CBC" w:rsidP="00454CBC"/>
    <w:p w14:paraId="34C97B6F" w14:textId="793DB978" w:rsidR="00454CBC" w:rsidRDefault="00454CBC" w:rsidP="00454CBC"/>
    <w:p w14:paraId="4AF5AFB7" w14:textId="77777777" w:rsidR="00726949" w:rsidRDefault="00726949" w:rsidP="00454CBC"/>
    <w:p w14:paraId="4E62D6EC" w14:textId="77777777" w:rsidR="00726949" w:rsidRDefault="00726949" w:rsidP="00454CBC"/>
    <w:p w14:paraId="50012BC6" w14:textId="77777777" w:rsidR="00454CBC" w:rsidRDefault="00454CBC" w:rsidP="00454CBC"/>
    <w:p w14:paraId="015F5BD3" w14:textId="77777777" w:rsidR="00726949" w:rsidRDefault="00726949" w:rsidP="00454CBC"/>
    <w:p w14:paraId="3952F75D" w14:textId="4C9D99C4" w:rsidR="00454CBC" w:rsidRDefault="002D2A11" w:rsidP="00454CBC">
      <w:pPr>
        <w:pStyle w:val="Heading1"/>
      </w:pPr>
      <w:bookmarkStart w:id="5" w:name="_Toc518292257"/>
      <w:r w:rsidRPr="001A2786">
        <w:t>A</w:t>
      </w:r>
      <w:r w:rsidR="00EA5BD7" w:rsidRPr="001A2786">
        <w:t>nnual reports</w:t>
      </w:r>
      <w:bookmarkEnd w:id="5"/>
    </w:p>
    <w:p w14:paraId="5520DB14" w14:textId="77777777" w:rsidR="00454CBC" w:rsidRPr="00D97FF1" w:rsidRDefault="00454CBC" w:rsidP="00454CBC">
      <w:pPr>
        <w:spacing w:after="0"/>
      </w:pPr>
      <w:bookmarkStart w:id="6" w:name="_Toc437340026"/>
      <w:bookmarkEnd w:id="6"/>
    </w:p>
    <w:p w14:paraId="1B0B7C8A" w14:textId="5795B30F" w:rsidR="00D97FF1" w:rsidRDefault="00D97FF1" w:rsidP="00454CBC">
      <w:pPr>
        <w:pStyle w:val="Heading2"/>
        <w:ind w:left="939"/>
      </w:pPr>
      <w:bookmarkStart w:id="7" w:name="_Toc518292258"/>
      <w:r>
        <w:t>Fundamental Rights Report 2017</w:t>
      </w:r>
      <w:bookmarkEnd w:id="7"/>
    </w:p>
    <w:p w14:paraId="13B666E2" w14:textId="5302C386" w:rsidR="00D97FF1" w:rsidRDefault="0033559A" w:rsidP="00454CBC">
      <w:pPr>
        <w:spacing w:after="0"/>
      </w:pPr>
      <w:r w:rsidRPr="0033559A">
        <w:t>For more detailed information:</w:t>
      </w:r>
      <w:r>
        <w:t xml:space="preserve"> </w:t>
      </w:r>
      <w:hyperlink r:id="rId8" w:history="1">
        <w:r w:rsidRPr="00FF770D">
          <w:rPr>
            <w:rStyle w:val="Hyperlink"/>
          </w:rPr>
          <w:t>http://fra.europa.eu/en/publication/2017/fundamental-rights-report-2017</w:t>
        </w:r>
      </w:hyperlink>
      <w:r>
        <w:t xml:space="preserve"> .</w:t>
      </w:r>
    </w:p>
    <w:p w14:paraId="1A72A6D9" w14:textId="72125696" w:rsidR="00E44D9B" w:rsidRDefault="00954636" w:rsidP="00D97FF1">
      <w:r>
        <w:t>“</w:t>
      </w:r>
      <w:r w:rsidRPr="00954636">
        <w:t xml:space="preserve">The Constitutional Tribunal of </w:t>
      </w:r>
      <w:r w:rsidRPr="00954636">
        <w:rPr>
          <w:b/>
          <w:bCs/>
        </w:rPr>
        <w:t xml:space="preserve">Poland </w:t>
      </w:r>
      <w:r w:rsidRPr="00954636">
        <w:t>deemed unconstitutional certain provisions of the Act on mental health protection regulating persons with disabilities’ placement in nursing homes by their guardians – particularly with regard to the rights to personal freedom, dignity and access to a court. The disputed provisions stipulated that such placements are to be considered voluntary when authorised by guardianship courts, even if any review of the reasonableness or legality of such placements takes place after they occurred. The court found that such practices do not offer procedural guarantees to persons with disabilities, since they are seldom heard when such decisions are made, are not given sufficient opportunities to appeal against placement orders, and courts rarely review placement orders. Although not explicitly mentioned in the judgment, it can be noted that Article 12 of the CRPD provides that “States Parties shall recognize that persons with disabilities enjoy legal capacity on an equal basis with others in all aspects of life.”</w:t>
      </w:r>
      <w:r>
        <w:t xml:space="preserve"> (p.66)</w:t>
      </w:r>
    </w:p>
    <w:p w14:paraId="2ABCD059" w14:textId="4E7255DD" w:rsidR="0036513C" w:rsidRPr="00D97FF1" w:rsidRDefault="0036513C" w:rsidP="00D97FF1">
      <w:r>
        <w:rPr>
          <w:noProof/>
          <w:lang w:eastAsia="en-IE"/>
        </w:rPr>
        <w:lastRenderedPageBreak/>
        <w:drawing>
          <wp:inline distT="0" distB="0" distL="0" distR="0" wp14:anchorId="74395423" wp14:editId="0D39A662">
            <wp:extent cx="3051701" cy="283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PD1.PNG"/>
                    <pic:cNvPicPr/>
                  </pic:nvPicPr>
                  <pic:blipFill>
                    <a:blip r:embed="rId9">
                      <a:extLst>
                        <a:ext uri="{28A0092B-C50C-407E-A947-70E740481C1C}">
                          <a14:useLocalDpi xmlns:a14="http://schemas.microsoft.com/office/drawing/2010/main" val="0"/>
                        </a:ext>
                      </a:extLst>
                    </a:blip>
                    <a:stretch>
                      <a:fillRect/>
                    </a:stretch>
                  </pic:blipFill>
                  <pic:spPr>
                    <a:xfrm>
                      <a:off x="0" y="0"/>
                      <a:ext cx="3061243" cy="2847325"/>
                    </a:xfrm>
                    <a:prstGeom prst="rect">
                      <a:avLst/>
                    </a:prstGeom>
                  </pic:spPr>
                </pic:pic>
              </a:graphicData>
            </a:graphic>
          </wp:inline>
        </w:drawing>
      </w:r>
      <w:r>
        <w:t xml:space="preserve">  (p. 228)</w:t>
      </w:r>
    </w:p>
    <w:p w14:paraId="122B9222" w14:textId="3682223E" w:rsidR="00DC58E1" w:rsidRDefault="00DC58E1" w:rsidP="00454CBC">
      <w:pPr>
        <w:pStyle w:val="Heading2"/>
        <w:ind w:left="939"/>
      </w:pPr>
      <w:bookmarkStart w:id="8" w:name="_Toc518292259"/>
      <w:r w:rsidRPr="004C24D1">
        <w:t>Fundamental Rights Report 2016</w:t>
      </w:r>
      <w:bookmarkEnd w:id="8"/>
    </w:p>
    <w:p w14:paraId="27B8F0D3" w14:textId="3F47A260" w:rsidR="00DC58E1" w:rsidRDefault="00DC58E1" w:rsidP="00454CBC">
      <w:pPr>
        <w:spacing w:after="0"/>
        <w:rPr>
          <w:sz w:val="24"/>
          <w:szCs w:val="24"/>
        </w:rPr>
      </w:pPr>
      <w:r w:rsidRPr="00E673AD">
        <w:rPr>
          <w:sz w:val="24"/>
          <w:szCs w:val="24"/>
        </w:rPr>
        <w:t xml:space="preserve">For more detailed information: </w:t>
      </w:r>
      <w:hyperlink r:id="rId10" w:history="1">
        <w:r w:rsidRPr="00E673AD">
          <w:rPr>
            <w:rStyle w:val="Hyperlink"/>
            <w:sz w:val="24"/>
            <w:szCs w:val="24"/>
          </w:rPr>
          <w:t>http://fra.europa.eu/en/publications-and-resources/publications/annual-reports/fundamental-rights-2016</w:t>
        </w:r>
      </w:hyperlink>
      <w:r w:rsidR="008152A5" w:rsidRPr="008152A5">
        <w:rPr>
          <w:rStyle w:val="Hyperlink"/>
          <w:sz w:val="24"/>
          <w:szCs w:val="24"/>
          <w:u w:val="none"/>
        </w:rPr>
        <w:t>.</w:t>
      </w:r>
      <w:r w:rsidRPr="008152A5">
        <w:rPr>
          <w:sz w:val="24"/>
          <w:szCs w:val="24"/>
        </w:rPr>
        <w:t xml:space="preserve"> </w:t>
      </w:r>
    </w:p>
    <w:p w14:paraId="1354D3E2" w14:textId="79F6A238" w:rsidR="0036513C" w:rsidRDefault="0036513C" w:rsidP="00454CBC">
      <w:pPr>
        <w:spacing w:after="0"/>
        <w:rPr>
          <w:sz w:val="24"/>
          <w:szCs w:val="24"/>
        </w:rPr>
      </w:pPr>
      <w:r>
        <w:rPr>
          <w:sz w:val="24"/>
          <w:szCs w:val="24"/>
        </w:rPr>
        <w:t>“[…]</w:t>
      </w:r>
      <w:r w:rsidRPr="00652277">
        <w:rPr>
          <w:bCs/>
          <w:sz w:val="24"/>
          <w:szCs w:val="24"/>
        </w:rPr>
        <w:t>Bulgaria</w:t>
      </w:r>
      <w:r w:rsidRPr="00652277">
        <w:rPr>
          <w:sz w:val="24"/>
          <w:szCs w:val="24"/>
        </w:rPr>
        <w:t xml:space="preserve">, the </w:t>
      </w:r>
      <w:r w:rsidRPr="00652277">
        <w:rPr>
          <w:bCs/>
          <w:sz w:val="24"/>
          <w:szCs w:val="24"/>
        </w:rPr>
        <w:t>Czech Republic</w:t>
      </w:r>
      <w:r w:rsidRPr="00652277">
        <w:rPr>
          <w:sz w:val="24"/>
          <w:szCs w:val="24"/>
        </w:rPr>
        <w:t>,</w:t>
      </w:r>
      <w:r w:rsidRPr="0036513C">
        <w:rPr>
          <w:sz w:val="24"/>
          <w:szCs w:val="24"/>
        </w:rPr>
        <w:t xml:space="preserve"> </w:t>
      </w:r>
      <w:r w:rsidRPr="0036513C">
        <w:rPr>
          <w:b/>
          <w:bCs/>
          <w:sz w:val="24"/>
          <w:szCs w:val="24"/>
        </w:rPr>
        <w:t>Poland</w:t>
      </w:r>
      <w:r w:rsidRPr="0036513C">
        <w:rPr>
          <w:sz w:val="24"/>
          <w:szCs w:val="24"/>
        </w:rPr>
        <w:t xml:space="preserve">, </w:t>
      </w:r>
      <w:r w:rsidRPr="00652277">
        <w:rPr>
          <w:bCs/>
          <w:sz w:val="24"/>
          <w:szCs w:val="24"/>
        </w:rPr>
        <w:t>Romania</w:t>
      </w:r>
      <w:r w:rsidRPr="00652277">
        <w:rPr>
          <w:sz w:val="24"/>
          <w:szCs w:val="24"/>
        </w:rPr>
        <w:t>,</w:t>
      </w:r>
      <w:r w:rsidRPr="0036513C">
        <w:rPr>
          <w:sz w:val="24"/>
          <w:szCs w:val="24"/>
        </w:rPr>
        <w:t xml:space="preserve"> and the EU have still not ratified the Optional Protocol to the CRPD, which allows for individ</w:t>
      </w:r>
      <w:r w:rsidRPr="0036513C">
        <w:rPr>
          <w:sz w:val="24"/>
          <w:szCs w:val="24"/>
        </w:rPr>
        <w:softHyphen/>
        <w:t>uals to bring complaints to the CRPD Committee.</w:t>
      </w:r>
      <w:r w:rsidR="00652277">
        <w:rPr>
          <w:sz w:val="24"/>
          <w:szCs w:val="24"/>
        </w:rPr>
        <w:t>” (p. 189)</w:t>
      </w:r>
    </w:p>
    <w:p w14:paraId="05BA3FD3" w14:textId="56151A37" w:rsidR="00652277" w:rsidRPr="00E673AD" w:rsidRDefault="00652277" w:rsidP="00454CBC">
      <w:pPr>
        <w:spacing w:after="0"/>
        <w:rPr>
          <w:sz w:val="24"/>
          <w:szCs w:val="24"/>
        </w:rPr>
      </w:pPr>
      <w:r>
        <w:rPr>
          <w:sz w:val="24"/>
          <w:szCs w:val="24"/>
        </w:rPr>
        <w:t>“In September […]</w:t>
      </w:r>
      <w:r w:rsidRPr="00652277">
        <w:rPr>
          <w:sz w:val="24"/>
          <w:szCs w:val="24"/>
        </w:rPr>
        <w:t xml:space="preserve"> a coalition of national non-governmental organisations (NGOs) published a report – available in easy-read and sign language versions – summarising their views on how the CRPD is being applied in </w:t>
      </w:r>
      <w:r w:rsidRPr="00652277">
        <w:rPr>
          <w:b/>
          <w:bCs/>
          <w:sz w:val="24"/>
          <w:szCs w:val="24"/>
        </w:rPr>
        <w:t>Poland</w:t>
      </w:r>
      <w:r w:rsidRPr="00652277">
        <w:rPr>
          <w:sz w:val="24"/>
          <w:szCs w:val="24"/>
        </w:rPr>
        <w:t>. The report drew on con</w:t>
      </w:r>
      <w:r w:rsidRPr="00652277">
        <w:rPr>
          <w:sz w:val="24"/>
          <w:szCs w:val="24"/>
        </w:rPr>
        <w:softHyphen/>
        <w:t>sultations with over 250 representatives of NGOs and DPOs – the first shadow report submitted to a UN Committee to be prepared on such a scale.</w:t>
      </w:r>
      <w:r>
        <w:rPr>
          <w:sz w:val="24"/>
          <w:szCs w:val="24"/>
        </w:rPr>
        <w:t>” (p. 192)</w:t>
      </w:r>
    </w:p>
    <w:p w14:paraId="500642E9" w14:textId="77777777" w:rsidR="00454CBC" w:rsidRPr="002D605B" w:rsidRDefault="00454CBC" w:rsidP="00454CBC">
      <w:pPr>
        <w:spacing w:after="0"/>
        <w:rPr>
          <w:rFonts w:cs="DaxlinePro-Regular"/>
          <w:color w:val="000000"/>
          <w:sz w:val="24"/>
          <w:szCs w:val="24"/>
        </w:rPr>
      </w:pPr>
    </w:p>
    <w:p w14:paraId="4AECC35A" w14:textId="4003C412" w:rsidR="002D2A11" w:rsidRDefault="002D2A11" w:rsidP="00454CBC">
      <w:pPr>
        <w:pStyle w:val="Heading2"/>
        <w:ind w:left="939"/>
      </w:pPr>
      <w:bookmarkStart w:id="9" w:name="_Toc518292260"/>
      <w:r w:rsidRPr="004C24D1">
        <w:t>Fundamental rights: challenges and achievements in 2014 – Annual Report 2014 (June 2015)</w:t>
      </w:r>
      <w:bookmarkEnd w:id="9"/>
    </w:p>
    <w:p w14:paraId="4AECC35B" w14:textId="6B85AE65" w:rsidR="002D2A11" w:rsidRDefault="00DC58E1" w:rsidP="00454CBC">
      <w:pPr>
        <w:spacing w:after="0"/>
        <w:rPr>
          <w:rStyle w:val="Hyperlink"/>
          <w:color w:val="auto"/>
          <w:sz w:val="24"/>
          <w:szCs w:val="24"/>
          <w:u w:val="none"/>
        </w:rPr>
      </w:pPr>
      <w:r w:rsidRPr="00E673AD">
        <w:rPr>
          <w:sz w:val="24"/>
          <w:szCs w:val="24"/>
        </w:rPr>
        <w:t>For more detailed information</w:t>
      </w:r>
      <w:r w:rsidR="00F956F0">
        <w:rPr>
          <w:sz w:val="24"/>
          <w:szCs w:val="24"/>
        </w:rPr>
        <w:t>:</w:t>
      </w:r>
      <w:r w:rsidRPr="00E673AD">
        <w:rPr>
          <w:sz w:val="24"/>
          <w:szCs w:val="24"/>
        </w:rPr>
        <w:t xml:space="preserve"> </w:t>
      </w:r>
      <w:hyperlink r:id="rId11" w:history="1">
        <w:r w:rsidR="002D2A11" w:rsidRPr="00E673AD">
          <w:rPr>
            <w:rStyle w:val="Hyperlink"/>
            <w:sz w:val="24"/>
            <w:szCs w:val="24"/>
          </w:rPr>
          <w:t>http://fra.europa.eu/en/publications-and-resources/publications/annual-reports/fundamental-rights-2014</w:t>
        </w:r>
      </w:hyperlink>
      <w:r w:rsidR="002D605B" w:rsidRPr="002D605B">
        <w:rPr>
          <w:rStyle w:val="Hyperlink"/>
          <w:color w:val="auto"/>
          <w:sz w:val="24"/>
          <w:szCs w:val="24"/>
          <w:u w:val="none"/>
        </w:rPr>
        <w:t>.</w:t>
      </w:r>
    </w:p>
    <w:p w14:paraId="1D04EC4E" w14:textId="72D8B5B2" w:rsidR="0071019D" w:rsidRDefault="0071019D" w:rsidP="00454CBC">
      <w:pPr>
        <w:spacing w:after="0"/>
        <w:rPr>
          <w:sz w:val="24"/>
          <w:szCs w:val="24"/>
        </w:rPr>
      </w:pPr>
      <w:r>
        <w:rPr>
          <w:rStyle w:val="Hyperlink"/>
          <w:color w:val="auto"/>
          <w:sz w:val="24"/>
          <w:szCs w:val="24"/>
          <w:u w:val="none"/>
        </w:rPr>
        <w:lastRenderedPageBreak/>
        <w:t>“</w:t>
      </w:r>
      <w:r w:rsidRPr="0071019D">
        <w:rPr>
          <w:sz w:val="24"/>
          <w:szCs w:val="24"/>
        </w:rPr>
        <w:t>Given that the new ESIF regulation came into force on 1 January 2014, it was to be expected that Member States would begin implementing measures to fulfil these conditionalities only during 2014; the deadline to fulfil them is 31 December 2016.</w:t>
      </w:r>
      <w:r>
        <w:rPr>
          <w:sz w:val="24"/>
          <w:szCs w:val="24"/>
        </w:rPr>
        <w:t xml:space="preserve"> </w:t>
      </w:r>
      <w:r w:rsidRPr="0071019D">
        <w:rPr>
          <w:sz w:val="24"/>
          <w:szCs w:val="24"/>
        </w:rPr>
        <w:t>Concerning the third conditionality, some Member States have consulted or plan to consult with bodies in charge of protection of rights of persons with disa</w:t>
      </w:r>
      <w:r w:rsidRPr="0071019D">
        <w:rPr>
          <w:sz w:val="24"/>
          <w:szCs w:val="24"/>
        </w:rPr>
        <w:softHyphen/>
        <w:t xml:space="preserve">bilities or disabled persons organisations (DPOs). This was the case in </w:t>
      </w:r>
      <w:r w:rsidRPr="0071019D">
        <w:rPr>
          <w:bCs/>
          <w:sz w:val="24"/>
          <w:szCs w:val="24"/>
        </w:rPr>
        <w:t>Austria</w:t>
      </w:r>
      <w:r w:rsidRPr="0071019D">
        <w:rPr>
          <w:sz w:val="24"/>
          <w:szCs w:val="24"/>
        </w:rPr>
        <w:t xml:space="preserve">, </w:t>
      </w:r>
      <w:r w:rsidRPr="0071019D">
        <w:rPr>
          <w:bCs/>
          <w:sz w:val="24"/>
          <w:szCs w:val="24"/>
        </w:rPr>
        <w:t>Belgium</w:t>
      </w:r>
      <w:r w:rsidRPr="0071019D">
        <w:rPr>
          <w:sz w:val="24"/>
          <w:szCs w:val="24"/>
        </w:rPr>
        <w:t xml:space="preserve">, </w:t>
      </w:r>
      <w:r w:rsidRPr="0071019D">
        <w:rPr>
          <w:bCs/>
          <w:sz w:val="24"/>
          <w:szCs w:val="24"/>
        </w:rPr>
        <w:t>Bulgaria</w:t>
      </w:r>
      <w:r w:rsidRPr="0071019D">
        <w:rPr>
          <w:sz w:val="24"/>
          <w:szCs w:val="24"/>
        </w:rPr>
        <w:t xml:space="preserve">, </w:t>
      </w:r>
      <w:r w:rsidRPr="0071019D">
        <w:rPr>
          <w:bCs/>
          <w:sz w:val="24"/>
          <w:szCs w:val="24"/>
        </w:rPr>
        <w:t>Cyprus</w:t>
      </w:r>
      <w:r w:rsidRPr="0071019D">
        <w:rPr>
          <w:sz w:val="24"/>
          <w:szCs w:val="24"/>
        </w:rPr>
        <w:t xml:space="preserve">, </w:t>
      </w:r>
      <w:r w:rsidRPr="0071019D">
        <w:rPr>
          <w:bCs/>
          <w:sz w:val="24"/>
          <w:szCs w:val="24"/>
        </w:rPr>
        <w:t>Denmark</w:t>
      </w:r>
      <w:r w:rsidRPr="0071019D">
        <w:rPr>
          <w:sz w:val="24"/>
          <w:szCs w:val="24"/>
        </w:rPr>
        <w:t xml:space="preserve">, </w:t>
      </w:r>
      <w:r w:rsidRPr="0071019D">
        <w:rPr>
          <w:bCs/>
          <w:sz w:val="24"/>
          <w:szCs w:val="24"/>
        </w:rPr>
        <w:t>Estonia</w:t>
      </w:r>
      <w:r w:rsidRPr="0071019D">
        <w:rPr>
          <w:sz w:val="24"/>
          <w:szCs w:val="24"/>
        </w:rPr>
        <w:t xml:space="preserve">, </w:t>
      </w:r>
      <w:r w:rsidRPr="0071019D">
        <w:rPr>
          <w:bCs/>
          <w:sz w:val="24"/>
          <w:szCs w:val="24"/>
        </w:rPr>
        <w:t>France</w:t>
      </w:r>
      <w:r w:rsidRPr="0071019D">
        <w:rPr>
          <w:sz w:val="24"/>
          <w:szCs w:val="24"/>
        </w:rPr>
        <w:t xml:space="preserve">, </w:t>
      </w:r>
      <w:r w:rsidRPr="0071019D">
        <w:rPr>
          <w:bCs/>
          <w:sz w:val="24"/>
          <w:szCs w:val="24"/>
        </w:rPr>
        <w:t>Greece</w:t>
      </w:r>
      <w:r w:rsidRPr="0071019D">
        <w:rPr>
          <w:sz w:val="24"/>
          <w:szCs w:val="24"/>
        </w:rPr>
        <w:t xml:space="preserve">, </w:t>
      </w:r>
      <w:r w:rsidRPr="0071019D">
        <w:rPr>
          <w:bCs/>
          <w:sz w:val="24"/>
          <w:szCs w:val="24"/>
        </w:rPr>
        <w:t>Hungary</w:t>
      </w:r>
      <w:r w:rsidRPr="0071019D">
        <w:rPr>
          <w:sz w:val="24"/>
          <w:szCs w:val="24"/>
        </w:rPr>
        <w:t xml:space="preserve">, </w:t>
      </w:r>
      <w:r w:rsidRPr="0071019D">
        <w:rPr>
          <w:bCs/>
          <w:sz w:val="24"/>
          <w:szCs w:val="24"/>
        </w:rPr>
        <w:t>Ireland</w:t>
      </w:r>
      <w:r w:rsidRPr="0071019D">
        <w:rPr>
          <w:sz w:val="24"/>
          <w:szCs w:val="24"/>
        </w:rPr>
        <w:t xml:space="preserve">, </w:t>
      </w:r>
      <w:r w:rsidRPr="0071019D">
        <w:rPr>
          <w:bCs/>
          <w:sz w:val="24"/>
          <w:szCs w:val="24"/>
        </w:rPr>
        <w:t>Italy</w:t>
      </w:r>
      <w:r w:rsidRPr="0071019D">
        <w:rPr>
          <w:sz w:val="24"/>
          <w:szCs w:val="24"/>
        </w:rPr>
        <w:t xml:space="preserve">, </w:t>
      </w:r>
      <w:r w:rsidRPr="0071019D">
        <w:rPr>
          <w:bCs/>
          <w:sz w:val="24"/>
          <w:szCs w:val="24"/>
        </w:rPr>
        <w:t>Latvia</w:t>
      </w:r>
      <w:r w:rsidRPr="0071019D">
        <w:rPr>
          <w:sz w:val="24"/>
          <w:szCs w:val="24"/>
        </w:rPr>
        <w:t xml:space="preserve">, </w:t>
      </w:r>
      <w:r w:rsidRPr="0071019D">
        <w:rPr>
          <w:bCs/>
          <w:sz w:val="24"/>
          <w:szCs w:val="24"/>
        </w:rPr>
        <w:t>Lithuania</w:t>
      </w:r>
      <w:r w:rsidRPr="0071019D">
        <w:rPr>
          <w:sz w:val="24"/>
          <w:szCs w:val="24"/>
        </w:rPr>
        <w:t xml:space="preserve">, </w:t>
      </w:r>
      <w:r w:rsidRPr="0071019D">
        <w:rPr>
          <w:bCs/>
          <w:sz w:val="24"/>
          <w:szCs w:val="24"/>
        </w:rPr>
        <w:t>Luxembourg</w:t>
      </w:r>
      <w:r w:rsidRPr="0071019D">
        <w:rPr>
          <w:sz w:val="24"/>
          <w:szCs w:val="24"/>
        </w:rPr>
        <w:t xml:space="preserve">, </w:t>
      </w:r>
      <w:r w:rsidRPr="0071019D">
        <w:rPr>
          <w:bCs/>
          <w:sz w:val="24"/>
          <w:szCs w:val="24"/>
        </w:rPr>
        <w:t>Malta</w:t>
      </w:r>
      <w:r w:rsidRPr="0071019D">
        <w:rPr>
          <w:sz w:val="24"/>
          <w:szCs w:val="24"/>
        </w:rPr>
        <w:t xml:space="preserve">, the </w:t>
      </w:r>
      <w:r w:rsidRPr="0071019D">
        <w:rPr>
          <w:bCs/>
          <w:sz w:val="24"/>
          <w:szCs w:val="24"/>
        </w:rPr>
        <w:t>Netherlands</w:t>
      </w:r>
      <w:r w:rsidRPr="0071019D">
        <w:rPr>
          <w:sz w:val="24"/>
          <w:szCs w:val="24"/>
        </w:rPr>
        <w:t xml:space="preserve">, </w:t>
      </w:r>
      <w:r w:rsidRPr="0071019D">
        <w:rPr>
          <w:b/>
          <w:bCs/>
          <w:sz w:val="24"/>
          <w:szCs w:val="24"/>
        </w:rPr>
        <w:t>Poland</w:t>
      </w:r>
      <w:r w:rsidRPr="0071019D">
        <w:rPr>
          <w:sz w:val="24"/>
          <w:szCs w:val="24"/>
        </w:rPr>
        <w:t xml:space="preserve">, </w:t>
      </w:r>
      <w:r w:rsidRPr="0071019D">
        <w:rPr>
          <w:bCs/>
          <w:sz w:val="24"/>
          <w:szCs w:val="24"/>
        </w:rPr>
        <w:t>Portugal</w:t>
      </w:r>
      <w:r w:rsidRPr="0071019D">
        <w:rPr>
          <w:sz w:val="24"/>
          <w:szCs w:val="24"/>
        </w:rPr>
        <w:t xml:space="preserve">, </w:t>
      </w:r>
      <w:r w:rsidRPr="0071019D">
        <w:rPr>
          <w:bCs/>
          <w:sz w:val="24"/>
          <w:szCs w:val="24"/>
        </w:rPr>
        <w:t>Romania</w:t>
      </w:r>
      <w:r w:rsidRPr="0071019D">
        <w:rPr>
          <w:sz w:val="24"/>
          <w:szCs w:val="24"/>
        </w:rPr>
        <w:t xml:space="preserve">, </w:t>
      </w:r>
      <w:r w:rsidRPr="0071019D">
        <w:rPr>
          <w:bCs/>
          <w:sz w:val="24"/>
          <w:szCs w:val="24"/>
        </w:rPr>
        <w:t>Slovakia</w:t>
      </w:r>
      <w:r w:rsidRPr="0071019D">
        <w:rPr>
          <w:sz w:val="24"/>
          <w:szCs w:val="24"/>
        </w:rPr>
        <w:t xml:space="preserve">, </w:t>
      </w:r>
      <w:r w:rsidRPr="0071019D">
        <w:rPr>
          <w:bCs/>
          <w:sz w:val="24"/>
          <w:szCs w:val="24"/>
        </w:rPr>
        <w:t xml:space="preserve">Spain </w:t>
      </w:r>
      <w:r w:rsidRPr="0071019D">
        <w:rPr>
          <w:sz w:val="24"/>
          <w:szCs w:val="24"/>
        </w:rPr>
        <w:t xml:space="preserve">and </w:t>
      </w:r>
      <w:r w:rsidRPr="0071019D">
        <w:rPr>
          <w:bCs/>
          <w:sz w:val="24"/>
          <w:szCs w:val="24"/>
        </w:rPr>
        <w:t>Sweden</w:t>
      </w:r>
      <w:r w:rsidRPr="0071019D">
        <w:rPr>
          <w:sz w:val="24"/>
          <w:szCs w:val="24"/>
        </w:rPr>
        <w:t>. The criteria to be met under this conditionality include having a plan in place to involve such organisations, identifying relevant actors and their roles and facilitating their active involvement in the process.</w:t>
      </w:r>
      <w:r>
        <w:rPr>
          <w:sz w:val="24"/>
          <w:szCs w:val="24"/>
        </w:rPr>
        <w:t>” (p. 31)</w:t>
      </w:r>
    </w:p>
    <w:p w14:paraId="7EBF6DF0" w14:textId="77777777" w:rsidR="00726949" w:rsidRPr="00726949" w:rsidRDefault="00726949" w:rsidP="00454CBC">
      <w:pPr>
        <w:spacing w:after="0"/>
        <w:rPr>
          <w:rStyle w:val="Hyperlink"/>
          <w:color w:val="auto"/>
          <w:sz w:val="24"/>
          <w:szCs w:val="24"/>
          <w:u w:val="none"/>
        </w:rPr>
      </w:pPr>
    </w:p>
    <w:p w14:paraId="6F02D066" w14:textId="7EA40612" w:rsidR="00D97FF1" w:rsidRDefault="007E19AF" w:rsidP="00D97FF1">
      <w:pPr>
        <w:pStyle w:val="Heading1"/>
        <w:rPr>
          <w:rFonts w:asciiTheme="minorHAnsi" w:hAnsiTheme="minorHAnsi"/>
        </w:rPr>
      </w:pPr>
      <w:bookmarkStart w:id="10" w:name="_Toc437340032"/>
      <w:bookmarkStart w:id="11" w:name="_Toc518292261"/>
      <w:bookmarkEnd w:id="10"/>
      <w:r w:rsidRPr="001B79F3">
        <w:rPr>
          <w:rFonts w:asciiTheme="minorHAnsi" w:hAnsiTheme="minorHAnsi"/>
        </w:rPr>
        <w:t>Thematic</w:t>
      </w:r>
      <w:r w:rsidR="00EF36C3" w:rsidRPr="001B79F3">
        <w:rPr>
          <w:rFonts w:asciiTheme="minorHAnsi" w:hAnsiTheme="minorHAnsi"/>
        </w:rPr>
        <w:t xml:space="preserve"> reports on the rights of persons with disabilities</w:t>
      </w:r>
      <w:bookmarkEnd w:id="11"/>
    </w:p>
    <w:p w14:paraId="166AFB24" w14:textId="77777777" w:rsidR="00726949" w:rsidRPr="00726949" w:rsidRDefault="00726949" w:rsidP="00726949"/>
    <w:p w14:paraId="382F70F2" w14:textId="62A8F081" w:rsidR="00D97FF1" w:rsidRDefault="00D97FF1" w:rsidP="00454CBC">
      <w:pPr>
        <w:pStyle w:val="Heading2"/>
        <w:ind w:left="939"/>
      </w:pPr>
      <w:bookmarkStart w:id="12" w:name="_Toc518292262"/>
      <w:r w:rsidRPr="00D97FF1">
        <w:t>From institutions to community living - Part I: commitments and structures</w:t>
      </w:r>
      <w:bookmarkEnd w:id="12"/>
    </w:p>
    <w:p w14:paraId="675DFFAD" w14:textId="4DA0531E" w:rsidR="00D97FF1" w:rsidRDefault="00D97FF1" w:rsidP="00454CBC">
      <w:pPr>
        <w:spacing w:after="0"/>
      </w:pPr>
      <w:r w:rsidRPr="00D97FF1">
        <w:t>For more detailed information:</w:t>
      </w:r>
      <w:r>
        <w:t xml:space="preserve"> </w:t>
      </w:r>
      <w:hyperlink r:id="rId12" w:history="1">
        <w:r w:rsidRPr="00580E70">
          <w:rPr>
            <w:rStyle w:val="Hyperlink"/>
          </w:rPr>
          <w:t>http://fra.europa.eu/en/publication/2017/independent-living-structures</w:t>
        </w:r>
      </w:hyperlink>
      <w:r>
        <w:t xml:space="preserve"> . Also available in easy-to-read: </w:t>
      </w:r>
      <w:hyperlink r:id="rId13" w:history="1">
        <w:r w:rsidRPr="00580E70">
          <w:rPr>
            <w:rStyle w:val="Hyperlink"/>
          </w:rPr>
          <w:t>http://fra.europa.eu/en/publication/2018/institutions-community-living-part-i-commitments-and-structures-easy-read</w:t>
        </w:r>
      </w:hyperlink>
      <w:r>
        <w:t xml:space="preserve"> .</w:t>
      </w:r>
    </w:p>
    <w:p w14:paraId="64E5932C" w14:textId="675B311D" w:rsidR="0071019D" w:rsidRDefault="0071019D" w:rsidP="00454CBC">
      <w:pPr>
        <w:spacing w:after="0"/>
      </w:pPr>
      <w:r>
        <w:t>“</w:t>
      </w:r>
      <w:r w:rsidRPr="0071019D">
        <w:t xml:space="preserve">For 2014–2020, the European Commission identified a need for measures for the shift from institutional to community-based care in 12 EU Member States: </w:t>
      </w:r>
      <w:r w:rsidRPr="0071019D">
        <w:rPr>
          <w:bCs/>
        </w:rPr>
        <w:t>Bulgaria</w:t>
      </w:r>
      <w:r w:rsidRPr="0071019D">
        <w:t xml:space="preserve">, </w:t>
      </w:r>
      <w:r w:rsidRPr="0071019D">
        <w:rPr>
          <w:bCs/>
        </w:rPr>
        <w:t>Croatia</w:t>
      </w:r>
      <w:r w:rsidRPr="0071019D">
        <w:t xml:space="preserve">, </w:t>
      </w:r>
      <w:r w:rsidRPr="0071019D">
        <w:rPr>
          <w:bCs/>
        </w:rPr>
        <w:t>the Czech Republic</w:t>
      </w:r>
      <w:r w:rsidRPr="0071019D">
        <w:t xml:space="preserve">, </w:t>
      </w:r>
      <w:r w:rsidRPr="0071019D">
        <w:rPr>
          <w:bCs/>
        </w:rPr>
        <w:t>Estonia</w:t>
      </w:r>
      <w:r w:rsidRPr="0071019D">
        <w:t xml:space="preserve">, </w:t>
      </w:r>
      <w:r w:rsidRPr="0071019D">
        <w:rPr>
          <w:bCs/>
        </w:rPr>
        <w:t>Greece</w:t>
      </w:r>
      <w:r w:rsidRPr="0071019D">
        <w:t xml:space="preserve">, </w:t>
      </w:r>
      <w:r w:rsidRPr="0071019D">
        <w:rPr>
          <w:bCs/>
        </w:rPr>
        <w:t>Hungary</w:t>
      </w:r>
      <w:r w:rsidRPr="0071019D">
        <w:t xml:space="preserve">, </w:t>
      </w:r>
      <w:r w:rsidRPr="0071019D">
        <w:rPr>
          <w:bCs/>
        </w:rPr>
        <w:t>Latvia</w:t>
      </w:r>
      <w:r w:rsidRPr="0071019D">
        <w:t xml:space="preserve">, </w:t>
      </w:r>
      <w:r w:rsidRPr="0071019D">
        <w:rPr>
          <w:bCs/>
        </w:rPr>
        <w:t>Lithuania</w:t>
      </w:r>
      <w:r w:rsidRPr="0071019D">
        <w:t xml:space="preserve">, </w:t>
      </w:r>
      <w:r w:rsidRPr="0071019D">
        <w:rPr>
          <w:b/>
          <w:bCs/>
        </w:rPr>
        <w:t>Poland</w:t>
      </w:r>
      <w:r w:rsidRPr="0071019D">
        <w:t xml:space="preserve">, </w:t>
      </w:r>
      <w:r w:rsidRPr="0071019D">
        <w:rPr>
          <w:bCs/>
        </w:rPr>
        <w:t>Romania</w:t>
      </w:r>
      <w:r w:rsidRPr="0071019D">
        <w:t xml:space="preserve">, </w:t>
      </w:r>
      <w:r w:rsidRPr="0071019D">
        <w:rPr>
          <w:bCs/>
        </w:rPr>
        <w:t xml:space="preserve">Slovakia </w:t>
      </w:r>
      <w:r w:rsidRPr="0071019D">
        <w:t xml:space="preserve">and </w:t>
      </w:r>
      <w:r w:rsidRPr="0071019D">
        <w:rPr>
          <w:bCs/>
        </w:rPr>
        <w:t>Slovenia</w:t>
      </w:r>
      <w:r w:rsidRPr="0071019D">
        <w:t>.</w:t>
      </w:r>
      <w:r>
        <w:t>” (p. 10)</w:t>
      </w:r>
    </w:p>
    <w:p w14:paraId="30781D59" w14:textId="6B342842" w:rsidR="0071019D" w:rsidRDefault="0071019D" w:rsidP="00454CBC">
      <w:pPr>
        <w:spacing w:after="0"/>
      </w:pPr>
      <w:r>
        <w:t>“</w:t>
      </w:r>
      <w:r w:rsidRPr="0071019D">
        <w:t>Where responsibility for community-based services lies at the national level, it typically falls under the man</w:t>
      </w:r>
      <w:r w:rsidRPr="0071019D">
        <w:softHyphen/>
        <w:t>date of the social ministry, or other bodies responsi</w:t>
      </w:r>
      <w:r w:rsidRPr="0071019D">
        <w:softHyphen/>
        <w:t xml:space="preserve">ble for social or health policies. However, in some of these countries – for example, </w:t>
      </w:r>
      <w:r w:rsidRPr="0071019D">
        <w:rPr>
          <w:bCs/>
        </w:rPr>
        <w:t>Bulgaria</w:t>
      </w:r>
      <w:r w:rsidRPr="0071019D">
        <w:t xml:space="preserve">, </w:t>
      </w:r>
      <w:r w:rsidRPr="0071019D">
        <w:rPr>
          <w:bCs/>
        </w:rPr>
        <w:t>Latvia</w:t>
      </w:r>
      <w:r w:rsidRPr="0071019D">
        <w:rPr>
          <w:b/>
          <w:bCs/>
        </w:rPr>
        <w:t xml:space="preserve"> </w:t>
      </w:r>
      <w:r w:rsidRPr="0071019D">
        <w:t xml:space="preserve">and </w:t>
      </w:r>
      <w:r w:rsidRPr="0071019D">
        <w:rPr>
          <w:b/>
          <w:bCs/>
        </w:rPr>
        <w:t xml:space="preserve">Poland </w:t>
      </w:r>
      <w:r w:rsidRPr="0071019D">
        <w:t>– while a national body holds overall respon</w:t>
      </w:r>
      <w:r w:rsidRPr="0071019D">
        <w:softHyphen/>
        <w:t>sibility, the implementation of services is delegated to local administrations.</w:t>
      </w:r>
      <w:r>
        <w:t>” (p. 15)</w:t>
      </w:r>
    </w:p>
    <w:p w14:paraId="793AFF25" w14:textId="77777777" w:rsidR="0071019D" w:rsidRPr="0071019D" w:rsidRDefault="0071019D" w:rsidP="00454CBC">
      <w:pPr>
        <w:spacing w:after="0"/>
      </w:pPr>
    </w:p>
    <w:p w14:paraId="2E56F886" w14:textId="77777777" w:rsidR="00AB04F9" w:rsidRPr="0071019D" w:rsidRDefault="00AB04F9" w:rsidP="00454CBC">
      <w:pPr>
        <w:spacing w:after="0"/>
      </w:pPr>
    </w:p>
    <w:p w14:paraId="3585AE49" w14:textId="77777777" w:rsidR="00D97FF1" w:rsidRDefault="00D97FF1" w:rsidP="00454CBC">
      <w:pPr>
        <w:pStyle w:val="Heading2"/>
        <w:ind w:left="939"/>
      </w:pPr>
      <w:bookmarkStart w:id="13" w:name="_Toc518292263"/>
      <w:r w:rsidRPr="00D97FF1">
        <w:lastRenderedPageBreak/>
        <w:t>From institutions to community living - Part II: funding and budgeting</w:t>
      </w:r>
      <w:bookmarkEnd w:id="13"/>
    </w:p>
    <w:p w14:paraId="074110A0" w14:textId="24FBB510" w:rsidR="00D97FF1" w:rsidRDefault="00D97FF1" w:rsidP="00454CBC">
      <w:pPr>
        <w:spacing w:after="0"/>
      </w:pPr>
      <w:r w:rsidRPr="00D97FF1">
        <w:t>For more detailed information:</w:t>
      </w:r>
      <w:r>
        <w:t xml:space="preserve"> </w:t>
      </w:r>
      <w:hyperlink r:id="rId14" w:history="1">
        <w:r w:rsidRPr="00580E70">
          <w:rPr>
            <w:rStyle w:val="Hyperlink"/>
          </w:rPr>
          <w:t>http://fra.europa.eu/en/publication/2017/independent-living-funding</w:t>
        </w:r>
      </w:hyperlink>
      <w:r>
        <w:t xml:space="preserve"> . Also available in easy-to-read: </w:t>
      </w:r>
      <w:hyperlink r:id="rId15" w:history="1">
        <w:r w:rsidRPr="00580E70">
          <w:rPr>
            <w:rStyle w:val="Hyperlink"/>
          </w:rPr>
          <w:t>http://fra.europa.eu/en/publication/2018/institutions-community-living-part-ii-funding-and-budgeting-easy-read</w:t>
        </w:r>
      </w:hyperlink>
      <w:r>
        <w:t xml:space="preserve"> .</w:t>
      </w:r>
    </w:p>
    <w:p w14:paraId="4AF96044" w14:textId="338837C7" w:rsidR="0071019D" w:rsidRDefault="00720E4F" w:rsidP="00454CBC">
      <w:pPr>
        <w:spacing w:after="0"/>
      </w:pPr>
      <w:r>
        <w:t>“</w:t>
      </w:r>
      <w:r w:rsidRPr="00720E4F">
        <w:t>Comprehensive data on what proportion of ESIF is spent on activities related to deinstitutionalisation and inde</w:t>
      </w:r>
      <w:r w:rsidRPr="00720E4F">
        <w:softHyphen/>
        <w:t xml:space="preserve">pendent living are not available. Nevertheless, in at least 12 EU Member States – </w:t>
      </w:r>
      <w:r w:rsidRPr="00720E4F">
        <w:rPr>
          <w:bCs/>
        </w:rPr>
        <w:t>Bulgaria</w:t>
      </w:r>
      <w:r w:rsidRPr="00720E4F">
        <w:t xml:space="preserve">, </w:t>
      </w:r>
      <w:r w:rsidRPr="00720E4F">
        <w:rPr>
          <w:bCs/>
        </w:rPr>
        <w:t>Czech Republic</w:t>
      </w:r>
      <w:r w:rsidRPr="00720E4F">
        <w:t xml:space="preserve">, </w:t>
      </w:r>
      <w:r w:rsidRPr="00720E4F">
        <w:rPr>
          <w:bCs/>
        </w:rPr>
        <w:t>Estonia</w:t>
      </w:r>
      <w:r w:rsidRPr="00720E4F">
        <w:t xml:space="preserve">, </w:t>
      </w:r>
      <w:r w:rsidRPr="00720E4F">
        <w:rPr>
          <w:bCs/>
        </w:rPr>
        <w:t>Greece</w:t>
      </w:r>
      <w:r w:rsidRPr="00720E4F">
        <w:t xml:space="preserve">, </w:t>
      </w:r>
      <w:r w:rsidRPr="00720E4F">
        <w:rPr>
          <w:bCs/>
        </w:rPr>
        <w:t>Hungary</w:t>
      </w:r>
      <w:r w:rsidRPr="00720E4F">
        <w:t xml:space="preserve">, </w:t>
      </w:r>
      <w:r w:rsidRPr="00720E4F">
        <w:rPr>
          <w:bCs/>
        </w:rPr>
        <w:t>Latvia</w:t>
      </w:r>
      <w:r w:rsidRPr="00720E4F">
        <w:t xml:space="preserve">, </w:t>
      </w:r>
      <w:r w:rsidRPr="00720E4F">
        <w:rPr>
          <w:bCs/>
        </w:rPr>
        <w:t>Lithuania</w:t>
      </w:r>
      <w:r w:rsidRPr="00720E4F">
        <w:t xml:space="preserve">, </w:t>
      </w:r>
      <w:r w:rsidRPr="00720E4F">
        <w:rPr>
          <w:bCs/>
        </w:rPr>
        <w:t>Poland</w:t>
      </w:r>
      <w:r w:rsidRPr="00720E4F">
        <w:t xml:space="preserve">, </w:t>
      </w:r>
      <w:r w:rsidRPr="00720E4F">
        <w:rPr>
          <w:bCs/>
        </w:rPr>
        <w:t>Portugal</w:t>
      </w:r>
      <w:r w:rsidRPr="00720E4F">
        <w:t xml:space="preserve">, </w:t>
      </w:r>
      <w:r w:rsidRPr="00720E4F">
        <w:rPr>
          <w:bCs/>
        </w:rPr>
        <w:t>Romania</w:t>
      </w:r>
      <w:r w:rsidRPr="00720E4F">
        <w:t xml:space="preserve">, </w:t>
      </w:r>
      <w:r w:rsidRPr="00720E4F">
        <w:rPr>
          <w:bCs/>
        </w:rPr>
        <w:t xml:space="preserve">Slovakia </w:t>
      </w:r>
      <w:r w:rsidRPr="00720E4F">
        <w:t xml:space="preserve">and </w:t>
      </w:r>
      <w:r w:rsidRPr="00720E4F">
        <w:rPr>
          <w:bCs/>
        </w:rPr>
        <w:t xml:space="preserve">Slovenia </w:t>
      </w:r>
      <w:r w:rsidRPr="00720E4F">
        <w:t>– ESIF funded projects related to living arrangements for persons with disabilities during the 2007–2013 funding period, according to evidence that FRA collected for this report. In a number of cases, this included reconstructing or renovating existing institutions.</w:t>
      </w:r>
      <w:r>
        <w:t>” (p. 11)</w:t>
      </w:r>
    </w:p>
    <w:p w14:paraId="0BD0ACC1" w14:textId="4EDDE1B7" w:rsidR="00720E4F" w:rsidRDefault="00720E4F" w:rsidP="00454CBC">
      <w:pPr>
        <w:spacing w:after="0"/>
      </w:pPr>
      <w:r>
        <w:t>“</w:t>
      </w:r>
      <w:r w:rsidRPr="00720E4F">
        <w:t>The European Com</w:t>
      </w:r>
      <w:r w:rsidRPr="00720E4F">
        <w:softHyphen/>
        <w:t xml:space="preserve">mission identified a need for measures for the shift from institutional to community-based ‘care’ in 12 EU Member States: </w:t>
      </w:r>
      <w:r w:rsidRPr="00720E4F">
        <w:rPr>
          <w:bCs/>
        </w:rPr>
        <w:t>Bulgaria</w:t>
      </w:r>
      <w:r w:rsidRPr="00720E4F">
        <w:t xml:space="preserve">, </w:t>
      </w:r>
      <w:r w:rsidRPr="00720E4F">
        <w:rPr>
          <w:bCs/>
        </w:rPr>
        <w:t>Croatia</w:t>
      </w:r>
      <w:r w:rsidRPr="00720E4F">
        <w:t xml:space="preserve">, </w:t>
      </w:r>
      <w:r w:rsidRPr="00720E4F">
        <w:rPr>
          <w:bCs/>
        </w:rPr>
        <w:t>the Czech Republic</w:t>
      </w:r>
      <w:r w:rsidRPr="00720E4F">
        <w:t xml:space="preserve">, </w:t>
      </w:r>
      <w:r w:rsidRPr="00720E4F">
        <w:rPr>
          <w:bCs/>
        </w:rPr>
        <w:t>Estonia</w:t>
      </w:r>
      <w:r w:rsidRPr="00720E4F">
        <w:t xml:space="preserve">, </w:t>
      </w:r>
      <w:r w:rsidRPr="00720E4F">
        <w:rPr>
          <w:bCs/>
        </w:rPr>
        <w:t>Greece</w:t>
      </w:r>
      <w:r w:rsidRPr="00720E4F">
        <w:t xml:space="preserve">, </w:t>
      </w:r>
      <w:r w:rsidRPr="00720E4F">
        <w:rPr>
          <w:bCs/>
        </w:rPr>
        <w:t>Hungary</w:t>
      </w:r>
      <w:r w:rsidRPr="00720E4F">
        <w:t xml:space="preserve">, </w:t>
      </w:r>
      <w:r w:rsidRPr="00720E4F">
        <w:rPr>
          <w:bCs/>
        </w:rPr>
        <w:t>Latvia</w:t>
      </w:r>
      <w:r w:rsidRPr="00720E4F">
        <w:t xml:space="preserve">, </w:t>
      </w:r>
      <w:r w:rsidRPr="00720E4F">
        <w:rPr>
          <w:bCs/>
        </w:rPr>
        <w:t>Lithuania</w:t>
      </w:r>
      <w:r w:rsidRPr="00720E4F">
        <w:t xml:space="preserve">, </w:t>
      </w:r>
      <w:r w:rsidRPr="00720E4F">
        <w:rPr>
          <w:b/>
          <w:bCs/>
        </w:rPr>
        <w:t>Poland</w:t>
      </w:r>
      <w:r w:rsidRPr="00720E4F">
        <w:t xml:space="preserve">, </w:t>
      </w:r>
      <w:r w:rsidRPr="00720E4F">
        <w:rPr>
          <w:bCs/>
        </w:rPr>
        <w:t>Romania</w:t>
      </w:r>
      <w:r w:rsidRPr="00720E4F">
        <w:t xml:space="preserve">, </w:t>
      </w:r>
      <w:r w:rsidRPr="00720E4F">
        <w:rPr>
          <w:bCs/>
        </w:rPr>
        <w:t xml:space="preserve">Slovakia </w:t>
      </w:r>
      <w:r w:rsidRPr="00720E4F">
        <w:t xml:space="preserve">and </w:t>
      </w:r>
      <w:r w:rsidRPr="00720E4F">
        <w:rPr>
          <w:bCs/>
        </w:rPr>
        <w:t>Slovenia</w:t>
      </w:r>
      <w:r w:rsidRPr="00720E4F">
        <w:t>.</w:t>
      </w:r>
      <w:r>
        <w:t>” (p. 12)</w:t>
      </w:r>
    </w:p>
    <w:p w14:paraId="31290FE9" w14:textId="5C30DA1C" w:rsidR="00720E4F" w:rsidRDefault="00720E4F" w:rsidP="00454CBC">
      <w:pPr>
        <w:spacing w:after="0"/>
      </w:pPr>
      <w:r>
        <w:t>“</w:t>
      </w:r>
      <w:r w:rsidRPr="00720E4F">
        <w:t>If community-based services for persons with disabili</w:t>
      </w:r>
      <w:r w:rsidRPr="00720E4F">
        <w:softHyphen/>
        <w:t>ties are a clearly identifiable budget item, it helps show that funding is shifting from institutional to community-based support.</w:t>
      </w:r>
      <w:r>
        <w:t xml:space="preserve"> </w:t>
      </w:r>
      <w:r w:rsidRPr="00720E4F">
        <w:t>However, this component is not gener</w:t>
      </w:r>
      <w:r w:rsidRPr="00720E4F">
        <w:softHyphen/>
        <w:t>ally visible in state or regional budgets, according to evidence that FRA has collected.</w:t>
      </w:r>
      <w:r>
        <w:t xml:space="preserve"> </w:t>
      </w:r>
      <w:r w:rsidRPr="00720E4F">
        <w:t>Similarly, data are available for various types of ser</w:t>
      </w:r>
      <w:r w:rsidRPr="00720E4F">
        <w:softHyphen/>
        <w:t xml:space="preserve">vices in </w:t>
      </w:r>
      <w:r w:rsidRPr="00720E4F">
        <w:rPr>
          <w:b/>
          <w:bCs/>
        </w:rPr>
        <w:t>Poland</w:t>
      </w:r>
      <w:r w:rsidRPr="00720E4F">
        <w:t>, but do not distinguish groups of service users. Only specialised care services for persons with ‘mental disabilities’ are clearly identifiable as being for persons with disabilities. This service comes from the state budget, so it appears separately in the statistical reports on social assistance that the Ministry of Labour and Social Policy prepares</w:t>
      </w:r>
      <w:r>
        <w:t>.” (p. 21)</w:t>
      </w:r>
    </w:p>
    <w:p w14:paraId="5BEEE6F2" w14:textId="77777777" w:rsidR="0071019D" w:rsidRDefault="0071019D" w:rsidP="00454CBC">
      <w:pPr>
        <w:spacing w:after="0"/>
      </w:pPr>
    </w:p>
    <w:p w14:paraId="6409EB08" w14:textId="2A111AC3" w:rsidR="00D97FF1" w:rsidRDefault="00D97FF1" w:rsidP="00454CBC">
      <w:pPr>
        <w:pStyle w:val="Heading2"/>
        <w:ind w:left="939"/>
      </w:pPr>
      <w:bookmarkStart w:id="14" w:name="_Toc518292264"/>
      <w:r w:rsidRPr="00D97FF1">
        <w:t>From institutions to community living - Part III: outcomes for persons with disabilities</w:t>
      </w:r>
      <w:bookmarkEnd w:id="14"/>
    </w:p>
    <w:p w14:paraId="5D231AA4" w14:textId="165CF574" w:rsidR="00D97FF1" w:rsidRDefault="00D97FF1" w:rsidP="00454CBC">
      <w:pPr>
        <w:spacing w:after="0"/>
      </w:pPr>
      <w:r w:rsidRPr="00D97FF1">
        <w:t>For more detailed information:</w:t>
      </w:r>
      <w:r>
        <w:t xml:space="preserve"> </w:t>
      </w:r>
      <w:hyperlink r:id="rId16" w:history="1">
        <w:r w:rsidRPr="00580E70">
          <w:rPr>
            <w:rStyle w:val="Hyperlink"/>
          </w:rPr>
          <w:t>http://fra.europa.eu/en/publication/2017/independent-living-outcomes</w:t>
        </w:r>
      </w:hyperlink>
      <w:r>
        <w:t xml:space="preserve"> . Also available in easy-to-read: </w:t>
      </w:r>
      <w:hyperlink r:id="rId17" w:history="1">
        <w:r w:rsidRPr="00580E70">
          <w:rPr>
            <w:rStyle w:val="Hyperlink"/>
          </w:rPr>
          <w:t>http://fra.europa.eu/en/publication/2018/institutions-community-living-part-iii-outcomes-persons-disabilities-easy-read</w:t>
        </w:r>
      </w:hyperlink>
      <w:r>
        <w:t xml:space="preserve"> .</w:t>
      </w:r>
    </w:p>
    <w:p w14:paraId="592C571C" w14:textId="5F07CD5E" w:rsidR="00230412" w:rsidRDefault="00230412" w:rsidP="00454CBC">
      <w:pPr>
        <w:spacing w:after="0"/>
      </w:pPr>
      <w:r>
        <w:t>“</w:t>
      </w:r>
      <w:r w:rsidRPr="00230412">
        <w:t xml:space="preserve">In </w:t>
      </w:r>
      <w:r w:rsidRPr="00230412">
        <w:rPr>
          <w:b/>
          <w:bCs/>
        </w:rPr>
        <w:t>Poland</w:t>
      </w:r>
      <w:r w:rsidRPr="00230412">
        <w:t>, 30,500 persons were residing in special support centres for persons with ‘mental disorders’ in 2014.</w:t>
      </w:r>
      <w:r>
        <w:t>” (p. 16)</w:t>
      </w:r>
    </w:p>
    <w:p w14:paraId="06073EFB" w14:textId="6D54C6B3" w:rsidR="00230412" w:rsidRDefault="00230412" w:rsidP="00454CBC">
      <w:pPr>
        <w:spacing w:after="0"/>
      </w:pPr>
      <w:r>
        <w:lastRenderedPageBreak/>
        <w:t>“</w:t>
      </w:r>
      <w:r w:rsidRPr="00230412">
        <w:t>Some form of personal assistance is available in 22 Member States, according to data that FRA col</w:t>
      </w:r>
      <w:r w:rsidRPr="00230412">
        <w:softHyphen/>
        <w:t>lected</w:t>
      </w:r>
      <w:r>
        <w:t xml:space="preserve">. </w:t>
      </w:r>
      <w:r w:rsidRPr="00230412">
        <w:t>In other Member States, schemes are available in selected regions and are there</w:t>
      </w:r>
      <w:r w:rsidRPr="00230412">
        <w:softHyphen/>
        <w:t xml:space="preserve">fore not available countrywide. This was the case in </w:t>
      </w:r>
      <w:r w:rsidRPr="00230412">
        <w:rPr>
          <w:bCs/>
        </w:rPr>
        <w:t>Belgium</w:t>
      </w:r>
      <w:r w:rsidRPr="00230412">
        <w:rPr>
          <w:b/>
          <w:bCs/>
        </w:rPr>
        <w:t xml:space="preserve"> </w:t>
      </w:r>
      <w:r w:rsidRPr="00230412">
        <w:t xml:space="preserve">and </w:t>
      </w:r>
      <w:r w:rsidRPr="00230412">
        <w:rPr>
          <w:b/>
          <w:bCs/>
        </w:rPr>
        <w:t xml:space="preserve">Poland </w:t>
      </w:r>
      <w:r w:rsidRPr="00230412">
        <w:t>at the time of data collection.</w:t>
      </w:r>
      <w:r>
        <w:t>” (p. 20)</w:t>
      </w:r>
    </w:p>
    <w:p w14:paraId="6857B6E3" w14:textId="2C9421D0" w:rsidR="00230412" w:rsidRDefault="00230412" w:rsidP="00454CBC">
      <w:pPr>
        <w:spacing w:after="0"/>
      </w:pPr>
      <w:r>
        <w:t>“</w:t>
      </w:r>
      <w:r w:rsidRPr="00230412">
        <w:t xml:space="preserve">Local governments in </w:t>
      </w:r>
      <w:r w:rsidRPr="00230412">
        <w:rPr>
          <w:b/>
          <w:bCs/>
        </w:rPr>
        <w:t xml:space="preserve">Poland </w:t>
      </w:r>
      <w:r w:rsidRPr="00230412">
        <w:t>received 38,128 requests for the elimination of barriers in architecture and communication for persons with disabilities. About 45 % (17,478) were granted. This marked an increase from the approval rate of about 30 % in 2010, when 13,452 of 43,834 requests were granted.</w:t>
      </w:r>
      <w:r>
        <w:t>” (p. 20)</w:t>
      </w:r>
    </w:p>
    <w:p w14:paraId="49E1F60A" w14:textId="7BBF50C5" w:rsidR="00230412" w:rsidRDefault="00230412" w:rsidP="00454CBC">
      <w:pPr>
        <w:spacing w:after="0"/>
      </w:pPr>
      <w:r>
        <w:t>“</w:t>
      </w:r>
      <w:r w:rsidRPr="00230412">
        <w:t>On average, persons with disabilities in the EU are more likely than other persons to have difficulty in using general services commonly available to the public</w:t>
      </w:r>
      <w:r>
        <w:t xml:space="preserve">. </w:t>
      </w:r>
      <w:r w:rsidRPr="00230412">
        <w:t xml:space="preserve">The ‘disability gap’ varies across EU Member States and different services. It is comparatively low in </w:t>
      </w:r>
      <w:r w:rsidRPr="00230412">
        <w:rPr>
          <w:bCs/>
        </w:rPr>
        <w:t>Luxembourg</w:t>
      </w:r>
      <w:r w:rsidRPr="00230412">
        <w:t xml:space="preserve">, </w:t>
      </w:r>
      <w:r w:rsidRPr="00230412">
        <w:rPr>
          <w:bCs/>
        </w:rPr>
        <w:t>Malta</w:t>
      </w:r>
      <w:r w:rsidRPr="00230412">
        <w:rPr>
          <w:b/>
          <w:bCs/>
        </w:rPr>
        <w:t xml:space="preserve"> </w:t>
      </w:r>
      <w:r w:rsidRPr="00230412">
        <w:t xml:space="preserve">and </w:t>
      </w:r>
      <w:r w:rsidRPr="00230412">
        <w:rPr>
          <w:b/>
          <w:bCs/>
        </w:rPr>
        <w:t>Poland</w:t>
      </w:r>
      <w:r w:rsidRPr="00230412">
        <w:t>, and non-existent in France.</w:t>
      </w:r>
      <w:r>
        <w:t>” (p. 23)</w:t>
      </w:r>
    </w:p>
    <w:p w14:paraId="777123E7" w14:textId="77777777" w:rsidR="00454CBC" w:rsidRPr="00D97FF1" w:rsidRDefault="00454CBC" w:rsidP="00454CBC">
      <w:pPr>
        <w:spacing w:after="0"/>
      </w:pPr>
    </w:p>
    <w:p w14:paraId="3C7E58F4" w14:textId="0BF8A7F8" w:rsidR="008152A5" w:rsidRDefault="00281962" w:rsidP="00454CBC">
      <w:pPr>
        <w:pStyle w:val="Heading2"/>
        <w:ind w:left="939"/>
      </w:pPr>
      <w:bookmarkStart w:id="15" w:name="_Toc518292265"/>
      <w:r w:rsidRPr="001B79F3">
        <w:t>Violence against children with disabilities: legislation, policies and programmes in the EU report (2015)</w:t>
      </w:r>
      <w:bookmarkEnd w:id="15"/>
    </w:p>
    <w:p w14:paraId="5DAF0577" w14:textId="5AE8DD80" w:rsidR="00116EA9" w:rsidRDefault="00281962" w:rsidP="00B37D35">
      <w:pPr>
        <w:spacing w:after="0"/>
        <w:rPr>
          <w:rFonts w:cs="DaxlinePro-RegularItalic"/>
          <w:iCs/>
          <w:sz w:val="24"/>
          <w:szCs w:val="24"/>
        </w:rPr>
      </w:pPr>
      <w:r w:rsidRPr="001114EE">
        <w:rPr>
          <w:color w:val="000000" w:themeColor="text1"/>
          <w:sz w:val="24"/>
          <w:szCs w:val="24"/>
        </w:rPr>
        <w:t>For more detailed information:</w:t>
      </w:r>
      <w:r w:rsidRPr="001114EE">
        <w:rPr>
          <w:sz w:val="24"/>
          <w:szCs w:val="24"/>
        </w:rPr>
        <w:t xml:space="preserve"> </w:t>
      </w:r>
      <w:hyperlink r:id="rId18" w:history="1">
        <w:r w:rsidRPr="001114EE">
          <w:rPr>
            <w:rStyle w:val="Hyperlink"/>
            <w:sz w:val="24"/>
            <w:szCs w:val="24"/>
          </w:rPr>
          <w:t>http://fra.europa.eu/en/publication/2015/children-disabilities-violence</w:t>
        </w:r>
      </w:hyperlink>
      <w:r w:rsidR="008152A5" w:rsidRPr="001114EE">
        <w:rPr>
          <w:rStyle w:val="Hyperlink"/>
          <w:sz w:val="24"/>
          <w:szCs w:val="24"/>
          <w:u w:val="none"/>
        </w:rPr>
        <w:t xml:space="preserve">. </w:t>
      </w:r>
      <w:r w:rsidR="008152A5" w:rsidRPr="001114EE">
        <w:rPr>
          <w:rFonts w:cs="DaxlinePro-RegularItalic"/>
          <w:iCs/>
          <w:sz w:val="24"/>
          <w:szCs w:val="24"/>
        </w:rPr>
        <w:t xml:space="preserve">Also available in easy-to-read: </w:t>
      </w:r>
      <w:hyperlink r:id="rId19" w:history="1">
        <w:r w:rsidR="008152A5" w:rsidRPr="001114EE">
          <w:rPr>
            <w:rStyle w:val="Hyperlink"/>
            <w:rFonts w:cs="DaxlinePro-RegularItalic"/>
            <w:iCs/>
            <w:sz w:val="24"/>
            <w:szCs w:val="24"/>
          </w:rPr>
          <w:t>http://fra.europa.eu/en/publication/2015/violence-against-children-disabilities</w:t>
        </w:r>
      </w:hyperlink>
      <w:r w:rsidR="008152A5" w:rsidRPr="001114EE">
        <w:rPr>
          <w:rFonts w:cs="DaxlinePro-RegularItalic"/>
          <w:iCs/>
          <w:sz w:val="24"/>
          <w:szCs w:val="24"/>
        </w:rPr>
        <w:t>.</w:t>
      </w:r>
    </w:p>
    <w:p w14:paraId="758A87FB" w14:textId="15004D09" w:rsidR="00230412" w:rsidRDefault="00230412" w:rsidP="00B37D35">
      <w:pPr>
        <w:spacing w:after="0"/>
        <w:rPr>
          <w:rFonts w:cs="DaxlinePro-RegularItalic"/>
          <w:iCs/>
          <w:sz w:val="24"/>
          <w:szCs w:val="24"/>
        </w:rPr>
      </w:pPr>
      <w:r>
        <w:rPr>
          <w:rFonts w:cs="DaxlinePro-RegularItalic"/>
          <w:iCs/>
          <w:sz w:val="24"/>
          <w:szCs w:val="24"/>
        </w:rPr>
        <w:t>“</w:t>
      </w:r>
      <w:r w:rsidRPr="00230412">
        <w:rPr>
          <w:rFonts w:cs="DaxlinePro-RegularItalic"/>
          <w:iCs/>
          <w:sz w:val="24"/>
          <w:szCs w:val="24"/>
        </w:rPr>
        <w:t>A recent NGO coalition report assessed the attention paid to the deinstitutionalisation of children in the PAs and OPs of eight EU Member States (Bulgaria, Esto</w:t>
      </w:r>
      <w:r w:rsidRPr="00230412">
        <w:rPr>
          <w:rFonts w:cs="DaxlinePro-RegularItalic"/>
          <w:iCs/>
          <w:sz w:val="24"/>
          <w:szCs w:val="24"/>
        </w:rPr>
        <w:softHyphen/>
        <w:t xml:space="preserve">nia, Greece, Hungary, Latvia, Lithuania, </w:t>
      </w:r>
      <w:r w:rsidRPr="00230412">
        <w:rPr>
          <w:rFonts w:cs="DaxlinePro-RegularItalic"/>
          <w:b/>
          <w:iCs/>
          <w:sz w:val="24"/>
          <w:szCs w:val="24"/>
        </w:rPr>
        <w:t>Poland</w:t>
      </w:r>
      <w:r w:rsidRPr="00230412">
        <w:rPr>
          <w:rFonts w:cs="DaxlinePro-RegularItalic"/>
          <w:iCs/>
          <w:sz w:val="24"/>
          <w:szCs w:val="24"/>
        </w:rPr>
        <w:t xml:space="preserve"> and Romania). It found that deinstitutionalisation remained a priority for investment and was explicitly mentioned in the PAs and OPs of all countries analysed, except for Greece. However, only half of the countries’ respond</w:t>
      </w:r>
      <w:r w:rsidRPr="00230412">
        <w:rPr>
          <w:rFonts w:cs="DaxlinePro-RegularItalic"/>
          <w:iCs/>
          <w:sz w:val="24"/>
          <w:szCs w:val="24"/>
        </w:rPr>
        <w:softHyphen/>
        <w:t>ents felt that the ESIF budget allocation for deinstitu</w:t>
      </w:r>
      <w:r w:rsidRPr="00230412">
        <w:rPr>
          <w:rFonts w:cs="DaxlinePro-RegularItalic"/>
          <w:iCs/>
          <w:sz w:val="24"/>
          <w:szCs w:val="24"/>
        </w:rPr>
        <w:softHyphen/>
        <w:t xml:space="preserve">tionalisation was satisfactory (Bulgaria, Estonia, Latvia and Romania); three considered it unclear (Hungary, Lithuania and Greece), and </w:t>
      </w:r>
      <w:r w:rsidRPr="00230412">
        <w:rPr>
          <w:rFonts w:cs="DaxlinePro-RegularItalic"/>
          <w:b/>
          <w:iCs/>
          <w:sz w:val="24"/>
          <w:szCs w:val="24"/>
        </w:rPr>
        <w:t>Poland</w:t>
      </w:r>
      <w:r w:rsidRPr="00230412">
        <w:rPr>
          <w:rFonts w:cs="DaxlinePro-RegularItalic"/>
          <w:iCs/>
          <w:sz w:val="24"/>
          <w:szCs w:val="24"/>
        </w:rPr>
        <w:t xml:space="preserve"> considered it insuf</w:t>
      </w:r>
      <w:r w:rsidRPr="00230412">
        <w:rPr>
          <w:rFonts w:cs="DaxlinePro-RegularItalic"/>
          <w:iCs/>
          <w:sz w:val="24"/>
          <w:szCs w:val="24"/>
        </w:rPr>
        <w:softHyphen/>
        <w:t>ficient</w:t>
      </w:r>
      <w:r>
        <w:rPr>
          <w:rFonts w:cs="DaxlinePro-RegularItalic"/>
          <w:iCs/>
          <w:sz w:val="24"/>
          <w:szCs w:val="24"/>
        </w:rPr>
        <w:t>.” (p. 33)</w:t>
      </w:r>
    </w:p>
    <w:p w14:paraId="3ACE3CD3" w14:textId="3A61C9B5" w:rsidR="00230412" w:rsidRDefault="00230412" w:rsidP="00B37D35">
      <w:pPr>
        <w:spacing w:after="0"/>
        <w:rPr>
          <w:rFonts w:cs="DaxlinePro-RegularItalic"/>
          <w:iCs/>
          <w:sz w:val="24"/>
          <w:szCs w:val="24"/>
        </w:rPr>
      </w:pPr>
      <w:r>
        <w:rPr>
          <w:rFonts w:cs="DaxlinePro-RegularItalic"/>
          <w:iCs/>
          <w:sz w:val="24"/>
          <w:szCs w:val="24"/>
        </w:rPr>
        <w:t>“</w:t>
      </w:r>
      <w:r w:rsidRPr="00230412">
        <w:rPr>
          <w:rFonts w:cs="DaxlinePro-RegularItalic"/>
          <w:iCs/>
          <w:sz w:val="24"/>
          <w:szCs w:val="24"/>
        </w:rPr>
        <w:t>The CRC obliges States Parties to take all measures nec</w:t>
      </w:r>
      <w:r w:rsidRPr="00230412">
        <w:rPr>
          <w:rFonts w:cs="DaxlinePro-RegularItalic"/>
          <w:iCs/>
          <w:sz w:val="24"/>
          <w:szCs w:val="24"/>
        </w:rPr>
        <w:softHyphen/>
        <w:t>essary to protect children from all forms of violence. Such protective measures should include effective reporting procedures, as appropriate</w:t>
      </w:r>
      <w:r w:rsidR="001939A6">
        <w:rPr>
          <w:rFonts w:cs="DaxlinePro-RegularItalic"/>
          <w:iCs/>
          <w:sz w:val="24"/>
          <w:szCs w:val="24"/>
        </w:rPr>
        <w:t xml:space="preserve">. </w:t>
      </w:r>
      <w:r w:rsidR="001939A6" w:rsidRPr="001939A6">
        <w:rPr>
          <w:rFonts w:cs="DaxlinePro-RegularItalic"/>
          <w:iCs/>
          <w:sz w:val="24"/>
          <w:szCs w:val="24"/>
        </w:rPr>
        <w:t xml:space="preserve">Only 15 of the 25 Member States who have such a reporting obligation impose </w:t>
      </w:r>
      <w:r w:rsidR="001939A6" w:rsidRPr="001939A6">
        <w:rPr>
          <w:rFonts w:cs="DaxlinePro-RegularItalic"/>
          <w:iCs/>
          <w:sz w:val="24"/>
          <w:szCs w:val="24"/>
        </w:rPr>
        <w:lastRenderedPageBreak/>
        <w:t xml:space="preserve">it on all professionals (Bulgaria, Croatia, Denmark, Estonia, France, Hungary, Ireland, Lithuania, Luxembourg, </w:t>
      </w:r>
      <w:r w:rsidR="001939A6" w:rsidRPr="001939A6">
        <w:rPr>
          <w:rFonts w:cs="DaxlinePro-RegularItalic"/>
          <w:b/>
          <w:iCs/>
          <w:sz w:val="24"/>
          <w:szCs w:val="24"/>
        </w:rPr>
        <w:t>Poland</w:t>
      </w:r>
      <w:r w:rsidR="001939A6" w:rsidRPr="001939A6">
        <w:rPr>
          <w:rFonts w:cs="DaxlinePro-RegularItalic"/>
          <w:iCs/>
          <w:sz w:val="24"/>
          <w:szCs w:val="24"/>
        </w:rPr>
        <w:t>, Romania, Slo</w:t>
      </w:r>
      <w:r w:rsidR="001939A6" w:rsidRPr="001939A6">
        <w:rPr>
          <w:rFonts w:cs="DaxlinePro-RegularItalic"/>
          <w:iCs/>
          <w:sz w:val="24"/>
          <w:szCs w:val="24"/>
        </w:rPr>
        <w:softHyphen/>
        <w:t>venia, Spain, Sweden and the United Kingdom).</w:t>
      </w:r>
      <w:r w:rsidR="001939A6">
        <w:rPr>
          <w:rFonts w:cs="DaxlinePro-RegularItalic"/>
          <w:iCs/>
          <w:sz w:val="24"/>
          <w:szCs w:val="24"/>
        </w:rPr>
        <w:t>” (p. 40)</w:t>
      </w:r>
    </w:p>
    <w:p w14:paraId="5483E7BD" w14:textId="2759F50A" w:rsidR="001939A6" w:rsidRDefault="001939A6" w:rsidP="00B37D35">
      <w:pPr>
        <w:spacing w:after="0"/>
        <w:rPr>
          <w:rFonts w:cs="DaxlinePro-RegularItalic"/>
          <w:iCs/>
          <w:sz w:val="24"/>
          <w:szCs w:val="24"/>
        </w:rPr>
      </w:pPr>
      <w:r>
        <w:rPr>
          <w:rFonts w:cs="DaxlinePro-RegularItalic"/>
          <w:iCs/>
          <w:sz w:val="24"/>
          <w:szCs w:val="24"/>
        </w:rPr>
        <w:t>“</w:t>
      </w:r>
      <w:r w:rsidRPr="001939A6">
        <w:rPr>
          <w:rFonts w:cs="DaxlinePro-RegularItalic"/>
          <w:iCs/>
          <w:sz w:val="24"/>
          <w:szCs w:val="24"/>
        </w:rPr>
        <w:t xml:space="preserve">In </w:t>
      </w:r>
      <w:r w:rsidRPr="001939A6">
        <w:rPr>
          <w:rFonts w:cs="DaxlinePro-RegularItalic"/>
          <w:b/>
          <w:iCs/>
          <w:sz w:val="24"/>
          <w:szCs w:val="24"/>
        </w:rPr>
        <w:t>Poland</w:t>
      </w:r>
      <w:r w:rsidRPr="001939A6">
        <w:rPr>
          <w:rFonts w:cs="DaxlinePro-RegularItalic"/>
          <w:iCs/>
          <w:sz w:val="24"/>
          <w:szCs w:val="24"/>
        </w:rPr>
        <w:t>, the Act on family support and the system of alternative care prohibits placing children below the age of 10 in “socialisation, intervention, or specialist therapeu</w:t>
      </w:r>
      <w:r w:rsidRPr="001939A6">
        <w:rPr>
          <w:rFonts w:cs="DaxlinePro-RegularItalic"/>
          <w:iCs/>
          <w:sz w:val="24"/>
          <w:szCs w:val="24"/>
        </w:rPr>
        <w:softHyphen/>
        <w:t>tic type of a care</w:t>
      </w:r>
      <w:r w:rsidRPr="001939A6">
        <w:rPr>
          <w:rFonts w:cs="DaxlinePro-RegularItalic"/>
          <w:iCs/>
          <w:sz w:val="24"/>
          <w:szCs w:val="24"/>
        </w:rPr>
        <w:noBreakHyphen/>
        <w:t>guardianship facility”, excluding exceptional cases relating to a child’s health or sibling concerns</w:t>
      </w:r>
      <w:r>
        <w:rPr>
          <w:rFonts w:cs="DaxlinePro-RegularItalic"/>
          <w:iCs/>
          <w:sz w:val="24"/>
          <w:szCs w:val="24"/>
        </w:rPr>
        <w:t>.” (p. 44)</w:t>
      </w:r>
    </w:p>
    <w:p w14:paraId="7FE24463" w14:textId="6A0809EB" w:rsidR="008D4F4A" w:rsidRPr="008D4F4A" w:rsidRDefault="008D4F4A" w:rsidP="008D4F4A">
      <w:pPr>
        <w:pStyle w:val="Pa17"/>
        <w:rPr>
          <w:rFonts w:asciiTheme="minorHAnsi" w:hAnsiTheme="minorHAnsi" w:cs="DaxlinePro-Regular"/>
          <w:color w:val="000000"/>
        </w:rPr>
      </w:pPr>
      <w:r w:rsidRPr="008D4F4A">
        <w:rPr>
          <w:rFonts w:asciiTheme="minorHAnsi" w:eastAsia="DaxlinePro-RegularItalic" w:hAnsiTheme="minorHAnsi" w:cs="DaxlinePro-RegularItalic"/>
          <w:iCs/>
          <w:color w:val="000000"/>
        </w:rPr>
        <w:t xml:space="preserve">“How far should we go into those divisions then, if we can create one policy and include all those important elements, and emphasise what we consider important and significant, instead of repeating the same thing 50 times in the general part considering only the narrow needs in the field of, for example, disability.” </w:t>
      </w:r>
      <w:r w:rsidRPr="008D4F4A">
        <w:rPr>
          <w:rFonts w:asciiTheme="minorHAnsi" w:hAnsiTheme="minorHAnsi" w:cs="DaxlinePro-Regular"/>
          <w:color w:val="000000"/>
        </w:rPr>
        <w:t xml:space="preserve">(Public authority representative, </w:t>
      </w:r>
      <w:r w:rsidRPr="008D4F4A">
        <w:rPr>
          <w:rFonts w:asciiTheme="minorHAnsi" w:hAnsiTheme="minorHAnsi" w:cs="DaxlinePro-Regular"/>
          <w:b/>
          <w:color w:val="000000"/>
        </w:rPr>
        <w:t>Poland</w:t>
      </w:r>
      <w:r w:rsidRPr="008D4F4A">
        <w:rPr>
          <w:rFonts w:asciiTheme="minorHAnsi" w:hAnsiTheme="minorHAnsi" w:cs="DaxlinePro-Regular"/>
          <w:color w:val="000000"/>
        </w:rPr>
        <w:t>)</w:t>
      </w:r>
      <w:r w:rsidRPr="008D4F4A">
        <w:rPr>
          <w:rFonts w:ascii="DaxlinePro-Regular" w:hAnsi="DaxlinePro-Regular" w:cs="DaxlinePro-Regular"/>
          <w:color w:val="000000"/>
          <w:sz w:val="16"/>
          <w:szCs w:val="16"/>
        </w:rPr>
        <w:t xml:space="preserve"> </w:t>
      </w:r>
      <w:r>
        <w:rPr>
          <w:rFonts w:asciiTheme="minorHAnsi" w:hAnsiTheme="minorHAnsi" w:cs="DaxlinePro-Regular"/>
          <w:color w:val="000000"/>
        </w:rPr>
        <w:t>(p. 45)</w:t>
      </w:r>
    </w:p>
    <w:p w14:paraId="3CA10CEC" w14:textId="568ECB4D" w:rsidR="008D4F4A" w:rsidRDefault="008D4F4A" w:rsidP="00F93BE1">
      <w:pPr>
        <w:pStyle w:val="Pa17"/>
        <w:rPr>
          <w:rFonts w:asciiTheme="minorHAnsi" w:hAnsiTheme="minorHAnsi" w:cs="DaxlinePro-Regular"/>
          <w:color w:val="000000"/>
        </w:rPr>
      </w:pPr>
      <w:r w:rsidRPr="008D4F4A">
        <w:rPr>
          <w:rFonts w:asciiTheme="minorHAnsi" w:eastAsia="DaxlinePro-RegularItalic" w:hAnsiTheme="minorHAnsi" w:cs="DaxlinePro-RegularItalic"/>
          <w:iCs/>
          <w:color w:val="000000"/>
        </w:rPr>
        <w:t xml:space="preserve">“If I was the Minister of Education, I would change the whole legal system; I would get rid of this phrase ‘a disabled child’ and I would get rid of the phrase ‘a child with special educational needs’. I would start with language, because in fact some sort of otherness and some hostility are created in our heads. It is often reflected in the language in which we communicate with each other.” </w:t>
      </w:r>
      <w:r w:rsidRPr="008D4F4A">
        <w:rPr>
          <w:rFonts w:asciiTheme="minorHAnsi" w:hAnsiTheme="minorHAnsi" w:cs="DaxlinePro-Regular"/>
          <w:color w:val="000000"/>
        </w:rPr>
        <w:t xml:space="preserve">(NHRB representative, </w:t>
      </w:r>
      <w:r w:rsidRPr="008D4F4A">
        <w:rPr>
          <w:rFonts w:asciiTheme="minorHAnsi" w:hAnsiTheme="minorHAnsi" w:cs="DaxlinePro-Regular"/>
          <w:b/>
          <w:color w:val="000000"/>
        </w:rPr>
        <w:t>Poland</w:t>
      </w:r>
      <w:r w:rsidRPr="008D4F4A">
        <w:rPr>
          <w:rFonts w:asciiTheme="minorHAnsi" w:hAnsiTheme="minorHAnsi" w:cs="DaxlinePro-Regular"/>
          <w:color w:val="000000"/>
        </w:rPr>
        <w:t xml:space="preserve">) </w:t>
      </w:r>
      <w:r>
        <w:rPr>
          <w:rFonts w:asciiTheme="minorHAnsi" w:hAnsiTheme="minorHAnsi" w:cs="DaxlinePro-Regular"/>
          <w:color w:val="000000"/>
        </w:rPr>
        <w:t>(p. 45)</w:t>
      </w:r>
    </w:p>
    <w:p w14:paraId="3F1A35B2" w14:textId="77777777" w:rsidR="00F93BE1" w:rsidRDefault="00F93BE1" w:rsidP="00F93BE1"/>
    <w:p w14:paraId="6B8AB6A4" w14:textId="77777777" w:rsidR="00F93BE1" w:rsidRDefault="00F93BE1" w:rsidP="00F93BE1"/>
    <w:p w14:paraId="438DAEA2" w14:textId="77777777" w:rsidR="00F93BE1" w:rsidRPr="00F93BE1" w:rsidRDefault="00F93BE1" w:rsidP="00F93BE1"/>
    <w:p w14:paraId="411A5800" w14:textId="0E84447D" w:rsidR="001939A6" w:rsidRDefault="001939A6" w:rsidP="00B37D35">
      <w:pPr>
        <w:spacing w:after="0"/>
        <w:rPr>
          <w:rFonts w:cs="DaxlinePro-RegularItalic"/>
          <w:iCs/>
          <w:sz w:val="24"/>
          <w:szCs w:val="24"/>
        </w:rPr>
      </w:pPr>
      <w:r>
        <w:rPr>
          <w:rFonts w:cs="DaxlinePro-RegularItalic"/>
          <w:iCs/>
          <w:noProof/>
          <w:sz w:val="24"/>
          <w:szCs w:val="24"/>
          <w:lang w:eastAsia="en-IE"/>
        </w:rPr>
        <w:drawing>
          <wp:inline distT="0" distB="0" distL="0" distR="0" wp14:anchorId="03443147" wp14:editId="3E141570">
            <wp:extent cx="2419350" cy="5924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RPD2.PNG"/>
                    <pic:cNvPicPr/>
                  </pic:nvPicPr>
                  <pic:blipFill>
                    <a:blip r:embed="rId20">
                      <a:extLst>
                        <a:ext uri="{28A0092B-C50C-407E-A947-70E740481C1C}">
                          <a14:useLocalDpi xmlns:a14="http://schemas.microsoft.com/office/drawing/2010/main" val="0"/>
                        </a:ext>
                      </a:extLst>
                    </a:blip>
                    <a:stretch>
                      <a:fillRect/>
                    </a:stretch>
                  </pic:blipFill>
                  <pic:spPr>
                    <a:xfrm>
                      <a:off x="0" y="0"/>
                      <a:ext cx="2485819" cy="608732"/>
                    </a:xfrm>
                    <a:prstGeom prst="rect">
                      <a:avLst/>
                    </a:prstGeom>
                  </pic:spPr>
                </pic:pic>
              </a:graphicData>
            </a:graphic>
          </wp:inline>
        </w:drawing>
      </w:r>
    </w:p>
    <w:p w14:paraId="5A0A89B3" w14:textId="21314BE7" w:rsidR="008D4F4A" w:rsidRPr="00726949" w:rsidRDefault="001939A6" w:rsidP="00726949">
      <w:pPr>
        <w:spacing w:after="0"/>
        <w:rPr>
          <w:rFonts w:cs="DaxlinePro-RegularItalic"/>
          <w:iCs/>
          <w:sz w:val="24"/>
          <w:szCs w:val="24"/>
        </w:rPr>
      </w:pPr>
      <w:r>
        <w:rPr>
          <w:rFonts w:cs="DaxlinePro-RegularItalic"/>
          <w:iCs/>
          <w:noProof/>
          <w:sz w:val="24"/>
          <w:szCs w:val="24"/>
          <w:lang w:eastAsia="en-IE"/>
        </w:rPr>
        <w:lastRenderedPageBreak/>
        <w:drawing>
          <wp:inline distT="0" distB="0" distL="0" distR="0" wp14:anchorId="5B79CEAA" wp14:editId="66922477">
            <wp:extent cx="2457450" cy="22159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PD3.PNG"/>
                    <pic:cNvPicPr/>
                  </pic:nvPicPr>
                  <pic:blipFill>
                    <a:blip r:embed="rId21">
                      <a:extLst>
                        <a:ext uri="{28A0092B-C50C-407E-A947-70E740481C1C}">
                          <a14:useLocalDpi xmlns:a14="http://schemas.microsoft.com/office/drawing/2010/main" val="0"/>
                        </a:ext>
                      </a:extLst>
                    </a:blip>
                    <a:stretch>
                      <a:fillRect/>
                    </a:stretch>
                  </pic:blipFill>
                  <pic:spPr>
                    <a:xfrm>
                      <a:off x="0" y="0"/>
                      <a:ext cx="2457450" cy="2215931"/>
                    </a:xfrm>
                    <a:prstGeom prst="rect">
                      <a:avLst/>
                    </a:prstGeom>
                  </pic:spPr>
                </pic:pic>
              </a:graphicData>
            </a:graphic>
          </wp:inline>
        </w:drawing>
      </w:r>
      <w:r>
        <w:rPr>
          <w:rFonts w:cs="DaxlinePro-RegularItalic"/>
          <w:iCs/>
          <w:sz w:val="24"/>
          <w:szCs w:val="24"/>
        </w:rPr>
        <w:t xml:space="preserve">  (p. 48)</w:t>
      </w:r>
    </w:p>
    <w:p w14:paraId="7CC96092" w14:textId="588A332A" w:rsidR="008D4F4A" w:rsidRPr="00726949" w:rsidRDefault="001939A6" w:rsidP="00726949">
      <w:pPr>
        <w:autoSpaceDE w:val="0"/>
        <w:autoSpaceDN w:val="0"/>
        <w:adjustRightInd w:val="0"/>
        <w:spacing w:after="0" w:line="185" w:lineRule="atLeast"/>
        <w:rPr>
          <w:rFonts w:eastAsia="DaxlinePro-RegularItalic" w:cs="DaxlinePro-RegularItalic"/>
          <w:iCs/>
          <w:color w:val="000000"/>
          <w:sz w:val="24"/>
          <w:szCs w:val="24"/>
        </w:rPr>
      </w:pPr>
      <w:r w:rsidRPr="001939A6">
        <w:rPr>
          <w:rFonts w:eastAsia="DaxlinePro-RegularItalic" w:cs="DaxlinePro-RegularItalic"/>
          <w:iCs/>
          <w:color w:val="000000"/>
          <w:sz w:val="24"/>
          <w:szCs w:val="24"/>
        </w:rPr>
        <w:t>“Still, very often cases which involve a child with a disability are dropped. […] I may tell you a lot about the way the prosecution service handles cases in which kids with disabilities are witnesses to an offence. They are rather difficult witnesses as they have trouble remembering the course of events, problems with perception and reconstructing what happened, because of their intellectual ‘deficits’. Often they are diagnosed on the basis of a one</w:t>
      </w:r>
      <w:r w:rsidRPr="001939A6">
        <w:rPr>
          <w:rFonts w:eastAsia="DaxlinePro-RegularItalic" w:cs="DaxlinePro-RegularItalic"/>
          <w:color w:val="000000"/>
          <w:sz w:val="24"/>
          <w:szCs w:val="24"/>
        </w:rPr>
        <w:noBreakHyphen/>
      </w:r>
      <w:r w:rsidRPr="001939A6">
        <w:rPr>
          <w:rFonts w:eastAsia="DaxlinePro-RegularItalic" w:cs="DaxlinePro-RegularItalic"/>
          <w:iCs/>
          <w:color w:val="000000"/>
          <w:sz w:val="24"/>
          <w:szCs w:val="24"/>
        </w:rPr>
        <w:t xml:space="preserve">off examination which may last for an hour, maximum. It’s too short to make contact with such a child. But sometimes it is considered enough to draw up ‘opinions’, if I may call them such, whose quality is questionable, and the proceedings are discontinued.” </w:t>
      </w:r>
      <w:r w:rsidR="008D4F4A" w:rsidRPr="008D4F4A">
        <w:rPr>
          <w:rFonts w:eastAsia="DaxlinePro-RegularItalic" w:cs="DaxlinePro-RegularItalic"/>
          <w:iCs/>
          <w:color w:val="000000"/>
          <w:sz w:val="24"/>
          <w:szCs w:val="24"/>
        </w:rPr>
        <w:t xml:space="preserve">(Therapist, </w:t>
      </w:r>
      <w:r w:rsidR="008D4F4A" w:rsidRPr="008D4F4A">
        <w:rPr>
          <w:rFonts w:eastAsia="DaxlinePro-RegularItalic" w:cs="DaxlinePro-RegularItalic"/>
          <w:b/>
          <w:iCs/>
          <w:color w:val="000000"/>
          <w:sz w:val="24"/>
          <w:szCs w:val="24"/>
        </w:rPr>
        <w:t>Poland</w:t>
      </w:r>
      <w:r w:rsidR="008D4F4A" w:rsidRPr="008D4F4A">
        <w:rPr>
          <w:rFonts w:eastAsia="DaxlinePro-RegularItalic" w:cs="DaxlinePro-RegularItalic"/>
          <w:iCs/>
          <w:color w:val="000000"/>
          <w:sz w:val="24"/>
          <w:szCs w:val="24"/>
        </w:rPr>
        <w:t>)</w:t>
      </w:r>
      <w:r w:rsidR="008D4F4A">
        <w:rPr>
          <w:rFonts w:eastAsia="DaxlinePro-RegularItalic" w:cs="DaxlinePro-RegularItalic"/>
          <w:iCs/>
          <w:color w:val="000000"/>
          <w:sz w:val="24"/>
          <w:szCs w:val="24"/>
        </w:rPr>
        <w:t xml:space="preserve"> (p. 48)</w:t>
      </w:r>
    </w:p>
    <w:p w14:paraId="5BBF1A06" w14:textId="2210840F" w:rsidR="008D4F4A" w:rsidRDefault="008D4F4A" w:rsidP="00726949">
      <w:pPr>
        <w:autoSpaceDE w:val="0"/>
        <w:autoSpaceDN w:val="0"/>
        <w:adjustRightInd w:val="0"/>
        <w:spacing w:after="0" w:line="185" w:lineRule="atLeast"/>
        <w:rPr>
          <w:rFonts w:eastAsia="DaxlinePro-RegularItalic" w:cs="DaxlinePro-RegularItalic"/>
          <w:color w:val="000000"/>
          <w:sz w:val="24"/>
          <w:szCs w:val="24"/>
        </w:rPr>
      </w:pPr>
      <w:r w:rsidRPr="008D4F4A">
        <w:rPr>
          <w:rFonts w:eastAsia="DaxlinePro-RegularItalic" w:cs="DaxlinePro-RegularItalic"/>
          <w:color w:val="000000"/>
          <w:sz w:val="24"/>
          <w:szCs w:val="24"/>
        </w:rPr>
        <w:t xml:space="preserve">“We have signals that </w:t>
      </w:r>
      <w:r>
        <w:rPr>
          <w:rFonts w:eastAsia="DaxlinePro-RegularItalic" w:cs="DaxlinePro-RegularItalic"/>
          <w:color w:val="000000"/>
          <w:sz w:val="24"/>
          <w:szCs w:val="24"/>
        </w:rPr>
        <w:t xml:space="preserve">[violence against children with </w:t>
      </w:r>
      <w:r w:rsidRPr="008D4F4A">
        <w:rPr>
          <w:rFonts w:eastAsia="DaxlinePro-RegularItalic" w:cs="DaxlinePro-RegularItalic"/>
          <w:color w:val="000000"/>
          <w:sz w:val="24"/>
          <w:szCs w:val="24"/>
        </w:rPr>
        <w:t>disabilities] occur in orp</w:t>
      </w:r>
      <w:r>
        <w:rPr>
          <w:rFonts w:eastAsia="DaxlinePro-RegularItalic" w:cs="DaxlinePro-RegularItalic"/>
          <w:color w:val="000000"/>
          <w:sz w:val="24"/>
          <w:szCs w:val="24"/>
        </w:rPr>
        <w:t xml:space="preserve">hanages, in social care houses, </w:t>
      </w:r>
      <w:r w:rsidRPr="008D4F4A">
        <w:rPr>
          <w:rFonts w:eastAsia="DaxlinePro-RegularItalic" w:cs="DaxlinePro-RegularItalic"/>
          <w:color w:val="000000"/>
          <w:sz w:val="24"/>
          <w:szCs w:val="24"/>
        </w:rPr>
        <w:t>towards persons who use socia</w:t>
      </w:r>
      <w:r>
        <w:rPr>
          <w:rFonts w:eastAsia="DaxlinePro-RegularItalic" w:cs="DaxlinePro-RegularItalic"/>
          <w:color w:val="000000"/>
          <w:sz w:val="24"/>
          <w:szCs w:val="24"/>
        </w:rPr>
        <w:t xml:space="preserve">l care centres or are placed in </w:t>
      </w:r>
      <w:r w:rsidRPr="008D4F4A">
        <w:rPr>
          <w:rFonts w:eastAsia="DaxlinePro-RegularItalic" w:cs="DaxlinePro-RegularItalic"/>
          <w:color w:val="000000"/>
          <w:sz w:val="24"/>
          <w:szCs w:val="24"/>
        </w:rPr>
        <w:t xml:space="preserve">such centres. What the extent </w:t>
      </w:r>
      <w:r>
        <w:rPr>
          <w:rFonts w:eastAsia="DaxlinePro-RegularItalic" w:cs="DaxlinePro-RegularItalic"/>
          <w:color w:val="000000"/>
          <w:sz w:val="24"/>
          <w:szCs w:val="24"/>
        </w:rPr>
        <w:t xml:space="preserve">of this issue is is hard to say </w:t>
      </w:r>
      <w:r w:rsidRPr="008D4F4A">
        <w:rPr>
          <w:rFonts w:eastAsia="DaxlinePro-RegularItalic" w:cs="DaxlinePro-RegularItalic"/>
          <w:color w:val="000000"/>
          <w:sz w:val="24"/>
          <w:szCs w:val="24"/>
        </w:rPr>
        <w:t>because only individual cases reach us.”</w:t>
      </w:r>
      <w:r>
        <w:rPr>
          <w:rFonts w:eastAsia="DaxlinePro-RegularItalic" w:cs="DaxlinePro-RegularItalic"/>
          <w:color w:val="000000"/>
          <w:sz w:val="24"/>
          <w:szCs w:val="24"/>
        </w:rPr>
        <w:t xml:space="preserve"> </w:t>
      </w:r>
      <w:r w:rsidRPr="008D4F4A">
        <w:rPr>
          <w:rFonts w:eastAsia="DaxlinePro-RegularItalic" w:cs="DaxlinePro-RegularItalic"/>
          <w:color w:val="000000"/>
          <w:sz w:val="24"/>
          <w:szCs w:val="24"/>
        </w:rPr>
        <w:t xml:space="preserve">(NHRB representative, </w:t>
      </w:r>
      <w:r w:rsidRPr="008D4F4A">
        <w:rPr>
          <w:rFonts w:eastAsia="DaxlinePro-RegularItalic" w:cs="DaxlinePro-RegularItalic"/>
          <w:b/>
          <w:color w:val="000000"/>
          <w:sz w:val="24"/>
          <w:szCs w:val="24"/>
        </w:rPr>
        <w:t>Poland</w:t>
      </w:r>
      <w:r w:rsidRPr="008D4F4A">
        <w:rPr>
          <w:rFonts w:eastAsia="DaxlinePro-RegularItalic" w:cs="DaxlinePro-RegularItalic"/>
          <w:color w:val="000000"/>
          <w:sz w:val="24"/>
          <w:szCs w:val="24"/>
        </w:rPr>
        <w:t>)</w:t>
      </w:r>
      <w:r>
        <w:rPr>
          <w:rFonts w:eastAsia="DaxlinePro-RegularItalic" w:cs="DaxlinePro-RegularItalic"/>
          <w:color w:val="000000"/>
          <w:sz w:val="24"/>
          <w:szCs w:val="24"/>
        </w:rPr>
        <w:t xml:space="preserve"> (p. 52)</w:t>
      </w:r>
    </w:p>
    <w:p w14:paraId="5A803493" w14:textId="36BF3C92" w:rsidR="00216420" w:rsidRDefault="008D4F4A" w:rsidP="00726949">
      <w:pPr>
        <w:autoSpaceDE w:val="0"/>
        <w:autoSpaceDN w:val="0"/>
        <w:adjustRightInd w:val="0"/>
        <w:spacing w:after="0" w:line="185" w:lineRule="atLeast"/>
        <w:rPr>
          <w:rFonts w:eastAsia="DaxlinePro-RegularItalic" w:cs="DaxlinePro-RegularItalic"/>
          <w:iCs/>
          <w:color w:val="000000"/>
          <w:sz w:val="24"/>
          <w:szCs w:val="24"/>
        </w:rPr>
      </w:pPr>
      <w:r w:rsidRPr="008D4F4A">
        <w:rPr>
          <w:rFonts w:eastAsia="DaxlinePro-RegularItalic" w:cs="DaxlinePro-RegularItalic"/>
          <w:iCs/>
          <w:color w:val="000000"/>
          <w:sz w:val="24"/>
          <w:szCs w:val="24"/>
        </w:rPr>
        <w:t>“The participation of disabled persons in the process of decision</w:t>
      </w:r>
      <w:r w:rsidRPr="008D4F4A">
        <w:rPr>
          <w:rFonts w:eastAsia="DaxlinePro-RegularItalic" w:cs="DaxlinePro-RegularItalic"/>
          <w:color w:val="000000"/>
          <w:sz w:val="24"/>
          <w:szCs w:val="24"/>
        </w:rPr>
        <w:noBreakHyphen/>
      </w:r>
      <w:r w:rsidRPr="008D4F4A">
        <w:rPr>
          <w:rFonts w:eastAsia="DaxlinePro-RegularItalic" w:cs="DaxlinePro-RegularItalic"/>
          <w:iCs/>
          <w:color w:val="000000"/>
          <w:sz w:val="24"/>
          <w:szCs w:val="24"/>
        </w:rPr>
        <w:t xml:space="preserve">making with regard to their issues should be increased. We should avoid a situation where only fully able persons have a say in what’s good for a disabled person.” (NGO representative, </w:t>
      </w:r>
      <w:r w:rsidRPr="008D4F4A">
        <w:rPr>
          <w:rFonts w:eastAsia="DaxlinePro-RegularItalic" w:cs="DaxlinePro-RegularItalic"/>
          <w:b/>
          <w:iCs/>
          <w:color w:val="000000"/>
          <w:sz w:val="24"/>
          <w:szCs w:val="24"/>
        </w:rPr>
        <w:t>Poland</w:t>
      </w:r>
      <w:r w:rsidRPr="008D4F4A">
        <w:rPr>
          <w:rFonts w:eastAsia="DaxlinePro-RegularItalic" w:cs="DaxlinePro-RegularItalic"/>
          <w:iCs/>
          <w:color w:val="000000"/>
          <w:sz w:val="24"/>
          <w:szCs w:val="24"/>
        </w:rPr>
        <w:t>)</w:t>
      </w:r>
      <w:r>
        <w:rPr>
          <w:rFonts w:eastAsia="DaxlinePro-RegularItalic" w:cs="DaxlinePro-RegularItalic"/>
          <w:iCs/>
          <w:color w:val="000000"/>
          <w:sz w:val="24"/>
          <w:szCs w:val="24"/>
        </w:rPr>
        <w:t xml:space="preserve"> (p. 53)</w:t>
      </w:r>
    </w:p>
    <w:p w14:paraId="61838C32" w14:textId="0EA64E3B" w:rsidR="00726949" w:rsidRDefault="008D4F4A" w:rsidP="00726949">
      <w:pPr>
        <w:autoSpaceDE w:val="0"/>
        <w:autoSpaceDN w:val="0"/>
        <w:adjustRightInd w:val="0"/>
        <w:spacing w:after="0" w:line="185" w:lineRule="atLeast"/>
        <w:rPr>
          <w:rFonts w:eastAsia="DaxlinePro-RegularItalic" w:cs="DaxlinePro-RegularItalic"/>
          <w:iCs/>
          <w:color w:val="000000"/>
          <w:sz w:val="24"/>
          <w:szCs w:val="24"/>
        </w:rPr>
      </w:pPr>
      <w:r>
        <w:rPr>
          <w:rFonts w:eastAsia="DaxlinePro-RegularItalic" w:cs="DaxlinePro-RegularItalic"/>
          <w:iCs/>
          <w:color w:val="000000"/>
          <w:sz w:val="24"/>
          <w:szCs w:val="24"/>
        </w:rPr>
        <w:t>“</w:t>
      </w:r>
      <w:r w:rsidRPr="008D4F4A">
        <w:rPr>
          <w:rFonts w:eastAsia="DaxlinePro-RegularItalic" w:cs="DaxlinePro-RegularItalic"/>
          <w:iCs/>
          <w:color w:val="000000"/>
          <w:sz w:val="24"/>
          <w:szCs w:val="24"/>
        </w:rPr>
        <w:t>A respondent from Pol</w:t>
      </w:r>
      <w:r>
        <w:rPr>
          <w:rFonts w:eastAsia="DaxlinePro-RegularItalic" w:cs="DaxlinePro-RegularItalic"/>
          <w:iCs/>
          <w:color w:val="000000"/>
          <w:sz w:val="24"/>
          <w:szCs w:val="24"/>
        </w:rPr>
        <w:t xml:space="preserve">and noted the lack of education </w:t>
      </w:r>
      <w:r w:rsidRPr="008D4F4A">
        <w:rPr>
          <w:rFonts w:eastAsia="DaxlinePro-RegularItalic" w:cs="DaxlinePro-RegularItalic"/>
          <w:iCs/>
          <w:color w:val="000000"/>
          <w:sz w:val="24"/>
          <w:szCs w:val="24"/>
        </w:rPr>
        <w:t>about different ty</w:t>
      </w:r>
      <w:r>
        <w:rPr>
          <w:rFonts w:eastAsia="DaxlinePro-RegularItalic" w:cs="DaxlinePro-RegularItalic"/>
          <w:iCs/>
          <w:color w:val="000000"/>
          <w:sz w:val="24"/>
          <w:szCs w:val="24"/>
        </w:rPr>
        <w:t xml:space="preserve">pes of disabilities, and argued </w:t>
      </w:r>
      <w:r w:rsidRPr="008D4F4A">
        <w:rPr>
          <w:rFonts w:eastAsia="DaxlinePro-RegularItalic" w:cs="DaxlinePro-RegularItalic"/>
          <w:iCs/>
          <w:color w:val="000000"/>
          <w:sz w:val="24"/>
          <w:szCs w:val="24"/>
        </w:rPr>
        <w:t>that communication ba</w:t>
      </w:r>
      <w:r>
        <w:rPr>
          <w:rFonts w:eastAsia="DaxlinePro-RegularItalic" w:cs="DaxlinePro-RegularItalic"/>
          <w:iCs/>
          <w:color w:val="000000"/>
          <w:sz w:val="24"/>
          <w:szCs w:val="24"/>
        </w:rPr>
        <w:t xml:space="preserve">rriers could be leading factors </w:t>
      </w:r>
      <w:r w:rsidRPr="008D4F4A">
        <w:rPr>
          <w:rFonts w:eastAsia="DaxlinePro-RegularItalic" w:cs="DaxlinePro-RegularItalic"/>
          <w:iCs/>
          <w:color w:val="000000"/>
          <w:sz w:val="24"/>
          <w:szCs w:val="24"/>
        </w:rPr>
        <w:t>in hostile behaviou</w:t>
      </w:r>
      <w:r>
        <w:rPr>
          <w:rFonts w:eastAsia="DaxlinePro-RegularItalic" w:cs="DaxlinePro-RegularItalic"/>
          <w:iCs/>
          <w:color w:val="000000"/>
          <w:sz w:val="24"/>
          <w:szCs w:val="24"/>
        </w:rPr>
        <w:t xml:space="preserve">r against children with hearing </w:t>
      </w:r>
      <w:r w:rsidR="00216420">
        <w:rPr>
          <w:rFonts w:eastAsia="DaxlinePro-RegularItalic" w:cs="DaxlinePro-RegularItalic"/>
          <w:iCs/>
          <w:color w:val="000000"/>
          <w:sz w:val="24"/>
          <w:szCs w:val="24"/>
        </w:rPr>
        <w:t>impairments: “</w:t>
      </w:r>
      <w:r w:rsidRPr="008D4F4A">
        <w:rPr>
          <w:rFonts w:eastAsia="DaxlinePro-RegularItalic" w:cs="DaxlinePro-RegularItalic"/>
          <w:iCs/>
          <w:color w:val="000000"/>
          <w:sz w:val="24"/>
          <w:szCs w:val="24"/>
        </w:rPr>
        <w:t>What causes hostility</w:t>
      </w:r>
      <w:r w:rsidR="00216420">
        <w:rPr>
          <w:rFonts w:eastAsia="DaxlinePro-RegularItalic" w:cs="DaxlinePro-RegularItalic"/>
          <w:iCs/>
          <w:color w:val="000000"/>
          <w:sz w:val="24"/>
          <w:szCs w:val="24"/>
        </w:rPr>
        <w:t xml:space="preserve"> may also be the fact that many  </w:t>
      </w:r>
      <w:r w:rsidRPr="008D4F4A">
        <w:rPr>
          <w:rFonts w:eastAsia="DaxlinePro-RegularItalic" w:cs="DaxlinePro-RegularItalic"/>
          <w:iCs/>
          <w:color w:val="000000"/>
          <w:sz w:val="24"/>
          <w:szCs w:val="24"/>
        </w:rPr>
        <w:t>people simply do not have contact with hearing</w:t>
      </w:r>
      <w:r w:rsidRPr="008D4F4A">
        <w:rPr>
          <w:rFonts w:ascii="Cambria Math" w:eastAsia="DaxlinePro-RegularItalic" w:hAnsi="Cambria Math" w:cs="DaxlinePro-RegularItalic"/>
          <w:iCs/>
          <w:color w:val="000000"/>
          <w:sz w:val="24"/>
          <w:szCs w:val="24"/>
        </w:rPr>
        <w:t>‑</w:t>
      </w:r>
      <w:r w:rsidR="00216420">
        <w:rPr>
          <w:rFonts w:eastAsia="DaxlinePro-RegularItalic" w:cs="DaxlinePro-RegularItalic"/>
          <w:iCs/>
          <w:color w:val="000000"/>
          <w:sz w:val="24"/>
          <w:szCs w:val="24"/>
        </w:rPr>
        <w:t xml:space="preserve">impaired </w:t>
      </w:r>
      <w:r w:rsidRPr="008D4F4A">
        <w:rPr>
          <w:rFonts w:eastAsia="DaxlinePro-RegularItalic" w:cs="DaxlinePro-RegularItalic"/>
          <w:iCs/>
          <w:color w:val="000000"/>
          <w:sz w:val="24"/>
          <w:szCs w:val="24"/>
        </w:rPr>
        <w:t>people, they are not fam</w:t>
      </w:r>
      <w:r w:rsidR="00216420">
        <w:rPr>
          <w:rFonts w:eastAsia="DaxlinePro-RegularItalic" w:cs="DaxlinePro-RegularItalic"/>
          <w:iCs/>
          <w:color w:val="000000"/>
          <w:sz w:val="24"/>
          <w:szCs w:val="24"/>
        </w:rPr>
        <w:t xml:space="preserve">iliar with how they behave and, </w:t>
      </w:r>
      <w:r w:rsidRPr="008D4F4A">
        <w:rPr>
          <w:rFonts w:eastAsia="DaxlinePro-RegularItalic" w:cs="DaxlinePro-RegularItalic"/>
          <w:iCs/>
          <w:color w:val="000000"/>
          <w:sz w:val="24"/>
          <w:szCs w:val="24"/>
        </w:rPr>
        <w:t>consequently, do not know how to approach them</w:t>
      </w:r>
      <w:r w:rsidR="00216420">
        <w:rPr>
          <w:rFonts w:eastAsia="DaxlinePro-RegularItalic" w:cs="DaxlinePro-RegularItalic"/>
          <w:iCs/>
          <w:color w:val="000000"/>
          <w:sz w:val="24"/>
          <w:szCs w:val="24"/>
        </w:rPr>
        <w:t>”</w:t>
      </w:r>
      <w:r w:rsidRPr="008D4F4A">
        <w:rPr>
          <w:rFonts w:eastAsia="DaxlinePro-RegularItalic" w:cs="DaxlinePro-RegularItalic"/>
          <w:iCs/>
          <w:color w:val="000000"/>
          <w:sz w:val="24"/>
          <w:szCs w:val="24"/>
        </w:rPr>
        <w:t>.”</w:t>
      </w:r>
      <w:r w:rsidR="00216420">
        <w:rPr>
          <w:rFonts w:eastAsia="DaxlinePro-RegularItalic" w:cs="DaxlinePro-RegularItalic"/>
          <w:iCs/>
          <w:color w:val="000000"/>
          <w:sz w:val="24"/>
          <w:szCs w:val="24"/>
        </w:rPr>
        <w:t xml:space="preserve"> </w:t>
      </w:r>
      <w:r w:rsidR="00216420" w:rsidRPr="00216420">
        <w:rPr>
          <w:rFonts w:eastAsia="DaxlinePro-RegularItalic" w:cs="DaxlinePro-RegularItalic"/>
          <w:iCs/>
          <w:color w:val="000000"/>
          <w:sz w:val="24"/>
          <w:szCs w:val="24"/>
        </w:rPr>
        <w:t xml:space="preserve">(Social worker, </w:t>
      </w:r>
      <w:r w:rsidR="00216420" w:rsidRPr="00216420">
        <w:rPr>
          <w:rFonts w:eastAsia="DaxlinePro-RegularItalic" w:cs="DaxlinePro-RegularItalic"/>
          <w:b/>
          <w:iCs/>
          <w:color w:val="000000"/>
          <w:sz w:val="24"/>
          <w:szCs w:val="24"/>
        </w:rPr>
        <w:t>Poland</w:t>
      </w:r>
      <w:r w:rsidR="00216420" w:rsidRPr="00216420">
        <w:rPr>
          <w:rFonts w:eastAsia="DaxlinePro-RegularItalic" w:cs="DaxlinePro-RegularItalic"/>
          <w:iCs/>
          <w:color w:val="000000"/>
          <w:sz w:val="24"/>
          <w:szCs w:val="24"/>
        </w:rPr>
        <w:t>)</w:t>
      </w:r>
      <w:r w:rsidR="00216420">
        <w:rPr>
          <w:rFonts w:eastAsia="DaxlinePro-RegularItalic" w:cs="DaxlinePro-RegularItalic"/>
          <w:iCs/>
          <w:color w:val="000000"/>
          <w:sz w:val="24"/>
          <w:szCs w:val="24"/>
        </w:rPr>
        <w:t xml:space="preserve"> (p. 62)</w:t>
      </w:r>
    </w:p>
    <w:p w14:paraId="5050ECFC" w14:textId="67728D17" w:rsidR="00216420" w:rsidRDefault="00216420" w:rsidP="00726949">
      <w:pPr>
        <w:autoSpaceDE w:val="0"/>
        <w:autoSpaceDN w:val="0"/>
        <w:adjustRightInd w:val="0"/>
        <w:spacing w:after="0" w:line="185" w:lineRule="atLeast"/>
        <w:rPr>
          <w:rFonts w:eastAsia="DaxlinePro-RegularItalic" w:cs="DaxlinePro-RegularItalic"/>
          <w:iCs/>
          <w:color w:val="000000"/>
          <w:sz w:val="24"/>
          <w:szCs w:val="24"/>
        </w:rPr>
      </w:pPr>
      <w:r w:rsidRPr="00216420">
        <w:rPr>
          <w:rFonts w:eastAsia="DaxlinePro-RegularItalic" w:cs="DaxlinePro-RegularItalic"/>
          <w:iCs/>
          <w:color w:val="000000"/>
          <w:sz w:val="24"/>
          <w:szCs w:val="24"/>
        </w:rPr>
        <w:lastRenderedPageBreak/>
        <w:t xml:space="preserve">“I feel that physical or sexual violence towards a child with disabilities takes place because the perpetrator, on the one hand, has this ease, so to say, in getting the victim. […] On the other hand, the perpetrator has this awareness that the person with disabilities will not inform anyone about it, may not understand what is going on, and often he/she knows that nobody will take seriously those messages from the person [with disabilities].” (NGO representative, </w:t>
      </w:r>
      <w:r w:rsidRPr="00216420">
        <w:rPr>
          <w:rFonts w:eastAsia="DaxlinePro-RegularItalic" w:cs="DaxlinePro-RegularItalic"/>
          <w:b/>
          <w:iCs/>
          <w:color w:val="000000"/>
          <w:sz w:val="24"/>
          <w:szCs w:val="24"/>
        </w:rPr>
        <w:t>Poland</w:t>
      </w:r>
      <w:r w:rsidRPr="00216420">
        <w:rPr>
          <w:rFonts w:eastAsia="DaxlinePro-RegularItalic" w:cs="DaxlinePro-RegularItalic"/>
          <w:iCs/>
          <w:color w:val="000000"/>
          <w:sz w:val="24"/>
          <w:szCs w:val="24"/>
        </w:rPr>
        <w:t>)</w:t>
      </w:r>
      <w:r>
        <w:rPr>
          <w:rFonts w:eastAsia="DaxlinePro-RegularItalic" w:cs="DaxlinePro-RegularItalic"/>
          <w:iCs/>
          <w:color w:val="000000"/>
          <w:sz w:val="24"/>
          <w:szCs w:val="24"/>
        </w:rPr>
        <w:t xml:space="preserve"> (p. 64)</w:t>
      </w:r>
    </w:p>
    <w:p w14:paraId="3CCDE5AF" w14:textId="103F392D" w:rsidR="00216420" w:rsidRDefault="00216420" w:rsidP="00726949">
      <w:pPr>
        <w:pStyle w:val="Pa13"/>
        <w:rPr>
          <w:rFonts w:asciiTheme="minorHAnsi" w:eastAsia="DaxlinePro-RegularItalic" w:hAnsiTheme="minorHAnsi" w:cs="DaxlinePro-RegularItalic"/>
          <w:iCs/>
          <w:color w:val="000000"/>
        </w:rPr>
      </w:pPr>
      <w:r w:rsidRPr="00216420">
        <w:rPr>
          <w:rFonts w:asciiTheme="minorHAnsi" w:eastAsia="DaxlinePro-RegularItalic" w:hAnsiTheme="minorHAnsi" w:cs="DaxlinePro-RegularItalic"/>
          <w:iCs/>
          <w:color w:val="000000"/>
        </w:rPr>
        <w:t>“There are many parents of children with disabilities who display […] violent features, but they are a result of burnout and, in fact, mild forms of depression or long</w:t>
      </w:r>
      <w:r w:rsidRPr="00216420">
        <w:rPr>
          <w:rFonts w:asciiTheme="minorHAnsi" w:eastAsia="DaxlinePro-RegularItalic" w:hAnsiTheme="minorHAnsi" w:cs="DaxlinePro-RegularItalic"/>
          <w:color w:val="000000"/>
        </w:rPr>
        <w:noBreakHyphen/>
      </w:r>
      <w:r w:rsidRPr="00216420">
        <w:rPr>
          <w:rFonts w:asciiTheme="minorHAnsi" w:eastAsia="DaxlinePro-RegularItalic" w:hAnsiTheme="minorHAnsi" w:cs="DaxlinePro-RegularItalic"/>
          <w:iCs/>
          <w:color w:val="000000"/>
        </w:rPr>
        <w:t xml:space="preserve">term burden and lack of sleep and lack of psychological support.” (Public authority representative, </w:t>
      </w:r>
      <w:r w:rsidRPr="00216420">
        <w:rPr>
          <w:rFonts w:asciiTheme="minorHAnsi" w:eastAsia="DaxlinePro-RegularItalic" w:hAnsiTheme="minorHAnsi" w:cs="DaxlinePro-RegularItalic"/>
          <w:b/>
          <w:iCs/>
          <w:color w:val="000000"/>
        </w:rPr>
        <w:t>Poland</w:t>
      </w:r>
      <w:r w:rsidRPr="00216420">
        <w:rPr>
          <w:rFonts w:asciiTheme="minorHAnsi" w:eastAsia="DaxlinePro-RegularItalic" w:hAnsiTheme="minorHAnsi" w:cs="DaxlinePro-RegularItalic"/>
          <w:iCs/>
          <w:color w:val="000000"/>
        </w:rPr>
        <w:t>)</w:t>
      </w:r>
      <w:r>
        <w:rPr>
          <w:rFonts w:asciiTheme="minorHAnsi" w:eastAsia="DaxlinePro-RegularItalic" w:hAnsiTheme="minorHAnsi" w:cs="DaxlinePro-RegularItalic"/>
          <w:iCs/>
          <w:color w:val="000000"/>
        </w:rPr>
        <w:t xml:space="preserve"> (p. 67)</w:t>
      </w:r>
    </w:p>
    <w:p w14:paraId="038B40BD" w14:textId="30A81F5C" w:rsidR="00216420" w:rsidRDefault="00216420" w:rsidP="00726949">
      <w:pPr>
        <w:spacing w:after="0"/>
      </w:pPr>
      <w:r>
        <w:t xml:space="preserve">“[…] a respondent noted that, in </w:t>
      </w:r>
      <w:r w:rsidRPr="00216420">
        <w:rPr>
          <w:b/>
        </w:rPr>
        <w:t>Poland</w:t>
      </w:r>
      <w:r>
        <w:t>, medical staff are legally obliged to report violence – a common provision across Member States. However, according to the interviewee, doctors are often reluctant to do so.” (p. 69)</w:t>
      </w:r>
    </w:p>
    <w:p w14:paraId="0D732D05" w14:textId="4F1D0A25" w:rsidR="00216420" w:rsidRDefault="00216420" w:rsidP="00726949">
      <w:pPr>
        <w:pStyle w:val="Pa13"/>
        <w:rPr>
          <w:rFonts w:asciiTheme="minorHAnsi" w:eastAsia="DaxlinePro-RegularItalic" w:hAnsiTheme="minorHAnsi" w:cs="DaxlinePro-RegularItalic"/>
          <w:iCs/>
          <w:color w:val="000000"/>
        </w:rPr>
      </w:pPr>
      <w:r w:rsidRPr="00216420">
        <w:rPr>
          <w:rFonts w:asciiTheme="minorHAnsi" w:hAnsiTheme="minorHAnsi"/>
        </w:rPr>
        <w:t>“</w:t>
      </w:r>
      <w:r w:rsidRPr="00216420">
        <w:rPr>
          <w:rFonts w:asciiTheme="minorHAnsi" w:eastAsia="DaxlinePro-RegularItalic" w:hAnsiTheme="minorHAnsi" w:cs="DaxlinePro-RegularItalic"/>
          <w:iCs/>
          <w:color w:val="000000"/>
        </w:rPr>
        <w:t xml:space="preserve">[T]here is a phase of first notification when somebody complains that something is going on, and very often this is ignored. Then the escalation begins – insults, conflicts. And here, there already are attempts for intervention, but all the time this is internal, within an institution, which is not all that bad provided that the institution knows what to do. But some institution don’t and, later on, parents and principals phoned us, or this reached the media, already in this third phase when everyone hated each other. And it was really hard to do anything at this stage. This is why we recommended that the parents notify the police or the school superintendent already upon first signals, because this forces the school to intervene quickly.” (Representative of national CRPD body, </w:t>
      </w:r>
      <w:r w:rsidRPr="00216420">
        <w:rPr>
          <w:rFonts w:asciiTheme="minorHAnsi" w:eastAsia="DaxlinePro-RegularItalic" w:hAnsiTheme="minorHAnsi" w:cs="DaxlinePro-RegularItalic"/>
          <w:b/>
          <w:iCs/>
          <w:color w:val="000000"/>
        </w:rPr>
        <w:t>Poland</w:t>
      </w:r>
      <w:r w:rsidRPr="00216420">
        <w:rPr>
          <w:rFonts w:asciiTheme="minorHAnsi" w:eastAsia="DaxlinePro-RegularItalic" w:hAnsiTheme="minorHAnsi" w:cs="DaxlinePro-RegularItalic"/>
          <w:iCs/>
          <w:color w:val="000000"/>
        </w:rPr>
        <w:t>)</w:t>
      </w:r>
      <w:r>
        <w:rPr>
          <w:rFonts w:asciiTheme="minorHAnsi" w:eastAsia="DaxlinePro-RegularItalic" w:hAnsiTheme="minorHAnsi" w:cs="DaxlinePro-RegularItalic"/>
          <w:iCs/>
          <w:color w:val="000000"/>
        </w:rPr>
        <w:t xml:space="preserve"> (p. 72)</w:t>
      </w:r>
    </w:p>
    <w:p w14:paraId="5A642645" w14:textId="3349AB4D" w:rsidR="00216420" w:rsidRDefault="00216420" w:rsidP="00726949">
      <w:pPr>
        <w:spacing w:after="0"/>
        <w:rPr>
          <w:rFonts w:cs="DaxlinePro-Regular"/>
          <w:color w:val="000000"/>
          <w:sz w:val="24"/>
          <w:szCs w:val="24"/>
        </w:rPr>
      </w:pPr>
      <w:r w:rsidRPr="00216420">
        <w:rPr>
          <w:sz w:val="24"/>
          <w:szCs w:val="24"/>
        </w:rPr>
        <w:t>“</w:t>
      </w:r>
      <w:r w:rsidRPr="00216420">
        <w:rPr>
          <w:rFonts w:cs="DaxlinePro-Regular"/>
          <w:color w:val="000000"/>
          <w:sz w:val="24"/>
          <w:szCs w:val="24"/>
        </w:rPr>
        <w:t>National bodies tasked with protecting and promot</w:t>
      </w:r>
      <w:r w:rsidRPr="00216420">
        <w:rPr>
          <w:rFonts w:cs="DaxlinePro-Regular"/>
          <w:color w:val="000000"/>
          <w:sz w:val="24"/>
          <w:szCs w:val="24"/>
        </w:rPr>
        <w:softHyphen/>
        <w:t>ing human rights also have the right to visit and monitor different institutions, including long</w:t>
      </w:r>
      <w:r w:rsidRPr="00216420">
        <w:rPr>
          <w:rFonts w:cs="DaxlinePro-Regular"/>
          <w:color w:val="000000"/>
          <w:sz w:val="24"/>
          <w:szCs w:val="24"/>
        </w:rPr>
        <w:noBreakHyphen/>
        <w:t>term care institutions for people with disabilities and dis</w:t>
      </w:r>
      <w:r w:rsidRPr="00216420">
        <w:rPr>
          <w:rFonts w:cs="DaxlinePro-Regular"/>
          <w:color w:val="000000"/>
          <w:sz w:val="24"/>
          <w:szCs w:val="24"/>
        </w:rPr>
        <w:softHyphen/>
        <w:t>ability day centres. National Ombuds institutions are often entrusted with this task. In some countries, there is a dedicated ombudsperson for children or child commissioners. This is the case in Cyprus, Fin</w:t>
      </w:r>
      <w:r w:rsidRPr="00216420">
        <w:rPr>
          <w:rFonts w:cs="DaxlinePro-Regular"/>
          <w:color w:val="000000"/>
          <w:sz w:val="24"/>
          <w:szCs w:val="24"/>
        </w:rPr>
        <w:softHyphen/>
        <w:t xml:space="preserve">land, Croatia, Ireland, Italy, Lithuania, Luxemburg, Malta, the Netherlands, some regions of Spain, </w:t>
      </w:r>
      <w:r w:rsidRPr="00216420">
        <w:rPr>
          <w:rFonts w:cs="DaxlinePro-Regular"/>
          <w:b/>
          <w:color w:val="000000"/>
          <w:sz w:val="24"/>
          <w:szCs w:val="24"/>
        </w:rPr>
        <w:t>Po</w:t>
      </w:r>
      <w:r w:rsidRPr="00216420">
        <w:rPr>
          <w:rFonts w:cs="DaxlinePro-Regular"/>
          <w:b/>
          <w:color w:val="000000"/>
          <w:sz w:val="24"/>
          <w:szCs w:val="24"/>
        </w:rPr>
        <w:softHyphen/>
        <w:t>land,</w:t>
      </w:r>
      <w:r w:rsidRPr="00216420">
        <w:rPr>
          <w:rFonts w:cs="DaxlinePro-Regular"/>
          <w:color w:val="000000"/>
          <w:sz w:val="24"/>
          <w:szCs w:val="24"/>
        </w:rPr>
        <w:t xml:space="preserve"> Sweden and the United Kingdom.”</w:t>
      </w:r>
      <w:r>
        <w:rPr>
          <w:rFonts w:cs="DaxlinePro-Regular"/>
          <w:color w:val="000000"/>
          <w:sz w:val="24"/>
          <w:szCs w:val="24"/>
        </w:rPr>
        <w:t xml:space="preserve"> (p. 76)</w:t>
      </w:r>
    </w:p>
    <w:p w14:paraId="3D8F0899" w14:textId="245104CF" w:rsidR="00216420" w:rsidRDefault="00216420" w:rsidP="00726949">
      <w:pPr>
        <w:spacing w:after="0"/>
        <w:rPr>
          <w:rFonts w:cs="DaxlinePro-Regular"/>
          <w:color w:val="000000"/>
          <w:sz w:val="24"/>
          <w:szCs w:val="24"/>
        </w:rPr>
      </w:pPr>
      <w:r>
        <w:rPr>
          <w:rFonts w:cs="DaxlinePro-Regular"/>
          <w:color w:val="000000"/>
          <w:sz w:val="24"/>
          <w:szCs w:val="24"/>
        </w:rPr>
        <w:lastRenderedPageBreak/>
        <w:t>“</w:t>
      </w:r>
      <w:r w:rsidRPr="00216420">
        <w:rPr>
          <w:rFonts w:cs="DaxlinePro-Regular"/>
          <w:color w:val="000000"/>
          <w:sz w:val="24"/>
          <w:szCs w:val="24"/>
        </w:rPr>
        <w:t xml:space="preserve">Respondents – notably in Austria, the Czech Republic, Italy, Slovenia and </w:t>
      </w:r>
      <w:r w:rsidRPr="00216420">
        <w:rPr>
          <w:rFonts w:cs="DaxlinePro-Regular"/>
          <w:b/>
          <w:color w:val="000000"/>
          <w:sz w:val="24"/>
          <w:szCs w:val="24"/>
        </w:rPr>
        <w:t>Poland</w:t>
      </w:r>
      <w:r w:rsidRPr="00216420">
        <w:rPr>
          <w:rFonts w:cs="DaxlinePro-Regular"/>
          <w:color w:val="000000"/>
          <w:sz w:val="24"/>
          <w:szCs w:val="24"/>
        </w:rPr>
        <w:t xml:space="preserve"> – argued that inspections of facilities for children with disabilities are often a mere formality, and do not adequately focus on monitoring the quality of care and on preventing abuse.</w:t>
      </w:r>
      <w:r>
        <w:rPr>
          <w:rFonts w:cs="DaxlinePro-Regular"/>
          <w:color w:val="000000"/>
          <w:sz w:val="24"/>
          <w:szCs w:val="24"/>
        </w:rPr>
        <w:t>” (p. 77)</w:t>
      </w:r>
    </w:p>
    <w:p w14:paraId="53324BEB" w14:textId="2F9A3081" w:rsidR="00216420" w:rsidRDefault="00216420" w:rsidP="00726949">
      <w:pPr>
        <w:spacing w:after="0"/>
        <w:rPr>
          <w:rFonts w:cs="DaxlinePro-Regular"/>
          <w:color w:val="000000"/>
          <w:sz w:val="24"/>
          <w:szCs w:val="24"/>
        </w:rPr>
      </w:pPr>
      <w:r>
        <w:rPr>
          <w:rFonts w:cs="DaxlinePro-Regular"/>
          <w:color w:val="000000"/>
          <w:sz w:val="24"/>
          <w:szCs w:val="24"/>
        </w:rPr>
        <w:t>“</w:t>
      </w:r>
      <w:r w:rsidRPr="00216420">
        <w:rPr>
          <w:rFonts w:cs="DaxlinePro-Regular"/>
          <w:color w:val="000000"/>
          <w:sz w:val="24"/>
          <w:szCs w:val="24"/>
        </w:rPr>
        <w:t xml:space="preserve">An NGO representative from </w:t>
      </w:r>
      <w:r w:rsidRPr="00216420">
        <w:rPr>
          <w:rFonts w:cs="DaxlinePro-Regular"/>
          <w:b/>
          <w:color w:val="000000"/>
          <w:sz w:val="24"/>
          <w:szCs w:val="24"/>
        </w:rPr>
        <w:t>Poland</w:t>
      </w:r>
      <w:r w:rsidRPr="00216420">
        <w:rPr>
          <w:rFonts w:cs="DaxlinePro-Regular"/>
          <w:color w:val="000000"/>
          <w:sz w:val="24"/>
          <w:szCs w:val="24"/>
        </w:rPr>
        <w:t xml:space="preserve"> indicated that even though financial inequalities are partly compensated by state financial support, the amount of funding is very low. Families with disabled children are often impov</w:t>
      </w:r>
      <w:r w:rsidRPr="00216420">
        <w:rPr>
          <w:rFonts w:cs="DaxlinePro-Regular"/>
          <w:color w:val="000000"/>
          <w:sz w:val="24"/>
          <w:szCs w:val="24"/>
        </w:rPr>
        <w:softHyphen/>
        <w:t>erished. An Italian respondent observed that “falling into poverty leads, almost certainly, to social exclusion</w:t>
      </w:r>
      <w:r>
        <w:rPr>
          <w:rFonts w:cs="DaxlinePro-Regular"/>
          <w:color w:val="000000"/>
          <w:sz w:val="24"/>
          <w:szCs w:val="24"/>
        </w:rPr>
        <w:t>.” (p. 80)</w:t>
      </w:r>
    </w:p>
    <w:p w14:paraId="4943872D" w14:textId="3483AD97" w:rsidR="00216420" w:rsidRDefault="00216420" w:rsidP="00726949">
      <w:pPr>
        <w:spacing w:after="0"/>
        <w:rPr>
          <w:rFonts w:cs="DaxlinePro-Regular"/>
          <w:color w:val="000000"/>
          <w:sz w:val="24"/>
          <w:szCs w:val="24"/>
        </w:rPr>
      </w:pPr>
      <w:r>
        <w:rPr>
          <w:rFonts w:cs="DaxlinePro-Regular"/>
          <w:color w:val="000000"/>
          <w:sz w:val="24"/>
          <w:szCs w:val="24"/>
        </w:rPr>
        <w:t>“</w:t>
      </w:r>
      <w:r w:rsidRPr="00216420">
        <w:rPr>
          <w:rFonts w:cs="DaxlinePro-Regular"/>
          <w:color w:val="000000"/>
          <w:sz w:val="24"/>
          <w:szCs w:val="24"/>
        </w:rPr>
        <w:t>Many respondents identified ethnicity as a factor that can increase children with disabilities’ risk of violence. In some countries – such as Austria, Denmark, Italy, the Netherlands</w:t>
      </w:r>
      <w:r>
        <w:rPr>
          <w:rFonts w:cs="DaxlinePro-Regular"/>
          <w:color w:val="000000"/>
          <w:sz w:val="24"/>
          <w:szCs w:val="24"/>
        </w:rPr>
        <w:t>,</w:t>
      </w:r>
      <w:r w:rsidRPr="00216420">
        <w:rPr>
          <w:rFonts w:cs="DaxlinePro-Regular"/>
          <w:color w:val="000000"/>
          <w:sz w:val="24"/>
          <w:szCs w:val="24"/>
        </w:rPr>
        <w:t xml:space="preserve"> </w:t>
      </w:r>
      <w:r w:rsidRPr="00216420">
        <w:rPr>
          <w:rFonts w:cs="DaxlinePro-Regular"/>
          <w:b/>
          <w:color w:val="000000"/>
          <w:sz w:val="24"/>
          <w:szCs w:val="24"/>
        </w:rPr>
        <w:t>Poland</w:t>
      </w:r>
      <w:r w:rsidRPr="00216420">
        <w:rPr>
          <w:rFonts w:cs="DaxlinePro-Regular"/>
          <w:color w:val="000000"/>
          <w:sz w:val="24"/>
          <w:szCs w:val="24"/>
        </w:rPr>
        <w:t>, Portugal, Sweden and the United Kingdom – respondents spoke about other eth</w:t>
      </w:r>
      <w:r w:rsidRPr="00216420">
        <w:rPr>
          <w:rFonts w:cs="DaxlinePro-Regular"/>
          <w:color w:val="000000"/>
          <w:sz w:val="24"/>
          <w:szCs w:val="24"/>
        </w:rPr>
        <w:softHyphen/>
        <w:t>nicities or migratory backgrounds in general, while in Bulgaria, Croatia, the Czech Republic and Lithuania – countries with populations that have higher percent</w:t>
      </w:r>
      <w:r w:rsidRPr="00216420">
        <w:rPr>
          <w:rFonts w:cs="DaxlinePro-Regular"/>
          <w:color w:val="000000"/>
          <w:sz w:val="24"/>
          <w:szCs w:val="24"/>
        </w:rPr>
        <w:softHyphen/>
        <w:t>ages of Roma – respondents spoke predominately about Roma ethnicity.</w:t>
      </w:r>
      <w:r>
        <w:rPr>
          <w:rFonts w:cs="DaxlinePro-Regular"/>
          <w:color w:val="000000"/>
          <w:sz w:val="24"/>
          <w:szCs w:val="24"/>
        </w:rPr>
        <w:t>” (p. 81)</w:t>
      </w:r>
    </w:p>
    <w:p w14:paraId="4F98646A" w14:textId="0CDFCB80" w:rsidR="00216420" w:rsidRDefault="002B0CB3" w:rsidP="00726949">
      <w:pPr>
        <w:spacing w:after="0"/>
        <w:rPr>
          <w:rFonts w:cs="DaxlinePro-Regular"/>
          <w:color w:val="000000"/>
          <w:sz w:val="24"/>
          <w:szCs w:val="24"/>
        </w:rPr>
      </w:pPr>
      <w:r w:rsidRPr="002B0CB3">
        <w:rPr>
          <w:rFonts w:cs="DaxlinePro-Regular"/>
          <w:color w:val="000000"/>
          <w:sz w:val="24"/>
          <w:szCs w:val="24"/>
        </w:rPr>
        <w:t>“Respondents – in the Czech Republic, Denmark, Lith</w:t>
      </w:r>
      <w:r w:rsidRPr="002B0CB3">
        <w:rPr>
          <w:rFonts w:cs="DaxlinePro-Regular"/>
          <w:color w:val="000000"/>
          <w:sz w:val="24"/>
          <w:szCs w:val="24"/>
        </w:rPr>
        <w:softHyphen/>
        <w:t xml:space="preserve">uania, the Netherlands, </w:t>
      </w:r>
      <w:r w:rsidRPr="002B0CB3">
        <w:rPr>
          <w:rFonts w:cs="DaxlinePro-Regular"/>
          <w:b/>
          <w:color w:val="000000"/>
          <w:sz w:val="24"/>
          <w:szCs w:val="24"/>
        </w:rPr>
        <w:t>Poland</w:t>
      </w:r>
      <w:r w:rsidRPr="002B0CB3">
        <w:rPr>
          <w:rFonts w:cs="DaxlinePro-Regular"/>
          <w:color w:val="000000"/>
          <w:sz w:val="24"/>
          <w:szCs w:val="24"/>
        </w:rPr>
        <w:t>, Portugal, Slovenia, Sweden and t</w:t>
      </w:r>
      <w:r>
        <w:rPr>
          <w:rFonts w:cs="DaxlinePro-Regular"/>
          <w:color w:val="000000"/>
          <w:sz w:val="24"/>
          <w:szCs w:val="24"/>
        </w:rPr>
        <w:t>he United Kingdom […]</w:t>
      </w:r>
      <w:r w:rsidRPr="002B0CB3">
        <w:rPr>
          <w:rFonts w:cs="DaxlinePro-Regular"/>
          <w:color w:val="000000"/>
          <w:sz w:val="24"/>
          <w:szCs w:val="24"/>
        </w:rPr>
        <w:t xml:space="preserve"> iden</w:t>
      </w:r>
      <w:r w:rsidRPr="002B0CB3">
        <w:rPr>
          <w:rFonts w:cs="DaxlinePro-Regular"/>
          <w:color w:val="000000"/>
          <w:sz w:val="24"/>
          <w:szCs w:val="24"/>
        </w:rPr>
        <w:softHyphen/>
        <w:t>tified child helplines as a common form of help and support service.</w:t>
      </w:r>
      <w:r>
        <w:rPr>
          <w:rFonts w:cs="DaxlinePro-Regular"/>
          <w:color w:val="000000"/>
          <w:sz w:val="24"/>
          <w:szCs w:val="24"/>
        </w:rPr>
        <w:t>” (p. 91)</w:t>
      </w:r>
    </w:p>
    <w:p w14:paraId="5141B30E" w14:textId="103413A0" w:rsidR="002B0CB3" w:rsidRDefault="002B0CB3" w:rsidP="00726949">
      <w:pPr>
        <w:spacing w:after="0"/>
        <w:rPr>
          <w:rFonts w:cs="DaxlinePro-Regular"/>
          <w:color w:val="000000"/>
          <w:sz w:val="24"/>
          <w:szCs w:val="24"/>
        </w:rPr>
      </w:pPr>
      <w:r>
        <w:rPr>
          <w:rFonts w:cs="DaxlinePro-Regular"/>
          <w:color w:val="000000"/>
          <w:sz w:val="24"/>
          <w:szCs w:val="24"/>
        </w:rPr>
        <w:t>“</w:t>
      </w:r>
      <w:r w:rsidRPr="002B0CB3">
        <w:rPr>
          <w:rFonts w:cs="DaxlinePro-Regular"/>
          <w:color w:val="000000"/>
          <w:sz w:val="24"/>
          <w:szCs w:val="24"/>
        </w:rPr>
        <w:t xml:space="preserve">Different forms of help and support services exist in the EU Member States covered by the FRA research. For example, in Bulgaria, Croatia, the Czech Republic, Lithuania and </w:t>
      </w:r>
      <w:r w:rsidRPr="002B0CB3">
        <w:rPr>
          <w:rFonts w:cs="DaxlinePro-Regular"/>
          <w:b/>
          <w:color w:val="000000"/>
          <w:sz w:val="24"/>
          <w:szCs w:val="24"/>
        </w:rPr>
        <w:t>Poland</w:t>
      </w:r>
      <w:r w:rsidRPr="002B0CB3">
        <w:rPr>
          <w:rFonts w:cs="DaxlinePro-Regular"/>
          <w:color w:val="000000"/>
          <w:sz w:val="24"/>
          <w:szCs w:val="24"/>
        </w:rPr>
        <w:t>, school psychologists and psycho</w:t>
      </w:r>
      <w:r w:rsidRPr="002B0CB3">
        <w:rPr>
          <w:rFonts w:cs="DaxlinePro-Regular"/>
          <w:color w:val="000000"/>
          <w:sz w:val="24"/>
          <w:szCs w:val="24"/>
        </w:rPr>
        <w:softHyphen/>
        <w:t>logical services provide support.</w:t>
      </w:r>
      <w:r>
        <w:rPr>
          <w:rFonts w:cs="DaxlinePro-Regular"/>
          <w:color w:val="000000"/>
          <w:sz w:val="24"/>
          <w:szCs w:val="24"/>
        </w:rPr>
        <w:t xml:space="preserve"> </w:t>
      </w:r>
      <w:r w:rsidRPr="002B0CB3">
        <w:rPr>
          <w:rFonts w:cs="DaxlinePro-Regular"/>
          <w:color w:val="000000"/>
          <w:sz w:val="24"/>
          <w:szCs w:val="24"/>
        </w:rPr>
        <w:t>Educational counsellors and counselling for both children and parents are avail</w:t>
      </w:r>
      <w:r w:rsidRPr="002B0CB3">
        <w:rPr>
          <w:rFonts w:cs="DaxlinePro-Regular"/>
          <w:color w:val="000000"/>
          <w:sz w:val="24"/>
          <w:szCs w:val="24"/>
        </w:rPr>
        <w:softHyphen/>
        <w:t xml:space="preserve">able in Croatia, Denmark, the Czech Republic, Lithuania, </w:t>
      </w:r>
      <w:r w:rsidRPr="002B0CB3">
        <w:rPr>
          <w:rFonts w:cs="DaxlinePro-Regular"/>
          <w:b/>
          <w:color w:val="000000"/>
          <w:sz w:val="24"/>
          <w:szCs w:val="24"/>
        </w:rPr>
        <w:t>Poland</w:t>
      </w:r>
      <w:r w:rsidRPr="002B0CB3">
        <w:rPr>
          <w:rFonts w:cs="DaxlinePro-Regular"/>
          <w:color w:val="000000"/>
          <w:sz w:val="24"/>
          <w:szCs w:val="24"/>
        </w:rPr>
        <w:t>, Slovenia and Sweden.</w:t>
      </w:r>
      <w:r>
        <w:rPr>
          <w:rFonts w:cs="DaxlinePro-Regular"/>
          <w:color w:val="000000"/>
          <w:sz w:val="24"/>
          <w:szCs w:val="24"/>
        </w:rPr>
        <w:t>” (p. 101)</w:t>
      </w:r>
    </w:p>
    <w:p w14:paraId="46F700A0" w14:textId="0B1DC5A5" w:rsidR="002B0CB3" w:rsidRDefault="002B0CB3" w:rsidP="00726949">
      <w:pPr>
        <w:spacing w:after="0"/>
        <w:rPr>
          <w:rFonts w:cs="DaxlinePro-Regular"/>
          <w:color w:val="000000"/>
          <w:sz w:val="24"/>
          <w:szCs w:val="24"/>
        </w:rPr>
      </w:pPr>
      <w:r>
        <w:rPr>
          <w:rFonts w:cs="DaxlinePro-Regular"/>
          <w:color w:val="000000"/>
          <w:sz w:val="24"/>
          <w:szCs w:val="24"/>
        </w:rPr>
        <w:t>“</w:t>
      </w:r>
      <w:r w:rsidRPr="002B0CB3">
        <w:rPr>
          <w:rFonts w:cs="DaxlinePro-Regular"/>
          <w:color w:val="000000"/>
          <w:sz w:val="24"/>
          <w:szCs w:val="24"/>
        </w:rPr>
        <w:t xml:space="preserve">Respondents in Bulgaria, Croatia, the Czech Republic, Lithuania, </w:t>
      </w:r>
      <w:r w:rsidRPr="002B0CB3">
        <w:rPr>
          <w:rFonts w:cs="DaxlinePro-Regular"/>
          <w:b/>
          <w:color w:val="000000"/>
          <w:sz w:val="24"/>
          <w:szCs w:val="24"/>
        </w:rPr>
        <w:t>Poland</w:t>
      </w:r>
      <w:r w:rsidRPr="002B0CB3">
        <w:rPr>
          <w:rFonts w:cs="DaxlinePro-Regular"/>
          <w:color w:val="000000"/>
          <w:sz w:val="24"/>
          <w:szCs w:val="24"/>
        </w:rPr>
        <w:t xml:space="preserve"> and Slovenia often mentioned NGOs as the main providers of support and help services to children. In particular, they identified DPOs as provid</w:t>
      </w:r>
      <w:r w:rsidRPr="002B0CB3">
        <w:rPr>
          <w:rFonts w:cs="DaxlinePro-Regular"/>
          <w:color w:val="000000"/>
          <w:sz w:val="24"/>
          <w:szCs w:val="24"/>
        </w:rPr>
        <w:softHyphen/>
        <w:t xml:space="preserve">ing help and support services targeted at children with disabilities and their families. </w:t>
      </w:r>
      <w:r>
        <w:rPr>
          <w:rFonts w:cs="DaxlinePro-Regular"/>
          <w:color w:val="000000"/>
          <w:sz w:val="24"/>
          <w:szCs w:val="24"/>
        </w:rPr>
        <w:t xml:space="preserve"> </w:t>
      </w:r>
      <w:r w:rsidRPr="002B0CB3">
        <w:rPr>
          <w:rFonts w:cs="DaxlinePro-Regular"/>
          <w:color w:val="000000"/>
          <w:sz w:val="24"/>
          <w:szCs w:val="24"/>
        </w:rPr>
        <w:t xml:space="preserve">Respondents also noted that social services provide support services for children with disabilities and their families – in Austria, Croatia, Denmark, Italy, Lithuania, the Netherlands, </w:t>
      </w:r>
      <w:r w:rsidRPr="002B0CB3">
        <w:rPr>
          <w:rFonts w:cs="DaxlinePro-Regular"/>
          <w:b/>
          <w:color w:val="000000"/>
          <w:sz w:val="24"/>
          <w:szCs w:val="24"/>
        </w:rPr>
        <w:t>Poland</w:t>
      </w:r>
      <w:r w:rsidRPr="002B0CB3">
        <w:rPr>
          <w:rFonts w:cs="DaxlinePro-Regular"/>
          <w:color w:val="000000"/>
          <w:sz w:val="24"/>
          <w:szCs w:val="24"/>
        </w:rPr>
        <w:t>, Slovenia, Sweden and the United Kingdom.</w:t>
      </w:r>
      <w:r>
        <w:rPr>
          <w:rFonts w:cs="DaxlinePro-Regular"/>
          <w:color w:val="000000"/>
          <w:sz w:val="24"/>
          <w:szCs w:val="24"/>
        </w:rPr>
        <w:t>” (p. 101)</w:t>
      </w:r>
    </w:p>
    <w:p w14:paraId="1509D75B" w14:textId="3D43538B" w:rsidR="008D4F4A" w:rsidRPr="002B0CB3" w:rsidRDefault="002B0CB3" w:rsidP="00726949">
      <w:pPr>
        <w:spacing w:after="0"/>
        <w:rPr>
          <w:rFonts w:cs="DaxlinePro-Regular"/>
          <w:color w:val="000000"/>
          <w:sz w:val="24"/>
          <w:szCs w:val="24"/>
        </w:rPr>
      </w:pPr>
      <w:r>
        <w:rPr>
          <w:rFonts w:cs="DaxlinePro-Regular"/>
          <w:color w:val="000000"/>
          <w:sz w:val="24"/>
          <w:szCs w:val="24"/>
        </w:rPr>
        <w:lastRenderedPageBreak/>
        <w:t>“</w:t>
      </w:r>
      <w:r w:rsidRPr="002B0CB3">
        <w:rPr>
          <w:rFonts w:cs="DaxlinePro-Regular"/>
          <w:color w:val="000000"/>
          <w:sz w:val="24"/>
          <w:szCs w:val="24"/>
        </w:rPr>
        <w:t xml:space="preserve">Interviewees in </w:t>
      </w:r>
      <w:r w:rsidRPr="002B0CB3">
        <w:rPr>
          <w:rFonts w:cs="DaxlinePro-Regular"/>
          <w:b/>
          <w:color w:val="000000"/>
          <w:sz w:val="24"/>
          <w:szCs w:val="24"/>
        </w:rPr>
        <w:t>Poland</w:t>
      </w:r>
      <w:r w:rsidRPr="002B0CB3">
        <w:rPr>
          <w:rFonts w:cs="DaxlinePro-Regular"/>
          <w:color w:val="000000"/>
          <w:sz w:val="24"/>
          <w:szCs w:val="24"/>
        </w:rPr>
        <w:t xml:space="preserve"> and Croatia pointed out that many children with disabilities suffer from violence in schools, but that it is often unreported, especially in small towns and village communities.</w:t>
      </w:r>
      <w:r>
        <w:rPr>
          <w:rFonts w:cs="DaxlinePro-Regular"/>
          <w:color w:val="000000"/>
          <w:sz w:val="24"/>
          <w:szCs w:val="24"/>
        </w:rPr>
        <w:t>” (p. 107)</w:t>
      </w:r>
    </w:p>
    <w:p w14:paraId="041C64AB" w14:textId="77777777" w:rsidR="00AB04F9" w:rsidRDefault="00AB04F9" w:rsidP="00B37D35">
      <w:pPr>
        <w:spacing w:after="0"/>
        <w:rPr>
          <w:rFonts w:cs="DaxlinePro-RegularItalic"/>
          <w:iCs/>
          <w:sz w:val="24"/>
          <w:szCs w:val="24"/>
        </w:rPr>
      </w:pPr>
    </w:p>
    <w:p w14:paraId="52599D57" w14:textId="77777777" w:rsidR="00281962" w:rsidRPr="004C24D1" w:rsidRDefault="00281962" w:rsidP="00B37D35">
      <w:pPr>
        <w:pStyle w:val="Heading2"/>
        <w:ind w:left="939"/>
      </w:pPr>
      <w:bookmarkStart w:id="16" w:name="_Toc518292266"/>
      <w:r w:rsidRPr="004C24D1">
        <w:t>Implementing the UN CRPD: An overview of legal reforms in EU Member States (2015)</w:t>
      </w:r>
      <w:bookmarkEnd w:id="16"/>
      <w:r w:rsidRPr="004C24D1">
        <w:t xml:space="preserve"> </w:t>
      </w:r>
    </w:p>
    <w:p w14:paraId="431D1950" w14:textId="10B14FDA" w:rsidR="00281962" w:rsidRDefault="00281962" w:rsidP="00B37D35">
      <w:pPr>
        <w:spacing w:after="0"/>
        <w:rPr>
          <w:sz w:val="24"/>
          <w:szCs w:val="24"/>
        </w:rPr>
      </w:pPr>
      <w:r w:rsidRPr="001B79F3">
        <w:rPr>
          <w:color w:val="000000" w:themeColor="text1"/>
          <w:sz w:val="24"/>
          <w:szCs w:val="24"/>
        </w:rPr>
        <w:t>For more detailed information</w:t>
      </w:r>
      <w:r w:rsidRPr="001B79F3">
        <w:rPr>
          <w:sz w:val="24"/>
          <w:szCs w:val="24"/>
        </w:rPr>
        <w:t xml:space="preserve">: </w:t>
      </w:r>
      <w:hyperlink r:id="rId22" w:history="1">
        <w:r w:rsidRPr="001B79F3">
          <w:rPr>
            <w:rStyle w:val="Hyperlink"/>
            <w:sz w:val="24"/>
            <w:szCs w:val="24"/>
          </w:rPr>
          <w:t>http://fra.europa.eu/sites/default/files/fra-2015-focus-05-2015-crpd_en.pdf</w:t>
        </w:r>
      </w:hyperlink>
      <w:r w:rsidR="00561A3B" w:rsidRPr="00561A3B">
        <w:rPr>
          <w:rStyle w:val="Hyperlink"/>
          <w:color w:val="auto"/>
          <w:sz w:val="24"/>
          <w:szCs w:val="24"/>
          <w:u w:val="none"/>
        </w:rPr>
        <w:t>.</w:t>
      </w:r>
      <w:r w:rsidRPr="001B79F3">
        <w:rPr>
          <w:sz w:val="24"/>
          <w:szCs w:val="24"/>
        </w:rPr>
        <w:t xml:space="preserve"> </w:t>
      </w:r>
    </w:p>
    <w:p w14:paraId="328667D2" w14:textId="1D779DAA" w:rsidR="002B0CB3" w:rsidRDefault="002B0CB3" w:rsidP="00B37D35">
      <w:pPr>
        <w:spacing w:after="0"/>
        <w:rPr>
          <w:sz w:val="24"/>
          <w:szCs w:val="24"/>
        </w:rPr>
      </w:pPr>
      <w:r>
        <w:rPr>
          <w:sz w:val="24"/>
          <w:szCs w:val="24"/>
        </w:rPr>
        <w:t>“</w:t>
      </w:r>
      <w:r w:rsidRPr="002B0CB3">
        <w:rPr>
          <w:sz w:val="24"/>
          <w:szCs w:val="24"/>
        </w:rPr>
        <w:t>Concerning the accessibility of the physical environment, FRA evidence shows that 15 Member States (</w:t>
      </w:r>
      <w:r w:rsidRPr="002B0CB3">
        <w:rPr>
          <w:bCs/>
          <w:sz w:val="24"/>
          <w:szCs w:val="24"/>
        </w:rPr>
        <w:t>Austria, Belgium, Czech Republic, Denmark, Finland, France, Hungary, Ireland, Italy, Lithuania, Luxembourg</w:t>
      </w:r>
      <w:r w:rsidRPr="002B0CB3">
        <w:rPr>
          <w:b/>
          <w:bCs/>
          <w:sz w:val="24"/>
          <w:szCs w:val="24"/>
        </w:rPr>
        <w:t xml:space="preserve">, Poland, </w:t>
      </w:r>
      <w:r w:rsidRPr="002B0CB3">
        <w:rPr>
          <w:bCs/>
          <w:sz w:val="24"/>
          <w:szCs w:val="24"/>
        </w:rPr>
        <w:t xml:space="preserve">Portugal, Spain </w:t>
      </w:r>
      <w:r w:rsidRPr="002B0CB3">
        <w:rPr>
          <w:sz w:val="24"/>
          <w:szCs w:val="24"/>
        </w:rPr>
        <w:t xml:space="preserve">and the </w:t>
      </w:r>
      <w:r w:rsidRPr="002B0CB3">
        <w:rPr>
          <w:bCs/>
          <w:sz w:val="24"/>
          <w:szCs w:val="24"/>
        </w:rPr>
        <w:t>United Kingdom</w:t>
      </w:r>
      <w:r w:rsidRPr="002B0CB3">
        <w:rPr>
          <w:sz w:val="24"/>
          <w:szCs w:val="24"/>
        </w:rPr>
        <w:t xml:space="preserve">) have mandatory accessibility standards for the construction, and alteration of national </w:t>
      </w:r>
      <w:r w:rsidR="001320BB">
        <w:rPr>
          <w:sz w:val="24"/>
          <w:szCs w:val="24"/>
        </w:rPr>
        <w:t>and local authority buildings,</w:t>
      </w:r>
      <w:r w:rsidRPr="002B0CB3">
        <w:rPr>
          <w:sz w:val="24"/>
          <w:szCs w:val="24"/>
        </w:rPr>
        <w:t xml:space="preserve"> often in line with EU-level standards.</w:t>
      </w:r>
      <w:r>
        <w:rPr>
          <w:sz w:val="24"/>
          <w:szCs w:val="24"/>
        </w:rPr>
        <w:t>” (p. 8)</w:t>
      </w:r>
    </w:p>
    <w:p w14:paraId="66C83542" w14:textId="1F10B7D0" w:rsidR="002B0CB3" w:rsidRDefault="002B0CB3" w:rsidP="00B37D35">
      <w:pPr>
        <w:spacing w:after="0"/>
        <w:rPr>
          <w:sz w:val="24"/>
          <w:szCs w:val="24"/>
        </w:rPr>
      </w:pPr>
      <w:r>
        <w:rPr>
          <w:sz w:val="24"/>
          <w:szCs w:val="24"/>
        </w:rPr>
        <w:t>“</w:t>
      </w:r>
      <w:r w:rsidRPr="002B0CB3">
        <w:rPr>
          <w:sz w:val="24"/>
          <w:szCs w:val="24"/>
        </w:rPr>
        <w:t xml:space="preserve">In </w:t>
      </w:r>
      <w:r w:rsidRPr="002B0CB3">
        <w:rPr>
          <w:bCs/>
          <w:sz w:val="24"/>
          <w:szCs w:val="24"/>
        </w:rPr>
        <w:t>Belgium</w:t>
      </w:r>
      <w:r w:rsidRPr="002B0CB3">
        <w:rPr>
          <w:sz w:val="24"/>
          <w:szCs w:val="24"/>
        </w:rPr>
        <w:t xml:space="preserve">, </w:t>
      </w:r>
      <w:r w:rsidRPr="002B0CB3">
        <w:rPr>
          <w:b/>
          <w:bCs/>
          <w:sz w:val="24"/>
          <w:szCs w:val="24"/>
        </w:rPr>
        <w:t xml:space="preserve">Poland </w:t>
      </w:r>
      <w:r w:rsidRPr="002B0CB3">
        <w:rPr>
          <w:sz w:val="24"/>
          <w:szCs w:val="24"/>
        </w:rPr>
        <w:t xml:space="preserve">and </w:t>
      </w:r>
      <w:r w:rsidRPr="002B0CB3">
        <w:rPr>
          <w:bCs/>
          <w:sz w:val="24"/>
          <w:szCs w:val="24"/>
        </w:rPr>
        <w:t>Sweden</w:t>
      </w:r>
      <w:r w:rsidRPr="002B0CB3">
        <w:rPr>
          <w:sz w:val="24"/>
          <w:szCs w:val="24"/>
        </w:rPr>
        <w:t xml:space="preserve">, steps are being taken to increase the accessibility of voting procedures, facilities or materials. The </w:t>
      </w:r>
      <w:r w:rsidRPr="002B0CB3">
        <w:rPr>
          <w:bCs/>
          <w:sz w:val="24"/>
          <w:szCs w:val="24"/>
        </w:rPr>
        <w:t>Polish</w:t>
      </w:r>
      <w:r w:rsidRPr="002B0CB3">
        <w:rPr>
          <w:b/>
          <w:bCs/>
          <w:sz w:val="24"/>
          <w:szCs w:val="24"/>
        </w:rPr>
        <w:t xml:space="preserve"> </w:t>
      </w:r>
      <w:r w:rsidRPr="002B0CB3">
        <w:rPr>
          <w:sz w:val="24"/>
          <w:szCs w:val="24"/>
        </w:rPr>
        <w:t>act amending the Electoral Code Act, adopted in July 2014, aims to enhance the participation of people with disabilities by making polling stations and voting procedures more accessible. Among other provisions, it requires that half of all polling stations in each municipality are accessible for people with disabilities</w:t>
      </w:r>
      <w:r>
        <w:rPr>
          <w:sz w:val="24"/>
          <w:szCs w:val="24"/>
        </w:rPr>
        <w:t>.” (p. 13)</w:t>
      </w:r>
    </w:p>
    <w:p w14:paraId="3E4D6DEE" w14:textId="6E050934" w:rsidR="00AB04F9" w:rsidRDefault="002B0CB3" w:rsidP="00B37D35">
      <w:pPr>
        <w:spacing w:after="0"/>
        <w:rPr>
          <w:sz w:val="24"/>
          <w:szCs w:val="24"/>
        </w:rPr>
      </w:pPr>
      <w:r>
        <w:rPr>
          <w:sz w:val="24"/>
          <w:szCs w:val="24"/>
        </w:rPr>
        <w:t xml:space="preserve">“[…] </w:t>
      </w:r>
      <w:r w:rsidRPr="002B0CB3">
        <w:rPr>
          <w:sz w:val="24"/>
          <w:szCs w:val="24"/>
        </w:rPr>
        <w:t xml:space="preserve">in </w:t>
      </w:r>
      <w:r w:rsidRPr="001320BB">
        <w:rPr>
          <w:b/>
          <w:sz w:val="24"/>
          <w:szCs w:val="24"/>
        </w:rPr>
        <w:t>Poland</w:t>
      </w:r>
      <w:r w:rsidRPr="002B0CB3">
        <w:rPr>
          <w:sz w:val="24"/>
          <w:szCs w:val="24"/>
        </w:rPr>
        <w:t>, the Human Rights Defender initiated a survey to assess the level of implementation of the CRPD at the local level.</w:t>
      </w:r>
      <w:r>
        <w:rPr>
          <w:sz w:val="24"/>
          <w:szCs w:val="24"/>
        </w:rPr>
        <w:t>” (p. 15)</w:t>
      </w:r>
    </w:p>
    <w:p w14:paraId="523EF7BE" w14:textId="77777777" w:rsidR="002B0CB3" w:rsidRPr="002B0CB3" w:rsidRDefault="002B0CB3" w:rsidP="00B37D35">
      <w:pPr>
        <w:spacing w:after="0"/>
        <w:rPr>
          <w:rStyle w:val="Hyperlink"/>
          <w:color w:val="auto"/>
          <w:sz w:val="24"/>
          <w:szCs w:val="24"/>
          <w:u w:val="none"/>
        </w:rPr>
      </w:pPr>
    </w:p>
    <w:p w14:paraId="423BDD22" w14:textId="77777777" w:rsidR="00281962" w:rsidRPr="001B79F3" w:rsidRDefault="00281962" w:rsidP="00B37D35">
      <w:pPr>
        <w:pStyle w:val="Heading2"/>
        <w:ind w:left="939"/>
      </w:pPr>
      <w:bookmarkStart w:id="17" w:name="_Toc518292267"/>
      <w:r w:rsidRPr="001B79F3">
        <w:t>The right to political participation for persons with disabilities: human rights indicators (2014)</w:t>
      </w:r>
      <w:bookmarkEnd w:id="17"/>
    </w:p>
    <w:p w14:paraId="2B1D4A9A" w14:textId="18987422" w:rsidR="00281962" w:rsidRDefault="00281962" w:rsidP="00B37D35">
      <w:pPr>
        <w:spacing w:after="0"/>
        <w:rPr>
          <w:sz w:val="24"/>
          <w:szCs w:val="24"/>
        </w:rPr>
      </w:pPr>
      <w:r w:rsidRPr="001B79F3">
        <w:rPr>
          <w:color w:val="000000" w:themeColor="text1"/>
          <w:sz w:val="24"/>
          <w:szCs w:val="24"/>
        </w:rPr>
        <w:t xml:space="preserve">For more detailed information: </w:t>
      </w:r>
      <w:hyperlink r:id="rId23" w:history="1">
        <w:r w:rsidRPr="001B79F3">
          <w:rPr>
            <w:rStyle w:val="Hyperlink"/>
            <w:sz w:val="24"/>
            <w:szCs w:val="24"/>
          </w:rPr>
          <w:t>http://fra.europa.eu/en/publication/2014/right-political-participation-persons-disabilities-human-rights-indicators</w:t>
        </w:r>
      </w:hyperlink>
      <w:r w:rsidR="006F4931" w:rsidRPr="001B79F3">
        <w:rPr>
          <w:rStyle w:val="Hyperlink"/>
          <w:color w:val="auto"/>
          <w:sz w:val="24"/>
          <w:szCs w:val="24"/>
          <w:u w:val="none"/>
        </w:rPr>
        <w:t>.</w:t>
      </w:r>
      <w:r w:rsidR="004F7947">
        <w:rPr>
          <w:sz w:val="24"/>
          <w:szCs w:val="24"/>
        </w:rPr>
        <w:t xml:space="preserve"> </w:t>
      </w:r>
    </w:p>
    <w:p w14:paraId="7D51193C" w14:textId="24976AF2" w:rsidR="002B0CB3" w:rsidRDefault="002B0CB3" w:rsidP="002B0CB3">
      <w:pPr>
        <w:spacing w:after="0"/>
        <w:rPr>
          <w:sz w:val="24"/>
          <w:szCs w:val="24"/>
        </w:rPr>
      </w:pPr>
      <w:r>
        <w:rPr>
          <w:sz w:val="24"/>
          <w:szCs w:val="24"/>
        </w:rPr>
        <w:lastRenderedPageBreak/>
        <w:t>“</w:t>
      </w:r>
      <w:r w:rsidRPr="002B0CB3">
        <w:rPr>
          <w:sz w:val="24"/>
          <w:szCs w:val="24"/>
        </w:rPr>
        <w:t>Of the EU Member Stat</w:t>
      </w:r>
      <w:r>
        <w:rPr>
          <w:sz w:val="24"/>
          <w:szCs w:val="24"/>
        </w:rPr>
        <w:t xml:space="preserve">es that have ratified the CRPD, </w:t>
      </w:r>
      <w:r w:rsidRPr="002B0CB3">
        <w:rPr>
          <w:bCs/>
          <w:sz w:val="24"/>
          <w:szCs w:val="24"/>
        </w:rPr>
        <w:t>Estonia</w:t>
      </w:r>
      <w:r w:rsidRPr="002B0CB3">
        <w:rPr>
          <w:sz w:val="24"/>
          <w:szCs w:val="24"/>
        </w:rPr>
        <w:t xml:space="preserve">, </w:t>
      </w:r>
      <w:r w:rsidRPr="002B0CB3">
        <w:rPr>
          <w:bCs/>
          <w:sz w:val="24"/>
          <w:szCs w:val="24"/>
        </w:rPr>
        <w:t>France</w:t>
      </w:r>
      <w:r w:rsidRPr="002B0CB3">
        <w:rPr>
          <w:b/>
          <w:bCs/>
          <w:sz w:val="24"/>
          <w:szCs w:val="24"/>
        </w:rPr>
        <w:t xml:space="preserve"> </w:t>
      </w:r>
      <w:r w:rsidRPr="002B0CB3">
        <w:rPr>
          <w:sz w:val="24"/>
          <w:szCs w:val="24"/>
        </w:rPr>
        <w:t xml:space="preserve">and </w:t>
      </w:r>
      <w:r w:rsidRPr="002B0CB3">
        <w:rPr>
          <w:b/>
          <w:bCs/>
          <w:sz w:val="24"/>
          <w:szCs w:val="24"/>
        </w:rPr>
        <w:t xml:space="preserve">Poland </w:t>
      </w:r>
      <w:r w:rsidRPr="002B0CB3">
        <w:rPr>
          <w:sz w:val="24"/>
          <w:szCs w:val="24"/>
        </w:rPr>
        <w:t>have entered a declaration</w:t>
      </w:r>
      <w:r>
        <w:rPr>
          <w:sz w:val="24"/>
          <w:szCs w:val="24"/>
        </w:rPr>
        <w:t xml:space="preserve"> </w:t>
      </w:r>
      <w:r w:rsidRPr="002B0CB3">
        <w:rPr>
          <w:sz w:val="24"/>
          <w:szCs w:val="24"/>
        </w:rPr>
        <w:t>to Article 12.</w:t>
      </w:r>
      <w:r>
        <w:rPr>
          <w:sz w:val="24"/>
          <w:szCs w:val="24"/>
        </w:rPr>
        <w:t xml:space="preserve"> In its declaration, </w:t>
      </w:r>
      <w:r w:rsidRPr="002B0CB3">
        <w:rPr>
          <w:b/>
          <w:bCs/>
          <w:sz w:val="24"/>
          <w:szCs w:val="24"/>
        </w:rPr>
        <w:t xml:space="preserve">Poland </w:t>
      </w:r>
      <w:r w:rsidRPr="002B0CB3">
        <w:rPr>
          <w:sz w:val="24"/>
          <w:szCs w:val="24"/>
        </w:rPr>
        <w:t>confirms it will continue to restrict</w:t>
      </w:r>
      <w:r>
        <w:rPr>
          <w:sz w:val="24"/>
          <w:szCs w:val="24"/>
        </w:rPr>
        <w:t xml:space="preserve"> </w:t>
      </w:r>
      <w:r w:rsidRPr="002B0CB3">
        <w:rPr>
          <w:sz w:val="24"/>
          <w:szCs w:val="24"/>
        </w:rPr>
        <w:t>the legal capacity of people with disabilities as it</w:t>
      </w:r>
      <w:r>
        <w:rPr>
          <w:sz w:val="24"/>
          <w:szCs w:val="24"/>
        </w:rPr>
        <w:t xml:space="preserve"> </w:t>
      </w:r>
      <w:r w:rsidRPr="002B0CB3">
        <w:rPr>
          <w:sz w:val="24"/>
          <w:szCs w:val="24"/>
        </w:rPr>
        <w:t>views such a restriction as a type of safeguard under</w:t>
      </w:r>
      <w:r>
        <w:rPr>
          <w:sz w:val="24"/>
          <w:szCs w:val="24"/>
        </w:rPr>
        <w:t xml:space="preserve"> </w:t>
      </w:r>
      <w:r w:rsidRPr="002B0CB3">
        <w:rPr>
          <w:sz w:val="24"/>
          <w:szCs w:val="24"/>
        </w:rPr>
        <w:t>Article 12 (4)</w:t>
      </w:r>
      <w:r>
        <w:rPr>
          <w:sz w:val="24"/>
          <w:szCs w:val="24"/>
        </w:rPr>
        <w:t>.” (p. 36-37)</w:t>
      </w:r>
    </w:p>
    <w:p w14:paraId="1899DBEF" w14:textId="76F0A941" w:rsidR="002B0EF6" w:rsidRDefault="002B0EF6" w:rsidP="002B0EF6">
      <w:pPr>
        <w:spacing w:after="0"/>
        <w:rPr>
          <w:sz w:val="24"/>
          <w:szCs w:val="24"/>
        </w:rPr>
      </w:pPr>
      <w:r>
        <w:rPr>
          <w:sz w:val="24"/>
          <w:szCs w:val="24"/>
        </w:rPr>
        <w:t xml:space="preserve">“[…] </w:t>
      </w:r>
      <w:r w:rsidRPr="002B0EF6">
        <w:rPr>
          <w:sz w:val="24"/>
          <w:szCs w:val="24"/>
        </w:rPr>
        <w:t>the analysis indi</w:t>
      </w:r>
      <w:r>
        <w:rPr>
          <w:sz w:val="24"/>
          <w:szCs w:val="24"/>
        </w:rPr>
        <w:t xml:space="preserve">cates that in a further four EU </w:t>
      </w:r>
      <w:r w:rsidRPr="002B0EF6">
        <w:rPr>
          <w:sz w:val="24"/>
          <w:szCs w:val="24"/>
        </w:rPr>
        <w:t xml:space="preserve">Member States, </w:t>
      </w:r>
      <w:r w:rsidRPr="002B0EF6">
        <w:rPr>
          <w:bCs/>
          <w:sz w:val="24"/>
          <w:szCs w:val="24"/>
        </w:rPr>
        <w:t xml:space="preserve">Greece, </w:t>
      </w:r>
      <w:r w:rsidRPr="002B0EF6">
        <w:rPr>
          <w:sz w:val="24"/>
          <w:szCs w:val="24"/>
        </w:rPr>
        <w:t xml:space="preserve">the </w:t>
      </w:r>
      <w:r w:rsidRPr="002B0EF6">
        <w:rPr>
          <w:bCs/>
          <w:sz w:val="24"/>
          <w:szCs w:val="24"/>
        </w:rPr>
        <w:t>Netherlands</w:t>
      </w:r>
      <w:r w:rsidRPr="002B0EF6">
        <w:rPr>
          <w:sz w:val="24"/>
          <w:szCs w:val="24"/>
        </w:rPr>
        <w:t xml:space="preserve">, </w:t>
      </w:r>
      <w:r w:rsidRPr="002B0EF6">
        <w:rPr>
          <w:b/>
          <w:bCs/>
          <w:sz w:val="24"/>
          <w:szCs w:val="24"/>
        </w:rPr>
        <w:t xml:space="preserve">Poland </w:t>
      </w:r>
      <w:r w:rsidRPr="002B0EF6">
        <w:rPr>
          <w:sz w:val="24"/>
          <w:szCs w:val="24"/>
        </w:rPr>
        <w:t>and</w:t>
      </w:r>
      <w:r>
        <w:rPr>
          <w:sz w:val="24"/>
          <w:szCs w:val="24"/>
        </w:rPr>
        <w:t xml:space="preserve"> </w:t>
      </w:r>
      <w:r w:rsidRPr="002B0EF6">
        <w:rPr>
          <w:bCs/>
          <w:sz w:val="24"/>
          <w:szCs w:val="24"/>
        </w:rPr>
        <w:t>Slovenia</w:t>
      </w:r>
      <w:r w:rsidRPr="002B0EF6">
        <w:rPr>
          <w:sz w:val="24"/>
          <w:szCs w:val="24"/>
        </w:rPr>
        <w:t>, there is no national disability action plan or</w:t>
      </w:r>
      <w:r>
        <w:rPr>
          <w:sz w:val="24"/>
          <w:szCs w:val="24"/>
        </w:rPr>
        <w:t xml:space="preserve"> </w:t>
      </w:r>
      <w:r w:rsidRPr="002B0EF6">
        <w:rPr>
          <w:sz w:val="24"/>
          <w:szCs w:val="24"/>
        </w:rPr>
        <w:t>strategy. This does not mean, however, that there are</w:t>
      </w:r>
      <w:r>
        <w:rPr>
          <w:sz w:val="24"/>
          <w:szCs w:val="24"/>
        </w:rPr>
        <w:t xml:space="preserve"> </w:t>
      </w:r>
      <w:r w:rsidRPr="002B0EF6">
        <w:rPr>
          <w:sz w:val="24"/>
          <w:szCs w:val="24"/>
        </w:rPr>
        <w:t>no other policies or activities which aim to increase the</w:t>
      </w:r>
      <w:r>
        <w:rPr>
          <w:sz w:val="24"/>
          <w:szCs w:val="24"/>
        </w:rPr>
        <w:t xml:space="preserve"> </w:t>
      </w:r>
      <w:r w:rsidRPr="002B0EF6">
        <w:rPr>
          <w:sz w:val="24"/>
          <w:szCs w:val="24"/>
        </w:rPr>
        <w:t>political participation of persons with disabilities.</w:t>
      </w:r>
      <w:r>
        <w:rPr>
          <w:sz w:val="24"/>
          <w:szCs w:val="24"/>
        </w:rPr>
        <w:t>” (p. 39)</w:t>
      </w:r>
    </w:p>
    <w:p w14:paraId="099A1BDA" w14:textId="09A9747A" w:rsidR="002B0EF6" w:rsidRDefault="002B0EF6" w:rsidP="002B0EF6">
      <w:pPr>
        <w:spacing w:after="0"/>
        <w:rPr>
          <w:sz w:val="24"/>
          <w:szCs w:val="24"/>
        </w:rPr>
      </w:pPr>
      <w:r>
        <w:rPr>
          <w:sz w:val="24"/>
          <w:szCs w:val="24"/>
        </w:rPr>
        <w:t>“</w:t>
      </w:r>
      <w:r w:rsidRPr="002B0EF6">
        <w:rPr>
          <w:sz w:val="24"/>
          <w:szCs w:val="24"/>
        </w:rPr>
        <w:t>A further 15 EU Member States pr</w:t>
      </w:r>
      <w:r>
        <w:rPr>
          <w:sz w:val="24"/>
          <w:szCs w:val="24"/>
        </w:rPr>
        <w:t xml:space="preserve">ohibit people with disabilities </w:t>
      </w:r>
      <w:r w:rsidRPr="002B0EF6">
        <w:rPr>
          <w:sz w:val="24"/>
          <w:szCs w:val="24"/>
        </w:rPr>
        <w:t>who have been deprived of their legal capacity</w:t>
      </w:r>
      <w:r>
        <w:rPr>
          <w:sz w:val="24"/>
          <w:szCs w:val="24"/>
        </w:rPr>
        <w:t xml:space="preserve"> </w:t>
      </w:r>
      <w:r w:rsidRPr="002B0EF6">
        <w:rPr>
          <w:sz w:val="24"/>
          <w:szCs w:val="24"/>
        </w:rPr>
        <w:t xml:space="preserve">from voting. The Member States are </w:t>
      </w:r>
      <w:r w:rsidRPr="002B0EF6">
        <w:rPr>
          <w:bCs/>
          <w:sz w:val="24"/>
          <w:szCs w:val="24"/>
        </w:rPr>
        <w:t>Belgium, Bulgaria</w:t>
      </w:r>
      <w:r w:rsidRPr="002B0EF6">
        <w:rPr>
          <w:sz w:val="24"/>
          <w:szCs w:val="24"/>
        </w:rPr>
        <w:t xml:space="preserve">, </w:t>
      </w:r>
      <w:r w:rsidRPr="002B0EF6">
        <w:rPr>
          <w:bCs/>
          <w:sz w:val="24"/>
          <w:szCs w:val="24"/>
        </w:rPr>
        <w:t>Cyprus</w:t>
      </w:r>
      <w:r w:rsidRPr="002B0EF6">
        <w:rPr>
          <w:sz w:val="24"/>
          <w:szCs w:val="24"/>
        </w:rPr>
        <w:t xml:space="preserve">, </w:t>
      </w:r>
      <w:r w:rsidRPr="002B0EF6">
        <w:rPr>
          <w:bCs/>
          <w:sz w:val="24"/>
          <w:szCs w:val="24"/>
        </w:rPr>
        <w:t>Denmark</w:t>
      </w:r>
      <w:r w:rsidRPr="002B0EF6">
        <w:rPr>
          <w:sz w:val="24"/>
          <w:szCs w:val="24"/>
        </w:rPr>
        <w:t xml:space="preserve">, </w:t>
      </w:r>
      <w:r w:rsidRPr="002B0EF6">
        <w:rPr>
          <w:bCs/>
          <w:sz w:val="24"/>
          <w:szCs w:val="24"/>
        </w:rPr>
        <w:t>Estonia</w:t>
      </w:r>
      <w:r w:rsidRPr="002B0EF6">
        <w:rPr>
          <w:sz w:val="24"/>
          <w:szCs w:val="24"/>
        </w:rPr>
        <w:t xml:space="preserve">, </w:t>
      </w:r>
      <w:r w:rsidRPr="002B0EF6">
        <w:rPr>
          <w:bCs/>
          <w:sz w:val="24"/>
          <w:szCs w:val="24"/>
        </w:rPr>
        <w:t>Germany</w:t>
      </w:r>
      <w:r w:rsidRPr="002B0EF6">
        <w:rPr>
          <w:sz w:val="24"/>
          <w:szCs w:val="24"/>
        </w:rPr>
        <w:t xml:space="preserve">, </w:t>
      </w:r>
      <w:r w:rsidRPr="002B0EF6">
        <w:rPr>
          <w:bCs/>
          <w:sz w:val="24"/>
          <w:szCs w:val="24"/>
        </w:rPr>
        <w:t>Greece, Ireland,</w:t>
      </w:r>
      <w:r w:rsidRPr="002B0EF6">
        <w:rPr>
          <w:sz w:val="24"/>
          <w:szCs w:val="24"/>
        </w:rPr>
        <w:t xml:space="preserve"> </w:t>
      </w:r>
      <w:r w:rsidRPr="002B0EF6">
        <w:rPr>
          <w:bCs/>
          <w:sz w:val="24"/>
          <w:szCs w:val="24"/>
        </w:rPr>
        <w:t>Lithuania</w:t>
      </w:r>
      <w:r w:rsidRPr="002B0EF6">
        <w:rPr>
          <w:sz w:val="24"/>
          <w:szCs w:val="24"/>
        </w:rPr>
        <w:t xml:space="preserve">, </w:t>
      </w:r>
      <w:r w:rsidRPr="002B0EF6">
        <w:rPr>
          <w:bCs/>
          <w:sz w:val="24"/>
          <w:szCs w:val="24"/>
        </w:rPr>
        <w:t>Luxembourg</w:t>
      </w:r>
      <w:r w:rsidRPr="002B0EF6">
        <w:rPr>
          <w:sz w:val="24"/>
          <w:szCs w:val="24"/>
        </w:rPr>
        <w:t xml:space="preserve">, </w:t>
      </w:r>
      <w:r w:rsidRPr="002B0EF6">
        <w:rPr>
          <w:bCs/>
          <w:sz w:val="24"/>
          <w:szCs w:val="24"/>
        </w:rPr>
        <w:t>Malta</w:t>
      </w:r>
      <w:r w:rsidRPr="002B0EF6">
        <w:rPr>
          <w:sz w:val="24"/>
          <w:szCs w:val="24"/>
        </w:rPr>
        <w:t xml:space="preserve">, </w:t>
      </w:r>
      <w:r w:rsidRPr="002B0EF6">
        <w:rPr>
          <w:b/>
          <w:bCs/>
          <w:sz w:val="24"/>
          <w:szCs w:val="24"/>
        </w:rPr>
        <w:t>Poland</w:t>
      </w:r>
      <w:r w:rsidRPr="002B0EF6">
        <w:rPr>
          <w:sz w:val="24"/>
          <w:szCs w:val="24"/>
        </w:rPr>
        <w:t xml:space="preserve">, </w:t>
      </w:r>
      <w:r w:rsidRPr="002B0EF6">
        <w:rPr>
          <w:bCs/>
          <w:sz w:val="24"/>
          <w:szCs w:val="24"/>
        </w:rPr>
        <w:t>Portugal,</w:t>
      </w:r>
      <w:r w:rsidRPr="002B0EF6">
        <w:rPr>
          <w:sz w:val="24"/>
          <w:szCs w:val="24"/>
        </w:rPr>
        <w:t xml:space="preserve"> </w:t>
      </w:r>
      <w:r w:rsidRPr="002B0EF6">
        <w:rPr>
          <w:bCs/>
          <w:sz w:val="24"/>
          <w:szCs w:val="24"/>
        </w:rPr>
        <w:t xml:space="preserve">Romania </w:t>
      </w:r>
      <w:r w:rsidRPr="002B0EF6">
        <w:rPr>
          <w:sz w:val="24"/>
          <w:szCs w:val="24"/>
        </w:rPr>
        <w:t xml:space="preserve">and </w:t>
      </w:r>
      <w:r w:rsidRPr="002B0EF6">
        <w:rPr>
          <w:bCs/>
          <w:sz w:val="24"/>
          <w:szCs w:val="24"/>
        </w:rPr>
        <w:t>Slovakia</w:t>
      </w:r>
      <w:r w:rsidRPr="002B0EF6">
        <w:rPr>
          <w:sz w:val="24"/>
          <w:szCs w:val="24"/>
        </w:rPr>
        <w:t>. This exclusion is either set out in</w:t>
      </w:r>
      <w:r>
        <w:rPr>
          <w:sz w:val="24"/>
          <w:szCs w:val="24"/>
        </w:rPr>
        <w:t xml:space="preserve"> </w:t>
      </w:r>
      <w:r w:rsidRPr="002B0EF6">
        <w:rPr>
          <w:sz w:val="24"/>
          <w:szCs w:val="24"/>
        </w:rPr>
        <w:t>the country’s constitution or in electoral legislation</w:t>
      </w:r>
      <w:r>
        <w:rPr>
          <w:sz w:val="24"/>
          <w:szCs w:val="24"/>
        </w:rPr>
        <w:t>.” (p. 41)</w:t>
      </w:r>
    </w:p>
    <w:p w14:paraId="44E629B0" w14:textId="1369357C" w:rsidR="002B0EF6" w:rsidRDefault="002B0EF6" w:rsidP="002B0EF6">
      <w:pPr>
        <w:spacing w:after="0"/>
        <w:rPr>
          <w:sz w:val="24"/>
          <w:szCs w:val="24"/>
        </w:rPr>
      </w:pPr>
      <w:r>
        <w:rPr>
          <w:sz w:val="24"/>
          <w:szCs w:val="24"/>
        </w:rPr>
        <w:t>“</w:t>
      </w:r>
      <w:r w:rsidRPr="002B0EF6">
        <w:rPr>
          <w:sz w:val="24"/>
          <w:szCs w:val="24"/>
        </w:rPr>
        <w:t xml:space="preserve">In </w:t>
      </w:r>
      <w:r w:rsidRPr="002B0EF6">
        <w:rPr>
          <w:bCs/>
          <w:sz w:val="24"/>
          <w:szCs w:val="24"/>
        </w:rPr>
        <w:t>Bulgaria</w:t>
      </w:r>
      <w:r w:rsidRPr="002B0EF6">
        <w:rPr>
          <w:sz w:val="24"/>
          <w:szCs w:val="24"/>
        </w:rPr>
        <w:t>, for example</w:t>
      </w:r>
      <w:r>
        <w:rPr>
          <w:sz w:val="24"/>
          <w:szCs w:val="24"/>
        </w:rPr>
        <w:t xml:space="preserve">, people who cannot vote at </w:t>
      </w:r>
      <w:r w:rsidRPr="002B0EF6">
        <w:rPr>
          <w:sz w:val="24"/>
          <w:szCs w:val="24"/>
        </w:rPr>
        <w:t>their assigned polling station for reasons associated</w:t>
      </w:r>
      <w:r>
        <w:rPr>
          <w:sz w:val="24"/>
          <w:szCs w:val="24"/>
        </w:rPr>
        <w:t xml:space="preserve"> </w:t>
      </w:r>
      <w:r w:rsidRPr="002B0EF6">
        <w:rPr>
          <w:sz w:val="24"/>
          <w:szCs w:val="24"/>
        </w:rPr>
        <w:t>with a disability have to request permission for mobile</w:t>
      </w:r>
      <w:r>
        <w:rPr>
          <w:sz w:val="24"/>
          <w:szCs w:val="24"/>
        </w:rPr>
        <w:t xml:space="preserve"> </w:t>
      </w:r>
      <w:r w:rsidRPr="002B0EF6">
        <w:rPr>
          <w:sz w:val="24"/>
          <w:szCs w:val="24"/>
        </w:rPr>
        <w:t xml:space="preserve">voting 30 days prior to election day, while in </w:t>
      </w:r>
      <w:r w:rsidRPr="002B0EF6">
        <w:rPr>
          <w:b/>
          <w:bCs/>
          <w:sz w:val="24"/>
          <w:szCs w:val="24"/>
        </w:rPr>
        <w:t>Poland</w:t>
      </w:r>
      <w:r w:rsidRPr="002B0EF6">
        <w:rPr>
          <w:sz w:val="24"/>
          <w:szCs w:val="24"/>
        </w:rPr>
        <w:t>,</w:t>
      </w:r>
      <w:r>
        <w:rPr>
          <w:sz w:val="24"/>
          <w:szCs w:val="24"/>
        </w:rPr>
        <w:t xml:space="preserve"> </w:t>
      </w:r>
      <w:r w:rsidRPr="002B0EF6">
        <w:rPr>
          <w:sz w:val="24"/>
          <w:szCs w:val="24"/>
        </w:rPr>
        <w:t>voters with disabilities can change their place of voting</w:t>
      </w:r>
      <w:r>
        <w:rPr>
          <w:sz w:val="24"/>
          <w:szCs w:val="24"/>
        </w:rPr>
        <w:t xml:space="preserve"> </w:t>
      </w:r>
      <w:r w:rsidRPr="002B0EF6">
        <w:rPr>
          <w:sz w:val="24"/>
          <w:szCs w:val="24"/>
        </w:rPr>
        <w:t>to a more accessible polling station if they notify the</w:t>
      </w:r>
      <w:r>
        <w:rPr>
          <w:sz w:val="24"/>
          <w:szCs w:val="24"/>
        </w:rPr>
        <w:t xml:space="preserve"> </w:t>
      </w:r>
      <w:r w:rsidRPr="002B0EF6">
        <w:rPr>
          <w:sz w:val="24"/>
          <w:szCs w:val="24"/>
        </w:rPr>
        <w:t>authorities at least 14 days before the vote</w:t>
      </w:r>
      <w:r>
        <w:rPr>
          <w:sz w:val="24"/>
          <w:szCs w:val="24"/>
        </w:rPr>
        <w:t>.” (p. 41)</w:t>
      </w:r>
    </w:p>
    <w:p w14:paraId="46359057" w14:textId="37708DCB" w:rsidR="002B0EF6" w:rsidRDefault="002B0EF6" w:rsidP="002B0EF6">
      <w:pPr>
        <w:spacing w:after="0"/>
        <w:rPr>
          <w:bCs/>
          <w:sz w:val="24"/>
          <w:szCs w:val="24"/>
        </w:rPr>
      </w:pPr>
      <w:r>
        <w:rPr>
          <w:sz w:val="24"/>
          <w:szCs w:val="24"/>
        </w:rPr>
        <w:t>“</w:t>
      </w:r>
      <w:r w:rsidRPr="002B0EF6">
        <w:rPr>
          <w:sz w:val="24"/>
          <w:szCs w:val="24"/>
        </w:rPr>
        <w:t xml:space="preserve">In </w:t>
      </w:r>
      <w:r w:rsidRPr="002B0EF6">
        <w:rPr>
          <w:bCs/>
          <w:sz w:val="24"/>
          <w:szCs w:val="24"/>
        </w:rPr>
        <w:t>Ireland</w:t>
      </w:r>
      <w:r w:rsidRPr="002B0EF6">
        <w:rPr>
          <w:sz w:val="24"/>
          <w:szCs w:val="24"/>
        </w:rPr>
        <w:t xml:space="preserve">, </w:t>
      </w:r>
      <w:r w:rsidRPr="002B0EF6">
        <w:rPr>
          <w:bCs/>
          <w:sz w:val="24"/>
          <w:szCs w:val="24"/>
        </w:rPr>
        <w:t>Luxembourg</w:t>
      </w:r>
      <w:r w:rsidRPr="002B0EF6">
        <w:rPr>
          <w:b/>
          <w:bCs/>
          <w:sz w:val="24"/>
          <w:szCs w:val="24"/>
        </w:rPr>
        <w:t xml:space="preserve"> </w:t>
      </w:r>
      <w:r w:rsidRPr="002B0EF6">
        <w:rPr>
          <w:sz w:val="24"/>
          <w:szCs w:val="24"/>
        </w:rPr>
        <w:t xml:space="preserve">and </w:t>
      </w:r>
      <w:r w:rsidRPr="002B0EF6">
        <w:rPr>
          <w:b/>
          <w:bCs/>
          <w:sz w:val="24"/>
          <w:szCs w:val="24"/>
        </w:rPr>
        <w:t>Poland</w:t>
      </w:r>
      <w:r>
        <w:rPr>
          <w:sz w:val="24"/>
          <w:szCs w:val="24"/>
        </w:rPr>
        <w:t xml:space="preserve">, </w:t>
      </w:r>
      <w:r w:rsidRPr="002B0EF6">
        <w:rPr>
          <w:sz w:val="24"/>
          <w:szCs w:val="24"/>
        </w:rPr>
        <w:t>however, postal voting is available for persons whose</w:t>
      </w:r>
      <w:r>
        <w:rPr>
          <w:sz w:val="24"/>
          <w:szCs w:val="24"/>
        </w:rPr>
        <w:t xml:space="preserve"> </w:t>
      </w:r>
      <w:r w:rsidRPr="002B0EF6">
        <w:rPr>
          <w:sz w:val="24"/>
          <w:szCs w:val="24"/>
        </w:rPr>
        <w:t>disability or health problem prevents them from getting</w:t>
      </w:r>
      <w:r>
        <w:rPr>
          <w:sz w:val="24"/>
          <w:szCs w:val="24"/>
        </w:rPr>
        <w:t xml:space="preserve"> </w:t>
      </w:r>
      <w:r w:rsidRPr="002B0EF6">
        <w:rPr>
          <w:sz w:val="24"/>
          <w:szCs w:val="24"/>
        </w:rPr>
        <w:t>to a polling station, while proxy voting is a possibility for</w:t>
      </w:r>
      <w:r>
        <w:rPr>
          <w:sz w:val="24"/>
          <w:szCs w:val="24"/>
        </w:rPr>
        <w:t xml:space="preserve"> </w:t>
      </w:r>
      <w:r w:rsidRPr="002B0EF6">
        <w:rPr>
          <w:sz w:val="24"/>
          <w:szCs w:val="24"/>
        </w:rPr>
        <w:t xml:space="preserve">these individuals in </w:t>
      </w:r>
      <w:r w:rsidRPr="002B0EF6">
        <w:rPr>
          <w:b/>
          <w:bCs/>
          <w:sz w:val="24"/>
          <w:szCs w:val="24"/>
        </w:rPr>
        <w:t xml:space="preserve">Poland </w:t>
      </w:r>
      <w:r w:rsidRPr="002B0EF6">
        <w:rPr>
          <w:sz w:val="24"/>
          <w:szCs w:val="24"/>
        </w:rPr>
        <w:t xml:space="preserve">and </w:t>
      </w:r>
      <w:r w:rsidRPr="002B0EF6">
        <w:rPr>
          <w:bCs/>
          <w:sz w:val="24"/>
          <w:szCs w:val="24"/>
        </w:rPr>
        <w:t>Sweden.</w:t>
      </w:r>
      <w:r w:rsidR="00F93BE1">
        <w:rPr>
          <w:bCs/>
          <w:sz w:val="24"/>
          <w:szCs w:val="24"/>
        </w:rPr>
        <w:t xml:space="preserve">” </w:t>
      </w:r>
      <w:r w:rsidRPr="002B0EF6">
        <w:rPr>
          <w:bCs/>
          <w:sz w:val="24"/>
          <w:szCs w:val="24"/>
        </w:rPr>
        <w:t>(p. 43)</w:t>
      </w:r>
    </w:p>
    <w:p w14:paraId="73FC8480" w14:textId="6957C952" w:rsidR="00F93BE1" w:rsidRDefault="00F93BE1" w:rsidP="00F93BE1">
      <w:pPr>
        <w:spacing w:after="0"/>
        <w:rPr>
          <w:bCs/>
          <w:sz w:val="24"/>
          <w:szCs w:val="24"/>
        </w:rPr>
      </w:pPr>
      <w:r>
        <w:rPr>
          <w:bCs/>
          <w:sz w:val="24"/>
          <w:szCs w:val="24"/>
        </w:rPr>
        <w:t>“</w:t>
      </w:r>
      <w:r w:rsidRPr="00F93BE1">
        <w:rPr>
          <w:bCs/>
          <w:sz w:val="24"/>
          <w:szCs w:val="24"/>
        </w:rPr>
        <w:t>Eighteen EU Member States hav</w:t>
      </w:r>
      <w:r>
        <w:rPr>
          <w:bCs/>
          <w:sz w:val="24"/>
          <w:szCs w:val="24"/>
        </w:rPr>
        <w:t xml:space="preserve">e specific legislation </w:t>
      </w:r>
      <w:r w:rsidRPr="00F93BE1">
        <w:rPr>
          <w:bCs/>
          <w:sz w:val="24"/>
          <w:szCs w:val="24"/>
        </w:rPr>
        <w:t>regulating how persons living in long-term institutions</w:t>
      </w:r>
      <w:r>
        <w:rPr>
          <w:bCs/>
          <w:sz w:val="24"/>
          <w:szCs w:val="24"/>
        </w:rPr>
        <w:t xml:space="preserve"> </w:t>
      </w:r>
      <w:r w:rsidRPr="00F93BE1">
        <w:rPr>
          <w:bCs/>
          <w:sz w:val="24"/>
          <w:szCs w:val="24"/>
        </w:rPr>
        <w:t>may vote.</w:t>
      </w:r>
      <w:r>
        <w:rPr>
          <w:bCs/>
          <w:sz w:val="24"/>
          <w:szCs w:val="24"/>
        </w:rPr>
        <w:t xml:space="preserve"> </w:t>
      </w:r>
      <w:r w:rsidRPr="00F93BE1">
        <w:rPr>
          <w:bCs/>
          <w:sz w:val="24"/>
          <w:szCs w:val="24"/>
        </w:rPr>
        <w:t>In Austria, Bulgaria, Finland, France, Germany</w:t>
      </w:r>
      <w:r>
        <w:rPr>
          <w:b/>
          <w:bCs/>
          <w:sz w:val="24"/>
          <w:szCs w:val="24"/>
        </w:rPr>
        <w:t xml:space="preserve"> </w:t>
      </w:r>
      <w:r w:rsidRPr="00F93BE1">
        <w:rPr>
          <w:bCs/>
          <w:sz w:val="24"/>
          <w:szCs w:val="24"/>
        </w:rPr>
        <w:t xml:space="preserve">and </w:t>
      </w:r>
      <w:r w:rsidRPr="00F93BE1">
        <w:rPr>
          <w:b/>
          <w:bCs/>
          <w:sz w:val="24"/>
          <w:szCs w:val="24"/>
        </w:rPr>
        <w:t>Poland</w:t>
      </w:r>
      <w:r w:rsidRPr="00F93BE1">
        <w:rPr>
          <w:bCs/>
          <w:sz w:val="24"/>
          <w:szCs w:val="24"/>
        </w:rPr>
        <w:t>, for example, the law provides for</w:t>
      </w:r>
      <w:r>
        <w:rPr>
          <w:b/>
          <w:bCs/>
          <w:sz w:val="24"/>
          <w:szCs w:val="24"/>
        </w:rPr>
        <w:t xml:space="preserve"> </w:t>
      </w:r>
      <w:r w:rsidRPr="00F93BE1">
        <w:rPr>
          <w:bCs/>
          <w:sz w:val="24"/>
          <w:szCs w:val="24"/>
        </w:rPr>
        <w:t>polling stations to be set up at long-term institutions,</w:t>
      </w:r>
      <w:r>
        <w:rPr>
          <w:b/>
          <w:bCs/>
          <w:sz w:val="24"/>
          <w:szCs w:val="24"/>
        </w:rPr>
        <w:t xml:space="preserve"> </w:t>
      </w:r>
      <w:r w:rsidRPr="00F93BE1">
        <w:rPr>
          <w:bCs/>
          <w:sz w:val="24"/>
          <w:szCs w:val="24"/>
        </w:rPr>
        <w:t>although in Italy an institution must have at least 200</w:t>
      </w:r>
      <w:r>
        <w:rPr>
          <w:b/>
          <w:bCs/>
          <w:sz w:val="24"/>
          <w:szCs w:val="24"/>
        </w:rPr>
        <w:t xml:space="preserve"> </w:t>
      </w:r>
      <w:r w:rsidRPr="00F93BE1">
        <w:rPr>
          <w:bCs/>
          <w:sz w:val="24"/>
          <w:szCs w:val="24"/>
        </w:rPr>
        <w:t>beds before a polling station can be opened</w:t>
      </w:r>
      <w:r>
        <w:rPr>
          <w:bCs/>
          <w:sz w:val="24"/>
          <w:szCs w:val="24"/>
        </w:rPr>
        <w:t>.” (p. 44)</w:t>
      </w:r>
    </w:p>
    <w:p w14:paraId="67D337B0" w14:textId="43AA4499" w:rsidR="00F93BE1" w:rsidRDefault="00F93BE1" w:rsidP="00F93BE1">
      <w:pPr>
        <w:spacing w:after="0"/>
        <w:rPr>
          <w:bCs/>
          <w:sz w:val="24"/>
          <w:szCs w:val="24"/>
        </w:rPr>
      </w:pPr>
      <w:r>
        <w:rPr>
          <w:bCs/>
          <w:sz w:val="24"/>
          <w:szCs w:val="24"/>
        </w:rPr>
        <w:t>“</w:t>
      </w:r>
      <w:r w:rsidRPr="00F93BE1">
        <w:rPr>
          <w:bCs/>
          <w:sz w:val="24"/>
          <w:szCs w:val="24"/>
        </w:rPr>
        <w:t xml:space="preserve">In eight Member States, the Czech Republic, France, Germany, Greece, Italy, </w:t>
      </w:r>
      <w:r w:rsidRPr="00F93BE1">
        <w:rPr>
          <w:b/>
          <w:bCs/>
          <w:sz w:val="24"/>
          <w:szCs w:val="24"/>
        </w:rPr>
        <w:t>Poland</w:t>
      </w:r>
      <w:r w:rsidRPr="00F93BE1">
        <w:rPr>
          <w:bCs/>
          <w:sz w:val="24"/>
          <w:szCs w:val="24"/>
        </w:rPr>
        <w:t>, Slovakia and Sweden, website accessibility standards only apply to public providers.” (p. 46)</w:t>
      </w:r>
    </w:p>
    <w:p w14:paraId="2D715CD6" w14:textId="3B5FFBCB" w:rsidR="00F93BE1" w:rsidRDefault="00F93BE1" w:rsidP="004371A2">
      <w:pPr>
        <w:spacing w:after="0"/>
        <w:rPr>
          <w:bCs/>
          <w:sz w:val="24"/>
          <w:szCs w:val="24"/>
        </w:rPr>
      </w:pPr>
      <w:r>
        <w:rPr>
          <w:bCs/>
          <w:sz w:val="24"/>
          <w:szCs w:val="24"/>
        </w:rPr>
        <w:lastRenderedPageBreak/>
        <w:t>“</w:t>
      </w:r>
      <w:r w:rsidR="004371A2" w:rsidRPr="004371A2">
        <w:rPr>
          <w:bCs/>
          <w:sz w:val="24"/>
          <w:szCs w:val="24"/>
        </w:rPr>
        <w:t>Both public and private pr</w:t>
      </w:r>
      <w:r w:rsidR="004371A2">
        <w:rPr>
          <w:bCs/>
          <w:sz w:val="24"/>
          <w:szCs w:val="24"/>
        </w:rPr>
        <w:t xml:space="preserve">oviders of media are subject to </w:t>
      </w:r>
      <w:r w:rsidR="004371A2" w:rsidRPr="004371A2">
        <w:rPr>
          <w:bCs/>
          <w:sz w:val="24"/>
          <w:szCs w:val="24"/>
        </w:rPr>
        <w:t xml:space="preserve">statutory accessibility standards in Austria, Belgium (the Flemish Community), Cyprus, Finland, France, Germany, Greece, Hungary, Ireland, the Netherlands, </w:t>
      </w:r>
      <w:r w:rsidR="004371A2" w:rsidRPr="004371A2">
        <w:rPr>
          <w:b/>
          <w:bCs/>
          <w:sz w:val="24"/>
          <w:szCs w:val="24"/>
        </w:rPr>
        <w:t>Poland</w:t>
      </w:r>
      <w:r w:rsidR="004371A2" w:rsidRPr="004371A2">
        <w:rPr>
          <w:bCs/>
          <w:sz w:val="24"/>
          <w:szCs w:val="24"/>
        </w:rPr>
        <w:t>, Portugal, Romania, Slovakia, Spain and Sweden, the analysis</w:t>
      </w:r>
      <w:r w:rsidR="004371A2">
        <w:rPr>
          <w:bCs/>
          <w:sz w:val="24"/>
          <w:szCs w:val="24"/>
        </w:rPr>
        <w:t xml:space="preserve"> </w:t>
      </w:r>
      <w:r w:rsidR="004371A2" w:rsidRPr="004371A2">
        <w:rPr>
          <w:bCs/>
          <w:sz w:val="24"/>
          <w:szCs w:val="24"/>
        </w:rPr>
        <w:t>indicates.</w:t>
      </w:r>
      <w:r w:rsidR="004371A2">
        <w:rPr>
          <w:bCs/>
          <w:sz w:val="24"/>
          <w:szCs w:val="24"/>
        </w:rPr>
        <w:t>” (p. 47)</w:t>
      </w:r>
    </w:p>
    <w:p w14:paraId="64F8E46C" w14:textId="0FF6144C" w:rsidR="004371A2" w:rsidRDefault="004371A2" w:rsidP="004371A2">
      <w:pPr>
        <w:spacing w:after="0"/>
        <w:rPr>
          <w:bCs/>
          <w:sz w:val="24"/>
          <w:szCs w:val="24"/>
        </w:rPr>
      </w:pPr>
      <w:r>
        <w:rPr>
          <w:bCs/>
          <w:sz w:val="24"/>
          <w:szCs w:val="24"/>
        </w:rPr>
        <w:t>“</w:t>
      </w:r>
      <w:r w:rsidRPr="004371A2">
        <w:rPr>
          <w:bCs/>
          <w:sz w:val="24"/>
          <w:szCs w:val="24"/>
        </w:rPr>
        <w:t>The FRA’s analysis indicates that 15 EU Member States,</w:t>
      </w:r>
      <w:r>
        <w:rPr>
          <w:bCs/>
          <w:sz w:val="24"/>
          <w:szCs w:val="24"/>
        </w:rPr>
        <w:t xml:space="preserve"> </w:t>
      </w:r>
      <w:r w:rsidRPr="004371A2">
        <w:rPr>
          <w:bCs/>
          <w:sz w:val="24"/>
          <w:szCs w:val="24"/>
        </w:rPr>
        <w:t>Austria, Belgium, the Czech Republic, Denmark, Finland, France, Hungary, Ireland, Italy, Lithuania, Luxembourg,</w:t>
      </w:r>
      <w:r>
        <w:rPr>
          <w:bCs/>
          <w:sz w:val="24"/>
          <w:szCs w:val="24"/>
        </w:rPr>
        <w:t xml:space="preserve"> </w:t>
      </w:r>
      <w:r w:rsidRPr="004371A2">
        <w:rPr>
          <w:b/>
          <w:bCs/>
          <w:sz w:val="24"/>
          <w:szCs w:val="24"/>
        </w:rPr>
        <w:t>Poland</w:t>
      </w:r>
      <w:r w:rsidRPr="004371A2">
        <w:rPr>
          <w:bCs/>
          <w:sz w:val="24"/>
          <w:szCs w:val="24"/>
        </w:rPr>
        <w:t>, Portugal, Spain and the United Kingdom have</w:t>
      </w:r>
      <w:r>
        <w:rPr>
          <w:bCs/>
          <w:sz w:val="24"/>
          <w:szCs w:val="24"/>
        </w:rPr>
        <w:t xml:space="preserve"> </w:t>
      </w:r>
      <w:r w:rsidRPr="004371A2">
        <w:rPr>
          <w:bCs/>
          <w:sz w:val="24"/>
          <w:szCs w:val="24"/>
        </w:rPr>
        <w:t>mandatory accessibility standards for the construction</w:t>
      </w:r>
      <w:r>
        <w:rPr>
          <w:bCs/>
          <w:sz w:val="24"/>
          <w:szCs w:val="24"/>
        </w:rPr>
        <w:t xml:space="preserve"> </w:t>
      </w:r>
      <w:r w:rsidRPr="004371A2">
        <w:rPr>
          <w:bCs/>
          <w:sz w:val="24"/>
          <w:szCs w:val="24"/>
        </w:rPr>
        <w:t>and alteration of national and local authority buildings. In</w:t>
      </w:r>
      <w:r>
        <w:rPr>
          <w:bCs/>
          <w:sz w:val="24"/>
          <w:szCs w:val="24"/>
        </w:rPr>
        <w:t xml:space="preserve"> </w:t>
      </w:r>
      <w:r w:rsidRPr="004371A2">
        <w:rPr>
          <w:bCs/>
          <w:sz w:val="24"/>
          <w:szCs w:val="24"/>
        </w:rPr>
        <w:t>most countries in this group, accessibility requirements</w:t>
      </w:r>
      <w:r>
        <w:rPr>
          <w:bCs/>
          <w:sz w:val="24"/>
          <w:szCs w:val="24"/>
        </w:rPr>
        <w:t xml:space="preserve"> </w:t>
      </w:r>
      <w:r w:rsidRPr="004371A2">
        <w:rPr>
          <w:bCs/>
          <w:sz w:val="24"/>
          <w:szCs w:val="24"/>
        </w:rPr>
        <w:t>are provided for in building regulations, which means</w:t>
      </w:r>
      <w:r>
        <w:rPr>
          <w:bCs/>
          <w:sz w:val="24"/>
          <w:szCs w:val="24"/>
        </w:rPr>
        <w:t xml:space="preserve"> </w:t>
      </w:r>
      <w:r w:rsidRPr="004371A2">
        <w:rPr>
          <w:bCs/>
          <w:sz w:val="24"/>
          <w:szCs w:val="24"/>
        </w:rPr>
        <w:t>that to be granted a permit to build or to alter existing</w:t>
      </w:r>
      <w:r>
        <w:rPr>
          <w:bCs/>
          <w:sz w:val="24"/>
          <w:szCs w:val="24"/>
        </w:rPr>
        <w:t xml:space="preserve"> </w:t>
      </w:r>
      <w:r w:rsidRPr="004371A2">
        <w:rPr>
          <w:bCs/>
          <w:sz w:val="24"/>
          <w:szCs w:val="24"/>
        </w:rPr>
        <w:t>buildings, accessibility standards must be met.</w:t>
      </w:r>
      <w:r>
        <w:rPr>
          <w:bCs/>
          <w:sz w:val="24"/>
          <w:szCs w:val="24"/>
        </w:rPr>
        <w:t>” (p. 48)</w:t>
      </w:r>
    </w:p>
    <w:p w14:paraId="6E75565D" w14:textId="0072DF90" w:rsidR="004371A2" w:rsidRDefault="004371A2" w:rsidP="004371A2">
      <w:pPr>
        <w:spacing w:after="0"/>
        <w:rPr>
          <w:bCs/>
          <w:sz w:val="24"/>
          <w:szCs w:val="24"/>
        </w:rPr>
      </w:pPr>
      <w:r>
        <w:rPr>
          <w:bCs/>
          <w:sz w:val="24"/>
          <w:szCs w:val="24"/>
        </w:rPr>
        <w:t>“</w:t>
      </w:r>
      <w:r w:rsidRPr="004371A2">
        <w:rPr>
          <w:bCs/>
          <w:sz w:val="24"/>
          <w:szCs w:val="24"/>
        </w:rPr>
        <w:t>In a second gro</w:t>
      </w:r>
      <w:r>
        <w:rPr>
          <w:bCs/>
          <w:sz w:val="24"/>
          <w:szCs w:val="24"/>
        </w:rPr>
        <w:t xml:space="preserve">up of Member States legislation </w:t>
      </w:r>
      <w:r w:rsidRPr="004371A2">
        <w:rPr>
          <w:bCs/>
          <w:sz w:val="24"/>
          <w:szCs w:val="24"/>
        </w:rPr>
        <w:t>concerning the accessibility of polling stations applies</w:t>
      </w:r>
      <w:r>
        <w:rPr>
          <w:bCs/>
          <w:sz w:val="24"/>
          <w:szCs w:val="24"/>
        </w:rPr>
        <w:t xml:space="preserve"> </w:t>
      </w:r>
      <w:r w:rsidRPr="004371A2">
        <w:rPr>
          <w:bCs/>
          <w:sz w:val="24"/>
          <w:szCs w:val="24"/>
        </w:rPr>
        <w:t>only to a certain number or proportion of polling</w:t>
      </w:r>
      <w:r>
        <w:rPr>
          <w:bCs/>
          <w:sz w:val="24"/>
          <w:szCs w:val="24"/>
        </w:rPr>
        <w:t xml:space="preserve"> </w:t>
      </w:r>
      <w:r w:rsidRPr="004371A2">
        <w:rPr>
          <w:bCs/>
          <w:sz w:val="24"/>
          <w:szCs w:val="24"/>
        </w:rPr>
        <w:t>stations. In Belgium, one in five polling stations must</w:t>
      </w:r>
      <w:r>
        <w:rPr>
          <w:bCs/>
          <w:sz w:val="24"/>
          <w:szCs w:val="24"/>
        </w:rPr>
        <w:t xml:space="preserve"> </w:t>
      </w:r>
      <w:r w:rsidR="001320BB">
        <w:rPr>
          <w:bCs/>
          <w:sz w:val="24"/>
          <w:szCs w:val="24"/>
        </w:rPr>
        <w:t>be accessible;</w:t>
      </w:r>
      <w:r w:rsidRPr="004371A2">
        <w:rPr>
          <w:bCs/>
          <w:sz w:val="24"/>
          <w:szCs w:val="24"/>
        </w:rPr>
        <w:t xml:space="preserve"> in </w:t>
      </w:r>
      <w:r w:rsidRPr="004371A2">
        <w:rPr>
          <w:b/>
          <w:bCs/>
          <w:sz w:val="24"/>
          <w:szCs w:val="24"/>
        </w:rPr>
        <w:t>Poland</w:t>
      </w:r>
      <w:r w:rsidR="001320BB">
        <w:rPr>
          <w:bCs/>
          <w:sz w:val="24"/>
          <w:szCs w:val="24"/>
        </w:rPr>
        <w:t>, one in three;</w:t>
      </w:r>
      <w:r w:rsidRPr="004371A2">
        <w:rPr>
          <w:bCs/>
          <w:sz w:val="24"/>
          <w:szCs w:val="24"/>
        </w:rPr>
        <w:t xml:space="preserve"> and in the</w:t>
      </w:r>
      <w:r>
        <w:rPr>
          <w:bCs/>
          <w:sz w:val="24"/>
          <w:szCs w:val="24"/>
        </w:rPr>
        <w:t xml:space="preserve"> </w:t>
      </w:r>
      <w:r w:rsidRPr="004371A2">
        <w:rPr>
          <w:bCs/>
          <w:sz w:val="24"/>
          <w:szCs w:val="24"/>
        </w:rPr>
        <w:t>Netherlands, at least one in four polling stations must be</w:t>
      </w:r>
      <w:r>
        <w:rPr>
          <w:bCs/>
          <w:sz w:val="24"/>
          <w:szCs w:val="24"/>
        </w:rPr>
        <w:t xml:space="preserve"> </w:t>
      </w:r>
      <w:r w:rsidRPr="004371A2">
        <w:rPr>
          <w:bCs/>
          <w:sz w:val="24"/>
          <w:szCs w:val="24"/>
        </w:rPr>
        <w:t>“as accessible as possible” so that people with physical</w:t>
      </w:r>
      <w:r>
        <w:rPr>
          <w:bCs/>
          <w:sz w:val="24"/>
          <w:szCs w:val="24"/>
        </w:rPr>
        <w:t xml:space="preserve"> </w:t>
      </w:r>
      <w:r w:rsidRPr="004371A2">
        <w:rPr>
          <w:bCs/>
          <w:sz w:val="24"/>
          <w:szCs w:val="24"/>
        </w:rPr>
        <w:t>impairments can vote independently</w:t>
      </w:r>
      <w:r>
        <w:rPr>
          <w:bCs/>
          <w:sz w:val="24"/>
          <w:szCs w:val="24"/>
        </w:rPr>
        <w:t>. “ (p. 50)</w:t>
      </w:r>
    </w:p>
    <w:p w14:paraId="100CD213" w14:textId="6A1FD87C" w:rsidR="004371A2" w:rsidRDefault="004371A2" w:rsidP="004371A2">
      <w:pPr>
        <w:spacing w:after="0"/>
        <w:rPr>
          <w:bCs/>
          <w:sz w:val="24"/>
          <w:szCs w:val="24"/>
        </w:rPr>
      </w:pPr>
      <w:r>
        <w:rPr>
          <w:bCs/>
          <w:sz w:val="24"/>
          <w:szCs w:val="24"/>
        </w:rPr>
        <w:t>“</w:t>
      </w:r>
      <w:r w:rsidRPr="004371A2">
        <w:rPr>
          <w:bCs/>
          <w:sz w:val="24"/>
          <w:szCs w:val="24"/>
        </w:rPr>
        <w:t xml:space="preserve">In 15 EU Member States, Croatia, Cyprus, the Czech Republic, Denmark, Finland, Germany, Hungary, Ireland, </w:t>
      </w:r>
      <w:r w:rsidRPr="004371A2">
        <w:rPr>
          <w:b/>
          <w:bCs/>
          <w:sz w:val="24"/>
          <w:szCs w:val="24"/>
        </w:rPr>
        <w:t>Poland</w:t>
      </w:r>
      <w:r w:rsidRPr="004371A2">
        <w:rPr>
          <w:bCs/>
          <w:sz w:val="24"/>
          <w:szCs w:val="24"/>
        </w:rPr>
        <w:t>, Portugal, Slovakia, Slovenia, Sweden and the United Kingdom, assistance in voting is available to</w:t>
      </w:r>
      <w:r>
        <w:rPr>
          <w:b/>
          <w:bCs/>
          <w:sz w:val="24"/>
          <w:szCs w:val="24"/>
        </w:rPr>
        <w:t xml:space="preserve"> </w:t>
      </w:r>
      <w:r w:rsidRPr="004371A2">
        <w:rPr>
          <w:bCs/>
          <w:sz w:val="24"/>
          <w:szCs w:val="24"/>
        </w:rPr>
        <w:t>persons with physical, visual and intellectual disabilities,</w:t>
      </w:r>
      <w:r>
        <w:rPr>
          <w:b/>
          <w:bCs/>
          <w:sz w:val="24"/>
          <w:szCs w:val="24"/>
        </w:rPr>
        <w:t xml:space="preserve"> </w:t>
      </w:r>
      <w:r w:rsidRPr="004371A2">
        <w:rPr>
          <w:bCs/>
          <w:sz w:val="24"/>
          <w:szCs w:val="24"/>
        </w:rPr>
        <w:t>subject to the authorisation of the election authorities</w:t>
      </w:r>
      <w:r>
        <w:rPr>
          <w:bCs/>
          <w:sz w:val="24"/>
          <w:szCs w:val="24"/>
        </w:rPr>
        <w:t>.” (p. 50)</w:t>
      </w:r>
    </w:p>
    <w:p w14:paraId="62C10874" w14:textId="1F050F8A" w:rsidR="004371A2" w:rsidRDefault="00D463C8" w:rsidP="00D463C8">
      <w:pPr>
        <w:spacing w:after="0"/>
        <w:rPr>
          <w:bCs/>
          <w:sz w:val="24"/>
          <w:szCs w:val="24"/>
        </w:rPr>
      </w:pPr>
      <w:r>
        <w:rPr>
          <w:bCs/>
          <w:sz w:val="24"/>
          <w:szCs w:val="24"/>
        </w:rPr>
        <w:t>“</w:t>
      </w:r>
      <w:r w:rsidRPr="00D463C8">
        <w:rPr>
          <w:bCs/>
          <w:sz w:val="24"/>
          <w:szCs w:val="24"/>
        </w:rPr>
        <w:t>Where assistance is a</w:t>
      </w:r>
      <w:r>
        <w:rPr>
          <w:bCs/>
          <w:sz w:val="24"/>
          <w:szCs w:val="24"/>
        </w:rPr>
        <w:t xml:space="preserve">vailable, legislation generally </w:t>
      </w:r>
      <w:r w:rsidRPr="00D463C8">
        <w:rPr>
          <w:bCs/>
          <w:sz w:val="24"/>
          <w:szCs w:val="24"/>
        </w:rPr>
        <w:t>allows for it to be provided by a person chosen by the</w:t>
      </w:r>
      <w:r>
        <w:rPr>
          <w:bCs/>
          <w:sz w:val="24"/>
          <w:szCs w:val="24"/>
        </w:rPr>
        <w:t xml:space="preserve"> </w:t>
      </w:r>
      <w:r w:rsidRPr="00D463C8">
        <w:rPr>
          <w:bCs/>
          <w:sz w:val="24"/>
          <w:szCs w:val="24"/>
        </w:rPr>
        <w:t>person with a disability.</w:t>
      </w:r>
      <w:r>
        <w:rPr>
          <w:bCs/>
          <w:sz w:val="24"/>
          <w:szCs w:val="24"/>
        </w:rPr>
        <w:t xml:space="preserve"> </w:t>
      </w:r>
      <w:r w:rsidRPr="00D463C8">
        <w:rPr>
          <w:bCs/>
          <w:sz w:val="24"/>
          <w:szCs w:val="24"/>
        </w:rPr>
        <w:t>Conversely, in Croatia, Latvia, Lithuania</w:t>
      </w:r>
      <w:r>
        <w:rPr>
          <w:bCs/>
          <w:sz w:val="24"/>
          <w:szCs w:val="24"/>
        </w:rPr>
        <w:t xml:space="preserve"> </w:t>
      </w:r>
      <w:r w:rsidRPr="00D463C8">
        <w:rPr>
          <w:b/>
          <w:bCs/>
          <w:sz w:val="24"/>
          <w:szCs w:val="24"/>
        </w:rPr>
        <w:t xml:space="preserve">Poland </w:t>
      </w:r>
      <w:r w:rsidRPr="00D463C8">
        <w:rPr>
          <w:bCs/>
          <w:sz w:val="24"/>
          <w:szCs w:val="24"/>
        </w:rPr>
        <w:t>and Slovakia, legislation</w:t>
      </w:r>
      <w:r>
        <w:rPr>
          <w:bCs/>
          <w:sz w:val="24"/>
          <w:szCs w:val="24"/>
        </w:rPr>
        <w:t xml:space="preserve"> specifically prohibits </w:t>
      </w:r>
      <w:r w:rsidRPr="00D463C8">
        <w:rPr>
          <w:bCs/>
          <w:sz w:val="24"/>
          <w:szCs w:val="24"/>
        </w:rPr>
        <w:t>election officials from providing assistance.</w:t>
      </w:r>
      <w:r>
        <w:rPr>
          <w:bCs/>
          <w:sz w:val="24"/>
          <w:szCs w:val="24"/>
        </w:rPr>
        <w:t>” (p. 51)</w:t>
      </w:r>
    </w:p>
    <w:p w14:paraId="2031F402" w14:textId="1EB23067" w:rsidR="00D463C8" w:rsidRDefault="00D463C8" w:rsidP="00D463C8">
      <w:pPr>
        <w:spacing w:after="0"/>
        <w:rPr>
          <w:bCs/>
          <w:sz w:val="24"/>
          <w:szCs w:val="24"/>
        </w:rPr>
      </w:pPr>
      <w:r>
        <w:rPr>
          <w:bCs/>
          <w:sz w:val="24"/>
          <w:szCs w:val="24"/>
        </w:rPr>
        <w:t xml:space="preserve">“[…] </w:t>
      </w:r>
      <w:r w:rsidRPr="00D463C8">
        <w:rPr>
          <w:bCs/>
          <w:sz w:val="24"/>
          <w:szCs w:val="24"/>
        </w:rPr>
        <w:t xml:space="preserve">in 15 EU Member States – Belgium, Bulgaria, Cyprus, the Czech Republic, Finland, France, Germany, Greece, Ireland, Italy, Lithuania, </w:t>
      </w:r>
      <w:r w:rsidRPr="00D463C8">
        <w:rPr>
          <w:b/>
          <w:bCs/>
          <w:sz w:val="24"/>
          <w:szCs w:val="24"/>
        </w:rPr>
        <w:t>Poland</w:t>
      </w:r>
      <w:r w:rsidRPr="00D463C8">
        <w:rPr>
          <w:bCs/>
          <w:sz w:val="24"/>
          <w:szCs w:val="24"/>
        </w:rPr>
        <w:t>, Slovenia, Spain and the United Kingdom</w:t>
      </w:r>
      <w:r w:rsidRPr="00D463C8">
        <w:rPr>
          <w:b/>
          <w:bCs/>
          <w:sz w:val="24"/>
          <w:szCs w:val="24"/>
        </w:rPr>
        <w:t xml:space="preserve"> </w:t>
      </w:r>
      <w:r w:rsidRPr="00D463C8">
        <w:rPr>
          <w:bCs/>
          <w:sz w:val="24"/>
          <w:szCs w:val="24"/>
        </w:rPr>
        <w:t>– the research indicates</w:t>
      </w:r>
      <w:r>
        <w:rPr>
          <w:bCs/>
          <w:sz w:val="24"/>
          <w:szCs w:val="24"/>
        </w:rPr>
        <w:t xml:space="preserve"> </w:t>
      </w:r>
      <w:r w:rsidRPr="00D463C8">
        <w:rPr>
          <w:bCs/>
          <w:sz w:val="24"/>
          <w:szCs w:val="24"/>
        </w:rPr>
        <w:t>that training material or specific instructions on how to</w:t>
      </w:r>
      <w:r>
        <w:rPr>
          <w:bCs/>
          <w:sz w:val="24"/>
          <w:szCs w:val="24"/>
        </w:rPr>
        <w:t xml:space="preserve"> </w:t>
      </w:r>
      <w:r w:rsidRPr="00D463C8">
        <w:rPr>
          <w:bCs/>
          <w:sz w:val="24"/>
          <w:szCs w:val="24"/>
        </w:rPr>
        <w:t>ensure non-discrimination on the ground of disability</w:t>
      </w:r>
      <w:r>
        <w:rPr>
          <w:bCs/>
          <w:sz w:val="24"/>
          <w:szCs w:val="24"/>
        </w:rPr>
        <w:t xml:space="preserve"> </w:t>
      </w:r>
      <w:r w:rsidRPr="00D463C8">
        <w:rPr>
          <w:bCs/>
          <w:sz w:val="24"/>
          <w:szCs w:val="24"/>
        </w:rPr>
        <w:t>and accessibility in voting procedures is provided.</w:t>
      </w:r>
      <w:r>
        <w:rPr>
          <w:bCs/>
          <w:sz w:val="24"/>
          <w:szCs w:val="24"/>
        </w:rPr>
        <w:t>” (p. 52)</w:t>
      </w:r>
    </w:p>
    <w:p w14:paraId="4F5583E8" w14:textId="30D1C8FD" w:rsidR="00D463C8" w:rsidRDefault="00D463C8" w:rsidP="00D463C8">
      <w:pPr>
        <w:spacing w:after="0"/>
        <w:rPr>
          <w:bCs/>
          <w:sz w:val="24"/>
          <w:szCs w:val="24"/>
        </w:rPr>
      </w:pPr>
      <w:r>
        <w:rPr>
          <w:bCs/>
          <w:sz w:val="24"/>
          <w:szCs w:val="24"/>
        </w:rPr>
        <w:t>“</w:t>
      </w:r>
      <w:r w:rsidRPr="00D463C8">
        <w:rPr>
          <w:bCs/>
          <w:sz w:val="24"/>
          <w:szCs w:val="24"/>
        </w:rPr>
        <w:t>In the first</w:t>
      </w:r>
      <w:r>
        <w:rPr>
          <w:bCs/>
          <w:sz w:val="24"/>
          <w:szCs w:val="24"/>
        </w:rPr>
        <w:t xml:space="preserve"> group of Member States, people </w:t>
      </w:r>
      <w:r w:rsidRPr="00D463C8">
        <w:rPr>
          <w:bCs/>
          <w:sz w:val="24"/>
          <w:szCs w:val="24"/>
        </w:rPr>
        <w:t>who are prevented from voting because they have</w:t>
      </w:r>
      <w:r>
        <w:rPr>
          <w:bCs/>
          <w:sz w:val="24"/>
          <w:szCs w:val="24"/>
        </w:rPr>
        <w:t xml:space="preserve"> </w:t>
      </w:r>
      <w:r w:rsidRPr="00D463C8">
        <w:rPr>
          <w:bCs/>
          <w:sz w:val="24"/>
          <w:szCs w:val="24"/>
        </w:rPr>
        <w:t>been deprived of their legal capacity are denied access</w:t>
      </w:r>
      <w:r>
        <w:rPr>
          <w:bCs/>
          <w:sz w:val="24"/>
          <w:szCs w:val="24"/>
        </w:rPr>
        <w:t xml:space="preserve"> </w:t>
      </w:r>
      <w:r w:rsidRPr="00D463C8">
        <w:rPr>
          <w:bCs/>
          <w:sz w:val="24"/>
          <w:szCs w:val="24"/>
        </w:rPr>
        <w:t xml:space="preserve">to redress regarding problems </w:t>
      </w:r>
      <w:r w:rsidRPr="00D463C8">
        <w:rPr>
          <w:bCs/>
          <w:sz w:val="24"/>
          <w:szCs w:val="24"/>
        </w:rPr>
        <w:lastRenderedPageBreak/>
        <w:t>experienced in the voting</w:t>
      </w:r>
      <w:r>
        <w:rPr>
          <w:bCs/>
          <w:sz w:val="24"/>
          <w:szCs w:val="24"/>
        </w:rPr>
        <w:t xml:space="preserve"> </w:t>
      </w:r>
      <w:r w:rsidRPr="00D463C8">
        <w:rPr>
          <w:bCs/>
          <w:sz w:val="24"/>
          <w:szCs w:val="24"/>
        </w:rPr>
        <w:t xml:space="preserve">process. This is the case in Denmark, Estonia, Greece, Ireland, Lithuania, </w:t>
      </w:r>
      <w:r w:rsidRPr="00D463C8">
        <w:rPr>
          <w:b/>
          <w:bCs/>
          <w:sz w:val="24"/>
          <w:szCs w:val="24"/>
        </w:rPr>
        <w:t>Poland</w:t>
      </w:r>
      <w:r w:rsidRPr="00D463C8">
        <w:rPr>
          <w:bCs/>
          <w:sz w:val="24"/>
          <w:szCs w:val="24"/>
        </w:rPr>
        <w:t xml:space="preserve">, Slovenia and Slovakia.” </w:t>
      </w:r>
      <w:r>
        <w:rPr>
          <w:bCs/>
          <w:sz w:val="24"/>
          <w:szCs w:val="24"/>
        </w:rPr>
        <w:t>(p. 53)</w:t>
      </w:r>
    </w:p>
    <w:p w14:paraId="579CAE26" w14:textId="6A6082F0" w:rsidR="00D463C8" w:rsidRDefault="00D463C8" w:rsidP="00D463C8">
      <w:pPr>
        <w:spacing w:after="0"/>
        <w:rPr>
          <w:bCs/>
          <w:sz w:val="24"/>
          <w:szCs w:val="24"/>
        </w:rPr>
      </w:pPr>
      <w:r>
        <w:rPr>
          <w:bCs/>
          <w:sz w:val="24"/>
          <w:szCs w:val="24"/>
        </w:rPr>
        <w:t>“</w:t>
      </w:r>
      <w:r w:rsidRPr="00D463C8">
        <w:rPr>
          <w:bCs/>
          <w:sz w:val="24"/>
          <w:szCs w:val="24"/>
        </w:rPr>
        <w:t xml:space="preserve">In Germany, Hungary, Italy, </w:t>
      </w:r>
      <w:r w:rsidRPr="00D463C8">
        <w:rPr>
          <w:b/>
          <w:bCs/>
          <w:sz w:val="24"/>
          <w:szCs w:val="24"/>
        </w:rPr>
        <w:t xml:space="preserve">Poland </w:t>
      </w:r>
      <w:r w:rsidRPr="00D463C8">
        <w:rPr>
          <w:bCs/>
          <w:sz w:val="24"/>
          <w:szCs w:val="24"/>
        </w:rPr>
        <w:t>and Slovakia</w:t>
      </w:r>
      <w:r w:rsidRPr="00D463C8">
        <w:rPr>
          <w:b/>
          <w:bCs/>
          <w:sz w:val="24"/>
          <w:szCs w:val="24"/>
        </w:rPr>
        <w:t xml:space="preserve"> </w:t>
      </w:r>
      <w:r>
        <w:rPr>
          <w:bCs/>
          <w:sz w:val="24"/>
          <w:szCs w:val="24"/>
        </w:rPr>
        <w:t xml:space="preserve">the </w:t>
      </w:r>
      <w:r w:rsidRPr="00D463C8">
        <w:rPr>
          <w:bCs/>
          <w:sz w:val="24"/>
          <w:szCs w:val="24"/>
        </w:rPr>
        <w:t>duty to consult with DPOs is provided through general</w:t>
      </w:r>
      <w:r>
        <w:rPr>
          <w:bCs/>
          <w:sz w:val="24"/>
          <w:szCs w:val="24"/>
        </w:rPr>
        <w:t xml:space="preserve"> </w:t>
      </w:r>
      <w:r w:rsidRPr="00D463C8">
        <w:rPr>
          <w:bCs/>
          <w:sz w:val="24"/>
          <w:szCs w:val="24"/>
        </w:rPr>
        <w:t>provisions that require concerned parties and/or the</w:t>
      </w:r>
      <w:r>
        <w:rPr>
          <w:bCs/>
          <w:sz w:val="24"/>
          <w:szCs w:val="24"/>
        </w:rPr>
        <w:t xml:space="preserve"> </w:t>
      </w:r>
      <w:r w:rsidRPr="00D463C8">
        <w:rPr>
          <w:bCs/>
          <w:sz w:val="24"/>
          <w:szCs w:val="24"/>
        </w:rPr>
        <w:t>public to be consulted in law and policy-making processes.</w:t>
      </w:r>
      <w:r>
        <w:rPr>
          <w:bCs/>
          <w:sz w:val="24"/>
          <w:szCs w:val="24"/>
        </w:rPr>
        <w:t>” (p. 57)</w:t>
      </w:r>
    </w:p>
    <w:p w14:paraId="138C1F69" w14:textId="22A30003" w:rsidR="00D463C8" w:rsidRDefault="0061363A" w:rsidP="0061363A">
      <w:pPr>
        <w:spacing w:after="0"/>
        <w:rPr>
          <w:bCs/>
          <w:sz w:val="24"/>
          <w:szCs w:val="24"/>
        </w:rPr>
      </w:pPr>
      <w:r>
        <w:rPr>
          <w:bCs/>
          <w:sz w:val="24"/>
          <w:szCs w:val="24"/>
        </w:rPr>
        <w:t>“</w:t>
      </w:r>
      <w:r w:rsidRPr="0061363A">
        <w:rPr>
          <w:bCs/>
          <w:sz w:val="24"/>
          <w:szCs w:val="24"/>
        </w:rPr>
        <w:t>The analysis shows tha</w:t>
      </w:r>
      <w:r>
        <w:rPr>
          <w:bCs/>
          <w:sz w:val="24"/>
          <w:szCs w:val="24"/>
        </w:rPr>
        <w:t xml:space="preserve">t in six EU Member States – the </w:t>
      </w:r>
      <w:r w:rsidRPr="0061363A">
        <w:rPr>
          <w:bCs/>
          <w:sz w:val="24"/>
          <w:szCs w:val="24"/>
        </w:rPr>
        <w:t xml:space="preserve">Czech Republic, Lithuania, Malta, </w:t>
      </w:r>
      <w:r w:rsidRPr="0061363A">
        <w:rPr>
          <w:b/>
          <w:bCs/>
          <w:sz w:val="24"/>
          <w:szCs w:val="24"/>
        </w:rPr>
        <w:t>Poland</w:t>
      </w:r>
      <w:r w:rsidRPr="0061363A">
        <w:rPr>
          <w:bCs/>
          <w:sz w:val="24"/>
          <w:szCs w:val="24"/>
        </w:rPr>
        <w:t>, Spain and Sweden</w:t>
      </w:r>
      <w:r w:rsidRPr="0061363A">
        <w:rPr>
          <w:b/>
          <w:bCs/>
          <w:sz w:val="24"/>
          <w:szCs w:val="24"/>
        </w:rPr>
        <w:t xml:space="preserve"> </w:t>
      </w:r>
      <w:r w:rsidRPr="0061363A">
        <w:rPr>
          <w:bCs/>
          <w:sz w:val="24"/>
          <w:szCs w:val="24"/>
        </w:rPr>
        <w:t>– information about how and where to complain</w:t>
      </w:r>
      <w:r>
        <w:rPr>
          <w:bCs/>
          <w:sz w:val="24"/>
          <w:szCs w:val="24"/>
        </w:rPr>
        <w:t xml:space="preserve"> </w:t>
      </w:r>
      <w:r w:rsidRPr="0061363A">
        <w:rPr>
          <w:bCs/>
          <w:sz w:val="24"/>
          <w:szCs w:val="24"/>
        </w:rPr>
        <w:t>about voting rights is provided on a website that</w:t>
      </w:r>
      <w:r>
        <w:rPr>
          <w:bCs/>
          <w:sz w:val="24"/>
          <w:szCs w:val="24"/>
        </w:rPr>
        <w:t xml:space="preserve"> </w:t>
      </w:r>
      <w:r w:rsidRPr="0061363A">
        <w:rPr>
          <w:bCs/>
          <w:sz w:val="24"/>
          <w:szCs w:val="24"/>
        </w:rPr>
        <w:t>declares it meets WCAG 2.0 AA standards or in other</w:t>
      </w:r>
      <w:r>
        <w:rPr>
          <w:bCs/>
          <w:sz w:val="24"/>
          <w:szCs w:val="24"/>
        </w:rPr>
        <w:t xml:space="preserve"> </w:t>
      </w:r>
      <w:r w:rsidRPr="0061363A">
        <w:rPr>
          <w:bCs/>
          <w:sz w:val="24"/>
          <w:szCs w:val="24"/>
        </w:rPr>
        <w:t>accessible formats.</w:t>
      </w:r>
      <w:r>
        <w:rPr>
          <w:bCs/>
          <w:sz w:val="24"/>
          <w:szCs w:val="24"/>
        </w:rPr>
        <w:t>” (p. 60)</w:t>
      </w:r>
    </w:p>
    <w:p w14:paraId="6244328D" w14:textId="79D98A63" w:rsidR="0061363A" w:rsidRDefault="0061363A" w:rsidP="0061363A">
      <w:pPr>
        <w:spacing w:after="0"/>
        <w:rPr>
          <w:bCs/>
          <w:sz w:val="24"/>
          <w:szCs w:val="24"/>
        </w:rPr>
      </w:pPr>
      <w:r>
        <w:rPr>
          <w:bCs/>
          <w:sz w:val="24"/>
          <w:szCs w:val="24"/>
        </w:rPr>
        <w:t xml:space="preserve">“From 2000 to 2010 the Human </w:t>
      </w:r>
      <w:r w:rsidRPr="0061363A">
        <w:rPr>
          <w:bCs/>
          <w:sz w:val="24"/>
          <w:szCs w:val="24"/>
        </w:rPr>
        <w:t xml:space="preserve">Rights Defender in </w:t>
      </w:r>
      <w:r w:rsidRPr="0061363A">
        <w:rPr>
          <w:b/>
          <w:bCs/>
          <w:sz w:val="24"/>
          <w:szCs w:val="24"/>
        </w:rPr>
        <w:t xml:space="preserve">Poland </w:t>
      </w:r>
      <w:r w:rsidRPr="0061363A">
        <w:rPr>
          <w:bCs/>
          <w:sz w:val="24"/>
          <w:szCs w:val="24"/>
        </w:rPr>
        <w:t>attempted to increase the</w:t>
      </w:r>
      <w:r>
        <w:rPr>
          <w:bCs/>
          <w:sz w:val="24"/>
          <w:szCs w:val="24"/>
        </w:rPr>
        <w:t xml:space="preserve"> </w:t>
      </w:r>
      <w:r w:rsidRPr="0061363A">
        <w:rPr>
          <w:bCs/>
          <w:sz w:val="24"/>
          <w:szCs w:val="24"/>
        </w:rPr>
        <w:t>respect for the rights of people with disabilities to political</w:t>
      </w:r>
      <w:r>
        <w:rPr>
          <w:bCs/>
          <w:sz w:val="24"/>
          <w:szCs w:val="24"/>
        </w:rPr>
        <w:t xml:space="preserve"> </w:t>
      </w:r>
      <w:r w:rsidRPr="0061363A">
        <w:rPr>
          <w:bCs/>
          <w:sz w:val="24"/>
          <w:szCs w:val="24"/>
        </w:rPr>
        <w:t>participation by sending letters to various public</w:t>
      </w:r>
      <w:r>
        <w:rPr>
          <w:bCs/>
          <w:sz w:val="24"/>
          <w:szCs w:val="24"/>
        </w:rPr>
        <w:t xml:space="preserve"> </w:t>
      </w:r>
      <w:r w:rsidRPr="0061363A">
        <w:rPr>
          <w:bCs/>
          <w:sz w:val="24"/>
          <w:szCs w:val="24"/>
        </w:rPr>
        <w:t>authorities, including the parliamentary speaker and</w:t>
      </w:r>
      <w:r>
        <w:rPr>
          <w:bCs/>
          <w:sz w:val="24"/>
          <w:szCs w:val="24"/>
        </w:rPr>
        <w:t xml:space="preserve"> </w:t>
      </w:r>
      <w:r w:rsidRPr="0061363A">
        <w:rPr>
          <w:bCs/>
          <w:sz w:val="24"/>
          <w:szCs w:val="24"/>
        </w:rPr>
        <w:t>the National Election Council.</w:t>
      </w:r>
      <w:r>
        <w:rPr>
          <w:bCs/>
          <w:sz w:val="24"/>
          <w:szCs w:val="24"/>
        </w:rPr>
        <w:t>” (p. 64)</w:t>
      </w:r>
    </w:p>
    <w:p w14:paraId="2152A03A" w14:textId="60648945" w:rsidR="0061363A" w:rsidRDefault="0061363A" w:rsidP="0061363A">
      <w:pPr>
        <w:spacing w:after="0"/>
        <w:rPr>
          <w:bCs/>
          <w:sz w:val="24"/>
          <w:szCs w:val="24"/>
        </w:rPr>
      </w:pPr>
      <w:r>
        <w:rPr>
          <w:bCs/>
          <w:sz w:val="24"/>
          <w:szCs w:val="24"/>
        </w:rPr>
        <w:t>“</w:t>
      </w:r>
      <w:r w:rsidRPr="0061363A">
        <w:rPr>
          <w:bCs/>
          <w:sz w:val="24"/>
          <w:szCs w:val="24"/>
        </w:rPr>
        <w:t>In seven Member States</w:t>
      </w:r>
      <w:r>
        <w:rPr>
          <w:bCs/>
          <w:sz w:val="24"/>
          <w:szCs w:val="24"/>
        </w:rPr>
        <w:t xml:space="preserve">, data from official government </w:t>
      </w:r>
      <w:r w:rsidRPr="0061363A">
        <w:rPr>
          <w:bCs/>
          <w:sz w:val="24"/>
          <w:szCs w:val="24"/>
        </w:rPr>
        <w:t>sources reveal the existence of one or more members of</w:t>
      </w:r>
      <w:r>
        <w:rPr>
          <w:bCs/>
          <w:sz w:val="24"/>
          <w:szCs w:val="24"/>
        </w:rPr>
        <w:t xml:space="preserve"> parliament who publically identify as having a disability. Of those, Croatia was the Member State with the most reported members of parliament with a disability (7) followed by </w:t>
      </w:r>
      <w:r w:rsidRPr="0061363A">
        <w:rPr>
          <w:b/>
          <w:bCs/>
          <w:sz w:val="24"/>
          <w:szCs w:val="24"/>
        </w:rPr>
        <w:t>Poland</w:t>
      </w:r>
      <w:r>
        <w:rPr>
          <w:bCs/>
          <w:sz w:val="24"/>
          <w:szCs w:val="24"/>
        </w:rPr>
        <w:t xml:space="preserve"> and the United Kingdom (3 each).” (p. 68)</w:t>
      </w:r>
    </w:p>
    <w:p w14:paraId="1E313254" w14:textId="290A1D5B" w:rsidR="0061363A" w:rsidRDefault="0061363A" w:rsidP="0061363A">
      <w:pPr>
        <w:spacing w:after="0"/>
        <w:rPr>
          <w:bCs/>
          <w:sz w:val="24"/>
          <w:szCs w:val="24"/>
        </w:rPr>
      </w:pPr>
      <w:r>
        <w:rPr>
          <w:bCs/>
          <w:sz w:val="24"/>
          <w:szCs w:val="24"/>
        </w:rPr>
        <w:t>“</w:t>
      </w:r>
      <w:r w:rsidRPr="0061363A">
        <w:rPr>
          <w:bCs/>
          <w:sz w:val="24"/>
          <w:szCs w:val="24"/>
        </w:rPr>
        <w:t xml:space="preserve">In only five Member States: Croatia, the Czech Republic, France, Greece, </w:t>
      </w:r>
      <w:r w:rsidRPr="0061363A">
        <w:rPr>
          <w:b/>
          <w:bCs/>
          <w:sz w:val="24"/>
          <w:szCs w:val="24"/>
        </w:rPr>
        <w:t xml:space="preserve">Poland </w:t>
      </w:r>
      <w:r w:rsidRPr="0061363A">
        <w:rPr>
          <w:bCs/>
          <w:sz w:val="24"/>
          <w:szCs w:val="24"/>
        </w:rPr>
        <w:t>and Romania did</w:t>
      </w:r>
      <w:r>
        <w:rPr>
          <w:b/>
          <w:bCs/>
          <w:sz w:val="24"/>
          <w:szCs w:val="24"/>
        </w:rPr>
        <w:t xml:space="preserve"> </w:t>
      </w:r>
      <w:r w:rsidRPr="0061363A">
        <w:rPr>
          <w:bCs/>
          <w:sz w:val="24"/>
          <w:szCs w:val="24"/>
        </w:rPr>
        <w:t>the analysis identify a source of official government</w:t>
      </w:r>
      <w:r>
        <w:rPr>
          <w:b/>
          <w:bCs/>
          <w:sz w:val="24"/>
          <w:szCs w:val="24"/>
        </w:rPr>
        <w:t xml:space="preserve"> </w:t>
      </w:r>
      <w:r w:rsidRPr="0061363A">
        <w:rPr>
          <w:bCs/>
          <w:sz w:val="24"/>
          <w:szCs w:val="24"/>
        </w:rPr>
        <w:t>data on the accessibility of public authority buildings.</w:t>
      </w:r>
      <w:r>
        <w:rPr>
          <w:bCs/>
          <w:sz w:val="24"/>
          <w:szCs w:val="24"/>
        </w:rPr>
        <w:t>” (p. 72)</w:t>
      </w:r>
    </w:p>
    <w:p w14:paraId="0414F664" w14:textId="3B44AB67" w:rsidR="0061363A" w:rsidRDefault="0061363A" w:rsidP="0061363A">
      <w:pPr>
        <w:spacing w:after="0"/>
        <w:rPr>
          <w:bCs/>
          <w:sz w:val="24"/>
          <w:szCs w:val="24"/>
        </w:rPr>
      </w:pPr>
      <w:r>
        <w:rPr>
          <w:b/>
          <w:bCs/>
          <w:noProof/>
          <w:sz w:val="24"/>
          <w:szCs w:val="24"/>
          <w:lang w:eastAsia="en-IE"/>
        </w:rPr>
        <w:lastRenderedPageBreak/>
        <w:drawing>
          <wp:inline distT="0" distB="0" distL="0" distR="0" wp14:anchorId="43CED057" wp14:editId="6ECC0AF6">
            <wp:extent cx="2466975" cy="266582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part4.PNG"/>
                    <pic:cNvPicPr/>
                  </pic:nvPicPr>
                  <pic:blipFill>
                    <a:blip r:embed="rId24">
                      <a:extLst>
                        <a:ext uri="{28A0092B-C50C-407E-A947-70E740481C1C}">
                          <a14:useLocalDpi xmlns:a14="http://schemas.microsoft.com/office/drawing/2010/main" val="0"/>
                        </a:ext>
                      </a:extLst>
                    </a:blip>
                    <a:stretch>
                      <a:fillRect/>
                    </a:stretch>
                  </pic:blipFill>
                  <pic:spPr>
                    <a:xfrm>
                      <a:off x="0" y="0"/>
                      <a:ext cx="2473564" cy="2672944"/>
                    </a:xfrm>
                    <a:prstGeom prst="rect">
                      <a:avLst/>
                    </a:prstGeom>
                  </pic:spPr>
                </pic:pic>
              </a:graphicData>
            </a:graphic>
          </wp:inline>
        </w:drawing>
      </w:r>
      <w:r>
        <w:rPr>
          <w:b/>
          <w:bCs/>
          <w:noProof/>
          <w:sz w:val="24"/>
          <w:szCs w:val="24"/>
          <w:lang w:eastAsia="en-IE"/>
        </w:rPr>
        <w:drawing>
          <wp:inline distT="0" distB="0" distL="0" distR="0" wp14:anchorId="4786D669" wp14:editId="6343CE0D">
            <wp:extent cx="2600325" cy="330950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lpart5.PNG"/>
                    <pic:cNvPicPr/>
                  </pic:nvPicPr>
                  <pic:blipFill>
                    <a:blip r:embed="rId25">
                      <a:extLst>
                        <a:ext uri="{28A0092B-C50C-407E-A947-70E740481C1C}">
                          <a14:useLocalDpi xmlns:a14="http://schemas.microsoft.com/office/drawing/2010/main" val="0"/>
                        </a:ext>
                      </a:extLst>
                    </a:blip>
                    <a:stretch>
                      <a:fillRect/>
                    </a:stretch>
                  </pic:blipFill>
                  <pic:spPr>
                    <a:xfrm>
                      <a:off x="0" y="0"/>
                      <a:ext cx="2602589" cy="3312386"/>
                    </a:xfrm>
                    <a:prstGeom prst="rect">
                      <a:avLst/>
                    </a:prstGeom>
                  </pic:spPr>
                </pic:pic>
              </a:graphicData>
            </a:graphic>
          </wp:inline>
        </w:drawing>
      </w:r>
      <w:r>
        <w:rPr>
          <w:b/>
          <w:bCs/>
          <w:sz w:val="24"/>
          <w:szCs w:val="24"/>
        </w:rPr>
        <w:t xml:space="preserve">  </w:t>
      </w:r>
      <w:r w:rsidRPr="0061363A">
        <w:rPr>
          <w:bCs/>
          <w:sz w:val="24"/>
          <w:szCs w:val="24"/>
        </w:rPr>
        <w:t>(p. 73)</w:t>
      </w:r>
    </w:p>
    <w:p w14:paraId="29A80671" w14:textId="2E0BE4E9" w:rsidR="0061363A" w:rsidRPr="0061363A" w:rsidRDefault="0061363A" w:rsidP="0061363A">
      <w:pPr>
        <w:spacing w:after="0"/>
        <w:rPr>
          <w:bCs/>
          <w:sz w:val="24"/>
          <w:szCs w:val="24"/>
        </w:rPr>
      </w:pPr>
      <w:r>
        <w:rPr>
          <w:bCs/>
          <w:sz w:val="24"/>
          <w:szCs w:val="24"/>
        </w:rPr>
        <w:t>“</w:t>
      </w:r>
      <w:r w:rsidRPr="0061363A">
        <w:rPr>
          <w:bCs/>
          <w:sz w:val="24"/>
          <w:szCs w:val="24"/>
        </w:rPr>
        <w:t xml:space="preserve">Data from Bulgaria, Croatia, Cyprus, Greece, Italy, Lithuania, Luxembourg, </w:t>
      </w:r>
      <w:r w:rsidRPr="0061363A">
        <w:rPr>
          <w:b/>
          <w:bCs/>
          <w:sz w:val="24"/>
          <w:szCs w:val="24"/>
        </w:rPr>
        <w:t xml:space="preserve">Poland </w:t>
      </w:r>
      <w:r w:rsidRPr="0061363A">
        <w:rPr>
          <w:bCs/>
          <w:sz w:val="24"/>
          <w:szCs w:val="24"/>
        </w:rPr>
        <w:t>and Slovenia indicate that no</w:t>
      </w:r>
      <w:r>
        <w:rPr>
          <w:bCs/>
          <w:sz w:val="24"/>
          <w:szCs w:val="24"/>
        </w:rPr>
        <w:t xml:space="preserve"> </w:t>
      </w:r>
      <w:r w:rsidRPr="0061363A">
        <w:rPr>
          <w:bCs/>
          <w:sz w:val="24"/>
          <w:szCs w:val="24"/>
        </w:rPr>
        <w:t>political parties produced their manifestos in accessible</w:t>
      </w:r>
      <w:r>
        <w:rPr>
          <w:bCs/>
          <w:sz w:val="24"/>
          <w:szCs w:val="24"/>
        </w:rPr>
        <w:t xml:space="preserve"> </w:t>
      </w:r>
      <w:r w:rsidRPr="0061363A">
        <w:rPr>
          <w:bCs/>
          <w:sz w:val="24"/>
          <w:szCs w:val="24"/>
        </w:rPr>
        <w:t>formats for the last elections.</w:t>
      </w:r>
      <w:r>
        <w:rPr>
          <w:bCs/>
          <w:sz w:val="24"/>
          <w:szCs w:val="24"/>
        </w:rPr>
        <w:t>” (p. 80)</w:t>
      </w:r>
    </w:p>
    <w:p w14:paraId="43AA9E6E" w14:textId="7780AA64" w:rsidR="00EE03DC" w:rsidRPr="007B3C18" w:rsidRDefault="00EE03DC" w:rsidP="002D605B">
      <w:pPr>
        <w:autoSpaceDE w:val="0"/>
        <w:autoSpaceDN w:val="0"/>
        <w:adjustRightInd w:val="0"/>
        <w:spacing w:after="0"/>
        <w:rPr>
          <w:rFonts w:eastAsia="DaxlinePro-Regular" w:cs="DaxlinePro-Regular"/>
          <w:sz w:val="24"/>
          <w:szCs w:val="24"/>
        </w:rPr>
      </w:pPr>
    </w:p>
    <w:p w14:paraId="1F87A38A" w14:textId="77777777" w:rsidR="00281962" w:rsidRDefault="00281962" w:rsidP="00B37D35">
      <w:pPr>
        <w:pStyle w:val="Heading2"/>
        <w:ind w:left="939"/>
      </w:pPr>
      <w:bookmarkStart w:id="18" w:name="_Toc518292268"/>
      <w:r w:rsidRPr="004C24D1">
        <w:t>Legal capacity of persons with intellectual disabilities and persons with mental health problems (2013)</w:t>
      </w:r>
      <w:bookmarkEnd w:id="18"/>
    </w:p>
    <w:p w14:paraId="75B80A28" w14:textId="67BFEAB7" w:rsidR="00281962" w:rsidRDefault="00281962" w:rsidP="00B37D35">
      <w:pPr>
        <w:spacing w:after="0"/>
        <w:rPr>
          <w:sz w:val="24"/>
          <w:szCs w:val="24"/>
          <w:lang w:val="en"/>
        </w:rPr>
      </w:pPr>
      <w:r w:rsidRPr="00E673AD">
        <w:rPr>
          <w:sz w:val="24"/>
          <w:szCs w:val="24"/>
          <w:lang w:val="en"/>
        </w:rPr>
        <w:t>For more information:</w:t>
      </w:r>
      <w:r w:rsidRPr="00E673AD">
        <w:rPr>
          <w:sz w:val="24"/>
          <w:szCs w:val="24"/>
        </w:rPr>
        <w:t xml:space="preserve"> </w:t>
      </w:r>
      <w:hyperlink r:id="rId26" w:history="1">
        <w:r w:rsidRPr="00E673AD">
          <w:rPr>
            <w:rStyle w:val="Hyperlink"/>
            <w:sz w:val="24"/>
            <w:szCs w:val="24"/>
            <w:lang w:val="en"/>
          </w:rPr>
          <w:t>http://fra.europa.eu/en/publication/2013/legal-capacity-persons-intellectual-disabilities-and-persons-mental-health-problems</w:t>
        </w:r>
      </w:hyperlink>
      <w:r w:rsidR="006F4931" w:rsidRPr="006F4931">
        <w:rPr>
          <w:rStyle w:val="Hyperlink"/>
          <w:color w:val="auto"/>
          <w:sz w:val="24"/>
          <w:szCs w:val="24"/>
          <w:u w:val="none"/>
          <w:lang w:val="en"/>
        </w:rPr>
        <w:t>.</w:t>
      </w:r>
      <w:r w:rsidR="00FE5A96">
        <w:rPr>
          <w:rStyle w:val="Hyperlink"/>
          <w:sz w:val="24"/>
          <w:szCs w:val="24"/>
          <w:u w:val="none"/>
          <w:lang w:val="en"/>
        </w:rPr>
        <w:t xml:space="preserve"> </w:t>
      </w:r>
      <w:r w:rsidR="006F4931">
        <w:rPr>
          <w:sz w:val="24"/>
          <w:szCs w:val="24"/>
          <w:lang w:val="en"/>
        </w:rPr>
        <w:t xml:space="preserve">Also available in easy-to-read: </w:t>
      </w:r>
      <w:hyperlink r:id="rId27" w:history="1">
        <w:r w:rsidR="006F4931" w:rsidRPr="00B82C70">
          <w:rPr>
            <w:rStyle w:val="Hyperlink"/>
            <w:sz w:val="24"/>
            <w:szCs w:val="24"/>
            <w:lang w:val="en"/>
          </w:rPr>
          <w:t>http://fra.europa.eu/en/publication/2013/laws-about-being-able-make-important-decisions-yourself</w:t>
        </w:r>
      </w:hyperlink>
      <w:r w:rsidR="006F4931">
        <w:rPr>
          <w:sz w:val="24"/>
          <w:szCs w:val="24"/>
          <w:lang w:val="en"/>
        </w:rPr>
        <w:t xml:space="preserve">. </w:t>
      </w:r>
    </w:p>
    <w:p w14:paraId="66DC63C2" w14:textId="2E71514D" w:rsidR="004F43DF" w:rsidRDefault="004F43DF" w:rsidP="00B37D35">
      <w:pPr>
        <w:spacing w:after="0"/>
        <w:rPr>
          <w:sz w:val="24"/>
          <w:szCs w:val="24"/>
        </w:rPr>
      </w:pPr>
      <w:r>
        <w:rPr>
          <w:sz w:val="24"/>
          <w:szCs w:val="24"/>
          <w:lang w:val="en"/>
        </w:rPr>
        <w:t>“</w:t>
      </w:r>
      <w:r w:rsidRPr="004F43DF">
        <w:rPr>
          <w:sz w:val="24"/>
          <w:szCs w:val="24"/>
        </w:rPr>
        <w:t>ECtHR case law documents the relationship between the removal of legal capacity and appointment of a guardian, and the decision to place and/or treat a person involuntarily and its consequences</w:t>
      </w:r>
      <w:r>
        <w:rPr>
          <w:sz w:val="24"/>
          <w:szCs w:val="24"/>
        </w:rPr>
        <w:t xml:space="preserve">. </w:t>
      </w:r>
      <w:r w:rsidRPr="004F43DF">
        <w:rPr>
          <w:sz w:val="24"/>
          <w:szCs w:val="24"/>
        </w:rPr>
        <w:t xml:space="preserve">Recent ECtHR cases such as </w:t>
      </w:r>
      <w:r w:rsidRPr="004F43DF">
        <w:rPr>
          <w:i/>
          <w:iCs/>
          <w:sz w:val="24"/>
          <w:szCs w:val="24"/>
        </w:rPr>
        <w:t xml:space="preserve">Kędzior v. </w:t>
      </w:r>
      <w:r w:rsidRPr="004F43DF">
        <w:rPr>
          <w:b/>
          <w:i/>
          <w:iCs/>
          <w:sz w:val="24"/>
          <w:szCs w:val="24"/>
        </w:rPr>
        <w:t>Poland</w:t>
      </w:r>
      <w:r w:rsidRPr="004F43DF">
        <w:rPr>
          <w:sz w:val="24"/>
          <w:szCs w:val="24"/>
        </w:rPr>
        <w:t xml:space="preserve">, </w:t>
      </w:r>
      <w:r w:rsidRPr="004F43DF">
        <w:rPr>
          <w:i/>
          <w:iCs/>
          <w:sz w:val="24"/>
          <w:szCs w:val="24"/>
        </w:rPr>
        <w:t>Sýkora v. the Czech Republic</w:t>
      </w:r>
      <w:r w:rsidRPr="004F43DF">
        <w:rPr>
          <w:sz w:val="24"/>
          <w:szCs w:val="24"/>
        </w:rPr>
        <w:t xml:space="preserve"> or </w:t>
      </w:r>
      <w:r w:rsidRPr="004F43DF">
        <w:rPr>
          <w:i/>
          <w:iCs/>
          <w:sz w:val="24"/>
          <w:szCs w:val="24"/>
        </w:rPr>
        <w:t>Mihailovs v. Latvia</w:t>
      </w:r>
      <w:r w:rsidRPr="004F43DF">
        <w:rPr>
          <w:sz w:val="24"/>
          <w:szCs w:val="24"/>
        </w:rPr>
        <w:t xml:space="preserve"> illustrate this </w:t>
      </w:r>
      <w:r>
        <w:rPr>
          <w:sz w:val="24"/>
          <w:szCs w:val="24"/>
        </w:rPr>
        <w:t>[</w:t>
      </w:r>
      <w:r w:rsidRPr="004F43DF">
        <w:rPr>
          <w:sz w:val="24"/>
          <w:szCs w:val="24"/>
        </w:rPr>
        <w:t>situa</w:t>
      </w:r>
      <w:r w:rsidRPr="004F43DF">
        <w:rPr>
          <w:sz w:val="24"/>
          <w:szCs w:val="24"/>
        </w:rPr>
        <w:softHyphen/>
        <w:t>tion</w:t>
      </w:r>
      <w:r>
        <w:rPr>
          <w:sz w:val="24"/>
          <w:szCs w:val="24"/>
        </w:rPr>
        <w:t>]</w:t>
      </w:r>
      <w:r w:rsidRPr="004F43DF">
        <w:rPr>
          <w:sz w:val="24"/>
          <w:szCs w:val="24"/>
        </w:rPr>
        <w:t>. In these cases, the applicants were divested of their legal capacity because of mental health problems</w:t>
      </w:r>
      <w:r>
        <w:rPr>
          <w:sz w:val="24"/>
          <w:szCs w:val="24"/>
        </w:rPr>
        <w:t xml:space="preserve"> </w:t>
      </w:r>
      <w:r w:rsidRPr="004F43DF">
        <w:rPr>
          <w:sz w:val="24"/>
          <w:szCs w:val="24"/>
        </w:rPr>
        <w:t xml:space="preserve">and were placed in social care or psychiatric institutions. The incapacitation curbed the individual’s freedom of movement. In the </w:t>
      </w:r>
      <w:r w:rsidRPr="004F43DF">
        <w:rPr>
          <w:i/>
          <w:iCs/>
          <w:sz w:val="24"/>
          <w:szCs w:val="24"/>
        </w:rPr>
        <w:lastRenderedPageBreak/>
        <w:t xml:space="preserve">Kędzior </w:t>
      </w:r>
      <w:r w:rsidRPr="004F43DF">
        <w:rPr>
          <w:sz w:val="24"/>
          <w:szCs w:val="24"/>
        </w:rPr>
        <w:t xml:space="preserve">case, only the guardian could apply for leave of absence from the institution, while in the </w:t>
      </w:r>
      <w:r w:rsidRPr="004F43DF">
        <w:rPr>
          <w:i/>
          <w:iCs/>
          <w:sz w:val="24"/>
          <w:szCs w:val="24"/>
        </w:rPr>
        <w:t xml:space="preserve">Mihailovs </w:t>
      </w:r>
      <w:r w:rsidRPr="004F43DF">
        <w:rPr>
          <w:sz w:val="24"/>
          <w:szCs w:val="24"/>
        </w:rPr>
        <w:t>case, when the husband asked for per</w:t>
      </w:r>
      <w:r w:rsidRPr="004F43DF">
        <w:rPr>
          <w:sz w:val="24"/>
          <w:szCs w:val="24"/>
        </w:rPr>
        <w:softHyphen/>
        <w:t>mission to leave the institution, the guardian, his wife, needed to agree.</w:t>
      </w:r>
      <w:r>
        <w:rPr>
          <w:sz w:val="24"/>
          <w:szCs w:val="24"/>
        </w:rPr>
        <w:t xml:space="preserve"> </w:t>
      </w:r>
      <w:r w:rsidRPr="004F43DF">
        <w:rPr>
          <w:sz w:val="24"/>
          <w:szCs w:val="24"/>
        </w:rPr>
        <w:t>The lack of legal capacity also has wide-reaching consequences for applicants wishing to have the law</w:t>
      </w:r>
      <w:r w:rsidRPr="004F43DF">
        <w:rPr>
          <w:sz w:val="24"/>
          <w:szCs w:val="24"/>
        </w:rPr>
        <w:softHyphen/>
        <w:t xml:space="preserve">fulness of their detention under Article 5 (4) of the ECHR reviewed. In the </w:t>
      </w:r>
      <w:r w:rsidRPr="004F43DF">
        <w:rPr>
          <w:i/>
          <w:iCs/>
          <w:sz w:val="24"/>
          <w:szCs w:val="24"/>
        </w:rPr>
        <w:t xml:space="preserve">Kędzior </w:t>
      </w:r>
      <w:r w:rsidRPr="004F43DF">
        <w:rPr>
          <w:sz w:val="24"/>
          <w:szCs w:val="24"/>
        </w:rPr>
        <w:t>case, for example, the ECtHR noted that the law does not prescribe periodic reviews of the need for detention when the placement is considered voluntary, and the lack of legal capacity prevented the individual from initiating any judicial rem</w:t>
      </w:r>
      <w:r w:rsidRPr="004F43DF">
        <w:rPr>
          <w:sz w:val="24"/>
          <w:szCs w:val="24"/>
        </w:rPr>
        <w:softHyphen/>
        <w:t>edy against his detention. For the ECtHR, this situation reveals a “lack of an effective regulatory framework” in violation of Article 5 (4).</w:t>
      </w:r>
      <w:r w:rsidR="00FB091C">
        <w:rPr>
          <w:sz w:val="24"/>
          <w:szCs w:val="24"/>
        </w:rPr>
        <w:t>” (p. 19)</w:t>
      </w:r>
    </w:p>
    <w:p w14:paraId="3407E88E" w14:textId="2BB6683A" w:rsidR="00FB091C" w:rsidRDefault="00FB091C" w:rsidP="00B37D35">
      <w:pPr>
        <w:spacing w:after="0"/>
        <w:rPr>
          <w:sz w:val="24"/>
          <w:szCs w:val="24"/>
        </w:rPr>
      </w:pPr>
      <w:r>
        <w:rPr>
          <w:sz w:val="24"/>
          <w:szCs w:val="24"/>
        </w:rPr>
        <w:t>“</w:t>
      </w:r>
      <w:r w:rsidRPr="00FB091C">
        <w:rPr>
          <w:sz w:val="24"/>
          <w:szCs w:val="24"/>
        </w:rPr>
        <w:t>All EU Member States have a legal framework that regulates the process leading to a restriction of a per</w:t>
      </w:r>
      <w:r w:rsidRPr="00FB091C">
        <w:rPr>
          <w:sz w:val="24"/>
          <w:szCs w:val="24"/>
        </w:rPr>
        <w:softHyphen/>
        <w:t>son’s legal capacity, although the majority of these frameworks are old, FRA research shows.</w:t>
      </w:r>
      <w:r>
        <w:rPr>
          <w:sz w:val="24"/>
          <w:szCs w:val="24"/>
        </w:rPr>
        <w:t xml:space="preserve"> </w:t>
      </w:r>
      <w:r w:rsidRPr="00FB091C">
        <w:rPr>
          <w:sz w:val="24"/>
          <w:szCs w:val="24"/>
        </w:rPr>
        <w:t xml:space="preserve">Legal capacity laws in </w:t>
      </w:r>
      <w:r w:rsidRPr="00FB091C">
        <w:rPr>
          <w:bCs/>
          <w:sz w:val="24"/>
          <w:szCs w:val="24"/>
        </w:rPr>
        <w:t>Slovakia</w:t>
      </w:r>
      <w:r w:rsidRPr="00FB091C">
        <w:rPr>
          <w:b/>
          <w:bCs/>
          <w:sz w:val="24"/>
          <w:szCs w:val="24"/>
        </w:rPr>
        <w:t xml:space="preserve"> </w:t>
      </w:r>
      <w:r w:rsidRPr="00FB091C">
        <w:rPr>
          <w:sz w:val="24"/>
          <w:szCs w:val="24"/>
        </w:rPr>
        <w:t xml:space="preserve">and </w:t>
      </w:r>
      <w:r w:rsidRPr="00FB091C">
        <w:rPr>
          <w:b/>
          <w:bCs/>
          <w:sz w:val="24"/>
          <w:szCs w:val="24"/>
        </w:rPr>
        <w:t xml:space="preserve">Poland </w:t>
      </w:r>
      <w:r w:rsidRPr="00FB091C">
        <w:rPr>
          <w:sz w:val="24"/>
          <w:szCs w:val="24"/>
        </w:rPr>
        <w:t>took effect in 1964.</w:t>
      </w:r>
      <w:r>
        <w:rPr>
          <w:sz w:val="24"/>
          <w:szCs w:val="24"/>
        </w:rPr>
        <w:t>” (p. 27-28)</w:t>
      </w:r>
    </w:p>
    <w:p w14:paraId="7AF5331A" w14:textId="7E7641E2" w:rsidR="00FB091C" w:rsidRDefault="00FB091C" w:rsidP="00B37D35">
      <w:pPr>
        <w:spacing w:after="0"/>
        <w:rPr>
          <w:sz w:val="24"/>
          <w:szCs w:val="24"/>
        </w:rPr>
      </w:pPr>
      <w:r>
        <w:rPr>
          <w:sz w:val="24"/>
          <w:szCs w:val="24"/>
        </w:rPr>
        <w:t>“</w:t>
      </w:r>
      <w:r w:rsidRPr="00FB091C">
        <w:rPr>
          <w:bCs/>
          <w:sz w:val="24"/>
          <w:szCs w:val="24"/>
        </w:rPr>
        <w:t xml:space="preserve">Bulgaria </w:t>
      </w:r>
      <w:r w:rsidRPr="00FB091C">
        <w:rPr>
          <w:sz w:val="24"/>
          <w:szCs w:val="24"/>
        </w:rPr>
        <w:t xml:space="preserve">ratified the CRPD on 26 January 2012, just a few days after the Grand Chamber of the ECtHR issued its judgment in the </w:t>
      </w:r>
      <w:r w:rsidRPr="00FB091C">
        <w:rPr>
          <w:i/>
          <w:iCs/>
          <w:sz w:val="24"/>
          <w:szCs w:val="24"/>
        </w:rPr>
        <w:t xml:space="preserve">Stanev v. Bulgaria </w:t>
      </w:r>
      <w:r w:rsidRPr="00FB091C">
        <w:rPr>
          <w:sz w:val="24"/>
          <w:szCs w:val="24"/>
        </w:rPr>
        <w:t>case. The two events prompted the Ministry of Justice to form a work</w:t>
      </w:r>
      <w:r w:rsidRPr="00FB091C">
        <w:rPr>
          <w:sz w:val="24"/>
          <w:szCs w:val="24"/>
        </w:rPr>
        <w:softHyphen/>
        <w:t>ing group composed of experts from the Ministries of Justice and Labour and Social Policy, as well as repre</w:t>
      </w:r>
      <w:r w:rsidRPr="00FB091C">
        <w:rPr>
          <w:sz w:val="24"/>
          <w:szCs w:val="24"/>
        </w:rPr>
        <w:softHyphen/>
        <w:t>sentatives of NGOs and academia. The working group is to reform legal capacity provisions in line with Article 12 of the CPRD</w:t>
      </w:r>
      <w:r>
        <w:rPr>
          <w:sz w:val="24"/>
          <w:szCs w:val="24"/>
        </w:rPr>
        <w:t xml:space="preserve">. </w:t>
      </w:r>
      <w:r w:rsidRPr="00FB091C">
        <w:rPr>
          <w:bCs/>
          <w:sz w:val="24"/>
          <w:szCs w:val="24"/>
        </w:rPr>
        <w:t>Ireland</w:t>
      </w:r>
      <w:r w:rsidRPr="00FB091C">
        <w:rPr>
          <w:sz w:val="24"/>
          <w:szCs w:val="24"/>
        </w:rPr>
        <w:t xml:space="preserve"> and </w:t>
      </w:r>
      <w:r w:rsidRPr="00FB091C">
        <w:rPr>
          <w:b/>
          <w:bCs/>
          <w:sz w:val="24"/>
          <w:szCs w:val="24"/>
        </w:rPr>
        <w:t>Poland</w:t>
      </w:r>
      <w:r w:rsidRPr="00FB091C">
        <w:rPr>
          <w:sz w:val="24"/>
          <w:szCs w:val="24"/>
        </w:rPr>
        <w:t xml:space="preserve"> have similar developments under way.</w:t>
      </w:r>
      <w:r>
        <w:rPr>
          <w:sz w:val="24"/>
          <w:szCs w:val="24"/>
        </w:rPr>
        <w:t>” (p. 28-29)</w:t>
      </w:r>
    </w:p>
    <w:p w14:paraId="1B0DE0D0" w14:textId="610EC640" w:rsidR="00FB091C" w:rsidRDefault="00FB091C" w:rsidP="00B37D35">
      <w:pPr>
        <w:spacing w:after="0"/>
        <w:rPr>
          <w:sz w:val="24"/>
          <w:szCs w:val="24"/>
        </w:rPr>
      </w:pPr>
      <w:r>
        <w:rPr>
          <w:sz w:val="24"/>
          <w:szCs w:val="24"/>
        </w:rPr>
        <w:t>“</w:t>
      </w:r>
      <w:r w:rsidRPr="00FB091C">
        <w:rPr>
          <w:bCs/>
          <w:sz w:val="24"/>
          <w:szCs w:val="24"/>
        </w:rPr>
        <w:t>Slovakia</w:t>
      </w:r>
      <w:r w:rsidRPr="00FB091C">
        <w:rPr>
          <w:sz w:val="24"/>
          <w:szCs w:val="24"/>
        </w:rPr>
        <w:t xml:space="preserve">, </w:t>
      </w:r>
      <w:r w:rsidRPr="00FB091C">
        <w:rPr>
          <w:bCs/>
          <w:sz w:val="24"/>
          <w:szCs w:val="24"/>
        </w:rPr>
        <w:t>Slovenia</w:t>
      </w:r>
      <w:r w:rsidRPr="00FB091C">
        <w:rPr>
          <w:sz w:val="24"/>
          <w:szCs w:val="24"/>
        </w:rPr>
        <w:t xml:space="preserve"> and </w:t>
      </w:r>
      <w:r w:rsidRPr="00FB091C">
        <w:rPr>
          <w:b/>
          <w:bCs/>
          <w:sz w:val="24"/>
          <w:szCs w:val="24"/>
        </w:rPr>
        <w:t>Poland</w:t>
      </w:r>
      <w:r w:rsidRPr="00FB091C">
        <w:rPr>
          <w:sz w:val="24"/>
          <w:szCs w:val="24"/>
        </w:rPr>
        <w:t xml:space="preserve"> have two degrees of restriction – either for all legal acts or just for certain legal acts – which reflect the two models of guardian</w:t>
      </w:r>
      <w:r w:rsidRPr="00FB091C">
        <w:rPr>
          <w:sz w:val="24"/>
          <w:szCs w:val="24"/>
        </w:rPr>
        <w:softHyphen/>
        <w:t>ship.</w:t>
      </w:r>
      <w:r>
        <w:rPr>
          <w:sz w:val="24"/>
          <w:szCs w:val="24"/>
        </w:rPr>
        <w:t>” (p. 30)</w:t>
      </w:r>
    </w:p>
    <w:p w14:paraId="0ED85F78" w14:textId="2611F055" w:rsidR="00FB091C" w:rsidRDefault="00FB091C" w:rsidP="00B37D35">
      <w:pPr>
        <w:spacing w:after="0"/>
        <w:rPr>
          <w:sz w:val="24"/>
          <w:szCs w:val="24"/>
        </w:rPr>
      </w:pPr>
      <w:r>
        <w:rPr>
          <w:sz w:val="24"/>
          <w:szCs w:val="24"/>
        </w:rPr>
        <w:t>“</w:t>
      </w:r>
      <w:r w:rsidRPr="00FB091C">
        <w:rPr>
          <w:sz w:val="24"/>
          <w:szCs w:val="24"/>
        </w:rPr>
        <w:t>In some EU Member States that have a two-stage process, the differences relate only to which court has jurisdic</w:t>
      </w:r>
      <w:r w:rsidRPr="00FB091C">
        <w:rPr>
          <w:sz w:val="24"/>
          <w:szCs w:val="24"/>
        </w:rPr>
        <w:softHyphen/>
        <w:t xml:space="preserve">tion over which issue. This is the case in </w:t>
      </w:r>
      <w:r w:rsidRPr="00FB091C">
        <w:rPr>
          <w:b/>
          <w:bCs/>
          <w:sz w:val="24"/>
          <w:szCs w:val="24"/>
        </w:rPr>
        <w:t>Poland</w:t>
      </w:r>
      <w:r w:rsidRPr="00FB091C">
        <w:rPr>
          <w:sz w:val="24"/>
          <w:szCs w:val="24"/>
        </w:rPr>
        <w:t>, for example, where the regional court is competent to lead</w:t>
      </w:r>
      <w:r>
        <w:rPr>
          <w:sz w:val="24"/>
          <w:szCs w:val="24"/>
        </w:rPr>
        <w:t xml:space="preserve"> </w:t>
      </w:r>
      <w:r w:rsidRPr="00FB091C">
        <w:rPr>
          <w:sz w:val="24"/>
          <w:szCs w:val="24"/>
        </w:rPr>
        <w:t>proceedings and declare restriction of an adult’s legal capacity, while the district court appoints guardians</w:t>
      </w:r>
      <w:r>
        <w:rPr>
          <w:sz w:val="24"/>
          <w:szCs w:val="24"/>
        </w:rPr>
        <w:t>.” (p. 33)</w:t>
      </w:r>
    </w:p>
    <w:p w14:paraId="193DC60C" w14:textId="4B8F8E9C" w:rsidR="00FB091C" w:rsidRDefault="00FB091C" w:rsidP="00B37D35">
      <w:pPr>
        <w:spacing w:after="0"/>
        <w:rPr>
          <w:sz w:val="24"/>
          <w:szCs w:val="24"/>
        </w:rPr>
      </w:pPr>
      <w:r>
        <w:rPr>
          <w:sz w:val="24"/>
          <w:szCs w:val="24"/>
        </w:rPr>
        <w:t>“</w:t>
      </w:r>
      <w:r w:rsidRPr="00FB091C">
        <w:rPr>
          <w:sz w:val="24"/>
          <w:szCs w:val="24"/>
        </w:rPr>
        <w:t xml:space="preserve">In </w:t>
      </w:r>
      <w:r w:rsidRPr="00FB091C">
        <w:rPr>
          <w:b/>
          <w:bCs/>
          <w:sz w:val="24"/>
          <w:szCs w:val="24"/>
        </w:rPr>
        <w:t xml:space="preserve">Poland, </w:t>
      </w:r>
      <w:r w:rsidRPr="00FB091C">
        <w:rPr>
          <w:sz w:val="24"/>
          <w:szCs w:val="24"/>
        </w:rPr>
        <w:t>for example, the curator is responsible for assisting the adult under partial guardianship in the management of his or her affairs. Generally, the curator’s consent is necessary in order to approve any legal action the person undertakes. There are a few exceptions, such as everyday contracts in minor issues</w:t>
      </w:r>
      <w:r w:rsidR="00200706">
        <w:rPr>
          <w:sz w:val="24"/>
          <w:szCs w:val="24"/>
        </w:rPr>
        <w:t>. “ (p. 36-37)</w:t>
      </w:r>
    </w:p>
    <w:p w14:paraId="01DE4037" w14:textId="4DE57572" w:rsidR="00200706" w:rsidRDefault="00200706" w:rsidP="00B37D35">
      <w:pPr>
        <w:spacing w:after="0"/>
        <w:rPr>
          <w:bCs/>
          <w:sz w:val="24"/>
          <w:szCs w:val="24"/>
        </w:rPr>
      </w:pPr>
      <w:r>
        <w:rPr>
          <w:sz w:val="24"/>
          <w:szCs w:val="24"/>
        </w:rPr>
        <w:lastRenderedPageBreak/>
        <w:t xml:space="preserve">“[…] </w:t>
      </w:r>
      <w:r w:rsidRPr="00200706">
        <w:rPr>
          <w:sz w:val="24"/>
          <w:szCs w:val="24"/>
        </w:rPr>
        <w:t>in the majority of EU Member States a guardianship measure is in principle instituted for an unlimited period of time and is not sub</w:t>
      </w:r>
      <w:r w:rsidRPr="00200706">
        <w:rPr>
          <w:sz w:val="24"/>
          <w:szCs w:val="24"/>
        </w:rPr>
        <w:softHyphen/>
        <w:t>ject to periodic review.</w:t>
      </w:r>
      <w:r>
        <w:rPr>
          <w:sz w:val="24"/>
          <w:szCs w:val="24"/>
        </w:rPr>
        <w:t xml:space="preserve"> </w:t>
      </w:r>
      <w:r w:rsidRPr="00200706">
        <w:rPr>
          <w:sz w:val="24"/>
          <w:szCs w:val="24"/>
        </w:rPr>
        <w:t xml:space="preserve">Other Member States without a statutory maximum duration include </w:t>
      </w:r>
      <w:r w:rsidRPr="00200706">
        <w:rPr>
          <w:bCs/>
          <w:sz w:val="24"/>
          <w:szCs w:val="24"/>
        </w:rPr>
        <w:t xml:space="preserve">Belgium, Cyprus, </w:t>
      </w:r>
      <w:r w:rsidRPr="00200706">
        <w:rPr>
          <w:sz w:val="24"/>
          <w:szCs w:val="24"/>
        </w:rPr>
        <w:t xml:space="preserve">the </w:t>
      </w:r>
      <w:r w:rsidRPr="00200706">
        <w:rPr>
          <w:bCs/>
          <w:sz w:val="24"/>
          <w:szCs w:val="24"/>
        </w:rPr>
        <w:t xml:space="preserve">Czech Republic, Greece, Ireland, Lithuania, </w:t>
      </w:r>
      <w:r w:rsidRPr="00200706">
        <w:rPr>
          <w:sz w:val="24"/>
          <w:szCs w:val="24"/>
        </w:rPr>
        <w:t xml:space="preserve">the </w:t>
      </w:r>
      <w:r w:rsidRPr="00200706">
        <w:rPr>
          <w:bCs/>
          <w:sz w:val="24"/>
          <w:szCs w:val="24"/>
        </w:rPr>
        <w:t>Netherlands,</w:t>
      </w:r>
      <w:r w:rsidRPr="00200706">
        <w:rPr>
          <w:b/>
          <w:bCs/>
          <w:sz w:val="24"/>
          <w:szCs w:val="24"/>
        </w:rPr>
        <w:t xml:space="preserve"> Poland, </w:t>
      </w:r>
      <w:r w:rsidRPr="00200706">
        <w:rPr>
          <w:bCs/>
          <w:sz w:val="24"/>
          <w:szCs w:val="24"/>
        </w:rPr>
        <w:t xml:space="preserve">Portugal, Slovenia </w:t>
      </w:r>
      <w:r w:rsidRPr="00200706">
        <w:rPr>
          <w:sz w:val="24"/>
          <w:szCs w:val="24"/>
        </w:rPr>
        <w:t xml:space="preserve">and </w:t>
      </w:r>
      <w:r w:rsidRPr="00200706">
        <w:rPr>
          <w:bCs/>
          <w:sz w:val="24"/>
          <w:szCs w:val="24"/>
        </w:rPr>
        <w:t>Spain.</w:t>
      </w:r>
      <w:r>
        <w:rPr>
          <w:bCs/>
          <w:sz w:val="24"/>
          <w:szCs w:val="24"/>
        </w:rPr>
        <w:t xml:space="preserve"> </w:t>
      </w:r>
      <w:r w:rsidRPr="00200706">
        <w:rPr>
          <w:bCs/>
          <w:sz w:val="24"/>
          <w:szCs w:val="24"/>
        </w:rPr>
        <w:t>Some EU Member States whose legislation provides for indefinite guardianship specify that the guardian</w:t>
      </w:r>
      <w:r w:rsidRPr="00200706">
        <w:rPr>
          <w:bCs/>
          <w:sz w:val="24"/>
          <w:szCs w:val="24"/>
        </w:rPr>
        <w:softHyphen/>
        <w:t>ship should last as long as a guardian is needed.</w:t>
      </w:r>
      <w:r>
        <w:rPr>
          <w:bCs/>
          <w:sz w:val="24"/>
          <w:szCs w:val="24"/>
        </w:rPr>
        <w:t xml:space="preserve"> </w:t>
      </w:r>
      <w:r w:rsidRPr="00200706">
        <w:rPr>
          <w:bCs/>
          <w:sz w:val="24"/>
          <w:szCs w:val="24"/>
        </w:rPr>
        <w:t xml:space="preserve">This is also the case in, for example, Cyprus, Denmark, Greece, Luxembourg, the Netherlands, </w:t>
      </w:r>
      <w:r w:rsidRPr="00200706">
        <w:rPr>
          <w:b/>
          <w:bCs/>
          <w:sz w:val="24"/>
          <w:szCs w:val="24"/>
        </w:rPr>
        <w:t xml:space="preserve">Poland </w:t>
      </w:r>
      <w:r w:rsidRPr="00200706">
        <w:rPr>
          <w:bCs/>
          <w:sz w:val="24"/>
          <w:szCs w:val="24"/>
        </w:rPr>
        <w:t>and Sweden.</w:t>
      </w:r>
      <w:r>
        <w:rPr>
          <w:bCs/>
          <w:sz w:val="24"/>
          <w:szCs w:val="24"/>
        </w:rPr>
        <w:t>” (p. 38)</w:t>
      </w:r>
    </w:p>
    <w:p w14:paraId="43F9E844" w14:textId="6937B185" w:rsidR="00200706" w:rsidRDefault="00200706" w:rsidP="00B37D35">
      <w:pPr>
        <w:spacing w:after="0"/>
        <w:rPr>
          <w:bCs/>
          <w:sz w:val="24"/>
          <w:szCs w:val="24"/>
        </w:rPr>
      </w:pPr>
      <w:r>
        <w:rPr>
          <w:bCs/>
          <w:sz w:val="24"/>
          <w:szCs w:val="24"/>
        </w:rPr>
        <w:t>“</w:t>
      </w:r>
      <w:r w:rsidRPr="00200706">
        <w:rPr>
          <w:bCs/>
          <w:sz w:val="24"/>
          <w:szCs w:val="24"/>
        </w:rPr>
        <w:t>FRA research shows that the person under guardian</w:t>
      </w:r>
      <w:r w:rsidRPr="00200706">
        <w:rPr>
          <w:bCs/>
          <w:sz w:val="24"/>
          <w:szCs w:val="24"/>
        </w:rPr>
        <w:softHyphen/>
        <w:t>ship can appeal the decision affecting his or her legal capacity in many EU Member States, for example Aus</w:t>
      </w:r>
      <w:r w:rsidRPr="00200706">
        <w:rPr>
          <w:bCs/>
          <w:sz w:val="24"/>
          <w:szCs w:val="24"/>
        </w:rPr>
        <w:softHyphen/>
        <w:t>tria, the Czech Republic, Denmark, Estonia, Finland, France, Germany, Greece, Hungary, Italy, Luxembourg,</w:t>
      </w:r>
      <w:r w:rsidRPr="00200706">
        <w:rPr>
          <w:b/>
          <w:bCs/>
          <w:sz w:val="24"/>
          <w:szCs w:val="24"/>
        </w:rPr>
        <w:t xml:space="preserve"> Poland, </w:t>
      </w:r>
      <w:r w:rsidRPr="00200706">
        <w:rPr>
          <w:bCs/>
          <w:sz w:val="24"/>
          <w:szCs w:val="24"/>
        </w:rPr>
        <w:t>Spain, Sweden and the United Kingdom.” (p. 39)</w:t>
      </w:r>
    </w:p>
    <w:p w14:paraId="282327F0" w14:textId="77777777" w:rsidR="00200706" w:rsidRPr="00200706" w:rsidRDefault="00200706" w:rsidP="00B37D35">
      <w:pPr>
        <w:spacing w:after="0"/>
        <w:rPr>
          <w:bCs/>
          <w:sz w:val="24"/>
          <w:szCs w:val="24"/>
        </w:rPr>
      </w:pPr>
    </w:p>
    <w:p w14:paraId="76D77D96" w14:textId="77777777" w:rsidR="00200706" w:rsidRPr="00200706" w:rsidRDefault="00200706" w:rsidP="00B37D35">
      <w:pPr>
        <w:spacing w:after="0"/>
        <w:rPr>
          <w:bCs/>
          <w:sz w:val="24"/>
          <w:szCs w:val="24"/>
        </w:rPr>
      </w:pPr>
    </w:p>
    <w:p w14:paraId="29241099" w14:textId="5A34ABF8" w:rsidR="00F00E55" w:rsidRPr="00F00E55" w:rsidRDefault="00281962" w:rsidP="00B37D35">
      <w:pPr>
        <w:pStyle w:val="Heading2"/>
        <w:spacing w:before="240"/>
        <w:ind w:left="939"/>
      </w:pPr>
      <w:bookmarkStart w:id="19" w:name="_Toc518292269"/>
      <w:r w:rsidRPr="004C24D1">
        <w:t>Involuntary placement and involuntary treatment of persons with mental health problems (2012)</w:t>
      </w:r>
      <w:bookmarkEnd w:id="19"/>
    </w:p>
    <w:p w14:paraId="31B628A1" w14:textId="14017672" w:rsidR="00F00E55" w:rsidRDefault="00281962" w:rsidP="00B37D35">
      <w:pPr>
        <w:spacing w:after="0"/>
        <w:rPr>
          <w:rStyle w:val="Hyperlink"/>
          <w:color w:val="auto"/>
          <w:sz w:val="24"/>
          <w:szCs w:val="24"/>
          <w:u w:val="none"/>
        </w:rPr>
      </w:pPr>
      <w:r w:rsidRPr="00E673AD">
        <w:rPr>
          <w:sz w:val="24"/>
          <w:szCs w:val="24"/>
          <w:lang w:val="en"/>
        </w:rPr>
        <w:t xml:space="preserve">For more information: </w:t>
      </w:r>
      <w:hyperlink r:id="rId28" w:history="1">
        <w:r w:rsidRPr="00E673AD">
          <w:rPr>
            <w:rStyle w:val="Hyperlink"/>
            <w:sz w:val="24"/>
            <w:szCs w:val="24"/>
          </w:rPr>
          <w:t>http://fra.europa.eu/en/publication/2012/involuntary-placement-and-involuntary-treatment-persons-mental-health-problems</w:t>
        </w:r>
      </w:hyperlink>
      <w:r w:rsidR="00920299" w:rsidRPr="00920299">
        <w:rPr>
          <w:rStyle w:val="Hyperlink"/>
          <w:color w:val="auto"/>
          <w:sz w:val="24"/>
          <w:szCs w:val="24"/>
          <w:u w:val="none"/>
        </w:rPr>
        <w:t xml:space="preserve">. </w:t>
      </w:r>
    </w:p>
    <w:p w14:paraId="489C6817" w14:textId="76BB04E6" w:rsidR="00200706" w:rsidRDefault="00200706" w:rsidP="00B37D35">
      <w:pPr>
        <w:spacing w:after="0"/>
        <w:rPr>
          <w:bCs/>
          <w:sz w:val="24"/>
          <w:szCs w:val="24"/>
        </w:rPr>
      </w:pPr>
      <w:r>
        <w:rPr>
          <w:rStyle w:val="Hyperlink"/>
          <w:color w:val="auto"/>
          <w:sz w:val="24"/>
          <w:szCs w:val="24"/>
          <w:u w:val="none"/>
        </w:rPr>
        <w:t>“</w:t>
      </w:r>
      <w:r w:rsidRPr="00200706">
        <w:rPr>
          <w:sz w:val="24"/>
          <w:szCs w:val="24"/>
        </w:rPr>
        <w:t>In 12 Member States, the existence of a significant risk of serious harm to oneself or others and a confirmed mental health problem are the two main conditions justifying involuntary placement.</w:t>
      </w:r>
      <w:r>
        <w:rPr>
          <w:sz w:val="24"/>
          <w:szCs w:val="24"/>
        </w:rPr>
        <w:t xml:space="preserve"> </w:t>
      </w:r>
      <w:r w:rsidRPr="00200706">
        <w:rPr>
          <w:sz w:val="24"/>
          <w:szCs w:val="24"/>
        </w:rPr>
        <w:t xml:space="preserve">In 13 Member States two criteria – the risk of harm </w:t>
      </w:r>
      <w:r w:rsidRPr="00200706">
        <w:rPr>
          <w:i/>
          <w:iCs/>
          <w:sz w:val="24"/>
          <w:szCs w:val="24"/>
        </w:rPr>
        <w:t xml:space="preserve">and </w:t>
      </w:r>
      <w:r w:rsidRPr="00200706">
        <w:rPr>
          <w:sz w:val="24"/>
          <w:szCs w:val="24"/>
        </w:rPr>
        <w:t xml:space="preserve">the need for treatment – are listed alongside having a mental health problem. This is the case in </w:t>
      </w:r>
      <w:r w:rsidRPr="00200706">
        <w:rPr>
          <w:bCs/>
          <w:sz w:val="24"/>
          <w:szCs w:val="24"/>
        </w:rPr>
        <w:t xml:space="preserve">Denmark, Greece, Finland, France, Ireland, Latvia, </w:t>
      </w:r>
      <w:r w:rsidRPr="00200706">
        <w:rPr>
          <w:b/>
          <w:bCs/>
          <w:sz w:val="24"/>
          <w:szCs w:val="24"/>
        </w:rPr>
        <w:t xml:space="preserve">Poland, </w:t>
      </w:r>
      <w:r w:rsidRPr="00200706">
        <w:rPr>
          <w:bCs/>
          <w:sz w:val="24"/>
          <w:szCs w:val="24"/>
        </w:rPr>
        <w:t xml:space="preserve">Portugal, Romania, Slovakia, Slovenia, Sweden </w:t>
      </w:r>
      <w:r w:rsidRPr="00200706">
        <w:rPr>
          <w:sz w:val="24"/>
          <w:szCs w:val="24"/>
        </w:rPr>
        <w:t xml:space="preserve">and the </w:t>
      </w:r>
      <w:r w:rsidRPr="00200706">
        <w:rPr>
          <w:bCs/>
          <w:sz w:val="24"/>
          <w:szCs w:val="24"/>
        </w:rPr>
        <w:t>United Kingdom</w:t>
      </w:r>
      <w:r>
        <w:rPr>
          <w:bCs/>
          <w:sz w:val="24"/>
          <w:szCs w:val="24"/>
        </w:rPr>
        <w:t xml:space="preserve">.” ( p. </w:t>
      </w:r>
      <w:r w:rsidR="00CF19AE">
        <w:rPr>
          <w:bCs/>
          <w:sz w:val="24"/>
          <w:szCs w:val="24"/>
        </w:rPr>
        <w:t>31)</w:t>
      </w:r>
    </w:p>
    <w:p w14:paraId="57586F84" w14:textId="61CDC5DB" w:rsidR="00CF19AE" w:rsidRDefault="00CF19AE" w:rsidP="00B37D35">
      <w:pPr>
        <w:spacing w:after="0"/>
        <w:rPr>
          <w:bCs/>
          <w:sz w:val="24"/>
          <w:szCs w:val="24"/>
        </w:rPr>
      </w:pPr>
      <w:r>
        <w:rPr>
          <w:bCs/>
          <w:sz w:val="24"/>
          <w:szCs w:val="24"/>
        </w:rPr>
        <w:t>“</w:t>
      </w:r>
      <w:r w:rsidRPr="00CF19AE">
        <w:rPr>
          <w:bCs/>
          <w:sz w:val="24"/>
          <w:szCs w:val="24"/>
        </w:rPr>
        <w:t>In several jurisdictions, such as in Austria</w:t>
      </w:r>
      <w:r w:rsidRPr="00CF19AE">
        <w:rPr>
          <w:b/>
          <w:bCs/>
          <w:sz w:val="24"/>
          <w:szCs w:val="24"/>
        </w:rPr>
        <w:t xml:space="preserve"> </w:t>
      </w:r>
      <w:r w:rsidRPr="00CF19AE">
        <w:rPr>
          <w:bCs/>
          <w:sz w:val="24"/>
          <w:szCs w:val="24"/>
        </w:rPr>
        <w:t xml:space="preserve">or in </w:t>
      </w:r>
      <w:r w:rsidRPr="00CF19AE">
        <w:rPr>
          <w:b/>
          <w:bCs/>
          <w:sz w:val="24"/>
          <w:szCs w:val="24"/>
        </w:rPr>
        <w:t>Poland</w:t>
      </w:r>
      <w:r w:rsidRPr="00CF19AE">
        <w:rPr>
          <w:bCs/>
          <w:sz w:val="24"/>
          <w:szCs w:val="24"/>
        </w:rPr>
        <w:t>, the judge who will eventually take a formal placement decision is asked to meet the individual before any hearing.</w:t>
      </w:r>
      <w:r>
        <w:rPr>
          <w:bCs/>
          <w:sz w:val="24"/>
          <w:szCs w:val="24"/>
        </w:rPr>
        <w:t>” (p. 34)</w:t>
      </w:r>
    </w:p>
    <w:p w14:paraId="2AD2532E" w14:textId="2A00F79B" w:rsidR="00CF19AE" w:rsidRDefault="00CF19AE" w:rsidP="00B37D35">
      <w:pPr>
        <w:spacing w:after="0"/>
        <w:rPr>
          <w:bCs/>
          <w:sz w:val="24"/>
          <w:szCs w:val="24"/>
        </w:rPr>
      </w:pPr>
      <w:r>
        <w:rPr>
          <w:bCs/>
          <w:sz w:val="24"/>
          <w:szCs w:val="24"/>
        </w:rPr>
        <w:t>“</w:t>
      </w:r>
      <w:r w:rsidRPr="00CF19AE">
        <w:rPr>
          <w:bCs/>
          <w:sz w:val="24"/>
          <w:szCs w:val="24"/>
        </w:rPr>
        <w:t xml:space="preserve">In nine EU Member States one expert opinion issued by a medical professional fulfils the legal requirement concerning the assessment of an individual’s psychiatric condition. This is </w:t>
      </w:r>
      <w:r w:rsidRPr="00CF19AE">
        <w:rPr>
          <w:bCs/>
          <w:sz w:val="24"/>
          <w:szCs w:val="24"/>
        </w:rPr>
        <w:lastRenderedPageBreak/>
        <w:t xml:space="preserve">the case in Belgium, Bulgaria, the Czech Republic, Germany, Denmark, Estonia, Luxembourg, Netherlands and </w:t>
      </w:r>
      <w:r w:rsidRPr="00CF19AE">
        <w:rPr>
          <w:b/>
          <w:bCs/>
          <w:sz w:val="24"/>
          <w:szCs w:val="24"/>
        </w:rPr>
        <w:t>Poland</w:t>
      </w:r>
      <w:r w:rsidRPr="00CF19AE">
        <w:rPr>
          <w:bCs/>
          <w:sz w:val="24"/>
          <w:szCs w:val="24"/>
        </w:rPr>
        <w:t>.</w:t>
      </w:r>
      <w:r>
        <w:rPr>
          <w:bCs/>
          <w:sz w:val="24"/>
          <w:szCs w:val="24"/>
        </w:rPr>
        <w:t>” (p. 35)</w:t>
      </w:r>
    </w:p>
    <w:p w14:paraId="0227B347" w14:textId="67D2F7A5" w:rsidR="00CF19AE" w:rsidRDefault="00CF19AE" w:rsidP="00B37D35">
      <w:pPr>
        <w:spacing w:after="0"/>
        <w:rPr>
          <w:bCs/>
          <w:sz w:val="24"/>
          <w:szCs w:val="24"/>
        </w:rPr>
      </w:pPr>
      <w:r>
        <w:rPr>
          <w:bCs/>
          <w:sz w:val="24"/>
          <w:szCs w:val="24"/>
        </w:rPr>
        <w:t>“</w:t>
      </w:r>
      <w:r w:rsidRPr="00CF19AE">
        <w:rPr>
          <w:bCs/>
          <w:sz w:val="24"/>
          <w:szCs w:val="24"/>
        </w:rPr>
        <w:t>If the free legal aid provision is not automatic, it is linked to the persons’ ability to pay</w:t>
      </w:r>
      <w:r>
        <w:rPr>
          <w:bCs/>
          <w:sz w:val="24"/>
          <w:szCs w:val="24"/>
        </w:rPr>
        <w:t xml:space="preserve">. </w:t>
      </w:r>
      <w:r w:rsidR="00277832">
        <w:rPr>
          <w:bCs/>
          <w:sz w:val="24"/>
          <w:szCs w:val="24"/>
        </w:rPr>
        <w:t>[…]</w:t>
      </w:r>
      <w:r w:rsidR="00277832" w:rsidRPr="00277832">
        <w:rPr>
          <w:bCs/>
          <w:sz w:val="24"/>
          <w:szCs w:val="24"/>
        </w:rPr>
        <w:t xml:space="preserve"> in </w:t>
      </w:r>
      <w:r w:rsidR="00277832" w:rsidRPr="00277832">
        <w:rPr>
          <w:b/>
          <w:bCs/>
          <w:sz w:val="24"/>
          <w:szCs w:val="24"/>
        </w:rPr>
        <w:t>Poland</w:t>
      </w:r>
      <w:r w:rsidR="00277832" w:rsidRPr="00277832">
        <w:rPr>
          <w:bCs/>
          <w:i/>
          <w:iCs/>
          <w:sz w:val="24"/>
          <w:szCs w:val="24"/>
        </w:rPr>
        <w:t xml:space="preserve">, </w:t>
      </w:r>
      <w:r w:rsidR="00277832" w:rsidRPr="00277832">
        <w:rPr>
          <w:bCs/>
          <w:sz w:val="24"/>
          <w:szCs w:val="24"/>
        </w:rPr>
        <w:t>the Law on Protection of Mental Health does not provide free legal support to the person</w:t>
      </w:r>
      <w:r w:rsidR="00277832">
        <w:rPr>
          <w:bCs/>
          <w:sz w:val="24"/>
          <w:szCs w:val="24"/>
        </w:rPr>
        <w:t xml:space="preserve"> </w:t>
      </w:r>
      <w:r w:rsidR="00277832" w:rsidRPr="00277832">
        <w:rPr>
          <w:bCs/>
          <w:sz w:val="24"/>
          <w:szCs w:val="24"/>
        </w:rPr>
        <w:t>concerned in each case. The law says, however, that if the court considers participation of a lawyer is required it is allowed to grant free legal aid</w:t>
      </w:r>
      <w:r w:rsidR="00277832">
        <w:rPr>
          <w:bCs/>
          <w:sz w:val="24"/>
          <w:szCs w:val="24"/>
        </w:rPr>
        <w:t>.” (p. 39)</w:t>
      </w:r>
    </w:p>
    <w:p w14:paraId="3FF3E21E" w14:textId="77777777" w:rsidR="00B37D35" w:rsidRPr="00B37D35" w:rsidRDefault="00B37D35" w:rsidP="00B37D35">
      <w:pPr>
        <w:pStyle w:val="Default"/>
      </w:pPr>
    </w:p>
    <w:p w14:paraId="35CB58D1" w14:textId="79A81095" w:rsidR="00281962" w:rsidRPr="008358FD" w:rsidRDefault="00281962" w:rsidP="00B37D35">
      <w:pPr>
        <w:pStyle w:val="Heading2"/>
        <w:ind w:left="939"/>
      </w:pPr>
      <w:bookmarkStart w:id="20" w:name="_Toc518292270"/>
      <w:r w:rsidRPr="004C24D1">
        <w:t>The legal protection of persons with mental health problems under non-discrimination law (2011)</w:t>
      </w:r>
      <w:bookmarkEnd w:id="20"/>
    </w:p>
    <w:p w14:paraId="551B0E2F" w14:textId="1F401FBF" w:rsidR="00281962" w:rsidRDefault="00281962" w:rsidP="00B37D35">
      <w:pPr>
        <w:spacing w:after="0"/>
        <w:rPr>
          <w:sz w:val="24"/>
          <w:szCs w:val="24"/>
        </w:rPr>
      </w:pPr>
      <w:r w:rsidRPr="00E673AD">
        <w:rPr>
          <w:color w:val="000000" w:themeColor="text1"/>
          <w:sz w:val="24"/>
          <w:szCs w:val="24"/>
        </w:rPr>
        <w:t>For more detailed information:</w:t>
      </w:r>
      <w:r w:rsidRPr="00E673AD">
        <w:rPr>
          <w:sz w:val="24"/>
          <w:szCs w:val="24"/>
        </w:rPr>
        <w:t xml:space="preserve"> </w:t>
      </w:r>
      <w:hyperlink r:id="rId29" w:history="1">
        <w:r w:rsidRPr="00E673AD">
          <w:rPr>
            <w:rStyle w:val="Hyperlink"/>
            <w:sz w:val="24"/>
            <w:szCs w:val="24"/>
          </w:rPr>
          <w:t>http://fra.europa.eu/en/publication/2011/legal-protection-persons-mental-health-problems-under-non-discrimination-law</w:t>
        </w:r>
      </w:hyperlink>
      <w:r w:rsidR="00FA36D5" w:rsidRPr="00FA36D5">
        <w:rPr>
          <w:rStyle w:val="Hyperlink"/>
          <w:sz w:val="24"/>
          <w:szCs w:val="24"/>
          <w:u w:val="none"/>
        </w:rPr>
        <w:t>.</w:t>
      </w:r>
      <w:r w:rsidRPr="00FA36D5">
        <w:rPr>
          <w:sz w:val="24"/>
          <w:szCs w:val="24"/>
        </w:rPr>
        <w:t xml:space="preserve"> </w:t>
      </w:r>
    </w:p>
    <w:p w14:paraId="1729AC36" w14:textId="40CB17BF" w:rsidR="00277832" w:rsidRPr="00E673AD" w:rsidRDefault="00277832" w:rsidP="00277832">
      <w:pPr>
        <w:spacing w:after="0"/>
        <w:rPr>
          <w:sz w:val="24"/>
          <w:szCs w:val="24"/>
        </w:rPr>
      </w:pPr>
      <w:r>
        <w:rPr>
          <w:sz w:val="24"/>
          <w:szCs w:val="24"/>
        </w:rPr>
        <w:t>“</w:t>
      </w:r>
      <w:r w:rsidRPr="00277832">
        <w:rPr>
          <w:sz w:val="24"/>
          <w:szCs w:val="24"/>
        </w:rPr>
        <w:t>In another g</w:t>
      </w:r>
      <w:r>
        <w:rPr>
          <w:sz w:val="24"/>
          <w:szCs w:val="24"/>
        </w:rPr>
        <w:t xml:space="preserve">roup of Member States where the </w:t>
      </w:r>
      <w:r w:rsidRPr="00277832">
        <w:rPr>
          <w:sz w:val="24"/>
          <w:szCs w:val="24"/>
        </w:rPr>
        <w:t>transposing legislation provides no common</w:t>
      </w:r>
      <w:r>
        <w:rPr>
          <w:sz w:val="24"/>
          <w:szCs w:val="24"/>
        </w:rPr>
        <w:t xml:space="preserve"> </w:t>
      </w:r>
      <w:r w:rsidRPr="00277832">
        <w:rPr>
          <w:sz w:val="24"/>
          <w:szCs w:val="24"/>
        </w:rPr>
        <w:t>understanding of the term disability, definitions can</w:t>
      </w:r>
      <w:r>
        <w:rPr>
          <w:sz w:val="24"/>
          <w:szCs w:val="24"/>
        </w:rPr>
        <w:t xml:space="preserve"> </w:t>
      </w:r>
      <w:r w:rsidRPr="00277832">
        <w:rPr>
          <w:sz w:val="24"/>
          <w:szCs w:val="24"/>
        </w:rPr>
        <w:t>be found in other non-discrimination laws. In general,</w:t>
      </w:r>
      <w:r>
        <w:rPr>
          <w:sz w:val="24"/>
          <w:szCs w:val="24"/>
        </w:rPr>
        <w:t xml:space="preserve"> </w:t>
      </w:r>
      <w:r w:rsidRPr="00277832">
        <w:rPr>
          <w:sz w:val="24"/>
          <w:szCs w:val="24"/>
        </w:rPr>
        <w:t>these definitions can be interpreted so as to include</w:t>
      </w:r>
      <w:r>
        <w:rPr>
          <w:sz w:val="24"/>
          <w:szCs w:val="24"/>
        </w:rPr>
        <w:t xml:space="preserve"> </w:t>
      </w:r>
      <w:r w:rsidRPr="00277832">
        <w:rPr>
          <w:sz w:val="24"/>
          <w:szCs w:val="24"/>
        </w:rPr>
        <w:t>persons with mental health problems. This is the</w:t>
      </w:r>
      <w:r>
        <w:rPr>
          <w:sz w:val="24"/>
          <w:szCs w:val="24"/>
        </w:rPr>
        <w:t xml:space="preserve"> </w:t>
      </w:r>
      <w:r w:rsidRPr="00277832">
        <w:rPr>
          <w:sz w:val="24"/>
          <w:szCs w:val="24"/>
        </w:rPr>
        <w:t xml:space="preserve">case for Bulgaria, Italy, Latvia, Luxembourg, </w:t>
      </w:r>
      <w:r w:rsidRPr="00277832">
        <w:rPr>
          <w:b/>
          <w:sz w:val="24"/>
          <w:szCs w:val="24"/>
        </w:rPr>
        <w:t>Poland</w:t>
      </w:r>
      <w:r w:rsidRPr="00277832">
        <w:rPr>
          <w:sz w:val="24"/>
          <w:szCs w:val="24"/>
        </w:rPr>
        <w:t>,</w:t>
      </w:r>
      <w:r>
        <w:rPr>
          <w:sz w:val="24"/>
          <w:szCs w:val="24"/>
        </w:rPr>
        <w:t xml:space="preserve"> </w:t>
      </w:r>
      <w:r w:rsidRPr="00277832">
        <w:rPr>
          <w:sz w:val="24"/>
          <w:szCs w:val="24"/>
        </w:rPr>
        <w:t>Romania and Slovenia.</w:t>
      </w:r>
      <w:r>
        <w:rPr>
          <w:sz w:val="24"/>
          <w:szCs w:val="24"/>
        </w:rPr>
        <w:t>” (p. 24)</w:t>
      </w:r>
    </w:p>
    <w:p w14:paraId="5F20F591" w14:textId="726ED93F" w:rsidR="00B37D35" w:rsidRDefault="00E67005" w:rsidP="00E67005">
      <w:pPr>
        <w:autoSpaceDE w:val="0"/>
        <w:autoSpaceDN w:val="0"/>
        <w:adjustRightInd w:val="0"/>
        <w:spacing w:after="0"/>
        <w:rPr>
          <w:color w:val="000000"/>
          <w:sz w:val="24"/>
          <w:szCs w:val="24"/>
        </w:rPr>
      </w:pPr>
      <w:r>
        <w:rPr>
          <w:color w:val="000000"/>
          <w:sz w:val="24"/>
          <w:szCs w:val="24"/>
        </w:rPr>
        <w:t>“</w:t>
      </w:r>
      <w:r w:rsidRPr="00E67005">
        <w:rPr>
          <w:color w:val="000000"/>
          <w:sz w:val="24"/>
          <w:szCs w:val="24"/>
        </w:rPr>
        <w:t>In the great majority of EU M</w:t>
      </w:r>
      <w:r>
        <w:rPr>
          <w:color w:val="000000"/>
          <w:sz w:val="24"/>
          <w:szCs w:val="24"/>
        </w:rPr>
        <w:t xml:space="preserve">ember States, non-discrimination </w:t>
      </w:r>
      <w:r w:rsidRPr="00E67005">
        <w:rPr>
          <w:color w:val="000000"/>
          <w:sz w:val="24"/>
          <w:szCs w:val="24"/>
        </w:rPr>
        <w:t>legislation contains a duty to</w:t>
      </w:r>
      <w:r>
        <w:rPr>
          <w:color w:val="000000"/>
          <w:sz w:val="24"/>
          <w:szCs w:val="24"/>
        </w:rPr>
        <w:t xml:space="preserve"> </w:t>
      </w:r>
      <w:r w:rsidRPr="00E67005">
        <w:rPr>
          <w:color w:val="000000"/>
          <w:sz w:val="24"/>
          <w:szCs w:val="24"/>
        </w:rPr>
        <w:t>provide reasonable accommodation for persons</w:t>
      </w:r>
      <w:r>
        <w:rPr>
          <w:color w:val="000000"/>
          <w:sz w:val="24"/>
          <w:szCs w:val="24"/>
        </w:rPr>
        <w:t xml:space="preserve"> </w:t>
      </w:r>
      <w:r w:rsidRPr="00E67005">
        <w:rPr>
          <w:color w:val="000000"/>
          <w:sz w:val="24"/>
          <w:szCs w:val="24"/>
        </w:rPr>
        <w:t>with disabilities</w:t>
      </w:r>
      <w:r>
        <w:rPr>
          <w:color w:val="000000"/>
          <w:sz w:val="24"/>
          <w:szCs w:val="24"/>
        </w:rPr>
        <w:t xml:space="preserve">. Similar </w:t>
      </w:r>
      <w:r w:rsidRPr="00E67005">
        <w:rPr>
          <w:color w:val="000000"/>
          <w:sz w:val="24"/>
          <w:szCs w:val="24"/>
        </w:rPr>
        <w:t>provisions, as part of the transposing legislation,</w:t>
      </w:r>
      <w:r>
        <w:rPr>
          <w:color w:val="000000"/>
          <w:sz w:val="24"/>
          <w:szCs w:val="24"/>
        </w:rPr>
        <w:t xml:space="preserve"> </w:t>
      </w:r>
      <w:r w:rsidRPr="00E67005">
        <w:rPr>
          <w:color w:val="000000"/>
          <w:sz w:val="24"/>
          <w:szCs w:val="24"/>
        </w:rPr>
        <w:t xml:space="preserve">are found, for example, in Finland, </w:t>
      </w:r>
      <w:r w:rsidRPr="00E67005">
        <w:rPr>
          <w:b/>
          <w:color w:val="000000"/>
          <w:sz w:val="24"/>
          <w:szCs w:val="24"/>
        </w:rPr>
        <w:t>Poland</w:t>
      </w:r>
      <w:r w:rsidRPr="00E67005">
        <w:rPr>
          <w:color w:val="000000"/>
          <w:sz w:val="24"/>
          <w:szCs w:val="24"/>
        </w:rPr>
        <w:t>, Spain,</w:t>
      </w:r>
      <w:r>
        <w:rPr>
          <w:color w:val="000000"/>
          <w:sz w:val="24"/>
          <w:szCs w:val="24"/>
        </w:rPr>
        <w:t xml:space="preserve"> </w:t>
      </w:r>
      <w:r w:rsidRPr="00E67005">
        <w:rPr>
          <w:color w:val="000000"/>
          <w:sz w:val="24"/>
          <w:szCs w:val="24"/>
        </w:rPr>
        <w:t>Sweden and the United Kingdom.</w:t>
      </w:r>
      <w:r>
        <w:rPr>
          <w:color w:val="000000"/>
          <w:sz w:val="24"/>
          <w:szCs w:val="24"/>
        </w:rPr>
        <w:t>” (p. 25)</w:t>
      </w:r>
    </w:p>
    <w:p w14:paraId="4ED8E8FC" w14:textId="7A0EAECF" w:rsidR="00E67005" w:rsidRDefault="00E67005" w:rsidP="00E67005">
      <w:pPr>
        <w:autoSpaceDE w:val="0"/>
        <w:autoSpaceDN w:val="0"/>
        <w:adjustRightInd w:val="0"/>
        <w:spacing w:after="0"/>
        <w:rPr>
          <w:color w:val="000000"/>
          <w:sz w:val="24"/>
          <w:szCs w:val="24"/>
        </w:rPr>
      </w:pPr>
    </w:p>
    <w:p w14:paraId="248AB149" w14:textId="1C33E105" w:rsidR="00281962" w:rsidRPr="001B79F3" w:rsidRDefault="00281962" w:rsidP="00B37D35">
      <w:pPr>
        <w:pStyle w:val="Heading2"/>
        <w:ind w:left="939"/>
      </w:pPr>
      <w:bookmarkStart w:id="21" w:name="_Toc518292271"/>
      <w:r w:rsidRPr="004C24D1">
        <w:t>The right to political participation of persons with mental health problems and persons with intellectual disabilities (2010)</w:t>
      </w:r>
      <w:bookmarkEnd w:id="21"/>
    </w:p>
    <w:p w14:paraId="5AB7B151" w14:textId="02671E10" w:rsidR="00281962" w:rsidRDefault="00281962" w:rsidP="00B37D35">
      <w:pPr>
        <w:spacing w:after="0"/>
        <w:rPr>
          <w:sz w:val="24"/>
          <w:szCs w:val="24"/>
        </w:rPr>
      </w:pPr>
      <w:r w:rsidRPr="00E673AD">
        <w:rPr>
          <w:color w:val="000000" w:themeColor="text1"/>
          <w:sz w:val="24"/>
          <w:szCs w:val="24"/>
        </w:rPr>
        <w:t>For more detailed information:</w:t>
      </w:r>
      <w:r w:rsidR="00FE5A96">
        <w:rPr>
          <w:sz w:val="24"/>
          <w:szCs w:val="24"/>
        </w:rPr>
        <w:t xml:space="preserve"> </w:t>
      </w:r>
      <w:hyperlink r:id="rId30" w:history="1">
        <w:r w:rsidRPr="00E673AD">
          <w:rPr>
            <w:rStyle w:val="Hyperlink"/>
            <w:sz w:val="24"/>
            <w:szCs w:val="24"/>
          </w:rPr>
          <w:t>http://fra.europa.eu/en/publication/2010/right-political-participation-persons-mental-health-problems-and-persons</w:t>
        </w:r>
      </w:hyperlink>
      <w:r w:rsidR="001B79F3">
        <w:rPr>
          <w:sz w:val="24"/>
          <w:szCs w:val="24"/>
        </w:rPr>
        <w:t xml:space="preserve"> </w:t>
      </w:r>
    </w:p>
    <w:p w14:paraId="48F9044F" w14:textId="43570791" w:rsidR="00E67005" w:rsidRDefault="00E67005" w:rsidP="00B37D35">
      <w:pPr>
        <w:spacing w:after="0"/>
        <w:rPr>
          <w:sz w:val="24"/>
          <w:szCs w:val="24"/>
        </w:rPr>
      </w:pPr>
      <w:r>
        <w:rPr>
          <w:sz w:val="24"/>
          <w:szCs w:val="24"/>
        </w:rPr>
        <w:lastRenderedPageBreak/>
        <w:t>“</w:t>
      </w:r>
      <w:r w:rsidRPr="00E67005">
        <w:rPr>
          <w:sz w:val="24"/>
          <w:szCs w:val="24"/>
        </w:rPr>
        <w:t xml:space="preserve">The </w:t>
      </w:r>
      <w:r w:rsidRPr="00E67005">
        <w:rPr>
          <w:bCs/>
          <w:sz w:val="24"/>
          <w:szCs w:val="24"/>
        </w:rPr>
        <w:t>Hungarian</w:t>
      </w:r>
      <w:r w:rsidRPr="00E67005">
        <w:rPr>
          <w:b/>
          <w:bCs/>
          <w:sz w:val="24"/>
          <w:szCs w:val="24"/>
        </w:rPr>
        <w:t xml:space="preserve"> </w:t>
      </w:r>
      <w:r w:rsidRPr="00E67005">
        <w:rPr>
          <w:sz w:val="24"/>
          <w:szCs w:val="24"/>
        </w:rPr>
        <w:t>Constitution provides an explicit excep</w:t>
      </w:r>
      <w:r w:rsidRPr="00E67005">
        <w:rPr>
          <w:sz w:val="24"/>
          <w:szCs w:val="24"/>
        </w:rPr>
        <w:softHyphen/>
        <w:t>tion from the universal right to vote – only persons with full legal capacity can exercise it</w:t>
      </w:r>
      <w:r>
        <w:rPr>
          <w:sz w:val="24"/>
          <w:szCs w:val="24"/>
        </w:rPr>
        <w:t xml:space="preserve">. </w:t>
      </w:r>
      <w:r w:rsidRPr="00E67005">
        <w:rPr>
          <w:sz w:val="24"/>
          <w:szCs w:val="24"/>
        </w:rPr>
        <w:t>Similar constitutional provisions can be found in sev</w:t>
      </w:r>
      <w:r w:rsidRPr="00E67005">
        <w:rPr>
          <w:sz w:val="24"/>
          <w:szCs w:val="24"/>
        </w:rPr>
        <w:softHyphen/>
        <w:t xml:space="preserve">eral countries: the </w:t>
      </w:r>
      <w:r w:rsidRPr="00E67005">
        <w:rPr>
          <w:bCs/>
          <w:sz w:val="24"/>
          <w:szCs w:val="24"/>
        </w:rPr>
        <w:t>Czech Republic</w:t>
      </w:r>
      <w:r w:rsidRPr="00E67005">
        <w:rPr>
          <w:sz w:val="24"/>
          <w:szCs w:val="24"/>
        </w:rPr>
        <w:t xml:space="preserve">, </w:t>
      </w:r>
      <w:r w:rsidRPr="00E67005">
        <w:rPr>
          <w:bCs/>
          <w:sz w:val="24"/>
          <w:szCs w:val="24"/>
        </w:rPr>
        <w:t>Denmark</w:t>
      </w:r>
      <w:r w:rsidRPr="00E67005">
        <w:rPr>
          <w:sz w:val="24"/>
          <w:szCs w:val="24"/>
        </w:rPr>
        <w:t xml:space="preserve">, </w:t>
      </w:r>
      <w:r w:rsidRPr="00E67005">
        <w:rPr>
          <w:bCs/>
          <w:sz w:val="24"/>
          <w:szCs w:val="24"/>
        </w:rPr>
        <w:t>Estonia</w:t>
      </w:r>
      <w:r w:rsidRPr="00E67005">
        <w:rPr>
          <w:sz w:val="24"/>
          <w:szCs w:val="24"/>
        </w:rPr>
        <w:t xml:space="preserve">, </w:t>
      </w:r>
      <w:r w:rsidRPr="00E67005">
        <w:rPr>
          <w:bCs/>
          <w:sz w:val="24"/>
          <w:szCs w:val="24"/>
        </w:rPr>
        <w:t>Greece</w:t>
      </w:r>
      <w:r w:rsidRPr="00E67005">
        <w:rPr>
          <w:sz w:val="24"/>
          <w:szCs w:val="24"/>
        </w:rPr>
        <w:t xml:space="preserve">, </w:t>
      </w:r>
      <w:r w:rsidRPr="00E67005">
        <w:rPr>
          <w:bCs/>
          <w:sz w:val="24"/>
          <w:szCs w:val="24"/>
        </w:rPr>
        <w:t>Lithuania</w:t>
      </w:r>
      <w:r w:rsidRPr="00E67005">
        <w:rPr>
          <w:sz w:val="24"/>
          <w:szCs w:val="24"/>
        </w:rPr>
        <w:t xml:space="preserve">, </w:t>
      </w:r>
      <w:r w:rsidRPr="00E67005">
        <w:rPr>
          <w:bCs/>
          <w:sz w:val="24"/>
          <w:szCs w:val="24"/>
        </w:rPr>
        <w:t>Luxembourg</w:t>
      </w:r>
      <w:r w:rsidRPr="00E67005">
        <w:rPr>
          <w:sz w:val="24"/>
          <w:szCs w:val="24"/>
        </w:rPr>
        <w:t xml:space="preserve">, </w:t>
      </w:r>
      <w:r w:rsidRPr="00E67005">
        <w:rPr>
          <w:bCs/>
          <w:sz w:val="24"/>
          <w:szCs w:val="24"/>
        </w:rPr>
        <w:t>Malta</w:t>
      </w:r>
      <w:r w:rsidRPr="00E67005">
        <w:rPr>
          <w:b/>
          <w:bCs/>
          <w:sz w:val="24"/>
          <w:szCs w:val="24"/>
        </w:rPr>
        <w:t xml:space="preserve"> </w:t>
      </w:r>
      <w:r w:rsidRPr="00E67005">
        <w:rPr>
          <w:sz w:val="24"/>
          <w:szCs w:val="24"/>
        </w:rPr>
        <w:t xml:space="preserve">or </w:t>
      </w:r>
      <w:r w:rsidRPr="00E67005">
        <w:rPr>
          <w:b/>
          <w:bCs/>
          <w:sz w:val="24"/>
          <w:szCs w:val="24"/>
        </w:rPr>
        <w:t xml:space="preserve">Poland </w:t>
      </w:r>
      <w:r w:rsidRPr="00E67005">
        <w:rPr>
          <w:sz w:val="24"/>
          <w:szCs w:val="24"/>
        </w:rPr>
        <w:t xml:space="preserve">and </w:t>
      </w:r>
      <w:r w:rsidRPr="00E67005">
        <w:rPr>
          <w:bCs/>
          <w:sz w:val="24"/>
          <w:szCs w:val="24"/>
        </w:rPr>
        <w:t>Portugal</w:t>
      </w:r>
      <w:r w:rsidRPr="00E67005">
        <w:rPr>
          <w:sz w:val="24"/>
          <w:szCs w:val="24"/>
        </w:rPr>
        <w:t>, among others.</w:t>
      </w:r>
      <w:r>
        <w:rPr>
          <w:sz w:val="24"/>
          <w:szCs w:val="24"/>
        </w:rPr>
        <w:t>” (p. 15)</w:t>
      </w:r>
    </w:p>
    <w:p w14:paraId="7CCA1E76" w14:textId="6CE92A2D" w:rsidR="00E67005" w:rsidRDefault="00E67005" w:rsidP="00B37D35">
      <w:pPr>
        <w:spacing w:after="0"/>
        <w:rPr>
          <w:sz w:val="24"/>
          <w:szCs w:val="24"/>
        </w:rPr>
      </w:pPr>
      <w:r>
        <w:rPr>
          <w:noProof/>
          <w:sz w:val="24"/>
          <w:szCs w:val="24"/>
          <w:lang w:eastAsia="en-IE"/>
        </w:rPr>
        <w:drawing>
          <wp:inline distT="0" distB="0" distL="0" distR="0" wp14:anchorId="4803E1AE" wp14:editId="01D92D92">
            <wp:extent cx="5474970" cy="81908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lpart6.PNG"/>
                    <pic:cNvPicPr/>
                  </pic:nvPicPr>
                  <pic:blipFill>
                    <a:blip r:embed="rId31">
                      <a:extLst>
                        <a:ext uri="{28A0092B-C50C-407E-A947-70E740481C1C}">
                          <a14:useLocalDpi xmlns:a14="http://schemas.microsoft.com/office/drawing/2010/main" val="0"/>
                        </a:ext>
                      </a:extLst>
                    </a:blip>
                    <a:stretch>
                      <a:fillRect/>
                    </a:stretch>
                  </pic:blipFill>
                  <pic:spPr>
                    <a:xfrm>
                      <a:off x="0" y="0"/>
                      <a:ext cx="5570621" cy="833395"/>
                    </a:xfrm>
                    <a:prstGeom prst="rect">
                      <a:avLst/>
                    </a:prstGeom>
                  </pic:spPr>
                </pic:pic>
              </a:graphicData>
            </a:graphic>
          </wp:inline>
        </w:drawing>
      </w:r>
    </w:p>
    <w:p w14:paraId="03B5EABF" w14:textId="32545503" w:rsidR="00E67005" w:rsidRDefault="00E67005" w:rsidP="00B37D35">
      <w:pPr>
        <w:spacing w:after="0"/>
        <w:rPr>
          <w:sz w:val="24"/>
          <w:szCs w:val="24"/>
        </w:rPr>
      </w:pPr>
      <w:r>
        <w:rPr>
          <w:noProof/>
          <w:sz w:val="24"/>
          <w:szCs w:val="24"/>
          <w:lang w:eastAsia="en-IE"/>
        </w:rPr>
        <w:drawing>
          <wp:inline distT="0" distB="0" distL="0" distR="0" wp14:anchorId="669E6199" wp14:editId="19A6E12D">
            <wp:extent cx="5324475" cy="317500"/>
            <wp:effectExtent l="0" t="0" r="952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lpart7.PNG"/>
                    <pic:cNvPicPr/>
                  </pic:nvPicPr>
                  <pic:blipFill>
                    <a:blip r:embed="rId32">
                      <a:extLst>
                        <a:ext uri="{28A0092B-C50C-407E-A947-70E740481C1C}">
                          <a14:useLocalDpi xmlns:a14="http://schemas.microsoft.com/office/drawing/2010/main" val="0"/>
                        </a:ext>
                      </a:extLst>
                    </a:blip>
                    <a:stretch>
                      <a:fillRect/>
                    </a:stretch>
                  </pic:blipFill>
                  <pic:spPr>
                    <a:xfrm>
                      <a:off x="0" y="0"/>
                      <a:ext cx="5324475" cy="317500"/>
                    </a:xfrm>
                    <a:prstGeom prst="rect">
                      <a:avLst/>
                    </a:prstGeom>
                  </pic:spPr>
                </pic:pic>
              </a:graphicData>
            </a:graphic>
          </wp:inline>
        </w:drawing>
      </w:r>
      <w:r>
        <w:rPr>
          <w:sz w:val="24"/>
          <w:szCs w:val="24"/>
        </w:rPr>
        <w:t>(p. 23)</w:t>
      </w:r>
    </w:p>
    <w:p w14:paraId="51F74265" w14:textId="77777777" w:rsidR="001320BB" w:rsidRPr="00E673AD" w:rsidRDefault="001320BB" w:rsidP="00B37D35">
      <w:pPr>
        <w:spacing w:after="0"/>
        <w:rPr>
          <w:sz w:val="24"/>
          <w:szCs w:val="24"/>
        </w:rPr>
      </w:pPr>
    </w:p>
    <w:p w14:paraId="0A8047E1" w14:textId="793BD23D" w:rsidR="00281962" w:rsidRDefault="007637C6" w:rsidP="002D605B">
      <w:pPr>
        <w:pStyle w:val="Heading1"/>
        <w:rPr>
          <w:rFonts w:asciiTheme="minorHAnsi" w:hAnsiTheme="minorHAnsi"/>
        </w:rPr>
      </w:pPr>
      <w:bookmarkStart w:id="22" w:name="_Toc518292272"/>
      <w:r>
        <w:rPr>
          <w:rFonts w:asciiTheme="minorHAnsi" w:hAnsiTheme="minorHAnsi"/>
        </w:rPr>
        <w:t>Other</w:t>
      </w:r>
      <w:r w:rsidR="00281962" w:rsidRPr="007637C6">
        <w:rPr>
          <w:rFonts w:asciiTheme="minorHAnsi" w:hAnsiTheme="minorHAnsi"/>
        </w:rPr>
        <w:t xml:space="preserve"> report</w:t>
      </w:r>
      <w:r>
        <w:rPr>
          <w:rFonts w:asciiTheme="minorHAnsi" w:hAnsiTheme="minorHAnsi"/>
        </w:rPr>
        <w:t>s</w:t>
      </w:r>
      <w:r w:rsidR="00281962" w:rsidRPr="007637C6">
        <w:rPr>
          <w:rFonts w:asciiTheme="minorHAnsi" w:hAnsiTheme="minorHAnsi"/>
        </w:rPr>
        <w:t xml:space="preserve"> related to disability</w:t>
      </w:r>
      <w:bookmarkEnd w:id="22"/>
    </w:p>
    <w:p w14:paraId="3CF1F59B" w14:textId="77777777" w:rsidR="00B37D35" w:rsidRPr="00B37D35" w:rsidRDefault="00B37D35" w:rsidP="00B37D35"/>
    <w:p w14:paraId="04320160" w14:textId="12728418" w:rsidR="00222161" w:rsidRDefault="00222161" w:rsidP="00B37D35">
      <w:pPr>
        <w:pStyle w:val="Heading2"/>
        <w:ind w:left="939"/>
      </w:pPr>
      <w:bookmarkStart w:id="23" w:name="_Toc437340036"/>
      <w:bookmarkStart w:id="24" w:name="_Toc437340037"/>
      <w:bookmarkStart w:id="25" w:name="_Toc518292273"/>
      <w:bookmarkEnd w:id="23"/>
      <w:bookmarkEnd w:id="24"/>
      <w:r w:rsidRPr="00222161">
        <w:t>Rights of suspected and accused persons across the EU: translation, interpretation and information</w:t>
      </w:r>
      <w:r>
        <w:t xml:space="preserve"> (2016)</w:t>
      </w:r>
      <w:bookmarkEnd w:id="25"/>
    </w:p>
    <w:p w14:paraId="4378F597" w14:textId="638E845D" w:rsidR="00222161" w:rsidRDefault="00222161" w:rsidP="00222161">
      <w:pPr>
        <w:rPr>
          <w:sz w:val="24"/>
          <w:lang w:val="en"/>
        </w:rPr>
      </w:pPr>
      <w:r w:rsidRPr="007637C6">
        <w:rPr>
          <w:sz w:val="24"/>
          <w:lang w:val="en"/>
        </w:rPr>
        <w:t>For more information:</w:t>
      </w:r>
      <w:r>
        <w:rPr>
          <w:sz w:val="24"/>
          <w:lang w:val="en"/>
        </w:rPr>
        <w:t xml:space="preserve"> </w:t>
      </w:r>
      <w:hyperlink r:id="rId33" w:history="1">
        <w:r w:rsidRPr="006B145E">
          <w:rPr>
            <w:rStyle w:val="Hyperlink"/>
            <w:sz w:val="24"/>
            <w:lang w:val="en"/>
          </w:rPr>
          <w:t>http://fra.europa.eu/en/publication/2016/rights-suspected-and-accused-persons-across-eu-translation-interpretation-and</w:t>
        </w:r>
      </w:hyperlink>
      <w:r>
        <w:rPr>
          <w:sz w:val="24"/>
          <w:lang w:val="en"/>
        </w:rPr>
        <w:t>.</w:t>
      </w:r>
    </w:p>
    <w:p w14:paraId="5DA03269" w14:textId="1F521FAA" w:rsidR="00222161" w:rsidRPr="00222161" w:rsidRDefault="00222161" w:rsidP="00222161">
      <w:pPr>
        <w:spacing w:after="0"/>
        <w:rPr>
          <w:sz w:val="24"/>
        </w:rPr>
      </w:pPr>
      <w:r>
        <w:rPr>
          <w:sz w:val="24"/>
          <w:lang w:val="en"/>
        </w:rPr>
        <w:t>“</w:t>
      </w:r>
      <w:r w:rsidRPr="00222161">
        <w:rPr>
          <w:sz w:val="24"/>
        </w:rPr>
        <w:t xml:space="preserve">In </w:t>
      </w:r>
      <w:r w:rsidRPr="00222161">
        <w:rPr>
          <w:b/>
          <w:sz w:val="24"/>
        </w:rPr>
        <w:t>Poland</w:t>
      </w:r>
      <w:r w:rsidRPr="00222161">
        <w:rPr>
          <w:sz w:val="24"/>
        </w:rPr>
        <w:t>, in accordance with the Code of Criminal Procedure, prior to the first interrogation, authori</w:t>
      </w:r>
      <w:r w:rsidRPr="00222161">
        <w:rPr>
          <w:sz w:val="24"/>
        </w:rPr>
        <w:softHyphen/>
        <w:t>ties should instruct suspects about their rights in writing.</w:t>
      </w:r>
      <w:r>
        <w:rPr>
          <w:sz w:val="24"/>
        </w:rPr>
        <w:t xml:space="preserve"> </w:t>
      </w:r>
      <w:r w:rsidRPr="00222161">
        <w:rPr>
          <w:sz w:val="24"/>
        </w:rPr>
        <w:t>According to a representative from the pros</w:t>
      </w:r>
      <w:r w:rsidRPr="00222161">
        <w:rPr>
          <w:sz w:val="24"/>
        </w:rPr>
        <w:softHyphen/>
        <w:t>ecutor’s office, in case of doubt as to whether a sus</w:t>
      </w:r>
      <w:r w:rsidRPr="00222161">
        <w:rPr>
          <w:sz w:val="24"/>
        </w:rPr>
        <w:softHyphen/>
        <w:t>pect is able to understand the content of the written instructions (e.g. due to age, physical or mental con</w:t>
      </w:r>
      <w:r w:rsidRPr="00222161">
        <w:rPr>
          <w:sz w:val="24"/>
        </w:rPr>
        <w:softHyphen/>
        <w:t>dition, intellectual disability, lack of education, poor literacy skills or eyesight), authorities should verbally discuss the information with them</w:t>
      </w:r>
      <w:r>
        <w:rPr>
          <w:sz w:val="24"/>
        </w:rPr>
        <w:t>.” (p. 67)</w:t>
      </w:r>
    </w:p>
    <w:p w14:paraId="40C766D5" w14:textId="2A0D00D1" w:rsidR="00222161" w:rsidRPr="00222161" w:rsidRDefault="00222161" w:rsidP="00222161">
      <w:pPr>
        <w:pStyle w:val="Heading2"/>
        <w:numPr>
          <w:ilvl w:val="0"/>
          <w:numId w:val="0"/>
        </w:numPr>
        <w:ind w:left="939"/>
      </w:pPr>
    </w:p>
    <w:p w14:paraId="72591761" w14:textId="35B539F4" w:rsidR="00F36838" w:rsidRPr="007637C6" w:rsidRDefault="00F36838" w:rsidP="00B37D35">
      <w:pPr>
        <w:pStyle w:val="Heading2"/>
        <w:ind w:left="939"/>
      </w:pPr>
      <w:bookmarkStart w:id="26" w:name="_Toc518292274"/>
      <w:r w:rsidRPr="007637C6">
        <w:t>Inequalities and multiple discrimination in access to and quality of healthcare (2013)</w:t>
      </w:r>
      <w:bookmarkEnd w:id="26"/>
    </w:p>
    <w:p w14:paraId="186C5228" w14:textId="0F05DD4E" w:rsidR="00F36838" w:rsidRDefault="00F36838" w:rsidP="00B37D35">
      <w:pPr>
        <w:spacing w:after="0"/>
        <w:rPr>
          <w:sz w:val="24"/>
          <w:lang w:val="en"/>
        </w:rPr>
      </w:pPr>
      <w:r w:rsidRPr="007637C6">
        <w:rPr>
          <w:sz w:val="24"/>
          <w:lang w:val="en"/>
        </w:rPr>
        <w:t xml:space="preserve">For more information: </w:t>
      </w:r>
      <w:hyperlink r:id="rId34" w:history="1">
        <w:r w:rsidR="00E67005" w:rsidRPr="00E628FA">
          <w:rPr>
            <w:rStyle w:val="Hyperlink"/>
            <w:sz w:val="24"/>
            <w:lang w:val="en"/>
          </w:rPr>
          <w:t>http://fra.europa.eu/en/publication/2013/inequalities-discrimination-healthcare</w:t>
        </w:r>
      </w:hyperlink>
      <w:r w:rsidR="00E67005">
        <w:rPr>
          <w:sz w:val="24"/>
          <w:lang w:val="en"/>
        </w:rPr>
        <w:t>.</w:t>
      </w:r>
      <w:r w:rsidR="005E073F" w:rsidRPr="007637C6">
        <w:rPr>
          <w:rStyle w:val="Hyperlink"/>
          <w:color w:val="auto"/>
          <w:sz w:val="24"/>
          <w:u w:val="none"/>
          <w:lang w:val="en"/>
        </w:rPr>
        <w:t xml:space="preserve"> Also available in easy-to-read:</w:t>
      </w:r>
      <w:r w:rsidR="007637C6" w:rsidRPr="007637C6">
        <w:t xml:space="preserve"> </w:t>
      </w:r>
      <w:hyperlink r:id="rId35" w:history="1">
        <w:r w:rsidR="007637C6" w:rsidRPr="0059497C">
          <w:rPr>
            <w:rStyle w:val="Hyperlink"/>
            <w:sz w:val="24"/>
            <w:lang w:val="en"/>
          </w:rPr>
          <w:t>http://fra.europa.eu/en/publication/2013/how-people-are-treated-differently-healthcare</w:t>
        </w:r>
      </w:hyperlink>
      <w:r w:rsidR="005E073F" w:rsidRPr="007637C6">
        <w:rPr>
          <w:rStyle w:val="Hyperlink"/>
          <w:color w:val="auto"/>
          <w:sz w:val="24"/>
          <w:u w:val="none"/>
          <w:lang w:val="en"/>
        </w:rPr>
        <w:t>.</w:t>
      </w:r>
      <w:r w:rsidRPr="007637C6">
        <w:rPr>
          <w:sz w:val="24"/>
          <w:lang w:val="en"/>
        </w:rPr>
        <w:t xml:space="preserve"> </w:t>
      </w:r>
    </w:p>
    <w:p w14:paraId="6B9D6F6C" w14:textId="0B9B5B54" w:rsidR="00E67005" w:rsidRPr="00E67005" w:rsidRDefault="00E67005" w:rsidP="00B37D35">
      <w:pPr>
        <w:spacing w:after="0"/>
        <w:rPr>
          <w:sz w:val="24"/>
        </w:rPr>
      </w:pPr>
      <w:r>
        <w:rPr>
          <w:sz w:val="24"/>
          <w:lang w:val="en"/>
        </w:rPr>
        <w:t>“</w:t>
      </w:r>
      <w:r w:rsidRPr="00E67005">
        <w:rPr>
          <w:sz w:val="24"/>
        </w:rPr>
        <w:t>According to the FRA Annual Report, in 2011 only six (Austria, Bulgaria, Germany, Greece, Italy and Romania) out of 27 EU Member States covered ‘multiple discrimi</w:t>
      </w:r>
      <w:r w:rsidRPr="00E67005">
        <w:rPr>
          <w:sz w:val="24"/>
        </w:rPr>
        <w:softHyphen/>
        <w:t xml:space="preserve">nation’ or ‘discrimination on more than one ground’ in their legislation. In </w:t>
      </w:r>
      <w:r w:rsidRPr="00E67005">
        <w:rPr>
          <w:b/>
          <w:sz w:val="24"/>
        </w:rPr>
        <w:t>Poland</w:t>
      </w:r>
      <w:r w:rsidRPr="00E67005">
        <w:rPr>
          <w:sz w:val="24"/>
        </w:rPr>
        <w:t>, it is not clear whether it is covered by law.</w:t>
      </w:r>
      <w:r>
        <w:rPr>
          <w:sz w:val="24"/>
        </w:rPr>
        <w:t>” (p. 25)</w:t>
      </w:r>
    </w:p>
    <w:p w14:paraId="061574AB" w14:textId="40DBF499" w:rsidR="00CA32AA" w:rsidRDefault="00CA32AA" w:rsidP="00B37D35">
      <w:pPr>
        <w:spacing w:after="0"/>
        <w:rPr>
          <w:sz w:val="24"/>
        </w:rPr>
      </w:pPr>
      <w:r w:rsidRPr="00CA32AA">
        <w:rPr>
          <w:sz w:val="24"/>
        </w:rPr>
        <w:t xml:space="preserve"> </w:t>
      </w:r>
    </w:p>
    <w:sectPr w:rsidR="00CA32AA" w:rsidSect="00600164">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29D06" w14:textId="77777777" w:rsidR="006209BC" w:rsidRDefault="006209BC" w:rsidP="00965BA3">
      <w:pPr>
        <w:spacing w:after="0"/>
      </w:pPr>
      <w:r>
        <w:separator/>
      </w:r>
    </w:p>
  </w:endnote>
  <w:endnote w:type="continuationSeparator" w:id="0">
    <w:p w14:paraId="596935EE" w14:textId="77777777" w:rsidR="006209BC" w:rsidRDefault="006209BC" w:rsidP="00965BA3">
      <w:pPr>
        <w:spacing w:after="0"/>
      </w:pPr>
      <w:r>
        <w:continuationSeparator/>
      </w:r>
    </w:p>
  </w:endnote>
  <w:endnote w:type="continuationNotice" w:id="1">
    <w:p w14:paraId="1B92DB0F" w14:textId="77777777" w:rsidR="006209BC" w:rsidRDefault="006209B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xlinePro-Regular">
    <w:altName w:val="DaxlinePro-Regular"/>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axlinePro-RegularItalic">
    <w:altName w:val="DaxlinePro-RegularItalic"/>
    <w:panose1 w:val="00000000000000000000"/>
    <w:charset w:val="00"/>
    <w:family w:val="swiss"/>
    <w:notTrueType/>
    <w:pitch w:val="default"/>
    <w:sig w:usb0="00000007" w:usb1="00000000" w:usb2="00000000" w:usb3="00000000" w:csb0="00000003" w:csb1="00000000"/>
  </w:font>
  <w:font w:name="Daxline Offc Pro">
    <w:panose1 w:val="020B0504020101020102"/>
    <w:charset w:val="00"/>
    <w:family w:val="swiss"/>
    <w:pitch w:val="variable"/>
    <w:sig w:usb0="A00002FF" w:usb1="4000A4FB" w:usb2="00000000" w:usb3="00000000" w:csb0="0000009F" w:csb1="00000000"/>
  </w:font>
  <w:font w:name="DaxlinePro-Bold">
    <w:altName w:val="DaxlinePro-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3068318"/>
      <w:docPartObj>
        <w:docPartGallery w:val="Page Numbers (Bottom of Page)"/>
        <w:docPartUnique/>
      </w:docPartObj>
    </w:sdtPr>
    <w:sdtEndPr>
      <w:rPr>
        <w:noProof/>
      </w:rPr>
    </w:sdtEndPr>
    <w:sdtContent>
      <w:p w14:paraId="004920C8" w14:textId="62A662BC" w:rsidR="00726949" w:rsidRDefault="00726949">
        <w:pPr>
          <w:pStyle w:val="Footer"/>
          <w:jc w:val="right"/>
        </w:pPr>
        <w:r>
          <w:fldChar w:fldCharType="begin"/>
        </w:r>
        <w:r>
          <w:instrText xml:space="preserve"> PAGE   \* MERGEFORMAT </w:instrText>
        </w:r>
        <w:r>
          <w:fldChar w:fldCharType="separate"/>
        </w:r>
        <w:r w:rsidR="006F0D8F">
          <w:rPr>
            <w:noProof/>
          </w:rPr>
          <w:t>6</w:t>
        </w:r>
        <w:r>
          <w:rPr>
            <w:noProof/>
          </w:rPr>
          <w:fldChar w:fldCharType="end"/>
        </w:r>
      </w:p>
    </w:sdtContent>
  </w:sdt>
  <w:p w14:paraId="611E7F29" w14:textId="77777777" w:rsidR="00726949" w:rsidRDefault="007269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FFB47" w14:textId="77777777" w:rsidR="006209BC" w:rsidRDefault="006209BC" w:rsidP="00965BA3">
      <w:pPr>
        <w:spacing w:after="0"/>
      </w:pPr>
      <w:r>
        <w:separator/>
      </w:r>
    </w:p>
  </w:footnote>
  <w:footnote w:type="continuationSeparator" w:id="0">
    <w:p w14:paraId="7CA8AD4B" w14:textId="77777777" w:rsidR="006209BC" w:rsidRDefault="006209BC" w:rsidP="00965BA3">
      <w:pPr>
        <w:spacing w:after="0"/>
      </w:pPr>
      <w:r>
        <w:continuationSeparator/>
      </w:r>
    </w:p>
  </w:footnote>
  <w:footnote w:type="continuationNotice" w:id="1">
    <w:p w14:paraId="07FD81B3" w14:textId="77777777" w:rsidR="006209BC" w:rsidRDefault="006209BC">
      <w:pPr>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87614"/>
    <w:multiLevelType w:val="hybridMultilevel"/>
    <w:tmpl w:val="A4E213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846A7"/>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20E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A867F2"/>
    <w:multiLevelType w:val="hybridMultilevel"/>
    <w:tmpl w:val="D92C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25CF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42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EFD4BA6"/>
    <w:multiLevelType w:val="hybridMultilevel"/>
    <w:tmpl w:val="BAFE1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A4F8B"/>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843F30"/>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832CE7"/>
    <w:multiLevelType w:val="hybridMultilevel"/>
    <w:tmpl w:val="ADBC7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3B3FCB"/>
    <w:multiLevelType w:val="multilevel"/>
    <w:tmpl w:val="5F98A73E"/>
    <w:lvl w:ilvl="0">
      <w:start w:val="1"/>
      <w:numFmt w:val="decimal"/>
      <w:lvlText w:val="%1"/>
      <w:lvlJc w:val="left"/>
      <w:pPr>
        <w:ind w:left="432" w:hanging="432"/>
      </w:pPr>
    </w:lvl>
    <w:lvl w:ilvl="1">
      <w:start w:val="1"/>
      <w:numFmt w:val="decimal"/>
      <w:lvlText w:val="%1.%2"/>
      <w:lvlJc w:val="left"/>
      <w:pPr>
        <w:ind w:left="860" w:hanging="576"/>
      </w:pPr>
      <w:rPr>
        <w:rFonts w:asciiTheme="minorHAnsi" w:hAnsiTheme="minorHAnsi"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D6841DE"/>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590B0C"/>
    <w:multiLevelType w:val="hybridMultilevel"/>
    <w:tmpl w:val="2EA0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3A044A"/>
    <w:multiLevelType w:val="hybridMultilevel"/>
    <w:tmpl w:val="E8882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925C7"/>
    <w:multiLevelType w:val="hybridMultilevel"/>
    <w:tmpl w:val="01EE7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291F70"/>
    <w:multiLevelType w:val="multilevel"/>
    <w:tmpl w:val="8C843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6"/>
  </w:num>
  <w:num w:numId="3">
    <w:abstractNumId w:val="1"/>
  </w:num>
  <w:num w:numId="4">
    <w:abstractNumId w:val="3"/>
  </w:num>
  <w:num w:numId="5">
    <w:abstractNumId w:val="14"/>
  </w:num>
  <w:num w:numId="6">
    <w:abstractNumId w:val="2"/>
  </w:num>
  <w:num w:numId="7">
    <w:abstractNumId w:val="5"/>
  </w:num>
  <w:num w:numId="8">
    <w:abstractNumId w:val="8"/>
  </w:num>
  <w:num w:numId="9">
    <w:abstractNumId w:val="13"/>
  </w:num>
  <w:num w:numId="10">
    <w:abstractNumId w:val="9"/>
  </w:num>
  <w:num w:numId="11">
    <w:abstractNumId w:val="0"/>
  </w:num>
  <w:num w:numId="12">
    <w:abstractNumId w:val="11"/>
  </w:num>
  <w:num w:numId="13">
    <w:abstractNumId w:val="10"/>
  </w:num>
  <w:num w:numId="14">
    <w:abstractNumId w:val="4"/>
  </w:num>
  <w:num w:numId="15">
    <w:abstractNumId w:val="7"/>
  </w:num>
  <w:num w:numId="16">
    <w:abstractNumId w:val="4"/>
  </w:num>
  <w:num w:numId="17">
    <w:abstractNumId w:val="4"/>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FAA"/>
    <w:rsid w:val="00016A70"/>
    <w:rsid w:val="000206A4"/>
    <w:rsid w:val="00024CB2"/>
    <w:rsid w:val="00036F2B"/>
    <w:rsid w:val="00042065"/>
    <w:rsid w:val="00054F8C"/>
    <w:rsid w:val="00057A2A"/>
    <w:rsid w:val="00077123"/>
    <w:rsid w:val="00080A14"/>
    <w:rsid w:val="00084AD9"/>
    <w:rsid w:val="00085181"/>
    <w:rsid w:val="00097ADB"/>
    <w:rsid w:val="000A6661"/>
    <w:rsid w:val="000B2AF6"/>
    <w:rsid w:val="000B7126"/>
    <w:rsid w:val="000C05D5"/>
    <w:rsid w:val="000D23FE"/>
    <w:rsid w:val="000D7027"/>
    <w:rsid w:val="000F4194"/>
    <w:rsid w:val="000F7C63"/>
    <w:rsid w:val="00103312"/>
    <w:rsid w:val="001114EE"/>
    <w:rsid w:val="00116E00"/>
    <w:rsid w:val="00116EA9"/>
    <w:rsid w:val="0012027F"/>
    <w:rsid w:val="00120DCE"/>
    <w:rsid w:val="00127721"/>
    <w:rsid w:val="001308E6"/>
    <w:rsid w:val="001320BB"/>
    <w:rsid w:val="001603EA"/>
    <w:rsid w:val="00161C83"/>
    <w:rsid w:val="00172A85"/>
    <w:rsid w:val="001939A6"/>
    <w:rsid w:val="001A1196"/>
    <w:rsid w:val="001A2786"/>
    <w:rsid w:val="001B79F3"/>
    <w:rsid w:val="001B7A00"/>
    <w:rsid w:val="001C03A7"/>
    <w:rsid w:val="001C34B1"/>
    <w:rsid w:val="001D6F6A"/>
    <w:rsid w:val="001E2A54"/>
    <w:rsid w:val="001F003F"/>
    <w:rsid w:val="001F18DB"/>
    <w:rsid w:val="001F2AC3"/>
    <w:rsid w:val="001F48E9"/>
    <w:rsid w:val="00200706"/>
    <w:rsid w:val="0020630F"/>
    <w:rsid w:val="00216420"/>
    <w:rsid w:val="0022202D"/>
    <w:rsid w:val="00222161"/>
    <w:rsid w:val="00230412"/>
    <w:rsid w:val="002431F6"/>
    <w:rsid w:val="0024644A"/>
    <w:rsid w:val="00277832"/>
    <w:rsid w:val="00280DA0"/>
    <w:rsid w:val="00281962"/>
    <w:rsid w:val="00290D06"/>
    <w:rsid w:val="002A1817"/>
    <w:rsid w:val="002A31CD"/>
    <w:rsid w:val="002A3F72"/>
    <w:rsid w:val="002A4F35"/>
    <w:rsid w:val="002A6648"/>
    <w:rsid w:val="002B0997"/>
    <w:rsid w:val="002B0CB3"/>
    <w:rsid w:val="002B0EF6"/>
    <w:rsid w:val="002B32EB"/>
    <w:rsid w:val="002B63DB"/>
    <w:rsid w:val="002C5F83"/>
    <w:rsid w:val="002D208F"/>
    <w:rsid w:val="002D2434"/>
    <w:rsid w:val="002D2A11"/>
    <w:rsid w:val="002D605B"/>
    <w:rsid w:val="002D6C99"/>
    <w:rsid w:val="002E1549"/>
    <w:rsid w:val="002E2E4A"/>
    <w:rsid w:val="002F654F"/>
    <w:rsid w:val="00304462"/>
    <w:rsid w:val="003100A5"/>
    <w:rsid w:val="00312560"/>
    <w:rsid w:val="003130D9"/>
    <w:rsid w:val="00324FD0"/>
    <w:rsid w:val="003331A0"/>
    <w:rsid w:val="0033559A"/>
    <w:rsid w:val="00336068"/>
    <w:rsid w:val="0033695C"/>
    <w:rsid w:val="0036513C"/>
    <w:rsid w:val="0036562B"/>
    <w:rsid w:val="003736F1"/>
    <w:rsid w:val="00374510"/>
    <w:rsid w:val="00375561"/>
    <w:rsid w:val="00375FB8"/>
    <w:rsid w:val="00376E84"/>
    <w:rsid w:val="00380471"/>
    <w:rsid w:val="00380FE9"/>
    <w:rsid w:val="003815E1"/>
    <w:rsid w:val="003878DD"/>
    <w:rsid w:val="00392DA1"/>
    <w:rsid w:val="003A1126"/>
    <w:rsid w:val="003C03EB"/>
    <w:rsid w:val="003E161E"/>
    <w:rsid w:val="003E2F60"/>
    <w:rsid w:val="003F69A1"/>
    <w:rsid w:val="003F6DD5"/>
    <w:rsid w:val="00401692"/>
    <w:rsid w:val="004111B9"/>
    <w:rsid w:val="00413D35"/>
    <w:rsid w:val="00435FEA"/>
    <w:rsid w:val="004371A2"/>
    <w:rsid w:val="00437E3E"/>
    <w:rsid w:val="0045101D"/>
    <w:rsid w:val="00454CBC"/>
    <w:rsid w:val="00464CC5"/>
    <w:rsid w:val="00467184"/>
    <w:rsid w:val="00473A78"/>
    <w:rsid w:val="00473CF9"/>
    <w:rsid w:val="00482353"/>
    <w:rsid w:val="00490274"/>
    <w:rsid w:val="00490BC7"/>
    <w:rsid w:val="004C24D1"/>
    <w:rsid w:val="004C2E1C"/>
    <w:rsid w:val="004C5ED3"/>
    <w:rsid w:val="004C76B3"/>
    <w:rsid w:val="004E2F2D"/>
    <w:rsid w:val="004F31B8"/>
    <w:rsid w:val="004F43DF"/>
    <w:rsid w:val="004F65D2"/>
    <w:rsid w:val="004F7947"/>
    <w:rsid w:val="00502B7D"/>
    <w:rsid w:val="0050303F"/>
    <w:rsid w:val="00505457"/>
    <w:rsid w:val="00506713"/>
    <w:rsid w:val="005166B9"/>
    <w:rsid w:val="00523654"/>
    <w:rsid w:val="0052734D"/>
    <w:rsid w:val="0053494C"/>
    <w:rsid w:val="00536146"/>
    <w:rsid w:val="00551C6F"/>
    <w:rsid w:val="00561A3B"/>
    <w:rsid w:val="00565D51"/>
    <w:rsid w:val="00572E10"/>
    <w:rsid w:val="0058187B"/>
    <w:rsid w:val="00587004"/>
    <w:rsid w:val="005914D0"/>
    <w:rsid w:val="005B2460"/>
    <w:rsid w:val="005B48DD"/>
    <w:rsid w:val="005C624E"/>
    <w:rsid w:val="005D7B7A"/>
    <w:rsid w:val="005E073F"/>
    <w:rsid w:val="005F7ACC"/>
    <w:rsid w:val="00600164"/>
    <w:rsid w:val="0060021F"/>
    <w:rsid w:val="00604345"/>
    <w:rsid w:val="00610FE3"/>
    <w:rsid w:val="0061363A"/>
    <w:rsid w:val="00615700"/>
    <w:rsid w:val="006209BC"/>
    <w:rsid w:val="00625CD3"/>
    <w:rsid w:val="00632135"/>
    <w:rsid w:val="00652277"/>
    <w:rsid w:val="00653906"/>
    <w:rsid w:val="00663115"/>
    <w:rsid w:val="00667B22"/>
    <w:rsid w:val="006A2841"/>
    <w:rsid w:val="006A2B54"/>
    <w:rsid w:val="006A56DA"/>
    <w:rsid w:val="006B7ED6"/>
    <w:rsid w:val="006C1A56"/>
    <w:rsid w:val="006C66FE"/>
    <w:rsid w:val="006E0C35"/>
    <w:rsid w:val="006E0FBB"/>
    <w:rsid w:val="006F0D8F"/>
    <w:rsid w:val="006F4931"/>
    <w:rsid w:val="006F6129"/>
    <w:rsid w:val="0071019D"/>
    <w:rsid w:val="00720251"/>
    <w:rsid w:val="00720E4F"/>
    <w:rsid w:val="007210B1"/>
    <w:rsid w:val="007242D0"/>
    <w:rsid w:val="00726949"/>
    <w:rsid w:val="00732093"/>
    <w:rsid w:val="00733189"/>
    <w:rsid w:val="00737E81"/>
    <w:rsid w:val="007430E6"/>
    <w:rsid w:val="00753796"/>
    <w:rsid w:val="00753828"/>
    <w:rsid w:val="007619A1"/>
    <w:rsid w:val="007637C6"/>
    <w:rsid w:val="007679D6"/>
    <w:rsid w:val="00773E39"/>
    <w:rsid w:val="00773F56"/>
    <w:rsid w:val="00782C1C"/>
    <w:rsid w:val="00785E7B"/>
    <w:rsid w:val="00787290"/>
    <w:rsid w:val="007A6402"/>
    <w:rsid w:val="007A7767"/>
    <w:rsid w:val="007B3C18"/>
    <w:rsid w:val="007C6423"/>
    <w:rsid w:val="007E19AF"/>
    <w:rsid w:val="007F5D0C"/>
    <w:rsid w:val="008152A5"/>
    <w:rsid w:val="008358FD"/>
    <w:rsid w:val="008467E0"/>
    <w:rsid w:val="00871DEB"/>
    <w:rsid w:val="00881E3E"/>
    <w:rsid w:val="008909CB"/>
    <w:rsid w:val="008977B8"/>
    <w:rsid w:val="008A1005"/>
    <w:rsid w:val="008A7B3E"/>
    <w:rsid w:val="008B25C1"/>
    <w:rsid w:val="008B2A5F"/>
    <w:rsid w:val="008C515E"/>
    <w:rsid w:val="008D0CA8"/>
    <w:rsid w:val="008D4F4A"/>
    <w:rsid w:val="008F75AA"/>
    <w:rsid w:val="0090029C"/>
    <w:rsid w:val="00920299"/>
    <w:rsid w:val="009347EA"/>
    <w:rsid w:val="00942DD1"/>
    <w:rsid w:val="00954636"/>
    <w:rsid w:val="0095635D"/>
    <w:rsid w:val="00965BA3"/>
    <w:rsid w:val="00970E41"/>
    <w:rsid w:val="009809C7"/>
    <w:rsid w:val="00982892"/>
    <w:rsid w:val="0098494E"/>
    <w:rsid w:val="00997506"/>
    <w:rsid w:val="009A0C73"/>
    <w:rsid w:val="009A6731"/>
    <w:rsid w:val="009B0584"/>
    <w:rsid w:val="009E7666"/>
    <w:rsid w:val="009F32DE"/>
    <w:rsid w:val="009F7D5A"/>
    <w:rsid w:val="00A034D5"/>
    <w:rsid w:val="00A0373F"/>
    <w:rsid w:val="00A07592"/>
    <w:rsid w:val="00A13095"/>
    <w:rsid w:val="00A13172"/>
    <w:rsid w:val="00A36815"/>
    <w:rsid w:val="00A609A1"/>
    <w:rsid w:val="00A65A89"/>
    <w:rsid w:val="00A7194D"/>
    <w:rsid w:val="00A82561"/>
    <w:rsid w:val="00A833A2"/>
    <w:rsid w:val="00A8362E"/>
    <w:rsid w:val="00AA6458"/>
    <w:rsid w:val="00AA7190"/>
    <w:rsid w:val="00AB04F9"/>
    <w:rsid w:val="00AB3B41"/>
    <w:rsid w:val="00AC0F19"/>
    <w:rsid w:val="00AC75BF"/>
    <w:rsid w:val="00AD1326"/>
    <w:rsid w:val="00AE3ADA"/>
    <w:rsid w:val="00AF5A6F"/>
    <w:rsid w:val="00B044C8"/>
    <w:rsid w:val="00B076C9"/>
    <w:rsid w:val="00B0789D"/>
    <w:rsid w:val="00B11D11"/>
    <w:rsid w:val="00B220B7"/>
    <w:rsid w:val="00B2224B"/>
    <w:rsid w:val="00B33FCD"/>
    <w:rsid w:val="00B37BB4"/>
    <w:rsid w:val="00B37D35"/>
    <w:rsid w:val="00B416FD"/>
    <w:rsid w:val="00B41ADB"/>
    <w:rsid w:val="00B43912"/>
    <w:rsid w:val="00B562E3"/>
    <w:rsid w:val="00B609E2"/>
    <w:rsid w:val="00B623DF"/>
    <w:rsid w:val="00B62EB6"/>
    <w:rsid w:val="00B75891"/>
    <w:rsid w:val="00B758EA"/>
    <w:rsid w:val="00B76CA3"/>
    <w:rsid w:val="00B8485D"/>
    <w:rsid w:val="00B85EBC"/>
    <w:rsid w:val="00B95627"/>
    <w:rsid w:val="00BA4824"/>
    <w:rsid w:val="00BA5441"/>
    <w:rsid w:val="00BA726C"/>
    <w:rsid w:val="00BA7ACB"/>
    <w:rsid w:val="00BC019E"/>
    <w:rsid w:val="00BC4D01"/>
    <w:rsid w:val="00BE2BD6"/>
    <w:rsid w:val="00BF550F"/>
    <w:rsid w:val="00C0037B"/>
    <w:rsid w:val="00C1271F"/>
    <w:rsid w:val="00C2590F"/>
    <w:rsid w:val="00C4175B"/>
    <w:rsid w:val="00C4271C"/>
    <w:rsid w:val="00C450F6"/>
    <w:rsid w:val="00C46005"/>
    <w:rsid w:val="00C551EB"/>
    <w:rsid w:val="00C73C4D"/>
    <w:rsid w:val="00C77109"/>
    <w:rsid w:val="00C87080"/>
    <w:rsid w:val="00C95747"/>
    <w:rsid w:val="00CA2D10"/>
    <w:rsid w:val="00CA32AA"/>
    <w:rsid w:val="00CC4EBB"/>
    <w:rsid w:val="00CD4639"/>
    <w:rsid w:val="00CD4C71"/>
    <w:rsid w:val="00CD6B96"/>
    <w:rsid w:val="00CE18CF"/>
    <w:rsid w:val="00CE61C6"/>
    <w:rsid w:val="00CF0940"/>
    <w:rsid w:val="00CF1986"/>
    <w:rsid w:val="00CF19AE"/>
    <w:rsid w:val="00CF419E"/>
    <w:rsid w:val="00D0097F"/>
    <w:rsid w:val="00D12E08"/>
    <w:rsid w:val="00D35A08"/>
    <w:rsid w:val="00D3636D"/>
    <w:rsid w:val="00D4104D"/>
    <w:rsid w:val="00D42671"/>
    <w:rsid w:val="00D463C8"/>
    <w:rsid w:val="00D655B9"/>
    <w:rsid w:val="00D71E3D"/>
    <w:rsid w:val="00D73436"/>
    <w:rsid w:val="00D752B9"/>
    <w:rsid w:val="00D80518"/>
    <w:rsid w:val="00D83FAA"/>
    <w:rsid w:val="00D92AF2"/>
    <w:rsid w:val="00D97FF1"/>
    <w:rsid w:val="00DC0BF8"/>
    <w:rsid w:val="00DC0C16"/>
    <w:rsid w:val="00DC1EAB"/>
    <w:rsid w:val="00DC58E1"/>
    <w:rsid w:val="00DE0651"/>
    <w:rsid w:val="00DE5F8A"/>
    <w:rsid w:val="00E0137B"/>
    <w:rsid w:val="00E028AD"/>
    <w:rsid w:val="00E049D6"/>
    <w:rsid w:val="00E11797"/>
    <w:rsid w:val="00E16CC2"/>
    <w:rsid w:val="00E42EE7"/>
    <w:rsid w:val="00E44D9B"/>
    <w:rsid w:val="00E45C7B"/>
    <w:rsid w:val="00E67005"/>
    <w:rsid w:val="00E673AD"/>
    <w:rsid w:val="00E80FAD"/>
    <w:rsid w:val="00E81DE0"/>
    <w:rsid w:val="00E87163"/>
    <w:rsid w:val="00E87794"/>
    <w:rsid w:val="00E904D7"/>
    <w:rsid w:val="00E95489"/>
    <w:rsid w:val="00EA2F7A"/>
    <w:rsid w:val="00EA5BD7"/>
    <w:rsid w:val="00EE03DC"/>
    <w:rsid w:val="00EF0CB7"/>
    <w:rsid w:val="00EF2E96"/>
    <w:rsid w:val="00EF36C3"/>
    <w:rsid w:val="00F00E55"/>
    <w:rsid w:val="00F0351D"/>
    <w:rsid w:val="00F21735"/>
    <w:rsid w:val="00F24742"/>
    <w:rsid w:val="00F32237"/>
    <w:rsid w:val="00F3320B"/>
    <w:rsid w:val="00F36838"/>
    <w:rsid w:val="00F733E3"/>
    <w:rsid w:val="00F83F6A"/>
    <w:rsid w:val="00F93BE1"/>
    <w:rsid w:val="00F956F0"/>
    <w:rsid w:val="00FA04C6"/>
    <w:rsid w:val="00FA36D5"/>
    <w:rsid w:val="00FA63E2"/>
    <w:rsid w:val="00FB091C"/>
    <w:rsid w:val="00FB2053"/>
    <w:rsid w:val="00FB602B"/>
    <w:rsid w:val="00FE2128"/>
    <w:rsid w:val="00FE2420"/>
    <w:rsid w:val="00FE5A96"/>
    <w:rsid w:val="00FF2B27"/>
    <w:rsid w:val="00FF3A9E"/>
    <w:rsid w:val="00FF6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C33F"/>
  <w15:chartTrackingRefBased/>
  <w15:docId w15:val="{538E2BAB-BCD7-467F-9926-793FD0755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24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FAA"/>
    <w:rPr>
      <w:lang w:val="en-IE"/>
    </w:rPr>
  </w:style>
  <w:style w:type="paragraph" w:styleId="Heading1">
    <w:name w:val="heading 1"/>
    <w:basedOn w:val="Normal"/>
    <w:next w:val="Normal"/>
    <w:link w:val="Heading1Char"/>
    <w:uiPriority w:val="9"/>
    <w:qFormat/>
    <w:rsid w:val="00EA5BD7"/>
    <w:pPr>
      <w:keepNext/>
      <w:keepLines/>
      <w:numPr>
        <w:numId w:val="14"/>
      </w:numPr>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605B"/>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EA5BD7"/>
    <w:rPr>
      <w:rFonts w:asciiTheme="majorHAnsi" w:eastAsiaTheme="majorEastAsia" w:hAnsiTheme="majorHAnsi"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2D605B"/>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pPr>
    <w:rPr>
      <w:lang w:val="en-IE"/>
    </w:rPr>
  </w:style>
  <w:style w:type="paragraph" w:customStyle="1" w:styleId="Pa3">
    <w:name w:val="Pa3"/>
    <w:basedOn w:val="Default"/>
    <w:next w:val="Default"/>
    <w:uiPriority w:val="99"/>
    <w:rsid w:val="002E1549"/>
    <w:pPr>
      <w:spacing w:line="181" w:lineRule="atLeast"/>
    </w:pPr>
    <w:rPr>
      <w:rFonts w:ascii="DaxlinePro-Regular" w:eastAsia="DaxlinePro-Regular"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68335">
      <w:bodyDiv w:val="1"/>
      <w:marLeft w:val="0"/>
      <w:marRight w:val="0"/>
      <w:marTop w:val="0"/>
      <w:marBottom w:val="0"/>
      <w:divBdr>
        <w:top w:val="none" w:sz="0" w:space="0" w:color="auto"/>
        <w:left w:val="none" w:sz="0" w:space="0" w:color="auto"/>
        <w:bottom w:val="none" w:sz="0" w:space="0" w:color="auto"/>
        <w:right w:val="none" w:sz="0" w:space="0" w:color="auto"/>
      </w:divBdr>
    </w:div>
    <w:div w:id="461656416">
      <w:bodyDiv w:val="1"/>
      <w:marLeft w:val="0"/>
      <w:marRight w:val="0"/>
      <w:marTop w:val="0"/>
      <w:marBottom w:val="0"/>
      <w:divBdr>
        <w:top w:val="none" w:sz="0" w:space="0" w:color="auto"/>
        <w:left w:val="none" w:sz="0" w:space="0" w:color="auto"/>
        <w:bottom w:val="none" w:sz="0" w:space="0" w:color="auto"/>
        <w:right w:val="none" w:sz="0" w:space="0" w:color="auto"/>
      </w:divBdr>
      <w:divsChild>
        <w:div w:id="75371659">
          <w:marLeft w:val="0"/>
          <w:marRight w:val="0"/>
          <w:marTop w:val="345"/>
          <w:marBottom w:val="0"/>
          <w:divBdr>
            <w:top w:val="none" w:sz="0" w:space="0" w:color="auto"/>
            <w:left w:val="none" w:sz="0" w:space="0" w:color="auto"/>
            <w:bottom w:val="none" w:sz="0" w:space="0" w:color="auto"/>
            <w:right w:val="none" w:sz="0" w:space="0" w:color="auto"/>
          </w:divBdr>
          <w:divsChild>
            <w:div w:id="1840269781">
              <w:marLeft w:val="0"/>
              <w:marRight w:val="0"/>
              <w:marTop w:val="0"/>
              <w:marBottom w:val="0"/>
              <w:divBdr>
                <w:top w:val="none" w:sz="0" w:space="0" w:color="auto"/>
                <w:left w:val="none" w:sz="0" w:space="0" w:color="auto"/>
                <w:bottom w:val="none" w:sz="0" w:space="0" w:color="auto"/>
                <w:right w:val="none" w:sz="0" w:space="0" w:color="auto"/>
              </w:divBdr>
              <w:divsChild>
                <w:div w:id="1178734736">
                  <w:marLeft w:val="0"/>
                  <w:marRight w:val="-14400"/>
                  <w:marTop w:val="0"/>
                  <w:marBottom w:val="0"/>
                  <w:divBdr>
                    <w:top w:val="none" w:sz="0" w:space="0" w:color="auto"/>
                    <w:left w:val="none" w:sz="0" w:space="0" w:color="auto"/>
                    <w:bottom w:val="none" w:sz="0" w:space="0" w:color="auto"/>
                    <w:right w:val="none" w:sz="0" w:space="0" w:color="auto"/>
                  </w:divBdr>
                  <w:divsChild>
                    <w:div w:id="1957633254">
                      <w:marLeft w:val="0"/>
                      <w:marRight w:val="0"/>
                      <w:marTop w:val="0"/>
                      <w:marBottom w:val="0"/>
                      <w:divBdr>
                        <w:top w:val="none" w:sz="0" w:space="0" w:color="auto"/>
                        <w:left w:val="none" w:sz="0" w:space="0" w:color="auto"/>
                        <w:bottom w:val="none" w:sz="0" w:space="0" w:color="auto"/>
                        <w:right w:val="none" w:sz="0" w:space="0" w:color="auto"/>
                      </w:divBdr>
                      <w:divsChild>
                        <w:div w:id="857743769">
                          <w:marLeft w:val="0"/>
                          <w:marRight w:val="0"/>
                          <w:marTop w:val="0"/>
                          <w:marBottom w:val="0"/>
                          <w:divBdr>
                            <w:top w:val="none" w:sz="0" w:space="0" w:color="auto"/>
                            <w:left w:val="none" w:sz="0" w:space="0" w:color="auto"/>
                            <w:bottom w:val="none" w:sz="0" w:space="0" w:color="auto"/>
                            <w:right w:val="none" w:sz="0" w:space="0" w:color="auto"/>
                          </w:divBdr>
                          <w:divsChild>
                            <w:div w:id="997078121">
                              <w:marLeft w:val="0"/>
                              <w:marRight w:val="0"/>
                              <w:marTop w:val="0"/>
                              <w:marBottom w:val="0"/>
                              <w:divBdr>
                                <w:top w:val="none" w:sz="0" w:space="0" w:color="auto"/>
                                <w:left w:val="none" w:sz="0" w:space="0" w:color="auto"/>
                                <w:bottom w:val="none" w:sz="0" w:space="0" w:color="auto"/>
                                <w:right w:val="none" w:sz="0" w:space="0" w:color="auto"/>
                              </w:divBdr>
                              <w:divsChild>
                                <w:div w:id="351567415">
                                  <w:marLeft w:val="0"/>
                                  <w:marRight w:val="0"/>
                                  <w:marTop w:val="0"/>
                                  <w:marBottom w:val="0"/>
                                  <w:divBdr>
                                    <w:top w:val="none" w:sz="0" w:space="0" w:color="auto"/>
                                    <w:left w:val="none" w:sz="0" w:space="0" w:color="auto"/>
                                    <w:bottom w:val="none" w:sz="0" w:space="0" w:color="auto"/>
                                    <w:right w:val="none" w:sz="0" w:space="0" w:color="auto"/>
                                  </w:divBdr>
                                  <w:divsChild>
                                    <w:div w:id="689261414">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937175881">
      <w:bodyDiv w:val="1"/>
      <w:marLeft w:val="0"/>
      <w:marRight w:val="0"/>
      <w:marTop w:val="0"/>
      <w:marBottom w:val="0"/>
      <w:divBdr>
        <w:top w:val="none" w:sz="0" w:space="0" w:color="auto"/>
        <w:left w:val="none" w:sz="0" w:space="0" w:color="auto"/>
        <w:bottom w:val="none" w:sz="0" w:space="0" w:color="auto"/>
        <w:right w:val="none" w:sz="0" w:space="0" w:color="auto"/>
      </w:divBdr>
      <w:divsChild>
        <w:div w:id="1689478913">
          <w:marLeft w:val="0"/>
          <w:marRight w:val="0"/>
          <w:marTop w:val="345"/>
          <w:marBottom w:val="0"/>
          <w:divBdr>
            <w:top w:val="none" w:sz="0" w:space="0" w:color="auto"/>
            <w:left w:val="none" w:sz="0" w:space="0" w:color="auto"/>
            <w:bottom w:val="none" w:sz="0" w:space="0" w:color="auto"/>
            <w:right w:val="none" w:sz="0" w:space="0" w:color="auto"/>
          </w:divBdr>
          <w:divsChild>
            <w:div w:id="1660109081">
              <w:marLeft w:val="0"/>
              <w:marRight w:val="0"/>
              <w:marTop w:val="0"/>
              <w:marBottom w:val="0"/>
              <w:divBdr>
                <w:top w:val="none" w:sz="0" w:space="0" w:color="auto"/>
                <w:left w:val="none" w:sz="0" w:space="0" w:color="auto"/>
                <w:bottom w:val="none" w:sz="0" w:space="0" w:color="auto"/>
                <w:right w:val="none" w:sz="0" w:space="0" w:color="auto"/>
              </w:divBdr>
              <w:divsChild>
                <w:div w:id="280235001">
                  <w:marLeft w:val="0"/>
                  <w:marRight w:val="-14400"/>
                  <w:marTop w:val="0"/>
                  <w:marBottom w:val="0"/>
                  <w:divBdr>
                    <w:top w:val="none" w:sz="0" w:space="0" w:color="auto"/>
                    <w:left w:val="none" w:sz="0" w:space="0" w:color="auto"/>
                    <w:bottom w:val="none" w:sz="0" w:space="0" w:color="auto"/>
                    <w:right w:val="none" w:sz="0" w:space="0" w:color="auto"/>
                  </w:divBdr>
                  <w:divsChild>
                    <w:div w:id="1660961634">
                      <w:marLeft w:val="0"/>
                      <w:marRight w:val="0"/>
                      <w:marTop w:val="0"/>
                      <w:marBottom w:val="0"/>
                      <w:divBdr>
                        <w:top w:val="none" w:sz="0" w:space="0" w:color="auto"/>
                        <w:left w:val="none" w:sz="0" w:space="0" w:color="auto"/>
                        <w:bottom w:val="none" w:sz="0" w:space="0" w:color="auto"/>
                        <w:right w:val="none" w:sz="0" w:space="0" w:color="auto"/>
                      </w:divBdr>
                      <w:divsChild>
                        <w:div w:id="1019311622">
                          <w:marLeft w:val="0"/>
                          <w:marRight w:val="0"/>
                          <w:marTop w:val="0"/>
                          <w:marBottom w:val="0"/>
                          <w:divBdr>
                            <w:top w:val="none" w:sz="0" w:space="0" w:color="auto"/>
                            <w:left w:val="none" w:sz="0" w:space="0" w:color="auto"/>
                            <w:bottom w:val="none" w:sz="0" w:space="0" w:color="auto"/>
                            <w:right w:val="none" w:sz="0" w:space="0" w:color="auto"/>
                          </w:divBdr>
                          <w:divsChild>
                            <w:div w:id="2144542080">
                              <w:marLeft w:val="0"/>
                              <w:marRight w:val="0"/>
                              <w:marTop w:val="0"/>
                              <w:marBottom w:val="0"/>
                              <w:divBdr>
                                <w:top w:val="none" w:sz="0" w:space="0" w:color="auto"/>
                                <w:left w:val="none" w:sz="0" w:space="0" w:color="auto"/>
                                <w:bottom w:val="none" w:sz="0" w:space="0" w:color="auto"/>
                                <w:right w:val="none" w:sz="0" w:space="0" w:color="auto"/>
                              </w:divBdr>
                              <w:divsChild>
                                <w:div w:id="4007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342315">
      <w:bodyDiv w:val="1"/>
      <w:marLeft w:val="0"/>
      <w:marRight w:val="0"/>
      <w:marTop w:val="0"/>
      <w:marBottom w:val="0"/>
      <w:divBdr>
        <w:top w:val="none" w:sz="0" w:space="0" w:color="auto"/>
        <w:left w:val="none" w:sz="0" w:space="0" w:color="auto"/>
        <w:bottom w:val="none" w:sz="0" w:space="0" w:color="auto"/>
        <w:right w:val="none" w:sz="0" w:space="0" w:color="auto"/>
      </w:divBdr>
      <w:divsChild>
        <w:div w:id="175115243">
          <w:marLeft w:val="0"/>
          <w:marRight w:val="0"/>
          <w:marTop w:val="345"/>
          <w:marBottom w:val="0"/>
          <w:divBdr>
            <w:top w:val="none" w:sz="0" w:space="0" w:color="auto"/>
            <w:left w:val="none" w:sz="0" w:space="0" w:color="auto"/>
            <w:bottom w:val="none" w:sz="0" w:space="0" w:color="auto"/>
            <w:right w:val="none" w:sz="0" w:space="0" w:color="auto"/>
          </w:divBdr>
          <w:divsChild>
            <w:div w:id="1339190063">
              <w:marLeft w:val="0"/>
              <w:marRight w:val="0"/>
              <w:marTop w:val="0"/>
              <w:marBottom w:val="0"/>
              <w:divBdr>
                <w:top w:val="none" w:sz="0" w:space="0" w:color="auto"/>
                <w:left w:val="none" w:sz="0" w:space="0" w:color="auto"/>
                <w:bottom w:val="none" w:sz="0" w:space="0" w:color="auto"/>
                <w:right w:val="none" w:sz="0" w:space="0" w:color="auto"/>
              </w:divBdr>
              <w:divsChild>
                <w:div w:id="515387260">
                  <w:marLeft w:val="0"/>
                  <w:marRight w:val="-14400"/>
                  <w:marTop w:val="0"/>
                  <w:marBottom w:val="0"/>
                  <w:divBdr>
                    <w:top w:val="none" w:sz="0" w:space="0" w:color="auto"/>
                    <w:left w:val="none" w:sz="0" w:space="0" w:color="auto"/>
                    <w:bottom w:val="none" w:sz="0" w:space="0" w:color="auto"/>
                    <w:right w:val="none" w:sz="0" w:space="0" w:color="auto"/>
                  </w:divBdr>
                  <w:divsChild>
                    <w:div w:id="706417860">
                      <w:marLeft w:val="0"/>
                      <w:marRight w:val="0"/>
                      <w:marTop w:val="0"/>
                      <w:marBottom w:val="0"/>
                      <w:divBdr>
                        <w:top w:val="none" w:sz="0" w:space="0" w:color="auto"/>
                        <w:left w:val="none" w:sz="0" w:space="0" w:color="auto"/>
                        <w:bottom w:val="none" w:sz="0" w:space="0" w:color="auto"/>
                        <w:right w:val="none" w:sz="0" w:space="0" w:color="auto"/>
                      </w:divBdr>
                      <w:divsChild>
                        <w:div w:id="1025835956">
                          <w:marLeft w:val="0"/>
                          <w:marRight w:val="0"/>
                          <w:marTop w:val="0"/>
                          <w:marBottom w:val="0"/>
                          <w:divBdr>
                            <w:top w:val="none" w:sz="0" w:space="0" w:color="auto"/>
                            <w:left w:val="none" w:sz="0" w:space="0" w:color="auto"/>
                            <w:bottom w:val="none" w:sz="0" w:space="0" w:color="auto"/>
                            <w:right w:val="none" w:sz="0" w:space="0" w:color="auto"/>
                          </w:divBdr>
                          <w:divsChild>
                            <w:div w:id="1204440718">
                              <w:marLeft w:val="0"/>
                              <w:marRight w:val="0"/>
                              <w:marTop w:val="0"/>
                              <w:marBottom w:val="0"/>
                              <w:divBdr>
                                <w:top w:val="none" w:sz="0" w:space="0" w:color="auto"/>
                                <w:left w:val="none" w:sz="0" w:space="0" w:color="auto"/>
                                <w:bottom w:val="none" w:sz="0" w:space="0" w:color="auto"/>
                                <w:right w:val="none" w:sz="0" w:space="0" w:color="auto"/>
                              </w:divBdr>
                              <w:divsChild>
                                <w:div w:id="1304433197">
                                  <w:marLeft w:val="0"/>
                                  <w:marRight w:val="0"/>
                                  <w:marTop w:val="0"/>
                                  <w:marBottom w:val="0"/>
                                  <w:divBdr>
                                    <w:top w:val="none" w:sz="0" w:space="0" w:color="auto"/>
                                    <w:left w:val="none" w:sz="0" w:space="0" w:color="auto"/>
                                    <w:bottom w:val="none" w:sz="0" w:space="0" w:color="auto"/>
                                    <w:right w:val="none" w:sz="0" w:space="0" w:color="auto"/>
                                  </w:divBdr>
                                  <w:divsChild>
                                    <w:div w:id="2085829785">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18295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ra.europa.eu/en/publication/2018/institutions-community-living-part-i-commitments-and-structures-easy-read" TargetMode="External"/><Relationship Id="rId18" Type="http://schemas.openxmlformats.org/officeDocument/2006/relationships/hyperlink" Target="http://fra.europa.eu/en/publication/2015/children-disabilities-violence" TargetMode="External"/><Relationship Id="rId26" Type="http://schemas.openxmlformats.org/officeDocument/2006/relationships/hyperlink" Target="http://fra.europa.eu/en/publication/2013/legal-capacity-persons-intellectual-disabilities-and-persons-mental-health-problems" TargetMode="External"/><Relationship Id="rId39" Type="http://schemas.openxmlformats.org/officeDocument/2006/relationships/customXml" Target="../customXml/item2.xml"/><Relationship Id="rId21" Type="http://schemas.openxmlformats.org/officeDocument/2006/relationships/image" Target="media/image3.PNG"/><Relationship Id="rId34" Type="http://schemas.openxmlformats.org/officeDocument/2006/relationships/hyperlink" Target="http://fra.europa.eu/en/publication/2013/inequalities-discrimination-healthcar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ra.europa.eu/en/publication/2017/independent-living-outcomes" TargetMode="External"/><Relationship Id="rId20" Type="http://schemas.openxmlformats.org/officeDocument/2006/relationships/image" Target="media/image2.PNG"/><Relationship Id="rId29" Type="http://schemas.openxmlformats.org/officeDocument/2006/relationships/hyperlink" Target="http://fra.europa.eu/en/publication/2011/legal-protection-persons-mental-health-problems-under-non-discrimination-law"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ra.europa.eu/en/publications-and-resources/publications/annual-reports/fundamental-rights-2014" TargetMode="External"/><Relationship Id="rId24" Type="http://schemas.openxmlformats.org/officeDocument/2006/relationships/image" Target="media/image4.PNG"/><Relationship Id="rId32" Type="http://schemas.openxmlformats.org/officeDocument/2006/relationships/image" Target="media/image7.PNG"/><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fra.europa.eu/en/publication/2018/institutions-community-living-part-ii-funding-and-budgeting-easy-read" TargetMode="External"/><Relationship Id="rId23" Type="http://schemas.openxmlformats.org/officeDocument/2006/relationships/hyperlink" Target="http://fra.europa.eu/en/publication/2014/right-political-participation-persons-disabilities-human-rights-indicators" TargetMode="External"/><Relationship Id="rId28" Type="http://schemas.openxmlformats.org/officeDocument/2006/relationships/hyperlink" Target="http://fra.europa.eu/en/publication/2012/involuntary-placement-and-involuntary-treatment-persons-mental-health-problems" TargetMode="External"/><Relationship Id="rId36" Type="http://schemas.openxmlformats.org/officeDocument/2006/relationships/footer" Target="footer1.xml"/><Relationship Id="rId10" Type="http://schemas.openxmlformats.org/officeDocument/2006/relationships/hyperlink" Target="http://fra.europa.eu/en/publications-and-resources/publications/annual-reports/fundamental-rights-2016" TargetMode="External"/><Relationship Id="rId19" Type="http://schemas.openxmlformats.org/officeDocument/2006/relationships/hyperlink" Target="http://fra.europa.eu/en/publication/2015/violence-against-children-disabilities"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fra.europa.eu/en/publication/2017/independent-living-funding" TargetMode="External"/><Relationship Id="rId22" Type="http://schemas.openxmlformats.org/officeDocument/2006/relationships/hyperlink" Target="http://fra.europa.eu/sites/default/files/fra-2015-focus-05-2015-crpd_en.pdf" TargetMode="External"/><Relationship Id="rId27" Type="http://schemas.openxmlformats.org/officeDocument/2006/relationships/hyperlink" Target="http://fra.europa.eu/en/publication/2013/laws-about-being-able-make-important-decisions-yourself" TargetMode="External"/><Relationship Id="rId30" Type="http://schemas.openxmlformats.org/officeDocument/2006/relationships/hyperlink" Target="http://fra.europa.eu/en/publication/2010/right-political-participation-persons-mental-health-problems-and-persons" TargetMode="External"/><Relationship Id="rId35" Type="http://schemas.openxmlformats.org/officeDocument/2006/relationships/hyperlink" Target="http://fra.europa.eu/en/publication/2013/how-people-are-treated-differently-healthcare" TargetMode="External"/><Relationship Id="rId8" Type="http://schemas.openxmlformats.org/officeDocument/2006/relationships/hyperlink" Target="http://fra.europa.eu/en/publication/2017/fundamental-rights-report-2017" TargetMode="External"/><Relationship Id="rId3" Type="http://schemas.openxmlformats.org/officeDocument/2006/relationships/styles" Target="styles.xml"/><Relationship Id="rId12" Type="http://schemas.openxmlformats.org/officeDocument/2006/relationships/hyperlink" Target="http://fra.europa.eu/en/publication/2017/independent-living-structures" TargetMode="External"/><Relationship Id="rId17" Type="http://schemas.openxmlformats.org/officeDocument/2006/relationships/hyperlink" Target="http://fra.europa.eu/en/publication/2018/institutions-community-living-part-iii-outcomes-persons-disabilities-easy-read" TargetMode="External"/><Relationship Id="rId25" Type="http://schemas.openxmlformats.org/officeDocument/2006/relationships/image" Target="media/image5.PNG"/><Relationship Id="rId33" Type="http://schemas.openxmlformats.org/officeDocument/2006/relationships/hyperlink" Target="http://fra.europa.eu/en/publication/2016/rights-suspected-and-accused-persons-across-eu-translation-interpretation-and" TargetMode="Externa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F88A77-BF3E-4CFA-9AC5-06C50E5BEAE5}"/>
</file>

<file path=customXml/itemProps2.xml><?xml version="1.0" encoding="utf-8"?>
<ds:datastoreItem xmlns:ds="http://schemas.openxmlformats.org/officeDocument/2006/customXml" ds:itemID="{DB7A0627-746E-467A-AA2D-FB3B743A1161}"/>
</file>

<file path=customXml/itemProps3.xml><?xml version="1.0" encoding="utf-8"?>
<ds:datastoreItem xmlns:ds="http://schemas.openxmlformats.org/officeDocument/2006/customXml" ds:itemID="{4365EB4D-FA11-4CEB-B52A-A49B2C4AC4D9}"/>
</file>

<file path=customXml/itemProps4.xml><?xml version="1.0" encoding="utf-8"?>
<ds:datastoreItem xmlns:ds="http://schemas.openxmlformats.org/officeDocument/2006/customXml" ds:itemID="{EA85F54F-1D6F-4A62-B44A-BD32913623F6}"/>
</file>

<file path=docProps/app.xml><?xml version="1.0" encoding="utf-8"?>
<Properties xmlns="http://schemas.openxmlformats.org/officeDocument/2006/extended-properties" xmlns:vt="http://schemas.openxmlformats.org/officeDocument/2006/docPropsVTypes">
  <Template>Normal</Template>
  <TotalTime>11</TotalTime>
  <Pages>16</Pages>
  <Words>5831</Words>
  <Characters>33243</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38997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MIKALAUSKAITE Jadvyga (FRA)</dc:creator>
  <cp:keywords/>
  <dc:description/>
  <cp:lastModifiedBy>IGNJATOVIC Srna (FRA)</cp:lastModifiedBy>
  <cp:revision>4</cp:revision>
  <cp:lastPrinted>2015-12-11T14:11:00Z</cp:lastPrinted>
  <dcterms:created xsi:type="dcterms:W3CDTF">2018-06-29T09:47:00Z</dcterms:created>
  <dcterms:modified xsi:type="dcterms:W3CDTF">2018-07-02T08:56:00Z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