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8D5E87" w14:textId="77777777" w:rsidR="001C4D22" w:rsidRDefault="001C4D22" w:rsidP="001C4D22">
      <w:pPr>
        <w:jc w:val="center"/>
        <w:rPr>
          <w:b/>
          <w:bCs/>
          <w:i/>
          <w:iCs/>
        </w:rPr>
      </w:pPr>
    </w:p>
    <w:p w14:paraId="217040E1" w14:textId="77777777" w:rsidR="001C4D22" w:rsidRDefault="001C4D22" w:rsidP="001C4D22">
      <w:pPr>
        <w:jc w:val="center"/>
        <w:rPr>
          <w:b/>
          <w:bCs/>
          <w:i/>
          <w:iCs/>
        </w:rPr>
      </w:pPr>
    </w:p>
    <w:p w14:paraId="6A75B76D" w14:textId="77777777" w:rsidR="001C4D22" w:rsidRDefault="001C4D22" w:rsidP="001C4D22">
      <w:pPr>
        <w:jc w:val="center"/>
        <w:rPr>
          <w:b/>
          <w:bCs/>
          <w:i/>
          <w:iCs/>
        </w:rPr>
      </w:pPr>
      <w:r>
        <w:rPr>
          <w:b/>
          <w:bCs/>
          <w:i/>
          <w:iCs/>
        </w:rPr>
        <w:t>Público</w:t>
      </w:r>
    </w:p>
    <w:p w14:paraId="410AB993" w14:textId="77777777" w:rsidR="001C4D22" w:rsidRDefault="001C4D22" w:rsidP="001C4D22">
      <w:pPr>
        <w:jc w:val="center"/>
        <w:rPr>
          <w:b/>
          <w:bCs/>
          <w:i/>
          <w:iCs/>
        </w:rPr>
      </w:pPr>
    </w:p>
    <w:p w14:paraId="537E023C" w14:textId="77777777" w:rsidR="001C4D22" w:rsidRDefault="001C4D22" w:rsidP="001C4D22">
      <w:pPr>
        <w:jc w:val="center"/>
      </w:pPr>
      <w:r>
        <w:rPr>
          <w:b/>
          <w:bCs/>
          <w:i/>
          <w:iCs/>
        </w:rPr>
        <w:t>Informe de Organización de Mujeres Afrodescendientes de Nicaragua (OMAN), Gobierno Comunal Creole de Bluefields (GCCB), Alianza de Pueblos Indígenas y Afrodescendientes (APIAN), ante el Comité de Derechos Humanos de las Naciones Unidas sobre la situación de los pueblos afrodescendientes Creole y Garífuna en Nicaragua</w:t>
      </w:r>
    </w:p>
    <w:p w14:paraId="24289CBA" w14:textId="0A2BF1B7" w:rsidR="001C4D22" w:rsidRDefault="001C4D22" w:rsidP="001C4D22">
      <w:pPr>
        <w:jc w:val="center"/>
      </w:pPr>
      <w:r>
        <w:rPr>
          <w:b/>
          <w:bCs/>
          <w:i/>
          <w:iCs/>
        </w:rPr>
        <w:t>(Referido a los Art</w:t>
      </w:r>
      <w:r>
        <w:rPr>
          <w:b/>
          <w:bCs/>
          <w:i/>
          <w:iCs/>
          <w:lang w:val="es-ES"/>
        </w:rPr>
        <w:t>í</w:t>
      </w:r>
      <w:r>
        <w:rPr>
          <w:b/>
          <w:bCs/>
          <w:i/>
          <w:iCs/>
        </w:rPr>
        <w:t>culos 2, 3, 6, 7, 9, 10, 12, 14, 19, 24, 25, 26 y 27 del Pacto Internacional de Derechos Civiles y Políticos</w:t>
      </w:r>
      <w:r w:rsidR="00E40800">
        <w:rPr>
          <w:b/>
          <w:bCs/>
          <w:i/>
          <w:iCs/>
        </w:rPr>
        <w:t>).</w:t>
      </w:r>
    </w:p>
    <w:p w14:paraId="451158BF" w14:textId="77777777" w:rsidR="001C4D22" w:rsidRDefault="001C4D22" w:rsidP="001C4D22">
      <w:pPr>
        <w:jc w:val="center"/>
        <w:rPr>
          <w:b/>
          <w:bCs/>
          <w:i/>
          <w:iCs/>
        </w:rPr>
      </w:pPr>
    </w:p>
    <w:p w14:paraId="458674AC" w14:textId="77777777" w:rsidR="001C4D22" w:rsidRDefault="001C4D22" w:rsidP="001C4D22">
      <w:pPr>
        <w:jc w:val="center"/>
      </w:pPr>
      <w:r>
        <w:rPr>
          <w:b/>
          <w:bCs/>
          <w:i/>
          <w:iCs/>
        </w:rPr>
        <w:t>País: Nicaragua</w:t>
      </w:r>
    </w:p>
    <w:p w14:paraId="5236C9CB" w14:textId="77777777" w:rsidR="001C4D22" w:rsidRDefault="001C4D22" w:rsidP="001C4D22"/>
    <w:p w14:paraId="1AE84C63" w14:textId="77777777" w:rsidR="001C4D22" w:rsidRDefault="001C4D22" w:rsidP="001C4D22">
      <w:r>
        <w:tab/>
      </w:r>
      <w:r>
        <w:tab/>
      </w:r>
      <w:r>
        <w:tab/>
      </w:r>
      <w:r>
        <w:tab/>
      </w:r>
      <w:r>
        <w:tab/>
      </w:r>
      <w:r>
        <w:tab/>
      </w:r>
    </w:p>
    <w:p w14:paraId="5CC72B0F" w14:textId="77777777" w:rsidR="001C4D22" w:rsidRDefault="001C4D22" w:rsidP="001C4D22"/>
    <w:p w14:paraId="5FCBC806" w14:textId="77777777" w:rsidR="001C4D22" w:rsidRDefault="001C4D22" w:rsidP="001C4D22"/>
    <w:p w14:paraId="27C56566" w14:textId="77777777" w:rsidR="001C4D22" w:rsidRDefault="001C4D22" w:rsidP="001C4D22">
      <w:pPr>
        <w:jc w:val="center"/>
      </w:pPr>
      <w:r>
        <w:t>Presentado por:</w:t>
      </w:r>
    </w:p>
    <w:p w14:paraId="5ACFBE03" w14:textId="77777777" w:rsidR="001C4D22" w:rsidRDefault="001C4D22" w:rsidP="001C4D22">
      <w:pPr>
        <w:jc w:val="center"/>
      </w:pPr>
    </w:p>
    <w:p w14:paraId="6EB96FA0" w14:textId="77777777" w:rsidR="001C4D22" w:rsidRDefault="001C4D22" w:rsidP="001C4D22">
      <w:pPr>
        <w:jc w:val="center"/>
      </w:pPr>
      <w:r>
        <w:t xml:space="preserve"> Jennifer Brown Brackett</w:t>
      </w:r>
    </w:p>
    <w:p w14:paraId="5AFC349A" w14:textId="77777777" w:rsidR="001C4D22" w:rsidRDefault="001C4D22" w:rsidP="001C4D22">
      <w:pPr>
        <w:jc w:val="center"/>
      </w:pPr>
      <w:r>
        <w:t xml:space="preserve">Presidenta </w:t>
      </w:r>
    </w:p>
    <w:p w14:paraId="187ACBF1" w14:textId="77777777" w:rsidR="001C4D22" w:rsidRDefault="001C4D22" w:rsidP="001C4D22">
      <w:pPr>
        <w:jc w:val="center"/>
      </w:pPr>
      <w:r>
        <w:t>Organización de Mujeres Afrodescendientes de Nicaragua – OMAN</w:t>
      </w:r>
    </w:p>
    <w:p w14:paraId="39EEA7C8" w14:textId="57837BCE" w:rsidR="001C4D22" w:rsidRDefault="0090599D" w:rsidP="001C4D22">
      <w:pPr>
        <w:jc w:val="center"/>
      </w:pPr>
      <w:r>
        <w:rPr>
          <w:rStyle w:val="EnlacedeInternet"/>
        </w:rPr>
        <w:t>onati</w:t>
      </w:r>
      <w:r w:rsidR="001C4D22">
        <w:rPr>
          <w:rStyle w:val="EnlacedeInternet"/>
        </w:rPr>
        <w:t>@</w:t>
      </w:r>
      <w:r>
        <w:rPr>
          <w:rStyle w:val="EnlacedeInternet"/>
        </w:rPr>
        <w:t>tutanota</w:t>
      </w:r>
      <w:r w:rsidR="001C4D22">
        <w:rPr>
          <w:rStyle w:val="EnlacedeInternet"/>
        </w:rPr>
        <w:t>.com</w:t>
      </w:r>
    </w:p>
    <w:p w14:paraId="13A76539" w14:textId="77777777" w:rsidR="001C4D22" w:rsidRDefault="001C4D22" w:rsidP="001C4D22">
      <w:pPr>
        <w:jc w:val="center"/>
      </w:pPr>
    </w:p>
    <w:p w14:paraId="17E2ECB7" w14:textId="77777777" w:rsidR="001C4D22" w:rsidRDefault="001C4D22" w:rsidP="001C4D22">
      <w:pPr>
        <w:jc w:val="center"/>
      </w:pPr>
    </w:p>
    <w:p w14:paraId="779FD403" w14:textId="77777777" w:rsidR="001C4D22" w:rsidRDefault="001C4D22" w:rsidP="001C4D22"/>
    <w:p w14:paraId="49956562" w14:textId="77777777" w:rsidR="001C4D22" w:rsidRDefault="001C4D22" w:rsidP="001C4D22">
      <w:pPr>
        <w:jc w:val="center"/>
      </w:pPr>
      <w:r>
        <w:t>Nora Newball  Crisanto</w:t>
      </w:r>
    </w:p>
    <w:p w14:paraId="035F48D5" w14:textId="77777777" w:rsidR="001C4D22" w:rsidRDefault="001C4D22" w:rsidP="001C4D22">
      <w:pPr>
        <w:jc w:val="center"/>
      </w:pPr>
      <w:r>
        <w:t xml:space="preserve">Coordinadora </w:t>
      </w:r>
    </w:p>
    <w:p w14:paraId="7979B9E4" w14:textId="77777777" w:rsidR="001C4D22" w:rsidRDefault="001C4D22" w:rsidP="001C4D22">
      <w:pPr>
        <w:jc w:val="center"/>
      </w:pPr>
      <w:r>
        <w:t>Gobierno  Comunal Creole de Bluefields – GCCB</w:t>
      </w:r>
    </w:p>
    <w:p w14:paraId="4DDD479A" w14:textId="77777777" w:rsidR="001C4D22" w:rsidRDefault="001C4D22" w:rsidP="001C4D22">
      <w:pPr>
        <w:jc w:val="center"/>
      </w:pPr>
      <w:r>
        <w:rPr>
          <w:rStyle w:val="EnlacedeInternet"/>
        </w:rPr>
        <w:t>bluecreolegov4u@hotmail.com</w:t>
      </w:r>
    </w:p>
    <w:p w14:paraId="3D10CED0" w14:textId="77777777" w:rsidR="001C4D22" w:rsidRDefault="001C4D22" w:rsidP="001C4D22">
      <w:pPr>
        <w:jc w:val="center"/>
      </w:pPr>
    </w:p>
    <w:p w14:paraId="48DAE2AB" w14:textId="77777777" w:rsidR="001C4D22" w:rsidRDefault="001C4D22" w:rsidP="001C4D22">
      <w:pPr>
        <w:jc w:val="center"/>
      </w:pPr>
    </w:p>
    <w:p w14:paraId="1036A38C" w14:textId="77777777" w:rsidR="001C4D22" w:rsidRDefault="001C4D22" w:rsidP="001C4D22">
      <w:pPr>
        <w:jc w:val="center"/>
      </w:pPr>
    </w:p>
    <w:p w14:paraId="1B2CFB24" w14:textId="77777777" w:rsidR="001C4D22" w:rsidRDefault="001C4D22" w:rsidP="001C4D22">
      <w:pPr>
        <w:jc w:val="center"/>
      </w:pPr>
      <w:r>
        <w:t xml:space="preserve"> Dolene Miller Bacon</w:t>
      </w:r>
    </w:p>
    <w:p w14:paraId="27AB6048" w14:textId="77777777" w:rsidR="001C4D22" w:rsidRDefault="001C4D22" w:rsidP="001C4D22">
      <w:pPr>
        <w:jc w:val="center"/>
      </w:pPr>
      <w:r>
        <w:t>Facilitadora</w:t>
      </w:r>
    </w:p>
    <w:p w14:paraId="74997994" w14:textId="3C1D020C" w:rsidR="001C4D22" w:rsidRDefault="001C4D22" w:rsidP="001C4D22">
      <w:pPr>
        <w:jc w:val="center"/>
      </w:pPr>
      <w:r>
        <w:t>Alianza de Pueblos Ind</w:t>
      </w:r>
      <w:r w:rsidR="00A02CDF">
        <w:t>í</w:t>
      </w:r>
      <w:r>
        <w:t>genas y Afrodescendientes – APIAN</w:t>
      </w:r>
    </w:p>
    <w:p w14:paraId="3EDA1149" w14:textId="77777777" w:rsidR="001C4D22" w:rsidRDefault="001C4D22" w:rsidP="001C4D22">
      <w:pPr>
        <w:jc w:val="center"/>
      </w:pPr>
      <w:r>
        <w:rPr>
          <w:rStyle w:val="EnlacedeInternet"/>
        </w:rPr>
        <w:t>apian.nicaragua2015@gmail.com</w:t>
      </w:r>
    </w:p>
    <w:p w14:paraId="4ED5F45C" w14:textId="77777777" w:rsidR="001C4D22" w:rsidRDefault="001C4D22" w:rsidP="001C4D22">
      <w:pPr>
        <w:jc w:val="center"/>
      </w:pPr>
    </w:p>
    <w:p w14:paraId="010C5B45" w14:textId="77777777" w:rsidR="001C4D22" w:rsidRDefault="001C4D22" w:rsidP="001C4D22"/>
    <w:p w14:paraId="5216247B" w14:textId="77777777" w:rsidR="001C4D22" w:rsidRDefault="001C4D22" w:rsidP="001C4D22"/>
    <w:p w14:paraId="3682684A" w14:textId="77777777" w:rsidR="001C4D22" w:rsidRDefault="001C4D22" w:rsidP="001C4D22">
      <w:r>
        <w:t>Septiembre 2022</w:t>
      </w:r>
    </w:p>
    <w:p w14:paraId="00FBC60E" w14:textId="4332EA88" w:rsidR="001C4D22" w:rsidRDefault="001C4D22" w:rsidP="00385402">
      <w:pPr>
        <w:rPr>
          <w:b/>
          <w:bCs/>
          <w:i/>
          <w:iCs/>
        </w:rPr>
      </w:pPr>
      <w:r>
        <w:rPr>
          <w:b/>
          <w:bCs/>
          <w:i/>
          <w:iCs/>
        </w:rPr>
        <w:t>Bluefields, Región Autónoma Costa Caribe Sur</w:t>
      </w:r>
    </w:p>
    <w:p w14:paraId="55E9C4D3" w14:textId="77777777" w:rsidR="001C4D22" w:rsidRDefault="001C4D22" w:rsidP="001C4D22">
      <w:pPr>
        <w:jc w:val="center"/>
        <w:rPr>
          <w:b/>
          <w:bCs/>
          <w:i/>
          <w:iCs/>
        </w:rPr>
      </w:pPr>
      <w:r>
        <w:rPr>
          <w:b/>
          <w:bCs/>
          <w:i/>
          <w:iCs/>
        </w:rPr>
        <w:lastRenderedPageBreak/>
        <w:t>Informe de la Organización de Mujeres Afrodescendientes de Nicaragua (OMAN), el Gobierno Comunal Creole de Bluefields (GCCB) y la Alianza de Pueblos Indígenas y Afrodescendientes (APIAN), ante el Comité de Derechos Humanos de las Naciones Unidas sobre la situación de los pueblos afrodescendientes Creole y Garífuna.</w:t>
      </w:r>
    </w:p>
    <w:p w14:paraId="0430C646" w14:textId="77777777" w:rsidR="001C4D22" w:rsidRDefault="001C4D22" w:rsidP="001C4D22">
      <w:pPr>
        <w:jc w:val="center"/>
        <w:rPr>
          <w:b/>
          <w:bCs/>
          <w:i/>
          <w:iCs/>
        </w:rPr>
      </w:pPr>
      <w:r>
        <w:rPr>
          <w:b/>
          <w:bCs/>
          <w:i/>
          <w:iCs/>
        </w:rPr>
        <w:t xml:space="preserve"> </w:t>
      </w:r>
    </w:p>
    <w:p w14:paraId="5E330E6B" w14:textId="77777777" w:rsidR="001C4D22" w:rsidRDefault="001C4D22" w:rsidP="001C4D22">
      <w:pPr>
        <w:jc w:val="center"/>
        <w:rPr>
          <w:b/>
          <w:bCs/>
          <w:i/>
          <w:iCs/>
        </w:rPr>
      </w:pPr>
      <w:r>
        <w:rPr>
          <w:b/>
          <w:bCs/>
          <w:i/>
          <w:iCs/>
        </w:rPr>
        <w:t>(Referido a los Art</w:t>
      </w:r>
      <w:r>
        <w:rPr>
          <w:b/>
          <w:bCs/>
          <w:i/>
          <w:iCs/>
          <w:lang w:val="es-ES"/>
        </w:rPr>
        <w:t>í</w:t>
      </w:r>
      <w:r>
        <w:rPr>
          <w:b/>
          <w:bCs/>
          <w:i/>
          <w:iCs/>
        </w:rPr>
        <w:t>culos 2, 3, 6, 7, 9, 10, 12, 14, 19, 24, 25, 26 y 27 del Pacto Internacional de Derechos Civiles y Políticos)</w:t>
      </w:r>
    </w:p>
    <w:p w14:paraId="67BD1867" w14:textId="77777777" w:rsidR="001C4D22" w:rsidRDefault="001C4D22" w:rsidP="001C4D22">
      <w:pPr>
        <w:jc w:val="center"/>
        <w:rPr>
          <w:b/>
          <w:bCs/>
          <w:i/>
          <w:iCs/>
        </w:rPr>
      </w:pPr>
    </w:p>
    <w:p w14:paraId="5C5E1915" w14:textId="77777777" w:rsidR="001C4D22" w:rsidRDefault="001C4D22" w:rsidP="001C4D22">
      <w:pPr>
        <w:jc w:val="center"/>
        <w:rPr>
          <w:b/>
          <w:bCs/>
          <w:i/>
          <w:iCs/>
        </w:rPr>
      </w:pPr>
      <w:r>
        <w:rPr>
          <w:b/>
          <w:bCs/>
          <w:i/>
          <w:iCs/>
        </w:rPr>
        <w:t>País: Nicaragua</w:t>
      </w:r>
    </w:p>
    <w:p w14:paraId="20F52986" w14:textId="77777777" w:rsidR="001C4D22" w:rsidRDefault="001C4D22" w:rsidP="001C4D22">
      <w:pPr>
        <w:jc w:val="both"/>
        <w:rPr>
          <w:b/>
          <w:bCs/>
          <w:i/>
          <w:iCs/>
        </w:rPr>
      </w:pPr>
    </w:p>
    <w:p w14:paraId="14D54141" w14:textId="76368364" w:rsidR="001C4D22" w:rsidRDefault="001C4D22" w:rsidP="001C4D22">
      <w:pPr>
        <w:jc w:val="both"/>
        <w:rPr>
          <w:bCs/>
        </w:rPr>
      </w:pPr>
      <w:r>
        <w:rPr>
          <w:bCs/>
        </w:rPr>
        <w:t>Este informe sobre el estado de cumplimiento del</w:t>
      </w:r>
      <w:r>
        <w:t xml:space="preserve"> Pacto Internacional de Derechos Civiles y Políticos (en adelante, el Pacto) </w:t>
      </w:r>
      <w:r>
        <w:rPr>
          <w:bCs/>
        </w:rPr>
        <w:t>por el Estado de Nicaragua (en adelante, el Estado) respecto de la población afrodescendiente (creoles y garífunas) en la Costa Caribe de Nicaragua, es presentado al Comité de Derechos Humanos (en adelante, el Comité) por</w:t>
      </w:r>
      <w:r w:rsidR="005A1D49">
        <w:rPr>
          <w:bCs/>
        </w:rPr>
        <w:t xml:space="preserve"> l</w:t>
      </w:r>
      <w:r>
        <w:rPr>
          <w:bCs/>
        </w:rPr>
        <w:t>a Organización de Mujeres Afrodescendientes de Nicaragua (OMAN)</w:t>
      </w:r>
      <w:r w:rsidR="005A1D49">
        <w:rPr>
          <w:rStyle w:val="Refdenotaalpie"/>
          <w:bCs/>
        </w:rPr>
        <w:footnoteReference w:id="1"/>
      </w:r>
      <w:r>
        <w:rPr>
          <w:bCs/>
        </w:rPr>
        <w:t xml:space="preserve"> </w:t>
      </w:r>
      <w:r w:rsidR="005A1D49">
        <w:rPr>
          <w:bCs/>
        </w:rPr>
        <w:t>, e</w:t>
      </w:r>
      <w:r>
        <w:rPr>
          <w:bCs/>
        </w:rPr>
        <w:t>l Gobierno Comunal Creole de Bluefields (GCCB)</w:t>
      </w:r>
      <w:r w:rsidR="005A1D49">
        <w:rPr>
          <w:rStyle w:val="Refdenotaalpie"/>
          <w:bCs/>
        </w:rPr>
        <w:footnoteReference w:id="2"/>
      </w:r>
      <w:r w:rsidR="005A1D49">
        <w:rPr>
          <w:bCs/>
        </w:rPr>
        <w:t xml:space="preserve"> y</w:t>
      </w:r>
      <w:r>
        <w:rPr>
          <w:bCs/>
        </w:rPr>
        <w:t xml:space="preserve"> </w:t>
      </w:r>
      <w:r w:rsidR="005A1D49">
        <w:rPr>
          <w:bCs/>
        </w:rPr>
        <w:t>l</w:t>
      </w:r>
      <w:r>
        <w:rPr>
          <w:bCs/>
        </w:rPr>
        <w:t>a Alianza de Pueblos Indígenas y Afrodescendientes de Nicaragua (APIAN)</w:t>
      </w:r>
      <w:r w:rsidR="005A1D49">
        <w:rPr>
          <w:rStyle w:val="Refdenotaalpie"/>
          <w:bCs/>
        </w:rPr>
        <w:footnoteReference w:id="3"/>
      </w:r>
      <w:r w:rsidR="005A1D49">
        <w:rPr>
          <w:bCs/>
        </w:rPr>
        <w:t xml:space="preserve">. </w:t>
      </w:r>
    </w:p>
    <w:p w14:paraId="543510C9" w14:textId="77777777" w:rsidR="001C4D22" w:rsidRDefault="001C4D22" w:rsidP="001C4D22">
      <w:pPr>
        <w:jc w:val="both"/>
        <w:rPr>
          <w:bCs/>
        </w:rPr>
      </w:pPr>
    </w:p>
    <w:p w14:paraId="12D1D560" w14:textId="25E9B480" w:rsidR="001C4D22" w:rsidRDefault="001C4D22" w:rsidP="001C4D22">
      <w:pPr>
        <w:jc w:val="both"/>
      </w:pPr>
      <w:r>
        <w:rPr>
          <w:bCs/>
        </w:rPr>
        <w:t xml:space="preserve">Este Informe </w:t>
      </w:r>
      <w:r w:rsidR="002B1F0A">
        <w:rPr>
          <w:bCs/>
        </w:rPr>
        <w:t xml:space="preserve">se pronuncia </w:t>
      </w:r>
      <w:r w:rsidR="00BB43C3">
        <w:rPr>
          <w:bCs/>
        </w:rPr>
        <w:t xml:space="preserve">sobre aspectos </w:t>
      </w:r>
      <w:r w:rsidR="002B1F0A">
        <w:rPr>
          <w:bCs/>
        </w:rPr>
        <w:t>abor</w:t>
      </w:r>
      <w:r w:rsidR="00385402">
        <w:rPr>
          <w:bCs/>
        </w:rPr>
        <w:t>d</w:t>
      </w:r>
      <w:r w:rsidR="002B1F0A">
        <w:rPr>
          <w:bCs/>
        </w:rPr>
        <w:t>ados en e</w:t>
      </w:r>
      <w:r>
        <w:rPr>
          <w:bCs/>
        </w:rPr>
        <w:t xml:space="preserve">l Cuarto Informe </w:t>
      </w:r>
      <w:r w:rsidR="002B1F0A">
        <w:rPr>
          <w:bCs/>
        </w:rPr>
        <w:t xml:space="preserve">del </w:t>
      </w:r>
      <w:r>
        <w:rPr>
          <w:bCs/>
        </w:rPr>
        <w:t>Estado ante el Comité y responde a temas planteados en la Lista de Cuestiones</w:t>
      </w:r>
      <w:r>
        <w:rPr>
          <w:rStyle w:val="Ancladenotaalpie"/>
          <w:bCs/>
        </w:rPr>
        <w:footnoteReference w:id="4"/>
      </w:r>
      <w:r>
        <w:rPr>
          <w:bCs/>
        </w:rPr>
        <w:t xml:space="preserve">, particularmente, en los párr. </w:t>
      </w:r>
      <w:r w:rsidR="008339DD">
        <w:rPr>
          <w:bCs/>
        </w:rPr>
        <w:t xml:space="preserve">2, </w:t>
      </w:r>
      <w:r>
        <w:rPr>
          <w:bCs/>
        </w:rPr>
        <w:t xml:space="preserve">3, </w:t>
      </w:r>
      <w:r w:rsidR="00FB0B30">
        <w:rPr>
          <w:bCs/>
        </w:rPr>
        <w:t xml:space="preserve">21, </w:t>
      </w:r>
      <w:r>
        <w:rPr>
          <w:bCs/>
        </w:rPr>
        <w:t>23, 26 y 27</w:t>
      </w:r>
      <w:r w:rsidR="00E40800">
        <w:rPr>
          <w:bCs/>
        </w:rPr>
        <w:t xml:space="preserve">, brindando información actualizada respecto del Informe presentado en septiembre 2020, por lo que solicitamos al Honorable Comité sustituir dicho Informe por el presente.  </w:t>
      </w:r>
    </w:p>
    <w:p w14:paraId="15E8C15A" w14:textId="77777777" w:rsidR="001C4D22" w:rsidRDefault="001C4D22" w:rsidP="001C4D22">
      <w:pPr>
        <w:jc w:val="both"/>
        <w:rPr>
          <w:b/>
          <w:bCs/>
          <w:i/>
          <w:iCs/>
        </w:rPr>
      </w:pPr>
    </w:p>
    <w:p w14:paraId="6A57BF86" w14:textId="77777777" w:rsidR="001C4D22" w:rsidRDefault="001C4D22" w:rsidP="001C4D22">
      <w:pPr>
        <w:jc w:val="both"/>
      </w:pPr>
      <w:r>
        <w:rPr>
          <w:b/>
          <w:bCs/>
          <w:i/>
          <w:iCs/>
        </w:rPr>
        <w:t>Resumen Ejecutivo</w:t>
      </w:r>
    </w:p>
    <w:p w14:paraId="435B599C" w14:textId="77777777" w:rsidR="001C4D22" w:rsidRDefault="001C4D22" w:rsidP="001C4D22">
      <w:pPr>
        <w:jc w:val="both"/>
        <w:rPr>
          <w:iCs/>
        </w:rPr>
      </w:pPr>
    </w:p>
    <w:p w14:paraId="22899F06" w14:textId="7026C41F" w:rsidR="001C4D22" w:rsidRDefault="001C4D22" w:rsidP="001C4D22">
      <w:pPr>
        <w:jc w:val="both"/>
        <w:rPr>
          <w:bCs/>
        </w:rPr>
      </w:pPr>
      <w:r>
        <w:rPr>
          <w:bCs/>
        </w:rPr>
        <w:t>E</w:t>
      </w:r>
      <w:r w:rsidR="00E40800">
        <w:rPr>
          <w:bCs/>
        </w:rPr>
        <w:t>ste Informe</w:t>
      </w:r>
      <w:r w:rsidR="0008015F">
        <w:rPr>
          <w:bCs/>
        </w:rPr>
        <w:t xml:space="preserve"> </w:t>
      </w:r>
      <w:r>
        <w:rPr>
          <w:bCs/>
        </w:rPr>
        <w:t xml:space="preserve">aborda la situación de los pueblos afrodescendientes </w:t>
      </w:r>
      <w:r w:rsidR="00F418B1">
        <w:rPr>
          <w:iCs/>
        </w:rPr>
        <w:t>(creoles y garifunas)</w:t>
      </w:r>
      <w:r w:rsidR="00F418B1">
        <w:rPr>
          <w:rStyle w:val="Ancladenotaalpie"/>
          <w:iCs/>
        </w:rPr>
        <w:footnoteReference w:id="5"/>
      </w:r>
      <w:r w:rsidR="00F418B1">
        <w:rPr>
          <w:bCs/>
        </w:rPr>
        <w:t xml:space="preserve"> </w:t>
      </w:r>
      <w:r>
        <w:rPr>
          <w:bCs/>
        </w:rPr>
        <w:t>en Nicaragua</w:t>
      </w:r>
      <w:r w:rsidR="003A3F95">
        <w:rPr>
          <w:bCs/>
        </w:rPr>
        <w:t>,</w:t>
      </w:r>
      <w:r w:rsidR="00F418B1">
        <w:rPr>
          <w:bCs/>
        </w:rPr>
        <w:t xml:space="preserve"> </w:t>
      </w:r>
      <w:r>
        <w:rPr>
          <w:bCs/>
        </w:rPr>
        <w:t>identificando los patrones de violaciones a los derechos reconocidos en el Pacto, que tienen e</w:t>
      </w:r>
      <w:r w:rsidR="00F418B1">
        <w:rPr>
          <w:bCs/>
        </w:rPr>
        <w:t xml:space="preserve">l carácter de ser sistemáticas. </w:t>
      </w:r>
      <w:r w:rsidR="00702018">
        <w:rPr>
          <w:bCs/>
        </w:rPr>
        <w:t>E</w:t>
      </w:r>
      <w:r w:rsidR="00581B0A">
        <w:rPr>
          <w:bCs/>
        </w:rPr>
        <w:t xml:space="preserve">videnciamos </w:t>
      </w:r>
      <w:r w:rsidR="00702018">
        <w:rPr>
          <w:bCs/>
        </w:rPr>
        <w:t xml:space="preserve">los obstáculos que enfrentamos para ejercer nuestros derechos a </w:t>
      </w:r>
      <w:r>
        <w:rPr>
          <w:bCs/>
        </w:rPr>
        <w:t>organizar</w:t>
      </w:r>
      <w:r w:rsidR="00702018">
        <w:rPr>
          <w:bCs/>
        </w:rPr>
        <w:t>nos</w:t>
      </w:r>
      <w:r>
        <w:rPr>
          <w:bCs/>
        </w:rPr>
        <w:t xml:space="preserve"> de acuerdo a </w:t>
      </w:r>
      <w:r w:rsidR="00702018">
        <w:rPr>
          <w:bCs/>
        </w:rPr>
        <w:t>nuestras</w:t>
      </w:r>
      <w:r>
        <w:rPr>
          <w:bCs/>
        </w:rPr>
        <w:t xml:space="preserve"> propias costumbres y tradiciones</w:t>
      </w:r>
      <w:r w:rsidR="002A6691">
        <w:rPr>
          <w:bCs/>
        </w:rPr>
        <w:t>,</w:t>
      </w:r>
      <w:r>
        <w:rPr>
          <w:bCs/>
        </w:rPr>
        <w:t xml:space="preserve"> y de tomar decisiones en </w:t>
      </w:r>
      <w:r w:rsidR="00702018">
        <w:rPr>
          <w:bCs/>
        </w:rPr>
        <w:t>nuestras</w:t>
      </w:r>
      <w:r>
        <w:rPr>
          <w:bCs/>
        </w:rPr>
        <w:t xml:space="preserve"> asambleas comunales así como de ejercer el derecho a elegir y de ser consultados en los temas de interés de </w:t>
      </w:r>
      <w:r>
        <w:rPr>
          <w:bCs/>
        </w:rPr>
        <w:lastRenderedPageBreak/>
        <w:t>acuerdo al consentimiento libre, previo e informado (CLPI) y conforme las leyes</w:t>
      </w:r>
      <w:r w:rsidR="00702018">
        <w:rPr>
          <w:bCs/>
        </w:rPr>
        <w:t xml:space="preserve">. Demandamos cese </w:t>
      </w:r>
      <w:r>
        <w:rPr>
          <w:bCs/>
        </w:rPr>
        <w:t xml:space="preserve">la imposición de decisiones </w:t>
      </w:r>
      <w:r w:rsidR="00702018">
        <w:rPr>
          <w:bCs/>
        </w:rPr>
        <w:t xml:space="preserve">del gobierno nacional </w:t>
      </w:r>
      <w:r>
        <w:rPr>
          <w:bCs/>
        </w:rPr>
        <w:t>(como las concesiones y explotación de recursos) a través de sus opera</w:t>
      </w:r>
      <w:r w:rsidR="00581B0A">
        <w:rPr>
          <w:bCs/>
        </w:rPr>
        <w:t>dores</w:t>
      </w:r>
      <w:r>
        <w:rPr>
          <w:bCs/>
        </w:rPr>
        <w:t xml:space="preserve"> políticos regionales identificados en las alcaldías y los  Consejo</w:t>
      </w:r>
      <w:r w:rsidR="008D4DD8">
        <w:rPr>
          <w:bCs/>
        </w:rPr>
        <w:t>s</w:t>
      </w:r>
      <w:r>
        <w:rPr>
          <w:bCs/>
        </w:rPr>
        <w:t xml:space="preserve"> Regional</w:t>
      </w:r>
      <w:r w:rsidR="008D4DD8">
        <w:rPr>
          <w:bCs/>
        </w:rPr>
        <w:t>es</w:t>
      </w:r>
      <w:r>
        <w:rPr>
          <w:bCs/>
        </w:rPr>
        <w:t xml:space="preserve"> Autónomos, </w:t>
      </w:r>
      <w:r w:rsidR="00702018">
        <w:rPr>
          <w:bCs/>
        </w:rPr>
        <w:t xml:space="preserve">que </w:t>
      </w:r>
      <w:r>
        <w:rPr>
          <w:bCs/>
        </w:rPr>
        <w:t>provoca</w:t>
      </w:r>
      <w:r w:rsidR="00702018">
        <w:rPr>
          <w:bCs/>
        </w:rPr>
        <w:t>n</w:t>
      </w:r>
      <w:r>
        <w:rPr>
          <w:bCs/>
        </w:rPr>
        <w:t xml:space="preserve"> división y conflictos en las comunidades afrodescendientes.</w:t>
      </w:r>
    </w:p>
    <w:p w14:paraId="14A66B7F" w14:textId="77777777" w:rsidR="00F418B1" w:rsidRDefault="00F418B1" w:rsidP="001C4D22">
      <w:pPr>
        <w:jc w:val="both"/>
        <w:rPr>
          <w:bCs/>
        </w:rPr>
      </w:pPr>
    </w:p>
    <w:p w14:paraId="4F769119" w14:textId="1AA014F9" w:rsidR="001C4D22" w:rsidRDefault="001C4D22" w:rsidP="001C4D22">
      <w:pPr>
        <w:jc w:val="both"/>
      </w:pPr>
      <w:r>
        <w:t>Múltiples acciones que identifica</w:t>
      </w:r>
      <w:r w:rsidR="00702018">
        <w:t>mos</w:t>
      </w:r>
      <w:r>
        <w:t xml:space="preserve"> en este Informe, </w:t>
      </w:r>
      <w:r w:rsidR="00C726DA">
        <w:t xml:space="preserve">también </w:t>
      </w:r>
      <w:r>
        <w:t xml:space="preserve">confirman que los </w:t>
      </w:r>
      <w:r w:rsidR="00852C91">
        <w:t xml:space="preserve">Consejos y </w:t>
      </w:r>
      <w:r>
        <w:t>Gobiernos Regionales Autónomos</w:t>
      </w:r>
      <w:r w:rsidR="002902D5">
        <w:t xml:space="preserve"> </w:t>
      </w:r>
      <w:r w:rsidR="00CE49A5">
        <w:t>instalados</w:t>
      </w:r>
      <w:r w:rsidR="002A6691">
        <w:t xml:space="preserve"> en la Costa </w:t>
      </w:r>
      <w:r w:rsidR="002A6691" w:rsidRPr="00385402">
        <w:t>Caribe</w:t>
      </w:r>
      <w:r w:rsidR="002902D5" w:rsidRPr="006A3EAC">
        <w:t xml:space="preserve"> desde 1990</w:t>
      </w:r>
      <w:r w:rsidR="00C726DA">
        <w:t xml:space="preserve"> en el marco de la Ley de </w:t>
      </w:r>
      <w:r w:rsidR="008D4DD8">
        <w:t>Autonomía</w:t>
      </w:r>
      <w:r w:rsidR="00C726DA">
        <w:t xml:space="preserve"> (1987)</w:t>
      </w:r>
      <w:r w:rsidR="002902D5">
        <w:t>,</w:t>
      </w:r>
      <w:r>
        <w:t xml:space="preserve"> </w:t>
      </w:r>
      <w:r w:rsidR="002A6691">
        <w:t xml:space="preserve">son </w:t>
      </w:r>
      <w:r>
        <w:t xml:space="preserve">los que </w:t>
      </w:r>
      <w:r w:rsidR="00A164BC">
        <w:t xml:space="preserve">ahora </w:t>
      </w:r>
      <w:r>
        <w:t>violan los derechos comunales del pueblo afrodescendiente contraviniendo su mandato, como se observa en la sesión del Consejo Regional Autónomo del Caribe Sur (CRACCS) para aprobar el proyecto de ley del Gran Canal Interoceánico de Nicaragua (2013), en el caso de la hidroeléctrica Tumarín</w:t>
      </w:r>
      <w:r>
        <w:rPr>
          <w:rStyle w:val="Ancladenotaalpie"/>
        </w:rPr>
        <w:footnoteReference w:id="6"/>
      </w:r>
      <w:r>
        <w:t xml:space="preserve"> en la Región Autónoma de la Costa Caribe Sur (RACCS) en el proyecto de la Palma Africana en el territorio de Pearl Lagoon y Kukra Hill</w:t>
      </w:r>
      <w:r>
        <w:rPr>
          <w:rStyle w:val="Ancladenotaalpie"/>
        </w:rPr>
        <w:footnoteReference w:id="7"/>
      </w:r>
      <w:r>
        <w:t xml:space="preserve"> en la misma región autónoma</w:t>
      </w:r>
      <w:r w:rsidR="002A6691">
        <w:t xml:space="preserve"> y más recientemente con el proyecto del Bioclima</w:t>
      </w:r>
      <w:r w:rsidR="00581B0A">
        <w:t>,</w:t>
      </w:r>
      <w:r w:rsidR="002A6691">
        <w:rPr>
          <w:rStyle w:val="Refdenotaalpie"/>
        </w:rPr>
        <w:footnoteReference w:id="8"/>
      </w:r>
      <w:r w:rsidR="002A6691">
        <w:t xml:space="preserve"> </w:t>
      </w:r>
      <w:r w:rsidR="00A164BC">
        <w:t>aprobado por el Fondo Verde del Clima</w:t>
      </w:r>
      <w:r w:rsidR="00500082">
        <w:t>(FVC)</w:t>
      </w:r>
      <w:r w:rsidR="00A164BC">
        <w:t xml:space="preserve"> para Nicaragua </w:t>
      </w:r>
      <w:r w:rsidR="002A6691">
        <w:t>en noviembre del 2020</w:t>
      </w:r>
      <w:r>
        <w:t xml:space="preserve">. </w:t>
      </w:r>
    </w:p>
    <w:p w14:paraId="12A93B22" w14:textId="77777777" w:rsidR="001C4D22" w:rsidRDefault="001C4D22" w:rsidP="001C4D22">
      <w:pPr>
        <w:jc w:val="both"/>
      </w:pPr>
    </w:p>
    <w:p w14:paraId="014E5309" w14:textId="0A5167C8" w:rsidR="001C4D22" w:rsidRDefault="001C4D22" w:rsidP="001C4D22">
      <w:pPr>
        <w:jc w:val="both"/>
      </w:pPr>
      <w:r>
        <w:t>Así</w:t>
      </w:r>
      <w:r w:rsidR="00F262C1">
        <w:t>,</w:t>
      </w:r>
      <w:r>
        <w:t xml:space="preserve"> la propiedad comunal de los pueblos afrodescendientes está desprotegida, debido a que el  Estado</w:t>
      </w:r>
      <w:r w:rsidR="00F262C1">
        <w:t xml:space="preserve"> </w:t>
      </w:r>
      <w:r>
        <w:t xml:space="preserve">aprueba megaproyectos sin contar con el CLPI de dichos pueblos, </w:t>
      </w:r>
      <w:r w:rsidR="000D10C5">
        <w:t>impidiéndoles</w:t>
      </w:r>
      <w:r w:rsidR="00F262C1">
        <w:t xml:space="preserve"> ejercer </w:t>
      </w:r>
      <w:r>
        <w:t>su derecho de participar en la toma de decisiones concernientes a la administración de sus territorios, lo que repercute en su economía y su participación en la vida política</w:t>
      </w:r>
      <w:r w:rsidR="00581B0A">
        <w:t>.</w:t>
      </w:r>
    </w:p>
    <w:p w14:paraId="34D41EEB" w14:textId="77777777" w:rsidR="001C4D22" w:rsidRDefault="001C4D22" w:rsidP="001C4D22">
      <w:pPr>
        <w:jc w:val="both"/>
      </w:pPr>
    </w:p>
    <w:p w14:paraId="48B2DC03" w14:textId="305528F1" w:rsidR="001C4D22" w:rsidRDefault="001C4D22" w:rsidP="001C4D22">
      <w:pPr>
        <w:jc w:val="both"/>
      </w:pPr>
      <w:r>
        <w:rPr>
          <w:bCs/>
        </w:rPr>
        <w:t xml:space="preserve">Respecto de la participación y los derechos de la población afrodescendiente en los procesos electorales nacionales y regionales, se confirma que éstos continúan siendo irrespetados por la falta de impulso a las reformas a la Ley Electoral ordenadas hace </w:t>
      </w:r>
      <w:r w:rsidR="006A3EAC">
        <w:rPr>
          <w:bCs/>
        </w:rPr>
        <w:t>diecisiete</w:t>
      </w:r>
      <w:r>
        <w:rPr>
          <w:bCs/>
        </w:rPr>
        <w:t xml:space="preserve"> años por la Corte Interamericana de Derechos Humanos (Corte IDH) en la sentencia dictada en el caso Yátama</w:t>
      </w:r>
      <w:r w:rsidR="006A3EAC">
        <w:rPr>
          <w:rStyle w:val="Refdenotaalpie"/>
          <w:bCs/>
        </w:rPr>
        <w:footnoteReference w:id="9"/>
      </w:r>
      <w:r>
        <w:rPr>
          <w:bCs/>
        </w:rPr>
        <w:t>.</w:t>
      </w:r>
    </w:p>
    <w:p w14:paraId="10AF3EBD" w14:textId="77777777" w:rsidR="001C4D22" w:rsidRDefault="001C4D22" w:rsidP="001C4D22">
      <w:pPr>
        <w:jc w:val="both"/>
      </w:pPr>
    </w:p>
    <w:p w14:paraId="234698B5" w14:textId="1A3ED977" w:rsidR="00A164BC" w:rsidRDefault="001C4D22" w:rsidP="001C4D22">
      <w:pPr>
        <w:jc w:val="both"/>
      </w:pPr>
      <w:r>
        <w:t>Adicionalmente, las personas defensoras de derechos humanos enfrentan importantes obstáculos para gestionar ante las instituciones del Estado porque se impone la afiliación política partidaria, que determina los resultados ante las autoridades, entre ellas</w:t>
      </w:r>
      <w:r w:rsidR="003A3F95">
        <w:t>,</w:t>
      </w:r>
      <w:r>
        <w:t xml:space="preserve"> las de administración de justicia.</w:t>
      </w:r>
      <w:r w:rsidR="00C726DA">
        <w:t xml:space="preserve"> </w:t>
      </w:r>
      <w:r w:rsidR="00581B0A">
        <w:t xml:space="preserve">El informe además confirma que </w:t>
      </w:r>
      <w:r w:rsidR="00C726DA">
        <w:t xml:space="preserve">la discriminación racial en Nicaragua es evidente y se agrava respecto de la mujer afrodescendiente, </w:t>
      </w:r>
      <w:r w:rsidR="00581B0A">
        <w:t xml:space="preserve">como lo demuestran </w:t>
      </w:r>
      <w:r w:rsidR="00C726DA">
        <w:t xml:space="preserve">las dificultades que </w:t>
      </w:r>
      <w:r w:rsidR="00484A4D">
        <w:t xml:space="preserve">éstas </w:t>
      </w:r>
      <w:r w:rsidR="00C726DA">
        <w:t>enfrentan para acceder a la justicia</w:t>
      </w:r>
      <w:r w:rsidR="006520BA">
        <w:t xml:space="preserve">. </w:t>
      </w:r>
    </w:p>
    <w:p w14:paraId="18FAC4E9" w14:textId="46F78027" w:rsidR="001C4D22" w:rsidRDefault="001C4D22" w:rsidP="001C4D22">
      <w:pPr>
        <w:jc w:val="both"/>
      </w:pPr>
      <w:r>
        <w:lastRenderedPageBreak/>
        <w:t xml:space="preserve">Respecto al derecho de ejercer el gobierno comunal y el derecho de organizarse que tiene la población afrodescendiente, las demandas presentadas ante los juzgados de la </w:t>
      </w:r>
      <w:r w:rsidR="00CE49A5">
        <w:t>R</w:t>
      </w:r>
      <w:r>
        <w:t>ACCS y la Corte Suprema de Justicia (CSJ) por la creación de gobiernos comunales paralelos en el territorio de Bluefields, Orinoco</w:t>
      </w:r>
      <w:r w:rsidR="000D10C5">
        <w:t xml:space="preserve"> y</w:t>
      </w:r>
      <w:r>
        <w:t xml:space="preserve"> Pearl Lagoon</w:t>
      </w:r>
      <w:r w:rsidR="00011379">
        <w:t>,</w:t>
      </w:r>
      <w:r>
        <w:t xml:space="preserve"> </w:t>
      </w:r>
      <w:r w:rsidR="00A164BC">
        <w:t>han sido frecuentemente irrespetadas</w:t>
      </w:r>
      <w:r w:rsidR="006520BA">
        <w:t xml:space="preserve">. </w:t>
      </w:r>
      <w:r w:rsidR="002902D5" w:rsidRPr="00BE7A15">
        <w:t>Es m</w:t>
      </w:r>
      <w:r w:rsidR="005A5057" w:rsidRPr="00BE7A15">
        <w:t>á</w:t>
      </w:r>
      <w:r w:rsidR="002902D5" w:rsidRPr="00BE7A15">
        <w:t>s</w:t>
      </w:r>
      <w:r w:rsidR="00072B46">
        <w:t>,</w:t>
      </w:r>
      <w:r w:rsidR="002902D5" w:rsidRPr="00BE7A15">
        <w:t xml:space="preserve"> el CRACCS se arrog</w:t>
      </w:r>
      <w:r w:rsidR="00581B0A" w:rsidRPr="00BE7A15">
        <w:t>ó</w:t>
      </w:r>
      <w:r w:rsidR="002902D5" w:rsidRPr="00BE7A15">
        <w:t xml:space="preserve"> el derecho de crear un Manual para la </w:t>
      </w:r>
      <w:r w:rsidR="00F418B1" w:rsidRPr="00BE7A15">
        <w:t>Certificación</w:t>
      </w:r>
      <w:r w:rsidR="002902D5" w:rsidRPr="00BE7A15">
        <w:t xml:space="preserve"> de </w:t>
      </w:r>
      <w:r w:rsidR="00581B0A" w:rsidRPr="00BE7A15">
        <w:t>A</w:t>
      </w:r>
      <w:r w:rsidR="002902D5" w:rsidRPr="00BE7A15">
        <w:t xml:space="preserve">utoridades </w:t>
      </w:r>
      <w:r w:rsidR="00581B0A" w:rsidRPr="00BE7A15">
        <w:t>C</w:t>
      </w:r>
      <w:r w:rsidR="002902D5" w:rsidRPr="00BE7A15">
        <w:t xml:space="preserve">omunales y </w:t>
      </w:r>
      <w:r w:rsidR="00581B0A" w:rsidRPr="00BE7A15">
        <w:t>T</w:t>
      </w:r>
      <w:r w:rsidR="002902D5" w:rsidRPr="00BE7A15">
        <w:t xml:space="preserve">erritoriales (2020) y un Manual para la </w:t>
      </w:r>
      <w:r w:rsidR="00581B0A" w:rsidRPr="00BE7A15">
        <w:t>C</w:t>
      </w:r>
      <w:r w:rsidR="002902D5" w:rsidRPr="00BE7A15">
        <w:t xml:space="preserve">onsulta </w:t>
      </w:r>
      <w:r w:rsidR="00581B0A" w:rsidRPr="00BE7A15">
        <w:t>L</w:t>
      </w:r>
      <w:r w:rsidR="002902D5" w:rsidRPr="00BE7A15">
        <w:t>ibre</w:t>
      </w:r>
      <w:r w:rsidR="00581B0A" w:rsidRPr="00BE7A15">
        <w:t>,</w:t>
      </w:r>
      <w:r w:rsidR="002902D5" w:rsidRPr="00BE7A15">
        <w:t xml:space="preserve"> </w:t>
      </w:r>
      <w:r w:rsidR="00581B0A" w:rsidRPr="00BE7A15">
        <w:t>P</w:t>
      </w:r>
      <w:r w:rsidR="002902D5" w:rsidRPr="00BE7A15">
        <w:t xml:space="preserve">revia e </w:t>
      </w:r>
      <w:r w:rsidR="00581B0A" w:rsidRPr="00BE7A15">
        <w:t>I</w:t>
      </w:r>
      <w:r w:rsidR="002902D5" w:rsidRPr="00BE7A15">
        <w:t>nformada (2020) con el propósito de decidir por los comunitarios sobre</w:t>
      </w:r>
      <w:r w:rsidR="00F418B1" w:rsidRPr="00BE7A15">
        <w:t xml:space="preserve"> su</w:t>
      </w:r>
      <w:r w:rsidR="002902D5" w:rsidRPr="00BE7A15">
        <w:t xml:space="preserve"> tierra comunal.</w:t>
      </w:r>
    </w:p>
    <w:p w14:paraId="6760E633" w14:textId="77777777" w:rsidR="001C4D22" w:rsidRDefault="001C4D22" w:rsidP="001C4D22">
      <w:pPr>
        <w:jc w:val="both"/>
      </w:pPr>
    </w:p>
    <w:p w14:paraId="0B6C1E47" w14:textId="2E91CDC5" w:rsidR="001C4D22" w:rsidRDefault="00BB43C3" w:rsidP="001C4D22">
      <w:pPr>
        <w:jc w:val="both"/>
      </w:pPr>
      <w:r>
        <w:t xml:space="preserve">Concerniente a </w:t>
      </w:r>
      <w:r w:rsidR="005A5057">
        <w:t xml:space="preserve"> la certificación de autoridades</w:t>
      </w:r>
      <w:r w:rsidR="001C4D22">
        <w:t xml:space="preserve">, destacamos sentencias ya dictadas de la CSJ como es la sentencia 1199 en el caso de la certificación de la autoridad comunal de Bluefields, que declaró de oficio la deserción del amparo interpuesto desde el 27 de agosto 2014. Esta sentencia fue ocultada del conocimiento de la comunidad creole por </w:t>
      </w:r>
      <w:r w:rsidR="002902D5" w:rsidRPr="00211AFC">
        <w:t>ocho</w:t>
      </w:r>
      <w:r w:rsidR="002902D5">
        <w:t xml:space="preserve"> </w:t>
      </w:r>
      <w:r w:rsidR="001C4D22">
        <w:t>años</w:t>
      </w:r>
      <w:r w:rsidR="001C4D22">
        <w:rPr>
          <w:rStyle w:val="Ancladenotaalpie"/>
        </w:rPr>
        <w:footnoteReference w:id="10"/>
      </w:r>
      <w:r w:rsidR="001C4D22">
        <w:t xml:space="preserve"> y de Nora Newball, en particular, </w:t>
      </w:r>
      <w:r w:rsidR="003A3F95">
        <w:t xml:space="preserve">a </w:t>
      </w:r>
      <w:r w:rsidR="001C4D22">
        <w:t>quien</w:t>
      </w:r>
      <w:r>
        <w:t xml:space="preserve"> la CSJ le acept</w:t>
      </w:r>
      <w:r w:rsidR="003A3F95">
        <w:t>ó</w:t>
      </w:r>
      <w:r>
        <w:t xml:space="preserve"> la solicitud de ser</w:t>
      </w:r>
      <w:r w:rsidR="001C4D22">
        <w:t xml:space="preserve"> parte del recurso </w:t>
      </w:r>
      <w:r>
        <w:t>como</w:t>
      </w:r>
      <w:r w:rsidR="001C4D22">
        <w:t xml:space="preserve"> tercera afectada</w:t>
      </w:r>
      <w:r w:rsidR="003A3F95">
        <w:t>,</w:t>
      </w:r>
      <w:r w:rsidR="001C4D22">
        <w:t xml:space="preserve"> en su calidad de Coordinadora del Gobierno Comunal de Bluefields electa en asamblea comunal para el  periodo 2013-2017.</w:t>
      </w:r>
    </w:p>
    <w:p w14:paraId="4DD244E9" w14:textId="77777777" w:rsidR="001C4D22" w:rsidRDefault="001C4D22" w:rsidP="001C4D22">
      <w:pPr>
        <w:jc w:val="both"/>
        <w:rPr>
          <w:bCs/>
        </w:rPr>
      </w:pPr>
    </w:p>
    <w:p w14:paraId="16AA848D" w14:textId="6B7D1B11" w:rsidR="001C4D22" w:rsidRDefault="001C4D22" w:rsidP="001C4D22">
      <w:pPr>
        <w:jc w:val="both"/>
      </w:pPr>
      <w:r>
        <w:rPr>
          <w:bCs/>
        </w:rPr>
        <w:t xml:space="preserve">El Informe concluye </w:t>
      </w:r>
      <w:r w:rsidR="005A5057">
        <w:rPr>
          <w:bCs/>
        </w:rPr>
        <w:t xml:space="preserve">proponiendo recomendaciones orientadas a destacar </w:t>
      </w:r>
      <w:r>
        <w:rPr>
          <w:bCs/>
        </w:rPr>
        <w:t>la necesidad de educar a la población nicaragüense para respetar los derechos de los pueblos afrodescendientes, y sus derechos consuetudinarios  así como la necesidad de identificar</w:t>
      </w:r>
      <w:r w:rsidR="00072B46">
        <w:rPr>
          <w:bCs/>
        </w:rPr>
        <w:t xml:space="preserve"> e implementar</w:t>
      </w:r>
      <w:r>
        <w:rPr>
          <w:bCs/>
        </w:rPr>
        <w:t xml:space="preserve"> mecanismos para el ejercicio pleno de sus derechos enmarcados en sus tradiciones y costumbres, en la protección de sus tierras comunales y su autonomía</w:t>
      </w:r>
      <w:r w:rsidR="003A3F95">
        <w:rPr>
          <w:bCs/>
        </w:rPr>
        <w:t>,</w:t>
      </w:r>
      <w:r>
        <w:rPr>
          <w:bCs/>
        </w:rPr>
        <w:t xml:space="preserve"> en el marco del Decenio </w:t>
      </w:r>
      <w:r w:rsidR="00762A53">
        <w:rPr>
          <w:bCs/>
        </w:rPr>
        <w:t xml:space="preserve">(2015-2024) </w:t>
      </w:r>
      <w:r>
        <w:rPr>
          <w:bCs/>
        </w:rPr>
        <w:t>que las Naciones Unidas declaró para estos pueblos</w:t>
      </w:r>
    </w:p>
    <w:p w14:paraId="276D4AA2" w14:textId="77777777" w:rsidR="00211AFC" w:rsidRDefault="00211AFC" w:rsidP="001C4D22">
      <w:pPr>
        <w:jc w:val="both"/>
        <w:rPr>
          <w:iCs/>
        </w:rPr>
      </w:pPr>
    </w:p>
    <w:p w14:paraId="50A20257" w14:textId="77777777" w:rsidR="001C4D22" w:rsidRDefault="001C4D22" w:rsidP="001C4D22">
      <w:pPr>
        <w:pStyle w:val="Prrafodelista"/>
        <w:numPr>
          <w:ilvl w:val="0"/>
          <w:numId w:val="1"/>
        </w:numPr>
        <w:jc w:val="both"/>
      </w:pPr>
      <w:r>
        <w:rPr>
          <w:b/>
          <w:bCs/>
        </w:rPr>
        <w:t xml:space="preserve">Introducción </w:t>
      </w:r>
    </w:p>
    <w:p w14:paraId="7240A3BC" w14:textId="77777777" w:rsidR="001C4D22" w:rsidRDefault="001C4D22" w:rsidP="001C4D22">
      <w:pPr>
        <w:jc w:val="both"/>
      </w:pPr>
    </w:p>
    <w:p w14:paraId="39E68CE8" w14:textId="39845C81" w:rsidR="00893057" w:rsidRDefault="001C4D22" w:rsidP="001C4D22">
      <w:pPr>
        <w:jc w:val="both"/>
      </w:pPr>
      <w:r>
        <w:rPr>
          <w:bCs/>
        </w:rPr>
        <w:t>1. Los pueblos afrodescendientes en Nicaragua representan menos del 5% de la población nicaragüense.</w:t>
      </w:r>
      <w:r>
        <w:rPr>
          <w:rStyle w:val="Ancladenotaalpie"/>
          <w:bCs/>
        </w:rPr>
        <w:footnoteReference w:id="11"/>
      </w:r>
      <w:r>
        <w:rPr>
          <w:bCs/>
        </w:rPr>
        <w:t xml:space="preserve"> La población garifuna</w:t>
      </w:r>
      <w:r>
        <w:rPr>
          <w:rStyle w:val="Ancladenotaalpie"/>
          <w:bCs/>
        </w:rPr>
        <w:footnoteReference w:id="12"/>
      </w:r>
      <w:r>
        <w:rPr>
          <w:bCs/>
        </w:rPr>
        <w:t xml:space="preserve"> es de aproximadamente </w:t>
      </w:r>
      <w:r w:rsidR="0099300D">
        <w:rPr>
          <w:bCs/>
        </w:rPr>
        <w:t>5,000</w:t>
      </w:r>
      <w:r>
        <w:rPr>
          <w:bCs/>
        </w:rPr>
        <w:t xml:space="preserve"> personas.</w:t>
      </w:r>
      <w:r>
        <w:rPr>
          <w:rStyle w:val="Ancladenotaalpie"/>
          <w:bCs/>
        </w:rPr>
        <w:footnoteReference w:id="13"/>
      </w:r>
      <w:r>
        <w:rPr>
          <w:bCs/>
        </w:rPr>
        <w:t xml:space="preserve"> Respecto de los creoles, la población es de 18,890 personas ubicadas en el Caribe Norte (Bilwi, zona de las minas) y el Caribe Sur</w:t>
      </w:r>
      <w:r>
        <w:rPr>
          <w:rStyle w:val="Ancladenotaalpie"/>
          <w:bCs/>
        </w:rPr>
        <w:footnoteReference w:id="14"/>
      </w:r>
      <w:r>
        <w:rPr>
          <w:bCs/>
        </w:rPr>
        <w:t xml:space="preserve"> remontándose sus orígenes a finales del siglo XVI, con la llegada a la Costa Caribe de europeos y africanos y su interacción con la población amerindia. Los creoles se asentaron principalmente en la zona de Bluefields, </w:t>
      </w:r>
      <w:r>
        <w:rPr>
          <w:bCs/>
        </w:rPr>
        <w:lastRenderedPageBreak/>
        <w:t>Laguna de Perlas y Corn Island”.</w:t>
      </w:r>
      <w:r>
        <w:rPr>
          <w:rStyle w:val="Ancladenotaalpie"/>
          <w:bCs/>
        </w:rPr>
        <w:footnoteReference w:id="15"/>
      </w:r>
      <w:r>
        <w:rPr>
          <w:bCs/>
        </w:rPr>
        <w:t xml:space="preserve"> </w:t>
      </w:r>
      <w:r w:rsidR="007A1A87">
        <w:rPr>
          <w:bCs/>
        </w:rPr>
        <w:t>La población garífuna se ubica principalmente en la Cuenca de Laguna de Perlas en la RACCS</w:t>
      </w:r>
      <w:r w:rsidR="007A1A87">
        <w:t>.</w:t>
      </w:r>
      <w:r w:rsidR="007A1A87">
        <w:rPr>
          <w:rStyle w:val="Ancladenotaalpie"/>
        </w:rPr>
        <w:footnoteReference w:id="16"/>
      </w:r>
      <w:r w:rsidR="007A1A87">
        <w:t xml:space="preserve"> </w:t>
      </w:r>
    </w:p>
    <w:p w14:paraId="2B6E51BB" w14:textId="77777777" w:rsidR="00893057" w:rsidRDefault="00893057" w:rsidP="001C4D22">
      <w:pPr>
        <w:jc w:val="both"/>
      </w:pPr>
    </w:p>
    <w:p w14:paraId="3E776F9A" w14:textId="12C91830" w:rsidR="001C4D22" w:rsidRDefault="001C4D22" w:rsidP="001C4D22">
      <w:pPr>
        <w:jc w:val="both"/>
        <w:rPr>
          <w:bCs/>
        </w:rPr>
      </w:pPr>
      <w:r>
        <w:rPr>
          <w:bCs/>
        </w:rPr>
        <w:t xml:space="preserve">2. </w:t>
      </w:r>
      <w:r w:rsidR="00762A53">
        <w:rPr>
          <w:bCs/>
        </w:rPr>
        <w:t xml:space="preserve">Esta información sin embargo necesita </w:t>
      </w:r>
      <w:r w:rsidR="00072B46">
        <w:rPr>
          <w:bCs/>
        </w:rPr>
        <w:t xml:space="preserve">actualizarse </w:t>
      </w:r>
      <w:r w:rsidR="00762A53">
        <w:rPr>
          <w:bCs/>
        </w:rPr>
        <w:t xml:space="preserve">dado que </w:t>
      </w:r>
      <w:r>
        <w:rPr>
          <w:bCs/>
        </w:rPr>
        <w:t xml:space="preserve">Nicaragua no ha realizado un Censo desde 2005, por tanto </w:t>
      </w:r>
      <w:r w:rsidR="007A1A87">
        <w:rPr>
          <w:bCs/>
        </w:rPr>
        <w:t xml:space="preserve">no se conoce </w:t>
      </w:r>
      <w:r>
        <w:rPr>
          <w:bCs/>
        </w:rPr>
        <w:t>con certeza a cuántos miembros asciende la población afrodescendiente y qu</w:t>
      </w:r>
      <w:r>
        <w:rPr>
          <w:bCs/>
          <w:lang w:val="es-ES"/>
        </w:rPr>
        <w:t>é</w:t>
      </w:r>
      <w:r>
        <w:rPr>
          <w:bCs/>
        </w:rPr>
        <w:t xml:space="preserve"> porcentaje </w:t>
      </w:r>
      <w:r w:rsidR="006D204C">
        <w:rPr>
          <w:bCs/>
        </w:rPr>
        <w:t xml:space="preserve">actualmente </w:t>
      </w:r>
      <w:r>
        <w:rPr>
          <w:bCs/>
        </w:rPr>
        <w:t xml:space="preserve"> representa en la población nicaragüense, para luego conocer cómo están sus índices y condiciones de vida.</w:t>
      </w:r>
    </w:p>
    <w:p w14:paraId="500EA913" w14:textId="77777777" w:rsidR="00D9503C" w:rsidRDefault="00D9503C" w:rsidP="001C4D22">
      <w:pPr>
        <w:jc w:val="both"/>
      </w:pPr>
    </w:p>
    <w:p w14:paraId="703FF52A" w14:textId="2F1C8BC8" w:rsidR="00D9503C" w:rsidRPr="008D04B7" w:rsidRDefault="00D9503C" w:rsidP="00D9503C">
      <w:pPr>
        <w:jc w:val="both"/>
        <w:rPr>
          <w:rFonts w:cstheme="minorHAnsi"/>
        </w:rPr>
      </w:pPr>
      <w:r w:rsidRPr="008D04B7">
        <w:rPr>
          <w:rFonts w:cstheme="minorHAnsi"/>
          <w:bCs/>
        </w:rPr>
        <w:t>3. La cultura del pueblo garífuna ha sido declarada desde 2001 por la UNESCO como patrimonio de la humanidad. Sin embargo hoy en día su supervivencia física y cultural se encuentra en riesgo</w:t>
      </w:r>
      <w:r w:rsidRPr="008D04B7">
        <w:rPr>
          <w:rStyle w:val="Ancladenotaalpie"/>
          <w:rFonts w:cstheme="minorHAnsi"/>
          <w:bCs/>
        </w:rPr>
        <w:footnoteReference w:id="17"/>
      </w:r>
      <w:r w:rsidRPr="008D04B7">
        <w:rPr>
          <w:rFonts w:cstheme="minorHAnsi"/>
          <w:bCs/>
        </w:rPr>
        <w:t xml:space="preserve"> .</w:t>
      </w:r>
      <w:r w:rsidR="00CC5565" w:rsidRPr="008D04B7">
        <w:rPr>
          <w:rFonts w:cstheme="minorHAnsi"/>
          <w:bCs/>
        </w:rPr>
        <w:t xml:space="preserve"> Por otra parte</w:t>
      </w:r>
      <w:r w:rsidR="0099300D">
        <w:rPr>
          <w:rFonts w:cstheme="minorHAnsi"/>
          <w:bCs/>
        </w:rPr>
        <w:t xml:space="preserve">, a fin de proteger y promover la </w:t>
      </w:r>
      <w:r w:rsidR="00907634">
        <w:rPr>
          <w:rFonts w:cstheme="minorHAnsi"/>
          <w:bCs/>
        </w:rPr>
        <w:t>educación inter</w:t>
      </w:r>
      <w:r w:rsidR="0099300D">
        <w:rPr>
          <w:rFonts w:cstheme="minorHAnsi"/>
          <w:bCs/>
        </w:rPr>
        <w:t>cultura</w:t>
      </w:r>
      <w:r w:rsidR="00907634">
        <w:rPr>
          <w:rFonts w:cstheme="minorHAnsi"/>
          <w:bCs/>
        </w:rPr>
        <w:t xml:space="preserve">l, la </w:t>
      </w:r>
      <w:proofErr w:type="spellStart"/>
      <w:r w:rsidR="00907634">
        <w:rPr>
          <w:rFonts w:cstheme="minorHAnsi"/>
          <w:bCs/>
        </w:rPr>
        <w:t>inclusividad</w:t>
      </w:r>
      <w:proofErr w:type="spellEnd"/>
      <w:r w:rsidR="00907634">
        <w:rPr>
          <w:rFonts w:cstheme="minorHAnsi"/>
          <w:bCs/>
        </w:rPr>
        <w:t xml:space="preserve"> y la equidad de género, </w:t>
      </w:r>
      <w:r w:rsidR="00CC5565" w:rsidRPr="008D04B7">
        <w:rPr>
          <w:rFonts w:cstheme="minorHAnsi"/>
          <w:bCs/>
        </w:rPr>
        <w:t>la UNESCO recientemente seleccion</w:t>
      </w:r>
      <w:r w:rsidR="0099300D">
        <w:rPr>
          <w:rFonts w:cstheme="minorHAnsi"/>
          <w:bCs/>
        </w:rPr>
        <w:t>ó</w:t>
      </w:r>
      <w:r w:rsidR="00CC5565" w:rsidRPr="008D04B7">
        <w:rPr>
          <w:rFonts w:cstheme="minorHAnsi"/>
          <w:bCs/>
        </w:rPr>
        <w:t xml:space="preserve"> </w:t>
      </w:r>
      <w:r w:rsidR="00907634">
        <w:rPr>
          <w:rFonts w:cstheme="minorHAnsi"/>
          <w:bCs/>
        </w:rPr>
        <w:t xml:space="preserve">también </w:t>
      </w:r>
      <w:r w:rsidR="00CC5565" w:rsidRPr="008D04B7">
        <w:rPr>
          <w:rFonts w:cstheme="minorHAnsi"/>
          <w:bCs/>
        </w:rPr>
        <w:t>a la ciudad de Bluefields</w:t>
      </w:r>
      <w:r w:rsidR="0099300D">
        <w:rPr>
          <w:rFonts w:cstheme="minorHAnsi"/>
          <w:bCs/>
        </w:rPr>
        <w:t xml:space="preserve"> </w:t>
      </w:r>
      <w:r w:rsidR="00CC5565" w:rsidRPr="008D04B7">
        <w:rPr>
          <w:rFonts w:cstheme="minorHAnsi"/>
          <w:color w:val="222222"/>
          <w:shd w:val="clear" w:color="auto" w:fill="FFFFFF"/>
        </w:rPr>
        <w:t>para unirse a la </w:t>
      </w:r>
      <w:hyperlink r:id="rId9" w:history="1">
        <w:r w:rsidR="00CC5565" w:rsidRPr="008D04B7">
          <w:rPr>
            <w:rStyle w:val="Hipervnculo"/>
            <w:rFonts w:cstheme="minorHAnsi"/>
            <w:color w:val="01175E"/>
            <w:shd w:val="clear" w:color="auto" w:fill="FFFFFF"/>
          </w:rPr>
          <w:t>Red Mundial de Ciudades del Aprendizaje de la UNESCO (GNLC)</w:t>
        </w:r>
      </w:hyperlink>
      <w:r w:rsidR="00CC5565" w:rsidRPr="008D04B7">
        <w:rPr>
          <w:rFonts w:cstheme="minorHAnsi"/>
          <w:color w:val="222222"/>
          <w:shd w:val="clear" w:color="auto" w:fill="FFFFFF"/>
        </w:rPr>
        <w:t> en reconocimiento a  ¨sus destacados esfuerzos por hacer del aprendizaje a lo largo de la vida una realidad para todos a nivel local¨</w:t>
      </w:r>
      <w:r w:rsidR="00CC5565" w:rsidRPr="008D04B7">
        <w:rPr>
          <w:rStyle w:val="Refdenotaalpie"/>
          <w:rFonts w:cstheme="minorHAnsi"/>
          <w:color w:val="222222"/>
          <w:shd w:val="clear" w:color="auto" w:fill="FFFFFF"/>
        </w:rPr>
        <w:footnoteReference w:id="18"/>
      </w:r>
      <w:r w:rsidR="00CC5565" w:rsidRPr="008D04B7">
        <w:rPr>
          <w:rFonts w:cstheme="minorHAnsi"/>
          <w:color w:val="222222"/>
          <w:shd w:val="clear" w:color="auto" w:fill="FFFFFF"/>
        </w:rPr>
        <w:t>.</w:t>
      </w:r>
    </w:p>
    <w:p w14:paraId="6859C417" w14:textId="77777777" w:rsidR="001C4D22" w:rsidRDefault="001C4D22" w:rsidP="001C4D22">
      <w:pPr>
        <w:jc w:val="both"/>
      </w:pPr>
    </w:p>
    <w:p w14:paraId="56C4891C" w14:textId="77777777" w:rsidR="001C4D22" w:rsidRDefault="001C4D22" w:rsidP="001C4D22">
      <w:pPr>
        <w:pStyle w:val="Prrafodelista"/>
        <w:numPr>
          <w:ilvl w:val="0"/>
          <w:numId w:val="1"/>
        </w:numPr>
        <w:jc w:val="both"/>
        <w:rPr>
          <w:b/>
          <w:bCs/>
        </w:rPr>
      </w:pPr>
      <w:r>
        <w:rPr>
          <w:b/>
          <w:bCs/>
        </w:rPr>
        <w:t xml:space="preserve">Contexto </w:t>
      </w:r>
    </w:p>
    <w:p w14:paraId="05B601A4" w14:textId="77777777" w:rsidR="00F17439" w:rsidRDefault="00F17439" w:rsidP="00F17439">
      <w:pPr>
        <w:tabs>
          <w:tab w:val="left" w:pos="2160"/>
        </w:tabs>
        <w:jc w:val="both"/>
        <w:rPr>
          <w:bCs/>
        </w:rPr>
      </w:pPr>
    </w:p>
    <w:p w14:paraId="6A593280" w14:textId="1739BFEC" w:rsidR="001C4D22" w:rsidRDefault="008452B5" w:rsidP="00F17439">
      <w:pPr>
        <w:tabs>
          <w:tab w:val="left" w:pos="2160"/>
        </w:tabs>
        <w:jc w:val="both"/>
      </w:pPr>
      <w:r>
        <w:rPr>
          <w:bCs/>
        </w:rPr>
        <w:t>4</w:t>
      </w:r>
      <w:r w:rsidR="001C4D22">
        <w:rPr>
          <w:bCs/>
        </w:rPr>
        <w:t xml:space="preserve">. Con el </w:t>
      </w:r>
      <w:r w:rsidR="003A3F95">
        <w:rPr>
          <w:bCs/>
        </w:rPr>
        <w:t>reconocimiento constitucional</w:t>
      </w:r>
      <w:r w:rsidR="003A3F95">
        <w:rPr>
          <w:rStyle w:val="Refdenotaalpie"/>
          <w:bCs/>
        </w:rPr>
        <w:footnoteReference w:id="19"/>
      </w:r>
      <w:r w:rsidR="003A3F95">
        <w:rPr>
          <w:bCs/>
        </w:rPr>
        <w:t xml:space="preserve"> del</w:t>
      </w:r>
      <w:r w:rsidR="00F17439">
        <w:rPr>
          <w:bCs/>
        </w:rPr>
        <w:t xml:space="preserve"> </w:t>
      </w:r>
      <w:r w:rsidR="001C4D22">
        <w:rPr>
          <w:bCs/>
        </w:rPr>
        <w:t>“Estatuto de Autonomía de las Regiones de la Costa Atlántica de Nicaragua (en adelante la Ley 28)</w:t>
      </w:r>
      <w:r w:rsidR="001C4D22">
        <w:rPr>
          <w:rStyle w:val="Ancladenotaalpie"/>
          <w:bCs/>
        </w:rPr>
        <w:footnoteReference w:id="20"/>
      </w:r>
      <w:r w:rsidR="00AE5BCB">
        <w:rPr>
          <w:bCs/>
        </w:rPr>
        <w:t xml:space="preserve">; el Estado de Nicaragua </w:t>
      </w:r>
      <w:r w:rsidR="00762A53">
        <w:rPr>
          <w:bCs/>
        </w:rPr>
        <w:t xml:space="preserve">hace un intento de </w:t>
      </w:r>
      <w:r w:rsidR="001C4D22">
        <w:rPr>
          <w:bCs/>
        </w:rPr>
        <w:t>reafirma</w:t>
      </w:r>
      <w:r w:rsidR="00762A53">
        <w:rPr>
          <w:bCs/>
        </w:rPr>
        <w:t>r</w:t>
      </w:r>
      <w:r w:rsidR="001C4D22">
        <w:rPr>
          <w:bCs/>
        </w:rPr>
        <w:t xml:space="preserve"> los derechos de los pueblos indígenas y comunidades étnicas de la Costa Atlántica de Nicaragua</w:t>
      </w:r>
      <w:r w:rsidR="00762A53">
        <w:rPr>
          <w:bCs/>
        </w:rPr>
        <w:t>, sin embargo persisten problemas culturales, sociales, económicos y políticos para lograr la autodeterminación de estos pueblos.</w:t>
      </w:r>
      <w:r w:rsidR="0047262F">
        <w:rPr>
          <w:bCs/>
        </w:rPr>
        <w:t xml:space="preserve"> </w:t>
      </w:r>
    </w:p>
    <w:p w14:paraId="7AF35507" w14:textId="77777777" w:rsidR="001C4D22" w:rsidRDefault="001C4D22" w:rsidP="001C4D22">
      <w:pPr>
        <w:jc w:val="both"/>
        <w:rPr>
          <w:bCs/>
        </w:rPr>
      </w:pPr>
    </w:p>
    <w:p w14:paraId="6411E966" w14:textId="5A111033" w:rsidR="001C4D22" w:rsidRDefault="00F00611" w:rsidP="001C4D22">
      <w:pPr>
        <w:jc w:val="both"/>
      </w:pPr>
      <w:r>
        <w:rPr>
          <w:bCs/>
        </w:rPr>
        <w:t>6</w:t>
      </w:r>
      <w:r w:rsidR="001C4D22">
        <w:rPr>
          <w:bCs/>
        </w:rPr>
        <w:t>. En el 2003 se aprobó la Ley de Demarcación Territorial (ley 445)</w:t>
      </w:r>
      <w:r w:rsidR="001C4D22">
        <w:rPr>
          <w:rStyle w:val="Ancladenotaalpie"/>
          <w:bCs/>
        </w:rPr>
        <w:footnoteReference w:id="21"/>
      </w:r>
      <w:r w:rsidR="001C4D22">
        <w:rPr>
          <w:bCs/>
        </w:rPr>
        <w:t xml:space="preserve"> la cual reconoce derechos colectivos de las tierras y territorios para las comunidades étnicas (afrodescendientes) de forma colectiva (tierras comunales). Dicha Ley establece que las tierras comunales no se pueden gravar y son inembargables, inalienables e imprescriptibles</w:t>
      </w:r>
      <w:r w:rsidR="001C4D22">
        <w:rPr>
          <w:rStyle w:val="Ancladenotaalpie"/>
          <w:bCs/>
        </w:rPr>
        <w:footnoteReference w:id="22"/>
      </w:r>
      <w:r w:rsidR="001C4D22">
        <w:rPr>
          <w:bCs/>
        </w:rPr>
        <w:t xml:space="preserve">. </w:t>
      </w:r>
    </w:p>
    <w:p w14:paraId="1E33D1A3" w14:textId="77777777" w:rsidR="001C4D22" w:rsidRDefault="001C4D22" w:rsidP="001C4D22">
      <w:pPr>
        <w:jc w:val="both"/>
        <w:rPr>
          <w:bCs/>
        </w:rPr>
      </w:pPr>
    </w:p>
    <w:p w14:paraId="44FE1D0D" w14:textId="0AE154AC" w:rsidR="001C4D22" w:rsidRDefault="00F00611" w:rsidP="001C4D22">
      <w:pPr>
        <w:jc w:val="both"/>
      </w:pPr>
      <w:r>
        <w:rPr>
          <w:bCs/>
        </w:rPr>
        <w:t>7</w:t>
      </w:r>
      <w:r w:rsidR="001C4D22">
        <w:rPr>
          <w:bCs/>
        </w:rPr>
        <w:t>. Por ello, los pueblos indígenas y afrodescendientes cuestionan la falta de voluntad del gobierno nacional para concluir la V etapa prevista en la ley que es el saneamiento territorial, cuestionan además el cercenamiento del territorio de las Regiones Autónomas con el decreto presidencial No. 15-2011</w:t>
      </w:r>
      <w:r w:rsidR="001C4D22">
        <w:rPr>
          <w:rStyle w:val="Ancladenotaalpie"/>
          <w:bCs/>
        </w:rPr>
        <w:footnoteReference w:id="23"/>
      </w:r>
      <w:r w:rsidR="001C4D22">
        <w:rPr>
          <w:bCs/>
        </w:rPr>
        <w:t xml:space="preserve"> que anexó los municipios de El Rama, Muelle de los Bueyes y Nueva Guinea al departamento de Chontales, afectando el proceso de demarcación territorial del pueblo afrodescendiente creole de Bluefields</w:t>
      </w:r>
      <w:r w:rsidR="00CC6DDE">
        <w:rPr>
          <w:bCs/>
        </w:rPr>
        <w:t xml:space="preserve">. </w:t>
      </w:r>
    </w:p>
    <w:p w14:paraId="63AD5675" w14:textId="77777777" w:rsidR="001C4D22" w:rsidRDefault="001C4D22" w:rsidP="001C4D22">
      <w:pPr>
        <w:jc w:val="both"/>
        <w:rPr>
          <w:bCs/>
        </w:rPr>
      </w:pPr>
    </w:p>
    <w:p w14:paraId="0BDAC570" w14:textId="402DF9FF" w:rsidR="001C4D22" w:rsidRDefault="00F00611" w:rsidP="001C4D22">
      <w:pPr>
        <w:jc w:val="both"/>
      </w:pPr>
      <w:r>
        <w:rPr>
          <w:bCs/>
        </w:rPr>
        <w:t>8</w:t>
      </w:r>
      <w:r w:rsidR="001C4D22">
        <w:rPr>
          <w:bCs/>
        </w:rPr>
        <w:t>. En el año 2010 la Asamblea Nacional adoptó</w:t>
      </w:r>
      <w:r w:rsidR="001C4D22">
        <w:rPr>
          <w:rStyle w:val="Ancladenotaalpie"/>
          <w:bCs/>
        </w:rPr>
        <w:footnoteReference w:id="24"/>
      </w:r>
      <w:r w:rsidR="001C4D22">
        <w:rPr>
          <w:bCs/>
        </w:rPr>
        <w:t xml:space="preserve"> el Convenio No. 169 de la OIT y reconoció que el término  Tribal aplica a las comunidades afrodescendientes </w:t>
      </w:r>
      <w:r w:rsidR="00762A53">
        <w:rPr>
          <w:bCs/>
        </w:rPr>
        <w:t xml:space="preserve">creoles y </w:t>
      </w:r>
      <w:r w:rsidR="001C4D22">
        <w:rPr>
          <w:bCs/>
        </w:rPr>
        <w:t>garífunas</w:t>
      </w:r>
      <w:r w:rsidR="00F17439">
        <w:rPr>
          <w:bCs/>
        </w:rPr>
        <w:t>.</w:t>
      </w:r>
      <w:r w:rsidR="00762A53">
        <w:rPr>
          <w:bCs/>
        </w:rPr>
        <w:t xml:space="preserve"> </w:t>
      </w:r>
    </w:p>
    <w:p w14:paraId="62D5019F" w14:textId="77777777" w:rsidR="001C4D22" w:rsidRDefault="001C4D22" w:rsidP="001C4D22">
      <w:pPr>
        <w:jc w:val="both"/>
        <w:rPr>
          <w:bCs/>
        </w:rPr>
      </w:pPr>
    </w:p>
    <w:p w14:paraId="20AC29D9" w14:textId="682C7527" w:rsidR="001C4D22" w:rsidRDefault="00F00611" w:rsidP="001C4D22">
      <w:pPr>
        <w:jc w:val="both"/>
      </w:pPr>
      <w:r>
        <w:rPr>
          <w:bCs/>
        </w:rPr>
        <w:t>9</w:t>
      </w:r>
      <w:r w:rsidR="001C4D22">
        <w:rPr>
          <w:bCs/>
        </w:rPr>
        <w:t>. Adicionalmente, en 2011, la Asamblea Nacional aprobó la Ley de Trato Digno y Equitativo a Pueblos Indígenas y Afrodescendientes</w:t>
      </w:r>
      <w:r w:rsidR="001C4D22">
        <w:rPr>
          <w:rStyle w:val="Ancladenotaalpie"/>
          <w:bCs/>
        </w:rPr>
        <w:footnoteReference w:id="25"/>
      </w:r>
      <w:r w:rsidR="001C4D22">
        <w:rPr>
          <w:bCs/>
        </w:rPr>
        <w:t xml:space="preserve"> cuyo objeto es regular y garantizar el trato justo e igualitario a estos pueblos de la Costa Caribe, del Alto Wangky y del Pacífico, Centro y Norte del país</w:t>
      </w:r>
      <w:r w:rsidR="00072B46">
        <w:rPr>
          <w:bCs/>
        </w:rPr>
        <w:t>;</w:t>
      </w:r>
      <w:r w:rsidR="001C4D22">
        <w:rPr>
          <w:bCs/>
        </w:rPr>
        <w:t xml:space="preserve"> sin embargo</w:t>
      </w:r>
      <w:r w:rsidR="00072B46">
        <w:rPr>
          <w:bCs/>
        </w:rPr>
        <w:t>,</w:t>
      </w:r>
      <w:r w:rsidR="001C4D22">
        <w:rPr>
          <w:bCs/>
        </w:rPr>
        <w:t xml:space="preserve"> dicha ley no es puesta en práctica y la discriminación y el racismo continúan, permanecen impunes y en algunos casos incluso se ha</w:t>
      </w:r>
      <w:r w:rsidR="00A02CDF">
        <w:rPr>
          <w:bCs/>
        </w:rPr>
        <w:t>n</w:t>
      </w:r>
      <w:r w:rsidR="001C4D22">
        <w:rPr>
          <w:bCs/>
        </w:rPr>
        <w:t xml:space="preserve"> normalizado entre la ciudadanía.</w:t>
      </w:r>
    </w:p>
    <w:p w14:paraId="07CE31B1" w14:textId="77777777" w:rsidR="001C4D22" w:rsidRDefault="001C4D22" w:rsidP="001C4D22">
      <w:pPr>
        <w:jc w:val="both"/>
        <w:rPr>
          <w:bCs/>
        </w:rPr>
      </w:pPr>
    </w:p>
    <w:p w14:paraId="614BBD4B" w14:textId="1270F3F4" w:rsidR="001C4D22" w:rsidRDefault="001C4D22" w:rsidP="001C4D22">
      <w:pPr>
        <w:jc w:val="both"/>
      </w:pPr>
      <w:r>
        <w:rPr>
          <w:bCs/>
        </w:rPr>
        <w:t>1</w:t>
      </w:r>
      <w:r w:rsidR="00F00611">
        <w:rPr>
          <w:bCs/>
        </w:rPr>
        <w:t>0</w:t>
      </w:r>
      <w:r>
        <w:rPr>
          <w:bCs/>
        </w:rPr>
        <w:t xml:space="preserve">. Fue en </w:t>
      </w:r>
      <w:r w:rsidR="006D204C">
        <w:rPr>
          <w:bCs/>
        </w:rPr>
        <w:t xml:space="preserve">el </w:t>
      </w:r>
      <w:r>
        <w:rPr>
          <w:bCs/>
        </w:rPr>
        <w:t xml:space="preserve">2014, mediante una reforma constitucional </w:t>
      </w:r>
      <w:r w:rsidR="00A02CDF">
        <w:rPr>
          <w:bCs/>
        </w:rPr>
        <w:t xml:space="preserve">que </w:t>
      </w:r>
      <w:r>
        <w:rPr>
          <w:bCs/>
        </w:rPr>
        <w:t>se reconoció que las personas afrodescendientes tienen una identidad propia en el país</w:t>
      </w:r>
      <w:r>
        <w:rPr>
          <w:rStyle w:val="Ancladenotaalpie"/>
          <w:bCs/>
        </w:rPr>
        <w:footnoteReference w:id="26"/>
      </w:r>
      <w:r>
        <w:rPr>
          <w:bCs/>
        </w:rPr>
        <w:t xml:space="preserve"> y se menciona por primera vez en la Constitución el término afrodescendientes para definir a los pueblos creoles y garífunas</w:t>
      </w:r>
      <w:r w:rsidR="006D204C">
        <w:rPr>
          <w:bCs/>
        </w:rPr>
        <w:t>.</w:t>
      </w:r>
      <w:r w:rsidR="00D471A7">
        <w:rPr>
          <w:bCs/>
        </w:rPr>
        <w:t xml:space="preserve"> </w:t>
      </w:r>
      <w:r>
        <w:rPr>
          <w:bCs/>
        </w:rPr>
        <w:t xml:space="preserve">Respecto al desarrollo de políticas públicas, la población afrodescendiente de Nicaragua vio en el lema “Reconocimiento, Justicia y Desarrollo”  </w:t>
      </w:r>
      <w:r w:rsidR="00CC6DDE">
        <w:rPr>
          <w:bCs/>
        </w:rPr>
        <w:t>d</w:t>
      </w:r>
      <w:r>
        <w:rPr>
          <w:bCs/>
        </w:rPr>
        <w:t>el Decenio de los Pueblos Afrodescendientes</w:t>
      </w:r>
      <w:r>
        <w:rPr>
          <w:rStyle w:val="Ancladenotaalpie"/>
          <w:bCs/>
        </w:rPr>
        <w:footnoteReference w:id="27"/>
      </w:r>
      <w:r>
        <w:rPr>
          <w:bCs/>
        </w:rPr>
        <w:t xml:space="preserve"> la oportunidad de demandar derechos históricamente ignorados por el Estado.</w:t>
      </w:r>
    </w:p>
    <w:p w14:paraId="31A9D990" w14:textId="77777777" w:rsidR="001C4D22" w:rsidRDefault="001C4D22" w:rsidP="001C4D22">
      <w:pPr>
        <w:jc w:val="both"/>
        <w:rPr>
          <w:bCs/>
        </w:rPr>
      </w:pPr>
    </w:p>
    <w:p w14:paraId="5C0C31B1" w14:textId="77777777" w:rsidR="001C4D22" w:rsidRDefault="001C4D22" w:rsidP="001C4D22">
      <w:pPr>
        <w:pStyle w:val="Prrafodelista"/>
        <w:numPr>
          <w:ilvl w:val="0"/>
          <w:numId w:val="1"/>
        </w:numPr>
        <w:jc w:val="both"/>
        <w:rPr>
          <w:b/>
          <w:bCs/>
        </w:rPr>
      </w:pPr>
      <w:r>
        <w:rPr>
          <w:b/>
          <w:bCs/>
        </w:rPr>
        <w:t>Aspectos a profundizar respecto de los resaltados en la Lista de Cuestiones y otros aspectos considerados de interés</w:t>
      </w:r>
    </w:p>
    <w:p w14:paraId="6391041E" w14:textId="77777777" w:rsidR="001C4D22" w:rsidRDefault="001C4D22" w:rsidP="001C4D22">
      <w:pPr>
        <w:pStyle w:val="Prrafodelista"/>
        <w:jc w:val="both"/>
        <w:rPr>
          <w:b/>
          <w:i/>
        </w:rPr>
      </w:pPr>
      <w:r>
        <w:rPr>
          <w:b/>
          <w:i/>
        </w:rPr>
        <w:lastRenderedPageBreak/>
        <w:t>Derechos de los pueblos indígenas y otras minorías (arts. 2, 26 y 27):</w:t>
      </w:r>
    </w:p>
    <w:p w14:paraId="4D57CD90" w14:textId="77777777" w:rsidR="001C4D22" w:rsidRDefault="001C4D22" w:rsidP="001C4D22">
      <w:pPr>
        <w:pStyle w:val="Prrafodelista"/>
        <w:jc w:val="both"/>
        <w:rPr>
          <w:b/>
          <w:i/>
        </w:rPr>
      </w:pPr>
    </w:p>
    <w:p w14:paraId="3C75DEE9" w14:textId="77777777" w:rsidR="001C4D22" w:rsidRDefault="001C4D22" w:rsidP="001C4D22">
      <w:pPr>
        <w:jc w:val="both"/>
        <w:rPr>
          <w:b/>
          <w:i/>
        </w:rPr>
      </w:pPr>
      <w:r>
        <w:rPr>
          <w:b/>
          <w:i/>
        </w:rPr>
        <w:t>Discriminación hacia la población afrodescendiente</w:t>
      </w:r>
    </w:p>
    <w:p w14:paraId="10F56312" w14:textId="77777777" w:rsidR="001C4D22" w:rsidRDefault="001C4D22" w:rsidP="001C4D22">
      <w:pPr>
        <w:jc w:val="both"/>
        <w:rPr>
          <w:bCs/>
          <w:color w:val="FF0000"/>
        </w:rPr>
      </w:pPr>
    </w:p>
    <w:p w14:paraId="33DA2BF3" w14:textId="0EB12BFF" w:rsidR="001C4D22" w:rsidRDefault="001C4D22" w:rsidP="001C4D22">
      <w:pPr>
        <w:jc w:val="both"/>
      </w:pPr>
      <w:r>
        <w:rPr>
          <w:bCs/>
        </w:rPr>
        <w:t>1</w:t>
      </w:r>
      <w:r w:rsidR="008D04B7">
        <w:rPr>
          <w:bCs/>
        </w:rPr>
        <w:t>1</w:t>
      </w:r>
      <w:r>
        <w:rPr>
          <w:bCs/>
        </w:rPr>
        <w:t xml:space="preserve">. El </w:t>
      </w:r>
      <w:r w:rsidR="00A02CDF">
        <w:rPr>
          <w:bCs/>
        </w:rPr>
        <w:t xml:space="preserve">racismo y el </w:t>
      </w:r>
      <w:r>
        <w:rPr>
          <w:bCs/>
        </w:rPr>
        <w:t xml:space="preserve">maltrato estructural se expresa en actitudes de racismo tanto verbal, como </w:t>
      </w:r>
      <w:r w:rsidR="00D173AE">
        <w:rPr>
          <w:bCs/>
        </w:rPr>
        <w:t>en</w:t>
      </w:r>
      <w:r w:rsidR="004C1CBD">
        <w:rPr>
          <w:bCs/>
        </w:rPr>
        <w:t xml:space="preserve"> </w:t>
      </w:r>
      <w:r>
        <w:rPr>
          <w:bCs/>
        </w:rPr>
        <w:t xml:space="preserve">gestos, expresiones y en ocasiones maltrato físico en sectores de la población costeña. Especialmente preocupantes son los comportamientos de personas provenientes del interior del país que son enviados a la Costa Caribe a ocupar cargos públicos, </w:t>
      </w:r>
      <w:r w:rsidR="00072B46">
        <w:rPr>
          <w:bCs/>
        </w:rPr>
        <w:t>principalmente,</w:t>
      </w:r>
      <w:r w:rsidR="00CE49A5">
        <w:rPr>
          <w:bCs/>
        </w:rPr>
        <w:t xml:space="preserve"> </w:t>
      </w:r>
      <w:r>
        <w:rPr>
          <w:bCs/>
        </w:rPr>
        <w:t xml:space="preserve">policías y militares. A continuación mencionamos dos ejemplos del racismo </w:t>
      </w:r>
      <w:r w:rsidR="008D04B7">
        <w:rPr>
          <w:bCs/>
        </w:rPr>
        <w:t>visible</w:t>
      </w:r>
      <w:r>
        <w:rPr>
          <w:bCs/>
        </w:rPr>
        <w:t xml:space="preserve">: La muerte por ahogamiento del joven afrodescendiente Evans Taylor Williams, quien al ser perseguido </w:t>
      </w:r>
      <w:r w:rsidR="00354626">
        <w:rPr>
          <w:bCs/>
        </w:rPr>
        <w:t xml:space="preserve">por la policía </w:t>
      </w:r>
      <w:r>
        <w:rPr>
          <w:bCs/>
        </w:rPr>
        <w:t xml:space="preserve">se sumergió en la bahía de Bluefields y al pedir auxilio, la policía que estaba en el sitio y </w:t>
      </w:r>
      <w:r w:rsidR="00F17439">
        <w:rPr>
          <w:bCs/>
        </w:rPr>
        <w:t xml:space="preserve">cerca de </w:t>
      </w:r>
      <w:r>
        <w:rPr>
          <w:bCs/>
        </w:rPr>
        <w:t xml:space="preserve"> él, le negó la ayuda necesaria</w:t>
      </w:r>
      <w:r>
        <w:rPr>
          <w:rStyle w:val="Ancladenotaalpie"/>
          <w:bCs/>
        </w:rPr>
        <w:footnoteReference w:id="28"/>
      </w:r>
      <w:r>
        <w:rPr>
          <w:bCs/>
        </w:rPr>
        <w:t xml:space="preserve">. </w:t>
      </w:r>
    </w:p>
    <w:p w14:paraId="53D4D867" w14:textId="77777777" w:rsidR="001C4D22" w:rsidRDefault="001C4D22" w:rsidP="001C4D22">
      <w:pPr>
        <w:jc w:val="both"/>
        <w:rPr>
          <w:bCs/>
        </w:rPr>
      </w:pPr>
    </w:p>
    <w:p w14:paraId="277EBA11" w14:textId="366A7D1E" w:rsidR="001C4D22" w:rsidRDefault="001C4D22" w:rsidP="001C4D22">
      <w:pPr>
        <w:jc w:val="both"/>
      </w:pPr>
      <w:r>
        <w:rPr>
          <w:bCs/>
        </w:rPr>
        <w:t>1</w:t>
      </w:r>
      <w:r w:rsidR="008D04B7">
        <w:rPr>
          <w:bCs/>
        </w:rPr>
        <w:t>2</w:t>
      </w:r>
      <w:r>
        <w:rPr>
          <w:bCs/>
        </w:rPr>
        <w:t xml:space="preserve">. Otro ejemplo de racismo fue la acusación </w:t>
      </w:r>
      <w:r w:rsidR="00543164">
        <w:rPr>
          <w:bCs/>
        </w:rPr>
        <w:t xml:space="preserve">a dos jóvenes afrodescendientes </w:t>
      </w:r>
      <w:r>
        <w:rPr>
          <w:bCs/>
        </w:rPr>
        <w:t>procesados y condenados en un proceso violatorio de las garantías del debido proceso, por la muerte del periodista Ángel Gahona</w:t>
      </w:r>
      <w:r w:rsidR="00543164">
        <w:rPr>
          <w:rStyle w:val="Refdenotaalpie"/>
          <w:bCs/>
        </w:rPr>
        <w:footnoteReference w:id="29"/>
      </w:r>
      <w:r>
        <w:rPr>
          <w:bCs/>
        </w:rPr>
        <w:t xml:space="preserve"> en la ciudad de Bluefields en abril de 2018. Gahona fue asesinado a menos de diez metros del sitio donde se encontraba el jefe </w:t>
      </w:r>
      <w:r w:rsidR="00C141E0">
        <w:rPr>
          <w:bCs/>
        </w:rPr>
        <w:t xml:space="preserve">de la </w:t>
      </w:r>
      <w:r>
        <w:rPr>
          <w:bCs/>
        </w:rPr>
        <w:t xml:space="preserve">Policía </w:t>
      </w:r>
      <w:r w:rsidR="00231FF7">
        <w:rPr>
          <w:bCs/>
        </w:rPr>
        <w:t>en</w:t>
      </w:r>
      <w:r>
        <w:rPr>
          <w:bCs/>
        </w:rPr>
        <w:t xml:space="preserve"> Bluefields</w:t>
      </w:r>
      <w:r>
        <w:rPr>
          <w:rStyle w:val="Ancladenotaalpie"/>
          <w:bCs/>
        </w:rPr>
        <w:footnoteReference w:id="30"/>
      </w:r>
      <w:r>
        <w:rPr>
          <w:bCs/>
        </w:rPr>
        <w:t>.</w:t>
      </w:r>
    </w:p>
    <w:p w14:paraId="43B4DF10" w14:textId="77777777" w:rsidR="001C4D22" w:rsidRDefault="001C4D22" w:rsidP="001C4D22">
      <w:pPr>
        <w:jc w:val="both"/>
        <w:rPr>
          <w:bCs/>
        </w:rPr>
      </w:pPr>
    </w:p>
    <w:p w14:paraId="05E37E65" w14:textId="74EC8F17" w:rsidR="00A02CDF" w:rsidRDefault="00917B55" w:rsidP="00A02CDF">
      <w:pPr>
        <w:jc w:val="both"/>
      </w:pPr>
      <w:r>
        <w:rPr>
          <w:bCs/>
          <w:shd w:val="clear" w:color="auto" w:fill="FFFFFF"/>
        </w:rPr>
        <w:t>1</w:t>
      </w:r>
      <w:r w:rsidR="008D04B7">
        <w:rPr>
          <w:bCs/>
          <w:shd w:val="clear" w:color="auto" w:fill="FFFFFF"/>
        </w:rPr>
        <w:t>3</w:t>
      </w:r>
      <w:r w:rsidR="00A02CDF">
        <w:rPr>
          <w:bCs/>
          <w:shd w:val="clear" w:color="auto" w:fill="FFFFFF"/>
        </w:rPr>
        <w:t>. A pesar que los actos de racismo son conductas punibles, según el Código Penal nicaragüense</w:t>
      </w:r>
      <w:r w:rsidR="00A02CDF">
        <w:rPr>
          <w:rStyle w:val="Ancladenotaalpie"/>
          <w:bCs/>
          <w:shd w:val="clear" w:color="auto" w:fill="FFFFFF"/>
        </w:rPr>
        <w:footnoteReference w:id="31"/>
      </w:r>
      <w:r w:rsidR="00A02CDF">
        <w:rPr>
          <w:bCs/>
          <w:shd w:val="clear" w:color="auto" w:fill="FFFFFF"/>
        </w:rPr>
        <w:t>,</w:t>
      </w:r>
      <w:r w:rsidR="00A02CDF">
        <w:rPr>
          <w:bCs/>
        </w:rPr>
        <w:t xml:space="preserve"> a la fecha nadie ha sido acusado ni ha sido sancionado por tales actos.</w:t>
      </w:r>
    </w:p>
    <w:p w14:paraId="2E4EB6F3" w14:textId="77777777" w:rsidR="008D04B7" w:rsidRDefault="008D04B7" w:rsidP="001C4D22">
      <w:pPr>
        <w:jc w:val="both"/>
        <w:rPr>
          <w:b/>
          <w:bCs/>
          <w:i/>
        </w:rPr>
      </w:pPr>
    </w:p>
    <w:p w14:paraId="5B80E028" w14:textId="69B193C7" w:rsidR="001C4D22" w:rsidRDefault="001C4D22" w:rsidP="001C4D22">
      <w:pPr>
        <w:jc w:val="both"/>
        <w:rPr>
          <w:b/>
          <w:bCs/>
          <w:i/>
        </w:rPr>
      </w:pPr>
      <w:r>
        <w:rPr>
          <w:b/>
          <w:bCs/>
          <w:i/>
        </w:rPr>
        <w:t>Discriminación contra la mujer afrodescendiente</w:t>
      </w:r>
      <w:r w:rsidR="00231FF7" w:rsidRPr="00231FF7">
        <w:rPr>
          <w:bCs/>
        </w:rPr>
        <w:t xml:space="preserve"> </w:t>
      </w:r>
    </w:p>
    <w:p w14:paraId="7A244016" w14:textId="77777777" w:rsidR="001C4D22" w:rsidRDefault="001C4D22" w:rsidP="001C4D22">
      <w:pPr>
        <w:jc w:val="both"/>
        <w:rPr>
          <w:bCs/>
        </w:rPr>
      </w:pPr>
    </w:p>
    <w:p w14:paraId="5BBB78DD" w14:textId="019F45DA" w:rsidR="001C4D22" w:rsidRDefault="001C4D22" w:rsidP="001C4D22">
      <w:pPr>
        <w:jc w:val="both"/>
      </w:pPr>
      <w:r>
        <w:rPr>
          <w:bCs/>
        </w:rPr>
        <w:t>1</w:t>
      </w:r>
      <w:r w:rsidR="008D04B7">
        <w:rPr>
          <w:bCs/>
        </w:rPr>
        <w:t>4</w:t>
      </w:r>
      <w:r>
        <w:rPr>
          <w:bCs/>
        </w:rPr>
        <w:t xml:space="preserve">. </w:t>
      </w:r>
      <w:r w:rsidR="00231FF7">
        <w:rPr>
          <w:bCs/>
        </w:rPr>
        <w:t>En Nicaragua, l</w:t>
      </w:r>
      <w:r>
        <w:rPr>
          <w:bCs/>
        </w:rPr>
        <w:t>a mujer afrodescendiente se enfrenta a una doble discriminación</w:t>
      </w:r>
      <w:r w:rsidR="00231FF7">
        <w:rPr>
          <w:bCs/>
        </w:rPr>
        <w:t>, primero</w:t>
      </w:r>
      <w:r>
        <w:rPr>
          <w:bCs/>
        </w:rPr>
        <w:t xml:space="preserve"> por la exaltación de lo sexual </w:t>
      </w:r>
      <w:r w:rsidR="00231FF7">
        <w:rPr>
          <w:bCs/>
        </w:rPr>
        <w:t>y luego por ser mujer</w:t>
      </w:r>
      <w:r>
        <w:rPr>
          <w:bCs/>
        </w:rPr>
        <w:t xml:space="preserve">. Esta clase de estereotipos favorece el acoso sexual en los espacios públicos y </w:t>
      </w:r>
      <w:r w:rsidR="00BB7EA1">
        <w:rPr>
          <w:bCs/>
        </w:rPr>
        <w:t xml:space="preserve">obstaculiza </w:t>
      </w:r>
      <w:r>
        <w:rPr>
          <w:bCs/>
        </w:rPr>
        <w:t>la libre expresión de su identidad y expresiones culturales. En consecuencia, muchas personas afrodescendientes</w:t>
      </w:r>
      <w:r w:rsidR="00A02CDF">
        <w:rPr>
          <w:bCs/>
        </w:rPr>
        <w:t>,</w:t>
      </w:r>
      <w:r>
        <w:rPr>
          <w:bCs/>
        </w:rPr>
        <w:t xml:space="preserve"> que han sufrido racismo y discriminación</w:t>
      </w:r>
      <w:r w:rsidR="00A02CDF">
        <w:rPr>
          <w:bCs/>
        </w:rPr>
        <w:t>,</w:t>
      </w:r>
      <w:r>
        <w:rPr>
          <w:bCs/>
        </w:rPr>
        <w:t xml:space="preserve"> prefieren ignorarlo porque el Estado no hace nada para re</w:t>
      </w:r>
      <w:r w:rsidR="00D471A7">
        <w:rPr>
          <w:bCs/>
        </w:rPr>
        <w:t xml:space="preserve">solver este problema. </w:t>
      </w:r>
    </w:p>
    <w:p w14:paraId="42F0B236" w14:textId="32EB54A9" w:rsidR="001C4D22" w:rsidRDefault="00231FF7" w:rsidP="001C4D22">
      <w:pPr>
        <w:jc w:val="both"/>
      </w:pPr>
      <w:r>
        <w:rPr>
          <w:b/>
          <w:i/>
        </w:rPr>
        <w:lastRenderedPageBreak/>
        <w:t xml:space="preserve">Discriminación por la </w:t>
      </w:r>
      <w:r w:rsidR="001C4D22">
        <w:rPr>
          <w:b/>
          <w:i/>
        </w:rPr>
        <w:t>Autonomía de los pueblos afrodescendientes</w:t>
      </w:r>
    </w:p>
    <w:p w14:paraId="26F19E28" w14:textId="77777777" w:rsidR="001C4D22" w:rsidRDefault="001C4D22" w:rsidP="001C4D22">
      <w:pPr>
        <w:jc w:val="both"/>
        <w:rPr>
          <w:bCs/>
        </w:rPr>
      </w:pPr>
    </w:p>
    <w:p w14:paraId="1E4D2486" w14:textId="5647767D" w:rsidR="001C4D22" w:rsidRDefault="001C4D22" w:rsidP="001C4D22">
      <w:pPr>
        <w:jc w:val="both"/>
      </w:pPr>
      <w:r>
        <w:rPr>
          <w:bCs/>
        </w:rPr>
        <w:t>1</w:t>
      </w:r>
      <w:r w:rsidR="008D04B7">
        <w:rPr>
          <w:bCs/>
        </w:rPr>
        <w:t>5</w:t>
      </w:r>
      <w:r>
        <w:rPr>
          <w:bCs/>
        </w:rPr>
        <w:t xml:space="preserve">. La Ley 28 prevé un sistema de gobierno autónomo para la Costa Caribe. Sin embargo, </w:t>
      </w:r>
      <w:r w:rsidR="00BB7EA1">
        <w:rPr>
          <w:bCs/>
        </w:rPr>
        <w:t>d</w:t>
      </w:r>
      <w:r>
        <w:rPr>
          <w:bCs/>
        </w:rPr>
        <w:t xml:space="preserve">esde </w:t>
      </w:r>
      <w:r w:rsidR="00314652">
        <w:rPr>
          <w:bCs/>
        </w:rPr>
        <w:t xml:space="preserve">las </w:t>
      </w:r>
      <w:r>
        <w:rPr>
          <w:bCs/>
        </w:rPr>
        <w:t xml:space="preserve"> instancias</w:t>
      </w:r>
      <w:r w:rsidR="00CC6DDE">
        <w:rPr>
          <w:bCs/>
        </w:rPr>
        <w:t xml:space="preserve"> </w:t>
      </w:r>
      <w:r w:rsidR="00314652">
        <w:rPr>
          <w:bCs/>
        </w:rPr>
        <w:t xml:space="preserve">del Consejo Regional, inclusive de las alcaldías municipales </w:t>
      </w:r>
      <w:r w:rsidR="00CC6DDE">
        <w:rPr>
          <w:bCs/>
        </w:rPr>
        <w:t>se</w:t>
      </w:r>
      <w:r>
        <w:rPr>
          <w:bCs/>
        </w:rPr>
        <w:t xml:space="preserve"> </w:t>
      </w:r>
      <w:r w:rsidR="00A02CDF">
        <w:rPr>
          <w:bCs/>
        </w:rPr>
        <w:t xml:space="preserve">han impuesto </w:t>
      </w:r>
      <w:r>
        <w:rPr>
          <w:bCs/>
        </w:rPr>
        <w:t>gobiernos comunales paralelos en las comunidades y territorios de pueblos indígenas y afrodescendientes</w:t>
      </w:r>
      <w:r>
        <w:rPr>
          <w:rStyle w:val="Ancladenotaalpie"/>
          <w:bCs/>
        </w:rPr>
        <w:footnoteReference w:id="32"/>
      </w:r>
      <w:r>
        <w:rPr>
          <w:bCs/>
        </w:rPr>
        <w:t>.</w:t>
      </w:r>
    </w:p>
    <w:p w14:paraId="107EE0CE" w14:textId="77777777" w:rsidR="001C4D22" w:rsidRDefault="001C4D22" w:rsidP="001C4D22">
      <w:pPr>
        <w:jc w:val="both"/>
        <w:rPr>
          <w:bCs/>
        </w:rPr>
      </w:pPr>
    </w:p>
    <w:p w14:paraId="6E82F42F" w14:textId="0E997F64" w:rsidR="001C4D22" w:rsidRDefault="00F00611" w:rsidP="001C4D22">
      <w:pPr>
        <w:jc w:val="both"/>
      </w:pPr>
      <w:r>
        <w:rPr>
          <w:bCs/>
        </w:rPr>
        <w:t>1</w:t>
      </w:r>
      <w:r w:rsidR="008D04B7">
        <w:rPr>
          <w:bCs/>
        </w:rPr>
        <w:t>6</w:t>
      </w:r>
      <w:r w:rsidR="001C4D22">
        <w:rPr>
          <w:bCs/>
        </w:rPr>
        <w:t xml:space="preserve">. </w:t>
      </w:r>
      <w:r w:rsidR="004C1CBD">
        <w:rPr>
          <w:bCs/>
        </w:rPr>
        <w:t>A esta fecha, p</w:t>
      </w:r>
      <w:r w:rsidR="001C4D22">
        <w:rPr>
          <w:bCs/>
        </w:rPr>
        <w:t xml:space="preserve">rácticamente todos los gobiernos comunales y territoriales de la RACCS </w:t>
      </w:r>
      <w:r w:rsidR="0074675B">
        <w:rPr>
          <w:bCs/>
        </w:rPr>
        <w:t xml:space="preserve">y RACCN </w:t>
      </w:r>
      <w:r w:rsidR="001C4D22">
        <w:rPr>
          <w:bCs/>
        </w:rPr>
        <w:t>son impuestos por injerencia política del gobierno nacional con operadores políticos ubicados en los Consejos Regionales quienes tienen la responsabilidad por ley de certificar a estos gobiernos, por tanto esta imposición al ser objetada ante la Corte Suprema de Justicia nunca prospera</w:t>
      </w:r>
      <w:r w:rsidR="008D04B7">
        <w:rPr>
          <w:bCs/>
        </w:rPr>
        <w:t xml:space="preserve">. </w:t>
      </w:r>
      <w:r w:rsidR="001C4D22">
        <w:rPr>
          <w:bCs/>
        </w:rPr>
        <w:t>Estas acciones pretenden revestirlas de legalidad divulgando ante la comunidad internacional que la población afrodescendiente e indígena es consultada de forma libre, previa e informada.</w:t>
      </w:r>
    </w:p>
    <w:p w14:paraId="30DE9581" w14:textId="77777777" w:rsidR="001C4D22" w:rsidRDefault="001C4D22" w:rsidP="001C4D22">
      <w:pPr>
        <w:jc w:val="both"/>
        <w:rPr>
          <w:bCs/>
        </w:rPr>
      </w:pPr>
    </w:p>
    <w:p w14:paraId="661A3507" w14:textId="51D79029" w:rsidR="001C4D22" w:rsidRDefault="001C4D22" w:rsidP="00C141E0">
      <w:pPr>
        <w:jc w:val="both"/>
      </w:pPr>
      <w:r>
        <w:rPr>
          <w:b/>
          <w:i/>
        </w:rPr>
        <w:t>Derecho a la consulta libre, previa e informada (CLPI)</w:t>
      </w:r>
      <w:r>
        <w:rPr>
          <w:rStyle w:val="Ancladenotaalpie"/>
          <w:b/>
          <w:i/>
        </w:rPr>
        <w:footnoteReference w:id="33"/>
      </w:r>
    </w:p>
    <w:p w14:paraId="16712C1B" w14:textId="77777777" w:rsidR="001C4D22" w:rsidRDefault="001C4D22" w:rsidP="001C4D22">
      <w:pPr>
        <w:ind w:left="708" w:firstLine="60"/>
        <w:jc w:val="both"/>
      </w:pPr>
    </w:p>
    <w:p w14:paraId="7B8784CD" w14:textId="31B8E670" w:rsidR="001C4D22" w:rsidRDefault="00F00611" w:rsidP="001C4D22">
      <w:pPr>
        <w:jc w:val="both"/>
      </w:pPr>
      <w:r>
        <w:rPr>
          <w:bCs/>
        </w:rPr>
        <w:t>1</w:t>
      </w:r>
      <w:r w:rsidR="008D04B7">
        <w:rPr>
          <w:bCs/>
        </w:rPr>
        <w:t>7</w:t>
      </w:r>
      <w:r w:rsidR="001C4D22">
        <w:rPr>
          <w:bCs/>
        </w:rPr>
        <w:t>. La aprobación del Convenio 169 de la OIT</w:t>
      </w:r>
      <w:r w:rsidR="001C4D22">
        <w:rPr>
          <w:rStyle w:val="Ancladenotaalpie"/>
          <w:bCs/>
        </w:rPr>
        <w:footnoteReference w:id="34"/>
      </w:r>
      <w:r w:rsidR="001C4D22">
        <w:rPr>
          <w:bCs/>
        </w:rPr>
        <w:t xml:space="preserve"> junto con la Constitución, la Ley 28 y la Ley 445, así como la Ley de Municipios (Ley 40 y su reglamento) establecen el marco legal para que los pueblos afrodescendientes puedan ser consultados, sin injerencia ni presión política, sobre los temas de su desarrollo, en su lengua y con la debida asesoría técnica especializada</w:t>
      </w:r>
      <w:r w:rsidR="00D471A7">
        <w:rPr>
          <w:bCs/>
        </w:rPr>
        <w:t>, s</w:t>
      </w:r>
      <w:r w:rsidR="001C4D22">
        <w:rPr>
          <w:bCs/>
        </w:rPr>
        <w:t xml:space="preserve">in embargo, megaproyectos como el Canal Interoceánico, el proyecto </w:t>
      </w:r>
      <w:r w:rsidR="00826689">
        <w:rPr>
          <w:bCs/>
        </w:rPr>
        <w:t xml:space="preserve">fracasado </w:t>
      </w:r>
      <w:r w:rsidR="001C4D22">
        <w:rPr>
          <w:bCs/>
        </w:rPr>
        <w:t xml:space="preserve">de </w:t>
      </w:r>
      <w:r w:rsidR="002B09B4">
        <w:rPr>
          <w:bCs/>
        </w:rPr>
        <w:t xml:space="preserve">la </w:t>
      </w:r>
      <w:r w:rsidR="00456A7C">
        <w:rPr>
          <w:bCs/>
        </w:rPr>
        <w:t>re</w:t>
      </w:r>
      <w:r w:rsidR="001C4D22">
        <w:rPr>
          <w:bCs/>
        </w:rPr>
        <w:t>presa hidroeléctrica de Tumarín</w:t>
      </w:r>
      <w:r w:rsidR="00826689">
        <w:rPr>
          <w:rStyle w:val="Refdenotaalpie"/>
          <w:bCs/>
        </w:rPr>
        <w:footnoteReference w:id="35"/>
      </w:r>
      <w:r w:rsidR="001C4D22">
        <w:rPr>
          <w:bCs/>
        </w:rPr>
        <w:t>, las carreteras en la Costa Caribe, la propuesta de construcción del proyecto del Puerto de Aguas Profundas</w:t>
      </w:r>
      <w:r w:rsidR="00826689">
        <w:rPr>
          <w:rStyle w:val="Refdenotaalpie"/>
          <w:bCs/>
        </w:rPr>
        <w:footnoteReference w:id="36"/>
      </w:r>
      <w:r w:rsidR="001C2189">
        <w:rPr>
          <w:bCs/>
        </w:rPr>
        <w:t>, el proyecto de BioClima</w:t>
      </w:r>
      <w:r w:rsidR="001C2189">
        <w:rPr>
          <w:rStyle w:val="Refdenotaalpie"/>
          <w:bCs/>
        </w:rPr>
        <w:footnoteReference w:id="37"/>
      </w:r>
      <w:r w:rsidR="001C4D22">
        <w:rPr>
          <w:bCs/>
        </w:rPr>
        <w:t xml:space="preserve"> así como la </w:t>
      </w:r>
      <w:r w:rsidR="0067311A">
        <w:rPr>
          <w:bCs/>
        </w:rPr>
        <w:t xml:space="preserve">constante </w:t>
      </w:r>
      <w:r w:rsidR="001C4D22">
        <w:rPr>
          <w:bCs/>
        </w:rPr>
        <w:t xml:space="preserve">explotación </w:t>
      </w:r>
      <w:r w:rsidR="0067311A">
        <w:rPr>
          <w:bCs/>
        </w:rPr>
        <w:t xml:space="preserve">de la </w:t>
      </w:r>
      <w:r w:rsidR="001C4D22">
        <w:rPr>
          <w:bCs/>
        </w:rPr>
        <w:t xml:space="preserve">pesca, madera, minas, se aprueban y llevan a cabo sin previa consulta a las comunidades y pueblos afrodescendientes. </w:t>
      </w:r>
    </w:p>
    <w:p w14:paraId="18FE9DB1" w14:textId="77777777" w:rsidR="001C4D22" w:rsidRDefault="001C4D22" w:rsidP="001C4D22">
      <w:pPr>
        <w:jc w:val="both"/>
        <w:rPr>
          <w:bCs/>
        </w:rPr>
      </w:pPr>
    </w:p>
    <w:p w14:paraId="7AF45475" w14:textId="1D6D18A0" w:rsidR="001C4D22" w:rsidRDefault="00C5775D" w:rsidP="001C4D22">
      <w:pPr>
        <w:jc w:val="both"/>
      </w:pPr>
      <w:r>
        <w:rPr>
          <w:bCs/>
        </w:rPr>
        <w:t>1</w:t>
      </w:r>
      <w:r w:rsidR="008D04B7">
        <w:rPr>
          <w:bCs/>
        </w:rPr>
        <w:t>8</w:t>
      </w:r>
      <w:r w:rsidR="001C4D22">
        <w:rPr>
          <w:bCs/>
        </w:rPr>
        <w:t xml:space="preserve">. Un Manual referido a la </w:t>
      </w:r>
      <w:r w:rsidR="00BB7EA1">
        <w:rPr>
          <w:bCs/>
        </w:rPr>
        <w:t xml:space="preserve">CLPI </w:t>
      </w:r>
      <w:r w:rsidR="001C4D22">
        <w:rPr>
          <w:bCs/>
        </w:rPr>
        <w:t>fue dictaminado el 1</w:t>
      </w:r>
      <w:r w:rsidR="002B09B4">
        <w:rPr>
          <w:bCs/>
        </w:rPr>
        <w:t>9</w:t>
      </w:r>
      <w:r w:rsidR="001C4D22">
        <w:rPr>
          <w:bCs/>
        </w:rPr>
        <w:t xml:space="preserve"> de </w:t>
      </w:r>
      <w:r w:rsidR="002B09B4">
        <w:rPr>
          <w:bCs/>
        </w:rPr>
        <w:t xml:space="preserve">marzo </w:t>
      </w:r>
      <w:r w:rsidR="001C4D22">
        <w:rPr>
          <w:bCs/>
        </w:rPr>
        <w:t xml:space="preserve">del </w:t>
      </w:r>
      <w:r w:rsidR="006D236B">
        <w:rPr>
          <w:bCs/>
        </w:rPr>
        <w:t>2020</w:t>
      </w:r>
      <w:r w:rsidR="001C4D22">
        <w:rPr>
          <w:bCs/>
        </w:rPr>
        <w:t xml:space="preserve">,  por la Comisión </w:t>
      </w:r>
      <w:r w:rsidR="006D236B">
        <w:rPr>
          <w:bCs/>
        </w:rPr>
        <w:t>de A</w:t>
      </w:r>
      <w:r w:rsidR="00354626">
        <w:rPr>
          <w:bCs/>
        </w:rPr>
        <w:t>utonom</w:t>
      </w:r>
      <w:r w:rsidR="00EF0C4E">
        <w:rPr>
          <w:bCs/>
        </w:rPr>
        <w:t>í</w:t>
      </w:r>
      <w:r w:rsidR="00354626">
        <w:rPr>
          <w:bCs/>
        </w:rPr>
        <w:t>a</w:t>
      </w:r>
      <w:r w:rsidR="006D236B">
        <w:rPr>
          <w:bCs/>
        </w:rPr>
        <w:t xml:space="preserve"> del </w:t>
      </w:r>
      <w:r w:rsidR="001C4D22">
        <w:rPr>
          <w:bCs/>
        </w:rPr>
        <w:t>CRACCS, el cual intenta</w:t>
      </w:r>
      <w:r w:rsidR="002B09B4">
        <w:rPr>
          <w:bCs/>
        </w:rPr>
        <w:t>ba</w:t>
      </w:r>
      <w:r w:rsidR="001C4D22">
        <w:rPr>
          <w:bCs/>
        </w:rPr>
        <w:t xml:space="preserve"> obligar a los comunitarios a aprobar concesiones para la explotación de sus recursos naturales</w:t>
      </w:r>
      <w:r w:rsidR="00074436">
        <w:rPr>
          <w:bCs/>
        </w:rPr>
        <w:t>. C</w:t>
      </w:r>
      <w:r w:rsidR="001C4D22">
        <w:rPr>
          <w:bCs/>
        </w:rPr>
        <w:t xml:space="preserve">on esto  el Consejo y Gobierno Regional </w:t>
      </w:r>
      <w:r w:rsidR="00EA1E74">
        <w:rPr>
          <w:bCs/>
        </w:rPr>
        <w:t>pretendía</w:t>
      </w:r>
      <w:r w:rsidR="001C4D22">
        <w:rPr>
          <w:bCs/>
        </w:rPr>
        <w:t xml:space="preserve"> arrogarse la representación y potestad de los pueblos indígenas y afrodescendientes para decidir sobre sus recursos. Por ello, se presentó el 27 de marzo 2020 en la CSJ un recurso de amparo cuestionando el mal procedimiento de la Comisión </w:t>
      </w:r>
      <w:r w:rsidR="002B09B4">
        <w:rPr>
          <w:bCs/>
        </w:rPr>
        <w:t>del CRACCS</w:t>
      </w:r>
      <w:r w:rsidR="00375862">
        <w:rPr>
          <w:bCs/>
        </w:rPr>
        <w:t xml:space="preserve">. </w:t>
      </w:r>
    </w:p>
    <w:p w14:paraId="134C8478" w14:textId="7B5E5EBF" w:rsidR="001C4D22" w:rsidRDefault="008D04B7" w:rsidP="001C4D22">
      <w:pPr>
        <w:jc w:val="both"/>
      </w:pPr>
      <w:r>
        <w:rPr>
          <w:bCs/>
        </w:rPr>
        <w:lastRenderedPageBreak/>
        <w:t>19</w:t>
      </w:r>
      <w:r w:rsidR="001C4D22">
        <w:rPr>
          <w:bCs/>
        </w:rPr>
        <w:t xml:space="preserve">. Ante estos actos de injerencia e irrespeto de la autonomía, en </w:t>
      </w:r>
      <w:r w:rsidR="00EF0C4E">
        <w:rPr>
          <w:bCs/>
        </w:rPr>
        <w:t>10</w:t>
      </w:r>
      <w:r w:rsidR="001C4D22">
        <w:rPr>
          <w:bCs/>
        </w:rPr>
        <w:t xml:space="preserve"> años se han p</w:t>
      </w:r>
      <w:r w:rsidR="006D236B">
        <w:rPr>
          <w:bCs/>
        </w:rPr>
        <w:t xml:space="preserve">resentado aproximadamente </w:t>
      </w:r>
      <w:r w:rsidR="00EF0C4E">
        <w:rPr>
          <w:bCs/>
        </w:rPr>
        <w:t xml:space="preserve">25 </w:t>
      </w:r>
      <w:r w:rsidR="001C4D22">
        <w:rPr>
          <w:bCs/>
        </w:rPr>
        <w:t xml:space="preserve">recursos de amparo </w:t>
      </w:r>
      <w:r w:rsidR="00BD33FF">
        <w:rPr>
          <w:bCs/>
        </w:rPr>
        <w:t xml:space="preserve">sin respuesta satisfactoria </w:t>
      </w:r>
      <w:r w:rsidR="001C4D22">
        <w:rPr>
          <w:bCs/>
        </w:rPr>
        <w:t xml:space="preserve">en contra de estas autoridades paralelas, </w:t>
      </w:r>
      <w:r w:rsidR="00BD33FF">
        <w:rPr>
          <w:bCs/>
        </w:rPr>
        <w:t xml:space="preserve">en contra del CRACCS, Asamblea Nacional y la Presidencia de la </w:t>
      </w:r>
      <w:r w:rsidR="008526CD">
        <w:rPr>
          <w:bCs/>
        </w:rPr>
        <w:t>Republica</w:t>
      </w:r>
      <w:proofErr w:type="gramStart"/>
      <w:r w:rsidR="00F40296">
        <w:rPr>
          <w:bCs/>
        </w:rPr>
        <w:t>.</w:t>
      </w:r>
      <w:r w:rsidR="001C4D22">
        <w:rPr>
          <w:bCs/>
        </w:rPr>
        <w:t>.</w:t>
      </w:r>
      <w:proofErr w:type="gramEnd"/>
    </w:p>
    <w:p w14:paraId="7982B114" w14:textId="77777777" w:rsidR="001C4D22" w:rsidRDefault="001C4D22" w:rsidP="001C4D22">
      <w:pPr>
        <w:jc w:val="both"/>
        <w:rPr>
          <w:b/>
          <w:i/>
          <w:iCs/>
        </w:rPr>
      </w:pPr>
    </w:p>
    <w:p w14:paraId="25D04307" w14:textId="77777777" w:rsidR="001C4D22" w:rsidRDefault="001C4D22" w:rsidP="001C4D22">
      <w:pPr>
        <w:jc w:val="both"/>
      </w:pPr>
      <w:r>
        <w:rPr>
          <w:b/>
          <w:i/>
          <w:iCs/>
        </w:rPr>
        <w:t>El caso del Canal Interoceánico</w:t>
      </w:r>
      <w:r>
        <w:rPr>
          <w:rStyle w:val="Ancladenotaalpie"/>
          <w:b/>
          <w:i/>
          <w:iCs/>
        </w:rPr>
        <w:footnoteReference w:id="38"/>
      </w:r>
    </w:p>
    <w:p w14:paraId="41A839A3" w14:textId="77777777" w:rsidR="001C4D22" w:rsidRDefault="001C4D22" w:rsidP="001C4D22">
      <w:pPr>
        <w:jc w:val="both"/>
        <w:rPr>
          <w:rFonts w:cstheme="minorHAnsi"/>
          <w:b/>
          <w:bCs/>
          <w:i/>
          <w:iCs/>
        </w:rPr>
      </w:pPr>
    </w:p>
    <w:p w14:paraId="6DB7F0BD" w14:textId="6E65B5B4" w:rsidR="001C4D22" w:rsidRDefault="001C4D22" w:rsidP="001C4D22">
      <w:pPr>
        <w:jc w:val="both"/>
      </w:pPr>
      <w:r>
        <w:rPr>
          <w:rFonts w:cstheme="minorHAnsi"/>
          <w:bCs/>
        </w:rPr>
        <w:t>2</w:t>
      </w:r>
      <w:r w:rsidR="008D04B7">
        <w:rPr>
          <w:rFonts w:cstheme="minorHAnsi"/>
          <w:bCs/>
        </w:rPr>
        <w:t>0</w:t>
      </w:r>
      <w:r>
        <w:rPr>
          <w:rFonts w:cstheme="minorHAnsi"/>
          <w:bCs/>
        </w:rPr>
        <w:t xml:space="preserve">. En junio 2013, el CRACCS sesionó en Bluefields y aprobó solicitud del presidente </w:t>
      </w:r>
      <w:r w:rsidR="00EF0C4E">
        <w:rPr>
          <w:rFonts w:cstheme="minorHAnsi"/>
          <w:bCs/>
        </w:rPr>
        <w:t xml:space="preserve">de la República </w:t>
      </w:r>
      <w:r>
        <w:rPr>
          <w:rFonts w:cstheme="minorHAnsi"/>
          <w:bCs/>
        </w:rPr>
        <w:t>para gestionar el proyecto del Gran Canal Interoceánico de Nicaragua (GCIN).</w:t>
      </w:r>
      <w:r>
        <w:rPr>
          <w:rStyle w:val="Ancladenotaalpie"/>
          <w:rFonts w:cstheme="minorHAnsi"/>
          <w:bCs/>
        </w:rPr>
        <w:footnoteReference w:id="39"/>
      </w:r>
      <w:r>
        <w:rPr>
          <w:rFonts w:cstheme="minorHAnsi"/>
          <w:bCs/>
        </w:rPr>
        <w:t xml:space="preserve"> Esta aprobación, intentó cumplir el mandato de la Constitución que establece que: “</w:t>
      </w:r>
      <w:r>
        <w:rPr>
          <w:rFonts w:cstheme="minorHAnsi"/>
          <w:i/>
        </w:rPr>
        <w:t>Las concesiones y los contratos de explotación racional de los recursos naturales que otorga el Estado en las Regiones Autónomas de la Costa Caribe deberán contar con la aprobación del Consejo Regional Autónomo correspondiente.</w:t>
      </w:r>
      <w:r>
        <w:rPr>
          <w:rFonts w:cstheme="minorHAnsi"/>
        </w:rPr>
        <w:t xml:space="preserve">” </w:t>
      </w:r>
      <w:r>
        <w:rPr>
          <w:rStyle w:val="Ancladenotaalpie"/>
          <w:rFonts w:cstheme="minorHAnsi"/>
        </w:rPr>
        <w:footnoteReference w:id="40"/>
      </w:r>
      <w:r>
        <w:rPr>
          <w:rFonts w:cstheme="minorHAnsi"/>
        </w:rPr>
        <w:t xml:space="preserve"> </w:t>
      </w:r>
      <w:r w:rsidR="003A63BC">
        <w:rPr>
          <w:rFonts w:cstheme="minorHAnsi"/>
        </w:rPr>
        <w:t xml:space="preserve">La aprobación de esta resolución en el CRACCS dio lugar </w:t>
      </w:r>
      <w:r w:rsidR="003A63BC">
        <w:rPr>
          <w:bCs/>
        </w:rPr>
        <w:t>a la Ley del Gran Canal (Ley 840) y a la Ley Creadora de la Autoridad del Canal (Ley 800)</w:t>
      </w:r>
      <w:r w:rsidR="003A63BC">
        <w:rPr>
          <w:rStyle w:val="Ancladenotaalpie"/>
          <w:bCs/>
        </w:rPr>
        <w:footnoteReference w:id="41"/>
      </w:r>
      <w:r w:rsidR="003A63BC">
        <w:rPr>
          <w:bCs/>
        </w:rPr>
        <w:t xml:space="preserve">. </w:t>
      </w:r>
      <w:r w:rsidR="003A63BC">
        <w:rPr>
          <w:rFonts w:cstheme="minorHAnsi"/>
        </w:rPr>
        <w:t>Sin embargo</w:t>
      </w:r>
      <w:r w:rsidR="007F3405">
        <w:rPr>
          <w:rFonts w:cstheme="minorHAnsi"/>
        </w:rPr>
        <w:t>,</w:t>
      </w:r>
      <w:r w:rsidR="003A63BC">
        <w:rPr>
          <w:rFonts w:cstheme="minorHAnsi"/>
        </w:rPr>
        <w:t xml:space="preserve"> el CRACCS obvió el hecho que las tierras comunales son inembargables, inanejenables e imprescriptibles según lo define la propia Ley 28 y su Reglamento, aprobado desde el 2003</w:t>
      </w:r>
      <w:r w:rsidR="007E5DB3">
        <w:rPr>
          <w:rFonts w:cstheme="minorHAnsi"/>
        </w:rPr>
        <w:t>.</w:t>
      </w:r>
    </w:p>
    <w:p w14:paraId="449B6A49" w14:textId="77777777" w:rsidR="001C4D22" w:rsidRDefault="001C4D22" w:rsidP="001C4D22">
      <w:pPr>
        <w:jc w:val="both"/>
        <w:rPr>
          <w:rFonts w:cstheme="minorHAnsi"/>
        </w:rPr>
      </w:pPr>
    </w:p>
    <w:p w14:paraId="19495474" w14:textId="4EF89F05" w:rsidR="001C4D22" w:rsidRDefault="001C4D22" w:rsidP="001C4D22">
      <w:pPr>
        <w:pStyle w:val="Default"/>
        <w:jc w:val="both"/>
        <w:rPr>
          <w:rFonts w:asciiTheme="minorHAnsi" w:hAnsiTheme="minorHAnsi" w:cstheme="minorHAnsi"/>
        </w:rPr>
      </w:pPr>
      <w:r>
        <w:rPr>
          <w:rFonts w:asciiTheme="minorHAnsi" w:hAnsiTheme="minorHAnsi" w:cstheme="minorHAnsi"/>
        </w:rPr>
        <w:t>2</w:t>
      </w:r>
      <w:r w:rsidR="008D04B7">
        <w:rPr>
          <w:rFonts w:asciiTheme="minorHAnsi" w:hAnsiTheme="minorHAnsi" w:cstheme="minorHAnsi"/>
        </w:rPr>
        <w:t>1</w:t>
      </w:r>
      <w:r>
        <w:rPr>
          <w:rFonts w:asciiTheme="minorHAnsi" w:hAnsiTheme="minorHAnsi" w:cstheme="minorHAnsi"/>
        </w:rPr>
        <w:t>. El CRACCS violó también la Ley 445 que determina que “</w:t>
      </w:r>
      <w:r>
        <w:rPr>
          <w:rFonts w:asciiTheme="minorHAnsi" w:hAnsiTheme="minorHAnsi" w:cstheme="minorHAnsi"/>
          <w:i/>
        </w:rPr>
        <w:t>En los casos de otorgamiento de concesiones y contratos de explotación racional de los recursos del subsuelo por parte del Estado en las comunidades indígenas y étnicas, el Consejo Regional correspondiente emitirá la resolución previa consulta a las comunidades en cuyas tierras se encuentren ubicados los recursos naturales”</w:t>
      </w:r>
      <w:r>
        <w:rPr>
          <w:rStyle w:val="Ancladenotaalpie"/>
          <w:rFonts w:asciiTheme="minorHAnsi" w:hAnsiTheme="minorHAnsi" w:cstheme="minorHAnsi"/>
          <w:i/>
        </w:rPr>
        <w:footnoteReference w:id="42"/>
      </w:r>
      <w:r>
        <w:rPr>
          <w:rFonts w:asciiTheme="minorHAnsi" w:hAnsiTheme="minorHAnsi" w:cstheme="minorHAnsi"/>
        </w:rPr>
        <w:t>; y la reglamentación de la Ley de Autonomía</w:t>
      </w:r>
      <w:r>
        <w:rPr>
          <w:rStyle w:val="Ancladenotaalpie"/>
          <w:rFonts w:asciiTheme="minorHAnsi" w:hAnsiTheme="minorHAnsi" w:cstheme="minorHAnsi"/>
        </w:rPr>
        <w:footnoteReference w:id="43"/>
      </w:r>
      <w:r>
        <w:rPr>
          <w:rFonts w:asciiTheme="minorHAnsi" w:hAnsiTheme="minorHAnsi" w:cstheme="minorHAnsi"/>
        </w:rPr>
        <w:t xml:space="preserve"> que establece que “</w:t>
      </w:r>
      <w:r>
        <w:rPr>
          <w:rFonts w:asciiTheme="minorHAnsi" w:hAnsiTheme="minorHAnsi" w:cstheme="minorHAnsi"/>
          <w:i/>
        </w:rPr>
        <w:t>para el aprovechamiento de los recursos naturales en tierras comunales, se reconoce el derecho de propiedad de las comunidades sobre los mismos y los beneficios se distribuirán conforme lo establecido en la ley 445</w:t>
      </w:r>
      <w:r>
        <w:rPr>
          <w:rFonts w:asciiTheme="minorHAnsi" w:hAnsiTheme="minorHAnsi" w:cstheme="minorHAnsi"/>
        </w:rPr>
        <w:t>…”.</w:t>
      </w:r>
      <w:r>
        <w:rPr>
          <w:rStyle w:val="Ancladenotaalpie"/>
          <w:rFonts w:asciiTheme="minorHAnsi" w:hAnsiTheme="minorHAnsi" w:cstheme="minorHAnsi"/>
        </w:rPr>
        <w:footnoteReference w:id="44"/>
      </w:r>
    </w:p>
    <w:p w14:paraId="4A2DC37B" w14:textId="77777777" w:rsidR="003A63BC" w:rsidRDefault="003A63BC" w:rsidP="001C4D22">
      <w:pPr>
        <w:pStyle w:val="Default"/>
        <w:jc w:val="both"/>
      </w:pPr>
    </w:p>
    <w:p w14:paraId="13670043" w14:textId="11810315" w:rsidR="00AF5003" w:rsidRDefault="00F00611" w:rsidP="001C4D22">
      <w:pPr>
        <w:jc w:val="both"/>
        <w:rPr>
          <w:rFonts w:cstheme="minorHAnsi"/>
        </w:rPr>
      </w:pPr>
      <w:r>
        <w:rPr>
          <w:rFonts w:cstheme="minorHAnsi"/>
        </w:rPr>
        <w:t>2</w:t>
      </w:r>
      <w:r w:rsidR="008D04B7">
        <w:rPr>
          <w:rFonts w:cstheme="minorHAnsi"/>
        </w:rPr>
        <w:t>2</w:t>
      </w:r>
      <w:r w:rsidR="001C4D22">
        <w:rPr>
          <w:rFonts w:cstheme="minorHAnsi"/>
        </w:rPr>
        <w:t xml:space="preserve">. </w:t>
      </w:r>
      <w:r w:rsidR="00A617D0">
        <w:rPr>
          <w:rFonts w:cstheme="minorHAnsi"/>
          <w:bCs/>
        </w:rPr>
        <w:t>En 2013, representantes de los pueblos indígenas Rama</w:t>
      </w:r>
      <w:r w:rsidR="00F40296">
        <w:rPr>
          <w:rFonts w:cstheme="minorHAnsi"/>
          <w:bCs/>
        </w:rPr>
        <w:t xml:space="preserve"> y</w:t>
      </w:r>
      <w:r w:rsidR="00A617D0">
        <w:rPr>
          <w:rFonts w:cstheme="minorHAnsi"/>
          <w:bCs/>
        </w:rPr>
        <w:t xml:space="preserve"> Kriol de Monkey Point y del pueblo Creole de Bluefields, recurrieron de amparo por la violación de su derecho a la </w:t>
      </w:r>
      <w:r w:rsidR="00BB7EA1">
        <w:rPr>
          <w:rFonts w:cstheme="minorHAnsi"/>
          <w:bCs/>
        </w:rPr>
        <w:t xml:space="preserve">CLPI </w:t>
      </w:r>
      <w:r w:rsidR="00A617D0">
        <w:rPr>
          <w:rFonts w:cstheme="minorHAnsi"/>
          <w:bCs/>
        </w:rPr>
        <w:t>y a la propiedad comunal por parte del Estado y del Gobierno Regional por la aprobación de la ley del Gran Canal Interoceánico. La CSJ rechazó el recurso de los comunitarios junto a otros 32 recursos interpuestos</w:t>
      </w:r>
      <w:r w:rsidR="007E5DB3">
        <w:rPr>
          <w:rFonts w:cstheme="minorHAnsi"/>
          <w:bCs/>
        </w:rPr>
        <w:t xml:space="preserve">. </w:t>
      </w:r>
      <w:r w:rsidR="00A617D0">
        <w:rPr>
          <w:rFonts w:cstheme="minorHAnsi"/>
          <w:bCs/>
        </w:rPr>
        <w:t xml:space="preserve"> </w:t>
      </w:r>
      <w:r w:rsidR="001C4D22">
        <w:rPr>
          <w:rFonts w:cstheme="minorHAnsi"/>
        </w:rPr>
        <w:t xml:space="preserve">Así, bajo intimidación, amenazas y el </w:t>
      </w:r>
      <w:r w:rsidR="001C4D22">
        <w:rPr>
          <w:rFonts w:cstheme="minorHAnsi"/>
        </w:rPr>
        <w:lastRenderedPageBreak/>
        <w:t xml:space="preserve">uso de la fuerza pública </w:t>
      </w:r>
      <w:r w:rsidR="00A617D0">
        <w:rPr>
          <w:rFonts w:cstheme="minorHAnsi"/>
        </w:rPr>
        <w:t xml:space="preserve">el gobierno </w:t>
      </w:r>
      <w:r w:rsidR="00F40296">
        <w:rPr>
          <w:rFonts w:cstheme="minorHAnsi"/>
        </w:rPr>
        <w:t xml:space="preserve">regional </w:t>
      </w:r>
      <w:r w:rsidR="00A617D0">
        <w:rPr>
          <w:rFonts w:cstheme="minorHAnsi"/>
        </w:rPr>
        <w:t xml:space="preserve">impuso </w:t>
      </w:r>
      <w:r w:rsidR="003A63BC">
        <w:rPr>
          <w:rFonts w:cstheme="minorHAnsi"/>
        </w:rPr>
        <w:t xml:space="preserve">en el 2014 </w:t>
      </w:r>
      <w:r w:rsidR="001C4D22">
        <w:rPr>
          <w:rFonts w:cstheme="minorHAnsi"/>
        </w:rPr>
        <w:t xml:space="preserve">a un gobierno paralelo en Bluefields que </w:t>
      </w:r>
      <w:r w:rsidR="00EA1E74">
        <w:rPr>
          <w:rFonts w:cstheme="minorHAnsi"/>
        </w:rPr>
        <w:t>permitió</w:t>
      </w:r>
      <w:r w:rsidR="00DC22EA">
        <w:rPr>
          <w:rFonts w:cstheme="minorHAnsi"/>
        </w:rPr>
        <w:t xml:space="preserve"> </w:t>
      </w:r>
      <w:r w:rsidR="001C4D22">
        <w:rPr>
          <w:rFonts w:cstheme="minorHAnsi"/>
        </w:rPr>
        <w:t>cercen</w:t>
      </w:r>
      <w:r w:rsidR="00DC22EA">
        <w:rPr>
          <w:rFonts w:cstheme="minorHAnsi"/>
        </w:rPr>
        <w:t>ar</w:t>
      </w:r>
      <w:r w:rsidR="001C4D22">
        <w:rPr>
          <w:rStyle w:val="Ancladenotaalpie"/>
          <w:rFonts w:cstheme="minorHAnsi"/>
        </w:rPr>
        <w:footnoteReference w:id="45"/>
      </w:r>
      <w:r w:rsidR="001C4D22">
        <w:rPr>
          <w:rFonts w:cstheme="minorHAnsi"/>
        </w:rPr>
        <w:t xml:space="preserve"> el 93% del territorio reclamado por el pueblo creole</w:t>
      </w:r>
      <w:r w:rsidR="001C4D22">
        <w:rPr>
          <w:rStyle w:val="Ancladenotaalpie"/>
          <w:rFonts w:cstheme="minorHAnsi"/>
        </w:rPr>
        <w:footnoteReference w:id="46"/>
      </w:r>
      <w:r w:rsidR="001C4D22">
        <w:rPr>
          <w:rFonts w:cstheme="minorHAnsi"/>
        </w:rPr>
        <w:t xml:space="preserve"> que consistía aproximadamente de 2,004,952.812 ha </w:t>
      </w:r>
      <w:r w:rsidR="001C4D22">
        <w:rPr>
          <w:rStyle w:val="Ancladenotaalpie"/>
          <w:rFonts w:cstheme="minorHAnsi"/>
        </w:rPr>
        <w:footnoteReference w:id="47"/>
      </w:r>
      <w:r w:rsidR="001C4D22">
        <w:rPr>
          <w:rFonts w:cstheme="minorHAnsi"/>
        </w:rPr>
        <w:t xml:space="preserve">. Asimismo, en enero de 2016, la autoridad territorial del pueblo Rama </w:t>
      </w:r>
      <w:r w:rsidR="00F40296">
        <w:rPr>
          <w:rFonts w:cstheme="minorHAnsi"/>
        </w:rPr>
        <w:t xml:space="preserve">y </w:t>
      </w:r>
      <w:r w:rsidR="001C4D22">
        <w:rPr>
          <w:rFonts w:cstheme="minorHAnsi"/>
        </w:rPr>
        <w:t>Kriol fue forzada bajo presencia policial a firmar un acuerdo de arriendo perpetuo sobre 263km</w:t>
      </w:r>
      <w:r w:rsidR="00D173AE">
        <w:rPr>
          <w:rFonts w:cstheme="minorHAnsi"/>
        </w:rPr>
        <w:t>.</w:t>
      </w:r>
      <w:r w:rsidR="00DC22EA">
        <w:rPr>
          <w:rFonts w:cstheme="minorHAnsi"/>
        </w:rPr>
        <w:t>2</w:t>
      </w:r>
      <w:r w:rsidR="001C4D22">
        <w:rPr>
          <w:rFonts w:cstheme="minorHAnsi"/>
        </w:rPr>
        <w:t xml:space="preserve"> de sus tierras comunales para el proyecto del Canal</w:t>
      </w:r>
      <w:r w:rsidR="001C4D22">
        <w:rPr>
          <w:rStyle w:val="Ancladenotaalpie"/>
          <w:rFonts w:cstheme="minorHAnsi"/>
        </w:rPr>
        <w:footnoteReference w:id="48"/>
      </w:r>
      <w:r w:rsidR="00C7187F">
        <w:rPr>
          <w:rFonts w:cstheme="minorHAnsi"/>
        </w:rPr>
        <w:t>, luego continuaron las concesiones sobre recursos forestales</w:t>
      </w:r>
      <w:r w:rsidR="000160F8">
        <w:rPr>
          <w:rFonts w:cstheme="minorHAnsi"/>
        </w:rPr>
        <w:t>, de minas</w:t>
      </w:r>
      <w:r w:rsidR="00C7187F">
        <w:rPr>
          <w:rFonts w:cstheme="minorHAnsi"/>
        </w:rPr>
        <w:t xml:space="preserve"> y de la pesca</w:t>
      </w:r>
      <w:r w:rsidR="000160F8">
        <w:rPr>
          <w:rFonts w:cstheme="minorHAnsi"/>
        </w:rPr>
        <w:t>.</w:t>
      </w:r>
    </w:p>
    <w:p w14:paraId="2020C8A6" w14:textId="77777777" w:rsidR="001C4D22" w:rsidRDefault="001C4D22" w:rsidP="001C4D22">
      <w:pPr>
        <w:jc w:val="both"/>
        <w:rPr>
          <w:rFonts w:cstheme="minorHAnsi"/>
          <w:bCs/>
        </w:rPr>
      </w:pPr>
    </w:p>
    <w:p w14:paraId="096371AB" w14:textId="2313EE54" w:rsidR="00AF5003" w:rsidRDefault="00C5775D" w:rsidP="00AF5003">
      <w:pPr>
        <w:pStyle w:val="Default"/>
        <w:jc w:val="both"/>
        <w:rPr>
          <w:rStyle w:val="FootnoteCharacters"/>
          <w:rFonts w:asciiTheme="minorHAnsi" w:hAnsiTheme="minorHAnsi" w:cstheme="minorHAnsi"/>
        </w:rPr>
      </w:pPr>
      <w:r>
        <w:rPr>
          <w:rFonts w:asciiTheme="minorHAnsi" w:hAnsiTheme="minorHAnsi" w:cstheme="minorHAnsi"/>
          <w:bCs/>
        </w:rPr>
        <w:t>2</w:t>
      </w:r>
      <w:r w:rsidR="008D04B7">
        <w:rPr>
          <w:rFonts w:asciiTheme="minorHAnsi" w:hAnsiTheme="minorHAnsi" w:cstheme="minorHAnsi"/>
          <w:bCs/>
        </w:rPr>
        <w:t>3</w:t>
      </w:r>
      <w:r w:rsidR="00AF5003">
        <w:rPr>
          <w:rFonts w:asciiTheme="minorHAnsi" w:hAnsiTheme="minorHAnsi" w:cstheme="minorHAnsi"/>
          <w:bCs/>
        </w:rPr>
        <w:t>. Ante la falta de respuesta de las autoridades nicaragüenses, en 2014 las autoridades comunales y territoriales de la Costa Caribe, llevaron el caso del proyecto del Canal Interoceánico ante la Comisión Interamericana de Derechos Humanos (CIDH). Hasta el momento se han realizado cinco audiencias (2014-2020)</w:t>
      </w:r>
      <w:r w:rsidR="00996710" w:rsidRPr="00996710">
        <w:rPr>
          <w:rStyle w:val="Ancladenotaalpie"/>
          <w:rFonts w:asciiTheme="minorHAnsi" w:hAnsiTheme="minorHAnsi" w:cstheme="minorHAnsi"/>
        </w:rPr>
        <w:t xml:space="preserve"> </w:t>
      </w:r>
      <w:r w:rsidR="00996710">
        <w:rPr>
          <w:rStyle w:val="Ancladenotaalpie"/>
          <w:rFonts w:asciiTheme="minorHAnsi" w:hAnsiTheme="minorHAnsi" w:cstheme="minorHAnsi"/>
        </w:rPr>
        <w:footnoteReference w:id="49"/>
      </w:r>
      <w:r w:rsidR="00D5555C">
        <w:rPr>
          <w:rFonts w:asciiTheme="minorHAnsi" w:hAnsiTheme="minorHAnsi" w:cstheme="minorHAnsi"/>
          <w:bCs/>
        </w:rPr>
        <w:t xml:space="preserve">. Actualmente el caso del Canal </w:t>
      </w:r>
      <w:r w:rsidR="00407ADC">
        <w:rPr>
          <w:rFonts w:asciiTheme="minorHAnsi" w:hAnsiTheme="minorHAnsi" w:cstheme="minorHAnsi"/>
          <w:bCs/>
        </w:rPr>
        <w:t>Interoceánico</w:t>
      </w:r>
      <w:r w:rsidR="00D5555C">
        <w:rPr>
          <w:rFonts w:asciiTheme="minorHAnsi" w:hAnsiTheme="minorHAnsi" w:cstheme="minorHAnsi"/>
          <w:bCs/>
        </w:rPr>
        <w:t xml:space="preserve"> por </w:t>
      </w:r>
      <w:r w:rsidR="00BD33FF">
        <w:rPr>
          <w:rFonts w:asciiTheme="minorHAnsi" w:hAnsiTheme="minorHAnsi" w:cstheme="minorHAnsi"/>
          <w:bCs/>
        </w:rPr>
        <w:t>Nicaragua</w:t>
      </w:r>
      <w:r w:rsidR="00D5555C">
        <w:rPr>
          <w:rFonts w:asciiTheme="minorHAnsi" w:hAnsiTheme="minorHAnsi" w:cstheme="minorHAnsi"/>
          <w:bCs/>
        </w:rPr>
        <w:t xml:space="preserve"> est</w:t>
      </w:r>
      <w:r w:rsidR="007F3405">
        <w:rPr>
          <w:rFonts w:asciiTheme="minorHAnsi" w:hAnsiTheme="minorHAnsi" w:cstheme="minorHAnsi"/>
          <w:bCs/>
        </w:rPr>
        <w:t>á</w:t>
      </w:r>
      <w:r w:rsidR="00D5555C">
        <w:rPr>
          <w:rFonts w:asciiTheme="minorHAnsi" w:hAnsiTheme="minorHAnsi" w:cstheme="minorHAnsi"/>
          <w:bCs/>
        </w:rPr>
        <w:t xml:space="preserve"> ante la Corte IDH</w:t>
      </w:r>
      <w:r w:rsidR="007E5DB3">
        <w:rPr>
          <w:rStyle w:val="Refdenotaalpie"/>
          <w:rFonts w:asciiTheme="minorHAnsi" w:hAnsiTheme="minorHAnsi" w:cstheme="minorHAnsi"/>
          <w:bCs/>
        </w:rPr>
        <w:footnoteReference w:id="50"/>
      </w:r>
      <w:r w:rsidR="00AF5003">
        <w:rPr>
          <w:rFonts w:asciiTheme="minorHAnsi" w:hAnsiTheme="minorHAnsi" w:cstheme="minorHAnsi"/>
          <w:bCs/>
        </w:rPr>
        <w:t>.</w:t>
      </w:r>
      <w:r w:rsidR="00AF5003">
        <w:rPr>
          <w:rStyle w:val="FootnoteCharacters"/>
          <w:rFonts w:asciiTheme="minorHAnsi" w:hAnsiTheme="minorHAnsi" w:cstheme="minorHAnsi"/>
        </w:rPr>
        <w:t xml:space="preserve"> </w:t>
      </w:r>
    </w:p>
    <w:p w14:paraId="11E82FA2" w14:textId="7E67F5AB" w:rsidR="00AF5003" w:rsidRDefault="00AF5003" w:rsidP="00AF5003">
      <w:pPr>
        <w:pStyle w:val="Default"/>
        <w:jc w:val="both"/>
        <w:rPr>
          <w:rFonts w:asciiTheme="minorHAnsi" w:hAnsiTheme="minorHAnsi" w:cstheme="minorHAnsi"/>
          <w:bCs/>
        </w:rPr>
      </w:pPr>
      <w:r>
        <w:rPr>
          <w:rFonts w:asciiTheme="minorHAnsi" w:hAnsiTheme="minorHAnsi" w:cstheme="minorHAnsi"/>
        </w:rPr>
        <w:t xml:space="preserve"> </w:t>
      </w:r>
      <w:r>
        <w:rPr>
          <w:rFonts w:asciiTheme="minorHAnsi" w:hAnsiTheme="minorHAnsi" w:cstheme="minorHAnsi"/>
          <w:bCs/>
        </w:rPr>
        <w:t xml:space="preserve"> </w:t>
      </w:r>
    </w:p>
    <w:p w14:paraId="741BDA60" w14:textId="7805F99B" w:rsidR="00AF5003" w:rsidRDefault="00C5775D" w:rsidP="00AF5003">
      <w:pPr>
        <w:pStyle w:val="Default"/>
        <w:jc w:val="both"/>
        <w:rPr>
          <w:rFonts w:asciiTheme="minorHAnsi" w:hAnsiTheme="minorHAnsi" w:cstheme="minorHAnsi"/>
          <w:bCs/>
        </w:rPr>
      </w:pPr>
      <w:r>
        <w:rPr>
          <w:rFonts w:asciiTheme="minorHAnsi" w:hAnsiTheme="minorHAnsi" w:cstheme="minorHAnsi"/>
          <w:bCs/>
        </w:rPr>
        <w:t>2</w:t>
      </w:r>
      <w:r w:rsidR="008D04B7">
        <w:rPr>
          <w:rFonts w:asciiTheme="minorHAnsi" w:hAnsiTheme="minorHAnsi" w:cstheme="minorHAnsi"/>
          <w:bCs/>
        </w:rPr>
        <w:t>4</w:t>
      </w:r>
      <w:r w:rsidR="0067311A">
        <w:rPr>
          <w:rFonts w:asciiTheme="minorHAnsi" w:hAnsiTheme="minorHAnsi" w:cstheme="minorHAnsi"/>
          <w:bCs/>
        </w:rPr>
        <w:t xml:space="preserve">. </w:t>
      </w:r>
      <w:r w:rsidR="00A617D0">
        <w:rPr>
          <w:rFonts w:asciiTheme="minorHAnsi" w:hAnsiTheme="minorHAnsi" w:cstheme="minorHAnsi"/>
          <w:bCs/>
        </w:rPr>
        <w:t>Por otra parte e</w:t>
      </w:r>
      <w:r w:rsidR="0067311A">
        <w:rPr>
          <w:rFonts w:asciiTheme="minorHAnsi" w:hAnsiTheme="minorHAnsi" w:cstheme="minorHAnsi"/>
          <w:bCs/>
        </w:rPr>
        <w:t>l proyecto agroindustrial de la Palma Africana</w:t>
      </w:r>
      <w:r w:rsidR="00D5555C">
        <w:rPr>
          <w:rStyle w:val="Refdenotaalpie"/>
          <w:rFonts w:asciiTheme="minorHAnsi" w:hAnsiTheme="minorHAnsi" w:cstheme="minorHAnsi"/>
          <w:bCs/>
        </w:rPr>
        <w:footnoteReference w:id="51"/>
      </w:r>
      <w:r w:rsidR="0067311A">
        <w:rPr>
          <w:rFonts w:asciiTheme="minorHAnsi" w:hAnsiTheme="minorHAnsi" w:cstheme="minorHAnsi"/>
          <w:bCs/>
        </w:rPr>
        <w:t xml:space="preserve"> en el Caribe Sur </w:t>
      </w:r>
      <w:r w:rsidR="00996710">
        <w:rPr>
          <w:rFonts w:asciiTheme="minorHAnsi" w:hAnsiTheme="minorHAnsi" w:cstheme="minorHAnsi"/>
          <w:bCs/>
        </w:rPr>
        <w:t>continua</w:t>
      </w:r>
      <w:r w:rsidR="0067311A">
        <w:rPr>
          <w:rFonts w:asciiTheme="minorHAnsi" w:hAnsiTheme="minorHAnsi" w:cstheme="minorHAnsi"/>
          <w:bCs/>
        </w:rPr>
        <w:t xml:space="preserve"> </w:t>
      </w:r>
      <w:r w:rsidR="00A617D0">
        <w:rPr>
          <w:rFonts w:asciiTheme="minorHAnsi" w:hAnsiTheme="minorHAnsi" w:cstheme="minorHAnsi"/>
          <w:bCs/>
        </w:rPr>
        <w:t>expandiéndose</w:t>
      </w:r>
      <w:r w:rsidR="0067311A">
        <w:rPr>
          <w:rFonts w:asciiTheme="minorHAnsi" w:hAnsiTheme="minorHAnsi" w:cstheme="minorHAnsi"/>
          <w:bCs/>
        </w:rPr>
        <w:t xml:space="preserve"> utilizando grandes área de bosque primario en la zona de Kukra Hill y Laguna de Perlas </w:t>
      </w:r>
      <w:r w:rsidR="00EA1E74">
        <w:rPr>
          <w:rFonts w:asciiTheme="minorHAnsi" w:hAnsiTheme="minorHAnsi" w:cstheme="minorHAnsi"/>
          <w:bCs/>
        </w:rPr>
        <w:t>así</w:t>
      </w:r>
      <w:r w:rsidR="0067311A">
        <w:rPr>
          <w:rFonts w:asciiTheme="minorHAnsi" w:hAnsiTheme="minorHAnsi" w:cstheme="minorHAnsi"/>
          <w:bCs/>
        </w:rPr>
        <w:t xml:space="preserve"> como en el municipio de El Rama, provocando una fuerte contaminación </w:t>
      </w:r>
      <w:r w:rsidR="00826689">
        <w:rPr>
          <w:rFonts w:asciiTheme="minorHAnsi" w:hAnsiTheme="minorHAnsi" w:cstheme="minorHAnsi"/>
          <w:bCs/>
        </w:rPr>
        <w:t>en los ríos Ñari y Escondido</w:t>
      </w:r>
      <w:r w:rsidR="00D173AE">
        <w:rPr>
          <w:rFonts w:asciiTheme="minorHAnsi" w:hAnsiTheme="minorHAnsi" w:cstheme="minorHAnsi"/>
          <w:bCs/>
        </w:rPr>
        <w:t>,</w:t>
      </w:r>
      <w:r w:rsidR="00826689">
        <w:rPr>
          <w:rFonts w:asciiTheme="minorHAnsi" w:hAnsiTheme="minorHAnsi" w:cstheme="minorHAnsi"/>
          <w:bCs/>
        </w:rPr>
        <w:t xml:space="preserve"> principal afluente de la bahía Bluefields </w:t>
      </w:r>
      <w:r w:rsidR="0067311A">
        <w:rPr>
          <w:rFonts w:asciiTheme="minorHAnsi" w:hAnsiTheme="minorHAnsi" w:cstheme="minorHAnsi"/>
          <w:bCs/>
        </w:rPr>
        <w:t>y de interés de la pesca en comunidades costeras en el Caribe Sur.</w:t>
      </w:r>
    </w:p>
    <w:p w14:paraId="54357CE6" w14:textId="77777777" w:rsidR="00AF5003" w:rsidRDefault="00AF5003" w:rsidP="00AF5003">
      <w:pPr>
        <w:pStyle w:val="Default"/>
        <w:jc w:val="both"/>
      </w:pPr>
    </w:p>
    <w:p w14:paraId="26842340" w14:textId="078E8535" w:rsidR="00826689" w:rsidRPr="00407ADC" w:rsidRDefault="00C5775D" w:rsidP="00AF5003">
      <w:pPr>
        <w:pStyle w:val="Default"/>
        <w:jc w:val="both"/>
        <w:rPr>
          <w:rFonts w:asciiTheme="minorHAnsi" w:hAnsiTheme="minorHAnsi" w:cstheme="minorHAnsi"/>
        </w:rPr>
      </w:pPr>
      <w:r>
        <w:rPr>
          <w:rFonts w:asciiTheme="minorHAnsi" w:hAnsiTheme="minorHAnsi" w:cstheme="minorHAnsi"/>
        </w:rPr>
        <w:t>2</w:t>
      </w:r>
      <w:r w:rsidR="008D04B7">
        <w:rPr>
          <w:rFonts w:asciiTheme="minorHAnsi" w:hAnsiTheme="minorHAnsi" w:cstheme="minorHAnsi"/>
        </w:rPr>
        <w:t>5</w:t>
      </w:r>
      <w:r w:rsidR="00826689" w:rsidRPr="00407ADC">
        <w:rPr>
          <w:rFonts w:asciiTheme="minorHAnsi" w:hAnsiTheme="minorHAnsi" w:cstheme="minorHAnsi"/>
        </w:rPr>
        <w:t xml:space="preserve">. </w:t>
      </w:r>
      <w:r w:rsidR="00407ADC">
        <w:rPr>
          <w:rFonts w:asciiTheme="minorHAnsi" w:hAnsiTheme="minorHAnsi" w:cstheme="minorHAnsi"/>
        </w:rPr>
        <w:t>En noviembre 2020, el Fondo Verde del Clima aprobó el proyecto de Bioclima para Nicaragua el cual impactar</w:t>
      </w:r>
      <w:r w:rsidR="007F3405">
        <w:rPr>
          <w:rFonts w:asciiTheme="minorHAnsi" w:hAnsiTheme="minorHAnsi" w:cstheme="minorHAnsi"/>
        </w:rPr>
        <w:t>á</w:t>
      </w:r>
      <w:r w:rsidR="00407ADC">
        <w:rPr>
          <w:rFonts w:asciiTheme="minorHAnsi" w:hAnsiTheme="minorHAnsi" w:cstheme="minorHAnsi"/>
        </w:rPr>
        <w:t xml:space="preserve"> dos grandes reservas ubicadas en tierras comunales (BOSAWAS y la Reserva Indio Maíz) este proyecto de relevancia internacional no fue consultado a las comunidades indígenas y afrodescendientes</w:t>
      </w:r>
      <w:r w:rsidR="00A617D0">
        <w:rPr>
          <w:rFonts w:asciiTheme="minorHAnsi" w:hAnsiTheme="minorHAnsi" w:cstheme="minorHAnsi"/>
        </w:rPr>
        <w:t xml:space="preserve"> de forma legítima</w:t>
      </w:r>
      <w:r w:rsidR="00407ADC">
        <w:rPr>
          <w:rFonts w:asciiTheme="minorHAnsi" w:hAnsiTheme="minorHAnsi" w:cstheme="minorHAnsi"/>
        </w:rPr>
        <w:t xml:space="preserve">. </w:t>
      </w:r>
    </w:p>
    <w:p w14:paraId="585741CC" w14:textId="77777777" w:rsidR="00826689" w:rsidRDefault="00826689" w:rsidP="00AF5003">
      <w:pPr>
        <w:pStyle w:val="Default"/>
        <w:jc w:val="both"/>
      </w:pPr>
    </w:p>
    <w:p w14:paraId="73787D3B" w14:textId="0198FD87" w:rsidR="001C4D22" w:rsidRDefault="00C5775D" w:rsidP="001C4D22">
      <w:pPr>
        <w:jc w:val="both"/>
      </w:pPr>
      <w:r>
        <w:rPr>
          <w:bCs/>
        </w:rPr>
        <w:t>2</w:t>
      </w:r>
      <w:r w:rsidR="008D04B7">
        <w:rPr>
          <w:bCs/>
        </w:rPr>
        <w:t>6</w:t>
      </w:r>
      <w:r w:rsidR="001C4D22">
        <w:rPr>
          <w:bCs/>
        </w:rPr>
        <w:t xml:space="preserve">. Valoramos positivamente la circular </w:t>
      </w:r>
      <w:r w:rsidR="00A617D0">
        <w:rPr>
          <w:bCs/>
        </w:rPr>
        <w:t>de la CSJ</w:t>
      </w:r>
      <w:r w:rsidR="00A617D0">
        <w:rPr>
          <w:rStyle w:val="Ancladenotaalpie"/>
          <w:bCs/>
        </w:rPr>
        <w:footnoteReference w:id="52"/>
      </w:r>
      <w:r w:rsidR="00A617D0">
        <w:rPr>
          <w:bCs/>
        </w:rPr>
        <w:t xml:space="preserve"> </w:t>
      </w:r>
      <w:r w:rsidR="001C4D22">
        <w:rPr>
          <w:bCs/>
        </w:rPr>
        <w:t>dirigida a notarios públicos y abogados mediante la cual  les llamó a considerar en sus procedimientos que las tierras comunales son inembargables, imprescriptibles e inenajenables. Esta circular si bien es un paso importante, no es suficiente porque primero es necesario, corregir el proceso de demarcación territorial, sanear las tierras comunales, derogar la Ley del Gran Canal, derogar la Ley creadora de la Autoridad del Canal</w:t>
      </w:r>
      <w:r w:rsidR="001C4D22">
        <w:rPr>
          <w:rStyle w:val="Ancladenotaalpie"/>
          <w:bCs/>
        </w:rPr>
        <w:footnoteReference w:id="53"/>
      </w:r>
      <w:r w:rsidR="001C4D22">
        <w:rPr>
          <w:bCs/>
        </w:rPr>
        <w:t xml:space="preserve"> y restituir las tierras a los pueblos indígenas y afrodescendientes.</w:t>
      </w:r>
    </w:p>
    <w:p w14:paraId="613B81FD" w14:textId="77777777" w:rsidR="001C4D22" w:rsidRPr="00996710" w:rsidRDefault="001C4D22" w:rsidP="00996710">
      <w:pPr>
        <w:pStyle w:val="Default"/>
        <w:jc w:val="both"/>
        <w:rPr>
          <w:rFonts w:asciiTheme="minorHAnsi" w:hAnsiTheme="minorHAnsi" w:cstheme="minorHAnsi"/>
        </w:rPr>
      </w:pPr>
      <w:r w:rsidRPr="00996710">
        <w:rPr>
          <w:rFonts w:asciiTheme="minorHAnsi" w:hAnsiTheme="minorHAnsi" w:cstheme="minorHAnsi"/>
          <w:b/>
          <w:bCs/>
          <w:i/>
        </w:rPr>
        <w:lastRenderedPageBreak/>
        <w:t>Falta de garantía de la propiedad de la población afrodescendiente</w:t>
      </w:r>
    </w:p>
    <w:p w14:paraId="42F6B92D" w14:textId="77777777" w:rsidR="001C4D22" w:rsidRDefault="001C4D22" w:rsidP="001C4D22">
      <w:pPr>
        <w:jc w:val="both"/>
        <w:rPr>
          <w:b/>
          <w:bCs/>
          <w:i/>
        </w:rPr>
      </w:pPr>
    </w:p>
    <w:p w14:paraId="0E2ACD44" w14:textId="6542CB27" w:rsidR="001C4D22" w:rsidRDefault="00C5775D" w:rsidP="001C4D22">
      <w:pPr>
        <w:jc w:val="both"/>
      </w:pPr>
      <w:r>
        <w:rPr>
          <w:bCs/>
        </w:rPr>
        <w:t>2</w:t>
      </w:r>
      <w:r w:rsidR="0024646A">
        <w:rPr>
          <w:bCs/>
        </w:rPr>
        <w:t>7</w:t>
      </w:r>
      <w:r w:rsidR="001C4D22">
        <w:rPr>
          <w:bCs/>
        </w:rPr>
        <w:t>. La Ley de Autonomía</w:t>
      </w:r>
      <w:r w:rsidR="001C4D22">
        <w:rPr>
          <w:rStyle w:val="Ancladenotaalpie"/>
          <w:bCs/>
        </w:rPr>
        <w:footnoteReference w:id="54"/>
      </w:r>
      <w:r w:rsidR="001C4D22">
        <w:rPr>
          <w:bCs/>
        </w:rPr>
        <w:t xml:space="preserve"> y la Ley 445, </w:t>
      </w:r>
      <w:r w:rsidR="00AF5003">
        <w:rPr>
          <w:bCs/>
        </w:rPr>
        <w:t xml:space="preserve">ampliaron </w:t>
      </w:r>
      <w:r w:rsidR="001C4D22">
        <w:rPr>
          <w:bCs/>
        </w:rPr>
        <w:t xml:space="preserve">las formas de tenencia de </w:t>
      </w:r>
      <w:r w:rsidR="00996710">
        <w:rPr>
          <w:bCs/>
        </w:rPr>
        <w:t>las tierras tradicionalmente reconocidas</w:t>
      </w:r>
      <w:r w:rsidR="001C4D22">
        <w:rPr>
          <w:bCs/>
        </w:rPr>
        <w:t xml:space="preserve">, al </w:t>
      </w:r>
      <w:r w:rsidR="004D5C48">
        <w:rPr>
          <w:bCs/>
        </w:rPr>
        <w:t xml:space="preserve">incluir </w:t>
      </w:r>
      <w:r w:rsidR="001C4D22">
        <w:rPr>
          <w:bCs/>
        </w:rPr>
        <w:t>la forma de propiedad comunal de los pueblos indígenas y afrodescendientes</w:t>
      </w:r>
      <w:r w:rsidR="001C4D22">
        <w:rPr>
          <w:rStyle w:val="Ancladenotaalpie"/>
          <w:bCs/>
        </w:rPr>
        <w:footnoteReference w:id="55"/>
      </w:r>
      <w:r w:rsidR="001C4D22">
        <w:rPr>
          <w:bCs/>
        </w:rPr>
        <w:t>. Antes de la ley 445 no había protección a las tierras comunales, porque la Ley de Reforma Agraria daba prioridad y protección jurídica para aquellos que las trabajaban productiva y eficientemente</w:t>
      </w:r>
      <w:r w:rsidR="001C4D22">
        <w:rPr>
          <w:rStyle w:val="Ancladenotaalpie"/>
          <w:bCs/>
        </w:rPr>
        <w:footnoteReference w:id="56"/>
      </w:r>
      <w:r w:rsidR="001C4D22">
        <w:rPr>
          <w:bCs/>
        </w:rPr>
        <w:t>. De esa forma, la tierra comunal quedaba expuesta a la explotación irracional del Estado y de colonos</w:t>
      </w:r>
      <w:r w:rsidR="001C4D22">
        <w:rPr>
          <w:rStyle w:val="Ancladenotaalpie"/>
          <w:bCs/>
        </w:rPr>
        <w:footnoteReference w:id="57"/>
      </w:r>
      <w:r w:rsidR="001C4D22">
        <w:rPr>
          <w:bCs/>
        </w:rPr>
        <w:t xml:space="preserve">. </w:t>
      </w:r>
      <w:r w:rsidR="00D72622">
        <w:rPr>
          <w:bCs/>
        </w:rPr>
        <w:t xml:space="preserve">A partir del 2014, la Constitución reconoce ocho formas de propiedad, siendo una de ellas la propiedad comunal pero no tiene igual protección  a como lo tiene la propiedad privada. </w:t>
      </w:r>
    </w:p>
    <w:p w14:paraId="1B115BFC" w14:textId="77777777" w:rsidR="001C4D22" w:rsidRDefault="001C4D22" w:rsidP="001C4D22">
      <w:pPr>
        <w:jc w:val="both"/>
        <w:rPr>
          <w:bCs/>
        </w:rPr>
      </w:pPr>
    </w:p>
    <w:p w14:paraId="04028175" w14:textId="1BDD1170" w:rsidR="001C4D22" w:rsidRDefault="00C5775D" w:rsidP="001C4D22">
      <w:pPr>
        <w:jc w:val="both"/>
      </w:pPr>
      <w:r>
        <w:rPr>
          <w:bCs/>
        </w:rPr>
        <w:t>2</w:t>
      </w:r>
      <w:r w:rsidR="0024646A">
        <w:rPr>
          <w:bCs/>
        </w:rPr>
        <w:t>8</w:t>
      </w:r>
      <w:r w:rsidR="001C4D22">
        <w:rPr>
          <w:bCs/>
        </w:rPr>
        <w:t>. La falta de saneamiento de l</w:t>
      </w:r>
      <w:r w:rsidR="00F808C8">
        <w:rPr>
          <w:bCs/>
        </w:rPr>
        <w:t>as tierras comunales</w:t>
      </w:r>
      <w:r w:rsidR="001C4D22">
        <w:rPr>
          <w:bCs/>
        </w:rPr>
        <w:t>, expone a las comunidades afro</w:t>
      </w:r>
      <w:r w:rsidR="00591E4C">
        <w:rPr>
          <w:bCs/>
        </w:rPr>
        <w:t>descendietnes</w:t>
      </w:r>
      <w:r w:rsidR="00074436">
        <w:rPr>
          <w:bCs/>
        </w:rPr>
        <w:t xml:space="preserve"> </w:t>
      </w:r>
      <w:r w:rsidR="001C4D22">
        <w:rPr>
          <w:bCs/>
        </w:rPr>
        <w:t>a la inseguridad en la tenencia pacífica de la tierra</w:t>
      </w:r>
      <w:r w:rsidR="001C4D22">
        <w:rPr>
          <w:rStyle w:val="Ancladenotaalpie"/>
          <w:bCs/>
        </w:rPr>
        <w:footnoteReference w:id="58"/>
      </w:r>
      <w:r w:rsidR="001C4D22">
        <w:rPr>
          <w:bCs/>
        </w:rPr>
        <w:t>. Persisten las amenazas de personas ajenas a la comunidad que les intimidan, asesinan y desplazan de sus tierras ancestrales, con el apoyo de sectores económicos, políticos, militares y actores estatales que facilitan esta invasión</w:t>
      </w:r>
      <w:r w:rsidR="001C4D22">
        <w:rPr>
          <w:rStyle w:val="Ancladenotaalpie"/>
          <w:bCs/>
        </w:rPr>
        <w:footnoteReference w:id="59"/>
      </w:r>
      <w:r w:rsidR="001C4D22">
        <w:rPr>
          <w:bCs/>
        </w:rPr>
        <w:t xml:space="preserve">. </w:t>
      </w:r>
    </w:p>
    <w:p w14:paraId="6F2D0DBD" w14:textId="77777777" w:rsidR="001C4D22" w:rsidRDefault="001C4D22" w:rsidP="001C4D22">
      <w:pPr>
        <w:jc w:val="both"/>
        <w:rPr>
          <w:bCs/>
        </w:rPr>
      </w:pPr>
    </w:p>
    <w:p w14:paraId="2E74FA41" w14:textId="490273F4" w:rsidR="001C4D22" w:rsidRDefault="0024646A" w:rsidP="001C4D22">
      <w:pPr>
        <w:jc w:val="both"/>
      </w:pPr>
      <w:r>
        <w:rPr>
          <w:bCs/>
        </w:rPr>
        <w:t>29</w:t>
      </w:r>
      <w:r w:rsidR="001C4D22">
        <w:rPr>
          <w:bCs/>
        </w:rPr>
        <w:t xml:space="preserve">. En relación a la población afrodescendiente en Bilwi (Caribe Norte) resaltamos que su derecho a la tierra comunal en la comunidad de Karata </w:t>
      </w:r>
      <w:r w:rsidR="00863394">
        <w:rPr>
          <w:bCs/>
        </w:rPr>
        <w:t>ha sido ir</w:t>
      </w:r>
      <w:r w:rsidR="001C4D22">
        <w:rPr>
          <w:bCs/>
        </w:rPr>
        <w:t>respetado</w:t>
      </w:r>
      <w:r w:rsidR="00511C03">
        <w:rPr>
          <w:bCs/>
        </w:rPr>
        <w:t>;</w:t>
      </w:r>
      <w:r w:rsidR="00D72622">
        <w:rPr>
          <w:bCs/>
        </w:rPr>
        <w:t xml:space="preserve"> </w:t>
      </w:r>
      <w:r w:rsidR="001B7612">
        <w:rPr>
          <w:bCs/>
        </w:rPr>
        <w:t>a</w:t>
      </w:r>
      <w:r w:rsidR="004D5C48">
        <w:rPr>
          <w:bCs/>
        </w:rPr>
        <w:t>ú</w:t>
      </w:r>
      <w:r w:rsidR="001B7612">
        <w:rPr>
          <w:bCs/>
        </w:rPr>
        <w:t xml:space="preserve">n con </w:t>
      </w:r>
      <w:r w:rsidR="00D72622">
        <w:rPr>
          <w:bCs/>
        </w:rPr>
        <w:t>la ley 445,</w:t>
      </w:r>
      <w:r w:rsidR="001B7612">
        <w:rPr>
          <w:bCs/>
        </w:rPr>
        <w:t xml:space="preserve"> la </w:t>
      </w:r>
      <w:r w:rsidR="00750200">
        <w:rPr>
          <w:bCs/>
        </w:rPr>
        <w:t>población</w:t>
      </w:r>
      <w:r w:rsidR="001B7612">
        <w:rPr>
          <w:bCs/>
        </w:rPr>
        <w:t xml:space="preserve"> afrodescendiente tiene que pagar canon a la comunidad indígena de ese territorio</w:t>
      </w:r>
      <w:r w:rsidR="001C4D22">
        <w:rPr>
          <w:bCs/>
        </w:rPr>
        <w:t xml:space="preserve">; también en el caso de la población de Corn Island, la cual </w:t>
      </w:r>
      <w:r w:rsidR="00D72622">
        <w:rPr>
          <w:bCs/>
        </w:rPr>
        <w:t xml:space="preserve">por interés político del alcalde y de operadores políticos en el CRACCS ligados al partido en el gobierno </w:t>
      </w:r>
      <w:r w:rsidR="001C4D22">
        <w:rPr>
          <w:bCs/>
        </w:rPr>
        <w:t>desistió de su reclamo territorial</w:t>
      </w:r>
      <w:r w:rsidR="001C4D22">
        <w:rPr>
          <w:rStyle w:val="Ancladenotaalpie"/>
          <w:bCs/>
        </w:rPr>
        <w:footnoteReference w:id="60"/>
      </w:r>
      <w:r w:rsidR="001C4D22">
        <w:rPr>
          <w:bCs/>
        </w:rPr>
        <w:t>. Est</w:t>
      </w:r>
      <w:r w:rsidR="004D5C48">
        <w:rPr>
          <w:bCs/>
        </w:rPr>
        <w:t>as autoridades y operadores políticos</w:t>
      </w:r>
      <w:r w:rsidR="001C4D22">
        <w:rPr>
          <w:bCs/>
        </w:rPr>
        <w:t xml:space="preserve"> insistieron en decir </w:t>
      </w:r>
      <w:r w:rsidR="001C4D22">
        <w:rPr>
          <w:bCs/>
        </w:rPr>
        <w:lastRenderedPageBreak/>
        <w:t>que Corn Island no tiene tierras comunales, alegando que este concepto no era posible en ese municipio porque toda la tierra era privada.</w:t>
      </w:r>
    </w:p>
    <w:p w14:paraId="58B16D59" w14:textId="77777777" w:rsidR="001C4D22" w:rsidRDefault="001C4D22" w:rsidP="001C4D22">
      <w:pPr>
        <w:jc w:val="both"/>
        <w:rPr>
          <w:bCs/>
        </w:rPr>
      </w:pPr>
    </w:p>
    <w:p w14:paraId="29BCD217" w14:textId="1CF6E369" w:rsidR="001C4D22" w:rsidRDefault="00F00611" w:rsidP="001C4D22">
      <w:pPr>
        <w:jc w:val="both"/>
      </w:pPr>
      <w:r>
        <w:rPr>
          <w:bCs/>
        </w:rPr>
        <w:t>3</w:t>
      </w:r>
      <w:r w:rsidR="0024646A">
        <w:rPr>
          <w:bCs/>
        </w:rPr>
        <w:t>0</w:t>
      </w:r>
      <w:r w:rsidR="001C4D22">
        <w:rPr>
          <w:bCs/>
        </w:rPr>
        <w:t xml:space="preserve">. </w:t>
      </w:r>
      <w:r w:rsidR="00511C03">
        <w:rPr>
          <w:bCs/>
        </w:rPr>
        <w:t>En el proceso de la demarcación territorial, s</w:t>
      </w:r>
      <w:r w:rsidR="001C4D22">
        <w:rPr>
          <w:bCs/>
        </w:rPr>
        <w:t xml:space="preserve">e observa que el patrón de estas violaciones a la propiedad comunal, se da </w:t>
      </w:r>
      <w:r w:rsidR="00511C03">
        <w:rPr>
          <w:bCs/>
        </w:rPr>
        <w:t xml:space="preserve">también </w:t>
      </w:r>
      <w:r w:rsidR="001C4D22">
        <w:rPr>
          <w:bCs/>
        </w:rPr>
        <w:t>a través de personas ajenas a la comunidad (de terceros y colonos), que primero ocupan las tierras, y luego buscan que el Estado les proporcione seguridad sobre la posesión; particularmente la P</w:t>
      </w:r>
      <w:r w:rsidR="004D5C48">
        <w:rPr>
          <w:bCs/>
        </w:rPr>
        <w:t>rocuraduría General de la República (P</w:t>
      </w:r>
      <w:r w:rsidR="001C4D22">
        <w:rPr>
          <w:bCs/>
        </w:rPr>
        <w:t>GR</w:t>
      </w:r>
      <w:r w:rsidR="004D5C48">
        <w:rPr>
          <w:bCs/>
        </w:rPr>
        <w:t>)</w:t>
      </w:r>
      <w:r w:rsidR="001C4D22">
        <w:rPr>
          <w:bCs/>
        </w:rPr>
        <w:t xml:space="preserve"> les otorga certificados de cumplimiento sobre dicha ocupación. En el caso que haya un reclamo de los comunitarios, esta institución encontrará que las propiedades ya están denunciadas y registradas, y aun cuando no es así, la restitución de derechos de propiedad comunal encuentra dificultades importantes cuando los recursos </w:t>
      </w:r>
      <w:r w:rsidR="002D51B2">
        <w:rPr>
          <w:bCs/>
        </w:rPr>
        <w:t xml:space="preserve">naturales ya </w:t>
      </w:r>
      <w:r w:rsidR="001C4D22">
        <w:rPr>
          <w:bCs/>
        </w:rPr>
        <w:t>están siendo explotados.</w:t>
      </w:r>
    </w:p>
    <w:p w14:paraId="4BD47F44" w14:textId="77777777" w:rsidR="001C4D22" w:rsidRDefault="001C4D22" w:rsidP="001C4D22">
      <w:pPr>
        <w:jc w:val="both"/>
        <w:rPr>
          <w:bCs/>
        </w:rPr>
      </w:pPr>
    </w:p>
    <w:p w14:paraId="18A95C88" w14:textId="429C0D99" w:rsidR="001C4D22" w:rsidRDefault="00F00611" w:rsidP="001C4D22">
      <w:pPr>
        <w:jc w:val="both"/>
      </w:pPr>
      <w:r>
        <w:rPr>
          <w:bCs/>
        </w:rPr>
        <w:t>3</w:t>
      </w:r>
      <w:r w:rsidR="0024646A">
        <w:rPr>
          <w:bCs/>
        </w:rPr>
        <w:t>1</w:t>
      </w:r>
      <w:r w:rsidR="001C4D22">
        <w:rPr>
          <w:bCs/>
        </w:rPr>
        <w:t>. En este sentido, resaltamos que el Estado ha demarcado 24 territorios indígenas y afrodescendientes</w:t>
      </w:r>
      <w:r w:rsidR="001C4D22">
        <w:rPr>
          <w:rStyle w:val="Ancladenotaalpie"/>
          <w:bCs/>
        </w:rPr>
        <w:footnoteReference w:id="61"/>
      </w:r>
      <w:r w:rsidR="001C4D22">
        <w:rPr>
          <w:bCs/>
        </w:rPr>
        <w:t xml:space="preserve"> y dos áreas complementarias a pueblos indígenas: misk</w:t>
      </w:r>
      <w:r w:rsidR="00591E4C">
        <w:rPr>
          <w:bCs/>
        </w:rPr>
        <w:t>i</w:t>
      </w:r>
      <w:r w:rsidR="001C4D22">
        <w:rPr>
          <w:bCs/>
        </w:rPr>
        <w:t>tus y mayangnas, en la Zona de Régimen Especial ubicadas en el Alto Wangki</w:t>
      </w:r>
      <w:r w:rsidR="001C4D22">
        <w:rPr>
          <w:rStyle w:val="Ancladenotaalpie"/>
          <w:bCs/>
        </w:rPr>
        <w:footnoteReference w:id="62"/>
      </w:r>
      <w:r w:rsidR="001C4D22">
        <w:rPr>
          <w:bCs/>
        </w:rPr>
        <w:t>, sin embargo es notorio también que en estos mismos territorios es donde se dan las mayores violaciones de derechos humanos y crímenes contra pueblos indígenas y afrodescendientes, tal es el caso de la reserva de B</w:t>
      </w:r>
      <w:r w:rsidR="00B42FAA">
        <w:rPr>
          <w:bCs/>
        </w:rPr>
        <w:t>osawas</w:t>
      </w:r>
      <w:r w:rsidR="001C4D22">
        <w:rPr>
          <w:bCs/>
        </w:rPr>
        <w:t xml:space="preserve">, donde el recurso forestal </w:t>
      </w:r>
      <w:r w:rsidR="00523EB5">
        <w:rPr>
          <w:bCs/>
        </w:rPr>
        <w:t>y miner</w:t>
      </w:r>
      <w:r w:rsidR="00511C03">
        <w:rPr>
          <w:bCs/>
        </w:rPr>
        <w:t>o</w:t>
      </w:r>
      <w:r w:rsidR="00523EB5">
        <w:rPr>
          <w:bCs/>
        </w:rPr>
        <w:t xml:space="preserve"> </w:t>
      </w:r>
      <w:r w:rsidR="001C4D22">
        <w:rPr>
          <w:bCs/>
        </w:rPr>
        <w:t>es explotado de forma indiscriminada</w:t>
      </w:r>
      <w:r w:rsidR="00591E4C">
        <w:rPr>
          <w:bCs/>
        </w:rPr>
        <w:t>.</w:t>
      </w:r>
    </w:p>
    <w:p w14:paraId="344F9C9B" w14:textId="77777777" w:rsidR="001C4D22" w:rsidRDefault="001C4D22" w:rsidP="001C4D22">
      <w:pPr>
        <w:jc w:val="both"/>
        <w:rPr>
          <w:bCs/>
        </w:rPr>
      </w:pPr>
    </w:p>
    <w:p w14:paraId="6D37BFEC" w14:textId="77C27A93" w:rsidR="001C4D22" w:rsidRDefault="00F00611" w:rsidP="001C4D22">
      <w:pPr>
        <w:jc w:val="both"/>
      </w:pPr>
      <w:r>
        <w:rPr>
          <w:bCs/>
        </w:rPr>
        <w:t>3</w:t>
      </w:r>
      <w:r w:rsidR="0024646A">
        <w:rPr>
          <w:bCs/>
        </w:rPr>
        <w:t>2</w:t>
      </w:r>
      <w:r w:rsidR="001C4D22">
        <w:rPr>
          <w:bCs/>
        </w:rPr>
        <w:t>. Igual sucede en la reserva Indio-Maíz</w:t>
      </w:r>
      <w:r w:rsidR="001C4D22">
        <w:rPr>
          <w:rStyle w:val="Ancladenotaalpie"/>
          <w:bCs/>
        </w:rPr>
        <w:footnoteReference w:id="63"/>
      </w:r>
      <w:r w:rsidR="001C4D22">
        <w:rPr>
          <w:bCs/>
        </w:rPr>
        <w:t xml:space="preserve">  en la cual algunas iglesias y grandes empresas ganaderas se han tomado tierras comunales </w:t>
      </w:r>
      <w:r w:rsidR="005E5558">
        <w:rPr>
          <w:bCs/>
        </w:rPr>
        <w:t>con la venia de</w:t>
      </w:r>
      <w:r w:rsidR="001C4D22">
        <w:rPr>
          <w:bCs/>
        </w:rPr>
        <w:t xml:space="preserve"> los gobiernos paralelos </w:t>
      </w:r>
      <w:r w:rsidR="005E5558">
        <w:rPr>
          <w:bCs/>
        </w:rPr>
        <w:t xml:space="preserve">que </w:t>
      </w:r>
      <w:r w:rsidR="001B046A">
        <w:rPr>
          <w:bCs/>
        </w:rPr>
        <w:t xml:space="preserve">no intervienen dejando en </w:t>
      </w:r>
      <w:r w:rsidR="001C4D22">
        <w:rPr>
          <w:bCs/>
        </w:rPr>
        <w:t xml:space="preserve">la indefensión </w:t>
      </w:r>
      <w:r w:rsidR="006A380D">
        <w:rPr>
          <w:bCs/>
        </w:rPr>
        <w:t>a</w:t>
      </w:r>
      <w:r w:rsidR="001C4D22">
        <w:rPr>
          <w:bCs/>
        </w:rPr>
        <w:t xml:space="preserve"> las autoridades comunales y territoriales </w:t>
      </w:r>
      <w:r w:rsidR="005E5558">
        <w:rPr>
          <w:bCs/>
        </w:rPr>
        <w:t xml:space="preserve">legítimas </w:t>
      </w:r>
      <w:r w:rsidR="001C4D22">
        <w:rPr>
          <w:bCs/>
        </w:rPr>
        <w:t xml:space="preserve">que carecen de recursos suficientes para protegerlas. </w:t>
      </w:r>
    </w:p>
    <w:p w14:paraId="0ECAA3DE" w14:textId="77777777" w:rsidR="001C4D22" w:rsidRDefault="001C4D22" w:rsidP="001C4D22">
      <w:pPr>
        <w:jc w:val="both"/>
        <w:rPr>
          <w:b/>
          <w:i/>
        </w:rPr>
      </w:pPr>
    </w:p>
    <w:p w14:paraId="23D19B9B" w14:textId="77777777" w:rsidR="001C4D22" w:rsidRDefault="001C4D22" w:rsidP="001C4D22">
      <w:pPr>
        <w:jc w:val="both"/>
      </w:pPr>
      <w:r>
        <w:rPr>
          <w:b/>
          <w:i/>
        </w:rPr>
        <w:t>Participación en la toma de decisiones concernientes a la administración de los asuntos públicos (Instituciones del Estado Nacional, Gobierno Regional, gobierno municipal y gobierno comunitario) y su participación en la política</w:t>
      </w:r>
      <w:r>
        <w:t xml:space="preserve"> </w:t>
      </w:r>
      <w:r>
        <w:rPr>
          <w:b/>
          <w:bCs/>
          <w:i/>
          <w:iCs/>
        </w:rPr>
        <w:t>(Art. 25 del Pacto).</w:t>
      </w:r>
      <w:r>
        <w:t xml:space="preserve"> </w:t>
      </w:r>
    </w:p>
    <w:p w14:paraId="3B4B5B81" w14:textId="77777777" w:rsidR="001C4D22" w:rsidRDefault="001C4D22" w:rsidP="001C4D22">
      <w:pPr>
        <w:jc w:val="both"/>
        <w:rPr>
          <w:bCs/>
        </w:rPr>
      </w:pPr>
    </w:p>
    <w:p w14:paraId="550247AB" w14:textId="4E27B90C" w:rsidR="001C4D22" w:rsidRDefault="00C5775D" w:rsidP="001C4D22">
      <w:pPr>
        <w:jc w:val="both"/>
      </w:pPr>
      <w:r>
        <w:rPr>
          <w:bCs/>
        </w:rPr>
        <w:t>3</w:t>
      </w:r>
      <w:r w:rsidR="0024646A">
        <w:rPr>
          <w:bCs/>
        </w:rPr>
        <w:t>3</w:t>
      </w:r>
      <w:r w:rsidR="00F00611">
        <w:rPr>
          <w:bCs/>
        </w:rPr>
        <w:t>.</w:t>
      </w:r>
      <w:r w:rsidR="001C4D22">
        <w:rPr>
          <w:bCs/>
        </w:rPr>
        <w:t xml:space="preserve"> </w:t>
      </w:r>
      <w:r w:rsidR="002D51B2">
        <w:rPr>
          <w:bCs/>
        </w:rPr>
        <w:t xml:space="preserve">Existe </w:t>
      </w:r>
      <w:r w:rsidR="001C4D22">
        <w:rPr>
          <w:bCs/>
        </w:rPr>
        <w:t xml:space="preserve">alguna participación política de afrodescendientes a nivel nacional, en los Poderes del Estado e instituciones públicas. En la Asamblea Nacional, está pre determinada </w:t>
      </w:r>
      <w:r w:rsidR="00C748CE">
        <w:rPr>
          <w:bCs/>
        </w:rPr>
        <w:t xml:space="preserve">esta participación </w:t>
      </w:r>
      <w:r w:rsidR="001C4D22">
        <w:rPr>
          <w:bCs/>
        </w:rPr>
        <w:t xml:space="preserve">por una cantidad reducida de escaños para el Caribe (3 para el Caribe Norte y 2 para el Caribe Sur), </w:t>
      </w:r>
      <w:r w:rsidR="00C748CE">
        <w:rPr>
          <w:bCs/>
        </w:rPr>
        <w:t xml:space="preserve">y </w:t>
      </w:r>
      <w:r w:rsidR="001C4D22">
        <w:rPr>
          <w:bCs/>
        </w:rPr>
        <w:t xml:space="preserve">es decisión que corresponde al partido político que propone las </w:t>
      </w:r>
      <w:r w:rsidR="001B046A">
        <w:rPr>
          <w:bCs/>
        </w:rPr>
        <w:t>listas</w:t>
      </w:r>
      <w:r w:rsidR="001C4D22">
        <w:rPr>
          <w:bCs/>
        </w:rPr>
        <w:t xml:space="preserve"> </w:t>
      </w:r>
      <w:r w:rsidR="001B046A">
        <w:rPr>
          <w:bCs/>
        </w:rPr>
        <w:t xml:space="preserve">con las candidaturas para </w:t>
      </w:r>
      <w:r w:rsidR="00C748CE">
        <w:rPr>
          <w:bCs/>
        </w:rPr>
        <w:t xml:space="preserve">fraudulentas elecciones para </w:t>
      </w:r>
      <w:r w:rsidR="001B046A">
        <w:rPr>
          <w:bCs/>
        </w:rPr>
        <w:lastRenderedPageBreak/>
        <w:t>diputa</w:t>
      </w:r>
      <w:r w:rsidR="00F808C8">
        <w:rPr>
          <w:bCs/>
        </w:rPr>
        <w:t xml:space="preserve">ciones </w:t>
      </w:r>
      <w:r w:rsidR="001B046A">
        <w:rPr>
          <w:bCs/>
        </w:rPr>
        <w:t xml:space="preserve"> a la Asamblea Nacional</w:t>
      </w:r>
      <w:r w:rsidR="0028572D">
        <w:rPr>
          <w:rStyle w:val="Refdenotaalpie"/>
          <w:bCs/>
        </w:rPr>
        <w:footnoteReference w:id="64"/>
      </w:r>
      <w:r w:rsidR="001C4D22">
        <w:rPr>
          <w:bCs/>
        </w:rPr>
        <w:t xml:space="preserve">. </w:t>
      </w:r>
      <w:r w:rsidR="00465F63">
        <w:rPr>
          <w:bCs/>
        </w:rPr>
        <w:t>En</w:t>
      </w:r>
      <w:r w:rsidR="00B42FAA">
        <w:rPr>
          <w:bCs/>
        </w:rPr>
        <w:t>tre</w:t>
      </w:r>
      <w:r w:rsidR="00465F63">
        <w:rPr>
          <w:bCs/>
        </w:rPr>
        <w:t xml:space="preserve"> o</w:t>
      </w:r>
      <w:r w:rsidR="001B046A">
        <w:rPr>
          <w:bCs/>
        </w:rPr>
        <w:t xml:space="preserve">tros cargos de relevancia </w:t>
      </w:r>
      <w:r w:rsidR="00C748CE">
        <w:rPr>
          <w:bCs/>
        </w:rPr>
        <w:t>nacional esta</w:t>
      </w:r>
      <w:r w:rsidR="00B42FAA">
        <w:rPr>
          <w:bCs/>
        </w:rPr>
        <w:t>n las magistraturas en</w:t>
      </w:r>
      <w:r w:rsidR="00C748CE">
        <w:rPr>
          <w:bCs/>
        </w:rPr>
        <w:t xml:space="preserve"> </w:t>
      </w:r>
      <w:r w:rsidR="001B046A">
        <w:rPr>
          <w:bCs/>
        </w:rPr>
        <w:t>el Consejo Supremo Electoral y la</w:t>
      </w:r>
      <w:r w:rsidR="00B42FAA">
        <w:rPr>
          <w:bCs/>
        </w:rPr>
        <w:t>s de la</w:t>
      </w:r>
      <w:r w:rsidR="001B046A">
        <w:rPr>
          <w:bCs/>
        </w:rPr>
        <w:t xml:space="preserve"> CSJ </w:t>
      </w:r>
      <w:r w:rsidR="00C748CE">
        <w:rPr>
          <w:bCs/>
        </w:rPr>
        <w:t xml:space="preserve">que son nombrados por ternas y resueltas en la Asamblea Nacional. </w:t>
      </w:r>
    </w:p>
    <w:p w14:paraId="538442DC" w14:textId="77777777" w:rsidR="001C4D22" w:rsidRDefault="001C4D22" w:rsidP="001C4D22">
      <w:pPr>
        <w:jc w:val="both"/>
        <w:rPr>
          <w:bCs/>
        </w:rPr>
      </w:pPr>
    </w:p>
    <w:p w14:paraId="1405E6AA" w14:textId="497ADA33" w:rsidR="001C4D22" w:rsidRDefault="00C5775D" w:rsidP="001C4D22">
      <w:pPr>
        <w:jc w:val="both"/>
      </w:pPr>
      <w:r>
        <w:rPr>
          <w:bCs/>
        </w:rPr>
        <w:t>3</w:t>
      </w:r>
      <w:r w:rsidR="0024646A">
        <w:rPr>
          <w:bCs/>
        </w:rPr>
        <w:t>4</w:t>
      </w:r>
      <w:r w:rsidR="00F00611">
        <w:rPr>
          <w:bCs/>
        </w:rPr>
        <w:t xml:space="preserve">. </w:t>
      </w:r>
      <w:r w:rsidR="001C4D22">
        <w:rPr>
          <w:bCs/>
        </w:rPr>
        <w:t xml:space="preserve">A la fecha,  hay </w:t>
      </w:r>
      <w:r w:rsidR="00C748CE">
        <w:rPr>
          <w:bCs/>
        </w:rPr>
        <w:t xml:space="preserve">dos </w:t>
      </w:r>
      <w:r w:rsidR="001C4D22">
        <w:rPr>
          <w:bCs/>
        </w:rPr>
        <w:t xml:space="preserve"> </w:t>
      </w:r>
      <w:r w:rsidR="00B42FAA">
        <w:rPr>
          <w:bCs/>
        </w:rPr>
        <w:t xml:space="preserve">personas </w:t>
      </w:r>
      <w:r w:rsidR="001C4D22">
        <w:rPr>
          <w:bCs/>
        </w:rPr>
        <w:t>afrodescendientes</w:t>
      </w:r>
      <w:r w:rsidR="0028572D">
        <w:rPr>
          <w:bCs/>
        </w:rPr>
        <w:t xml:space="preserve"> en la Asamblea Nacional</w:t>
      </w:r>
      <w:r w:rsidR="00C748CE">
        <w:rPr>
          <w:bCs/>
        </w:rPr>
        <w:t xml:space="preserve"> (un var</w:t>
      </w:r>
      <w:r w:rsidR="00B42FAA">
        <w:rPr>
          <w:bCs/>
        </w:rPr>
        <w:t>ó</w:t>
      </w:r>
      <w:r w:rsidR="00C748CE">
        <w:rPr>
          <w:bCs/>
        </w:rPr>
        <w:t>n y una mujer)</w:t>
      </w:r>
      <w:r w:rsidR="001C4D22">
        <w:rPr>
          <w:bCs/>
        </w:rPr>
        <w:t>, que han resultado electas en procesos electorales poco transparentes desde el 2008, en los cuales el irrespeto a la voluntad popular es el común denominador.</w:t>
      </w:r>
    </w:p>
    <w:p w14:paraId="416EBB15" w14:textId="77777777" w:rsidR="001C4D22" w:rsidRDefault="001C4D22" w:rsidP="001C4D22">
      <w:pPr>
        <w:jc w:val="both"/>
        <w:rPr>
          <w:bCs/>
        </w:rPr>
      </w:pPr>
    </w:p>
    <w:p w14:paraId="500BFEBA" w14:textId="0911ADF9" w:rsidR="001C4D22" w:rsidRDefault="00C5775D" w:rsidP="001C4D22">
      <w:pPr>
        <w:jc w:val="both"/>
      </w:pPr>
      <w:r>
        <w:rPr>
          <w:bCs/>
        </w:rPr>
        <w:t>3</w:t>
      </w:r>
      <w:r w:rsidR="0024646A">
        <w:rPr>
          <w:bCs/>
        </w:rPr>
        <w:t>5</w:t>
      </w:r>
      <w:r w:rsidR="001C4D22">
        <w:rPr>
          <w:bCs/>
        </w:rPr>
        <w:t>. A nivel nacional, el Estado intenta maximizar la participación de costeños afrodescendientes en las esferas de poder como evidencia de inclusión, cuando en realidad se registra escasa presencia de éstos en las instituciones públicas: la CSJ, con una magistrada entre los 16 que deben integrar dicho órgano</w:t>
      </w:r>
      <w:r w:rsidR="00C73E78">
        <w:rPr>
          <w:bCs/>
        </w:rPr>
        <w:t xml:space="preserve"> y</w:t>
      </w:r>
      <w:r w:rsidR="001C4D22">
        <w:rPr>
          <w:bCs/>
        </w:rPr>
        <w:t xml:space="preserve"> el Consejo Supremo Electoral con un magistrado entre los 10 asignados (7 propietarios y 3 suplentes). En las instituciones autónomas como los ministerios o Cancillería son pocos los afrodescendientes desempeñándose en cargos en </w:t>
      </w:r>
      <w:r w:rsidR="00CA5CBD">
        <w:rPr>
          <w:bCs/>
        </w:rPr>
        <w:t xml:space="preserve">las </w:t>
      </w:r>
      <w:r w:rsidR="001C4D22">
        <w:rPr>
          <w:bCs/>
        </w:rPr>
        <w:t>embajadas</w:t>
      </w:r>
      <w:r w:rsidR="00465F63">
        <w:rPr>
          <w:bCs/>
        </w:rPr>
        <w:t xml:space="preserve">, </w:t>
      </w:r>
      <w:r w:rsidR="00C73E78">
        <w:rPr>
          <w:bCs/>
        </w:rPr>
        <w:t>además L</w:t>
      </w:r>
      <w:r w:rsidR="00465F63">
        <w:rPr>
          <w:bCs/>
        </w:rPr>
        <w:t xml:space="preserve">a </w:t>
      </w:r>
      <w:r w:rsidR="00EA1E74">
        <w:rPr>
          <w:bCs/>
        </w:rPr>
        <w:t>concentración</w:t>
      </w:r>
      <w:r w:rsidR="00465F63">
        <w:rPr>
          <w:bCs/>
        </w:rPr>
        <w:t xml:space="preserve"> del poder en el Presidente de la </w:t>
      </w:r>
      <w:r w:rsidR="00EA1E74">
        <w:rPr>
          <w:bCs/>
        </w:rPr>
        <w:t>República</w:t>
      </w:r>
      <w:r w:rsidR="00C748CE">
        <w:rPr>
          <w:rStyle w:val="Refdenotaalpie"/>
          <w:bCs/>
        </w:rPr>
        <w:footnoteReference w:id="65"/>
      </w:r>
      <w:r w:rsidR="00465F63">
        <w:rPr>
          <w:bCs/>
        </w:rPr>
        <w:t>, determina</w:t>
      </w:r>
      <w:r w:rsidR="00C73E78">
        <w:rPr>
          <w:bCs/>
        </w:rPr>
        <w:t xml:space="preserve"> la </w:t>
      </w:r>
      <w:r w:rsidR="00465F63">
        <w:rPr>
          <w:bCs/>
        </w:rPr>
        <w:t xml:space="preserve"> agenda </w:t>
      </w:r>
      <w:r w:rsidR="00C73E78">
        <w:rPr>
          <w:bCs/>
        </w:rPr>
        <w:t xml:space="preserve">de estos funcionarios. </w:t>
      </w:r>
    </w:p>
    <w:p w14:paraId="77380733" w14:textId="77777777" w:rsidR="001C4D22" w:rsidRDefault="001C4D22" w:rsidP="001C4D22">
      <w:pPr>
        <w:jc w:val="both"/>
        <w:rPr>
          <w:bCs/>
        </w:rPr>
      </w:pPr>
    </w:p>
    <w:p w14:paraId="3060957B" w14:textId="2742302E" w:rsidR="001C4D22" w:rsidRDefault="00C5775D" w:rsidP="00651705">
      <w:pPr>
        <w:jc w:val="both"/>
      </w:pPr>
      <w:r>
        <w:rPr>
          <w:bCs/>
        </w:rPr>
        <w:t>3</w:t>
      </w:r>
      <w:r w:rsidR="0024646A">
        <w:rPr>
          <w:bCs/>
        </w:rPr>
        <w:t>6</w:t>
      </w:r>
      <w:r w:rsidR="001C4D22">
        <w:rPr>
          <w:bCs/>
        </w:rPr>
        <w:t xml:space="preserve"> En cuanto a la participación de población afrodescendiente en los gobiernos regionales</w:t>
      </w:r>
      <w:r w:rsidR="00465F63">
        <w:rPr>
          <w:bCs/>
        </w:rPr>
        <w:t>,</w:t>
      </w:r>
      <w:r w:rsidR="001C4D22">
        <w:rPr>
          <w:bCs/>
        </w:rPr>
        <w:t xml:space="preserve"> predomina el interés del partido político nacional correspondiente sobre los derechos de los pueblos afrodescendientes, por tanto las decisiones que se han tomado sobre la explotación de los recursos o la entrega de grandes concesiones de tierra o la explotación de los recursos nunca encuentran objeción cuando hay una mayoría calificada de concejales regionales pro gobierno nacional</w:t>
      </w:r>
      <w:r w:rsidR="00CA5CBD">
        <w:rPr>
          <w:bCs/>
        </w:rPr>
        <w:t xml:space="preserve">. </w:t>
      </w:r>
    </w:p>
    <w:p w14:paraId="04536495" w14:textId="77777777" w:rsidR="001C4D22" w:rsidRDefault="001C4D22" w:rsidP="001C4D22">
      <w:pPr>
        <w:jc w:val="both"/>
        <w:rPr>
          <w:bCs/>
        </w:rPr>
      </w:pPr>
    </w:p>
    <w:p w14:paraId="0E4653E4" w14:textId="57B311A8" w:rsidR="001C4D22" w:rsidRDefault="00C5775D" w:rsidP="001C4D22">
      <w:pPr>
        <w:jc w:val="both"/>
      </w:pPr>
      <w:r>
        <w:rPr>
          <w:bCs/>
        </w:rPr>
        <w:t>3</w:t>
      </w:r>
      <w:r w:rsidR="0024646A">
        <w:rPr>
          <w:bCs/>
        </w:rPr>
        <w:t>7</w:t>
      </w:r>
      <w:r w:rsidR="00B85F09">
        <w:rPr>
          <w:bCs/>
        </w:rPr>
        <w:t xml:space="preserve"> </w:t>
      </w:r>
      <w:r w:rsidR="00E25898">
        <w:rPr>
          <w:bCs/>
        </w:rPr>
        <w:t>L</w:t>
      </w:r>
      <w:r w:rsidR="001C4D22">
        <w:rPr>
          <w:bCs/>
        </w:rPr>
        <w:t xml:space="preserve">a Ley de Autonomía define  la conformación de la Junta Directiva de los Consejos Regionales, </w:t>
      </w:r>
      <w:r w:rsidR="005E5558">
        <w:rPr>
          <w:bCs/>
        </w:rPr>
        <w:t xml:space="preserve">esta </w:t>
      </w:r>
      <w:r w:rsidR="00E25898">
        <w:rPr>
          <w:bCs/>
        </w:rPr>
        <w:t xml:space="preserve"> </w:t>
      </w:r>
      <w:r w:rsidR="001C4D22">
        <w:rPr>
          <w:bCs/>
        </w:rPr>
        <w:t>debe mantener la representación étnica de todos los pueblos indígenas y afrodescendientes en las Regiones autónomas</w:t>
      </w:r>
      <w:r w:rsidR="00AA6D49">
        <w:rPr>
          <w:rStyle w:val="Refdenotaalpie"/>
          <w:bCs/>
        </w:rPr>
        <w:footnoteReference w:id="66"/>
      </w:r>
      <w:r w:rsidR="001C4D22">
        <w:rPr>
          <w:bCs/>
        </w:rPr>
        <w:t xml:space="preserve">, este mandato </w:t>
      </w:r>
      <w:r w:rsidR="00E25898">
        <w:rPr>
          <w:bCs/>
        </w:rPr>
        <w:t>que tambi</w:t>
      </w:r>
      <w:r w:rsidR="00B42FAA">
        <w:rPr>
          <w:bCs/>
        </w:rPr>
        <w:t>é</w:t>
      </w:r>
      <w:r w:rsidR="00E25898">
        <w:rPr>
          <w:bCs/>
        </w:rPr>
        <w:t>n est</w:t>
      </w:r>
      <w:r w:rsidR="00B42FAA">
        <w:rPr>
          <w:bCs/>
        </w:rPr>
        <w:t>á</w:t>
      </w:r>
      <w:r w:rsidR="00E25898">
        <w:rPr>
          <w:bCs/>
        </w:rPr>
        <w:t xml:space="preserve"> presente en </w:t>
      </w:r>
      <w:r w:rsidR="001C4D22">
        <w:rPr>
          <w:bCs/>
        </w:rPr>
        <w:t xml:space="preserve"> la Ley Electoral </w:t>
      </w:r>
      <w:r w:rsidR="00B85F09">
        <w:rPr>
          <w:rStyle w:val="Refdenotaalpie"/>
          <w:bCs/>
        </w:rPr>
        <w:footnoteReference w:id="67"/>
      </w:r>
      <w:r w:rsidR="001C4D22">
        <w:rPr>
          <w:bCs/>
        </w:rPr>
        <w:t xml:space="preserve">es parcialmente </w:t>
      </w:r>
      <w:r w:rsidR="008F0C64">
        <w:rPr>
          <w:bCs/>
        </w:rPr>
        <w:t>acatado</w:t>
      </w:r>
      <w:r w:rsidR="001C4D22">
        <w:rPr>
          <w:bCs/>
        </w:rPr>
        <w:t xml:space="preserve"> por los partidos políticos </w:t>
      </w:r>
      <w:r w:rsidR="008F0C64">
        <w:rPr>
          <w:bCs/>
        </w:rPr>
        <w:t xml:space="preserve">dado que, después de cada elección regional </w:t>
      </w:r>
      <w:r w:rsidR="001C4D22">
        <w:rPr>
          <w:bCs/>
        </w:rPr>
        <w:t xml:space="preserve">hay una desproporción étnica enorme </w:t>
      </w:r>
      <w:r w:rsidR="008F0C64">
        <w:rPr>
          <w:bCs/>
        </w:rPr>
        <w:t xml:space="preserve">en los consejos regionales </w:t>
      </w:r>
      <w:r w:rsidR="008F0C64">
        <w:rPr>
          <w:bCs/>
        </w:rPr>
        <w:lastRenderedPageBreak/>
        <w:t xml:space="preserve">autónomos el cual </w:t>
      </w:r>
      <w:r w:rsidR="001C4D22">
        <w:rPr>
          <w:bCs/>
        </w:rPr>
        <w:t xml:space="preserve"> requiere corregirse en la reforma de la Ley Electoral para </w:t>
      </w:r>
      <w:r w:rsidR="00E5422B">
        <w:rPr>
          <w:bCs/>
        </w:rPr>
        <w:t xml:space="preserve">garantizar </w:t>
      </w:r>
      <w:r w:rsidR="001C4D22">
        <w:rPr>
          <w:bCs/>
        </w:rPr>
        <w:t xml:space="preserve"> los derechos de estos pueblos</w:t>
      </w:r>
      <w:r w:rsidR="00651705">
        <w:rPr>
          <w:bCs/>
        </w:rPr>
        <w:t xml:space="preserve">. </w:t>
      </w:r>
    </w:p>
    <w:p w14:paraId="3B0D084D" w14:textId="77777777" w:rsidR="001C4D22" w:rsidRDefault="001C4D22" w:rsidP="001C4D22">
      <w:pPr>
        <w:jc w:val="both"/>
        <w:rPr>
          <w:bCs/>
        </w:rPr>
      </w:pPr>
    </w:p>
    <w:p w14:paraId="7E044DD5" w14:textId="5C6031A1" w:rsidR="001C4D22" w:rsidRDefault="00C5775D" w:rsidP="001C4D22">
      <w:pPr>
        <w:jc w:val="both"/>
      </w:pPr>
      <w:r>
        <w:rPr>
          <w:bCs/>
        </w:rPr>
        <w:t>3</w:t>
      </w:r>
      <w:r w:rsidR="0024646A">
        <w:rPr>
          <w:bCs/>
        </w:rPr>
        <w:t>8</w:t>
      </w:r>
      <w:r w:rsidR="001C4D22">
        <w:rPr>
          <w:bCs/>
        </w:rPr>
        <w:t>. Los partidos políticos y el gobierno nacional no tienen ninguna intención de respetar la Ley de Autonomía</w:t>
      </w:r>
      <w:r w:rsidR="00CD5BC8">
        <w:rPr>
          <w:bCs/>
        </w:rPr>
        <w:t xml:space="preserve"> en cuanto a la igualdad de representación de los pueblos en el Consejo Regional </w:t>
      </w:r>
      <w:r w:rsidR="00750200">
        <w:rPr>
          <w:bCs/>
        </w:rPr>
        <w:t>Autónomo</w:t>
      </w:r>
      <w:r w:rsidR="00E25898">
        <w:rPr>
          <w:rStyle w:val="Ancladenotaalpie"/>
          <w:bCs/>
        </w:rPr>
        <w:footnoteReference w:id="68"/>
      </w:r>
      <w:r w:rsidR="00E25898">
        <w:rPr>
          <w:bCs/>
        </w:rPr>
        <w:t>.</w:t>
      </w:r>
      <w:r w:rsidR="001C4D22">
        <w:rPr>
          <w:bCs/>
        </w:rPr>
        <w:t xml:space="preserve"> Actualmente </w:t>
      </w:r>
      <w:r w:rsidR="00B42FAA">
        <w:rPr>
          <w:bCs/>
        </w:rPr>
        <w:t xml:space="preserve">el </w:t>
      </w:r>
      <w:r w:rsidR="001C4D22">
        <w:rPr>
          <w:bCs/>
        </w:rPr>
        <w:t>60% de los 90 integrantes de los dos Consejos Regionales son mestizos (31)</w:t>
      </w:r>
      <w:r w:rsidR="001C4D22">
        <w:rPr>
          <w:bCs/>
          <w:color w:val="FF0000"/>
        </w:rPr>
        <w:t xml:space="preserve"> </w:t>
      </w:r>
      <w:r w:rsidR="001C4D22">
        <w:rPr>
          <w:bCs/>
        </w:rPr>
        <w:t>en la RACCS y 25 en la RACCN</w:t>
      </w:r>
      <w:r w:rsidR="00B42FAA">
        <w:rPr>
          <w:bCs/>
        </w:rPr>
        <w:t>,</w:t>
      </w:r>
      <w:r w:rsidR="001C4D22">
        <w:rPr>
          <w:rStyle w:val="Ancladenotaalpie"/>
          <w:bCs/>
        </w:rPr>
        <w:footnoteReference w:id="69"/>
      </w:r>
      <w:r w:rsidR="001C4D22">
        <w:rPr>
          <w:bCs/>
        </w:rPr>
        <w:t xml:space="preserve">esta cantidad no incluye a los 5 diputados regionales en la Asamblea Nacional en donde </w:t>
      </w:r>
      <w:r w:rsidR="00B85F09">
        <w:rPr>
          <w:bCs/>
        </w:rPr>
        <w:t xml:space="preserve">hay una mujer </w:t>
      </w:r>
      <w:r w:rsidR="001C4D22">
        <w:rPr>
          <w:bCs/>
        </w:rPr>
        <w:t xml:space="preserve"> mestiz</w:t>
      </w:r>
      <w:r w:rsidR="00CD5BC8">
        <w:rPr>
          <w:bCs/>
        </w:rPr>
        <w:t>a</w:t>
      </w:r>
      <w:r w:rsidR="00B85F09">
        <w:rPr>
          <w:bCs/>
        </w:rPr>
        <w:t xml:space="preserve"> y un </w:t>
      </w:r>
      <w:r w:rsidR="00750200">
        <w:rPr>
          <w:bCs/>
        </w:rPr>
        <w:t>varón</w:t>
      </w:r>
      <w:r w:rsidR="00B85F09">
        <w:rPr>
          <w:bCs/>
        </w:rPr>
        <w:t xml:space="preserve"> afrodescendiente</w:t>
      </w:r>
      <w:r w:rsidR="001C4D22">
        <w:rPr>
          <w:bCs/>
        </w:rPr>
        <w:t xml:space="preserve"> de la RACCS y 3 de pueblos indígenas y afrodescendientes (1 varón indígena</w:t>
      </w:r>
      <w:r w:rsidR="00B85F09">
        <w:rPr>
          <w:bCs/>
        </w:rPr>
        <w:t xml:space="preserve">, 1 mujer </w:t>
      </w:r>
      <w:r w:rsidR="00750200">
        <w:rPr>
          <w:bCs/>
        </w:rPr>
        <w:t>indígena</w:t>
      </w:r>
      <w:r w:rsidR="001C4D22">
        <w:rPr>
          <w:bCs/>
        </w:rPr>
        <w:t xml:space="preserve"> y </w:t>
      </w:r>
      <w:r w:rsidR="00B85F09">
        <w:rPr>
          <w:bCs/>
        </w:rPr>
        <w:t>1</w:t>
      </w:r>
      <w:r w:rsidR="001C4D22">
        <w:rPr>
          <w:bCs/>
        </w:rPr>
        <w:t xml:space="preserve"> mujer afrodescendiente) de la RACCN.</w:t>
      </w:r>
    </w:p>
    <w:p w14:paraId="062AD8BF" w14:textId="77777777" w:rsidR="001C4D22" w:rsidRDefault="001C4D22" w:rsidP="001C4D22">
      <w:pPr>
        <w:jc w:val="both"/>
        <w:rPr>
          <w:bCs/>
        </w:rPr>
      </w:pPr>
    </w:p>
    <w:p w14:paraId="34C9CE4F" w14:textId="0B408DAC" w:rsidR="001C4D22" w:rsidRDefault="0024646A" w:rsidP="001C4D22">
      <w:pPr>
        <w:jc w:val="both"/>
      </w:pPr>
      <w:r>
        <w:rPr>
          <w:bCs/>
        </w:rPr>
        <w:t>39</w:t>
      </w:r>
      <w:r w:rsidR="001C4D22">
        <w:rPr>
          <w:bCs/>
        </w:rPr>
        <w:t>. También en los dos Consejos regionales, el 8</w:t>
      </w:r>
      <w:r w:rsidR="00031968">
        <w:rPr>
          <w:bCs/>
        </w:rPr>
        <w:t>1</w:t>
      </w:r>
      <w:r w:rsidR="001C4D22">
        <w:rPr>
          <w:bCs/>
        </w:rPr>
        <w:t>% de sus integrantes pertenecen a partidos políticos nacionales, particularmente al F.S.L.N (6</w:t>
      </w:r>
      <w:r w:rsidR="00031968">
        <w:rPr>
          <w:bCs/>
        </w:rPr>
        <w:t>3</w:t>
      </w:r>
      <w:r w:rsidR="001C4D22">
        <w:rPr>
          <w:bCs/>
        </w:rPr>
        <w:t xml:space="preserve"> concejales que incluyen a </w:t>
      </w:r>
      <w:r w:rsidR="00CD5BC8">
        <w:rPr>
          <w:bCs/>
        </w:rPr>
        <w:t xml:space="preserve">2 </w:t>
      </w:r>
      <w:r w:rsidR="001C4D22">
        <w:rPr>
          <w:bCs/>
        </w:rPr>
        <w:t xml:space="preserve">diputados regionales) y al Partido Liberal Constitucionalista, (P.L.C) con </w:t>
      </w:r>
      <w:r w:rsidR="00031968">
        <w:rPr>
          <w:bCs/>
        </w:rPr>
        <w:t>13</w:t>
      </w:r>
      <w:r w:rsidR="001C4D22">
        <w:rPr>
          <w:bCs/>
        </w:rPr>
        <w:t xml:space="preserve"> concejales más 1 diputado regional.</w:t>
      </w:r>
      <w:r w:rsidR="00031968">
        <w:rPr>
          <w:rStyle w:val="Refdenotaalpie"/>
          <w:bCs/>
        </w:rPr>
        <w:footnoteReference w:id="70"/>
      </w:r>
      <w:r w:rsidR="00651705">
        <w:rPr>
          <w:bCs/>
        </w:rPr>
        <w:t xml:space="preserve"> </w:t>
      </w:r>
      <w:r w:rsidR="001C4D22">
        <w:rPr>
          <w:bCs/>
        </w:rPr>
        <w:t>En los dos consejos regionales solamente hay 1</w:t>
      </w:r>
      <w:r w:rsidR="00031968">
        <w:rPr>
          <w:bCs/>
        </w:rPr>
        <w:t>4</w:t>
      </w:r>
      <w:r w:rsidR="001C4D22">
        <w:rPr>
          <w:bCs/>
        </w:rPr>
        <w:t xml:space="preserve"> con</w:t>
      </w:r>
      <w:r w:rsidR="00031968">
        <w:rPr>
          <w:bCs/>
        </w:rPr>
        <w:t>c</w:t>
      </w:r>
      <w:r w:rsidR="001C4D22">
        <w:rPr>
          <w:bCs/>
        </w:rPr>
        <w:t>ejales del partido regional indígena YATAMA (2 en la RACCS y 1</w:t>
      </w:r>
      <w:r w:rsidR="00031968">
        <w:rPr>
          <w:bCs/>
        </w:rPr>
        <w:t>2</w:t>
      </w:r>
      <w:r w:rsidR="001C4D22">
        <w:rPr>
          <w:bCs/>
        </w:rPr>
        <w:t xml:space="preserve"> en la RACCN) incluido</w:t>
      </w:r>
      <w:r w:rsidR="008E001D">
        <w:rPr>
          <w:bCs/>
        </w:rPr>
        <w:t>s</w:t>
      </w:r>
      <w:r w:rsidR="001C4D22">
        <w:rPr>
          <w:bCs/>
        </w:rPr>
        <w:t xml:space="preserve"> </w:t>
      </w:r>
      <w:r w:rsidR="00CD5BC8">
        <w:rPr>
          <w:bCs/>
        </w:rPr>
        <w:t xml:space="preserve">2 </w:t>
      </w:r>
      <w:r w:rsidR="001C4D22">
        <w:rPr>
          <w:bCs/>
        </w:rPr>
        <w:t>diputado</w:t>
      </w:r>
      <w:r w:rsidR="008E001D">
        <w:rPr>
          <w:bCs/>
        </w:rPr>
        <w:t>s</w:t>
      </w:r>
      <w:r w:rsidR="001C4D22">
        <w:rPr>
          <w:bCs/>
        </w:rPr>
        <w:t xml:space="preserve"> de este partido en la Asamblea Nacional, esta vez sin alianza con partidos nacionales.</w:t>
      </w:r>
    </w:p>
    <w:p w14:paraId="3CFC8C02" w14:textId="77777777" w:rsidR="001C4D22" w:rsidRDefault="001C4D22" w:rsidP="001C4D22">
      <w:pPr>
        <w:jc w:val="both"/>
        <w:rPr>
          <w:bCs/>
        </w:rPr>
      </w:pPr>
    </w:p>
    <w:p w14:paraId="3F94045D" w14:textId="77777777" w:rsidR="001C4D22" w:rsidRDefault="001C4D22" w:rsidP="001C4D22">
      <w:pPr>
        <w:jc w:val="both"/>
        <w:rPr>
          <w:bCs/>
        </w:rPr>
      </w:pPr>
      <w:r>
        <w:rPr>
          <w:b/>
          <w:bCs/>
        </w:rPr>
        <w:t>Violación del derecho a elegir los gobiernos comunales</w:t>
      </w:r>
    </w:p>
    <w:p w14:paraId="2C78433F" w14:textId="77777777" w:rsidR="001C4D22" w:rsidRDefault="001C4D22" w:rsidP="001C4D22">
      <w:pPr>
        <w:jc w:val="both"/>
        <w:rPr>
          <w:bCs/>
        </w:rPr>
      </w:pPr>
    </w:p>
    <w:p w14:paraId="1CB88B1A" w14:textId="68DB09A6" w:rsidR="001C4D22" w:rsidRDefault="00F00611" w:rsidP="001C4D22">
      <w:pPr>
        <w:jc w:val="both"/>
      </w:pPr>
      <w:r>
        <w:rPr>
          <w:bCs/>
        </w:rPr>
        <w:t>4</w:t>
      </w:r>
      <w:r w:rsidR="0024646A">
        <w:rPr>
          <w:bCs/>
        </w:rPr>
        <w:t>0</w:t>
      </w:r>
      <w:r w:rsidR="001C4D22">
        <w:rPr>
          <w:bCs/>
        </w:rPr>
        <w:t>. A nivel comunitario</w:t>
      </w:r>
      <w:r w:rsidR="00E25898">
        <w:rPr>
          <w:bCs/>
        </w:rPr>
        <w:t>,</w:t>
      </w:r>
      <w:r w:rsidR="001C4D22">
        <w:rPr>
          <w:bCs/>
        </w:rPr>
        <w:t xml:space="preserve"> en la organización de </w:t>
      </w:r>
      <w:r w:rsidR="00D64AC7">
        <w:rPr>
          <w:bCs/>
        </w:rPr>
        <w:t xml:space="preserve">dichos </w:t>
      </w:r>
      <w:r w:rsidR="001C4D22">
        <w:rPr>
          <w:bCs/>
        </w:rPr>
        <w:t>gobiernos</w:t>
      </w:r>
      <w:r w:rsidR="00D64AC7">
        <w:rPr>
          <w:bCs/>
        </w:rPr>
        <w:t>,</w:t>
      </w:r>
      <w:r w:rsidR="001C4D22">
        <w:rPr>
          <w:bCs/>
        </w:rPr>
        <w:t xml:space="preserve"> es muy importante la participación activa de la población afrodescendiente, lo que se comprueba en las elecciones de gobiernos comunales y territoriales </w:t>
      </w:r>
      <w:r w:rsidR="008F0C64">
        <w:rPr>
          <w:bCs/>
        </w:rPr>
        <w:t xml:space="preserve">celebradas </w:t>
      </w:r>
      <w:r w:rsidR="001C4D22">
        <w:rPr>
          <w:bCs/>
        </w:rPr>
        <w:t>de acuerdo a sus costumbres en asambleas comunales y de acuerdo a sus estatutos</w:t>
      </w:r>
      <w:r w:rsidR="008F0C64">
        <w:rPr>
          <w:bCs/>
        </w:rPr>
        <w:t>.</w:t>
      </w:r>
      <w:r w:rsidR="001C4D22">
        <w:rPr>
          <w:bCs/>
        </w:rPr>
        <w:t xml:space="preserve"> Respaldados por la Constitución y la Ley 445 </w:t>
      </w:r>
      <w:r w:rsidR="00D64AC7">
        <w:rPr>
          <w:bCs/>
        </w:rPr>
        <w:t xml:space="preserve">eligen </w:t>
      </w:r>
      <w:r w:rsidR="001C4D22">
        <w:rPr>
          <w:bCs/>
        </w:rPr>
        <w:t>sus autoridades para que éstas tomen decisiones en asuntos que competen a sus tierras, a la organización de sus comunidades y la administración de sus recursos.</w:t>
      </w:r>
    </w:p>
    <w:p w14:paraId="6EBD154C" w14:textId="77777777" w:rsidR="001C4D22" w:rsidRDefault="001C4D22" w:rsidP="001C4D22">
      <w:pPr>
        <w:jc w:val="both"/>
        <w:rPr>
          <w:bCs/>
        </w:rPr>
      </w:pPr>
    </w:p>
    <w:p w14:paraId="66E6EEEE" w14:textId="360E25E2" w:rsidR="001C4D22" w:rsidRDefault="00F00611" w:rsidP="001C4D22">
      <w:pPr>
        <w:jc w:val="both"/>
      </w:pPr>
      <w:r>
        <w:rPr>
          <w:bCs/>
        </w:rPr>
        <w:t>4</w:t>
      </w:r>
      <w:r w:rsidR="0024646A">
        <w:rPr>
          <w:bCs/>
        </w:rPr>
        <w:t>1</w:t>
      </w:r>
      <w:r w:rsidR="001C4D22">
        <w:rPr>
          <w:bCs/>
        </w:rPr>
        <w:t xml:space="preserve">. </w:t>
      </w:r>
      <w:r w:rsidR="002B40CF">
        <w:rPr>
          <w:bCs/>
        </w:rPr>
        <w:t>Sin embargo l</w:t>
      </w:r>
      <w:r w:rsidR="001C4D22">
        <w:rPr>
          <w:bCs/>
        </w:rPr>
        <w:t xml:space="preserve">os Consejos Regionales Autónomos  no certifican a las autoridades comunales electas en </w:t>
      </w:r>
      <w:r w:rsidR="00D64AC7">
        <w:rPr>
          <w:bCs/>
        </w:rPr>
        <w:t>las</w:t>
      </w:r>
      <w:r w:rsidR="001C4D22">
        <w:rPr>
          <w:bCs/>
        </w:rPr>
        <w:t xml:space="preserve"> asambleas comunales conforme ley 445 si </w:t>
      </w:r>
      <w:r w:rsidR="002B40CF">
        <w:rPr>
          <w:bCs/>
        </w:rPr>
        <w:t xml:space="preserve">estas </w:t>
      </w:r>
      <w:r w:rsidR="001C4D22">
        <w:rPr>
          <w:bCs/>
        </w:rPr>
        <w:t xml:space="preserve">son consideradas de oposición, en muchos casos </w:t>
      </w:r>
      <w:r w:rsidR="002B40CF">
        <w:rPr>
          <w:bCs/>
        </w:rPr>
        <w:t xml:space="preserve">los consejos regionales </w:t>
      </w:r>
      <w:r w:rsidR="0042676D">
        <w:rPr>
          <w:bCs/>
        </w:rPr>
        <w:t xml:space="preserve">provocan el conflicto y </w:t>
      </w:r>
      <w:r w:rsidR="001C4D22">
        <w:rPr>
          <w:bCs/>
        </w:rPr>
        <w:t xml:space="preserve">obligan a repetir las elecciones comunales esperando resultados políticamente favorables al </w:t>
      </w:r>
      <w:r w:rsidR="00D64AC7">
        <w:rPr>
          <w:bCs/>
        </w:rPr>
        <w:t>FSLN</w:t>
      </w:r>
      <w:r w:rsidR="008E001D">
        <w:rPr>
          <w:bCs/>
        </w:rPr>
        <w:t>.</w:t>
      </w:r>
      <w:r w:rsidR="00D64AC7">
        <w:rPr>
          <w:bCs/>
        </w:rPr>
        <w:t xml:space="preserve"> </w:t>
      </w:r>
      <w:r w:rsidR="001C4D22">
        <w:rPr>
          <w:bCs/>
        </w:rPr>
        <w:t>Esta práctica se  agrav</w:t>
      </w:r>
      <w:r w:rsidR="0057180E">
        <w:rPr>
          <w:bCs/>
        </w:rPr>
        <w:t>ó</w:t>
      </w:r>
      <w:r w:rsidR="001C4D22">
        <w:rPr>
          <w:bCs/>
        </w:rPr>
        <w:t xml:space="preserve">  con la aprobación</w:t>
      </w:r>
      <w:r w:rsidR="008E001D">
        <w:rPr>
          <w:bCs/>
        </w:rPr>
        <w:t>,</w:t>
      </w:r>
      <w:r w:rsidR="001C4D22">
        <w:rPr>
          <w:bCs/>
        </w:rPr>
        <w:t xml:space="preserve"> el 25 de agosto</w:t>
      </w:r>
      <w:r w:rsidR="0057180E" w:rsidRPr="0057180E">
        <w:rPr>
          <w:bCs/>
        </w:rPr>
        <w:t xml:space="preserve"> </w:t>
      </w:r>
      <w:r w:rsidR="0057180E">
        <w:rPr>
          <w:bCs/>
        </w:rPr>
        <w:t>del 2020, del Manual para la Certificación de Autoridades comunales y territoriales,</w:t>
      </w:r>
      <w:r w:rsidR="001C4D22">
        <w:rPr>
          <w:bCs/>
        </w:rPr>
        <w:t xml:space="preserve"> por el Consejo Regional </w:t>
      </w:r>
      <w:r w:rsidR="001C4D22">
        <w:rPr>
          <w:rFonts w:cstheme="minorHAnsi"/>
          <w:bCs/>
        </w:rPr>
        <w:t>Autónomo Caribe Sur</w:t>
      </w:r>
      <w:r w:rsidR="001C4D22">
        <w:rPr>
          <w:bCs/>
        </w:rPr>
        <w:t xml:space="preserve"> (CRACCS), </w:t>
      </w:r>
      <w:r w:rsidR="0057180E">
        <w:rPr>
          <w:bCs/>
        </w:rPr>
        <w:t xml:space="preserve">desde esa fecha se han impuesto </w:t>
      </w:r>
      <w:r w:rsidR="001C4D22">
        <w:rPr>
          <w:bCs/>
        </w:rPr>
        <w:lastRenderedPageBreak/>
        <w:t xml:space="preserve">procedimientos </w:t>
      </w:r>
      <w:r w:rsidR="0057180E">
        <w:rPr>
          <w:bCs/>
        </w:rPr>
        <w:t xml:space="preserve">de elección comunal y territorial en todas las elecciones comunales </w:t>
      </w:r>
      <w:r w:rsidR="001C4D22">
        <w:rPr>
          <w:bCs/>
        </w:rPr>
        <w:t xml:space="preserve">que violan los estatutos comunales y la Ley 445. </w:t>
      </w:r>
    </w:p>
    <w:p w14:paraId="44691713" w14:textId="77777777" w:rsidR="001C4D22" w:rsidRDefault="001C4D22" w:rsidP="001C4D22">
      <w:pPr>
        <w:jc w:val="both"/>
        <w:rPr>
          <w:bCs/>
        </w:rPr>
      </w:pPr>
    </w:p>
    <w:p w14:paraId="0EA6FBFD" w14:textId="57D01D40" w:rsidR="001C4D22" w:rsidRDefault="00C5775D" w:rsidP="001C4D22">
      <w:pPr>
        <w:jc w:val="both"/>
      </w:pPr>
      <w:r>
        <w:rPr>
          <w:bCs/>
        </w:rPr>
        <w:t>4</w:t>
      </w:r>
      <w:r w:rsidR="0024646A">
        <w:rPr>
          <w:bCs/>
        </w:rPr>
        <w:t>2</w:t>
      </w:r>
      <w:r w:rsidR="001C4D22">
        <w:rPr>
          <w:bCs/>
        </w:rPr>
        <w:t xml:space="preserve">. Mediante la aprobación de este Manual, el CRACCS </w:t>
      </w:r>
      <w:r w:rsidR="00CD5BC8">
        <w:rPr>
          <w:bCs/>
        </w:rPr>
        <w:t xml:space="preserve">ejerce </w:t>
      </w:r>
      <w:r w:rsidR="001C4D22">
        <w:rPr>
          <w:bCs/>
        </w:rPr>
        <w:t>control</w:t>
      </w:r>
      <w:r w:rsidR="00CD5BC8">
        <w:rPr>
          <w:bCs/>
        </w:rPr>
        <w:t xml:space="preserve"> en </w:t>
      </w:r>
      <w:r w:rsidR="001C4D22">
        <w:rPr>
          <w:bCs/>
        </w:rPr>
        <w:t>las asambleas comunales para elegir a operadores políticos del FSLN en las comunidades. Esta imposición del Manual fue llevada a cabo principalmente por los concejales mestizos y afrodescendientes del partido de gobierno que cumplieron la orden de ¨arriba¨ para someter la voluntad de los pueblos indígenas y afrodescendientes bajo la amenaza de no recibir sus certificaciones. Así ocurrió en los casos del Gobierno Comunal de Bluefields, de Monkey Point, de Orinoco, y de los gobiernos territoriales de Pearl Lagoon y Rama Kriol.</w:t>
      </w:r>
    </w:p>
    <w:p w14:paraId="371DC259" w14:textId="77777777" w:rsidR="001C4D22" w:rsidRDefault="001C4D22" w:rsidP="001C4D22">
      <w:pPr>
        <w:jc w:val="both"/>
        <w:rPr>
          <w:bCs/>
          <w:highlight w:val="yellow"/>
        </w:rPr>
      </w:pPr>
    </w:p>
    <w:p w14:paraId="0BB594F8" w14:textId="4687AD44" w:rsidR="001C4D22" w:rsidRDefault="00C5775D" w:rsidP="001C4D22">
      <w:pPr>
        <w:jc w:val="both"/>
        <w:rPr>
          <w:bCs/>
        </w:rPr>
      </w:pPr>
      <w:r>
        <w:rPr>
          <w:bCs/>
        </w:rPr>
        <w:t>4</w:t>
      </w:r>
      <w:r w:rsidR="0024646A">
        <w:rPr>
          <w:bCs/>
        </w:rPr>
        <w:t>3</w:t>
      </w:r>
      <w:r w:rsidR="001C4D22">
        <w:rPr>
          <w:bCs/>
        </w:rPr>
        <w:t xml:space="preserve">. El caso del Gobierno Comunal Creole de Bluefields </w:t>
      </w:r>
      <w:r w:rsidR="00D64AC7">
        <w:rPr>
          <w:bCs/>
        </w:rPr>
        <w:t xml:space="preserve">resulta </w:t>
      </w:r>
      <w:r w:rsidR="001C4D22">
        <w:rPr>
          <w:bCs/>
        </w:rPr>
        <w:t>insólit</w:t>
      </w:r>
      <w:r w:rsidR="0057180E">
        <w:rPr>
          <w:bCs/>
        </w:rPr>
        <w:t>o dado que</w:t>
      </w:r>
      <w:r w:rsidR="001C4D22">
        <w:rPr>
          <w:bCs/>
        </w:rPr>
        <w:t xml:space="preserve"> </w:t>
      </w:r>
      <w:r w:rsidR="00AB7C5E">
        <w:rPr>
          <w:bCs/>
        </w:rPr>
        <w:t>la sentencia #1199 de la CSJ d</w:t>
      </w:r>
      <w:r w:rsidR="001C4D22">
        <w:rPr>
          <w:bCs/>
        </w:rPr>
        <w:t>el 27 de agosto del 2014</w:t>
      </w:r>
      <w:r w:rsidR="002B40CF">
        <w:rPr>
          <w:bCs/>
        </w:rPr>
        <w:t xml:space="preserve">, </w:t>
      </w:r>
      <w:r w:rsidR="00B937A6">
        <w:rPr>
          <w:bCs/>
        </w:rPr>
        <w:t xml:space="preserve">referido a  recurso de amparo en contra de la </w:t>
      </w:r>
      <w:r w:rsidR="009C1305">
        <w:rPr>
          <w:bCs/>
        </w:rPr>
        <w:t>certificación</w:t>
      </w:r>
      <w:r w:rsidR="00B937A6">
        <w:rPr>
          <w:bCs/>
        </w:rPr>
        <w:t xml:space="preserve"> de la Sra. Nora Newball</w:t>
      </w:r>
      <w:r w:rsidR="009C1305">
        <w:rPr>
          <w:bCs/>
        </w:rPr>
        <w:t>,</w:t>
      </w:r>
      <w:r w:rsidR="000D3ACC">
        <w:rPr>
          <w:bCs/>
        </w:rPr>
        <w:t xml:space="preserve"> que la acreditaba como autoridad comunal</w:t>
      </w:r>
      <w:r w:rsidR="00B937A6">
        <w:rPr>
          <w:bCs/>
        </w:rPr>
        <w:t xml:space="preserve">, </w:t>
      </w:r>
      <w:r w:rsidR="002B40CF">
        <w:rPr>
          <w:bCs/>
        </w:rPr>
        <w:t xml:space="preserve">fue declarada desierta </w:t>
      </w:r>
      <w:r w:rsidR="000D3ACC">
        <w:rPr>
          <w:bCs/>
        </w:rPr>
        <w:t xml:space="preserve">favoreciendo a la Sra. Newball, </w:t>
      </w:r>
      <w:r w:rsidR="002B40CF">
        <w:rPr>
          <w:bCs/>
        </w:rPr>
        <w:t xml:space="preserve">sin embargo </w:t>
      </w:r>
      <w:r w:rsidR="00184371">
        <w:rPr>
          <w:bCs/>
        </w:rPr>
        <w:t>ella solo conoció sobre la sentencia de forma fortuita hasta el  año 2020</w:t>
      </w:r>
      <w:r w:rsidR="00D173AE">
        <w:rPr>
          <w:bCs/>
        </w:rPr>
        <w:t xml:space="preserve"> y no le permiten acceso al expediente</w:t>
      </w:r>
      <w:r w:rsidR="000D3ACC">
        <w:rPr>
          <w:bCs/>
        </w:rPr>
        <w:t>. La CSJ hab</w:t>
      </w:r>
      <w:r w:rsidR="00D173AE">
        <w:rPr>
          <w:bCs/>
        </w:rPr>
        <w:t>í</w:t>
      </w:r>
      <w:r w:rsidR="000D3ACC">
        <w:rPr>
          <w:bCs/>
        </w:rPr>
        <w:t xml:space="preserve">a aceptado la solicitud de la Sra. </w:t>
      </w:r>
      <w:proofErr w:type="spellStart"/>
      <w:r w:rsidR="000D3ACC">
        <w:rPr>
          <w:bCs/>
        </w:rPr>
        <w:t>Newball</w:t>
      </w:r>
      <w:proofErr w:type="spellEnd"/>
      <w:r w:rsidR="000D3ACC">
        <w:rPr>
          <w:bCs/>
        </w:rPr>
        <w:t xml:space="preserve"> como tercera afecta</w:t>
      </w:r>
      <w:r w:rsidR="00D173AE">
        <w:rPr>
          <w:bCs/>
        </w:rPr>
        <w:t>da</w:t>
      </w:r>
      <w:r w:rsidR="009C1305">
        <w:rPr>
          <w:bCs/>
        </w:rPr>
        <w:t xml:space="preserve"> en el recurso de amparo</w:t>
      </w:r>
      <w:r w:rsidR="00D173AE">
        <w:rPr>
          <w:bCs/>
        </w:rPr>
        <w:t xml:space="preserve">. </w:t>
      </w:r>
      <w:r w:rsidR="000D3ACC">
        <w:rPr>
          <w:bCs/>
        </w:rPr>
        <w:t>Al  no conocer sobre la sentencia de la CSJ</w:t>
      </w:r>
      <w:r w:rsidR="001C4D22">
        <w:rPr>
          <w:bCs/>
        </w:rPr>
        <w:t>, el CRACCS  certific</w:t>
      </w:r>
      <w:r w:rsidR="000D3ACC">
        <w:rPr>
          <w:bCs/>
        </w:rPr>
        <w:t>ó</w:t>
      </w:r>
      <w:r w:rsidR="001C4D22">
        <w:rPr>
          <w:bCs/>
        </w:rPr>
        <w:t xml:space="preserve"> a un gobierno comunal paralelo que se instaló en Bluefields un mes después de dictada la sentencia.</w:t>
      </w:r>
      <w:r w:rsidR="0057180E">
        <w:rPr>
          <w:bCs/>
        </w:rPr>
        <w:t xml:space="preserve"> El CRACCS</w:t>
      </w:r>
      <w:r w:rsidR="00D173AE">
        <w:rPr>
          <w:bCs/>
        </w:rPr>
        <w:t>,</w:t>
      </w:r>
      <w:r w:rsidR="0057180E">
        <w:rPr>
          <w:bCs/>
        </w:rPr>
        <w:t xml:space="preserve"> </w:t>
      </w:r>
      <w:r w:rsidR="00B937A6">
        <w:rPr>
          <w:bCs/>
        </w:rPr>
        <w:t>como parte recurrida</w:t>
      </w:r>
      <w:r w:rsidR="00D173AE">
        <w:rPr>
          <w:bCs/>
        </w:rPr>
        <w:t>,</w:t>
      </w:r>
      <w:r w:rsidR="00B937A6">
        <w:rPr>
          <w:bCs/>
        </w:rPr>
        <w:t xml:space="preserve"> </w:t>
      </w:r>
      <w:r w:rsidR="000D3ACC">
        <w:rPr>
          <w:bCs/>
        </w:rPr>
        <w:t>ignor</w:t>
      </w:r>
      <w:r w:rsidR="00D173AE">
        <w:rPr>
          <w:bCs/>
        </w:rPr>
        <w:t>ó</w:t>
      </w:r>
      <w:r w:rsidR="000D3ACC">
        <w:rPr>
          <w:bCs/>
        </w:rPr>
        <w:t xml:space="preserve"> la sentencia </w:t>
      </w:r>
      <w:r w:rsidR="00184371">
        <w:rPr>
          <w:bCs/>
        </w:rPr>
        <w:t xml:space="preserve">de la CSJ </w:t>
      </w:r>
      <w:r w:rsidR="00B937A6">
        <w:rPr>
          <w:bCs/>
        </w:rPr>
        <w:t xml:space="preserve">y </w:t>
      </w:r>
      <w:r w:rsidR="0057180E">
        <w:rPr>
          <w:bCs/>
        </w:rPr>
        <w:t>contin</w:t>
      </w:r>
      <w:r w:rsidR="008E001D">
        <w:rPr>
          <w:bCs/>
        </w:rPr>
        <w:t>ú</w:t>
      </w:r>
      <w:r w:rsidR="0057180E">
        <w:rPr>
          <w:bCs/>
        </w:rPr>
        <w:t xml:space="preserve">a </w:t>
      </w:r>
      <w:r w:rsidR="00B937A6">
        <w:rPr>
          <w:bCs/>
        </w:rPr>
        <w:t>certificando a autoridades  ilegal</w:t>
      </w:r>
      <w:r w:rsidR="00184371">
        <w:rPr>
          <w:bCs/>
        </w:rPr>
        <w:t>es en el territorio de Bluefields</w:t>
      </w:r>
      <w:r w:rsidR="00B937A6">
        <w:rPr>
          <w:bCs/>
        </w:rPr>
        <w:t>. E</w:t>
      </w:r>
      <w:r w:rsidR="00184371">
        <w:rPr>
          <w:bCs/>
        </w:rPr>
        <w:t xml:space="preserve">ste próximo 27 de setiembre </w:t>
      </w:r>
      <w:r w:rsidR="00B937A6">
        <w:rPr>
          <w:bCs/>
        </w:rPr>
        <w:t xml:space="preserve">el gobierno comunal paralelo </w:t>
      </w:r>
      <w:r w:rsidR="00184371">
        <w:rPr>
          <w:bCs/>
        </w:rPr>
        <w:t>de Bluefields</w:t>
      </w:r>
      <w:r w:rsidR="000D3ACC">
        <w:rPr>
          <w:bCs/>
        </w:rPr>
        <w:t xml:space="preserve"> </w:t>
      </w:r>
      <w:r w:rsidR="00B937A6">
        <w:rPr>
          <w:bCs/>
        </w:rPr>
        <w:t xml:space="preserve">se </w:t>
      </w:r>
      <w:r w:rsidR="0057180E">
        <w:rPr>
          <w:bCs/>
        </w:rPr>
        <w:t xml:space="preserve"> prepar</w:t>
      </w:r>
      <w:r w:rsidR="00C31F52">
        <w:rPr>
          <w:bCs/>
        </w:rPr>
        <w:t>a</w:t>
      </w:r>
      <w:r w:rsidR="0057180E">
        <w:rPr>
          <w:bCs/>
        </w:rPr>
        <w:t xml:space="preserve"> una vez </w:t>
      </w:r>
      <w:r w:rsidR="00EA1E74">
        <w:rPr>
          <w:bCs/>
        </w:rPr>
        <w:t>más</w:t>
      </w:r>
      <w:r w:rsidR="0057180E">
        <w:rPr>
          <w:bCs/>
        </w:rPr>
        <w:t xml:space="preserve"> para </w:t>
      </w:r>
      <w:r w:rsidR="00B937A6">
        <w:rPr>
          <w:bCs/>
        </w:rPr>
        <w:t>el</w:t>
      </w:r>
      <w:r w:rsidR="00184371">
        <w:rPr>
          <w:bCs/>
        </w:rPr>
        <w:t>e</w:t>
      </w:r>
      <w:r w:rsidR="00B937A6">
        <w:rPr>
          <w:bCs/>
        </w:rPr>
        <w:t xml:space="preserve">gir a autoridades </w:t>
      </w:r>
      <w:r w:rsidR="0057180E">
        <w:rPr>
          <w:bCs/>
        </w:rPr>
        <w:t xml:space="preserve"> comunales</w:t>
      </w:r>
      <w:r w:rsidR="000D3ACC">
        <w:rPr>
          <w:bCs/>
        </w:rPr>
        <w:t>, con la venia del CRACCS</w:t>
      </w:r>
      <w:r w:rsidR="00B937A6">
        <w:rPr>
          <w:bCs/>
        </w:rPr>
        <w:t xml:space="preserve">. </w:t>
      </w:r>
    </w:p>
    <w:p w14:paraId="430CDA5A" w14:textId="77777777" w:rsidR="009C1305" w:rsidRDefault="009C1305" w:rsidP="001C4D22">
      <w:pPr>
        <w:jc w:val="both"/>
      </w:pPr>
    </w:p>
    <w:p w14:paraId="4B368A2B" w14:textId="77777777" w:rsidR="0024646A" w:rsidRDefault="0024646A" w:rsidP="001C4D22">
      <w:pPr>
        <w:jc w:val="both"/>
      </w:pPr>
    </w:p>
    <w:p w14:paraId="1116965E" w14:textId="77777777" w:rsidR="001C4D22" w:rsidRDefault="001C4D22" w:rsidP="001C4D22">
      <w:pPr>
        <w:jc w:val="both"/>
      </w:pPr>
      <w:r>
        <w:rPr>
          <w:b/>
          <w:bCs/>
        </w:rPr>
        <w:t>Violación del derecho a elegir autoridades nacionales, regionales y municipales</w:t>
      </w:r>
    </w:p>
    <w:p w14:paraId="2A934514" w14:textId="77777777" w:rsidR="001C4D22" w:rsidRDefault="001C4D22" w:rsidP="001C4D22">
      <w:pPr>
        <w:jc w:val="both"/>
        <w:rPr>
          <w:bCs/>
        </w:rPr>
      </w:pPr>
    </w:p>
    <w:p w14:paraId="38A7712E" w14:textId="5E0EE2DE" w:rsidR="00DD782F" w:rsidRPr="00DD782F" w:rsidRDefault="00C5775D" w:rsidP="00DD782F">
      <w:pPr>
        <w:jc w:val="both"/>
        <w:rPr>
          <w:bCs/>
        </w:rPr>
      </w:pPr>
      <w:r>
        <w:rPr>
          <w:bCs/>
        </w:rPr>
        <w:t>4</w:t>
      </w:r>
      <w:r w:rsidR="0024646A">
        <w:rPr>
          <w:bCs/>
        </w:rPr>
        <w:t>4</w:t>
      </w:r>
      <w:r w:rsidR="001C4D22">
        <w:rPr>
          <w:bCs/>
        </w:rPr>
        <w:t xml:space="preserve">. Respecto a la participación política de los pueblos afrodescendientes en el proceso de  </w:t>
      </w:r>
      <w:r w:rsidR="006A3485">
        <w:rPr>
          <w:bCs/>
        </w:rPr>
        <w:t xml:space="preserve">elegir </w:t>
      </w:r>
      <w:r w:rsidR="001C4D22">
        <w:rPr>
          <w:bCs/>
        </w:rPr>
        <w:t xml:space="preserve"> y ser elegidos, no es casual que la población que más se abstiene de votar sea la de la Costa Caribe, en especial, los pueblos indígenas y afrodescendientes, como una forma de protesta ante las múltiples violaciones y fraudes electorales, como lo confirmaron las elecciones de febrero 2019 para integrar los Consejos Regionales</w:t>
      </w:r>
      <w:r w:rsidR="001C4D22">
        <w:rPr>
          <w:rStyle w:val="Ancladenotaalpie"/>
          <w:bCs/>
        </w:rPr>
        <w:footnoteReference w:id="71"/>
      </w:r>
      <w:r w:rsidR="001C4D22">
        <w:rPr>
          <w:bCs/>
        </w:rPr>
        <w:t xml:space="preserve">  </w:t>
      </w:r>
      <w:r w:rsidR="00CB5A58">
        <w:rPr>
          <w:bCs/>
        </w:rPr>
        <w:t xml:space="preserve">y las cuestionadas elecciones nacionales celebradas en noviembre de 2021 </w:t>
      </w:r>
      <w:r w:rsidR="00787755">
        <w:rPr>
          <w:bCs/>
        </w:rPr>
        <w:t>con una abstención</w:t>
      </w:r>
      <w:r w:rsidR="00787755">
        <w:rPr>
          <w:rStyle w:val="Refdenotaalpie"/>
          <w:bCs/>
        </w:rPr>
        <w:footnoteReference w:id="72"/>
      </w:r>
      <w:r w:rsidR="00787755">
        <w:rPr>
          <w:bCs/>
        </w:rPr>
        <w:t xml:space="preserve"> que rondaba el 81%</w:t>
      </w:r>
      <w:r w:rsidR="00301D1D">
        <w:rPr>
          <w:bCs/>
        </w:rPr>
        <w:t xml:space="preserve">. Estos resultados  permitió </w:t>
      </w:r>
      <w:r w:rsidR="00E5422B">
        <w:rPr>
          <w:bCs/>
        </w:rPr>
        <w:t xml:space="preserve"> que </w:t>
      </w:r>
      <w:r w:rsidR="00DD782F">
        <w:rPr>
          <w:bCs/>
        </w:rPr>
        <w:t xml:space="preserve"> la Asamblea General</w:t>
      </w:r>
      <w:r w:rsidR="00715133">
        <w:rPr>
          <w:bCs/>
        </w:rPr>
        <w:t xml:space="preserve"> de la OEA</w:t>
      </w:r>
      <w:r w:rsidR="00DD782F">
        <w:rPr>
          <w:bCs/>
        </w:rPr>
        <w:t xml:space="preserve"> declar</w:t>
      </w:r>
      <w:r w:rsidR="00E5422B">
        <w:rPr>
          <w:bCs/>
        </w:rPr>
        <w:t>ase</w:t>
      </w:r>
      <w:r w:rsidR="00DD782F">
        <w:rPr>
          <w:bCs/>
        </w:rPr>
        <w:t xml:space="preserve"> </w:t>
      </w:r>
      <w:r w:rsidR="00DD782F" w:rsidRPr="00DD782F">
        <w:rPr>
          <w:bCs/>
        </w:rPr>
        <w:t xml:space="preserve">que, </w:t>
      </w:r>
      <w:r w:rsidR="00301D1D">
        <w:rPr>
          <w:bCs/>
        </w:rPr>
        <w:t xml:space="preserve">las </w:t>
      </w:r>
      <w:r w:rsidR="00715133">
        <w:rPr>
          <w:bCs/>
        </w:rPr>
        <w:t xml:space="preserve"> elecciones </w:t>
      </w:r>
      <w:r w:rsidR="00DD782F" w:rsidRPr="00DD782F">
        <w:rPr>
          <w:bCs/>
        </w:rPr>
        <w:t>no fueron libres, ni justas ni transparentes y que no tienen legitimidad democrática</w:t>
      </w:r>
      <w:r w:rsidR="00301D1D">
        <w:rPr>
          <w:bCs/>
        </w:rPr>
        <w:t>. Concluy</w:t>
      </w:r>
      <w:r w:rsidR="00031968">
        <w:rPr>
          <w:bCs/>
        </w:rPr>
        <w:t>ó</w:t>
      </w:r>
      <w:r w:rsidR="00301D1D">
        <w:rPr>
          <w:bCs/>
        </w:rPr>
        <w:t xml:space="preserve"> </w:t>
      </w:r>
      <w:r w:rsidR="00715133">
        <w:rPr>
          <w:bCs/>
        </w:rPr>
        <w:t xml:space="preserve"> además </w:t>
      </w:r>
      <w:r w:rsidR="00715133" w:rsidRPr="00DD782F">
        <w:rPr>
          <w:bCs/>
        </w:rPr>
        <w:t xml:space="preserve"> que, con base en los principios establecidos en la Carta de la </w:t>
      </w:r>
      <w:r w:rsidR="00715133">
        <w:rPr>
          <w:bCs/>
        </w:rPr>
        <w:t xml:space="preserve">OEA </w:t>
      </w:r>
      <w:r w:rsidR="00715133" w:rsidRPr="00DD782F">
        <w:rPr>
          <w:bCs/>
        </w:rPr>
        <w:t>y en la Carta Democrática Interamericana, las instituciones democráticas en Nicaragua han sido seriamente socavadas por el Gobierno</w:t>
      </w:r>
      <w:r w:rsidR="00DD782F">
        <w:rPr>
          <w:rStyle w:val="Refdenotaalpie"/>
          <w:bCs/>
        </w:rPr>
        <w:footnoteReference w:id="73"/>
      </w:r>
      <w:r w:rsidR="00DD782F" w:rsidRPr="00DD782F">
        <w:rPr>
          <w:bCs/>
        </w:rPr>
        <w:t>.</w:t>
      </w:r>
    </w:p>
    <w:p w14:paraId="53BFFAE8" w14:textId="5DEE2A01" w:rsidR="001C4D22" w:rsidRDefault="00C5775D" w:rsidP="001C4D22">
      <w:pPr>
        <w:jc w:val="both"/>
      </w:pPr>
      <w:r>
        <w:rPr>
          <w:bCs/>
        </w:rPr>
        <w:lastRenderedPageBreak/>
        <w:t>4</w:t>
      </w:r>
      <w:r w:rsidR="0024646A">
        <w:rPr>
          <w:bCs/>
        </w:rPr>
        <w:t>5</w:t>
      </w:r>
      <w:r w:rsidR="001C4D22">
        <w:rPr>
          <w:bCs/>
        </w:rPr>
        <w:t xml:space="preserve">. Por otro lado, </w:t>
      </w:r>
      <w:r w:rsidR="00787755">
        <w:rPr>
          <w:bCs/>
        </w:rPr>
        <w:t xml:space="preserve">para este año  </w:t>
      </w:r>
      <w:r w:rsidR="001C4D22">
        <w:rPr>
          <w:bCs/>
        </w:rPr>
        <w:t xml:space="preserve">se observa que </w:t>
      </w:r>
      <w:r w:rsidR="006A3485">
        <w:rPr>
          <w:bCs/>
        </w:rPr>
        <w:t xml:space="preserve">el </w:t>
      </w:r>
      <w:r w:rsidR="00787755">
        <w:rPr>
          <w:bCs/>
        </w:rPr>
        <w:t xml:space="preserve">nuevo proceso electoral </w:t>
      </w:r>
      <w:r w:rsidR="004062F2">
        <w:rPr>
          <w:bCs/>
        </w:rPr>
        <w:t>(</w:t>
      </w:r>
      <w:r w:rsidR="00787755">
        <w:rPr>
          <w:bCs/>
        </w:rPr>
        <w:t>municipal</w:t>
      </w:r>
      <w:r w:rsidR="004062F2">
        <w:rPr>
          <w:bCs/>
        </w:rPr>
        <w:t>)</w:t>
      </w:r>
      <w:r w:rsidR="00787755">
        <w:rPr>
          <w:bCs/>
        </w:rPr>
        <w:t xml:space="preserve"> </w:t>
      </w:r>
      <w:r w:rsidR="00715133">
        <w:rPr>
          <w:bCs/>
        </w:rPr>
        <w:t xml:space="preserve"> seguirá un patrón similar al de las </w:t>
      </w:r>
      <w:r w:rsidR="00787755">
        <w:rPr>
          <w:bCs/>
        </w:rPr>
        <w:t xml:space="preserve">presidenciales del 2021 porque </w:t>
      </w:r>
      <w:r w:rsidR="00673E4F">
        <w:rPr>
          <w:bCs/>
        </w:rPr>
        <w:t xml:space="preserve"> </w:t>
      </w:r>
      <w:r w:rsidR="006A3485">
        <w:rPr>
          <w:bCs/>
        </w:rPr>
        <w:t xml:space="preserve">se realizaran por medio de </w:t>
      </w:r>
      <w:r w:rsidR="00787755">
        <w:rPr>
          <w:bCs/>
        </w:rPr>
        <w:t xml:space="preserve"> </w:t>
      </w:r>
      <w:r w:rsidR="004062F2">
        <w:rPr>
          <w:bCs/>
        </w:rPr>
        <w:t xml:space="preserve">componendas </w:t>
      </w:r>
      <w:r w:rsidR="006A3485">
        <w:rPr>
          <w:bCs/>
        </w:rPr>
        <w:t>entre el  FSL</w:t>
      </w:r>
      <w:r w:rsidR="00103132">
        <w:rPr>
          <w:bCs/>
        </w:rPr>
        <w:t>N</w:t>
      </w:r>
      <w:r w:rsidR="006A3485">
        <w:rPr>
          <w:bCs/>
        </w:rPr>
        <w:t xml:space="preserve"> y partidos políticos que no representan una oposición real al poder. Lamentablemente el </w:t>
      </w:r>
      <w:r w:rsidR="00C5472C">
        <w:rPr>
          <w:bCs/>
        </w:rPr>
        <w:t xml:space="preserve">CSE </w:t>
      </w:r>
      <w:r w:rsidR="001C4D22">
        <w:rPr>
          <w:bCs/>
        </w:rPr>
        <w:t xml:space="preserve"> </w:t>
      </w:r>
      <w:r w:rsidR="00673E4F">
        <w:rPr>
          <w:bCs/>
        </w:rPr>
        <w:t>asigna</w:t>
      </w:r>
      <w:r w:rsidR="001C4D22">
        <w:rPr>
          <w:bCs/>
        </w:rPr>
        <w:t xml:space="preserve"> los escaños a </w:t>
      </w:r>
      <w:r w:rsidR="00673E4F">
        <w:rPr>
          <w:bCs/>
        </w:rPr>
        <w:t xml:space="preserve">su </w:t>
      </w:r>
      <w:r w:rsidR="001C4D22">
        <w:rPr>
          <w:bCs/>
        </w:rPr>
        <w:t>conveniencia,</w:t>
      </w:r>
      <w:r w:rsidR="00103132">
        <w:rPr>
          <w:bCs/>
        </w:rPr>
        <w:t xml:space="preserve"> violentando </w:t>
      </w:r>
      <w:r w:rsidR="00301D1D">
        <w:rPr>
          <w:bCs/>
        </w:rPr>
        <w:t xml:space="preserve">aún más </w:t>
      </w:r>
      <w:r w:rsidR="00103132">
        <w:rPr>
          <w:bCs/>
        </w:rPr>
        <w:t xml:space="preserve">el proceso electoral </w:t>
      </w:r>
      <w:r w:rsidR="001C4D22">
        <w:rPr>
          <w:bCs/>
        </w:rPr>
        <w:t>como se observ</w:t>
      </w:r>
      <w:r w:rsidR="00141F93">
        <w:rPr>
          <w:bCs/>
        </w:rPr>
        <w:t>ó</w:t>
      </w:r>
      <w:r w:rsidR="001C4D22">
        <w:rPr>
          <w:bCs/>
        </w:rPr>
        <w:t xml:space="preserve"> en los resultados </w:t>
      </w:r>
      <w:r w:rsidR="00C5472C">
        <w:rPr>
          <w:bCs/>
        </w:rPr>
        <w:t xml:space="preserve">del pasado proceso </w:t>
      </w:r>
      <w:r w:rsidR="001C4D22">
        <w:rPr>
          <w:bCs/>
        </w:rPr>
        <w:t xml:space="preserve">electoral para la Asamblea Nacional, los consejos regionales y </w:t>
      </w:r>
      <w:r w:rsidR="004062F2">
        <w:rPr>
          <w:bCs/>
        </w:rPr>
        <w:t xml:space="preserve">hoy nuevamente </w:t>
      </w:r>
      <w:r w:rsidR="00103132">
        <w:rPr>
          <w:bCs/>
        </w:rPr>
        <w:t>se p</w:t>
      </w:r>
      <w:r w:rsidR="00B01D87">
        <w:rPr>
          <w:bCs/>
        </w:rPr>
        <w:t>royecta</w:t>
      </w:r>
      <w:r w:rsidR="00103132">
        <w:rPr>
          <w:bCs/>
        </w:rPr>
        <w:t xml:space="preserve"> </w:t>
      </w:r>
      <w:r w:rsidR="00C5472C">
        <w:rPr>
          <w:bCs/>
        </w:rPr>
        <w:t xml:space="preserve">para </w:t>
      </w:r>
      <w:r w:rsidR="001C4D22">
        <w:rPr>
          <w:bCs/>
        </w:rPr>
        <w:t xml:space="preserve">los </w:t>
      </w:r>
      <w:r w:rsidR="004062F2">
        <w:rPr>
          <w:bCs/>
        </w:rPr>
        <w:t xml:space="preserve">comicios </w:t>
      </w:r>
      <w:r w:rsidR="001C4D22">
        <w:rPr>
          <w:bCs/>
        </w:rPr>
        <w:t xml:space="preserve"> municipales</w:t>
      </w:r>
      <w:r w:rsidR="004062F2">
        <w:rPr>
          <w:rStyle w:val="Refdenotaalpie"/>
          <w:bCs/>
        </w:rPr>
        <w:footnoteReference w:id="74"/>
      </w:r>
      <w:r w:rsidR="001C4D22">
        <w:rPr>
          <w:bCs/>
        </w:rPr>
        <w:t xml:space="preserve">. </w:t>
      </w:r>
    </w:p>
    <w:p w14:paraId="07096DA7" w14:textId="77777777" w:rsidR="001C4D22" w:rsidRDefault="001C4D22" w:rsidP="001C4D22">
      <w:pPr>
        <w:jc w:val="both"/>
        <w:rPr>
          <w:bCs/>
        </w:rPr>
      </w:pPr>
    </w:p>
    <w:p w14:paraId="0FC04B34" w14:textId="77777777" w:rsidR="001C4D22" w:rsidRDefault="001C4D22" w:rsidP="001C4D22">
      <w:pPr>
        <w:jc w:val="both"/>
        <w:rPr>
          <w:b/>
          <w:bCs/>
          <w:i/>
        </w:rPr>
      </w:pPr>
      <w:r>
        <w:rPr>
          <w:b/>
          <w:bCs/>
          <w:i/>
        </w:rPr>
        <w:t>Participación de las mujeres afrodescendientes en asuntos públicos</w:t>
      </w:r>
    </w:p>
    <w:p w14:paraId="64C41A05" w14:textId="77777777" w:rsidR="00C5775D" w:rsidRDefault="00C5775D" w:rsidP="001C4D22">
      <w:pPr>
        <w:jc w:val="both"/>
      </w:pPr>
    </w:p>
    <w:p w14:paraId="49AB4D84" w14:textId="365B74E4" w:rsidR="001C4D22" w:rsidRDefault="00C5775D" w:rsidP="001C4D22">
      <w:pPr>
        <w:jc w:val="both"/>
      </w:pPr>
      <w:r>
        <w:rPr>
          <w:bCs/>
        </w:rPr>
        <w:t>4</w:t>
      </w:r>
      <w:r w:rsidR="0024646A">
        <w:rPr>
          <w:bCs/>
        </w:rPr>
        <w:t>6</w:t>
      </w:r>
      <w:r w:rsidR="001C4D22">
        <w:rPr>
          <w:bCs/>
        </w:rPr>
        <w:t xml:space="preserve">. Una estrategia del gobierno nacional se orienta a incluir a la mujer afrodescendiente en cargos públicos nacionales  considerados de relevancia. </w:t>
      </w:r>
      <w:r w:rsidR="00CB5A58">
        <w:rPr>
          <w:bCs/>
        </w:rPr>
        <w:t>Sin em</w:t>
      </w:r>
      <w:r w:rsidR="00673E4F">
        <w:rPr>
          <w:bCs/>
        </w:rPr>
        <w:t>b</w:t>
      </w:r>
      <w:r w:rsidR="00CB5A58">
        <w:rPr>
          <w:bCs/>
        </w:rPr>
        <w:t>argo, l</w:t>
      </w:r>
      <w:r w:rsidR="001C4D22">
        <w:rPr>
          <w:bCs/>
        </w:rPr>
        <w:t>as que ocupan dichos cargos no tienen poder de decisión, ya que el partido de gobierno se ha valido de esas acciones afirmativas de participación para que éstas muestren su obediencia partidaria, ya sea de forma voluntaria u obligatoria.</w:t>
      </w:r>
      <w:r w:rsidR="001C4D22">
        <w:rPr>
          <w:rStyle w:val="Ancladenotaalpie"/>
          <w:bCs/>
        </w:rPr>
        <w:footnoteReference w:id="75"/>
      </w:r>
    </w:p>
    <w:p w14:paraId="4BC98DD4" w14:textId="77777777" w:rsidR="001C4D22" w:rsidRDefault="001C4D22" w:rsidP="001C4D22">
      <w:pPr>
        <w:jc w:val="both"/>
        <w:rPr>
          <w:bCs/>
        </w:rPr>
      </w:pPr>
    </w:p>
    <w:p w14:paraId="0E52E5CB" w14:textId="6DA012B6" w:rsidR="001C4D22" w:rsidRDefault="00C5775D" w:rsidP="001C4D22">
      <w:pPr>
        <w:jc w:val="both"/>
      </w:pPr>
      <w:r>
        <w:rPr>
          <w:bCs/>
        </w:rPr>
        <w:t>4</w:t>
      </w:r>
      <w:r w:rsidR="0024646A">
        <w:rPr>
          <w:bCs/>
        </w:rPr>
        <w:t>7</w:t>
      </w:r>
      <w:r w:rsidR="001C4D22">
        <w:rPr>
          <w:bCs/>
        </w:rPr>
        <w:t xml:space="preserve">. Por otra parte, vemos que la participación de la mujer afrodescendiente en los espacios regionales al frente de alcaldías y gobierno regional, está limitada porque ocupan cargos sin poder de decisión y para cumplir las apariencias de integración étnica </w:t>
      </w:r>
      <w:r w:rsidR="00AD23B6">
        <w:rPr>
          <w:bCs/>
        </w:rPr>
        <w:t xml:space="preserve">y de género </w:t>
      </w:r>
      <w:r w:rsidR="001C4D22">
        <w:rPr>
          <w:bCs/>
        </w:rPr>
        <w:t xml:space="preserve">porque no están en capacidad de resolver los problemas elementales de la población afrodescendiente. </w:t>
      </w:r>
    </w:p>
    <w:p w14:paraId="1D46662E" w14:textId="77777777" w:rsidR="001C4D22" w:rsidRDefault="001C4D22" w:rsidP="001C4D22">
      <w:pPr>
        <w:jc w:val="both"/>
        <w:rPr>
          <w:bCs/>
        </w:rPr>
      </w:pPr>
    </w:p>
    <w:p w14:paraId="30CAA67D" w14:textId="0E2CAFC9" w:rsidR="001C4D22" w:rsidRDefault="001C4D22" w:rsidP="001C4D22">
      <w:pPr>
        <w:jc w:val="both"/>
        <w:rPr>
          <w:rFonts w:cstheme="minorHAnsi"/>
          <w:b/>
        </w:rPr>
      </w:pPr>
      <w:r>
        <w:rPr>
          <w:rFonts w:eastAsia="Times New Roman" w:cstheme="minorHAnsi"/>
          <w:b/>
        </w:rPr>
        <w:t>Derecho a la libertad y seguridad personal, derechos de las personas privadas de libertad (arts. 6, 7, 9, 10, 14 y 24)</w:t>
      </w:r>
      <w:r>
        <w:rPr>
          <w:rStyle w:val="Ancladenotaalpie"/>
          <w:rFonts w:eastAsia="Times New Roman" w:cstheme="minorHAnsi"/>
          <w:b/>
        </w:rPr>
        <w:footnoteReference w:id="76"/>
      </w:r>
      <w:r>
        <w:rPr>
          <w:rFonts w:eastAsia="Times New Roman" w:cstheme="minorHAnsi"/>
          <w:b/>
        </w:rPr>
        <w:t xml:space="preserve">: </w:t>
      </w:r>
      <w:r>
        <w:rPr>
          <w:rFonts w:cstheme="minorHAnsi"/>
          <w:b/>
        </w:rPr>
        <w:t xml:space="preserve">La incriminación y procesos judiciales violatorios de las garantías del debido proceso como expresión del racismo hacia la población afrodescendiente </w:t>
      </w:r>
    </w:p>
    <w:p w14:paraId="6961D097" w14:textId="77777777" w:rsidR="001C4D22" w:rsidRDefault="001C4D22" w:rsidP="001C4D22">
      <w:pPr>
        <w:jc w:val="both"/>
        <w:rPr>
          <w:bCs/>
        </w:rPr>
      </w:pPr>
    </w:p>
    <w:p w14:paraId="688C201F" w14:textId="30FABFB0" w:rsidR="001C4D22" w:rsidRDefault="00C5775D" w:rsidP="001C4D22">
      <w:pPr>
        <w:jc w:val="both"/>
      </w:pPr>
      <w:r>
        <w:rPr>
          <w:bCs/>
        </w:rPr>
        <w:t>4</w:t>
      </w:r>
      <w:r w:rsidR="0024646A">
        <w:rPr>
          <w:bCs/>
        </w:rPr>
        <w:t>8</w:t>
      </w:r>
      <w:r w:rsidR="001C4D22">
        <w:rPr>
          <w:bCs/>
        </w:rPr>
        <w:t xml:space="preserve">. En el marco de las protestas de abril de 2018, se han identificado patrones discriminatorios contra la población afrodescendiente. Este es el caso </w:t>
      </w:r>
      <w:r w:rsidR="00B346F4">
        <w:rPr>
          <w:bCs/>
        </w:rPr>
        <w:t xml:space="preserve">dos </w:t>
      </w:r>
      <w:r w:rsidR="001C4D22">
        <w:rPr>
          <w:bCs/>
        </w:rPr>
        <w:t xml:space="preserve">jóvenes </w:t>
      </w:r>
      <w:r w:rsidR="00B346F4">
        <w:rPr>
          <w:bCs/>
        </w:rPr>
        <w:t xml:space="preserve">afrodescendientes </w:t>
      </w:r>
      <w:r w:rsidR="001C4D22">
        <w:rPr>
          <w:bCs/>
        </w:rPr>
        <w:t xml:space="preserve">  acusados y condenados por el asesinato del periodista Ángel Gahona en la ciudad de Bluefields, </w:t>
      </w:r>
      <w:r w:rsidR="00337967">
        <w:rPr>
          <w:bCs/>
        </w:rPr>
        <w:t xml:space="preserve">luego de un proceso irregular, </w:t>
      </w:r>
      <w:r w:rsidR="001C4D22">
        <w:rPr>
          <w:bCs/>
        </w:rPr>
        <w:t xml:space="preserve">para luego ser </w:t>
      </w:r>
      <w:r w:rsidR="00337967">
        <w:rPr>
          <w:bCs/>
        </w:rPr>
        <w:t>excarcelados conforme a la Ley de Amnistía. L</w:t>
      </w:r>
      <w:r w:rsidR="001C4D22">
        <w:rPr>
          <w:bCs/>
        </w:rPr>
        <w:t>as graves imputaciones infundadas vertidas en el caso de la muerte del periodista</w:t>
      </w:r>
      <w:r w:rsidR="00337967">
        <w:rPr>
          <w:bCs/>
        </w:rPr>
        <w:t xml:space="preserve"> confirman la discriminación hacia la juventud afrodescendiente</w:t>
      </w:r>
      <w:r w:rsidR="001C4D22">
        <w:rPr>
          <w:bCs/>
        </w:rPr>
        <w:t>.</w:t>
      </w:r>
    </w:p>
    <w:p w14:paraId="62B93B59" w14:textId="77777777" w:rsidR="001C4D22" w:rsidRDefault="001C4D22" w:rsidP="001C4D22">
      <w:pPr>
        <w:jc w:val="both"/>
        <w:rPr>
          <w:bCs/>
        </w:rPr>
      </w:pPr>
    </w:p>
    <w:p w14:paraId="7726A95C" w14:textId="5CAFB366" w:rsidR="001C4D22" w:rsidRDefault="0024646A" w:rsidP="001C4D22">
      <w:pPr>
        <w:jc w:val="both"/>
      </w:pPr>
      <w:r>
        <w:rPr>
          <w:bCs/>
        </w:rPr>
        <w:lastRenderedPageBreak/>
        <w:t>49</w:t>
      </w:r>
      <w:r w:rsidR="001C4D22">
        <w:rPr>
          <w:bCs/>
        </w:rPr>
        <w:t>. La defensa de los jóvenes afrodescendientes explicó detalladamente las irregularidades de dichos procesos</w:t>
      </w:r>
      <w:r w:rsidR="001C4D22">
        <w:rPr>
          <w:rStyle w:val="Ancladenotaalpie"/>
          <w:bCs/>
        </w:rPr>
        <w:footnoteReference w:id="77"/>
      </w:r>
      <w:r w:rsidR="001C4D22">
        <w:rPr>
          <w:bCs/>
        </w:rPr>
        <w:t xml:space="preserve"> destacando las pruebas presentadas por la Fiscalía que nunca </w:t>
      </w:r>
      <w:r w:rsidR="00963955">
        <w:rPr>
          <w:bCs/>
        </w:rPr>
        <w:t>logró</w:t>
      </w:r>
      <w:r w:rsidR="001C4D22">
        <w:rPr>
          <w:bCs/>
        </w:rPr>
        <w:t xml:space="preserve"> demostrar la culpabilidad de los jóvenes, los testigos no vieron quien fue el que disparó y las pruebas </w:t>
      </w:r>
      <w:r w:rsidR="00963955">
        <w:rPr>
          <w:bCs/>
        </w:rPr>
        <w:t xml:space="preserve">que </w:t>
      </w:r>
      <w:r w:rsidR="001C4D22">
        <w:rPr>
          <w:bCs/>
        </w:rPr>
        <w:t>no presentaban evidencias en contra de los jóvenes</w:t>
      </w:r>
      <w:r w:rsidR="00963955">
        <w:rPr>
          <w:bCs/>
        </w:rPr>
        <w:t>. Adicionalmente, se violó el principio del juez natural, ya que</w:t>
      </w:r>
      <w:r w:rsidR="001C4D22">
        <w:rPr>
          <w:bCs/>
        </w:rPr>
        <w:t xml:space="preserve"> el juicio se realizó en Managua y no en Bluefields donde sucedieron los hechos.</w:t>
      </w:r>
    </w:p>
    <w:p w14:paraId="213C1B12" w14:textId="77777777" w:rsidR="001C4D22" w:rsidRDefault="001C4D22" w:rsidP="001C4D22">
      <w:pPr>
        <w:jc w:val="both"/>
        <w:rPr>
          <w:bCs/>
        </w:rPr>
      </w:pPr>
    </w:p>
    <w:p w14:paraId="19E743B4" w14:textId="5B823A14" w:rsidR="001C4D22" w:rsidRDefault="005B21A1" w:rsidP="001C4D22">
      <w:pPr>
        <w:jc w:val="both"/>
        <w:rPr>
          <w:bCs/>
        </w:rPr>
      </w:pPr>
      <w:r>
        <w:rPr>
          <w:bCs/>
        </w:rPr>
        <w:t>5</w:t>
      </w:r>
      <w:r w:rsidR="0024646A">
        <w:rPr>
          <w:bCs/>
        </w:rPr>
        <w:t>0</w:t>
      </w:r>
      <w:r w:rsidR="001C4D22">
        <w:rPr>
          <w:bCs/>
        </w:rPr>
        <w:t xml:space="preserve">. El juicio de </w:t>
      </w:r>
      <w:r w:rsidR="00AD23B6">
        <w:rPr>
          <w:bCs/>
        </w:rPr>
        <w:t xml:space="preserve">los jóvenes </w:t>
      </w:r>
      <w:r w:rsidR="001C4D22">
        <w:rPr>
          <w:bCs/>
        </w:rPr>
        <w:t xml:space="preserve"> fue un juicio político. </w:t>
      </w:r>
      <w:r w:rsidR="00AD23B6">
        <w:rPr>
          <w:bCs/>
        </w:rPr>
        <w:t xml:space="preserve">Uno de ellos </w:t>
      </w:r>
      <w:r w:rsidR="00054DDF">
        <w:rPr>
          <w:bCs/>
        </w:rPr>
        <w:t xml:space="preserve"> fue condenado a </w:t>
      </w:r>
      <w:r w:rsidR="001C4D22">
        <w:rPr>
          <w:bCs/>
        </w:rPr>
        <w:t xml:space="preserve">23 años de prisión y </w:t>
      </w:r>
      <w:r w:rsidR="00AD23B6">
        <w:rPr>
          <w:bCs/>
        </w:rPr>
        <w:t xml:space="preserve">el otro </w:t>
      </w:r>
      <w:r w:rsidR="00054DDF">
        <w:rPr>
          <w:bCs/>
        </w:rPr>
        <w:t xml:space="preserve">a </w:t>
      </w:r>
      <w:r w:rsidR="001C4D22">
        <w:rPr>
          <w:bCs/>
        </w:rPr>
        <w:t>12</w:t>
      </w:r>
      <w:r w:rsidR="00054DDF">
        <w:rPr>
          <w:bCs/>
        </w:rPr>
        <w:t xml:space="preserve"> años</w:t>
      </w:r>
      <w:r w:rsidR="00963955">
        <w:rPr>
          <w:bCs/>
        </w:rPr>
        <w:t>. La condena a ambos</w:t>
      </w:r>
      <w:r w:rsidR="001C4D22">
        <w:rPr>
          <w:rStyle w:val="Ancladenotaalpie"/>
          <w:bCs/>
        </w:rPr>
        <w:footnoteReference w:id="78"/>
      </w:r>
      <w:r w:rsidR="001C4D22">
        <w:rPr>
          <w:bCs/>
        </w:rPr>
        <w:t xml:space="preserve">, </w:t>
      </w:r>
      <w:r w:rsidR="00054DDF">
        <w:rPr>
          <w:bCs/>
        </w:rPr>
        <w:t xml:space="preserve"> </w:t>
      </w:r>
      <w:r w:rsidR="00AD23B6">
        <w:rPr>
          <w:bCs/>
        </w:rPr>
        <w:t xml:space="preserve">les provocó </w:t>
      </w:r>
      <w:r w:rsidR="00054DDF">
        <w:rPr>
          <w:bCs/>
        </w:rPr>
        <w:t xml:space="preserve"> </w:t>
      </w:r>
      <w:r w:rsidR="001C4D22">
        <w:rPr>
          <w:bCs/>
        </w:rPr>
        <w:t>daño a su honra y reputación</w:t>
      </w:r>
      <w:r w:rsidR="00963955">
        <w:rPr>
          <w:bCs/>
        </w:rPr>
        <w:t xml:space="preserve"> y la aplicación de la amnistía no impidió que las autoridades continuaran asediándoles. </w:t>
      </w:r>
    </w:p>
    <w:p w14:paraId="45295DD1" w14:textId="77777777" w:rsidR="00C5775D" w:rsidRDefault="00C5775D" w:rsidP="001C4D22">
      <w:pPr>
        <w:jc w:val="both"/>
      </w:pPr>
    </w:p>
    <w:p w14:paraId="6E663395" w14:textId="32C7E8D4" w:rsidR="001C4D22" w:rsidRDefault="005B21A1" w:rsidP="001C4D22">
      <w:pPr>
        <w:tabs>
          <w:tab w:val="left" w:pos="2670"/>
        </w:tabs>
        <w:jc w:val="both"/>
      </w:pPr>
      <w:r>
        <w:rPr>
          <w:bCs/>
        </w:rPr>
        <w:t>5</w:t>
      </w:r>
      <w:r w:rsidR="0024646A">
        <w:rPr>
          <w:bCs/>
        </w:rPr>
        <w:t>1</w:t>
      </w:r>
      <w:r w:rsidR="001C4D22">
        <w:rPr>
          <w:bCs/>
        </w:rPr>
        <w:t xml:space="preserve">. Asimismo, se registran muertes de </w:t>
      </w:r>
      <w:r w:rsidR="00054DDF">
        <w:rPr>
          <w:bCs/>
        </w:rPr>
        <w:t xml:space="preserve">afrodescendientes </w:t>
      </w:r>
      <w:r w:rsidR="001C4D22">
        <w:rPr>
          <w:bCs/>
        </w:rPr>
        <w:t>bajo custodia estatal en los que existen indicios claros de violencia por parte de las autoridades penitenciarias. Por ejemplo, el caso de Enrique Hodgson</w:t>
      </w:r>
      <w:r w:rsidR="001C4D22">
        <w:rPr>
          <w:rStyle w:val="Ancladenotaalpie"/>
          <w:bCs/>
        </w:rPr>
        <w:footnoteReference w:id="79"/>
      </w:r>
      <w:r w:rsidR="001C4D22">
        <w:rPr>
          <w:bCs/>
        </w:rPr>
        <w:t xml:space="preserve"> que murió según la información de las autoridades penitenciarias, por ahogamiento en la cárcel de Bluefields</w:t>
      </w:r>
      <w:r w:rsidR="00963955">
        <w:rPr>
          <w:bCs/>
        </w:rPr>
        <w:t xml:space="preserve"> y </w:t>
      </w:r>
      <w:r w:rsidR="001C4D22">
        <w:rPr>
          <w:bCs/>
        </w:rPr>
        <w:t>el caso de Evans Taylor Williams antes comentado</w:t>
      </w:r>
      <w:r w:rsidR="001C4D22">
        <w:rPr>
          <w:rStyle w:val="Ancladenotaalpie"/>
          <w:bCs/>
        </w:rPr>
        <w:footnoteReference w:id="80"/>
      </w:r>
      <w:r w:rsidR="001C4D22">
        <w:rPr>
          <w:bCs/>
        </w:rPr>
        <w:t xml:space="preserve">. En este caso, </w:t>
      </w:r>
      <w:r w:rsidR="00301D1D">
        <w:rPr>
          <w:bCs/>
        </w:rPr>
        <w:t>n</w:t>
      </w:r>
      <w:r w:rsidR="001C4D22">
        <w:rPr>
          <w:bCs/>
        </w:rPr>
        <w:t>ingún oficial ha sido sancionado por tales hechos</w:t>
      </w:r>
      <w:r w:rsidR="001C4D22">
        <w:rPr>
          <w:rStyle w:val="Ancladenotaalpie"/>
          <w:bCs/>
        </w:rPr>
        <w:footnoteReference w:id="81"/>
      </w:r>
      <w:r w:rsidR="001C4D22">
        <w:rPr>
          <w:bCs/>
        </w:rPr>
        <w:t>.</w:t>
      </w:r>
    </w:p>
    <w:p w14:paraId="61D5CC6B" w14:textId="77777777" w:rsidR="001C4D22" w:rsidRDefault="001C4D22" w:rsidP="001C4D22">
      <w:pPr>
        <w:tabs>
          <w:tab w:val="left" w:pos="2670"/>
        </w:tabs>
        <w:jc w:val="both"/>
      </w:pPr>
    </w:p>
    <w:p w14:paraId="62101749" w14:textId="35C585A6" w:rsidR="001C4D22" w:rsidRDefault="00C5775D" w:rsidP="001C4D22">
      <w:pPr>
        <w:tabs>
          <w:tab w:val="left" w:pos="2670"/>
        </w:tabs>
        <w:jc w:val="both"/>
      </w:pPr>
      <w:r>
        <w:t>5</w:t>
      </w:r>
      <w:r w:rsidR="0024646A">
        <w:t>2</w:t>
      </w:r>
      <w:r w:rsidR="001C4D22">
        <w:t xml:space="preserve">. Otro caso de </w:t>
      </w:r>
      <w:r w:rsidR="003B4810">
        <w:t xml:space="preserve">injusticia fue el cometido a una </w:t>
      </w:r>
      <w:r w:rsidR="00EA1E74">
        <w:t xml:space="preserve">joven </w:t>
      </w:r>
      <w:r w:rsidR="00BF1CA4">
        <w:t xml:space="preserve">afrodescendiente </w:t>
      </w:r>
      <w:r w:rsidR="001C4D22">
        <w:t xml:space="preserve">de la comunidad LGBTIQ+ quien el 30 de septiembre de 2017 </w:t>
      </w:r>
      <w:r w:rsidR="003B4810">
        <w:t xml:space="preserve">en el municipio de Corn Island </w:t>
      </w:r>
      <w:r w:rsidR="001C4D22">
        <w:t>fue agredida por un joven dejando lesiones de por vida en su rostro teniendo que someterse a cirugías reconstructivas</w:t>
      </w:r>
      <w:r w:rsidR="001C4D22">
        <w:rPr>
          <w:rStyle w:val="Ancladenotaalpie"/>
        </w:rPr>
        <w:footnoteReference w:id="82"/>
      </w:r>
      <w:r w:rsidR="001C4D22">
        <w:t>. El caso llegó a juicio</w:t>
      </w:r>
      <w:r w:rsidR="00B01D87">
        <w:t>,</w:t>
      </w:r>
      <w:r w:rsidR="00750780">
        <w:t xml:space="preserve"> sin embargo la</w:t>
      </w:r>
      <w:r w:rsidR="001C4D22">
        <w:t xml:space="preserve"> Juez no orden</w:t>
      </w:r>
      <w:r w:rsidR="00750780">
        <w:t>ó</w:t>
      </w:r>
      <w:r w:rsidR="001C4D22">
        <w:t xml:space="preserve"> la medida cautelar de privación de libertad</w:t>
      </w:r>
      <w:r w:rsidR="00CA5CBD">
        <w:t xml:space="preserve"> del victimario.</w:t>
      </w:r>
      <w:r w:rsidR="001C4D22" w:rsidRPr="00C4595B">
        <w:t xml:space="preserve"> </w:t>
      </w:r>
      <w:r w:rsidR="006D236B" w:rsidRPr="00C4595B">
        <w:t xml:space="preserve">Otro caso </w:t>
      </w:r>
      <w:r w:rsidR="00226609" w:rsidRPr="00C4595B">
        <w:t xml:space="preserve">de dominio público </w:t>
      </w:r>
      <w:r w:rsidR="006D236B" w:rsidRPr="00C4595B">
        <w:t xml:space="preserve">es </w:t>
      </w:r>
      <w:r w:rsidR="00226609" w:rsidRPr="00C4595B">
        <w:t xml:space="preserve">el de </w:t>
      </w:r>
      <w:r w:rsidR="006D236B" w:rsidRPr="00C4595B">
        <w:t>la joven K</w:t>
      </w:r>
      <w:r w:rsidR="00963955">
        <w:t>elsha Carter,</w:t>
      </w:r>
      <w:r w:rsidR="006D236B" w:rsidRPr="00C4595B">
        <w:t xml:space="preserve"> quien </w:t>
      </w:r>
      <w:r w:rsidR="00C4595B" w:rsidRPr="00C4595B">
        <w:t>aún</w:t>
      </w:r>
      <w:r w:rsidR="00AD23B6" w:rsidRPr="00C4595B">
        <w:t xml:space="preserve"> </w:t>
      </w:r>
      <w:r w:rsidR="006D236B" w:rsidRPr="00C4595B">
        <w:t xml:space="preserve">guarda prisión </w:t>
      </w:r>
      <w:r w:rsidR="00A428B0" w:rsidRPr="00C4595B">
        <w:t xml:space="preserve">por </w:t>
      </w:r>
      <w:r w:rsidR="00B01D87">
        <w:t xml:space="preserve">los </w:t>
      </w:r>
      <w:r w:rsidR="00A428B0" w:rsidRPr="00C4595B">
        <w:t>supuesto</w:t>
      </w:r>
      <w:r w:rsidR="00B01D87">
        <w:t>s</w:t>
      </w:r>
      <w:r w:rsidR="00A428B0" w:rsidRPr="00C4595B">
        <w:t xml:space="preserve"> delito</w:t>
      </w:r>
      <w:r w:rsidR="00B01D87">
        <w:t>s</w:t>
      </w:r>
      <w:r w:rsidR="00A428B0" w:rsidRPr="00C4595B">
        <w:t xml:space="preserve"> de </w:t>
      </w:r>
      <w:r w:rsidR="00C4595B" w:rsidRPr="00C4595B">
        <w:t xml:space="preserve">crimen organizado, </w:t>
      </w:r>
      <w:r w:rsidR="00A428B0" w:rsidRPr="00C4595B">
        <w:t xml:space="preserve">trata </w:t>
      </w:r>
      <w:r w:rsidR="00C4595B" w:rsidRPr="00C4595B">
        <w:t xml:space="preserve">de personas </w:t>
      </w:r>
      <w:r w:rsidR="00A428B0" w:rsidRPr="00C4595B">
        <w:t xml:space="preserve">y </w:t>
      </w:r>
      <w:r w:rsidR="00C4595B" w:rsidRPr="00C4595B">
        <w:t>tenencia de estupefaciente</w:t>
      </w:r>
      <w:r w:rsidR="00963955">
        <w:t>s</w:t>
      </w:r>
      <w:r w:rsidR="00B01D87">
        <w:t>,</w:t>
      </w:r>
      <w:r w:rsidR="00A428B0" w:rsidRPr="00C4595B">
        <w:t xml:space="preserve"> </w:t>
      </w:r>
      <w:r w:rsidR="00F85DB0" w:rsidRPr="00C4595B">
        <w:t xml:space="preserve">a pesar </w:t>
      </w:r>
      <w:r w:rsidR="005255C3" w:rsidRPr="00C4595B">
        <w:t xml:space="preserve">de </w:t>
      </w:r>
      <w:r w:rsidR="00C4595B" w:rsidRPr="00C4595B">
        <w:t xml:space="preserve">que fue absuelta en </w:t>
      </w:r>
      <w:r w:rsidR="00963955">
        <w:t>a</w:t>
      </w:r>
      <w:r w:rsidR="00C4595B" w:rsidRPr="00C4595B">
        <w:t xml:space="preserve">pelación desde el 2010.  Su </w:t>
      </w:r>
      <w:r w:rsidR="00BF1CA4">
        <w:t>caso</w:t>
      </w:r>
      <w:r w:rsidR="00C4595B" w:rsidRPr="00C4595B">
        <w:t xml:space="preserve"> está en suspensión debido a que hasta</w:t>
      </w:r>
      <w:r w:rsidR="00750780">
        <w:t xml:space="preserve"> este año 2022</w:t>
      </w:r>
      <w:r w:rsidR="00C4595B" w:rsidRPr="00C4595B">
        <w:t xml:space="preserve"> no se ha dado fecha para audiencia de casación </w:t>
      </w:r>
      <w:r w:rsidR="00AF2A31" w:rsidRPr="00C4595B">
        <w:t xml:space="preserve">y </w:t>
      </w:r>
      <w:r w:rsidR="00103132" w:rsidRPr="00C4595B">
        <w:t xml:space="preserve">a pesar de múltiples gestiones </w:t>
      </w:r>
      <w:r w:rsidR="00AF2A31" w:rsidRPr="00C4595B">
        <w:t xml:space="preserve">el </w:t>
      </w:r>
      <w:r w:rsidR="00226609" w:rsidRPr="00C4595B">
        <w:t xml:space="preserve">expediente no lo regresan a </w:t>
      </w:r>
      <w:r w:rsidR="005255C3" w:rsidRPr="00C4595B">
        <w:t xml:space="preserve">los juzgados de </w:t>
      </w:r>
      <w:r w:rsidR="00226609" w:rsidRPr="00C4595B">
        <w:t>Bluefields</w:t>
      </w:r>
      <w:r w:rsidR="00A428B0" w:rsidRPr="00C4595B">
        <w:t>. T</w:t>
      </w:r>
      <w:r w:rsidR="00AF2A31" w:rsidRPr="00C4595B">
        <w:t xml:space="preserve">ampoco se ha logrado un </w:t>
      </w:r>
      <w:r w:rsidR="00226609" w:rsidRPr="00C4595B">
        <w:t>indulto</w:t>
      </w:r>
      <w:r w:rsidR="00226609" w:rsidRPr="00DF352E">
        <w:t xml:space="preserve">. </w:t>
      </w:r>
    </w:p>
    <w:p w14:paraId="1E5A335F" w14:textId="77777777" w:rsidR="001C4D22" w:rsidRDefault="001C4D22" w:rsidP="001C4D22">
      <w:pPr>
        <w:tabs>
          <w:tab w:val="left" w:pos="2670"/>
        </w:tabs>
        <w:jc w:val="both"/>
        <w:rPr>
          <w:bCs/>
        </w:rPr>
      </w:pPr>
    </w:p>
    <w:p w14:paraId="057193EA" w14:textId="7C223E54" w:rsidR="001C4D22" w:rsidRDefault="00C5775D" w:rsidP="001C4D22">
      <w:pPr>
        <w:tabs>
          <w:tab w:val="left" w:pos="2670"/>
        </w:tabs>
        <w:jc w:val="both"/>
      </w:pPr>
      <w:r>
        <w:rPr>
          <w:bCs/>
        </w:rPr>
        <w:t>5</w:t>
      </w:r>
      <w:r w:rsidR="0024646A">
        <w:rPr>
          <w:bCs/>
        </w:rPr>
        <w:t>3</w:t>
      </w:r>
      <w:r w:rsidR="00963955">
        <w:rPr>
          <w:bCs/>
        </w:rPr>
        <w:t>. Preocupa que</w:t>
      </w:r>
      <w:r w:rsidR="00AF2A31">
        <w:rPr>
          <w:bCs/>
        </w:rPr>
        <w:t xml:space="preserve"> l</w:t>
      </w:r>
      <w:r w:rsidR="001C4D22">
        <w:rPr>
          <w:bCs/>
        </w:rPr>
        <w:t>as audiencias que se celebran en juicios penales contra personas afrodescendientes se dan en castellano</w:t>
      </w:r>
      <w:r w:rsidR="00F85DB0">
        <w:rPr>
          <w:bCs/>
        </w:rPr>
        <w:t>,</w:t>
      </w:r>
      <w:r w:rsidR="001C4D22">
        <w:rPr>
          <w:bCs/>
        </w:rPr>
        <w:t xml:space="preserve"> sin nadie que pueda traducirle a las personas </w:t>
      </w:r>
      <w:r w:rsidR="001C4D22">
        <w:rPr>
          <w:bCs/>
        </w:rPr>
        <w:lastRenderedPageBreak/>
        <w:t xml:space="preserve">procesadas; esto refleja un patrón de violación a los derechos de la población </w:t>
      </w:r>
      <w:proofErr w:type="spellStart"/>
      <w:r w:rsidR="001C4D22">
        <w:rPr>
          <w:bCs/>
        </w:rPr>
        <w:t>afrodescendiente</w:t>
      </w:r>
      <w:proofErr w:type="spellEnd"/>
      <w:r w:rsidR="001C4D22">
        <w:rPr>
          <w:bCs/>
        </w:rPr>
        <w:t xml:space="preserve"> </w:t>
      </w:r>
      <w:r w:rsidR="00590C8D">
        <w:rPr>
          <w:bCs/>
        </w:rPr>
        <w:t xml:space="preserve">al no ser atendidos por operadores judiciales en el idioma materno de los procesados. </w:t>
      </w:r>
    </w:p>
    <w:p w14:paraId="714427A9" w14:textId="77777777" w:rsidR="001C4D22" w:rsidRDefault="001C4D22" w:rsidP="001C4D22">
      <w:pPr>
        <w:tabs>
          <w:tab w:val="left" w:pos="2670"/>
        </w:tabs>
        <w:jc w:val="both"/>
        <w:rPr>
          <w:bCs/>
        </w:rPr>
      </w:pPr>
    </w:p>
    <w:p w14:paraId="5EB26C50" w14:textId="73495D5B" w:rsidR="001C4D22" w:rsidRDefault="00C5775D" w:rsidP="001C4D22">
      <w:pPr>
        <w:tabs>
          <w:tab w:val="left" w:pos="2670"/>
        </w:tabs>
        <w:jc w:val="both"/>
      </w:pPr>
      <w:r>
        <w:rPr>
          <w:bCs/>
        </w:rPr>
        <w:t>5</w:t>
      </w:r>
      <w:r w:rsidR="0024646A">
        <w:rPr>
          <w:bCs/>
        </w:rPr>
        <w:t>4</w:t>
      </w:r>
      <w:r w:rsidR="001C4D22">
        <w:rPr>
          <w:bCs/>
        </w:rPr>
        <w:t>. Según la Ley 28</w:t>
      </w:r>
      <w:r w:rsidR="001C4D22">
        <w:rPr>
          <w:rStyle w:val="Ancladenotaalpie"/>
          <w:bCs/>
        </w:rPr>
        <w:footnoteReference w:id="83"/>
      </w:r>
      <w:r w:rsidR="001C4D22">
        <w:rPr>
          <w:bCs/>
        </w:rPr>
        <w:t xml:space="preserve"> y </w:t>
      </w:r>
      <w:r w:rsidR="001C4D22">
        <w:rPr>
          <w:rFonts w:cstheme="minorHAnsi"/>
          <w:bCs/>
        </w:rPr>
        <w:t xml:space="preserve">la </w:t>
      </w:r>
      <w:r w:rsidR="001C4D22">
        <w:rPr>
          <w:rFonts w:eastAsia="Times New Roman" w:cstheme="minorHAnsi"/>
          <w:bCs/>
          <w:color w:val="000000"/>
          <w:lang w:eastAsia="es-ES_tradnl"/>
        </w:rPr>
        <w:t>Ley de Uso Oficial de las Lenguas de las Comunidades de la Costa Atlántica de Nicaragua</w:t>
      </w:r>
      <w:r w:rsidR="001C4D22">
        <w:rPr>
          <w:rFonts w:cstheme="minorHAnsi"/>
          <w:bCs/>
        </w:rPr>
        <w:t xml:space="preserve"> (Ley 162)</w:t>
      </w:r>
      <w:r w:rsidR="001C4D22">
        <w:rPr>
          <w:rStyle w:val="Ancladenotaalpie"/>
          <w:rFonts w:cstheme="minorHAnsi"/>
          <w:bCs/>
        </w:rPr>
        <w:footnoteReference w:id="84"/>
      </w:r>
      <w:r w:rsidR="001C4D22">
        <w:rPr>
          <w:bCs/>
        </w:rPr>
        <w:t xml:space="preserve"> es un derecho de l</w:t>
      </w:r>
      <w:r w:rsidR="00D936F3">
        <w:rPr>
          <w:bCs/>
        </w:rPr>
        <w:t xml:space="preserve">os </w:t>
      </w:r>
      <w:r w:rsidR="00EA1E74">
        <w:rPr>
          <w:bCs/>
        </w:rPr>
        <w:t>niños</w:t>
      </w:r>
      <w:r w:rsidR="00D936F3">
        <w:rPr>
          <w:bCs/>
          <w:lang w:val="es-ES"/>
        </w:rPr>
        <w:t xml:space="preserve"> y niñas</w:t>
      </w:r>
      <w:r w:rsidR="001C4D22">
        <w:rPr>
          <w:bCs/>
        </w:rPr>
        <w:t xml:space="preserve"> y de los jóvenes afrodescendientes el educarse en su propia lengua</w:t>
      </w:r>
      <w:r w:rsidR="00D936F3">
        <w:rPr>
          <w:bCs/>
        </w:rPr>
        <w:t>,</w:t>
      </w:r>
      <w:r w:rsidR="001C4D22">
        <w:rPr>
          <w:bCs/>
        </w:rPr>
        <w:t xml:space="preserve"> inclusive al nivel universitario, sin embargo este derecho no se cumple según lo dispuesto en el Capítulo IV referente al Sistema de Educación Autónomo Regional (SEAR) en la Ley de Educación</w:t>
      </w:r>
      <w:r w:rsidR="001C4D22">
        <w:rPr>
          <w:rStyle w:val="Ancladenotaalpie"/>
          <w:bCs/>
        </w:rPr>
        <w:footnoteReference w:id="85"/>
      </w:r>
      <w:r w:rsidR="001C4D22">
        <w:rPr>
          <w:bCs/>
        </w:rPr>
        <w:t xml:space="preserve"> </w:t>
      </w:r>
      <w:r w:rsidR="001C4D22" w:rsidRPr="00590C8D">
        <w:rPr>
          <w:bCs/>
          <w:iCs/>
          <w:color w:val="000000"/>
        </w:rPr>
        <w:t>que expresa</w:t>
      </w:r>
      <w:r w:rsidR="001C4D22">
        <w:rPr>
          <w:bCs/>
          <w:i/>
          <w:iCs/>
          <w:color w:val="000000"/>
        </w:rPr>
        <w:t xml:space="preserve"> ¨Las Lenguas oficiales de las comunidades de la Costa Atlántica lo son también de sus órganos de administración regional municipal y comunal. Toda la documentación derivada de las actuaciones, deberá ser redactada en las lenguas de las comunidades de la Costa Atlántica y tienen validez oficia</w:t>
      </w:r>
      <w:r w:rsidR="00335035">
        <w:rPr>
          <w:bCs/>
          <w:i/>
          <w:iCs/>
          <w:color w:val="000000"/>
        </w:rPr>
        <w:t>l</w:t>
      </w:r>
      <w:r w:rsidR="00D936F3">
        <w:rPr>
          <w:rStyle w:val="Refdenotaalpie"/>
          <w:bCs/>
          <w:i/>
          <w:iCs/>
          <w:color w:val="000000"/>
        </w:rPr>
        <w:footnoteReference w:id="86"/>
      </w:r>
      <w:r w:rsidR="001C4D22">
        <w:rPr>
          <w:bCs/>
          <w:i/>
          <w:iCs/>
          <w:color w:val="000000"/>
        </w:rPr>
        <w:t>.¨</w:t>
      </w:r>
      <w:r w:rsidR="001C4D22">
        <w:rPr>
          <w:bCs/>
        </w:rPr>
        <w:t xml:space="preserve"> En conse</w:t>
      </w:r>
      <w:r w:rsidR="00F85DB0">
        <w:rPr>
          <w:bCs/>
        </w:rPr>
        <w:t>c</w:t>
      </w:r>
      <w:r w:rsidR="001C4D22">
        <w:rPr>
          <w:bCs/>
        </w:rPr>
        <w:t>uencia, realizar un juicio en otro idioma que no domina una persona afrodescendiente deja en indefensión al procesado y por ende, es también violatorio a la Ley de Lenguas</w:t>
      </w:r>
      <w:r w:rsidR="001C4D22">
        <w:rPr>
          <w:rStyle w:val="Ancladenotaalpie"/>
          <w:bCs/>
        </w:rPr>
        <w:footnoteReference w:id="87"/>
      </w:r>
      <w:r w:rsidR="001C4D22">
        <w:rPr>
          <w:bCs/>
        </w:rPr>
        <w:t>.</w:t>
      </w:r>
    </w:p>
    <w:p w14:paraId="7DF224E1" w14:textId="77777777" w:rsidR="001C4D22" w:rsidRDefault="001C4D22" w:rsidP="001C4D22">
      <w:pPr>
        <w:tabs>
          <w:tab w:val="left" w:pos="2670"/>
        </w:tabs>
        <w:jc w:val="both"/>
        <w:rPr>
          <w:bCs/>
        </w:rPr>
      </w:pPr>
    </w:p>
    <w:p w14:paraId="4D7DDA8D" w14:textId="26F75D09" w:rsidR="001C4D22" w:rsidRDefault="00C5775D" w:rsidP="001C4D22">
      <w:pPr>
        <w:tabs>
          <w:tab w:val="left" w:pos="2670"/>
        </w:tabs>
        <w:jc w:val="both"/>
      </w:pPr>
      <w:r>
        <w:rPr>
          <w:bCs/>
        </w:rPr>
        <w:t>5</w:t>
      </w:r>
      <w:r w:rsidR="0024646A">
        <w:rPr>
          <w:bCs/>
        </w:rPr>
        <w:t>5</w:t>
      </w:r>
      <w:r w:rsidR="001C4D22">
        <w:rPr>
          <w:bCs/>
        </w:rPr>
        <w:t>. Por otra parte, el estigma de la drogadicción y el narcotráfico continúa persiguiendo a esta población, con acusaciones falsas de la Policía</w:t>
      </w:r>
      <w:r w:rsidR="00F85DB0">
        <w:rPr>
          <w:bCs/>
        </w:rPr>
        <w:t>,</w:t>
      </w:r>
      <w:r w:rsidR="001C4D22">
        <w:rPr>
          <w:bCs/>
        </w:rPr>
        <w:t xml:space="preserve"> </w:t>
      </w:r>
      <w:r w:rsidR="00F85DB0">
        <w:rPr>
          <w:bCs/>
        </w:rPr>
        <w:t xml:space="preserve">que </w:t>
      </w:r>
      <w:r w:rsidR="00B6397C">
        <w:rPr>
          <w:bCs/>
        </w:rPr>
        <w:t xml:space="preserve">están </w:t>
      </w:r>
      <w:r w:rsidR="00F85DB0">
        <w:rPr>
          <w:bCs/>
        </w:rPr>
        <w:t xml:space="preserve">en </w:t>
      </w:r>
      <w:r w:rsidR="001C4D22">
        <w:rPr>
          <w:bCs/>
        </w:rPr>
        <w:t xml:space="preserve">casos </w:t>
      </w:r>
      <w:r w:rsidR="00F85DB0">
        <w:rPr>
          <w:bCs/>
        </w:rPr>
        <w:t>documentados por las organizaciones</w:t>
      </w:r>
      <w:r w:rsidR="00B6397C">
        <w:rPr>
          <w:bCs/>
        </w:rPr>
        <w:t>,</w:t>
      </w:r>
      <w:r w:rsidR="00F85DB0">
        <w:rPr>
          <w:bCs/>
        </w:rPr>
        <w:t xml:space="preserve"> irrumpe </w:t>
      </w:r>
      <w:r w:rsidR="001C4D22">
        <w:rPr>
          <w:bCs/>
        </w:rPr>
        <w:t>en</w:t>
      </w:r>
      <w:r w:rsidR="00F85DB0">
        <w:rPr>
          <w:bCs/>
        </w:rPr>
        <w:t xml:space="preserve"> los</w:t>
      </w:r>
      <w:r w:rsidR="001C4D22">
        <w:rPr>
          <w:bCs/>
        </w:rPr>
        <w:t xml:space="preserve"> hogares sin orden judicial para detener y allanar el domicilio, sin respetar la presunción de inocencia. En muchos casos</w:t>
      </w:r>
      <w:r w:rsidR="00FF00BD">
        <w:rPr>
          <w:bCs/>
        </w:rPr>
        <w:t>,</w:t>
      </w:r>
      <w:r w:rsidR="001C4D22">
        <w:rPr>
          <w:bCs/>
        </w:rPr>
        <w:t xml:space="preserve"> es la misma policía la que se presenta como testigo de los hechos cuando acusan a la población sobre </w:t>
      </w:r>
      <w:r w:rsidR="00F85DB0">
        <w:rPr>
          <w:bCs/>
        </w:rPr>
        <w:t xml:space="preserve">tenencia o tráfico </w:t>
      </w:r>
      <w:r w:rsidR="001C4D22">
        <w:rPr>
          <w:bCs/>
        </w:rPr>
        <w:t>de drogas, o por otros delitos</w:t>
      </w:r>
      <w:r w:rsidR="00F85DB0">
        <w:rPr>
          <w:bCs/>
        </w:rPr>
        <w:t>.</w:t>
      </w:r>
    </w:p>
    <w:p w14:paraId="70363527" w14:textId="77777777" w:rsidR="001C4D22" w:rsidRDefault="001C4D22" w:rsidP="001C4D22">
      <w:pPr>
        <w:tabs>
          <w:tab w:val="left" w:pos="2670"/>
        </w:tabs>
        <w:jc w:val="both"/>
        <w:rPr>
          <w:bCs/>
        </w:rPr>
      </w:pPr>
    </w:p>
    <w:p w14:paraId="6AA20284" w14:textId="77777777" w:rsidR="001C4D22" w:rsidRDefault="001C4D22" w:rsidP="001C4D22">
      <w:pPr>
        <w:rPr>
          <w:rFonts w:ascii="Times New Roman" w:eastAsia="Times New Roman" w:hAnsi="Times New Roman" w:cs="Times New Roman"/>
          <w:b/>
        </w:rPr>
      </w:pPr>
      <w:r>
        <w:rPr>
          <w:rFonts w:ascii="Times New Roman" w:eastAsia="Times New Roman" w:hAnsi="Times New Roman" w:cs="Times New Roman"/>
          <w:b/>
        </w:rPr>
        <w:t>Libertades de expresión y asociación e injerencias arbitrarias o ilegales en la vida privada (arts. 6, 7, 9, 17, 19, 21 y 22)</w:t>
      </w:r>
    </w:p>
    <w:p w14:paraId="64476AC7" w14:textId="77777777" w:rsidR="001C4D22" w:rsidRDefault="001C4D22" w:rsidP="001C4D22">
      <w:pPr>
        <w:jc w:val="both"/>
        <w:rPr>
          <w:bCs/>
        </w:rPr>
      </w:pPr>
    </w:p>
    <w:p w14:paraId="22D8328E" w14:textId="522E7F4D" w:rsidR="001C4D22" w:rsidRDefault="00C5775D" w:rsidP="001C4D22">
      <w:pPr>
        <w:jc w:val="both"/>
      </w:pPr>
      <w:r>
        <w:rPr>
          <w:bCs/>
        </w:rPr>
        <w:t>5</w:t>
      </w:r>
      <w:r w:rsidR="00B01D87">
        <w:rPr>
          <w:bCs/>
        </w:rPr>
        <w:t>6.</w:t>
      </w:r>
      <w:r w:rsidR="001C4D22">
        <w:rPr>
          <w:bCs/>
        </w:rPr>
        <w:t xml:space="preserve"> En el contexto de la crisis que vive el país desde abril del 2018, se han registrado </w:t>
      </w:r>
      <w:r w:rsidR="00F85DB0">
        <w:rPr>
          <w:bCs/>
        </w:rPr>
        <w:t xml:space="preserve">reiteradas </w:t>
      </w:r>
      <w:r w:rsidR="001C4D22">
        <w:rPr>
          <w:bCs/>
        </w:rPr>
        <w:t>violaciones a la libertad de expresión de la población afrodescendiente y las garantías existentes son ineficaces para asegurar el ejercicio de este derecho</w:t>
      </w:r>
      <w:r w:rsidR="001C4D22">
        <w:rPr>
          <w:rStyle w:val="Ancladenotaalpie"/>
          <w:bCs/>
        </w:rPr>
        <w:footnoteReference w:id="88"/>
      </w:r>
      <w:r w:rsidR="001C4D22">
        <w:rPr>
          <w:bCs/>
        </w:rPr>
        <w:t xml:space="preserve">. </w:t>
      </w:r>
      <w:r w:rsidR="00923960">
        <w:rPr>
          <w:bCs/>
        </w:rPr>
        <w:t>C</w:t>
      </w:r>
      <w:r w:rsidR="00F85DB0">
        <w:rPr>
          <w:bCs/>
        </w:rPr>
        <w:t xml:space="preserve">on frecuencia </w:t>
      </w:r>
      <w:r w:rsidR="001C4D22">
        <w:rPr>
          <w:bCs/>
        </w:rPr>
        <w:t>los operadores políticos del FSLN denigran a la población atacando en la radio las opiniones de pobladores en general y a algunos afrodescendientes, en particular</w:t>
      </w:r>
      <w:r w:rsidR="00F85DB0">
        <w:rPr>
          <w:bCs/>
        </w:rPr>
        <w:t>,</w:t>
      </w:r>
      <w:r w:rsidR="001C4D22">
        <w:rPr>
          <w:bCs/>
        </w:rPr>
        <w:t xml:space="preserve"> </w:t>
      </w:r>
      <w:r w:rsidR="00F85DB0">
        <w:rPr>
          <w:bCs/>
        </w:rPr>
        <w:t xml:space="preserve">motivados por una supuesta defensa a su partido, el FSLN,  ante </w:t>
      </w:r>
      <w:r w:rsidR="001C4D22">
        <w:rPr>
          <w:bCs/>
        </w:rPr>
        <w:t>las críticas.</w:t>
      </w:r>
    </w:p>
    <w:p w14:paraId="4B38471E" w14:textId="3A93AD1D" w:rsidR="001C4D22" w:rsidRDefault="00C5775D" w:rsidP="001C4D22">
      <w:pPr>
        <w:jc w:val="both"/>
      </w:pPr>
      <w:r>
        <w:rPr>
          <w:bCs/>
        </w:rPr>
        <w:lastRenderedPageBreak/>
        <w:t>5</w:t>
      </w:r>
      <w:r w:rsidR="0024646A">
        <w:rPr>
          <w:bCs/>
        </w:rPr>
        <w:t>7</w:t>
      </w:r>
      <w:r w:rsidR="001C4D22">
        <w:rPr>
          <w:bCs/>
        </w:rPr>
        <w:t>. Por otra parte</w:t>
      </w:r>
      <w:r w:rsidR="00B01D87">
        <w:rPr>
          <w:bCs/>
        </w:rPr>
        <w:t>,</w:t>
      </w:r>
      <w:r w:rsidR="001C4D22">
        <w:rPr>
          <w:bCs/>
        </w:rPr>
        <w:t xml:space="preserve"> el programa radial ¨Demarcation Now¨</w:t>
      </w:r>
      <w:r w:rsidR="001C4D22">
        <w:rPr>
          <w:rStyle w:val="Ancladenotaalpie"/>
          <w:bCs/>
        </w:rPr>
        <w:footnoteReference w:id="89"/>
      </w:r>
      <w:r w:rsidR="001C4D22">
        <w:rPr>
          <w:bCs/>
        </w:rPr>
        <w:t xml:space="preserve"> que la población afrodescendiente transmitía a través del Gobierno Comunal Creole de Bluefields en la Radio Rhytym, fue interrumpido en el 2010 por órdenes de Lumberto Campbell, entonces Coordinador de la Secretaría de Desarrollo para la Costa Caribe (SDCC) y actual </w:t>
      </w:r>
      <w:r w:rsidR="00074BE3">
        <w:rPr>
          <w:bCs/>
        </w:rPr>
        <w:t xml:space="preserve">vice </w:t>
      </w:r>
      <w:r w:rsidR="001C4D22">
        <w:rPr>
          <w:bCs/>
        </w:rPr>
        <w:t>presidente del Consejo Supremo Electoral (CSE).</w:t>
      </w:r>
    </w:p>
    <w:p w14:paraId="490D2E3A" w14:textId="77777777" w:rsidR="001C4D22" w:rsidRDefault="001C4D22" w:rsidP="001C4D22">
      <w:pPr>
        <w:jc w:val="both"/>
        <w:rPr>
          <w:bCs/>
        </w:rPr>
      </w:pPr>
    </w:p>
    <w:p w14:paraId="19B3493B" w14:textId="2336A868" w:rsidR="001C4D22" w:rsidRDefault="0024646A" w:rsidP="001C4D22">
      <w:pPr>
        <w:jc w:val="both"/>
      </w:pPr>
      <w:r>
        <w:rPr>
          <w:bCs/>
        </w:rPr>
        <w:t>58</w:t>
      </w:r>
      <w:r w:rsidR="001C4D22">
        <w:rPr>
          <w:bCs/>
        </w:rPr>
        <w:t>. Similar acción ocurrió el 5 de febrero 2011</w:t>
      </w:r>
      <w:r w:rsidR="001C4D22">
        <w:rPr>
          <w:rStyle w:val="Ancladenotaalpie"/>
          <w:bCs/>
        </w:rPr>
        <w:footnoteReference w:id="90"/>
      </w:r>
      <w:r w:rsidR="001C4D22">
        <w:rPr>
          <w:bCs/>
        </w:rPr>
        <w:t xml:space="preserve"> en la radio Bluefields Stereo propiedad del Gobierno Regional Autónomo en la Costa Caribe Sur (GRACCS) orientad</w:t>
      </w:r>
      <w:r w:rsidR="00FF00BD">
        <w:rPr>
          <w:bCs/>
        </w:rPr>
        <w:t>a</w:t>
      </w:r>
      <w:r w:rsidR="001C4D22">
        <w:rPr>
          <w:bCs/>
        </w:rPr>
        <w:t xml:space="preserve"> nuevamente por Lumberto Campbell cuando la coordinadora de dicho gobierno y el director de la radio cerraron los portones de la radio al GCCB que tenía el permiso de la junta directiva del CRACCS para transmitir su programa</w:t>
      </w:r>
      <w:r w:rsidR="001C4D22">
        <w:rPr>
          <w:rStyle w:val="Ancladenotaalpie"/>
          <w:bCs/>
        </w:rPr>
        <w:footnoteReference w:id="91"/>
      </w:r>
      <w:r w:rsidR="001C4D22">
        <w:rPr>
          <w:bCs/>
        </w:rPr>
        <w:t>.</w:t>
      </w:r>
    </w:p>
    <w:p w14:paraId="0E0D0DF7" w14:textId="77777777" w:rsidR="001C4D22" w:rsidRDefault="001C4D22" w:rsidP="001C4D22">
      <w:pPr>
        <w:jc w:val="both"/>
        <w:rPr>
          <w:bCs/>
        </w:rPr>
      </w:pPr>
    </w:p>
    <w:p w14:paraId="25DD72AE" w14:textId="7FA0BD15" w:rsidR="001C4D22" w:rsidRDefault="0024646A" w:rsidP="001C4D22">
      <w:pPr>
        <w:jc w:val="both"/>
      </w:pPr>
      <w:r>
        <w:rPr>
          <w:bCs/>
        </w:rPr>
        <w:t>59</w:t>
      </w:r>
      <w:r w:rsidR="001C4D22">
        <w:rPr>
          <w:bCs/>
        </w:rPr>
        <w:t xml:space="preserve">. Respecto a esta violación a la libre expresión de los creoles, se recurrió de amparo el 5 de marzo 2011 en contra de los funcionarios y de la autoridad regional, sin embargo el Tribunal de Apelaciones de Bluefields </w:t>
      </w:r>
      <w:r w:rsidR="009172B7">
        <w:rPr>
          <w:bCs/>
        </w:rPr>
        <w:t>no admitió el recurso</w:t>
      </w:r>
      <w:r w:rsidR="009172B7" w:rsidRPr="00923960">
        <w:rPr>
          <w:bCs/>
        </w:rPr>
        <w:t xml:space="preserve">, </w:t>
      </w:r>
      <w:r w:rsidR="001C4D22">
        <w:rPr>
          <w:bCs/>
        </w:rPr>
        <w:t xml:space="preserve">y </w:t>
      </w:r>
      <w:r w:rsidR="00923960">
        <w:rPr>
          <w:bCs/>
        </w:rPr>
        <w:t>obligó</w:t>
      </w:r>
      <w:r w:rsidR="001C4D22">
        <w:rPr>
          <w:bCs/>
        </w:rPr>
        <w:t xml:space="preserve"> a las conductoras del programa radial</w:t>
      </w:r>
      <w:r w:rsidR="001C4D22">
        <w:rPr>
          <w:rStyle w:val="Ancladenotaalpie"/>
          <w:bCs/>
        </w:rPr>
        <w:footnoteReference w:id="92"/>
      </w:r>
      <w:r w:rsidR="001C4D22">
        <w:rPr>
          <w:bCs/>
        </w:rPr>
        <w:t xml:space="preserve"> a buscar otra radio</w:t>
      </w:r>
      <w:r w:rsidR="00923960">
        <w:rPr>
          <w:bCs/>
        </w:rPr>
        <w:t>.</w:t>
      </w:r>
    </w:p>
    <w:p w14:paraId="3B854EA9" w14:textId="77777777" w:rsidR="001C4D22" w:rsidRDefault="001C4D22" w:rsidP="001C4D22">
      <w:pPr>
        <w:jc w:val="both"/>
        <w:rPr>
          <w:bCs/>
        </w:rPr>
      </w:pPr>
    </w:p>
    <w:p w14:paraId="04276DE2" w14:textId="7D90E41C" w:rsidR="001C4D22" w:rsidRDefault="005B21A1" w:rsidP="001C4D22">
      <w:pPr>
        <w:jc w:val="both"/>
        <w:rPr>
          <w:bCs/>
        </w:rPr>
      </w:pPr>
      <w:r>
        <w:rPr>
          <w:bCs/>
        </w:rPr>
        <w:t>6</w:t>
      </w:r>
      <w:r w:rsidR="0024646A">
        <w:rPr>
          <w:bCs/>
        </w:rPr>
        <w:t>0</w:t>
      </w:r>
      <w:r w:rsidR="001C4D22">
        <w:rPr>
          <w:bCs/>
        </w:rPr>
        <w:t xml:space="preserve">. En los meses subsiguientes, el asedio continuó hacia la radio “Siempre Joven” en la que el gobierno comunal creole de Bluefields </w:t>
      </w:r>
      <w:r w:rsidR="00B01D87">
        <w:rPr>
          <w:bCs/>
        </w:rPr>
        <w:t xml:space="preserve">ha transmitido </w:t>
      </w:r>
      <w:r w:rsidR="001C4D22">
        <w:rPr>
          <w:bCs/>
        </w:rPr>
        <w:t>el Programa</w:t>
      </w:r>
      <w:r w:rsidR="008242D8">
        <w:rPr>
          <w:bCs/>
        </w:rPr>
        <w:t xml:space="preserve"> </w:t>
      </w:r>
      <w:proofErr w:type="spellStart"/>
      <w:r w:rsidR="008242D8">
        <w:rPr>
          <w:bCs/>
        </w:rPr>
        <w:t>Demarcation</w:t>
      </w:r>
      <w:proofErr w:type="spellEnd"/>
      <w:r w:rsidR="008242D8">
        <w:rPr>
          <w:bCs/>
        </w:rPr>
        <w:t xml:space="preserve"> </w:t>
      </w:r>
      <w:proofErr w:type="spellStart"/>
      <w:r w:rsidR="008242D8">
        <w:rPr>
          <w:bCs/>
        </w:rPr>
        <w:t>Now</w:t>
      </w:r>
      <w:proofErr w:type="spellEnd"/>
      <w:r w:rsidR="001C4D22">
        <w:rPr>
          <w:bCs/>
        </w:rPr>
        <w:t xml:space="preserve"> hasta la fecha. Desde el 2011 esta radio ha sido asediada por la policía, más frecuentemente a partir de la crisis social de abril 2018, </w:t>
      </w:r>
      <w:r w:rsidR="00F262C1">
        <w:rPr>
          <w:bCs/>
        </w:rPr>
        <w:t xml:space="preserve">año en que también </w:t>
      </w:r>
      <w:r w:rsidR="001C4D22">
        <w:rPr>
          <w:bCs/>
        </w:rPr>
        <w:t xml:space="preserve">se registraron maliciosos cortes de energía eléctrica durante la transmisión del programa. </w:t>
      </w:r>
    </w:p>
    <w:p w14:paraId="15AEAC99" w14:textId="77777777" w:rsidR="00AD21B0" w:rsidRDefault="00AD21B0" w:rsidP="001C4D22">
      <w:pPr>
        <w:jc w:val="both"/>
      </w:pPr>
    </w:p>
    <w:p w14:paraId="161E0026" w14:textId="3B64F1B0" w:rsidR="001C4D22" w:rsidRDefault="005B21A1" w:rsidP="001C4D22">
      <w:pPr>
        <w:jc w:val="both"/>
      </w:pPr>
      <w:r>
        <w:rPr>
          <w:bCs/>
        </w:rPr>
        <w:t>6</w:t>
      </w:r>
      <w:r w:rsidR="0024646A">
        <w:rPr>
          <w:bCs/>
        </w:rPr>
        <w:t>1</w:t>
      </w:r>
      <w:r w:rsidR="001C4D22">
        <w:rPr>
          <w:bCs/>
        </w:rPr>
        <w:t>. E</w:t>
      </w:r>
      <w:r w:rsidR="00074BE3">
        <w:rPr>
          <w:bCs/>
        </w:rPr>
        <w:t>l hostigamiento continu</w:t>
      </w:r>
      <w:r w:rsidR="008242D8">
        <w:rPr>
          <w:bCs/>
        </w:rPr>
        <w:t>ó</w:t>
      </w:r>
      <w:r w:rsidR="00074BE3">
        <w:rPr>
          <w:bCs/>
        </w:rPr>
        <w:t xml:space="preserve"> y e</w:t>
      </w:r>
      <w:r w:rsidR="001C4D22">
        <w:rPr>
          <w:bCs/>
        </w:rPr>
        <w:t>n 2015, el consejal regional Rayfield Hodgson había solicitado la concesión de toda la radio, en el 2017 desde el gobierno regional autónomo ofrecieron comprar el mismo espacio en que se transmite el programa</w:t>
      </w:r>
      <w:r w:rsidR="00F262C1">
        <w:rPr>
          <w:bCs/>
        </w:rPr>
        <w:t xml:space="preserve">. </w:t>
      </w:r>
      <w:r w:rsidR="001C4D22">
        <w:rPr>
          <w:bCs/>
        </w:rPr>
        <w:t xml:space="preserve"> </w:t>
      </w:r>
      <w:r w:rsidR="00F262C1">
        <w:rPr>
          <w:bCs/>
        </w:rPr>
        <w:t>E</w:t>
      </w:r>
      <w:r w:rsidR="001C4D22">
        <w:rPr>
          <w:bCs/>
        </w:rPr>
        <w:t xml:space="preserve">n marzo del 2018 el Director del ente estatal regulador, TELCOR, </w:t>
      </w:r>
      <w:proofErr w:type="spellStart"/>
      <w:r w:rsidR="001C4D22">
        <w:rPr>
          <w:bCs/>
        </w:rPr>
        <w:t>solicit</w:t>
      </w:r>
      <w:proofErr w:type="spellEnd"/>
      <w:r w:rsidR="001C4D22">
        <w:rPr>
          <w:bCs/>
          <w:lang w:val="es-ES"/>
        </w:rPr>
        <w:t>ó</w:t>
      </w:r>
      <w:r w:rsidR="001C4D22">
        <w:rPr>
          <w:bCs/>
        </w:rPr>
        <w:t xml:space="preserve"> al director de la radio los contenidos de cada programa, incluso el gobierno regional autónomo nuevamente se acercó al director de la radio en el 2018 solicitando </w:t>
      </w:r>
      <w:r w:rsidR="008242D8">
        <w:rPr>
          <w:bCs/>
        </w:rPr>
        <w:t xml:space="preserve">se le asignara </w:t>
      </w:r>
      <w:r w:rsidR="001C4D22">
        <w:rPr>
          <w:bCs/>
        </w:rPr>
        <w:t xml:space="preserve">la hora  </w:t>
      </w:r>
      <w:r w:rsidR="008242D8">
        <w:rPr>
          <w:bCs/>
        </w:rPr>
        <w:t xml:space="preserve">de </w:t>
      </w:r>
      <w:proofErr w:type="spellStart"/>
      <w:r w:rsidR="001C4D22">
        <w:rPr>
          <w:bCs/>
        </w:rPr>
        <w:t>Demarcation</w:t>
      </w:r>
      <w:proofErr w:type="spellEnd"/>
      <w:r w:rsidR="001C4D22">
        <w:rPr>
          <w:bCs/>
        </w:rPr>
        <w:t xml:space="preserve"> </w:t>
      </w:r>
      <w:proofErr w:type="spellStart"/>
      <w:r w:rsidR="001C4D22">
        <w:rPr>
          <w:bCs/>
        </w:rPr>
        <w:t>Now</w:t>
      </w:r>
      <w:proofErr w:type="spellEnd"/>
      <w:r w:rsidR="001C4D22">
        <w:rPr>
          <w:bCs/>
        </w:rPr>
        <w:t xml:space="preserve"> porque querían transmitir los juegos de </w:t>
      </w:r>
      <w:proofErr w:type="spellStart"/>
      <w:r w:rsidR="001C4D22">
        <w:rPr>
          <w:bCs/>
        </w:rPr>
        <w:t>baseball</w:t>
      </w:r>
      <w:proofErr w:type="spellEnd"/>
      <w:r w:rsidR="001C4D22">
        <w:rPr>
          <w:bCs/>
        </w:rPr>
        <w:t xml:space="preserve"> de la liga profesional</w:t>
      </w:r>
      <w:r w:rsidR="005255C3">
        <w:rPr>
          <w:bCs/>
        </w:rPr>
        <w:t xml:space="preserve">. </w:t>
      </w:r>
    </w:p>
    <w:p w14:paraId="17F861FD" w14:textId="77777777" w:rsidR="001C4D22" w:rsidRDefault="001C4D22" w:rsidP="001C4D22">
      <w:pPr>
        <w:jc w:val="both"/>
        <w:rPr>
          <w:bCs/>
        </w:rPr>
      </w:pPr>
    </w:p>
    <w:p w14:paraId="2ED3D285" w14:textId="12425184" w:rsidR="001C4D22" w:rsidRDefault="00C5775D" w:rsidP="001C4D22">
      <w:pPr>
        <w:jc w:val="both"/>
      </w:pPr>
      <w:r>
        <w:rPr>
          <w:bCs/>
          <w:sz w:val="26"/>
        </w:rPr>
        <w:t>6</w:t>
      </w:r>
      <w:r w:rsidR="0024646A">
        <w:rPr>
          <w:bCs/>
          <w:sz w:val="26"/>
        </w:rPr>
        <w:t>2</w:t>
      </w:r>
      <w:r w:rsidR="001C4D22">
        <w:rPr>
          <w:bCs/>
          <w:sz w:val="26"/>
        </w:rPr>
        <w:t xml:space="preserve">. </w:t>
      </w:r>
      <w:r w:rsidR="001C4D22">
        <w:rPr>
          <w:bCs/>
        </w:rPr>
        <w:t xml:space="preserve">En la Costa Caribe son pocos los programas de radio en idioma </w:t>
      </w:r>
      <w:r w:rsidR="00074BE3">
        <w:rPr>
          <w:bCs/>
        </w:rPr>
        <w:t>ingl</w:t>
      </w:r>
      <w:r w:rsidR="008242D8">
        <w:rPr>
          <w:bCs/>
        </w:rPr>
        <w:t>é</w:t>
      </w:r>
      <w:r w:rsidR="00074BE3">
        <w:rPr>
          <w:bCs/>
        </w:rPr>
        <w:t xml:space="preserve">s creole </w:t>
      </w:r>
      <w:r w:rsidR="001C4D22">
        <w:rPr>
          <w:bCs/>
        </w:rPr>
        <w:t xml:space="preserve">y </w:t>
      </w:r>
      <w:r w:rsidR="00261ED7">
        <w:rPr>
          <w:bCs/>
        </w:rPr>
        <w:t xml:space="preserve">no </w:t>
      </w:r>
      <w:r w:rsidR="001C4D22">
        <w:rPr>
          <w:bCs/>
        </w:rPr>
        <w:t xml:space="preserve">hay programas en </w:t>
      </w:r>
      <w:r w:rsidR="00261ED7">
        <w:rPr>
          <w:bCs/>
        </w:rPr>
        <w:t xml:space="preserve">ingles </w:t>
      </w:r>
      <w:r w:rsidR="001C4D22">
        <w:rPr>
          <w:bCs/>
        </w:rPr>
        <w:t xml:space="preserve"> en las televisoras locales y nacionales. Respecto de la televisión por cable, el canal de Discovery, que antes transmitía en inglés fue cambiado al español, luego que un ciudadano que solo entendía ese idioma lo solicitara, dejando a la población de Bluefields que habla inglés obligada a escuchar la transmisión en castellano.</w:t>
      </w:r>
    </w:p>
    <w:p w14:paraId="0C39F23F" w14:textId="77777777" w:rsidR="001C4D22" w:rsidRDefault="001C4D22" w:rsidP="001C4D22">
      <w:pPr>
        <w:ind w:left="708"/>
        <w:jc w:val="both"/>
        <w:rPr>
          <w:b/>
          <w:i/>
        </w:rPr>
      </w:pPr>
      <w:r>
        <w:rPr>
          <w:b/>
          <w:i/>
        </w:rPr>
        <w:lastRenderedPageBreak/>
        <w:t>Situación que enfrentan los defensores y defensoras de los derechos de la población afrodescendiente</w:t>
      </w:r>
      <w:r>
        <w:rPr>
          <w:rStyle w:val="Ancladenotaalpie"/>
          <w:b/>
          <w:i/>
        </w:rPr>
        <w:footnoteReference w:id="93"/>
      </w:r>
      <w:r>
        <w:rPr>
          <w:b/>
          <w:i/>
        </w:rPr>
        <w:t xml:space="preserve"> y estado del derecho de asociación</w:t>
      </w:r>
    </w:p>
    <w:p w14:paraId="2C36657B" w14:textId="77777777" w:rsidR="0041000E" w:rsidRDefault="0041000E" w:rsidP="001C4D22">
      <w:pPr>
        <w:jc w:val="both"/>
        <w:rPr>
          <w:bCs/>
        </w:rPr>
      </w:pPr>
    </w:p>
    <w:p w14:paraId="3DDFFBB2" w14:textId="48BE1AFF" w:rsidR="001C4D22" w:rsidRDefault="00C5775D" w:rsidP="001C4D22">
      <w:pPr>
        <w:jc w:val="both"/>
      </w:pPr>
      <w:r>
        <w:rPr>
          <w:bCs/>
        </w:rPr>
        <w:t>6</w:t>
      </w:r>
      <w:r w:rsidR="0024646A">
        <w:rPr>
          <w:bCs/>
        </w:rPr>
        <w:t>3</w:t>
      </w:r>
      <w:r w:rsidR="001C4D22">
        <w:rPr>
          <w:bCs/>
        </w:rPr>
        <w:t xml:space="preserve">. Los y las defensoras afrodescendientes han tenido que superar barreras culturales, económicas y lingüísticas para denunciar las violaciones de derechos humanos a sus pueblos, porque también son discriminados cuando tienen que enfrentarse contra el sistema de justicia para defenderse de violaciones, agresiones y </w:t>
      </w:r>
      <w:r w:rsidR="00B6397C">
        <w:rPr>
          <w:bCs/>
        </w:rPr>
        <w:t>violaciones a</w:t>
      </w:r>
      <w:r w:rsidR="001C4D22">
        <w:rPr>
          <w:bCs/>
        </w:rPr>
        <w:t xml:space="preserve"> sus derechos a la tierra, a la autodeterminación, a la libre expresión y su derecho de asociarse.</w:t>
      </w:r>
    </w:p>
    <w:p w14:paraId="54C7B79A" w14:textId="77777777" w:rsidR="001C4D22" w:rsidRDefault="001C4D22" w:rsidP="001C4D22">
      <w:pPr>
        <w:jc w:val="both"/>
        <w:rPr>
          <w:bCs/>
        </w:rPr>
      </w:pPr>
    </w:p>
    <w:p w14:paraId="0CDB63EB" w14:textId="28BA7C8E" w:rsidR="001C4D22" w:rsidRDefault="00C5775D" w:rsidP="001C4D22">
      <w:pPr>
        <w:jc w:val="both"/>
      </w:pPr>
      <w:r>
        <w:rPr>
          <w:bCs/>
        </w:rPr>
        <w:t>6</w:t>
      </w:r>
      <w:r w:rsidR="0024646A">
        <w:rPr>
          <w:bCs/>
        </w:rPr>
        <w:t>4</w:t>
      </w:r>
      <w:r w:rsidR="001C4D22">
        <w:rPr>
          <w:bCs/>
        </w:rPr>
        <w:t xml:space="preserve">. Un caso particular a destacar fue la prohibición del gobierno de Nicaragua de permitir el ingreso al país a </w:t>
      </w:r>
      <w:r w:rsidR="00B6397C">
        <w:rPr>
          <w:bCs/>
        </w:rPr>
        <w:t xml:space="preserve">trabajadores </w:t>
      </w:r>
      <w:proofErr w:type="spellStart"/>
      <w:r w:rsidR="001C4D22">
        <w:rPr>
          <w:bCs/>
        </w:rPr>
        <w:t>afrodescendientes</w:t>
      </w:r>
      <w:proofErr w:type="spellEnd"/>
      <w:r w:rsidR="001C4D22">
        <w:rPr>
          <w:bCs/>
        </w:rPr>
        <w:t xml:space="preserve"> nicaragüenses que se encontraban varados en barcos cruceros y</w:t>
      </w:r>
      <w:r w:rsidR="0041000E">
        <w:rPr>
          <w:bCs/>
        </w:rPr>
        <w:t xml:space="preserve"> en</w:t>
      </w:r>
      <w:r w:rsidR="001C4D22">
        <w:rPr>
          <w:bCs/>
        </w:rPr>
        <w:t xml:space="preserve"> las Islas </w:t>
      </w:r>
      <w:proofErr w:type="spellStart"/>
      <w:r w:rsidR="001C4D22">
        <w:rPr>
          <w:bCs/>
        </w:rPr>
        <w:t>Caymán</w:t>
      </w:r>
      <w:proofErr w:type="spellEnd"/>
      <w:r w:rsidR="008242D8">
        <w:rPr>
          <w:bCs/>
        </w:rPr>
        <w:t>, debido al Covid-19</w:t>
      </w:r>
      <w:r w:rsidR="001C4D22">
        <w:rPr>
          <w:bCs/>
        </w:rPr>
        <w:t>.</w:t>
      </w:r>
      <w:r w:rsidR="001C4D22">
        <w:rPr>
          <w:rStyle w:val="FootnoteCharacters"/>
          <w:bCs/>
        </w:rPr>
        <w:t xml:space="preserve"> </w:t>
      </w:r>
      <w:r w:rsidR="001C4D22">
        <w:rPr>
          <w:rStyle w:val="Ancladenotaalpie"/>
          <w:bCs/>
        </w:rPr>
        <w:footnoteReference w:id="94"/>
      </w:r>
      <w:r w:rsidR="001C4D22">
        <w:rPr>
          <w:bCs/>
        </w:rPr>
        <w:t xml:space="preserve"> La pandemia obligó al gobierno de Gran Cayman a tomar medidas estrictas de cuarentena para proteger a su población, cerraron el puerto y aeropuerto, las agencias para envío de remesas cerraron y muchas personas</w:t>
      </w:r>
      <w:r w:rsidR="008242D8">
        <w:rPr>
          <w:bCs/>
        </w:rPr>
        <w:t>,</w:t>
      </w:r>
      <w:r w:rsidR="001C4D22">
        <w:rPr>
          <w:bCs/>
        </w:rPr>
        <w:t xml:space="preserve"> principalmente afrodescendientes de Nicaragua</w:t>
      </w:r>
      <w:r w:rsidR="008242D8">
        <w:rPr>
          <w:bCs/>
        </w:rPr>
        <w:t>,</w:t>
      </w:r>
      <w:r w:rsidR="001C4D22">
        <w:rPr>
          <w:bCs/>
        </w:rPr>
        <w:t xml:space="preserve"> quedaron sin contratos laborales, agravando un problema económico para esta población</w:t>
      </w:r>
      <w:r w:rsidR="00B6397C">
        <w:rPr>
          <w:bCs/>
        </w:rPr>
        <w:t xml:space="preserve">. El gobierno no colaboro para que </w:t>
      </w:r>
      <w:r w:rsidR="008242D8">
        <w:rPr>
          <w:bCs/>
        </w:rPr>
        <w:t xml:space="preserve">pudieran </w:t>
      </w:r>
      <w:r w:rsidR="0041000E">
        <w:rPr>
          <w:bCs/>
        </w:rPr>
        <w:t>regresar a sus hogares</w:t>
      </w:r>
      <w:r w:rsidR="00B6397C">
        <w:rPr>
          <w:bCs/>
        </w:rPr>
        <w:t xml:space="preserve">. </w:t>
      </w:r>
    </w:p>
    <w:p w14:paraId="5794E119" w14:textId="77777777" w:rsidR="001C4D22" w:rsidRDefault="001C4D22" w:rsidP="001C4D22">
      <w:pPr>
        <w:jc w:val="both"/>
        <w:rPr>
          <w:bCs/>
        </w:rPr>
      </w:pPr>
    </w:p>
    <w:p w14:paraId="032D47AB" w14:textId="618E7E7D" w:rsidR="00A318B0" w:rsidRDefault="00C5775D" w:rsidP="001C4D22">
      <w:pPr>
        <w:jc w:val="both"/>
        <w:rPr>
          <w:bCs/>
        </w:rPr>
      </w:pPr>
      <w:r>
        <w:rPr>
          <w:bCs/>
        </w:rPr>
        <w:t>6</w:t>
      </w:r>
      <w:r w:rsidR="0024646A">
        <w:rPr>
          <w:bCs/>
        </w:rPr>
        <w:t>5</w:t>
      </w:r>
      <w:r w:rsidR="001C4D22">
        <w:rPr>
          <w:bCs/>
        </w:rPr>
        <w:t xml:space="preserve">. Al protestar la población costeña </w:t>
      </w:r>
      <w:r w:rsidR="00A318B0">
        <w:rPr>
          <w:bCs/>
        </w:rPr>
        <w:t xml:space="preserve">por </w:t>
      </w:r>
      <w:r w:rsidR="0074675B">
        <w:rPr>
          <w:bCs/>
        </w:rPr>
        <w:t>las restricciones antes comentadas</w:t>
      </w:r>
      <w:r w:rsidR="00A318B0">
        <w:rPr>
          <w:bCs/>
        </w:rPr>
        <w:t xml:space="preserve">, </w:t>
      </w:r>
      <w:r w:rsidR="001C4D22">
        <w:rPr>
          <w:bCs/>
        </w:rPr>
        <w:t xml:space="preserve">las viviendas de Dolene Miller, Jennifer Brown y Nora </w:t>
      </w:r>
      <w:proofErr w:type="spellStart"/>
      <w:r w:rsidR="001C4D22">
        <w:rPr>
          <w:bCs/>
        </w:rPr>
        <w:t>Newbal</w:t>
      </w:r>
      <w:r w:rsidR="00B6397C">
        <w:rPr>
          <w:bCs/>
        </w:rPr>
        <w:t>l</w:t>
      </w:r>
      <w:proofErr w:type="spellEnd"/>
      <w:r w:rsidR="001C4D22">
        <w:rPr>
          <w:bCs/>
        </w:rPr>
        <w:t xml:space="preserve"> </w:t>
      </w:r>
      <w:r w:rsidR="00E30C1B">
        <w:rPr>
          <w:bCs/>
        </w:rPr>
        <w:t xml:space="preserve">quienes se habían expresado </w:t>
      </w:r>
      <w:r w:rsidR="001C4D22">
        <w:rPr>
          <w:bCs/>
        </w:rPr>
        <w:t>en la radio sobre el tema, fueron asediadas por la policía</w:t>
      </w:r>
      <w:r w:rsidR="00E30C1B">
        <w:rPr>
          <w:bCs/>
        </w:rPr>
        <w:t>,</w:t>
      </w:r>
      <w:r w:rsidR="001C4D22">
        <w:rPr>
          <w:bCs/>
        </w:rPr>
        <w:t xml:space="preserve"> </w:t>
      </w:r>
      <w:r w:rsidR="00A25095">
        <w:rPr>
          <w:bCs/>
        </w:rPr>
        <w:t>impidiéndoles</w:t>
      </w:r>
      <w:r w:rsidR="001C4D22">
        <w:rPr>
          <w:bCs/>
        </w:rPr>
        <w:t xml:space="preserve"> </w:t>
      </w:r>
      <w:r w:rsidR="00E30C1B">
        <w:rPr>
          <w:bCs/>
        </w:rPr>
        <w:t xml:space="preserve">participar </w:t>
      </w:r>
      <w:r w:rsidR="001C4D22">
        <w:rPr>
          <w:bCs/>
        </w:rPr>
        <w:t xml:space="preserve">en las marchas convocadas </w:t>
      </w:r>
      <w:r w:rsidR="0041000E">
        <w:rPr>
          <w:bCs/>
        </w:rPr>
        <w:t xml:space="preserve">por la población </w:t>
      </w:r>
      <w:r w:rsidR="001C4D22">
        <w:rPr>
          <w:bCs/>
        </w:rPr>
        <w:t xml:space="preserve">para </w:t>
      </w:r>
      <w:r w:rsidR="00B6397C">
        <w:rPr>
          <w:bCs/>
        </w:rPr>
        <w:t xml:space="preserve">demandar </w:t>
      </w:r>
      <w:r w:rsidR="001C4D22">
        <w:rPr>
          <w:bCs/>
        </w:rPr>
        <w:t>el retorno de la población a sus hogares.</w:t>
      </w:r>
      <w:r w:rsidR="00A318B0">
        <w:rPr>
          <w:bCs/>
        </w:rPr>
        <w:t xml:space="preserve"> </w:t>
      </w:r>
    </w:p>
    <w:p w14:paraId="5D7FCFCE" w14:textId="77777777" w:rsidR="00923960" w:rsidRDefault="00923960" w:rsidP="001C4D22">
      <w:pPr>
        <w:jc w:val="both"/>
        <w:rPr>
          <w:bCs/>
        </w:rPr>
      </w:pPr>
    </w:p>
    <w:p w14:paraId="0D670AD0" w14:textId="5EA9A76C" w:rsidR="001C4D22" w:rsidRDefault="00C5775D" w:rsidP="001C4D22">
      <w:pPr>
        <w:jc w:val="both"/>
      </w:pPr>
      <w:r>
        <w:rPr>
          <w:bCs/>
        </w:rPr>
        <w:t>6</w:t>
      </w:r>
      <w:r w:rsidR="0024646A">
        <w:rPr>
          <w:bCs/>
        </w:rPr>
        <w:t>6</w:t>
      </w:r>
      <w:r w:rsidR="00A318B0">
        <w:rPr>
          <w:bCs/>
        </w:rPr>
        <w:t xml:space="preserve">. </w:t>
      </w:r>
      <w:r w:rsidR="001C4D22">
        <w:rPr>
          <w:bCs/>
        </w:rPr>
        <w:t xml:space="preserve">Finalmente los nicaragüenses que permanecían en Gran Cayman ingresaron al país el 17 de agosto del </w:t>
      </w:r>
      <w:r w:rsidR="00697E9D">
        <w:rPr>
          <w:bCs/>
        </w:rPr>
        <w:t>2020</w:t>
      </w:r>
      <w:r w:rsidR="000D4526">
        <w:rPr>
          <w:bCs/>
          <w:lang w:val="es-CR"/>
        </w:rPr>
        <w:t xml:space="preserve"> </w:t>
      </w:r>
      <w:r w:rsidR="001C4D22">
        <w:rPr>
          <w:bCs/>
        </w:rPr>
        <w:t>teniendo que asumir el gobierno de Gran Cayman todos los gastos de su repatriación.</w:t>
      </w:r>
      <w:r w:rsidR="001C4D22">
        <w:rPr>
          <w:rStyle w:val="Ancladenotaalpie"/>
          <w:bCs/>
        </w:rPr>
        <w:footnoteReference w:id="95"/>
      </w:r>
      <w:r w:rsidR="001C4D22">
        <w:rPr>
          <w:bCs/>
        </w:rPr>
        <w:t xml:space="preserve"> Similar sucedió con los más de cuatrocientos trabajadores afrodescendientes en barcos cruceros, quienes entraron al país después de cuatro meses de esperar la aprobación del gobierno</w:t>
      </w:r>
      <w:r w:rsidR="001C4D22">
        <w:rPr>
          <w:rStyle w:val="Ancladenotaalpie"/>
          <w:bCs/>
        </w:rPr>
        <w:footnoteReference w:id="96"/>
      </w:r>
      <w:r w:rsidR="001C4D22">
        <w:rPr>
          <w:bCs/>
        </w:rPr>
        <w:t xml:space="preserve">. Este proceder de parte del Estado constituye una </w:t>
      </w:r>
      <w:r w:rsidR="0041000E">
        <w:rPr>
          <w:bCs/>
        </w:rPr>
        <w:t>violación</w:t>
      </w:r>
      <w:r w:rsidR="001C4D22">
        <w:rPr>
          <w:bCs/>
        </w:rPr>
        <w:t xml:space="preserve"> del derecho a </w:t>
      </w:r>
      <w:r w:rsidR="00A318B0">
        <w:rPr>
          <w:bCs/>
        </w:rPr>
        <w:t xml:space="preserve">ingresar al </w:t>
      </w:r>
      <w:r w:rsidR="002B1F0A">
        <w:rPr>
          <w:bCs/>
        </w:rPr>
        <w:t xml:space="preserve">propio </w:t>
      </w:r>
      <w:r w:rsidR="00A318B0">
        <w:rPr>
          <w:bCs/>
        </w:rPr>
        <w:t xml:space="preserve">país, </w:t>
      </w:r>
      <w:r w:rsidR="001C4D22">
        <w:rPr>
          <w:bCs/>
        </w:rPr>
        <w:t xml:space="preserve"> reconocido en el art. 12 del Pacto.</w:t>
      </w:r>
    </w:p>
    <w:p w14:paraId="1CF3A1DF" w14:textId="77777777" w:rsidR="001C4D22" w:rsidRDefault="001C4D22" w:rsidP="001C4D22">
      <w:pPr>
        <w:jc w:val="both"/>
        <w:rPr>
          <w:bCs/>
        </w:rPr>
      </w:pPr>
    </w:p>
    <w:p w14:paraId="676331F2" w14:textId="77777777" w:rsidR="001C4D22" w:rsidRDefault="001C4D22" w:rsidP="001C4D22">
      <w:pPr>
        <w:pStyle w:val="Prrafodelista"/>
        <w:numPr>
          <w:ilvl w:val="0"/>
          <w:numId w:val="1"/>
        </w:numPr>
        <w:jc w:val="both"/>
        <w:rPr>
          <w:b/>
          <w:bCs/>
        </w:rPr>
      </w:pPr>
      <w:r>
        <w:rPr>
          <w:b/>
          <w:bCs/>
        </w:rPr>
        <w:t>Recomendaciones</w:t>
      </w:r>
    </w:p>
    <w:p w14:paraId="69B85B37" w14:textId="77777777" w:rsidR="008E77F0" w:rsidRDefault="008E77F0" w:rsidP="001C4D22">
      <w:pPr>
        <w:jc w:val="both"/>
        <w:rPr>
          <w:bCs/>
        </w:rPr>
      </w:pPr>
    </w:p>
    <w:p w14:paraId="41B90D9B" w14:textId="34C88979" w:rsidR="001C4D22" w:rsidRDefault="00C5775D" w:rsidP="001C4D22">
      <w:pPr>
        <w:jc w:val="both"/>
        <w:rPr>
          <w:bCs/>
        </w:rPr>
      </w:pPr>
      <w:r>
        <w:rPr>
          <w:bCs/>
        </w:rPr>
        <w:t>6</w:t>
      </w:r>
      <w:r w:rsidR="0024646A">
        <w:rPr>
          <w:bCs/>
        </w:rPr>
        <w:t>7</w:t>
      </w:r>
      <w:r w:rsidR="001C4D22">
        <w:rPr>
          <w:bCs/>
        </w:rPr>
        <w:t xml:space="preserve">. Teniendo en cuenta la situación de los derechos </w:t>
      </w:r>
      <w:r w:rsidR="000D4526">
        <w:rPr>
          <w:bCs/>
        </w:rPr>
        <w:t xml:space="preserve">civiles y politicos </w:t>
      </w:r>
      <w:r w:rsidR="001C4D22">
        <w:rPr>
          <w:bCs/>
        </w:rPr>
        <w:t>de los pueblos afrodescendientes, ampliamente descrita en este Informe, presentamos las siguientes recomendaciones:</w:t>
      </w:r>
    </w:p>
    <w:p w14:paraId="439CBC20" w14:textId="77777777" w:rsidR="00B6397C" w:rsidRDefault="00B6397C" w:rsidP="001C4D22">
      <w:pPr>
        <w:jc w:val="both"/>
        <w:rPr>
          <w:bCs/>
        </w:rPr>
      </w:pPr>
    </w:p>
    <w:p w14:paraId="457162A1" w14:textId="0B5012B7" w:rsidR="00A97E82" w:rsidRDefault="002675AD" w:rsidP="001C4D22">
      <w:pPr>
        <w:jc w:val="both"/>
        <w:rPr>
          <w:bCs/>
        </w:rPr>
      </w:pPr>
      <w:r>
        <w:rPr>
          <w:bCs/>
        </w:rPr>
        <w:t>En relación a la i</w:t>
      </w:r>
      <w:r w:rsidR="005A7F52">
        <w:rPr>
          <w:bCs/>
        </w:rPr>
        <w:t>gual</w:t>
      </w:r>
      <w:r w:rsidR="005A1D49">
        <w:rPr>
          <w:bCs/>
        </w:rPr>
        <w:t>dad</w:t>
      </w:r>
      <w:r>
        <w:rPr>
          <w:bCs/>
        </w:rPr>
        <w:t xml:space="preserve"> y la obligación de </w:t>
      </w:r>
      <w:r w:rsidR="005A7F52">
        <w:rPr>
          <w:bCs/>
        </w:rPr>
        <w:t>no d</w:t>
      </w:r>
      <w:r w:rsidR="00A97E82">
        <w:rPr>
          <w:bCs/>
        </w:rPr>
        <w:t>iscrimina</w:t>
      </w:r>
      <w:r>
        <w:rPr>
          <w:bCs/>
        </w:rPr>
        <w:t>r:</w:t>
      </w:r>
    </w:p>
    <w:p w14:paraId="7EB6D3CC" w14:textId="46E84261" w:rsidR="00A97E82" w:rsidRDefault="00A97E82" w:rsidP="001C4D22">
      <w:pPr>
        <w:jc w:val="both"/>
        <w:rPr>
          <w:bCs/>
        </w:rPr>
      </w:pPr>
    </w:p>
    <w:p w14:paraId="5A5A4CCF" w14:textId="19EABF2A" w:rsidR="00A97E82" w:rsidRPr="005A7F52" w:rsidRDefault="00A97E82" w:rsidP="00A97E82">
      <w:pPr>
        <w:pStyle w:val="Prrafodelista"/>
        <w:numPr>
          <w:ilvl w:val="0"/>
          <w:numId w:val="2"/>
        </w:numPr>
        <w:jc w:val="both"/>
      </w:pPr>
      <w:r>
        <w:rPr>
          <w:bCs/>
        </w:rPr>
        <w:t>Instar al Estado a promover la educación en derechos humanos con énfasis en el respeto a las diferencias étnicas existentes entre los pueblos así como garantizar la igualdad de derechos para cada persona según lo dispone el Pacto, los instrumentos internacionales de derechos humanos y la Constitución.</w:t>
      </w:r>
    </w:p>
    <w:p w14:paraId="5D7CB36A" w14:textId="77777777" w:rsidR="005A7F52" w:rsidRDefault="005A7F52" w:rsidP="005A7F52">
      <w:pPr>
        <w:pStyle w:val="Prrafodelista"/>
        <w:numPr>
          <w:ilvl w:val="0"/>
          <w:numId w:val="2"/>
        </w:numPr>
        <w:jc w:val="both"/>
        <w:rPr>
          <w:bCs/>
        </w:rPr>
      </w:pPr>
      <w:r>
        <w:rPr>
          <w:bCs/>
        </w:rPr>
        <w:t>Llevar a cabo las acciones necesarias para cumplir con los objetivos trazados en la Ley de Igualdad de Oportunidades, incrementando la presencia de la población afrodescendiente y particularmente, de la mujer afrodescendiente en los niveles más altos de la función pública dotándoles del correspondiente poder de decisión y redoblar esfuerzos para combatir la discriminación contra las mujeres afrodescendientes en el ámbito laboral.</w:t>
      </w:r>
    </w:p>
    <w:p w14:paraId="317EC2B3" w14:textId="670014A8" w:rsidR="00A97E82" w:rsidRDefault="00A97E82" w:rsidP="001C4D22">
      <w:pPr>
        <w:jc w:val="both"/>
        <w:rPr>
          <w:bCs/>
        </w:rPr>
      </w:pPr>
    </w:p>
    <w:p w14:paraId="092563C0" w14:textId="6D2FEE4B" w:rsidR="00A97E82" w:rsidRDefault="00FC323E" w:rsidP="001C4D22">
      <w:pPr>
        <w:jc w:val="both"/>
        <w:rPr>
          <w:bCs/>
        </w:rPr>
      </w:pPr>
      <w:r>
        <w:rPr>
          <w:bCs/>
        </w:rPr>
        <w:t>Respecto del d</w:t>
      </w:r>
      <w:r w:rsidR="008F3BA0">
        <w:rPr>
          <w:bCs/>
        </w:rPr>
        <w:t>erecho a participar en la direcci</w:t>
      </w:r>
      <w:r>
        <w:rPr>
          <w:bCs/>
        </w:rPr>
        <w:t>ó</w:t>
      </w:r>
      <w:r w:rsidR="008F3BA0">
        <w:rPr>
          <w:bCs/>
        </w:rPr>
        <w:t>n de los asuntos públicos, acceso a las funciones públicas:</w:t>
      </w:r>
    </w:p>
    <w:p w14:paraId="32829DB7" w14:textId="57E9341F" w:rsidR="00A97E82" w:rsidRDefault="00A97E82" w:rsidP="001C4D22">
      <w:pPr>
        <w:jc w:val="both"/>
        <w:rPr>
          <w:bCs/>
        </w:rPr>
      </w:pPr>
    </w:p>
    <w:p w14:paraId="3DB59A91" w14:textId="77777777" w:rsidR="005A7F52" w:rsidRDefault="005A7F52" w:rsidP="00B76EA3">
      <w:pPr>
        <w:pStyle w:val="Prrafodelista"/>
        <w:numPr>
          <w:ilvl w:val="0"/>
          <w:numId w:val="3"/>
        </w:numPr>
        <w:jc w:val="both"/>
        <w:rPr>
          <w:bCs/>
        </w:rPr>
      </w:pPr>
      <w:r>
        <w:rPr>
          <w:bCs/>
        </w:rPr>
        <w:t>Garantizar respeto y protección al proceso de autonomía de las regiones autónomas y los derechos consuetudinarios de los pueblos para organizarse y elegir a sus propias autoridades.</w:t>
      </w:r>
    </w:p>
    <w:p w14:paraId="52B48DFE" w14:textId="62D59EC4" w:rsidR="005A7F52" w:rsidRDefault="009314B7" w:rsidP="00385402">
      <w:pPr>
        <w:pStyle w:val="Prrafodelista"/>
        <w:numPr>
          <w:ilvl w:val="0"/>
          <w:numId w:val="3"/>
        </w:numPr>
        <w:jc w:val="both"/>
      </w:pPr>
      <w:r>
        <w:rPr>
          <w:bCs/>
        </w:rPr>
        <w:t xml:space="preserve">Garantizar el respeto de las elecciones comunales y territoriales </w:t>
      </w:r>
      <w:r w:rsidR="004134B0">
        <w:rPr>
          <w:bCs/>
        </w:rPr>
        <w:t xml:space="preserve">de los pueblos indígenas y afrodescendientes incluyendo </w:t>
      </w:r>
      <w:r>
        <w:rPr>
          <w:bCs/>
        </w:rPr>
        <w:t>la r</w:t>
      </w:r>
      <w:r w:rsidR="00FC323E">
        <w:rPr>
          <w:bCs/>
        </w:rPr>
        <w:t>e</w:t>
      </w:r>
      <w:r>
        <w:rPr>
          <w:bCs/>
        </w:rPr>
        <w:t>stituci</w:t>
      </w:r>
      <w:r w:rsidR="00FC323E">
        <w:rPr>
          <w:bCs/>
        </w:rPr>
        <w:t>ó</w:t>
      </w:r>
      <w:r>
        <w:rPr>
          <w:bCs/>
        </w:rPr>
        <w:t xml:space="preserve">n de </w:t>
      </w:r>
      <w:r w:rsidR="005A7F52">
        <w:rPr>
          <w:bCs/>
        </w:rPr>
        <w:t xml:space="preserve">la certificación del Gobierno comunal legítimo y legal de la comunidad creole de Bluefields de acuerdo a la sentencia 1199 de la CSJ y  las certificaciones de todas las autoridades comunales y territoriales víctimas de los abusos cometidos por el CRACCS demostrados en los recursos de amparo interpuestos por las autoridades electas afectadas. </w:t>
      </w:r>
    </w:p>
    <w:p w14:paraId="3B8AC17C" w14:textId="77777777" w:rsidR="005314EC" w:rsidRDefault="005314EC" w:rsidP="001C4D22">
      <w:pPr>
        <w:jc w:val="both"/>
        <w:rPr>
          <w:bCs/>
        </w:rPr>
      </w:pPr>
    </w:p>
    <w:p w14:paraId="05363978" w14:textId="506140C1" w:rsidR="00A97E82" w:rsidRDefault="002157C6" w:rsidP="001C4D22">
      <w:pPr>
        <w:jc w:val="both"/>
        <w:rPr>
          <w:bCs/>
        </w:rPr>
      </w:pPr>
      <w:r>
        <w:rPr>
          <w:bCs/>
        </w:rPr>
        <w:t>En cuanto al otorgamiento de concesiones:</w:t>
      </w:r>
    </w:p>
    <w:p w14:paraId="533F9378" w14:textId="4909559C" w:rsidR="00A97E82" w:rsidRDefault="00A97E82" w:rsidP="001C4D22">
      <w:pPr>
        <w:jc w:val="both"/>
        <w:rPr>
          <w:bCs/>
        </w:rPr>
      </w:pPr>
    </w:p>
    <w:p w14:paraId="738F8EC9" w14:textId="5FC8F524" w:rsidR="005A7F52" w:rsidRPr="005A7F52" w:rsidRDefault="00C661A4" w:rsidP="005A7F52">
      <w:pPr>
        <w:pStyle w:val="Prrafodelista"/>
        <w:numPr>
          <w:ilvl w:val="0"/>
          <w:numId w:val="3"/>
        </w:numPr>
        <w:jc w:val="both"/>
      </w:pPr>
      <w:r>
        <w:rPr>
          <w:bCs/>
        </w:rPr>
        <w:t>O</w:t>
      </w:r>
      <w:r w:rsidR="005A7F52">
        <w:rPr>
          <w:bCs/>
        </w:rPr>
        <w:t xml:space="preserve">btener el consentimiento libre, previo, e informado de los pueblos afrodescendientes, respecto de medidas legislativas o administrativas que puedan afectar el derecho a </w:t>
      </w:r>
      <w:r>
        <w:rPr>
          <w:bCs/>
        </w:rPr>
        <w:t>las</w:t>
      </w:r>
      <w:r w:rsidR="005A7F52">
        <w:rPr>
          <w:bCs/>
        </w:rPr>
        <w:t xml:space="preserve"> tierras ancestrales y recursos naturales</w:t>
      </w:r>
      <w:r>
        <w:rPr>
          <w:bCs/>
        </w:rPr>
        <w:t xml:space="preserve"> de los pueblos afrodescendientes</w:t>
      </w:r>
      <w:r w:rsidR="005A7F52">
        <w:rPr>
          <w:bCs/>
        </w:rPr>
        <w:t xml:space="preserve">, </w:t>
      </w:r>
      <w:r>
        <w:rPr>
          <w:bCs/>
        </w:rPr>
        <w:t xml:space="preserve">en las </w:t>
      </w:r>
      <w:r w:rsidR="009314B7">
        <w:rPr>
          <w:bCs/>
        </w:rPr>
        <w:t xml:space="preserve">concesiones </w:t>
      </w:r>
      <w:r>
        <w:rPr>
          <w:bCs/>
        </w:rPr>
        <w:t xml:space="preserve">que se otorguen, </w:t>
      </w:r>
      <w:r w:rsidR="005A7F52">
        <w:rPr>
          <w:bCs/>
        </w:rPr>
        <w:t>de conformidad con las leyes nacionales e internacionales.</w:t>
      </w:r>
    </w:p>
    <w:p w14:paraId="1AD3B0E6" w14:textId="77777777" w:rsidR="005A7F52" w:rsidRPr="009314B7" w:rsidRDefault="005A7F52" w:rsidP="005A7F52">
      <w:pPr>
        <w:pStyle w:val="Prrafodelista"/>
        <w:numPr>
          <w:ilvl w:val="0"/>
          <w:numId w:val="3"/>
        </w:numPr>
        <w:jc w:val="both"/>
      </w:pPr>
      <w:r>
        <w:rPr>
          <w:bCs/>
        </w:rPr>
        <w:t>Asegurar que el marco legal nacional y los actos de autoridad sean conformes al Convenio 169 de la OIT.</w:t>
      </w:r>
    </w:p>
    <w:p w14:paraId="26FB160A" w14:textId="1F3BCD8D" w:rsidR="009314B7" w:rsidRPr="005A7F52" w:rsidRDefault="009314B7" w:rsidP="005A7F52">
      <w:pPr>
        <w:pStyle w:val="Prrafodelista"/>
        <w:numPr>
          <w:ilvl w:val="0"/>
          <w:numId w:val="3"/>
        </w:numPr>
        <w:jc w:val="both"/>
      </w:pPr>
      <w:r>
        <w:rPr>
          <w:bCs/>
        </w:rPr>
        <w:t>Asegurar que las consultas se realicen en lengua materna de los pueblos indígenas y afrodescendientes</w:t>
      </w:r>
      <w:r w:rsidR="00C661A4">
        <w:rPr>
          <w:bCs/>
        </w:rPr>
        <w:t xml:space="preserve"> y</w:t>
      </w:r>
      <w:r>
        <w:rPr>
          <w:bCs/>
        </w:rPr>
        <w:t xml:space="preserve"> en todo caso que haya interpretes confiables cuando el caso </w:t>
      </w:r>
      <w:r w:rsidR="00B76EA3">
        <w:rPr>
          <w:bCs/>
        </w:rPr>
        <w:t>así</w:t>
      </w:r>
      <w:r>
        <w:rPr>
          <w:bCs/>
        </w:rPr>
        <w:t xml:space="preserve"> lo amerite.</w:t>
      </w:r>
    </w:p>
    <w:p w14:paraId="75D0CD3E" w14:textId="1E25604B" w:rsidR="005A7F52" w:rsidRDefault="005A7F52" w:rsidP="005255C3">
      <w:pPr>
        <w:pStyle w:val="Prrafodelista"/>
        <w:jc w:val="both"/>
      </w:pPr>
    </w:p>
    <w:p w14:paraId="0BF43C55" w14:textId="4DCC84BB" w:rsidR="00A97E82" w:rsidRDefault="005A7F52" w:rsidP="001C4D22">
      <w:pPr>
        <w:jc w:val="both"/>
        <w:rPr>
          <w:bCs/>
        </w:rPr>
      </w:pPr>
      <w:r>
        <w:rPr>
          <w:bCs/>
        </w:rPr>
        <w:t>Respecto de la p</w:t>
      </w:r>
      <w:r w:rsidR="00A97E82">
        <w:rPr>
          <w:bCs/>
        </w:rPr>
        <w:t xml:space="preserve">ropiedad </w:t>
      </w:r>
      <w:r>
        <w:rPr>
          <w:bCs/>
        </w:rPr>
        <w:t xml:space="preserve">comunal </w:t>
      </w:r>
      <w:r w:rsidR="00A97E82">
        <w:rPr>
          <w:bCs/>
        </w:rPr>
        <w:t>de la poblaci</w:t>
      </w:r>
      <w:r w:rsidR="005A1D49">
        <w:rPr>
          <w:bCs/>
        </w:rPr>
        <w:t>ó</w:t>
      </w:r>
      <w:r w:rsidR="00A97E82">
        <w:rPr>
          <w:bCs/>
        </w:rPr>
        <w:t>n afrodescendiente</w:t>
      </w:r>
      <w:r>
        <w:rPr>
          <w:bCs/>
        </w:rPr>
        <w:t xml:space="preserve"> e ind</w:t>
      </w:r>
      <w:r w:rsidR="005A1D49">
        <w:rPr>
          <w:bCs/>
        </w:rPr>
        <w:t>í</w:t>
      </w:r>
      <w:r>
        <w:rPr>
          <w:bCs/>
        </w:rPr>
        <w:t>gena:</w:t>
      </w:r>
    </w:p>
    <w:p w14:paraId="6AEC55D2" w14:textId="07A5384D" w:rsidR="00A97E82" w:rsidRDefault="00A97E82" w:rsidP="001C4D22">
      <w:pPr>
        <w:jc w:val="both"/>
        <w:rPr>
          <w:bCs/>
        </w:rPr>
      </w:pPr>
    </w:p>
    <w:p w14:paraId="32AB94F6" w14:textId="7C935B28" w:rsidR="005A7F52" w:rsidRPr="005A7F52" w:rsidRDefault="005A7F52" w:rsidP="00385402">
      <w:pPr>
        <w:pStyle w:val="Prrafodelista"/>
        <w:numPr>
          <w:ilvl w:val="0"/>
          <w:numId w:val="3"/>
        </w:numPr>
        <w:jc w:val="both"/>
      </w:pPr>
      <w:r>
        <w:rPr>
          <w:bCs/>
        </w:rPr>
        <w:t xml:space="preserve">Cumplir su responsabilidad de </w:t>
      </w:r>
      <w:r w:rsidR="00385402">
        <w:rPr>
          <w:bCs/>
        </w:rPr>
        <w:t xml:space="preserve">demarcar, </w:t>
      </w:r>
      <w:r>
        <w:rPr>
          <w:bCs/>
        </w:rPr>
        <w:t xml:space="preserve">sanear, proteger y respetar por igual los territorios de la Costa Caribe de acuerdo a la Ley 445 para evitar que continúe la </w:t>
      </w:r>
      <w:r>
        <w:rPr>
          <w:bCs/>
        </w:rPr>
        <w:lastRenderedPageBreak/>
        <w:t>invasión de colonos y la usurpación de las tierras comunales de los pueblos afrodescendientes.</w:t>
      </w:r>
    </w:p>
    <w:p w14:paraId="0A206F60" w14:textId="77777777" w:rsidR="005A7F52" w:rsidRDefault="005A7F52" w:rsidP="00385402">
      <w:pPr>
        <w:pStyle w:val="Prrafodelista"/>
        <w:numPr>
          <w:ilvl w:val="0"/>
          <w:numId w:val="3"/>
        </w:numPr>
        <w:jc w:val="both"/>
      </w:pPr>
      <w:r>
        <w:rPr>
          <w:bCs/>
        </w:rPr>
        <w:t>Resolver conforme a Derecho cada caso interpuesto por los pueblos afrodescendientes en la vía judicial, incluyendo la concesión otorgada a la empresa HKND para la construcción de un Canal Interoceánico.</w:t>
      </w:r>
    </w:p>
    <w:p w14:paraId="686DA1BC" w14:textId="0D0EC585" w:rsidR="00A97E82" w:rsidRDefault="005A7F52" w:rsidP="00385402">
      <w:pPr>
        <w:pStyle w:val="Prrafodelista"/>
        <w:numPr>
          <w:ilvl w:val="0"/>
          <w:numId w:val="3"/>
        </w:numPr>
        <w:jc w:val="both"/>
        <w:rPr>
          <w:bCs/>
        </w:rPr>
      </w:pPr>
      <w:r w:rsidRPr="005A7F52">
        <w:rPr>
          <w:bCs/>
        </w:rPr>
        <w:t>Abstenerse de incurrir en la violación a la propiedad comunal de pueblos indígenas y afrodescendientes en el pr</w:t>
      </w:r>
      <w:r w:rsidRPr="005A1D49">
        <w:rPr>
          <w:bCs/>
        </w:rPr>
        <w:t>etendido proyecto de Puerto de Aguas profundas en el territorio creole de Bluefields</w:t>
      </w:r>
      <w:r w:rsidR="009314B7">
        <w:rPr>
          <w:bCs/>
        </w:rPr>
        <w:t xml:space="preserve"> o en el proyecto Bioclima en el caso de las reservas indígenas de BOSAWAS e Indio y Maiz en las Regiones Autonomas</w:t>
      </w:r>
    </w:p>
    <w:p w14:paraId="22CDFF0E" w14:textId="3B714DB4" w:rsidR="005A7F52" w:rsidRDefault="005A7F52" w:rsidP="00385402">
      <w:pPr>
        <w:pStyle w:val="Prrafodelista"/>
        <w:numPr>
          <w:ilvl w:val="0"/>
          <w:numId w:val="3"/>
        </w:numPr>
        <w:jc w:val="both"/>
      </w:pPr>
      <w:r>
        <w:rPr>
          <w:bCs/>
        </w:rPr>
        <w:t>Derogar la Ley del Canal Interoceánico porque las tierras comunales son inembargables, imprescriptibles  e inenajenables conforme ley.</w:t>
      </w:r>
    </w:p>
    <w:p w14:paraId="07E454AE" w14:textId="28F0FEDD" w:rsidR="005A7F52" w:rsidRPr="005A7F52" w:rsidRDefault="005A7F52" w:rsidP="00385402">
      <w:pPr>
        <w:pStyle w:val="Prrafodelista"/>
        <w:numPr>
          <w:ilvl w:val="0"/>
          <w:numId w:val="3"/>
        </w:numPr>
        <w:jc w:val="both"/>
      </w:pPr>
      <w:r>
        <w:rPr>
          <w:bCs/>
        </w:rPr>
        <w:t>Impugnar la decisión del Estado de Nicaragua de despojar a la Comunidad Negra Creole Indígena de Bluefields del 93% de su territorio ancestral de acuerdo a su demanda presentada por el GCCB en 2006 y admitida por la CONADETI en el 2010.</w:t>
      </w:r>
    </w:p>
    <w:p w14:paraId="5D91442B" w14:textId="04BED440" w:rsidR="005A7F52" w:rsidRDefault="005A7F52" w:rsidP="00385402">
      <w:pPr>
        <w:pStyle w:val="Prrafodelista"/>
        <w:numPr>
          <w:ilvl w:val="0"/>
          <w:numId w:val="3"/>
        </w:numPr>
        <w:jc w:val="both"/>
      </w:pPr>
      <w:r>
        <w:rPr>
          <w:bCs/>
        </w:rPr>
        <w:t xml:space="preserve">Reparar a la comunidad negra creole indígena de Bluefields los daños ocasionados a esa comunidad teniendo en cuenta que el Estado de Nicaragua solamente tituló el 7% de la tierra y territorio comunal demandado por la comunidad afrodescendiente de Bluefields. </w:t>
      </w:r>
    </w:p>
    <w:p w14:paraId="21CF9CFA" w14:textId="7994E163" w:rsidR="005A7F52" w:rsidRDefault="005A7F52" w:rsidP="005A7F52">
      <w:pPr>
        <w:jc w:val="both"/>
        <w:rPr>
          <w:bCs/>
        </w:rPr>
      </w:pPr>
    </w:p>
    <w:p w14:paraId="201DA13D" w14:textId="76FBD672" w:rsidR="00A97E82" w:rsidRDefault="00C661A4" w:rsidP="001C4D22">
      <w:pPr>
        <w:jc w:val="both"/>
        <w:rPr>
          <w:bCs/>
        </w:rPr>
      </w:pPr>
      <w:r>
        <w:rPr>
          <w:bCs/>
        </w:rPr>
        <w:t>En relación a la l</w:t>
      </w:r>
      <w:r w:rsidR="00A97E82">
        <w:rPr>
          <w:bCs/>
        </w:rPr>
        <w:t>ibertad de expresi</w:t>
      </w:r>
      <w:r w:rsidR="005A1D49">
        <w:rPr>
          <w:bCs/>
        </w:rPr>
        <w:t>ó</w:t>
      </w:r>
      <w:r w:rsidR="00A97E82">
        <w:rPr>
          <w:bCs/>
        </w:rPr>
        <w:t>n</w:t>
      </w:r>
      <w:r>
        <w:rPr>
          <w:bCs/>
        </w:rPr>
        <w:t xml:space="preserve">, </w:t>
      </w:r>
      <w:r w:rsidR="002157C6">
        <w:rPr>
          <w:bCs/>
        </w:rPr>
        <w:t xml:space="preserve">derecho de </w:t>
      </w:r>
      <w:r w:rsidR="00B76EA3">
        <w:rPr>
          <w:bCs/>
        </w:rPr>
        <w:t>reunión</w:t>
      </w:r>
      <w:r w:rsidR="007E612C">
        <w:rPr>
          <w:bCs/>
        </w:rPr>
        <w:t xml:space="preserve"> y asociación:</w:t>
      </w:r>
    </w:p>
    <w:p w14:paraId="57F1B3E3" w14:textId="441A1DD9" w:rsidR="002157C6" w:rsidRDefault="002157C6" w:rsidP="001C4D22">
      <w:pPr>
        <w:jc w:val="both"/>
        <w:rPr>
          <w:bCs/>
        </w:rPr>
      </w:pPr>
    </w:p>
    <w:p w14:paraId="2981D2F7" w14:textId="3BE64144" w:rsidR="004134B0" w:rsidRDefault="004134B0" w:rsidP="00AC379F">
      <w:pPr>
        <w:pStyle w:val="Prrafodelista"/>
        <w:numPr>
          <w:ilvl w:val="0"/>
          <w:numId w:val="6"/>
        </w:numPr>
        <w:jc w:val="both"/>
        <w:rPr>
          <w:bCs/>
        </w:rPr>
      </w:pPr>
      <w:r>
        <w:rPr>
          <w:bCs/>
        </w:rPr>
        <w:t>Garantizar a los pueblos afrodescendientes su derecho a organizarse y realizar sus asambleas comunales y territoriales asi como sus elecciones comunales y territoriales sin represión de la policía o injerencia política en asuntos comunales.</w:t>
      </w:r>
    </w:p>
    <w:p w14:paraId="6C59A816" w14:textId="6DD252C3" w:rsidR="004134B0" w:rsidRDefault="009172B7" w:rsidP="00AC379F">
      <w:pPr>
        <w:pStyle w:val="Prrafodelista"/>
        <w:numPr>
          <w:ilvl w:val="0"/>
          <w:numId w:val="6"/>
        </w:numPr>
        <w:jc w:val="both"/>
        <w:rPr>
          <w:bCs/>
        </w:rPr>
      </w:pPr>
      <w:r>
        <w:rPr>
          <w:bCs/>
        </w:rPr>
        <w:t>Garantizar el derecho de los pueblos afrodescendientes su derecho a la libre expresión en los medios de comunicación</w:t>
      </w:r>
      <w:r w:rsidR="00C661A4">
        <w:rPr>
          <w:bCs/>
        </w:rPr>
        <w:t>,</w:t>
      </w:r>
      <w:r>
        <w:rPr>
          <w:bCs/>
        </w:rPr>
        <w:t xml:space="preserve"> principalmente radiales</w:t>
      </w:r>
      <w:r w:rsidR="00C661A4">
        <w:rPr>
          <w:bCs/>
        </w:rPr>
        <w:t>,</w:t>
      </w:r>
      <w:r>
        <w:rPr>
          <w:bCs/>
        </w:rPr>
        <w:t xml:space="preserve"> en nuestro propio idioma.</w:t>
      </w:r>
    </w:p>
    <w:p w14:paraId="38F7E3ED" w14:textId="7A7D786D" w:rsidR="00E30C1B" w:rsidRDefault="009172B7" w:rsidP="00AC379F">
      <w:pPr>
        <w:pStyle w:val="Prrafodelista"/>
        <w:numPr>
          <w:ilvl w:val="0"/>
          <w:numId w:val="6"/>
        </w:numPr>
        <w:jc w:val="both"/>
        <w:rPr>
          <w:bCs/>
        </w:rPr>
      </w:pPr>
      <w:r>
        <w:rPr>
          <w:bCs/>
        </w:rPr>
        <w:t xml:space="preserve">Restaurar el derecho del pueblo afrodescendiente a </w:t>
      </w:r>
      <w:r w:rsidR="007E612C">
        <w:rPr>
          <w:bCs/>
        </w:rPr>
        <w:t xml:space="preserve">asociarse </w:t>
      </w:r>
      <w:r>
        <w:rPr>
          <w:bCs/>
        </w:rPr>
        <w:t xml:space="preserve">y </w:t>
      </w:r>
      <w:r w:rsidR="007E612C">
        <w:rPr>
          <w:bCs/>
        </w:rPr>
        <w:t xml:space="preserve">ejercer </w:t>
      </w:r>
      <w:r>
        <w:rPr>
          <w:bCs/>
        </w:rPr>
        <w:t xml:space="preserve">los derechos consignados en la </w:t>
      </w:r>
      <w:r w:rsidR="00C661A4">
        <w:rPr>
          <w:bCs/>
        </w:rPr>
        <w:t>C</w:t>
      </w:r>
      <w:r>
        <w:rPr>
          <w:bCs/>
        </w:rPr>
        <w:t>onstitución y</w:t>
      </w:r>
      <w:r w:rsidR="007E612C">
        <w:rPr>
          <w:bCs/>
        </w:rPr>
        <w:t xml:space="preserve"> las leyes</w:t>
      </w:r>
      <w:r>
        <w:rPr>
          <w:bCs/>
        </w:rPr>
        <w:t xml:space="preserve">. </w:t>
      </w:r>
    </w:p>
    <w:p w14:paraId="6B84E212" w14:textId="62C16C68" w:rsidR="007E612C" w:rsidRDefault="007E612C" w:rsidP="00AC379F">
      <w:pPr>
        <w:pStyle w:val="Prrafodelista"/>
        <w:numPr>
          <w:ilvl w:val="0"/>
          <w:numId w:val="6"/>
        </w:numPr>
        <w:jc w:val="both"/>
        <w:rPr>
          <w:bCs/>
        </w:rPr>
      </w:pPr>
      <w:r>
        <w:rPr>
          <w:bCs/>
        </w:rPr>
        <w:t>Adecuar las leyes que rigen las organizaciones sin fines de lucro a los compromisos asumidos por Nicaragua bajo el Pacto y a los estándares internacionales.</w:t>
      </w:r>
    </w:p>
    <w:p w14:paraId="3168AF38" w14:textId="74BFD3C4" w:rsidR="007E612C" w:rsidRPr="004134B0" w:rsidRDefault="007E612C" w:rsidP="00AC379F">
      <w:pPr>
        <w:pStyle w:val="Prrafodelista"/>
        <w:numPr>
          <w:ilvl w:val="0"/>
          <w:numId w:val="6"/>
        </w:numPr>
        <w:jc w:val="both"/>
        <w:rPr>
          <w:bCs/>
        </w:rPr>
      </w:pPr>
      <w:r>
        <w:rPr>
          <w:bCs/>
        </w:rPr>
        <w:t>Adecuar la Ley Especial de Ciberdelitos a las obligaciones asumidas bajo el Pacto y los estándares internacionales.</w:t>
      </w:r>
    </w:p>
    <w:p w14:paraId="2A5EFB4E" w14:textId="77777777" w:rsidR="001B3744" w:rsidRDefault="001B3744" w:rsidP="001C4D22">
      <w:pPr>
        <w:jc w:val="both"/>
        <w:rPr>
          <w:bCs/>
        </w:rPr>
      </w:pPr>
    </w:p>
    <w:p w14:paraId="613E5695" w14:textId="08D9791E" w:rsidR="005A7F52" w:rsidRDefault="007E612C" w:rsidP="001C4D22">
      <w:pPr>
        <w:jc w:val="both"/>
        <w:rPr>
          <w:bCs/>
        </w:rPr>
      </w:pPr>
      <w:r>
        <w:rPr>
          <w:bCs/>
        </w:rPr>
        <w:t>Respecto de la l</w:t>
      </w:r>
      <w:r w:rsidR="005A7F52">
        <w:rPr>
          <w:bCs/>
        </w:rPr>
        <w:t>ibertad de elegir y ser elegido</w:t>
      </w:r>
      <w:r w:rsidRPr="002E70E4">
        <w:rPr>
          <w:bCs/>
          <w:lang w:val="es-CR"/>
        </w:rPr>
        <w:t>/a</w:t>
      </w:r>
      <w:r w:rsidR="008F3BA0">
        <w:rPr>
          <w:bCs/>
        </w:rPr>
        <w:t xml:space="preserve"> en elecciones </w:t>
      </w:r>
      <w:r w:rsidR="0074675B">
        <w:rPr>
          <w:bCs/>
        </w:rPr>
        <w:t>periódicas</w:t>
      </w:r>
      <w:r w:rsidR="008F3BA0">
        <w:rPr>
          <w:bCs/>
        </w:rPr>
        <w:t>, auténticas</w:t>
      </w:r>
      <w:r>
        <w:rPr>
          <w:bCs/>
        </w:rPr>
        <w:t>:</w:t>
      </w:r>
    </w:p>
    <w:p w14:paraId="1708F4EC" w14:textId="77777777" w:rsidR="005A7F52" w:rsidRDefault="005A7F52" w:rsidP="001C4D22">
      <w:pPr>
        <w:jc w:val="both"/>
        <w:rPr>
          <w:bCs/>
        </w:rPr>
      </w:pPr>
    </w:p>
    <w:p w14:paraId="4DA8B283" w14:textId="1F9E580F" w:rsidR="005A7F52" w:rsidRDefault="005A7F52" w:rsidP="00AC379F">
      <w:pPr>
        <w:pStyle w:val="Prrafodelista"/>
        <w:numPr>
          <w:ilvl w:val="0"/>
          <w:numId w:val="3"/>
        </w:numPr>
        <w:jc w:val="both"/>
      </w:pPr>
      <w:r>
        <w:rPr>
          <w:bCs/>
        </w:rPr>
        <w:t>Cumplir con lo dispuesto en la sentencia de la Corte IDH en el caso Yatama y llevar a cabo las reformas electorales necesarias para que se establezca un recurso judicial sencillo en contra de las resoluciones del Consejo Supremo Electoral en todos los procesos electorales (nacional, regionales y municipales)</w:t>
      </w:r>
      <w:r w:rsidR="007E612C">
        <w:rPr>
          <w:bCs/>
        </w:rPr>
        <w:t>.</w:t>
      </w:r>
    </w:p>
    <w:p w14:paraId="154E4824" w14:textId="773237DC" w:rsidR="00A97E82" w:rsidRDefault="00A97E82" w:rsidP="001C4D22">
      <w:pPr>
        <w:jc w:val="both"/>
        <w:rPr>
          <w:bCs/>
        </w:rPr>
      </w:pPr>
    </w:p>
    <w:p w14:paraId="45160F77" w14:textId="4BA00198" w:rsidR="00A97E82" w:rsidRDefault="007E612C" w:rsidP="001C4D22">
      <w:pPr>
        <w:jc w:val="both"/>
        <w:rPr>
          <w:bCs/>
        </w:rPr>
      </w:pPr>
      <w:r>
        <w:rPr>
          <w:bCs/>
        </w:rPr>
        <w:t xml:space="preserve">En </w:t>
      </w:r>
      <w:r w:rsidR="00103132">
        <w:rPr>
          <w:bCs/>
        </w:rPr>
        <w:t>relación</w:t>
      </w:r>
      <w:r>
        <w:rPr>
          <w:bCs/>
        </w:rPr>
        <w:t xml:space="preserve"> a la </w:t>
      </w:r>
      <w:r w:rsidR="00103132">
        <w:rPr>
          <w:bCs/>
        </w:rPr>
        <w:t>situación</w:t>
      </w:r>
      <w:r>
        <w:rPr>
          <w:bCs/>
          <w:lang w:val="es-ES"/>
        </w:rPr>
        <w:t>ó</w:t>
      </w:r>
      <w:r w:rsidR="00A97E82">
        <w:rPr>
          <w:bCs/>
        </w:rPr>
        <w:t>n de personas defensoras de los derechos de los pueblos afrodescendientes</w:t>
      </w:r>
      <w:r>
        <w:rPr>
          <w:bCs/>
        </w:rPr>
        <w:t>:</w:t>
      </w:r>
    </w:p>
    <w:p w14:paraId="6E7DD19F" w14:textId="77777777" w:rsidR="00B76EA3" w:rsidRDefault="00B76EA3" w:rsidP="001C4D22">
      <w:pPr>
        <w:jc w:val="both"/>
        <w:rPr>
          <w:bCs/>
        </w:rPr>
      </w:pPr>
    </w:p>
    <w:p w14:paraId="652ED241" w14:textId="56A368D8" w:rsidR="005A7F52" w:rsidRDefault="005A7F52" w:rsidP="00AC379F">
      <w:pPr>
        <w:pStyle w:val="Prrafodelista"/>
        <w:numPr>
          <w:ilvl w:val="0"/>
          <w:numId w:val="3"/>
        </w:numPr>
        <w:jc w:val="both"/>
        <w:rPr>
          <w:bCs/>
        </w:rPr>
      </w:pPr>
      <w:r>
        <w:rPr>
          <w:bCs/>
        </w:rPr>
        <w:lastRenderedPageBreak/>
        <w:t>Cesar el hostigamiento, acoso y amenazas en contra de defensores y defensoras de derechos de los pueblos afrodescendientes.</w:t>
      </w:r>
    </w:p>
    <w:p w14:paraId="55F9FF42" w14:textId="4F93DFF3" w:rsidR="005A7F52" w:rsidRDefault="005A7F52" w:rsidP="00AC379F">
      <w:pPr>
        <w:pStyle w:val="Prrafodelista"/>
        <w:numPr>
          <w:ilvl w:val="0"/>
          <w:numId w:val="3"/>
        </w:numPr>
        <w:jc w:val="both"/>
        <w:rPr>
          <w:bCs/>
        </w:rPr>
      </w:pPr>
      <w:r>
        <w:rPr>
          <w:bCs/>
        </w:rPr>
        <w:t xml:space="preserve">Investigar y Sancionar </w:t>
      </w:r>
      <w:r w:rsidR="001B3744">
        <w:rPr>
          <w:bCs/>
        </w:rPr>
        <w:t xml:space="preserve">a personal del Sistema Judicial que obstruye la justicia a estos pueblos altamente vulnerados en sus derechos </w:t>
      </w:r>
      <w:r w:rsidR="005A5A5B">
        <w:rPr>
          <w:bCs/>
        </w:rPr>
        <w:t xml:space="preserve">autonómicos, </w:t>
      </w:r>
      <w:r w:rsidR="001B3744">
        <w:rPr>
          <w:bCs/>
        </w:rPr>
        <w:t xml:space="preserve">cívicos, </w:t>
      </w:r>
      <w:r w:rsidR="005A5A5B">
        <w:rPr>
          <w:bCs/>
        </w:rPr>
        <w:t>culturales</w:t>
      </w:r>
      <w:r w:rsidR="001B3744">
        <w:rPr>
          <w:bCs/>
        </w:rPr>
        <w:t xml:space="preserve">, económicos y </w:t>
      </w:r>
      <w:r w:rsidR="005A5A5B">
        <w:rPr>
          <w:bCs/>
        </w:rPr>
        <w:t>políticos</w:t>
      </w:r>
      <w:r>
        <w:rPr>
          <w:bCs/>
        </w:rPr>
        <w:t>.</w:t>
      </w:r>
    </w:p>
    <w:p w14:paraId="4EE07938" w14:textId="77777777" w:rsidR="005A7F52" w:rsidRDefault="005A7F52" w:rsidP="00AC379F">
      <w:pPr>
        <w:pStyle w:val="Prrafodelista"/>
        <w:jc w:val="both"/>
        <w:rPr>
          <w:bCs/>
        </w:rPr>
      </w:pPr>
    </w:p>
    <w:p w14:paraId="69365A30" w14:textId="05FA5CE0" w:rsidR="005A7F52" w:rsidRDefault="005A1D49" w:rsidP="001C4D22">
      <w:pPr>
        <w:jc w:val="both"/>
        <w:rPr>
          <w:bCs/>
        </w:rPr>
      </w:pPr>
      <w:r>
        <w:rPr>
          <w:bCs/>
        </w:rPr>
        <w:t>En relaci</w:t>
      </w:r>
      <w:r w:rsidR="00240A5E">
        <w:rPr>
          <w:bCs/>
        </w:rPr>
        <w:t>ó</w:t>
      </w:r>
      <w:r>
        <w:rPr>
          <w:bCs/>
        </w:rPr>
        <w:t>n a la libre circulaci</w:t>
      </w:r>
      <w:r w:rsidR="00D9503C">
        <w:rPr>
          <w:bCs/>
        </w:rPr>
        <w:t>ó</w:t>
      </w:r>
      <w:r>
        <w:rPr>
          <w:bCs/>
        </w:rPr>
        <w:t>n</w:t>
      </w:r>
      <w:r w:rsidR="00695B90">
        <w:rPr>
          <w:bCs/>
        </w:rPr>
        <w:t xml:space="preserve"> y el derecho de entrar en el propio país</w:t>
      </w:r>
      <w:r>
        <w:rPr>
          <w:bCs/>
        </w:rPr>
        <w:t>:</w:t>
      </w:r>
    </w:p>
    <w:p w14:paraId="734BD8FC" w14:textId="77777777" w:rsidR="001C4D22" w:rsidRDefault="001C4D22" w:rsidP="001C4D22">
      <w:pPr>
        <w:jc w:val="both"/>
        <w:rPr>
          <w:bCs/>
        </w:rPr>
      </w:pPr>
    </w:p>
    <w:p w14:paraId="6CC2EEFB" w14:textId="31DF4321" w:rsidR="00E30C1B" w:rsidRDefault="001C4D22" w:rsidP="00AC379F">
      <w:pPr>
        <w:pStyle w:val="Prrafodelista"/>
        <w:numPr>
          <w:ilvl w:val="0"/>
          <w:numId w:val="3"/>
        </w:numPr>
        <w:jc w:val="both"/>
      </w:pPr>
      <w:r>
        <w:rPr>
          <w:bCs/>
        </w:rPr>
        <w:t xml:space="preserve">Tomar las medidas necesarias para prevenir que en el </w:t>
      </w:r>
      <w:r w:rsidR="00702018">
        <w:rPr>
          <w:bCs/>
        </w:rPr>
        <w:t xml:space="preserve">futuro </w:t>
      </w:r>
      <w:r>
        <w:rPr>
          <w:bCs/>
        </w:rPr>
        <w:t xml:space="preserve">se </w:t>
      </w:r>
      <w:r w:rsidR="00702018">
        <w:rPr>
          <w:bCs/>
        </w:rPr>
        <w:t xml:space="preserve">impongan </w:t>
      </w:r>
      <w:r>
        <w:rPr>
          <w:bCs/>
        </w:rPr>
        <w:t>obstáculos para ingresar a su país a las personas afrodescendientes que trabajan en el extranjero.</w:t>
      </w:r>
    </w:p>
    <w:p w14:paraId="50B1CC96" w14:textId="77777777" w:rsidR="001C4D22" w:rsidRDefault="001C4D22" w:rsidP="00AC379F">
      <w:pPr>
        <w:pStyle w:val="Prrafodelista"/>
        <w:jc w:val="both"/>
      </w:pPr>
    </w:p>
    <w:p w14:paraId="50027F64" w14:textId="55BD3A43" w:rsidR="001C4D22" w:rsidRDefault="0024646A" w:rsidP="001C4D22">
      <w:pPr>
        <w:jc w:val="both"/>
      </w:pPr>
      <w:r>
        <w:rPr>
          <w:bCs/>
        </w:rPr>
        <w:t>68</w:t>
      </w:r>
      <w:r w:rsidR="001C4D22">
        <w:rPr>
          <w:bCs/>
        </w:rPr>
        <w:t xml:space="preserve">. Faltan </w:t>
      </w:r>
      <w:r w:rsidR="00A97E82">
        <w:rPr>
          <w:bCs/>
        </w:rPr>
        <w:t>dos</w:t>
      </w:r>
      <w:r w:rsidR="001C4D22">
        <w:rPr>
          <w:bCs/>
        </w:rPr>
        <w:t xml:space="preserve"> años para que concluya el Decenio de los pueblos afrodescendientes. </w:t>
      </w:r>
      <w:r w:rsidR="00EB4048">
        <w:rPr>
          <w:bCs/>
        </w:rPr>
        <w:t xml:space="preserve">El Estado de Nicaragua cuenta con los instrumentos legales </w:t>
      </w:r>
      <w:r w:rsidR="002F4E44">
        <w:rPr>
          <w:bCs/>
        </w:rPr>
        <w:t xml:space="preserve">para reparar los daños históricamente ocasionados  a estos pueblos; por tanto es relevante  que tome </w:t>
      </w:r>
      <w:r w:rsidR="001C4D22">
        <w:rPr>
          <w:bCs/>
        </w:rPr>
        <w:t>esta oportunidad para restituir los derechos de los pueblos afrodescendientes</w:t>
      </w:r>
      <w:r w:rsidR="002F4E44">
        <w:rPr>
          <w:bCs/>
        </w:rPr>
        <w:t>,</w:t>
      </w:r>
      <w:r w:rsidR="001C4D22">
        <w:rPr>
          <w:bCs/>
        </w:rPr>
        <w:t xml:space="preserve"> </w:t>
      </w:r>
      <w:r w:rsidR="002F4E44">
        <w:rPr>
          <w:bCs/>
        </w:rPr>
        <w:t xml:space="preserve"> </w:t>
      </w:r>
      <w:r w:rsidR="001C4D22">
        <w:rPr>
          <w:bCs/>
        </w:rPr>
        <w:t xml:space="preserve"> para hacerlo, solo hace falta que su voluntad se manifieste en acciones concretas.</w:t>
      </w:r>
    </w:p>
    <w:p w14:paraId="0ADE048F" w14:textId="77777777" w:rsidR="001C4D22" w:rsidRDefault="001C4D22" w:rsidP="001C4D22">
      <w:pPr>
        <w:jc w:val="both"/>
        <w:rPr>
          <w:b/>
          <w:bCs/>
        </w:rPr>
      </w:pPr>
    </w:p>
    <w:p w14:paraId="76F5CE03" w14:textId="577107DC" w:rsidR="00A063A3" w:rsidRDefault="001C4D22" w:rsidP="0024646A">
      <w:pPr>
        <w:jc w:val="both"/>
      </w:pPr>
      <w:r>
        <w:rPr>
          <w:b/>
          <w:bCs/>
        </w:rPr>
        <w:t>Bluefields, RACCS, 0</w:t>
      </w:r>
      <w:r w:rsidR="00462337">
        <w:rPr>
          <w:b/>
          <w:bCs/>
        </w:rPr>
        <w:t>9</w:t>
      </w:r>
      <w:r>
        <w:rPr>
          <w:b/>
          <w:bCs/>
        </w:rPr>
        <w:t xml:space="preserve"> de septiembre</w:t>
      </w:r>
      <w:r w:rsidR="00750200">
        <w:rPr>
          <w:b/>
          <w:bCs/>
        </w:rPr>
        <w:t>,</w:t>
      </w:r>
      <w:r>
        <w:rPr>
          <w:b/>
          <w:bCs/>
        </w:rPr>
        <w:t xml:space="preserve"> 2022</w:t>
      </w:r>
    </w:p>
    <w:sectPr w:rsidR="00A063A3" w:rsidSect="00230F42">
      <w:footerReference w:type="default" r:id="rId10"/>
      <w:headerReference w:type="first" r:id="rId11"/>
      <w:pgSz w:w="12240" w:h="15840"/>
      <w:pgMar w:top="1417" w:right="1701" w:bottom="1417" w:left="1701" w:header="708" w:footer="708" w:gutter="0"/>
      <w:cols w:space="720"/>
      <w:formProt w:val="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154E18E" w15:done="0"/>
  <w15:commentEx w15:paraId="3461009A" w15:done="0"/>
  <w15:commentEx w15:paraId="1B4341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C57F82" w16cex:dateUtc="2022-09-09T15:01:00Z"/>
  <w16cex:commentExtensible w16cex:durableId="26C58114" w16cex:dateUtc="2022-09-09T15:08:00Z"/>
  <w16cex:commentExtensible w16cex:durableId="26C580BB" w16cex:dateUtc="2022-09-09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154E18E" w16cid:durableId="26C57F82"/>
  <w16cid:commentId w16cid:paraId="3461009A" w16cid:durableId="26C58114"/>
  <w16cid:commentId w16cid:paraId="1B434168" w16cid:durableId="26C580B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593D4" w14:textId="77777777" w:rsidR="00261ED7" w:rsidRDefault="00261ED7" w:rsidP="001C4D22">
      <w:r>
        <w:separator/>
      </w:r>
    </w:p>
  </w:endnote>
  <w:endnote w:type="continuationSeparator" w:id="0">
    <w:p w14:paraId="5EA9A718" w14:textId="77777777" w:rsidR="00261ED7" w:rsidRDefault="00261ED7" w:rsidP="001C4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8832796"/>
      <w:docPartObj>
        <w:docPartGallery w:val="Page Numbers (Bottom of Page)"/>
        <w:docPartUnique/>
      </w:docPartObj>
    </w:sdtPr>
    <w:sdtEndPr/>
    <w:sdtContent>
      <w:p w14:paraId="0B90BB3B" w14:textId="77777777" w:rsidR="00261ED7" w:rsidRDefault="00261ED7">
        <w:pPr>
          <w:pStyle w:val="Piedepgina"/>
        </w:pPr>
        <w:r>
          <w:rPr>
            <w:rStyle w:val="Nmerodepgina"/>
          </w:rPr>
          <w:fldChar w:fldCharType="begin"/>
        </w:r>
        <w:r>
          <w:rPr>
            <w:rStyle w:val="Nmerodepgina"/>
          </w:rPr>
          <w:instrText>PAGE</w:instrText>
        </w:r>
        <w:r>
          <w:rPr>
            <w:rStyle w:val="Nmerodepgina"/>
          </w:rPr>
          <w:fldChar w:fldCharType="separate"/>
        </w:r>
        <w:r w:rsidR="004D5376">
          <w:rPr>
            <w:rStyle w:val="Nmerodepgina"/>
            <w:noProof/>
          </w:rPr>
          <w:t>2</w:t>
        </w:r>
        <w:r>
          <w:rPr>
            <w:rStyle w:val="Nmerodepgina"/>
          </w:rPr>
          <w:fldChar w:fldCharType="end"/>
        </w:r>
      </w:p>
    </w:sdtContent>
  </w:sdt>
  <w:p w14:paraId="4A6B85D3" w14:textId="77777777" w:rsidR="00261ED7" w:rsidRDefault="00261E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3F21FE" w14:textId="77777777" w:rsidR="00261ED7" w:rsidRDefault="00261ED7" w:rsidP="001C4D22">
      <w:r>
        <w:separator/>
      </w:r>
    </w:p>
  </w:footnote>
  <w:footnote w:type="continuationSeparator" w:id="0">
    <w:p w14:paraId="5A5BBA1B" w14:textId="77777777" w:rsidR="00261ED7" w:rsidRDefault="00261ED7" w:rsidP="001C4D22">
      <w:r>
        <w:continuationSeparator/>
      </w:r>
    </w:p>
  </w:footnote>
  <w:footnote w:id="1">
    <w:p w14:paraId="21DBBB53" w14:textId="0440BBF1" w:rsidR="00261ED7" w:rsidRPr="005A1D49" w:rsidRDefault="00261ED7" w:rsidP="00852C91">
      <w:pPr>
        <w:jc w:val="both"/>
      </w:pPr>
      <w:r w:rsidRPr="00385402">
        <w:rPr>
          <w:rStyle w:val="Refdenotaalpie"/>
          <w:sz w:val="20"/>
          <w:szCs w:val="20"/>
        </w:rPr>
        <w:footnoteRef/>
      </w:r>
      <w:r w:rsidRPr="00385402">
        <w:rPr>
          <w:sz w:val="20"/>
          <w:szCs w:val="20"/>
        </w:rPr>
        <w:t xml:space="preserve"> </w:t>
      </w:r>
      <w:r w:rsidRPr="00385402">
        <w:rPr>
          <w:bCs/>
          <w:sz w:val="20"/>
          <w:szCs w:val="20"/>
        </w:rPr>
        <w:t>Conformada en el año 2006 con el objetivo de organizar, visibilizar y empoderar a la mujer afro-descendiente de Nicaragua para la defensa de sus derechos políticos, eliminar la discriminación racial y gestionar oportunidades para esta  población.</w:t>
      </w:r>
    </w:p>
  </w:footnote>
  <w:footnote w:id="2">
    <w:p w14:paraId="2530A4BE" w14:textId="4276C665" w:rsidR="00261ED7" w:rsidRPr="00385402" w:rsidRDefault="00261ED7" w:rsidP="00852C91">
      <w:pPr>
        <w:jc w:val="both"/>
        <w:rPr>
          <w:lang w:val="es-ES"/>
        </w:rPr>
      </w:pPr>
      <w:r w:rsidRPr="00385402">
        <w:rPr>
          <w:rStyle w:val="Refdenotaalpie"/>
          <w:sz w:val="20"/>
          <w:szCs w:val="20"/>
        </w:rPr>
        <w:footnoteRef/>
      </w:r>
      <w:r w:rsidRPr="00385402">
        <w:rPr>
          <w:sz w:val="20"/>
          <w:szCs w:val="20"/>
        </w:rPr>
        <w:t xml:space="preserve"> </w:t>
      </w:r>
      <w:r w:rsidRPr="00385402">
        <w:rPr>
          <w:bCs/>
          <w:sz w:val="20"/>
          <w:szCs w:val="20"/>
        </w:rPr>
        <w:t>Organizado conforme la Ley de Demarcación y Titulación de Tierras comunales (Ley 445), el cual reorganiza a la comunidad negra creole de Bluefields a partir del año 2004 en la demanda por sus derechos territoriales.</w:t>
      </w:r>
    </w:p>
  </w:footnote>
  <w:footnote w:id="3">
    <w:p w14:paraId="2EA02C01" w14:textId="61A5F338" w:rsidR="00261ED7" w:rsidRPr="005A1D49" w:rsidRDefault="00261ED7" w:rsidP="00852C91">
      <w:pPr>
        <w:jc w:val="both"/>
      </w:pPr>
      <w:r w:rsidRPr="00385402">
        <w:rPr>
          <w:rStyle w:val="Refdenotaalpie"/>
          <w:sz w:val="20"/>
          <w:szCs w:val="20"/>
        </w:rPr>
        <w:footnoteRef/>
      </w:r>
      <w:r w:rsidRPr="00385402">
        <w:rPr>
          <w:sz w:val="20"/>
          <w:szCs w:val="20"/>
        </w:rPr>
        <w:t xml:space="preserve"> </w:t>
      </w:r>
      <w:r w:rsidRPr="00385402">
        <w:rPr>
          <w:bCs/>
          <w:sz w:val="20"/>
          <w:szCs w:val="20"/>
        </w:rPr>
        <w:t>Organizada en el año 2015 para la defensa de los derechos de las tierras ancestrales comunales de los pueblos indígenas y afrodescendientes, para la conservación ambiental, el saneamiento territorial y el fortalecimiento de las organizaciones y gobiernos comunales y territoriales.</w:t>
      </w:r>
    </w:p>
  </w:footnote>
  <w:footnote w:id="4">
    <w:p w14:paraId="31ACBE61" w14:textId="3670A614" w:rsidR="00261ED7" w:rsidRDefault="00261ED7" w:rsidP="001C4D22">
      <w:pPr>
        <w:pStyle w:val="Textonotapie"/>
      </w:pPr>
      <w:r>
        <w:rPr>
          <w:rStyle w:val="Caracteresdenotaalpie"/>
        </w:rPr>
        <w:footnoteRef/>
      </w:r>
      <w:r>
        <w:t xml:space="preserve"> </w:t>
      </w:r>
      <w:r>
        <w:rPr>
          <w:lang w:val="es-ES"/>
        </w:rPr>
        <w:t>Comité de Derechos Humanos. Lista de Cuestiones relativa al Cuarto Informe Periódico de Nicaragua.</w:t>
      </w:r>
      <w:r>
        <w:t>Doc. CCPR/C/NIC/Q/4. 29 de noviembre de 2019.</w:t>
      </w:r>
    </w:p>
  </w:footnote>
  <w:footnote w:id="5">
    <w:p w14:paraId="4B106E79" w14:textId="77777777" w:rsidR="00261ED7" w:rsidRDefault="00261ED7" w:rsidP="00F418B1">
      <w:r>
        <w:rPr>
          <w:rStyle w:val="Caracteresdenotaalpie"/>
        </w:rPr>
        <w:footnoteRef/>
      </w:r>
      <w:r>
        <w:rPr>
          <w:i/>
          <w:iCs/>
          <w:sz w:val="20"/>
          <w:szCs w:val="20"/>
        </w:rPr>
        <w:t xml:space="preserve"> Los afrodescendientes en Nicaragua</w:t>
      </w:r>
      <w:r>
        <w:rPr>
          <w:sz w:val="20"/>
          <w:szCs w:val="20"/>
        </w:rPr>
        <w:t xml:space="preserve">. El Nuevo Diario, 23 de febrero de 2011. Disponible en: </w:t>
      </w:r>
      <w:hyperlink r:id="rId1">
        <w:r>
          <w:rPr>
            <w:rStyle w:val="EnlacedeInternet"/>
            <w:sz w:val="20"/>
            <w:szCs w:val="20"/>
          </w:rPr>
          <w:t>https://www.elnuevodiario.com.ni/opinion/95387-afrodescendientes-nicaragua/</w:t>
        </w:r>
      </w:hyperlink>
    </w:p>
  </w:footnote>
  <w:footnote w:id="6">
    <w:p w14:paraId="506AECA0" w14:textId="5AB57CD0" w:rsidR="00261ED7" w:rsidRDefault="00261ED7" w:rsidP="001C4D22">
      <w:pPr>
        <w:pStyle w:val="Textonotapie"/>
      </w:pPr>
      <w:r>
        <w:rPr>
          <w:rStyle w:val="Caracteresdenotaalpie"/>
        </w:rPr>
        <w:footnoteRef/>
      </w:r>
      <w:r>
        <w:t xml:space="preserve"> Nicaragua transfiere lotes de tierra a la Central Hidroeléctrica de Nicaragua (chn) para el proyecto hidroeléctrico en Tumarin Municipio de La Cruz de Rio Grande en la Región autónoma Caribe Sur. Disponible en: </w:t>
      </w:r>
      <w:hyperlink r:id="rId2">
        <w:r>
          <w:rPr>
            <w:rStyle w:val="EnlacedeInternet"/>
          </w:rPr>
          <w:t>https://www.laprensa.com.ni/2017/09/05/nacionales/2291867-estado-transfiere-tierras-a-chn</w:t>
        </w:r>
      </w:hyperlink>
      <w:r>
        <w:t xml:space="preserve"> </w:t>
      </w:r>
    </w:p>
  </w:footnote>
  <w:footnote w:id="7">
    <w:p w14:paraId="310499B5" w14:textId="77777777" w:rsidR="00261ED7" w:rsidRDefault="00261ED7" w:rsidP="001C4D22">
      <w:pPr>
        <w:pStyle w:val="Textonotapie"/>
      </w:pPr>
      <w:r>
        <w:rPr>
          <w:rStyle w:val="Caracteresdenotaalpie"/>
        </w:rPr>
        <w:footnoteRef/>
      </w:r>
      <w:r>
        <w:t xml:space="preserve"> </w:t>
      </w:r>
      <w:r>
        <w:rPr>
          <w:lang w:val="es-ES"/>
        </w:rPr>
        <w:t>Los dos primeros a la fecha son proyectos fallidos, aun cuando afectaron a los pobladores del territorio por el que estaba previsto pasara el Canal y a los pobladores de Apawás, respectivamente. De los tres proyectos, el único que se ejecutó fue el proyecto de Palma Africana.</w:t>
      </w:r>
    </w:p>
  </w:footnote>
  <w:footnote w:id="8">
    <w:p w14:paraId="18897798" w14:textId="5C11C3AE" w:rsidR="00261ED7" w:rsidRDefault="00261ED7">
      <w:pPr>
        <w:pStyle w:val="Textonotapie"/>
      </w:pPr>
      <w:r>
        <w:rPr>
          <w:rStyle w:val="Refdenotaalpie"/>
        </w:rPr>
        <w:footnoteRef/>
      </w:r>
      <w:r>
        <w:t xml:space="preserve"> Aprobacion del proyecto Bioclima por el Fondo Verde del Clima (FVC) para Nicaragua. Disponible en: </w:t>
      </w:r>
      <w:hyperlink r:id="rId3" w:anchor=":~:text=El%20proyecto%20Bio-CLIMA%20fue%20la%20segunda%20operaci%C3%B3n%20aprobada,donaci%C3%B3n%2C%20seg%C3%BAn%20la%20informaci%C3%B3n.%20Relacionados%3A%20Ambiente%20econom%C3%ADa%20Nicaragua" w:history="1">
        <w:r>
          <w:rPr>
            <w:rStyle w:val="Hipervnculo"/>
          </w:rPr>
          <w:t>Fondo Verde aporta $64 millones a proyecto Bio-CLIMA – Ey Boricua</w:t>
        </w:r>
      </w:hyperlink>
    </w:p>
  </w:footnote>
  <w:footnote w:id="9">
    <w:p w14:paraId="4E106D55" w14:textId="13C77840" w:rsidR="00261ED7" w:rsidRDefault="00261ED7">
      <w:pPr>
        <w:pStyle w:val="Textonotapie"/>
      </w:pPr>
      <w:r>
        <w:rPr>
          <w:rStyle w:val="Refdenotaalpie"/>
        </w:rPr>
        <w:footnoteRef/>
      </w:r>
      <w:r>
        <w:t xml:space="preserve">  Sentencia Yatama vs Nicaragua en la Corte IDH. Disponible en: </w:t>
      </w:r>
      <w:hyperlink r:id="rId4" w:history="1">
        <w:r>
          <w:rPr>
            <w:rStyle w:val="Hipervnculo"/>
          </w:rPr>
          <w:t>seriec_127_esp.pdf. (corteidh.or.cr)</w:t>
        </w:r>
      </w:hyperlink>
    </w:p>
  </w:footnote>
  <w:footnote w:id="10">
    <w:p w14:paraId="6CBDB697" w14:textId="3637B42B" w:rsidR="00261ED7" w:rsidRDefault="00261ED7" w:rsidP="001C4D22">
      <w:pPr>
        <w:pStyle w:val="Textonotapie"/>
      </w:pPr>
      <w:r>
        <w:rPr>
          <w:rStyle w:val="Caracteresdenotaalpie"/>
        </w:rPr>
        <w:footnoteRef/>
      </w:r>
      <w:r>
        <w:t xml:space="preserve"> Creoles reclaman a la Corte por retardación de Justicia. </w:t>
      </w:r>
      <w:r>
        <w:rPr>
          <w:sz w:val="16"/>
          <w:szCs w:val="16"/>
        </w:rPr>
        <w:t>Noticias de Bluefields. 16  august 2017</w:t>
      </w:r>
      <w:r>
        <w:t xml:space="preserve">. Disponible en: </w:t>
      </w:r>
      <w:hyperlink r:id="rId5">
        <w:r>
          <w:rPr>
            <w:rStyle w:val="EnlacedeInternet"/>
          </w:rPr>
          <w:t>https://www.facebook.com/NotiBluefields/posts/878832255605058</w:t>
        </w:r>
      </w:hyperlink>
      <w:r>
        <w:t xml:space="preserve"> </w:t>
      </w:r>
    </w:p>
  </w:footnote>
  <w:footnote w:id="11">
    <w:p w14:paraId="4512BDC9" w14:textId="283847A4" w:rsidR="00261ED7" w:rsidRDefault="00261ED7" w:rsidP="001C4D22">
      <w:pPr>
        <w:pStyle w:val="Textonotapie"/>
      </w:pPr>
      <w:r>
        <w:rPr>
          <w:rStyle w:val="Caracteresdenotaalpie"/>
        </w:rPr>
        <w:footnoteRef/>
      </w:r>
      <w:r>
        <w:t xml:space="preserve"> PNUD. Informe de Desarrollo Humano de la Costa Caribe. 2005, Gráfico No. 3 p</w:t>
      </w:r>
      <w:r>
        <w:rPr>
          <w:lang w:val="es-ES"/>
        </w:rPr>
        <w:t>ág.300. Disponible en:</w:t>
      </w:r>
      <w:r w:rsidRPr="00310463">
        <w:t xml:space="preserve"> </w:t>
      </w:r>
      <w:hyperlink r:id="rId6" w:history="1">
        <w:r>
          <w:rPr>
            <w:rStyle w:val="Hipervnculo"/>
          </w:rPr>
          <w:t>Informe de Desarrollo Humano 2005 de la Costa Caribe nicaragua | Human Development Reports (undp.org)</w:t>
        </w:r>
      </w:hyperlink>
    </w:p>
  </w:footnote>
  <w:footnote w:id="12">
    <w:p w14:paraId="7B079677" w14:textId="7C6286E7" w:rsidR="00261ED7" w:rsidRPr="0047262F" w:rsidRDefault="00261ED7" w:rsidP="00011379">
      <w:pPr>
        <w:jc w:val="both"/>
        <w:rPr>
          <w:sz w:val="20"/>
          <w:szCs w:val="20"/>
        </w:rPr>
      </w:pPr>
      <w:r w:rsidRPr="0099300D">
        <w:rPr>
          <w:rStyle w:val="Caracteresdenotaalpie"/>
          <w:sz w:val="20"/>
          <w:szCs w:val="20"/>
        </w:rPr>
        <w:footnoteRef/>
      </w:r>
      <w:r w:rsidRPr="0099300D">
        <w:rPr>
          <w:sz w:val="20"/>
          <w:szCs w:val="20"/>
        </w:rPr>
        <w:t xml:space="preserve"> </w:t>
      </w:r>
      <w:r w:rsidRPr="00011379">
        <w:rPr>
          <w:sz w:val="20"/>
          <w:szCs w:val="20"/>
        </w:rPr>
        <w:t xml:space="preserve">Las comunidades Garífunas o “Caribes Negros” son de origen y lengua Arawak, provienen de la mezcla de los Igneri (Arawakos) que habitaban las Islas de San Vicente (Yuruméina) y Dominica y de los Kallinagu (o Caribe) de la Guyana Caribe o Galibi, cuya lengua era de la familia Kallina”. </w:t>
      </w:r>
      <w:r>
        <w:rPr>
          <w:sz w:val="20"/>
          <w:szCs w:val="20"/>
        </w:rPr>
        <w:t xml:space="preserve">Disponible en: </w:t>
      </w:r>
      <w:hyperlink r:id="rId7" w:history="1">
        <w:r w:rsidRPr="008217A8">
          <w:rPr>
            <w:rStyle w:val="Hipervnculo"/>
            <w:sz w:val="20"/>
            <w:szCs w:val="20"/>
          </w:rPr>
          <w:t>Garifuna: características, ubicación, cultura, y mucho más (hablemosdeculturas.com)</w:t>
        </w:r>
      </w:hyperlink>
      <w:r w:rsidRPr="008217A8">
        <w:rPr>
          <w:sz w:val="20"/>
          <w:szCs w:val="20"/>
        </w:rPr>
        <w:t xml:space="preserve">  .</w:t>
      </w:r>
    </w:p>
  </w:footnote>
  <w:footnote w:id="13">
    <w:p w14:paraId="6D245A40" w14:textId="37EA264E" w:rsidR="00261ED7" w:rsidRDefault="00261ED7" w:rsidP="001C4D22">
      <w:pPr>
        <w:pStyle w:val="Textonotapie"/>
      </w:pPr>
      <w:r>
        <w:rPr>
          <w:rStyle w:val="Caracteresdenotaalpie"/>
        </w:rPr>
        <w:footnoteRef/>
      </w:r>
      <w:r>
        <w:t xml:space="preserve"> Ley de declaración de la cultura garífuna como patrimonio cultural inmaterial de la nación, Ley N°. 886, publicada en La Gaceta, N°. 215 del 12 de noviembre de 2014. Disponible en: </w:t>
      </w:r>
      <w:hyperlink r:id="rId8" w:history="1">
        <w:r>
          <w:rPr>
            <w:rStyle w:val="Hipervnculo"/>
          </w:rPr>
          <w:t>Leyes 886 (asamblea.gob.ni)</w:t>
        </w:r>
      </w:hyperlink>
    </w:p>
  </w:footnote>
  <w:footnote w:id="14">
    <w:p w14:paraId="26A72F61" w14:textId="3FDE02B3" w:rsidR="00261ED7" w:rsidRDefault="00261ED7" w:rsidP="001C4D22">
      <w:pPr>
        <w:pStyle w:val="Textonotapie"/>
      </w:pPr>
      <w:r>
        <w:rPr>
          <w:rStyle w:val="Caracteresdenotaalpie"/>
        </w:rPr>
        <w:footnoteRef/>
      </w:r>
      <w:r>
        <w:t xml:space="preserve"> </w:t>
      </w:r>
      <w:r>
        <w:rPr>
          <w:bCs/>
        </w:rPr>
        <w:t>Según el estudio sobre Pueblos Originarios y Afrodescendientes de Nicaragua elaborado por la universidad URACCAN (2019). Disponible en:</w:t>
      </w:r>
      <w:r w:rsidRPr="00310463">
        <w:t xml:space="preserve"> </w:t>
      </w:r>
      <w:hyperlink r:id="rId9">
        <w:r>
          <w:rPr>
            <w:rStyle w:val="EnlacedeInternet"/>
          </w:rPr>
          <w:t>https://www.uraccan.edu.ni/sites/default/files/2019-0/Manual%20Interpretacio%CC%81n%20Mapas%20-%20WEB.pdf</w:t>
        </w:r>
      </w:hyperlink>
    </w:p>
  </w:footnote>
  <w:footnote w:id="15">
    <w:p w14:paraId="76D165E4" w14:textId="442C444A" w:rsidR="00261ED7" w:rsidRDefault="00261ED7" w:rsidP="001C4D22">
      <w:pPr>
        <w:pStyle w:val="Textonotapie"/>
      </w:pPr>
      <w:r>
        <w:rPr>
          <w:rStyle w:val="Caracteresdenotaalpie"/>
        </w:rPr>
        <w:footnoteRef/>
      </w:r>
      <w:r>
        <w:t xml:space="preserve"> Ibid. </w:t>
      </w:r>
    </w:p>
  </w:footnote>
  <w:footnote w:id="16">
    <w:p w14:paraId="233AE714" w14:textId="77777777" w:rsidR="00261ED7" w:rsidRDefault="00261ED7" w:rsidP="007A1A87">
      <w:pPr>
        <w:pStyle w:val="Textonotapie"/>
      </w:pPr>
      <w:r>
        <w:rPr>
          <w:rStyle w:val="Caracteresdenotaalpie"/>
        </w:rPr>
        <w:footnoteRef/>
      </w:r>
      <w:r>
        <w:t xml:space="preserve"> Ibid.</w:t>
      </w:r>
    </w:p>
  </w:footnote>
  <w:footnote w:id="17">
    <w:p w14:paraId="60AD4018" w14:textId="77777777" w:rsidR="00261ED7" w:rsidRDefault="00261ED7" w:rsidP="00D9503C">
      <w:r w:rsidRPr="0099300D">
        <w:rPr>
          <w:rStyle w:val="Caracteresdenotaalpie"/>
          <w:sz w:val="20"/>
          <w:szCs w:val="20"/>
        </w:rPr>
        <w:footnoteRef/>
      </w:r>
      <w:r w:rsidRPr="0099300D">
        <w:rPr>
          <w:sz w:val="20"/>
          <w:szCs w:val="20"/>
        </w:rPr>
        <w:t xml:space="preserve"> </w:t>
      </w:r>
      <w:r>
        <w:rPr>
          <w:i/>
          <w:iCs/>
          <w:sz w:val="20"/>
          <w:szCs w:val="20"/>
        </w:rPr>
        <w:t xml:space="preserve">Festejan garífunas de Nicaragua y de otros pueblos su Día Nacional. </w:t>
      </w:r>
      <w:r>
        <w:rPr>
          <w:sz w:val="20"/>
          <w:szCs w:val="20"/>
        </w:rPr>
        <w:t xml:space="preserve">La Voz del Sandinismo, 23 de noviembre de 2013. Disponible en: </w:t>
      </w:r>
      <w:hyperlink r:id="rId10">
        <w:r>
          <w:rPr>
            <w:rStyle w:val="EnlacedeInternet"/>
            <w:sz w:val="20"/>
            <w:szCs w:val="20"/>
          </w:rPr>
          <w:t>https://www.lavozdelsandinismo.com/nicaragua/2013-11-23/festejan-garifunas-de-nicaragua-y-de-otros-pueblos-su-dia-nacional/</w:t>
        </w:r>
      </w:hyperlink>
    </w:p>
  </w:footnote>
  <w:footnote w:id="18">
    <w:p w14:paraId="4C3F63E9" w14:textId="27ADB1FF" w:rsidR="00261ED7" w:rsidRPr="00CC5565" w:rsidRDefault="00261ED7">
      <w:pPr>
        <w:pStyle w:val="Textonotapie"/>
      </w:pPr>
      <w:r>
        <w:rPr>
          <w:rStyle w:val="Refdenotaalpie"/>
        </w:rPr>
        <w:footnoteRef/>
      </w:r>
      <w:r>
        <w:t xml:space="preserve"> </w:t>
      </w:r>
      <w:hyperlink r:id="rId11" w:anchor=":~:text=Las%20ciudades%20nicarag%C3%BCenses%20de%20Bluefields%2C%20Granada%20y%20Juigalpa,vida%20una%20realidad%20para%20todos%20a%20nivel%20local." w:history="1">
        <w:r>
          <w:rPr>
            <w:rStyle w:val="Hipervnculo"/>
          </w:rPr>
          <w:t>Granada, Bluefields y Juigalpa se unen a red mundial de Ciudades del Aprendizaje de la Unesco - Nicaragua Actual</w:t>
        </w:r>
      </w:hyperlink>
    </w:p>
  </w:footnote>
  <w:footnote w:id="19">
    <w:p w14:paraId="5F12D29D" w14:textId="77777777" w:rsidR="00261ED7" w:rsidRPr="00CB397D" w:rsidRDefault="00261ED7" w:rsidP="003A3F95">
      <w:pPr>
        <w:pStyle w:val="Textonotapie"/>
        <w:rPr>
          <w:sz w:val="16"/>
          <w:szCs w:val="16"/>
          <w:lang w:val="es-US"/>
        </w:rPr>
      </w:pPr>
      <w:r>
        <w:rPr>
          <w:rStyle w:val="Refdenotaalpie"/>
        </w:rPr>
        <w:footnoteRef/>
      </w:r>
      <w:r>
        <w:t xml:space="preserve"> </w:t>
      </w:r>
      <w:r>
        <w:rPr>
          <w:lang w:val="es-US"/>
        </w:rPr>
        <w:t xml:space="preserve"> Arto. 89,90,91,180,181 </w:t>
      </w:r>
      <w:proofErr w:type="spellStart"/>
      <w:r>
        <w:rPr>
          <w:lang w:val="es-US"/>
        </w:rPr>
        <w:t>Cn</w:t>
      </w:r>
      <w:proofErr w:type="spellEnd"/>
      <w:r>
        <w:rPr>
          <w:lang w:val="es-US"/>
        </w:rPr>
        <w:t xml:space="preserve">. Disponible en: </w:t>
      </w:r>
      <w:hyperlink r:id="rId12" w:history="1">
        <w:r w:rsidRPr="00CB397D">
          <w:rPr>
            <w:rStyle w:val="Hipervnculo"/>
            <w:sz w:val="16"/>
            <w:szCs w:val="16"/>
          </w:rPr>
          <w:t>LA_CONSTITUCION_POLITICA_Y_SUS_REFORMAS(3).pdf (poderjudicial.gob.ni)</w:t>
        </w:r>
      </w:hyperlink>
    </w:p>
  </w:footnote>
  <w:footnote w:id="20">
    <w:p w14:paraId="592EDD1A" w14:textId="1D848C1D" w:rsidR="00261ED7" w:rsidRDefault="00261ED7" w:rsidP="001C4D22">
      <w:pPr>
        <w:pStyle w:val="Textonotapie"/>
      </w:pPr>
      <w:r>
        <w:rPr>
          <w:rStyle w:val="Caracteresdenotaalpie"/>
        </w:rPr>
        <w:footnoteRef/>
      </w:r>
      <w:r>
        <w:t xml:space="preserve"> Ley No. 28, Estatuto de Autonomía de las Regiones de la Costa Caribe de Nicaragua con sus reformas incorporadas. Publicada en La Gaceta No. 155 del 18 de agosto de 2016. Disponible en: </w:t>
      </w:r>
      <w:hyperlink r:id="rId13" w:history="1">
        <w:r w:rsidRPr="00CB397D">
          <w:rPr>
            <w:rStyle w:val="Hipervnculo"/>
            <w:sz w:val="16"/>
            <w:szCs w:val="16"/>
          </w:rPr>
          <w:t>LEY DE REFORMA A LA LEY Nº.28, ESTATUTO DE AUTONOMÍA DE LAS REGIONES DE LA COSTA CARIBE DE NICARAGUA</w:t>
        </w:r>
        <w:r>
          <w:rPr>
            <w:rStyle w:val="Hipervnculo"/>
          </w:rPr>
          <w:t>. (asamblea.gob.ni)</w:t>
        </w:r>
      </w:hyperlink>
    </w:p>
  </w:footnote>
  <w:footnote w:id="21">
    <w:p w14:paraId="75E52222" w14:textId="2044296F" w:rsidR="00261ED7" w:rsidRPr="00CB397D" w:rsidRDefault="00261ED7" w:rsidP="001C4D22">
      <w:pPr>
        <w:rPr>
          <w:sz w:val="16"/>
          <w:szCs w:val="16"/>
        </w:rPr>
      </w:pPr>
      <w:r w:rsidRPr="0099300D">
        <w:rPr>
          <w:rStyle w:val="Caracteresdenotaalpie"/>
          <w:sz w:val="20"/>
          <w:szCs w:val="20"/>
        </w:rPr>
        <w:footnoteRef/>
      </w:r>
      <w:r>
        <w:t xml:space="preserve"> </w:t>
      </w:r>
      <w:r>
        <w:rPr>
          <w:rFonts w:cstheme="minorHAnsi"/>
          <w:sz w:val="20"/>
          <w:szCs w:val="20"/>
        </w:rPr>
        <w:t xml:space="preserve">Ley 445. Ley </w:t>
      </w:r>
      <w:r>
        <w:rPr>
          <w:rFonts w:eastAsia="Times New Roman" w:cstheme="minorHAnsi"/>
          <w:color w:val="333333"/>
          <w:sz w:val="20"/>
          <w:szCs w:val="20"/>
          <w:shd w:val="clear" w:color="auto" w:fill="FFFFFF"/>
          <w:lang w:eastAsia="es-ES_tradnl"/>
        </w:rPr>
        <w:t xml:space="preserve">de Régimen de propiedad comunal de los pueblos indígenas y comunidades étnicas de las regiones autónomas de la Costa Atlántica de Nicaragua y de los ríos Bocay, Coco, Indio y Maíz, publicada en La Gaceta No. 16 del 23 de enero de 2003. Disponible en: </w:t>
      </w:r>
      <w:hyperlink r:id="rId14" w:history="1">
        <w:r w:rsidRPr="00CB397D">
          <w:rPr>
            <w:rStyle w:val="Hipervnculo"/>
            <w:sz w:val="16"/>
            <w:szCs w:val="16"/>
          </w:rPr>
          <w:t>LEY DE RÉGIMEN DE PROPIEDAD COMUNAL DE LOS PUEBLOS INDÍGENAS Y COMUNIDADES ÉTNICAS DE LAS REGIONES AUTÓNOMAS DE LA COSTA ATLÁNTICA DE NICARAGUA Y DE LOS RÍOS BOCAY, COCO, INDIO Y MAÍZ (asamblea.gob.ni)</w:t>
        </w:r>
      </w:hyperlink>
    </w:p>
  </w:footnote>
  <w:footnote w:id="22">
    <w:p w14:paraId="725B5D92" w14:textId="7ABC19B0" w:rsidR="00261ED7" w:rsidRDefault="00261ED7" w:rsidP="001C4D22">
      <w:pPr>
        <w:pStyle w:val="Textonotapie"/>
      </w:pPr>
      <w:r>
        <w:rPr>
          <w:rStyle w:val="Caracteresdenotaalpie"/>
        </w:rPr>
        <w:footnoteRef/>
      </w:r>
      <w:r>
        <w:t xml:space="preserve"> Ley 445, art. 3. Definiciones de la Ley 445.</w:t>
      </w:r>
    </w:p>
  </w:footnote>
  <w:footnote w:id="23">
    <w:p w14:paraId="3621A78B" w14:textId="2B3C47C1" w:rsidR="00261ED7" w:rsidRDefault="00261ED7" w:rsidP="001C4D22">
      <w:pPr>
        <w:pStyle w:val="Textonotapie"/>
      </w:pPr>
      <w:r>
        <w:rPr>
          <w:rStyle w:val="Caracteresdenotaalpie"/>
        </w:rPr>
        <w:footnoteRef/>
      </w:r>
      <w:r>
        <w:t xml:space="preserve"> DECRETO No. 15-2011, aprobado el 24 de Marzo del 2011, publicado en La Gaceta No. 65 del 05 de abril del 2011. Disponible en: </w:t>
      </w:r>
      <w:hyperlink r:id="rId15" w:history="1">
        <w:r>
          <w:rPr>
            <w:rStyle w:val="Hipervnculo"/>
          </w:rPr>
          <w:t>gaceta 65-2011.P65 (cse.gob.ni)</w:t>
        </w:r>
      </w:hyperlink>
    </w:p>
  </w:footnote>
  <w:footnote w:id="24">
    <w:p w14:paraId="6950F95C" w14:textId="3C4E5423" w:rsidR="00261ED7" w:rsidRDefault="00261ED7" w:rsidP="001C4D22">
      <w:pPr>
        <w:pStyle w:val="Textonotapie"/>
      </w:pPr>
      <w:r>
        <w:rPr>
          <w:rStyle w:val="Caracteresdenotaalpie"/>
        </w:rPr>
        <w:footnoteRef/>
      </w:r>
      <w:r>
        <w:t xml:space="preserve"> </w:t>
      </w:r>
      <w:r>
        <w:rPr>
          <w:rFonts w:eastAsia="Times New Roman" w:cstheme="minorHAnsi"/>
          <w:color w:val="000000"/>
          <w:lang w:eastAsia="es-NI"/>
        </w:rPr>
        <w:t xml:space="preserve">La Gaceta No. 105 del 4 de Junio del 2010. Asamblea Nacional. Managua. Disponible en: </w:t>
      </w:r>
      <w:hyperlink r:id="rId16" w:history="1">
        <w:r>
          <w:rPr>
            <w:rStyle w:val="Hipervnculo"/>
          </w:rPr>
          <w:t>DECRETO DE APROBACIÓN DEL CONVENIO SOBRE PUEBLOS INDÍGENAS Y TRIBALES, 1989 (CONVENIO 169 DE LA OIT) (asamblea.gob.ni)</w:t>
        </w:r>
      </w:hyperlink>
    </w:p>
  </w:footnote>
  <w:footnote w:id="25">
    <w:p w14:paraId="28BD443C" w14:textId="15684B75" w:rsidR="00261ED7" w:rsidRDefault="00261ED7" w:rsidP="001C4D22">
      <w:pPr>
        <w:pStyle w:val="Textonotapie"/>
      </w:pPr>
      <w:r>
        <w:rPr>
          <w:rStyle w:val="Caracteresdenotaalpie"/>
        </w:rPr>
        <w:footnoteRef/>
      </w:r>
      <w:r>
        <w:t xml:space="preserve"> Ley de trato digno y equitativo a pueblos indígenas y afro-descendientes, Ley N°. 757, publicada en La Gaceta, N°. 96 del 26 de Mayo de 2011. Disponible en: </w:t>
      </w:r>
      <w:hyperlink r:id="rId17" w:history="1">
        <w:r>
          <w:rPr>
            <w:rStyle w:val="Hipervnculo"/>
          </w:rPr>
          <w:t>LEY DE TRATO DIGNO Y EQUITATIVO A PUEBLOS INDÍGENAS Y AFRO-DESCENDIENTES. (asamblea.gob.ni)</w:t>
        </w:r>
      </w:hyperlink>
    </w:p>
  </w:footnote>
  <w:footnote w:id="26">
    <w:p w14:paraId="7FEF8723" w14:textId="77777777" w:rsidR="00261ED7" w:rsidRDefault="00261ED7" w:rsidP="001C4D22">
      <w:pPr>
        <w:pStyle w:val="Default"/>
        <w:jc w:val="both"/>
      </w:pPr>
      <w:r w:rsidRPr="0099300D">
        <w:rPr>
          <w:rStyle w:val="Caracteresdenotaalpie"/>
          <w:rFonts w:asciiTheme="minorHAnsi" w:hAnsiTheme="minorHAnsi" w:cstheme="minorHAnsi"/>
          <w:sz w:val="20"/>
          <w:szCs w:val="20"/>
        </w:rPr>
        <w:footnoteRef/>
      </w:r>
      <w:r w:rsidRPr="0099300D">
        <w:rPr>
          <w:rFonts w:asciiTheme="minorHAnsi" w:hAnsiTheme="minorHAnsi" w:cstheme="minorHAnsi"/>
          <w:sz w:val="20"/>
          <w:szCs w:val="20"/>
        </w:rPr>
        <w:t xml:space="preserve"> </w:t>
      </w:r>
      <w:r>
        <w:rPr>
          <w:rFonts w:asciiTheme="minorHAnsi" w:hAnsiTheme="minorHAnsi" w:cstheme="minorHAnsi"/>
          <w:sz w:val="20"/>
          <w:szCs w:val="20"/>
        </w:rPr>
        <w:t xml:space="preserve">Constitución de Nicaragua. Art. 5. </w:t>
      </w:r>
      <w:r>
        <w:rPr>
          <w:rStyle w:val="A3"/>
          <w:rFonts w:asciiTheme="minorHAnsi" w:hAnsiTheme="minorHAnsi" w:cstheme="minorHAnsi"/>
          <w:i/>
          <w:color w:val="auto"/>
        </w:rPr>
        <w:t>Son principios de la nación nicaragüense, la libertad, la justicia, el respeto a la dignidad de la persona humana, el pluralismo político y social, el reconocimiento a los pueblos originarios y afrodescendientes de su propia identidad dentro de un Estado unitario e indivisible, el reconocimiento a las distintas formas de propiedad, la libre cooperación internacional, el respeto a la libre autodeterminación de los pueblos, los valores cristianos, los ideales socialistas, las prácticas solidarias, y los valores e ideales de la cultura e identidad nicaragüense</w:t>
      </w:r>
      <w:r>
        <w:rPr>
          <w:rStyle w:val="A3"/>
          <w:rFonts w:asciiTheme="minorHAnsi" w:hAnsiTheme="minorHAnsi" w:cstheme="minorHAnsi"/>
          <w:color w:val="auto"/>
        </w:rPr>
        <w:t>.</w:t>
      </w:r>
    </w:p>
  </w:footnote>
  <w:footnote w:id="27">
    <w:p w14:paraId="232045A6" w14:textId="77777777" w:rsidR="00261ED7" w:rsidRDefault="00261ED7" w:rsidP="001C4D22">
      <w:pPr>
        <w:tabs>
          <w:tab w:val="left" w:pos="2670"/>
        </w:tabs>
      </w:pPr>
      <w:r>
        <w:rPr>
          <w:rStyle w:val="Caracteresdenotaalpie"/>
        </w:rPr>
        <w:footnoteRef/>
      </w:r>
      <w:r>
        <w:rPr>
          <w:sz w:val="18"/>
          <w:szCs w:val="18"/>
        </w:rPr>
        <w:t xml:space="preserve"> </w:t>
      </w:r>
      <w:r>
        <w:rPr>
          <w:sz w:val="20"/>
          <w:szCs w:val="20"/>
        </w:rPr>
        <w:t xml:space="preserve">Decenio de los Pueblos Afrodescendientes. </w:t>
      </w:r>
      <w:hyperlink r:id="rId18">
        <w:r>
          <w:rPr>
            <w:rStyle w:val="EnlacedeInternet"/>
            <w:sz w:val="20"/>
            <w:szCs w:val="20"/>
          </w:rPr>
          <w:t>https://www.un.org/es/observances/decade-people-african-descent</w:t>
        </w:r>
      </w:hyperlink>
    </w:p>
  </w:footnote>
  <w:footnote w:id="28">
    <w:p w14:paraId="6FC2A081" w14:textId="77777777" w:rsidR="00261ED7" w:rsidRDefault="00261ED7" w:rsidP="001C4D22">
      <w:pPr>
        <w:pStyle w:val="Textonotapie"/>
      </w:pPr>
      <w:r>
        <w:rPr>
          <w:rStyle w:val="Caracteresdenotaalpie"/>
        </w:rPr>
        <w:footnoteRef/>
      </w:r>
      <w:r>
        <w:rPr>
          <w:sz w:val="16"/>
          <w:szCs w:val="16"/>
        </w:rPr>
        <w:t>.</w:t>
      </w:r>
      <w:r>
        <w:t xml:space="preserve"> https://confidencial.com.ni/policias-de-bluefields-no-socorren-a-joven-y-lo-dejan-ahogarse/</w:t>
      </w:r>
    </w:p>
  </w:footnote>
  <w:footnote w:id="29">
    <w:p w14:paraId="23591019" w14:textId="0D2D02E1" w:rsidR="00261ED7" w:rsidRPr="00543164" w:rsidRDefault="00261ED7">
      <w:pPr>
        <w:pStyle w:val="Textonotapie"/>
      </w:pPr>
      <w:r>
        <w:rPr>
          <w:rStyle w:val="Refdenotaalpie"/>
        </w:rPr>
        <w:footnoteRef/>
      </w:r>
      <w:r>
        <w:t xml:space="preserve"> Acusacion a jóvenes afrodescendientes por la muerte del periodista Angel Gahona. Disponible en:</w:t>
      </w:r>
      <w:r w:rsidRPr="00543164">
        <w:t xml:space="preserve"> </w:t>
      </w:r>
      <w:hyperlink r:id="rId19" w:history="1">
        <w:r>
          <w:rPr>
            <w:rStyle w:val="Hipervnculo"/>
          </w:rPr>
          <w:t>Declarados culpables acusados de asesinar a periodista Ángel Gahona en Nicaragua • El Nuevo Diario</w:t>
        </w:r>
      </w:hyperlink>
    </w:p>
  </w:footnote>
  <w:footnote w:id="30">
    <w:p w14:paraId="18945719" w14:textId="68033974" w:rsidR="00261ED7" w:rsidRDefault="00261ED7" w:rsidP="001C4D22">
      <w:pPr>
        <w:pStyle w:val="Textonotapie"/>
      </w:pPr>
      <w:r>
        <w:rPr>
          <w:rStyle w:val="Caracteresdenotaalpie"/>
        </w:rPr>
        <w:footnoteRef/>
      </w:r>
      <w:r>
        <w:rPr>
          <w:sz w:val="16"/>
          <w:szCs w:val="16"/>
        </w:rPr>
        <w:t xml:space="preserve">. Video sobre asesinato del periodista Angel Gahona en Bluefields. Disponible en: </w:t>
      </w:r>
      <w:hyperlink r:id="rId20">
        <w:r>
          <w:rPr>
            <w:rStyle w:val="EnlacedeInternet"/>
            <w:sz w:val="16"/>
            <w:szCs w:val="16"/>
          </w:rPr>
          <w:t>https://www.bing.com/videos/search?q=asesinato+de+angel+gahona+frente+a+policia+de+bluefields&amp;&amp;view=detail&amp;mid=207686F632949A6461AF207686F632949A6461AF&amp;&amp;FORM=VRDGAR&amp;ru=%2Fvideos%2Fsearch%3Fq%3Dasesinato%2Bde%2Bangel%2Bgahona%2Bfrente%2Ba%2Bpolicia%2Bde%2Bbluefields%26%26FORM%3DVDVVXX</w:t>
        </w:r>
      </w:hyperlink>
    </w:p>
  </w:footnote>
  <w:footnote w:id="31">
    <w:p w14:paraId="0374A982" w14:textId="3D393A14" w:rsidR="00261ED7" w:rsidRPr="00CB397D" w:rsidRDefault="00261ED7" w:rsidP="00A02CDF">
      <w:pPr>
        <w:rPr>
          <w:rFonts w:ascii="Times New Roman" w:eastAsia="Times New Roman" w:hAnsi="Times New Roman" w:cs="Times New Roman"/>
          <w:sz w:val="16"/>
          <w:szCs w:val="16"/>
          <w:lang w:eastAsia="es-ES_tradnl"/>
        </w:rPr>
      </w:pPr>
      <w:r w:rsidRPr="00D173AE">
        <w:rPr>
          <w:rStyle w:val="Caracteresdenotaalpie"/>
          <w:sz w:val="20"/>
          <w:szCs w:val="20"/>
        </w:rPr>
        <w:footnoteRef/>
      </w:r>
      <w:r w:rsidRPr="00D173AE">
        <w:rPr>
          <w:sz w:val="20"/>
          <w:szCs w:val="20"/>
        </w:rPr>
        <w:t xml:space="preserve">. </w:t>
      </w:r>
      <w:r>
        <w:rPr>
          <w:sz w:val="20"/>
          <w:szCs w:val="20"/>
        </w:rPr>
        <w:t xml:space="preserve">Código Penal. Ley No. 641,publicada en La Gaceta, No. 83, 84, 85,  86 y 87 del 5, 6,7,8 y 9 de mayo de 2008. Disponible en: </w:t>
      </w:r>
      <w:hyperlink r:id="rId21" w:history="1">
        <w:r w:rsidRPr="00CB397D">
          <w:rPr>
            <w:rStyle w:val="Hipervnculo"/>
            <w:sz w:val="16"/>
            <w:szCs w:val="16"/>
          </w:rPr>
          <w:t>CÓDIGO PENAL (ministeriopublico.gob.ni)</w:t>
        </w:r>
      </w:hyperlink>
    </w:p>
    <w:p w14:paraId="2D979846" w14:textId="77777777" w:rsidR="00261ED7" w:rsidRDefault="00261ED7" w:rsidP="00A02CDF">
      <w:pPr>
        <w:pStyle w:val="Textonotapie"/>
        <w:jc w:val="both"/>
      </w:pPr>
      <w:r>
        <w:t>Art. 427.</w:t>
      </w:r>
      <w:r>
        <w:rPr>
          <w:b/>
          <w:bCs/>
        </w:rPr>
        <w:t>Discriminación</w:t>
      </w:r>
      <w:r>
        <w:t>: Quien impida o dificulte a otro el ejercicio de un derecho o una facultad prevista en la Constitución, en las leyes, reglamentos y demás disposiciones, por cualquier motivo o condición económica, social, religiosa, política, personal uotras condiciones, será sancionado con pena de prisión de seis meses a un año o de trescientos a seiscientos días multa.</w:t>
      </w:r>
    </w:p>
    <w:p w14:paraId="2BB98A2D" w14:textId="77777777" w:rsidR="00261ED7" w:rsidRDefault="00261ED7" w:rsidP="00A02CDF">
      <w:pPr>
        <w:pStyle w:val="Textonotapie"/>
        <w:jc w:val="both"/>
      </w:pPr>
      <w:r>
        <w:t xml:space="preserve">Art. 428. </w:t>
      </w:r>
      <w:r>
        <w:rPr>
          <w:b/>
          <w:bCs/>
        </w:rPr>
        <w:t>Promoción de la discriminación</w:t>
      </w:r>
      <w:r>
        <w:t>. Quien públicamente promueva la realización de los actos de discriminación, señalados en el artículo anterior, será penado con multa de cien a quinientos</w:t>
      </w:r>
    </w:p>
    <w:p w14:paraId="07F6A489" w14:textId="77777777" w:rsidR="00261ED7" w:rsidRDefault="00261ED7" w:rsidP="00A02CDF">
      <w:pPr>
        <w:pStyle w:val="Textonotapie"/>
        <w:jc w:val="both"/>
      </w:pPr>
      <w:r>
        <w:t>días multa.</w:t>
      </w:r>
    </w:p>
  </w:footnote>
  <w:footnote w:id="32">
    <w:p w14:paraId="1B7E6FD4" w14:textId="77777777" w:rsidR="00261ED7" w:rsidRDefault="00261ED7" w:rsidP="001C4D22">
      <w:pPr>
        <w:pStyle w:val="Textonotapie"/>
      </w:pPr>
      <w:r>
        <w:rPr>
          <w:rStyle w:val="Caracteresdenotaalpie"/>
        </w:rPr>
        <w:footnoteRef/>
      </w:r>
      <w:r>
        <w:t xml:space="preserve"> </w:t>
      </w:r>
      <w:r>
        <w:rPr>
          <w:lang w:val="es-ES"/>
        </w:rPr>
        <w:t>Lista de Cuestiones, párr. 27.</w:t>
      </w:r>
    </w:p>
  </w:footnote>
  <w:footnote w:id="33">
    <w:p w14:paraId="5C94E5B7" w14:textId="77777777" w:rsidR="00261ED7" w:rsidRDefault="00261ED7" w:rsidP="001C4D22">
      <w:pPr>
        <w:pStyle w:val="Textonotapie"/>
      </w:pPr>
      <w:r>
        <w:rPr>
          <w:rStyle w:val="Caracteresdenotaalpie"/>
        </w:rPr>
        <w:footnoteRef/>
      </w:r>
      <w:r>
        <w:t xml:space="preserve"> </w:t>
      </w:r>
      <w:r>
        <w:rPr>
          <w:lang w:val="es-ES"/>
        </w:rPr>
        <w:t>Lista de Cuestiones, párr. 26.</w:t>
      </w:r>
    </w:p>
  </w:footnote>
  <w:footnote w:id="34">
    <w:p w14:paraId="573D852E" w14:textId="77777777" w:rsidR="00261ED7" w:rsidRDefault="00261ED7" w:rsidP="001C4D22">
      <w:pPr>
        <w:pStyle w:val="Textonotapie"/>
      </w:pPr>
      <w:r>
        <w:rPr>
          <w:rStyle w:val="Caracteresdenotaalpie"/>
        </w:rPr>
        <w:footnoteRef/>
      </w:r>
      <w:r>
        <w:t xml:space="preserve"> Decreto de aprobación del Convenio sobre Pueblos Indígenas y Tribales, 1989</w:t>
      </w:r>
    </w:p>
    <w:p w14:paraId="6E2B1E88" w14:textId="670E861C" w:rsidR="00261ED7" w:rsidRDefault="00261ED7" w:rsidP="001C4D22">
      <w:pPr>
        <w:pStyle w:val="Textonotapie"/>
      </w:pPr>
      <w:r>
        <w:t xml:space="preserve">Decreto A. N. N°. 5934, publicado en La Gaceta, Diario Oficial N°. 105 del 4 de Junio del 2010. Disponible en: </w:t>
      </w:r>
      <w:hyperlink r:id="rId22" w:history="1">
        <w:r>
          <w:rPr>
            <w:rStyle w:val="Hipervnculo"/>
          </w:rPr>
          <w:t>Decreto A.N. No. 5934 de Ratificacion de Convenio No. 169 | Nicaragua – CALPI (calpi-nicaragua.com)</w:t>
        </w:r>
      </w:hyperlink>
    </w:p>
  </w:footnote>
  <w:footnote w:id="35">
    <w:p w14:paraId="41F8A8BC" w14:textId="29159A53" w:rsidR="00261ED7" w:rsidRDefault="00261ED7">
      <w:pPr>
        <w:pStyle w:val="Textonotapie"/>
      </w:pPr>
      <w:r>
        <w:rPr>
          <w:rStyle w:val="Refdenotaalpie"/>
        </w:rPr>
        <w:footnoteRef/>
      </w:r>
      <w:r>
        <w:t xml:space="preserve"> </w:t>
      </w:r>
      <w:hyperlink r:id="rId23" w:history="1">
        <w:r>
          <w:rPr>
            <w:rStyle w:val="Hipervnculo"/>
          </w:rPr>
          <w:t>El saldo de Tumarín: Agricultores con hambre y Apawás en manos de poderosos finqueros | Nicaragua Investiga</w:t>
        </w:r>
      </w:hyperlink>
    </w:p>
  </w:footnote>
  <w:footnote w:id="36">
    <w:p w14:paraId="4A263E65" w14:textId="4A20D662" w:rsidR="00261ED7" w:rsidRDefault="00261ED7">
      <w:pPr>
        <w:pStyle w:val="Textonotapie"/>
      </w:pPr>
      <w:r>
        <w:rPr>
          <w:rStyle w:val="Refdenotaalpie"/>
        </w:rPr>
        <w:footnoteRef/>
      </w:r>
      <w:r>
        <w:t xml:space="preserve"> </w:t>
      </w:r>
      <w:hyperlink r:id="rId24" w:history="1">
        <w:r>
          <w:rPr>
            <w:rStyle w:val="Hipervnculo"/>
          </w:rPr>
          <w:t>Nicaragua construirá puerto de aguas profundas en Bluefields (prensa-latina.cu)</w:t>
        </w:r>
      </w:hyperlink>
    </w:p>
  </w:footnote>
  <w:footnote w:id="37">
    <w:p w14:paraId="0EC12154" w14:textId="0DFA6BFF" w:rsidR="00261ED7" w:rsidRDefault="00261ED7">
      <w:pPr>
        <w:pStyle w:val="Textonotapie"/>
      </w:pPr>
      <w:r>
        <w:rPr>
          <w:rStyle w:val="Refdenotaalpie"/>
        </w:rPr>
        <w:footnoteRef/>
      </w:r>
      <w:r>
        <w:t xml:space="preserve"> </w:t>
      </w:r>
      <w:r w:rsidRPr="0067311A">
        <w:rPr>
          <w:rFonts w:cstheme="minorHAnsi"/>
        </w:rPr>
        <w:t>Proyecto BioClima: “</w:t>
      </w:r>
      <w:r w:rsidRPr="00750200">
        <w:rPr>
          <w:rFonts w:cstheme="minorHAnsi"/>
          <w:color w:val="4B4F58"/>
          <w:shd w:val="clear" w:color="auto" w:fill="FFFFFF"/>
        </w:rPr>
        <w:t>Acción climática integrada para reducir la deforestación y fortalecer la resiliencia en las biosferas de BOSAWÁS y Río San Juan”  Disponible en:</w:t>
      </w:r>
      <w:r w:rsidRPr="0067311A">
        <w:rPr>
          <w:rFonts w:cstheme="minorHAnsi"/>
        </w:rPr>
        <w:t xml:space="preserve"> </w:t>
      </w:r>
      <w:hyperlink r:id="rId25" w:history="1">
        <w:r>
          <w:rPr>
            <w:rStyle w:val="Hipervnculo"/>
          </w:rPr>
          <w:t>Fondo Verde para el Clima aprueba US$64.1 millones al BCIE para el financiamiento del Proyecto Bio-CLIMA en Nicaragua</w:t>
        </w:r>
      </w:hyperlink>
    </w:p>
  </w:footnote>
  <w:footnote w:id="38">
    <w:p w14:paraId="073F4C08" w14:textId="77777777" w:rsidR="00261ED7" w:rsidRDefault="00261ED7" w:rsidP="001C4D22">
      <w:pPr>
        <w:pStyle w:val="Textonotapie"/>
      </w:pPr>
      <w:r>
        <w:rPr>
          <w:rStyle w:val="Caracteresdenotaalpie"/>
        </w:rPr>
        <w:footnoteRef/>
      </w:r>
      <w:r>
        <w:t xml:space="preserve"> </w:t>
      </w:r>
      <w:r>
        <w:rPr>
          <w:lang w:val="es-ES"/>
        </w:rPr>
        <w:t>Lista de Cuestiones, párr. 26.</w:t>
      </w:r>
    </w:p>
  </w:footnote>
  <w:footnote w:id="39">
    <w:p w14:paraId="225495DE" w14:textId="15B4F2C1" w:rsidR="00261ED7" w:rsidRDefault="00261ED7" w:rsidP="001C4D22">
      <w:r w:rsidRPr="007548E2">
        <w:rPr>
          <w:rStyle w:val="Caracteresdenotaalpie"/>
          <w:sz w:val="20"/>
          <w:szCs w:val="20"/>
        </w:rPr>
        <w:footnoteRef/>
      </w:r>
      <w:r w:rsidRPr="007548E2">
        <w:rPr>
          <w:sz w:val="20"/>
          <w:szCs w:val="20"/>
        </w:rPr>
        <w:t xml:space="preserve"> </w:t>
      </w:r>
      <w:r w:rsidRPr="00CB397D">
        <w:rPr>
          <w:sz w:val="18"/>
          <w:szCs w:val="18"/>
        </w:rPr>
        <w:t>Artimañas del gobierno de Nicaragua para aprobar permiso de contruccion del Canal Interoceanico. Disponible en</w:t>
      </w:r>
      <w:r>
        <w:t xml:space="preserve">: </w:t>
      </w:r>
      <w:hyperlink r:id="rId26">
        <w:r>
          <w:rPr>
            <w:rStyle w:val="EnlacedeInternet"/>
            <w:sz w:val="20"/>
            <w:szCs w:val="20"/>
          </w:rPr>
          <w:t>https://www.connectas.org/asi-lograron-los-permisos-para-construir-el-canal-en-tierras-comunitarias-del-caribe/</w:t>
        </w:r>
      </w:hyperlink>
    </w:p>
  </w:footnote>
  <w:footnote w:id="40">
    <w:p w14:paraId="220619A7" w14:textId="77777777" w:rsidR="00261ED7" w:rsidRDefault="00261ED7" w:rsidP="001C4D22">
      <w:pPr>
        <w:pStyle w:val="Textonotapie"/>
      </w:pPr>
      <w:r>
        <w:rPr>
          <w:rStyle w:val="Caracteresdenotaalpie"/>
        </w:rPr>
        <w:footnoteRef/>
      </w:r>
      <w:r>
        <w:t xml:space="preserve"> </w:t>
      </w:r>
      <w:r>
        <w:rPr>
          <w:lang w:val="es-ES"/>
        </w:rPr>
        <w:t xml:space="preserve">Constitución de la República de Nicaragua, </w:t>
      </w:r>
      <w:r>
        <w:rPr>
          <w:rFonts w:cstheme="minorHAnsi"/>
          <w:bCs/>
        </w:rPr>
        <w:t>Art. 181 párr. 3.</w:t>
      </w:r>
    </w:p>
  </w:footnote>
  <w:footnote w:id="41">
    <w:p w14:paraId="00CB6450" w14:textId="77777777" w:rsidR="00261ED7" w:rsidRDefault="00261ED7" w:rsidP="003A63BC">
      <w:pPr>
        <w:pStyle w:val="Textonotapie"/>
      </w:pPr>
      <w:r>
        <w:rPr>
          <w:rStyle w:val="Caracteresdenotaalpie"/>
        </w:rPr>
        <w:footnoteRef/>
      </w:r>
      <w:r>
        <w:t xml:space="preserve"> Ley del régimen jurídico del Gran Canal Interoceánico de Nicaragua y de Creación de la autoridad del Gran Canal Interoceánico de Nicaragua. Managua. La Gaceta. No. 128 del 9 de julio de 2012. </w:t>
      </w:r>
      <w:hyperlink r:id="rId27">
        <w:r>
          <w:rPr>
            <w:rStyle w:val="EnlacedeInternet"/>
          </w:rPr>
          <w:t>https://sajurin.enriquebolanos.org/docs/Ley%20del%20Gran%20Canal%20Gaceta.pdf</w:t>
        </w:r>
      </w:hyperlink>
    </w:p>
  </w:footnote>
  <w:footnote w:id="42">
    <w:p w14:paraId="5F12D164" w14:textId="77777777" w:rsidR="00261ED7" w:rsidRDefault="00261ED7" w:rsidP="001C4D22">
      <w:pPr>
        <w:pStyle w:val="Textonotapie"/>
      </w:pPr>
      <w:r>
        <w:rPr>
          <w:rStyle w:val="Caracteresdenotaalpie"/>
        </w:rPr>
        <w:footnoteRef/>
      </w:r>
      <w:r>
        <w:t xml:space="preserve"> Ley 445, art. 16.</w:t>
      </w:r>
    </w:p>
  </w:footnote>
  <w:footnote w:id="43">
    <w:p w14:paraId="6FF7CC3B" w14:textId="22DCE754" w:rsidR="00261ED7" w:rsidRDefault="00261ED7" w:rsidP="001C4D22">
      <w:pPr>
        <w:pStyle w:val="Textonotapie"/>
      </w:pPr>
      <w:r>
        <w:rPr>
          <w:rStyle w:val="Caracteresdenotaalpie"/>
        </w:rPr>
        <w:footnoteRef/>
      </w:r>
      <w:r>
        <w:t xml:space="preserve"> Decreto AN. No. 3584, Reglamentación de la ley #28, Estatuto de autonomía de las regiones de la Costa Atlántica de Nicaragua. Disponible en: </w:t>
      </w:r>
      <w:hyperlink r:id="rId28">
        <w:r>
          <w:rPr>
            <w:rStyle w:val="EnlacedeInternet"/>
            <w:sz w:val="16"/>
            <w:szCs w:val="16"/>
          </w:rPr>
          <w:t>http://legislacion.asamblea.gob.ni/Normaweb.nsf/($All)/878312CA9631B9F60625723400675DDB</w:t>
        </w:r>
      </w:hyperlink>
    </w:p>
  </w:footnote>
  <w:footnote w:id="44">
    <w:p w14:paraId="1062EAA6" w14:textId="77777777" w:rsidR="00261ED7" w:rsidRDefault="00261ED7" w:rsidP="001C4D22">
      <w:pPr>
        <w:pStyle w:val="Textonotapie"/>
      </w:pPr>
      <w:r>
        <w:rPr>
          <w:rStyle w:val="Caracteresdenotaalpie"/>
        </w:rPr>
        <w:footnoteRef/>
      </w:r>
      <w:r>
        <w:rPr>
          <w:sz w:val="16"/>
          <w:szCs w:val="16"/>
        </w:rPr>
        <w:t xml:space="preserve"> </w:t>
      </w:r>
      <w:r>
        <w:t xml:space="preserve">Reglamento de la Ley de Autonomía, </w:t>
      </w:r>
      <w:r>
        <w:rPr>
          <w:rFonts w:cstheme="minorHAnsi"/>
        </w:rPr>
        <w:t>art. 24, inc.e.</w:t>
      </w:r>
    </w:p>
  </w:footnote>
  <w:footnote w:id="45">
    <w:p w14:paraId="73792828" w14:textId="77777777" w:rsidR="00261ED7" w:rsidRDefault="00261ED7" w:rsidP="001C4D22">
      <w:pPr>
        <w:pStyle w:val="Textonotapie"/>
      </w:pPr>
      <w:r>
        <w:rPr>
          <w:rStyle w:val="Caracteresdenotaalpie"/>
        </w:rPr>
        <w:footnoteRef/>
      </w:r>
      <w:r>
        <w:t xml:space="preserve"> https://popolna.org/wp-content/uploads/2017/05/VII.2.B_TITULO_CREOLES_BLUEFIELDS.pdf</w:t>
      </w:r>
    </w:p>
  </w:footnote>
  <w:footnote w:id="46">
    <w:p w14:paraId="0A067B20" w14:textId="77777777" w:rsidR="00261ED7" w:rsidRDefault="00261ED7" w:rsidP="001C4D22">
      <w:pPr>
        <w:pStyle w:val="Textonotapie"/>
      </w:pPr>
      <w:r>
        <w:rPr>
          <w:rStyle w:val="Caracteresdenotaalpie"/>
        </w:rPr>
        <w:footnoteRef/>
      </w:r>
      <w:r>
        <w:t xml:space="preserve"> </w:t>
      </w:r>
      <w:hyperlink r:id="rId29">
        <w:r>
          <w:rPr>
            <w:rStyle w:val="EnlacedeInternet"/>
          </w:rPr>
          <w:t>https://www.laprensa.com.ni/2016/12/05/nacionales/2145792-creoles-recurren-contra-ortega</w:t>
        </w:r>
      </w:hyperlink>
    </w:p>
  </w:footnote>
  <w:footnote w:id="47">
    <w:p w14:paraId="35AE2004" w14:textId="77777777" w:rsidR="00261ED7" w:rsidRDefault="00261ED7" w:rsidP="001C4D22">
      <w:pPr>
        <w:pStyle w:val="Textonotapie"/>
      </w:pPr>
      <w:r>
        <w:rPr>
          <w:rStyle w:val="Caracteresdenotaalpie"/>
        </w:rPr>
        <w:footnoteRef/>
      </w:r>
      <w:r>
        <w:t xml:space="preserve"> </w:t>
      </w:r>
      <w:hyperlink r:id="rId30">
        <w:r>
          <w:rPr>
            <w:rStyle w:val="EnlacedeInternet"/>
          </w:rPr>
          <w:t>https://bluefieldsrights.files.wordpress.com/2012/08/diagnostico-bluefields-final.pdf</w:t>
        </w:r>
      </w:hyperlink>
    </w:p>
  </w:footnote>
  <w:footnote w:id="48">
    <w:p w14:paraId="740F056D" w14:textId="77777777" w:rsidR="00261ED7" w:rsidRDefault="00261ED7" w:rsidP="001C4D22">
      <w:pPr>
        <w:pStyle w:val="Textonotapie"/>
      </w:pPr>
      <w:r>
        <w:rPr>
          <w:rStyle w:val="Caracteresdenotaalpie"/>
        </w:rPr>
        <w:footnoteRef/>
      </w:r>
      <w:r>
        <w:t xml:space="preserve"> </w:t>
      </w:r>
      <w:hyperlink r:id="rId31">
        <w:r>
          <w:rPr>
            <w:rStyle w:val="EnlacedeInternet"/>
          </w:rPr>
          <w:t>http://www.pueblosindigenaspcn.net/observatorio/imagen/gobierno-presiona-ramas-por-canal</w:t>
        </w:r>
      </w:hyperlink>
    </w:p>
  </w:footnote>
  <w:footnote w:id="49">
    <w:p w14:paraId="7220A8DE" w14:textId="77777777" w:rsidR="00261ED7" w:rsidRDefault="00261ED7" w:rsidP="00996710">
      <w:pPr>
        <w:pStyle w:val="Textonotapie"/>
      </w:pPr>
      <w:r>
        <w:rPr>
          <w:rStyle w:val="Caracteresdenotaalpie"/>
        </w:rPr>
        <w:footnoteRef/>
      </w:r>
      <w:r>
        <w:t xml:space="preserve"> </w:t>
      </w:r>
      <w:r>
        <w:rPr>
          <w:rFonts w:cstheme="minorHAnsi"/>
        </w:rPr>
        <w:t xml:space="preserve">Sobre el Caso 13.615 se realizó ante la CIDH audiencia de fondo el 5 de marzo de 2020, durante el 175º Período de Sesiones realizado en Haití. Disponible en: </w:t>
      </w:r>
      <w:hyperlink r:id="rId32">
        <w:r>
          <w:rPr>
            <w:rStyle w:val="EnlacedeInternet"/>
            <w:rFonts w:cstheme="minorHAnsi"/>
          </w:rPr>
          <w:t>https://www.youtube.com/watch?v=UzY8SNXTIMA</w:t>
        </w:r>
      </w:hyperlink>
    </w:p>
  </w:footnote>
  <w:footnote w:id="50">
    <w:p w14:paraId="31F6E319" w14:textId="36126ADC" w:rsidR="00261ED7" w:rsidRPr="007E5DB3" w:rsidRDefault="00261ED7">
      <w:pPr>
        <w:pStyle w:val="Textonotapie"/>
      </w:pPr>
      <w:r>
        <w:rPr>
          <w:rStyle w:val="Refdenotaalpie"/>
        </w:rPr>
        <w:footnoteRef/>
      </w:r>
      <w:r>
        <w:t xml:space="preserve"> </w:t>
      </w:r>
      <w:hyperlink r:id="rId33" w:history="1">
        <w:r>
          <w:rPr>
            <w:rStyle w:val="Hipervnculo"/>
          </w:rPr>
          <w:t>El caso del Canal Interoceánico de Nicaragua ante la Corte IDH | Land Portal</w:t>
        </w:r>
      </w:hyperlink>
    </w:p>
  </w:footnote>
  <w:footnote w:id="51">
    <w:p w14:paraId="2650F5B7" w14:textId="0FA34D45" w:rsidR="00261ED7" w:rsidRDefault="00261ED7">
      <w:pPr>
        <w:pStyle w:val="Textonotapie"/>
      </w:pPr>
      <w:r>
        <w:rPr>
          <w:rStyle w:val="Refdenotaalpie"/>
        </w:rPr>
        <w:footnoteRef/>
      </w:r>
      <w:r>
        <w:t xml:space="preserve"> La Palma Africana. Disponible en: </w:t>
      </w:r>
      <w:hyperlink r:id="rId34" w:history="1">
        <w:r>
          <w:rPr>
            <w:rStyle w:val="Hipervnculo"/>
          </w:rPr>
          <w:t>La palma africana: Una pesadilla de destrucción en el Caribe de Nicaragua (divergentes.com)</w:t>
        </w:r>
      </w:hyperlink>
    </w:p>
  </w:footnote>
  <w:footnote w:id="52">
    <w:p w14:paraId="7C0AE717" w14:textId="0B5B7153" w:rsidR="00261ED7" w:rsidRDefault="00261ED7" w:rsidP="00A617D0">
      <w:pPr>
        <w:pStyle w:val="Textonotapie"/>
      </w:pPr>
      <w:r>
        <w:rPr>
          <w:rStyle w:val="Caracteresdenotaalpie"/>
        </w:rPr>
        <w:footnoteRef/>
      </w:r>
      <w:r>
        <w:t xml:space="preserve"> Circular CSJ. 31/03/2020. Managua. </w:t>
      </w:r>
      <w:r w:rsidRPr="00EA1E74">
        <w:t>Disponible en:</w:t>
      </w:r>
      <w:r w:rsidRPr="0009280E">
        <w:t xml:space="preserve"> </w:t>
      </w:r>
      <w:hyperlink r:id="rId35" w:history="1">
        <w:r>
          <w:rPr>
            <w:rStyle w:val="Hipervnculo"/>
          </w:rPr>
          <w:t>circular-310420.PDF</w:t>
        </w:r>
      </w:hyperlink>
    </w:p>
  </w:footnote>
  <w:footnote w:id="53">
    <w:p w14:paraId="41FB8C10" w14:textId="2DDECEBC" w:rsidR="00261ED7" w:rsidRDefault="00261ED7" w:rsidP="001C4D22">
      <w:pPr>
        <w:pStyle w:val="Textonotapie"/>
      </w:pPr>
      <w:r>
        <w:rPr>
          <w:rStyle w:val="Caracteresdenotaalpie"/>
        </w:rPr>
        <w:footnoteRef/>
      </w:r>
      <w:r>
        <w:t xml:space="preserve"> Ley del régimen jurídico del Gran Canal Interoceánico de Nicaragua y de Creación de la autoridad del Gran Canal Interoceánico de Nicaragua. Managua. La Gaceta. No. 128 del 9 de julio de 2012. Disponible en: </w:t>
      </w:r>
      <w:hyperlink r:id="rId36" w:history="1">
        <w:r>
          <w:rPr>
            <w:rStyle w:val="Hipervnculo"/>
          </w:rPr>
          <w:t xml:space="preserve">Ley Nº 800 - Ley del régimen jurídico de El Gran Canal Interoceánico de Nicaragua y crea la Autoridad de El Gran Canal Interoceánico de Nicaragua. | </w:t>
        </w:r>
        <w:proofErr w:type="spellStart"/>
        <w:r>
          <w:rPr>
            <w:rStyle w:val="Hipervnculo"/>
          </w:rPr>
          <w:t>InforMEA</w:t>
        </w:r>
        <w:proofErr w:type="spellEnd"/>
      </w:hyperlink>
    </w:p>
  </w:footnote>
  <w:footnote w:id="54">
    <w:p w14:paraId="2C53E26D" w14:textId="77777777" w:rsidR="00261ED7" w:rsidRDefault="00261ED7" w:rsidP="001C4D22">
      <w:pPr>
        <w:pStyle w:val="Textonotapie"/>
      </w:pPr>
      <w:r>
        <w:rPr>
          <w:rStyle w:val="Caracteresdenotaalpie"/>
        </w:rPr>
        <w:footnoteRef/>
      </w:r>
      <w:r>
        <w:t xml:space="preserve"> Ley 445. Ley de Régimen de propiedad comunal de los Pueblos Indígenas y comunidades étnicas de las Regiones Autónomas de la Costa Atlántica de Nicaragua y de los Ríos Bocay, Coco, Indio y Maíz. La Gaceta No. 16 del 23 de enero 2003.</w:t>
      </w:r>
    </w:p>
  </w:footnote>
  <w:footnote w:id="55">
    <w:p w14:paraId="292245D8" w14:textId="77777777" w:rsidR="00261ED7" w:rsidRDefault="00261ED7" w:rsidP="001C4D22">
      <w:pPr>
        <w:pStyle w:val="Textonotapie"/>
      </w:pPr>
      <w:r>
        <w:rPr>
          <w:rStyle w:val="Caracteresdenotaalpie"/>
        </w:rPr>
        <w:footnoteRef/>
      </w:r>
      <w:r>
        <w:t xml:space="preserve"> </w:t>
      </w:r>
      <w:r>
        <w:rPr>
          <w:lang w:val="es-ES"/>
        </w:rPr>
        <w:t>Constitución de la República de Nicaragua, art. 5.</w:t>
      </w:r>
    </w:p>
  </w:footnote>
  <w:footnote w:id="56">
    <w:p w14:paraId="22DE2592" w14:textId="63AF670B" w:rsidR="00261ED7" w:rsidRDefault="00261ED7" w:rsidP="001C4D22">
      <w:pPr>
        <w:jc w:val="both"/>
      </w:pPr>
      <w:r>
        <w:rPr>
          <w:rStyle w:val="Caracteresdenotaalpie"/>
        </w:rPr>
        <w:footnoteRef/>
      </w:r>
      <w:r>
        <w:t xml:space="preserve"> </w:t>
      </w:r>
      <w:r>
        <w:rPr>
          <w:rFonts w:eastAsia="Times New Roman" w:cstheme="minorHAnsi"/>
          <w:color w:val="000000"/>
          <w:sz w:val="20"/>
          <w:szCs w:val="20"/>
          <w:shd w:val="clear" w:color="auto" w:fill="FFFFFF"/>
          <w:lang w:eastAsia="es-ES_tradnl"/>
        </w:rPr>
        <w:t xml:space="preserve">Decreto No. 782 "Ley de Reforma Agraria", publicada en La Gaceta, Diario Oficial No. 188 del 21 de agosto de 1981 reformado por la Ley </w:t>
      </w:r>
      <w:r>
        <w:rPr>
          <w:rFonts w:eastAsia="Times New Roman" w:cstheme="minorHAnsi"/>
          <w:b/>
          <w:bCs/>
          <w:color w:val="000000"/>
          <w:sz w:val="20"/>
          <w:szCs w:val="20"/>
          <w:shd w:val="clear" w:color="auto" w:fill="FFFFFF"/>
          <w:lang w:eastAsia="es-ES_tradnl"/>
        </w:rPr>
        <w:t>N°. 14,</w:t>
      </w:r>
      <w:r>
        <w:rPr>
          <w:rFonts w:eastAsia="Times New Roman" w:cstheme="minorHAnsi"/>
          <w:color w:val="000000"/>
          <w:sz w:val="20"/>
          <w:szCs w:val="20"/>
          <w:shd w:val="clear" w:color="auto" w:fill="FFFFFF"/>
          <w:lang w:eastAsia="es-ES_tradnl"/>
        </w:rPr>
        <w:t> </w:t>
      </w:r>
      <w:r>
        <w:rPr>
          <w:rFonts w:eastAsia="Times New Roman" w:cstheme="minorHAnsi"/>
          <w:color w:val="000000"/>
          <w:sz w:val="20"/>
          <w:szCs w:val="20"/>
          <w:lang w:eastAsia="es-ES_tradnl"/>
        </w:rPr>
        <w:t xml:space="preserve">, </w:t>
      </w:r>
      <w:r>
        <w:rPr>
          <w:rFonts w:eastAsia="Times New Roman" w:cstheme="minorHAnsi"/>
          <w:color w:val="000000"/>
          <w:sz w:val="20"/>
          <w:szCs w:val="20"/>
          <w:shd w:val="clear" w:color="auto" w:fill="FFFFFF"/>
          <w:lang w:eastAsia="es-ES_tradnl"/>
        </w:rPr>
        <w:t xml:space="preserve">publicada en La Gaceta, Diario Oficial No. 8 del 13 de Enero de 1986. Art. 1: La presente ley garantiza la propiedad de la tierra a todos aquellos que la trabajan productiva y eficientemente. Disponible en: </w:t>
      </w:r>
      <w:hyperlink r:id="rId37" w:history="1">
        <w:r>
          <w:rPr>
            <w:rStyle w:val="Hipervnculo"/>
          </w:rPr>
          <w:t>Decretos - Ley 782 (asamblea.gob.ni)</w:t>
        </w:r>
      </w:hyperlink>
    </w:p>
  </w:footnote>
  <w:footnote w:id="57">
    <w:p w14:paraId="3F540B0F" w14:textId="77777777" w:rsidR="00261ED7" w:rsidRDefault="00261ED7" w:rsidP="001C4D22">
      <w:r>
        <w:rPr>
          <w:rStyle w:val="Caracteresdenotaalpie"/>
        </w:rPr>
        <w:footnoteRef/>
      </w:r>
      <w:r w:rsidRPr="00996710">
        <w:rPr>
          <w:sz w:val="20"/>
          <w:szCs w:val="20"/>
          <w:lang w:val="es-CR"/>
        </w:rPr>
        <w:t xml:space="preserve"> Hobson Laura, Spencer Brett. </w:t>
      </w:r>
      <w:r>
        <w:rPr>
          <w:sz w:val="20"/>
          <w:szCs w:val="20"/>
          <w:lang w:val="en-US"/>
        </w:rPr>
        <w:t>April 17.2020. As Covid-19 starts in Nicaragua, settler violence continues</w:t>
      </w:r>
      <w:r>
        <w:rPr>
          <w:lang w:val="en-US"/>
        </w:rPr>
        <w:t xml:space="preserve">. </w:t>
      </w:r>
      <w:r>
        <w:rPr>
          <w:sz w:val="20"/>
          <w:szCs w:val="20"/>
        </w:rPr>
        <w:t>Disponible en:</w:t>
      </w:r>
      <w:r>
        <w:t xml:space="preserve"> </w:t>
      </w:r>
      <w:hyperlink r:id="rId38">
        <w:r>
          <w:rPr>
            <w:rStyle w:val="EnlacedeInternet"/>
            <w:sz w:val="20"/>
            <w:szCs w:val="20"/>
          </w:rPr>
          <w:t>https://www.culturalsurvival.org/news/covid-19-starts-nicaragua-settler-violence-continues?fbclid=IwAR1893ANgljU9_nV_GzkyrvdFNk-z13PWqNe5iQSU15mSLrOE8xR3cTKzxc</w:t>
        </w:r>
      </w:hyperlink>
    </w:p>
  </w:footnote>
  <w:footnote w:id="58">
    <w:p w14:paraId="1639210F" w14:textId="77777777" w:rsidR="00261ED7" w:rsidRPr="007548E2" w:rsidRDefault="00261ED7" w:rsidP="001C4D22">
      <w:pPr>
        <w:pStyle w:val="Textonotapie"/>
        <w:rPr>
          <w:lang w:val="es-US"/>
        </w:rPr>
      </w:pPr>
      <w:r>
        <w:rPr>
          <w:rStyle w:val="Caracteresdenotaalpie"/>
        </w:rPr>
        <w:footnoteRef/>
      </w:r>
      <w:r w:rsidRPr="007548E2">
        <w:rPr>
          <w:lang w:val="es-US"/>
        </w:rPr>
        <w:t xml:space="preserve"> Lista de Cuestiones, párr. 26.</w:t>
      </w:r>
    </w:p>
  </w:footnote>
  <w:footnote w:id="59">
    <w:p w14:paraId="28B5F16D" w14:textId="77777777" w:rsidR="00261ED7" w:rsidRPr="00FA2BEA" w:rsidRDefault="00261ED7" w:rsidP="001C4D22">
      <w:pPr>
        <w:rPr>
          <w:lang w:val="en-US"/>
        </w:rPr>
      </w:pPr>
      <w:r>
        <w:rPr>
          <w:rStyle w:val="Caracteresdenotaalpie"/>
        </w:rPr>
        <w:footnoteRef/>
      </w:r>
      <w:r w:rsidRPr="007548E2">
        <w:rPr>
          <w:lang w:val="es-US"/>
        </w:rPr>
        <w:t xml:space="preserve"> </w:t>
      </w:r>
      <w:proofErr w:type="spellStart"/>
      <w:r w:rsidRPr="007548E2">
        <w:rPr>
          <w:sz w:val="20"/>
          <w:szCs w:val="20"/>
          <w:lang w:val="es-US"/>
        </w:rPr>
        <w:t>The</w:t>
      </w:r>
      <w:proofErr w:type="spellEnd"/>
      <w:r w:rsidRPr="007548E2">
        <w:rPr>
          <w:sz w:val="20"/>
          <w:szCs w:val="20"/>
          <w:lang w:val="es-US"/>
        </w:rPr>
        <w:t xml:space="preserve"> </w:t>
      </w:r>
      <w:proofErr w:type="spellStart"/>
      <w:r w:rsidRPr="007548E2">
        <w:rPr>
          <w:sz w:val="20"/>
          <w:szCs w:val="20"/>
          <w:lang w:val="es-US"/>
        </w:rPr>
        <w:t>Guardian</w:t>
      </w:r>
      <w:proofErr w:type="spellEnd"/>
      <w:r w:rsidRPr="007548E2">
        <w:rPr>
          <w:sz w:val="20"/>
          <w:szCs w:val="20"/>
          <w:lang w:val="es-US"/>
        </w:rPr>
        <w:t xml:space="preserve">. </w:t>
      </w:r>
      <w:r>
        <w:rPr>
          <w:sz w:val="20"/>
          <w:szCs w:val="20"/>
          <w:lang w:val="en-US"/>
        </w:rPr>
        <w:t>Associated Press in Mexico City. Nicaragua is promoting illegal land grabs in indigenous territories-report</w:t>
      </w:r>
      <w:r>
        <w:rPr>
          <w:lang w:val="en-US"/>
        </w:rPr>
        <w:t xml:space="preserve"> </w:t>
      </w:r>
      <w:r>
        <w:rPr>
          <w:sz w:val="20"/>
          <w:szCs w:val="20"/>
          <w:lang w:val="en-US"/>
        </w:rPr>
        <w:t>Wed.29 Apr 2020</w:t>
      </w:r>
      <w:r>
        <w:rPr>
          <w:lang w:val="en-US"/>
        </w:rPr>
        <w:t>.</w:t>
      </w:r>
      <w:r>
        <w:rPr>
          <w:sz w:val="20"/>
          <w:szCs w:val="20"/>
          <w:lang w:val="en-US"/>
        </w:rPr>
        <w:t>Disponible en:</w:t>
      </w:r>
      <w:r>
        <w:rPr>
          <w:lang w:val="en-US"/>
        </w:rPr>
        <w:t xml:space="preserve"> </w:t>
      </w:r>
      <w:hyperlink r:id="rId39">
        <w:r>
          <w:rPr>
            <w:rStyle w:val="EnlacedeInternet"/>
            <w:sz w:val="20"/>
            <w:szCs w:val="20"/>
            <w:lang w:val="en-US"/>
          </w:rPr>
          <w:t>https://www.theguardian.com/world/2020/apr/29/nicaragua-illegal-land-grabs-indigenous-territories-report</w:t>
        </w:r>
      </w:hyperlink>
    </w:p>
  </w:footnote>
  <w:footnote w:id="60">
    <w:p w14:paraId="5F232CC4" w14:textId="2D84A66F" w:rsidR="00261ED7" w:rsidRDefault="00261ED7" w:rsidP="001C4D22">
      <w:pPr>
        <w:pStyle w:val="Textonotapie"/>
        <w:jc w:val="both"/>
      </w:pPr>
      <w:r>
        <w:rPr>
          <w:rStyle w:val="Caracteresdenotaalpie"/>
        </w:rPr>
        <w:footnoteRef/>
      </w:r>
      <w:r>
        <w:t xml:space="preserve"> El exconcejal regional y exsecretario de la Junta Directiva del CRACCS, Sr. Mario Holmes (2010-2014, 2014-2019), originario de la comunidad de Corn Island expresó en el 2012 a Dolene Miller, representante Creole en CONADETI que: “En Corn Island no había propiedad comunal, que todo era privado y que la comunidad creole e indígena de Corn Island no iba a continuar a demandar su título comunal” a pesar que CONADETI aprobó la solicitud demarcación de ese territorio el 17 de septiembre del 2010 conforme la Ley 445, el Sr. Holmes obvió que la ley 445 define la propiedad comunal como “… la propiedad colectiva, constituida por las tierras, agua, bosques y otros recursos naturales contenidos en ella, que han pertenecido tradicionalmente a la comunidad…”. CONADETI tampoco procedió a demarcar el territorio de Corn Island..</w:t>
      </w:r>
    </w:p>
  </w:footnote>
  <w:footnote w:id="61">
    <w:p w14:paraId="41165D91" w14:textId="77777777" w:rsidR="00261ED7" w:rsidRDefault="00261ED7" w:rsidP="00996710">
      <w:pPr>
        <w:pStyle w:val="Textonotapie"/>
        <w:jc w:val="both"/>
      </w:pPr>
      <w:r>
        <w:rPr>
          <w:rStyle w:val="Caracteresdenotaalpie"/>
        </w:rPr>
        <w:footnoteRef/>
      </w:r>
      <w:r>
        <w:t xml:space="preserve"> En el 2012, la CONADETI, titulo los territorios de Tasba Pounie y Laguna de Perlas en un solo titulo sin embargo son dos  territorios que hoy se organizan en el Territorio de las Diez Comunidades Indígenas y Afrodescendientes de la Cuenca de Laguna de Perlas y el de Tasba Pounie que cuenta con dos comunidades</w:t>
      </w:r>
    </w:p>
  </w:footnote>
  <w:footnote w:id="62">
    <w:p w14:paraId="1210598C" w14:textId="079DA120" w:rsidR="00261ED7" w:rsidRDefault="00261ED7" w:rsidP="00996710">
      <w:pPr>
        <w:pStyle w:val="Textonotapie"/>
        <w:jc w:val="both"/>
      </w:pPr>
      <w:r>
        <w:rPr>
          <w:rStyle w:val="Caracteresdenotaalpie"/>
        </w:rPr>
        <w:footnoteRef/>
      </w:r>
      <w:r>
        <w:t xml:space="preserve"> Titulos a tierras comunales indígenas Disponible en: I</w:t>
      </w:r>
      <w:hyperlink r:id="rId40" w:history="1">
        <w:r w:rsidRPr="008D6ABF">
          <w:rPr>
            <w:rStyle w:val="Hipervnculo"/>
          </w:rPr>
          <w:t>http://www.radiolaprimerisima.com/noticias/general/287297/comunidades-indigenas-reciben-titulos-de-propiedad-comunales/</w:t>
        </w:r>
      </w:hyperlink>
      <w:r>
        <w:t xml:space="preserve"> </w:t>
      </w:r>
    </w:p>
  </w:footnote>
  <w:footnote w:id="63">
    <w:p w14:paraId="1848097B" w14:textId="77777777" w:rsidR="00261ED7" w:rsidRDefault="00261ED7" w:rsidP="00996710">
      <w:pPr>
        <w:pStyle w:val="Textonotapie"/>
        <w:jc w:val="both"/>
      </w:pPr>
      <w:r>
        <w:rPr>
          <w:rStyle w:val="Caracteresdenotaalpie"/>
        </w:rPr>
        <w:footnoteRef/>
      </w:r>
      <w:r>
        <w:t xml:space="preserve"> </w:t>
      </w:r>
      <w:hyperlink r:id="rId41">
        <w:r>
          <w:rPr>
            <w:rStyle w:val="EnlacedeInternet"/>
          </w:rPr>
          <w:t>https://confidencial.com.ni/reserva-indio-maiz-sigue-vulnerable-y-desproteguida/</w:t>
        </w:r>
      </w:hyperlink>
    </w:p>
  </w:footnote>
  <w:footnote w:id="64">
    <w:p w14:paraId="62BA7E15" w14:textId="453B08FD" w:rsidR="00261ED7" w:rsidRDefault="00261ED7" w:rsidP="00996710">
      <w:pPr>
        <w:pStyle w:val="Textonotapie"/>
        <w:jc w:val="both"/>
      </w:pPr>
      <w:r>
        <w:rPr>
          <w:rStyle w:val="Refdenotaalpie"/>
        </w:rPr>
        <w:footnoteRef/>
      </w:r>
      <w:r>
        <w:t xml:space="preserve"> Fraude Electoral en Nicaragua: disponible en: </w:t>
      </w:r>
      <w:hyperlink r:id="rId42" w:history="1">
        <w:r>
          <w:rPr>
            <w:rStyle w:val="Hipervnculo"/>
          </w:rPr>
          <w:t>Elecciones 2011: Así se hizo el fraude electoral en Nicaragua (google.com)</w:t>
        </w:r>
      </w:hyperlink>
    </w:p>
  </w:footnote>
  <w:footnote w:id="65">
    <w:p w14:paraId="66B873F5" w14:textId="4A629A56" w:rsidR="00261ED7" w:rsidRPr="00C748CE" w:rsidRDefault="00261ED7">
      <w:pPr>
        <w:pStyle w:val="Textonotapie"/>
      </w:pPr>
      <w:r>
        <w:rPr>
          <w:rStyle w:val="Refdenotaalpie"/>
        </w:rPr>
        <w:footnoteRef/>
      </w:r>
      <w:r>
        <w:t xml:space="preserve"> </w:t>
      </w:r>
      <w:hyperlink r:id="rId43" w:history="1">
        <w:r>
          <w:rPr>
            <w:rStyle w:val="Hipervnculo"/>
          </w:rPr>
          <w:t>La concentración del poder en Nicaragua está en la familia Ortega-Murillo | DW noticias | DW | 10.09.2021</w:t>
        </w:r>
      </w:hyperlink>
    </w:p>
  </w:footnote>
  <w:footnote w:id="66">
    <w:p w14:paraId="2228CECC" w14:textId="5A81BFB4" w:rsidR="00261ED7" w:rsidRDefault="00261ED7">
      <w:pPr>
        <w:pStyle w:val="Textonotapie"/>
      </w:pPr>
      <w:r>
        <w:rPr>
          <w:rStyle w:val="Refdenotaalpie"/>
        </w:rPr>
        <w:footnoteRef/>
      </w:r>
      <w:r>
        <w:t xml:space="preserve"> Ley No. 28, Estatuto de Autonomía de las Regiones de la Costa Caribe de Nicaragua. Arto 27:”La Junta Directiva de cada Consejo Regional estará integrada por un presidente, dos vice presidentes, dos secretarios y dos vocales, debiendo estar representado en ésta cada una de las comunidades étnicas de la respectiva región autónoma….”</w:t>
      </w:r>
    </w:p>
  </w:footnote>
  <w:footnote w:id="67">
    <w:p w14:paraId="10EC2894" w14:textId="3DDEDE05" w:rsidR="00261ED7" w:rsidRDefault="00261ED7">
      <w:pPr>
        <w:pStyle w:val="Textonotapie"/>
      </w:pPr>
      <w:r>
        <w:rPr>
          <w:rStyle w:val="Refdenotaalpie"/>
        </w:rPr>
        <w:footnoteRef/>
      </w:r>
      <w:r>
        <w:t xml:space="preserve"> Ley Electoral. Ley 331. Arto. 147 refiere a las circunscripciones de votación en donde en la RACCS; “</w:t>
      </w:r>
      <w:r w:rsidRPr="00750200">
        <w:rPr>
          <w:rFonts w:ascii="Arial" w:hAnsi="Arial" w:cs="Arial"/>
          <w:color w:val="000000"/>
          <w:shd w:val="clear" w:color="auto" w:fill="FFFFFF"/>
        </w:rPr>
        <w:t>En las zonas ocho, nueve, diez, once, doce y catorce, el primer candidato de toda lista presentada deberá ser misquito, creole, sumo, garífuna, rama y mestizo</w:t>
      </w:r>
      <w:r>
        <w:rPr>
          <w:rFonts w:ascii="Arial" w:hAnsi="Arial" w:cs="Arial"/>
          <w:color w:val="000000"/>
          <w:shd w:val="clear" w:color="auto" w:fill="FFFFFF"/>
        </w:rPr>
        <w:t xml:space="preserve"> respectivamente y en la RACCN e</w:t>
      </w:r>
      <w:r w:rsidRPr="00750200">
        <w:rPr>
          <w:rFonts w:ascii="Arial" w:hAnsi="Arial" w:cs="Arial"/>
          <w:color w:val="000000"/>
          <w:shd w:val="clear" w:color="auto" w:fill="FFFFFF"/>
        </w:rPr>
        <w:t>n las circunscripciones uno, siete, trece y catorce, el primer candidato de toda lista presentada deberá ser misquito, creole, sumo y mestizo respectivamente</w:t>
      </w:r>
      <w:r>
        <w:rPr>
          <w:rFonts w:ascii="Arial" w:hAnsi="Arial" w:cs="Arial"/>
          <w:color w:val="000000"/>
          <w:sz w:val="27"/>
          <w:szCs w:val="27"/>
          <w:shd w:val="clear" w:color="auto" w:fill="FFFFFF"/>
        </w:rPr>
        <w:t>.</w:t>
      </w:r>
      <w:r>
        <w:t xml:space="preserve">  Disponible en:</w:t>
      </w:r>
      <w:r w:rsidRPr="00B85F09">
        <w:t xml:space="preserve"> </w:t>
      </w:r>
      <w:hyperlink r:id="rId44" w:history="1">
        <w:r>
          <w:rPr>
            <w:rStyle w:val="Hipervnculo"/>
          </w:rPr>
          <w:t>TEXTO DE LEY No. 331, LEY ELECTORAL CON REFORMAS INCORPORADAS (asamblea.gob.ni)</w:t>
        </w:r>
      </w:hyperlink>
    </w:p>
  </w:footnote>
  <w:footnote w:id="68">
    <w:p w14:paraId="2E4296BF" w14:textId="77777777" w:rsidR="00261ED7" w:rsidRDefault="00261ED7" w:rsidP="00E25898">
      <w:pPr>
        <w:jc w:val="both"/>
      </w:pPr>
      <w:r w:rsidRPr="007548E2">
        <w:rPr>
          <w:rStyle w:val="Caracteresdenotaalpie"/>
          <w:sz w:val="20"/>
          <w:szCs w:val="20"/>
        </w:rPr>
        <w:footnoteRef/>
      </w:r>
      <w:r w:rsidRPr="007548E2">
        <w:rPr>
          <w:sz w:val="20"/>
          <w:szCs w:val="20"/>
        </w:rPr>
        <w:t xml:space="preserve"> </w:t>
      </w:r>
      <w:r>
        <w:rPr>
          <w:rFonts w:cstheme="minorHAnsi"/>
          <w:sz w:val="20"/>
          <w:szCs w:val="20"/>
        </w:rPr>
        <w:t>Ley No. 28, Estatuto de Autonomía</w:t>
      </w:r>
      <w:r>
        <w:rPr>
          <w:rFonts w:cstheme="minorHAnsi"/>
          <w:bCs/>
          <w:sz w:val="20"/>
          <w:szCs w:val="20"/>
        </w:rPr>
        <w:t xml:space="preserve">, </w:t>
      </w:r>
      <w:r>
        <w:rPr>
          <w:rFonts w:eastAsia="Times New Roman" w:cstheme="minorHAnsi"/>
          <w:color w:val="000000"/>
          <w:sz w:val="20"/>
          <w:szCs w:val="20"/>
          <w:shd w:val="clear" w:color="auto" w:fill="FFFFFF"/>
          <w:lang w:eastAsia="es-ES_tradnl"/>
        </w:rPr>
        <w:t>de las Regiones de la Costa Caribe de Nicaragua" con sus reformas incorporadas,</w:t>
      </w:r>
      <w:r>
        <w:rPr>
          <w:rFonts w:eastAsia="Times New Roman" w:cstheme="minorHAnsi"/>
          <w:color w:val="000000"/>
          <w:sz w:val="20"/>
          <w:szCs w:val="20"/>
          <w:lang w:eastAsia="es-ES_tradnl"/>
        </w:rPr>
        <w:t xml:space="preserve"> </w:t>
      </w:r>
      <w:r>
        <w:rPr>
          <w:rFonts w:eastAsia="Times New Roman" w:cstheme="minorHAnsi"/>
          <w:color w:val="000000"/>
          <w:sz w:val="20"/>
          <w:szCs w:val="20"/>
          <w:shd w:val="clear" w:color="auto" w:fill="FFFFFF"/>
          <w:lang w:eastAsia="es-ES_tradnl"/>
        </w:rPr>
        <w:t xml:space="preserve">publicada en La Gaceta, N°. 155 del 18 de agosto de 2016, </w:t>
      </w:r>
      <w:r>
        <w:rPr>
          <w:bCs/>
          <w:sz w:val="20"/>
          <w:szCs w:val="20"/>
        </w:rPr>
        <w:t>art.11: Derechos y deberes de los habitantes de las Comunidades. Los habitantes de las Comunidades de la Costa Caribe tienen derecho a: 1) La absoluta igualdad de derechos y deberes entre sí, independientemente de su número poblacional y nivel de desarrollo.</w:t>
      </w:r>
    </w:p>
  </w:footnote>
  <w:footnote w:id="69">
    <w:p w14:paraId="0E8D946F" w14:textId="4BC21AB5" w:rsidR="00261ED7" w:rsidRDefault="00261ED7" w:rsidP="001C4D22">
      <w:pPr>
        <w:pStyle w:val="Textonotapie"/>
      </w:pPr>
      <w:r>
        <w:rPr>
          <w:rStyle w:val="Caracteresdenotaalpie"/>
        </w:rPr>
        <w:footnoteRef/>
      </w:r>
      <w:r>
        <w:t xml:space="preserve"> Fuente propia. En el CRACCS hay 29 consejales mestizos de 45 (no se incluye a </w:t>
      </w:r>
      <w:r w:rsidR="00031968">
        <w:t>una</w:t>
      </w:r>
      <w:r>
        <w:t xml:space="preserve"> diputad</w:t>
      </w:r>
      <w:r w:rsidR="00031968">
        <w:t>a</w:t>
      </w:r>
      <w:r>
        <w:t xml:space="preserve"> mestiz</w:t>
      </w:r>
      <w:r w:rsidR="00031968">
        <w:t>a</w:t>
      </w:r>
      <w:r>
        <w:t xml:space="preserve"> en la Asamblea Nacional que por ley forman parte del CRACCS), en el CRACCN hay 30 consejales mestizos.</w:t>
      </w:r>
    </w:p>
  </w:footnote>
  <w:footnote w:id="70">
    <w:p w14:paraId="03BF1AC8" w14:textId="6A6A3F45" w:rsidR="00031968" w:rsidRPr="004D5376" w:rsidRDefault="00031968">
      <w:pPr>
        <w:pStyle w:val="Textonotapie"/>
        <w:rPr>
          <w:lang w:val="es-US"/>
        </w:rPr>
      </w:pPr>
      <w:r>
        <w:rPr>
          <w:rStyle w:val="Refdenotaalpie"/>
        </w:rPr>
        <w:footnoteRef/>
      </w:r>
      <w:r>
        <w:t xml:space="preserve"> </w:t>
      </w:r>
      <w:hyperlink r:id="rId45" w:history="1">
        <w:r>
          <w:rPr>
            <w:rStyle w:val="Hipervnculo"/>
          </w:rPr>
          <w:t>CSE CONFIRMA A 63 CONCEJALES DEL FSLN TRAS ELECCIONES EN LA COST</w:t>
        </w:r>
        <w:bookmarkStart w:id="0" w:name="_GoBack"/>
        <w:bookmarkEnd w:id="0"/>
        <w:r>
          <w:rPr>
            <w:rStyle w:val="Hipervnculo"/>
          </w:rPr>
          <w:t>A CARIBE (cgten-anden.org.ni)</w:t>
        </w:r>
      </w:hyperlink>
    </w:p>
  </w:footnote>
  <w:footnote w:id="71">
    <w:p w14:paraId="05AFA1F4" w14:textId="77777777" w:rsidR="00261ED7" w:rsidRDefault="00261ED7" w:rsidP="001C4D22">
      <w:pPr>
        <w:pStyle w:val="Textonotapie"/>
      </w:pPr>
      <w:r>
        <w:rPr>
          <w:rStyle w:val="Caracteresdenotaalpie"/>
        </w:rPr>
        <w:footnoteRef/>
      </w:r>
      <w:r>
        <w:t xml:space="preserve"> Carlos Herrera. Elecciones regionales: Entre la desconfianza y el abstencionismo.Confidencial, 02 de marzo 2019.Disponible en: </w:t>
      </w:r>
      <w:hyperlink r:id="rId46">
        <w:r>
          <w:rPr>
            <w:rStyle w:val="EnlacedeInternet"/>
          </w:rPr>
          <w:t>https://confidencial.com.ni/elecciones-regionales-entre-la-desconfianza-y-el-abstencionismo/</w:t>
        </w:r>
      </w:hyperlink>
      <w:r>
        <w:rPr>
          <w:highlight w:val="yellow"/>
        </w:rPr>
        <w:t xml:space="preserve"> </w:t>
      </w:r>
    </w:p>
  </w:footnote>
  <w:footnote w:id="72">
    <w:p w14:paraId="4F6A5AA8" w14:textId="2809618C" w:rsidR="00261ED7" w:rsidRPr="00787755" w:rsidRDefault="00261ED7">
      <w:pPr>
        <w:pStyle w:val="Textonotapie"/>
      </w:pPr>
      <w:r>
        <w:rPr>
          <w:rStyle w:val="Refdenotaalpie"/>
        </w:rPr>
        <w:footnoteRef/>
      </w:r>
      <w:r>
        <w:t xml:space="preserve"> </w:t>
      </w:r>
      <w:hyperlink r:id="rId47" w:history="1">
        <w:r>
          <w:rPr>
            <w:rStyle w:val="Hipervnculo"/>
          </w:rPr>
          <w:t>La elevadísima abstención del 81,5% en Nicaragua marca la cuarta reelección de Ortega (abc.es)</w:t>
        </w:r>
      </w:hyperlink>
    </w:p>
  </w:footnote>
  <w:footnote w:id="73">
    <w:p w14:paraId="64AA724E" w14:textId="39E06B12" w:rsidR="00261ED7" w:rsidRPr="00DD782F" w:rsidRDefault="00261ED7">
      <w:pPr>
        <w:pStyle w:val="Textonotapie"/>
      </w:pPr>
      <w:r>
        <w:rPr>
          <w:rStyle w:val="Refdenotaalpie"/>
        </w:rPr>
        <w:footnoteRef/>
      </w:r>
      <w:r>
        <w:t xml:space="preserve"> OEA. Asamblea General. Resolución </w:t>
      </w:r>
      <w:r w:rsidRPr="0071339F">
        <w:rPr>
          <w:szCs w:val="22"/>
          <w:lang w:val="es-MX"/>
        </w:rPr>
        <w:t>AG/RES. 2978 (LI-O/21)</w:t>
      </w:r>
      <w:r>
        <w:t>: La Situación de Nicaragua. Disponible en:</w:t>
      </w:r>
      <w:r w:rsidRPr="00715133">
        <w:t xml:space="preserve"> https://www.oas.org/es/council/AG/ResDec/</w:t>
      </w:r>
    </w:p>
  </w:footnote>
  <w:footnote w:id="74">
    <w:p w14:paraId="68FB81E5" w14:textId="7294E4F0" w:rsidR="00261ED7" w:rsidRPr="00141F93" w:rsidRDefault="00261ED7">
      <w:pPr>
        <w:pStyle w:val="Textonotapie"/>
        <w:rPr>
          <w:lang w:val="es-US"/>
        </w:rPr>
      </w:pPr>
      <w:r>
        <w:rPr>
          <w:rStyle w:val="Refdenotaalpie"/>
        </w:rPr>
        <w:footnoteRef/>
      </w:r>
      <w:r>
        <w:t xml:space="preserve"> </w:t>
      </w:r>
      <w:hyperlink r:id="rId48" w:history="1">
        <w:r>
          <w:rPr>
            <w:rStyle w:val="Hipervnculo"/>
          </w:rPr>
          <w:t>Elecciones Primarias en los Partidos Políticos • Archivo (elnuevodiario.com.ni)</w:t>
        </w:r>
      </w:hyperlink>
    </w:p>
  </w:footnote>
  <w:footnote w:id="75">
    <w:p w14:paraId="3DE4C84F" w14:textId="5E93433B" w:rsidR="00261ED7" w:rsidRDefault="00261ED7" w:rsidP="001C4D22">
      <w:pPr>
        <w:pStyle w:val="Textonotapie"/>
      </w:pPr>
      <w:r>
        <w:rPr>
          <w:rStyle w:val="Caracteresdenotaalpie"/>
        </w:rPr>
        <w:footnoteRef/>
      </w:r>
      <w:r>
        <w:t xml:space="preserve"> Mencionamos como ejemplo a las siguientes mujeres afrodescendientes que ocupan cargos públicos: </w:t>
      </w:r>
      <w:bookmarkStart w:id="1" w:name="move50383780"/>
      <w:r>
        <w:rPr>
          <w:bCs/>
        </w:rPr>
        <w:t>en la Corte Suprema de Justicia: (Magistrada Helen Lewin); en la Asamblea Nacional: Raquel Dixon , en ministerios del gabinete de gobierno como el Ministerio de Turismo:  (Anasha Campbell);,; en embajadas de Nicaragua: Miriam Hooker  entre otros.</w:t>
      </w:r>
      <w:bookmarkEnd w:id="1"/>
    </w:p>
  </w:footnote>
  <w:footnote w:id="76">
    <w:p w14:paraId="0CE56129" w14:textId="77777777" w:rsidR="00261ED7" w:rsidRDefault="00261ED7" w:rsidP="001C4D22">
      <w:pPr>
        <w:pStyle w:val="Textonotapie"/>
      </w:pPr>
      <w:r>
        <w:rPr>
          <w:rStyle w:val="Caracteresdenotaalpie"/>
        </w:rPr>
        <w:footnoteRef/>
      </w:r>
      <w:r>
        <w:t xml:space="preserve"> </w:t>
      </w:r>
      <w:r>
        <w:rPr>
          <w:lang w:val="es-ES"/>
        </w:rPr>
        <w:t>Lista de Cuestiones, párr. 17.</w:t>
      </w:r>
    </w:p>
  </w:footnote>
  <w:footnote w:id="77">
    <w:p w14:paraId="56CD08EE" w14:textId="77777777" w:rsidR="00261ED7" w:rsidRDefault="00261ED7" w:rsidP="001C4D22">
      <w:pPr>
        <w:pStyle w:val="Textonotapie"/>
      </w:pPr>
      <w:r>
        <w:rPr>
          <w:rStyle w:val="Caracteresdenotaalpie"/>
        </w:rPr>
        <w:footnoteRef/>
      </w:r>
      <w:r>
        <w:rPr>
          <w:i/>
          <w:iCs/>
        </w:rPr>
        <w:t xml:space="preserve">“Inconsistencias” en el juicio de Brandon Lovo y Glen Slate por el asesinato de </w:t>
      </w:r>
      <w:r>
        <w:rPr>
          <w:i/>
          <w:iCs/>
          <w:lang w:val="es-ES"/>
        </w:rPr>
        <w:t>Á</w:t>
      </w:r>
      <w:r>
        <w:rPr>
          <w:i/>
          <w:iCs/>
        </w:rPr>
        <w:t>ngel Gahona.</w:t>
      </w:r>
      <w:r>
        <w:t xml:space="preserve"> Confidencial TV, Disponible en:  </w:t>
      </w:r>
      <w:hyperlink r:id="rId49">
        <w:r>
          <w:rPr>
            <w:rStyle w:val="EnlacedeInternet"/>
          </w:rPr>
          <w:t>https://confidencial.com.ni/inconsistencias-en-el-juicio-de-brandon-lovo-y-glen-slate-por-el-asesinato-de-angel-gahona/</w:t>
        </w:r>
      </w:hyperlink>
    </w:p>
  </w:footnote>
  <w:footnote w:id="78">
    <w:p w14:paraId="12DC84A8" w14:textId="0E1C46C5" w:rsidR="00261ED7" w:rsidRDefault="00261ED7" w:rsidP="001C4D22">
      <w:pPr>
        <w:pStyle w:val="Textonotapie"/>
      </w:pPr>
      <w:r>
        <w:rPr>
          <w:rStyle w:val="Caracteresdenotaalpie"/>
        </w:rPr>
        <w:footnoteRef/>
      </w:r>
      <w:r>
        <w:t xml:space="preserve"> </w:t>
      </w:r>
      <w:r>
        <w:rPr>
          <w:i/>
          <w:iCs/>
        </w:rPr>
        <w:t>Brandon y Glen entre los liberados esta madrugada.</w:t>
      </w:r>
      <w:r>
        <w:t xml:space="preserve"> Nicaragua Investiga, 11 de junio de 2019. Disponible en: </w:t>
      </w:r>
      <w:hyperlink r:id="rId50" w:history="1">
        <w:r w:rsidRPr="00A42404">
          <w:rPr>
            <w:rStyle w:val="Hipervnculo"/>
          </w:rPr>
          <w:t>https://www.nicaraguainvestiga.com/brandon-dy-glen-entre-los-liberados-esta-madrugada/</w:t>
        </w:r>
      </w:hyperlink>
    </w:p>
  </w:footnote>
  <w:footnote w:id="79">
    <w:p w14:paraId="30D9CD9D" w14:textId="77777777" w:rsidR="00261ED7" w:rsidRDefault="00261ED7" w:rsidP="001C4D22">
      <w:pPr>
        <w:pStyle w:val="Textonotapie"/>
      </w:pPr>
      <w:r>
        <w:rPr>
          <w:rStyle w:val="Caracteresdenotaalpie"/>
        </w:rPr>
        <w:footnoteRef/>
      </w:r>
      <w:r>
        <w:t xml:space="preserve"> </w:t>
      </w:r>
      <w:hyperlink r:id="rId51">
        <w:r>
          <w:rPr>
            <w:rStyle w:val="EnlacedeInternet"/>
          </w:rPr>
          <w:t>https://100noticias.com.ni/sucesos/94604-reo-carcel-bluefields-asesinado/</w:t>
        </w:r>
      </w:hyperlink>
    </w:p>
  </w:footnote>
  <w:footnote w:id="80">
    <w:p w14:paraId="2EB1DCCC" w14:textId="77777777" w:rsidR="00261ED7" w:rsidRDefault="00261ED7" w:rsidP="001C4D22">
      <w:r w:rsidRPr="007548E2">
        <w:rPr>
          <w:rStyle w:val="Caracteresdenotaalpie"/>
          <w:sz w:val="20"/>
          <w:szCs w:val="20"/>
        </w:rPr>
        <w:footnoteRef/>
      </w:r>
      <w:r>
        <w:rPr>
          <w:i/>
          <w:iCs/>
          <w:sz w:val="20"/>
          <w:szCs w:val="20"/>
        </w:rPr>
        <w:t xml:space="preserve"> Policías orteguistas dejan morir a un joven ahogado en Bluefields. </w:t>
      </w:r>
      <w:r>
        <w:rPr>
          <w:sz w:val="20"/>
          <w:szCs w:val="20"/>
        </w:rPr>
        <w:t>La Prensa, 11 de septiembre de 2019. Disponible en:</w:t>
      </w:r>
      <w:r>
        <w:t xml:space="preserve"> </w:t>
      </w:r>
      <w:hyperlink r:id="rId52">
        <w:r>
          <w:rPr>
            <w:rStyle w:val="EnlacedeInternet"/>
            <w:sz w:val="20"/>
            <w:szCs w:val="20"/>
          </w:rPr>
          <w:t>https://www.laprensa.com.ni/2019/09/11/departamentales/2589022-policias-orteguistas-dejan-morir-ahogado-a-un-joven-en-bluefields</w:t>
        </w:r>
      </w:hyperlink>
    </w:p>
  </w:footnote>
  <w:footnote w:id="81">
    <w:p w14:paraId="78705300" w14:textId="77777777" w:rsidR="00261ED7" w:rsidRDefault="00261ED7" w:rsidP="001C4D22">
      <w:pPr>
        <w:pStyle w:val="Textonotapie"/>
      </w:pPr>
      <w:r>
        <w:rPr>
          <w:rStyle w:val="Caracteresdenotaalpie"/>
        </w:rPr>
        <w:footnoteRef/>
      </w:r>
      <w:r>
        <w:t xml:space="preserve"> </w:t>
      </w:r>
      <w:hyperlink r:id="rId53">
        <w:r>
          <w:rPr>
            <w:rStyle w:val="EnlacedeInternet"/>
          </w:rPr>
          <w:t>https://www.laprensa.com.ni/2019/10/08/columna-del-dia/2598157-el-perturbador-video-de-evans</w:t>
        </w:r>
      </w:hyperlink>
    </w:p>
  </w:footnote>
  <w:footnote w:id="82">
    <w:p w14:paraId="082D1F7D" w14:textId="77777777" w:rsidR="00261ED7" w:rsidRDefault="00261ED7" w:rsidP="001C4D22">
      <w:pPr>
        <w:pStyle w:val="Textonotapie"/>
      </w:pPr>
      <w:r>
        <w:rPr>
          <w:rStyle w:val="Caracteresdenotaalpie"/>
        </w:rPr>
        <w:footnoteRef/>
      </w:r>
      <w:r>
        <w:t xml:space="preserve"> Ileana Lacayo. En libertad hombre que le cortó el rostro a una mujer en Corn Island. La Prensa, 16 de enero de 2017. Disponible en: https://www.laprensa.com.ni/2017/01/16/departamentales/2166743-en-libertad-hombre-que-le-corto-el-rostro-a-una-mujer-en-corn-island</w:t>
      </w:r>
    </w:p>
  </w:footnote>
  <w:footnote w:id="83">
    <w:p w14:paraId="461DB4E2" w14:textId="77777777" w:rsidR="00261ED7" w:rsidRDefault="00261ED7" w:rsidP="001C4D22">
      <w:r w:rsidRPr="007548E2">
        <w:rPr>
          <w:rStyle w:val="Caracteresdenotaalpie"/>
          <w:sz w:val="20"/>
          <w:szCs w:val="20"/>
        </w:rPr>
        <w:footnoteRef/>
      </w:r>
      <w:r w:rsidRPr="00B01D87">
        <w:rPr>
          <w:rFonts w:cstheme="minorHAnsi"/>
          <w:sz w:val="20"/>
          <w:szCs w:val="20"/>
        </w:rPr>
        <w:t xml:space="preserve"> </w:t>
      </w:r>
      <w:r>
        <w:rPr>
          <w:rFonts w:cstheme="minorHAnsi"/>
          <w:sz w:val="20"/>
          <w:szCs w:val="20"/>
        </w:rPr>
        <w:t xml:space="preserve">Estatuto de Autonomía con sus reformas incorporadas, publicada en </w:t>
      </w:r>
      <w:r>
        <w:rPr>
          <w:rFonts w:eastAsia="Times New Roman" w:cstheme="minorHAnsi"/>
          <w:color w:val="000000"/>
          <w:sz w:val="20"/>
          <w:szCs w:val="20"/>
          <w:shd w:val="clear" w:color="auto" w:fill="FFFFFF"/>
          <w:lang w:eastAsia="es-ES_tradnl"/>
        </w:rPr>
        <w:t>La Gaceta, Diario Oficial N°. 155 del 18 de Agosto de 2016.</w:t>
      </w:r>
    </w:p>
  </w:footnote>
  <w:footnote w:id="84">
    <w:p w14:paraId="7CB11DF6" w14:textId="77777777" w:rsidR="00261ED7" w:rsidRDefault="00261ED7" w:rsidP="001C4D22">
      <w:r>
        <w:rPr>
          <w:rStyle w:val="Caracteresdenotaalpie"/>
        </w:rPr>
        <w:footnoteRef/>
      </w:r>
      <w:r>
        <w:t xml:space="preserve"> </w:t>
      </w:r>
      <w:r>
        <w:rPr>
          <w:rFonts w:cstheme="minorHAnsi"/>
          <w:sz w:val="20"/>
          <w:szCs w:val="20"/>
        </w:rPr>
        <w:t>Ley 162, p</w:t>
      </w:r>
      <w:r>
        <w:rPr>
          <w:rFonts w:eastAsia="Times New Roman" w:cstheme="minorHAnsi"/>
          <w:color w:val="000000"/>
          <w:sz w:val="20"/>
          <w:szCs w:val="20"/>
          <w:shd w:val="clear" w:color="auto" w:fill="FFFFFF"/>
          <w:lang w:eastAsia="es-ES_tradnl"/>
        </w:rPr>
        <w:t xml:space="preserve">ublicada en La Gaceta, Diario Oficial N°. 132 de 15 de Julio de 1996. </w:t>
      </w:r>
      <w:hyperlink r:id="rId54">
        <w:r>
          <w:rPr>
            <w:rStyle w:val="EnlacedeInternet"/>
            <w:rFonts w:eastAsia="Times New Roman" w:cstheme="minorHAnsi"/>
            <w:color w:val="000000"/>
            <w:sz w:val="20"/>
            <w:szCs w:val="20"/>
            <w:highlight w:val="white"/>
            <w:lang w:eastAsia="es-ES_tradnl"/>
          </w:rPr>
          <w:t>https://nicaragua.justia.com/nacionales/leyes/ley-de-uso-oficial-de-las-lenguas-de-las-comunidades-de-la-costa-atlantica-de-nicaragua-jul-15-1996/gdoc/</w:t>
        </w:r>
      </w:hyperlink>
      <w:r>
        <w:rPr>
          <w:rFonts w:eastAsia="Times New Roman" w:cstheme="minorHAnsi"/>
          <w:color w:val="000000"/>
          <w:sz w:val="20"/>
          <w:szCs w:val="20"/>
          <w:shd w:val="clear" w:color="auto" w:fill="FFFFFF"/>
          <w:lang w:eastAsia="es-ES_tradnl"/>
        </w:rPr>
        <w:t xml:space="preserve"> </w:t>
      </w:r>
    </w:p>
  </w:footnote>
  <w:footnote w:id="85">
    <w:p w14:paraId="31D75ABB" w14:textId="77777777" w:rsidR="00261ED7" w:rsidRDefault="00261ED7" w:rsidP="001C4D22">
      <w:pPr>
        <w:pStyle w:val="Textonotapie"/>
      </w:pPr>
      <w:r>
        <w:rPr>
          <w:rStyle w:val="Caracteresdenotaalpie"/>
        </w:rPr>
        <w:footnoteRef/>
      </w:r>
      <w:r>
        <w:t xml:space="preserve"> Ley de Educación. Ley 582. 2006. Gaceta No. </w:t>
      </w:r>
      <w:r>
        <w:rPr>
          <w:rFonts w:ascii="Arial" w:hAnsi="Arial" w:cs="Arial"/>
          <w:color w:val="000000"/>
          <w:sz w:val="16"/>
          <w:szCs w:val="16"/>
          <w:shd w:val="clear" w:color="auto" w:fill="FFFFFF"/>
        </w:rPr>
        <w:t>Gaceta, Diario Oficial N°. 150 del 03 de Agosto del 2006</w:t>
      </w:r>
      <w:r>
        <w:rPr>
          <w:sz w:val="16"/>
          <w:szCs w:val="16"/>
        </w:rPr>
        <w:t xml:space="preserve">     </w:t>
      </w:r>
      <w:hyperlink r:id="rId55">
        <w:r>
          <w:rPr>
            <w:rStyle w:val="EnlacedeInternet"/>
          </w:rPr>
          <w:t>http://legislacion.asamblea.gob.ni/Normaweb.nsf/%28$All%29/B2FBC86E5FD975420625755B00765A99</w:t>
        </w:r>
      </w:hyperlink>
    </w:p>
  </w:footnote>
  <w:footnote w:id="86">
    <w:p w14:paraId="75C88663" w14:textId="0BF5C2A7" w:rsidR="00261ED7" w:rsidRPr="00D936F3" w:rsidRDefault="00261ED7">
      <w:pPr>
        <w:pStyle w:val="Textonotapie"/>
      </w:pPr>
      <w:r>
        <w:rPr>
          <w:rStyle w:val="Refdenotaalpie"/>
        </w:rPr>
        <w:footnoteRef/>
      </w:r>
      <w:r>
        <w:t xml:space="preserve"> Art. 22. Ley General de Educación. </w:t>
      </w:r>
    </w:p>
  </w:footnote>
  <w:footnote w:id="87">
    <w:p w14:paraId="2DC09539" w14:textId="77777777" w:rsidR="00261ED7" w:rsidRDefault="00261ED7" w:rsidP="001C4D22">
      <w:pPr>
        <w:tabs>
          <w:tab w:val="left" w:pos="2670"/>
        </w:tabs>
        <w:jc w:val="both"/>
      </w:pPr>
      <w:r w:rsidRPr="007548E2">
        <w:rPr>
          <w:rStyle w:val="Caracteresdenotaalpie"/>
          <w:sz w:val="20"/>
          <w:szCs w:val="20"/>
        </w:rPr>
        <w:footnoteRef/>
      </w:r>
      <w:r>
        <w:t xml:space="preserve"> </w:t>
      </w:r>
      <w:r>
        <w:rPr>
          <w:sz w:val="20"/>
          <w:szCs w:val="20"/>
        </w:rPr>
        <w:t xml:space="preserve">Ley No. 162, art. 17: </w:t>
      </w:r>
      <w:bookmarkStart w:id="2" w:name="move51167681"/>
      <w:r>
        <w:rPr>
          <w:bCs/>
          <w:sz w:val="20"/>
          <w:szCs w:val="20"/>
        </w:rPr>
        <w:t>¨</w:t>
      </w:r>
      <w:r>
        <w:rPr>
          <w:bCs/>
          <w:i/>
          <w:iCs/>
          <w:sz w:val="20"/>
          <w:szCs w:val="20"/>
        </w:rPr>
        <w:t>Los Jueces, Magistrados, Procuradores, Secretarios y demás funcionarios de Juzgados y Tribunales, además del español, usarán también las lenguas oficiales propias de las partes. Si el caso lo requiere el Poder Judicial nombrará intérpretes y traductores en sus distintas instancias para cumplir con este acto¨.</w:t>
      </w:r>
      <w:bookmarkEnd w:id="2"/>
    </w:p>
  </w:footnote>
  <w:footnote w:id="88">
    <w:p w14:paraId="502964A7" w14:textId="77777777" w:rsidR="00261ED7" w:rsidRDefault="00261ED7" w:rsidP="001C4D22">
      <w:pPr>
        <w:pStyle w:val="Textonotapie"/>
      </w:pPr>
      <w:r>
        <w:rPr>
          <w:rStyle w:val="Caracteresdenotaalpie"/>
        </w:rPr>
        <w:footnoteRef/>
      </w:r>
      <w:r>
        <w:t xml:space="preserve"> </w:t>
      </w:r>
      <w:r>
        <w:rPr>
          <w:lang w:val="es-ES"/>
        </w:rPr>
        <w:t>Lista de Cuestiones, párr. 21.</w:t>
      </w:r>
    </w:p>
  </w:footnote>
  <w:footnote w:id="89">
    <w:p w14:paraId="5F07364E" w14:textId="77777777" w:rsidR="00261ED7" w:rsidRDefault="00261ED7" w:rsidP="001C4D22">
      <w:pPr>
        <w:jc w:val="both"/>
      </w:pPr>
      <w:r w:rsidRPr="007548E2">
        <w:rPr>
          <w:rStyle w:val="Caracteresdenotaalpie"/>
          <w:sz w:val="20"/>
          <w:szCs w:val="20"/>
        </w:rPr>
        <w:footnoteRef/>
      </w:r>
      <w:r w:rsidRPr="00B01D87">
        <w:rPr>
          <w:sz w:val="20"/>
          <w:szCs w:val="20"/>
        </w:rPr>
        <w:t xml:space="preserve"> </w:t>
      </w:r>
      <w:r>
        <w:rPr>
          <w:sz w:val="20"/>
          <w:szCs w:val="20"/>
        </w:rPr>
        <w:t xml:space="preserve">“Demarcation Now” es </w:t>
      </w:r>
      <w:r>
        <w:rPr>
          <w:bCs/>
          <w:sz w:val="20"/>
          <w:szCs w:val="20"/>
        </w:rPr>
        <w:t>un programa en Inglés, en favor de los derechos autonómicos y la tierra comunal del pueblo creole de Bluefields</w:t>
      </w:r>
    </w:p>
  </w:footnote>
  <w:footnote w:id="90">
    <w:p w14:paraId="32BB2DCC" w14:textId="77777777" w:rsidR="00261ED7" w:rsidRDefault="00261ED7" w:rsidP="001C4D22">
      <w:r w:rsidRPr="007548E2">
        <w:rPr>
          <w:rStyle w:val="Caracteresdenotaalpie"/>
          <w:sz w:val="20"/>
          <w:szCs w:val="20"/>
        </w:rPr>
        <w:footnoteRef/>
      </w:r>
      <w:r w:rsidRPr="007548E2">
        <w:rPr>
          <w:sz w:val="20"/>
          <w:szCs w:val="20"/>
        </w:rPr>
        <w:t xml:space="preserve"> </w:t>
      </w:r>
      <w:r>
        <w:rPr>
          <w:i/>
          <w:iCs/>
          <w:sz w:val="20"/>
          <w:szCs w:val="20"/>
        </w:rPr>
        <w:t>Orteguismo cierra programa radial en Bluefields.</w:t>
      </w:r>
      <w:r>
        <w:rPr>
          <w:sz w:val="20"/>
          <w:szCs w:val="20"/>
        </w:rPr>
        <w:t xml:space="preserve"> El Nuevo Diario. 9 de febrero de 2011.Disponible en: </w:t>
      </w:r>
      <w:hyperlink r:id="rId56">
        <w:r>
          <w:rPr>
            <w:rStyle w:val="EnlacedeInternet"/>
            <w:sz w:val="20"/>
            <w:szCs w:val="20"/>
          </w:rPr>
          <w:t>https://www.elnuevodiario.com.ni/nacionales/94425-orteguismo-cierra-programa-radial-bluefields/?view=amp</w:t>
        </w:r>
      </w:hyperlink>
      <w:r>
        <w:rPr>
          <w:sz w:val="20"/>
          <w:szCs w:val="20"/>
        </w:rPr>
        <w:t xml:space="preserve"> </w:t>
      </w:r>
    </w:p>
  </w:footnote>
  <w:footnote w:id="91">
    <w:p w14:paraId="51D8AE52" w14:textId="77777777" w:rsidR="00261ED7" w:rsidRDefault="00261ED7" w:rsidP="001C4D22">
      <w:pPr>
        <w:pStyle w:val="Textonotapie"/>
      </w:pPr>
      <w:r>
        <w:rPr>
          <w:rStyle w:val="Caracteresdenotaalpie"/>
        </w:rPr>
        <w:footnoteRef/>
      </w:r>
      <w:r>
        <w:t xml:space="preserve"> </w:t>
      </w:r>
      <w:hyperlink r:id="rId57">
        <w:r>
          <w:rPr>
            <w:rStyle w:val="EnlacedeInternet"/>
          </w:rPr>
          <w:t>https://www.elnuevodiario.com.ni/nacionales/97337-tribunal-apelaciones-bluefields-burla-comunidad-af/</w:t>
        </w:r>
      </w:hyperlink>
    </w:p>
  </w:footnote>
  <w:footnote w:id="92">
    <w:p w14:paraId="00A45703" w14:textId="77777777" w:rsidR="00261ED7" w:rsidRDefault="00261ED7" w:rsidP="001C4D22">
      <w:pPr>
        <w:pStyle w:val="Textonotapie"/>
      </w:pPr>
      <w:r>
        <w:rPr>
          <w:rStyle w:val="Caracteresdenotaalpie"/>
        </w:rPr>
        <w:footnoteRef/>
      </w:r>
      <w:r>
        <w:t xml:space="preserve"> </w:t>
      </w:r>
      <w:r>
        <w:rPr>
          <w:bCs/>
        </w:rPr>
        <w:t>Nora Newball y Dolene Miller.</w:t>
      </w:r>
    </w:p>
  </w:footnote>
  <w:footnote w:id="93">
    <w:p w14:paraId="3BAAABB0" w14:textId="77777777" w:rsidR="00261ED7" w:rsidRDefault="00261ED7" w:rsidP="001C4D22">
      <w:pPr>
        <w:pStyle w:val="Textonotapie"/>
      </w:pPr>
      <w:r>
        <w:rPr>
          <w:rStyle w:val="Caracteresdenotaalpie"/>
        </w:rPr>
        <w:footnoteRef/>
      </w:r>
      <w:r>
        <w:t xml:space="preserve"> </w:t>
      </w:r>
      <w:r>
        <w:rPr>
          <w:lang w:val="es-ES"/>
        </w:rPr>
        <w:t>Lista de Cuestiones, párr. 23.</w:t>
      </w:r>
    </w:p>
  </w:footnote>
  <w:footnote w:id="94">
    <w:p w14:paraId="1D894F1D" w14:textId="77777777" w:rsidR="00261ED7" w:rsidRDefault="00261ED7" w:rsidP="001C4D22">
      <w:pPr>
        <w:pStyle w:val="Textocomentario"/>
      </w:pPr>
      <w:r>
        <w:rPr>
          <w:rStyle w:val="Caracteresdenotaalpie"/>
        </w:rPr>
        <w:footnoteRef/>
      </w:r>
      <w:r>
        <w:t xml:space="preserve"> Ivette Munguía. Nicaragüenses varados en Islas Caimán: Estamos mendigando, queremos volver”. Confidencial, 23 de abril de 2020, disponible en:</w:t>
      </w:r>
      <w:hyperlink r:id="rId58">
        <w:r>
          <w:rPr>
            <w:rStyle w:val="EnlacedeInternet"/>
          </w:rPr>
          <w:t>https://confidencial.com.ni/nicaraguenses-varados-en-islas-caiman-estamos-mendigando-queremos-volver/</w:t>
        </w:r>
      </w:hyperlink>
    </w:p>
  </w:footnote>
  <w:footnote w:id="95">
    <w:p w14:paraId="37ACD81D" w14:textId="77777777" w:rsidR="00261ED7" w:rsidRDefault="00261ED7" w:rsidP="001C4D22">
      <w:pPr>
        <w:pStyle w:val="Textonotapie"/>
      </w:pPr>
      <w:r>
        <w:rPr>
          <w:rStyle w:val="Caracteresdenotaalpie"/>
        </w:rPr>
        <w:footnoteRef/>
      </w:r>
      <w:r>
        <w:t xml:space="preserve"> </w:t>
      </w:r>
      <w:hyperlink r:id="rId59">
        <w:r>
          <w:rPr>
            <w:rStyle w:val="EnlacedeInternet"/>
          </w:rPr>
          <w:t>https://100noticias.com.ni/nacionales/102339-66-nicas-varados-en-isla-de-gran-caiman-regresan-a/</w:t>
        </w:r>
      </w:hyperlink>
    </w:p>
  </w:footnote>
  <w:footnote w:id="96">
    <w:p w14:paraId="7CEB9C6F" w14:textId="77777777" w:rsidR="00261ED7" w:rsidRDefault="00261ED7" w:rsidP="001C4D22">
      <w:pPr>
        <w:pStyle w:val="Textonotapie"/>
      </w:pPr>
      <w:r>
        <w:rPr>
          <w:rStyle w:val="Caracteresdenotaalpie"/>
        </w:rPr>
        <w:footnoteRef/>
      </w:r>
      <w:r>
        <w:t xml:space="preserve"> </w:t>
      </w:r>
      <w:hyperlink r:id="rId60">
        <w:r>
          <w:rPr>
            <w:rStyle w:val="EnlacedeInternet"/>
          </w:rPr>
          <w:t>https://theworldnews.net/ni-news/gobierno-sigue-bloqueando-retorno-de-nicas-varados-en-islas-caiman-y-cruceros</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9C1DE" w14:textId="77777777" w:rsidR="00261ED7" w:rsidRDefault="00261ED7" w:rsidP="005A5057">
    <w:pPr>
      <w:pStyle w:val="Encabezado"/>
    </w:pPr>
    <w:r>
      <w:rPr>
        <w:noProof/>
        <w:lang w:val="es-US" w:eastAsia="es-US"/>
      </w:rPr>
      <w:drawing>
        <wp:inline distT="0" distB="0" distL="0" distR="0" wp14:anchorId="0BFF61FF" wp14:editId="5F5F1DAB">
          <wp:extent cx="1002665" cy="728345"/>
          <wp:effectExtent l="0" t="0" r="0" b="0"/>
          <wp:docPr id="4" name="Imagen 2" descr="F:\Informe poblacion afrodescendiente Nicaragua\Informe Afro Nic\Nuevas revisiones Informe Oman al comite CCPR\Nueva carpeta\informe con correcciones\220cbf0b-37cc-49fe-8f51-92abc6a09a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F:\Informe poblacion afrodescendiente Nicaragua\Informe Afro Nic\Nuevas revisiones Informe Oman al comite CCPR\Nueva carpeta\informe con correcciones\220cbf0b-37cc-49fe-8f51-92abc6a09a35.jpg"/>
                  <pic:cNvPicPr>
                    <a:picLocks noChangeAspect="1" noChangeArrowheads="1"/>
                  </pic:cNvPicPr>
                </pic:nvPicPr>
                <pic:blipFill>
                  <a:blip r:embed="rId1"/>
                  <a:stretch>
                    <a:fillRect/>
                  </a:stretch>
                </pic:blipFill>
                <pic:spPr bwMode="auto">
                  <a:xfrm>
                    <a:off x="0" y="0"/>
                    <a:ext cx="1002665" cy="728345"/>
                  </a:xfrm>
                  <a:prstGeom prst="rect">
                    <a:avLst/>
                  </a:prstGeom>
                </pic:spPr>
              </pic:pic>
            </a:graphicData>
          </a:graphic>
        </wp:inline>
      </w:drawing>
    </w:r>
    <w:r>
      <w:t xml:space="preserve">                                     </w:t>
    </w:r>
    <w:r>
      <w:rPr>
        <w:noProof/>
        <w:lang w:val="es-US" w:eastAsia="es-US"/>
      </w:rPr>
      <w:drawing>
        <wp:inline distT="0" distB="0" distL="0" distR="0" wp14:anchorId="5F022580" wp14:editId="70658D6B">
          <wp:extent cx="1102995" cy="737870"/>
          <wp:effectExtent l="0" t="0" r="0" b="0"/>
          <wp:docPr id="5" name="Imagen 3" descr="Un reloj de aguj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 descr="Un reloj de aguja&#10;&#10;Descripción generada automáticamente con confianza baja"/>
                  <pic:cNvPicPr>
                    <a:picLocks noChangeAspect="1" noChangeArrowheads="1"/>
                  </pic:cNvPicPr>
                </pic:nvPicPr>
                <pic:blipFill>
                  <a:blip r:embed="rId2"/>
                  <a:stretch>
                    <a:fillRect/>
                  </a:stretch>
                </pic:blipFill>
                <pic:spPr bwMode="auto">
                  <a:xfrm>
                    <a:off x="0" y="0"/>
                    <a:ext cx="1102995" cy="737870"/>
                  </a:xfrm>
                  <a:prstGeom prst="rect">
                    <a:avLst/>
                  </a:prstGeom>
                </pic:spPr>
              </pic:pic>
            </a:graphicData>
          </a:graphic>
        </wp:inline>
      </w:drawing>
    </w:r>
    <w:r>
      <w:t xml:space="preserve">                             </w:t>
    </w:r>
    <w:r>
      <w:rPr>
        <w:noProof/>
        <w:lang w:val="es-US" w:eastAsia="es-US"/>
      </w:rPr>
      <w:drawing>
        <wp:inline distT="0" distB="0" distL="0" distR="0" wp14:anchorId="02EF2D9F" wp14:editId="2CB5E808">
          <wp:extent cx="1221740" cy="741045"/>
          <wp:effectExtent l="0" t="0" r="0" b="0"/>
          <wp:docPr id="6" name="Picture 25" descr="C:\Users\Dolene Blfds\Desktop\GCC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5" descr="C:\Users\Dolene Blfds\Desktop\GCCB  Logo.JPG"/>
                  <pic:cNvPicPr>
                    <a:picLocks noChangeAspect="1" noChangeArrowheads="1"/>
                  </pic:cNvPicPr>
                </pic:nvPicPr>
                <pic:blipFill>
                  <a:blip r:embed="rId3"/>
                  <a:stretch>
                    <a:fillRect/>
                  </a:stretch>
                </pic:blipFill>
                <pic:spPr bwMode="auto">
                  <a:xfrm>
                    <a:off x="0" y="0"/>
                    <a:ext cx="1221740" cy="741045"/>
                  </a:xfrm>
                  <a:prstGeom prst="rect">
                    <a:avLst/>
                  </a:prstGeom>
                </pic:spPr>
              </pic:pic>
            </a:graphicData>
          </a:graphic>
        </wp:inline>
      </w:drawing>
    </w:r>
  </w:p>
  <w:p w14:paraId="151A5F99" w14:textId="77777777" w:rsidR="00261ED7" w:rsidRDefault="00261ED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E07B5"/>
    <w:multiLevelType w:val="multilevel"/>
    <w:tmpl w:val="D90638AE"/>
    <w:lvl w:ilvl="0">
      <w:start w:val="3"/>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26A954DC"/>
    <w:multiLevelType w:val="hybridMultilevel"/>
    <w:tmpl w:val="7AE2D278"/>
    <w:lvl w:ilvl="0" w:tplc="04090019">
      <w:start w:val="1"/>
      <w:numFmt w:val="lowerLetter"/>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
    <w:nsid w:val="4104714E"/>
    <w:multiLevelType w:val="hybridMultilevel"/>
    <w:tmpl w:val="FDA403AC"/>
    <w:lvl w:ilvl="0" w:tplc="2518916C">
      <w:start w:val="11"/>
      <w:numFmt w:val="low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3">
    <w:nsid w:val="50440141"/>
    <w:multiLevelType w:val="multilevel"/>
    <w:tmpl w:val="12A6C5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0A73E91"/>
    <w:multiLevelType w:val="multilevel"/>
    <w:tmpl w:val="12A6C5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F065421"/>
    <w:multiLevelType w:val="multilevel"/>
    <w:tmpl w:val="88DCEDF8"/>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D22"/>
    <w:rsid w:val="00011379"/>
    <w:rsid w:val="000160F8"/>
    <w:rsid w:val="00031968"/>
    <w:rsid w:val="00054DDF"/>
    <w:rsid w:val="00072B46"/>
    <w:rsid w:val="00074436"/>
    <w:rsid w:val="00074BE3"/>
    <w:rsid w:val="0008015F"/>
    <w:rsid w:val="0009280E"/>
    <w:rsid w:val="000A648E"/>
    <w:rsid w:val="000D10C5"/>
    <w:rsid w:val="000D3ACC"/>
    <w:rsid w:val="000D4526"/>
    <w:rsid w:val="00103132"/>
    <w:rsid w:val="0011456C"/>
    <w:rsid w:val="00141F93"/>
    <w:rsid w:val="00184371"/>
    <w:rsid w:val="001B046A"/>
    <w:rsid w:val="001B3744"/>
    <w:rsid w:val="001B7612"/>
    <w:rsid w:val="001C2189"/>
    <w:rsid w:val="001C4D22"/>
    <w:rsid w:val="00211AFC"/>
    <w:rsid w:val="002157C6"/>
    <w:rsid w:val="00226609"/>
    <w:rsid w:val="00230F42"/>
    <w:rsid w:val="00231FF7"/>
    <w:rsid w:val="00240A5E"/>
    <w:rsid w:val="002418D6"/>
    <w:rsid w:val="0024646A"/>
    <w:rsid w:val="00261ED7"/>
    <w:rsid w:val="002675AD"/>
    <w:rsid w:val="0028572D"/>
    <w:rsid w:val="002902D5"/>
    <w:rsid w:val="002A44A6"/>
    <w:rsid w:val="002A6691"/>
    <w:rsid w:val="002B09B4"/>
    <w:rsid w:val="002B1F0A"/>
    <w:rsid w:val="002B40CF"/>
    <w:rsid w:val="002D51B2"/>
    <w:rsid w:val="002E1D1F"/>
    <w:rsid w:val="002E6D08"/>
    <w:rsid w:val="002E70E4"/>
    <w:rsid w:val="002F4E44"/>
    <w:rsid w:val="00301D1D"/>
    <w:rsid w:val="00310463"/>
    <w:rsid w:val="00314652"/>
    <w:rsid w:val="00323212"/>
    <w:rsid w:val="00335035"/>
    <w:rsid w:val="00337967"/>
    <w:rsid w:val="00354626"/>
    <w:rsid w:val="00375862"/>
    <w:rsid w:val="00385402"/>
    <w:rsid w:val="003A3F95"/>
    <w:rsid w:val="003A63BC"/>
    <w:rsid w:val="003B4810"/>
    <w:rsid w:val="003D0B85"/>
    <w:rsid w:val="004062F2"/>
    <w:rsid w:val="00407ADC"/>
    <w:rsid w:val="0041000E"/>
    <w:rsid w:val="004134B0"/>
    <w:rsid w:val="0042676D"/>
    <w:rsid w:val="00456A7C"/>
    <w:rsid w:val="00462337"/>
    <w:rsid w:val="00465F63"/>
    <w:rsid w:val="0047262F"/>
    <w:rsid w:val="00482662"/>
    <w:rsid w:val="00484A4D"/>
    <w:rsid w:val="004C1CBD"/>
    <w:rsid w:val="004D5376"/>
    <w:rsid w:val="004D5C48"/>
    <w:rsid w:val="004F4007"/>
    <w:rsid w:val="00500082"/>
    <w:rsid w:val="00511C03"/>
    <w:rsid w:val="00523EB5"/>
    <w:rsid w:val="005255C3"/>
    <w:rsid w:val="005314EC"/>
    <w:rsid w:val="00543164"/>
    <w:rsid w:val="0057180E"/>
    <w:rsid w:val="00581B0A"/>
    <w:rsid w:val="005856FB"/>
    <w:rsid w:val="00590C8D"/>
    <w:rsid w:val="00591E4C"/>
    <w:rsid w:val="005A1D49"/>
    <w:rsid w:val="005A5057"/>
    <w:rsid w:val="005A5A5B"/>
    <w:rsid w:val="005A7F52"/>
    <w:rsid w:val="005B21A1"/>
    <w:rsid w:val="005E35C5"/>
    <w:rsid w:val="005E5558"/>
    <w:rsid w:val="00607348"/>
    <w:rsid w:val="00651705"/>
    <w:rsid w:val="006520BA"/>
    <w:rsid w:val="0067311A"/>
    <w:rsid w:val="00673E4F"/>
    <w:rsid w:val="00695B90"/>
    <w:rsid w:val="00697E9D"/>
    <w:rsid w:val="006A0E33"/>
    <w:rsid w:val="006A3485"/>
    <w:rsid w:val="006A380D"/>
    <w:rsid w:val="006A3EAC"/>
    <w:rsid w:val="006D204C"/>
    <w:rsid w:val="006D236B"/>
    <w:rsid w:val="00702018"/>
    <w:rsid w:val="00715133"/>
    <w:rsid w:val="0074675B"/>
    <w:rsid w:val="00750200"/>
    <w:rsid w:val="00750780"/>
    <w:rsid w:val="007548E2"/>
    <w:rsid w:val="00762A53"/>
    <w:rsid w:val="00777B86"/>
    <w:rsid w:val="00787755"/>
    <w:rsid w:val="007A1A87"/>
    <w:rsid w:val="007E5DB3"/>
    <w:rsid w:val="007E612C"/>
    <w:rsid w:val="007F3405"/>
    <w:rsid w:val="008217A8"/>
    <w:rsid w:val="008242D8"/>
    <w:rsid w:val="00826689"/>
    <w:rsid w:val="008339DD"/>
    <w:rsid w:val="008452B5"/>
    <w:rsid w:val="008526CD"/>
    <w:rsid w:val="00852C91"/>
    <w:rsid w:val="00863394"/>
    <w:rsid w:val="00890535"/>
    <w:rsid w:val="00893057"/>
    <w:rsid w:val="0089721D"/>
    <w:rsid w:val="008C00EB"/>
    <w:rsid w:val="008D04B7"/>
    <w:rsid w:val="008D145A"/>
    <w:rsid w:val="008D4DD8"/>
    <w:rsid w:val="008E001D"/>
    <w:rsid w:val="008E77F0"/>
    <w:rsid w:val="008F0C64"/>
    <w:rsid w:val="008F3BA0"/>
    <w:rsid w:val="0090599D"/>
    <w:rsid w:val="00907634"/>
    <w:rsid w:val="009172B7"/>
    <w:rsid w:val="00917B55"/>
    <w:rsid w:val="0092299F"/>
    <w:rsid w:val="00923960"/>
    <w:rsid w:val="00930BBD"/>
    <w:rsid w:val="009314B7"/>
    <w:rsid w:val="009626D5"/>
    <w:rsid w:val="00963955"/>
    <w:rsid w:val="0099300D"/>
    <w:rsid w:val="00996710"/>
    <w:rsid w:val="009C1305"/>
    <w:rsid w:val="009C5B88"/>
    <w:rsid w:val="009C7B1F"/>
    <w:rsid w:val="009D3153"/>
    <w:rsid w:val="00A02CDF"/>
    <w:rsid w:val="00A063A3"/>
    <w:rsid w:val="00A164BC"/>
    <w:rsid w:val="00A25095"/>
    <w:rsid w:val="00A318B0"/>
    <w:rsid w:val="00A428B0"/>
    <w:rsid w:val="00A617D0"/>
    <w:rsid w:val="00A97E82"/>
    <w:rsid w:val="00AA6D49"/>
    <w:rsid w:val="00AB7C5E"/>
    <w:rsid w:val="00AC379F"/>
    <w:rsid w:val="00AD21B0"/>
    <w:rsid w:val="00AD23B6"/>
    <w:rsid w:val="00AE5BCB"/>
    <w:rsid w:val="00AF2A31"/>
    <w:rsid w:val="00AF5003"/>
    <w:rsid w:val="00B01D87"/>
    <w:rsid w:val="00B15CB7"/>
    <w:rsid w:val="00B346F4"/>
    <w:rsid w:val="00B42FAA"/>
    <w:rsid w:val="00B455DB"/>
    <w:rsid w:val="00B6397C"/>
    <w:rsid w:val="00B75569"/>
    <w:rsid w:val="00B76EA3"/>
    <w:rsid w:val="00B85F09"/>
    <w:rsid w:val="00B937A6"/>
    <w:rsid w:val="00BB43C3"/>
    <w:rsid w:val="00BB7EA1"/>
    <w:rsid w:val="00BD33FF"/>
    <w:rsid w:val="00BE7A15"/>
    <w:rsid w:val="00BF1CA4"/>
    <w:rsid w:val="00C00F63"/>
    <w:rsid w:val="00C141E0"/>
    <w:rsid w:val="00C31F52"/>
    <w:rsid w:val="00C4595B"/>
    <w:rsid w:val="00C5472C"/>
    <w:rsid w:val="00C5775D"/>
    <w:rsid w:val="00C661A4"/>
    <w:rsid w:val="00C7187F"/>
    <w:rsid w:val="00C726DA"/>
    <w:rsid w:val="00C73E78"/>
    <w:rsid w:val="00C748CE"/>
    <w:rsid w:val="00CA5CBD"/>
    <w:rsid w:val="00CB397D"/>
    <w:rsid w:val="00CB5A58"/>
    <w:rsid w:val="00CC5565"/>
    <w:rsid w:val="00CC6DDE"/>
    <w:rsid w:val="00CD5BC8"/>
    <w:rsid w:val="00CE49A5"/>
    <w:rsid w:val="00D173AE"/>
    <w:rsid w:val="00D471A7"/>
    <w:rsid w:val="00D52697"/>
    <w:rsid w:val="00D5555C"/>
    <w:rsid w:val="00D64AC7"/>
    <w:rsid w:val="00D72622"/>
    <w:rsid w:val="00D936F3"/>
    <w:rsid w:val="00D9503C"/>
    <w:rsid w:val="00DC22EA"/>
    <w:rsid w:val="00DD782F"/>
    <w:rsid w:val="00DF352E"/>
    <w:rsid w:val="00E10F20"/>
    <w:rsid w:val="00E219D4"/>
    <w:rsid w:val="00E25898"/>
    <w:rsid w:val="00E30C1B"/>
    <w:rsid w:val="00E3118F"/>
    <w:rsid w:val="00E40800"/>
    <w:rsid w:val="00E5422B"/>
    <w:rsid w:val="00EA1E74"/>
    <w:rsid w:val="00EB4048"/>
    <w:rsid w:val="00EF0C4E"/>
    <w:rsid w:val="00F00611"/>
    <w:rsid w:val="00F17439"/>
    <w:rsid w:val="00F262C1"/>
    <w:rsid w:val="00F40296"/>
    <w:rsid w:val="00F418B1"/>
    <w:rsid w:val="00F67893"/>
    <w:rsid w:val="00F808C8"/>
    <w:rsid w:val="00F85DB0"/>
    <w:rsid w:val="00F95A31"/>
    <w:rsid w:val="00FB0B30"/>
    <w:rsid w:val="00FC323E"/>
    <w:rsid w:val="00FC4759"/>
    <w:rsid w:val="00FF00BD"/>
    <w:rsid w:val="00FF224E"/>
  </w:rsids>
  <m:mathPr>
    <m:mathFont m:val="Cambria Math"/>
    <m:brkBin m:val="before"/>
    <m:brkBinSub m:val="--"/>
    <m:smallFrac m:val="0"/>
    <m:dispDef/>
    <m:lMargin m:val="0"/>
    <m:rMargin m:val="0"/>
    <m:defJc m:val="centerGroup"/>
    <m:wrapIndent m:val="1440"/>
    <m:intLim m:val="subSup"/>
    <m:naryLim m:val="undOvr"/>
  </m:mathPr>
  <w:themeFontLang w:val="es-N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04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N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D22"/>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basedOn w:val="Fuentedeprrafopredeter"/>
    <w:link w:val="Piedepgina"/>
    <w:uiPriority w:val="99"/>
    <w:qFormat/>
    <w:rsid w:val="001C4D22"/>
    <w:rPr>
      <w:sz w:val="24"/>
      <w:szCs w:val="24"/>
    </w:rPr>
  </w:style>
  <w:style w:type="character" w:styleId="Nmerodepgina">
    <w:name w:val="page number"/>
    <w:basedOn w:val="Fuentedeprrafopredeter"/>
    <w:uiPriority w:val="99"/>
    <w:semiHidden/>
    <w:unhideWhenUsed/>
    <w:qFormat/>
    <w:rsid w:val="001C4D22"/>
  </w:style>
  <w:style w:type="character" w:customStyle="1" w:styleId="TextonotapieCar">
    <w:name w:val="Texto nota pie Car"/>
    <w:basedOn w:val="Fuentedeprrafopredeter"/>
    <w:link w:val="Textonotapie"/>
    <w:uiPriority w:val="99"/>
    <w:semiHidden/>
    <w:qFormat/>
    <w:rsid w:val="001C4D22"/>
    <w:rPr>
      <w:sz w:val="20"/>
      <w:szCs w:val="20"/>
    </w:rPr>
  </w:style>
  <w:style w:type="character" w:customStyle="1" w:styleId="Ancladenotaalpie">
    <w:name w:val="Ancla de nota al pie"/>
    <w:rsid w:val="001C4D22"/>
    <w:rPr>
      <w:vertAlign w:val="superscript"/>
    </w:rPr>
  </w:style>
  <w:style w:type="character" w:customStyle="1" w:styleId="FootnoteCharacters">
    <w:name w:val="Footnote Characters"/>
    <w:basedOn w:val="Fuentedeprrafopredeter"/>
    <w:link w:val="BVIfnr"/>
    <w:unhideWhenUsed/>
    <w:qFormat/>
    <w:rsid w:val="001C4D22"/>
    <w:rPr>
      <w:vertAlign w:val="superscript"/>
    </w:rPr>
  </w:style>
  <w:style w:type="character" w:customStyle="1" w:styleId="A3">
    <w:name w:val="A3"/>
    <w:uiPriority w:val="99"/>
    <w:qFormat/>
    <w:rsid w:val="001C4D22"/>
    <w:rPr>
      <w:color w:val="000000"/>
      <w:sz w:val="20"/>
      <w:szCs w:val="20"/>
    </w:rPr>
  </w:style>
  <w:style w:type="character" w:customStyle="1" w:styleId="EnlacedeInternet">
    <w:name w:val="Enlace de Internet"/>
    <w:basedOn w:val="Fuentedeprrafopredeter"/>
    <w:uiPriority w:val="99"/>
    <w:unhideWhenUsed/>
    <w:rsid w:val="001C4D22"/>
    <w:rPr>
      <w:color w:val="0000FF" w:themeColor="hyperlink"/>
      <w:u w:val="single"/>
    </w:rPr>
  </w:style>
  <w:style w:type="character" w:customStyle="1" w:styleId="TextocomentarioCar">
    <w:name w:val="Texto comentario Car"/>
    <w:basedOn w:val="Fuentedeprrafopredeter"/>
    <w:link w:val="Textocomentario"/>
    <w:uiPriority w:val="99"/>
    <w:qFormat/>
    <w:rsid w:val="001C4D22"/>
    <w:rPr>
      <w:sz w:val="20"/>
      <w:szCs w:val="20"/>
    </w:rPr>
  </w:style>
  <w:style w:type="character" w:customStyle="1" w:styleId="EncabezadoCar">
    <w:name w:val="Encabezado Car"/>
    <w:basedOn w:val="Fuentedeprrafopredeter"/>
    <w:link w:val="Encabezado"/>
    <w:uiPriority w:val="99"/>
    <w:qFormat/>
    <w:rsid w:val="001C4D22"/>
    <w:rPr>
      <w:sz w:val="24"/>
      <w:szCs w:val="24"/>
    </w:rPr>
  </w:style>
  <w:style w:type="character" w:customStyle="1" w:styleId="Caracteresdenotaalpie">
    <w:name w:val="Caracteres de nota al pie"/>
    <w:qFormat/>
    <w:rsid w:val="001C4D22"/>
  </w:style>
  <w:style w:type="paragraph" w:styleId="Prrafodelista">
    <w:name w:val="List Paragraph"/>
    <w:basedOn w:val="Normal"/>
    <w:uiPriority w:val="34"/>
    <w:qFormat/>
    <w:rsid w:val="001C4D22"/>
    <w:pPr>
      <w:ind w:left="720"/>
      <w:contextualSpacing/>
    </w:pPr>
  </w:style>
  <w:style w:type="paragraph" w:styleId="Piedepgina">
    <w:name w:val="footer"/>
    <w:basedOn w:val="Normal"/>
    <w:link w:val="PiedepginaCar"/>
    <w:uiPriority w:val="99"/>
    <w:unhideWhenUsed/>
    <w:rsid w:val="001C4D22"/>
    <w:pPr>
      <w:tabs>
        <w:tab w:val="center" w:pos="4419"/>
        <w:tab w:val="right" w:pos="8838"/>
      </w:tabs>
    </w:pPr>
  </w:style>
  <w:style w:type="character" w:customStyle="1" w:styleId="PiedepginaCar1">
    <w:name w:val="Pie de página Car1"/>
    <w:basedOn w:val="Fuentedeprrafopredeter"/>
    <w:uiPriority w:val="99"/>
    <w:semiHidden/>
    <w:rsid w:val="001C4D22"/>
    <w:rPr>
      <w:sz w:val="24"/>
      <w:szCs w:val="24"/>
    </w:rPr>
  </w:style>
  <w:style w:type="paragraph" w:styleId="Textonotapie">
    <w:name w:val="footnote text"/>
    <w:basedOn w:val="Normal"/>
    <w:link w:val="TextonotapieCar"/>
    <w:uiPriority w:val="99"/>
    <w:semiHidden/>
    <w:unhideWhenUsed/>
    <w:rsid w:val="001C4D22"/>
    <w:rPr>
      <w:sz w:val="20"/>
      <w:szCs w:val="20"/>
    </w:rPr>
  </w:style>
  <w:style w:type="character" w:customStyle="1" w:styleId="TextonotapieCar1">
    <w:name w:val="Texto nota pie Car1"/>
    <w:basedOn w:val="Fuentedeprrafopredeter"/>
    <w:uiPriority w:val="99"/>
    <w:semiHidden/>
    <w:rsid w:val="001C4D22"/>
    <w:rPr>
      <w:sz w:val="20"/>
      <w:szCs w:val="20"/>
    </w:rPr>
  </w:style>
  <w:style w:type="paragraph" w:customStyle="1" w:styleId="BVIfnr">
    <w:name w:val="BVI fnr"/>
    <w:basedOn w:val="Normal"/>
    <w:link w:val="FootnoteCharacters"/>
    <w:qFormat/>
    <w:rsid w:val="001C4D22"/>
    <w:pPr>
      <w:spacing w:after="160" w:line="240" w:lineRule="exact"/>
    </w:pPr>
    <w:rPr>
      <w:sz w:val="22"/>
      <w:szCs w:val="22"/>
      <w:vertAlign w:val="superscript"/>
    </w:rPr>
  </w:style>
  <w:style w:type="paragraph" w:customStyle="1" w:styleId="Default">
    <w:name w:val="Default"/>
    <w:qFormat/>
    <w:rsid w:val="001C4D22"/>
    <w:pPr>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unhideWhenUsed/>
    <w:qFormat/>
    <w:rsid w:val="001C4D22"/>
    <w:rPr>
      <w:sz w:val="20"/>
      <w:szCs w:val="20"/>
    </w:rPr>
  </w:style>
  <w:style w:type="character" w:customStyle="1" w:styleId="TextocomentarioCar1">
    <w:name w:val="Texto comentario Car1"/>
    <w:basedOn w:val="Fuentedeprrafopredeter"/>
    <w:uiPriority w:val="99"/>
    <w:semiHidden/>
    <w:rsid w:val="001C4D22"/>
    <w:rPr>
      <w:sz w:val="20"/>
      <w:szCs w:val="20"/>
    </w:rPr>
  </w:style>
  <w:style w:type="paragraph" w:styleId="Encabezado">
    <w:name w:val="header"/>
    <w:basedOn w:val="Normal"/>
    <w:link w:val="EncabezadoCar"/>
    <w:uiPriority w:val="99"/>
    <w:unhideWhenUsed/>
    <w:rsid w:val="001C4D22"/>
    <w:pPr>
      <w:tabs>
        <w:tab w:val="center" w:pos="4419"/>
        <w:tab w:val="right" w:pos="8838"/>
      </w:tabs>
    </w:pPr>
  </w:style>
  <w:style w:type="character" w:customStyle="1" w:styleId="EncabezadoCar1">
    <w:name w:val="Encabezado Car1"/>
    <w:basedOn w:val="Fuentedeprrafopredeter"/>
    <w:uiPriority w:val="99"/>
    <w:semiHidden/>
    <w:rsid w:val="001C4D22"/>
    <w:rPr>
      <w:sz w:val="24"/>
      <w:szCs w:val="24"/>
    </w:rPr>
  </w:style>
  <w:style w:type="paragraph" w:styleId="Textodeglobo">
    <w:name w:val="Balloon Text"/>
    <w:basedOn w:val="Normal"/>
    <w:link w:val="TextodegloboCar"/>
    <w:uiPriority w:val="99"/>
    <w:semiHidden/>
    <w:unhideWhenUsed/>
    <w:rsid w:val="001C4D22"/>
    <w:rPr>
      <w:rFonts w:ascii="Tahoma" w:hAnsi="Tahoma" w:cs="Tahoma"/>
      <w:sz w:val="16"/>
      <w:szCs w:val="16"/>
    </w:rPr>
  </w:style>
  <w:style w:type="character" w:customStyle="1" w:styleId="TextodegloboCar">
    <w:name w:val="Texto de globo Car"/>
    <w:basedOn w:val="Fuentedeprrafopredeter"/>
    <w:link w:val="Textodeglobo"/>
    <w:uiPriority w:val="99"/>
    <w:semiHidden/>
    <w:rsid w:val="001C4D22"/>
    <w:rPr>
      <w:rFonts w:ascii="Tahoma" w:hAnsi="Tahoma" w:cs="Tahoma"/>
      <w:sz w:val="16"/>
      <w:szCs w:val="16"/>
    </w:rPr>
  </w:style>
  <w:style w:type="character" w:styleId="Refdenotaalpie">
    <w:name w:val="footnote reference"/>
    <w:basedOn w:val="Fuentedeprrafopredeter"/>
    <w:uiPriority w:val="99"/>
    <w:semiHidden/>
    <w:unhideWhenUsed/>
    <w:rsid w:val="002A6691"/>
    <w:rPr>
      <w:vertAlign w:val="superscript"/>
    </w:rPr>
  </w:style>
  <w:style w:type="character" w:styleId="Hipervnculo">
    <w:name w:val="Hyperlink"/>
    <w:basedOn w:val="Fuentedeprrafopredeter"/>
    <w:uiPriority w:val="99"/>
    <w:unhideWhenUsed/>
    <w:rsid w:val="002A6691"/>
    <w:rPr>
      <w:color w:val="0000FF"/>
      <w:u w:val="single"/>
    </w:rPr>
  </w:style>
  <w:style w:type="paragraph" w:styleId="Sinespaciado">
    <w:name w:val="No Spacing"/>
    <w:uiPriority w:val="1"/>
    <w:qFormat/>
    <w:rsid w:val="00B455DB"/>
    <w:pPr>
      <w:spacing w:after="0" w:line="240" w:lineRule="auto"/>
    </w:pPr>
    <w:rPr>
      <w:rFonts w:eastAsiaTheme="minorEastAsia"/>
      <w:lang w:val="en-US" w:eastAsia="zh-CN"/>
    </w:rPr>
  </w:style>
  <w:style w:type="character" w:styleId="Refdecomentario">
    <w:name w:val="annotation reference"/>
    <w:basedOn w:val="Fuentedeprrafopredeter"/>
    <w:uiPriority w:val="99"/>
    <w:semiHidden/>
    <w:unhideWhenUsed/>
    <w:rsid w:val="00581B0A"/>
    <w:rPr>
      <w:sz w:val="16"/>
      <w:szCs w:val="16"/>
    </w:rPr>
  </w:style>
  <w:style w:type="paragraph" w:styleId="Asuntodelcomentario">
    <w:name w:val="annotation subject"/>
    <w:basedOn w:val="Textocomentario"/>
    <w:next w:val="Textocomentario"/>
    <w:link w:val="AsuntodelcomentarioCar"/>
    <w:uiPriority w:val="99"/>
    <w:semiHidden/>
    <w:unhideWhenUsed/>
    <w:rsid w:val="00581B0A"/>
    <w:rPr>
      <w:b/>
      <w:bCs/>
    </w:rPr>
  </w:style>
  <w:style w:type="character" w:customStyle="1" w:styleId="AsuntodelcomentarioCar">
    <w:name w:val="Asunto del comentario Car"/>
    <w:basedOn w:val="TextocomentarioCar"/>
    <w:link w:val="Asuntodelcomentario"/>
    <w:uiPriority w:val="99"/>
    <w:semiHidden/>
    <w:rsid w:val="00581B0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N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D22"/>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basedOn w:val="Fuentedeprrafopredeter"/>
    <w:link w:val="Piedepgina"/>
    <w:uiPriority w:val="99"/>
    <w:qFormat/>
    <w:rsid w:val="001C4D22"/>
    <w:rPr>
      <w:sz w:val="24"/>
      <w:szCs w:val="24"/>
    </w:rPr>
  </w:style>
  <w:style w:type="character" w:styleId="Nmerodepgina">
    <w:name w:val="page number"/>
    <w:basedOn w:val="Fuentedeprrafopredeter"/>
    <w:uiPriority w:val="99"/>
    <w:semiHidden/>
    <w:unhideWhenUsed/>
    <w:qFormat/>
    <w:rsid w:val="001C4D22"/>
  </w:style>
  <w:style w:type="character" w:customStyle="1" w:styleId="TextonotapieCar">
    <w:name w:val="Texto nota pie Car"/>
    <w:basedOn w:val="Fuentedeprrafopredeter"/>
    <w:link w:val="Textonotapie"/>
    <w:uiPriority w:val="99"/>
    <w:semiHidden/>
    <w:qFormat/>
    <w:rsid w:val="001C4D22"/>
    <w:rPr>
      <w:sz w:val="20"/>
      <w:szCs w:val="20"/>
    </w:rPr>
  </w:style>
  <w:style w:type="character" w:customStyle="1" w:styleId="Ancladenotaalpie">
    <w:name w:val="Ancla de nota al pie"/>
    <w:rsid w:val="001C4D22"/>
    <w:rPr>
      <w:vertAlign w:val="superscript"/>
    </w:rPr>
  </w:style>
  <w:style w:type="character" w:customStyle="1" w:styleId="FootnoteCharacters">
    <w:name w:val="Footnote Characters"/>
    <w:basedOn w:val="Fuentedeprrafopredeter"/>
    <w:link w:val="BVIfnr"/>
    <w:unhideWhenUsed/>
    <w:qFormat/>
    <w:rsid w:val="001C4D22"/>
    <w:rPr>
      <w:vertAlign w:val="superscript"/>
    </w:rPr>
  </w:style>
  <w:style w:type="character" w:customStyle="1" w:styleId="A3">
    <w:name w:val="A3"/>
    <w:uiPriority w:val="99"/>
    <w:qFormat/>
    <w:rsid w:val="001C4D22"/>
    <w:rPr>
      <w:color w:val="000000"/>
      <w:sz w:val="20"/>
      <w:szCs w:val="20"/>
    </w:rPr>
  </w:style>
  <w:style w:type="character" w:customStyle="1" w:styleId="EnlacedeInternet">
    <w:name w:val="Enlace de Internet"/>
    <w:basedOn w:val="Fuentedeprrafopredeter"/>
    <w:uiPriority w:val="99"/>
    <w:unhideWhenUsed/>
    <w:rsid w:val="001C4D22"/>
    <w:rPr>
      <w:color w:val="0000FF" w:themeColor="hyperlink"/>
      <w:u w:val="single"/>
    </w:rPr>
  </w:style>
  <w:style w:type="character" w:customStyle="1" w:styleId="TextocomentarioCar">
    <w:name w:val="Texto comentario Car"/>
    <w:basedOn w:val="Fuentedeprrafopredeter"/>
    <w:link w:val="Textocomentario"/>
    <w:uiPriority w:val="99"/>
    <w:qFormat/>
    <w:rsid w:val="001C4D22"/>
    <w:rPr>
      <w:sz w:val="20"/>
      <w:szCs w:val="20"/>
    </w:rPr>
  </w:style>
  <w:style w:type="character" w:customStyle="1" w:styleId="EncabezadoCar">
    <w:name w:val="Encabezado Car"/>
    <w:basedOn w:val="Fuentedeprrafopredeter"/>
    <w:link w:val="Encabezado"/>
    <w:uiPriority w:val="99"/>
    <w:qFormat/>
    <w:rsid w:val="001C4D22"/>
    <w:rPr>
      <w:sz w:val="24"/>
      <w:szCs w:val="24"/>
    </w:rPr>
  </w:style>
  <w:style w:type="character" w:customStyle="1" w:styleId="Caracteresdenotaalpie">
    <w:name w:val="Caracteres de nota al pie"/>
    <w:qFormat/>
    <w:rsid w:val="001C4D22"/>
  </w:style>
  <w:style w:type="paragraph" w:styleId="Prrafodelista">
    <w:name w:val="List Paragraph"/>
    <w:basedOn w:val="Normal"/>
    <w:uiPriority w:val="34"/>
    <w:qFormat/>
    <w:rsid w:val="001C4D22"/>
    <w:pPr>
      <w:ind w:left="720"/>
      <w:contextualSpacing/>
    </w:pPr>
  </w:style>
  <w:style w:type="paragraph" w:styleId="Piedepgina">
    <w:name w:val="footer"/>
    <w:basedOn w:val="Normal"/>
    <w:link w:val="PiedepginaCar"/>
    <w:uiPriority w:val="99"/>
    <w:unhideWhenUsed/>
    <w:rsid w:val="001C4D22"/>
    <w:pPr>
      <w:tabs>
        <w:tab w:val="center" w:pos="4419"/>
        <w:tab w:val="right" w:pos="8838"/>
      </w:tabs>
    </w:pPr>
  </w:style>
  <w:style w:type="character" w:customStyle="1" w:styleId="PiedepginaCar1">
    <w:name w:val="Pie de página Car1"/>
    <w:basedOn w:val="Fuentedeprrafopredeter"/>
    <w:uiPriority w:val="99"/>
    <w:semiHidden/>
    <w:rsid w:val="001C4D22"/>
    <w:rPr>
      <w:sz w:val="24"/>
      <w:szCs w:val="24"/>
    </w:rPr>
  </w:style>
  <w:style w:type="paragraph" w:styleId="Textonotapie">
    <w:name w:val="footnote text"/>
    <w:basedOn w:val="Normal"/>
    <w:link w:val="TextonotapieCar"/>
    <w:uiPriority w:val="99"/>
    <w:semiHidden/>
    <w:unhideWhenUsed/>
    <w:rsid w:val="001C4D22"/>
    <w:rPr>
      <w:sz w:val="20"/>
      <w:szCs w:val="20"/>
    </w:rPr>
  </w:style>
  <w:style w:type="character" w:customStyle="1" w:styleId="TextonotapieCar1">
    <w:name w:val="Texto nota pie Car1"/>
    <w:basedOn w:val="Fuentedeprrafopredeter"/>
    <w:uiPriority w:val="99"/>
    <w:semiHidden/>
    <w:rsid w:val="001C4D22"/>
    <w:rPr>
      <w:sz w:val="20"/>
      <w:szCs w:val="20"/>
    </w:rPr>
  </w:style>
  <w:style w:type="paragraph" w:customStyle="1" w:styleId="BVIfnr">
    <w:name w:val="BVI fnr"/>
    <w:basedOn w:val="Normal"/>
    <w:link w:val="FootnoteCharacters"/>
    <w:qFormat/>
    <w:rsid w:val="001C4D22"/>
    <w:pPr>
      <w:spacing w:after="160" w:line="240" w:lineRule="exact"/>
    </w:pPr>
    <w:rPr>
      <w:sz w:val="22"/>
      <w:szCs w:val="22"/>
      <w:vertAlign w:val="superscript"/>
    </w:rPr>
  </w:style>
  <w:style w:type="paragraph" w:customStyle="1" w:styleId="Default">
    <w:name w:val="Default"/>
    <w:qFormat/>
    <w:rsid w:val="001C4D22"/>
    <w:pPr>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unhideWhenUsed/>
    <w:qFormat/>
    <w:rsid w:val="001C4D22"/>
    <w:rPr>
      <w:sz w:val="20"/>
      <w:szCs w:val="20"/>
    </w:rPr>
  </w:style>
  <w:style w:type="character" w:customStyle="1" w:styleId="TextocomentarioCar1">
    <w:name w:val="Texto comentario Car1"/>
    <w:basedOn w:val="Fuentedeprrafopredeter"/>
    <w:uiPriority w:val="99"/>
    <w:semiHidden/>
    <w:rsid w:val="001C4D22"/>
    <w:rPr>
      <w:sz w:val="20"/>
      <w:szCs w:val="20"/>
    </w:rPr>
  </w:style>
  <w:style w:type="paragraph" w:styleId="Encabezado">
    <w:name w:val="header"/>
    <w:basedOn w:val="Normal"/>
    <w:link w:val="EncabezadoCar"/>
    <w:uiPriority w:val="99"/>
    <w:unhideWhenUsed/>
    <w:rsid w:val="001C4D22"/>
    <w:pPr>
      <w:tabs>
        <w:tab w:val="center" w:pos="4419"/>
        <w:tab w:val="right" w:pos="8838"/>
      </w:tabs>
    </w:pPr>
  </w:style>
  <w:style w:type="character" w:customStyle="1" w:styleId="EncabezadoCar1">
    <w:name w:val="Encabezado Car1"/>
    <w:basedOn w:val="Fuentedeprrafopredeter"/>
    <w:uiPriority w:val="99"/>
    <w:semiHidden/>
    <w:rsid w:val="001C4D22"/>
    <w:rPr>
      <w:sz w:val="24"/>
      <w:szCs w:val="24"/>
    </w:rPr>
  </w:style>
  <w:style w:type="paragraph" w:styleId="Textodeglobo">
    <w:name w:val="Balloon Text"/>
    <w:basedOn w:val="Normal"/>
    <w:link w:val="TextodegloboCar"/>
    <w:uiPriority w:val="99"/>
    <w:semiHidden/>
    <w:unhideWhenUsed/>
    <w:rsid w:val="001C4D22"/>
    <w:rPr>
      <w:rFonts w:ascii="Tahoma" w:hAnsi="Tahoma" w:cs="Tahoma"/>
      <w:sz w:val="16"/>
      <w:szCs w:val="16"/>
    </w:rPr>
  </w:style>
  <w:style w:type="character" w:customStyle="1" w:styleId="TextodegloboCar">
    <w:name w:val="Texto de globo Car"/>
    <w:basedOn w:val="Fuentedeprrafopredeter"/>
    <w:link w:val="Textodeglobo"/>
    <w:uiPriority w:val="99"/>
    <w:semiHidden/>
    <w:rsid w:val="001C4D22"/>
    <w:rPr>
      <w:rFonts w:ascii="Tahoma" w:hAnsi="Tahoma" w:cs="Tahoma"/>
      <w:sz w:val="16"/>
      <w:szCs w:val="16"/>
    </w:rPr>
  </w:style>
  <w:style w:type="character" w:styleId="Refdenotaalpie">
    <w:name w:val="footnote reference"/>
    <w:basedOn w:val="Fuentedeprrafopredeter"/>
    <w:uiPriority w:val="99"/>
    <w:semiHidden/>
    <w:unhideWhenUsed/>
    <w:rsid w:val="002A6691"/>
    <w:rPr>
      <w:vertAlign w:val="superscript"/>
    </w:rPr>
  </w:style>
  <w:style w:type="character" w:styleId="Hipervnculo">
    <w:name w:val="Hyperlink"/>
    <w:basedOn w:val="Fuentedeprrafopredeter"/>
    <w:uiPriority w:val="99"/>
    <w:unhideWhenUsed/>
    <w:rsid w:val="002A6691"/>
    <w:rPr>
      <w:color w:val="0000FF"/>
      <w:u w:val="single"/>
    </w:rPr>
  </w:style>
  <w:style w:type="paragraph" w:styleId="Sinespaciado">
    <w:name w:val="No Spacing"/>
    <w:uiPriority w:val="1"/>
    <w:qFormat/>
    <w:rsid w:val="00B455DB"/>
    <w:pPr>
      <w:spacing w:after="0" w:line="240" w:lineRule="auto"/>
    </w:pPr>
    <w:rPr>
      <w:rFonts w:eastAsiaTheme="minorEastAsia"/>
      <w:lang w:val="en-US" w:eastAsia="zh-CN"/>
    </w:rPr>
  </w:style>
  <w:style w:type="character" w:styleId="Refdecomentario">
    <w:name w:val="annotation reference"/>
    <w:basedOn w:val="Fuentedeprrafopredeter"/>
    <w:uiPriority w:val="99"/>
    <w:semiHidden/>
    <w:unhideWhenUsed/>
    <w:rsid w:val="00581B0A"/>
    <w:rPr>
      <w:sz w:val="16"/>
      <w:szCs w:val="16"/>
    </w:rPr>
  </w:style>
  <w:style w:type="paragraph" w:styleId="Asuntodelcomentario">
    <w:name w:val="annotation subject"/>
    <w:basedOn w:val="Textocomentario"/>
    <w:next w:val="Textocomentario"/>
    <w:link w:val="AsuntodelcomentarioCar"/>
    <w:uiPriority w:val="99"/>
    <w:semiHidden/>
    <w:unhideWhenUsed/>
    <w:rsid w:val="00581B0A"/>
    <w:rPr>
      <w:b/>
      <w:bCs/>
    </w:rPr>
  </w:style>
  <w:style w:type="character" w:customStyle="1" w:styleId="AsuntodelcomentarioCar">
    <w:name w:val="Asunto del comentario Car"/>
    <w:basedOn w:val="TextocomentarioCar"/>
    <w:link w:val="Asuntodelcomentario"/>
    <w:uiPriority w:val="99"/>
    <w:semiHidden/>
    <w:rsid w:val="00581B0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s://www.uil.unesco.org/es/ciudades-del-aprendizaje" TargetMode="External"/><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3" Type="http://schemas.openxmlformats.org/officeDocument/2006/relationships/hyperlink" Target="http://legislacion.asamblea.gob.ni/Diariodebate.nsf/1e91f0054ac77a85062572e50067fde4/cc9b1e452fc9d7ae06257f8700789b6c" TargetMode="External"/><Relationship Id="rId18" Type="http://schemas.openxmlformats.org/officeDocument/2006/relationships/hyperlink" Target="https://www.un.org/es/observances/decade-people-african-descent" TargetMode="External"/><Relationship Id="rId26" Type="http://schemas.openxmlformats.org/officeDocument/2006/relationships/hyperlink" Target="https://www.connectas.org/asi-lograron-los-permisos-para-construir-el-canal-en-tierras-comunitarias-del-caribe/" TargetMode="External"/><Relationship Id="rId39" Type="http://schemas.openxmlformats.org/officeDocument/2006/relationships/hyperlink" Target="https://www.theguardian.com/world/2020/apr/29/nicaragua-illegal-land-grabs-indigenous-territories-report" TargetMode="External"/><Relationship Id="rId21" Type="http://schemas.openxmlformats.org/officeDocument/2006/relationships/hyperlink" Target="https://ministeriopublico.gob.ni/LibreriaVirtual/Leyes/LEY%20N%C2%B0%20641-C%C3%93DIGO%20PENAL.pdf" TargetMode="External"/><Relationship Id="rId34" Type="http://schemas.openxmlformats.org/officeDocument/2006/relationships/hyperlink" Target="https://www.divergentes.com/palma-africana-caribe-nicaragua/" TargetMode="External"/><Relationship Id="rId42" Type="http://schemas.openxmlformats.org/officeDocument/2006/relationships/hyperlink" Target="https://sites.google.com/site/fraudenicaragua/" TargetMode="External"/><Relationship Id="rId47" Type="http://schemas.openxmlformats.org/officeDocument/2006/relationships/hyperlink" Target="https://www.abc.es/internacional/abci-concluyen-elecciones-nicaragua-segura-reeleccion-ortega-202111080135_noticia.html" TargetMode="External"/><Relationship Id="rId50" Type="http://schemas.openxmlformats.org/officeDocument/2006/relationships/hyperlink" Target="https://www.nicaraguainvestiga.com/brandon-dy-glen-entre-los-liberados-esta-madrugada/" TargetMode="External"/><Relationship Id="rId55" Type="http://schemas.openxmlformats.org/officeDocument/2006/relationships/hyperlink" Target="http://legislacion.asamblea.gob.ni/Normaweb.nsf/($All)/B2FBC86E5FD975420625755B00765A99" TargetMode="External"/><Relationship Id="rId7" Type="http://schemas.openxmlformats.org/officeDocument/2006/relationships/hyperlink" Target="https://hablemosdeculturas.com/garifuna/" TargetMode="External"/><Relationship Id="rId12" Type="http://schemas.openxmlformats.org/officeDocument/2006/relationships/hyperlink" Target="https://www.poderjudicial.gob.ni/pjupload/archivos/documentos/LA_CONSTITUCION_POLITICA_Y_SUS_REFORMAS%283%29.pdf" TargetMode="External"/><Relationship Id="rId17" Type="http://schemas.openxmlformats.org/officeDocument/2006/relationships/hyperlink" Target="http://legislacion.asamblea.gob.ni/Diariodebate.nsf/76ed72912dd57e570625698c00773f5d/f79b3410c7393c740625788700589e06" TargetMode="External"/><Relationship Id="rId25" Type="http://schemas.openxmlformats.org/officeDocument/2006/relationships/hyperlink" Target="https://www.bcie.org/novedades/noticias/articulo/fondo-verde-para-el-clima-aprueba-us641-millones-al-bcie-para-el-financiamiento-del-proyecto-bio-clima-en-nicaragua" TargetMode="External"/><Relationship Id="rId33" Type="http://schemas.openxmlformats.org/officeDocument/2006/relationships/hyperlink" Target="https://data.landportal.info/es/blog-post/2022/03/el-caso-del-canal-interoce%C3%A1nico-de-nicaragua-ante-la-corte-idh" TargetMode="External"/><Relationship Id="rId38" Type="http://schemas.openxmlformats.org/officeDocument/2006/relationships/hyperlink" Target="https://www.culturalsurvival.org/news/covid-19-starts-nicaragua-settler-violence-continues?fbclid=IwAR1893ANgljU9_nV_GzkyrvdFNk-z13PWqNe5iQSU15mSLrOE8xR3cTKzxc" TargetMode="External"/><Relationship Id="rId46" Type="http://schemas.openxmlformats.org/officeDocument/2006/relationships/hyperlink" Target="https://confidencial.com.ni/elecciones-regionales-entre-la-desconfianza-y-el-abstencionismo/" TargetMode="External"/><Relationship Id="rId59" Type="http://schemas.openxmlformats.org/officeDocument/2006/relationships/hyperlink" Target="https://100noticias.com.ni/nacionales/102339-66-nicas-varados-en-isla-de-gran-caiman-regresan-a/" TargetMode="External"/><Relationship Id="rId2" Type="http://schemas.openxmlformats.org/officeDocument/2006/relationships/hyperlink" Target="https://www.laprensa.com.ni/2017/09/05/nacionales/2291867-estado-transfiere-tierras-a-chn" TargetMode="External"/><Relationship Id="rId16" Type="http://schemas.openxmlformats.org/officeDocument/2006/relationships/hyperlink" Target="http://legislacion.asamblea.gob.ni/normaweb.nsf/($All)/543E375E259770310625775F005465FE" TargetMode="External"/><Relationship Id="rId20" Type="http://schemas.openxmlformats.org/officeDocument/2006/relationships/hyperlink" Target="https://www.bing.com/videos/search?q=asesinato+de+angel+gahona+frente+a+policia+de+bluefields&amp;&amp;view=detail&amp;mid=207686F632949A6461AF207686F632949A6461AF&amp;&amp;FORM=VRDGAR&amp;ru=%2Fvideos%2Fsearch%3Fq%3Dasesinato%2Bde%2Bangel%2Bgahona%2Bfrente%2Ba%2Bpolicia%2Bde%2Bbluefields%26%26FORM%3DVDVVXX" TargetMode="External"/><Relationship Id="rId29" Type="http://schemas.openxmlformats.org/officeDocument/2006/relationships/hyperlink" Target="https://www.laprensa.com.ni/2016/12/05/nacionales/2145792-creoles-recurren-contra-ortega" TargetMode="External"/><Relationship Id="rId41" Type="http://schemas.openxmlformats.org/officeDocument/2006/relationships/hyperlink" Target="https://confidencial.com.ni/reserva-indio-maiz-sigue-vulnerable-y-desproteguida/" TargetMode="External"/><Relationship Id="rId54" Type="http://schemas.openxmlformats.org/officeDocument/2006/relationships/hyperlink" Target="https://nicaragua.justia.com/nacionales/leyes/ley-de-uso-oficial-de-las-lenguas-de-las-comunidades-de-la-costa-atlantica-de-nicaragua-jul-15-1996/gdoc/" TargetMode="External"/><Relationship Id="rId1" Type="http://schemas.openxmlformats.org/officeDocument/2006/relationships/hyperlink" Target="https://www.elnuevodiario.com.ni/opinion/95387-afrodescendientes-nicaragua/" TargetMode="External"/><Relationship Id="rId6" Type="http://schemas.openxmlformats.org/officeDocument/2006/relationships/hyperlink" Target="https://hdr.undp.org/content/informe-de-desarrollo-humano-2005-de-la-costa-caribe-nicaragua" TargetMode="External"/><Relationship Id="rId11" Type="http://schemas.openxmlformats.org/officeDocument/2006/relationships/hyperlink" Target="https://nicaraguaactual.tv/granada-bluefields-juigalpa-unesco-ciudades-aprendizaje/" TargetMode="External"/><Relationship Id="rId24" Type="http://schemas.openxmlformats.org/officeDocument/2006/relationships/hyperlink" Target="https://www.prensa-latina.cu/2022/03/09/nicaragua-construira-puerto-de-aguas-profundas-en-bluefields" TargetMode="External"/><Relationship Id="rId32" Type="http://schemas.openxmlformats.org/officeDocument/2006/relationships/hyperlink" Target="https://www.youtube.com/watch?v=UzY8SNXTIMA" TargetMode="External"/><Relationship Id="rId37" Type="http://schemas.openxmlformats.org/officeDocument/2006/relationships/hyperlink" Target="http://legislacion.asamblea.gob.ni/Indice.nsf/9499521c0ebc358b06256ff80049dd33/600bbeb58b717a670625703d00625853" TargetMode="External"/><Relationship Id="rId40" Type="http://schemas.openxmlformats.org/officeDocument/2006/relationships/hyperlink" Target="http://www.radiolaprimerisima.com/noticias/general/287297/comunidades-indigenas-reciben-titulos-de-propiedad-comunales/" TargetMode="External"/><Relationship Id="rId45" Type="http://schemas.openxmlformats.org/officeDocument/2006/relationships/hyperlink" Target="https://cgten-anden.org.ni/index.php/88-news/2487-cse-confirma-a-63-concejales-del-fsln-tras-elecciones-en-la-costa-caribe" TargetMode="External"/><Relationship Id="rId53" Type="http://schemas.openxmlformats.org/officeDocument/2006/relationships/hyperlink" Target="https://www.laprensa.com.ni/2019/10/08/columna-del-dia/2598157-el-perturbador-video-de-evans" TargetMode="External"/><Relationship Id="rId58" Type="http://schemas.openxmlformats.org/officeDocument/2006/relationships/hyperlink" Target="https://confidencial.com.ni/nicaraguenses-varados-en-islas-caiman-estamos-mendigando-queremos-volver/" TargetMode="External"/><Relationship Id="rId5" Type="http://schemas.openxmlformats.org/officeDocument/2006/relationships/hyperlink" Target="https://www.facebook.com/NotiBluefields/posts/878832255605058" TargetMode="External"/><Relationship Id="rId15" Type="http://schemas.openxmlformats.org/officeDocument/2006/relationships/hyperlink" Target="https://www.cse.gob.ni/sites/default/files/documentos/decreto_a_la_ley_59_de_division_politica_administrativa.pdf" TargetMode="External"/><Relationship Id="rId23" Type="http://schemas.openxmlformats.org/officeDocument/2006/relationships/hyperlink" Target="https://nicaraguainvestiga.com/reportajes/38357-saldo-tumarin-poblado-apawas/" TargetMode="External"/><Relationship Id="rId28" Type="http://schemas.openxmlformats.org/officeDocument/2006/relationships/hyperlink" Target="http://legislacion.asamblea.gob.ni/Normaweb.nsf/($All)/878312CA9631B9F60625723400675DDB" TargetMode="External"/><Relationship Id="rId36" Type="http://schemas.openxmlformats.org/officeDocument/2006/relationships/hyperlink" Target="https://www.informea.org/es/node/181732" TargetMode="External"/><Relationship Id="rId49" Type="http://schemas.openxmlformats.org/officeDocument/2006/relationships/hyperlink" Target="https://confidencial.com.ni/inconsistencias-en-el-juicio-de-brandon-lovo-y-glen-slate-por-el-asesinato-de-angel-gahona/" TargetMode="External"/><Relationship Id="rId57" Type="http://schemas.openxmlformats.org/officeDocument/2006/relationships/hyperlink" Target="https://www.elnuevodiario.com.ni/nacionales/97337-tribunal-apelaciones-bluefields-burla-comunidad-af/" TargetMode="External"/><Relationship Id="rId10" Type="http://schemas.openxmlformats.org/officeDocument/2006/relationships/hyperlink" Target="https://www.lavozdelsandinismo.com/nicaragua/2013-11-23/festejan-garifunas-de-nicaragua-y-de-otros-pueblos-su-dia-nacional/" TargetMode="External"/><Relationship Id="rId19" Type="http://schemas.openxmlformats.org/officeDocument/2006/relationships/hyperlink" Target="https://www.elnuevodiario.com.ni/nacionales/473290-culpables-acusados-asesinar-angel-gahona-nicaragua/" TargetMode="External"/><Relationship Id="rId31" Type="http://schemas.openxmlformats.org/officeDocument/2006/relationships/hyperlink" Target="http://www.pueblosindigenaspcn.net/observatorio/imagen/gobierno-presiona-ramas-por-canal" TargetMode="External"/><Relationship Id="rId44" Type="http://schemas.openxmlformats.org/officeDocument/2006/relationships/hyperlink" Target="http://legislacion.asamblea.gob.ni/normaweb.nsf/3133c0d121ea3897062568a1005e0f89/8abab8f0a5a0cfd306257a830079bc60" TargetMode="External"/><Relationship Id="rId52" Type="http://schemas.openxmlformats.org/officeDocument/2006/relationships/hyperlink" Target="https://www.laprensa.com.ni/2019/09/11/departamentales/2589022-policias-orteguistas-dejan-morir-ahogado-a-un-joven-en-bluefields" TargetMode="External"/><Relationship Id="rId60" Type="http://schemas.openxmlformats.org/officeDocument/2006/relationships/hyperlink" Target="https://theworldnews.net/ni-news/gobierno-sigue-bloqueando-retorno-de-nicas-varados-en-islas-caiman-y-cruceros" TargetMode="External"/><Relationship Id="rId4" Type="http://schemas.openxmlformats.org/officeDocument/2006/relationships/hyperlink" Target="https://www.corteidh.or.cr/docs/casos/articulos/seriec_127_esp.pdf." TargetMode="External"/><Relationship Id="rId9" Type="http://schemas.openxmlformats.org/officeDocument/2006/relationships/hyperlink" Target="https://www.uraccan.edu.ni/sites/default/files/2019-0/Manual%20Interpretacio&#769;n%20Mapas%20-%20WEB.pdf" TargetMode="External"/><Relationship Id="rId14" Type="http://schemas.openxmlformats.org/officeDocument/2006/relationships/hyperlink" Target="http://legislacion.asamblea.gob.ni/Normaweb.nsf/($All)/F59730333B3F6FA5062571B200559533" TargetMode="External"/><Relationship Id="rId22" Type="http://schemas.openxmlformats.org/officeDocument/2006/relationships/hyperlink" Target="https://www.calpi-nicaragua.com/decreto-de-ratificacion-de-convenio-169-nicaragua/" TargetMode="External"/><Relationship Id="rId27" Type="http://schemas.openxmlformats.org/officeDocument/2006/relationships/hyperlink" Target="https://sajurin.enriquebolanos.org/docs/Ley%20del%20Gran%20Canal%20Gaceta.pdf" TargetMode="External"/><Relationship Id="rId30" Type="http://schemas.openxmlformats.org/officeDocument/2006/relationships/hyperlink" Target="https://bluefieldsrights.files.wordpress.com/2012/08/diagnostico-bluefields-final.pdf" TargetMode="External"/><Relationship Id="rId35" Type="http://schemas.openxmlformats.org/officeDocument/2006/relationships/hyperlink" Target="file:///E:\IMPRESIONES%20AGOSTO%202022\circular-310420.PDF" TargetMode="External"/><Relationship Id="rId43" Type="http://schemas.openxmlformats.org/officeDocument/2006/relationships/hyperlink" Target="https://www.dw.com/es/la-concentraci%C3%B3n-del-poder-en-nicaragua-est%C3%A1-en-la-familia-ortega-murillo/av-59149243" TargetMode="External"/><Relationship Id="rId48" Type="http://schemas.openxmlformats.org/officeDocument/2006/relationships/hyperlink" Target="http://archivo.elnuevodiario.com.ni/opinion/283386-elecciones-primarias-partidos-politicos/" TargetMode="External"/><Relationship Id="rId56" Type="http://schemas.openxmlformats.org/officeDocument/2006/relationships/hyperlink" Target="https://www.elnuevodiario.com.ni/nacionales/94425-orteguismo-cierra-programa-radial-bluefields/?view=amp" TargetMode="External"/><Relationship Id="rId8" Type="http://schemas.openxmlformats.org/officeDocument/2006/relationships/hyperlink" Target="http://legislacion.asamblea.gob.ni/indice.nsf/c3639d8c1d72577006256fe800533609/961537bdadbde1a906257d9500540a5c" TargetMode="External"/><Relationship Id="rId51" Type="http://schemas.openxmlformats.org/officeDocument/2006/relationships/hyperlink" Target="https://100noticias.com.ni/sucesos/94604-reo-carcel-bluefields-asesinado/" TargetMode="External"/><Relationship Id="rId3" Type="http://schemas.openxmlformats.org/officeDocument/2006/relationships/hyperlink" Target="https://eyboricua.com/noticias/ambiente/fondo-verde-aporta-64-millones-a-proyecto-bio-clim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9C0AE9-25AC-4C47-BCFE-29F5E1FF4F18}">
  <ds:schemaRefs>
    <ds:schemaRef ds:uri="http://schemas.openxmlformats.org/officeDocument/2006/bibliography"/>
  </ds:schemaRefs>
</ds:datastoreItem>
</file>

<file path=customXml/itemProps2.xml><?xml version="1.0" encoding="utf-8"?>
<ds:datastoreItem xmlns:ds="http://schemas.openxmlformats.org/officeDocument/2006/customXml" ds:itemID="{AF4F4928-1364-4F8D-B40E-46F2C8445925}"/>
</file>

<file path=customXml/itemProps3.xml><?xml version="1.0" encoding="utf-8"?>
<ds:datastoreItem xmlns:ds="http://schemas.openxmlformats.org/officeDocument/2006/customXml" ds:itemID="{4990619D-35D9-43E6-A3D5-A9EAAE14B25E}"/>
</file>

<file path=customXml/itemProps4.xml><?xml version="1.0" encoding="utf-8"?>
<ds:datastoreItem xmlns:ds="http://schemas.openxmlformats.org/officeDocument/2006/customXml" ds:itemID="{681EDD72-B50F-4916-BEB5-EC9BDE3DA7D2}"/>
</file>

<file path=docProps/app.xml><?xml version="1.0" encoding="utf-8"?>
<Properties xmlns="http://schemas.openxmlformats.org/officeDocument/2006/extended-properties" xmlns:vt="http://schemas.openxmlformats.org/officeDocument/2006/docPropsVTypes">
  <Template>Normal</Template>
  <TotalTime>3</TotalTime>
  <Pages>23</Pages>
  <Words>7531</Words>
  <Characters>41422</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Inspiron</dc:creator>
  <cp:lastModifiedBy>user</cp:lastModifiedBy>
  <cp:revision>4</cp:revision>
  <dcterms:created xsi:type="dcterms:W3CDTF">2022-09-10T06:36:00Z</dcterms:created>
  <dcterms:modified xsi:type="dcterms:W3CDTF">2022-09-10T07:11:00Z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