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42B8E" w14:textId="77777777" w:rsidR="006F6679" w:rsidRPr="00FB7A92" w:rsidRDefault="006F6679">
      <w:pPr>
        <w:jc w:val="center"/>
        <w:rPr>
          <w:rFonts w:asciiTheme="majorHAnsi" w:eastAsia="Calibri" w:hAnsiTheme="majorHAnsi" w:cstheme="majorHAnsi"/>
          <w:sz w:val="22"/>
          <w:szCs w:val="22"/>
        </w:rPr>
      </w:pPr>
      <w:bookmarkStart w:id="0" w:name="_GoBack"/>
      <w:bookmarkEnd w:id="0"/>
    </w:p>
    <w:p w14:paraId="60BB9654" w14:textId="77777777" w:rsidR="006F6679" w:rsidRPr="00FB7A92" w:rsidRDefault="006F6679">
      <w:pPr>
        <w:jc w:val="center"/>
        <w:rPr>
          <w:rFonts w:asciiTheme="majorHAnsi" w:eastAsia="Calibri" w:hAnsiTheme="majorHAnsi" w:cstheme="majorHAnsi"/>
          <w:sz w:val="22"/>
          <w:szCs w:val="22"/>
        </w:rPr>
      </w:pPr>
    </w:p>
    <w:p w14:paraId="410C6309" w14:textId="63A8E08E" w:rsidR="00DB0CFE" w:rsidRPr="00FB7A92" w:rsidRDefault="007216E8">
      <w:pPr>
        <w:jc w:val="center"/>
        <w:rPr>
          <w:rFonts w:asciiTheme="majorHAnsi" w:eastAsia="Calibri" w:hAnsiTheme="majorHAnsi" w:cstheme="majorHAnsi"/>
          <w:sz w:val="22"/>
          <w:szCs w:val="22"/>
        </w:rPr>
      </w:pPr>
      <w:r w:rsidRPr="00FB7A92">
        <w:rPr>
          <w:rFonts w:asciiTheme="majorHAnsi" w:eastAsia="Calibri" w:hAnsiTheme="majorHAnsi" w:cstheme="majorHAnsi"/>
          <w:sz w:val="22"/>
          <w:szCs w:val="22"/>
        </w:rPr>
        <w:t xml:space="preserve">Thematic report on the implementation of the Convention on the Rights of the Child and the Optional Protocol on the sale of children, child prostitution and child pornography </w:t>
      </w:r>
    </w:p>
    <w:p w14:paraId="134021B8" w14:textId="77777777" w:rsidR="00DB0CFE" w:rsidRPr="00FB7A92" w:rsidRDefault="007216E8">
      <w:pPr>
        <w:jc w:val="center"/>
        <w:rPr>
          <w:rFonts w:asciiTheme="majorHAnsi" w:eastAsia="Calibri" w:hAnsiTheme="majorHAnsi" w:cstheme="majorHAnsi"/>
          <w:sz w:val="22"/>
          <w:szCs w:val="22"/>
        </w:rPr>
      </w:pPr>
      <w:r w:rsidRPr="00FB7A92">
        <w:rPr>
          <w:rFonts w:asciiTheme="majorHAnsi" w:eastAsia="Calibri" w:hAnsiTheme="majorHAnsi" w:cstheme="majorHAnsi"/>
          <w:sz w:val="22"/>
          <w:szCs w:val="22"/>
        </w:rPr>
        <w:t>in the context of the Simplified Reporting Procedure (SRP)</w:t>
      </w:r>
    </w:p>
    <w:p w14:paraId="1E5A5455" w14:textId="77777777" w:rsidR="00DB0CFE" w:rsidRPr="00FB7A92" w:rsidRDefault="00DB0CFE">
      <w:pPr>
        <w:jc w:val="center"/>
        <w:rPr>
          <w:rFonts w:asciiTheme="majorHAnsi" w:eastAsia="Calibri" w:hAnsiTheme="majorHAnsi" w:cstheme="majorHAnsi"/>
          <w:b/>
          <w:sz w:val="22"/>
          <w:szCs w:val="22"/>
        </w:rPr>
      </w:pPr>
    </w:p>
    <w:p w14:paraId="0A61F51C" w14:textId="77777777" w:rsidR="00DB0CFE" w:rsidRPr="00FB7A92" w:rsidRDefault="007216E8">
      <w:pPr>
        <w:jc w:val="center"/>
        <w:rPr>
          <w:rFonts w:asciiTheme="majorHAnsi" w:eastAsia="Calibri" w:hAnsiTheme="majorHAnsi" w:cstheme="majorHAnsi"/>
          <w:b/>
          <w:sz w:val="22"/>
          <w:szCs w:val="22"/>
        </w:rPr>
      </w:pPr>
      <w:r w:rsidRPr="00FB7A92">
        <w:rPr>
          <w:rFonts w:asciiTheme="majorHAnsi" w:eastAsia="Calibri" w:hAnsiTheme="majorHAnsi" w:cstheme="majorHAnsi"/>
          <w:b/>
          <w:sz w:val="22"/>
          <w:szCs w:val="22"/>
        </w:rPr>
        <w:t>“Sexual Exploitation of Children in Mauritius”</w:t>
      </w:r>
    </w:p>
    <w:p w14:paraId="6B04D76F" w14:textId="77777777" w:rsidR="00DB0CFE" w:rsidRPr="00FB7A92" w:rsidRDefault="00DB0CFE">
      <w:pPr>
        <w:jc w:val="center"/>
        <w:rPr>
          <w:rFonts w:asciiTheme="majorHAnsi" w:eastAsia="Calibri" w:hAnsiTheme="majorHAnsi" w:cstheme="majorHAnsi"/>
          <w:b/>
          <w:sz w:val="22"/>
          <w:szCs w:val="22"/>
        </w:rPr>
      </w:pPr>
    </w:p>
    <w:p w14:paraId="33C9BA3B" w14:textId="77777777" w:rsidR="00DB0CFE" w:rsidRPr="00FB7A92" w:rsidRDefault="00DB0CFE">
      <w:pPr>
        <w:jc w:val="center"/>
        <w:rPr>
          <w:rFonts w:asciiTheme="majorHAnsi" w:eastAsia="Calibri" w:hAnsiTheme="majorHAnsi" w:cstheme="majorHAnsi"/>
          <w:b/>
          <w:sz w:val="22"/>
          <w:szCs w:val="22"/>
        </w:rPr>
      </w:pPr>
    </w:p>
    <w:p w14:paraId="5CFA3B7B" w14:textId="77777777" w:rsidR="00DB0CFE" w:rsidRPr="00FB7A92" w:rsidRDefault="00DB0CFE">
      <w:pPr>
        <w:jc w:val="center"/>
        <w:rPr>
          <w:rFonts w:asciiTheme="majorHAnsi" w:eastAsia="Calibri" w:hAnsiTheme="majorHAnsi" w:cstheme="majorHAnsi"/>
          <w:b/>
          <w:sz w:val="22"/>
          <w:szCs w:val="22"/>
        </w:rPr>
      </w:pPr>
    </w:p>
    <w:p w14:paraId="06C8B38E" w14:textId="77777777" w:rsidR="00DB0CFE" w:rsidRPr="00FB7A92" w:rsidRDefault="00DB0CFE">
      <w:pPr>
        <w:jc w:val="center"/>
        <w:rPr>
          <w:rFonts w:asciiTheme="majorHAnsi" w:eastAsia="Calibri" w:hAnsiTheme="majorHAnsi" w:cstheme="majorHAnsi"/>
          <w:b/>
          <w:sz w:val="22"/>
          <w:szCs w:val="22"/>
        </w:rPr>
      </w:pPr>
    </w:p>
    <w:p w14:paraId="5C9D0834" w14:textId="77777777" w:rsidR="00DB0CFE" w:rsidRPr="00FB7A92" w:rsidRDefault="00DB0CFE">
      <w:pPr>
        <w:jc w:val="center"/>
        <w:rPr>
          <w:rFonts w:asciiTheme="majorHAnsi" w:eastAsia="Calibri" w:hAnsiTheme="majorHAnsi" w:cstheme="majorHAnsi"/>
          <w:b/>
          <w:sz w:val="22"/>
          <w:szCs w:val="22"/>
        </w:rPr>
      </w:pPr>
    </w:p>
    <w:p w14:paraId="0F50A6E2" w14:textId="77777777" w:rsidR="00DB0CFE" w:rsidRPr="00FB7A92" w:rsidRDefault="00DB0CFE">
      <w:pPr>
        <w:jc w:val="center"/>
        <w:rPr>
          <w:rFonts w:asciiTheme="majorHAnsi" w:eastAsia="Calibri" w:hAnsiTheme="majorHAnsi" w:cstheme="majorHAnsi"/>
          <w:b/>
          <w:sz w:val="22"/>
          <w:szCs w:val="22"/>
        </w:rPr>
      </w:pPr>
    </w:p>
    <w:p w14:paraId="241EE679" w14:textId="77777777" w:rsidR="00DB0CFE" w:rsidRPr="00FB7A92" w:rsidRDefault="00DB0CFE">
      <w:pPr>
        <w:jc w:val="center"/>
        <w:rPr>
          <w:rFonts w:asciiTheme="majorHAnsi" w:eastAsia="Calibri" w:hAnsiTheme="majorHAnsi" w:cstheme="majorHAnsi"/>
          <w:b/>
          <w:sz w:val="22"/>
          <w:szCs w:val="22"/>
        </w:rPr>
      </w:pPr>
    </w:p>
    <w:p w14:paraId="507C768A" w14:textId="77777777" w:rsidR="00DB0CFE" w:rsidRPr="00FB7A92" w:rsidRDefault="007216E8">
      <w:pPr>
        <w:jc w:val="center"/>
        <w:rPr>
          <w:rFonts w:asciiTheme="majorHAnsi" w:eastAsia="Calibri" w:hAnsiTheme="majorHAnsi" w:cstheme="majorHAnsi"/>
          <w:sz w:val="22"/>
          <w:szCs w:val="22"/>
        </w:rPr>
      </w:pPr>
      <w:r w:rsidRPr="00FB7A92">
        <w:rPr>
          <w:rFonts w:asciiTheme="majorHAnsi" w:eastAsia="Calibri" w:hAnsiTheme="majorHAnsi" w:cstheme="majorHAnsi"/>
          <w:sz w:val="22"/>
          <w:szCs w:val="22"/>
        </w:rPr>
        <w:t>Submitted by</w:t>
      </w:r>
    </w:p>
    <w:p w14:paraId="51DC6A04" w14:textId="77777777" w:rsidR="00DB0CFE" w:rsidRPr="00FB7A92" w:rsidRDefault="007216E8">
      <w:pPr>
        <w:widowControl w:val="0"/>
        <w:ind w:right="461"/>
        <w:jc w:val="center"/>
        <w:rPr>
          <w:rFonts w:asciiTheme="majorHAnsi" w:eastAsia="Calibri" w:hAnsiTheme="majorHAnsi" w:cstheme="majorHAnsi"/>
          <w:b/>
          <w:sz w:val="22"/>
          <w:szCs w:val="22"/>
        </w:rPr>
      </w:pPr>
      <w:r w:rsidRPr="00FB7A92">
        <w:rPr>
          <w:rFonts w:asciiTheme="majorHAnsi" w:eastAsia="Calibri" w:hAnsiTheme="majorHAnsi" w:cstheme="majorHAnsi"/>
          <w:b/>
          <w:sz w:val="22"/>
          <w:szCs w:val="22"/>
        </w:rPr>
        <w:t>Halley Movement &amp; Pan-Mauritius Coalition</w:t>
      </w:r>
    </w:p>
    <w:p w14:paraId="0FDC0C26" w14:textId="77777777" w:rsidR="00DB0CFE" w:rsidRPr="00FB7A92" w:rsidRDefault="007216E8">
      <w:pPr>
        <w:jc w:val="center"/>
        <w:rPr>
          <w:rFonts w:asciiTheme="majorHAnsi" w:eastAsia="Calibri" w:hAnsiTheme="majorHAnsi" w:cstheme="majorHAnsi"/>
          <w:sz w:val="22"/>
          <w:szCs w:val="22"/>
        </w:rPr>
      </w:pPr>
      <w:r w:rsidRPr="00FB7A92">
        <w:rPr>
          <w:rFonts w:asciiTheme="majorHAnsi" w:eastAsia="Calibri" w:hAnsiTheme="majorHAnsi" w:cstheme="majorHAnsi"/>
          <w:sz w:val="22"/>
          <w:szCs w:val="22"/>
        </w:rPr>
        <w:t>and</w:t>
      </w:r>
    </w:p>
    <w:p w14:paraId="07CAC87A" w14:textId="77777777" w:rsidR="00DB0CFE" w:rsidRPr="00FB7A92" w:rsidRDefault="007216E8">
      <w:pPr>
        <w:jc w:val="center"/>
        <w:rPr>
          <w:rFonts w:asciiTheme="majorHAnsi" w:eastAsia="Calibri" w:hAnsiTheme="majorHAnsi" w:cstheme="majorHAnsi"/>
          <w:b/>
          <w:sz w:val="22"/>
          <w:szCs w:val="22"/>
        </w:rPr>
      </w:pPr>
      <w:r w:rsidRPr="00FB7A92">
        <w:rPr>
          <w:rFonts w:asciiTheme="majorHAnsi" w:eastAsia="Calibri" w:hAnsiTheme="majorHAnsi" w:cstheme="majorHAnsi"/>
          <w:b/>
          <w:sz w:val="22"/>
          <w:szCs w:val="22"/>
        </w:rPr>
        <w:t>ECPAT International</w:t>
      </w:r>
    </w:p>
    <w:p w14:paraId="0979AC6B" w14:textId="77777777" w:rsidR="00DB0CFE" w:rsidRPr="00FB7A92" w:rsidRDefault="007216E8">
      <w:pPr>
        <w:jc w:val="center"/>
        <w:rPr>
          <w:rFonts w:asciiTheme="majorHAnsi" w:eastAsia="Calibri" w:hAnsiTheme="majorHAnsi" w:cstheme="majorHAnsi"/>
          <w:sz w:val="22"/>
          <w:szCs w:val="22"/>
        </w:rPr>
      </w:pPr>
      <w:r w:rsidRPr="00FB7A92">
        <w:rPr>
          <w:rFonts w:asciiTheme="majorHAnsi" w:eastAsia="Calibri" w:hAnsiTheme="majorHAnsi" w:cstheme="majorHAnsi"/>
          <w:sz w:val="22"/>
          <w:szCs w:val="22"/>
        </w:rPr>
        <w:t>1 March 2020</w:t>
      </w:r>
    </w:p>
    <w:p w14:paraId="1BD82BE9" w14:textId="77777777" w:rsidR="00DB0CFE" w:rsidRPr="00FB7A92" w:rsidRDefault="00DB0CFE">
      <w:pPr>
        <w:jc w:val="center"/>
        <w:rPr>
          <w:rFonts w:asciiTheme="majorHAnsi" w:eastAsia="Calibri" w:hAnsiTheme="majorHAnsi" w:cstheme="majorHAnsi"/>
          <w:sz w:val="22"/>
          <w:szCs w:val="22"/>
        </w:rPr>
      </w:pPr>
    </w:p>
    <w:p w14:paraId="4F195579" w14:textId="77777777" w:rsidR="00DB0CFE" w:rsidRPr="00FB7A92" w:rsidRDefault="00DB0CFE">
      <w:pPr>
        <w:rPr>
          <w:rFonts w:asciiTheme="majorHAnsi" w:eastAsia="Calibri" w:hAnsiTheme="majorHAnsi" w:cstheme="majorHAnsi"/>
          <w:sz w:val="22"/>
          <w:szCs w:val="22"/>
        </w:rPr>
      </w:pPr>
    </w:p>
    <w:p w14:paraId="19F0D5E8" w14:textId="77777777" w:rsidR="00DB0CFE" w:rsidRPr="00FB7A92" w:rsidRDefault="00DB0CFE">
      <w:pPr>
        <w:jc w:val="center"/>
        <w:rPr>
          <w:rFonts w:asciiTheme="majorHAnsi" w:eastAsia="Calibri" w:hAnsiTheme="majorHAnsi" w:cstheme="majorHAnsi"/>
          <w:sz w:val="22"/>
          <w:szCs w:val="22"/>
        </w:rPr>
      </w:pPr>
    </w:p>
    <w:p w14:paraId="474ADBAE" w14:textId="77777777" w:rsidR="00DB0CFE" w:rsidRPr="00FB7A92" w:rsidRDefault="007216E8">
      <w:pPr>
        <w:jc w:val="center"/>
        <w:rPr>
          <w:rFonts w:asciiTheme="majorHAnsi" w:eastAsia="Calibri" w:hAnsiTheme="majorHAnsi" w:cstheme="majorHAnsi"/>
          <w:b/>
          <w:sz w:val="22"/>
          <w:szCs w:val="22"/>
        </w:rPr>
      </w:pPr>
      <w:r w:rsidRPr="00FB7A92">
        <w:rPr>
          <w:rFonts w:asciiTheme="majorHAnsi" w:eastAsia="Calibri" w:hAnsiTheme="majorHAnsi" w:cstheme="majorHAnsi"/>
          <w:sz w:val="22"/>
          <w:szCs w:val="22"/>
        </w:rPr>
        <w:t xml:space="preserve">to the </w:t>
      </w:r>
      <w:r w:rsidRPr="00FB7A92">
        <w:rPr>
          <w:rFonts w:asciiTheme="majorHAnsi" w:eastAsia="Calibri" w:hAnsiTheme="majorHAnsi" w:cstheme="majorHAnsi"/>
          <w:b/>
          <w:sz w:val="22"/>
          <w:szCs w:val="22"/>
        </w:rPr>
        <w:t>Committee on the Rights of the Child</w:t>
      </w:r>
    </w:p>
    <w:p w14:paraId="1DDA771B" w14:textId="5EC6B660" w:rsidR="00DB0CFE" w:rsidRPr="00FB7A92" w:rsidRDefault="007216E8">
      <w:pPr>
        <w:jc w:val="center"/>
        <w:rPr>
          <w:rFonts w:asciiTheme="majorHAnsi" w:eastAsia="Calibri" w:hAnsiTheme="majorHAnsi" w:cstheme="majorHAnsi"/>
          <w:sz w:val="22"/>
          <w:szCs w:val="22"/>
        </w:rPr>
      </w:pPr>
      <w:r w:rsidRPr="00FB7A92">
        <w:rPr>
          <w:rFonts w:asciiTheme="majorHAnsi" w:eastAsia="Calibri" w:hAnsiTheme="majorHAnsi" w:cstheme="majorHAnsi"/>
          <w:sz w:val="22"/>
          <w:szCs w:val="22"/>
        </w:rPr>
        <w:t>8</w:t>
      </w:r>
      <w:r w:rsidR="009D0724" w:rsidRPr="00FB7A92">
        <w:rPr>
          <w:rFonts w:asciiTheme="majorHAnsi" w:eastAsia="Calibri" w:hAnsiTheme="majorHAnsi" w:cstheme="majorHAnsi"/>
          <w:sz w:val="22"/>
          <w:szCs w:val="22"/>
        </w:rPr>
        <w:t>7</w:t>
      </w:r>
      <w:r w:rsidRPr="00FB7A92">
        <w:rPr>
          <w:rFonts w:asciiTheme="majorHAnsi" w:eastAsia="Calibri" w:hAnsiTheme="majorHAnsi" w:cstheme="majorHAnsi"/>
          <w:sz w:val="22"/>
          <w:szCs w:val="22"/>
        </w:rPr>
        <w:t xml:space="preserve">th Pre-session </w:t>
      </w:r>
    </w:p>
    <w:p w14:paraId="611818EE" w14:textId="58444333" w:rsidR="00DB0CFE" w:rsidRPr="00FB7A92" w:rsidRDefault="007216E8">
      <w:pPr>
        <w:jc w:val="center"/>
        <w:rPr>
          <w:rFonts w:asciiTheme="majorHAnsi" w:eastAsia="Calibri" w:hAnsiTheme="majorHAnsi" w:cstheme="majorHAnsi"/>
          <w:sz w:val="22"/>
          <w:szCs w:val="22"/>
        </w:rPr>
      </w:pPr>
      <w:r w:rsidRPr="00FB7A92">
        <w:rPr>
          <w:rFonts w:asciiTheme="majorHAnsi" w:eastAsia="Calibri" w:hAnsiTheme="majorHAnsi" w:cstheme="majorHAnsi"/>
          <w:sz w:val="22"/>
          <w:szCs w:val="22"/>
        </w:rPr>
        <w:t xml:space="preserve">(1 – 5 June 2020) </w:t>
      </w:r>
    </w:p>
    <w:p w14:paraId="74813F4B" w14:textId="77777777" w:rsidR="00DB0CFE" w:rsidRPr="00FB7A92" w:rsidRDefault="00DB0CFE">
      <w:pPr>
        <w:rPr>
          <w:rFonts w:asciiTheme="majorHAnsi" w:eastAsia="Calibri" w:hAnsiTheme="majorHAnsi" w:cstheme="majorHAnsi"/>
          <w:sz w:val="22"/>
          <w:szCs w:val="22"/>
        </w:rPr>
      </w:pPr>
    </w:p>
    <w:p w14:paraId="1D662279" w14:textId="77777777" w:rsidR="00DB0CFE" w:rsidRPr="00FB7A92" w:rsidRDefault="007216E8">
      <w:pPr>
        <w:rPr>
          <w:rFonts w:asciiTheme="majorHAnsi" w:eastAsia="Calibri" w:hAnsiTheme="majorHAnsi" w:cstheme="majorHAnsi"/>
          <w:sz w:val="22"/>
          <w:szCs w:val="22"/>
        </w:rPr>
      </w:pPr>
      <w:r w:rsidRPr="00FB7A92">
        <w:rPr>
          <w:rFonts w:asciiTheme="majorHAnsi" w:hAnsiTheme="majorHAnsi" w:cstheme="majorHAnsi"/>
        </w:rPr>
        <w:br w:type="page"/>
      </w:r>
    </w:p>
    <w:p w14:paraId="72454A1B" w14:textId="77777777" w:rsidR="00DB0CFE" w:rsidRPr="00FB7A92" w:rsidRDefault="007216E8">
      <w:pPr>
        <w:widowControl w:val="0"/>
        <w:pBdr>
          <w:top w:val="nil"/>
          <w:left w:val="nil"/>
          <w:bottom w:val="nil"/>
          <w:right w:val="nil"/>
          <w:between w:val="nil"/>
        </w:pBdr>
        <w:spacing w:before="288"/>
        <w:jc w:val="both"/>
        <w:rPr>
          <w:rFonts w:asciiTheme="majorHAnsi" w:eastAsia="Calibri" w:hAnsiTheme="majorHAnsi" w:cstheme="majorHAnsi"/>
          <w:color w:val="000000"/>
          <w:sz w:val="22"/>
          <w:szCs w:val="22"/>
          <w:highlight w:val="green"/>
        </w:rPr>
      </w:pPr>
      <w:r w:rsidRPr="00FB7A92">
        <w:rPr>
          <w:rFonts w:asciiTheme="majorHAnsi" w:hAnsiTheme="majorHAnsi" w:cstheme="majorHAnsi"/>
          <w:noProof/>
          <w:lang w:eastAsia="en-GB"/>
        </w:rPr>
        <w:lastRenderedPageBreak/>
        <w:drawing>
          <wp:anchor distT="0" distB="0" distL="114300" distR="114300" simplePos="0" relativeHeight="251658240" behindDoc="0" locked="0" layoutInCell="1" hidden="0" allowOverlap="1" wp14:anchorId="04CFE510" wp14:editId="369359B9">
            <wp:simplePos x="0" y="0"/>
            <wp:positionH relativeFrom="column">
              <wp:posOffset>3240405</wp:posOffset>
            </wp:positionH>
            <wp:positionV relativeFrom="paragraph">
              <wp:posOffset>-194309</wp:posOffset>
            </wp:positionV>
            <wp:extent cx="985997" cy="1062349"/>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985997" cy="1062349"/>
                    </a:xfrm>
                    <a:prstGeom prst="rect">
                      <a:avLst/>
                    </a:prstGeom>
                    <a:ln/>
                  </pic:spPr>
                </pic:pic>
              </a:graphicData>
            </a:graphic>
          </wp:anchor>
        </w:drawing>
      </w:r>
      <w:r w:rsidRPr="00FB7A92">
        <w:rPr>
          <w:rFonts w:asciiTheme="majorHAnsi" w:hAnsiTheme="majorHAnsi" w:cstheme="majorHAnsi"/>
          <w:noProof/>
          <w:lang w:eastAsia="en-GB"/>
        </w:rPr>
        <w:drawing>
          <wp:anchor distT="0" distB="0" distL="114300" distR="114300" simplePos="0" relativeHeight="251659264" behindDoc="0" locked="0" layoutInCell="1" hidden="0" allowOverlap="1" wp14:anchorId="4DE5EFEA" wp14:editId="0931B875">
            <wp:simplePos x="0" y="0"/>
            <wp:positionH relativeFrom="column">
              <wp:posOffset>-152399</wp:posOffset>
            </wp:positionH>
            <wp:positionV relativeFrom="paragraph">
              <wp:posOffset>5715</wp:posOffset>
            </wp:positionV>
            <wp:extent cx="1314450" cy="971550"/>
            <wp:effectExtent l="0" t="0" r="0" b="0"/>
            <wp:wrapNone/>
            <wp:docPr id="2" name="image2.jpg" descr="cid:5F4ED844-EC6D-4325-94BE-2EBECC5A38B3"/>
            <wp:cNvGraphicFramePr/>
            <a:graphic xmlns:a="http://schemas.openxmlformats.org/drawingml/2006/main">
              <a:graphicData uri="http://schemas.openxmlformats.org/drawingml/2006/picture">
                <pic:pic xmlns:pic="http://schemas.openxmlformats.org/drawingml/2006/picture">
                  <pic:nvPicPr>
                    <pic:cNvPr id="0" name="image2.jpg" descr="cid:5F4ED844-EC6D-4325-94BE-2EBECC5A38B3"/>
                    <pic:cNvPicPr preferRelativeResize="0"/>
                  </pic:nvPicPr>
                  <pic:blipFill>
                    <a:blip r:embed="rId9"/>
                    <a:srcRect/>
                    <a:stretch>
                      <a:fillRect/>
                    </a:stretch>
                  </pic:blipFill>
                  <pic:spPr>
                    <a:xfrm>
                      <a:off x="0" y="0"/>
                      <a:ext cx="1314450" cy="971550"/>
                    </a:xfrm>
                    <a:prstGeom prst="rect">
                      <a:avLst/>
                    </a:prstGeom>
                    <a:ln/>
                  </pic:spPr>
                </pic:pic>
              </a:graphicData>
            </a:graphic>
          </wp:anchor>
        </w:drawing>
      </w:r>
    </w:p>
    <w:p w14:paraId="6738D8F4" w14:textId="77777777" w:rsidR="00DB0CFE" w:rsidRPr="00FB7A92" w:rsidRDefault="00DB0CFE">
      <w:pPr>
        <w:widowControl w:val="0"/>
        <w:pBdr>
          <w:top w:val="nil"/>
          <w:left w:val="nil"/>
          <w:bottom w:val="nil"/>
          <w:right w:val="nil"/>
          <w:between w:val="nil"/>
        </w:pBdr>
        <w:spacing w:before="288"/>
        <w:jc w:val="both"/>
        <w:rPr>
          <w:rFonts w:asciiTheme="majorHAnsi" w:eastAsia="Calibri" w:hAnsiTheme="majorHAnsi" w:cstheme="majorHAnsi"/>
          <w:color w:val="000000"/>
          <w:sz w:val="22"/>
          <w:szCs w:val="22"/>
          <w:highlight w:val="green"/>
        </w:rPr>
      </w:pPr>
    </w:p>
    <w:p w14:paraId="0AE7FF41" w14:textId="77777777" w:rsidR="00DB0CFE" w:rsidRPr="00FB7A92" w:rsidRDefault="00DB0CFE">
      <w:pPr>
        <w:widowControl w:val="0"/>
        <w:pBdr>
          <w:top w:val="nil"/>
          <w:left w:val="nil"/>
          <w:bottom w:val="nil"/>
          <w:right w:val="nil"/>
          <w:between w:val="nil"/>
        </w:pBdr>
        <w:spacing w:before="288"/>
        <w:jc w:val="both"/>
        <w:rPr>
          <w:rFonts w:asciiTheme="majorHAnsi" w:eastAsia="Calibri" w:hAnsiTheme="majorHAnsi" w:cstheme="majorHAnsi"/>
          <w:color w:val="000000"/>
          <w:sz w:val="22"/>
          <w:szCs w:val="22"/>
          <w:highlight w:val="green"/>
        </w:rPr>
      </w:pPr>
    </w:p>
    <w:tbl>
      <w:tblPr>
        <w:tblStyle w:val="a"/>
        <w:tblW w:w="9580" w:type="dxa"/>
        <w:tblInd w:w="-96" w:type="dxa"/>
        <w:tblLayout w:type="fixed"/>
        <w:tblLook w:val="0000" w:firstRow="0" w:lastRow="0" w:firstColumn="0" w:lastColumn="0" w:noHBand="0" w:noVBand="0"/>
      </w:tblPr>
      <w:tblGrid>
        <w:gridCol w:w="5058"/>
        <w:gridCol w:w="4522"/>
      </w:tblGrid>
      <w:tr w:rsidR="00DB0CFE" w:rsidRPr="00C86C8D" w14:paraId="53479FFE" w14:textId="77777777">
        <w:tc>
          <w:tcPr>
            <w:tcW w:w="5058" w:type="dxa"/>
            <w:tcMar>
              <w:top w:w="0" w:type="dxa"/>
              <w:left w:w="108" w:type="dxa"/>
              <w:bottom w:w="0" w:type="dxa"/>
              <w:right w:w="108" w:type="dxa"/>
            </w:tcMar>
          </w:tcPr>
          <w:p w14:paraId="013828B3" w14:textId="77777777" w:rsidR="00DB0CFE" w:rsidRPr="00FB7A92" w:rsidRDefault="00DB0CFE">
            <w:pPr>
              <w:widowControl w:val="0"/>
              <w:pBdr>
                <w:top w:val="nil"/>
                <w:left w:val="nil"/>
                <w:bottom w:val="nil"/>
                <w:right w:val="nil"/>
                <w:between w:val="nil"/>
              </w:pBdr>
              <w:ind w:right="319"/>
              <w:jc w:val="both"/>
              <w:rPr>
                <w:rFonts w:asciiTheme="majorHAnsi" w:eastAsia="Calibri" w:hAnsiTheme="majorHAnsi" w:cstheme="majorHAnsi"/>
                <w:b/>
                <w:color w:val="000000"/>
                <w:sz w:val="22"/>
                <w:szCs w:val="22"/>
              </w:rPr>
            </w:pPr>
          </w:p>
          <w:p w14:paraId="627E0476" w14:textId="77777777" w:rsidR="00DB0CFE" w:rsidRPr="00FB7A92" w:rsidRDefault="007216E8">
            <w:pPr>
              <w:widowControl w:val="0"/>
              <w:pBdr>
                <w:top w:val="nil"/>
                <w:left w:val="nil"/>
                <w:bottom w:val="nil"/>
                <w:right w:val="nil"/>
                <w:between w:val="nil"/>
              </w:pBdr>
              <w:ind w:right="319"/>
              <w:jc w:val="both"/>
              <w:rPr>
                <w:rFonts w:asciiTheme="majorHAnsi" w:eastAsia="Calibri" w:hAnsiTheme="majorHAnsi" w:cstheme="majorHAnsi"/>
                <w:b/>
                <w:color w:val="000000"/>
                <w:sz w:val="22"/>
                <w:szCs w:val="22"/>
              </w:rPr>
            </w:pPr>
            <w:r w:rsidRPr="00FB7A92">
              <w:rPr>
                <w:rFonts w:asciiTheme="majorHAnsi" w:eastAsia="Calibri" w:hAnsiTheme="majorHAnsi" w:cstheme="majorHAnsi"/>
                <w:b/>
                <w:color w:val="000000"/>
                <w:sz w:val="22"/>
                <w:szCs w:val="22"/>
              </w:rPr>
              <w:t>Halley Movement &amp; Pan-Mauritius Coalition</w:t>
            </w:r>
          </w:p>
          <w:p w14:paraId="177E0DDE" w14:textId="77777777" w:rsidR="00DB0CFE" w:rsidRPr="00FB7A92" w:rsidRDefault="00DB0CFE">
            <w:pPr>
              <w:widowControl w:val="0"/>
              <w:pBdr>
                <w:top w:val="nil"/>
                <w:left w:val="nil"/>
                <w:bottom w:val="nil"/>
                <w:right w:val="nil"/>
                <w:between w:val="nil"/>
              </w:pBdr>
              <w:ind w:right="319"/>
              <w:jc w:val="both"/>
              <w:rPr>
                <w:rFonts w:asciiTheme="majorHAnsi" w:eastAsia="Calibri" w:hAnsiTheme="majorHAnsi" w:cstheme="majorHAnsi"/>
                <w:color w:val="484848"/>
                <w:sz w:val="22"/>
                <w:szCs w:val="22"/>
              </w:rPr>
            </w:pPr>
          </w:p>
          <w:p w14:paraId="59E6CB46" w14:textId="77777777" w:rsidR="00DB0CFE" w:rsidRPr="00FB7A92" w:rsidRDefault="007216E8">
            <w:pPr>
              <w:widowControl w:val="0"/>
              <w:pBdr>
                <w:top w:val="nil"/>
                <w:left w:val="nil"/>
                <w:bottom w:val="nil"/>
                <w:right w:val="nil"/>
                <w:between w:val="nil"/>
              </w:pBdr>
              <w:ind w:right="319"/>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Contact: Mr. Mahendranath Busgopaul</w:t>
            </w:r>
          </w:p>
          <w:p w14:paraId="06111D2A" w14:textId="77777777" w:rsidR="00DB0CFE" w:rsidRPr="00FB7A92" w:rsidRDefault="007216E8">
            <w:pPr>
              <w:widowControl w:val="0"/>
              <w:pBdr>
                <w:top w:val="nil"/>
                <w:left w:val="nil"/>
                <w:bottom w:val="nil"/>
                <w:right w:val="nil"/>
                <w:between w:val="nil"/>
              </w:pBdr>
              <w:ind w:right="319"/>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Address: 43, Excellence House, Savanne Road,</w:t>
            </w:r>
          </w:p>
          <w:p w14:paraId="59989AD7" w14:textId="77777777" w:rsidR="00DB0CFE" w:rsidRPr="00FB7A92" w:rsidRDefault="007216E8">
            <w:pPr>
              <w:widowControl w:val="0"/>
              <w:pBdr>
                <w:top w:val="nil"/>
                <w:left w:val="nil"/>
                <w:bottom w:val="nil"/>
                <w:right w:val="nil"/>
                <w:between w:val="nil"/>
              </w:pBdr>
              <w:ind w:right="319"/>
              <w:jc w:val="both"/>
              <w:rPr>
                <w:rFonts w:asciiTheme="majorHAnsi" w:eastAsia="Calibri" w:hAnsiTheme="majorHAnsi" w:cstheme="majorHAnsi"/>
                <w:color w:val="000000"/>
                <w:sz w:val="22"/>
                <w:szCs w:val="22"/>
                <w:lang w:val="fr-FR"/>
              </w:rPr>
            </w:pPr>
            <w:r w:rsidRPr="00FB7A92">
              <w:rPr>
                <w:rFonts w:asciiTheme="majorHAnsi" w:eastAsia="Calibri" w:hAnsiTheme="majorHAnsi" w:cstheme="majorHAnsi"/>
                <w:color w:val="000000"/>
                <w:sz w:val="22"/>
                <w:szCs w:val="22"/>
                <w:lang w:val="fr-FR"/>
              </w:rPr>
              <w:t>Nouvelle France, Mauritius</w:t>
            </w:r>
          </w:p>
          <w:p w14:paraId="4E7907FD" w14:textId="77777777" w:rsidR="00DB0CFE" w:rsidRPr="00FB7A92" w:rsidRDefault="007216E8">
            <w:pPr>
              <w:widowControl w:val="0"/>
              <w:pBdr>
                <w:top w:val="nil"/>
                <w:left w:val="nil"/>
                <w:bottom w:val="nil"/>
                <w:right w:val="nil"/>
                <w:between w:val="nil"/>
              </w:pBdr>
              <w:ind w:right="319"/>
              <w:jc w:val="both"/>
              <w:rPr>
                <w:rFonts w:asciiTheme="majorHAnsi" w:eastAsia="Calibri" w:hAnsiTheme="majorHAnsi" w:cstheme="majorHAnsi"/>
                <w:color w:val="000000"/>
                <w:sz w:val="22"/>
                <w:szCs w:val="22"/>
                <w:lang w:val="fr-FR"/>
              </w:rPr>
            </w:pPr>
            <w:r w:rsidRPr="00FB7A92">
              <w:rPr>
                <w:rFonts w:asciiTheme="majorHAnsi" w:eastAsia="Calibri" w:hAnsiTheme="majorHAnsi" w:cstheme="majorHAnsi"/>
                <w:color w:val="000000"/>
                <w:sz w:val="22"/>
                <w:szCs w:val="22"/>
                <w:lang w:val="fr-FR"/>
              </w:rPr>
              <w:t>Phone: +2305 2514379</w:t>
            </w:r>
          </w:p>
          <w:p w14:paraId="1434659B" w14:textId="77777777" w:rsidR="00DB0CFE" w:rsidRPr="00FB7A92" w:rsidRDefault="007216E8">
            <w:pPr>
              <w:widowControl w:val="0"/>
              <w:pBdr>
                <w:top w:val="nil"/>
                <w:left w:val="nil"/>
                <w:bottom w:val="nil"/>
                <w:right w:val="nil"/>
                <w:between w:val="nil"/>
              </w:pBdr>
              <w:ind w:right="319"/>
              <w:jc w:val="both"/>
              <w:rPr>
                <w:rFonts w:asciiTheme="majorHAnsi" w:eastAsia="Calibri" w:hAnsiTheme="majorHAnsi" w:cstheme="majorHAnsi"/>
                <w:color w:val="000000"/>
                <w:sz w:val="22"/>
                <w:szCs w:val="22"/>
                <w:lang w:val="fr-FR"/>
              </w:rPr>
            </w:pPr>
            <w:r w:rsidRPr="00FB7A92">
              <w:rPr>
                <w:rFonts w:asciiTheme="majorHAnsi" w:eastAsia="Calibri" w:hAnsiTheme="majorHAnsi" w:cstheme="majorHAnsi"/>
                <w:color w:val="000000"/>
                <w:sz w:val="22"/>
                <w:szCs w:val="22"/>
                <w:lang w:val="fr-FR"/>
              </w:rPr>
              <w:t xml:space="preserve">Email: </w:t>
            </w:r>
            <w:hyperlink r:id="rId10">
              <w:r w:rsidRPr="00FB7A92">
                <w:rPr>
                  <w:rFonts w:asciiTheme="majorHAnsi" w:eastAsia="Calibri" w:hAnsiTheme="majorHAnsi" w:cstheme="majorHAnsi"/>
                  <w:color w:val="0000FF"/>
                  <w:sz w:val="22"/>
                  <w:szCs w:val="22"/>
                  <w:u w:val="single"/>
                  <w:lang w:val="fr-FR"/>
                </w:rPr>
                <w:t>Halley@intnet.mu</w:t>
              </w:r>
            </w:hyperlink>
          </w:p>
          <w:p w14:paraId="392AA5FA" w14:textId="77777777" w:rsidR="00DB0CFE" w:rsidRPr="00FB7A92" w:rsidRDefault="007216E8">
            <w:pPr>
              <w:widowControl w:val="0"/>
              <w:pBdr>
                <w:top w:val="nil"/>
                <w:left w:val="nil"/>
                <w:bottom w:val="nil"/>
                <w:right w:val="nil"/>
                <w:between w:val="nil"/>
              </w:pBdr>
              <w:ind w:right="319"/>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 xml:space="preserve">Website: </w:t>
            </w:r>
            <w:hyperlink r:id="rId11">
              <w:r w:rsidRPr="00FB7A92">
                <w:rPr>
                  <w:rFonts w:asciiTheme="majorHAnsi" w:eastAsia="Calibri" w:hAnsiTheme="majorHAnsi" w:cstheme="majorHAnsi"/>
                  <w:color w:val="0000FF"/>
                  <w:sz w:val="22"/>
                  <w:szCs w:val="22"/>
                  <w:u w:val="single"/>
                </w:rPr>
                <w:t>www.halleymovement.org</w:t>
              </w:r>
            </w:hyperlink>
          </w:p>
          <w:p w14:paraId="342E4A47" w14:textId="77777777" w:rsidR="00DB0CFE" w:rsidRPr="00FB7A92" w:rsidRDefault="007216E8">
            <w:pPr>
              <w:widowControl w:val="0"/>
              <w:pBdr>
                <w:top w:val="nil"/>
                <w:left w:val="nil"/>
                <w:bottom w:val="nil"/>
                <w:right w:val="nil"/>
                <w:between w:val="nil"/>
              </w:pBdr>
              <w:ind w:right="319"/>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 xml:space="preserve"> </w:t>
            </w:r>
          </w:p>
          <w:p w14:paraId="6EE45331" w14:textId="77777777" w:rsidR="00DB0CFE" w:rsidRPr="00FB7A92" w:rsidRDefault="00DB0CFE">
            <w:pPr>
              <w:widowControl w:val="0"/>
              <w:pBdr>
                <w:top w:val="nil"/>
                <w:left w:val="nil"/>
                <w:bottom w:val="nil"/>
                <w:right w:val="nil"/>
                <w:between w:val="nil"/>
              </w:pBdr>
              <w:ind w:right="319"/>
              <w:jc w:val="both"/>
              <w:rPr>
                <w:rFonts w:asciiTheme="majorHAnsi" w:eastAsia="Calibri" w:hAnsiTheme="majorHAnsi" w:cstheme="majorHAnsi"/>
                <w:i/>
                <w:color w:val="000000"/>
                <w:sz w:val="22"/>
                <w:szCs w:val="22"/>
              </w:rPr>
            </w:pPr>
          </w:p>
          <w:p w14:paraId="485870FE" w14:textId="77777777" w:rsidR="00DB0CFE" w:rsidRPr="00FB7A92" w:rsidRDefault="007216E8">
            <w:pPr>
              <w:widowControl w:val="0"/>
              <w:pBdr>
                <w:top w:val="nil"/>
                <w:left w:val="nil"/>
                <w:bottom w:val="nil"/>
                <w:right w:val="nil"/>
                <w:between w:val="nil"/>
              </w:pBdr>
              <w:ind w:right="459"/>
              <w:jc w:val="both"/>
              <w:rPr>
                <w:rFonts w:asciiTheme="majorHAnsi" w:eastAsia="Calibri" w:hAnsiTheme="majorHAnsi" w:cstheme="majorHAnsi"/>
                <w:color w:val="000000"/>
                <w:sz w:val="22"/>
                <w:szCs w:val="22"/>
              </w:rPr>
            </w:pPr>
            <w:r w:rsidRPr="00FB7A92">
              <w:rPr>
                <w:rFonts w:asciiTheme="majorHAnsi" w:eastAsia="Calibri" w:hAnsiTheme="majorHAnsi" w:cstheme="majorHAnsi"/>
                <w:i/>
                <w:color w:val="000000"/>
                <w:sz w:val="22"/>
                <w:szCs w:val="22"/>
              </w:rPr>
              <w:t>Halley Movement, an ECOSOC registered NGO heading the Pan-Mauritius Coalition, was set up in 1990 and is working for the welfare of children and families in Mauritius and in SADC Africa Region. The main activities of Halley Movement and the Coalition are advocacy, research, training and publication of sensitization materials. Combating CSEC is a major focus of the coalition, which works with other partner NGOs to conduct field activities in the region and Mauritius. Helpline Mauritius (</w:t>
            </w:r>
            <w:hyperlink r:id="rId12">
              <w:r w:rsidRPr="00FB7A92">
                <w:rPr>
                  <w:rFonts w:asciiTheme="majorHAnsi" w:eastAsia="Calibri" w:hAnsiTheme="majorHAnsi" w:cstheme="majorHAnsi"/>
                  <w:color w:val="000000"/>
                  <w:sz w:val="22"/>
                  <w:szCs w:val="22"/>
                </w:rPr>
                <w:t>www.helplinemauritius.org</w:t>
              </w:r>
            </w:hyperlink>
            <w:r w:rsidRPr="00FB7A92">
              <w:rPr>
                <w:rFonts w:asciiTheme="majorHAnsi" w:eastAsia="Calibri" w:hAnsiTheme="majorHAnsi" w:cstheme="majorHAnsi"/>
                <w:i/>
                <w:color w:val="000000"/>
                <w:sz w:val="22"/>
                <w:szCs w:val="22"/>
              </w:rPr>
              <w:t>) was initiated by Halley Movement in 2012.</w:t>
            </w:r>
          </w:p>
        </w:tc>
        <w:tc>
          <w:tcPr>
            <w:tcW w:w="4522" w:type="dxa"/>
            <w:tcMar>
              <w:top w:w="0" w:type="dxa"/>
              <w:left w:w="108" w:type="dxa"/>
              <w:bottom w:w="0" w:type="dxa"/>
              <w:right w:w="108" w:type="dxa"/>
            </w:tcMar>
          </w:tcPr>
          <w:p w14:paraId="03F39339" w14:textId="77777777" w:rsidR="00DB0CFE" w:rsidRPr="00FB7A92" w:rsidRDefault="00DB0CFE">
            <w:pPr>
              <w:widowControl w:val="0"/>
              <w:pBdr>
                <w:top w:val="nil"/>
                <w:left w:val="nil"/>
                <w:bottom w:val="nil"/>
                <w:right w:val="nil"/>
                <w:between w:val="nil"/>
              </w:pBdr>
              <w:jc w:val="both"/>
              <w:rPr>
                <w:rFonts w:asciiTheme="majorHAnsi" w:eastAsia="Calibri" w:hAnsiTheme="majorHAnsi" w:cstheme="majorHAnsi"/>
                <w:b/>
                <w:color w:val="000000"/>
                <w:sz w:val="22"/>
                <w:szCs w:val="22"/>
              </w:rPr>
            </w:pPr>
          </w:p>
          <w:p w14:paraId="3263A81B" w14:textId="77777777" w:rsidR="00DB0CFE" w:rsidRPr="00FB7A92" w:rsidRDefault="007216E8">
            <w:pPr>
              <w:widowControl w:val="0"/>
              <w:pBdr>
                <w:top w:val="nil"/>
                <w:left w:val="nil"/>
                <w:bottom w:val="nil"/>
                <w:right w:val="nil"/>
                <w:between w:val="nil"/>
              </w:pBdr>
              <w:jc w:val="both"/>
              <w:rPr>
                <w:rFonts w:asciiTheme="majorHAnsi" w:eastAsia="Calibri" w:hAnsiTheme="majorHAnsi" w:cstheme="majorHAnsi"/>
                <w:b/>
                <w:color w:val="000000"/>
                <w:sz w:val="22"/>
                <w:szCs w:val="22"/>
              </w:rPr>
            </w:pPr>
            <w:r w:rsidRPr="00FB7A92">
              <w:rPr>
                <w:rFonts w:asciiTheme="majorHAnsi" w:eastAsia="Calibri" w:hAnsiTheme="majorHAnsi" w:cstheme="majorHAnsi"/>
                <w:b/>
                <w:color w:val="000000"/>
                <w:sz w:val="22"/>
                <w:szCs w:val="22"/>
              </w:rPr>
              <w:t>ECPAT International</w:t>
            </w:r>
          </w:p>
          <w:p w14:paraId="3434E8B4" w14:textId="77777777" w:rsidR="00DB0CFE" w:rsidRPr="00FB7A92" w:rsidRDefault="007216E8">
            <w:pPr>
              <w:widowControl w:val="0"/>
              <w:pBdr>
                <w:top w:val="nil"/>
                <w:left w:val="nil"/>
                <w:bottom w:val="nil"/>
                <w:right w:val="nil"/>
                <w:between w:val="nil"/>
              </w:pBdr>
              <w:jc w:val="both"/>
              <w:rPr>
                <w:rFonts w:asciiTheme="majorHAnsi" w:eastAsia="Calibri" w:hAnsiTheme="majorHAnsi" w:cstheme="majorHAnsi"/>
                <w:color w:val="000000"/>
                <w:sz w:val="22"/>
                <w:szCs w:val="22"/>
                <w:u w:val="single"/>
              </w:rPr>
            </w:pPr>
            <w:r w:rsidRPr="00FB7A92">
              <w:rPr>
                <w:rFonts w:asciiTheme="majorHAnsi" w:eastAsia="Calibri" w:hAnsiTheme="majorHAnsi" w:cstheme="majorHAnsi"/>
                <w:color w:val="000000"/>
                <w:sz w:val="22"/>
                <w:szCs w:val="22"/>
                <w:u w:val="single"/>
              </w:rPr>
              <w:t>Special consultative status</w:t>
            </w:r>
          </w:p>
          <w:p w14:paraId="6CD01382" w14:textId="77777777" w:rsidR="00DB0CFE" w:rsidRPr="00FB7A92" w:rsidRDefault="00DB0CFE">
            <w:pPr>
              <w:widowControl w:val="0"/>
              <w:pBdr>
                <w:top w:val="nil"/>
                <w:left w:val="nil"/>
                <w:bottom w:val="nil"/>
                <w:right w:val="nil"/>
                <w:between w:val="nil"/>
              </w:pBdr>
              <w:jc w:val="both"/>
              <w:rPr>
                <w:rFonts w:asciiTheme="majorHAnsi" w:eastAsia="Calibri" w:hAnsiTheme="majorHAnsi" w:cstheme="majorHAnsi"/>
                <w:color w:val="000000"/>
                <w:sz w:val="22"/>
                <w:szCs w:val="22"/>
              </w:rPr>
            </w:pPr>
          </w:p>
          <w:p w14:paraId="0589656E" w14:textId="4DD2CF39" w:rsidR="00DB0CFE" w:rsidRPr="00FB7A92" w:rsidRDefault="007216E8">
            <w:pPr>
              <w:widowControl w:val="0"/>
              <w:pBdr>
                <w:top w:val="nil"/>
                <w:left w:val="nil"/>
                <w:bottom w:val="nil"/>
                <w:right w:val="nil"/>
                <w:between w:val="nil"/>
              </w:pBdr>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Executive Director: Mr. Robbert van den Berg</w:t>
            </w:r>
          </w:p>
          <w:p w14:paraId="0304E28A" w14:textId="77777777" w:rsidR="00DB0CFE" w:rsidRPr="00FB7A92" w:rsidRDefault="007216E8">
            <w:pPr>
              <w:widowControl w:val="0"/>
              <w:pBdr>
                <w:top w:val="nil"/>
                <w:left w:val="nil"/>
                <w:bottom w:val="nil"/>
                <w:right w:val="nil"/>
                <w:between w:val="nil"/>
              </w:pBdr>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Address: 328/1 Phayathai Road, Ratchathewi,</w:t>
            </w:r>
          </w:p>
          <w:p w14:paraId="6D7376BC" w14:textId="77777777" w:rsidR="00DB0CFE" w:rsidRPr="00FB7A92" w:rsidRDefault="007216E8">
            <w:pPr>
              <w:widowControl w:val="0"/>
              <w:pBdr>
                <w:top w:val="nil"/>
                <w:left w:val="nil"/>
                <w:bottom w:val="nil"/>
                <w:right w:val="nil"/>
                <w:between w:val="nil"/>
              </w:pBdr>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Bangkok 10400, Thailand</w:t>
            </w:r>
          </w:p>
          <w:p w14:paraId="019F09C2" w14:textId="77777777" w:rsidR="00DB0CFE" w:rsidRPr="00FB7A92" w:rsidRDefault="007216E8">
            <w:pPr>
              <w:widowControl w:val="0"/>
              <w:pBdr>
                <w:top w:val="nil"/>
                <w:left w:val="nil"/>
                <w:bottom w:val="nil"/>
                <w:right w:val="nil"/>
                <w:between w:val="nil"/>
              </w:pBdr>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 xml:space="preserve">Phone: </w:t>
            </w:r>
            <w:hyperlink r:id="rId13">
              <w:r w:rsidRPr="00FB7A92">
                <w:rPr>
                  <w:rFonts w:asciiTheme="majorHAnsi" w:eastAsia="Calibri" w:hAnsiTheme="majorHAnsi" w:cstheme="majorHAnsi"/>
                  <w:color w:val="000000"/>
                  <w:sz w:val="22"/>
                  <w:szCs w:val="22"/>
                </w:rPr>
                <w:t>+66 2 215 3388</w:t>
              </w:r>
            </w:hyperlink>
          </w:p>
          <w:p w14:paraId="4D45FA78" w14:textId="77777777" w:rsidR="00DB0CFE" w:rsidRPr="00FB7A92" w:rsidRDefault="007216E8">
            <w:pPr>
              <w:widowControl w:val="0"/>
              <w:pBdr>
                <w:top w:val="nil"/>
                <w:left w:val="nil"/>
                <w:bottom w:val="nil"/>
                <w:right w:val="nil"/>
                <w:between w:val="nil"/>
              </w:pBdr>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 xml:space="preserve">Email: </w:t>
            </w:r>
            <w:r w:rsidRPr="00FB7A92">
              <w:rPr>
                <w:rFonts w:asciiTheme="majorHAnsi" w:eastAsia="Calibri" w:hAnsiTheme="majorHAnsi" w:cstheme="majorHAnsi"/>
                <w:color w:val="0000FF"/>
                <w:sz w:val="22"/>
                <w:szCs w:val="22"/>
                <w:u w:val="single"/>
              </w:rPr>
              <w:t>info@ecpat.org</w:t>
            </w:r>
          </w:p>
          <w:p w14:paraId="10A6A0C5" w14:textId="77777777" w:rsidR="00DB0CFE" w:rsidRPr="00FB7A92" w:rsidRDefault="007216E8">
            <w:pPr>
              <w:widowControl w:val="0"/>
              <w:pBdr>
                <w:top w:val="nil"/>
                <w:left w:val="nil"/>
                <w:bottom w:val="nil"/>
                <w:right w:val="nil"/>
                <w:between w:val="nil"/>
              </w:pBdr>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 xml:space="preserve">Website: </w:t>
            </w:r>
            <w:hyperlink r:id="rId14">
              <w:r w:rsidRPr="00FB7A92">
                <w:rPr>
                  <w:rFonts w:asciiTheme="majorHAnsi" w:eastAsia="Calibri" w:hAnsiTheme="majorHAnsi" w:cstheme="majorHAnsi"/>
                  <w:color w:val="0000FF"/>
                  <w:sz w:val="22"/>
                  <w:szCs w:val="22"/>
                  <w:u w:val="single"/>
                </w:rPr>
                <w:t>www.ecpat.org</w:t>
              </w:r>
            </w:hyperlink>
          </w:p>
          <w:p w14:paraId="637255F8" w14:textId="77777777" w:rsidR="00DB0CFE" w:rsidRPr="00FB7A92" w:rsidRDefault="00DB0CFE">
            <w:pPr>
              <w:widowControl w:val="0"/>
              <w:pBdr>
                <w:top w:val="nil"/>
                <w:left w:val="nil"/>
                <w:bottom w:val="nil"/>
                <w:right w:val="nil"/>
                <w:between w:val="nil"/>
              </w:pBdr>
              <w:jc w:val="both"/>
              <w:rPr>
                <w:rFonts w:asciiTheme="majorHAnsi" w:eastAsia="Calibri" w:hAnsiTheme="majorHAnsi" w:cstheme="majorHAnsi"/>
                <w:color w:val="000000"/>
                <w:sz w:val="22"/>
                <w:szCs w:val="22"/>
              </w:rPr>
            </w:pPr>
          </w:p>
          <w:p w14:paraId="3458F1F9" w14:textId="2B64936D" w:rsidR="00DB0CFE" w:rsidRPr="00FB7A92" w:rsidRDefault="007216E8">
            <w:pPr>
              <w:widowControl w:val="0"/>
              <w:pBdr>
                <w:top w:val="nil"/>
                <w:left w:val="nil"/>
                <w:bottom w:val="nil"/>
                <w:right w:val="nil"/>
                <w:between w:val="nil"/>
              </w:pBdr>
              <w:jc w:val="both"/>
              <w:rPr>
                <w:rFonts w:asciiTheme="majorHAnsi" w:eastAsia="Calibri" w:hAnsiTheme="majorHAnsi" w:cstheme="majorHAnsi"/>
                <w:color w:val="000000"/>
                <w:sz w:val="22"/>
                <w:szCs w:val="22"/>
              </w:rPr>
            </w:pPr>
            <w:r w:rsidRPr="00FB7A92">
              <w:rPr>
                <w:rFonts w:asciiTheme="majorHAnsi" w:eastAsia="Calibri" w:hAnsiTheme="majorHAnsi" w:cstheme="majorHAnsi"/>
                <w:i/>
                <w:color w:val="000000"/>
                <w:sz w:val="22"/>
                <w:szCs w:val="22"/>
              </w:rPr>
              <w:t>ECPAT International is a global network of civil society organisations working for the eradication of all forms of sexual exploitation of children. For the past 30 years, ECPAT has acted as the international watchdog, monitoring States’ response to sexual exploitation of children, and advocating for robust international measures to protect children from sexual exploitation.</w:t>
            </w:r>
            <w:r w:rsidRPr="00FB7A92">
              <w:rPr>
                <w:rFonts w:asciiTheme="majorHAnsi" w:eastAsia="Calibri" w:hAnsiTheme="majorHAnsi" w:cstheme="majorHAnsi"/>
                <w:b/>
                <w:i/>
                <w:color w:val="000000"/>
                <w:sz w:val="22"/>
                <w:szCs w:val="22"/>
              </w:rPr>
              <w:t xml:space="preserve"> </w:t>
            </w:r>
            <w:r w:rsidRPr="00FB7A92">
              <w:rPr>
                <w:rFonts w:asciiTheme="majorHAnsi" w:eastAsia="Calibri" w:hAnsiTheme="majorHAnsi" w:cstheme="majorHAnsi"/>
                <w:i/>
                <w:color w:val="000000"/>
                <w:sz w:val="22"/>
                <w:szCs w:val="22"/>
              </w:rPr>
              <w:t>ECPAT International currently has 113 network members operating in 98 countries.</w:t>
            </w:r>
          </w:p>
        </w:tc>
      </w:tr>
    </w:tbl>
    <w:p w14:paraId="7DD1B880" w14:textId="77777777" w:rsidR="00DB0CFE" w:rsidRPr="00FB7A92" w:rsidRDefault="007216E8">
      <w:pPr>
        <w:rPr>
          <w:rFonts w:asciiTheme="majorHAnsi" w:eastAsia="Calibri" w:hAnsiTheme="majorHAnsi" w:cstheme="majorHAnsi"/>
          <w:sz w:val="22"/>
          <w:szCs w:val="22"/>
        </w:rPr>
      </w:pPr>
      <w:r w:rsidRPr="00FB7A92">
        <w:rPr>
          <w:rFonts w:asciiTheme="majorHAnsi" w:hAnsiTheme="majorHAnsi" w:cstheme="majorHAnsi"/>
        </w:rPr>
        <w:br w:type="page"/>
      </w:r>
    </w:p>
    <w:p w14:paraId="719FEF8C" w14:textId="77777777" w:rsidR="00DB0CFE" w:rsidRPr="00C86C8D" w:rsidRDefault="007216E8">
      <w:pPr>
        <w:pBdr>
          <w:top w:val="nil"/>
          <w:left w:val="nil"/>
          <w:bottom w:val="nil"/>
          <w:right w:val="nil"/>
          <w:between w:val="nil"/>
        </w:pBdr>
        <w:spacing w:after="200" w:line="276" w:lineRule="auto"/>
        <w:jc w:val="both"/>
        <w:rPr>
          <w:rFonts w:asciiTheme="majorHAnsi" w:eastAsia="Calibri" w:hAnsiTheme="majorHAnsi" w:cstheme="majorHAnsi"/>
          <w:b/>
          <w:color w:val="000000"/>
          <w:sz w:val="22"/>
          <w:szCs w:val="22"/>
        </w:rPr>
      </w:pPr>
      <w:r w:rsidRPr="00C86C8D">
        <w:rPr>
          <w:rFonts w:asciiTheme="majorHAnsi" w:eastAsia="Calibri" w:hAnsiTheme="majorHAnsi" w:cstheme="majorHAnsi"/>
          <w:b/>
          <w:color w:val="000000"/>
          <w:sz w:val="22"/>
          <w:szCs w:val="22"/>
        </w:rPr>
        <w:t>Content</w:t>
      </w:r>
    </w:p>
    <w:sdt>
      <w:sdtPr>
        <w:rPr>
          <w:rFonts w:asciiTheme="majorHAnsi" w:hAnsiTheme="majorHAnsi" w:cstheme="majorHAnsi"/>
          <w:sz w:val="22"/>
          <w:szCs w:val="22"/>
        </w:rPr>
        <w:id w:val="771756381"/>
        <w:docPartObj>
          <w:docPartGallery w:val="Table of Contents"/>
          <w:docPartUnique/>
        </w:docPartObj>
      </w:sdtPr>
      <w:sdtEndPr>
        <w:rPr>
          <w:sz w:val="24"/>
          <w:szCs w:val="24"/>
        </w:rPr>
      </w:sdtEndPr>
      <w:sdtContent>
        <w:p w14:paraId="206A54E5" w14:textId="71E24E18" w:rsidR="00B376EE" w:rsidRPr="00C86C8D" w:rsidRDefault="007216E8" w:rsidP="00DF3CA9">
          <w:pPr>
            <w:pStyle w:val="TOC1"/>
            <w:rPr>
              <w:rFonts w:asciiTheme="majorHAnsi" w:eastAsiaTheme="minorEastAsia" w:hAnsiTheme="majorHAnsi" w:cstheme="majorHAnsi"/>
              <w:noProof/>
              <w:sz w:val="22"/>
              <w:szCs w:val="22"/>
              <w:lang w:val="en-US"/>
            </w:rPr>
          </w:pPr>
          <w:r w:rsidRPr="00FB7A92">
            <w:rPr>
              <w:rFonts w:asciiTheme="majorHAnsi" w:hAnsiTheme="majorHAnsi" w:cstheme="majorHAnsi"/>
              <w:sz w:val="22"/>
              <w:szCs w:val="22"/>
            </w:rPr>
            <w:fldChar w:fldCharType="begin"/>
          </w:r>
          <w:r w:rsidRPr="00C86C8D">
            <w:rPr>
              <w:rFonts w:asciiTheme="majorHAnsi" w:hAnsiTheme="majorHAnsi" w:cstheme="majorHAnsi"/>
              <w:sz w:val="22"/>
              <w:szCs w:val="22"/>
            </w:rPr>
            <w:instrText xml:space="preserve"> TOC \h \u \z </w:instrText>
          </w:r>
          <w:r w:rsidRPr="00FB7A92">
            <w:rPr>
              <w:rFonts w:asciiTheme="majorHAnsi" w:hAnsiTheme="majorHAnsi" w:cstheme="majorHAnsi"/>
              <w:sz w:val="22"/>
              <w:szCs w:val="22"/>
            </w:rPr>
            <w:fldChar w:fldCharType="separate"/>
          </w:r>
          <w:hyperlink w:anchor="_Toc31883664" w:history="1">
            <w:r w:rsidR="00B376EE" w:rsidRPr="00C86C8D">
              <w:rPr>
                <w:rStyle w:val="Hyperlink"/>
                <w:rFonts w:asciiTheme="majorHAnsi" w:hAnsiTheme="majorHAnsi" w:cstheme="majorHAnsi"/>
                <w:noProof/>
                <w:sz w:val="22"/>
                <w:szCs w:val="22"/>
              </w:rPr>
              <w:t>Context of this thematic report</w:t>
            </w:r>
            <w:r w:rsidR="00B376EE" w:rsidRPr="00C86C8D">
              <w:rPr>
                <w:rFonts w:asciiTheme="majorHAnsi" w:hAnsiTheme="majorHAnsi" w:cstheme="majorHAnsi"/>
                <w:noProof/>
                <w:webHidden/>
                <w:sz w:val="22"/>
                <w:szCs w:val="22"/>
              </w:rPr>
              <w:tab/>
            </w:r>
            <w:r w:rsidR="00B376EE" w:rsidRPr="00FB7A92">
              <w:rPr>
                <w:rFonts w:asciiTheme="majorHAnsi" w:hAnsiTheme="majorHAnsi" w:cstheme="majorHAnsi"/>
                <w:noProof/>
                <w:webHidden/>
                <w:sz w:val="22"/>
                <w:szCs w:val="22"/>
              </w:rPr>
              <w:fldChar w:fldCharType="begin"/>
            </w:r>
            <w:r w:rsidR="00B376EE" w:rsidRPr="00C86C8D">
              <w:rPr>
                <w:rFonts w:asciiTheme="majorHAnsi" w:hAnsiTheme="majorHAnsi" w:cstheme="majorHAnsi"/>
                <w:noProof/>
                <w:webHidden/>
                <w:sz w:val="22"/>
                <w:szCs w:val="22"/>
              </w:rPr>
              <w:instrText xml:space="preserve"> PAGEREF _Toc31883664 \h </w:instrText>
            </w:r>
            <w:r w:rsidR="00B376EE" w:rsidRPr="00FB7A92">
              <w:rPr>
                <w:rFonts w:asciiTheme="majorHAnsi" w:hAnsiTheme="majorHAnsi" w:cstheme="majorHAnsi"/>
                <w:noProof/>
                <w:webHidden/>
                <w:sz w:val="22"/>
                <w:szCs w:val="22"/>
              </w:rPr>
            </w:r>
            <w:r w:rsidR="00B376EE" w:rsidRPr="00FB7A92">
              <w:rPr>
                <w:rFonts w:asciiTheme="majorHAnsi" w:hAnsiTheme="majorHAnsi" w:cstheme="majorHAnsi"/>
                <w:noProof/>
                <w:webHidden/>
                <w:sz w:val="22"/>
                <w:szCs w:val="22"/>
              </w:rPr>
              <w:fldChar w:fldCharType="separate"/>
            </w:r>
            <w:r w:rsidR="0068053B">
              <w:rPr>
                <w:rFonts w:asciiTheme="majorHAnsi" w:hAnsiTheme="majorHAnsi" w:cstheme="majorHAnsi"/>
                <w:noProof/>
                <w:webHidden/>
                <w:sz w:val="22"/>
                <w:szCs w:val="22"/>
              </w:rPr>
              <w:t>4</w:t>
            </w:r>
            <w:r w:rsidR="00B376EE" w:rsidRPr="00FB7A92">
              <w:rPr>
                <w:rFonts w:asciiTheme="majorHAnsi" w:hAnsiTheme="majorHAnsi" w:cstheme="majorHAnsi"/>
                <w:noProof/>
                <w:webHidden/>
                <w:sz w:val="22"/>
                <w:szCs w:val="22"/>
              </w:rPr>
              <w:fldChar w:fldCharType="end"/>
            </w:r>
          </w:hyperlink>
        </w:p>
        <w:p w14:paraId="2A479F39" w14:textId="39A8F7E3" w:rsidR="00B376EE" w:rsidRPr="00C86C8D" w:rsidRDefault="00BB40CA" w:rsidP="00DF3CA9">
          <w:pPr>
            <w:pStyle w:val="TOC1"/>
            <w:rPr>
              <w:rFonts w:asciiTheme="majorHAnsi" w:eastAsiaTheme="minorEastAsia" w:hAnsiTheme="majorHAnsi" w:cstheme="majorHAnsi"/>
              <w:noProof/>
              <w:sz w:val="22"/>
              <w:szCs w:val="22"/>
              <w:lang w:val="en-US"/>
            </w:rPr>
          </w:pPr>
          <w:hyperlink w:anchor="_Toc31883665" w:history="1">
            <w:r w:rsidR="00B376EE" w:rsidRPr="00C86C8D">
              <w:rPr>
                <w:rStyle w:val="Hyperlink"/>
                <w:rFonts w:asciiTheme="majorHAnsi" w:hAnsiTheme="majorHAnsi" w:cstheme="majorHAnsi"/>
                <w:noProof/>
                <w:sz w:val="22"/>
                <w:szCs w:val="22"/>
              </w:rPr>
              <w:t>Current status and developments of sexual exploitation of children in Mauritius</w:t>
            </w:r>
            <w:r w:rsidR="00B376EE" w:rsidRPr="00C86C8D">
              <w:rPr>
                <w:rFonts w:asciiTheme="majorHAnsi" w:hAnsiTheme="majorHAnsi" w:cstheme="majorHAnsi"/>
                <w:noProof/>
                <w:webHidden/>
                <w:sz w:val="22"/>
                <w:szCs w:val="22"/>
              </w:rPr>
              <w:tab/>
            </w:r>
            <w:r w:rsidR="00B376EE" w:rsidRPr="00FB7A92">
              <w:rPr>
                <w:rFonts w:asciiTheme="majorHAnsi" w:hAnsiTheme="majorHAnsi" w:cstheme="majorHAnsi"/>
                <w:noProof/>
                <w:webHidden/>
                <w:sz w:val="22"/>
                <w:szCs w:val="22"/>
              </w:rPr>
              <w:fldChar w:fldCharType="begin"/>
            </w:r>
            <w:r w:rsidR="00B376EE" w:rsidRPr="00C86C8D">
              <w:rPr>
                <w:rFonts w:asciiTheme="majorHAnsi" w:hAnsiTheme="majorHAnsi" w:cstheme="majorHAnsi"/>
                <w:noProof/>
                <w:webHidden/>
                <w:sz w:val="22"/>
                <w:szCs w:val="22"/>
              </w:rPr>
              <w:instrText xml:space="preserve"> PAGEREF _Toc31883665 \h </w:instrText>
            </w:r>
            <w:r w:rsidR="00B376EE" w:rsidRPr="00FB7A92">
              <w:rPr>
                <w:rFonts w:asciiTheme="majorHAnsi" w:hAnsiTheme="majorHAnsi" w:cstheme="majorHAnsi"/>
                <w:noProof/>
                <w:webHidden/>
                <w:sz w:val="22"/>
                <w:szCs w:val="22"/>
              </w:rPr>
            </w:r>
            <w:r w:rsidR="00B376EE" w:rsidRPr="00FB7A92">
              <w:rPr>
                <w:rFonts w:asciiTheme="majorHAnsi" w:hAnsiTheme="majorHAnsi" w:cstheme="majorHAnsi"/>
                <w:noProof/>
                <w:webHidden/>
                <w:sz w:val="22"/>
                <w:szCs w:val="22"/>
              </w:rPr>
              <w:fldChar w:fldCharType="separate"/>
            </w:r>
            <w:r w:rsidR="0068053B">
              <w:rPr>
                <w:rFonts w:asciiTheme="majorHAnsi" w:hAnsiTheme="majorHAnsi" w:cstheme="majorHAnsi"/>
                <w:noProof/>
                <w:webHidden/>
                <w:sz w:val="22"/>
                <w:szCs w:val="22"/>
              </w:rPr>
              <w:t>4</w:t>
            </w:r>
            <w:r w:rsidR="00B376EE" w:rsidRPr="00FB7A92">
              <w:rPr>
                <w:rFonts w:asciiTheme="majorHAnsi" w:hAnsiTheme="majorHAnsi" w:cstheme="majorHAnsi"/>
                <w:noProof/>
                <w:webHidden/>
                <w:sz w:val="22"/>
                <w:szCs w:val="22"/>
              </w:rPr>
              <w:fldChar w:fldCharType="end"/>
            </w:r>
          </w:hyperlink>
        </w:p>
        <w:p w14:paraId="18B412DE" w14:textId="42B73B4E" w:rsidR="00B376EE" w:rsidRPr="00C86C8D" w:rsidRDefault="00BB40CA" w:rsidP="00DF3CA9">
          <w:pPr>
            <w:pStyle w:val="TOC1"/>
            <w:rPr>
              <w:rFonts w:asciiTheme="majorHAnsi" w:eastAsiaTheme="minorEastAsia" w:hAnsiTheme="majorHAnsi" w:cstheme="majorHAnsi"/>
              <w:noProof/>
              <w:sz w:val="22"/>
              <w:szCs w:val="22"/>
              <w:lang w:val="en-US"/>
            </w:rPr>
          </w:pPr>
          <w:hyperlink w:anchor="_Toc31883666" w:history="1">
            <w:r w:rsidR="00B376EE" w:rsidRPr="00C86C8D">
              <w:rPr>
                <w:rStyle w:val="Hyperlink"/>
                <w:rFonts w:asciiTheme="majorHAnsi" w:hAnsiTheme="majorHAnsi" w:cstheme="majorHAnsi"/>
                <w:noProof/>
                <w:sz w:val="22"/>
                <w:szCs w:val="22"/>
              </w:rPr>
              <w:t>General measures of implementation, coordination and evaluation</w:t>
            </w:r>
            <w:r w:rsidR="00B376EE" w:rsidRPr="00C86C8D">
              <w:rPr>
                <w:rFonts w:asciiTheme="majorHAnsi" w:hAnsiTheme="majorHAnsi" w:cstheme="majorHAnsi"/>
                <w:noProof/>
                <w:webHidden/>
                <w:sz w:val="22"/>
                <w:szCs w:val="22"/>
              </w:rPr>
              <w:tab/>
            </w:r>
            <w:r w:rsidR="00B376EE" w:rsidRPr="00FB7A92">
              <w:rPr>
                <w:rFonts w:asciiTheme="majorHAnsi" w:hAnsiTheme="majorHAnsi" w:cstheme="majorHAnsi"/>
                <w:noProof/>
                <w:webHidden/>
                <w:sz w:val="22"/>
                <w:szCs w:val="22"/>
              </w:rPr>
              <w:fldChar w:fldCharType="begin"/>
            </w:r>
            <w:r w:rsidR="00B376EE" w:rsidRPr="00C86C8D">
              <w:rPr>
                <w:rFonts w:asciiTheme="majorHAnsi" w:hAnsiTheme="majorHAnsi" w:cstheme="majorHAnsi"/>
                <w:noProof/>
                <w:webHidden/>
                <w:sz w:val="22"/>
                <w:szCs w:val="22"/>
              </w:rPr>
              <w:instrText xml:space="preserve"> PAGEREF _Toc31883666 \h </w:instrText>
            </w:r>
            <w:r w:rsidR="00B376EE" w:rsidRPr="00FB7A92">
              <w:rPr>
                <w:rFonts w:asciiTheme="majorHAnsi" w:hAnsiTheme="majorHAnsi" w:cstheme="majorHAnsi"/>
                <w:noProof/>
                <w:webHidden/>
                <w:sz w:val="22"/>
                <w:szCs w:val="22"/>
              </w:rPr>
            </w:r>
            <w:r w:rsidR="00B376EE" w:rsidRPr="00FB7A92">
              <w:rPr>
                <w:rFonts w:asciiTheme="majorHAnsi" w:hAnsiTheme="majorHAnsi" w:cstheme="majorHAnsi"/>
                <w:noProof/>
                <w:webHidden/>
                <w:sz w:val="22"/>
                <w:szCs w:val="22"/>
              </w:rPr>
              <w:fldChar w:fldCharType="separate"/>
            </w:r>
            <w:r w:rsidR="0068053B">
              <w:rPr>
                <w:rFonts w:asciiTheme="majorHAnsi" w:hAnsiTheme="majorHAnsi" w:cstheme="majorHAnsi"/>
                <w:noProof/>
                <w:webHidden/>
                <w:sz w:val="22"/>
                <w:szCs w:val="22"/>
              </w:rPr>
              <w:t>5</w:t>
            </w:r>
            <w:r w:rsidR="00B376EE" w:rsidRPr="00FB7A92">
              <w:rPr>
                <w:rFonts w:asciiTheme="majorHAnsi" w:hAnsiTheme="majorHAnsi" w:cstheme="majorHAnsi"/>
                <w:noProof/>
                <w:webHidden/>
                <w:sz w:val="22"/>
                <w:szCs w:val="22"/>
              </w:rPr>
              <w:fldChar w:fldCharType="end"/>
            </w:r>
          </w:hyperlink>
        </w:p>
        <w:p w14:paraId="4F449B39" w14:textId="6F37F016" w:rsidR="00B376EE" w:rsidRPr="00C86C8D" w:rsidRDefault="00BB40CA" w:rsidP="00DF3CA9">
          <w:pPr>
            <w:pStyle w:val="TOC1"/>
            <w:rPr>
              <w:rFonts w:asciiTheme="majorHAnsi" w:eastAsiaTheme="minorEastAsia" w:hAnsiTheme="majorHAnsi" w:cstheme="majorHAnsi"/>
              <w:noProof/>
              <w:sz w:val="22"/>
              <w:szCs w:val="22"/>
              <w:lang w:val="en-US"/>
            </w:rPr>
          </w:pPr>
          <w:hyperlink w:anchor="_Toc31883667" w:history="1">
            <w:r w:rsidR="00B376EE" w:rsidRPr="00C86C8D">
              <w:rPr>
                <w:rStyle w:val="Hyperlink"/>
                <w:rFonts w:asciiTheme="majorHAnsi" w:hAnsiTheme="majorHAnsi" w:cstheme="majorHAnsi"/>
                <w:noProof/>
                <w:sz w:val="22"/>
                <w:szCs w:val="22"/>
              </w:rPr>
              <w:t>Prevention of the sale of children, child prostitution and child pornography</w:t>
            </w:r>
            <w:r w:rsidR="00B376EE" w:rsidRPr="00C86C8D">
              <w:rPr>
                <w:rFonts w:asciiTheme="majorHAnsi" w:hAnsiTheme="majorHAnsi" w:cstheme="majorHAnsi"/>
                <w:noProof/>
                <w:webHidden/>
                <w:sz w:val="22"/>
                <w:szCs w:val="22"/>
              </w:rPr>
              <w:tab/>
            </w:r>
            <w:r w:rsidR="00B376EE" w:rsidRPr="00FB7A92">
              <w:rPr>
                <w:rFonts w:asciiTheme="majorHAnsi" w:hAnsiTheme="majorHAnsi" w:cstheme="majorHAnsi"/>
                <w:noProof/>
                <w:webHidden/>
                <w:sz w:val="22"/>
                <w:szCs w:val="22"/>
              </w:rPr>
              <w:fldChar w:fldCharType="begin"/>
            </w:r>
            <w:r w:rsidR="00B376EE" w:rsidRPr="00C86C8D">
              <w:rPr>
                <w:rFonts w:asciiTheme="majorHAnsi" w:hAnsiTheme="majorHAnsi" w:cstheme="majorHAnsi"/>
                <w:noProof/>
                <w:webHidden/>
                <w:sz w:val="22"/>
                <w:szCs w:val="22"/>
              </w:rPr>
              <w:instrText xml:space="preserve"> PAGEREF _Toc31883667 \h </w:instrText>
            </w:r>
            <w:r w:rsidR="00B376EE" w:rsidRPr="00FB7A92">
              <w:rPr>
                <w:rFonts w:asciiTheme="majorHAnsi" w:hAnsiTheme="majorHAnsi" w:cstheme="majorHAnsi"/>
                <w:noProof/>
                <w:webHidden/>
                <w:sz w:val="22"/>
                <w:szCs w:val="22"/>
              </w:rPr>
            </w:r>
            <w:r w:rsidR="00B376EE" w:rsidRPr="00FB7A92">
              <w:rPr>
                <w:rFonts w:asciiTheme="majorHAnsi" w:hAnsiTheme="majorHAnsi" w:cstheme="majorHAnsi"/>
                <w:noProof/>
                <w:webHidden/>
                <w:sz w:val="22"/>
                <w:szCs w:val="22"/>
              </w:rPr>
              <w:fldChar w:fldCharType="separate"/>
            </w:r>
            <w:r w:rsidR="0068053B">
              <w:rPr>
                <w:rFonts w:asciiTheme="majorHAnsi" w:hAnsiTheme="majorHAnsi" w:cstheme="majorHAnsi"/>
                <w:noProof/>
                <w:webHidden/>
                <w:sz w:val="22"/>
                <w:szCs w:val="22"/>
              </w:rPr>
              <w:t>6</w:t>
            </w:r>
            <w:r w:rsidR="00B376EE" w:rsidRPr="00FB7A92">
              <w:rPr>
                <w:rFonts w:asciiTheme="majorHAnsi" w:hAnsiTheme="majorHAnsi" w:cstheme="majorHAnsi"/>
                <w:noProof/>
                <w:webHidden/>
                <w:sz w:val="22"/>
                <w:szCs w:val="22"/>
              </w:rPr>
              <w:fldChar w:fldCharType="end"/>
            </w:r>
          </w:hyperlink>
        </w:p>
        <w:p w14:paraId="1603CBFA" w14:textId="3D1DEA65" w:rsidR="00B376EE" w:rsidRPr="00C86C8D" w:rsidRDefault="00BB40CA" w:rsidP="00DF3CA9">
          <w:pPr>
            <w:pStyle w:val="TOC1"/>
            <w:rPr>
              <w:rFonts w:asciiTheme="majorHAnsi" w:eastAsiaTheme="minorEastAsia" w:hAnsiTheme="majorHAnsi" w:cstheme="majorHAnsi"/>
              <w:noProof/>
              <w:sz w:val="22"/>
              <w:szCs w:val="22"/>
              <w:lang w:val="en-US"/>
            </w:rPr>
          </w:pPr>
          <w:hyperlink w:anchor="_Toc31883668" w:history="1">
            <w:r w:rsidR="00B376EE" w:rsidRPr="00C86C8D">
              <w:rPr>
                <w:rStyle w:val="Hyperlink"/>
                <w:rFonts w:asciiTheme="majorHAnsi" w:hAnsiTheme="majorHAnsi" w:cstheme="majorHAnsi"/>
                <w:noProof/>
                <w:sz w:val="22"/>
                <w:szCs w:val="22"/>
              </w:rPr>
              <w:t>Prohibition of the sale of children, child prostitution and child pornography</w:t>
            </w:r>
            <w:r w:rsidR="00B376EE" w:rsidRPr="00C86C8D">
              <w:rPr>
                <w:rFonts w:asciiTheme="majorHAnsi" w:hAnsiTheme="majorHAnsi" w:cstheme="majorHAnsi"/>
                <w:noProof/>
                <w:webHidden/>
                <w:sz w:val="22"/>
                <w:szCs w:val="22"/>
              </w:rPr>
              <w:tab/>
            </w:r>
            <w:r w:rsidR="00B376EE" w:rsidRPr="00FB7A92">
              <w:rPr>
                <w:rFonts w:asciiTheme="majorHAnsi" w:hAnsiTheme="majorHAnsi" w:cstheme="majorHAnsi"/>
                <w:noProof/>
                <w:webHidden/>
                <w:sz w:val="22"/>
                <w:szCs w:val="22"/>
              </w:rPr>
              <w:fldChar w:fldCharType="begin"/>
            </w:r>
            <w:r w:rsidR="00B376EE" w:rsidRPr="00C86C8D">
              <w:rPr>
                <w:rFonts w:asciiTheme="majorHAnsi" w:hAnsiTheme="majorHAnsi" w:cstheme="majorHAnsi"/>
                <w:noProof/>
                <w:webHidden/>
                <w:sz w:val="22"/>
                <w:szCs w:val="22"/>
              </w:rPr>
              <w:instrText xml:space="preserve"> PAGEREF _Toc31883668 \h </w:instrText>
            </w:r>
            <w:r w:rsidR="00B376EE" w:rsidRPr="00FB7A92">
              <w:rPr>
                <w:rFonts w:asciiTheme="majorHAnsi" w:hAnsiTheme="majorHAnsi" w:cstheme="majorHAnsi"/>
                <w:noProof/>
                <w:webHidden/>
                <w:sz w:val="22"/>
                <w:szCs w:val="22"/>
              </w:rPr>
            </w:r>
            <w:r w:rsidR="00B376EE" w:rsidRPr="00FB7A92">
              <w:rPr>
                <w:rFonts w:asciiTheme="majorHAnsi" w:hAnsiTheme="majorHAnsi" w:cstheme="majorHAnsi"/>
                <w:noProof/>
                <w:webHidden/>
                <w:sz w:val="22"/>
                <w:szCs w:val="22"/>
              </w:rPr>
              <w:fldChar w:fldCharType="separate"/>
            </w:r>
            <w:r w:rsidR="0068053B">
              <w:rPr>
                <w:rFonts w:asciiTheme="majorHAnsi" w:hAnsiTheme="majorHAnsi" w:cstheme="majorHAnsi"/>
                <w:noProof/>
                <w:webHidden/>
                <w:sz w:val="22"/>
                <w:szCs w:val="22"/>
              </w:rPr>
              <w:t>7</w:t>
            </w:r>
            <w:r w:rsidR="00B376EE" w:rsidRPr="00FB7A92">
              <w:rPr>
                <w:rFonts w:asciiTheme="majorHAnsi" w:hAnsiTheme="majorHAnsi" w:cstheme="majorHAnsi"/>
                <w:noProof/>
                <w:webHidden/>
                <w:sz w:val="22"/>
                <w:szCs w:val="22"/>
              </w:rPr>
              <w:fldChar w:fldCharType="end"/>
            </w:r>
          </w:hyperlink>
        </w:p>
        <w:p w14:paraId="2AB4E95F" w14:textId="134C62A7" w:rsidR="00B376EE" w:rsidRPr="00C86C8D" w:rsidRDefault="00BB40CA" w:rsidP="00DF3CA9">
          <w:pPr>
            <w:pStyle w:val="TOC1"/>
            <w:rPr>
              <w:rFonts w:asciiTheme="majorHAnsi" w:hAnsiTheme="majorHAnsi" w:cstheme="majorHAnsi"/>
              <w:noProof/>
              <w:sz w:val="22"/>
              <w:szCs w:val="22"/>
            </w:rPr>
          </w:pPr>
          <w:hyperlink w:anchor="_Toc31883669" w:history="1">
            <w:r w:rsidR="00B376EE" w:rsidRPr="00C86C8D">
              <w:rPr>
                <w:rStyle w:val="Hyperlink"/>
                <w:rFonts w:asciiTheme="majorHAnsi" w:hAnsiTheme="majorHAnsi" w:cstheme="majorHAnsi"/>
                <w:noProof/>
                <w:sz w:val="22"/>
                <w:szCs w:val="22"/>
              </w:rPr>
              <w:t>Protection of the rights of child victims</w:t>
            </w:r>
            <w:r w:rsidR="00B376EE" w:rsidRPr="00C86C8D">
              <w:rPr>
                <w:rFonts w:asciiTheme="majorHAnsi" w:hAnsiTheme="majorHAnsi" w:cstheme="majorHAnsi"/>
                <w:noProof/>
                <w:webHidden/>
                <w:sz w:val="22"/>
                <w:szCs w:val="22"/>
              </w:rPr>
              <w:tab/>
            </w:r>
            <w:r w:rsidR="00B376EE" w:rsidRPr="00FB7A92">
              <w:rPr>
                <w:rFonts w:asciiTheme="majorHAnsi" w:hAnsiTheme="majorHAnsi" w:cstheme="majorHAnsi"/>
                <w:noProof/>
                <w:webHidden/>
                <w:sz w:val="22"/>
                <w:szCs w:val="22"/>
              </w:rPr>
              <w:fldChar w:fldCharType="begin"/>
            </w:r>
            <w:r w:rsidR="00B376EE" w:rsidRPr="00C86C8D">
              <w:rPr>
                <w:rFonts w:asciiTheme="majorHAnsi" w:hAnsiTheme="majorHAnsi" w:cstheme="majorHAnsi"/>
                <w:noProof/>
                <w:webHidden/>
                <w:sz w:val="22"/>
                <w:szCs w:val="22"/>
              </w:rPr>
              <w:instrText xml:space="preserve"> PAGEREF _Toc31883669 \h </w:instrText>
            </w:r>
            <w:r w:rsidR="00B376EE" w:rsidRPr="00FB7A92">
              <w:rPr>
                <w:rFonts w:asciiTheme="majorHAnsi" w:hAnsiTheme="majorHAnsi" w:cstheme="majorHAnsi"/>
                <w:noProof/>
                <w:webHidden/>
                <w:sz w:val="22"/>
                <w:szCs w:val="22"/>
              </w:rPr>
            </w:r>
            <w:r w:rsidR="00B376EE" w:rsidRPr="00FB7A92">
              <w:rPr>
                <w:rFonts w:asciiTheme="majorHAnsi" w:hAnsiTheme="majorHAnsi" w:cstheme="majorHAnsi"/>
                <w:noProof/>
                <w:webHidden/>
                <w:sz w:val="22"/>
                <w:szCs w:val="22"/>
              </w:rPr>
              <w:fldChar w:fldCharType="separate"/>
            </w:r>
            <w:r w:rsidR="0068053B">
              <w:rPr>
                <w:rFonts w:asciiTheme="majorHAnsi" w:hAnsiTheme="majorHAnsi" w:cstheme="majorHAnsi"/>
                <w:noProof/>
                <w:webHidden/>
                <w:sz w:val="22"/>
                <w:szCs w:val="22"/>
              </w:rPr>
              <w:t>8</w:t>
            </w:r>
            <w:r w:rsidR="00B376EE" w:rsidRPr="00FB7A92">
              <w:rPr>
                <w:rFonts w:asciiTheme="majorHAnsi" w:hAnsiTheme="majorHAnsi" w:cstheme="majorHAnsi"/>
                <w:noProof/>
                <w:webHidden/>
                <w:sz w:val="22"/>
                <w:szCs w:val="22"/>
              </w:rPr>
              <w:fldChar w:fldCharType="end"/>
            </w:r>
          </w:hyperlink>
        </w:p>
        <w:p w14:paraId="2FAB9005" w14:textId="660E31F6" w:rsidR="0024552C" w:rsidRPr="00FB7A92" w:rsidRDefault="0024552C" w:rsidP="00FB7A92">
          <w:pPr>
            <w:rPr>
              <w:rFonts w:asciiTheme="majorHAnsi" w:eastAsiaTheme="minorEastAsia" w:hAnsiTheme="majorHAnsi" w:cstheme="majorHAnsi"/>
              <w:noProof/>
            </w:rPr>
          </w:pPr>
        </w:p>
        <w:p w14:paraId="4F0CBA0A" w14:textId="0449DB2F" w:rsidR="00DB0CFE" w:rsidRPr="00FB7A92" w:rsidRDefault="007216E8">
          <w:pPr>
            <w:jc w:val="both"/>
            <w:rPr>
              <w:rFonts w:asciiTheme="majorHAnsi" w:eastAsia="Calibri" w:hAnsiTheme="majorHAnsi" w:cstheme="majorHAnsi"/>
              <w:sz w:val="22"/>
              <w:szCs w:val="22"/>
            </w:rPr>
          </w:pPr>
          <w:r w:rsidRPr="00FB7A92">
            <w:rPr>
              <w:rFonts w:asciiTheme="majorHAnsi" w:hAnsiTheme="majorHAnsi" w:cstheme="majorHAnsi"/>
              <w:sz w:val="22"/>
              <w:szCs w:val="22"/>
            </w:rPr>
            <w:fldChar w:fldCharType="end"/>
          </w:r>
        </w:p>
      </w:sdtContent>
    </w:sdt>
    <w:p w14:paraId="3649FD4E" w14:textId="77777777" w:rsidR="00DB0CFE" w:rsidRPr="00FB7A92" w:rsidRDefault="007216E8">
      <w:pPr>
        <w:rPr>
          <w:rFonts w:asciiTheme="majorHAnsi" w:eastAsia="Calibri" w:hAnsiTheme="majorHAnsi" w:cstheme="majorHAnsi"/>
          <w:sz w:val="22"/>
          <w:szCs w:val="22"/>
        </w:rPr>
      </w:pPr>
      <w:r w:rsidRPr="00FB7A92">
        <w:rPr>
          <w:rFonts w:asciiTheme="majorHAnsi" w:hAnsiTheme="majorHAnsi" w:cstheme="majorHAnsi"/>
        </w:rPr>
        <w:br w:type="page"/>
      </w:r>
    </w:p>
    <w:p w14:paraId="4F8773D9" w14:textId="77777777" w:rsidR="00DB0CFE" w:rsidRPr="00FB7A92" w:rsidRDefault="007216E8" w:rsidP="00FB7A92">
      <w:pPr>
        <w:pStyle w:val="Heading1"/>
        <w:spacing w:before="0" w:line="276" w:lineRule="auto"/>
        <w:jc w:val="both"/>
        <w:rPr>
          <w:rFonts w:asciiTheme="majorHAnsi" w:hAnsiTheme="majorHAnsi" w:cstheme="majorHAnsi"/>
          <w:sz w:val="22"/>
          <w:szCs w:val="22"/>
        </w:rPr>
      </w:pPr>
      <w:bookmarkStart w:id="1" w:name="_Toc31883664"/>
      <w:r w:rsidRPr="00FB7A92">
        <w:rPr>
          <w:rFonts w:asciiTheme="majorHAnsi" w:hAnsiTheme="majorHAnsi" w:cstheme="majorHAnsi"/>
          <w:sz w:val="22"/>
          <w:szCs w:val="22"/>
        </w:rPr>
        <w:t>Context of this thematic report</w:t>
      </w:r>
      <w:bookmarkEnd w:id="1"/>
    </w:p>
    <w:p w14:paraId="1A7435DC" w14:textId="77777777" w:rsidR="00DB0CFE" w:rsidRPr="00FB7A92" w:rsidRDefault="00DB0CFE" w:rsidP="00FB7A92">
      <w:pPr>
        <w:pBdr>
          <w:top w:val="nil"/>
          <w:left w:val="nil"/>
          <w:bottom w:val="nil"/>
          <w:right w:val="nil"/>
          <w:between w:val="nil"/>
        </w:pBdr>
        <w:spacing w:line="276" w:lineRule="auto"/>
        <w:jc w:val="both"/>
        <w:rPr>
          <w:rFonts w:asciiTheme="majorHAnsi" w:eastAsia="Calibri" w:hAnsiTheme="majorHAnsi" w:cstheme="majorHAnsi"/>
          <w:b/>
          <w:color w:val="000000"/>
          <w:sz w:val="22"/>
          <w:szCs w:val="22"/>
        </w:rPr>
      </w:pPr>
    </w:p>
    <w:p w14:paraId="7742ED38" w14:textId="2F7F9931" w:rsidR="00655173" w:rsidRDefault="007216E8"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bookmarkStart w:id="2" w:name="_30j0zll" w:colFirst="0" w:colLast="0"/>
      <w:bookmarkEnd w:id="2"/>
      <w:r w:rsidRPr="00FB7A92">
        <w:rPr>
          <w:rFonts w:asciiTheme="majorHAnsi" w:eastAsia="Calibri" w:hAnsiTheme="majorHAnsi" w:cstheme="majorHAnsi"/>
          <w:color w:val="000000"/>
          <w:sz w:val="22"/>
          <w:szCs w:val="22"/>
        </w:rPr>
        <w:t>In 2011, the Government of Mauritius (GoM) ratified the Optional Protocol on the sale of children, child prostitution and child pornography (OPSC) and thus committed explicitly to combat child sexual exploitation (SEC) in Mauritius. In September 2015, through the adoption of the 2030 agenda for Sustainable Development, the GoM re-committed explicitly to eliminate all forms of violence against children, including sexual abuse and exploitation.</w:t>
      </w:r>
      <w:r w:rsidR="00655173" w:rsidRPr="00FB7A92">
        <w:rPr>
          <w:rFonts w:asciiTheme="majorHAnsi" w:eastAsia="Calibri" w:hAnsiTheme="majorHAnsi" w:cstheme="majorHAnsi"/>
          <w:color w:val="000000"/>
          <w:sz w:val="22"/>
          <w:szCs w:val="22"/>
          <w:vertAlign w:val="superscript"/>
        </w:rPr>
        <w:endnoteReference w:id="1"/>
      </w:r>
    </w:p>
    <w:p w14:paraId="4D24C105"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5D93754D" w14:textId="160DBCF4" w:rsidR="00655173"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bookmarkStart w:id="3" w:name="_1fob9te" w:colFirst="0" w:colLast="0"/>
      <w:bookmarkEnd w:id="3"/>
      <w:r w:rsidRPr="00FB7A92">
        <w:rPr>
          <w:rFonts w:asciiTheme="majorHAnsi" w:eastAsia="Calibri" w:hAnsiTheme="majorHAnsi" w:cstheme="majorHAnsi"/>
          <w:color w:val="000000"/>
          <w:sz w:val="22"/>
          <w:szCs w:val="22"/>
        </w:rPr>
        <w:t>This thematic report is submitted to the CRC Committee in the context of the Simplified Reporting Procedure (SRP). The purpose of the report is to provide the CRC Committee with background information and suggestions of questions for the List of Issues Prior to the Reporting (LoIPR).</w:t>
      </w:r>
    </w:p>
    <w:p w14:paraId="281691D7"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7D0803D4" w14:textId="7CA75DE9" w:rsidR="00655173"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The content of this report is based on ECPAT International’s desk research and work experience and knowledge of Halley Movement. The scope of this thematic report is limited to SEC and its different manifestations, including exploitation of children in prostitution;</w:t>
      </w:r>
      <w:r w:rsidRPr="00FB7A92">
        <w:rPr>
          <w:rFonts w:asciiTheme="majorHAnsi" w:eastAsia="Calibri" w:hAnsiTheme="majorHAnsi" w:cstheme="majorHAnsi"/>
          <w:color w:val="000000"/>
          <w:sz w:val="22"/>
          <w:szCs w:val="22"/>
          <w:vertAlign w:val="superscript"/>
        </w:rPr>
        <w:endnoteReference w:id="2"/>
      </w:r>
      <w:r w:rsidRPr="00FB7A92">
        <w:rPr>
          <w:rFonts w:asciiTheme="majorHAnsi" w:eastAsia="Calibri" w:hAnsiTheme="majorHAnsi" w:cstheme="majorHAnsi"/>
          <w:color w:val="000000"/>
          <w:sz w:val="22"/>
          <w:szCs w:val="22"/>
        </w:rPr>
        <w:t xml:space="preserve"> online child sexual exploitation (OCSE); child sexual exploitation materials or abuse materials (CSEM/CSAM);</w:t>
      </w:r>
      <w:r w:rsidRPr="00FB7A92">
        <w:rPr>
          <w:rFonts w:asciiTheme="majorHAnsi" w:eastAsia="Calibri" w:hAnsiTheme="majorHAnsi" w:cstheme="majorHAnsi"/>
          <w:color w:val="000000"/>
          <w:sz w:val="22"/>
          <w:szCs w:val="22"/>
          <w:vertAlign w:val="superscript"/>
        </w:rPr>
        <w:endnoteReference w:id="3"/>
      </w:r>
      <w:r w:rsidRPr="00FB7A92">
        <w:rPr>
          <w:rFonts w:asciiTheme="majorHAnsi" w:eastAsia="Calibri" w:hAnsiTheme="majorHAnsi" w:cstheme="majorHAnsi"/>
          <w:color w:val="000000"/>
          <w:sz w:val="22"/>
          <w:szCs w:val="22"/>
        </w:rPr>
        <w:t xml:space="preserve"> trafficking of children for sexual purposes; sexual exploitation of children in the context of travel and tourism (SECTT)</w:t>
      </w:r>
      <w:r w:rsidRPr="00FB7A92">
        <w:rPr>
          <w:rFonts w:asciiTheme="majorHAnsi" w:eastAsia="Calibri" w:hAnsiTheme="majorHAnsi" w:cstheme="majorHAnsi"/>
          <w:color w:val="000000"/>
          <w:sz w:val="22"/>
          <w:szCs w:val="22"/>
          <w:vertAlign w:val="superscript"/>
        </w:rPr>
        <w:t xml:space="preserve"> </w:t>
      </w:r>
      <w:r w:rsidRPr="00FB7A92">
        <w:rPr>
          <w:rFonts w:asciiTheme="majorHAnsi" w:eastAsia="Calibri" w:hAnsiTheme="majorHAnsi" w:cstheme="majorHAnsi"/>
          <w:color w:val="000000"/>
          <w:sz w:val="22"/>
          <w:szCs w:val="22"/>
          <w:vertAlign w:val="superscript"/>
        </w:rPr>
        <w:endnoteReference w:id="4"/>
      </w:r>
      <w:r w:rsidRPr="00FB7A92">
        <w:rPr>
          <w:rFonts w:asciiTheme="majorHAnsi" w:eastAsia="Calibri" w:hAnsiTheme="majorHAnsi" w:cstheme="majorHAnsi"/>
          <w:color w:val="000000"/>
          <w:sz w:val="22"/>
          <w:szCs w:val="22"/>
        </w:rPr>
        <w:t xml:space="preserve"> and child, early and forced marriage (CEFM).</w:t>
      </w:r>
    </w:p>
    <w:p w14:paraId="3BCAB0DA"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3787DBB2" w14:textId="77777777" w:rsidR="00655173" w:rsidRPr="00FB7A92" w:rsidRDefault="00655173" w:rsidP="00FB7A92">
      <w:pPr>
        <w:pStyle w:val="Heading1"/>
        <w:spacing w:before="0" w:line="276" w:lineRule="auto"/>
        <w:jc w:val="both"/>
        <w:rPr>
          <w:rFonts w:asciiTheme="majorHAnsi" w:hAnsiTheme="majorHAnsi" w:cstheme="majorHAnsi"/>
          <w:sz w:val="22"/>
          <w:szCs w:val="22"/>
        </w:rPr>
      </w:pPr>
      <w:bookmarkStart w:id="4" w:name="_Toc31883665"/>
      <w:r w:rsidRPr="00FB7A92">
        <w:rPr>
          <w:rFonts w:asciiTheme="majorHAnsi" w:hAnsiTheme="majorHAnsi" w:cstheme="majorHAnsi"/>
          <w:sz w:val="22"/>
          <w:szCs w:val="22"/>
        </w:rPr>
        <w:t>Current status and developments of sexual exploitation of children in Mauritius</w:t>
      </w:r>
      <w:bookmarkEnd w:id="4"/>
    </w:p>
    <w:p w14:paraId="720402EB" w14:textId="77777777" w:rsidR="00655173" w:rsidRPr="00FB7A92" w:rsidRDefault="00655173" w:rsidP="00FB7A92">
      <w:pPr>
        <w:pBdr>
          <w:top w:val="nil"/>
          <w:left w:val="nil"/>
          <w:bottom w:val="nil"/>
          <w:right w:val="nil"/>
          <w:between w:val="nil"/>
        </w:pBdr>
        <w:spacing w:line="276" w:lineRule="auto"/>
        <w:jc w:val="both"/>
        <w:rPr>
          <w:rFonts w:asciiTheme="majorHAnsi" w:eastAsia="Calibri" w:hAnsiTheme="majorHAnsi" w:cstheme="majorHAnsi"/>
          <w:b/>
          <w:color w:val="000000"/>
          <w:sz w:val="22"/>
          <w:szCs w:val="22"/>
        </w:rPr>
      </w:pPr>
    </w:p>
    <w:p w14:paraId="1EF0E79C" w14:textId="3C559CE1" w:rsidR="00655173"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 xml:space="preserve">In 2018, the country’s population was 1,267 million inhabitants, of which 283 </w:t>
      </w:r>
      <w:r w:rsidR="00FB7A92" w:rsidRPr="00FB7A92">
        <w:rPr>
          <w:rFonts w:asciiTheme="majorHAnsi" w:eastAsia="Calibri" w:hAnsiTheme="majorHAnsi" w:cstheme="majorHAnsi"/>
          <w:color w:val="000000"/>
          <w:sz w:val="22"/>
          <w:szCs w:val="22"/>
        </w:rPr>
        <w:t>thousand</w:t>
      </w:r>
      <w:r w:rsidRPr="00FB7A92">
        <w:rPr>
          <w:rFonts w:asciiTheme="majorHAnsi" w:eastAsia="Calibri" w:hAnsiTheme="majorHAnsi" w:cstheme="majorHAnsi"/>
          <w:color w:val="000000"/>
          <w:sz w:val="22"/>
          <w:szCs w:val="22"/>
        </w:rPr>
        <w:t xml:space="preserve"> were under 18.</w:t>
      </w:r>
      <w:r w:rsidRPr="00FB7A92">
        <w:rPr>
          <w:rFonts w:asciiTheme="majorHAnsi" w:eastAsia="Calibri" w:hAnsiTheme="majorHAnsi" w:cstheme="majorHAnsi"/>
          <w:color w:val="000000"/>
          <w:sz w:val="22"/>
          <w:szCs w:val="22"/>
          <w:vertAlign w:val="superscript"/>
        </w:rPr>
        <w:endnoteReference w:id="5"/>
      </w:r>
      <w:r w:rsidRPr="00FB7A92">
        <w:rPr>
          <w:rFonts w:asciiTheme="majorHAnsi" w:eastAsia="Calibri" w:hAnsiTheme="majorHAnsi" w:cstheme="majorHAnsi"/>
          <w:color w:val="000000"/>
          <w:sz w:val="22"/>
          <w:szCs w:val="22"/>
        </w:rPr>
        <w:t xml:space="preserve"> Mauritius is the world’s 128</w:t>
      </w:r>
      <w:r w:rsidRPr="00FB7A92">
        <w:rPr>
          <w:rFonts w:asciiTheme="majorHAnsi" w:eastAsia="Calibri" w:hAnsiTheme="majorHAnsi" w:cstheme="majorHAnsi"/>
          <w:color w:val="000000"/>
          <w:sz w:val="22"/>
          <w:szCs w:val="22"/>
          <w:vertAlign w:val="superscript"/>
        </w:rPr>
        <w:t>th</w:t>
      </w:r>
      <w:r w:rsidRPr="00FB7A92">
        <w:rPr>
          <w:rFonts w:asciiTheme="majorHAnsi" w:eastAsia="Calibri" w:hAnsiTheme="majorHAnsi" w:cstheme="majorHAnsi"/>
          <w:color w:val="000000"/>
          <w:sz w:val="22"/>
          <w:szCs w:val="22"/>
        </w:rPr>
        <w:t xml:space="preserve"> largest economy.</w:t>
      </w:r>
      <w:r w:rsidRPr="00FB7A92">
        <w:rPr>
          <w:rFonts w:asciiTheme="majorHAnsi" w:eastAsia="Calibri" w:hAnsiTheme="majorHAnsi" w:cstheme="majorHAnsi"/>
          <w:color w:val="000000"/>
          <w:sz w:val="22"/>
          <w:szCs w:val="22"/>
          <w:vertAlign w:val="superscript"/>
        </w:rPr>
        <w:endnoteReference w:id="6"/>
      </w:r>
      <w:r w:rsidRPr="00FB7A92">
        <w:rPr>
          <w:rFonts w:asciiTheme="majorHAnsi" w:eastAsia="Calibri" w:hAnsiTheme="majorHAnsi" w:cstheme="majorHAnsi"/>
          <w:color w:val="000000"/>
          <w:sz w:val="22"/>
          <w:szCs w:val="22"/>
        </w:rPr>
        <w:t xml:space="preserve"> It ranked 66th out of 189 countries in the latest Human Development Index released in 2019 by the United Nations Development Programme, indicating a high human development.</w:t>
      </w:r>
      <w:r w:rsidRPr="00FB7A92">
        <w:rPr>
          <w:rFonts w:asciiTheme="majorHAnsi" w:eastAsia="Calibri" w:hAnsiTheme="majorHAnsi" w:cstheme="majorHAnsi"/>
          <w:color w:val="000000"/>
          <w:sz w:val="22"/>
          <w:szCs w:val="22"/>
          <w:vertAlign w:val="superscript"/>
        </w:rPr>
        <w:endnoteReference w:id="7"/>
      </w:r>
      <w:r w:rsidRPr="00FB7A92">
        <w:rPr>
          <w:rFonts w:asciiTheme="majorHAnsi" w:eastAsia="Calibri" w:hAnsiTheme="majorHAnsi" w:cstheme="majorHAnsi"/>
          <w:color w:val="000000"/>
          <w:sz w:val="22"/>
          <w:szCs w:val="22"/>
        </w:rPr>
        <w:t xml:space="preserve"> The economy is heavily dependent on sugarcane and the tourism industry,</w:t>
      </w:r>
      <w:r w:rsidRPr="00FB7A92">
        <w:rPr>
          <w:rFonts w:asciiTheme="majorHAnsi" w:eastAsia="Calibri" w:hAnsiTheme="majorHAnsi" w:cstheme="majorHAnsi"/>
          <w:color w:val="000000"/>
          <w:sz w:val="22"/>
          <w:szCs w:val="22"/>
          <w:vertAlign w:val="superscript"/>
        </w:rPr>
        <w:endnoteReference w:id="8"/>
      </w:r>
      <w:r w:rsidRPr="00FB7A92">
        <w:rPr>
          <w:rFonts w:asciiTheme="majorHAnsi" w:eastAsia="Calibri" w:hAnsiTheme="majorHAnsi" w:cstheme="majorHAnsi"/>
          <w:color w:val="000000"/>
          <w:sz w:val="22"/>
          <w:szCs w:val="22"/>
        </w:rPr>
        <w:t xml:space="preserve"> which may increase children’s vulnerability to sexual exploitation. </w:t>
      </w:r>
    </w:p>
    <w:p w14:paraId="2FD9289F"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1AF2176D" w14:textId="38F81B4D" w:rsidR="00655173"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The GoM does not have a comprehensive and centralised data collection system at the national level to estimate the scale of SEC, which limits its ability to address the issue.</w:t>
      </w:r>
      <w:r w:rsidRPr="00FB7A92">
        <w:rPr>
          <w:rFonts w:asciiTheme="majorHAnsi" w:eastAsia="Calibri" w:hAnsiTheme="majorHAnsi" w:cstheme="majorHAnsi"/>
          <w:color w:val="000000"/>
          <w:sz w:val="22"/>
          <w:szCs w:val="22"/>
          <w:vertAlign w:val="superscript"/>
        </w:rPr>
        <w:endnoteReference w:id="9"/>
      </w:r>
      <w:r w:rsidRPr="00FB7A92">
        <w:rPr>
          <w:rFonts w:asciiTheme="majorHAnsi" w:eastAsia="Calibri" w:hAnsiTheme="majorHAnsi" w:cstheme="majorHAnsi"/>
          <w:color w:val="000000"/>
          <w:sz w:val="22"/>
          <w:szCs w:val="22"/>
        </w:rPr>
        <w:t xml:space="preserve"> According to 2018 statistics from the Office of the Director of Public Prosecutor, more child sexual abuse offences are committed against girls than boys.</w:t>
      </w:r>
      <w:r w:rsidRPr="00FB7A92">
        <w:rPr>
          <w:rFonts w:asciiTheme="majorHAnsi" w:eastAsia="Calibri" w:hAnsiTheme="majorHAnsi" w:cstheme="majorHAnsi"/>
          <w:color w:val="000000"/>
          <w:sz w:val="22"/>
          <w:szCs w:val="22"/>
          <w:vertAlign w:val="superscript"/>
        </w:rPr>
        <w:endnoteReference w:id="10"/>
      </w:r>
    </w:p>
    <w:p w14:paraId="213C3403"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724D31C1" w14:textId="3D32A070"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242424"/>
          <w:sz w:val="22"/>
          <w:szCs w:val="22"/>
        </w:rPr>
        <w:t xml:space="preserve">Exploitation of children in </w:t>
      </w:r>
      <w:r w:rsidRPr="00FB7A92">
        <w:rPr>
          <w:rFonts w:asciiTheme="majorHAnsi" w:eastAsia="Calibri" w:hAnsiTheme="majorHAnsi" w:cstheme="majorHAnsi"/>
          <w:b/>
          <w:color w:val="242424"/>
          <w:sz w:val="22"/>
          <w:szCs w:val="22"/>
        </w:rPr>
        <w:t>prostitution</w:t>
      </w:r>
      <w:r w:rsidRPr="00FB7A92">
        <w:rPr>
          <w:rFonts w:asciiTheme="majorHAnsi" w:eastAsia="Calibri" w:hAnsiTheme="majorHAnsi" w:cstheme="majorHAnsi"/>
          <w:color w:val="242424"/>
          <w:sz w:val="22"/>
          <w:szCs w:val="22"/>
        </w:rPr>
        <w:t xml:space="preserve"> remains prevalent in Mauritius. According to Government’s data, in 2018 there were 149 reported cases</w:t>
      </w:r>
      <w:r w:rsidRPr="00FB7A92">
        <w:rPr>
          <w:rFonts w:asciiTheme="majorHAnsi" w:eastAsia="Calibri" w:hAnsiTheme="majorHAnsi" w:cstheme="majorHAnsi"/>
          <w:color w:val="242424"/>
          <w:sz w:val="22"/>
          <w:szCs w:val="22"/>
          <w:vertAlign w:val="superscript"/>
        </w:rPr>
        <w:endnoteReference w:id="11"/>
      </w:r>
      <w:r w:rsidRPr="00FB7A92">
        <w:rPr>
          <w:rFonts w:asciiTheme="majorHAnsi" w:eastAsia="Calibri" w:hAnsiTheme="majorHAnsi" w:cstheme="majorHAnsi"/>
          <w:color w:val="242424"/>
          <w:sz w:val="22"/>
          <w:szCs w:val="22"/>
        </w:rPr>
        <w:t xml:space="preserve"> involving 150 juvenile victims</w:t>
      </w:r>
      <w:r w:rsidRPr="00FB7A92">
        <w:rPr>
          <w:rFonts w:asciiTheme="majorHAnsi" w:eastAsia="Calibri" w:hAnsiTheme="majorHAnsi" w:cstheme="majorHAnsi"/>
          <w:color w:val="242424"/>
          <w:sz w:val="22"/>
          <w:szCs w:val="22"/>
          <w:vertAlign w:val="superscript"/>
        </w:rPr>
        <w:endnoteReference w:id="12"/>
      </w:r>
      <w:r w:rsidRPr="00FB7A92">
        <w:rPr>
          <w:rFonts w:asciiTheme="majorHAnsi" w:eastAsia="Calibri" w:hAnsiTheme="majorHAnsi" w:cstheme="majorHAnsi"/>
          <w:color w:val="242424"/>
          <w:sz w:val="22"/>
          <w:szCs w:val="22"/>
        </w:rPr>
        <w:t xml:space="preserve"> for the crime of sexual offences against children. Out of the 149 reported cases, 34 ended in conviction.</w:t>
      </w:r>
      <w:r w:rsidRPr="00FB7A92">
        <w:rPr>
          <w:rFonts w:asciiTheme="majorHAnsi" w:eastAsia="Calibri" w:hAnsiTheme="majorHAnsi" w:cstheme="majorHAnsi"/>
          <w:color w:val="242424"/>
          <w:sz w:val="22"/>
          <w:szCs w:val="22"/>
          <w:vertAlign w:val="superscript"/>
        </w:rPr>
        <w:endnoteReference w:id="13"/>
      </w:r>
      <w:r w:rsidRPr="00FB7A92">
        <w:rPr>
          <w:rFonts w:asciiTheme="majorHAnsi" w:eastAsia="Calibri" w:hAnsiTheme="majorHAnsi" w:cstheme="majorHAnsi"/>
          <w:color w:val="242424"/>
          <w:sz w:val="22"/>
          <w:szCs w:val="22"/>
        </w:rPr>
        <w:t xml:space="preserve"> Root causes for exploitation of children in prostitution remain mostly unexplored. According to the 2018 U.S. Trafficking in Persons’ Report, </w:t>
      </w:r>
      <w:r w:rsidRPr="00FB7A92">
        <w:rPr>
          <w:rFonts w:asciiTheme="majorHAnsi" w:eastAsia="Calibri" w:hAnsiTheme="majorHAnsi" w:cstheme="majorHAnsi"/>
          <w:color w:val="222222"/>
          <w:sz w:val="22"/>
          <w:szCs w:val="22"/>
          <w:highlight w:val="white"/>
        </w:rPr>
        <w:t>girls and boys whose mothers engage in prostitution are reportedly forced into prostitution at a young age.</w:t>
      </w:r>
      <w:r w:rsidRPr="00FB7A92">
        <w:rPr>
          <w:rFonts w:asciiTheme="majorHAnsi" w:eastAsia="Calibri" w:hAnsiTheme="majorHAnsi" w:cstheme="majorHAnsi"/>
          <w:color w:val="222222"/>
          <w:sz w:val="22"/>
          <w:szCs w:val="22"/>
          <w:highlight w:val="white"/>
          <w:vertAlign w:val="superscript"/>
        </w:rPr>
        <w:endnoteReference w:id="14"/>
      </w:r>
      <w:r w:rsidRPr="00FB7A92">
        <w:rPr>
          <w:rFonts w:asciiTheme="majorHAnsi" w:eastAsia="Calibri" w:hAnsiTheme="majorHAnsi" w:cstheme="majorHAnsi"/>
          <w:color w:val="222222"/>
          <w:sz w:val="22"/>
          <w:szCs w:val="22"/>
          <w:highlight w:val="white"/>
        </w:rPr>
        <w:t> </w:t>
      </w:r>
      <w:r w:rsidRPr="00FB7A92">
        <w:rPr>
          <w:rFonts w:asciiTheme="majorHAnsi" w:eastAsia="Calibri" w:hAnsiTheme="majorHAnsi" w:cstheme="majorHAnsi"/>
          <w:color w:val="333333"/>
          <w:sz w:val="22"/>
          <w:szCs w:val="22"/>
          <w:highlight w:val="white"/>
        </w:rPr>
        <w:t>NGOs have also reported that girls are sold into prostitution by family members in exchange for food and shelter.</w:t>
      </w:r>
      <w:r w:rsidRPr="00FB7A92">
        <w:rPr>
          <w:rFonts w:asciiTheme="majorHAnsi" w:eastAsia="Calibri" w:hAnsiTheme="majorHAnsi" w:cstheme="majorHAnsi"/>
          <w:color w:val="333333"/>
          <w:sz w:val="22"/>
          <w:szCs w:val="22"/>
          <w:highlight w:val="white"/>
          <w:vertAlign w:val="superscript"/>
        </w:rPr>
        <w:endnoteReference w:id="15"/>
      </w:r>
      <w:r w:rsidRPr="00FB7A92">
        <w:rPr>
          <w:rFonts w:asciiTheme="majorHAnsi" w:eastAsia="Calibri" w:hAnsiTheme="majorHAnsi" w:cstheme="majorHAnsi"/>
          <w:color w:val="333333"/>
          <w:sz w:val="22"/>
          <w:szCs w:val="22"/>
          <w:highlight w:val="white"/>
        </w:rPr>
        <w:t xml:space="preserve"> </w:t>
      </w:r>
    </w:p>
    <w:p w14:paraId="5A41BCE8"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6AE9D02F" w14:textId="372BEE12" w:rsidR="00655173"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242424"/>
          <w:sz w:val="22"/>
          <w:szCs w:val="22"/>
        </w:rPr>
        <w:t>As the country’s economy rapidly grows, more people have access to the Internet. As of 2018, 58.6% of Mauritians used the Internet, and there were as many as 151.35 mobile-cellular subscriptions per 100 inhabitants.</w:t>
      </w:r>
      <w:r w:rsidRPr="00FB7A92">
        <w:rPr>
          <w:rFonts w:asciiTheme="majorHAnsi" w:eastAsia="Calibri" w:hAnsiTheme="majorHAnsi" w:cstheme="majorHAnsi"/>
          <w:color w:val="242424"/>
          <w:sz w:val="22"/>
          <w:szCs w:val="22"/>
          <w:vertAlign w:val="superscript"/>
        </w:rPr>
        <w:endnoteReference w:id="16"/>
      </w:r>
      <w:r w:rsidRPr="00FB7A92">
        <w:rPr>
          <w:rFonts w:asciiTheme="majorHAnsi" w:eastAsia="Calibri" w:hAnsiTheme="majorHAnsi" w:cstheme="majorHAnsi"/>
          <w:color w:val="242424"/>
          <w:sz w:val="22"/>
          <w:szCs w:val="22"/>
        </w:rPr>
        <w:t xml:space="preserve"> The increase in Internet access and mobile cell phones subscriptions, although conducive to innovation and development, leads to Mauritian children becoming more and more vulnerable to </w:t>
      </w:r>
      <w:r w:rsidRPr="00FB7A92">
        <w:rPr>
          <w:rFonts w:asciiTheme="majorHAnsi" w:eastAsia="Calibri" w:hAnsiTheme="majorHAnsi" w:cstheme="majorHAnsi"/>
          <w:b/>
          <w:color w:val="242424"/>
          <w:sz w:val="22"/>
          <w:szCs w:val="22"/>
        </w:rPr>
        <w:t>OCSE</w:t>
      </w:r>
      <w:r w:rsidRPr="00FB7A92">
        <w:rPr>
          <w:rFonts w:asciiTheme="majorHAnsi" w:eastAsia="Calibri" w:hAnsiTheme="majorHAnsi" w:cstheme="majorHAnsi"/>
          <w:color w:val="242424"/>
          <w:sz w:val="22"/>
          <w:szCs w:val="22"/>
        </w:rPr>
        <w:t>.</w:t>
      </w:r>
      <w:r w:rsidRPr="00FB7A92">
        <w:rPr>
          <w:rFonts w:asciiTheme="majorHAnsi" w:eastAsia="Calibri" w:hAnsiTheme="majorHAnsi" w:cstheme="majorHAnsi"/>
          <w:color w:val="242424"/>
          <w:sz w:val="22"/>
          <w:szCs w:val="22"/>
          <w:vertAlign w:val="superscript"/>
        </w:rPr>
        <w:endnoteReference w:id="17"/>
      </w:r>
      <w:r w:rsidRPr="00FB7A92">
        <w:rPr>
          <w:rFonts w:asciiTheme="majorHAnsi" w:eastAsia="Calibri" w:hAnsiTheme="majorHAnsi" w:cstheme="majorHAnsi"/>
          <w:color w:val="242424"/>
          <w:sz w:val="22"/>
          <w:szCs w:val="22"/>
        </w:rPr>
        <w:t xml:space="preserve"> </w:t>
      </w:r>
      <w:r w:rsidRPr="00FB7A92">
        <w:rPr>
          <w:rFonts w:asciiTheme="majorHAnsi" w:eastAsia="Calibri" w:hAnsiTheme="majorHAnsi" w:cstheme="majorHAnsi"/>
          <w:color w:val="000000"/>
          <w:sz w:val="22"/>
          <w:szCs w:val="22"/>
        </w:rPr>
        <w:t>For instance, between 2018 and 2019, more than 2,300 complaints of abuse committed against children and queries on the topic were recorded by Helpline Mauritius, among which about 250 were about sexual bullying, 900 on OCSE in general and approximately 40 referring to disabled children.</w:t>
      </w:r>
      <w:r w:rsidRPr="00FB7A92">
        <w:rPr>
          <w:rFonts w:asciiTheme="majorHAnsi" w:eastAsia="Calibri" w:hAnsiTheme="majorHAnsi" w:cstheme="majorHAnsi"/>
          <w:color w:val="000000"/>
          <w:sz w:val="22"/>
          <w:szCs w:val="22"/>
          <w:vertAlign w:val="superscript"/>
        </w:rPr>
        <w:endnoteReference w:id="18"/>
      </w:r>
      <w:r w:rsidRPr="00FB7A92">
        <w:rPr>
          <w:rFonts w:asciiTheme="majorHAnsi" w:eastAsia="Calibri" w:hAnsiTheme="majorHAnsi" w:cstheme="majorHAnsi"/>
          <w:color w:val="000000"/>
          <w:sz w:val="22"/>
          <w:szCs w:val="22"/>
        </w:rPr>
        <w:t xml:space="preserve"> </w:t>
      </w:r>
    </w:p>
    <w:p w14:paraId="2B590108"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54797C93" w14:textId="7FE49600" w:rsidR="00655173"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 xml:space="preserve">Mauritius is a source, transit and destination country with regard to </w:t>
      </w:r>
      <w:r w:rsidRPr="00FB7A92">
        <w:rPr>
          <w:rFonts w:asciiTheme="majorHAnsi" w:eastAsia="Calibri" w:hAnsiTheme="majorHAnsi" w:cstheme="majorHAnsi"/>
          <w:b/>
          <w:color w:val="000000"/>
          <w:sz w:val="22"/>
          <w:szCs w:val="22"/>
        </w:rPr>
        <w:t>child trafficking for sexual exploitation</w:t>
      </w:r>
      <w:r w:rsidRPr="00FB7A92">
        <w:rPr>
          <w:rFonts w:asciiTheme="majorHAnsi" w:eastAsia="Calibri" w:hAnsiTheme="majorHAnsi" w:cstheme="majorHAnsi"/>
          <w:color w:val="000000"/>
          <w:sz w:val="22"/>
          <w:szCs w:val="22"/>
        </w:rPr>
        <w:t>.</w:t>
      </w:r>
      <w:r w:rsidRPr="00FB7A92">
        <w:rPr>
          <w:rFonts w:asciiTheme="majorHAnsi" w:eastAsia="Calibri" w:hAnsiTheme="majorHAnsi" w:cstheme="majorHAnsi"/>
          <w:color w:val="000000"/>
          <w:sz w:val="22"/>
          <w:szCs w:val="22"/>
          <w:vertAlign w:val="superscript"/>
        </w:rPr>
        <w:endnoteReference w:id="19"/>
      </w:r>
      <w:r w:rsidRPr="00FB7A92">
        <w:rPr>
          <w:rFonts w:asciiTheme="majorHAnsi" w:eastAsia="Calibri" w:hAnsiTheme="majorHAnsi" w:cstheme="majorHAnsi"/>
          <w:color w:val="000000"/>
          <w:sz w:val="22"/>
          <w:szCs w:val="22"/>
        </w:rPr>
        <w:t xml:space="preserve"> Peers, family members, and employers exploit girls from all areas of the country in trafficking for exploitation in prostitution.</w:t>
      </w:r>
      <w:r w:rsidRPr="00FB7A92">
        <w:rPr>
          <w:rFonts w:asciiTheme="majorHAnsi" w:eastAsia="Calibri" w:hAnsiTheme="majorHAnsi" w:cstheme="majorHAnsi"/>
          <w:color w:val="000000"/>
          <w:sz w:val="22"/>
          <w:szCs w:val="22"/>
          <w:vertAlign w:val="superscript"/>
        </w:rPr>
        <w:endnoteReference w:id="20"/>
      </w:r>
      <w:r w:rsidRPr="00FB7A92">
        <w:rPr>
          <w:rFonts w:asciiTheme="majorHAnsi" w:eastAsia="Calibri" w:hAnsiTheme="majorHAnsi" w:cstheme="majorHAnsi"/>
          <w:color w:val="000000"/>
          <w:sz w:val="22"/>
          <w:szCs w:val="22"/>
        </w:rPr>
        <w:t xml:space="preserve"> Moreover, the very soft procedures for birth registration – allowing for a delay of 45 days, the declaration to be done by only one parent or the absence of any witnesses – may create a leeway to child trafficking in Mauritius.</w:t>
      </w:r>
      <w:r w:rsidRPr="00FB7A92">
        <w:rPr>
          <w:rFonts w:asciiTheme="majorHAnsi" w:eastAsia="Calibri" w:hAnsiTheme="majorHAnsi" w:cstheme="majorHAnsi"/>
          <w:color w:val="000000"/>
          <w:sz w:val="22"/>
          <w:szCs w:val="22"/>
          <w:vertAlign w:val="superscript"/>
        </w:rPr>
        <w:endnoteReference w:id="21"/>
      </w:r>
      <w:r w:rsidRPr="00FB7A92">
        <w:rPr>
          <w:rFonts w:asciiTheme="majorHAnsi" w:eastAsia="Calibri" w:hAnsiTheme="majorHAnsi" w:cstheme="majorHAnsi"/>
          <w:color w:val="000000"/>
          <w:sz w:val="22"/>
          <w:szCs w:val="22"/>
        </w:rPr>
        <w:t xml:space="preserve"> Taxi drivers allegedly transport SEC offenders to their victims.</w:t>
      </w:r>
      <w:r w:rsidRPr="00FB7A92">
        <w:rPr>
          <w:rFonts w:asciiTheme="majorHAnsi" w:eastAsia="Calibri" w:hAnsiTheme="majorHAnsi" w:cstheme="majorHAnsi"/>
          <w:color w:val="000000"/>
          <w:sz w:val="22"/>
          <w:szCs w:val="22"/>
          <w:vertAlign w:val="superscript"/>
        </w:rPr>
        <w:endnoteReference w:id="22"/>
      </w:r>
      <w:r w:rsidRPr="00FB7A92">
        <w:rPr>
          <w:rFonts w:asciiTheme="majorHAnsi" w:eastAsia="Calibri" w:hAnsiTheme="majorHAnsi" w:cstheme="majorHAnsi"/>
          <w:color w:val="000000"/>
          <w:sz w:val="22"/>
          <w:szCs w:val="22"/>
        </w:rPr>
        <w:t xml:space="preserve"> In 2018, four investigations were initiated, with one dealing specifically with child trafficking for sexual exploitation, and 15 persons were prosecuted.</w:t>
      </w:r>
      <w:r w:rsidRPr="00FB7A92">
        <w:rPr>
          <w:rFonts w:asciiTheme="majorHAnsi" w:eastAsia="Calibri" w:hAnsiTheme="majorHAnsi" w:cstheme="majorHAnsi"/>
          <w:color w:val="000000"/>
          <w:sz w:val="22"/>
          <w:szCs w:val="22"/>
          <w:vertAlign w:val="superscript"/>
        </w:rPr>
        <w:endnoteReference w:id="23"/>
      </w:r>
      <w:r w:rsidRPr="00FB7A92">
        <w:rPr>
          <w:rFonts w:asciiTheme="majorHAnsi" w:eastAsia="Calibri" w:hAnsiTheme="majorHAnsi" w:cstheme="majorHAnsi"/>
          <w:color w:val="000000"/>
          <w:sz w:val="22"/>
          <w:szCs w:val="22"/>
        </w:rPr>
        <w:t xml:space="preserve"> However, the GoM did not convict any traffickers.</w:t>
      </w:r>
      <w:r w:rsidRPr="00FB7A92">
        <w:rPr>
          <w:rFonts w:asciiTheme="majorHAnsi" w:eastAsia="Calibri" w:hAnsiTheme="majorHAnsi" w:cstheme="majorHAnsi"/>
          <w:color w:val="000000"/>
          <w:sz w:val="22"/>
          <w:szCs w:val="22"/>
          <w:vertAlign w:val="superscript"/>
        </w:rPr>
        <w:endnoteReference w:id="24"/>
      </w:r>
      <w:r w:rsidRPr="00FB7A92">
        <w:rPr>
          <w:rFonts w:asciiTheme="majorHAnsi" w:eastAsia="Calibri" w:hAnsiTheme="majorHAnsi" w:cstheme="majorHAnsi"/>
          <w:color w:val="000000"/>
          <w:sz w:val="22"/>
          <w:szCs w:val="22"/>
        </w:rPr>
        <w:t xml:space="preserve"> It is believed that the majority of trafficking victims in Mauritius are children (52%,) while 48% of victims are adults.</w:t>
      </w:r>
      <w:r w:rsidRPr="00FB7A92">
        <w:rPr>
          <w:rFonts w:asciiTheme="majorHAnsi" w:eastAsia="Calibri" w:hAnsiTheme="majorHAnsi" w:cstheme="majorHAnsi"/>
          <w:color w:val="000000"/>
          <w:sz w:val="22"/>
          <w:szCs w:val="22"/>
          <w:vertAlign w:val="superscript"/>
        </w:rPr>
        <w:endnoteReference w:id="25"/>
      </w:r>
    </w:p>
    <w:p w14:paraId="7F5B6BD7"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2D24690A" w14:textId="0445704F"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242424"/>
          <w:sz w:val="22"/>
          <w:szCs w:val="22"/>
        </w:rPr>
        <w:t xml:space="preserve">Being a top tourism destination, children in Mauritius may be vulnerable to </w:t>
      </w:r>
      <w:r w:rsidRPr="00FB7A92">
        <w:rPr>
          <w:rFonts w:asciiTheme="majorHAnsi" w:eastAsia="Calibri" w:hAnsiTheme="majorHAnsi" w:cstheme="majorHAnsi"/>
          <w:b/>
          <w:color w:val="242424"/>
          <w:sz w:val="22"/>
          <w:szCs w:val="22"/>
        </w:rPr>
        <w:t>SECTT</w:t>
      </w:r>
      <w:r w:rsidRPr="00FB7A92">
        <w:rPr>
          <w:rFonts w:asciiTheme="majorHAnsi" w:eastAsia="Calibri" w:hAnsiTheme="majorHAnsi" w:cstheme="majorHAnsi"/>
          <w:color w:val="242424"/>
          <w:sz w:val="22"/>
          <w:szCs w:val="22"/>
        </w:rPr>
        <w:t>. According to the 2019 Travel and Tourism Competitiveness Report published by the World Economic Forum, Mauritius ranked 54th as the most visited country in the world.</w:t>
      </w:r>
      <w:r w:rsidRPr="00FB7A92">
        <w:rPr>
          <w:rFonts w:asciiTheme="majorHAnsi" w:eastAsia="Calibri" w:hAnsiTheme="majorHAnsi" w:cstheme="majorHAnsi"/>
          <w:color w:val="242424"/>
          <w:sz w:val="22"/>
          <w:szCs w:val="22"/>
          <w:vertAlign w:val="superscript"/>
        </w:rPr>
        <w:endnoteReference w:id="26"/>
      </w:r>
      <w:r w:rsidRPr="00FB7A92">
        <w:rPr>
          <w:rFonts w:asciiTheme="majorHAnsi" w:eastAsia="Calibri" w:hAnsiTheme="majorHAnsi" w:cstheme="majorHAnsi"/>
          <w:color w:val="242424"/>
          <w:sz w:val="22"/>
          <w:szCs w:val="22"/>
        </w:rPr>
        <w:t xml:space="preserve"> Members of the ECPAT International regional network pointed at Mauritius for being one of the major destinations for travelling child sex offenders.</w:t>
      </w:r>
      <w:r w:rsidRPr="00FB7A92">
        <w:rPr>
          <w:rFonts w:asciiTheme="majorHAnsi" w:eastAsia="Calibri" w:hAnsiTheme="majorHAnsi" w:cstheme="majorHAnsi"/>
          <w:color w:val="242424"/>
          <w:sz w:val="22"/>
          <w:szCs w:val="22"/>
          <w:vertAlign w:val="superscript"/>
        </w:rPr>
        <w:endnoteReference w:id="27"/>
      </w:r>
      <w:r w:rsidRPr="00FB7A92">
        <w:rPr>
          <w:rFonts w:asciiTheme="majorHAnsi" w:eastAsia="Calibri" w:hAnsiTheme="majorHAnsi" w:cstheme="majorHAnsi"/>
          <w:color w:val="242424"/>
          <w:sz w:val="22"/>
          <w:szCs w:val="22"/>
        </w:rPr>
        <w:t xml:space="preserve"> There is however a considerable lack of data and information collection system at the national level regarding such issues.</w:t>
      </w:r>
      <w:r w:rsidRPr="00FB7A92">
        <w:rPr>
          <w:rFonts w:asciiTheme="majorHAnsi" w:eastAsia="Calibri" w:hAnsiTheme="majorHAnsi" w:cstheme="majorHAnsi"/>
          <w:color w:val="242424"/>
          <w:sz w:val="22"/>
          <w:szCs w:val="22"/>
          <w:vertAlign w:val="superscript"/>
        </w:rPr>
        <w:endnoteReference w:id="28"/>
      </w:r>
    </w:p>
    <w:p w14:paraId="76F244A9"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3A05C0DF" w14:textId="260C5C0D"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242424"/>
          <w:sz w:val="22"/>
          <w:szCs w:val="22"/>
        </w:rPr>
        <w:t xml:space="preserve">Cases of </w:t>
      </w:r>
      <w:r w:rsidRPr="00FB7A92">
        <w:rPr>
          <w:rFonts w:asciiTheme="majorHAnsi" w:eastAsia="Calibri" w:hAnsiTheme="majorHAnsi" w:cstheme="majorHAnsi"/>
          <w:b/>
          <w:color w:val="242424"/>
          <w:sz w:val="22"/>
          <w:szCs w:val="22"/>
        </w:rPr>
        <w:t>CEFM</w:t>
      </w:r>
      <w:r w:rsidRPr="00FB7A92">
        <w:rPr>
          <w:rFonts w:asciiTheme="majorHAnsi" w:eastAsia="Calibri" w:hAnsiTheme="majorHAnsi" w:cstheme="majorHAnsi"/>
          <w:color w:val="242424"/>
          <w:sz w:val="22"/>
          <w:szCs w:val="22"/>
        </w:rPr>
        <w:t xml:space="preserve"> have been reported in the country due to loopholes in the legislation and lack of action by the government in this regard.</w:t>
      </w:r>
      <w:r w:rsidRPr="00FB7A92">
        <w:rPr>
          <w:rFonts w:asciiTheme="majorHAnsi" w:eastAsia="Calibri" w:hAnsiTheme="majorHAnsi" w:cstheme="majorHAnsi"/>
          <w:color w:val="242424"/>
          <w:sz w:val="22"/>
          <w:szCs w:val="22"/>
          <w:vertAlign w:val="superscript"/>
        </w:rPr>
        <w:endnoteReference w:id="29"/>
      </w:r>
      <w:r w:rsidRPr="00FB7A92">
        <w:rPr>
          <w:rFonts w:asciiTheme="majorHAnsi" w:eastAsia="Calibri" w:hAnsiTheme="majorHAnsi" w:cstheme="majorHAnsi"/>
          <w:color w:val="242424"/>
          <w:sz w:val="22"/>
          <w:szCs w:val="22"/>
        </w:rPr>
        <w:t xml:space="preserve"> Although there is not relevant data or statistics on CEFM available,</w:t>
      </w:r>
      <w:r w:rsidRPr="00FB7A92">
        <w:rPr>
          <w:rFonts w:asciiTheme="majorHAnsi" w:eastAsia="Calibri" w:hAnsiTheme="majorHAnsi" w:cstheme="majorHAnsi"/>
          <w:color w:val="242424"/>
          <w:sz w:val="22"/>
          <w:szCs w:val="22"/>
          <w:vertAlign w:val="superscript"/>
        </w:rPr>
        <w:endnoteReference w:id="30"/>
      </w:r>
      <w:r w:rsidRPr="00FB7A92">
        <w:rPr>
          <w:rFonts w:asciiTheme="majorHAnsi" w:eastAsia="Calibri" w:hAnsiTheme="majorHAnsi" w:cstheme="majorHAnsi"/>
          <w:color w:val="242424"/>
          <w:sz w:val="22"/>
          <w:szCs w:val="22"/>
        </w:rPr>
        <w:t xml:space="preserve"> a number of informal unions – which are impossible to quantify because they are not registered – are taking place according to an academic expert.</w:t>
      </w:r>
      <w:r w:rsidRPr="00FB7A92">
        <w:rPr>
          <w:rFonts w:asciiTheme="majorHAnsi" w:eastAsia="Calibri" w:hAnsiTheme="majorHAnsi" w:cstheme="majorHAnsi"/>
          <w:color w:val="242424"/>
          <w:sz w:val="22"/>
          <w:szCs w:val="22"/>
          <w:vertAlign w:val="superscript"/>
        </w:rPr>
        <w:endnoteReference w:id="31"/>
      </w:r>
      <w:r w:rsidRPr="00FB7A92">
        <w:rPr>
          <w:rFonts w:asciiTheme="majorHAnsi" w:eastAsia="Calibri" w:hAnsiTheme="majorHAnsi" w:cstheme="majorHAnsi"/>
          <w:color w:val="242424"/>
          <w:sz w:val="22"/>
          <w:szCs w:val="22"/>
        </w:rPr>
        <w:t xml:space="preserve"> </w:t>
      </w:r>
    </w:p>
    <w:p w14:paraId="4334229C"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09C50501" w14:textId="77777777" w:rsidR="00655173" w:rsidRPr="00FB7A92" w:rsidRDefault="00655173" w:rsidP="00FB7A92">
      <w:pPr>
        <w:pStyle w:val="Heading1"/>
        <w:spacing w:before="0" w:line="276" w:lineRule="auto"/>
        <w:jc w:val="both"/>
        <w:rPr>
          <w:rFonts w:asciiTheme="majorHAnsi" w:hAnsiTheme="majorHAnsi" w:cstheme="majorHAnsi"/>
          <w:sz w:val="22"/>
          <w:szCs w:val="22"/>
        </w:rPr>
      </w:pPr>
      <w:bookmarkStart w:id="5" w:name="_Toc31883666"/>
      <w:r w:rsidRPr="00FB7A92">
        <w:rPr>
          <w:rFonts w:asciiTheme="majorHAnsi" w:hAnsiTheme="majorHAnsi" w:cstheme="majorHAnsi"/>
          <w:sz w:val="22"/>
          <w:szCs w:val="22"/>
        </w:rPr>
        <w:t>General measures of implementation, coordination and evaluation</w:t>
      </w:r>
      <w:bookmarkEnd w:id="5"/>
      <w:r w:rsidRPr="00FB7A92">
        <w:rPr>
          <w:rFonts w:asciiTheme="majorHAnsi" w:hAnsiTheme="majorHAnsi" w:cstheme="majorHAnsi"/>
          <w:sz w:val="22"/>
          <w:szCs w:val="22"/>
        </w:rPr>
        <w:t xml:space="preserve"> </w:t>
      </w:r>
    </w:p>
    <w:p w14:paraId="665DB09B" w14:textId="77777777" w:rsidR="00655173" w:rsidRPr="00FB7A92" w:rsidRDefault="00655173" w:rsidP="00FB7A92">
      <w:pPr>
        <w:pBdr>
          <w:top w:val="nil"/>
          <w:left w:val="nil"/>
          <w:bottom w:val="nil"/>
          <w:right w:val="nil"/>
          <w:between w:val="nil"/>
        </w:pBdr>
        <w:spacing w:line="276" w:lineRule="auto"/>
        <w:jc w:val="both"/>
        <w:rPr>
          <w:rFonts w:asciiTheme="majorHAnsi" w:eastAsia="Calibri" w:hAnsiTheme="majorHAnsi" w:cstheme="majorHAnsi"/>
          <w:b/>
          <w:color w:val="000000"/>
          <w:sz w:val="22"/>
          <w:szCs w:val="22"/>
        </w:rPr>
      </w:pPr>
    </w:p>
    <w:p w14:paraId="334D21D2" w14:textId="747013F8"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A number of initiatives and plans have been adopted at the national level with regard to child protection. The National Child Protection Strategy and Its Action Plan (2014-2022) aims to prevent violence against children.</w:t>
      </w:r>
      <w:r w:rsidRPr="00FB7A92">
        <w:rPr>
          <w:rFonts w:asciiTheme="majorHAnsi" w:eastAsia="Calibri" w:hAnsiTheme="majorHAnsi" w:cstheme="majorHAnsi"/>
          <w:color w:val="000000"/>
          <w:sz w:val="22"/>
          <w:szCs w:val="22"/>
          <w:vertAlign w:val="superscript"/>
        </w:rPr>
        <w:endnoteReference w:id="32"/>
      </w:r>
      <w:r w:rsidRPr="00FB7A92">
        <w:rPr>
          <w:rFonts w:asciiTheme="majorHAnsi" w:eastAsia="Calibri" w:hAnsiTheme="majorHAnsi" w:cstheme="majorHAnsi"/>
          <w:color w:val="000000"/>
          <w:sz w:val="22"/>
          <w:szCs w:val="22"/>
        </w:rPr>
        <w:t xml:space="preserve"> No information is however publicly available on its implementation. </w:t>
      </w:r>
      <w:r w:rsidRPr="00FB7A92">
        <w:rPr>
          <w:rFonts w:asciiTheme="majorHAnsi" w:eastAsia="Calibri" w:hAnsiTheme="majorHAnsi" w:cstheme="majorHAnsi"/>
          <w:color w:val="242424"/>
          <w:sz w:val="22"/>
          <w:szCs w:val="22"/>
        </w:rPr>
        <w:t>With regard to efforts to end child trafficking, the government drafted in 2016 a National Action Plan to Combat Human Trafficking, but it has yet to be adopted.</w:t>
      </w:r>
      <w:r w:rsidRPr="00FB7A92">
        <w:rPr>
          <w:rFonts w:asciiTheme="majorHAnsi" w:eastAsia="Calibri" w:hAnsiTheme="majorHAnsi" w:cstheme="majorHAnsi"/>
          <w:color w:val="242424"/>
          <w:sz w:val="22"/>
          <w:szCs w:val="22"/>
          <w:vertAlign w:val="superscript"/>
        </w:rPr>
        <w:endnoteReference w:id="33"/>
      </w:r>
      <w:r w:rsidRPr="00FB7A92">
        <w:rPr>
          <w:rFonts w:asciiTheme="majorHAnsi" w:eastAsia="Calibri" w:hAnsiTheme="majorHAnsi" w:cstheme="majorHAnsi"/>
          <w:color w:val="242424"/>
          <w:sz w:val="22"/>
          <w:szCs w:val="22"/>
        </w:rPr>
        <w:t xml:space="preserve"> Regarding OCSE, the Ministry of Information and Communication Technology has implemented a Child Safety Online Action Plan.</w:t>
      </w:r>
      <w:r w:rsidRPr="00FB7A92">
        <w:rPr>
          <w:rFonts w:asciiTheme="majorHAnsi" w:eastAsia="Calibri" w:hAnsiTheme="majorHAnsi" w:cstheme="majorHAnsi"/>
          <w:color w:val="242424"/>
          <w:sz w:val="22"/>
          <w:szCs w:val="22"/>
          <w:vertAlign w:val="superscript"/>
        </w:rPr>
        <w:endnoteReference w:id="34"/>
      </w:r>
      <w:r w:rsidRPr="00FB7A92">
        <w:rPr>
          <w:rFonts w:asciiTheme="majorHAnsi" w:eastAsia="Calibri" w:hAnsiTheme="majorHAnsi" w:cstheme="majorHAnsi"/>
          <w:color w:val="242424"/>
          <w:sz w:val="22"/>
          <w:szCs w:val="22"/>
        </w:rPr>
        <w:t xml:space="preserve"> </w:t>
      </w:r>
    </w:p>
    <w:p w14:paraId="0ABB0B01"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31174444" w14:textId="4B54D783"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Despite the Committee on the Rights of the Child (CRC)’s recommendations on lack of coordination at government level and lack of consultation with civil society, the GoM remains without an effective national body with a clear mandate and sufficient authority to coordinate policies and measures against SEC.</w:t>
      </w:r>
      <w:r w:rsidRPr="00FB7A92">
        <w:rPr>
          <w:rFonts w:asciiTheme="majorHAnsi" w:eastAsia="Calibri" w:hAnsiTheme="majorHAnsi" w:cstheme="majorHAnsi"/>
          <w:color w:val="000000"/>
          <w:sz w:val="22"/>
          <w:szCs w:val="22"/>
          <w:vertAlign w:val="superscript"/>
        </w:rPr>
        <w:endnoteReference w:id="35"/>
      </w:r>
      <w:r w:rsidRPr="00FB7A92">
        <w:rPr>
          <w:rFonts w:asciiTheme="majorHAnsi" w:eastAsia="Calibri" w:hAnsiTheme="majorHAnsi" w:cstheme="majorHAnsi"/>
          <w:color w:val="000000"/>
          <w:sz w:val="22"/>
          <w:szCs w:val="22"/>
        </w:rPr>
        <w:t xml:space="preserve"> However, discussions are currently carried out between ministries and NGOs to guarantee better coordination.</w:t>
      </w:r>
      <w:r w:rsidRPr="00FB7A92">
        <w:rPr>
          <w:rStyle w:val="EndnoteReference"/>
          <w:rFonts w:asciiTheme="majorHAnsi" w:eastAsia="Calibri" w:hAnsiTheme="majorHAnsi" w:cstheme="majorHAnsi"/>
          <w:color w:val="000000"/>
          <w:sz w:val="22"/>
          <w:szCs w:val="22"/>
        </w:rPr>
        <w:endnoteReference w:id="36"/>
      </w:r>
      <w:r w:rsidRPr="00FB7A92">
        <w:rPr>
          <w:rFonts w:asciiTheme="majorHAnsi" w:eastAsia="Calibri" w:hAnsiTheme="majorHAnsi" w:cstheme="majorHAnsi"/>
          <w:color w:val="000000"/>
          <w:sz w:val="22"/>
          <w:szCs w:val="22"/>
        </w:rPr>
        <w:t xml:space="preserve"> </w:t>
      </w:r>
    </w:p>
    <w:p w14:paraId="64A2A969" w14:textId="44A1ED38" w:rsidR="00655173"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242424"/>
          <w:sz w:val="22"/>
          <w:szCs w:val="22"/>
        </w:rPr>
        <w:t xml:space="preserve">Nevertheless, several governmental bodies deal with children’s rights. </w:t>
      </w:r>
      <w:r w:rsidRPr="00FB7A92">
        <w:rPr>
          <w:rFonts w:asciiTheme="majorHAnsi" w:eastAsia="Calibri" w:hAnsiTheme="majorHAnsi" w:cstheme="majorHAnsi"/>
          <w:color w:val="000000"/>
          <w:sz w:val="22"/>
          <w:szCs w:val="22"/>
        </w:rPr>
        <w:t>The Ministry of Gender Equality, Child Development, and Family Welfare is responsible for all child protection issues</w:t>
      </w:r>
      <w:r w:rsidRPr="00FB7A92">
        <w:rPr>
          <w:rFonts w:asciiTheme="majorHAnsi" w:eastAsia="Calibri" w:hAnsiTheme="majorHAnsi" w:cstheme="majorHAnsi"/>
          <w:color w:val="242424"/>
          <w:sz w:val="22"/>
          <w:szCs w:val="22"/>
        </w:rPr>
        <w:t>. In 1995, it established the Child Development Unit, which assists child victims of abuse.</w:t>
      </w:r>
      <w:r w:rsidRPr="00FB7A92">
        <w:rPr>
          <w:rFonts w:asciiTheme="majorHAnsi" w:eastAsia="Calibri" w:hAnsiTheme="majorHAnsi" w:cstheme="majorHAnsi"/>
          <w:color w:val="242424"/>
          <w:sz w:val="22"/>
          <w:szCs w:val="22"/>
          <w:vertAlign w:val="superscript"/>
        </w:rPr>
        <w:endnoteReference w:id="37"/>
      </w:r>
      <w:r w:rsidRPr="00FB7A92">
        <w:rPr>
          <w:rFonts w:asciiTheme="majorHAnsi" w:eastAsia="Calibri" w:hAnsiTheme="majorHAnsi" w:cstheme="majorHAnsi"/>
          <w:color w:val="242424"/>
          <w:sz w:val="22"/>
          <w:szCs w:val="22"/>
        </w:rPr>
        <w:t xml:space="preserve"> The Unit also enforces legislation related to children, implements policies, and provides </w:t>
      </w:r>
      <w:r w:rsidRPr="00FB7A92">
        <w:rPr>
          <w:rFonts w:asciiTheme="majorHAnsi" w:eastAsia="Calibri" w:hAnsiTheme="majorHAnsi" w:cstheme="majorHAnsi"/>
          <w:color w:val="000000"/>
          <w:sz w:val="22"/>
          <w:szCs w:val="22"/>
        </w:rPr>
        <w:t>trainings and awareness campaigns.</w:t>
      </w:r>
      <w:r w:rsidRPr="00FB7A92">
        <w:rPr>
          <w:rFonts w:asciiTheme="majorHAnsi" w:eastAsia="Calibri" w:hAnsiTheme="majorHAnsi" w:cstheme="majorHAnsi"/>
          <w:color w:val="000000"/>
          <w:sz w:val="22"/>
          <w:szCs w:val="22"/>
          <w:vertAlign w:val="superscript"/>
        </w:rPr>
        <w:endnoteReference w:id="38"/>
      </w:r>
      <w:r w:rsidRPr="00FB7A92">
        <w:rPr>
          <w:rFonts w:asciiTheme="majorHAnsi" w:eastAsia="Calibri" w:hAnsiTheme="majorHAnsi" w:cstheme="majorHAnsi"/>
          <w:color w:val="000000"/>
          <w:sz w:val="22"/>
          <w:szCs w:val="22"/>
        </w:rPr>
        <w:t xml:space="preserve"> </w:t>
      </w:r>
    </w:p>
    <w:p w14:paraId="13165E9B"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4F4A10A3" w14:textId="5C380AF1"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242424"/>
          <w:sz w:val="22"/>
          <w:szCs w:val="22"/>
        </w:rPr>
        <w:t>The country has also created specific bodies focusing on particular SEC-related issues. With regard to human trafficking, for instance, an Inter-Ministerial Committee on Human Trafficking was set up in 2016 in order to coordinate anti-trafficking efforts in Mauritius.</w:t>
      </w:r>
      <w:r w:rsidRPr="00FB7A92">
        <w:rPr>
          <w:rFonts w:asciiTheme="majorHAnsi" w:eastAsia="Calibri" w:hAnsiTheme="majorHAnsi" w:cstheme="majorHAnsi"/>
          <w:color w:val="242424"/>
          <w:sz w:val="22"/>
          <w:szCs w:val="22"/>
          <w:vertAlign w:val="superscript"/>
        </w:rPr>
        <w:endnoteReference w:id="39"/>
      </w:r>
      <w:r w:rsidRPr="00FB7A92">
        <w:rPr>
          <w:rFonts w:asciiTheme="majorHAnsi" w:eastAsia="Calibri" w:hAnsiTheme="majorHAnsi" w:cstheme="majorHAnsi"/>
          <w:color w:val="242424"/>
          <w:sz w:val="22"/>
          <w:szCs w:val="22"/>
        </w:rPr>
        <w:t xml:space="preserve"> However no information on the work of the Committee was publicly available at the time of writing of this report. </w:t>
      </w:r>
    </w:p>
    <w:p w14:paraId="6D08A6F3"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676D21D7" w14:textId="77777777" w:rsidR="00655173" w:rsidRPr="00FB7A92" w:rsidRDefault="00655173" w:rsidP="00FB7A92">
      <w:pPr>
        <w:pStyle w:val="Heading1"/>
        <w:spacing w:before="0" w:line="276" w:lineRule="auto"/>
        <w:jc w:val="both"/>
        <w:rPr>
          <w:rFonts w:asciiTheme="majorHAnsi" w:hAnsiTheme="majorHAnsi" w:cstheme="majorHAnsi"/>
          <w:sz w:val="22"/>
          <w:szCs w:val="22"/>
        </w:rPr>
      </w:pPr>
      <w:bookmarkStart w:id="6" w:name="_Toc31883667"/>
      <w:r w:rsidRPr="00FB7A92">
        <w:rPr>
          <w:rFonts w:asciiTheme="majorHAnsi" w:hAnsiTheme="majorHAnsi" w:cstheme="majorHAnsi"/>
          <w:sz w:val="22"/>
          <w:szCs w:val="22"/>
        </w:rPr>
        <w:t>Prevention of the sale of children, child prostitution and child pornography</w:t>
      </w:r>
      <w:bookmarkEnd w:id="6"/>
    </w:p>
    <w:p w14:paraId="60B83322" w14:textId="77777777" w:rsidR="00655173" w:rsidRPr="00FB7A92" w:rsidRDefault="00655173" w:rsidP="00FB7A92">
      <w:pPr>
        <w:spacing w:line="276" w:lineRule="auto"/>
        <w:jc w:val="both"/>
        <w:rPr>
          <w:rFonts w:asciiTheme="majorHAnsi" w:eastAsia="Calibri" w:hAnsiTheme="majorHAnsi" w:cstheme="majorHAnsi"/>
          <w:sz w:val="22"/>
          <w:szCs w:val="22"/>
        </w:rPr>
      </w:pPr>
    </w:p>
    <w:p w14:paraId="158E8D20" w14:textId="2838AEAD" w:rsidR="00655173" w:rsidRPr="00FB7A92" w:rsidRDefault="00655173" w:rsidP="00FB7A92">
      <w:pPr>
        <w:numPr>
          <w:ilvl w:val="0"/>
          <w:numId w:val="1"/>
        </w:numPr>
        <w:pBdr>
          <w:top w:val="nil"/>
          <w:left w:val="nil"/>
          <w:bottom w:val="nil"/>
          <w:right w:val="nil"/>
          <w:between w:val="nil"/>
        </w:pBdr>
        <w:spacing w:line="276" w:lineRule="auto"/>
        <w:ind w:left="0"/>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242424"/>
          <w:sz w:val="22"/>
          <w:szCs w:val="22"/>
        </w:rPr>
        <w:t>The GoM has been active in implementing activities related to child protection, including the prevention of sexual exploitation of children. Besides government bodies, many other actors such as NGOs and the private sectors, are involved in prevention and awareness raising on SEC-related issues.</w:t>
      </w:r>
      <w:r w:rsidRPr="00FB7A92">
        <w:rPr>
          <w:rFonts w:asciiTheme="majorHAnsi" w:eastAsia="Calibri" w:hAnsiTheme="majorHAnsi" w:cstheme="majorHAnsi"/>
          <w:color w:val="242424"/>
          <w:sz w:val="22"/>
          <w:szCs w:val="22"/>
          <w:vertAlign w:val="superscript"/>
        </w:rPr>
        <w:endnoteReference w:id="40"/>
      </w:r>
      <w:r w:rsidRPr="00FB7A92">
        <w:rPr>
          <w:rFonts w:asciiTheme="majorHAnsi" w:eastAsia="Calibri" w:hAnsiTheme="majorHAnsi" w:cstheme="majorHAnsi"/>
          <w:color w:val="242424"/>
          <w:sz w:val="22"/>
          <w:szCs w:val="22"/>
        </w:rPr>
        <w:t xml:space="preserve"> </w:t>
      </w:r>
    </w:p>
    <w:p w14:paraId="2191EF34"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18C8BC13" w14:textId="769254E3"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The Child Development Unit operates a hotline number (113) through which it receives anonymous referrals on alleged abuse cases against children.</w:t>
      </w:r>
      <w:r w:rsidRPr="00FB7A92">
        <w:rPr>
          <w:rFonts w:asciiTheme="majorHAnsi" w:eastAsia="Calibri" w:hAnsiTheme="majorHAnsi" w:cstheme="majorHAnsi"/>
          <w:color w:val="000000"/>
          <w:sz w:val="22"/>
          <w:szCs w:val="22"/>
          <w:vertAlign w:val="superscript"/>
        </w:rPr>
        <w:endnoteReference w:id="41"/>
      </w:r>
      <w:r w:rsidRPr="00FB7A92">
        <w:rPr>
          <w:rFonts w:asciiTheme="majorHAnsi" w:eastAsia="Calibri" w:hAnsiTheme="majorHAnsi" w:cstheme="majorHAnsi"/>
          <w:color w:val="000000"/>
          <w:sz w:val="22"/>
          <w:szCs w:val="22"/>
        </w:rPr>
        <w:t xml:space="preserve"> In the first half of 2018, 1789 cases of child abuse were reported, among which 102 were of child sexual abuse only.</w:t>
      </w:r>
      <w:r w:rsidRPr="00FB7A92">
        <w:rPr>
          <w:rFonts w:asciiTheme="majorHAnsi" w:eastAsia="Calibri" w:hAnsiTheme="majorHAnsi" w:cstheme="majorHAnsi"/>
          <w:color w:val="000000"/>
          <w:sz w:val="22"/>
          <w:szCs w:val="22"/>
          <w:vertAlign w:val="superscript"/>
        </w:rPr>
        <w:endnoteReference w:id="42"/>
      </w:r>
      <w:r w:rsidRPr="00FB7A92">
        <w:rPr>
          <w:rFonts w:asciiTheme="majorHAnsi" w:eastAsia="Calibri" w:hAnsiTheme="majorHAnsi" w:cstheme="majorHAnsi"/>
          <w:color w:val="000000"/>
          <w:sz w:val="22"/>
          <w:szCs w:val="22"/>
        </w:rPr>
        <w:t xml:space="preserve"> </w:t>
      </w:r>
      <w:r w:rsidRPr="00FB7A92">
        <w:rPr>
          <w:rFonts w:asciiTheme="majorHAnsi" w:eastAsia="Calibri" w:hAnsiTheme="majorHAnsi" w:cstheme="majorHAnsi"/>
          <w:color w:val="242424"/>
          <w:sz w:val="22"/>
          <w:szCs w:val="22"/>
        </w:rPr>
        <w:t>However, these statistics do not disaggregate by type of sexual abuse, making it impossible to know how many of the referrals correspond to SEC cases.</w:t>
      </w:r>
    </w:p>
    <w:p w14:paraId="66CF6EBD"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2D52377F" w14:textId="0A19DBD7"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242424"/>
          <w:sz w:val="22"/>
          <w:szCs w:val="22"/>
        </w:rPr>
        <w:t>The Ombudsperson for Children Office organised several consultative meetings on child sexual abuse on the theme “A Safer Childhood: A Milestone for Mauritian Independence” in February and April 2018.</w:t>
      </w:r>
      <w:r w:rsidRPr="00FB7A92">
        <w:rPr>
          <w:rFonts w:asciiTheme="majorHAnsi" w:eastAsia="Calibri" w:hAnsiTheme="majorHAnsi" w:cstheme="majorHAnsi"/>
          <w:color w:val="242424"/>
          <w:sz w:val="22"/>
          <w:szCs w:val="22"/>
          <w:vertAlign w:val="superscript"/>
        </w:rPr>
        <w:endnoteReference w:id="43"/>
      </w:r>
    </w:p>
    <w:p w14:paraId="1D1382AD"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4627BEDB" w14:textId="6F7F790D" w:rsidR="00655173"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On the issue of trafficking in particular, the GoM increased prevention efforts. In 2018, the GoM ran awareness campaigns on the radio and television, and in primary and secondary schools.</w:t>
      </w:r>
      <w:r w:rsidRPr="00FB7A92">
        <w:rPr>
          <w:rFonts w:asciiTheme="majorHAnsi" w:eastAsia="Calibri" w:hAnsiTheme="majorHAnsi" w:cstheme="majorHAnsi"/>
          <w:color w:val="000000"/>
          <w:sz w:val="22"/>
          <w:szCs w:val="22"/>
          <w:vertAlign w:val="superscript"/>
        </w:rPr>
        <w:endnoteReference w:id="44"/>
      </w:r>
      <w:r w:rsidRPr="00FB7A92">
        <w:rPr>
          <w:rFonts w:asciiTheme="majorHAnsi" w:eastAsia="Calibri" w:hAnsiTheme="majorHAnsi" w:cstheme="majorHAnsi"/>
          <w:color w:val="000000"/>
          <w:sz w:val="22"/>
          <w:szCs w:val="22"/>
        </w:rPr>
        <w:t xml:space="preserve"> The Mauritius Police Training School provided anti-trafficking courses to 462 law enforcement officers and the GoM trained 30 airport officials on identifying child trafficking victims.</w:t>
      </w:r>
      <w:r w:rsidRPr="00FB7A92">
        <w:rPr>
          <w:rFonts w:asciiTheme="majorHAnsi" w:eastAsia="Calibri" w:hAnsiTheme="majorHAnsi" w:cstheme="majorHAnsi"/>
          <w:color w:val="000000"/>
          <w:sz w:val="22"/>
          <w:szCs w:val="22"/>
          <w:vertAlign w:val="superscript"/>
        </w:rPr>
        <w:endnoteReference w:id="45"/>
      </w:r>
      <w:r w:rsidRPr="00FB7A92">
        <w:rPr>
          <w:rFonts w:asciiTheme="majorHAnsi" w:eastAsia="Calibri" w:hAnsiTheme="majorHAnsi" w:cstheme="majorHAnsi"/>
          <w:color w:val="000000"/>
          <w:sz w:val="22"/>
          <w:szCs w:val="22"/>
        </w:rPr>
        <w:t xml:space="preserve"> </w:t>
      </w:r>
    </w:p>
    <w:p w14:paraId="0853DE6A"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7DD1A87A" w14:textId="47D416D7" w:rsidR="00655173" w:rsidRDefault="00655173" w:rsidP="00FB7A92">
      <w:pPr>
        <w:numPr>
          <w:ilvl w:val="0"/>
          <w:numId w:val="1"/>
        </w:numPr>
        <w:pBdr>
          <w:top w:val="nil"/>
          <w:left w:val="nil"/>
          <w:bottom w:val="nil"/>
          <w:right w:val="nil"/>
          <w:between w:val="nil"/>
        </w:pBdr>
        <w:spacing w:line="276" w:lineRule="auto"/>
        <w:ind w:left="0"/>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Regarding OCSE, in 2018 the GoM organised a workshop, endorsing a safer environment where technology is used responsibly, for Safer Internet Day.</w:t>
      </w:r>
      <w:r w:rsidRPr="00FB7A92">
        <w:rPr>
          <w:rFonts w:asciiTheme="majorHAnsi" w:eastAsia="Calibri" w:hAnsiTheme="majorHAnsi" w:cstheme="majorHAnsi"/>
          <w:color w:val="000000"/>
          <w:sz w:val="22"/>
          <w:szCs w:val="22"/>
          <w:vertAlign w:val="superscript"/>
        </w:rPr>
        <w:endnoteReference w:id="46"/>
      </w:r>
      <w:r w:rsidRPr="00FB7A92">
        <w:rPr>
          <w:rFonts w:asciiTheme="majorHAnsi" w:eastAsia="Calibri" w:hAnsiTheme="majorHAnsi" w:cstheme="majorHAnsi"/>
          <w:color w:val="000000"/>
          <w:sz w:val="22"/>
          <w:szCs w:val="22"/>
        </w:rPr>
        <w:t xml:space="preserve"> It also conducted Internet safety education programmes in schools and community centres, reaching 1,850 individuals.</w:t>
      </w:r>
      <w:r w:rsidRPr="00FB7A92">
        <w:rPr>
          <w:rFonts w:asciiTheme="majorHAnsi" w:eastAsia="Calibri" w:hAnsiTheme="majorHAnsi" w:cstheme="majorHAnsi"/>
          <w:color w:val="000000"/>
          <w:sz w:val="22"/>
          <w:szCs w:val="22"/>
          <w:vertAlign w:val="superscript"/>
        </w:rPr>
        <w:endnoteReference w:id="47"/>
      </w:r>
      <w:r w:rsidRPr="00FB7A92">
        <w:rPr>
          <w:rFonts w:asciiTheme="majorHAnsi" w:eastAsia="Calibri" w:hAnsiTheme="majorHAnsi" w:cstheme="majorHAnsi"/>
          <w:color w:val="000000"/>
          <w:sz w:val="22"/>
          <w:szCs w:val="22"/>
        </w:rPr>
        <w:t xml:space="preserve"> Halley Movement conducted around 15 workshops on child safety online with different target groups. Halley Movement has hosted since 2017 and each year the ‘Mauritius-Internet Governance Forum’. In 2019 it focused on ‘The impact of Internet on OCSE’. The proposed theme for 2020 is ‘Connecting the digital dots in Africa with emphasis on child welfare’.</w:t>
      </w:r>
      <w:r w:rsidRPr="00FB7A92">
        <w:rPr>
          <w:rStyle w:val="EndnoteReference"/>
          <w:rFonts w:asciiTheme="majorHAnsi" w:eastAsia="Calibri" w:hAnsiTheme="majorHAnsi" w:cstheme="majorHAnsi"/>
          <w:color w:val="000000"/>
          <w:sz w:val="22"/>
          <w:szCs w:val="22"/>
        </w:rPr>
        <w:endnoteReference w:id="48"/>
      </w:r>
    </w:p>
    <w:p w14:paraId="117A2A54" w14:textId="77777777" w:rsidR="00FB7A92" w:rsidRDefault="00FB7A92" w:rsidP="00FB7A92">
      <w:pPr>
        <w:pStyle w:val="ListParagraph"/>
        <w:rPr>
          <w:rFonts w:asciiTheme="majorHAnsi" w:eastAsia="Calibri" w:hAnsiTheme="majorHAnsi" w:cstheme="majorHAnsi"/>
          <w:color w:val="000000"/>
          <w:sz w:val="22"/>
          <w:szCs w:val="22"/>
        </w:rPr>
      </w:pPr>
    </w:p>
    <w:p w14:paraId="2E7D217B" w14:textId="16B6864D" w:rsid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734AEAC5" w14:textId="74B2BAE4" w:rsid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07B8A428"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6F39571D" w14:textId="77777777" w:rsidR="00655173" w:rsidRPr="00FB7A92" w:rsidRDefault="00655173" w:rsidP="00FB7A92">
      <w:pPr>
        <w:pStyle w:val="Heading1"/>
        <w:spacing w:before="0" w:line="276" w:lineRule="auto"/>
        <w:jc w:val="both"/>
        <w:rPr>
          <w:rFonts w:asciiTheme="majorHAnsi" w:hAnsiTheme="majorHAnsi" w:cstheme="majorHAnsi"/>
          <w:sz w:val="22"/>
          <w:szCs w:val="22"/>
        </w:rPr>
      </w:pPr>
      <w:bookmarkStart w:id="7" w:name="_Toc31883668"/>
      <w:r w:rsidRPr="00FB7A92">
        <w:rPr>
          <w:rFonts w:asciiTheme="majorHAnsi" w:hAnsiTheme="majorHAnsi" w:cstheme="majorHAnsi"/>
          <w:sz w:val="22"/>
          <w:szCs w:val="22"/>
        </w:rPr>
        <w:t>Prohibition of the sale of children, child prostitution and child pornography</w:t>
      </w:r>
      <w:bookmarkEnd w:id="7"/>
    </w:p>
    <w:p w14:paraId="05CFEB0D" w14:textId="77777777" w:rsidR="00655173" w:rsidRPr="00FB7A92" w:rsidRDefault="00655173" w:rsidP="00FB7A92">
      <w:pPr>
        <w:spacing w:line="276" w:lineRule="auto"/>
        <w:jc w:val="both"/>
        <w:rPr>
          <w:rFonts w:asciiTheme="majorHAnsi" w:eastAsia="Calibri" w:hAnsiTheme="majorHAnsi" w:cstheme="majorHAnsi"/>
          <w:sz w:val="22"/>
          <w:szCs w:val="22"/>
        </w:rPr>
      </w:pPr>
    </w:p>
    <w:p w14:paraId="1478FA69" w14:textId="2E18F47D"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The main laws penalising SEC offences in Mauritius are the Child Protection Act and the Criminal Code, which in many provisions do not meet international standards.</w:t>
      </w:r>
      <w:r w:rsidRPr="00FB7A92">
        <w:rPr>
          <w:rFonts w:asciiTheme="majorHAnsi" w:eastAsia="Calibri" w:hAnsiTheme="majorHAnsi" w:cstheme="majorHAnsi"/>
          <w:color w:val="000000"/>
          <w:sz w:val="22"/>
          <w:szCs w:val="22"/>
          <w:vertAlign w:val="superscript"/>
        </w:rPr>
        <w:endnoteReference w:id="49"/>
      </w:r>
      <w:r w:rsidRPr="00FB7A92">
        <w:rPr>
          <w:rFonts w:asciiTheme="majorHAnsi" w:eastAsia="Calibri" w:hAnsiTheme="majorHAnsi" w:cstheme="majorHAnsi"/>
          <w:color w:val="000000"/>
          <w:sz w:val="22"/>
          <w:szCs w:val="22"/>
        </w:rPr>
        <w:t xml:space="preserve"> </w:t>
      </w:r>
    </w:p>
    <w:p w14:paraId="333AEE11" w14:textId="77777777" w:rsidR="00655173" w:rsidRPr="00FB7A92" w:rsidRDefault="00655173"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0B0B7C7F" w14:textId="088098A2"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 xml:space="preserve">The exploitation of children in </w:t>
      </w:r>
      <w:r w:rsidRPr="00FB7A92">
        <w:rPr>
          <w:rFonts w:asciiTheme="majorHAnsi" w:eastAsia="Calibri" w:hAnsiTheme="majorHAnsi" w:cstheme="majorHAnsi"/>
          <w:b/>
          <w:color w:val="000000"/>
          <w:sz w:val="22"/>
          <w:szCs w:val="22"/>
        </w:rPr>
        <w:t>prostitution</w:t>
      </w:r>
      <w:r w:rsidRPr="00FB7A92">
        <w:rPr>
          <w:rFonts w:asciiTheme="majorHAnsi" w:eastAsia="Calibri" w:hAnsiTheme="majorHAnsi" w:cstheme="majorHAnsi"/>
          <w:color w:val="000000"/>
          <w:sz w:val="22"/>
          <w:szCs w:val="22"/>
        </w:rPr>
        <w:t xml:space="preserve"> is broadly defined in the Child Protection Act, Section 14.</w:t>
      </w:r>
      <w:r w:rsidRPr="00FB7A92">
        <w:rPr>
          <w:rFonts w:asciiTheme="majorHAnsi" w:eastAsia="Calibri" w:hAnsiTheme="majorHAnsi" w:cstheme="majorHAnsi"/>
          <w:color w:val="000000"/>
          <w:sz w:val="22"/>
          <w:szCs w:val="22"/>
          <w:vertAlign w:val="superscript"/>
        </w:rPr>
        <w:endnoteReference w:id="50"/>
      </w:r>
      <w:r w:rsidRPr="00FB7A92">
        <w:rPr>
          <w:rFonts w:asciiTheme="majorHAnsi" w:eastAsia="Calibri" w:hAnsiTheme="majorHAnsi" w:cstheme="majorHAnsi"/>
          <w:color w:val="000000"/>
          <w:sz w:val="22"/>
          <w:szCs w:val="22"/>
        </w:rPr>
        <w:t xml:space="preserve"> It specifies that a child shall be deemed to be “sexually abused where he has taken part whether as a willing or unwilling participant or observer in any act which is sexual in nature”.</w:t>
      </w:r>
      <w:r w:rsidRPr="00FB7A92">
        <w:rPr>
          <w:rFonts w:asciiTheme="majorHAnsi" w:eastAsia="Calibri" w:hAnsiTheme="majorHAnsi" w:cstheme="majorHAnsi"/>
          <w:color w:val="000000"/>
          <w:sz w:val="22"/>
          <w:szCs w:val="22"/>
          <w:vertAlign w:val="superscript"/>
        </w:rPr>
        <w:endnoteReference w:id="51"/>
      </w:r>
      <w:r w:rsidRPr="00FB7A92">
        <w:rPr>
          <w:rFonts w:asciiTheme="majorHAnsi" w:eastAsia="Calibri" w:hAnsiTheme="majorHAnsi" w:cstheme="majorHAnsi"/>
          <w:color w:val="000000"/>
          <w:sz w:val="22"/>
          <w:szCs w:val="22"/>
        </w:rPr>
        <w:t xml:space="preserve"> The offence is penalised with a maximum imprisonment of up to 10 years.</w:t>
      </w:r>
      <w:r w:rsidRPr="00FB7A92">
        <w:rPr>
          <w:rFonts w:asciiTheme="majorHAnsi" w:eastAsia="Calibri" w:hAnsiTheme="majorHAnsi" w:cstheme="majorHAnsi"/>
          <w:color w:val="000000"/>
          <w:sz w:val="22"/>
          <w:szCs w:val="22"/>
          <w:vertAlign w:val="superscript"/>
        </w:rPr>
        <w:endnoteReference w:id="52"/>
      </w:r>
      <w:r w:rsidRPr="00FB7A92">
        <w:rPr>
          <w:rFonts w:asciiTheme="majorHAnsi" w:eastAsia="Calibri" w:hAnsiTheme="majorHAnsi" w:cstheme="majorHAnsi"/>
          <w:color w:val="000000"/>
          <w:sz w:val="22"/>
          <w:szCs w:val="22"/>
        </w:rPr>
        <w:t xml:space="preserve"> The Criminal Code of Mauritius provides similar criminalisation but with increased penalties (maximum of 20 years of imprisonment).</w:t>
      </w:r>
      <w:r w:rsidRPr="00FB7A92">
        <w:rPr>
          <w:rFonts w:asciiTheme="majorHAnsi" w:eastAsia="Calibri" w:hAnsiTheme="majorHAnsi" w:cstheme="majorHAnsi"/>
          <w:color w:val="000000"/>
          <w:sz w:val="22"/>
          <w:szCs w:val="22"/>
          <w:vertAlign w:val="superscript"/>
        </w:rPr>
        <w:endnoteReference w:id="53"/>
      </w:r>
      <w:r w:rsidRPr="00FB7A92">
        <w:rPr>
          <w:rFonts w:asciiTheme="majorHAnsi" w:eastAsia="Calibri" w:hAnsiTheme="majorHAnsi" w:cstheme="majorHAnsi"/>
          <w:color w:val="000000"/>
          <w:sz w:val="22"/>
          <w:szCs w:val="22"/>
        </w:rPr>
        <w:t xml:space="preserve"> Additionally, the Criminal Code contains a provision regarding “rape, attempt upon chastity and illegal sexual intercourse”.</w:t>
      </w:r>
      <w:r w:rsidRPr="00FB7A92">
        <w:rPr>
          <w:rFonts w:asciiTheme="majorHAnsi" w:eastAsia="Calibri" w:hAnsiTheme="majorHAnsi" w:cstheme="majorHAnsi"/>
          <w:color w:val="000000"/>
          <w:sz w:val="22"/>
          <w:szCs w:val="22"/>
          <w:vertAlign w:val="superscript"/>
        </w:rPr>
        <w:endnoteReference w:id="54"/>
      </w:r>
      <w:r w:rsidRPr="00FB7A92">
        <w:rPr>
          <w:rFonts w:asciiTheme="majorHAnsi" w:eastAsia="Calibri" w:hAnsiTheme="majorHAnsi" w:cstheme="majorHAnsi"/>
          <w:color w:val="000000"/>
          <w:sz w:val="22"/>
          <w:szCs w:val="22"/>
        </w:rPr>
        <w:t xml:space="preserve"> The provision criminalising the commitment of indecent acts only protects children below 12,</w:t>
      </w:r>
      <w:r w:rsidRPr="00FB7A92">
        <w:rPr>
          <w:rFonts w:asciiTheme="majorHAnsi" w:eastAsia="Calibri" w:hAnsiTheme="majorHAnsi" w:cstheme="majorHAnsi"/>
          <w:color w:val="000000"/>
          <w:sz w:val="22"/>
          <w:szCs w:val="22"/>
          <w:vertAlign w:val="superscript"/>
        </w:rPr>
        <w:endnoteReference w:id="55"/>
      </w:r>
      <w:r w:rsidRPr="00FB7A92">
        <w:rPr>
          <w:rFonts w:asciiTheme="majorHAnsi" w:eastAsia="Calibri" w:hAnsiTheme="majorHAnsi" w:cstheme="majorHAnsi"/>
          <w:color w:val="000000"/>
          <w:sz w:val="22"/>
          <w:szCs w:val="22"/>
        </w:rPr>
        <w:t xml:space="preserve"> whilst that referring to sexual intercourse only protects children under 16.</w:t>
      </w:r>
      <w:r w:rsidRPr="00FB7A92">
        <w:rPr>
          <w:rFonts w:asciiTheme="majorHAnsi" w:eastAsia="Calibri" w:hAnsiTheme="majorHAnsi" w:cstheme="majorHAnsi"/>
          <w:color w:val="000000"/>
          <w:sz w:val="22"/>
          <w:szCs w:val="22"/>
          <w:vertAlign w:val="superscript"/>
        </w:rPr>
        <w:endnoteReference w:id="56"/>
      </w:r>
      <w:r w:rsidRPr="00FB7A92">
        <w:rPr>
          <w:rFonts w:asciiTheme="majorHAnsi" w:eastAsia="Calibri" w:hAnsiTheme="majorHAnsi" w:cstheme="majorHAnsi"/>
          <w:color w:val="000000"/>
          <w:sz w:val="22"/>
          <w:szCs w:val="22"/>
        </w:rPr>
        <w:t xml:space="preserve"> For both provisions, penalties are increased if the perpetrator is in a position of trust.</w:t>
      </w:r>
      <w:r w:rsidRPr="00FB7A92">
        <w:rPr>
          <w:rFonts w:asciiTheme="majorHAnsi" w:eastAsia="Calibri" w:hAnsiTheme="majorHAnsi" w:cstheme="majorHAnsi"/>
          <w:color w:val="000000"/>
          <w:sz w:val="22"/>
          <w:szCs w:val="22"/>
          <w:vertAlign w:val="superscript"/>
        </w:rPr>
        <w:endnoteReference w:id="57"/>
      </w:r>
      <w:r w:rsidRPr="00FB7A92">
        <w:rPr>
          <w:rFonts w:asciiTheme="majorHAnsi" w:eastAsia="Calibri" w:hAnsiTheme="majorHAnsi" w:cstheme="majorHAnsi"/>
          <w:color w:val="000000"/>
          <w:sz w:val="22"/>
          <w:szCs w:val="22"/>
        </w:rPr>
        <w:t xml:space="preserve"> However, the concepts of “indecent act” and “minor” are not defined. Moreover, Article 249(7) states that “it shall be a ‘sufficient defence’ to any prosecution… if the person charged had ‘reasonable cause to believe’ that the child was above the age of 12 or 16”.</w:t>
      </w:r>
      <w:r w:rsidRPr="00FB7A92">
        <w:rPr>
          <w:rFonts w:asciiTheme="majorHAnsi" w:eastAsia="Calibri" w:hAnsiTheme="majorHAnsi" w:cstheme="majorHAnsi"/>
          <w:color w:val="000000"/>
          <w:sz w:val="22"/>
          <w:szCs w:val="22"/>
          <w:vertAlign w:val="superscript"/>
        </w:rPr>
        <w:endnoteReference w:id="58"/>
      </w:r>
      <w:r w:rsidRPr="00FB7A92">
        <w:rPr>
          <w:rFonts w:asciiTheme="majorHAnsi" w:eastAsia="Calibri" w:hAnsiTheme="majorHAnsi" w:cstheme="majorHAnsi"/>
          <w:color w:val="000000"/>
          <w:sz w:val="22"/>
          <w:szCs w:val="22"/>
        </w:rPr>
        <w:t xml:space="preserve"> This is troubling because it could allow sexual abuse and exploitation of a child as young as 13 and contribute to offenders evading criminal responsibility if they plead unawareness of the victim’s age. Lastly, Article 251 penalises the act of ‘Debauching Youth’, understood as children under 18, with a maximum imprisonment of 10 years.</w:t>
      </w:r>
      <w:r w:rsidRPr="00FB7A92">
        <w:rPr>
          <w:rFonts w:asciiTheme="majorHAnsi" w:eastAsia="Calibri" w:hAnsiTheme="majorHAnsi" w:cstheme="majorHAnsi"/>
          <w:color w:val="000000"/>
          <w:sz w:val="22"/>
          <w:szCs w:val="22"/>
          <w:vertAlign w:val="superscript"/>
        </w:rPr>
        <w:endnoteReference w:id="59"/>
      </w:r>
      <w:r w:rsidRPr="00FB7A92">
        <w:rPr>
          <w:rFonts w:asciiTheme="majorHAnsi" w:eastAsia="Calibri" w:hAnsiTheme="majorHAnsi" w:cstheme="majorHAnsi"/>
          <w:color w:val="000000"/>
          <w:sz w:val="22"/>
          <w:szCs w:val="22"/>
        </w:rPr>
        <w:t xml:space="preserve"> The penalty is increased if it involves parents, guardians or other persons entrusted with the care of the child.</w:t>
      </w:r>
      <w:r w:rsidRPr="00FB7A92">
        <w:rPr>
          <w:rFonts w:asciiTheme="majorHAnsi" w:eastAsia="Calibri" w:hAnsiTheme="majorHAnsi" w:cstheme="majorHAnsi"/>
          <w:color w:val="000000"/>
          <w:sz w:val="22"/>
          <w:szCs w:val="22"/>
          <w:vertAlign w:val="superscript"/>
        </w:rPr>
        <w:endnoteReference w:id="60"/>
      </w:r>
      <w:r w:rsidRPr="00FB7A92">
        <w:rPr>
          <w:rFonts w:asciiTheme="majorHAnsi" w:eastAsia="Calibri" w:hAnsiTheme="majorHAnsi" w:cstheme="majorHAnsi"/>
          <w:color w:val="000000"/>
          <w:sz w:val="22"/>
          <w:szCs w:val="22"/>
        </w:rPr>
        <w:t xml:space="preserve"> </w:t>
      </w:r>
    </w:p>
    <w:p w14:paraId="486C2105" w14:textId="77777777" w:rsidR="00655173" w:rsidRPr="00FB7A92" w:rsidRDefault="00655173"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773B900F" w14:textId="77777777"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 xml:space="preserve">No explicit law defines </w:t>
      </w:r>
      <w:r w:rsidRPr="00FB7A92">
        <w:rPr>
          <w:rFonts w:asciiTheme="majorHAnsi" w:eastAsia="Calibri" w:hAnsiTheme="majorHAnsi" w:cstheme="majorHAnsi"/>
          <w:b/>
          <w:color w:val="000000"/>
          <w:sz w:val="22"/>
          <w:szCs w:val="22"/>
        </w:rPr>
        <w:t>OCSE</w:t>
      </w:r>
      <w:r w:rsidRPr="00FB7A92">
        <w:rPr>
          <w:rFonts w:asciiTheme="majorHAnsi" w:eastAsia="Calibri" w:hAnsiTheme="majorHAnsi" w:cstheme="majorHAnsi"/>
          <w:color w:val="000000"/>
          <w:sz w:val="22"/>
          <w:szCs w:val="22"/>
        </w:rPr>
        <w:t>. The Child Protection Act, however, includes in its definition of acts of sexual nature “any activity of pornographic, obscene or indecent nature” which may partially entail some manifestations of OCSE.</w:t>
      </w:r>
      <w:r w:rsidRPr="00FB7A92">
        <w:rPr>
          <w:rFonts w:asciiTheme="majorHAnsi" w:eastAsia="Calibri" w:hAnsiTheme="majorHAnsi" w:cstheme="majorHAnsi"/>
          <w:color w:val="000000"/>
          <w:sz w:val="22"/>
          <w:szCs w:val="22"/>
          <w:vertAlign w:val="superscript"/>
        </w:rPr>
        <w:endnoteReference w:id="61"/>
      </w:r>
      <w:r w:rsidRPr="00FB7A92">
        <w:rPr>
          <w:rFonts w:asciiTheme="majorHAnsi" w:eastAsia="Calibri" w:hAnsiTheme="majorHAnsi" w:cstheme="majorHAnsi"/>
          <w:color w:val="000000"/>
          <w:sz w:val="22"/>
          <w:szCs w:val="22"/>
        </w:rPr>
        <w:t xml:space="preserve"> Although the Act does not provide a definition for CSAM/CSEM, it penalises any person who “takes, makes, distributes, shows, publishes or possesses indecent photographs of children with a view to distribute or show them”, with a maximum of 10 years of imprisonment.</w:t>
      </w:r>
      <w:r w:rsidRPr="00FB7A92">
        <w:rPr>
          <w:rFonts w:asciiTheme="majorHAnsi" w:eastAsia="Calibri" w:hAnsiTheme="majorHAnsi" w:cstheme="majorHAnsi"/>
          <w:color w:val="000000"/>
          <w:sz w:val="22"/>
          <w:szCs w:val="22"/>
          <w:vertAlign w:val="superscript"/>
        </w:rPr>
        <w:endnoteReference w:id="62"/>
      </w:r>
      <w:r w:rsidRPr="00FB7A92">
        <w:rPr>
          <w:rFonts w:asciiTheme="majorHAnsi" w:eastAsia="Calibri" w:hAnsiTheme="majorHAnsi" w:cstheme="majorHAnsi"/>
          <w:color w:val="000000"/>
          <w:sz w:val="22"/>
          <w:szCs w:val="22"/>
        </w:rPr>
        <w:t xml:space="preserve"> However, the Act does not specify whether this provision also applies to videos, audio material and live streaming of child sexual abuse. Moreover, it provides an offender with a chance to present a defence and prove that either he had reasonable grounds for the distribution or possession of such materials, that he had not seen them and/or that he did not know the material was indecent.</w:t>
      </w:r>
      <w:r w:rsidRPr="00FB7A92">
        <w:rPr>
          <w:rFonts w:asciiTheme="majorHAnsi" w:eastAsia="Calibri" w:hAnsiTheme="majorHAnsi" w:cstheme="majorHAnsi"/>
          <w:color w:val="000000"/>
          <w:sz w:val="22"/>
          <w:szCs w:val="22"/>
          <w:vertAlign w:val="superscript"/>
        </w:rPr>
        <w:endnoteReference w:id="63"/>
      </w:r>
      <w:r w:rsidRPr="00FB7A92">
        <w:rPr>
          <w:rFonts w:asciiTheme="majorHAnsi" w:eastAsia="Calibri" w:hAnsiTheme="majorHAnsi" w:cstheme="majorHAnsi"/>
          <w:color w:val="000000"/>
          <w:sz w:val="22"/>
          <w:szCs w:val="22"/>
        </w:rPr>
        <w:t xml:space="preserve"> In order to address the many gaps, a Child Online Safety Bill was to be drafted by the Department of Information and Communications Technology and the Ministry of Gender Equality, Child Development and Family Welfare.</w:t>
      </w:r>
      <w:r w:rsidRPr="00FB7A92">
        <w:rPr>
          <w:rFonts w:asciiTheme="majorHAnsi" w:eastAsia="Calibri" w:hAnsiTheme="majorHAnsi" w:cstheme="majorHAnsi"/>
          <w:color w:val="000000"/>
          <w:sz w:val="22"/>
          <w:szCs w:val="22"/>
          <w:vertAlign w:val="superscript"/>
        </w:rPr>
        <w:endnoteReference w:id="64"/>
      </w:r>
      <w:r w:rsidRPr="00FB7A92">
        <w:rPr>
          <w:rFonts w:asciiTheme="majorHAnsi" w:eastAsia="Calibri" w:hAnsiTheme="majorHAnsi" w:cstheme="majorHAnsi"/>
          <w:color w:val="000000"/>
          <w:sz w:val="22"/>
          <w:szCs w:val="22"/>
        </w:rPr>
        <w:t xml:space="preserve"> At the time of writing, no information on its approval nor content were however available.</w:t>
      </w:r>
    </w:p>
    <w:p w14:paraId="002B59D4" w14:textId="1E74DFCD" w:rsidR="00655173" w:rsidRPr="00FB7A92" w:rsidRDefault="00655173" w:rsidP="00FB7A92">
      <w:pPr>
        <w:spacing w:line="276" w:lineRule="auto"/>
        <w:jc w:val="both"/>
        <w:rPr>
          <w:rFonts w:asciiTheme="majorHAnsi" w:eastAsia="Calibri" w:hAnsiTheme="majorHAnsi" w:cstheme="majorHAnsi"/>
          <w:sz w:val="22"/>
          <w:szCs w:val="22"/>
        </w:rPr>
      </w:pPr>
    </w:p>
    <w:p w14:paraId="1A21B8AA" w14:textId="16FBB65D"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 xml:space="preserve">The Mauritian legal framework relating to </w:t>
      </w:r>
      <w:r w:rsidRPr="00FB7A92">
        <w:rPr>
          <w:rFonts w:asciiTheme="majorHAnsi" w:eastAsia="Calibri" w:hAnsiTheme="majorHAnsi" w:cstheme="majorHAnsi"/>
          <w:b/>
          <w:color w:val="000000"/>
          <w:sz w:val="22"/>
          <w:szCs w:val="22"/>
        </w:rPr>
        <w:t>the sale and trafficking of children for sexual purposes</w:t>
      </w:r>
      <w:r w:rsidRPr="00FB7A92">
        <w:rPr>
          <w:rFonts w:asciiTheme="majorHAnsi" w:eastAsia="Calibri" w:hAnsiTheme="majorHAnsi" w:cstheme="majorHAnsi"/>
          <w:color w:val="000000"/>
          <w:sz w:val="22"/>
          <w:szCs w:val="22"/>
        </w:rPr>
        <w:t xml:space="preserve"> is comprehensive and in compliance with relevant international instruments. The main law is the Combating of Trafficking in Persons Act. The definition provided for human trafficking is in line with the Un Protocol to Prevent, Suppress and Punish Trafficking in Persons, Especially Women and Children.</w:t>
      </w:r>
      <w:r w:rsidRPr="00FB7A92">
        <w:rPr>
          <w:rFonts w:asciiTheme="majorHAnsi" w:eastAsia="Calibri" w:hAnsiTheme="majorHAnsi" w:cstheme="majorHAnsi"/>
          <w:color w:val="000000"/>
          <w:sz w:val="22"/>
          <w:szCs w:val="22"/>
          <w:vertAlign w:val="superscript"/>
        </w:rPr>
        <w:endnoteReference w:id="65"/>
      </w:r>
      <w:r w:rsidRPr="00FB7A92">
        <w:rPr>
          <w:rFonts w:asciiTheme="majorHAnsi" w:eastAsia="Calibri" w:hAnsiTheme="majorHAnsi" w:cstheme="majorHAnsi"/>
          <w:color w:val="000000"/>
          <w:sz w:val="22"/>
          <w:szCs w:val="22"/>
        </w:rPr>
        <w:t xml:space="preserve"> It clearly states that a minor can never consent to trafficking, and that therefore, the idea that a victim consented to being trafficked can never be used as a defence.</w:t>
      </w:r>
      <w:r w:rsidRPr="00FB7A92">
        <w:rPr>
          <w:rFonts w:asciiTheme="majorHAnsi" w:eastAsia="Calibri" w:hAnsiTheme="majorHAnsi" w:cstheme="majorHAnsi"/>
          <w:color w:val="000000"/>
          <w:sz w:val="22"/>
          <w:szCs w:val="22"/>
          <w:vertAlign w:val="superscript"/>
        </w:rPr>
        <w:endnoteReference w:id="66"/>
      </w:r>
      <w:r w:rsidRPr="00FB7A92">
        <w:rPr>
          <w:rFonts w:asciiTheme="majorHAnsi" w:eastAsia="Calibri" w:hAnsiTheme="majorHAnsi" w:cstheme="majorHAnsi"/>
          <w:color w:val="000000"/>
          <w:sz w:val="22"/>
          <w:szCs w:val="22"/>
        </w:rPr>
        <w:t xml:space="preserve"> Another relevant law is the Child Protection Act. In 2005, it was amended to include specific provisions on ‘child trafficking’. The Act criminalises the trafficking of children both within and outside the national borders.</w:t>
      </w:r>
      <w:r w:rsidRPr="00FB7A92">
        <w:rPr>
          <w:rFonts w:asciiTheme="majorHAnsi" w:eastAsia="Calibri" w:hAnsiTheme="majorHAnsi" w:cstheme="majorHAnsi"/>
          <w:color w:val="000000"/>
          <w:sz w:val="22"/>
          <w:szCs w:val="22"/>
          <w:vertAlign w:val="superscript"/>
        </w:rPr>
        <w:endnoteReference w:id="67"/>
      </w:r>
      <w:r w:rsidRPr="00FB7A92">
        <w:rPr>
          <w:rFonts w:asciiTheme="majorHAnsi" w:eastAsia="Calibri" w:hAnsiTheme="majorHAnsi" w:cstheme="majorHAnsi"/>
          <w:color w:val="000000"/>
          <w:sz w:val="22"/>
          <w:szCs w:val="22"/>
        </w:rPr>
        <w:t xml:space="preserve"> </w:t>
      </w:r>
    </w:p>
    <w:p w14:paraId="7582C5E9" w14:textId="3E153926" w:rsidR="00655173" w:rsidRPr="00FB7A92" w:rsidRDefault="00655173" w:rsidP="00FB7A92">
      <w:pPr>
        <w:spacing w:line="276" w:lineRule="auto"/>
        <w:jc w:val="both"/>
        <w:rPr>
          <w:rFonts w:asciiTheme="majorHAnsi" w:eastAsia="Calibri" w:hAnsiTheme="majorHAnsi" w:cstheme="majorHAnsi"/>
          <w:sz w:val="22"/>
          <w:szCs w:val="22"/>
        </w:rPr>
      </w:pPr>
    </w:p>
    <w:p w14:paraId="6021C02A" w14:textId="4F7B7EBC"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 xml:space="preserve">No explicit legal provision penalises </w:t>
      </w:r>
      <w:r w:rsidRPr="00FB7A92">
        <w:rPr>
          <w:rFonts w:asciiTheme="majorHAnsi" w:eastAsia="Calibri" w:hAnsiTheme="majorHAnsi" w:cstheme="majorHAnsi"/>
          <w:b/>
          <w:color w:val="000000"/>
          <w:sz w:val="22"/>
          <w:szCs w:val="22"/>
        </w:rPr>
        <w:t>SECTT</w:t>
      </w:r>
      <w:r w:rsidRPr="00FB7A92">
        <w:rPr>
          <w:rFonts w:asciiTheme="majorHAnsi" w:eastAsia="Calibri" w:hAnsiTheme="majorHAnsi" w:cstheme="majorHAnsi"/>
          <w:color w:val="000000"/>
          <w:sz w:val="22"/>
          <w:szCs w:val="22"/>
        </w:rPr>
        <w:t>. Although it does not address it directly, the Tourism Authority Act may facilitate a partial prevention of sexual exploitation through the tourism and travel sector, by for instance criminalise companies to operate their tourism business in contrast to interests of public health, public order and safety.</w:t>
      </w:r>
      <w:r w:rsidRPr="00FB7A92">
        <w:rPr>
          <w:rFonts w:asciiTheme="majorHAnsi" w:eastAsia="Calibri" w:hAnsiTheme="majorHAnsi" w:cstheme="majorHAnsi"/>
          <w:color w:val="000000"/>
          <w:sz w:val="22"/>
          <w:szCs w:val="22"/>
          <w:vertAlign w:val="superscript"/>
        </w:rPr>
        <w:endnoteReference w:id="68"/>
      </w:r>
    </w:p>
    <w:p w14:paraId="6FE7C90D" w14:textId="77777777" w:rsidR="00655173" w:rsidRPr="00FB7A92" w:rsidRDefault="00655173" w:rsidP="00FB7A92">
      <w:pPr>
        <w:spacing w:line="276" w:lineRule="auto"/>
        <w:jc w:val="both"/>
        <w:rPr>
          <w:rFonts w:asciiTheme="majorHAnsi" w:eastAsia="Calibri" w:hAnsiTheme="majorHAnsi" w:cstheme="majorHAnsi"/>
          <w:sz w:val="22"/>
          <w:szCs w:val="22"/>
        </w:rPr>
      </w:pPr>
    </w:p>
    <w:p w14:paraId="2A18E39F" w14:textId="64015C91"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 xml:space="preserve">The main instrument governing marriage in Mauritius is the Civil Code, which has not been entirely revised since 1808 and which therefore fails to prevent </w:t>
      </w:r>
      <w:r w:rsidRPr="00FB7A92">
        <w:rPr>
          <w:rFonts w:asciiTheme="majorHAnsi" w:eastAsia="Calibri" w:hAnsiTheme="majorHAnsi" w:cstheme="majorHAnsi"/>
          <w:b/>
          <w:color w:val="000000"/>
          <w:sz w:val="22"/>
          <w:szCs w:val="22"/>
        </w:rPr>
        <w:t>CEFM</w:t>
      </w:r>
      <w:r w:rsidRPr="00FB7A92">
        <w:rPr>
          <w:rFonts w:asciiTheme="majorHAnsi" w:eastAsia="Calibri" w:hAnsiTheme="majorHAnsi" w:cstheme="majorHAnsi"/>
          <w:color w:val="000000"/>
          <w:sz w:val="22"/>
          <w:szCs w:val="22"/>
        </w:rPr>
        <w:t>. According to Article 144, “no one can enter into marriage before the age of 18”.</w:t>
      </w:r>
      <w:r w:rsidRPr="00FB7A92">
        <w:rPr>
          <w:rFonts w:asciiTheme="majorHAnsi" w:eastAsia="Calibri" w:hAnsiTheme="majorHAnsi" w:cstheme="majorHAnsi"/>
          <w:color w:val="000000"/>
          <w:sz w:val="22"/>
          <w:szCs w:val="22"/>
          <w:vertAlign w:val="superscript"/>
        </w:rPr>
        <w:endnoteReference w:id="69"/>
      </w:r>
      <w:r w:rsidRPr="00FB7A92">
        <w:rPr>
          <w:rFonts w:asciiTheme="majorHAnsi" w:eastAsia="Calibri" w:hAnsiTheme="majorHAnsi" w:cstheme="majorHAnsi"/>
          <w:color w:val="000000"/>
          <w:sz w:val="22"/>
          <w:szCs w:val="22"/>
        </w:rPr>
        <w:t xml:space="preserve"> However, a minor who is above the age of 16 can marry with parental consent or with permission from a judge.</w:t>
      </w:r>
      <w:r w:rsidRPr="00FB7A92">
        <w:rPr>
          <w:rFonts w:asciiTheme="majorHAnsi" w:eastAsia="Calibri" w:hAnsiTheme="majorHAnsi" w:cstheme="majorHAnsi"/>
          <w:color w:val="000000"/>
          <w:sz w:val="22"/>
          <w:szCs w:val="22"/>
          <w:vertAlign w:val="superscript"/>
        </w:rPr>
        <w:endnoteReference w:id="70"/>
      </w:r>
      <w:r w:rsidRPr="00FB7A92">
        <w:rPr>
          <w:rFonts w:asciiTheme="majorHAnsi" w:eastAsia="Calibri" w:hAnsiTheme="majorHAnsi" w:cstheme="majorHAnsi"/>
          <w:color w:val="000000"/>
          <w:sz w:val="22"/>
          <w:szCs w:val="22"/>
        </w:rPr>
        <w:t xml:space="preserve"> Furthermore, a claim for annulment of an underage marriage cannot be made when the parties ‘tacitly’ approve the marriage, six months have passed, or the woman has conceived before the six months deadline.</w:t>
      </w:r>
      <w:r w:rsidRPr="00FB7A92">
        <w:rPr>
          <w:rFonts w:asciiTheme="majorHAnsi" w:eastAsia="Calibri" w:hAnsiTheme="majorHAnsi" w:cstheme="majorHAnsi"/>
          <w:color w:val="000000"/>
          <w:sz w:val="22"/>
          <w:szCs w:val="22"/>
          <w:vertAlign w:val="superscript"/>
        </w:rPr>
        <w:endnoteReference w:id="71"/>
      </w:r>
      <w:r w:rsidRPr="00FB7A92">
        <w:rPr>
          <w:rFonts w:asciiTheme="majorHAnsi" w:eastAsia="Calibri" w:hAnsiTheme="majorHAnsi" w:cstheme="majorHAnsi"/>
          <w:color w:val="000000"/>
          <w:sz w:val="22"/>
          <w:szCs w:val="22"/>
        </w:rPr>
        <w:t xml:space="preserve"> Finally, religious marriages have no codified minimum age and often go unregistered, which can result in child marriages among certain faith groups that tend to be more tolerant towards this practice.</w:t>
      </w:r>
      <w:r w:rsidRPr="00FB7A92">
        <w:rPr>
          <w:rFonts w:asciiTheme="majorHAnsi" w:eastAsia="Calibri" w:hAnsiTheme="majorHAnsi" w:cstheme="majorHAnsi"/>
          <w:color w:val="000000"/>
          <w:sz w:val="22"/>
          <w:szCs w:val="22"/>
          <w:vertAlign w:val="superscript"/>
        </w:rPr>
        <w:endnoteReference w:id="72"/>
      </w:r>
    </w:p>
    <w:p w14:paraId="447FE449" w14:textId="77777777" w:rsidR="00655173" w:rsidRPr="00FB7A92" w:rsidRDefault="00655173" w:rsidP="00FB7A92">
      <w:pPr>
        <w:pStyle w:val="ListParagraph"/>
        <w:spacing w:line="276" w:lineRule="auto"/>
        <w:jc w:val="both"/>
        <w:rPr>
          <w:rFonts w:asciiTheme="majorHAnsi" w:eastAsia="Calibri" w:hAnsiTheme="majorHAnsi" w:cstheme="majorHAnsi"/>
          <w:color w:val="000000"/>
          <w:sz w:val="22"/>
          <w:szCs w:val="22"/>
        </w:rPr>
      </w:pPr>
    </w:p>
    <w:p w14:paraId="23490CE1" w14:textId="541C3EC6"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Finally, in early 2020, the Children’s Bill, which had been in progress for over 7 years, has been approved by the Parliament and will better ensure compliance of national legislation with the principles and provisions of the CRC. NGOs efforts were instrumental in the adoption of the bill.</w:t>
      </w:r>
    </w:p>
    <w:p w14:paraId="17E113D2" w14:textId="77777777" w:rsidR="00655173" w:rsidRPr="00FB7A92" w:rsidRDefault="00655173" w:rsidP="00FB7A92">
      <w:pPr>
        <w:pBdr>
          <w:top w:val="nil"/>
          <w:left w:val="nil"/>
          <w:bottom w:val="nil"/>
          <w:right w:val="nil"/>
          <w:between w:val="nil"/>
        </w:pBdr>
        <w:spacing w:line="276" w:lineRule="auto"/>
        <w:ind w:left="720" w:hanging="720"/>
        <w:jc w:val="both"/>
        <w:rPr>
          <w:rFonts w:asciiTheme="majorHAnsi" w:eastAsia="Calibri" w:hAnsiTheme="majorHAnsi" w:cstheme="majorHAnsi"/>
          <w:color w:val="000000"/>
          <w:sz w:val="22"/>
          <w:szCs w:val="22"/>
        </w:rPr>
      </w:pPr>
    </w:p>
    <w:p w14:paraId="30C21696" w14:textId="77777777"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 xml:space="preserve">The Mauritius Criminal Code does not establish </w:t>
      </w:r>
      <w:r w:rsidRPr="00FB7A92">
        <w:rPr>
          <w:rFonts w:asciiTheme="majorHAnsi" w:eastAsia="Calibri" w:hAnsiTheme="majorHAnsi" w:cstheme="majorHAnsi"/>
          <w:b/>
          <w:color w:val="000000"/>
          <w:sz w:val="22"/>
          <w:szCs w:val="22"/>
        </w:rPr>
        <w:t>extraterritorial jurisdiction</w:t>
      </w:r>
      <w:r w:rsidRPr="00FB7A92">
        <w:rPr>
          <w:rFonts w:asciiTheme="majorHAnsi" w:eastAsia="Calibri" w:hAnsiTheme="majorHAnsi" w:cstheme="majorHAnsi"/>
          <w:color w:val="000000"/>
          <w:sz w:val="22"/>
          <w:szCs w:val="22"/>
        </w:rPr>
        <w:t xml:space="preserve"> for offences committed outside the country, or by a foreigner. Although it criminalises child trafficking even when it happens “outside Mauritius”, the Child Protection Act remains unclear about the applicability of its provisions on foreigners who commit a crime with no connection to Mauritius. According to the Combating of Trafficking in Persons Act, Mauritian jurisdiction applies to any person (including foreigners arrested in Mauritian territory) who commits an offence provided by the Act, outside Mauritius.</w:t>
      </w:r>
      <w:r w:rsidRPr="00FB7A92">
        <w:rPr>
          <w:rFonts w:asciiTheme="majorHAnsi" w:eastAsia="Calibri" w:hAnsiTheme="majorHAnsi" w:cstheme="majorHAnsi"/>
          <w:color w:val="000000"/>
          <w:sz w:val="22"/>
          <w:szCs w:val="22"/>
          <w:vertAlign w:val="superscript"/>
        </w:rPr>
        <w:endnoteReference w:id="73"/>
      </w:r>
    </w:p>
    <w:p w14:paraId="20E95448" w14:textId="77777777" w:rsidR="00655173" w:rsidRPr="00FB7A92" w:rsidRDefault="00655173" w:rsidP="00FB7A92">
      <w:pPr>
        <w:pBdr>
          <w:top w:val="nil"/>
          <w:left w:val="nil"/>
          <w:bottom w:val="nil"/>
          <w:right w:val="nil"/>
          <w:between w:val="nil"/>
        </w:pBdr>
        <w:spacing w:line="276" w:lineRule="auto"/>
        <w:ind w:left="720" w:hanging="720"/>
        <w:jc w:val="both"/>
        <w:rPr>
          <w:rFonts w:asciiTheme="majorHAnsi" w:eastAsia="Calibri" w:hAnsiTheme="majorHAnsi" w:cstheme="majorHAnsi"/>
          <w:color w:val="000000"/>
          <w:sz w:val="22"/>
          <w:szCs w:val="22"/>
        </w:rPr>
      </w:pPr>
    </w:p>
    <w:p w14:paraId="612541F0" w14:textId="255D9355" w:rsidR="00655173"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000000"/>
          <w:sz w:val="22"/>
          <w:szCs w:val="22"/>
        </w:rPr>
        <w:t>With regard to extradition for SEC related crimes, a new Extradition Act was passed in 2017, which sets the rules for extradition and includes a double criminality requirement.</w:t>
      </w:r>
      <w:r w:rsidRPr="00FB7A92">
        <w:rPr>
          <w:rFonts w:asciiTheme="majorHAnsi" w:eastAsia="Calibri" w:hAnsiTheme="majorHAnsi" w:cstheme="majorHAnsi"/>
          <w:color w:val="000000"/>
          <w:sz w:val="22"/>
          <w:szCs w:val="22"/>
          <w:vertAlign w:val="superscript"/>
        </w:rPr>
        <w:endnoteReference w:id="74"/>
      </w:r>
    </w:p>
    <w:p w14:paraId="7079F4F2" w14:textId="77777777" w:rsidR="00FB7A92" w:rsidRDefault="00FB7A92" w:rsidP="00FB7A92">
      <w:pPr>
        <w:pStyle w:val="ListParagraph"/>
        <w:rPr>
          <w:rFonts w:asciiTheme="majorHAnsi" w:eastAsia="Calibri" w:hAnsiTheme="majorHAnsi" w:cstheme="majorHAnsi"/>
          <w:color w:val="000000"/>
          <w:sz w:val="22"/>
          <w:szCs w:val="22"/>
        </w:rPr>
      </w:pPr>
    </w:p>
    <w:p w14:paraId="11E9DC01"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3860B3C5" w14:textId="77777777" w:rsidR="00655173" w:rsidRPr="00FB7A92" w:rsidRDefault="00655173" w:rsidP="00FB7A92">
      <w:pPr>
        <w:pStyle w:val="Heading1"/>
        <w:spacing w:before="0" w:line="276" w:lineRule="auto"/>
        <w:rPr>
          <w:rFonts w:asciiTheme="majorHAnsi" w:hAnsiTheme="majorHAnsi" w:cstheme="majorHAnsi"/>
          <w:sz w:val="22"/>
          <w:szCs w:val="22"/>
        </w:rPr>
      </w:pPr>
      <w:bookmarkStart w:id="8" w:name="_Toc31883669"/>
      <w:r w:rsidRPr="00FB7A92">
        <w:rPr>
          <w:rFonts w:asciiTheme="majorHAnsi" w:hAnsiTheme="majorHAnsi" w:cstheme="majorHAnsi"/>
          <w:sz w:val="22"/>
          <w:szCs w:val="22"/>
        </w:rPr>
        <w:t>Protection of the rights of child victims</w:t>
      </w:r>
      <w:bookmarkEnd w:id="8"/>
      <w:r w:rsidRPr="00FB7A92">
        <w:rPr>
          <w:rFonts w:asciiTheme="majorHAnsi" w:hAnsiTheme="majorHAnsi" w:cstheme="majorHAnsi"/>
          <w:sz w:val="22"/>
          <w:szCs w:val="22"/>
        </w:rPr>
        <w:br/>
      </w:r>
    </w:p>
    <w:p w14:paraId="70DD6488" w14:textId="11B6E5DF" w:rsidR="00655173" w:rsidRPr="00FB7A92" w:rsidRDefault="00655173" w:rsidP="00FB7A92">
      <w:pPr>
        <w:numPr>
          <w:ilvl w:val="0"/>
          <w:numId w:val="1"/>
        </w:numPr>
        <w:pBdr>
          <w:top w:val="nil"/>
          <w:left w:val="nil"/>
          <w:bottom w:val="nil"/>
          <w:right w:val="nil"/>
          <w:between w:val="nil"/>
        </w:pBdr>
        <w:spacing w:line="276" w:lineRule="auto"/>
        <w:ind w:left="0"/>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242424"/>
          <w:sz w:val="22"/>
          <w:szCs w:val="22"/>
        </w:rPr>
        <w:t>There are various legal mechanisms for children to access justice in Mauritius, such as constitutional complaints, civil/penal claims, administrative actions, the Ombudsman for children's Office, the National Human Rights Commission, and the African Union.</w:t>
      </w:r>
      <w:r w:rsidRPr="00FB7A92">
        <w:rPr>
          <w:rFonts w:asciiTheme="majorHAnsi" w:eastAsia="Calibri" w:hAnsiTheme="majorHAnsi" w:cstheme="majorHAnsi"/>
          <w:color w:val="242424"/>
          <w:sz w:val="22"/>
          <w:szCs w:val="22"/>
          <w:vertAlign w:val="superscript"/>
        </w:rPr>
        <w:endnoteReference w:id="75"/>
      </w:r>
      <w:r w:rsidRPr="00FB7A92">
        <w:rPr>
          <w:rFonts w:asciiTheme="majorHAnsi" w:eastAsia="Calibri" w:hAnsiTheme="majorHAnsi" w:cstheme="majorHAnsi"/>
          <w:color w:val="242424"/>
          <w:sz w:val="22"/>
          <w:szCs w:val="22"/>
        </w:rPr>
        <w:t xml:space="preserve"> However, none of these mechanisms are specific to SEC. Stakeholders have criticised the limited effectiveness of child-friendly complaints and reporting mechanisms and noted other structural problems, such as a lack of specialised social workers and mental health professionals.</w:t>
      </w:r>
      <w:r w:rsidRPr="00FB7A92">
        <w:rPr>
          <w:rFonts w:asciiTheme="majorHAnsi" w:eastAsia="Calibri" w:hAnsiTheme="majorHAnsi" w:cstheme="majorHAnsi"/>
          <w:color w:val="242424"/>
          <w:sz w:val="22"/>
          <w:szCs w:val="22"/>
          <w:vertAlign w:val="superscript"/>
        </w:rPr>
        <w:endnoteReference w:id="76"/>
      </w:r>
    </w:p>
    <w:p w14:paraId="309D5C87"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786698AF" w14:textId="1FF36995"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242424"/>
          <w:sz w:val="22"/>
          <w:szCs w:val="22"/>
        </w:rPr>
        <w:t>Several governmental entities provide complaint mechanisms for children. The Child Development Unit investigates cases of child sexual abuse.</w:t>
      </w:r>
      <w:r w:rsidRPr="00FB7A92">
        <w:rPr>
          <w:rFonts w:asciiTheme="majorHAnsi" w:eastAsia="Calibri" w:hAnsiTheme="majorHAnsi" w:cstheme="majorHAnsi"/>
          <w:color w:val="242424"/>
          <w:sz w:val="22"/>
          <w:szCs w:val="22"/>
          <w:vertAlign w:val="superscript"/>
        </w:rPr>
        <w:endnoteReference w:id="77"/>
      </w:r>
      <w:r w:rsidRPr="00FB7A92">
        <w:rPr>
          <w:rFonts w:asciiTheme="majorHAnsi" w:eastAsia="Calibri" w:hAnsiTheme="majorHAnsi" w:cstheme="majorHAnsi"/>
          <w:color w:val="242424"/>
          <w:sz w:val="22"/>
          <w:szCs w:val="22"/>
        </w:rPr>
        <w:t xml:space="preserve"> The Ombudsperson for Children receives complaints filed by children.</w:t>
      </w:r>
      <w:r w:rsidRPr="00FB7A92">
        <w:rPr>
          <w:rFonts w:asciiTheme="majorHAnsi" w:eastAsia="Calibri" w:hAnsiTheme="majorHAnsi" w:cstheme="majorHAnsi"/>
          <w:color w:val="242424"/>
          <w:sz w:val="22"/>
          <w:szCs w:val="22"/>
          <w:vertAlign w:val="superscript"/>
        </w:rPr>
        <w:endnoteReference w:id="78"/>
      </w:r>
      <w:r w:rsidRPr="00FB7A92">
        <w:rPr>
          <w:rFonts w:asciiTheme="majorHAnsi" w:eastAsia="Calibri" w:hAnsiTheme="majorHAnsi" w:cstheme="majorHAnsi"/>
          <w:color w:val="242424"/>
          <w:sz w:val="22"/>
          <w:szCs w:val="22"/>
        </w:rPr>
        <w:t xml:space="preserve"> However, he/she does not have the power to bring a court case on behalf of the child nor investigate a case currently pending.</w:t>
      </w:r>
      <w:r w:rsidRPr="00FB7A92">
        <w:rPr>
          <w:rFonts w:asciiTheme="majorHAnsi" w:eastAsia="Calibri" w:hAnsiTheme="majorHAnsi" w:cstheme="majorHAnsi"/>
          <w:color w:val="242424"/>
          <w:sz w:val="22"/>
          <w:szCs w:val="22"/>
          <w:vertAlign w:val="superscript"/>
        </w:rPr>
        <w:endnoteReference w:id="79"/>
      </w:r>
      <w:r w:rsidRPr="00FB7A92">
        <w:rPr>
          <w:rFonts w:asciiTheme="majorHAnsi" w:eastAsia="Calibri" w:hAnsiTheme="majorHAnsi" w:cstheme="majorHAnsi"/>
          <w:color w:val="242424"/>
          <w:sz w:val="22"/>
          <w:szCs w:val="22"/>
        </w:rPr>
        <w:t xml:space="preserve"> Engagement with the Ombudsperson has been very limited, as underlined by the Mauritius delegation to the CRC in 2015, who claimed that from June 2013 to May 2014 only seven complaints have been received.</w:t>
      </w:r>
      <w:r w:rsidRPr="00FB7A92">
        <w:rPr>
          <w:rFonts w:asciiTheme="majorHAnsi" w:eastAsia="Calibri" w:hAnsiTheme="majorHAnsi" w:cstheme="majorHAnsi"/>
          <w:color w:val="242424"/>
          <w:sz w:val="22"/>
          <w:szCs w:val="22"/>
          <w:vertAlign w:val="superscript"/>
        </w:rPr>
        <w:endnoteReference w:id="80"/>
      </w:r>
      <w:r w:rsidRPr="00FB7A92">
        <w:rPr>
          <w:rFonts w:asciiTheme="majorHAnsi" w:eastAsia="Calibri" w:hAnsiTheme="majorHAnsi" w:cstheme="majorHAnsi"/>
          <w:color w:val="242424"/>
          <w:sz w:val="22"/>
          <w:szCs w:val="22"/>
        </w:rPr>
        <w:t xml:space="preserve"> No updated information in subsequent years is available.</w:t>
      </w:r>
    </w:p>
    <w:p w14:paraId="582637FE"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12FC6557" w14:textId="032FE0F5"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242424"/>
          <w:sz w:val="22"/>
          <w:szCs w:val="22"/>
        </w:rPr>
        <w:t>A number of legal mechanisms are available to provide child-sensitive justice in Mauritius. According to the Child Protection Act, for instance, the statement of child can be recorded in “the absence or without the consent of his parent”, if it is in his/her best interest.</w:t>
      </w:r>
      <w:r w:rsidRPr="00FB7A92">
        <w:rPr>
          <w:rFonts w:asciiTheme="majorHAnsi" w:eastAsia="Calibri" w:hAnsiTheme="majorHAnsi" w:cstheme="majorHAnsi"/>
          <w:color w:val="242424"/>
          <w:sz w:val="22"/>
          <w:szCs w:val="22"/>
          <w:vertAlign w:val="superscript"/>
        </w:rPr>
        <w:endnoteReference w:id="81"/>
      </w:r>
      <w:r w:rsidRPr="00FB7A92">
        <w:rPr>
          <w:rFonts w:asciiTheme="majorHAnsi" w:eastAsia="Calibri" w:hAnsiTheme="majorHAnsi" w:cstheme="majorHAnsi"/>
          <w:color w:val="242424"/>
          <w:sz w:val="22"/>
          <w:szCs w:val="22"/>
        </w:rPr>
        <w:t xml:space="preserve"> Under Section 13A (5), moreover, information on child victims of trafficking shall not be published.</w:t>
      </w:r>
      <w:r w:rsidRPr="00FB7A92">
        <w:rPr>
          <w:rFonts w:asciiTheme="majorHAnsi" w:eastAsia="Calibri" w:hAnsiTheme="majorHAnsi" w:cstheme="majorHAnsi"/>
          <w:color w:val="242424"/>
          <w:sz w:val="22"/>
          <w:szCs w:val="22"/>
          <w:vertAlign w:val="superscript"/>
        </w:rPr>
        <w:endnoteReference w:id="82"/>
      </w:r>
      <w:r w:rsidRPr="00FB7A92">
        <w:rPr>
          <w:rFonts w:asciiTheme="majorHAnsi" w:eastAsia="Calibri" w:hAnsiTheme="majorHAnsi" w:cstheme="majorHAnsi"/>
          <w:color w:val="242424"/>
          <w:sz w:val="22"/>
          <w:szCs w:val="22"/>
        </w:rPr>
        <w:t xml:space="preserve"> According to the Criminal Procedure Act,  a child of ‘tender years’ shall not be examined under oath, although he/she may still be admissible as a witness if the presiding judge considers him/her of “sufficient intelligence to make a correct statement”.</w:t>
      </w:r>
      <w:r w:rsidRPr="00FB7A92">
        <w:rPr>
          <w:rFonts w:asciiTheme="majorHAnsi" w:eastAsia="Calibri" w:hAnsiTheme="majorHAnsi" w:cstheme="majorHAnsi"/>
          <w:color w:val="242424"/>
          <w:sz w:val="22"/>
          <w:szCs w:val="22"/>
          <w:vertAlign w:val="superscript"/>
        </w:rPr>
        <w:endnoteReference w:id="83"/>
      </w:r>
      <w:r w:rsidRPr="00FB7A92">
        <w:rPr>
          <w:rFonts w:asciiTheme="majorHAnsi" w:eastAsia="Calibri" w:hAnsiTheme="majorHAnsi" w:cstheme="majorHAnsi"/>
          <w:color w:val="242424"/>
          <w:sz w:val="22"/>
          <w:szCs w:val="22"/>
        </w:rPr>
        <w:t xml:space="preserve"> According to the Civil Code finally, a minor (even married</w:t>
      </w:r>
      <w:r w:rsidRPr="00FB7A92">
        <w:rPr>
          <w:rFonts w:asciiTheme="majorHAnsi" w:eastAsia="Calibri" w:hAnsiTheme="majorHAnsi" w:cstheme="majorHAnsi"/>
          <w:color w:val="242424"/>
          <w:sz w:val="22"/>
          <w:szCs w:val="22"/>
          <w:vertAlign w:val="superscript"/>
        </w:rPr>
        <w:endnoteReference w:id="84"/>
      </w:r>
      <w:r w:rsidRPr="00FB7A92">
        <w:rPr>
          <w:rFonts w:asciiTheme="majorHAnsi" w:eastAsia="Calibri" w:hAnsiTheme="majorHAnsi" w:cstheme="majorHAnsi"/>
          <w:color w:val="242424"/>
          <w:sz w:val="22"/>
          <w:szCs w:val="22"/>
        </w:rPr>
        <w:t>) is appointed a guardian if it appears desirable or necessary in his/her interest.</w:t>
      </w:r>
      <w:r w:rsidRPr="00FB7A92">
        <w:rPr>
          <w:rFonts w:asciiTheme="majorHAnsi" w:eastAsia="Calibri" w:hAnsiTheme="majorHAnsi" w:cstheme="majorHAnsi"/>
          <w:color w:val="242424"/>
          <w:sz w:val="22"/>
          <w:szCs w:val="22"/>
          <w:vertAlign w:val="superscript"/>
        </w:rPr>
        <w:endnoteReference w:id="85"/>
      </w:r>
    </w:p>
    <w:p w14:paraId="5ED5D172"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77C88681" w14:textId="2A86E549" w:rsidR="00655173"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242424"/>
          <w:sz w:val="22"/>
          <w:szCs w:val="22"/>
        </w:rPr>
        <w:t>Moreover, the Courts Act has some relevant provisions that relate to the development of a child-sensitive judicial system. Under Section 161A, a minor may be excluded from proceedings in order to “safeguard [his/her] welfare”.</w:t>
      </w:r>
      <w:r w:rsidRPr="00FB7A92">
        <w:rPr>
          <w:rFonts w:asciiTheme="majorHAnsi" w:eastAsia="Calibri" w:hAnsiTheme="majorHAnsi" w:cstheme="majorHAnsi"/>
          <w:color w:val="242424"/>
          <w:sz w:val="22"/>
          <w:szCs w:val="22"/>
          <w:vertAlign w:val="superscript"/>
        </w:rPr>
        <w:endnoteReference w:id="86"/>
      </w:r>
      <w:r w:rsidRPr="00FB7A92">
        <w:rPr>
          <w:rFonts w:asciiTheme="majorHAnsi" w:eastAsia="Calibri" w:hAnsiTheme="majorHAnsi" w:cstheme="majorHAnsi"/>
          <w:color w:val="242424"/>
          <w:sz w:val="22"/>
          <w:szCs w:val="22"/>
        </w:rPr>
        <w:t xml:space="preserve"> An amendment to the Act in 2003 introduced live video streaming and television links when a victim is involved in a sexual offence case.</w:t>
      </w:r>
      <w:r w:rsidRPr="00FB7A92">
        <w:rPr>
          <w:rFonts w:asciiTheme="majorHAnsi" w:eastAsia="Calibri" w:hAnsiTheme="majorHAnsi" w:cstheme="majorHAnsi"/>
          <w:color w:val="242424"/>
          <w:sz w:val="22"/>
          <w:szCs w:val="22"/>
          <w:vertAlign w:val="superscript"/>
        </w:rPr>
        <w:endnoteReference w:id="87"/>
      </w:r>
      <w:r w:rsidRPr="00FB7A92">
        <w:rPr>
          <w:rFonts w:asciiTheme="majorHAnsi" w:eastAsia="Calibri" w:hAnsiTheme="majorHAnsi" w:cstheme="majorHAnsi"/>
          <w:color w:val="242424"/>
          <w:sz w:val="22"/>
          <w:szCs w:val="22"/>
        </w:rPr>
        <w:t xml:space="preserve"> However, this provision is reportedly not being implemented in practice</w:t>
      </w:r>
      <w:r w:rsidRPr="00FB7A92">
        <w:rPr>
          <w:rFonts w:asciiTheme="majorHAnsi" w:eastAsia="Calibri" w:hAnsiTheme="majorHAnsi" w:cstheme="majorHAnsi"/>
          <w:color w:val="242424"/>
          <w:sz w:val="22"/>
          <w:szCs w:val="22"/>
          <w:vertAlign w:val="superscript"/>
        </w:rPr>
        <w:endnoteReference w:id="88"/>
      </w:r>
      <w:r w:rsidRPr="00FB7A92">
        <w:rPr>
          <w:rFonts w:asciiTheme="majorHAnsi" w:eastAsia="Calibri" w:hAnsiTheme="majorHAnsi" w:cstheme="majorHAnsi"/>
          <w:color w:val="242424"/>
          <w:sz w:val="22"/>
          <w:szCs w:val="22"/>
        </w:rPr>
        <w:t xml:space="preserve"> and the lack of alternatives has been pointed out as a reason for some child abuse cases to be dropped.</w:t>
      </w:r>
      <w:r w:rsidRPr="00FB7A92">
        <w:rPr>
          <w:rFonts w:asciiTheme="majorHAnsi" w:eastAsia="Calibri" w:hAnsiTheme="majorHAnsi" w:cstheme="majorHAnsi"/>
          <w:color w:val="242424"/>
          <w:sz w:val="22"/>
          <w:szCs w:val="22"/>
          <w:vertAlign w:val="superscript"/>
        </w:rPr>
        <w:endnoteReference w:id="89"/>
      </w:r>
    </w:p>
    <w:p w14:paraId="1416E329"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62DD0324" w14:textId="463F396D" w:rsidR="00655173"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242424"/>
          <w:sz w:val="22"/>
          <w:szCs w:val="22"/>
        </w:rPr>
        <w:t>Regarding recovery and reintegration, some institutions exist  but they face a considerable lack of resources.</w:t>
      </w:r>
      <w:r w:rsidRPr="00FB7A92">
        <w:rPr>
          <w:rFonts w:asciiTheme="majorHAnsi" w:eastAsia="Calibri" w:hAnsiTheme="majorHAnsi" w:cstheme="majorHAnsi"/>
          <w:color w:val="242424"/>
          <w:sz w:val="22"/>
          <w:szCs w:val="22"/>
          <w:vertAlign w:val="superscript"/>
        </w:rPr>
        <w:endnoteReference w:id="90"/>
      </w:r>
      <w:r w:rsidRPr="00FB7A92">
        <w:rPr>
          <w:rFonts w:asciiTheme="majorHAnsi" w:eastAsia="Calibri" w:hAnsiTheme="majorHAnsi" w:cstheme="majorHAnsi"/>
          <w:color w:val="000000"/>
          <w:sz w:val="22"/>
          <w:szCs w:val="22"/>
        </w:rPr>
        <w:t xml:space="preserve"> The GoM operates a Community Child Protection Program that supports child protection activities nationwide by identifying children at risk of abuse and by rehabilitating child abuse victims.</w:t>
      </w:r>
      <w:r w:rsidRPr="00FB7A92">
        <w:rPr>
          <w:rFonts w:asciiTheme="majorHAnsi" w:eastAsia="Calibri" w:hAnsiTheme="majorHAnsi" w:cstheme="majorHAnsi"/>
          <w:color w:val="000000"/>
          <w:sz w:val="22"/>
          <w:szCs w:val="22"/>
          <w:vertAlign w:val="superscript"/>
        </w:rPr>
        <w:endnoteReference w:id="91"/>
      </w:r>
      <w:r w:rsidRPr="00FB7A92">
        <w:rPr>
          <w:rFonts w:asciiTheme="majorHAnsi" w:eastAsia="Calibri" w:hAnsiTheme="majorHAnsi" w:cstheme="majorHAnsi"/>
          <w:color w:val="000000"/>
          <w:sz w:val="22"/>
          <w:szCs w:val="22"/>
        </w:rPr>
        <w:t xml:space="preserve"> </w:t>
      </w:r>
      <w:r w:rsidRPr="00FB7A92">
        <w:rPr>
          <w:rFonts w:asciiTheme="majorHAnsi" w:eastAsia="Calibri" w:hAnsiTheme="majorHAnsi" w:cstheme="majorHAnsi"/>
          <w:color w:val="242424"/>
          <w:sz w:val="22"/>
          <w:szCs w:val="22"/>
        </w:rPr>
        <w:t>The  Ministry of Gender Equality, Child Development, and Family Welfare opened a Residential Drop-in Centre in May 2016.</w:t>
      </w:r>
      <w:r w:rsidRPr="00FB7A92">
        <w:rPr>
          <w:rFonts w:asciiTheme="majorHAnsi" w:eastAsia="Calibri" w:hAnsiTheme="majorHAnsi" w:cstheme="majorHAnsi"/>
          <w:color w:val="242424"/>
          <w:sz w:val="22"/>
          <w:szCs w:val="22"/>
          <w:vertAlign w:val="superscript"/>
        </w:rPr>
        <w:endnoteReference w:id="92"/>
      </w:r>
      <w:r w:rsidRPr="00FB7A92">
        <w:rPr>
          <w:rFonts w:asciiTheme="majorHAnsi" w:eastAsia="Calibri" w:hAnsiTheme="majorHAnsi" w:cstheme="majorHAnsi"/>
          <w:color w:val="242424"/>
          <w:sz w:val="22"/>
          <w:szCs w:val="22"/>
        </w:rPr>
        <w:t xml:space="preserve"> The Mauritius Family Welfare and Planning Association also manages a day care Drop-in Centre for child victims of SEC. From 2011 to early 2018, 2,960 cases were registered at this centre, out of which 23 concerned child prostitution.</w:t>
      </w:r>
      <w:r w:rsidRPr="00FB7A92">
        <w:rPr>
          <w:rFonts w:asciiTheme="majorHAnsi" w:eastAsia="Calibri" w:hAnsiTheme="majorHAnsi" w:cstheme="majorHAnsi"/>
          <w:color w:val="242424"/>
          <w:sz w:val="22"/>
          <w:szCs w:val="22"/>
          <w:vertAlign w:val="superscript"/>
        </w:rPr>
        <w:endnoteReference w:id="93"/>
      </w:r>
      <w:r w:rsidRPr="00FB7A92">
        <w:rPr>
          <w:rFonts w:asciiTheme="majorHAnsi" w:eastAsia="Calibri" w:hAnsiTheme="majorHAnsi" w:cstheme="majorHAnsi"/>
          <w:color w:val="242424"/>
          <w:sz w:val="22"/>
          <w:szCs w:val="22"/>
        </w:rPr>
        <w:t xml:space="preserve"> The GoM finally operates </w:t>
      </w:r>
      <w:r w:rsidRPr="00FB7A92">
        <w:rPr>
          <w:rFonts w:asciiTheme="majorHAnsi" w:eastAsia="Calibri" w:hAnsiTheme="majorHAnsi" w:cstheme="majorHAnsi"/>
          <w:color w:val="000000"/>
          <w:sz w:val="22"/>
          <w:szCs w:val="22"/>
        </w:rPr>
        <w:t>a shelter for female child sex trafficking victims, which can host up to 32 children, but no data are publicly available on its implementation.</w:t>
      </w:r>
      <w:r w:rsidRPr="00FB7A92">
        <w:rPr>
          <w:rFonts w:asciiTheme="majorHAnsi" w:eastAsia="Calibri" w:hAnsiTheme="majorHAnsi" w:cstheme="majorHAnsi"/>
          <w:color w:val="000000"/>
          <w:sz w:val="22"/>
          <w:szCs w:val="22"/>
          <w:vertAlign w:val="superscript"/>
        </w:rPr>
        <w:endnoteReference w:id="94"/>
      </w:r>
    </w:p>
    <w:p w14:paraId="028AD2E8" w14:textId="77777777" w:rsidR="00FB7A92" w:rsidRPr="00FB7A92" w:rsidRDefault="00FB7A92"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pPr>
    </w:p>
    <w:p w14:paraId="2D94EC1D" w14:textId="77777777" w:rsidR="00DB0CFE" w:rsidRPr="00FB7A92" w:rsidRDefault="00655173" w:rsidP="00FB7A92">
      <w:pPr>
        <w:numPr>
          <w:ilvl w:val="0"/>
          <w:numId w:val="1"/>
        </w:numPr>
        <w:pBdr>
          <w:top w:val="nil"/>
          <w:left w:val="nil"/>
          <w:bottom w:val="nil"/>
          <w:right w:val="nil"/>
          <w:between w:val="nil"/>
        </w:pBdr>
        <w:spacing w:line="276" w:lineRule="auto"/>
        <w:ind w:left="0" w:hanging="357"/>
        <w:jc w:val="both"/>
        <w:rPr>
          <w:rFonts w:asciiTheme="majorHAnsi" w:eastAsia="Calibri" w:hAnsiTheme="majorHAnsi" w:cstheme="majorHAnsi"/>
          <w:color w:val="000000"/>
          <w:sz w:val="22"/>
          <w:szCs w:val="22"/>
        </w:rPr>
      </w:pPr>
      <w:r w:rsidRPr="00FB7A92">
        <w:rPr>
          <w:rFonts w:asciiTheme="majorHAnsi" w:eastAsia="Calibri" w:hAnsiTheme="majorHAnsi" w:cstheme="majorHAnsi"/>
          <w:color w:val="242424"/>
          <w:sz w:val="22"/>
          <w:szCs w:val="22"/>
        </w:rPr>
        <w:t>Finally, there is a lack of explicit legal provisions in terms of access to compensation for child victims of sexual exploitation. The only effective instrument is the Combating of Trafficking in Persons Act, according to which the Court shall issue a compensation order either to the person convicted of an offence or to the State.</w:t>
      </w:r>
      <w:r w:rsidRPr="00FB7A92">
        <w:rPr>
          <w:rFonts w:asciiTheme="majorHAnsi" w:eastAsia="Calibri" w:hAnsiTheme="majorHAnsi" w:cstheme="majorHAnsi"/>
          <w:color w:val="242424"/>
          <w:sz w:val="22"/>
          <w:szCs w:val="22"/>
          <w:vertAlign w:val="superscript"/>
        </w:rPr>
        <w:endnoteReference w:id="95"/>
      </w:r>
      <w:r w:rsidRPr="00FB7A92">
        <w:rPr>
          <w:rFonts w:asciiTheme="majorHAnsi" w:eastAsia="Calibri" w:hAnsiTheme="majorHAnsi" w:cstheme="majorHAnsi"/>
          <w:color w:val="242424"/>
          <w:sz w:val="22"/>
          <w:szCs w:val="22"/>
        </w:rPr>
        <w:t xml:space="preserve"> However, according to the U.S. Department of Labour, no restitutions were awarded to victims in 2018.</w:t>
      </w:r>
      <w:r w:rsidRPr="00FB7A92">
        <w:rPr>
          <w:rFonts w:asciiTheme="majorHAnsi" w:eastAsia="Calibri" w:hAnsiTheme="majorHAnsi" w:cstheme="majorHAnsi"/>
          <w:color w:val="242424"/>
          <w:sz w:val="22"/>
          <w:szCs w:val="22"/>
          <w:vertAlign w:val="superscript"/>
        </w:rPr>
        <w:endnoteReference w:id="96"/>
      </w:r>
      <w:r w:rsidRPr="00FB7A92">
        <w:rPr>
          <w:rFonts w:asciiTheme="majorHAnsi" w:eastAsia="Calibri" w:hAnsiTheme="majorHAnsi" w:cstheme="majorHAnsi"/>
          <w:color w:val="242424"/>
          <w:sz w:val="22"/>
          <w:szCs w:val="22"/>
        </w:rPr>
        <w:t xml:space="preserve"> </w:t>
      </w:r>
    </w:p>
    <w:p w14:paraId="4532E323" w14:textId="77777777" w:rsidR="00DB0CFE" w:rsidRPr="00FB7A92" w:rsidRDefault="00DB0CFE" w:rsidP="00FB7A92">
      <w:pPr>
        <w:spacing w:line="276" w:lineRule="auto"/>
        <w:jc w:val="both"/>
        <w:rPr>
          <w:rFonts w:asciiTheme="majorHAnsi" w:eastAsia="Calibri" w:hAnsiTheme="majorHAnsi" w:cstheme="majorHAnsi"/>
          <w:sz w:val="22"/>
          <w:szCs w:val="22"/>
        </w:rPr>
      </w:pPr>
    </w:p>
    <w:p w14:paraId="00EA5A63" w14:textId="3B9E1193" w:rsidR="003975B6" w:rsidRPr="00FB7A92" w:rsidRDefault="003975B6" w:rsidP="00FB7A92">
      <w:pPr>
        <w:pBdr>
          <w:top w:val="nil"/>
          <w:left w:val="nil"/>
          <w:bottom w:val="nil"/>
          <w:right w:val="nil"/>
          <w:between w:val="nil"/>
        </w:pBdr>
        <w:spacing w:line="276" w:lineRule="auto"/>
        <w:jc w:val="both"/>
        <w:rPr>
          <w:rFonts w:asciiTheme="majorHAnsi" w:eastAsia="Calibri" w:hAnsiTheme="majorHAnsi" w:cstheme="majorHAnsi"/>
          <w:color w:val="000000"/>
          <w:sz w:val="22"/>
          <w:szCs w:val="22"/>
        </w:rPr>
        <w:sectPr w:rsidR="003975B6" w:rsidRPr="00FB7A92" w:rsidSect="003975B6">
          <w:headerReference w:type="default" r:id="rId15"/>
          <w:endnotePr>
            <w:numFmt w:val="decimal"/>
          </w:endnotePr>
          <w:pgSz w:w="12240" w:h="15840"/>
          <w:pgMar w:top="1440" w:right="1440" w:bottom="1440" w:left="1440" w:header="720" w:footer="720" w:gutter="0"/>
          <w:cols w:space="720" w:equalWidth="0">
            <w:col w:w="9360"/>
          </w:cols>
        </w:sectPr>
      </w:pPr>
    </w:p>
    <w:p w14:paraId="399A499A" w14:textId="38F57534" w:rsidR="003975B6" w:rsidRPr="00FB7A92" w:rsidRDefault="003975B6" w:rsidP="00FB7A92">
      <w:pPr>
        <w:pBdr>
          <w:top w:val="nil"/>
          <w:left w:val="nil"/>
          <w:bottom w:val="nil"/>
          <w:right w:val="nil"/>
          <w:between w:val="nil"/>
        </w:pBdr>
        <w:spacing w:line="276" w:lineRule="auto"/>
        <w:jc w:val="both"/>
        <w:rPr>
          <w:rFonts w:asciiTheme="majorHAnsi" w:eastAsia="Calibri" w:hAnsiTheme="majorHAnsi" w:cstheme="majorHAnsi"/>
          <w:b/>
          <w:color w:val="000000"/>
          <w:sz w:val="22"/>
          <w:szCs w:val="22"/>
          <w:u w:val="single"/>
        </w:rPr>
      </w:pPr>
      <w:r w:rsidRPr="00FB7A92">
        <w:rPr>
          <w:rFonts w:asciiTheme="majorHAnsi" w:eastAsia="Calibri" w:hAnsiTheme="majorHAnsi" w:cstheme="majorHAnsi"/>
          <w:b/>
          <w:color w:val="000000"/>
          <w:sz w:val="22"/>
          <w:szCs w:val="22"/>
        </w:rPr>
        <w:t xml:space="preserve">   </w:t>
      </w:r>
      <w:r w:rsidRPr="00FB7A92">
        <w:rPr>
          <w:rFonts w:asciiTheme="majorHAnsi" w:eastAsia="Calibri" w:hAnsiTheme="majorHAnsi" w:cstheme="majorHAnsi"/>
          <w:b/>
          <w:color w:val="000000"/>
          <w:sz w:val="22"/>
          <w:szCs w:val="22"/>
          <w:u w:val="single"/>
        </w:rPr>
        <w:t xml:space="preserve">List of suggested issues to be presented to the Government of </w:t>
      </w:r>
      <w:bookmarkStart w:id="9" w:name="_2s8eyo1" w:colFirst="0" w:colLast="0"/>
      <w:bookmarkEnd w:id="9"/>
      <w:r w:rsidRPr="00FB7A92">
        <w:rPr>
          <w:rFonts w:asciiTheme="majorHAnsi" w:eastAsia="Calibri" w:hAnsiTheme="majorHAnsi" w:cstheme="majorHAnsi"/>
          <w:b/>
          <w:color w:val="000000"/>
          <w:sz w:val="22"/>
          <w:szCs w:val="22"/>
          <w:u w:val="single"/>
        </w:rPr>
        <w:t>Mauritius</w:t>
      </w:r>
    </w:p>
    <w:p w14:paraId="6F067747" w14:textId="4A7530E4" w:rsidR="003975B6" w:rsidRPr="00FB7A92" w:rsidRDefault="003975B6" w:rsidP="00FB7A92">
      <w:pPr>
        <w:numPr>
          <w:ilvl w:val="0"/>
          <w:numId w:val="2"/>
        </w:numPr>
        <w:shd w:val="clear" w:color="auto" w:fill="E7E6E6"/>
        <w:spacing w:line="276" w:lineRule="auto"/>
        <w:contextualSpacing/>
        <w:jc w:val="both"/>
        <w:rPr>
          <w:rFonts w:asciiTheme="majorHAnsi" w:eastAsia="Calibri" w:hAnsiTheme="majorHAnsi" w:cstheme="majorHAnsi"/>
          <w:sz w:val="22"/>
          <w:szCs w:val="22"/>
          <w:lang w:val="en-US"/>
        </w:rPr>
      </w:pPr>
      <w:r w:rsidRPr="00FB7A92">
        <w:rPr>
          <w:rFonts w:asciiTheme="majorHAnsi" w:eastAsia="Calibri" w:hAnsiTheme="majorHAnsi" w:cstheme="majorHAnsi"/>
          <w:sz w:val="22"/>
          <w:szCs w:val="22"/>
          <w:lang w:val="en-US"/>
        </w:rPr>
        <w:t xml:space="preserve">What are the implementation strategies in place to strengthen the enforcement of </w:t>
      </w:r>
      <w:r w:rsidR="00FB7A92" w:rsidRPr="00FB7A92">
        <w:rPr>
          <w:rFonts w:asciiTheme="majorHAnsi" w:eastAsia="Calibri" w:hAnsiTheme="majorHAnsi" w:cstheme="majorHAnsi"/>
          <w:sz w:val="22"/>
          <w:szCs w:val="22"/>
          <w:lang w:val="en-US"/>
        </w:rPr>
        <w:t>the upcoming Children’s Bill?</w:t>
      </w:r>
    </w:p>
    <w:p w14:paraId="661ADE65" w14:textId="2002EE4F" w:rsidR="003975B6" w:rsidRPr="00FB7A92" w:rsidRDefault="003975B6" w:rsidP="00FB7A92">
      <w:pPr>
        <w:numPr>
          <w:ilvl w:val="0"/>
          <w:numId w:val="2"/>
        </w:numPr>
        <w:shd w:val="clear" w:color="auto" w:fill="E7E6E6"/>
        <w:spacing w:line="276" w:lineRule="auto"/>
        <w:contextualSpacing/>
        <w:jc w:val="both"/>
        <w:rPr>
          <w:rFonts w:asciiTheme="majorHAnsi" w:eastAsia="Calibri" w:hAnsiTheme="majorHAnsi" w:cstheme="majorHAnsi"/>
          <w:sz w:val="22"/>
          <w:szCs w:val="22"/>
          <w:lang w:val="en-US"/>
        </w:rPr>
      </w:pPr>
      <w:r w:rsidRPr="00FB7A92">
        <w:rPr>
          <w:rFonts w:asciiTheme="majorHAnsi" w:eastAsia="Calibri" w:hAnsiTheme="majorHAnsi" w:cstheme="majorHAnsi"/>
          <w:sz w:val="22"/>
          <w:szCs w:val="22"/>
          <w:lang w:val="en-US"/>
        </w:rPr>
        <w:t>What measures have been taken to criminalize all forms of online child sexual exploitation, including ‘grooming’ of children for sexual purposes?</w:t>
      </w:r>
      <w:r w:rsidR="00FB7A92" w:rsidRPr="00FB7A92">
        <w:rPr>
          <w:rFonts w:asciiTheme="majorHAnsi" w:eastAsia="Calibri" w:hAnsiTheme="majorHAnsi" w:cstheme="majorHAnsi"/>
          <w:sz w:val="22"/>
          <w:szCs w:val="22"/>
          <w:lang w:val="en-US"/>
        </w:rPr>
        <w:t xml:space="preserve"> Any partnership with NGOs working on the issue?</w:t>
      </w:r>
    </w:p>
    <w:p w14:paraId="40A076D6" w14:textId="0DB2EF29" w:rsidR="003975B6" w:rsidRPr="00FB7A92" w:rsidRDefault="003975B6" w:rsidP="00FB7A92">
      <w:pPr>
        <w:numPr>
          <w:ilvl w:val="0"/>
          <w:numId w:val="2"/>
        </w:numPr>
        <w:shd w:val="clear" w:color="auto" w:fill="E7E6E6"/>
        <w:spacing w:line="276" w:lineRule="auto"/>
        <w:contextualSpacing/>
        <w:jc w:val="both"/>
        <w:rPr>
          <w:rFonts w:asciiTheme="majorHAnsi" w:eastAsia="Calibri" w:hAnsiTheme="majorHAnsi" w:cstheme="majorHAnsi"/>
          <w:sz w:val="22"/>
          <w:szCs w:val="22"/>
          <w:lang w:val="en-US"/>
        </w:rPr>
      </w:pPr>
      <w:r w:rsidRPr="00FB7A92">
        <w:rPr>
          <w:rFonts w:asciiTheme="majorHAnsi" w:eastAsia="Calibri" w:hAnsiTheme="majorHAnsi" w:cstheme="majorHAnsi"/>
          <w:sz w:val="22"/>
          <w:szCs w:val="22"/>
          <w:lang w:val="en-US"/>
        </w:rPr>
        <w:t>What steps have been taken to improve relations with the neighboring countries on child trafficking?</w:t>
      </w:r>
      <w:r w:rsidR="00FB7A92" w:rsidRPr="00FB7A92">
        <w:rPr>
          <w:rFonts w:asciiTheme="majorHAnsi" w:eastAsia="Calibri" w:hAnsiTheme="majorHAnsi" w:cstheme="majorHAnsi"/>
          <w:sz w:val="22"/>
          <w:szCs w:val="22"/>
          <w:lang w:val="en-US"/>
        </w:rPr>
        <w:t xml:space="preserve"> Any partnership with national NGOs that have extended their coverage in the sub-regional level?</w:t>
      </w:r>
    </w:p>
    <w:p w14:paraId="66FBB6D9" w14:textId="27885834" w:rsidR="003975B6" w:rsidRPr="00FB7A92" w:rsidRDefault="003975B6" w:rsidP="00FB7A92">
      <w:pPr>
        <w:numPr>
          <w:ilvl w:val="0"/>
          <w:numId w:val="2"/>
        </w:numPr>
        <w:shd w:val="clear" w:color="auto" w:fill="E7E6E6"/>
        <w:spacing w:line="276" w:lineRule="auto"/>
        <w:contextualSpacing/>
        <w:jc w:val="both"/>
        <w:rPr>
          <w:rFonts w:asciiTheme="majorHAnsi" w:eastAsia="Calibri" w:hAnsiTheme="majorHAnsi" w:cstheme="majorHAnsi"/>
          <w:sz w:val="22"/>
          <w:szCs w:val="22"/>
          <w:lang w:val="en-US"/>
        </w:rPr>
      </w:pPr>
      <w:r w:rsidRPr="00FB7A92">
        <w:rPr>
          <w:rFonts w:asciiTheme="majorHAnsi" w:eastAsia="Calibri" w:hAnsiTheme="majorHAnsi" w:cstheme="majorHAnsi"/>
          <w:sz w:val="22"/>
          <w:szCs w:val="22"/>
          <w:lang w:val="en-US"/>
        </w:rPr>
        <w:t xml:space="preserve"> What </w:t>
      </w:r>
      <w:r w:rsidR="00FB7A92" w:rsidRPr="00FB7A92">
        <w:rPr>
          <w:rFonts w:asciiTheme="majorHAnsi" w:eastAsia="Calibri" w:hAnsiTheme="majorHAnsi" w:cstheme="majorHAnsi"/>
          <w:sz w:val="22"/>
          <w:szCs w:val="22"/>
          <w:lang w:val="en-US"/>
        </w:rPr>
        <w:t>are</w:t>
      </w:r>
      <w:r w:rsidRPr="00FB7A92">
        <w:rPr>
          <w:rFonts w:asciiTheme="majorHAnsi" w:eastAsia="Calibri" w:hAnsiTheme="majorHAnsi" w:cstheme="majorHAnsi"/>
          <w:sz w:val="22"/>
          <w:szCs w:val="22"/>
          <w:lang w:val="en-US"/>
        </w:rPr>
        <w:t xml:space="preserve"> the statistical data on sexual exploitation of children annually disaggregated by manifestation, age and gender of the victim?</w:t>
      </w:r>
      <w:r w:rsidR="00FB7A92" w:rsidRPr="00FB7A92">
        <w:rPr>
          <w:rFonts w:asciiTheme="majorHAnsi" w:eastAsia="Calibri" w:hAnsiTheme="majorHAnsi" w:cstheme="majorHAnsi"/>
          <w:sz w:val="22"/>
          <w:szCs w:val="22"/>
          <w:lang w:val="en-US"/>
        </w:rPr>
        <w:t xml:space="preserve"> Do the data used by the government include information from NGOs?</w:t>
      </w:r>
    </w:p>
    <w:p w14:paraId="61A28B21" w14:textId="77777777" w:rsidR="003975B6" w:rsidRPr="00FB7A92" w:rsidRDefault="003975B6" w:rsidP="00FB7A92">
      <w:pPr>
        <w:numPr>
          <w:ilvl w:val="0"/>
          <w:numId w:val="2"/>
        </w:numPr>
        <w:shd w:val="clear" w:color="auto" w:fill="E7E6E6"/>
        <w:spacing w:line="276" w:lineRule="auto"/>
        <w:contextualSpacing/>
        <w:jc w:val="both"/>
        <w:rPr>
          <w:rFonts w:asciiTheme="majorHAnsi" w:eastAsia="Calibri" w:hAnsiTheme="majorHAnsi" w:cstheme="majorHAnsi"/>
          <w:sz w:val="22"/>
          <w:szCs w:val="22"/>
          <w:lang w:val="en-US"/>
        </w:rPr>
      </w:pPr>
      <w:r w:rsidRPr="00FB7A92">
        <w:rPr>
          <w:rFonts w:asciiTheme="majorHAnsi" w:eastAsia="Calibri" w:hAnsiTheme="majorHAnsi" w:cstheme="majorHAnsi"/>
          <w:sz w:val="22"/>
          <w:szCs w:val="22"/>
          <w:lang w:val="en-US"/>
        </w:rPr>
        <w:t>What are the steps taken to adopt a national action plan addressing all manifestations of sexual exploitation of children?</w:t>
      </w:r>
    </w:p>
    <w:p w14:paraId="33C06B33" w14:textId="77777777" w:rsidR="003975B6" w:rsidRPr="00FB7A92" w:rsidRDefault="003975B6" w:rsidP="00FB7A92">
      <w:pPr>
        <w:numPr>
          <w:ilvl w:val="0"/>
          <w:numId w:val="2"/>
        </w:numPr>
        <w:shd w:val="clear" w:color="auto" w:fill="E7E6E6"/>
        <w:spacing w:line="276" w:lineRule="auto"/>
        <w:contextualSpacing/>
        <w:jc w:val="both"/>
        <w:rPr>
          <w:rFonts w:asciiTheme="majorHAnsi" w:eastAsia="Calibri" w:hAnsiTheme="majorHAnsi" w:cstheme="majorHAnsi"/>
          <w:sz w:val="22"/>
          <w:szCs w:val="22"/>
          <w:lang w:val="en-US"/>
        </w:rPr>
      </w:pPr>
      <w:r w:rsidRPr="00FB7A92">
        <w:rPr>
          <w:rFonts w:asciiTheme="majorHAnsi" w:eastAsia="Calibri" w:hAnsiTheme="majorHAnsi" w:cstheme="majorHAnsi"/>
          <w:sz w:val="22"/>
          <w:szCs w:val="22"/>
          <w:lang w:val="en-US"/>
        </w:rPr>
        <w:t xml:space="preserve">What are the steps taken to implement a dedicated coordination body on sexual exploitation of children and strengthen the coordination and cooperation between child protection stakeholders? </w:t>
      </w:r>
    </w:p>
    <w:p w14:paraId="77DD40D1" w14:textId="77777777" w:rsidR="003975B6" w:rsidRPr="00FB7A92" w:rsidRDefault="003975B6" w:rsidP="00FB7A92">
      <w:pPr>
        <w:numPr>
          <w:ilvl w:val="0"/>
          <w:numId w:val="2"/>
        </w:numPr>
        <w:shd w:val="clear" w:color="auto" w:fill="E7E6E6"/>
        <w:spacing w:line="276" w:lineRule="auto"/>
        <w:contextualSpacing/>
        <w:jc w:val="both"/>
        <w:rPr>
          <w:rFonts w:asciiTheme="majorHAnsi" w:eastAsia="Calibri" w:hAnsiTheme="majorHAnsi" w:cstheme="majorHAnsi"/>
          <w:sz w:val="22"/>
          <w:szCs w:val="22"/>
          <w:lang w:val="en-US"/>
        </w:rPr>
      </w:pPr>
      <w:r w:rsidRPr="00FB7A92">
        <w:rPr>
          <w:rFonts w:asciiTheme="majorHAnsi" w:eastAsia="Calibri" w:hAnsiTheme="majorHAnsi" w:cstheme="majorHAnsi"/>
          <w:sz w:val="22"/>
          <w:szCs w:val="22"/>
          <w:lang w:val="en-US"/>
        </w:rPr>
        <w:t>What are the awareness initiatives for on all manifestations of the sexual exploitation of children?</w:t>
      </w:r>
    </w:p>
    <w:p w14:paraId="7E0C8217" w14:textId="77777777" w:rsidR="003975B6" w:rsidRPr="00FB7A92" w:rsidRDefault="003975B6" w:rsidP="00FB7A92">
      <w:pPr>
        <w:numPr>
          <w:ilvl w:val="0"/>
          <w:numId w:val="2"/>
        </w:numPr>
        <w:shd w:val="clear" w:color="auto" w:fill="E7E6E6"/>
        <w:spacing w:line="276" w:lineRule="auto"/>
        <w:contextualSpacing/>
        <w:jc w:val="both"/>
        <w:rPr>
          <w:rFonts w:asciiTheme="majorHAnsi" w:eastAsia="Calibri" w:hAnsiTheme="majorHAnsi" w:cstheme="majorHAnsi"/>
          <w:sz w:val="22"/>
          <w:szCs w:val="22"/>
          <w:lang w:val="en-US"/>
        </w:rPr>
      </w:pPr>
      <w:r w:rsidRPr="00FB7A92">
        <w:rPr>
          <w:rFonts w:asciiTheme="majorHAnsi" w:eastAsia="Calibri" w:hAnsiTheme="majorHAnsi" w:cstheme="majorHAnsi"/>
          <w:sz w:val="22"/>
          <w:szCs w:val="22"/>
          <w:lang w:val="en-US"/>
        </w:rPr>
        <w:t>What are the steps taken to ensure the effective and efficient functioning of shelters for children victims of SEC?</w:t>
      </w:r>
    </w:p>
    <w:p w14:paraId="612C8AA6" w14:textId="77777777" w:rsidR="00DB0CFE" w:rsidRPr="00FB7A92" w:rsidRDefault="00DB0CFE">
      <w:pPr>
        <w:rPr>
          <w:rFonts w:asciiTheme="majorHAnsi" w:eastAsia="Calibri" w:hAnsiTheme="majorHAnsi" w:cstheme="majorHAnsi"/>
          <w:sz w:val="22"/>
          <w:szCs w:val="22"/>
          <w:lang w:val="en-US"/>
        </w:rPr>
      </w:pPr>
    </w:p>
    <w:sectPr w:rsidR="00DB0CFE" w:rsidRPr="00FB7A92" w:rsidSect="00FB7A92">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50F1F" w14:textId="77777777" w:rsidR="00ED412A" w:rsidRDefault="00ED412A">
      <w:r>
        <w:separator/>
      </w:r>
    </w:p>
  </w:endnote>
  <w:endnote w:type="continuationSeparator" w:id="0">
    <w:p w14:paraId="3C181327" w14:textId="77777777" w:rsidR="00ED412A" w:rsidRDefault="00ED412A">
      <w:r>
        <w:continuationSeparator/>
      </w:r>
    </w:p>
  </w:endnote>
  <w:endnote w:id="1">
    <w:p w14:paraId="6283DC8F"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Sustainable Development Goal Targets 5.2, 8.7 and 16.2.</w:t>
      </w:r>
    </w:p>
  </w:endnote>
  <w:endnote w:id="2">
    <w:p w14:paraId="77B14282" w14:textId="77777777" w:rsidR="00655173" w:rsidRPr="009D0724" w:rsidRDefault="00655173">
      <w:pPr>
        <w:widowControl w:val="0"/>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ECPAT prefers the term ‘exploitation of children in prostitution’ instead of ‘child prostitution’ in line with the recently widely adopted Terminology Guidelines. ECPAT International. (2016). </w:t>
      </w:r>
      <w:hyperlink r:id="rId1">
        <w:r w:rsidRPr="009D0724">
          <w:rPr>
            <w:rFonts w:asciiTheme="majorHAnsi" w:eastAsia="Calibri" w:hAnsiTheme="majorHAnsi" w:cstheme="majorHAnsi"/>
            <w:i/>
            <w:color w:val="0000FF"/>
            <w:sz w:val="20"/>
            <w:szCs w:val="20"/>
            <w:u w:val="single"/>
          </w:rPr>
          <w:t>Terminology Guidelines for the Protection of Children from Sexual Exploitation and Sexual Abuse, Adopted by the Interagency Working Group in Luxembourg, 28 January 2016</w:t>
        </w:r>
      </w:hyperlink>
      <w:r w:rsidRPr="009D0724">
        <w:rPr>
          <w:rFonts w:asciiTheme="majorHAnsi" w:eastAsia="Calibri" w:hAnsiTheme="majorHAnsi" w:cstheme="majorHAnsi"/>
          <w:color w:val="000000"/>
          <w:sz w:val="20"/>
          <w:szCs w:val="20"/>
        </w:rPr>
        <w:t>. Bangkok: ECPAT International.</w:t>
      </w:r>
    </w:p>
  </w:endnote>
  <w:endnote w:id="3">
    <w:p w14:paraId="6651749A" w14:textId="77777777" w:rsidR="00655173" w:rsidRPr="009D0724" w:rsidRDefault="00655173">
      <w:pPr>
        <w:widowControl w:val="0"/>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ECPAT prefers the term ‘child sexual exploitation material’ or ‘child sexual abuse material’ over the often still used ‘child pornography’ in line with the recently widely adopted Terminology Guidelines. </w:t>
      </w:r>
      <w:r w:rsidRPr="009D0724">
        <w:rPr>
          <w:rFonts w:asciiTheme="majorHAnsi" w:eastAsia="Calibri" w:hAnsiTheme="majorHAnsi" w:cstheme="majorHAnsi"/>
          <w:i/>
          <w:color w:val="000000"/>
          <w:sz w:val="20"/>
          <w:szCs w:val="20"/>
        </w:rPr>
        <w:t>Ibid</w:t>
      </w:r>
      <w:r w:rsidRPr="009D0724">
        <w:rPr>
          <w:rFonts w:asciiTheme="majorHAnsi" w:eastAsia="Calibri" w:hAnsiTheme="majorHAnsi" w:cstheme="majorHAnsi"/>
          <w:color w:val="000000"/>
          <w:sz w:val="20"/>
          <w:szCs w:val="20"/>
        </w:rPr>
        <w:t>., 39.</w:t>
      </w:r>
    </w:p>
  </w:endnote>
  <w:endnote w:id="4">
    <w:p w14:paraId="5DF3300E" w14:textId="77777777" w:rsidR="00655173" w:rsidRPr="009D0724" w:rsidRDefault="00655173">
      <w:pPr>
        <w:widowControl w:val="0"/>
        <w:pBdr>
          <w:top w:val="nil"/>
          <w:left w:val="nil"/>
          <w:bottom w:val="nil"/>
          <w:right w:val="nil"/>
          <w:between w:val="nil"/>
        </w:pBdr>
        <w:ind w:left="283" w:hanging="283"/>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i/>
          <w:color w:val="000000"/>
          <w:sz w:val="20"/>
          <w:szCs w:val="20"/>
        </w:rPr>
        <w:t xml:space="preserve"> Ibid</w:t>
      </w:r>
      <w:r w:rsidRPr="009D0724">
        <w:rPr>
          <w:rFonts w:asciiTheme="majorHAnsi" w:eastAsia="Calibri" w:hAnsiTheme="majorHAnsi" w:cstheme="majorHAnsi"/>
          <w:color w:val="000000"/>
          <w:sz w:val="20"/>
          <w:szCs w:val="20"/>
        </w:rPr>
        <w:t>., 54.</w:t>
      </w:r>
    </w:p>
  </w:endnote>
  <w:endnote w:id="5">
    <w:p w14:paraId="55876971"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UNICEF. (2019). “</w:t>
      </w:r>
      <w:hyperlink r:id="rId2" w:anchor="targetText=The%20State%20of%20the%20World's%20Children%202019%3A%20Children%2C%20food%20and,overweight%20among%20children%20under%205.">
        <w:r w:rsidRPr="009D0724">
          <w:rPr>
            <w:rFonts w:asciiTheme="majorHAnsi" w:eastAsia="Calibri" w:hAnsiTheme="majorHAnsi" w:cstheme="majorHAnsi"/>
            <w:i/>
            <w:color w:val="0000FF"/>
            <w:sz w:val="20"/>
            <w:szCs w:val="20"/>
            <w:u w:val="single"/>
          </w:rPr>
          <w:t>The State of the World’s Children 2019: Children, food and nutrition – growing well in a changing world</w:t>
        </w:r>
      </w:hyperlink>
      <w:r w:rsidRPr="009D0724">
        <w:rPr>
          <w:rFonts w:asciiTheme="majorHAnsi" w:eastAsia="Calibri" w:hAnsiTheme="majorHAnsi" w:cstheme="majorHAnsi"/>
          <w:color w:val="000000"/>
          <w:sz w:val="20"/>
          <w:szCs w:val="20"/>
        </w:rPr>
        <w:t>”. 192.</w:t>
      </w:r>
    </w:p>
  </w:endnote>
  <w:endnote w:id="6">
    <w:p w14:paraId="46E50485"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The World Bank. (2019). </w:t>
      </w:r>
      <w:hyperlink r:id="rId3">
        <w:r w:rsidRPr="00FB7A92">
          <w:rPr>
            <w:rFonts w:asciiTheme="majorHAnsi" w:eastAsia="Calibri" w:hAnsiTheme="majorHAnsi" w:cstheme="majorHAnsi"/>
            <w:i/>
            <w:iCs/>
            <w:color w:val="0000FF"/>
            <w:sz w:val="20"/>
            <w:szCs w:val="20"/>
            <w:u w:val="single"/>
          </w:rPr>
          <w:t>GDP Ranking Table 2018.</w:t>
        </w:r>
      </w:hyperlink>
    </w:p>
  </w:endnote>
  <w:endnote w:id="7">
    <w:p w14:paraId="5AEB2E71"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UNDP. (2019). “</w:t>
      </w:r>
      <w:hyperlink r:id="rId4">
        <w:r w:rsidRPr="009D0724">
          <w:rPr>
            <w:rFonts w:asciiTheme="majorHAnsi" w:eastAsia="Calibri" w:hAnsiTheme="majorHAnsi" w:cstheme="majorHAnsi"/>
            <w:i/>
            <w:color w:val="0000FF"/>
            <w:sz w:val="20"/>
            <w:szCs w:val="20"/>
            <w:u w:val="single"/>
          </w:rPr>
          <w:t>Inequalities in Human Development in the 21st Century - Briefing note for countries on the 2019 Human Development Report – Mauritius</w:t>
        </w:r>
      </w:hyperlink>
      <w:r w:rsidRPr="009D0724">
        <w:rPr>
          <w:rFonts w:asciiTheme="majorHAnsi" w:eastAsia="Calibri" w:hAnsiTheme="majorHAnsi" w:cstheme="majorHAnsi"/>
          <w:color w:val="000000"/>
          <w:sz w:val="20"/>
          <w:szCs w:val="20"/>
        </w:rPr>
        <w:t>”.</w:t>
      </w:r>
    </w:p>
  </w:endnote>
  <w:endnote w:id="8">
    <w:p w14:paraId="0B6193E0" w14:textId="77777777" w:rsidR="00655173" w:rsidRPr="00FB7A92" w:rsidRDefault="00655173">
      <w:pPr>
        <w:widowControl w:val="0"/>
        <w:pBdr>
          <w:top w:val="nil"/>
          <w:left w:val="nil"/>
          <w:bottom w:val="nil"/>
          <w:right w:val="nil"/>
          <w:between w:val="nil"/>
        </w:pBdr>
        <w:jc w:val="both"/>
        <w:rPr>
          <w:rFonts w:asciiTheme="majorHAnsi" w:eastAsia="Calibri" w:hAnsiTheme="majorHAnsi" w:cstheme="majorHAnsi"/>
          <w:i/>
          <w:iCs/>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i/>
          <w:color w:val="000000"/>
          <w:sz w:val="20"/>
          <w:szCs w:val="20"/>
        </w:rPr>
        <w:t xml:space="preserve"> </w:t>
      </w:r>
      <w:r w:rsidRPr="009D0724">
        <w:rPr>
          <w:rFonts w:asciiTheme="majorHAnsi" w:eastAsia="Calibri" w:hAnsiTheme="majorHAnsi" w:cstheme="majorHAnsi"/>
          <w:color w:val="000000"/>
          <w:sz w:val="20"/>
          <w:szCs w:val="20"/>
        </w:rPr>
        <w:t>Central Intelligence Agency US. (2019). “</w:t>
      </w:r>
      <w:hyperlink r:id="rId5">
        <w:r w:rsidRPr="00FB7A92">
          <w:rPr>
            <w:rFonts w:asciiTheme="majorHAnsi" w:eastAsia="Calibri" w:hAnsiTheme="majorHAnsi" w:cstheme="majorHAnsi"/>
            <w:i/>
            <w:iCs/>
            <w:color w:val="0000FF"/>
            <w:sz w:val="20"/>
            <w:szCs w:val="20"/>
            <w:u w:val="single"/>
          </w:rPr>
          <w:t>The World Fact Book: Mauritius</w:t>
        </w:r>
      </w:hyperlink>
      <w:r w:rsidRPr="00FB7A92">
        <w:rPr>
          <w:rFonts w:asciiTheme="majorHAnsi" w:eastAsia="Calibri" w:hAnsiTheme="majorHAnsi" w:cstheme="majorHAnsi"/>
          <w:i/>
          <w:iCs/>
          <w:color w:val="000000"/>
          <w:sz w:val="20"/>
          <w:szCs w:val="20"/>
        </w:rPr>
        <w:t>”.</w:t>
      </w:r>
    </w:p>
  </w:endnote>
  <w:endnote w:id="9">
    <w:p w14:paraId="7D2F5346" w14:textId="61426BAF"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U.S Department of Labo</w:t>
      </w:r>
      <w:r>
        <w:rPr>
          <w:rFonts w:asciiTheme="majorHAnsi" w:eastAsia="Calibri" w:hAnsiTheme="majorHAnsi" w:cstheme="majorHAnsi"/>
          <w:color w:val="000000"/>
          <w:sz w:val="20"/>
          <w:szCs w:val="20"/>
        </w:rPr>
        <w:t>u</w:t>
      </w:r>
      <w:r w:rsidRPr="009D0724">
        <w:rPr>
          <w:rFonts w:asciiTheme="majorHAnsi" w:eastAsia="Calibri" w:hAnsiTheme="majorHAnsi" w:cstheme="majorHAnsi"/>
          <w:color w:val="000000"/>
          <w:sz w:val="20"/>
          <w:szCs w:val="20"/>
        </w:rPr>
        <w:t>r. (2019). “</w:t>
      </w:r>
      <w:hyperlink r:id="rId6">
        <w:r w:rsidRPr="00FB7A92">
          <w:rPr>
            <w:rFonts w:asciiTheme="majorHAnsi" w:eastAsia="Calibri" w:hAnsiTheme="majorHAnsi" w:cstheme="majorHAnsi"/>
            <w:i/>
            <w:iCs/>
            <w:color w:val="0000FF"/>
            <w:sz w:val="20"/>
            <w:szCs w:val="20"/>
            <w:u w:val="single"/>
          </w:rPr>
          <w:t>2018 Findings on the Worst Forms of Child Labour – Mauritius</w:t>
        </w:r>
      </w:hyperlink>
      <w:r w:rsidRPr="00FB7A92">
        <w:rPr>
          <w:rFonts w:asciiTheme="majorHAnsi" w:eastAsia="Calibri" w:hAnsiTheme="majorHAnsi" w:cstheme="majorHAnsi"/>
          <w:i/>
          <w:iCs/>
          <w:color w:val="000000"/>
          <w:sz w:val="20"/>
          <w:szCs w:val="20"/>
        </w:rPr>
        <w:t>”.</w:t>
      </w:r>
      <w:r w:rsidRPr="009D0724">
        <w:rPr>
          <w:rFonts w:asciiTheme="majorHAnsi" w:eastAsia="Calibri" w:hAnsiTheme="majorHAnsi" w:cstheme="majorHAnsi"/>
          <w:color w:val="000000"/>
          <w:sz w:val="20"/>
          <w:szCs w:val="20"/>
        </w:rPr>
        <w:t xml:space="preserve"> </w:t>
      </w:r>
    </w:p>
  </w:endnote>
  <w:endnote w:id="10">
    <w:p w14:paraId="1B9A8ED5"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Office of the Director of Public Prosecutions. (2018). </w:t>
      </w:r>
      <w:hyperlink r:id="rId7">
        <w:r w:rsidRPr="00FB7A92">
          <w:rPr>
            <w:rFonts w:asciiTheme="majorHAnsi" w:eastAsia="Calibri" w:hAnsiTheme="majorHAnsi" w:cstheme="majorHAnsi"/>
            <w:i/>
            <w:iCs/>
            <w:color w:val="0000FF"/>
            <w:sz w:val="20"/>
            <w:szCs w:val="20"/>
            <w:u w:val="single"/>
          </w:rPr>
          <w:t>E-Newsletter Issue 78</w:t>
        </w:r>
      </w:hyperlink>
      <w:r w:rsidRPr="00FB7A92">
        <w:rPr>
          <w:rFonts w:asciiTheme="majorHAnsi" w:eastAsia="Calibri" w:hAnsiTheme="majorHAnsi" w:cstheme="majorHAnsi"/>
          <w:i/>
          <w:iCs/>
          <w:color w:val="000000"/>
          <w:sz w:val="20"/>
          <w:szCs w:val="20"/>
        </w:rPr>
        <w:t>.</w:t>
      </w:r>
      <w:r w:rsidRPr="009D0724">
        <w:rPr>
          <w:rFonts w:asciiTheme="majorHAnsi" w:eastAsia="Calibri" w:hAnsiTheme="majorHAnsi" w:cstheme="majorHAnsi"/>
          <w:color w:val="000000"/>
          <w:sz w:val="20"/>
          <w:szCs w:val="20"/>
        </w:rPr>
        <w:t xml:space="preserve"> “</w:t>
      </w:r>
      <w:r w:rsidRPr="009D0724">
        <w:rPr>
          <w:rFonts w:asciiTheme="majorHAnsi" w:eastAsia="Calibri" w:hAnsiTheme="majorHAnsi" w:cstheme="majorHAnsi"/>
          <w:i/>
          <w:color w:val="000000"/>
          <w:sz w:val="20"/>
          <w:szCs w:val="20"/>
        </w:rPr>
        <w:t>Child Sexual Abuse seen from a psycho-socio-legal perspective</w:t>
      </w:r>
      <w:r w:rsidRPr="009D0724">
        <w:rPr>
          <w:rFonts w:asciiTheme="majorHAnsi" w:eastAsia="Calibri" w:hAnsiTheme="majorHAnsi" w:cstheme="majorHAnsi"/>
          <w:color w:val="000000"/>
          <w:sz w:val="20"/>
          <w:szCs w:val="20"/>
        </w:rPr>
        <w:t xml:space="preserve">”. 6. </w:t>
      </w:r>
    </w:p>
  </w:endnote>
  <w:endnote w:id="11">
    <w:p w14:paraId="167ABDF7" w14:textId="77777777" w:rsidR="00655173" w:rsidRPr="009D0724" w:rsidRDefault="00655173" w:rsidP="009D0724">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Republic of Mauritius – Ministry of Finance and Economic Development. (2019). </w:t>
      </w:r>
      <w:hyperlink r:id="rId8">
        <w:r w:rsidRPr="009D0724">
          <w:rPr>
            <w:rFonts w:asciiTheme="majorHAnsi" w:eastAsia="Calibri" w:hAnsiTheme="majorHAnsi" w:cstheme="majorHAnsi"/>
            <w:i/>
            <w:color w:val="0000FF"/>
            <w:sz w:val="20"/>
            <w:szCs w:val="20"/>
            <w:u w:val="single"/>
          </w:rPr>
          <w:t>Digest of Crime, Justice and Security – Statistics 2018</w:t>
        </w:r>
      </w:hyperlink>
      <w:r w:rsidRPr="009D0724">
        <w:rPr>
          <w:rFonts w:asciiTheme="majorHAnsi" w:eastAsia="Calibri" w:hAnsiTheme="majorHAnsi" w:cstheme="majorHAnsi"/>
          <w:i/>
          <w:color w:val="000000"/>
          <w:sz w:val="20"/>
          <w:szCs w:val="20"/>
        </w:rPr>
        <w:t xml:space="preserve">. </w:t>
      </w:r>
      <w:r w:rsidRPr="009D0724">
        <w:rPr>
          <w:rFonts w:asciiTheme="majorHAnsi" w:eastAsia="Calibri" w:hAnsiTheme="majorHAnsi" w:cstheme="majorHAnsi"/>
          <w:color w:val="000000"/>
          <w:sz w:val="20"/>
          <w:szCs w:val="20"/>
        </w:rPr>
        <w:t xml:space="preserve">37. </w:t>
      </w:r>
    </w:p>
  </w:endnote>
  <w:endnote w:id="12">
    <w:p w14:paraId="7DD66FCA" w14:textId="77777777" w:rsidR="00655173" w:rsidRPr="009D0724" w:rsidRDefault="00655173" w:rsidP="009D0724">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w:t>
      </w:r>
      <w:r w:rsidRPr="009D0724">
        <w:rPr>
          <w:rFonts w:asciiTheme="majorHAnsi" w:eastAsia="Calibri" w:hAnsiTheme="majorHAnsi" w:cstheme="majorHAnsi"/>
          <w:i/>
          <w:color w:val="000000"/>
          <w:sz w:val="20"/>
          <w:szCs w:val="20"/>
        </w:rPr>
        <w:t>Ibid.</w:t>
      </w:r>
      <w:r w:rsidRPr="009D0724">
        <w:rPr>
          <w:rFonts w:asciiTheme="majorHAnsi" w:eastAsia="Calibri" w:hAnsiTheme="majorHAnsi" w:cstheme="majorHAnsi"/>
          <w:color w:val="000000"/>
          <w:sz w:val="20"/>
          <w:szCs w:val="20"/>
        </w:rPr>
        <w:t xml:space="preserve">, 46. </w:t>
      </w:r>
    </w:p>
  </w:endnote>
  <w:endnote w:id="13">
    <w:p w14:paraId="268B8807" w14:textId="77777777" w:rsidR="00655173" w:rsidRPr="009D0724" w:rsidRDefault="00655173" w:rsidP="009D0724">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w:t>
      </w:r>
      <w:r w:rsidRPr="009D0724">
        <w:rPr>
          <w:rFonts w:asciiTheme="majorHAnsi" w:eastAsia="Calibri" w:hAnsiTheme="majorHAnsi" w:cstheme="majorHAnsi"/>
          <w:i/>
          <w:color w:val="000000"/>
          <w:sz w:val="20"/>
          <w:szCs w:val="20"/>
        </w:rPr>
        <w:t>Ibid.</w:t>
      </w:r>
      <w:r w:rsidRPr="009D0724">
        <w:rPr>
          <w:rFonts w:asciiTheme="majorHAnsi" w:eastAsia="Calibri" w:hAnsiTheme="majorHAnsi" w:cstheme="majorHAnsi"/>
          <w:color w:val="000000"/>
          <w:sz w:val="20"/>
          <w:szCs w:val="20"/>
        </w:rPr>
        <w:t>, 74.</w:t>
      </w:r>
    </w:p>
  </w:endnote>
  <w:endnote w:id="14">
    <w:p w14:paraId="51EE40E5" w14:textId="77777777" w:rsidR="00655173" w:rsidRPr="009D0724" w:rsidRDefault="00655173" w:rsidP="009D0724">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U.S. Department of State. (2018). </w:t>
      </w:r>
      <w:hyperlink r:id="rId9">
        <w:r w:rsidRPr="009D0724">
          <w:rPr>
            <w:rFonts w:asciiTheme="majorHAnsi" w:eastAsia="Calibri" w:hAnsiTheme="majorHAnsi" w:cstheme="majorHAnsi"/>
            <w:i/>
            <w:color w:val="0000FF"/>
            <w:sz w:val="20"/>
            <w:szCs w:val="20"/>
            <w:u w:val="single"/>
          </w:rPr>
          <w:t>Trafficking in Persons Report</w:t>
        </w:r>
      </w:hyperlink>
      <w:r w:rsidRPr="009D0724">
        <w:rPr>
          <w:rFonts w:asciiTheme="majorHAnsi" w:eastAsia="Calibri" w:hAnsiTheme="majorHAnsi" w:cstheme="majorHAnsi"/>
          <w:color w:val="000000"/>
          <w:sz w:val="20"/>
          <w:szCs w:val="20"/>
        </w:rPr>
        <w:t>. 301.</w:t>
      </w:r>
    </w:p>
  </w:endnote>
  <w:endnote w:id="15">
    <w:p w14:paraId="3C3C6E8D" w14:textId="77777777" w:rsidR="00655173" w:rsidRPr="009D0724" w:rsidRDefault="00655173" w:rsidP="009D0724">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Yuva Mauritius. (2016). “</w:t>
      </w:r>
      <w:hyperlink r:id="rId10">
        <w:r w:rsidRPr="009D0724">
          <w:rPr>
            <w:rFonts w:asciiTheme="majorHAnsi" w:eastAsia="Calibri" w:hAnsiTheme="majorHAnsi" w:cstheme="majorHAnsi"/>
            <w:i/>
            <w:color w:val="0000FF"/>
            <w:sz w:val="20"/>
            <w:szCs w:val="20"/>
            <w:u w:val="single"/>
          </w:rPr>
          <w:t>Help Us Eradicate Child Prostitution in Mauritius: Yuva</w:t>
        </w:r>
      </w:hyperlink>
      <w:r w:rsidRPr="009D0724">
        <w:rPr>
          <w:rFonts w:asciiTheme="majorHAnsi" w:eastAsia="Calibri" w:hAnsiTheme="majorHAnsi" w:cstheme="majorHAnsi"/>
          <w:i/>
          <w:color w:val="000000"/>
          <w:sz w:val="20"/>
          <w:szCs w:val="20"/>
        </w:rPr>
        <w:t>”</w:t>
      </w:r>
      <w:r w:rsidRPr="009D0724">
        <w:rPr>
          <w:rFonts w:asciiTheme="majorHAnsi" w:eastAsia="Calibri" w:hAnsiTheme="majorHAnsi" w:cstheme="majorHAnsi"/>
          <w:color w:val="000000"/>
          <w:sz w:val="20"/>
          <w:szCs w:val="20"/>
        </w:rPr>
        <w:t>.</w:t>
      </w:r>
    </w:p>
  </w:endnote>
  <w:endnote w:id="16">
    <w:p w14:paraId="75840793" w14:textId="1BA78501" w:rsidR="00655173" w:rsidRPr="00FB7A92" w:rsidRDefault="00655173" w:rsidP="009D0724">
      <w:pPr>
        <w:pBdr>
          <w:top w:val="nil"/>
          <w:left w:val="nil"/>
          <w:bottom w:val="nil"/>
          <w:right w:val="nil"/>
          <w:between w:val="nil"/>
        </w:pBdr>
        <w:jc w:val="both"/>
        <w:rPr>
          <w:rFonts w:asciiTheme="majorHAnsi" w:eastAsia="Calibri" w:hAnsiTheme="majorHAnsi" w:cstheme="majorHAnsi"/>
          <w:i/>
          <w:iCs/>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Internationa</w:t>
      </w:r>
      <w:r>
        <w:rPr>
          <w:rFonts w:asciiTheme="majorHAnsi" w:eastAsia="Calibri" w:hAnsiTheme="majorHAnsi" w:cstheme="majorHAnsi"/>
          <w:color w:val="000000"/>
          <w:sz w:val="20"/>
          <w:szCs w:val="20"/>
        </w:rPr>
        <w:t>l Telecommunication Union. (2019</w:t>
      </w:r>
      <w:r w:rsidRPr="009D0724">
        <w:rPr>
          <w:rFonts w:asciiTheme="majorHAnsi" w:eastAsia="Calibri" w:hAnsiTheme="majorHAnsi" w:cstheme="majorHAnsi"/>
          <w:color w:val="000000"/>
          <w:sz w:val="20"/>
          <w:szCs w:val="20"/>
        </w:rPr>
        <w:t xml:space="preserve">). </w:t>
      </w:r>
      <w:hyperlink r:id="rId11">
        <w:r w:rsidRPr="00FB7A92">
          <w:rPr>
            <w:rFonts w:asciiTheme="majorHAnsi" w:eastAsia="Calibri" w:hAnsiTheme="majorHAnsi" w:cstheme="majorHAnsi"/>
            <w:i/>
            <w:iCs/>
            <w:color w:val="0000FF"/>
            <w:sz w:val="20"/>
            <w:szCs w:val="20"/>
            <w:u w:val="single"/>
          </w:rPr>
          <w:t>Mauritius Profile</w:t>
        </w:r>
      </w:hyperlink>
      <w:r w:rsidRPr="00FB7A92">
        <w:rPr>
          <w:rFonts w:asciiTheme="majorHAnsi" w:eastAsia="Calibri" w:hAnsiTheme="majorHAnsi" w:cstheme="majorHAnsi"/>
          <w:i/>
          <w:iCs/>
          <w:color w:val="000000"/>
          <w:sz w:val="20"/>
          <w:szCs w:val="20"/>
        </w:rPr>
        <w:t xml:space="preserve">. </w:t>
      </w:r>
    </w:p>
  </w:endnote>
  <w:endnote w:id="17">
    <w:p w14:paraId="65238976" w14:textId="77777777" w:rsidR="00655173" w:rsidRPr="009D0724" w:rsidRDefault="00655173" w:rsidP="009D0724">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ECPAT International. (2019). </w:t>
      </w:r>
      <w:hyperlink r:id="rId12">
        <w:r w:rsidRPr="009D0724">
          <w:rPr>
            <w:rFonts w:asciiTheme="majorHAnsi" w:eastAsia="Calibri" w:hAnsiTheme="majorHAnsi" w:cstheme="majorHAnsi"/>
            <w:i/>
            <w:color w:val="0000FF"/>
            <w:sz w:val="20"/>
            <w:szCs w:val="20"/>
            <w:u w:val="single"/>
          </w:rPr>
          <w:t>ECPAT Country Overview – A report on the scale, scope and context of the sexual exploitation of children – Mauritius</w:t>
        </w:r>
      </w:hyperlink>
      <w:r w:rsidRPr="009D0724">
        <w:rPr>
          <w:rFonts w:asciiTheme="majorHAnsi" w:eastAsia="Calibri" w:hAnsiTheme="majorHAnsi" w:cstheme="majorHAnsi"/>
          <w:color w:val="000000"/>
          <w:sz w:val="20"/>
          <w:szCs w:val="20"/>
        </w:rPr>
        <w:t>. 9.</w:t>
      </w:r>
    </w:p>
  </w:endnote>
  <w:endnote w:id="18">
    <w:p w14:paraId="1F5D65D6" w14:textId="06E737FA" w:rsidR="00655173" w:rsidRPr="009D0724" w:rsidRDefault="00655173" w:rsidP="009D0724">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Personal communication with Halley Movement (</w:t>
      </w:r>
      <w:r>
        <w:rPr>
          <w:rFonts w:asciiTheme="majorHAnsi" w:eastAsia="Calibri" w:hAnsiTheme="majorHAnsi" w:cstheme="majorHAnsi"/>
          <w:color w:val="000000"/>
          <w:sz w:val="20"/>
          <w:szCs w:val="20"/>
        </w:rPr>
        <w:t>February 2020</w:t>
      </w:r>
      <w:r w:rsidRPr="009D0724">
        <w:rPr>
          <w:rFonts w:asciiTheme="majorHAnsi" w:eastAsia="Calibri" w:hAnsiTheme="majorHAnsi" w:cstheme="majorHAnsi"/>
          <w:color w:val="000000"/>
          <w:sz w:val="20"/>
          <w:szCs w:val="20"/>
        </w:rPr>
        <w:t xml:space="preserve">). </w:t>
      </w:r>
    </w:p>
  </w:endnote>
  <w:endnote w:id="19">
    <w:p w14:paraId="13663229" w14:textId="77777777" w:rsidR="00655173" w:rsidRPr="009D0724" w:rsidRDefault="00655173">
      <w:pPr>
        <w:pBdr>
          <w:top w:val="nil"/>
          <w:left w:val="nil"/>
          <w:bottom w:val="nil"/>
          <w:right w:val="nil"/>
          <w:between w:val="nil"/>
        </w:pBdr>
        <w:jc w:val="both"/>
        <w:rPr>
          <w:rFonts w:asciiTheme="majorHAnsi" w:eastAsia="Calibri" w:hAnsiTheme="majorHAnsi" w:cstheme="majorHAnsi"/>
          <w: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IOM. (2016). </w:t>
      </w:r>
      <w:r w:rsidRPr="009D0724">
        <w:rPr>
          <w:rFonts w:asciiTheme="majorHAnsi" w:eastAsia="Calibri" w:hAnsiTheme="majorHAnsi" w:cstheme="majorHAnsi"/>
          <w:i/>
          <w:color w:val="000000"/>
          <w:sz w:val="20"/>
          <w:szCs w:val="20"/>
        </w:rPr>
        <w:t>“</w:t>
      </w:r>
      <w:hyperlink r:id="rId13">
        <w:r w:rsidRPr="009D0724">
          <w:rPr>
            <w:rFonts w:asciiTheme="majorHAnsi" w:eastAsia="Calibri" w:hAnsiTheme="majorHAnsi" w:cstheme="majorHAnsi"/>
            <w:i/>
            <w:color w:val="0000FF"/>
            <w:sz w:val="20"/>
            <w:szCs w:val="20"/>
            <w:u w:val="single"/>
          </w:rPr>
          <w:t>IOM Builds Capacity to Combat Human Trafficking in Mauritius</w:t>
        </w:r>
      </w:hyperlink>
      <w:r w:rsidRPr="009D0724">
        <w:rPr>
          <w:rFonts w:asciiTheme="majorHAnsi" w:eastAsia="Calibri" w:hAnsiTheme="majorHAnsi" w:cstheme="majorHAnsi"/>
          <w:i/>
          <w:color w:val="000000"/>
          <w:sz w:val="20"/>
          <w:szCs w:val="20"/>
        </w:rPr>
        <w:t xml:space="preserve">”. </w:t>
      </w:r>
    </w:p>
  </w:endnote>
  <w:endnote w:id="20">
    <w:p w14:paraId="529F0BE3"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S. Varounen. (2014). “</w:t>
      </w:r>
      <w:hyperlink r:id="rId14">
        <w:r w:rsidRPr="009D0724">
          <w:rPr>
            <w:rFonts w:asciiTheme="majorHAnsi" w:eastAsia="Calibri" w:hAnsiTheme="majorHAnsi" w:cstheme="majorHAnsi"/>
            <w:i/>
            <w:color w:val="0000FF"/>
            <w:sz w:val="20"/>
            <w:szCs w:val="20"/>
            <w:u w:val="single"/>
          </w:rPr>
          <w:t>Public Policy: Child Trafficking in Mauritius</w:t>
        </w:r>
      </w:hyperlink>
      <w:r w:rsidRPr="009D0724">
        <w:rPr>
          <w:rFonts w:asciiTheme="majorHAnsi" w:eastAsia="Calibri" w:hAnsiTheme="majorHAnsi" w:cstheme="majorHAnsi"/>
          <w:i/>
          <w:color w:val="000000"/>
          <w:sz w:val="20"/>
          <w:szCs w:val="20"/>
        </w:rPr>
        <w:t>”</w:t>
      </w:r>
      <w:r w:rsidRPr="009D0724">
        <w:rPr>
          <w:rFonts w:asciiTheme="majorHAnsi" w:eastAsia="Calibri" w:hAnsiTheme="majorHAnsi" w:cstheme="majorHAnsi"/>
          <w:color w:val="000000"/>
          <w:sz w:val="20"/>
          <w:szCs w:val="20"/>
        </w:rPr>
        <w:t xml:space="preserve">. 1. See also: U.S. Department of State. (2019). </w:t>
      </w:r>
      <w:hyperlink r:id="rId15">
        <w:r w:rsidRPr="009D0724">
          <w:rPr>
            <w:rFonts w:asciiTheme="majorHAnsi" w:eastAsia="Calibri" w:hAnsiTheme="majorHAnsi" w:cstheme="majorHAnsi"/>
            <w:i/>
            <w:color w:val="0000FF"/>
            <w:sz w:val="20"/>
            <w:szCs w:val="20"/>
            <w:u w:val="single"/>
          </w:rPr>
          <w:t>Trafficking in Persons Report</w:t>
        </w:r>
      </w:hyperlink>
      <w:r w:rsidRPr="009D0724">
        <w:rPr>
          <w:rFonts w:asciiTheme="majorHAnsi" w:eastAsia="Calibri" w:hAnsiTheme="majorHAnsi" w:cstheme="majorHAnsi"/>
          <w:color w:val="000000"/>
          <w:sz w:val="20"/>
          <w:szCs w:val="20"/>
        </w:rPr>
        <w:t>. 323.</w:t>
      </w:r>
    </w:p>
  </w:endnote>
  <w:endnote w:id="21">
    <w:p w14:paraId="3A97D7C3"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Ombudsperson for Children. (2018). “</w:t>
      </w:r>
      <w:hyperlink r:id="rId16">
        <w:r w:rsidRPr="009D0724">
          <w:rPr>
            <w:rFonts w:asciiTheme="majorHAnsi" w:eastAsia="Calibri" w:hAnsiTheme="majorHAnsi" w:cstheme="majorHAnsi"/>
            <w:i/>
            <w:color w:val="0000FF"/>
            <w:sz w:val="20"/>
            <w:szCs w:val="20"/>
            <w:u w:val="single"/>
          </w:rPr>
          <w:t>Annual Report 2017-2018 – Making rights a reality for every child of the Republic of Mauritius</w:t>
        </w:r>
      </w:hyperlink>
      <w:r w:rsidRPr="009D0724">
        <w:rPr>
          <w:rFonts w:asciiTheme="majorHAnsi" w:eastAsia="Calibri" w:hAnsiTheme="majorHAnsi" w:cstheme="majorHAnsi"/>
          <w:color w:val="000000"/>
          <w:sz w:val="20"/>
          <w:szCs w:val="20"/>
        </w:rPr>
        <w:t>”. 244.</w:t>
      </w:r>
    </w:p>
  </w:endnote>
  <w:endnote w:id="22">
    <w:p w14:paraId="6E3D1493"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U.S. Department of State. (2019). </w:t>
      </w:r>
      <w:hyperlink r:id="rId17">
        <w:r w:rsidRPr="009D0724">
          <w:rPr>
            <w:rFonts w:asciiTheme="majorHAnsi" w:eastAsia="Calibri" w:hAnsiTheme="majorHAnsi" w:cstheme="majorHAnsi"/>
            <w:i/>
            <w:color w:val="0000FF"/>
            <w:sz w:val="20"/>
            <w:szCs w:val="20"/>
            <w:u w:val="single"/>
          </w:rPr>
          <w:t>Trafficking in Persons Report</w:t>
        </w:r>
      </w:hyperlink>
      <w:r w:rsidRPr="009D0724">
        <w:rPr>
          <w:rFonts w:asciiTheme="majorHAnsi" w:eastAsia="Calibri" w:hAnsiTheme="majorHAnsi" w:cstheme="majorHAnsi"/>
          <w:color w:val="000000"/>
          <w:sz w:val="20"/>
          <w:szCs w:val="20"/>
        </w:rPr>
        <w:t>. 323.</w:t>
      </w:r>
    </w:p>
  </w:endnote>
  <w:endnote w:id="23">
    <w:p w14:paraId="384B4935"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w:t>
      </w:r>
      <w:r w:rsidRPr="009D0724">
        <w:rPr>
          <w:rFonts w:asciiTheme="majorHAnsi" w:eastAsia="Calibri" w:hAnsiTheme="majorHAnsi" w:cstheme="majorHAnsi"/>
          <w:i/>
          <w:color w:val="000000"/>
          <w:sz w:val="20"/>
          <w:szCs w:val="20"/>
        </w:rPr>
        <w:t>Ibid</w:t>
      </w:r>
      <w:r w:rsidRPr="009D0724">
        <w:rPr>
          <w:rFonts w:asciiTheme="majorHAnsi" w:eastAsia="Calibri" w:hAnsiTheme="majorHAnsi" w:cstheme="majorHAnsi"/>
          <w:color w:val="000000"/>
          <w:sz w:val="20"/>
          <w:szCs w:val="20"/>
        </w:rPr>
        <w:t>., 321.</w:t>
      </w:r>
    </w:p>
  </w:endnote>
  <w:endnote w:id="24">
    <w:p w14:paraId="3B444F32"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w:t>
      </w:r>
      <w:r w:rsidRPr="009D0724">
        <w:rPr>
          <w:rFonts w:asciiTheme="majorHAnsi" w:eastAsia="Calibri" w:hAnsiTheme="majorHAnsi" w:cstheme="majorHAnsi"/>
          <w:i/>
          <w:color w:val="000000"/>
          <w:sz w:val="20"/>
          <w:szCs w:val="20"/>
        </w:rPr>
        <w:t>Ibid</w:t>
      </w:r>
      <w:r w:rsidRPr="009D0724">
        <w:rPr>
          <w:rFonts w:asciiTheme="majorHAnsi" w:eastAsia="Calibri" w:hAnsiTheme="majorHAnsi" w:cstheme="majorHAnsi"/>
          <w:color w:val="000000"/>
          <w:sz w:val="20"/>
          <w:szCs w:val="20"/>
        </w:rPr>
        <w:t>., 321.</w:t>
      </w:r>
    </w:p>
  </w:endnote>
  <w:endnote w:id="25">
    <w:p w14:paraId="469EFBF1"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UNODC. (2016). </w:t>
      </w:r>
      <w:hyperlink r:id="rId18">
        <w:r w:rsidRPr="00FB7A92">
          <w:rPr>
            <w:rFonts w:asciiTheme="majorHAnsi" w:eastAsia="Calibri" w:hAnsiTheme="majorHAnsi" w:cstheme="majorHAnsi"/>
            <w:i/>
            <w:iCs/>
            <w:color w:val="0000FF"/>
            <w:sz w:val="20"/>
            <w:szCs w:val="20"/>
            <w:u w:val="single"/>
          </w:rPr>
          <w:t>Global Report on Trafficking in Persons 2016</w:t>
        </w:r>
      </w:hyperlink>
      <w:r w:rsidRPr="00FB7A92">
        <w:rPr>
          <w:rFonts w:asciiTheme="majorHAnsi" w:eastAsia="Calibri" w:hAnsiTheme="majorHAnsi" w:cstheme="majorHAnsi"/>
          <w:i/>
          <w:iCs/>
          <w:color w:val="000000"/>
          <w:sz w:val="20"/>
          <w:szCs w:val="20"/>
        </w:rPr>
        <w:t>.</w:t>
      </w:r>
    </w:p>
  </w:endnote>
  <w:endnote w:id="26">
    <w:p w14:paraId="2A8BCC0A"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World Economic Forum. (2019). </w:t>
      </w:r>
      <w:hyperlink r:id="rId19">
        <w:r w:rsidRPr="009D0724">
          <w:rPr>
            <w:rFonts w:asciiTheme="majorHAnsi" w:eastAsia="Calibri" w:hAnsiTheme="majorHAnsi" w:cstheme="majorHAnsi"/>
            <w:i/>
            <w:color w:val="0000FF"/>
            <w:sz w:val="20"/>
            <w:szCs w:val="20"/>
            <w:u w:val="single"/>
          </w:rPr>
          <w:t>The Travel &amp; Tourism Competitiveness Report 2019</w:t>
        </w:r>
      </w:hyperlink>
      <w:r w:rsidRPr="009D0724">
        <w:rPr>
          <w:rFonts w:asciiTheme="majorHAnsi" w:eastAsia="Calibri" w:hAnsiTheme="majorHAnsi" w:cstheme="majorHAnsi"/>
          <w:i/>
          <w:color w:val="000000"/>
          <w:sz w:val="20"/>
          <w:szCs w:val="20"/>
        </w:rPr>
        <w:t xml:space="preserve">. </w:t>
      </w:r>
      <w:r w:rsidRPr="009D0724">
        <w:rPr>
          <w:rFonts w:asciiTheme="majorHAnsi" w:eastAsia="Calibri" w:hAnsiTheme="majorHAnsi" w:cstheme="majorHAnsi"/>
          <w:color w:val="000000"/>
          <w:sz w:val="20"/>
          <w:szCs w:val="20"/>
        </w:rPr>
        <w:t>55.</w:t>
      </w:r>
    </w:p>
  </w:endnote>
  <w:endnote w:id="27">
    <w:p w14:paraId="501F71E0"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ECPAT International. (2016). </w:t>
      </w:r>
      <w:hyperlink r:id="rId20">
        <w:r w:rsidRPr="009D0724">
          <w:rPr>
            <w:rFonts w:asciiTheme="majorHAnsi" w:eastAsia="Calibri" w:hAnsiTheme="majorHAnsi" w:cstheme="majorHAnsi"/>
            <w:i/>
            <w:color w:val="0000FF"/>
            <w:sz w:val="20"/>
            <w:szCs w:val="20"/>
            <w:u w:val="single"/>
          </w:rPr>
          <w:t>Global Study on Sexual Exploitation of Children in Travel and Tourism</w:t>
        </w:r>
      </w:hyperlink>
      <w:r w:rsidRPr="009D0724">
        <w:rPr>
          <w:rFonts w:asciiTheme="majorHAnsi" w:eastAsia="Calibri" w:hAnsiTheme="majorHAnsi" w:cstheme="majorHAnsi"/>
          <w:i/>
          <w:color w:val="000000"/>
          <w:sz w:val="20"/>
          <w:szCs w:val="20"/>
        </w:rPr>
        <w:t xml:space="preserve">. </w:t>
      </w:r>
      <w:r w:rsidRPr="009D0724">
        <w:rPr>
          <w:rFonts w:asciiTheme="majorHAnsi" w:eastAsia="Calibri" w:hAnsiTheme="majorHAnsi" w:cstheme="majorHAnsi"/>
          <w:color w:val="000000"/>
          <w:sz w:val="20"/>
          <w:szCs w:val="20"/>
        </w:rPr>
        <w:t>44.</w:t>
      </w:r>
    </w:p>
  </w:endnote>
  <w:endnote w:id="28">
    <w:p w14:paraId="61607AD6"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ECPAT International. (2019). </w:t>
      </w:r>
      <w:hyperlink r:id="rId21">
        <w:r w:rsidRPr="009D0724">
          <w:rPr>
            <w:rFonts w:asciiTheme="majorHAnsi" w:eastAsia="Calibri" w:hAnsiTheme="majorHAnsi" w:cstheme="majorHAnsi"/>
            <w:i/>
            <w:color w:val="0000FF"/>
            <w:sz w:val="20"/>
            <w:szCs w:val="20"/>
            <w:u w:val="single"/>
          </w:rPr>
          <w:t>ECPAT Country Overview – A report on the scale, scope and context of the sexual exploitation of children – Mauritius</w:t>
        </w:r>
      </w:hyperlink>
      <w:r w:rsidRPr="009D0724">
        <w:rPr>
          <w:rFonts w:asciiTheme="majorHAnsi" w:eastAsia="Calibri" w:hAnsiTheme="majorHAnsi" w:cstheme="majorHAnsi"/>
          <w:color w:val="000000"/>
          <w:sz w:val="20"/>
          <w:szCs w:val="20"/>
        </w:rPr>
        <w:t xml:space="preserve">. 11. </w:t>
      </w:r>
    </w:p>
  </w:endnote>
  <w:endnote w:id="29">
    <w:p w14:paraId="22D20684"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ECPAT International. (2019). </w:t>
      </w:r>
      <w:hyperlink r:id="rId22">
        <w:r w:rsidRPr="009D0724">
          <w:rPr>
            <w:rFonts w:asciiTheme="majorHAnsi" w:eastAsia="Calibri" w:hAnsiTheme="majorHAnsi" w:cstheme="majorHAnsi"/>
            <w:i/>
            <w:color w:val="0000FF"/>
            <w:sz w:val="20"/>
            <w:szCs w:val="20"/>
            <w:u w:val="single"/>
          </w:rPr>
          <w:t>ECPAT Country Overview – A report on the scale, scope and context of the sexual exploitation of children – Mauritius</w:t>
        </w:r>
      </w:hyperlink>
      <w:r w:rsidRPr="009D0724">
        <w:rPr>
          <w:rFonts w:asciiTheme="majorHAnsi" w:eastAsia="Calibri" w:hAnsiTheme="majorHAnsi" w:cstheme="majorHAnsi"/>
          <w:color w:val="000000"/>
          <w:sz w:val="20"/>
          <w:szCs w:val="20"/>
        </w:rPr>
        <w:t>. 2.</w:t>
      </w:r>
    </w:p>
  </w:endnote>
  <w:endnote w:id="30">
    <w:p w14:paraId="6E50C9A5" w14:textId="77777777" w:rsidR="00655173" w:rsidRPr="009D0724" w:rsidRDefault="00655173">
      <w:pPr>
        <w:pBdr>
          <w:top w:val="nil"/>
          <w:left w:val="nil"/>
          <w:bottom w:val="nil"/>
          <w:right w:val="nil"/>
          <w:between w:val="nil"/>
        </w:pBdr>
        <w:jc w:val="both"/>
        <w:rPr>
          <w:rFonts w:asciiTheme="majorHAnsi" w:eastAsia="Calibri" w:hAnsiTheme="majorHAnsi" w:cstheme="majorHAnsi"/>
          <w: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Girls Not Brides. (2019). </w:t>
      </w:r>
      <w:hyperlink r:id="rId23">
        <w:r w:rsidRPr="009D0724">
          <w:rPr>
            <w:rFonts w:asciiTheme="majorHAnsi" w:eastAsia="Calibri" w:hAnsiTheme="majorHAnsi" w:cstheme="majorHAnsi"/>
            <w:i/>
            <w:color w:val="0000FF"/>
            <w:sz w:val="20"/>
            <w:szCs w:val="20"/>
            <w:u w:val="single"/>
          </w:rPr>
          <w:t>Child Marriage Atlas: Mauritius</w:t>
        </w:r>
      </w:hyperlink>
      <w:r w:rsidRPr="009D0724">
        <w:rPr>
          <w:rFonts w:asciiTheme="majorHAnsi" w:eastAsia="Calibri" w:hAnsiTheme="majorHAnsi" w:cstheme="majorHAnsi"/>
          <w:i/>
          <w:color w:val="000000"/>
          <w:sz w:val="20"/>
          <w:szCs w:val="20"/>
        </w:rPr>
        <w:t xml:space="preserve">. </w:t>
      </w:r>
    </w:p>
  </w:endnote>
  <w:endnote w:id="31">
    <w:p w14:paraId="2C54BB06"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A. Budoo. (2018). “</w:t>
      </w:r>
      <w:hyperlink r:id="rId24">
        <w:r w:rsidRPr="009D0724">
          <w:rPr>
            <w:rFonts w:asciiTheme="majorHAnsi" w:eastAsia="Calibri" w:hAnsiTheme="majorHAnsi" w:cstheme="majorHAnsi"/>
            <w:i/>
            <w:color w:val="0000FF"/>
            <w:sz w:val="20"/>
            <w:szCs w:val="20"/>
            <w:u w:val="single"/>
          </w:rPr>
          <w:t>The Conversation - It’s time Mauritius took decisive steps to outlaw child marriages</w:t>
        </w:r>
      </w:hyperlink>
      <w:r w:rsidRPr="009D0724">
        <w:rPr>
          <w:rFonts w:asciiTheme="majorHAnsi" w:eastAsia="Calibri" w:hAnsiTheme="majorHAnsi" w:cstheme="majorHAnsi"/>
          <w:color w:val="000000"/>
          <w:sz w:val="20"/>
          <w:szCs w:val="20"/>
        </w:rPr>
        <w:t>”</w:t>
      </w:r>
      <w:r w:rsidRPr="009D0724">
        <w:rPr>
          <w:rFonts w:asciiTheme="majorHAnsi" w:eastAsia="Calibri" w:hAnsiTheme="majorHAnsi" w:cstheme="majorHAnsi"/>
          <w:i/>
          <w:color w:val="000000"/>
          <w:sz w:val="20"/>
          <w:szCs w:val="20"/>
        </w:rPr>
        <w:t xml:space="preserve">. </w:t>
      </w:r>
      <w:r w:rsidRPr="009D0724">
        <w:rPr>
          <w:rFonts w:asciiTheme="majorHAnsi" w:eastAsia="Calibri" w:hAnsiTheme="majorHAnsi" w:cstheme="majorHAnsi"/>
          <w:color w:val="000000"/>
          <w:sz w:val="20"/>
          <w:szCs w:val="20"/>
        </w:rPr>
        <w:t>Ashwanee Budoo is the Project manager of the Master's in Human Rights and Democratisation in Africa at the Centre for Human Rights at the University of Pretoria.</w:t>
      </w:r>
    </w:p>
  </w:endnote>
  <w:endnote w:id="32">
    <w:p w14:paraId="4997A73A"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Republic of Mauritius. (2015). </w:t>
      </w:r>
      <w:r w:rsidRPr="009D0724">
        <w:rPr>
          <w:rFonts w:asciiTheme="majorHAnsi" w:eastAsia="Calibri" w:hAnsiTheme="majorHAnsi" w:cstheme="majorHAnsi"/>
          <w:i/>
          <w:color w:val="000000"/>
          <w:sz w:val="20"/>
          <w:szCs w:val="20"/>
        </w:rPr>
        <w:t>“</w:t>
      </w:r>
      <w:hyperlink r:id="rId25">
        <w:r w:rsidRPr="009D0724">
          <w:rPr>
            <w:rFonts w:asciiTheme="majorHAnsi" w:eastAsia="Calibri" w:hAnsiTheme="majorHAnsi" w:cstheme="majorHAnsi"/>
            <w:i/>
            <w:color w:val="0000FF"/>
            <w:sz w:val="20"/>
            <w:szCs w:val="20"/>
            <w:u w:val="single"/>
          </w:rPr>
          <w:t>Minister of Gender Equality, Child Development and Family Welfare calls for reforms</w:t>
        </w:r>
      </w:hyperlink>
      <w:r w:rsidRPr="009D0724">
        <w:rPr>
          <w:rFonts w:asciiTheme="majorHAnsi" w:eastAsia="Calibri" w:hAnsiTheme="majorHAnsi" w:cstheme="majorHAnsi"/>
          <w:i/>
          <w:color w:val="000000"/>
          <w:sz w:val="20"/>
          <w:szCs w:val="20"/>
        </w:rPr>
        <w:t>”.</w:t>
      </w:r>
    </w:p>
  </w:endnote>
  <w:endnote w:id="33">
    <w:p w14:paraId="59F731F0"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Republic of Mauritius. (2019). </w:t>
      </w:r>
      <w:hyperlink r:id="rId26">
        <w:r w:rsidRPr="009D0724">
          <w:rPr>
            <w:rFonts w:asciiTheme="majorHAnsi" w:eastAsia="Calibri" w:hAnsiTheme="majorHAnsi" w:cstheme="majorHAnsi"/>
            <w:i/>
            <w:color w:val="0000FF"/>
            <w:sz w:val="20"/>
            <w:szCs w:val="20"/>
            <w:u w:val="single"/>
          </w:rPr>
          <w:t>Voluntary National Review – Report of Mauritius 2019</w:t>
        </w:r>
      </w:hyperlink>
      <w:r w:rsidRPr="009D0724">
        <w:rPr>
          <w:rFonts w:asciiTheme="majorHAnsi" w:eastAsia="Calibri" w:hAnsiTheme="majorHAnsi" w:cstheme="majorHAnsi"/>
          <w:i/>
          <w:color w:val="000000"/>
          <w:sz w:val="20"/>
          <w:szCs w:val="20"/>
        </w:rPr>
        <w:t xml:space="preserve">. </w:t>
      </w:r>
      <w:r w:rsidRPr="009D0724">
        <w:rPr>
          <w:rFonts w:asciiTheme="majorHAnsi" w:eastAsia="Calibri" w:hAnsiTheme="majorHAnsi" w:cstheme="majorHAnsi"/>
          <w:color w:val="000000"/>
          <w:sz w:val="20"/>
          <w:szCs w:val="20"/>
        </w:rPr>
        <w:t>106.</w:t>
      </w:r>
    </w:p>
  </w:endnote>
  <w:endnote w:id="34">
    <w:p w14:paraId="7B43A42B"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U.S Department of Labor. (2019). “</w:t>
      </w:r>
      <w:hyperlink r:id="rId27">
        <w:r w:rsidRPr="009D0724">
          <w:rPr>
            <w:rFonts w:asciiTheme="majorHAnsi" w:eastAsia="Calibri" w:hAnsiTheme="majorHAnsi" w:cstheme="majorHAnsi"/>
            <w:color w:val="0000FF"/>
            <w:sz w:val="20"/>
            <w:szCs w:val="20"/>
            <w:u w:val="single"/>
          </w:rPr>
          <w:t>2018 Findings on the Worst Forms of Child Labor – Mauritius</w:t>
        </w:r>
      </w:hyperlink>
      <w:r w:rsidRPr="009D0724">
        <w:rPr>
          <w:rFonts w:asciiTheme="majorHAnsi" w:eastAsia="Calibri" w:hAnsiTheme="majorHAnsi" w:cstheme="majorHAnsi"/>
          <w:color w:val="000000"/>
          <w:sz w:val="20"/>
          <w:szCs w:val="20"/>
        </w:rPr>
        <w:t xml:space="preserve">”. </w:t>
      </w:r>
    </w:p>
  </w:endnote>
  <w:endnote w:id="35">
    <w:p w14:paraId="0304FF8C" w14:textId="39983AA9"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Committee on the Rights of the Child. (2015). </w:t>
      </w:r>
      <w:hyperlink r:id="rId28">
        <w:r w:rsidRPr="009D0724">
          <w:rPr>
            <w:rFonts w:asciiTheme="majorHAnsi" w:eastAsia="Calibri" w:hAnsiTheme="majorHAnsi" w:cstheme="majorHAnsi"/>
            <w:i/>
            <w:color w:val="0000FF"/>
            <w:sz w:val="20"/>
            <w:szCs w:val="20"/>
            <w:u w:val="single"/>
          </w:rPr>
          <w:t>Concluding Observations on the Report submitted by the Republic of Mauritius under Article 44 of the Convention</w:t>
        </w:r>
      </w:hyperlink>
      <w:r w:rsidRPr="009D0724">
        <w:rPr>
          <w:rFonts w:asciiTheme="majorHAnsi" w:eastAsia="Calibri" w:hAnsiTheme="majorHAnsi" w:cstheme="majorHAnsi"/>
          <w:color w:val="000000"/>
          <w:sz w:val="20"/>
          <w:szCs w:val="20"/>
        </w:rPr>
        <w:t>. Para. 14.</w:t>
      </w:r>
    </w:p>
  </w:endnote>
  <w:endnote w:id="36">
    <w:p w14:paraId="2FC9AA61" w14:textId="542715EF" w:rsidR="00655173" w:rsidRPr="004E7D97" w:rsidRDefault="00655173">
      <w:pPr>
        <w:pStyle w:val="EndnoteText"/>
      </w:pPr>
      <w:r>
        <w:rPr>
          <w:rStyle w:val="EndnoteReference"/>
        </w:rPr>
        <w:endnoteRef/>
      </w:r>
      <w:r>
        <w:t xml:space="preserve"> </w:t>
      </w:r>
      <w:r w:rsidRPr="009D0724">
        <w:rPr>
          <w:rFonts w:asciiTheme="majorHAnsi" w:eastAsia="Calibri" w:hAnsiTheme="majorHAnsi" w:cstheme="majorHAnsi"/>
          <w:color w:val="000000"/>
        </w:rPr>
        <w:t>Personal communication with Halley Movement (</w:t>
      </w:r>
      <w:r>
        <w:rPr>
          <w:rFonts w:asciiTheme="majorHAnsi" w:eastAsia="Calibri" w:hAnsiTheme="majorHAnsi" w:cstheme="majorHAnsi"/>
          <w:color w:val="000000"/>
        </w:rPr>
        <w:t>February 2020</w:t>
      </w:r>
      <w:r w:rsidRPr="009D0724">
        <w:rPr>
          <w:rFonts w:asciiTheme="majorHAnsi" w:eastAsia="Calibri" w:hAnsiTheme="majorHAnsi" w:cstheme="majorHAnsi"/>
          <w:color w:val="000000"/>
        </w:rPr>
        <w:t>).</w:t>
      </w:r>
    </w:p>
  </w:endnote>
  <w:endnote w:id="37">
    <w:p w14:paraId="71CC3DB4"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Ministry of Gender Equality and Family Welfare. </w:t>
      </w:r>
      <w:hyperlink r:id="rId29">
        <w:r w:rsidRPr="00FB7A92">
          <w:rPr>
            <w:rFonts w:asciiTheme="majorHAnsi" w:eastAsia="Calibri" w:hAnsiTheme="majorHAnsi" w:cstheme="majorHAnsi"/>
            <w:i/>
            <w:iCs/>
            <w:color w:val="0000FF"/>
            <w:sz w:val="20"/>
            <w:szCs w:val="20"/>
            <w:u w:val="single"/>
          </w:rPr>
          <w:t>Child Development Unit</w:t>
        </w:r>
      </w:hyperlink>
      <w:r w:rsidRPr="00FB7A92">
        <w:rPr>
          <w:rFonts w:asciiTheme="majorHAnsi" w:eastAsia="Calibri" w:hAnsiTheme="majorHAnsi" w:cstheme="majorHAnsi"/>
          <w:i/>
          <w:iCs/>
          <w:color w:val="000000"/>
          <w:sz w:val="20"/>
          <w:szCs w:val="20"/>
        </w:rPr>
        <w:t>.</w:t>
      </w:r>
      <w:r w:rsidRPr="009D0724">
        <w:rPr>
          <w:rFonts w:asciiTheme="majorHAnsi" w:eastAsia="Calibri" w:hAnsiTheme="majorHAnsi" w:cstheme="majorHAnsi"/>
          <w:color w:val="000000"/>
          <w:sz w:val="20"/>
          <w:szCs w:val="20"/>
        </w:rPr>
        <w:t xml:space="preserve">  </w:t>
      </w:r>
    </w:p>
  </w:endnote>
  <w:endnote w:id="38">
    <w:p w14:paraId="436803CD" w14:textId="200F2B01"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U.S Department of Labo</w:t>
      </w:r>
      <w:r>
        <w:rPr>
          <w:rFonts w:asciiTheme="majorHAnsi" w:eastAsia="Calibri" w:hAnsiTheme="majorHAnsi" w:cstheme="majorHAnsi"/>
          <w:color w:val="000000"/>
          <w:sz w:val="20"/>
          <w:szCs w:val="20"/>
        </w:rPr>
        <w:t>u</w:t>
      </w:r>
      <w:r w:rsidRPr="009D0724">
        <w:rPr>
          <w:rFonts w:asciiTheme="majorHAnsi" w:eastAsia="Calibri" w:hAnsiTheme="majorHAnsi" w:cstheme="majorHAnsi"/>
          <w:color w:val="000000"/>
          <w:sz w:val="20"/>
          <w:szCs w:val="20"/>
        </w:rPr>
        <w:t>r. (2019). “</w:t>
      </w:r>
      <w:hyperlink r:id="rId30">
        <w:r w:rsidRPr="00FB7A92">
          <w:rPr>
            <w:rFonts w:asciiTheme="majorHAnsi" w:eastAsia="Calibri" w:hAnsiTheme="majorHAnsi" w:cstheme="majorHAnsi"/>
            <w:i/>
            <w:iCs/>
            <w:color w:val="0000FF"/>
            <w:sz w:val="20"/>
            <w:szCs w:val="20"/>
            <w:u w:val="single"/>
          </w:rPr>
          <w:t xml:space="preserve">2018 Findings on the Worst Forms of Child </w:t>
        </w:r>
        <w:r w:rsidRPr="00B321D3">
          <w:rPr>
            <w:rFonts w:asciiTheme="majorHAnsi" w:eastAsia="Calibri" w:hAnsiTheme="majorHAnsi" w:cstheme="majorHAnsi"/>
            <w:i/>
            <w:iCs/>
            <w:color w:val="0000FF"/>
            <w:sz w:val="20"/>
            <w:szCs w:val="20"/>
            <w:u w:val="single"/>
          </w:rPr>
          <w:t>Labour</w:t>
        </w:r>
        <w:r w:rsidRPr="00FB7A92">
          <w:rPr>
            <w:rFonts w:asciiTheme="majorHAnsi" w:eastAsia="Calibri" w:hAnsiTheme="majorHAnsi" w:cstheme="majorHAnsi"/>
            <w:i/>
            <w:iCs/>
            <w:color w:val="0000FF"/>
            <w:sz w:val="20"/>
            <w:szCs w:val="20"/>
            <w:u w:val="single"/>
          </w:rPr>
          <w:t xml:space="preserve"> – Mauritius</w:t>
        </w:r>
      </w:hyperlink>
      <w:r w:rsidRPr="00FB7A92">
        <w:rPr>
          <w:rFonts w:asciiTheme="majorHAnsi" w:eastAsia="Calibri" w:hAnsiTheme="majorHAnsi" w:cstheme="majorHAnsi"/>
          <w:i/>
          <w:iCs/>
          <w:color w:val="000000"/>
          <w:sz w:val="20"/>
          <w:szCs w:val="20"/>
        </w:rPr>
        <w:t>”.</w:t>
      </w:r>
    </w:p>
  </w:endnote>
  <w:endnote w:id="39">
    <w:p w14:paraId="76C9E8CA"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Republic of Mauritius. (2016). </w:t>
      </w:r>
      <w:r w:rsidRPr="009D0724">
        <w:rPr>
          <w:rFonts w:asciiTheme="majorHAnsi" w:eastAsia="Calibri" w:hAnsiTheme="majorHAnsi" w:cstheme="majorHAnsi"/>
          <w:i/>
          <w:color w:val="000000"/>
          <w:sz w:val="20"/>
          <w:szCs w:val="20"/>
        </w:rPr>
        <w:t>“</w:t>
      </w:r>
      <w:hyperlink r:id="rId31">
        <w:r w:rsidRPr="009D0724">
          <w:rPr>
            <w:rFonts w:asciiTheme="majorHAnsi" w:eastAsia="Calibri" w:hAnsiTheme="majorHAnsi" w:cstheme="majorHAnsi"/>
            <w:i/>
            <w:color w:val="0000FF"/>
            <w:sz w:val="20"/>
            <w:szCs w:val="20"/>
            <w:u w:val="single"/>
          </w:rPr>
          <w:t>PM: Mauritius has solid reputation for protection of Human Rights</w:t>
        </w:r>
      </w:hyperlink>
      <w:r w:rsidRPr="009D0724">
        <w:rPr>
          <w:rFonts w:asciiTheme="majorHAnsi" w:eastAsia="Calibri" w:hAnsiTheme="majorHAnsi" w:cstheme="majorHAnsi"/>
          <w:i/>
          <w:color w:val="000000"/>
          <w:sz w:val="20"/>
          <w:szCs w:val="20"/>
        </w:rPr>
        <w:t xml:space="preserve">”. </w:t>
      </w:r>
      <w:r w:rsidRPr="009D0724">
        <w:rPr>
          <w:rFonts w:asciiTheme="majorHAnsi" w:eastAsia="Calibri" w:hAnsiTheme="majorHAnsi" w:cstheme="majorHAnsi"/>
          <w:color w:val="000000"/>
          <w:sz w:val="20"/>
          <w:szCs w:val="20"/>
        </w:rPr>
        <w:t>See also: Government of Mauritius. (2016).</w:t>
      </w:r>
      <w:r w:rsidRPr="009D0724">
        <w:rPr>
          <w:rFonts w:asciiTheme="majorHAnsi" w:eastAsia="Calibri" w:hAnsiTheme="majorHAnsi" w:cstheme="majorHAnsi"/>
          <w:color w:val="126A41"/>
          <w:sz w:val="20"/>
          <w:szCs w:val="20"/>
        </w:rPr>
        <w:t xml:space="preserve"> </w:t>
      </w:r>
      <w:hyperlink r:id="rId32">
        <w:r w:rsidRPr="009D0724">
          <w:rPr>
            <w:rFonts w:asciiTheme="majorHAnsi" w:eastAsia="Calibri" w:hAnsiTheme="majorHAnsi" w:cstheme="majorHAnsi"/>
            <w:i/>
            <w:color w:val="0000FF"/>
            <w:sz w:val="20"/>
            <w:szCs w:val="20"/>
            <w:u w:val="single"/>
          </w:rPr>
          <w:t>Sixth National Assembly- Parliamentary Debates</w:t>
        </w:r>
      </w:hyperlink>
      <w:r w:rsidRPr="009D0724">
        <w:rPr>
          <w:rFonts w:asciiTheme="majorHAnsi" w:eastAsia="Calibri" w:hAnsiTheme="majorHAnsi" w:cstheme="majorHAnsi"/>
          <w:i/>
          <w:color w:val="126A41"/>
          <w:sz w:val="20"/>
          <w:szCs w:val="20"/>
        </w:rPr>
        <w:t xml:space="preserve">. </w:t>
      </w:r>
      <w:r w:rsidRPr="009D0724">
        <w:rPr>
          <w:rFonts w:asciiTheme="majorHAnsi" w:eastAsia="Calibri" w:hAnsiTheme="majorHAnsi" w:cstheme="majorHAnsi"/>
          <w:color w:val="126A41"/>
          <w:sz w:val="20"/>
          <w:szCs w:val="20"/>
        </w:rPr>
        <w:t xml:space="preserve">24. </w:t>
      </w:r>
    </w:p>
  </w:endnote>
  <w:endnote w:id="40">
    <w:p w14:paraId="3AF47C0D"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ECPAT International. (2019). </w:t>
      </w:r>
      <w:hyperlink r:id="rId33">
        <w:r w:rsidRPr="009D0724">
          <w:rPr>
            <w:rFonts w:asciiTheme="majorHAnsi" w:eastAsia="Calibri" w:hAnsiTheme="majorHAnsi" w:cstheme="majorHAnsi"/>
            <w:i/>
            <w:color w:val="0000FF"/>
            <w:sz w:val="20"/>
            <w:szCs w:val="20"/>
            <w:u w:val="single"/>
          </w:rPr>
          <w:t>ECPAT Country Overview – A report on the scale, scope and context of the sexual exploitation of children – Mauritius</w:t>
        </w:r>
      </w:hyperlink>
      <w:r w:rsidRPr="009D0724">
        <w:rPr>
          <w:rFonts w:asciiTheme="majorHAnsi" w:eastAsia="Calibri" w:hAnsiTheme="majorHAnsi" w:cstheme="majorHAnsi"/>
          <w:color w:val="000000"/>
          <w:sz w:val="20"/>
          <w:szCs w:val="20"/>
        </w:rPr>
        <w:t>. 23.</w:t>
      </w:r>
    </w:p>
  </w:endnote>
  <w:endnote w:id="41">
    <w:p w14:paraId="5047E380"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Ombudsperson for Children. (2018). “</w:t>
      </w:r>
      <w:hyperlink r:id="rId34">
        <w:r w:rsidRPr="009D0724">
          <w:rPr>
            <w:rFonts w:asciiTheme="majorHAnsi" w:eastAsia="Calibri" w:hAnsiTheme="majorHAnsi" w:cstheme="majorHAnsi"/>
            <w:i/>
            <w:color w:val="0000FF"/>
            <w:sz w:val="20"/>
            <w:szCs w:val="20"/>
            <w:u w:val="single"/>
          </w:rPr>
          <w:t>Annual Report 2017-2018 – Making rights a reality for every child of the Republic of Mauritius</w:t>
        </w:r>
      </w:hyperlink>
      <w:r w:rsidRPr="009D0724">
        <w:rPr>
          <w:rFonts w:asciiTheme="majorHAnsi" w:eastAsia="Calibri" w:hAnsiTheme="majorHAnsi" w:cstheme="majorHAnsi"/>
          <w:color w:val="000000"/>
          <w:sz w:val="20"/>
          <w:szCs w:val="20"/>
        </w:rPr>
        <w:t>”. 261.</w:t>
      </w:r>
    </w:p>
  </w:endnote>
  <w:endnote w:id="42">
    <w:p w14:paraId="70EF8B1A"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w:t>
      </w:r>
      <w:r w:rsidRPr="009D0724">
        <w:rPr>
          <w:rFonts w:asciiTheme="majorHAnsi" w:eastAsia="Calibri" w:hAnsiTheme="majorHAnsi" w:cstheme="majorHAnsi"/>
          <w:i/>
          <w:color w:val="000000"/>
          <w:sz w:val="20"/>
          <w:szCs w:val="20"/>
        </w:rPr>
        <w:t>Ibid.</w:t>
      </w:r>
      <w:r w:rsidRPr="009D0724">
        <w:rPr>
          <w:rFonts w:asciiTheme="majorHAnsi" w:eastAsia="Calibri" w:hAnsiTheme="majorHAnsi" w:cstheme="majorHAnsi"/>
          <w:color w:val="000000"/>
          <w:sz w:val="20"/>
          <w:szCs w:val="20"/>
        </w:rPr>
        <w:t>, 262.</w:t>
      </w:r>
    </w:p>
  </w:endnote>
  <w:endnote w:id="43">
    <w:p w14:paraId="28FAB418"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Ombudsperson for Children. (2018). “</w:t>
      </w:r>
      <w:hyperlink r:id="rId35">
        <w:r w:rsidRPr="00B321D3">
          <w:rPr>
            <w:rFonts w:asciiTheme="majorHAnsi" w:eastAsia="Calibri" w:hAnsiTheme="majorHAnsi" w:cstheme="majorHAnsi"/>
            <w:i/>
            <w:color w:val="0000FF"/>
            <w:sz w:val="20"/>
            <w:szCs w:val="20"/>
            <w:u w:val="single"/>
          </w:rPr>
          <w:t>Annual Report 2017-2018 – Making rights a reality for every child of the Republic of Mauritius</w:t>
        </w:r>
      </w:hyperlink>
      <w:r w:rsidRPr="00B321D3">
        <w:rPr>
          <w:rFonts w:asciiTheme="majorHAnsi" w:eastAsia="Calibri" w:hAnsiTheme="majorHAnsi" w:cstheme="majorHAnsi"/>
          <w:color w:val="000000"/>
          <w:sz w:val="20"/>
          <w:szCs w:val="20"/>
        </w:rPr>
        <w:t>”. 257.</w:t>
      </w:r>
    </w:p>
  </w:endnote>
  <w:endnote w:id="44">
    <w:p w14:paraId="34DBC001"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U.S. Department of State. (2019). </w:t>
      </w:r>
      <w:hyperlink r:id="rId36">
        <w:r w:rsidRPr="00B321D3">
          <w:rPr>
            <w:rFonts w:asciiTheme="majorHAnsi" w:eastAsia="Calibri" w:hAnsiTheme="majorHAnsi" w:cstheme="majorHAnsi"/>
            <w:i/>
            <w:color w:val="0000FF"/>
            <w:sz w:val="20"/>
            <w:szCs w:val="20"/>
            <w:u w:val="single"/>
          </w:rPr>
          <w:t>Trafficking in Persons Report</w:t>
        </w:r>
      </w:hyperlink>
      <w:r w:rsidRPr="00B321D3">
        <w:rPr>
          <w:rFonts w:asciiTheme="majorHAnsi" w:eastAsia="Calibri" w:hAnsiTheme="majorHAnsi" w:cstheme="majorHAnsi"/>
          <w:color w:val="000000"/>
          <w:sz w:val="20"/>
          <w:szCs w:val="20"/>
        </w:rPr>
        <w:t>. 323.</w:t>
      </w:r>
    </w:p>
  </w:endnote>
  <w:endnote w:id="45">
    <w:p w14:paraId="5ABE150F"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r w:rsidRPr="00B321D3">
        <w:rPr>
          <w:rFonts w:asciiTheme="majorHAnsi" w:eastAsia="Calibri" w:hAnsiTheme="majorHAnsi" w:cstheme="majorHAnsi"/>
          <w:i/>
          <w:color w:val="000000"/>
          <w:sz w:val="20"/>
          <w:szCs w:val="20"/>
        </w:rPr>
        <w:t>Ibid.</w:t>
      </w:r>
      <w:r w:rsidRPr="00B321D3">
        <w:rPr>
          <w:rFonts w:asciiTheme="majorHAnsi" w:eastAsia="Calibri" w:hAnsiTheme="majorHAnsi" w:cstheme="majorHAnsi"/>
          <w:color w:val="000000"/>
          <w:sz w:val="20"/>
          <w:szCs w:val="20"/>
        </w:rPr>
        <w:t xml:space="preserve">, 322. </w:t>
      </w:r>
    </w:p>
  </w:endnote>
  <w:endnote w:id="46">
    <w:p w14:paraId="7164C860"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Republic of Mauritius. (2018). </w:t>
      </w:r>
      <w:r w:rsidRPr="00B321D3">
        <w:rPr>
          <w:rFonts w:asciiTheme="majorHAnsi" w:eastAsia="Calibri" w:hAnsiTheme="majorHAnsi" w:cstheme="majorHAnsi"/>
          <w:i/>
          <w:color w:val="000000"/>
          <w:sz w:val="20"/>
          <w:szCs w:val="20"/>
        </w:rPr>
        <w:t>“</w:t>
      </w:r>
      <w:hyperlink r:id="rId37">
        <w:r w:rsidRPr="00B321D3">
          <w:rPr>
            <w:rFonts w:asciiTheme="majorHAnsi" w:eastAsia="Calibri" w:hAnsiTheme="majorHAnsi" w:cstheme="majorHAnsi"/>
            <w:i/>
            <w:color w:val="0000FF"/>
            <w:sz w:val="20"/>
            <w:szCs w:val="20"/>
            <w:u w:val="single"/>
          </w:rPr>
          <w:t>Safer Internet Day 2018 promotes more responsible use of Internet</w:t>
        </w:r>
      </w:hyperlink>
      <w:r w:rsidRPr="00B321D3">
        <w:rPr>
          <w:rFonts w:asciiTheme="majorHAnsi" w:eastAsia="Calibri" w:hAnsiTheme="majorHAnsi" w:cstheme="majorHAnsi"/>
          <w:i/>
          <w:color w:val="000000"/>
          <w:sz w:val="20"/>
          <w:szCs w:val="20"/>
        </w:rPr>
        <w:t>”</w:t>
      </w:r>
      <w:r w:rsidRPr="00B321D3">
        <w:rPr>
          <w:rFonts w:asciiTheme="majorHAnsi" w:eastAsia="Calibri" w:hAnsiTheme="majorHAnsi" w:cstheme="majorHAnsi"/>
          <w:color w:val="000000"/>
          <w:sz w:val="20"/>
          <w:szCs w:val="20"/>
        </w:rPr>
        <w:t xml:space="preserve">. </w:t>
      </w:r>
    </w:p>
  </w:endnote>
  <w:endnote w:id="47">
    <w:p w14:paraId="4267F08E" w14:textId="45DB0EDA"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U.S Department of Labour. (2019). “</w:t>
      </w:r>
      <w:hyperlink r:id="rId38">
        <w:r w:rsidRPr="00FB7A92">
          <w:rPr>
            <w:rFonts w:asciiTheme="majorHAnsi" w:eastAsia="Calibri" w:hAnsiTheme="majorHAnsi" w:cstheme="majorHAnsi"/>
            <w:i/>
            <w:iCs/>
            <w:color w:val="0000FF"/>
            <w:sz w:val="20"/>
            <w:szCs w:val="20"/>
            <w:u w:val="single"/>
          </w:rPr>
          <w:t>2018 Findings on the Worst Forms of Child Labo</w:t>
        </w:r>
        <w:r w:rsidRPr="00B321D3">
          <w:rPr>
            <w:rFonts w:asciiTheme="majorHAnsi" w:eastAsia="Calibri" w:hAnsiTheme="majorHAnsi" w:cstheme="majorHAnsi"/>
            <w:i/>
            <w:iCs/>
            <w:color w:val="0000FF"/>
            <w:sz w:val="20"/>
            <w:szCs w:val="20"/>
            <w:u w:val="single"/>
          </w:rPr>
          <w:t>u</w:t>
        </w:r>
        <w:r w:rsidRPr="00FB7A92">
          <w:rPr>
            <w:rFonts w:asciiTheme="majorHAnsi" w:eastAsia="Calibri" w:hAnsiTheme="majorHAnsi" w:cstheme="majorHAnsi"/>
            <w:i/>
            <w:iCs/>
            <w:color w:val="0000FF"/>
            <w:sz w:val="20"/>
            <w:szCs w:val="20"/>
            <w:u w:val="single"/>
          </w:rPr>
          <w:t>r – Mauritius</w:t>
        </w:r>
      </w:hyperlink>
      <w:r w:rsidRPr="00FB7A92">
        <w:rPr>
          <w:rFonts w:asciiTheme="majorHAnsi" w:eastAsia="Calibri" w:hAnsiTheme="majorHAnsi" w:cstheme="majorHAnsi"/>
          <w:i/>
          <w:iCs/>
          <w:color w:val="000000"/>
          <w:sz w:val="20"/>
          <w:szCs w:val="20"/>
        </w:rPr>
        <w:t>”.</w:t>
      </w:r>
    </w:p>
  </w:endnote>
  <w:endnote w:id="48">
    <w:p w14:paraId="6C8D1B06" w14:textId="24699A47" w:rsidR="00655173" w:rsidRPr="00B321D3" w:rsidRDefault="00655173">
      <w:pPr>
        <w:pStyle w:val="EndnoteText"/>
      </w:pPr>
      <w:r w:rsidRPr="00B321D3">
        <w:rPr>
          <w:rStyle w:val="EndnoteReference"/>
        </w:rPr>
        <w:endnoteRef/>
      </w:r>
      <w:r w:rsidRPr="00B321D3">
        <w:t xml:space="preserve"> </w:t>
      </w:r>
      <w:r w:rsidRPr="00B321D3">
        <w:rPr>
          <w:rFonts w:asciiTheme="majorHAnsi" w:eastAsia="Calibri" w:hAnsiTheme="majorHAnsi" w:cstheme="majorHAnsi"/>
          <w:color w:val="000000"/>
        </w:rPr>
        <w:t>Personal communication with Halley Movement (February 2020).</w:t>
      </w:r>
    </w:p>
  </w:endnote>
  <w:endnote w:id="49">
    <w:p w14:paraId="28843DCC"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Committee on the Rights of the Child. (2013). </w:t>
      </w:r>
      <w:hyperlink r:id="rId39">
        <w:r w:rsidRPr="00B321D3">
          <w:rPr>
            <w:rFonts w:asciiTheme="majorHAnsi" w:eastAsia="Calibri" w:hAnsiTheme="majorHAnsi" w:cstheme="majorHAnsi"/>
            <w:i/>
            <w:color w:val="0000FF"/>
            <w:sz w:val="20"/>
            <w:szCs w:val="20"/>
            <w:u w:val="single"/>
          </w:rPr>
          <w:t>The Combined 3rd and 4th Periodic Report to the UN Committee on the Rights of the Child by the Government of Mauritius</w:t>
        </w:r>
      </w:hyperlink>
      <w:r w:rsidRPr="00B321D3">
        <w:rPr>
          <w:rFonts w:asciiTheme="majorHAnsi" w:eastAsia="Calibri" w:hAnsiTheme="majorHAnsi" w:cstheme="majorHAnsi"/>
          <w:color w:val="000000"/>
          <w:sz w:val="20"/>
          <w:szCs w:val="20"/>
        </w:rPr>
        <w:t>. Para. 222.</w:t>
      </w:r>
    </w:p>
  </w:endnote>
  <w:endnote w:id="50">
    <w:p w14:paraId="52B3BB19" w14:textId="77777777" w:rsidR="00655173" w:rsidRPr="00B321D3" w:rsidRDefault="00655173" w:rsidP="006D67CD">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40">
        <w:r w:rsidRPr="00B321D3">
          <w:rPr>
            <w:rFonts w:asciiTheme="majorHAnsi" w:eastAsia="Calibri" w:hAnsiTheme="majorHAnsi" w:cstheme="majorHAnsi"/>
            <w:i/>
            <w:color w:val="0000FF"/>
            <w:sz w:val="20"/>
            <w:szCs w:val="20"/>
            <w:u w:val="single"/>
          </w:rPr>
          <w:t>Child Protection Act</w:t>
        </w:r>
      </w:hyperlink>
      <w:r w:rsidRPr="00B321D3">
        <w:rPr>
          <w:rFonts w:asciiTheme="majorHAnsi" w:eastAsia="Calibri" w:hAnsiTheme="majorHAnsi" w:cstheme="majorHAnsi"/>
          <w:color w:val="000000"/>
          <w:sz w:val="20"/>
          <w:szCs w:val="20"/>
        </w:rPr>
        <w:t xml:space="preserve"> (1994), Section 14(1).</w:t>
      </w:r>
    </w:p>
  </w:endnote>
  <w:endnote w:id="51">
    <w:p w14:paraId="541D994E" w14:textId="77777777" w:rsidR="00655173" w:rsidRPr="00B321D3" w:rsidRDefault="00655173" w:rsidP="006D67CD">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41">
        <w:r w:rsidRPr="00B321D3">
          <w:rPr>
            <w:rFonts w:asciiTheme="majorHAnsi" w:eastAsia="Calibri" w:hAnsiTheme="majorHAnsi" w:cstheme="majorHAnsi"/>
            <w:i/>
            <w:color w:val="0000FF"/>
            <w:sz w:val="20"/>
            <w:szCs w:val="20"/>
            <w:u w:val="single"/>
          </w:rPr>
          <w:t>Child Protection Act</w:t>
        </w:r>
      </w:hyperlink>
      <w:r w:rsidRPr="00B321D3">
        <w:rPr>
          <w:rFonts w:asciiTheme="majorHAnsi" w:eastAsia="Calibri" w:hAnsiTheme="majorHAnsi" w:cstheme="majorHAnsi"/>
          <w:color w:val="000000"/>
          <w:sz w:val="20"/>
          <w:szCs w:val="20"/>
        </w:rPr>
        <w:t xml:space="preserve"> (1994), Section 14(2).</w:t>
      </w:r>
    </w:p>
  </w:endnote>
  <w:endnote w:id="52">
    <w:p w14:paraId="0E8F1C68" w14:textId="77777777" w:rsidR="00655173" w:rsidRPr="00B321D3" w:rsidRDefault="00655173" w:rsidP="006D67CD">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42">
        <w:r w:rsidRPr="00B321D3">
          <w:rPr>
            <w:rFonts w:asciiTheme="majorHAnsi" w:eastAsia="Calibri" w:hAnsiTheme="majorHAnsi" w:cstheme="majorHAnsi"/>
            <w:i/>
            <w:color w:val="0000FF"/>
            <w:sz w:val="20"/>
            <w:szCs w:val="20"/>
            <w:u w:val="single"/>
          </w:rPr>
          <w:t>Child Protection Act</w:t>
        </w:r>
      </w:hyperlink>
      <w:r w:rsidRPr="00B321D3">
        <w:rPr>
          <w:rFonts w:asciiTheme="majorHAnsi" w:eastAsia="Calibri" w:hAnsiTheme="majorHAnsi" w:cstheme="majorHAnsi"/>
          <w:color w:val="000000"/>
          <w:sz w:val="20"/>
          <w:szCs w:val="20"/>
        </w:rPr>
        <w:t xml:space="preserve"> (1994), Section 18(5)(b).</w:t>
      </w:r>
    </w:p>
  </w:endnote>
  <w:endnote w:id="53">
    <w:p w14:paraId="234177CE" w14:textId="77777777" w:rsidR="00655173" w:rsidRPr="009D0724" w:rsidRDefault="00655173" w:rsidP="006D67CD">
      <w:pPr>
        <w:pBdr>
          <w:top w:val="nil"/>
          <w:left w:val="nil"/>
          <w:bottom w:val="nil"/>
          <w:right w:val="nil"/>
          <w:between w:val="nil"/>
        </w:pBdr>
        <w:jc w:val="both"/>
        <w:rPr>
          <w:rFonts w:asciiTheme="majorHAnsi" w:eastAsia="Calibri" w:hAnsiTheme="majorHAnsi" w:cstheme="majorHAnsi"/>
          <w:color w:val="000000"/>
          <w:sz w:val="20"/>
          <w:szCs w:val="20"/>
          <w:lang w:val="fr-FR"/>
        </w:rPr>
      </w:pPr>
      <w:r w:rsidRPr="00B321D3">
        <w:rPr>
          <w:rFonts w:asciiTheme="majorHAnsi" w:hAnsiTheme="majorHAnsi" w:cstheme="majorHAnsi"/>
          <w:sz w:val="20"/>
          <w:szCs w:val="20"/>
          <w:vertAlign w:val="superscript"/>
        </w:rPr>
        <w:endnoteRef/>
      </w:r>
      <w:r w:rsidRPr="00FB7A92">
        <w:rPr>
          <w:rFonts w:asciiTheme="majorHAnsi" w:eastAsia="Calibri" w:hAnsiTheme="majorHAnsi" w:cstheme="majorHAnsi"/>
          <w:color w:val="000000"/>
          <w:sz w:val="20"/>
          <w:szCs w:val="20"/>
        </w:rPr>
        <w:t xml:space="preserve"> </w:t>
      </w:r>
      <w:hyperlink r:id="rId43">
        <w:r w:rsidRPr="00FB7A92">
          <w:rPr>
            <w:rFonts w:asciiTheme="majorHAnsi" w:eastAsia="Calibri" w:hAnsiTheme="majorHAnsi" w:cstheme="majorHAnsi"/>
            <w:i/>
            <w:color w:val="0000FF"/>
            <w:sz w:val="20"/>
            <w:szCs w:val="20"/>
            <w:u w:val="single"/>
          </w:rPr>
          <w:t>Criminal Code</w:t>
        </w:r>
      </w:hyperlink>
      <w:r w:rsidRPr="00FB7A92">
        <w:rPr>
          <w:rFonts w:asciiTheme="majorHAnsi" w:eastAsia="Calibri" w:hAnsiTheme="majorHAnsi" w:cstheme="majorHAnsi"/>
          <w:color w:val="000000"/>
          <w:sz w:val="20"/>
          <w:szCs w:val="20"/>
        </w:rPr>
        <w:t xml:space="preserve"> (1838), Section 253(2)(a).</w:t>
      </w:r>
    </w:p>
  </w:endnote>
  <w:endnote w:id="54">
    <w:p w14:paraId="219DF241" w14:textId="77777777" w:rsidR="00655173" w:rsidRPr="00FB7A92" w:rsidRDefault="00655173" w:rsidP="006D67CD">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FB7A92">
        <w:rPr>
          <w:rFonts w:asciiTheme="majorHAnsi" w:eastAsia="Calibri" w:hAnsiTheme="majorHAnsi" w:cstheme="majorHAnsi"/>
          <w:color w:val="000000"/>
          <w:sz w:val="20"/>
          <w:szCs w:val="20"/>
        </w:rPr>
        <w:t xml:space="preserve"> </w:t>
      </w:r>
      <w:hyperlink r:id="rId44">
        <w:r w:rsidRPr="00FB7A92">
          <w:rPr>
            <w:rFonts w:asciiTheme="majorHAnsi" w:eastAsia="Calibri" w:hAnsiTheme="majorHAnsi" w:cstheme="majorHAnsi"/>
            <w:i/>
            <w:color w:val="0000FF"/>
            <w:sz w:val="20"/>
            <w:szCs w:val="20"/>
            <w:u w:val="single"/>
          </w:rPr>
          <w:t>Criminal Code</w:t>
        </w:r>
      </w:hyperlink>
      <w:r w:rsidRPr="00FB7A92">
        <w:rPr>
          <w:rFonts w:asciiTheme="majorHAnsi" w:eastAsia="Calibri" w:hAnsiTheme="majorHAnsi" w:cstheme="majorHAnsi"/>
          <w:color w:val="000000"/>
          <w:sz w:val="20"/>
          <w:szCs w:val="20"/>
        </w:rPr>
        <w:t xml:space="preserve"> (1838), Section 249.</w:t>
      </w:r>
    </w:p>
  </w:endnote>
  <w:endnote w:id="55">
    <w:p w14:paraId="436367FA" w14:textId="77777777" w:rsidR="00655173" w:rsidRPr="00FB7A92" w:rsidRDefault="00655173" w:rsidP="006D67CD">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FB7A92">
        <w:rPr>
          <w:rFonts w:asciiTheme="majorHAnsi" w:eastAsia="Calibri" w:hAnsiTheme="majorHAnsi" w:cstheme="majorHAnsi"/>
          <w:color w:val="000000"/>
          <w:sz w:val="20"/>
          <w:szCs w:val="20"/>
        </w:rPr>
        <w:t xml:space="preserve"> </w:t>
      </w:r>
      <w:hyperlink r:id="rId45">
        <w:r w:rsidRPr="00FB7A92">
          <w:rPr>
            <w:rFonts w:asciiTheme="majorHAnsi" w:eastAsia="Calibri" w:hAnsiTheme="majorHAnsi" w:cstheme="majorHAnsi"/>
            <w:i/>
            <w:color w:val="0000FF"/>
            <w:sz w:val="20"/>
            <w:szCs w:val="20"/>
            <w:u w:val="single"/>
          </w:rPr>
          <w:t>Criminal Code</w:t>
        </w:r>
      </w:hyperlink>
      <w:r w:rsidRPr="00FB7A92">
        <w:rPr>
          <w:rFonts w:asciiTheme="majorHAnsi" w:eastAsia="Calibri" w:hAnsiTheme="majorHAnsi" w:cstheme="majorHAnsi"/>
          <w:color w:val="000000"/>
          <w:sz w:val="20"/>
          <w:szCs w:val="20"/>
        </w:rPr>
        <w:t xml:space="preserve"> (1838), Section 249(3).</w:t>
      </w:r>
    </w:p>
  </w:endnote>
  <w:endnote w:id="56">
    <w:p w14:paraId="5798BCC8" w14:textId="77777777" w:rsidR="00655173" w:rsidRPr="00FB7A92" w:rsidRDefault="00655173" w:rsidP="006D67CD">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FB7A92">
        <w:rPr>
          <w:rFonts w:asciiTheme="majorHAnsi" w:eastAsia="Calibri" w:hAnsiTheme="majorHAnsi" w:cstheme="majorHAnsi"/>
          <w:color w:val="000000"/>
          <w:sz w:val="20"/>
          <w:szCs w:val="20"/>
        </w:rPr>
        <w:t xml:space="preserve"> </w:t>
      </w:r>
      <w:hyperlink r:id="rId46">
        <w:r w:rsidRPr="00FB7A92">
          <w:rPr>
            <w:rFonts w:asciiTheme="majorHAnsi" w:eastAsia="Calibri" w:hAnsiTheme="majorHAnsi" w:cstheme="majorHAnsi"/>
            <w:i/>
            <w:color w:val="0000FF"/>
            <w:sz w:val="20"/>
            <w:szCs w:val="20"/>
            <w:u w:val="single"/>
          </w:rPr>
          <w:t>Criminal Code</w:t>
        </w:r>
      </w:hyperlink>
      <w:r w:rsidRPr="00FB7A92">
        <w:rPr>
          <w:rFonts w:asciiTheme="majorHAnsi" w:eastAsia="Calibri" w:hAnsiTheme="majorHAnsi" w:cstheme="majorHAnsi"/>
          <w:color w:val="000000"/>
          <w:sz w:val="20"/>
          <w:szCs w:val="20"/>
        </w:rPr>
        <w:t xml:space="preserve"> (1838), Section 249(4).</w:t>
      </w:r>
    </w:p>
  </w:endnote>
  <w:endnote w:id="57">
    <w:p w14:paraId="198F3221" w14:textId="77777777" w:rsidR="00655173" w:rsidRPr="00FB7A92" w:rsidRDefault="00655173" w:rsidP="006D67CD">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FB7A92">
        <w:rPr>
          <w:rFonts w:asciiTheme="majorHAnsi" w:eastAsia="Calibri" w:hAnsiTheme="majorHAnsi" w:cstheme="majorHAnsi"/>
          <w:color w:val="000000"/>
          <w:sz w:val="20"/>
          <w:szCs w:val="20"/>
        </w:rPr>
        <w:t xml:space="preserve"> </w:t>
      </w:r>
      <w:hyperlink r:id="rId47">
        <w:r w:rsidRPr="00FB7A92">
          <w:rPr>
            <w:rFonts w:asciiTheme="majorHAnsi" w:eastAsia="Calibri" w:hAnsiTheme="majorHAnsi" w:cstheme="majorHAnsi"/>
            <w:i/>
            <w:color w:val="0000FF"/>
            <w:sz w:val="20"/>
            <w:szCs w:val="20"/>
            <w:u w:val="single"/>
          </w:rPr>
          <w:t>Criminal Code</w:t>
        </w:r>
      </w:hyperlink>
      <w:r w:rsidRPr="00FB7A92">
        <w:rPr>
          <w:rFonts w:asciiTheme="majorHAnsi" w:eastAsia="Calibri" w:hAnsiTheme="majorHAnsi" w:cstheme="majorHAnsi"/>
          <w:color w:val="000000"/>
          <w:sz w:val="20"/>
          <w:szCs w:val="20"/>
        </w:rPr>
        <w:t xml:space="preserve"> (1838), Section 249(5).</w:t>
      </w:r>
    </w:p>
  </w:endnote>
  <w:endnote w:id="58">
    <w:p w14:paraId="2582DDED" w14:textId="77777777" w:rsidR="00655173" w:rsidRPr="00FB7A92" w:rsidRDefault="00655173" w:rsidP="006D67CD">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FB7A92">
        <w:rPr>
          <w:rFonts w:asciiTheme="majorHAnsi" w:eastAsia="Calibri" w:hAnsiTheme="majorHAnsi" w:cstheme="majorHAnsi"/>
          <w:color w:val="000000"/>
          <w:sz w:val="20"/>
          <w:szCs w:val="20"/>
        </w:rPr>
        <w:t xml:space="preserve"> </w:t>
      </w:r>
      <w:hyperlink r:id="rId48">
        <w:r w:rsidRPr="00FB7A92">
          <w:rPr>
            <w:rFonts w:asciiTheme="majorHAnsi" w:eastAsia="Calibri" w:hAnsiTheme="majorHAnsi" w:cstheme="majorHAnsi"/>
            <w:i/>
            <w:color w:val="0000FF"/>
            <w:sz w:val="20"/>
            <w:szCs w:val="20"/>
            <w:u w:val="single"/>
          </w:rPr>
          <w:t>Criminal Code</w:t>
        </w:r>
      </w:hyperlink>
      <w:r w:rsidRPr="00FB7A92">
        <w:rPr>
          <w:rFonts w:asciiTheme="majorHAnsi" w:eastAsia="Calibri" w:hAnsiTheme="majorHAnsi" w:cstheme="majorHAnsi"/>
          <w:color w:val="000000"/>
          <w:sz w:val="20"/>
          <w:szCs w:val="20"/>
        </w:rPr>
        <w:t xml:space="preserve"> (1838), Section 249(7).</w:t>
      </w:r>
    </w:p>
  </w:endnote>
  <w:endnote w:id="59">
    <w:p w14:paraId="2888A0F2" w14:textId="77777777" w:rsidR="00655173" w:rsidRPr="00FB7A92" w:rsidRDefault="00655173" w:rsidP="006D67CD">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FB7A92">
        <w:rPr>
          <w:rFonts w:asciiTheme="majorHAnsi" w:eastAsia="Calibri" w:hAnsiTheme="majorHAnsi" w:cstheme="majorHAnsi"/>
          <w:color w:val="000000"/>
          <w:sz w:val="20"/>
          <w:szCs w:val="20"/>
        </w:rPr>
        <w:t xml:space="preserve"> </w:t>
      </w:r>
      <w:hyperlink r:id="rId49">
        <w:r w:rsidRPr="00FB7A92">
          <w:rPr>
            <w:rFonts w:asciiTheme="majorHAnsi" w:eastAsia="Calibri" w:hAnsiTheme="majorHAnsi" w:cstheme="majorHAnsi"/>
            <w:i/>
            <w:color w:val="0000FF"/>
            <w:sz w:val="20"/>
            <w:szCs w:val="20"/>
            <w:u w:val="single"/>
          </w:rPr>
          <w:t>Criminal Code</w:t>
        </w:r>
      </w:hyperlink>
      <w:r w:rsidRPr="00FB7A92">
        <w:rPr>
          <w:rFonts w:asciiTheme="majorHAnsi" w:eastAsia="Calibri" w:hAnsiTheme="majorHAnsi" w:cstheme="majorHAnsi"/>
          <w:color w:val="000000"/>
          <w:sz w:val="20"/>
          <w:szCs w:val="20"/>
        </w:rPr>
        <w:t xml:space="preserve"> (1838), Section 251.</w:t>
      </w:r>
    </w:p>
  </w:endnote>
  <w:endnote w:id="60">
    <w:p w14:paraId="1C932135" w14:textId="77777777" w:rsidR="00655173" w:rsidRPr="00FB7A92" w:rsidRDefault="00655173" w:rsidP="006D67CD">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FB7A92">
        <w:rPr>
          <w:rFonts w:asciiTheme="majorHAnsi" w:eastAsia="Calibri" w:hAnsiTheme="majorHAnsi" w:cstheme="majorHAnsi"/>
          <w:color w:val="000000"/>
          <w:sz w:val="20"/>
          <w:szCs w:val="20"/>
        </w:rPr>
        <w:t xml:space="preserve"> </w:t>
      </w:r>
      <w:hyperlink r:id="rId50">
        <w:r w:rsidRPr="00FB7A92">
          <w:rPr>
            <w:rFonts w:asciiTheme="majorHAnsi" w:eastAsia="Calibri" w:hAnsiTheme="majorHAnsi" w:cstheme="majorHAnsi"/>
            <w:i/>
            <w:color w:val="0000FF"/>
            <w:sz w:val="20"/>
            <w:szCs w:val="20"/>
            <w:u w:val="single"/>
          </w:rPr>
          <w:t>Criminal Code</w:t>
        </w:r>
      </w:hyperlink>
      <w:r w:rsidRPr="00FB7A92">
        <w:rPr>
          <w:rFonts w:asciiTheme="majorHAnsi" w:eastAsia="Calibri" w:hAnsiTheme="majorHAnsi" w:cstheme="majorHAnsi"/>
          <w:color w:val="000000"/>
          <w:sz w:val="20"/>
          <w:szCs w:val="20"/>
        </w:rPr>
        <w:t xml:space="preserve"> (1838), Section 251(2).</w:t>
      </w:r>
    </w:p>
  </w:endnote>
  <w:endnote w:id="61">
    <w:p w14:paraId="38FB788D" w14:textId="77777777" w:rsidR="00655173" w:rsidRPr="00B321D3" w:rsidRDefault="00655173" w:rsidP="006D67CD">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51">
        <w:r w:rsidRPr="00B321D3">
          <w:rPr>
            <w:rFonts w:asciiTheme="majorHAnsi" w:eastAsia="Calibri" w:hAnsiTheme="majorHAnsi" w:cstheme="majorHAnsi"/>
            <w:i/>
            <w:color w:val="0000FF"/>
            <w:sz w:val="20"/>
            <w:szCs w:val="20"/>
            <w:u w:val="single"/>
          </w:rPr>
          <w:t>Child Protection Act</w:t>
        </w:r>
      </w:hyperlink>
      <w:r w:rsidRPr="00B321D3">
        <w:rPr>
          <w:rFonts w:asciiTheme="majorHAnsi" w:eastAsia="Calibri" w:hAnsiTheme="majorHAnsi" w:cstheme="majorHAnsi"/>
          <w:color w:val="000000"/>
          <w:sz w:val="20"/>
          <w:szCs w:val="20"/>
        </w:rPr>
        <w:t xml:space="preserve"> (1994), Section 14(2)(b).</w:t>
      </w:r>
    </w:p>
  </w:endnote>
  <w:endnote w:id="62">
    <w:p w14:paraId="224C9AC8" w14:textId="77777777" w:rsidR="00655173" w:rsidRPr="00B321D3" w:rsidRDefault="00655173" w:rsidP="006D67CD">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52">
        <w:r w:rsidRPr="00B321D3">
          <w:rPr>
            <w:rFonts w:asciiTheme="majorHAnsi" w:eastAsia="Calibri" w:hAnsiTheme="majorHAnsi" w:cstheme="majorHAnsi"/>
            <w:i/>
            <w:color w:val="0000FF"/>
            <w:sz w:val="20"/>
            <w:szCs w:val="20"/>
            <w:u w:val="single"/>
          </w:rPr>
          <w:t>Child Protection Act</w:t>
        </w:r>
      </w:hyperlink>
      <w:r w:rsidRPr="00B321D3">
        <w:rPr>
          <w:rFonts w:asciiTheme="majorHAnsi" w:eastAsia="Calibri" w:hAnsiTheme="majorHAnsi" w:cstheme="majorHAnsi"/>
          <w:color w:val="000000"/>
          <w:sz w:val="20"/>
          <w:szCs w:val="20"/>
        </w:rPr>
        <w:t xml:space="preserve"> (1994), Section 15(1).</w:t>
      </w:r>
    </w:p>
  </w:endnote>
  <w:endnote w:id="63">
    <w:p w14:paraId="6FDAB129" w14:textId="00F19564" w:rsidR="00655173" w:rsidRPr="00B321D3" w:rsidRDefault="00655173" w:rsidP="006D67CD">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53">
        <w:r w:rsidRPr="00B321D3">
          <w:rPr>
            <w:rFonts w:asciiTheme="majorHAnsi" w:eastAsia="Calibri" w:hAnsiTheme="majorHAnsi" w:cstheme="majorHAnsi"/>
            <w:i/>
            <w:color w:val="0000FF"/>
            <w:sz w:val="20"/>
            <w:szCs w:val="20"/>
            <w:u w:val="single"/>
          </w:rPr>
          <w:t>Child Protection Act</w:t>
        </w:r>
      </w:hyperlink>
      <w:r w:rsidRPr="00B321D3">
        <w:rPr>
          <w:rFonts w:asciiTheme="majorHAnsi" w:eastAsia="Calibri" w:hAnsiTheme="majorHAnsi" w:cstheme="majorHAnsi"/>
          <w:color w:val="000000"/>
          <w:sz w:val="20"/>
          <w:szCs w:val="20"/>
        </w:rPr>
        <w:t xml:space="preserve"> (1994), Section 15(2). </w:t>
      </w:r>
    </w:p>
  </w:endnote>
  <w:endnote w:id="64">
    <w:p w14:paraId="33CB6F2D" w14:textId="77777777" w:rsidR="00655173" w:rsidRPr="00FB7A92" w:rsidRDefault="00655173" w:rsidP="006D67CD">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Committee on the Rights of the Child. (2013). </w:t>
      </w:r>
      <w:hyperlink r:id="rId54">
        <w:r w:rsidRPr="00B321D3">
          <w:rPr>
            <w:rFonts w:asciiTheme="majorHAnsi" w:eastAsia="Calibri" w:hAnsiTheme="majorHAnsi" w:cstheme="majorHAnsi"/>
            <w:i/>
            <w:color w:val="0000FF"/>
            <w:sz w:val="20"/>
            <w:szCs w:val="20"/>
            <w:u w:val="single"/>
          </w:rPr>
          <w:t>The Combined 3rd and 4th Periodic Report to the UN Committee on the Rights of the Child by the Government of Mauritius</w:t>
        </w:r>
      </w:hyperlink>
      <w:r w:rsidRPr="00B321D3">
        <w:rPr>
          <w:rFonts w:asciiTheme="majorHAnsi" w:eastAsia="Calibri" w:hAnsiTheme="majorHAnsi" w:cstheme="majorHAnsi"/>
          <w:color w:val="000000"/>
          <w:sz w:val="20"/>
          <w:szCs w:val="20"/>
        </w:rPr>
        <w:t xml:space="preserve">. </w:t>
      </w:r>
      <w:r w:rsidRPr="00FB7A92">
        <w:rPr>
          <w:rFonts w:asciiTheme="majorHAnsi" w:eastAsia="Calibri" w:hAnsiTheme="majorHAnsi" w:cstheme="majorHAnsi"/>
          <w:color w:val="000000"/>
          <w:sz w:val="20"/>
          <w:szCs w:val="20"/>
        </w:rPr>
        <w:t>Para. 342.</w:t>
      </w:r>
    </w:p>
  </w:endnote>
  <w:endnote w:id="65">
    <w:p w14:paraId="74437626"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55">
        <w:r w:rsidRPr="00B321D3">
          <w:rPr>
            <w:rFonts w:asciiTheme="majorHAnsi" w:eastAsia="Calibri" w:hAnsiTheme="majorHAnsi" w:cstheme="majorHAnsi"/>
            <w:i/>
            <w:color w:val="0000FF"/>
            <w:sz w:val="20"/>
            <w:szCs w:val="20"/>
            <w:u w:val="single"/>
          </w:rPr>
          <w:t>Combating of Trafficking in Persons Act</w:t>
        </w:r>
      </w:hyperlink>
      <w:r w:rsidRPr="00B321D3">
        <w:rPr>
          <w:rFonts w:asciiTheme="majorHAnsi" w:eastAsia="Calibri" w:hAnsiTheme="majorHAnsi" w:cstheme="majorHAnsi"/>
          <w:color w:val="000000"/>
          <w:sz w:val="20"/>
          <w:szCs w:val="20"/>
        </w:rPr>
        <w:t xml:space="preserve"> (2009), Section 2.</w:t>
      </w:r>
    </w:p>
  </w:endnote>
  <w:endnote w:id="66">
    <w:p w14:paraId="5B18951A"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56">
        <w:r w:rsidRPr="00B321D3">
          <w:rPr>
            <w:rFonts w:asciiTheme="majorHAnsi" w:eastAsia="Calibri" w:hAnsiTheme="majorHAnsi" w:cstheme="majorHAnsi"/>
            <w:i/>
            <w:color w:val="0000FF"/>
            <w:sz w:val="20"/>
            <w:szCs w:val="20"/>
            <w:u w:val="single"/>
          </w:rPr>
          <w:t>Combating of Trafficking in Persons Act</w:t>
        </w:r>
      </w:hyperlink>
      <w:r w:rsidRPr="00B321D3">
        <w:rPr>
          <w:rFonts w:asciiTheme="majorHAnsi" w:eastAsia="Calibri" w:hAnsiTheme="majorHAnsi" w:cstheme="majorHAnsi"/>
          <w:color w:val="000000"/>
          <w:sz w:val="20"/>
          <w:szCs w:val="20"/>
        </w:rPr>
        <w:t xml:space="preserve"> (2009), Section 11(1)(b).</w:t>
      </w:r>
    </w:p>
  </w:endnote>
  <w:endnote w:id="67">
    <w:p w14:paraId="591CE5AE"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57">
        <w:r w:rsidRPr="00B321D3">
          <w:rPr>
            <w:rFonts w:asciiTheme="majorHAnsi" w:eastAsia="Calibri" w:hAnsiTheme="majorHAnsi" w:cstheme="majorHAnsi"/>
            <w:i/>
            <w:color w:val="0000FF"/>
            <w:sz w:val="20"/>
            <w:szCs w:val="20"/>
            <w:u w:val="single"/>
          </w:rPr>
          <w:t>Child Protection Act</w:t>
        </w:r>
      </w:hyperlink>
      <w:r w:rsidRPr="00B321D3">
        <w:rPr>
          <w:rFonts w:asciiTheme="majorHAnsi" w:eastAsia="Calibri" w:hAnsiTheme="majorHAnsi" w:cstheme="majorHAnsi"/>
          <w:color w:val="000000"/>
          <w:sz w:val="20"/>
          <w:szCs w:val="20"/>
        </w:rPr>
        <w:t xml:space="preserve"> (1994), Section 13A(2).</w:t>
      </w:r>
    </w:p>
  </w:endnote>
  <w:endnote w:id="68">
    <w:p w14:paraId="6498637C" w14:textId="77777777" w:rsidR="00655173" w:rsidRPr="00FB7A92" w:rsidRDefault="00655173">
      <w:pPr>
        <w:pBdr>
          <w:top w:val="nil"/>
          <w:left w:val="nil"/>
          <w:bottom w:val="nil"/>
          <w:right w:val="nil"/>
          <w:between w:val="nil"/>
        </w:pBdr>
        <w:jc w:val="both"/>
        <w:rPr>
          <w:rFonts w:asciiTheme="majorHAnsi" w:eastAsia="Calibri" w:hAnsiTheme="majorHAnsi" w:cstheme="majorHAnsi"/>
          <w:i/>
          <w:color w:val="000000"/>
          <w:sz w:val="20"/>
          <w:szCs w:val="20"/>
        </w:rPr>
      </w:pPr>
      <w:r w:rsidRPr="00B321D3">
        <w:rPr>
          <w:rFonts w:asciiTheme="majorHAnsi" w:hAnsiTheme="majorHAnsi" w:cstheme="majorHAnsi"/>
          <w:sz w:val="20"/>
          <w:szCs w:val="20"/>
          <w:vertAlign w:val="superscript"/>
        </w:rPr>
        <w:endnoteRef/>
      </w:r>
      <w:r w:rsidRPr="00FB7A92">
        <w:rPr>
          <w:rFonts w:asciiTheme="majorHAnsi" w:eastAsia="Calibri" w:hAnsiTheme="majorHAnsi" w:cstheme="majorHAnsi"/>
          <w:color w:val="000000"/>
          <w:sz w:val="20"/>
          <w:szCs w:val="20"/>
        </w:rPr>
        <w:t xml:space="preserve"> </w:t>
      </w:r>
      <w:hyperlink r:id="rId58">
        <w:r w:rsidRPr="00FB7A92">
          <w:rPr>
            <w:rFonts w:asciiTheme="majorHAnsi" w:eastAsia="Calibri" w:hAnsiTheme="majorHAnsi" w:cstheme="majorHAnsi"/>
            <w:i/>
            <w:color w:val="0000FF"/>
            <w:sz w:val="20"/>
            <w:szCs w:val="20"/>
            <w:u w:val="single"/>
          </w:rPr>
          <w:t>Tourism Authority Act</w:t>
        </w:r>
      </w:hyperlink>
      <w:r w:rsidRPr="00FB7A92">
        <w:rPr>
          <w:rFonts w:asciiTheme="majorHAnsi" w:eastAsia="Calibri" w:hAnsiTheme="majorHAnsi" w:cstheme="majorHAnsi"/>
          <w:i/>
          <w:color w:val="000000"/>
          <w:sz w:val="20"/>
          <w:szCs w:val="20"/>
        </w:rPr>
        <w:t xml:space="preserve"> (2007), Section 126.</w:t>
      </w:r>
    </w:p>
  </w:endnote>
  <w:endnote w:id="69">
    <w:p w14:paraId="355855EE" w14:textId="77777777" w:rsidR="00655173" w:rsidRPr="00FB7A92"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FB7A92">
        <w:rPr>
          <w:rFonts w:asciiTheme="majorHAnsi" w:eastAsia="Calibri" w:hAnsiTheme="majorHAnsi" w:cstheme="majorHAnsi"/>
          <w:color w:val="000000"/>
          <w:sz w:val="20"/>
          <w:szCs w:val="20"/>
        </w:rPr>
        <w:t xml:space="preserve"> </w:t>
      </w:r>
      <w:hyperlink r:id="rId59">
        <w:r w:rsidRPr="00FB7A92">
          <w:rPr>
            <w:rFonts w:asciiTheme="majorHAnsi" w:eastAsia="Calibri" w:hAnsiTheme="majorHAnsi" w:cstheme="majorHAnsi"/>
            <w:i/>
            <w:color w:val="0000FF"/>
            <w:sz w:val="20"/>
            <w:szCs w:val="20"/>
            <w:u w:val="single"/>
          </w:rPr>
          <w:t>Mauritian Civil Code</w:t>
        </w:r>
      </w:hyperlink>
      <w:r w:rsidRPr="00FB7A92">
        <w:rPr>
          <w:rFonts w:asciiTheme="majorHAnsi" w:eastAsia="Calibri" w:hAnsiTheme="majorHAnsi" w:cstheme="majorHAnsi"/>
          <w:color w:val="000000"/>
          <w:sz w:val="20"/>
          <w:szCs w:val="20"/>
        </w:rPr>
        <w:t xml:space="preserve"> (1808), Article 144.</w:t>
      </w:r>
    </w:p>
  </w:endnote>
  <w:endnote w:id="70">
    <w:p w14:paraId="18E54C6D" w14:textId="77777777" w:rsidR="00655173" w:rsidRPr="00FB7A92"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FB7A92">
        <w:rPr>
          <w:rFonts w:asciiTheme="majorHAnsi" w:eastAsia="Calibri" w:hAnsiTheme="majorHAnsi" w:cstheme="majorHAnsi"/>
          <w:color w:val="000000"/>
          <w:sz w:val="20"/>
          <w:szCs w:val="20"/>
        </w:rPr>
        <w:t xml:space="preserve"> </w:t>
      </w:r>
      <w:hyperlink r:id="rId60">
        <w:r w:rsidRPr="00FB7A92">
          <w:rPr>
            <w:rFonts w:asciiTheme="majorHAnsi" w:eastAsia="Calibri" w:hAnsiTheme="majorHAnsi" w:cstheme="majorHAnsi"/>
            <w:i/>
            <w:color w:val="0000FF"/>
            <w:sz w:val="20"/>
            <w:szCs w:val="20"/>
            <w:u w:val="single"/>
          </w:rPr>
          <w:t>Mauritian Civil Code</w:t>
        </w:r>
      </w:hyperlink>
      <w:r w:rsidRPr="00FB7A92">
        <w:rPr>
          <w:rFonts w:asciiTheme="majorHAnsi" w:eastAsia="Calibri" w:hAnsiTheme="majorHAnsi" w:cstheme="majorHAnsi"/>
          <w:color w:val="000000"/>
          <w:sz w:val="20"/>
          <w:szCs w:val="20"/>
        </w:rPr>
        <w:t xml:space="preserve"> (1808), Article 145.</w:t>
      </w:r>
    </w:p>
  </w:endnote>
  <w:endnote w:id="71">
    <w:p w14:paraId="2FB1B795" w14:textId="77777777" w:rsidR="00655173" w:rsidRPr="00FB7A92"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FB7A92">
        <w:rPr>
          <w:rFonts w:asciiTheme="majorHAnsi" w:eastAsia="Calibri" w:hAnsiTheme="majorHAnsi" w:cstheme="majorHAnsi"/>
          <w:color w:val="000000"/>
          <w:sz w:val="20"/>
          <w:szCs w:val="20"/>
        </w:rPr>
        <w:t xml:space="preserve"> </w:t>
      </w:r>
      <w:hyperlink r:id="rId61">
        <w:r w:rsidRPr="00FB7A92">
          <w:rPr>
            <w:rFonts w:asciiTheme="majorHAnsi" w:eastAsia="Calibri" w:hAnsiTheme="majorHAnsi" w:cstheme="majorHAnsi"/>
            <w:i/>
            <w:color w:val="0000FF"/>
            <w:sz w:val="20"/>
            <w:szCs w:val="20"/>
            <w:u w:val="single"/>
          </w:rPr>
          <w:t>Mauritian Civil Code</w:t>
        </w:r>
      </w:hyperlink>
      <w:r w:rsidRPr="00FB7A92">
        <w:rPr>
          <w:rFonts w:asciiTheme="majorHAnsi" w:eastAsia="Calibri" w:hAnsiTheme="majorHAnsi" w:cstheme="majorHAnsi"/>
          <w:color w:val="000000"/>
          <w:sz w:val="20"/>
          <w:szCs w:val="20"/>
        </w:rPr>
        <w:t xml:space="preserve"> (1808), Article 183.</w:t>
      </w:r>
    </w:p>
  </w:endnote>
  <w:endnote w:id="72">
    <w:p w14:paraId="4FDC9BA1"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Musawah. (2018). </w:t>
      </w:r>
      <w:hyperlink r:id="rId62">
        <w:r w:rsidRPr="00B321D3">
          <w:rPr>
            <w:rFonts w:asciiTheme="majorHAnsi" w:eastAsia="Calibri" w:hAnsiTheme="majorHAnsi" w:cstheme="majorHAnsi"/>
            <w:i/>
            <w:color w:val="0000FF"/>
            <w:sz w:val="20"/>
            <w:szCs w:val="20"/>
            <w:u w:val="single"/>
          </w:rPr>
          <w:t>Thematic Report on Muslim Family Law and Muslim Women’s Rights in Mauritius</w:t>
        </w:r>
      </w:hyperlink>
      <w:r w:rsidRPr="00B321D3">
        <w:rPr>
          <w:rFonts w:asciiTheme="majorHAnsi" w:eastAsia="Calibri" w:hAnsiTheme="majorHAnsi" w:cstheme="majorHAnsi"/>
          <w:color w:val="000000"/>
          <w:sz w:val="20"/>
          <w:szCs w:val="20"/>
        </w:rPr>
        <w:t>. 12</w:t>
      </w:r>
    </w:p>
  </w:endnote>
  <w:endnote w:id="73">
    <w:p w14:paraId="5D4B5AC9"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63">
        <w:r w:rsidRPr="00B321D3">
          <w:rPr>
            <w:rFonts w:asciiTheme="majorHAnsi" w:eastAsia="Calibri" w:hAnsiTheme="majorHAnsi" w:cstheme="majorHAnsi"/>
            <w:i/>
            <w:color w:val="0000FF"/>
            <w:sz w:val="20"/>
            <w:szCs w:val="20"/>
            <w:u w:val="single"/>
          </w:rPr>
          <w:t>Combating of Trafficking in Persons Act</w:t>
        </w:r>
      </w:hyperlink>
      <w:r w:rsidRPr="00B321D3">
        <w:rPr>
          <w:rFonts w:asciiTheme="majorHAnsi" w:eastAsia="Calibri" w:hAnsiTheme="majorHAnsi" w:cstheme="majorHAnsi"/>
          <w:color w:val="000000"/>
          <w:sz w:val="20"/>
          <w:szCs w:val="20"/>
        </w:rPr>
        <w:t xml:space="preserve"> (2009), Section 15.</w:t>
      </w:r>
    </w:p>
  </w:endnote>
  <w:endnote w:id="74">
    <w:p w14:paraId="2EE6AF0E" w14:textId="4EFCD081"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Pr>
          <w:rFonts w:asciiTheme="majorHAnsi" w:eastAsia="Calibri" w:hAnsiTheme="majorHAnsi" w:cstheme="majorHAnsi"/>
          <w:color w:val="000000"/>
          <w:sz w:val="20"/>
          <w:szCs w:val="20"/>
        </w:rPr>
        <w:t xml:space="preserve"> </w:t>
      </w:r>
      <w:hyperlink r:id="rId64">
        <w:r w:rsidRPr="00B321D3">
          <w:rPr>
            <w:rFonts w:asciiTheme="majorHAnsi" w:eastAsia="Calibri" w:hAnsiTheme="majorHAnsi" w:cstheme="majorHAnsi"/>
            <w:i/>
            <w:color w:val="0000FF"/>
            <w:sz w:val="20"/>
            <w:szCs w:val="20"/>
            <w:u w:val="single"/>
          </w:rPr>
          <w:t>Extradition Act</w:t>
        </w:r>
      </w:hyperlink>
      <w:r w:rsidRPr="00B321D3">
        <w:rPr>
          <w:rFonts w:asciiTheme="majorHAnsi" w:eastAsia="Calibri" w:hAnsiTheme="majorHAnsi" w:cstheme="majorHAnsi"/>
          <w:color w:val="000000"/>
          <w:sz w:val="20"/>
          <w:szCs w:val="20"/>
        </w:rPr>
        <w:t xml:space="preserve"> (2017), Section 5. The double criminality principle requires the conduct of the prospective extradited person to constitute an offence in the jurisdictions</w:t>
      </w:r>
      <w:r w:rsidRPr="009D0724">
        <w:rPr>
          <w:rFonts w:asciiTheme="majorHAnsi" w:eastAsia="Calibri" w:hAnsiTheme="majorHAnsi" w:cstheme="majorHAnsi"/>
          <w:color w:val="000000"/>
          <w:sz w:val="20"/>
          <w:szCs w:val="20"/>
        </w:rPr>
        <w:t xml:space="preserve"> of both the requesting state and the receiving state.</w:t>
      </w:r>
    </w:p>
  </w:endnote>
  <w:endnote w:id="75">
    <w:p w14:paraId="62D6845A"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w:t>
      </w:r>
      <w:r w:rsidRPr="00B321D3">
        <w:rPr>
          <w:rFonts w:asciiTheme="majorHAnsi" w:eastAsia="Calibri" w:hAnsiTheme="majorHAnsi" w:cstheme="majorHAnsi"/>
          <w:color w:val="000000"/>
          <w:sz w:val="20"/>
          <w:szCs w:val="20"/>
        </w:rPr>
        <w:t xml:space="preserve">ECPAT International. (2019). </w:t>
      </w:r>
      <w:hyperlink r:id="rId65">
        <w:r w:rsidRPr="00B321D3">
          <w:rPr>
            <w:rFonts w:asciiTheme="majorHAnsi" w:eastAsia="Calibri" w:hAnsiTheme="majorHAnsi" w:cstheme="majorHAnsi"/>
            <w:i/>
            <w:color w:val="0000FF"/>
            <w:sz w:val="20"/>
            <w:szCs w:val="20"/>
            <w:u w:val="single"/>
          </w:rPr>
          <w:t>ECPAT Country Overview – A report on the scale, scope and context of the sexual exploitation of children – Mauritius</w:t>
        </w:r>
      </w:hyperlink>
      <w:r w:rsidRPr="00B321D3">
        <w:rPr>
          <w:rFonts w:asciiTheme="majorHAnsi" w:eastAsia="Calibri" w:hAnsiTheme="majorHAnsi" w:cstheme="majorHAnsi"/>
          <w:color w:val="000000"/>
          <w:sz w:val="20"/>
          <w:szCs w:val="20"/>
        </w:rPr>
        <w:t>. 24.</w:t>
      </w:r>
    </w:p>
  </w:endnote>
  <w:endnote w:id="76">
    <w:p w14:paraId="5AA0497C"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Ombudsperson for Children. (2018). “</w:t>
      </w:r>
      <w:hyperlink r:id="rId66">
        <w:r w:rsidRPr="00B321D3">
          <w:rPr>
            <w:rFonts w:asciiTheme="majorHAnsi" w:eastAsia="Calibri" w:hAnsiTheme="majorHAnsi" w:cstheme="majorHAnsi"/>
            <w:i/>
            <w:color w:val="0000FF"/>
            <w:sz w:val="20"/>
            <w:szCs w:val="20"/>
            <w:u w:val="single"/>
          </w:rPr>
          <w:t>Annual Report 2017-2018 – Making rights a reality for every child of the Republic of Mauritius</w:t>
        </w:r>
      </w:hyperlink>
      <w:r w:rsidRPr="00B321D3">
        <w:rPr>
          <w:rFonts w:asciiTheme="majorHAnsi" w:eastAsia="Calibri" w:hAnsiTheme="majorHAnsi" w:cstheme="majorHAnsi"/>
          <w:color w:val="000000"/>
          <w:sz w:val="20"/>
          <w:szCs w:val="20"/>
        </w:rPr>
        <w:t>”. 262.</w:t>
      </w:r>
    </w:p>
  </w:endnote>
  <w:endnote w:id="77">
    <w:p w14:paraId="522FFD40"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r w:rsidRPr="00B321D3">
        <w:rPr>
          <w:rFonts w:asciiTheme="majorHAnsi" w:eastAsia="Calibri" w:hAnsiTheme="majorHAnsi" w:cstheme="majorHAnsi"/>
          <w:i/>
          <w:color w:val="000000"/>
          <w:sz w:val="20"/>
          <w:szCs w:val="20"/>
        </w:rPr>
        <w:t>Ibid</w:t>
      </w:r>
      <w:r w:rsidRPr="00B321D3">
        <w:rPr>
          <w:rFonts w:asciiTheme="majorHAnsi" w:eastAsia="Calibri" w:hAnsiTheme="majorHAnsi" w:cstheme="majorHAnsi"/>
          <w:color w:val="000000"/>
          <w:sz w:val="20"/>
          <w:szCs w:val="20"/>
        </w:rPr>
        <w:t>., 261.</w:t>
      </w:r>
    </w:p>
  </w:endnote>
  <w:endnote w:id="78">
    <w:p w14:paraId="16136CF9"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67">
        <w:r w:rsidRPr="00B321D3">
          <w:rPr>
            <w:rFonts w:asciiTheme="majorHAnsi" w:eastAsia="Calibri" w:hAnsiTheme="majorHAnsi" w:cstheme="majorHAnsi"/>
            <w:i/>
            <w:color w:val="0000FF"/>
            <w:sz w:val="20"/>
            <w:szCs w:val="20"/>
            <w:u w:val="single"/>
          </w:rPr>
          <w:t>Ombudsperson for Children Act</w:t>
        </w:r>
      </w:hyperlink>
      <w:r w:rsidRPr="00B321D3">
        <w:rPr>
          <w:rFonts w:asciiTheme="majorHAnsi" w:eastAsia="Calibri" w:hAnsiTheme="majorHAnsi" w:cstheme="majorHAnsi"/>
          <w:i/>
          <w:color w:val="000000"/>
          <w:sz w:val="20"/>
          <w:szCs w:val="20"/>
        </w:rPr>
        <w:t xml:space="preserve"> </w:t>
      </w:r>
      <w:r w:rsidRPr="00B321D3">
        <w:rPr>
          <w:rFonts w:asciiTheme="majorHAnsi" w:eastAsia="Calibri" w:hAnsiTheme="majorHAnsi" w:cstheme="majorHAnsi"/>
          <w:color w:val="000000"/>
          <w:sz w:val="20"/>
          <w:szCs w:val="20"/>
        </w:rPr>
        <w:t>(2003), Section 6(f) and (j).</w:t>
      </w:r>
    </w:p>
  </w:endnote>
  <w:endnote w:id="79">
    <w:p w14:paraId="02485571"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68">
        <w:r w:rsidRPr="00B321D3">
          <w:rPr>
            <w:rFonts w:asciiTheme="majorHAnsi" w:eastAsia="Calibri" w:hAnsiTheme="majorHAnsi" w:cstheme="majorHAnsi"/>
            <w:i/>
            <w:color w:val="0000FF"/>
            <w:sz w:val="20"/>
            <w:szCs w:val="20"/>
            <w:u w:val="single"/>
          </w:rPr>
          <w:t>Ombudsperson for Children Act</w:t>
        </w:r>
      </w:hyperlink>
      <w:r w:rsidRPr="00B321D3">
        <w:rPr>
          <w:rFonts w:asciiTheme="majorHAnsi" w:eastAsia="Calibri" w:hAnsiTheme="majorHAnsi" w:cstheme="majorHAnsi"/>
          <w:i/>
          <w:color w:val="000000"/>
          <w:sz w:val="20"/>
          <w:szCs w:val="20"/>
        </w:rPr>
        <w:t xml:space="preserve"> </w:t>
      </w:r>
      <w:r w:rsidRPr="00B321D3">
        <w:rPr>
          <w:rFonts w:asciiTheme="majorHAnsi" w:eastAsia="Calibri" w:hAnsiTheme="majorHAnsi" w:cstheme="majorHAnsi"/>
          <w:color w:val="000000"/>
          <w:sz w:val="20"/>
          <w:szCs w:val="20"/>
        </w:rPr>
        <w:t>(2003), Section 7(4).</w:t>
      </w:r>
    </w:p>
  </w:endnote>
  <w:endnote w:id="80">
    <w:p w14:paraId="2C028062"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Child Rights Connect. (2015). “</w:t>
      </w:r>
      <w:hyperlink r:id="rId69">
        <w:r w:rsidRPr="00B321D3">
          <w:rPr>
            <w:rFonts w:asciiTheme="majorHAnsi" w:eastAsia="Calibri" w:hAnsiTheme="majorHAnsi" w:cstheme="majorHAnsi"/>
            <w:i/>
            <w:color w:val="0000FF"/>
            <w:sz w:val="20"/>
            <w:szCs w:val="20"/>
            <w:u w:val="single"/>
          </w:rPr>
          <w:t>State Party Examination of Mauritius’ Third to Fifth Periodic Report</w:t>
        </w:r>
      </w:hyperlink>
      <w:r w:rsidRPr="00B321D3">
        <w:rPr>
          <w:rFonts w:asciiTheme="majorHAnsi" w:eastAsia="Calibri" w:hAnsiTheme="majorHAnsi" w:cstheme="majorHAnsi"/>
          <w:color w:val="000000"/>
          <w:sz w:val="20"/>
          <w:szCs w:val="20"/>
        </w:rPr>
        <w:t>”. 3.</w:t>
      </w:r>
    </w:p>
  </w:endnote>
  <w:endnote w:id="81">
    <w:p w14:paraId="7703E925"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70">
        <w:r w:rsidRPr="00B321D3">
          <w:rPr>
            <w:rFonts w:asciiTheme="majorHAnsi" w:eastAsia="Calibri" w:hAnsiTheme="majorHAnsi" w:cstheme="majorHAnsi"/>
            <w:i/>
            <w:color w:val="0000FF"/>
            <w:sz w:val="20"/>
            <w:szCs w:val="20"/>
            <w:u w:val="single"/>
          </w:rPr>
          <w:t>Child Protection Act</w:t>
        </w:r>
      </w:hyperlink>
      <w:r w:rsidRPr="00B321D3">
        <w:rPr>
          <w:rFonts w:asciiTheme="majorHAnsi" w:eastAsia="Calibri" w:hAnsiTheme="majorHAnsi" w:cstheme="majorHAnsi"/>
          <w:color w:val="000000"/>
          <w:sz w:val="20"/>
          <w:szCs w:val="20"/>
        </w:rPr>
        <w:t xml:space="preserve"> (1994), Section 12.</w:t>
      </w:r>
    </w:p>
  </w:endnote>
  <w:endnote w:id="82">
    <w:p w14:paraId="6C143476"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71">
        <w:r w:rsidRPr="00B321D3">
          <w:rPr>
            <w:rFonts w:asciiTheme="majorHAnsi" w:eastAsia="Calibri" w:hAnsiTheme="majorHAnsi" w:cstheme="majorHAnsi"/>
            <w:i/>
            <w:color w:val="0000FF"/>
            <w:sz w:val="20"/>
            <w:szCs w:val="20"/>
            <w:u w:val="single"/>
          </w:rPr>
          <w:t>Child Protection Act</w:t>
        </w:r>
      </w:hyperlink>
      <w:r w:rsidRPr="00B321D3">
        <w:rPr>
          <w:rFonts w:asciiTheme="majorHAnsi" w:eastAsia="Calibri" w:hAnsiTheme="majorHAnsi" w:cstheme="majorHAnsi"/>
          <w:color w:val="000000"/>
          <w:sz w:val="20"/>
          <w:szCs w:val="20"/>
        </w:rPr>
        <w:t xml:space="preserve"> (1994), Section 13A (5).</w:t>
      </w:r>
    </w:p>
  </w:endnote>
  <w:endnote w:id="83">
    <w:p w14:paraId="5E2D952A"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72">
        <w:r w:rsidRPr="00B321D3">
          <w:rPr>
            <w:rFonts w:asciiTheme="majorHAnsi" w:eastAsia="Calibri" w:hAnsiTheme="majorHAnsi" w:cstheme="majorHAnsi"/>
            <w:i/>
            <w:color w:val="0000FF"/>
            <w:sz w:val="20"/>
            <w:szCs w:val="20"/>
            <w:u w:val="single"/>
          </w:rPr>
          <w:t>Criminal Procedure Act</w:t>
        </w:r>
      </w:hyperlink>
      <w:r w:rsidRPr="00B321D3">
        <w:rPr>
          <w:rFonts w:asciiTheme="majorHAnsi" w:eastAsia="Calibri" w:hAnsiTheme="majorHAnsi" w:cstheme="majorHAnsi"/>
          <w:color w:val="000000"/>
          <w:sz w:val="20"/>
          <w:szCs w:val="20"/>
        </w:rPr>
        <w:t xml:space="preserve"> (1853), Section 94. Note that the expression “tender years” is not clearly defined, and that there is no international consensus about the exact age range this expression refers to. </w:t>
      </w:r>
    </w:p>
  </w:endnote>
  <w:endnote w:id="84">
    <w:p w14:paraId="15C067AB" w14:textId="77777777" w:rsidR="00655173" w:rsidRPr="00FB7A92"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FB7A92">
        <w:rPr>
          <w:rFonts w:asciiTheme="majorHAnsi" w:eastAsia="Calibri" w:hAnsiTheme="majorHAnsi" w:cstheme="majorHAnsi"/>
          <w:color w:val="000000"/>
          <w:sz w:val="20"/>
          <w:szCs w:val="20"/>
        </w:rPr>
        <w:t xml:space="preserve"> </w:t>
      </w:r>
      <w:hyperlink r:id="rId73">
        <w:r w:rsidRPr="00FB7A92">
          <w:rPr>
            <w:rFonts w:asciiTheme="majorHAnsi" w:eastAsia="Calibri" w:hAnsiTheme="majorHAnsi" w:cstheme="majorHAnsi"/>
            <w:i/>
            <w:color w:val="0000FF"/>
            <w:sz w:val="20"/>
            <w:szCs w:val="20"/>
            <w:u w:val="single"/>
          </w:rPr>
          <w:t>Mauritian Civil Code</w:t>
        </w:r>
      </w:hyperlink>
      <w:r w:rsidRPr="00FB7A92">
        <w:rPr>
          <w:rFonts w:asciiTheme="majorHAnsi" w:eastAsia="Calibri" w:hAnsiTheme="majorHAnsi" w:cstheme="majorHAnsi"/>
          <w:color w:val="000000"/>
          <w:sz w:val="20"/>
          <w:szCs w:val="20"/>
        </w:rPr>
        <w:t xml:space="preserve"> (1808), Article 495.</w:t>
      </w:r>
    </w:p>
  </w:endnote>
  <w:endnote w:id="85">
    <w:p w14:paraId="1155C4D2" w14:textId="77777777" w:rsidR="00655173" w:rsidRPr="00FB7A92"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FB7A92">
        <w:rPr>
          <w:rFonts w:asciiTheme="majorHAnsi" w:eastAsia="Calibri" w:hAnsiTheme="majorHAnsi" w:cstheme="majorHAnsi"/>
          <w:color w:val="000000"/>
          <w:sz w:val="20"/>
          <w:szCs w:val="20"/>
        </w:rPr>
        <w:t xml:space="preserve"> </w:t>
      </w:r>
      <w:hyperlink r:id="rId74">
        <w:r w:rsidRPr="00FB7A92">
          <w:rPr>
            <w:rFonts w:asciiTheme="majorHAnsi" w:eastAsia="Calibri" w:hAnsiTheme="majorHAnsi" w:cstheme="majorHAnsi"/>
            <w:i/>
            <w:color w:val="0000FF"/>
            <w:sz w:val="20"/>
            <w:szCs w:val="20"/>
            <w:u w:val="single"/>
          </w:rPr>
          <w:t>Mauritian Civil Code</w:t>
        </w:r>
      </w:hyperlink>
      <w:r w:rsidRPr="00FB7A92">
        <w:rPr>
          <w:rFonts w:asciiTheme="majorHAnsi" w:eastAsia="Calibri" w:hAnsiTheme="majorHAnsi" w:cstheme="majorHAnsi"/>
          <w:color w:val="000000"/>
          <w:sz w:val="20"/>
          <w:szCs w:val="20"/>
        </w:rPr>
        <w:t xml:space="preserve"> (1808), Article 405. </w:t>
      </w:r>
    </w:p>
  </w:endnote>
  <w:endnote w:id="86">
    <w:p w14:paraId="226C5A86" w14:textId="77777777" w:rsidR="00655173" w:rsidRPr="00B321D3"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75">
        <w:r w:rsidRPr="00B321D3">
          <w:rPr>
            <w:rFonts w:asciiTheme="majorHAnsi" w:eastAsia="Calibri" w:hAnsiTheme="majorHAnsi" w:cstheme="majorHAnsi"/>
            <w:i/>
            <w:color w:val="0000FF"/>
            <w:sz w:val="20"/>
            <w:szCs w:val="20"/>
            <w:u w:val="single"/>
          </w:rPr>
          <w:t>Courts Act</w:t>
        </w:r>
      </w:hyperlink>
      <w:r w:rsidRPr="00B321D3">
        <w:rPr>
          <w:rFonts w:asciiTheme="majorHAnsi" w:eastAsia="Calibri" w:hAnsiTheme="majorHAnsi" w:cstheme="majorHAnsi"/>
          <w:color w:val="000000"/>
          <w:sz w:val="20"/>
          <w:szCs w:val="20"/>
        </w:rPr>
        <w:t xml:space="preserve"> (1945, amended in 2003), Section 161A. </w:t>
      </w:r>
    </w:p>
  </w:endnote>
  <w:endnote w:id="87">
    <w:p w14:paraId="31D97CEE"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B321D3">
        <w:rPr>
          <w:rFonts w:asciiTheme="majorHAnsi" w:hAnsiTheme="majorHAnsi" w:cstheme="majorHAnsi"/>
          <w:sz w:val="20"/>
          <w:szCs w:val="20"/>
          <w:vertAlign w:val="superscript"/>
        </w:rPr>
        <w:endnoteRef/>
      </w:r>
      <w:r w:rsidRPr="00B321D3">
        <w:rPr>
          <w:rFonts w:asciiTheme="majorHAnsi" w:eastAsia="Calibri" w:hAnsiTheme="majorHAnsi" w:cstheme="majorHAnsi"/>
          <w:color w:val="000000"/>
          <w:sz w:val="20"/>
          <w:szCs w:val="20"/>
        </w:rPr>
        <w:t xml:space="preserve"> </w:t>
      </w:r>
      <w:hyperlink r:id="rId76">
        <w:r w:rsidRPr="00B321D3">
          <w:rPr>
            <w:rFonts w:asciiTheme="majorHAnsi" w:eastAsia="Calibri" w:hAnsiTheme="majorHAnsi" w:cstheme="majorHAnsi"/>
            <w:i/>
            <w:color w:val="0000FF"/>
            <w:sz w:val="20"/>
            <w:szCs w:val="20"/>
            <w:u w:val="single"/>
          </w:rPr>
          <w:t>Courts Act</w:t>
        </w:r>
      </w:hyperlink>
      <w:r w:rsidRPr="00B321D3">
        <w:rPr>
          <w:rFonts w:asciiTheme="majorHAnsi" w:eastAsia="Calibri" w:hAnsiTheme="majorHAnsi" w:cstheme="majorHAnsi"/>
          <w:color w:val="000000"/>
          <w:sz w:val="20"/>
          <w:szCs w:val="20"/>
        </w:rPr>
        <w:t xml:space="preserve"> (1945, amended in 2003), Section 161B.</w:t>
      </w:r>
    </w:p>
  </w:endnote>
  <w:endnote w:id="88">
    <w:p w14:paraId="7F9A7D6A" w14:textId="53D7C106"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ED4356">
        <w:rPr>
          <w:rFonts w:asciiTheme="majorHAnsi" w:hAnsiTheme="majorHAnsi" w:cstheme="majorHAnsi"/>
          <w:sz w:val="20"/>
          <w:szCs w:val="20"/>
          <w:vertAlign w:val="superscript"/>
        </w:rPr>
        <w:endnoteRef/>
      </w:r>
      <w:r w:rsidRPr="00ED4356">
        <w:rPr>
          <w:rFonts w:asciiTheme="majorHAnsi" w:eastAsia="Calibri" w:hAnsiTheme="majorHAnsi" w:cstheme="majorHAnsi"/>
          <w:color w:val="000000"/>
          <w:sz w:val="20"/>
          <w:szCs w:val="20"/>
        </w:rPr>
        <w:t xml:space="preserve"> </w:t>
      </w:r>
      <w:r w:rsidRPr="00FB7A92">
        <w:rPr>
          <w:rFonts w:asciiTheme="majorHAnsi" w:eastAsia="Calibri" w:hAnsiTheme="majorHAnsi" w:cstheme="majorHAnsi"/>
          <w:color w:val="000000"/>
          <w:sz w:val="20"/>
          <w:szCs w:val="20"/>
        </w:rPr>
        <w:t xml:space="preserve">Halley Movement (February 2020). </w:t>
      </w:r>
      <w:r w:rsidRPr="00ED4356">
        <w:rPr>
          <w:rFonts w:asciiTheme="majorHAnsi" w:eastAsia="Calibri" w:hAnsiTheme="majorHAnsi" w:cstheme="majorHAnsi"/>
          <w:color w:val="000000"/>
          <w:sz w:val="20"/>
          <w:szCs w:val="20"/>
        </w:rPr>
        <w:t>Personal communication</w:t>
      </w:r>
      <w:r w:rsidRPr="00FB7A92">
        <w:rPr>
          <w:rFonts w:asciiTheme="majorHAnsi" w:eastAsia="Calibri" w:hAnsiTheme="majorHAnsi" w:cstheme="majorHAnsi"/>
          <w:color w:val="000000"/>
          <w:sz w:val="20"/>
          <w:szCs w:val="20"/>
        </w:rPr>
        <w:t>.</w:t>
      </w:r>
    </w:p>
  </w:endnote>
  <w:endnote w:id="89">
    <w:p w14:paraId="64CA4C3C"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Ombudsperson for Children. (2018). “</w:t>
      </w:r>
      <w:hyperlink r:id="rId77">
        <w:r w:rsidRPr="009D0724">
          <w:rPr>
            <w:rFonts w:asciiTheme="majorHAnsi" w:eastAsia="Calibri" w:hAnsiTheme="majorHAnsi" w:cstheme="majorHAnsi"/>
            <w:i/>
            <w:color w:val="0000FF"/>
            <w:sz w:val="20"/>
            <w:szCs w:val="20"/>
            <w:u w:val="single"/>
          </w:rPr>
          <w:t>Annual Report 2017-2018 – Making rights a reality for every child of the Republic of Mauritius</w:t>
        </w:r>
      </w:hyperlink>
      <w:r w:rsidRPr="009D0724">
        <w:rPr>
          <w:rFonts w:asciiTheme="majorHAnsi" w:eastAsia="Calibri" w:hAnsiTheme="majorHAnsi" w:cstheme="majorHAnsi"/>
          <w:color w:val="000000"/>
          <w:sz w:val="20"/>
          <w:szCs w:val="20"/>
        </w:rPr>
        <w:t xml:space="preserve">”. 263. </w:t>
      </w:r>
    </w:p>
  </w:endnote>
  <w:endnote w:id="90">
    <w:p w14:paraId="3FDB7609" w14:textId="690ABAFE"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Personal communication with Halley Movement (</w:t>
      </w:r>
      <w:r>
        <w:rPr>
          <w:rFonts w:asciiTheme="majorHAnsi" w:eastAsia="Calibri" w:hAnsiTheme="majorHAnsi" w:cstheme="majorHAnsi"/>
          <w:color w:val="000000"/>
          <w:sz w:val="20"/>
          <w:szCs w:val="20"/>
        </w:rPr>
        <w:t>February 2020</w:t>
      </w:r>
      <w:r w:rsidRPr="009D0724">
        <w:rPr>
          <w:rFonts w:asciiTheme="majorHAnsi" w:eastAsia="Calibri" w:hAnsiTheme="majorHAnsi" w:cstheme="majorHAnsi"/>
          <w:color w:val="000000"/>
          <w:sz w:val="20"/>
          <w:szCs w:val="20"/>
        </w:rPr>
        <w:t>).</w:t>
      </w:r>
    </w:p>
  </w:endnote>
  <w:endnote w:id="91">
    <w:p w14:paraId="614C01BF" w14:textId="77ACE5C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U.S Department of Labo</w:t>
      </w:r>
      <w:r>
        <w:rPr>
          <w:rFonts w:asciiTheme="majorHAnsi" w:eastAsia="Calibri" w:hAnsiTheme="majorHAnsi" w:cstheme="majorHAnsi"/>
          <w:color w:val="000000"/>
          <w:sz w:val="20"/>
          <w:szCs w:val="20"/>
        </w:rPr>
        <w:t>u</w:t>
      </w:r>
      <w:r w:rsidRPr="009D0724">
        <w:rPr>
          <w:rFonts w:asciiTheme="majorHAnsi" w:eastAsia="Calibri" w:hAnsiTheme="majorHAnsi" w:cstheme="majorHAnsi"/>
          <w:color w:val="000000"/>
          <w:sz w:val="20"/>
          <w:szCs w:val="20"/>
        </w:rPr>
        <w:t>r. (2019). “</w:t>
      </w:r>
      <w:hyperlink r:id="rId78">
        <w:r w:rsidRPr="00FB7A92">
          <w:rPr>
            <w:rFonts w:asciiTheme="majorHAnsi" w:eastAsia="Calibri" w:hAnsiTheme="majorHAnsi" w:cstheme="majorHAnsi"/>
            <w:i/>
            <w:iCs/>
            <w:color w:val="0000FF"/>
            <w:sz w:val="20"/>
            <w:szCs w:val="20"/>
            <w:u w:val="single"/>
          </w:rPr>
          <w:t>2018 Findings on the Worst Forms of Child Labo</w:t>
        </w:r>
        <w:r>
          <w:rPr>
            <w:rFonts w:asciiTheme="majorHAnsi" w:eastAsia="Calibri" w:hAnsiTheme="majorHAnsi" w:cstheme="majorHAnsi"/>
            <w:i/>
            <w:iCs/>
            <w:color w:val="0000FF"/>
            <w:sz w:val="20"/>
            <w:szCs w:val="20"/>
            <w:u w:val="single"/>
          </w:rPr>
          <w:t>u</w:t>
        </w:r>
        <w:r w:rsidRPr="00FB7A92">
          <w:rPr>
            <w:rFonts w:asciiTheme="majorHAnsi" w:eastAsia="Calibri" w:hAnsiTheme="majorHAnsi" w:cstheme="majorHAnsi"/>
            <w:i/>
            <w:iCs/>
            <w:color w:val="0000FF"/>
            <w:sz w:val="20"/>
            <w:szCs w:val="20"/>
            <w:u w:val="single"/>
          </w:rPr>
          <w:t>r – Mauritius</w:t>
        </w:r>
      </w:hyperlink>
      <w:r w:rsidRPr="00FB7A92">
        <w:rPr>
          <w:rFonts w:asciiTheme="majorHAnsi" w:eastAsia="Calibri" w:hAnsiTheme="majorHAnsi" w:cstheme="majorHAnsi"/>
          <w:i/>
          <w:iCs/>
          <w:color w:val="000000"/>
          <w:sz w:val="20"/>
          <w:szCs w:val="20"/>
        </w:rPr>
        <w:t>”.</w:t>
      </w:r>
    </w:p>
  </w:endnote>
  <w:endnote w:id="92">
    <w:p w14:paraId="3BEBEB5B"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Committee on the Elimination of Discrimination Against Women. (2018). </w:t>
      </w:r>
      <w:hyperlink r:id="rId79">
        <w:r w:rsidRPr="009D0724">
          <w:rPr>
            <w:rFonts w:asciiTheme="majorHAnsi" w:eastAsia="Calibri" w:hAnsiTheme="majorHAnsi" w:cstheme="majorHAnsi"/>
            <w:i/>
            <w:color w:val="0000FF"/>
            <w:sz w:val="20"/>
            <w:szCs w:val="20"/>
            <w:u w:val="single"/>
          </w:rPr>
          <w:t>Eighth periodic report submitted by Mauritius under article 18 of the Convention pursuant to the simplified reporting procedure</w:t>
        </w:r>
      </w:hyperlink>
      <w:r w:rsidRPr="009D0724">
        <w:rPr>
          <w:rFonts w:asciiTheme="majorHAnsi" w:eastAsia="Calibri" w:hAnsiTheme="majorHAnsi" w:cstheme="majorHAnsi"/>
          <w:color w:val="000000"/>
          <w:sz w:val="20"/>
          <w:szCs w:val="20"/>
        </w:rPr>
        <w:t>. Para. 58.</w:t>
      </w:r>
    </w:p>
  </w:endnote>
  <w:endnote w:id="93">
    <w:p w14:paraId="64B0DC45" w14:textId="77777777" w:rsidR="00655173" w:rsidRPr="009D0724" w:rsidRDefault="00655173">
      <w:pPr>
        <w:pBdr>
          <w:top w:val="nil"/>
          <w:left w:val="nil"/>
          <w:bottom w:val="nil"/>
          <w:right w:val="nil"/>
          <w:between w:val="nil"/>
        </w:pBdr>
        <w:jc w:val="both"/>
        <w:rPr>
          <w:rFonts w:asciiTheme="majorHAnsi" w:eastAsia="Calibri" w:hAnsiTheme="majorHAnsi" w:cstheme="majorHAnsi"/>
          <w: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w:t>
      </w:r>
      <w:r w:rsidRPr="009D0724">
        <w:rPr>
          <w:rFonts w:asciiTheme="majorHAnsi" w:eastAsia="Calibri" w:hAnsiTheme="majorHAnsi" w:cstheme="majorHAnsi"/>
          <w:i/>
          <w:color w:val="000000"/>
          <w:sz w:val="20"/>
          <w:szCs w:val="20"/>
        </w:rPr>
        <w:t>Ibid.</w:t>
      </w:r>
    </w:p>
  </w:endnote>
  <w:endnote w:id="94">
    <w:p w14:paraId="6FFF3794"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U.S. Department of State. (2019). </w:t>
      </w:r>
      <w:hyperlink r:id="rId80">
        <w:r w:rsidRPr="009D0724">
          <w:rPr>
            <w:rFonts w:asciiTheme="majorHAnsi" w:eastAsia="Calibri" w:hAnsiTheme="majorHAnsi" w:cstheme="majorHAnsi"/>
            <w:i/>
            <w:color w:val="0000FF"/>
            <w:sz w:val="20"/>
            <w:szCs w:val="20"/>
            <w:u w:val="single"/>
          </w:rPr>
          <w:t>Trafficking in Persons Report</w:t>
        </w:r>
      </w:hyperlink>
      <w:r w:rsidRPr="009D0724">
        <w:rPr>
          <w:rFonts w:asciiTheme="majorHAnsi" w:eastAsia="Calibri" w:hAnsiTheme="majorHAnsi" w:cstheme="majorHAnsi"/>
          <w:color w:val="000000"/>
          <w:sz w:val="20"/>
          <w:szCs w:val="20"/>
        </w:rPr>
        <w:t xml:space="preserve">. 322. </w:t>
      </w:r>
    </w:p>
  </w:endnote>
  <w:endnote w:id="95">
    <w:p w14:paraId="107CC842"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w:t>
      </w:r>
      <w:hyperlink r:id="rId81">
        <w:r w:rsidRPr="009D0724">
          <w:rPr>
            <w:rFonts w:asciiTheme="majorHAnsi" w:eastAsia="Calibri" w:hAnsiTheme="majorHAnsi" w:cstheme="majorHAnsi"/>
            <w:i/>
            <w:color w:val="0000FF"/>
            <w:sz w:val="20"/>
            <w:szCs w:val="20"/>
            <w:u w:val="single"/>
          </w:rPr>
          <w:t>Combating of Trafficking in Persons Act</w:t>
        </w:r>
      </w:hyperlink>
      <w:r w:rsidRPr="009D0724">
        <w:rPr>
          <w:rFonts w:asciiTheme="majorHAnsi" w:eastAsia="Calibri" w:hAnsiTheme="majorHAnsi" w:cstheme="majorHAnsi"/>
          <w:color w:val="000000"/>
          <w:sz w:val="20"/>
          <w:szCs w:val="20"/>
        </w:rPr>
        <w:t xml:space="preserve"> (2009), Sections 16, 17, 18, and 19.</w:t>
      </w:r>
    </w:p>
  </w:endnote>
  <w:endnote w:id="96">
    <w:p w14:paraId="1E1B540F" w14:textId="77777777" w:rsidR="00655173" w:rsidRPr="009D0724" w:rsidRDefault="00655173">
      <w:pPr>
        <w:pBdr>
          <w:top w:val="nil"/>
          <w:left w:val="nil"/>
          <w:bottom w:val="nil"/>
          <w:right w:val="nil"/>
          <w:between w:val="nil"/>
        </w:pBdr>
        <w:jc w:val="both"/>
        <w:rPr>
          <w:rFonts w:asciiTheme="majorHAnsi" w:eastAsia="Calibri" w:hAnsiTheme="majorHAnsi" w:cstheme="majorHAnsi"/>
          <w:color w:val="000000"/>
          <w:sz w:val="20"/>
          <w:szCs w:val="20"/>
        </w:rPr>
      </w:pPr>
      <w:r w:rsidRPr="009D0724">
        <w:rPr>
          <w:rFonts w:asciiTheme="majorHAnsi" w:hAnsiTheme="majorHAnsi" w:cstheme="majorHAnsi"/>
          <w:sz w:val="20"/>
          <w:szCs w:val="20"/>
          <w:vertAlign w:val="superscript"/>
        </w:rPr>
        <w:endnoteRef/>
      </w:r>
      <w:r w:rsidRPr="009D0724">
        <w:rPr>
          <w:rFonts w:asciiTheme="majorHAnsi" w:eastAsia="Calibri" w:hAnsiTheme="majorHAnsi" w:cstheme="majorHAnsi"/>
          <w:color w:val="000000"/>
          <w:sz w:val="20"/>
          <w:szCs w:val="20"/>
        </w:rPr>
        <w:t xml:space="preserve"> U.S. Department of State. (2019). </w:t>
      </w:r>
      <w:hyperlink r:id="rId82">
        <w:r w:rsidRPr="009D0724">
          <w:rPr>
            <w:rFonts w:asciiTheme="majorHAnsi" w:eastAsia="Calibri" w:hAnsiTheme="majorHAnsi" w:cstheme="majorHAnsi"/>
            <w:i/>
            <w:color w:val="0000FF"/>
            <w:sz w:val="20"/>
            <w:szCs w:val="20"/>
            <w:u w:val="single"/>
          </w:rPr>
          <w:t>Trafficking in Persons Report</w:t>
        </w:r>
      </w:hyperlink>
      <w:r w:rsidRPr="009D0724">
        <w:rPr>
          <w:rFonts w:asciiTheme="majorHAnsi" w:eastAsia="Calibri" w:hAnsiTheme="majorHAnsi" w:cstheme="majorHAnsi"/>
          <w:color w:val="000000"/>
          <w:sz w:val="20"/>
          <w:szCs w:val="20"/>
        </w:rPr>
        <w:t xml:space="preserve">. 323.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ngsana New">
    <w:altName w:val="Leelawadee UI"/>
    <w:panose1 w:val="02020603050405020304"/>
    <w:charset w:val="00"/>
    <w:family w:val="roman"/>
    <w:pitch w:val="variable"/>
    <w:sig w:usb0="00000000"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BBD92D" w14:textId="77777777" w:rsidR="00ED412A" w:rsidRDefault="00ED412A">
      <w:r>
        <w:separator/>
      </w:r>
    </w:p>
  </w:footnote>
  <w:footnote w:type="continuationSeparator" w:id="0">
    <w:p w14:paraId="563BF83F" w14:textId="77777777" w:rsidR="00ED412A" w:rsidRDefault="00ED4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31369" w14:textId="31B23994" w:rsidR="0024552C" w:rsidRDefault="0024552C">
    <w:pPr>
      <w:pStyle w:val="Header"/>
      <w:jc w:val="right"/>
    </w:pPr>
  </w:p>
  <w:p w14:paraId="0C29CFA7" w14:textId="77777777" w:rsidR="0024552C" w:rsidRDefault="00245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F548B"/>
    <w:multiLevelType w:val="hybridMultilevel"/>
    <w:tmpl w:val="F5401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757249"/>
    <w:multiLevelType w:val="multilevel"/>
    <w:tmpl w:val="70C24F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CFE"/>
    <w:rsid w:val="002359DF"/>
    <w:rsid w:val="00244F84"/>
    <w:rsid w:val="0024552C"/>
    <w:rsid w:val="002825B4"/>
    <w:rsid w:val="002D6022"/>
    <w:rsid w:val="002F2F40"/>
    <w:rsid w:val="003975B6"/>
    <w:rsid w:val="004E7D97"/>
    <w:rsid w:val="005473FC"/>
    <w:rsid w:val="005B42F0"/>
    <w:rsid w:val="005F2EE6"/>
    <w:rsid w:val="00603C28"/>
    <w:rsid w:val="00621DE0"/>
    <w:rsid w:val="00622D10"/>
    <w:rsid w:val="00655173"/>
    <w:rsid w:val="0068053B"/>
    <w:rsid w:val="006C052E"/>
    <w:rsid w:val="006D67CD"/>
    <w:rsid w:val="006F6679"/>
    <w:rsid w:val="007216E8"/>
    <w:rsid w:val="009A4471"/>
    <w:rsid w:val="009D0724"/>
    <w:rsid w:val="00A70E87"/>
    <w:rsid w:val="00A83AD8"/>
    <w:rsid w:val="00B321D3"/>
    <w:rsid w:val="00B376EE"/>
    <w:rsid w:val="00B45871"/>
    <w:rsid w:val="00B75FEC"/>
    <w:rsid w:val="00B94347"/>
    <w:rsid w:val="00BB40CA"/>
    <w:rsid w:val="00BF115E"/>
    <w:rsid w:val="00C43E16"/>
    <w:rsid w:val="00C86C8D"/>
    <w:rsid w:val="00CA7079"/>
    <w:rsid w:val="00D13E31"/>
    <w:rsid w:val="00D5418F"/>
    <w:rsid w:val="00DB0CFE"/>
    <w:rsid w:val="00DF3CA9"/>
    <w:rsid w:val="00E36B91"/>
    <w:rsid w:val="00E526E6"/>
    <w:rsid w:val="00E52BF1"/>
    <w:rsid w:val="00ED412A"/>
    <w:rsid w:val="00ED4356"/>
    <w:rsid w:val="00F27DFA"/>
    <w:rsid w:val="00F44C22"/>
    <w:rsid w:val="00F61A44"/>
    <w:rsid w:val="00F7746D"/>
    <w:rsid w:val="00F975D3"/>
    <w:rsid w:val="00FB7A92"/>
    <w:rsid w:val="00FE563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DE40A0"/>
  <w15:docId w15:val="{86016BA3-1009-4F91-AACB-EF9CEAB00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outlineLvl w:val="0"/>
    </w:pPr>
    <w:rPr>
      <w:rFonts w:ascii="Calibri" w:eastAsia="Calibri" w:hAnsi="Calibri" w:cs="Calibri"/>
      <w:b/>
    </w:rPr>
  </w:style>
  <w:style w:type="paragraph" w:styleId="Heading2">
    <w:name w:val="heading 2"/>
    <w:basedOn w:val="Normal"/>
    <w:next w:val="Normal"/>
    <w:pPr>
      <w:keepNext/>
      <w:keepLines/>
      <w:spacing w:before="40"/>
      <w:outlineLvl w:val="1"/>
    </w:pPr>
    <w:rPr>
      <w:rFonts w:ascii="Calibri" w:eastAsia="Calibri" w:hAnsi="Calibri" w:cs="Calibri"/>
      <w:color w:val="2E75B5"/>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Pr>
      <w:rFonts w:ascii="Calibri" w:eastAsia="Calibri" w:hAnsi="Calibri" w:cs="Calibri"/>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458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5871"/>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473FC"/>
    <w:rPr>
      <w:b/>
      <w:bCs/>
    </w:rPr>
  </w:style>
  <w:style w:type="character" w:customStyle="1" w:styleId="CommentSubjectChar">
    <w:name w:val="Comment Subject Char"/>
    <w:basedOn w:val="CommentTextChar"/>
    <w:link w:val="CommentSubject"/>
    <w:uiPriority w:val="99"/>
    <w:semiHidden/>
    <w:rsid w:val="005473FC"/>
    <w:rPr>
      <w:b/>
      <w:bCs/>
      <w:sz w:val="20"/>
      <w:szCs w:val="20"/>
    </w:rPr>
  </w:style>
  <w:style w:type="paragraph" w:styleId="TOC1">
    <w:name w:val="toc 1"/>
    <w:basedOn w:val="Normal"/>
    <w:next w:val="Normal"/>
    <w:autoRedefine/>
    <w:uiPriority w:val="39"/>
    <w:unhideWhenUsed/>
    <w:rsid w:val="00DF3CA9"/>
    <w:pPr>
      <w:tabs>
        <w:tab w:val="right" w:pos="9350"/>
      </w:tabs>
      <w:spacing w:after="100" w:line="276" w:lineRule="auto"/>
    </w:pPr>
  </w:style>
  <w:style w:type="character" w:styleId="Hyperlink">
    <w:name w:val="Hyperlink"/>
    <w:basedOn w:val="DefaultParagraphFont"/>
    <w:uiPriority w:val="99"/>
    <w:unhideWhenUsed/>
    <w:rsid w:val="00B376EE"/>
    <w:rPr>
      <w:color w:val="0000FF" w:themeColor="hyperlink"/>
      <w:u w:val="single"/>
    </w:rPr>
  </w:style>
  <w:style w:type="paragraph" w:styleId="ListParagraph">
    <w:name w:val="List Paragraph"/>
    <w:basedOn w:val="Normal"/>
    <w:uiPriority w:val="34"/>
    <w:qFormat/>
    <w:rsid w:val="003975B6"/>
    <w:pPr>
      <w:ind w:left="720"/>
      <w:contextualSpacing/>
    </w:pPr>
  </w:style>
  <w:style w:type="paragraph" w:styleId="FootnoteText">
    <w:name w:val="footnote text"/>
    <w:basedOn w:val="Normal"/>
    <w:link w:val="FootnoteTextChar"/>
    <w:uiPriority w:val="99"/>
    <w:semiHidden/>
    <w:unhideWhenUsed/>
    <w:rsid w:val="004E7D97"/>
    <w:rPr>
      <w:sz w:val="20"/>
      <w:szCs w:val="20"/>
    </w:rPr>
  </w:style>
  <w:style w:type="character" w:customStyle="1" w:styleId="FootnoteTextChar">
    <w:name w:val="Footnote Text Char"/>
    <w:basedOn w:val="DefaultParagraphFont"/>
    <w:link w:val="FootnoteText"/>
    <w:uiPriority w:val="99"/>
    <w:semiHidden/>
    <w:rsid w:val="004E7D97"/>
    <w:rPr>
      <w:sz w:val="20"/>
      <w:szCs w:val="20"/>
    </w:rPr>
  </w:style>
  <w:style w:type="character" w:styleId="FootnoteReference">
    <w:name w:val="footnote reference"/>
    <w:basedOn w:val="DefaultParagraphFont"/>
    <w:uiPriority w:val="99"/>
    <w:semiHidden/>
    <w:unhideWhenUsed/>
    <w:rsid w:val="004E7D97"/>
    <w:rPr>
      <w:vertAlign w:val="superscript"/>
    </w:rPr>
  </w:style>
  <w:style w:type="paragraph" w:styleId="EndnoteText">
    <w:name w:val="endnote text"/>
    <w:basedOn w:val="Normal"/>
    <w:link w:val="EndnoteTextChar"/>
    <w:uiPriority w:val="99"/>
    <w:semiHidden/>
    <w:unhideWhenUsed/>
    <w:rsid w:val="004E7D97"/>
    <w:rPr>
      <w:sz w:val="20"/>
      <w:szCs w:val="20"/>
    </w:rPr>
  </w:style>
  <w:style w:type="character" w:customStyle="1" w:styleId="EndnoteTextChar">
    <w:name w:val="Endnote Text Char"/>
    <w:basedOn w:val="DefaultParagraphFont"/>
    <w:link w:val="EndnoteText"/>
    <w:uiPriority w:val="99"/>
    <w:semiHidden/>
    <w:rsid w:val="004E7D97"/>
    <w:rPr>
      <w:sz w:val="20"/>
      <w:szCs w:val="20"/>
    </w:rPr>
  </w:style>
  <w:style w:type="character" w:styleId="EndnoteReference">
    <w:name w:val="endnote reference"/>
    <w:basedOn w:val="DefaultParagraphFont"/>
    <w:uiPriority w:val="99"/>
    <w:semiHidden/>
    <w:unhideWhenUsed/>
    <w:rsid w:val="004E7D97"/>
    <w:rPr>
      <w:vertAlign w:val="superscript"/>
    </w:rPr>
  </w:style>
  <w:style w:type="paragraph" w:styleId="Header">
    <w:name w:val="header"/>
    <w:basedOn w:val="Normal"/>
    <w:link w:val="HeaderChar"/>
    <w:uiPriority w:val="99"/>
    <w:unhideWhenUsed/>
    <w:rsid w:val="0024552C"/>
    <w:pPr>
      <w:tabs>
        <w:tab w:val="center" w:pos="4680"/>
        <w:tab w:val="right" w:pos="9360"/>
      </w:tabs>
    </w:pPr>
  </w:style>
  <w:style w:type="character" w:customStyle="1" w:styleId="HeaderChar">
    <w:name w:val="Header Char"/>
    <w:basedOn w:val="DefaultParagraphFont"/>
    <w:link w:val="Header"/>
    <w:uiPriority w:val="99"/>
    <w:rsid w:val="0024552C"/>
  </w:style>
  <w:style w:type="paragraph" w:styleId="Footer">
    <w:name w:val="footer"/>
    <w:basedOn w:val="Normal"/>
    <w:link w:val="FooterChar"/>
    <w:uiPriority w:val="99"/>
    <w:unhideWhenUsed/>
    <w:rsid w:val="0024552C"/>
    <w:pPr>
      <w:tabs>
        <w:tab w:val="center" w:pos="4680"/>
        <w:tab w:val="right" w:pos="9360"/>
      </w:tabs>
    </w:pPr>
  </w:style>
  <w:style w:type="character" w:customStyle="1" w:styleId="FooterChar">
    <w:name w:val="Footer Char"/>
    <w:basedOn w:val="DefaultParagraphFont"/>
    <w:link w:val="Footer"/>
    <w:uiPriority w:val="99"/>
    <w:rsid w:val="00245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about:blank"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est.exch028.serverdata.net/owa/redir.aspx?C=ZD4qdHvdvefA55Gr1DYy58FIgsl8luT334DsqBq_ShpD1XpmSi3UCA..&amp;URL=http%3A%2F%2Fwww.helplinemauritius.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alleymovement.or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Halley@intnet.mu"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ecpat.org/" TargetMode="External"/></Relationships>
</file>

<file path=word/_rels/endnotes.xml.rels><?xml version="1.0" encoding="UTF-8" standalone="yes"?>
<Relationships xmlns="http://schemas.openxmlformats.org/package/2006/relationships"><Relationship Id="rId13" Type="http://schemas.openxmlformats.org/officeDocument/2006/relationships/hyperlink" Target="https://www.iom.int/news/iom-builds-capacity-combat-human-trafficking-mauritius" TargetMode="External"/><Relationship Id="rId18" Type="http://schemas.openxmlformats.org/officeDocument/2006/relationships/hyperlink" Target="https://www.unodc.org/documents/data-and-analysis/glotip/Glotip16_Country_profile_Sub-Saharan_Africa.pdf" TargetMode="External"/><Relationship Id="rId26" Type="http://schemas.openxmlformats.org/officeDocument/2006/relationships/hyperlink" Target="https://sustainabledevelopment.un.org/content/documents/23462Mauritius_VNR_Report_2019.pdf" TargetMode="External"/><Relationship Id="rId39" Type="http://schemas.openxmlformats.org/officeDocument/2006/relationships/hyperlink" Target="https://tbinternet.ohchr.org/_layouts/15/treatybodyexternal/Download.aspx?symbolno=CRC%2fC%2fMUS%2f3-5&amp;Lang=en" TargetMode="External"/><Relationship Id="rId21" Type="http://schemas.openxmlformats.org/officeDocument/2006/relationships/hyperlink" Target="https://www.ecpat.org/wp-content/uploads/2019/06/Mauritius-ECPAT-Country-Overview-Mauritius-July-2019.pdf" TargetMode="External"/><Relationship Id="rId34" Type="http://schemas.openxmlformats.org/officeDocument/2006/relationships/hyperlink" Target="http://oco.govmu.org/English/Documents/Annual%20Reports/Ombudsperson%20AR%202017-2018.pdf" TargetMode="External"/><Relationship Id="rId42" Type="http://schemas.openxmlformats.org/officeDocument/2006/relationships/hyperlink" Target="http://dpp.govmu.org/English/Documents/Legislation/CHILD%20PROTECTION.pdf" TargetMode="External"/><Relationship Id="rId47" Type="http://schemas.openxmlformats.org/officeDocument/2006/relationships/hyperlink" Target="http://attorneygeneral.govmu.org/English/Documents/A-Z%20Acts/C/Page%203/CRIMINAL%20CODE%2C%20Cap%20195.pdf" TargetMode="External"/><Relationship Id="rId50" Type="http://schemas.openxmlformats.org/officeDocument/2006/relationships/hyperlink" Target="http://attorneygeneral.govmu.org/English/Documents/A-Z%20Acts/C/Page%203/CRIMINAL%20CODE%2C%20Cap%20195.pdf" TargetMode="External"/><Relationship Id="rId55" Type="http://schemas.openxmlformats.org/officeDocument/2006/relationships/hyperlink" Target="http://attorneygeneral.govmu.org/English/Documents/A-Z%20Acts/C/Page%202/COMBATING%20OF%20TRAFFICKING%20IN%20PERSONS%20ACT.pdf" TargetMode="External"/><Relationship Id="rId63" Type="http://schemas.openxmlformats.org/officeDocument/2006/relationships/hyperlink" Target="http://attorneygeneral.govmu.org/English/Documents/A-Z%20Acts/C/Page%202/COMBATING%20OF%20TRAFFICKING%20IN%20PERSONS%20ACT.pdf" TargetMode="External"/><Relationship Id="rId68" Type="http://schemas.openxmlformats.org/officeDocument/2006/relationships/hyperlink" Target="http://attorneygeneral.govmu.org/English/Documents/A-Z%20Acts/O/OMBUDSPERSON%20FOR%20CHILDREN%20ACT%2C%20No%2041%20of%202003.pdf" TargetMode="External"/><Relationship Id="rId76" Type="http://schemas.openxmlformats.org/officeDocument/2006/relationships/hyperlink" Target="http://attorneygeneral.govmu.org/English/Documents/A-Z%20Acts/C/Page%202/COURTS%20ACT.pdf" TargetMode="External"/><Relationship Id="rId7" Type="http://schemas.openxmlformats.org/officeDocument/2006/relationships/hyperlink" Target="http://dpp.govmu.org/English/Documents/Issue78.pdf" TargetMode="External"/><Relationship Id="rId71" Type="http://schemas.openxmlformats.org/officeDocument/2006/relationships/hyperlink" Target="http://dpp.govmu.org/English/Documents/Legislation/CHILD%20PROTECTION.pdf" TargetMode="External"/><Relationship Id="rId2" Type="http://schemas.openxmlformats.org/officeDocument/2006/relationships/hyperlink" Target="https://data.unicef.org/resources/state-of-the-worlds-children-2019/" TargetMode="External"/><Relationship Id="rId16" Type="http://schemas.openxmlformats.org/officeDocument/2006/relationships/hyperlink" Target="http://oco.govmu.org/English/Documents/Annual%20Reports/Ombudsperson%20AR%202017-2018.pdf" TargetMode="External"/><Relationship Id="rId29" Type="http://schemas.openxmlformats.org/officeDocument/2006/relationships/hyperlink" Target="http://gender.govmu.org/English/Pages/Units/Child-Development-Unit.aspx" TargetMode="External"/><Relationship Id="rId11" Type="http://schemas.openxmlformats.org/officeDocument/2006/relationships/hyperlink" Target="https://www.itu.int/itu-d/apis/clients/res/pdf/country_profile/report_MUS.pdf" TargetMode="External"/><Relationship Id="rId24" Type="http://schemas.openxmlformats.org/officeDocument/2006/relationships/hyperlink" Target="https://theconversation.com/its-time-mauritius-took-decisive-steps-to-outlaw-child-marriages-99226" TargetMode="External"/><Relationship Id="rId32" Type="http://schemas.openxmlformats.org/officeDocument/2006/relationships/hyperlink" Target="http://mauritiusassembly.govmu.org/English/hansard/Documents/2016/hansard1716.pdf" TargetMode="External"/><Relationship Id="rId37" Type="http://schemas.openxmlformats.org/officeDocument/2006/relationships/hyperlink" Target="http://www.govmu.org/English/News/Pages/Safer-Internet-Day-2018-promotes-more-responsible-use-of-internet-.aspx" TargetMode="External"/><Relationship Id="rId40" Type="http://schemas.openxmlformats.org/officeDocument/2006/relationships/hyperlink" Target="http://dpp.govmu.org/English/Documents/Legislation/CHILD%20PROTECTION.pdf" TargetMode="External"/><Relationship Id="rId45" Type="http://schemas.openxmlformats.org/officeDocument/2006/relationships/hyperlink" Target="http://attorneygeneral.govmu.org/English/Documents/A-Z%20Acts/C/Page%203/CRIMINAL%20CODE%2C%20Cap%20195.pdf" TargetMode="External"/><Relationship Id="rId53" Type="http://schemas.openxmlformats.org/officeDocument/2006/relationships/hyperlink" Target="http://dpp.govmu.org/English/Documents/Legislation/CHILD%20PROTECTION.pdf" TargetMode="External"/><Relationship Id="rId58" Type="http://schemas.openxmlformats.org/officeDocument/2006/relationships/hyperlink" Target="http://www.mcci.org/media/35821/tourism-authority-act-2006.pdf" TargetMode="External"/><Relationship Id="rId66" Type="http://schemas.openxmlformats.org/officeDocument/2006/relationships/hyperlink" Target="http://oco.govmu.org/English/Documents/Annual%20Reports/Ombudsperson%20AR%202017-2018.pdf" TargetMode="External"/><Relationship Id="rId74" Type="http://schemas.openxmlformats.org/officeDocument/2006/relationships/hyperlink" Target="http://attorneygeneral.govmu.org/English/Documents/A-Z%20Acts/C/Page%202/CODE%20CIVIL%20MAURICIEN.pdf" TargetMode="External"/><Relationship Id="rId79" Type="http://schemas.openxmlformats.org/officeDocument/2006/relationships/hyperlink" Target="https://tbinternet.ohchr.org/_layouts/15/treatybodyexternal/Download.aspx?symbolno=CEDAW%2fC%2fMUS%2f8&amp;Lang=en" TargetMode="External"/><Relationship Id="rId5" Type="http://schemas.openxmlformats.org/officeDocument/2006/relationships/hyperlink" Target="https://www.cia.gov/library/publications/the-world-factbook/geos/mp.html" TargetMode="External"/><Relationship Id="rId61" Type="http://schemas.openxmlformats.org/officeDocument/2006/relationships/hyperlink" Target="http://attorneygeneral.govmu.org/English/Documents/A-Z%20Acts/C/Page%202/CODE%20CIVIL%20MAURICIEN.pdf" TargetMode="External"/><Relationship Id="rId82" Type="http://schemas.openxmlformats.org/officeDocument/2006/relationships/hyperlink" Target="https://www.state.gov/wp-content/uploads/2019/06/2019-Trafficking-in-Persons-Report.pdf" TargetMode="External"/><Relationship Id="rId10" Type="http://schemas.openxmlformats.org/officeDocument/2006/relationships/hyperlink" Target="https://yuvamauritius.com/tag/human-trafficking/" TargetMode="External"/><Relationship Id="rId19" Type="http://schemas.openxmlformats.org/officeDocument/2006/relationships/hyperlink" Target="http://www3.weforum.org/docs/WEF_TTCR_2019.pdf" TargetMode="External"/><Relationship Id="rId31" Type="http://schemas.openxmlformats.org/officeDocument/2006/relationships/hyperlink" Target="http://www.govmu.org/English/News/Pages/PM-Mauritius-has-solid-reputation-for-respect-of-Human-Rights.aspx" TargetMode="External"/><Relationship Id="rId44" Type="http://schemas.openxmlformats.org/officeDocument/2006/relationships/hyperlink" Target="http://attorneygeneral.govmu.org/English/Documents/A-Z%20Acts/C/Page%203/CRIMINAL%20CODE%2C%20Cap%20195.pdf" TargetMode="External"/><Relationship Id="rId52" Type="http://schemas.openxmlformats.org/officeDocument/2006/relationships/hyperlink" Target="http://dpp.govmu.org/English/Documents/Legislation/CHILD%20PROTECTION.pdf" TargetMode="External"/><Relationship Id="rId60" Type="http://schemas.openxmlformats.org/officeDocument/2006/relationships/hyperlink" Target="http://attorneygeneral.govmu.org/English/Documents/A-Z%20Acts/C/Page%202/CODE%20CIVIL%20MAURICIEN.pdf" TargetMode="External"/><Relationship Id="rId65" Type="http://schemas.openxmlformats.org/officeDocument/2006/relationships/hyperlink" Target="https://www.ecpat.org/wp-content/uploads/2019/06/Mauritius-ECPAT-Country-Overview-Mauritius-July-2019.pdf" TargetMode="External"/><Relationship Id="rId73" Type="http://schemas.openxmlformats.org/officeDocument/2006/relationships/hyperlink" Target="http://attorneygeneral.govmu.org/English/Documents/A-Z%20Acts/C/Page%202/CODE%20CIVIL%20MAURICIEN.pdf" TargetMode="External"/><Relationship Id="rId78" Type="http://schemas.openxmlformats.org/officeDocument/2006/relationships/hyperlink" Target="https://www.dol.gov/agencies/ilab/resources/reports/child-labor/mauritius" TargetMode="External"/><Relationship Id="rId81" Type="http://schemas.openxmlformats.org/officeDocument/2006/relationships/hyperlink" Target="http://attorneygeneral.govmu.org/English/Documents/A-Z%20Acts/C/Page%202/COMBATING%20OF%20TRAFFICKING%20IN%20PERSONS%20ACT.pdf" TargetMode="External"/><Relationship Id="rId4" Type="http://schemas.openxmlformats.org/officeDocument/2006/relationships/hyperlink" Target="http://hdr.undp.org/sites/all/themes/hdr_theme/country-notes/MUS.pdf" TargetMode="External"/><Relationship Id="rId9" Type="http://schemas.openxmlformats.org/officeDocument/2006/relationships/hyperlink" Target="https://www.state.gov/wp-content/uploads/2019/01/282798.pdf" TargetMode="External"/><Relationship Id="rId14" Type="http://schemas.openxmlformats.org/officeDocument/2006/relationships/hyperlink" Target="https://www.academia.edu/30105720/Public_Policy_Child_Trafficking_in_Mauritius" TargetMode="External"/><Relationship Id="rId22" Type="http://schemas.openxmlformats.org/officeDocument/2006/relationships/hyperlink" Target="https://www.ecpat.org/wp-content/uploads/2019/06/Mauritius-ECPAT-Country-Overview-Mauritius-July-2019.pdf" TargetMode="External"/><Relationship Id="rId27" Type="http://schemas.openxmlformats.org/officeDocument/2006/relationships/hyperlink" Target="https://www.dol.gov/agencies/ilab/resources/reports/child-labor/mauritius" TargetMode="External"/><Relationship Id="rId30" Type="http://schemas.openxmlformats.org/officeDocument/2006/relationships/hyperlink" Target="https://www.dol.gov/agencies/ilab/resources/reports/child-labor/mauritius" TargetMode="External"/><Relationship Id="rId35" Type="http://schemas.openxmlformats.org/officeDocument/2006/relationships/hyperlink" Target="http://oco.govmu.org/English/Documents/Annual%20Reports/Ombudsperson%20AR%202017-2018.pdf" TargetMode="External"/><Relationship Id="rId43" Type="http://schemas.openxmlformats.org/officeDocument/2006/relationships/hyperlink" Target="http://attorneygeneral.govmu.org/English/Documents/A-Z%20Acts/C/Page%203/CRIMINAL%20CODE%2C%20Cap%20195.pdf" TargetMode="External"/><Relationship Id="rId48" Type="http://schemas.openxmlformats.org/officeDocument/2006/relationships/hyperlink" Target="http://attorneygeneral.govmu.org/English/Documents/A-Z%20Acts/C/Page%203/CRIMINAL%20CODE%2C%20Cap%20195.pdf" TargetMode="External"/><Relationship Id="rId56" Type="http://schemas.openxmlformats.org/officeDocument/2006/relationships/hyperlink" Target="http://attorneygeneral.govmu.org/English/Documents/A-Z%20Acts/C/Page%202/COMBATING%20OF%20TRAFFICKING%20IN%20PERSONS%20ACT.pdf" TargetMode="External"/><Relationship Id="rId64" Type="http://schemas.openxmlformats.org/officeDocument/2006/relationships/hyperlink" Target="http://mauritiusassembly.govmu.org/English/acts/Documents/2017/act0717.pdf" TargetMode="External"/><Relationship Id="rId69" Type="http://schemas.openxmlformats.org/officeDocument/2006/relationships/hyperlink" Target="https://www.childrightsconnect.org/wp-content/uploads/2013/10/Mauritius_Session-Report_CRC.pdf" TargetMode="External"/><Relationship Id="rId77" Type="http://schemas.openxmlformats.org/officeDocument/2006/relationships/hyperlink" Target="http://oco.govmu.org/English/Documents/Annual%20Reports/Ombudsperson%20AR%202017-2018.pdf" TargetMode="External"/><Relationship Id="rId8" Type="http://schemas.openxmlformats.org/officeDocument/2006/relationships/hyperlink" Target="http://statsmauritius.govmu.org/English/StatsbySubj/Documents/Digest/Crime_Justice_Security/Digest_CJS_Yr18.pdf" TargetMode="External"/><Relationship Id="rId51" Type="http://schemas.openxmlformats.org/officeDocument/2006/relationships/hyperlink" Target="http://dpp.govmu.org/English/Documents/Legislation/CHILD%20PROTECTION.pdf" TargetMode="External"/><Relationship Id="rId72" Type="http://schemas.openxmlformats.org/officeDocument/2006/relationships/hyperlink" Target="http://attorneygeneral.govmu.org/English/Documents/A-Z%20Acts/C/Page%203/CRIMINAL%20PROCEDURE%20ACT.pdf" TargetMode="External"/><Relationship Id="rId80" Type="http://schemas.openxmlformats.org/officeDocument/2006/relationships/hyperlink" Target="https://www.state.gov/wp-content/uploads/2019/06/2019-Trafficking-in-Persons-Report.pdf" TargetMode="External"/><Relationship Id="rId3" Type="http://schemas.openxmlformats.org/officeDocument/2006/relationships/hyperlink" Target="http://databank.worldbank.org/data/download/GDP.pdf" TargetMode="External"/><Relationship Id="rId12" Type="http://schemas.openxmlformats.org/officeDocument/2006/relationships/hyperlink" Target="https://www.ecpat.org/wp-content/uploads/2019/06/Mauritius-ECPAT-Country-Overview-Mauritius-July-2019.pdf" TargetMode="External"/><Relationship Id="rId17" Type="http://schemas.openxmlformats.org/officeDocument/2006/relationships/hyperlink" Target="https://www.state.gov/wp-content/uploads/2019/06/2019-Trafficking-in-Persons-Report.pdf" TargetMode="External"/><Relationship Id="rId25" Type="http://schemas.openxmlformats.org/officeDocument/2006/relationships/hyperlink" Target="http://www.govmu.org/English/News/Pages/Minister-of-Gender-Equality,-Child-Development-and-Family-Welfare-calls-for-reforms.aspx" TargetMode="External"/><Relationship Id="rId33" Type="http://schemas.openxmlformats.org/officeDocument/2006/relationships/hyperlink" Target="https://www.ecpat.org/wp-content/uploads/2019/06/Mauritius-ECPAT-Country-Overview-Mauritius-July-2019.pdf" TargetMode="External"/><Relationship Id="rId38" Type="http://schemas.openxmlformats.org/officeDocument/2006/relationships/hyperlink" Target="https://www.dol.gov/agencies/ilab/resources/reports/child-labor/mauritius" TargetMode="External"/><Relationship Id="rId46" Type="http://schemas.openxmlformats.org/officeDocument/2006/relationships/hyperlink" Target="http://attorneygeneral.govmu.org/English/Documents/A-Z%20Acts/C/Page%203/CRIMINAL%20CODE%2C%20Cap%20195.pdf" TargetMode="External"/><Relationship Id="rId59" Type="http://schemas.openxmlformats.org/officeDocument/2006/relationships/hyperlink" Target="http://attorneygeneral.govmu.org/English/Documents/A-Z%20Acts/C/Page%202/CODE%20CIVIL%20MAURICIEN.pdf" TargetMode="External"/><Relationship Id="rId67" Type="http://schemas.openxmlformats.org/officeDocument/2006/relationships/hyperlink" Target="http://attorneygeneral.govmu.org/English/Documents/A-Z%20Acts/O/OMBUDSPERSON%20FOR%20CHILDREN%20ACT%2C%20No%2041%20of%202003.pdf" TargetMode="External"/><Relationship Id="rId20" Type="http://schemas.openxmlformats.org/officeDocument/2006/relationships/hyperlink" Target="https://protectingchildrenintourism.org/wp-content/uploads/2018/10/Global-Report-Offenders-on-the-Move.pdf" TargetMode="External"/><Relationship Id="rId41" Type="http://schemas.openxmlformats.org/officeDocument/2006/relationships/hyperlink" Target="http://dpp.govmu.org/English/Documents/Legislation/CHILD%20PROTECTION.pdf" TargetMode="External"/><Relationship Id="rId54" Type="http://schemas.openxmlformats.org/officeDocument/2006/relationships/hyperlink" Target="https://tbinternet.ohchr.org/_layouts/15/treatybodyexternal/Download.aspx?symbolno=CRC%2fC%2fMUS%2f3-5&amp;Lang=en" TargetMode="External"/><Relationship Id="rId62" Type="http://schemas.openxmlformats.org/officeDocument/2006/relationships/hyperlink" Target="https://tbinternet.ohchr.org/Treaties/CEDAW/Shared%20Documents/MUS/INT_CEDAW_CSS_MUS_32748_E.pdf" TargetMode="External"/><Relationship Id="rId70" Type="http://schemas.openxmlformats.org/officeDocument/2006/relationships/hyperlink" Target="http://dpp.govmu.org/English/Documents/Legislation/CHILD%20PROTECTION.pdf" TargetMode="External"/><Relationship Id="rId75" Type="http://schemas.openxmlformats.org/officeDocument/2006/relationships/hyperlink" Target="http://attorneygeneral.govmu.org/English/Documents/A-Z%20Acts/C/Page%202/COURTS%20ACT.pdf" TargetMode="External"/><Relationship Id="rId1" Type="http://schemas.openxmlformats.org/officeDocument/2006/relationships/hyperlink" Target="http://luxembourgguidelines.org/english-version/" TargetMode="External"/><Relationship Id="rId6" Type="http://schemas.openxmlformats.org/officeDocument/2006/relationships/hyperlink" Target="https://www.dol.gov/agencies/ilab/resources/reports/child-labor/mauritius" TargetMode="External"/><Relationship Id="rId15" Type="http://schemas.openxmlformats.org/officeDocument/2006/relationships/hyperlink" Target="https://www.state.gov/wp-content/uploads/2019/06/2019-Trafficking-in-Persons-Report.pdf" TargetMode="External"/><Relationship Id="rId23" Type="http://schemas.openxmlformats.org/officeDocument/2006/relationships/hyperlink" Target="https://www.girlsnotbrides.org/where-does-it-happen/atlas/mauritius" TargetMode="External"/><Relationship Id="rId28" Type="http://schemas.openxmlformats.org/officeDocument/2006/relationships/hyperlink" Target="https://tbinternet.ohchr.org/_layouts/15/treatybodyexternal/Download.aspx?symbolno=CRC%2fC%2fMUS%2fCO%2f3-5&amp;amp;Lang=en" TargetMode="External"/><Relationship Id="rId36" Type="http://schemas.openxmlformats.org/officeDocument/2006/relationships/hyperlink" Target="https://www.state.gov/wp-content/uploads/2019/06/2019-Trafficking-in-Persons-Report.pdf" TargetMode="External"/><Relationship Id="rId49" Type="http://schemas.openxmlformats.org/officeDocument/2006/relationships/hyperlink" Target="http://attorneygeneral.govmu.org/English/Documents/A-Z%20Acts/C/Page%203/CRIMINAL%20CODE%2C%20Cap%20195.pdf" TargetMode="External"/><Relationship Id="rId57" Type="http://schemas.openxmlformats.org/officeDocument/2006/relationships/hyperlink" Target="http://dpp.govmu.org/English/Documents/Legislation/CHILD%20PROTEC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823641-C8C0-48FB-BE7D-64D0ACEE3A59}">
  <ds:schemaRefs>
    <ds:schemaRef ds:uri="http://schemas.openxmlformats.org/officeDocument/2006/bibliography"/>
  </ds:schemaRefs>
</ds:datastoreItem>
</file>

<file path=customXml/itemProps2.xml><?xml version="1.0" encoding="utf-8"?>
<ds:datastoreItem xmlns:ds="http://schemas.openxmlformats.org/officeDocument/2006/customXml" ds:itemID="{E78200B4-1F5E-48EF-AEE2-0607CCE6C3EA}"/>
</file>

<file path=customXml/itemProps3.xml><?xml version="1.0" encoding="utf-8"?>
<ds:datastoreItem xmlns:ds="http://schemas.openxmlformats.org/officeDocument/2006/customXml" ds:itemID="{9C86795D-EAF7-458C-8075-BC5CF1CEC7A6}"/>
</file>

<file path=customXml/itemProps4.xml><?xml version="1.0" encoding="utf-8"?>
<ds:datastoreItem xmlns:ds="http://schemas.openxmlformats.org/officeDocument/2006/customXml" ds:itemID="{9F2F6362-CE6B-464E-8BD5-F159D0EF75DA}"/>
</file>

<file path=docProps/app.xml><?xml version="1.0" encoding="utf-8"?>
<Properties xmlns="http://schemas.openxmlformats.org/officeDocument/2006/extended-properties" xmlns:vt="http://schemas.openxmlformats.org/officeDocument/2006/docPropsVTypes">
  <Template>Normal.dotm</Template>
  <TotalTime>0</TotalTime>
  <Pages>12</Pages>
  <Words>3466</Words>
  <Characters>19917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Varrella</dc:creator>
  <cp:lastModifiedBy>BOIT James</cp:lastModifiedBy>
  <cp:revision>2</cp:revision>
  <dcterms:created xsi:type="dcterms:W3CDTF">2020-05-26T15:36:00Z</dcterms:created>
  <dcterms:modified xsi:type="dcterms:W3CDTF">2020-05-26T15:36:00Z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