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B11CF9" w14:textId="77777777" w:rsidR="0052124B" w:rsidRDefault="0052124B" w:rsidP="002B7346">
      <w:pPr>
        <w:spacing w:after="0"/>
        <w:rPr>
          <w:rFonts w:eastAsiaTheme="majorEastAsia" w:cstheme="majorBidi"/>
          <w:b/>
          <w:color w:val="2F5496" w:themeColor="accent1" w:themeShade="BF"/>
          <w:sz w:val="28"/>
          <w:szCs w:val="32"/>
          <w:lang w:val="es-MX"/>
        </w:rPr>
      </w:pPr>
    </w:p>
    <w:p w14:paraId="2A3AED7B" w14:textId="77777777" w:rsidR="0052124B" w:rsidRDefault="0052124B" w:rsidP="002B7346">
      <w:pPr>
        <w:spacing w:after="0"/>
        <w:rPr>
          <w:rFonts w:eastAsiaTheme="majorEastAsia" w:cstheme="majorBidi"/>
          <w:b/>
          <w:color w:val="2F5496" w:themeColor="accent1" w:themeShade="BF"/>
          <w:sz w:val="28"/>
          <w:szCs w:val="32"/>
          <w:lang w:val="es-MX"/>
        </w:rPr>
      </w:pPr>
    </w:p>
    <w:p w14:paraId="128E4FD8" w14:textId="77777777" w:rsidR="0052124B" w:rsidRDefault="0052124B" w:rsidP="002B7346">
      <w:pPr>
        <w:spacing w:after="0"/>
        <w:rPr>
          <w:rFonts w:eastAsiaTheme="majorEastAsia" w:cstheme="majorBidi"/>
          <w:b/>
          <w:color w:val="2F5496" w:themeColor="accent1" w:themeShade="BF"/>
          <w:sz w:val="28"/>
          <w:szCs w:val="32"/>
          <w:lang w:val="es-MX"/>
        </w:rPr>
      </w:pPr>
    </w:p>
    <w:p w14:paraId="3DCF0D77" w14:textId="77777777" w:rsidR="0052124B" w:rsidRDefault="0052124B" w:rsidP="002B7346">
      <w:pPr>
        <w:spacing w:after="0"/>
        <w:rPr>
          <w:rFonts w:eastAsiaTheme="majorEastAsia" w:cstheme="majorBidi"/>
          <w:b/>
          <w:color w:val="2F5496" w:themeColor="accent1" w:themeShade="BF"/>
          <w:sz w:val="28"/>
          <w:szCs w:val="32"/>
          <w:lang w:val="es-MX"/>
        </w:rPr>
      </w:pPr>
    </w:p>
    <w:p w14:paraId="1B8FBE3F" w14:textId="77777777" w:rsidR="0052124B" w:rsidRDefault="0052124B" w:rsidP="002B7346">
      <w:pPr>
        <w:spacing w:after="0"/>
        <w:rPr>
          <w:rFonts w:eastAsiaTheme="majorEastAsia" w:cstheme="majorBidi"/>
          <w:b/>
          <w:color w:val="2F5496" w:themeColor="accent1" w:themeShade="BF"/>
          <w:sz w:val="28"/>
          <w:szCs w:val="32"/>
          <w:lang w:val="es-MX"/>
        </w:rPr>
      </w:pPr>
    </w:p>
    <w:p w14:paraId="42D929DA" w14:textId="77777777" w:rsidR="0052124B" w:rsidRDefault="0052124B" w:rsidP="002B7346">
      <w:pPr>
        <w:spacing w:after="0"/>
        <w:rPr>
          <w:rFonts w:eastAsiaTheme="majorEastAsia" w:cstheme="majorBidi"/>
          <w:b/>
          <w:color w:val="2F5496" w:themeColor="accent1" w:themeShade="BF"/>
          <w:sz w:val="28"/>
          <w:szCs w:val="32"/>
          <w:lang w:val="es-MX"/>
        </w:rPr>
      </w:pPr>
    </w:p>
    <w:p w14:paraId="217DBF91" w14:textId="77777777" w:rsidR="0052124B" w:rsidRDefault="0052124B" w:rsidP="002B7346">
      <w:pPr>
        <w:spacing w:after="0"/>
        <w:rPr>
          <w:rFonts w:eastAsiaTheme="majorEastAsia" w:cstheme="majorBidi"/>
          <w:b/>
          <w:color w:val="2F5496" w:themeColor="accent1" w:themeShade="BF"/>
          <w:sz w:val="28"/>
          <w:szCs w:val="32"/>
          <w:lang w:val="es-MX"/>
        </w:rPr>
      </w:pPr>
    </w:p>
    <w:p w14:paraId="38473894" w14:textId="77777777" w:rsidR="0052124B" w:rsidRDefault="0052124B" w:rsidP="002B7346">
      <w:pPr>
        <w:spacing w:after="0"/>
        <w:rPr>
          <w:rFonts w:eastAsiaTheme="majorEastAsia" w:cstheme="majorBidi"/>
          <w:b/>
          <w:color w:val="2F5496" w:themeColor="accent1" w:themeShade="BF"/>
          <w:sz w:val="28"/>
          <w:szCs w:val="32"/>
          <w:lang w:val="es-MX"/>
        </w:rPr>
      </w:pPr>
    </w:p>
    <w:p w14:paraId="355018CF" w14:textId="77777777" w:rsidR="0052124B" w:rsidRDefault="0052124B" w:rsidP="002B7346">
      <w:pPr>
        <w:spacing w:after="0"/>
        <w:rPr>
          <w:rFonts w:eastAsiaTheme="majorEastAsia" w:cstheme="majorBidi"/>
          <w:b/>
          <w:color w:val="2F5496" w:themeColor="accent1" w:themeShade="BF"/>
          <w:sz w:val="28"/>
          <w:szCs w:val="32"/>
          <w:lang w:val="es-MX"/>
        </w:rPr>
      </w:pPr>
    </w:p>
    <w:p w14:paraId="63936237" w14:textId="77777777" w:rsidR="0052124B" w:rsidRDefault="0052124B" w:rsidP="002B7346">
      <w:pPr>
        <w:spacing w:after="0"/>
        <w:rPr>
          <w:rFonts w:eastAsiaTheme="majorEastAsia" w:cstheme="majorBidi"/>
          <w:b/>
          <w:color w:val="2F5496" w:themeColor="accent1" w:themeShade="BF"/>
          <w:sz w:val="28"/>
          <w:szCs w:val="32"/>
          <w:lang w:val="es-MX"/>
        </w:rPr>
      </w:pPr>
    </w:p>
    <w:p w14:paraId="32D26E9D" w14:textId="77777777" w:rsidR="0052124B" w:rsidRDefault="0052124B" w:rsidP="002B7346">
      <w:pPr>
        <w:spacing w:after="0"/>
        <w:rPr>
          <w:rFonts w:eastAsiaTheme="majorEastAsia" w:cstheme="majorBidi"/>
          <w:b/>
          <w:color w:val="2F5496" w:themeColor="accent1" w:themeShade="BF"/>
          <w:sz w:val="28"/>
          <w:szCs w:val="32"/>
          <w:lang w:val="es-MX"/>
        </w:rPr>
      </w:pPr>
    </w:p>
    <w:p w14:paraId="2F0B83F7" w14:textId="77777777" w:rsidR="0052124B" w:rsidRDefault="0052124B" w:rsidP="002B7346">
      <w:pPr>
        <w:spacing w:after="0"/>
        <w:rPr>
          <w:rFonts w:eastAsiaTheme="majorEastAsia" w:cstheme="majorBidi"/>
          <w:b/>
          <w:color w:val="2F5496" w:themeColor="accent1" w:themeShade="BF"/>
          <w:sz w:val="28"/>
          <w:szCs w:val="32"/>
          <w:lang w:val="es-MX"/>
        </w:rPr>
      </w:pPr>
    </w:p>
    <w:p w14:paraId="0FC3573B" w14:textId="77777777" w:rsidR="0052124B" w:rsidRDefault="0052124B" w:rsidP="002B7346">
      <w:pPr>
        <w:spacing w:after="0"/>
        <w:rPr>
          <w:rFonts w:eastAsiaTheme="majorEastAsia" w:cstheme="majorBidi"/>
          <w:b/>
          <w:color w:val="2F5496" w:themeColor="accent1" w:themeShade="BF"/>
          <w:sz w:val="28"/>
          <w:szCs w:val="32"/>
          <w:lang w:val="es-MX"/>
        </w:rPr>
      </w:pPr>
    </w:p>
    <w:p w14:paraId="278051A4" w14:textId="77777777" w:rsidR="0052124B" w:rsidRDefault="0052124B" w:rsidP="002B7346">
      <w:pPr>
        <w:spacing w:after="0"/>
        <w:rPr>
          <w:rFonts w:eastAsiaTheme="majorEastAsia" w:cstheme="majorBidi"/>
          <w:b/>
          <w:color w:val="2F5496" w:themeColor="accent1" w:themeShade="BF"/>
          <w:sz w:val="28"/>
          <w:szCs w:val="32"/>
          <w:lang w:val="es-MX"/>
        </w:rPr>
      </w:pPr>
    </w:p>
    <w:p w14:paraId="34700C8B" w14:textId="77777777" w:rsidR="0052124B" w:rsidRDefault="0052124B" w:rsidP="002B7346">
      <w:pPr>
        <w:spacing w:after="0"/>
        <w:rPr>
          <w:rFonts w:eastAsiaTheme="majorEastAsia" w:cstheme="majorBidi"/>
          <w:b/>
          <w:color w:val="2F5496" w:themeColor="accent1" w:themeShade="BF"/>
          <w:sz w:val="28"/>
          <w:szCs w:val="32"/>
          <w:lang w:val="es-MX"/>
        </w:rPr>
      </w:pPr>
    </w:p>
    <w:p w14:paraId="4EEE2331" w14:textId="77777777" w:rsidR="0052124B" w:rsidRDefault="0052124B" w:rsidP="002B7346">
      <w:pPr>
        <w:spacing w:after="0"/>
        <w:rPr>
          <w:rFonts w:eastAsiaTheme="majorEastAsia" w:cstheme="majorBidi"/>
          <w:b/>
          <w:color w:val="2F5496" w:themeColor="accent1" w:themeShade="BF"/>
          <w:sz w:val="28"/>
          <w:szCs w:val="32"/>
          <w:lang w:val="es-MX"/>
        </w:rPr>
      </w:pPr>
    </w:p>
    <w:p w14:paraId="4E4556CF" w14:textId="1684DF82" w:rsidR="00360770" w:rsidRPr="00772786" w:rsidRDefault="00360770" w:rsidP="00BC636A">
      <w:pPr>
        <w:spacing w:after="0"/>
        <w:jc w:val="center"/>
        <w:rPr>
          <w:rFonts w:eastAsiaTheme="majorEastAsia" w:cstheme="majorBidi"/>
          <w:b/>
          <w:color w:val="2F5496" w:themeColor="accent1" w:themeShade="BF"/>
          <w:sz w:val="28"/>
          <w:szCs w:val="32"/>
          <w:lang w:val="es-MX"/>
        </w:rPr>
      </w:pPr>
      <w:r w:rsidRPr="00772786">
        <w:rPr>
          <w:rFonts w:eastAsiaTheme="majorEastAsia" w:cstheme="majorBidi"/>
          <w:b/>
          <w:color w:val="2F5496" w:themeColor="accent1" w:themeShade="BF"/>
          <w:sz w:val="28"/>
          <w:szCs w:val="32"/>
          <w:lang w:val="es-MX"/>
        </w:rPr>
        <w:t xml:space="preserve">Comentarios </w:t>
      </w:r>
      <w:r>
        <w:rPr>
          <w:rFonts w:eastAsiaTheme="majorEastAsia" w:cstheme="majorBidi"/>
          <w:b/>
          <w:color w:val="2F5496" w:themeColor="accent1" w:themeShade="BF"/>
          <w:sz w:val="28"/>
          <w:szCs w:val="32"/>
          <w:lang w:val="es-MX"/>
        </w:rPr>
        <w:t xml:space="preserve">del </w:t>
      </w:r>
      <w:r w:rsidRPr="00772786">
        <w:rPr>
          <w:rFonts w:eastAsiaTheme="majorEastAsia" w:cstheme="majorBidi"/>
          <w:b/>
          <w:color w:val="2F5496" w:themeColor="accent1" w:themeShade="BF"/>
          <w:sz w:val="28"/>
          <w:szCs w:val="32"/>
          <w:lang w:val="es-MX"/>
        </w:rPr>
        <w:t>Centro de la Mujer Peruana Flora Tristán</w:t>
      </w:r>
      <w:r>
        <w:rPr>
          <w:rFonts w:eastAsiaTheme="majorEastAsia" w:cstheme="majorBidi"/>
          <w:b/>
          <w:color w:val="2F5496" w:themeColor="accent1" w:themeShade="BF"/>
          <w:sz w:val="28"/>
          <w:szCs w:val="32"/>
          <w:lang w:val="es-MX"/>
        </w:rPr>
        <w:t xml:space="preserve"> al</w:t>
      </w:r>
    </w:p>
    <w:p w14:paraId="56A5CC58" w14:textId="77777777" w:rsidR="0052124B" w:rsidRDefault="0052124B" w:rsidP="00BC636A">
      <w:pPr>
        <w:spacing w:after="0"/>
        <w:jc w:val="center"/>
        <w:rPr>
          <w:rFonts w:eastAsiaTheme="majorEastAsia" w:cstheme="majorBidi"/>
          <w:b/>
          <w:color w:val="2F5496" w:themeColor="accent1" w:themeShade="BF"/>
          <w:sz w:val="28"/>
          <w:szCs w:val="32"/>
          <w:lang w:val="es-MX"/>
        </w:rPr>
      </w:pPr>
    </w:p>
    <w:p w14:paraId="0FB779B6" w14:textId="067D7883" w:rsidR="007E63AE" w:rsidRDefault="001C35BF" w:rsidP="00BC636A">
      <w:pPr>
        <w:spacing w:after="0"/>
        <w:jc w:val="center"/>
        <w:rPr>
          <w:rFonts w:eastAsiaTheme="majorEastAsia" w:cstheme="majorBidi"/>
          <w:b/>
          <w:color w:val="2F5496" w:themeColor="accent1" w:themeShade="BF"/>
          <w:sz w:val="28"/>
          <w:szCs w:val="32"/>
          <w:lang w:val="es-MX"/>
        </w:rPr>
      </w:pPr>
      <w:r w:rsidRPr="00772786">
        <w:rPr>
          <w:rFonts w:eastAsiaTheme="majorEastAsia" w:cstheme="majorBidi"/>
          <w:b/>
          <w:color w:val="2F5496" w:themeColor="accent1" w:themeShade="BF"/>
          <w:sz w:val="28"/>
          <w:szCs w:val="32"/>
          <w:lang w:val="es-MX"/>
        </w:rPr>
        <w:t>Informe del Ministerio de Justicia y Derechos Humanos</w:t>
      </w:r>
      <w:r w:rsidR="00BC636A">
        <w:rPr>
          <w:rFonts w:eastAsiaTheme="majorEastAsia" w:cstheme="majorBidi"/>
          <w:b/>
          <w:color w:val="2F5496" w:themeColor="accent1" w:themeShade="BF"/>
          <w:sz w:val="28"/>
          <w:szCs w:val="32"/>
          <w:lang w:val="es-MX"/>
        </w:rPr>
        <w:t xml:space="preserve"> del Estado </w:t>
      </w:r>
      <w:proofErr w:type="gramStart"/>
      <w:r w:rsidR="00BC636A">
        <w:rPr>
          <w:rFonts w:eastAsiaTheme="majorEastAsia" w:cstheme="majorBidi"/>
          <w:b/>
          <w:color w:val="2F5496" w:themeColor="accent1" w:themeShade="BF"/>
          <w:sz w:val="28"/>
          <w:szCs w:val="32"/>
          <w:lang w:val="es-MX"/>
        </w:rPr>
        <w:t xml:space="preserve">Peruano </w:t>
      </w:r>
      <w:r w:rsidRPr="00772786">
        <w:rPr>
          <w:rFonts w:eastAsiaTheme="majorEastAsia" w:cstheme="majorBidi"/>
          <w:b/>
          <w:color w:val="2F5496" w:themeColor="accent1" w:themeShade="BF"/>
          <w:sz w:val="28"/>
          <w:szCs w:val="32"/>
          <w:lang w:val="es-MX"/>
        </w:rPr>
        <w:t xml:space="preserve"> ante</w:t>
      </w:r>
      <w:proofErr w:type="gramEnd"/>
      <w:r w:rsidRPr="00772786">
        <w:rPr>
          <w:rFonts w:eastAsiaTheme="majorEastAsia" w:cstheme="majorBidi"/>
          <w:b/>
          <w:color w:val="2F5496" w:themeColor="accent1" w:themeShade="BF"/>
          <w:sz w:val="28"/>
          <w:szCs w:val="32"/>
          <w:lang w:val="es-MX"/>
        </w:rPr>
        <w:t xml:space="preserve"> la CEDAW</w:t>
      </w:r>
      <w:r w:rsidR="00AF7888">
        <w:rPr>
          <w:rStyle w:val="FootnoteReference"/>
          <w:rFonts w:eastAsiaTheme="majorEastAsia" w:cstheme="majorBidi"/>
          <w:b/>
          <w:color w:val="2F5496" w:themeColor="accent1" w:themeShade="BF"/>
          <w:sz w:val="28"/>
          <w:szCs w:val="32"/>
          <w:lang w:val="es-MX"/>
        </w:rPr>
        <w:footnoteReference w:id="1"/>
      </w:r>
    </w:p>
    <w:p w14:paraId="1153AF1D" w14:textId="0E67B103" w:rsidR="00360770" w:rsidRPr="00772786" w:rsidRDefault="00360770" w:rsidP="00BC636A">
      <w:pPr>
        <w:spacing w:after="0"/>
        <w:jc w:val="center"/>
        <w:rPr>
          <w:rFonts w:eastAsiaTheme="majorEastAsia" w:cstheme="majorBidi"/>
          <w:b/>
          <w:color w:val="2F5496" w:themeColor="accent1" w:themeShade="BF"/>
          <w:sz w:val="28"/>
          <w:szCs w:val="32"/>
          <w:lang w:val="es-MX"/>
        </w:rPr>
      </w:pPr>
      <w:r>
        <w:rPr>
          <w:rFonts w:eastAsiaTheme="majorEastAsia" w:cstheme="majorBidi"/>
          <w:b/>
          <w:color w:val="2F5496" w:themeColor="accent1" w:themeShade="BF"/>
          <w:sz w:val="28"/>
          <w:szCs w:val="32"/>
          <w:lang w:val="es-MX"/>
        </w:rPr>
        <w:t>Resumen</w:t>
      </w:r>
    </w:p>
    <w:p w14:paraId="72520918" w14:textId="77777777" w:rsidR="0052124B" w:rsidRDefault="0052124B" w:rsidP="0052124B">
      <w:pPr>
        <w:spacing w:after="0"/>
        <w:jc w:val="right"/>
        <w:rPr>
          <w:color w:val="002060"/>
          <w:sz w:val="24"/>
          <w:szCs w:val="24"/>
          <w:lang w:val="es-MX"/>
        </w:rPr>
      </w:pPr>
    </w:p>
    <w:p w14:paraId="70CCD8CB" w14:textId="77777777" w:rsidR="0052124B" w:rsidRDefault="0052124B" w:rsidP="0052124B">
      <w:pPr>
        <w:spacing w:after="0"/>
        <w:jc w:val="right"/>
        <w:rPr>
          <w:color w:val="002060"/>
          <w:sz w:val="24"/>
          <w:szCs w:val="24"/>
          <w:lang w:val="es-MX"/>
        </w:rPr>
      </w:pPr>
    </w:p>
    <w:p w14:paraId="5C3000C0" w14:textId="77777777" w:rsidR="0052124B" w:rsidRDefault="0052124B" w:rsidP="0052124B">
      <w:pPr>
        <w:spacing w:after="0"/>
        <w:jc w:val="right"/>
        <w:rPr>
          <w:color w:val="002060"/>
          <w:sz w:val="24"/>
          <w:szCs w:val="24"/>
          <w:lang w:val="es-MX"/>
        </w:rPr>
      </w:pPr>
    </w:p>
    <w:p w14:paraId="7A1EA36B" w14:textId="77777777" w:rsidR="0052124B" w:rsidRDefault="0052124B" w:rsidP="0052124B">
      <w:pPr>
        <w:spacing w:after="0"/>
        <w:jc w:val="right"/>
        <w:rPr>
          <w:color w:val="002060"/>
          <w:sz w:val="24"/>
          <w:szCs w:val="24"/>
          <w:lang w:val="es-MX"/>
        </w:rPr>
      </w:pPr>
    </w:p>
    <w:p w14:paraId="610C2E03" w14:textId="77777777" w:rsidR="0052124B" w:rsidRDefault="0052124B" w:rsidP="0052124B">
      <w:pPr>
        <w:spacing w:after="0"/>
        <w:jc w:val="right"/>
        <w:rPr>
          <w:color w:val="002060"/>
          <w:sz w:val="24"/>
          <w:szCs w:val="24"/>
          <w:lang w:val="es-MX"/>
        </w:rPr>
      </w:pPr>
    </w:p>
    <w:p w14:paraId="6A9C9896" w14:textId="77777777" w:rsidR="0052124B" w:rsidRDefault="0052124B" w:rsidP="0052124B">
      <w:pPr>
        <w:spacing w:after="0"/>
        <w:jc w:val="right"/>
        <w:rPr>
          <w:color w:val="002060"/>
          <w:sz w:val="24"/>
          <w:szCs w:val="24"/>
          <w:lang w:val="es-MX"/>
        </w:rPr>
      </w:pPr>
    </w:p>
    <w:p w14:paraId="747D4665" w14:textId="77777777" w:rsidR="0052124B" w:rsidRDefault="0052124B" w:rsidP="0052124B">
      <w:pPr>
        <w:spacing w:after="0"/>
        <w:jc w:val="right"/>
        <w:rPr>
          <w:color w:val="002060"/>
          <w:sz w:val="24"/>
          <w:szCs w:val="24"/>
          <w:lang w:val="es-MX"/>
        </w:rPr>
      </w:pPr>
    </w:p>
    <w:p w14:paraId="4A6A1262" w14:textId="77777777" w:rsidR="00671B65" w:rsidRDefault="00B54CA6" w:rsidP="003B620B">
      <w:pPr>
        <w:rPr>
          <w:lang w:val="es-MX"/>
        </w:rPr>
      </w:pPr>
      <w:r>
        <w:rPr>
          <w:lang w:val="es-MX"/>
        </w:rPr>
        <w:br w:type="page"/>
      </w:r>
      <w:bookmarkStart w:id="0" w:name="_Toc87981583"/>
    </w:p>
    <w:p w14:paraId="33A517A1" w14:textId="468CAA0E" w:rsidR="00671B65" w:rsidRDefault="00671B65" w:rsidP="003B620B">
      <w:pPr>
        <w:rPr>
          <w:lang w:val="es-MX"/>
        </w:rPr>
      </w:pPr>
    </w:p>
    <w:p w14:paraId="0D665BDF" w14:textId="36F17582" w:rsidR="00671B65" w:rsidRDefault="00BC636A" w:rsidP="003B620B">
      <w:pPr>
        <w:rPr>
          <w:b/>
          <w:bCs/>
          <w:lang w:val="es-MX"/>
        </w:rPr>
      </w:pPr>
      <w:r>
        <w:rPr>
          <w:b/>
          <w:bCs/>
          <w:lang w:val="es-MX"/>
        </w:rPr>
        <w:t xml:space="preserve">GENERALIDADES: </w:t>
      </w:r>
    </w:p>
    <w:p w14:paraId="722055D7" w14:textId="487D6B3B" w:rsidR="00BC636A" w:rsidRDefault="00BC636A" w:rsidP="006433A8">
      <w:pPr>
        <w:jc w:val="both"/>
        <w:rPr>
          <w:lang w:val="es-MX"/>
        </w:rPr>
      </w:pPr>
      <w:r>
        <w:rPr>
          <w:lang w:val="es-MX"/>
        </w:rPr>
        <w:t xml:space="preserve">El presente Informe se entrega al Comité CEDAW en la modalidad de Comentarios </w:t>
      </w:r>
      <w:r w:rsidR="009E7DE1">
        <w:rPr>
          <w:lang w:val="es-MX"/>
        </w:rPr>
        <w:t xml:space="preserve">sobre el Informe del Estado </w:t>
      </w:r>
      <w:r w:rsidR="00046DF3">
        <w:rPr>
          <w:lang w:val="es-MX"/>
        </w:rPr>
        <w:t>Parte</w:t>
      </w:r>
      <w:r w:rsidR="00CE5FA0">
        <w:rPr>
          <w:lang w:val="es-MX"/>
        </w:rPr>
        <w:t xml:space="preserve">. </w:t>
      </w:r>
      <w:r w:rsidR="006433A8">
        <w:rPr>
          <w:lang w:val="es-MX"/>
        </w:rPr>
        <w:t>Este documento</w:t>
      </w:r>
      <w:r w:rsidR="00746686">
        <w:rPr>
          <w:lang w:val="es-MX"/>
        </w:rPr>
        <w:t xml:space="preserve">, en su versión </w:t>
      </w:r>
      <w:proofErr w:type="gramStart"/>
      <w:r w:rsidR="00746686">
        <w:rPr>
          <w:lang w:val="es-MX"/>
        </w:rPr>
        <w:t xml:space="preserve">completa, </w:t>
      </w:r>
      <w:r w:rsidR="006433A8">
        <w:rPr>
          <w:lang w:val="es-MX"/>
        </w:rPr>
        <w:t xml:space="preserve"> ha</w:t>
      </w:r>
      <w:proofErr w:type="gramEnd"/>
      <w:r w:rsidR="006433A8">
        <w:rPr>
          <w:lang w:val="es-MX"/>
        </w:rPr>
        <w:t xml:space="preserve"> sido remitido al </w:t>
      </w:r>
      <w:r w:rsidR="009E7DE1">
        <w:rPr>
          <w:lang w:val="es-MX"/>
        </w:rPr>
        <w:t>Ministerio de Justicia y Derechos Humanos</w:t>
      </w:r>
      <w:r w:rsidR="00746686">
        <w:rPr>
          <w:lang w:val="es-MX"/>
        </w:rPr>
        <w:t xml:space="preserve"> en noviembre del 2021. </w:t>
      </w:r>
      <w:r w:rsidR="00D67356">
        <w:rPr>
          <w:lang w:val="es-MX"/>
        </w:rPr>
        <w:t>Se adjunta como anexo.</w:t>
      </w:r>
    </w:p>
    <w:p w14:paraId="589A85D6" w14:textId="5C5A7976" w:rsidR="00046DF3" w:rsidRPr="00BC636A" w:rsidRDefault="00C30F6A" w:rsidP="003B620B">
      <w:pPr>
        <w:rPr>
          <w:lang w:val="es-MX"/>
        </w:rPr>
      </w:pPr>
      <w:r>
        <w:rPr>
          <w:lang w:val="es-MX"/>
        </w:rPr>
        <w:t xml:space="preserve">El informe </w:t>
      </w:r>
      <w:r w:rsidR="005D6882">
        <w:rPr>
          <w:lang w:val="es-MX"/>
        </w:rPr>
        <w:t xml:space="preserve">entregado no es confidencial y puede ser difundido en la web del Comité. </w:t>
      </w:r>
    </w:p>
    <w:p w14:paraId="61798F22" w14:textId="77777777" w:rsidR="00671B65" w:rsidRDefault="00671B65" w:rsidP="003B620B">
      <w:pPr>
        <w:rPr>
          <w:lang w:val="es-MX"/>
        </w:rPr>
      </w:pPr>
    </w:p>
    <w:p w14:paraId="7AABBE43" w14:textId="1C4E5DD8" w:rsidR="007E63AE" w:rsidRPr="005D6882" w:rsidRDefault="003B620B" w:rsidP="005D6882">
      <w:pPr>
        <w:pStyle w:val="ListParagraph"/>
        <w:numPr>
          <w:ilvl w:val="0"/>
          <w:numId w:val="11"/>
        </w:numPr>
        <w:rPr>
          <w:b/>
          <w:bCs/>
        </w:rPr>
      </w:pPr>
      <w:r w:rsidRPr="005D6882">
        <w:rPr>
          <w:b/>
          <w:bCs/>
          <w:lang w:val="es-MX"/>
        </w:rPr>
        <w:t>MO</w:t>
      </w:r>
      <w:r w:rsidR="00FF18D0" w:rsidRPr="005D6882">
        <w:rPr>
          <w:b/>
          <w:bCs/>
        </w:rPr>
        <w:t>RTALIDAD MATERNA</w:t>
      </w:r>
      <w:bookmarkEnd w:id="0"/>
      <w:r w:rsidR="00FF18D0" w:rsidRPr="005D6882">
        <w:rPr>
          <w:b/>
          <w:bCs/>
        </w:rPr>
        <w:t xml:space="preserve"> </w:t>
      </w:r>
    </w:p>
    <w:p w14:paraId="47260DC0" w14:textId="010188E0" w:rsidR="000F0FBE" w:rsidRPr="00DF3BEE" w:rsidRDefault="005A5785" w:rsidP="00B86CC0">
      <w:pPr>
        <w:pStyle w:val="Heading2"/>
      </w:pPr>
      <w:bookmarkStart w:id="1" w:name="_Toc87981584"/>
      <w:r w:rsidRPr="00DF3BEE">
        <w:t>G</w:t>
      </w:r>
      <w:r w:rsidR="003B431F" w:rsidRPr="00DF3BEE">
        <w:t xml:space="preserve">rave retroceso </w:t>
      </w:r>
      <w:r w:rsidR="00C75E4F" w:rsidRPr="00DF3BEE">
        <w:t xml:space="preserve">de la </w:t>
      </w:r>
      <w:r w:rsidR="000F0FBE" w:rsidRPr="00DF3BEE">
        <w:t>mortalidad materna</w:t>
      </w:r>
      <w:r w:rsidRPr="00DF3BEE">
        <w:t xml:space="preserve"> por casusas prevenibles</w:t>
      </w:r>
      <w:bookmarkEnd w:id="1"/>
      <w:r w:rsidRPr="00DF3BEE">
        <w:t xml:space="preserve"> </w:t>
      </w:r>
    </w:p>
    <w:p w14:paraId="25F5C3F1" w14:textId="39B7019A" w:rsidR="005476ED" w:rsidRDefault="005A1047" w:rsidP="002B7346">
      <w:pPr>
        <w:jc w:val="both"/>
      </w:pPr>
      <w:r>
        <w:rPr>
          <w:lang w:val="es-MX"/>
        </w:rPr>
        <w:t xml:space="preserve">El </w:t>
      </w:r>
      <w:r w:rsidR="0077126C">
        <w:rPr>
          <w:lang w:val="es-MX"/>
        </w:rPr>
        <w:t xml:space="preserve">incremento </w:t>
      </w:r>
      <w:r w:rsidR="000A4AC3">
        <w:rPr>
          <w:lang w:val="es-MX"/>
        </w:rPr>
        <w:t xml:space="preserve">significativo </w:t>
      </w:r>
      <w:r w:rsidR="0077126C">
        <w:rPr>
          <w:lang w:val="es-MX"/>
        </w:rPr>
        <w:t xml:space="preserve">de la mortalidad materna (MM) en el Perú </w:t>
      </w:r>
      <w:r w:rsidR="004F45CF">
        <w:rPr>
          <w:lang w:val="es-MX"/>
        </w:rPr>
        <w:t>es</w:t>
      </w:r>
      <w:r w:rsidR="00FE65DA">
        <w:rPr>
          <w:lang w:val="es-MX"/>
        </w:rPr>
        <w:t xml:space="preserve"> grave</w:t>
      </w:r>
      <w:r w:rsidR="004F45CF">
        <w:rPr>
          <w:lang w:val="es-MX"/>
        </w:rPr>
        <w:t xml:space="preserve"> en el contexto de la pandemia </w:t>
      </w:r>
      <w:proofErr w:type="gramStart"/>
      <w:r w:rsidR="00BF73F8">
        <w:rPr>
          <w:lang w:val="es-MX"/>
        </w:rPr>
        <w:t>y</w:t>
      </w:r>
      <w:proofErr w:type="gramEnd"/>
      <w:r w:rsidR="00BF73F8">
        <w:rPr>
          <w:lang w:val="es-MX"/>
        </w:rPr>
        <w:t xml:space="preserve"> sin embargo, </w:t>
      </w:r>
      <w:r w:rsidR="0058418F">
        <w:rPr>
          <w:lang w:val="es-MX"/>
        </w:rPr>
        <w:t xml:space="preserve">no </w:t>
      </w:r>
      <w:r w:rsidR="005B4B90">
        <w:rPr>
          <w:lang w:val="es-MX"/>
        </w:rPr>
        <w:t xml:space="preserve">es un tema que se ha visibilizado lo suficiente </w:t>
      </w:r>
      <w:r w:rsidR="00831187">
        <w:rPr>
          <w:lang w:val="es-MX"/>
        </w:rPr>
        <w:t xml:space="preserve">ni parece ocupa un lugar central en la agenda de las políticas de salud. </w:t>
      </w:r>
      <w:r w:rsidR="006D4DED">
        <w:rPr>
          <w:lang w:val="es-MX"/>
        </w:rPr>
        <w:t xml:space="preserve"> </w:t>
      </w:r>
    </w:p>
    <w:p w14:paraId="0CBDB105" w14:textId="77777777" w:rsidR="00A5532A" w:rsidRDefault="00C13536" w:rsidP="00677F58">
      <w:pPr>
        <w:jc w:val="both"/>
      </w:pPr>
      <w:r>
        <w:t xml:space="preserve">En el año 2020, </w:t>
      </w:r>
      <w:r w:rsidR="00705387">
        <w:t xml:space="preserve">el país retrocedió en los </w:t>
      </w:r>
      <w:r w:rsidR="00665A63">
        <w:t xml:space="preserve">importantes </w:t>
      </w:r>
      <w:r w:rsidR="00705387">
        <w:t xml:space="preserve">avances logrados </w:t>
      </w:r>
      <w:r w:rsidR="00665A63">
        <w:t>en la última década</w:t>
      </w:r>
      <w:r w:rsidR="009354B0">
        <w:t xml:space="preserve"> incrementándose en un </w:t>
      </w:r>
      <w:r>
        <w:t>45.7%</w:t>
      </w:r>
      <w:r w:rsidR="00EE2E62">
        <w:t xml:space="preserve"> la </w:t>
      </w:r>
      <w:proofErr w:type="spellStart"/>
      <w:r w:rsidR="00EE2E62">
        <w:t>moratlidad</w:t>
      </w:r>
      <w:proofErr w:type="spellEnd"/>
      <w:r w:rsidR="00EE2E62">
        <w:t xml:space="preserve"> materna. </w:t>
      </w:r>
    </w:p>
    <w:p w14:paraId="2F340AD0" w14:textId="5539490B" w:rsidR="002D3ECF" w:rsidRPr="002B0694" w:rsidRDefault="000D167E" w:rsidP="00677F58">
      <w:pPr>
        <w:jc w:val="both"/>
        <w:rPr>
          <w:sz w:val="18"/>
          <w:szCs w:val="18"/>
        </w:rPr>
      </w:pPr>
      <w:r>
        <w:t>Hasta octubre del 2021</w:t>
      </w:r>
      <w:r w:rsidR="00356FD7">
        <w:rPr>
          <w:rStyle w:val="FootnoteReference"/>
        </w:rPr>
        <w:footnoteReference w:id="2"/>
      </w:r>
      <w:r w:rsidR="00764099">
        <w:t xml:space="preserve">, </w:t>
      </w:r>
      <w:r w:rsidR="00C13536">
        <w:t xml:space="preserve">las muertes maternas </w:t>
      </w:r>
      <w:r w:rsidR="00BB458F">
        <w:t xml:space="preserve">representan un 36.4% más que en el año 2019. </w:t>
      </w:r>
      <w:r w:rsidR="00E37D24">
        <w:t>Lima</w:t>
      </w:r>
      <w:r w:rsidR="00D74B0A">
        <w:t xml:space="preserve"> (16.95%)</w:t>
      </w:r>
      <w:r w:rsidR="00E37D24">
        <w:t xml:space="preserve">, </w:t>
      </w:r>
      <w:r w:rsidR="00881A7A">
        <w:t>Piura</w:t>
      </w:r>
      <w:r w:rsidR="00D74B0A">
        <w:t xml:space="preserve"> (8.49%)</w:t>
      </w:r>
      <w:r w:rsidR="0001751D">
        <w:t xml:space="preserve"> y</w:t>
      </w:r>
      <w:r w:rsidR="00881A7A">
        <w:t xml:space="preserve"> Loreto</w:t>
      </w:r>
      <w:r w:rsidR="00D74B0A">
        <w:t xml:space="preserve"> </w:t>
      </w:r>
      <w:r w:rsidR="0001751D">
        <w:t>(7.43%)</w:t>
      </w:r>
      <w:r w:rsidR="00F52E9D">
        <w:t xml:space="preserve"> s</w:t>
      </w:r>
      <w:r w:rsidR="00C13536">
        <w:t>on las regiones</w:t>
      </w:r>
      <w:r w:rsidR="00AA1A7F">
        <w:t xml:space="preserve"> más afectadas.</w:t>
      </w:r>
      <w:r w:rsidR="00C13536">
        <w:t xml:space="preserve"> </w:t>
      </w:r>
      <w:r w:rsidR="00B37145">
        <w:t xml:space="preserve">Las muertes maternas ocurridas durante los años de la pandemia (2020-2021) </w:t>
      </w:r>
      <w:r w:rsidR="00EC1C98">
        <w:t xml:space="preserve">se debieron a causas perfectamente prevenibles como hemorragias e hipertensión. </w:t>
      </w:r>
      <w:r w:rsidR="00BC7F4D">
        <w:t xml:space="preserve">La </w:t>
      </w:r>
      <w:r w:rsidR="00F877A1">
        <w:t xml:space="preserve">muerte materna </w:t>
      </w:r>
      <w:r w:rsidR="00A067DC">
        <w:t>asociada a la enfermedad por Covid-19</w:t>
      </w:r>
      <w:r w:rsidR="00E2097D">
        <w:t xml:space="preserve"> fue </w:t>
      </w:r>
      <w:r w:rsidR="00A067DC">
        <w:t>la tercera causa de mortalidad materna en el año 2020 y la primera en el año 2021</w:t>
      </w:r>
      <w:r w:rsidR="00E2097D">
        <w:rPr>
          <w:rStyle w:val="FootnoteReference"/>
        </w:rPr>
        <w:footnoteReference w:id="3"/>
      </w:r>
      <w:r w:rsidR="00A067DC">
        <w:t>.</w:t>
      </w:r>
      <w:r w:rsidR="00E2097D">
        <w:t xml:space="preserve"> </w:t>
      </w:r>
      <w:r w:rsidR="002941F1">
        <w:t xml:space="preserve"> </w:t>
      </w:r>
      <w:r w:rsidR="00677F58">
        <w:t>(</w:t>
      </w:r>
      <w:r w:rsidR="002941F1">
        <w:t xml:space="preserve">Ver Anexo </w:t>
      </w:r>
      <w:r w:rsidR="00677F58">
        <w:t>– Cuadro 1)</w:t>
      </w:r>
    </w:p>
    <w:p w14:paraId="3A0F5722" w14:textId="0E8606C8" w:rsidR="005A5785" w:rsidRPr="00C160AA" w:rsidRDefault="00457760" w:rsidP="00B86CC0">
      <w:pPr>
        <w:pStyle w:val="Heading2"/>
      </w:pPr>
      <w:bookmarkStart w:id="2" w:name="_Toc87981585"/>
      <w:r w:rsidRPr="00DF3BEE">
        <w:t>P</w:t>
      </w:r>
      <w:r w:rsidR="00453755" w:rsidRPr="00DF3BEE">
        <w:t xml:space="preserve">olíticas </w:t>
      </w:r>
      <w:r w:rsidRPr="00DF3BEE">
        <w:t xml:space="preserve">y decisiones </w:t>
      </w:r>
      <w:r w:rsidR="00453755" w:rsidRPr="00DF3BEE">
        <w:t xml:space="preserve">de salud </w:t>
      </w:r>
      <w:r w:rsidR="00297E67" w:rsidRPr="00DF3BEE">
        <w:t xml:space="preserve">que explican </w:t>
      </w:r>
      <w:r w:rsidR="00C97716" w:rsidRPr="00DF3BEE">
        <w:t>el incremento de MM</w:t>
      </w:r>
      <w:r w:rsidR="00D533D7">
        <w:rPr>
          <w:rStyle w:val="FootnoteReference"/>
          <w:i w:val="0"/>
          <w:iCs w:val="0"/>
        </w:rPr>
        <w:footnoteReference w:id="4"/>
      </w:r>
      <w:bookmarkEnd w:id="2"/>
    </w:p>
    <w:p w14:paraId="6FE5BC53" w14:textId="40C5E36A" w:rsidR="002D3ECF" w:rsidRDefault="00E85FC8" w:rsidP="002B7346">
      <w:pPr>
        <w:jc w:val="both"/>
      </w:pPr>
      <w:r>
        <w:t>Las causas de las muertes maternas citadas en el párrafo anterior</w:t>
      </w:r>
      <w:r w:rsidR="00766342">
        <w:t xml:space="preserve">-hemorragias e hipertensión- son prevenibles en condiciones normales </w:t>
      </w:r>
      <w:r w:rsidR="00426A48">
        <w:t xml:space="preserve">en las que las mujeres embarazadas asisten a sus controles prenatales y dan a luz en un establecimiento de salud. </w:t>
      </w:r>
      <w:r w:rsidR="0028759C">
        <w:t xml:space="preserve">Sin embargo, la pandemia nos sorprendió con un sistema de salud </w:t>
      </w:r>
      <w:r w:rsidR="00092EEA">
        <w:t xml:space="preserve">muy precario </w:t>
      </w:r>
      <w:r w:rsidR="002B19F4">
        <w:t>y</w:t>
      </w:r>
      <w:r w:rsidR="0020558D">
        <w:t xml:space="preserve"> colapsado por la emergencia sanitaria. </w:t>
      </w:r>
      <w:r w:rsidR="00FF507E">
        <w:t>El cierre de los servicios de atención primari</w:t>
      </w:r>
      <w:r w:rsidR="00223BA6">
        <w:t>a</w:t>
      </w:r>
      <w:r w:rsidR="00FF507E">
        <w:t xml:space="preserve"> y </w:t>
      </w:r>
      <w:r w:rsidR="00C160AA">
        <w:t xml:space="preserve">el haber descontinuado los servicios de salud materna neonatal </w:t>
      </w:r>
      <w:r w:rsidR="00223BA6">
        <w:t>explican en buena parte el enorme retroceso</w:t>
      </w:r>
      <w:r w:rsidR="002B19F4">
        <w:t>.</w:t>
      </w:r>
      <w:r w:rsidR="00223BA6">
        <w:t xml:space="preserve"> </w:t>
      </w:r>
      <w:r>
        <w:t xml:space="preserve"> </w:t>
      </w:r>
    </w:p>
    <w:p w14:paraId="1150C13D" w14:textId="4053B20B" w:rsidR="00964BEC" w:rsidRDefault="00A429B4" w:rsidP="002B7346">
      <w:pPr>
        <w:jc w:val="both"/>
      </w:pPr>
      <w:r>
        <w:t xml:space="preserve">La </w:t>
      </w:r>
      <w:proofErr w:type="spellStart"/>
      <w:r>
        <w:t>moratilidad</w:t>
      </w:r>
      <w:proofErr w:type="spellEnd"/>
      <w:r>
        <w:t xml:space="preserve"> materna </w:t>
      </w:r>
      <w:r w:rsidR="00442E54">
        <w:t xml:space="preserve">afectado </w:t>
      </w:r>
      <w:r w:rsidR="000E443C">
        <w:t xml:space="preserve">en mayor medida a las mujeres de 30 a 34 </w:t>
      </w:r>
      <w:proofErr w:type="gramStart"/>
      <w:r w:rsidR="000E443C">
        <w:t xml:space="preserve">años </w:t>
      </w:r>
      <w:r w:rsidR="00677F58">
        <w:t>.</w:t>
      </w:r>
      <w:proofErr w:type="gramEnd"/>
      <w:r w:rsidR="00677F58">
        <w:t xml:space="preserve"> (Ver en Anexo </w:t>
      </w:r>
      <w:r w:rsidR="004D3091">
        <w:t>-</w:t>
      </w:r>
      <w:r w:rsidR="00677F58">
        <w:t>Cuadro 2)</w:t>
      </w:r>
    </w:p>
    <w:p w14:paraId="69FFD4CB" w14:textId="20271902" w:rsidR="00552C8A" w:rsidRPr="00FF18D0" w:rsidRDefault="000177BA" w:rsidP="00364D86">
      <w:pPr>
        <w:jc w:val="both"/>
      </w:pPr>
      <w:r>
        <w:t xml:space="preserve">La </w:t>
      </w:r>
      <w:r w:rsidR="00D17A95">
        <w:t>muerte materna asociada a</w:t>
      </w:r>
      <w:r w:rsidR="00956FB9">
        <w:t>l</w:t>
      </w:r>
      <w:r w:rsidR="00D17A95">
        <w:t xml:space="preserve"> Covid-19 fue la tercera causa de mortalidad materna en el año 2020 y la primera en el año 2021</w:t>
      </w:r>
      <w:r w:rsidR="00F13F41">
        <w:t xml:space="preserve"> por lo que es </w:t>
      </w:r>
      <w:r w:rsidR="0077392C">
        <w:t>fundamental analizarlas en el contexto de la pandemia y del proceso de vacunación. Un</w:t>
      </w:r>
      <w:r w:rsidR="00063CAC">
        <w:t xml:space="preserve"> factor para tomar</w:t>
      </w:r>
      <w:r w:rsidR="00B952F9">
        <w:t xml:space="preserve"> en cuenta</w:t>
      </w:r>
      <w:r w:rsidR="00063CAC">
        <w:t xml:space="preserve"> </w:t>
      </w:r>
      <w:r w:rsidR="00B60B64">
        <w:t xml:space="preserve">es la tardía programación de </w:t>
      </w:r>
      <w:r w:rsidR="002051B8">
        <w:t>la vacunación contra el COVID 19 para las mujeres gestantes</w:t>
      </w:r>
      <w:r w:rsidR="001D7CFF">
        <w:t xml:space="preserve">, a la vez que existía </w:t>
      </w:r>
      <w:r w:rsidR="00EF264F">
        <w:t xml:space="preserve">mucho temor a asistir presencialmente a los controles </w:t>
      </w:r>
      <w:r w:rsidR="00BE6F04">
        <w:t>prenatales</w:t>
      </w:r>
      <w:r w:rsidR="000008DB">
        <w:t xml:space="preserve"> disminuyendo </w:t>
      </w:r>
      <w:r w:rsidR="00D11AEA">
        <w:t xml:space="preserve">los partos institucionales. </w:t>
      </w:r>
      <w:r>
        <w:t>N</w:t>
      </w:r>
      <w:r w:rsidR="00BF015A">
        <w:t xml:space="preserve">o se </w:t>
      </w:r>
      <w:proofErr w:type="spellStart"/>
      <w:r w:rsidR="00BF015A">
        <w:t>desarrollo</w:t>
      </w:r>
      <w:proofErr w:type="spellEnd"/>
      <w:r w:rsidR="00BF015A">
        <w:t xml:space="preserve"> ninguna campaña para esclarecer prejuicios </w:t>
      </w:r>
      <w:r w:rsidR="007A6C78">
        <w:t xml:space="preserve">sobre los efectos de la vacuna </w:t>
      </w:r>
      <w:r w:rsidR="00A62E47">
        <w:t xml:space="preserve">en </w:t>
      </w:r>
      <w:proofErr w:type="gramStart"/>
      <w:r w:rsidR="00A62E47">
        <w:t>gestantes</w:t>
      </w:r>
      <w:proofErr w:type="gramEnd"/>
      <w:r w:rsidR="00A62E47">
        <w:t xml:space="preserve"> pero también es justo decir que los ensayos clínicos de las vacunas contra el</w:t>
      </w:r>
      <w:r w:rsidR="007B6A40">
        <w:t xml:space="preserve"> </w:t>
      </w:r>
      <w:r w:rsidR="00552C8A" w:rsidRPr="00552C8A">
        <w:t xml:space="preserve">SARS-CoV-2 no </w:t>
      </w:r>
      <w:r w:rsidR="00552C8A" w:rsidRPr="00552C8A">
        <w:lastRenderedPageBreak/>
        <w:t>incluyeron a gestantes ni lactantes</w:t>
      </w:r>
      <w:r w:rsidR="007B6A40">
        <w:t xml:space="preserve"> y en el Perú</w:t>
      </w:r>
      <w:r w:rsidR="000008DB">
        <w:t>,</w:t>
      </w:r>
      <w:r w:rsidR="007B6A40">
        <w:t xml:space="preserve"> las primeras autorizaciones </w:t>
      </w:r>
      <w:r w:rsidR="00552C8A" w:rsidRPr="00552C8A">
        <w:t>para vacunar gestantes y lactantes</w:t>
      </w:r>
      <w:r w:rsidR="00364D86">
        <w:t xml:space="preserve"> se dio </w:t>
      </w:r>
      <w:r w:rsidR="00552C8A" w:rsidRPr="00552C8A">
        <w:t>en</w:t>
      </w:r>
      <w:r w:rsidR="00364D86">
        <w:t xml:space="preserve"> el</w:t>
      </w:r>
      <w:r w:rsidR="00552C8A" w:rsidRPr="00552C8A">
        <w:t xml:space="preserve"> primer trimestre </w:t>
      </w:r>
      <w:r w:rsidR="00364D86">
        <w:t xml:space="preserve">del </w:t>
      </w:r>
      <w:r w:rsidR="00552C8A" w:rsidRPr="00552C8A">
        <w:t>2021</w:t>
      </w:r>
      <w:r w:rsidR="00DA79FC">
        <w:rPr>
          <w:rStyle w:val="FootnoteReference"/>
        </w:rPr>
        <w:footnoteReference w:id="5"/>
      </w:r>
      <w:r w:rsidR="00FF18D0">
        <w:t xml:space="preserve"> pero recién se </w:t>
      </w:r>
      <w:proofErr w:type="spellStart"/>
      <w:r w:rsidR="00FF18D0">
        <w:t>incio</w:t>
      </w:r>
      <w:proofErr w:type="spellEnd"/>
      <w:r w:rsidR="00FF18D0">
        <w:t xml:space="preserve"> </w:t>
      </w:r>
      <w:r w:rsidR="00605C08" w:rsidRPr="00FF18D0">
        <w:t>a fin</w:t>
      </w:r>
      <w:r w:rsidR="00FF18D0">
        <w:t>es</w:t>
      </w:r>
      <w:r w:rsidR="00605C08" w:rsidRPr="00FF18D0">
        <w:t xml:space="preserve"> del segundo trimestre. </w:t>
      </w:r>
    </w:p>
    <w:p w14:paraId="16043D97" w14:textId="5C87D482" w:rsidR="00C53788" w:rsidRDefault="004D3091" w:rsidP="00BE6F04">
      <w:pPr>
        <w:jc w:val="both"/>
      </w:pPr>
      <w:r>
        <w:t>E</w:t>
      </w:r>
      <w:r w:rsidR="00637CF7">
        <w:t>s importante señalar</w:t>
      </w:r>
      <w:r w:rsidR="003E5438">
        <w:t xml:space="preserve"> que </w:t>
      </w:r>
      <w:r w:rsidR="007928D6">
        <w:t xml:space="preserve">la data desagregada de muertes maternas por </w:t>
      </w:r>
      <w:proofErr w:type="gramStart"/>
      <w:r w:rsidR="007928D6">
        <w:t>región</w:t>
      </w:r>
      <w:r w:rsidR="000177BA">
        <w:t xml:space="preserve">, </w:t>
      </w:r>
      <w:r w:rsidR="003E5438">
        <w:t xml:space="preserve"> es</w:t>
      </w:r>
      <w:proofErr w:type="gramEnd"/>
      <w:r w:rsidR="003E5438">
        <w:t xml:space="preserve"> poco detallada, </w:t>
      </w:r>
      <w:r w:rsidR="000177BA">
        <w:t xml:space="preserve"> </w:t>
      </w:r>
      <w:r w:rsidR="007928D6">
        <w:t xml:space="preserve">no se cuenta con </w:t>
      </w:r>
      <w:r w:rsidR="00AB3A69">
        <w:t xml:space="preserve">información </w:t>
      </w:r>
      <w:r w:rsidR="00B02D00">
        <w:t xml:space="preserve">sobre </w:t>
      </w:r>
      <w:r w:rsidR="00AB3A69">
        <w:t xml:space="preserve">las causas más específicas del incremento caso por caso. Por ejemplo, </w:t>
      </w:r>
      <w:r w:rsidR="00AE7BEC">
        <w:t xml:space="preserve">no sabemos en qué medida el aumento de MM en regiones de selva </w:t>
      </w:r>
      <w:r w:rsidR="00E04225">
        <w:t xml:space="preserve">se relaciona con los altos niveles de embarazo adolescente y </w:t>
      </w:r>
      <w:r w:rsidR="005442BE">
        <w:t xml:space="preserve">de </w:t>
      </w:r>
      <w:r w:rsidR="00E04225">
        <w:t>niñas</w:t>
      </w:r>
      <w:r w:rsidR="00E35DCA">
        <w:t>.</w:t>
      </w:r>
      <w:r w:rsidR="00D37E5C">
        <w:t xml:space="preserve"> </w:t>
      </w:r>
      <w:r w:rsidR="00AA3615">
        <w:t xml:space="preserve"> </w:t>
      </w:r>
      <w:proofErr w:type="gramStart"/>
      <w:r>
        <w:t>(</w:t>
      </w:r>
      <w:proofErr w:type="gramEnd"/>
      <w:r>
        <w:t>Ver en Anexo – Cuadro 3)</w:t>
      </w:r>
    </w:p>
    <w:p w14:paraId="0BD6A928" w14:textId="00A71811" w:rsidR="00C11D5B" w:rsidRPr="00A01ED5" w:rsidRDefault="001C08F6" w:rsidP="00B86CC0">
      <w:pPr>
        <w:pStyle w:val="Heading2"/>
      </w:pPr>
      <w:bookmarkStart w:id="3" w:name="_Toc87981586"/>
      <w:r w:rsidRPr="00A01ED5">
        <w:t xml:space="preserve">Vulnerabilidad interseccional: </w:t>
      </w:r>
      <w:r w:rsidR="005C1C2B" w:rsidRPr="00A01ED5">
        <w:t xml:space="preserve">mujeres migrantes </w:t>
      </w:r>
      <w:r w:rsidRPr="00A01ED5">
        <w:t>venezolanas</w:t>
      </w:r>
      <w:bookmarkEnd w:id="3"/>
    </w:p>
    <w:p w14:paraId="27808C2D" w14:textId="310D6F7E" w:rsidR="00290B86" w:rsidRDefault="004153F7" w:rsidP="00FF18D0">
      <w:pPr>
        <w:jc w:val="both"/>
        <w:rPr>
          <w:rFonts w:cstheme="minorHAnsi"/>
        </w:rPr>
      </w:pPr>
      <w:r w:rsidRPr="004153F7">
        <w:rPr>
          <w:rFonts w:cstheme="minorHAnsi"/>
        </w:rPr>
        <w:t>El Perú es el segundo país de acogida de refugiados y migrantes procedentes de Venezuela y el primero en solicitudes de asilo. Las mujeres venezolanas han pasado a representar el 58% de los migrantes que llegan al país</w:t>
      </w:r>
      <w:r w:rsidRPr="004153F7">
        <w:rPr>
          <w:rFonts w:cstheme="minorHAnsi"/>
          <w:vertAlign w:val="superscript"/>
        </w:rPr>
        <w:footnoteReference w:id="6"/>
      </w:r>
      <w:r w:rsidRPr="004153F7">
        <w:rPr>
          <w:rFonts w:cstheme="minorHAnsi"/>
        </w:rPr>
        <w:t xml:space="preserve">. </w:t>
      </w:r>
      <w:r w:rsidR="006276C2">
        <w:rPr>
          <w:rFonts w:cstheme="minorHAnsi"/>
        </w:rPr>
        <w:t>E</w:t>
      </w:r>
      <w:r w:rsidRPr="004153F7">
        <w:rPr>
          <w:rFonts w:cstheme="minorHAnsi"/>
        </w:rPr>
        <w:t>sta migración es mayoritariamente joven: el 43.1% se encuentra entre los 20 y 29 años, y el 28.8%, entre los 30 a 39 años. El 12% del total son niños/as y adolescentes de 0 a 19 años.</w:t>
      </w:r>
    </w:p>
    <w:p w14:paraId="09B3286E" w14:textId="76820E6A" w:rsidR="0076688A" w:rsidRPr="0076688A" w:rsidRDefault="003159BD" w:rsidP="0076688A">
      <w:pPr>
        <w:jc w:val="both"/>
        <w:rPr>
          <w:rFonts w:cstheme="minorHAnsi"/>
        </w:rPr>
      </w:pPr>
      <w:r>
        <w:rPr>
          <w:rFonts w:cstheme="minorHAnsi"/>
        </w:rPr>
        <w:t xml:space="preserve">Las mujeres </w:t>
      </w:r>
      <w:r w:rsidR="0076688A" w:rsidRPr="0076688A">
        <w:rPr>
          <w:rFonts w:cstheme="minorHAnsi"/>
        </w:rPr>
        <w:t>trabajadoras venezolanas enfrentan mayor vulnerabilidad, discriminación y acoso laboral y sexual debido a la</w:t>
      </w:r>
      <w:r w:rsidR="0095703B">
        <w:rPr>
          <w:rFonts w:cstheme="minorHAnsi"/>
        </w:rPr>
        <w:t xml:space="preserve"> permanencia de estereotipos de género</w:t>
      </w:r>
      <w:r w:rsidR="0076688A" w:rsidRPr="0076688A">
        <w:rPr>
          <w:rFonts w:cstheme="minorHAnsi"/>
        </w:rPr>
        <w:t xml:space="preserve">.  No solo existe una brecha salarial de las migrantes mujeres en relación con sus pares hombres, también están expuestas al acoso sexual en el centro de labores o en el comercio ambulatorio. </w:t>
      </w:r>
      <w:r w:rsidR="00C35862">
        <w:rPr>
          <w:rFonts w:cstheme="minorHAnsi"/>
        </w:rPr>
        <w:t>Los</w:t>
      </w:r>
      <w:r w:rsidR="0076688A" w:rsidRPr="0076688A">
        <w:rPr>
          <w:rFonts w:cstheme="minorHAnsi"/>
        </w:rPr>
        <w:t xml:space="preserve"> prejuicios y percepciones </w:t>
      </w:r>
      <w:r w:rsidR="00F97F69">
        <w:rPr>
          <w:rFonts w:cstheme="minorHAnsi"/>
        </w:rPr>
        <w:t xml:space="preserve">las exponen </w:t>
      </w:r>
      <w:proofErr w:type="gramStart"/>
      <w:r w:rsidR="00F97F69">
        <w:rPr>
          <w:rFonts w:cstheme="minorHAnsi"/>
        </w:rPr>
        <w:t xml:space="preserve">a </w:t>
      </w:r>
      <w:r w:rsidR="0076688A" w:rsidRPr="0076688A">
        <w:rPr>
          <w:rFonts w:cstheme="minorHAnsi"/>
        </w:rPr>
        <w:t xml:space="preserve"> situaciones</w:t>
      </w:r>
      <w:proofErr w:type="gramEnd"/>
      <w:r w:rsidR="0076688A" w:rsidRPr="0076688A">
        <w:rPr>
          <w:rFonts w:cstheme="minorHAnsi"/>
        </w:rPr>
        <w:t xml:space="preserve"> de explotación sexual y trata de personas.</w:t>
      </w:r>
      <w:r w:rsidR="004D3091">
        <w:rPr>
          <w:rFonts w:cstheme="minorHAnsi"/>
        </w:rPr>
        <w:t xml:space="preserve"> (Ver Anexo – Cuadro 4)</w:t>
      </w:r>
    </w:p>
    <w:p w14:paraId="014CF862" w14:textId="41CBC717" w:rsidR="00984D4A" w:rsidRPr="00FF18D0" w:rsidRDefault="0095703B" w:rsidP="0095703B">
      <w:pPr>
        <w:tabs>
          <w:tab w:val="left" w:pos="1169"/>
        </w:tabs>
        <w:jc w:val="both"/>
      </w:pPr>
      <w:r>
        <w:t xml:space="preserve">El </w:t>
      </w:r>
      <w:r w:rsidR="00984D4A" w:rsidRPr="00FF18D0">
        <w:t>31.6% de mujeres migrantes y refugiadas manifiestan temor frente a la xenofobia</w:t>
      </w:r>
      <w:r>
        <w:t xml:space="preserve"> y</w:t>
      </w:r>
      <w:r w:rsidR="00984D4A" w:rsidRPr="00FF18D0">
        <w:t xml:space="preserve"> discriminación en el </w:t>
      </w:r>
      <w:proofErr w:type="spellStart"/>
      <w:r w:rsidR="00984D4A" w:rsidRPr="00FF18D0">
        <w:t>paísy</w:t>
      </w:r>
      <w:proofErr w:type="spellEnd"/>
      <w:r w:rsidR="00984D4A" w:rsidRPr="00FF18D0">
        <w:t xml:space="preserve"> el 22% reporta haber estado expuesta a la violencia de género</w:t>
      </w:r>
      <w:r w:rsidR="00805076" w:rsidRPr="00FF18D0">
        <w:rPr>
          <w:rStyle w:val="FootnoteReference"/>
        </w:rPr>
        <w:footnoteReference w:id="7"/>
      </w:r>
      <w:r w:rsidR="00984D4A" w:rsidRPr="00FF18D0">
        <w:t xml:space="preserve">.  </w:t>
      </w:r>
    </w:p>
    <w:p w14:paraId="25F60A17" w14:textId="1E5F93A5" w:rsidR="00805076" w:rsidRDefault="00F97F69" w:rsidP="00805076">
      <w:pPr>
        <w:jc w:val="both"/>
        <w:rPr>
          <w:rFonts w:cstheme="minorHAnsi"/>
        </w:rPr>
      </w:pPr>
      <w:r>
        <w:rPr>
          <w:rFonts w:cstheme="minorHAnsi"/>
        </w:rPr>
        <w:t xml:space="preserve">De otro lado, las </w:t>
      </w:r>
      <w:r w:rsidR="00E44C13">
        <w:rPr>
          <w:rFonts w:cstheme="minorHAnsi"/>
        </w:rPr>
        <w:t xml:space="preserve">mujeres </w:t>
      </w:r>
      <w:r w:rsidR="00663817">
        <w:rPr>
          <w:rFonts w:cstheme="minorHAnsi"/>
        </w:rPr>
        <w:t xml:space="preserve">migrantes </w:t>
      </w:r>
      <w:r w:rsidR="00663817" w:rsidRPr="009732C6">
        <w:rPr>
          <w:rFonts w:cstheme="minorHAnsi"/>
        </w:rPr>
        <w:t>enfrentan</w:t>
      </w:r>
      <w:r w:rsidR="00E44C13">
        <w:rPr>
          <w:rFonts w:cstheme="minorHAnsi"/>
        </w:rPr>
        <w:t xml:space="preserve"> </w:t>
      </w:r>
      <w:r w:rsidR="009732C6" w:rsidRPr="009732C6">
        <w:rPr>
          <w:rFonts w:cstheme="minorHAnsi"/>
        </w:rPr>
        <w:t xml:space="preserve">dificultades para acceder a métodos anticonceptivos modernos y </w:t>
      </w:r>
      <w:r w:rsidR="00C1168E">
        <w:rPr>
          <w:rFonts w:cstheme="minorHAnsi"/>
        </w:rPr>
        <w:t xml:space="preserve">corren el </w:t>
      </w:r>
      <w:r w:rsidR="009732C6" w:rsidRPr="009732C6">
        <w:rPr>
          <w:rFonts w:cstheme="minorHAnsi"/>
        </w:rPr>
        <w:t xml:space="preserve">riesgo a recurrir a métodos inseguros de aborto. Entre </w:t>
      </w:r>
      <w:r w:rsidR="00C1168E">
        <w:rPr>
          <w:rFonts w:cstheme="minorHAnsi"/>
        </w:rPr>
        <w:t>sus</w:t>
      </w:r>
      <w:r w:rsidR="009732C6" w:rsidRPr="009732C6">
        <w:rPr>
          <w:rFonts w:cstheme="minorHAnsi"/>
        </w:rPr>
        <w:t xml:space="preserve"> necesidades de salud, la atención reproductiva y la planificación familiar son áreas que deben priorizarse.  Un estudio cualitativo realizado por UNFPA en la ciudad de Lima, señala que las migrantes buscan información en salud reproductiva y anticonceptivos </w:t>
      </w:r>
      <w:r w:rsidR="00940F35">
        <w:rPr>
          <w:rFonts w:cstheme="minorHAnsi"/>
        </w:rPr>
        <w:t>en</w:t>
      </w:r>
      <w:r w:rsidR="009732C6" w:rsidRPr="009732C6">
        <w:rPr>
          <w:rFonts w:cstheme="minorHAnsi"/>
        </w:rPr>
        <w:t xml:space="preserve"> farmacias</w:t>
      </w:r>
      <w:r w:rsidR="009732C6" w:rsidRPr="009732C6">
        <w:rPr>
          <w:rFonts w:cstheme="minorHAnsi"/>
          <w:vertAlign w:val="superscript"/>
        </w:rPr>
        <w:footnoteReference w:id="8"/>
      </w:r>
      <w:r w:rsidR="009732C6" w:rsidRPr="009732C6">
        <w:rPr>
          <w:rFonts w:cstheme="minorHAnsi"/>
        </w:rPr>
        <w:t xml:space="preserve">. Existe un déficit de información sobre la atención gratuita de los servicios de salud sexual y reproductiva (SSR), preocupación por la falta de seguro de salud, por las barreras de costos y por su estado migratorio. </w:t>
      </w:r>
      <w:r w:rsidR="004D3091">
        <w:rPr>
          <w:b/>
          <w:bCs/>
        </w:rPr>
        <w:t>(Ver Anexo – Cuadro 5)</w:t>
      </w:r>
    </w:p>
    <w:p w14:paraId="4676AA1F" w14:textId="77777777" w:rsidR="006532FB" w:rsidRDefault="006532FB" w:rsidP="00805076">
      <w:pPr>
        <w:rPr>
          <w:b/>
          <w:bCs/>
        </w:rPr>
      </w:pPr>
      <w:bookmarkStart w:id="4" w:name="_Toc87981587"/>
    </w:p>
    <w:p w14:paraId="7BADFCBA" w14:textId="08EB505D" w:rsidR="007E63AE" w:rsidRPr="00805076" w:rsidRDefault="00DC6429" w:rsidP="00805076">
      <w:pPr>
        <w:rPr>
          <w:rFonts w:eastAsiaTheme="majorEastAsia" w:cstheme="majorBidi"/>
          <w:b/>
          <w:bCs/>
          <w:color w:val="2F5496" w:themeColor="accent1" w:themeShade="BF"/>
          <w:sz w:val="28"/>
          <w:szCs w:val="32"/>
          <w:lang w:val="es-MX"/>
        </w:rPr>
      </w:pPr>
      <w:r w:rsidRPr="00805076">
        <w:rPr>
          <w:b/>
          <w:bCs/>
        </w:rPr>
        <w:t xml:space="preserve">EMBARAZOS </w:t>
      </w:r>
      <w:proofErr w:type="gramStart"/>
      <w:r w:rsidRPr="00805076">
        <w:rPr>
          <w:b/>
          <w:bCs/>
        </w:rPr>
        <w:t xml:space="preserve">FORZADOS </w:t>
      </w:r>
      <w:r w:rsidR="00FF18D0" w:rsidRPr="00805076">
        <w:rPr>
          <w:b/>
          <w:bCs/>
        </w:rPr>
        <w:t xml:space="preserve"> DE</w:t>
      </w:r>
      <w:proofErr w:type="gramEnd"/>
      <w:r w:rsidR="00FF18D0" w:rsidRPr="00805076">
        <w:rPr>
          <w:b/>
          <w:bCs/>
        </w:rPr>
        <w:t xml:space="preserve"> </w:t>
      </w:r>
      <w:r w:rsidRPr="00805076">
        <w:rPr>
          <w:b/>
          <w:bCs/>
        </w:rPr>
        <w:t>NIÑAS</w:t>
      </w:r>
      <w:bookmarkEnd w:id="4"/>
    </w:p>
    <w:p w14:paraId="77008957" w14:textId="35432F1F" w:rsidR="00D15358" w:rsidRPr="00DF0F4F" w:rsidRDefault="00D15358" w:rsidP="002B7346">
      <w:pPr>
        <w:jc w:val="right"/>
        <w:rPr>
          <w:rFonts w:eastAsiaTheme="majorEastAsia" w:cstheme="majorBidi"/>
          <w:bCs/>
          <w:color w:val="2F5496" w:themeColor="accent1" w:themeShade="BF"/>
          <w:sz w:val="24"/>
          <w:szCs w:val="24"/>
          <w:lang w:val="es-MX"/>
        </w:rPr>
      </w:pPr>
      <w:r w:rsidRPr="00DF0F4F">
        <w:rPr>
          <w:rFonts w:eastAsiaTheme="majorEastAsia" w:cstheme="majorBidi"/>
          <w:bCs/>
          <w:color w:val="2F5496" w:themeColor="accent1" w:themeShade="BF"/>
          <w:sz w:val="24"/>
          <w:szCs w:val="24"/>
          <w:lang w:val="es-MX"/>
        </w:rPr>
        <w:t>CEDAW Capitulo XV punto 146</w:t>
      </w:r>
    </w:p>
    <w:p w14:paraId="3D14C0ED" w14:textId="1E26F5F4" w:rsidR="00D15358" w:rsidRPr="00060085" w:rsidRDefault="00EC5448" w:rsidP="00B86CC0">
      <w:pPr>
        <w:pStyle w:val="Heading2"/>
      </w:pPr>
      <w:bookmarkStart w:id="5" w:name="_Toc87981588"/>
      <w:bookmarkStart w:id="6" w:name="_Toc86422568"/>
      <w:r w:rsidRPr="00060085">
        <w:t>Maternidad infantil forzada</w:t>
      </w:r>
      <w:r w:rsidR="0018726B" w:rsidRPr="00060085">
        <w:t xml:space="preserve"> en el contexto de la </w:t>
      </w:r>
      <w:r w:rsidR="00995D44" w:rsidRPr="00060085">
        <w:t>pandemia</w:t>
      </w:r>
      <w:bookmarkEnd w:id="5"/>
      <w:r w:rsidR="00995D44" w:rsidRPr="00060085">
        <w:t xml:space="preserve"> </w:t>
      </w:r>
      <w:bookmarkEnd w:id="6"/>
    </w:p>
    <w:p w14:paraId="0C5008BB" w14:textId="501538DF" w:rsidR="000B613A" w:rsidRDefault="004B7104" w:rsidP="002B7346">
      <w:pPr>
        <w:shd w:val="clear" w:color="auto" w:fill="FFFFFF"/>
        <w:spacing w:after="150" w:line="240" w:lineRule="auto"/>
        <w:jc w:val="both"/>
        <w:rPr>
          <w:rFonts w:cstheme="minorHAnsi"/>
        </w:rPr>
      </w:pPr>
      <w:r>
        <w:rPr>
          <w:rFonts w:cstheme="minorHAnsi"/>
        </w:rPr>
        <w:t>Según</w:t>
      </w:r>
      <w:r w:rsidR="00F3259E" w:rsidRPr="00E363EF">
        <w:rPr>
          <w:rFonts w:cstheme="minorHAnsi"/>
        </w:rPr>
        <w:t xml:space="preserve"> el</w:t>
      </w:r>
      <w:r w:rsidR="000B613A" w:rsidRPr="00E363EF">
        <w:rPr>
          <w:rFonts w:cstheme="minorHAnsi"/>
        </w:rPr>
        <w:t xml:space="preserve"> Sistema de Registro del Certificado de Nacido Vivo, de enero a diciembre del 2020, se registraron en el país un total de 26 recién nacidos de </w:t>
      </w:r>
      <w:proofErr w:type="gramStart"/>
      <w:r w:rsidR="000B613A" w:rsidRPr="00E363EF">
        <w:rPr>
          <w:rFonts w:cstheme="minorHAnsi"/>
        </w:rPr>
        <w:t xml:space="preserve">niñas </w:t>
      </w:r>
      <w:r w:rsidR="00634B21">
        <w:rPr>
          <w:rFonts w:cstheme="minorHAnsi"/>
        </w:rPr>
        <w:t xml:space="preserve"> menores</w:t>
      </w:r>
      <w:proofErr w:type="gramEnd"/>
      <w:r w:rsidR="00634B21">
        <w:rPr>
          <w:rFonts w:cstheme="minorHAnsi"/>
        </w:rPr>
        <w:t xml:space="preserve"> de </w:t>
      </w:r>
      <w:r w:rsidR="000B613A" w:rsidRPr="00E363EF">
        <w:rPr>
          <w:rFonts w:cstheme="minorHAnsi"/>
        </w:rPr>
        <w:t>10 años</w:t>
      </w:r>
      <w:r w:rsidR="00634B21">
        <w:rPr>
          <w:rFonts w:cstheme="minorHAnsi"/>
        </w:rPr>
        <w:t xml:space="preserve">. </w:t>
      </w:r>
      <w:r w:rsidR="000B613A" w:rsidRPr="00E363EF">
        <w:rPr>
          <w:rFonts w:cstheme="minorHAnsi"/>
        </w:rPr>
        <w:t xml:space="preserve">El número registrado es casi tres veces mayor a la cifra </w:t>
      </w:r>
      <w:r w:rsidR="00805076">
        <w:rPr>
          <w:rFonts w:cstheme="minorHAnsi"/>
        </w:rPr>
        <w:t>del</w:t>
      </w:r>
      <w:r w:rsidR="000B613A" w:rsidRPr="00E363EF">
        <w:rPr>
          <w:rFonts w:cstheme="minorHAnsi"/>
        </w:rPr>
        <w:t xml:space="preserve"> año 2019.</w:t>
      </w:r>
      <w:r w:rsidR="0000724B">
        <w:rPr>
          <w:rFonts w:cstheme="minorHAnsi"/>
        </w:rPr>
        <w:t xml:space="preserve"> </w:t>
      </w:r>
      <w:r w:rsidR="002C3375">
        <w:rPr>
          <w:rFonts w:cstheme="minorHAnsi"/>
        </w:rPr>
        <w:t xml:space="preserve"> </w:t>
      </w:r>
      <w:r w:rsidR="00045C89">
        <w:rPr>
          <w:rFonts w:cstheme="minorHAnsi"/>
        </w:rPr>
        <w:t xml:space="preserve">Mientras </w:t>
      </w:r>
      <w:proofErr w:type="gramStart"/>
      <w:r w:rsidR="00045C89">
        <w:rPr>
          <w:rFonts w:cstheme="minorHAnsi"/>
        </w:rPr>
        <w:t>que</w:t>
      </w:r>
      <w:proofErr w:type="gramEnd"/>
      <w:r w:rsidR="00045C89">
        <w:rPr>
          <w:rFonts w:cstheme="minorHAnsi"/>
        </w:rPr>
        <w:t xml:space="preserve"> en el 2021, año en que las medidas de aislamiento se </w:t>
      </w:r>
      <w:proofErr w:type="spellStart"/>
      <w:r w:rsidR="00045C89">
        <w:rPr>
          <w:rFonts w:cstheme="minorHAnsi"/>
        </w:rPr>
        <w:t>flexibilixaron</w:t>
      </w:r>
      <w:proofErr w:type="spellEnd"/>
      <w:r w:rsidR="0067417B">
        <w:rPr>
          <w:rFonts w:cstheme="minorHAnsi"/>
        </w:rPr>
        <w:t>,</w:t>
      </w:r>
      <w:r w:rsidR="00045C89">
        <w:rPr>
          <w:rFonts w:cstheme="minorHAnsi"/>
        </w:rPr>
        <w:t xml:space="preserve"> se han registrado 7 casos. </w:t>
      </w:r>
    </w:p>
    <w:p w14:paraId="140A7C5E" w14:textId="7A55D809" w:rsidR="00634B21" w:rsidRDefault="002C3375" w:rsidP="00634B21">
      <w:pPr>
        <w:shd w:val="clear" w:color="auto" w:fill="FFFFFF"/>
        <w:spacing w:after="150" w:line="240" w:lineRule="auto"/>
        <w:jc w:val="both"/>
        <w:rPr>
          <w:rFonts w:cstheme="minorHAnsi"/>
        </w:rPr>
      </w:pPr>
      <w:r w:rsidRPr="00D15358">
        <w:rPr>
          <w:rFonts w:cstheme="minorHAnsi"/>
        </w:rPr>
        <w:t xml:space="preserve">La pandemia y </w:t>
      </w:r>
      <w:r w:rsidR="00DF72D5">
        <w:rPr>
          <w:rFonts w:cstheme="minorHAnsi"/>
        </w:rPr>
        <w:t>e</w:t>
      </w:r>
      <w:r w:rsidRPr="00D15358">
        <w:rPr>
          <w:rFonts w:cstheme="minorHAnsi"/>
        </w:rPr>
        <w:t xml:space="preserve">l aislamiento social han agravado las cifras de violencia sexual en la medida que las mujeres y niñas se han visto obligadas a vivir encerradas con sus agresores. </w:t>
      </w:r>
      <w:r w:rsidR="005F219C">
        <w:rPr>
          <w:rFonts w:cstheme="minorHAnsi"/>
        </w:rPr>
        <w:t xml:space="preserve">En </w:t>
      </w:r>
      <w:r w:rsidR="005F219C" w:rsidRPr="005F219C">
        <w:rPr>
          <w:rFonts w:cstheme="minorHAnsi"/>
        </w:rPr>
        <w:t xml:space="preserve">promedio, el </w:t>
      </w:r>
      <w:r w:rsidR="005F219C" w:rsidRPr="005F219C">
        <w:rPr>
          <w:rFonts w:cstheme="minorHAnsi"/>
        </w:rPr>
        <w:lastRenderedPageBreak/>
        <w:t>92% de los casos de violación sexual afecta a niñas y adolescentes mujeres (Defensoría</w:t>
      </w:r>
      <w:r w:rsidR="005F219C">
        <w:rPr>
          <w:rFonts w:cstheme="minorHAnsi"/>
        </w:rPr>
        <w:t xml:space="preserve"> del Pueblo; </w:t>
      </w:r>
      <w:r w:rsidR="005F219C" w:rsidRPr="005F219C">
        <w:rPr>
          <w:rFonts w:cstheme="minorHAnsi"/>
        </w:rPr>
        <w:t>2020</w:t>
      </w:r>
      <w:r w:rsidR="005F219C">
        <w:rPr>
          <w:rFonts w:cstheme="minorHAnsi"/>
        </w:rPr>
        <w:t>:</w:t>
      </w:r>
      <w:r w:rsidR="005F219C" w:rsidRPr="005F219C">
        <w:rPr>
          <w:rFonts w:cstheme="minorHAnsi"/>
        </w:rPr>
        <w:t xml:space="preserve">6). </w:t>
      </w:r>
      <w:r w:rsidR="00940F35">
        <w:rPr>
          <w:rFonts w:cstheme="minorHAnsi"/>
        </w:rPr>
        <w:t xml:space="preserve"> </w:t>
      </w:r>
    </w:p>
    <w:p w14:paraId="3217911F" w14:textId="2EA1BAF4" w:rsidR="002C3375" w:rsidRPr="00D15358" w:rsidRDefault="002C3375" w:rsidP="00634B21">
      <w:pPr>
        <w:shd w:val="clear" w:color="auto" w:fill="FFFFFF"/>
        <w:spacing w:after="150" w:line="240" w:lineRule="auto"/>
        <w:jc w:val="both"/>
        <w:rPr>
          <w:rFonts w:cstheme="minorHAnsi"/>
        </w:rPr>
      </w:pPr>
      <w:r w:rsidRPr="00D15358">
        <w:rPr>
          <w:rFonts w:cstheme="minorHAnsi"/>
        </w:rPr>
        <w:t>En el año 2020, se incrementó en 12% los embarazos no deseados de adolescentes</w:t>
      </w:r>
      <w:r w:rsidRPr="00D15358">
        <w:rPr>
          <w:rFonts w:cstheme="minorHAnsi"/>
          <w:vertAlign w:val="superscript"/>
        </w:rPr>
        <w:footnoteReference w:id="9"/>
      </w:r>
      <w:r w:rsidRPr="00D15358">
        <w:rPr>
          <w:rFonts w:cstheme="minorHAnsi"/>
        </w:rPr>
        <w:t>. Los Centros de Emergencia Mujer (CEM) recibieron el año 2020, más de 13,840 denuncias de violencia sexual, el 43% de las víctimas fueron adolescentes entre 12 y 17 años y el 20.7% niñas de 6 a 11 años</w:t>
      </w:r>
      <w:r w:rsidRPr="00D15358">
        <w:rPr>
          <w:rFonts w:cstheme="minorHAnsi"/>
          <w:vertAlign w:val="superscript"/>
        </w:rPr>
        <w:footnoteReference w:id="10"/>
      </w:r>
      <w:r w:rsidRPr="00D15358">
        <w:rPr>
          <w:rFonts w:cstheme="minorHAnsi"/>
        </w:rPr>
        <w:t xml:space="preserve">. </w:t>
      </w:r>
    </w:p>
    <w:p w14:paraId="0C23D4FF" w14:textId="3DE468ED" w:rsidR="00B44650" w:rsidRDefault="00302E38" w:rsidP="00F73B74">
      <w:pPr>
        <w:contextualSpacing/>
        <w:rPr>
          <w:rFonts w:cstheme="minorHAnsi"/>
        </w:rPr>
      </w:pPr>
      <w:r w:rsidRPr="00D15358">
        <w:rPr>
          <w:rFonts w:cstheme="minorHAnsi"/>
        </w:rPr>
        <w:t>Las medidas de restricción para salir de casa debido a la pandemia</w:t>
      </w:r>
      <w:r w:rsidR="006A5B85">
        <w:rPr>
          <w:rFonts w:cstheme="minorHAnsi"/>
        </w:rPr>
        <w:t xml:space="preserve"> </w:t>
      </w:r>
      <w:r w:rsidRPr="00D15358">
        <w:rPr>
          <w:rFonts w:cstheme="minorHAnsi"/>
        </w:rPr>
        <w:t>han creado el ambiente propicio para un incremento alarmante de casos de violencia sexual de niñas y adolescentes cometidos por miembros de la familia inmediata.</w:t>
      </w:r>
      <w:r>
        <w:rPr>
          <w:rFonts w:cstheme="minorHAnsi"/>
        </w:rPr>
        <w:t xml:space="preserve"> </w:t>
      </w:r>
      <w:r w:rsidR="00444F20" w:rsidRPr="00E363EF">
        <w:rPr>
          <w:rFonts w:cstheme="minorHAnsi"/>
        </w:rPr>
        <w:br/>
      </w:r>
    </w:p>
    <w:p w14:paraId="17765769" w14:textId="6FFA6FA5" w:rsidR="00677F58" w:rsidRDefault="00444F20" w:rsidP="00677F58">
      <w:pPr>
        <w:contextualSpacing/>
        <w:jc w:val="both"/>
        <w:rPr>
          <w:rFonts w:cstheme="minorHAnsi"/>
        </w:rPr>
      </w:pPr>
      <w:r w:rsidRPr="00E363EF">
        <w:rPr>
          <w:rFonts w:cstheme="minorHAnsi"/>
        </w:rPr>
        <w:t>Según Registros del Nacido Vivo, en el 2020, el número de embarazos en adolescentes de 11 a 19 años fue de 53,299</w:t>
      </w:r>
      <w:r w:rsidR="00F916DB">
        <w:rPr>
          <w:rFonts w:cstheme="minorHAnsi"/>
        </w:rPr>
        <w:t>, de est</w:t>
      </w:r>
      <w:r w:rsidR="00CD6316">
        <w:rPr>
          <w:rFonts w:cstheme="minorHAnsi"/>
        </w:rPr>
        <w:t xml:space="preserve">os </w:t>
      </w:r>
      <w:proofErr w:type="gramStart"/>
      <w:r w:rsidR="00CD6316">
        <w:rPr>
          <w:rFonts w:cstheme="minorHAnsi"/>
        </w:rPr>
        <w:t xml:space="preserve">el </w:t>
      </w:r>
      <w:r w:rsidRPr="00E363EF">
        <w:rPr>
          <w:rFonts w:cstheme="minorHAnsi"/>
        </w:rPr>
        <w:t xml:space="preserve"> 1,136</w:t>
      </w:r>
      <w:proofErr w:type="gramEnd"/>
      <w:r w:rsidR="00CD6316">
        <w:rPr>
          <w:rFonts w:cstheme="minorHAnsi"/>
        </w:rPr>
        <w:t xml:space="preserve"> fueron partos en adolescentes menores de 14 años. En el 2021, se registraron 1435 partos en niñas entre 11 y 14 años. </w:t>
      </w:r>
    </w:p>
    <w:p w14:paraId="1C2283BF" w14:textId="77777777" w:rsidR="001E10B7" w:rsidRDefault="001E10B7" w:rsidP="005972C1">
      <w:pPr>
        <w:contextualSpacing/>
        <w:jc w:val="both"/>
        <w:rPr>
          <w:rFonts w:cstheme="minorHAnsi"/>
        </w:rPr>
      </w:pPr>
    </w:p>
    <w:p w14:paraId="7CB51590" w14:textId="05E7DB68" w:rsidR="00D15358" w:rsidRPr="00D15358" w:rsidRDefault="00677F58" w:rsidP="005972C1">
      <w:pPr>
        <w:contextualSpacing/>
        <w:jc w:val="both"/>
        <w:rPr>
          <w:rFonts w:eastAsia="Times New Roman" w:cstheme="minorHAnsi"/>
          <w:color w:val="0F0E0E"/>
          <w:sz w:val="18"/>
          <w:szCs w:val="18"/>
          <w:bdr w:val="none" w:sz="0" w:space="0" w:color="auto" w:frame="1"/>
          <w:lang w:eastAsia="es-PE"/>
        </w:rPr>
      </w:pPr>
      <w:r>
        <w:rPr>
          <w:rFonts w:cstheme="minorHAnsi"/>
        </w:rPr>
        <w:t xml:space="preserve">La violación sexual </w:t>
      </w:r>
      <w:r w:rsidR="00BF107C">
        <w:rPr>
          <w:rFonts w:cstheme="minorHAnsi"/>
        </w:rPr>
        <w:t>es un d</w:t>
      </w:r>
      <w:r>
        <w:rPr>
          <w:rFonts w:cstheme="minorHAnsi"/>
        </w:rPr>
        <w:t>elito</w:t>
      </w:r>
      <w:r w:rsidR="004C4E2D">
        <w:rPr>
          <w:rFonts w:cstheme="minorHAnsi"/>
        </w:rPr>
        <w:t xml:space="preserve"> </w:t>
      </w:r>
      <w:proofErr w:type="gramStart"/>
      <w:r>
        <w:rPr>
          <w:rFonts w:cstheme="minorHAnsi"/>
        </w:rPr>
        <w:t>extendido  y</w:t>
      </w:r>
      <w:proofErr w:type="gramEnd"/>
      <w:r>
        <w:rPr>
          <w:rFonts w:cstheme="minorHAnsi"/>
        </w:rPr>
        <w:t xml:space="preserve"> las estadísticas</w:t>
      </w:r>
      <w:r w:rsidR="00BF107C">
        <w:rPr>
          <w:rFonts w:cstheme="minorHAnsi"/>
        </w:rPr>
        <w:t xml:space="preserve">, siendo especialmente vulnerables </w:t>
      </w:r>
      <w:r>
        <w:rPr>
          <w:rFonts w:cstheme="minorHAnsi"/>
        </w:rPr>
        <w:t xml:space="preserve"> las niñas y adolescente</w:t>
      </w:r>
      <w:r w:rsidR="002605D8">
        <w:rPr>
          <w:rFonts w:cstheme="minorHAnsi"/>
        </w:rPr>
        <w:t>s</w:t>
      </w:r>
      <w:r>
        <w:rPr>
          <w:rFonts w:cstheme="minorHAnsi"/>
        </w:rPr>
        <w:t xml:space="preserve">. En el contexto de la pandemia esta </w:t>
      </w:r>
      <w:proofErr w:type="gramStart"/>
      <w:r>
        <w:rPr>
          <w:rFonts w:cstheme="minorHAnsi"/>
        </w:rPr>
        <w:t>situación  ha</w:t>
      </w:r>
      <w:proofErr w:type="gramEnd"/>
      <w:r>
        <w:rPr>
          <w:rFonts w:cstheme="minorHAnsi"/>
        </w:rPr>
        <w:t xml:space="preserve"> empeorado: el 65% de las violaciones sexuales en el año 2019, el 67.5% el año 2020 y el 68% en el 2021 tienen como victimas a menores a 18 años.  </w:t>
      </w:r>
      <w:r w:rsidR="005972C1">
        <w:rPr>
          <w:rFonts w:cstheme="minorHAnsi"/>
        </w:rPr>
        <w:t>(Ver Anexo Cuadro 6</w:t>
      </w:r>
      <w:r w:rsidR="0057454B">
        <w:rPr>
          <w:rFonts w:cstheme="minorHAnsi"/>
        </w:rPr>
        <w:t xml:space="preserve"> y 7</w:t>
      </w:r>
      <w:r w:rsidR="005972C1">
        <w:rPr>
          <w:rFonts w:cstheme="minorHAnsi"/>
        </w:rPr>
        <w:t>)</w:t>
      </w:r>
    </w:p>
    <w:p w14:paraId="31235709" w14:textId="77777777" w:rsidR="001E10B7" w:rsidRDefault="001E10B7" w:rsidP="00DA0567">
      <w:pPr>
        <w:shd w:val="clear" w:color="auto" w:fill="FFFFFF"/>
        <w:spacing w:after="150" w:line="240" w:lineRule="auto"/>
        <w:jc w:val="both"/>
        <w:rPr>
          <w:bCs/>
        </w:rPr>
      </w:pPr>
    </w:p>
    <w:p w14:paraId="58192779" w14:textId="47300E6E" w:rsidR="003F27D3" w:rsidRDefault="003F27D3" w:rsidP="003F27D3">
      <w:pPr>
        <w:jc w:val="both"/>
      </w:pPr>
      <w:r>
        <w:t>Las n</w:t>
      </w:r>
      <w:r w:rsidRPr="005A3BF4">
        <w:t xml:space="preserve">iñas en zonas rurales, en la selva y en comunidades indígenas o nativas </w:t>
      </w:r>
      <w:proofErr w:type="gramStart"/>
      <w:r w:rsidRPr="005A3BF4">
        <w:t>tienen  tasas</w:t>
      </w:r>
      <w:proofErr w:type="gramEnd"/>
      <w:r w:rsidRPr="005A3BF4">
        <w:t xml:space="preserve"> altas de embarazo (Defensoría del Pueblo</w:t>
      </w:r>
      <w:r>
        <w:t>; 2</w:t>
      </w:r>
      <w:r w:rsidRPr="005A3BF4">
        <w:t>017</w:t>
      </w:r>
      <w:r>
        <w:t>:</w:t>
      </w:r>
      <w:r w:rsidRPr="005A3BF4">
        <w:t>23). Por ejemplo, la tasa de maternidad adolescente en personas que se auto identifica</w:t>
      </w:r>
      <w:r w:rsidR="00D17428">
        <w:t>n</w:t>
      </w:r>
      <w:r w:rsidR="00A76D44">
        <w:t xml:space="preserve"> con el </w:t>
      </w:r>
      <w:r w:rsidRPr="005A3BF4">
        <w:t xml:space="preserve">pueblo </w:t>
      </w:r>
      <w:proofErr w:type="spellStart"/>
      <w:r w:rsidRPr="005A3BF4">
        <w:t>Asháninka</w:t>
      </w:r>
      <w:proofErr w:type="spellEnd"/>
      <w:r w:rsidRPr="005A3BF4">
        <w:t xml:space="preserve"> </w:t>
      </w:r>
      <w:r w:rsidR="00D17428">
        <w:t>es</w:t>
      </w:r>
      <w:r w:rsidRPr="005A3BF4">
        <w:t xml:space="preserve"> de 31% y </w:t>
      </w:r>
      <w:r w:rsidR="00E927B5">
        <w:t xml:space="preserve">con el </w:t>
      </w:r>
      <w:r w:rsidRPr="005A3BF4">
        <w:t>pueblo Shipibo-</w:t>
      </w:r>
      <w:proofErr w:type="spellStart"/>
      <w:r w:rsidRPr="005A3BF4">
        <w:t>Konibo</w:t>
      </w:r>
      <w:proofErr w:type="spellEnd"/>
      <w:r w:rsidRPr="005A3BF4">
        <w:t xml:space="preserve"> de 30</w:t>
      </w:r>
      <w:r>
        <w:t>.</w:t>
      </w:r>
      <w:r w:rsidRPr="005A3BF4">
        <w:t>3% (Plan international</w:t>
      </w:r>
      <w:r>
        <w:t>;</w:t>
      </w:r>
      <w:r w:rsidRPr="005A3BF4">
        <w:t>2020</w:t>
      </w:r>
      <w:r>
        <w:t>:</w:t>
      </w:r>
      <w:r w:rsidRPr="005A3BF4">
        <w:t xml:space="preserve">14). </w:t>
      </w:r>
      <w:r>
        <w:t>Las n</w:t>
      </w:r>
      <w:r w:rsidRPr="005A3BF4">
        <w:t>iñas indígenas suelen</w:t>
      </w:r>
      <w:r w:rsidR="00A3176A">
        <w:t xml:space="preserve"> </w:t>
      </w:r>
      <w:r>
        <w:t>estar</w:t>
      </w:r>
      <w:r w:rsidRPr="005A3BF4">
        <w:t xml:space="preserve"> más expuestas a la violencia sexual. Por ejemplo, en 2019 </w:t>
      </w:r>
      <w:r>
        <w:t>el</w:t>
      </w:r>
      <w:r w:rsidRPr="005A3BF4">
        <w:t xml:space="preserve"> 10</w:t>
      </w:r>
      <w:r>
        <w:t>.</w:t>
      </w:r>
      <w:r w:rsidRPr="005A3BF4">
        <w:t>2% de adolescentes de origen e idioma nativo habían sido víctima</w:t>
      </w:r>
      <w:r>
        <w:t>s</w:t>
      </w:r>
      <w:r w:rsidRPr="005A3BF4">
        <w:t xml:space="preserve"> de violencia sexual, una tasa mucho más alta que el promedio nacional </w:t>
      </w:r>
      <w:r>
        <w:t xml:space="preserve">de </w:t>
      </w:r>
      <w:r w:rsidRPr="005A3BF4">
        <w:t>alrededor de 3%</w:t>
      </w:r>
      <w:r>
        <w:t xml:space="preserve"> (Flora Tristán, 2021-II, p 20). Además, </w:t>
      </w:r>
      <w:r w:rsidRPr="005A3BF4">
        <w:t xml:space="preserve">en algunas zonas amazónicas, </w:t>
      </w:r>
      <w:r>
        <w:t xml:space="preserve">las </w:t>
      </w:r>
      <w:r w:rsidRPr="005A3BF4">
        <w:t xml:space="preserve">relaciones </w:t>
      </w:r>
      <w:r>
        <w:t xml:space="preserve">sexuales </w:t>
      </w:r>
      <w:r w:rsidRPr="005A3BF4">
        <w:t>tempranas con hombres mayores son naturalizadas y hasta impulsadas por las familias, lo que puede generar situaciones de desigualdad de poder y de violencia</w:t>
      </w:r>
      <w:r>
        <w:t xml:space="preserve"> (Ibid;25-26).</w:t>
      </w:r>
    </w:p>
    <w:p w14:paraId="18C580B4" w14:textId="52641A09" w:rsidR="00A66631" w:rsidRPr="00A66631" w:rsidRDefault="00A66631" w:rsidP="001E10B7">
      <w:pPr>
        <w:jc w:val="both"/>
        <w:rPr>
          <w:b/>
        </w:rPr>
      </w:pPr>
      <w:r w:rsidRPr="00A66631">
        <w:rPr>
          <w:b/>
        </w:rPr>
        <w:t>Sobre la Anticoncepción Oral de Emergencia</w:t>
      </w:r>
      <w:r>
        <w:rPr>
          <w:b/>
        </w:rPr>
        <w:t xml:space="preserve"> (AOE)</w:t>
      </w:r>
      <w:r w:rsidR="002D7940">
        <w:rPr>
          <w:b/>
        </w:rPr>
        <w:t xml:space="preserve"> y aborto </w:t>
      </w:r>
      <w:proofErr w:type="spellStart"/>
      <w:r w:rsidR="002D7940">
        <w:rPr>
          <w:b/>
        </w:rPr>
        <w:t>terapeutico</w:t>
      </w:r>
      <w:proofErr w:type="spellEnd"/>
      <w:r w:rsidRPr="00A66631">
        <w:rPr>
          <w:b/>
        </w:rPr>
        <w:t xml:space="preserve">: </w:t>
      </w:r>
    </w:p>
    <w:p w14:paraId="2F074401" w14:textId="7888CCEF" w:rsidR="001E10B7" w:rsidRDefault="001E10B7" w:rsidP="001E10B7">
      <w:pPr>
        <w:jc w:val="both"/>
      </w:pPr>
      <w:r>
        <w:rPr>
          <w:bCs/>
          <w:lang w:val="es-ES"/>
        </w:rPr>
        <w:t xml:space="preserve">Debido a </w:t>
      </w:r>
      <w:r w:rsidRPr="005F219C">
        <w:rPr>
          <w:bCs/>
          <w:lang w:val="es-ES"/>
        </w:rPr>
        <w:t xml:space="preserve">la presión de grupos </w:t>
      </w:r>
      <w:r>
        <w:rPr>
          <w:bCs/>
          <w:lang w:val="es-ES"/>
        </w:rPr>
        <w:t xml:space="preserve">conservadores que se resisten a reconocer derechos fundamentales de las mujeres, </w:t>
      </w:r>
      <w:r w:rsidRPr="005F219C">
        <w:rPr>
          <w:bCs/>
          <w:lang w:val="es-ES"/>
        </w:rPr>
        <w:t>el Tribunal Constitucional</w:t>
      </w:r>
      <w:r>
        <w:rPr>
          <w:bCs/>
          <w:lang w:val="es-ES"/>
        </w:rPr>
        <w:t xml:space="preserve"> </w:t>
      </w:r>
      <w:r w:rsidRPr="005F219C">
        <w:rPr>
          <w:bCs/>
          <w:lang w:val="es-ES"/>
        </w:rPr>
        <w:t xml:space="preserve">prohibió </w:t>
      </w:r>
      <w:r>
        <w:rPr>
          <w:bCs/>
          <w:lang w:val="es-ES"/>
        </w:rPr>
        <w:t>la</w:t>
      </w:r>
      <w:r w:rsidRPr="005F219C">
        <w:rPr>
          <w:bCs/>
          <w:lang w:val="es-ES"/>
        </w:rPr>
        <w:t xml:space="preserve"> distribución gratuita </w:t>
      </w:r>
      <w:r>
        <w:rPr>
          <w:bCs/>
          <w:lang w:val="es-ES"/>
        </w:rPr>
        <w:t xml:space="preserve">de la AOE </w:t>
      </w:r>
      <w:r w:rsidRPr="005F219C">
        <w:rPr>
          <w:bCs/>
          <w:lang w:val="es-ES"/>
        </w:rPr>
        <w:t>en servicios de salud a pesar de la evidencia científica de que la AOE no es abortiva</w:t>
      </w:r>
      <w:r w:rsidRPr="005F219C">
        <w:rPr>
          <w:bCs/>
          <w:vertAlign w:val="superscript"/>
          <w:lang w:val="es-ES"/>
        </w:rPr>
        <w:footnoteReference w:id="11"/>
      </w:r>
      <w:r w:rsidRPr="005F219C">
        <w:rPr>
          <w:bCs/>
          <w:lang w:val="es-ES"/>
        </w:rPr>
        <w:t>. Se sigue distribuyendo gracias a la vigencia de una medida cautelar</w:t>
      </w:r>
      <w:r w:rsidRPr="005F219C">
        <w:rPr>
          <w:rStyle w:val="FootnoteReference"/>
          <w:bCs/>
          <w:lang w:val="es-ES"/>
        </w:rPr>
        <w:footnoteReference w:id="12"/>
      </w:r>
      <w:r w:rsidRPr="005F219C">
        <w:rPr>
          <w:bCs/>
          <w:lang w:val="es-ES"/>
        </w:rPr>
        <w:t xml:space="preserve"> interpuesta para proteger el bienestar de las mujeres. </w:t>
      </w:r>
      <w:r w:rsidRPr="005F219C">
        <w:t>Sin embargo, la distribución de kits de emergencia es deficiente.</w:t>
      </w:r>
    </w:p>
    <w:p w14:paraId="4B972A2D" w14:textId="5E13A324" w:rsidR="00BE35B8" w:rsidRDefault="002A1288" w:rsidP="00BE35B8">
      <w:pPr>
        <w:jc w:val="both"/>
        <w:rPr>
          <w:color w:val="000000" w:themeColor="text1"/>
        </w:rPr>
      </w:pPr>
      <w:r>
        <w:t xml:space="preserve">Esta </w:t>
      </w:r>
      <w:proofErr w:type="gramStart"/>
      <w:r>
        <w:t>situación  afianza</w:t>
      </w:r>
      <w:proofErr w:type="gramEnd"/>
      <w:r>
        <w:t xml:space="preserve"> las barreras de acceso para las niñas y adolescentes, se ha detectado la falta de entre de los kit y la AOE a niñas y adolescentes violentadas.</w:t>
      </w:r>
      <w:r w:rsidR="002B626F">
        <w:t xml:space="preserve"> Además, </w:t>
      </w:r>
      <w:proofErr w:type="gramStart"/>
      <w:r w:rsidR="002B626F">
        <w:t xml:space="preserve">las </w:t>
      </w:r>
      <w:r w:rsidR="002D7940">
        <w:t xml:space="preserve"> </w:t>
      </w:r>
      <w:r w:rsidR="00BE35B8" w:rsidRPr="00843276">
        <w:t>víctimas</w:t>
      </w:r>
      <w:proofErr w:type="gramEnd"/>
      <w:r w:rsidR="00BE35B8" w:rsidRPr="00843276">
        <w:t xml:space="preserve"> enfrentan obstáculos dentro del sistema de salud para </w:t>
      </w:r>
      <w:r w:rsidR="00BE35B8">
        <w:t xml:space="preserve">acceder al aborto terapéutico </w:t>
      </w:r>
      <w:r w:rsidR="002B626F">
        <w:t xml:space="preserve">por </w:t>
      </w:r>
      <w:r w:rsidR="00BE35B8" w:rsidRPr="00843276">
        <w:t xml:space="preserve"> el estigma asociado al aborto</w:t>
      </w:r>
      <w:r w:rsidR="00166A07">
        <w:t>, así como por la penalización del mismo, incluso por casual violación.</w:t>
      </w:r>
      <w:r w:rsidR="00BE35B8" w:rsidRPr="00843276">
        <w:t xml:space="preserve"> </w:t>
      </w:r>
      <w:r w:rsidR="00BE35B8" w:rsidRPr="00843276">
        <w:rPr>
          <w:color w:val="000000" w:themeColor="text1"/>
        </w:rPr>
        <w:t xml:space="preserve">De hecho, para el </w:t>
      </w:r>
      <w:r w:rsidR="00BE35B8" w:rsidRPr="00843276">
        <w:rPr>
          <w:color w:val="000000" w:themeColor="text1"/>
        </w:rPr>
        <w:lastRenderedPageBreak/>
        <w:t>periodo 2019-2021</w:t>
      </w:r>
      <w:r w:rsidR="00BE35B8" w:rsidRPr="00843276">
        <w:rPr>
          <w:rStyle w:val="FootnoteReference"/>
          <w:color w:val="000000" w:themeColor="text1"/>
        </w:rPr>
        <w:footnoteReference w:id="13"/>
      </w:r>
      <w:r w:rsidR="00BE35B8" w:rsidRPr="00843276">
        <w:rPr>
          <w:color w:val="000000" w:themeColor="text1"/>
        </w:rPr>
        <w:t xml:space="preserve"> el Ministerio de Salud (MINSA) registra solo 216 abortos terapéuticos de niñas y adolescentes entre 0-17 años. </w:t>
      </w:r>
      <w:r w:rsidR="00BE35B8">
        <w:rPr>
          <w:color w:val="000000" w:themeColor="text1"/>
        </w:rPr>
        <w:t xml:space="preserve"> </w:t>
      </w:r>
      <w:r w:rsidR="00BE35B8" w:rsidRPr="00843276">
        <w:rPr>
          <w:color w:val="000000" w:themeColor="text1"/>
        </w:rPr>
        <w:t>La reducción de las tasas de embarazo en l</w:t>
      </w:r>
      <w:r w:rsidR="00BE35B8">
        <w:rPr>
          <w:color w:val="000000" w:themeColor="text1"/>
        </w:rPr>
        <w:t>a</w:t>
      </w:r>
      <w:r w:rsidR="00BE35B8" w:rsidRPr="00843276">
        <w:rPr>
          <w:color w:val="000000" w:themeColor="text1"/>
        </w:rPr>
        <w:t>s niñ</w:t>
      </w:r>
      <w:r w:rsidR="00BE35B8">
        <w:rPr>
          <w:color w:val="000000" w:themeColor="text1"/>
        </w:rPr>
        <w:t>a</w:t>
      </w:r>
      <w:r w:rsidR="00BE35B8" w:rsidRPr="00843276">
        <w:rPr>
          <w:color w:val="000000" w:themeColor="text1"/>
        </w:rPr>
        <w:t>s no</w:t>
      </w:r>
      <w:r w:rsidR="00BE35B8">
        <w:rPr>
          <w:color w:val="000000" w:themeColor="text1"/>
        </w:rPr>
        <w:t xml:space="preserve"> parece ser una prioridad </w:t>
      </w:r>
      <w:r w:rsidR="009527B6">
        <w:rPr>
          <w:color w:val="000000" w:themeColor="text1"/>
        </w:rPr>
        <w:t>en la política pública</w:t>
      </w:r>
      <w:r w:rsidR="00BE35B8" w:rsidRPr="00843276">
        <w:rPr>
          <w:color w:val="000000" w:themeColor="text1"/>
        </w:rPr>
        <w:t>, la educación sexual integral recibe una atención mínima y no se menciona el acceso efectivo al aborto</w:t>
      </w:r>
      <w:r w:rsidR="00BE35B8">
        <w:rPr>
          <w:color w:val="000000" w:themeColor="text1"/>
        </w:rPr>
        <w:t xml:space="preserve">. </w:t>
      </w:r>
    </w:p>
    <w:p w14:paraId="770E2428" w14:textId="4A512931" w:rsidR="006225D2" w:rsidRPr="00261785" w:rsidRDefault="00261785" w:rsidP="00AC034F">
      <w:pPr>
        <w:jc w:val="both"/>
        <w:rPr>
          <w:b/>
          <w:bCs/>
        </w:rPr>
      </w:pPr>
      <w:r w:rsidRPr="00261785">
        <w:rPr>
          <w:b/>
          <w:bCs/>
        </w:rPr>
        <w:t>Sobre los agresores:</w:t>
      </w:r>
      <w:r w:rsidR="00B3713B" w:rsidRPr="00261785">
        <w:rPr>
          <w:b/>
          <w:bCs/>
        </w:rPr>
        <w:t xml:space="preserve"> </w:t>
      </w:r>
      <w:r w:rsidR="005A4790" w:rsidRPr="00261785">
        <w:rPr>
          <w:b/>
          <w:bCs/>
        </w:rPr>
        <w:t xml:space="preserve"> </w:t>
      </w:r>
      <w:r w:rsidR="00594FFC" w:rsidRPr="00261785">
        <w:rPr>
          <w:b/>
          <w:bCs/>
        </w:rPr>
        <w:t xml:space="preserve"> </w:t>
      </w:r>
      <w:r w:rsidR="006C4B38" w:rsidRPr="00261785">
        <w:rPr>
          <w:b/>
          <w:bCs/>
        </w:rPr>
        <w:t xml:space="preserve"> </w:t>
      </w:r>
    </w:p>
    <w:p w14:paraId="50459781" w14:textId="2D963E4E" w:rsidR="005F219C" w:rsidRDefault="005F219C" w:rsidP="005F219C">
      <w:pPr>
        <w:jc w:val="both"/>
      </w:pPr>
      <w:r w:rsidRPr="005F219C">
        <w:t>En cuanto al enjuiciamiento de los agresores en casos de violencia sexual, cabe resaltar que la tasas en general son bajas. Según el MIMP, en 2019, solo 0</w:t>
      </w:r>
      <w:r>
        <w:t>.</w:t>
      </w:r>
      <w:r w:rsidRPr="005F219C">
        <w:t>7% de los casos llegaron a una sentencia favorable (0</w:t>
      </w:r>
      <w:r>
        <w:t>.</w:t>
      </w:r>
      <w:r w:rsidRPr="005F219C">
        <w:t xml:space="preserve">8% en 2018). </w:t>
      </w:r>
      <w:proofErr w:type="gramStart"/>
      <w:r>
        <w:t>De acuerdo a</w:t>
      </w:r>
      <w:proofErr w:type="gramEnd"/>
      <w:r>
        <w:t xml:space="preserve"> información oficial proporcionada por </w:t>
      </w:r>
      <w:r w:rsidRPr="005F219C">
        <w:t>el Poder Judicial del Perú</w:t>
      </w:r>
      <w:r>
        <w:rPr>
          <w:rStyle w:val="FootnoteReference"/>
        </w:rPr>
        <w:footnoteReference w:id="14"/>
      </w:r>
      <w:r w:rsidRPr="005F219C">
        <w:t xml:space="preserve"> en </w:t>
      </w:r>
      <w:r>
        <w:t xml:space="preserve">el año </w:t>
      </w:r>
      <w:r w:rsidRPr="005F219C">
        <w:t>2020 se habían presentado acusaciones formales en 2,967 casos de violación y otros 1</w:t>
      </w:r>
      <w:r w:rsidR="00D32BFC">
        <w:t>,</w:t>
      </w:r>
      <w:r w:rsidRPr="005F219C">
        <w:t>238 casos habían recibido una sentencia (condenatoria o absolutoria)</w:t>
      </w:r>
      <w:r w:rsidRPr="005F219C">
        <w:rPr>
          <w:rStyle w:val="FootnoteReference"/>
        </w:rPr>
        <w:footnoteReference w:id="15"/>
      </w:r>
      <w:r w:rsidRPr="005F219C">
        <w:t xml:space="preserve">. Estas cifras incluyen casos ingresados antes de 2020. </w:t>
      </w:r>
    </w:p>
    <w:p w14:paraId="227511A1" w14:textId="1B1F67DF" w:rsidR="00F81369" w:rsidRPr="007432D8" w:rsidRDefault="00F81369" w:rsidP="00843276">
      <w:pPr>
        <w:jc w:val="both"/>
      </w:pPr>
    </w:p>
    <w:p w14:paraId="5522BCDF" w14:textId="20FFE90A" w:rsidR="007E63AE" w:rsidRDefault="007E63AE" w:rsidP="002666D7">
      <w:pPr>
        <w:pStyle w:val="Heading1"/>
      </w:pPr>
      <w:bookmarkStart w:id="7" w:name="_Toc87981590"/>
      <w:r>
        <w:t>V</w:t>
      </w:r>
      <w:r w:rsidR="00FF18D0">
        <w:t>IOLENCIA BASADA EN GÉNERO</w:t>
      </w:r>
      <w:bookmarkEnd w:id="7"/>
      <w:r w:rsidR="00FF18D0">
        <w:t xml:space="preserve">  </w:t>
      </w:r>
      <w:r w:rsidR="00D15358">
        <w:t xml:space="preserve">  </w:t>
      </w:r>
    </w:p>
    <w:p w14:paraId="1B3111FA" w14:textId="49E8CA9D" w:rsidR="00D15358" w:rsidRPr="00FA5F63" w:rsidRDefault="00D15358" w:rsidP="002B7346">
      <w:pPr>
        <w:jc w:val="right"/>
        <w:rPr>
          <w:rFonts w:eastAsiaTheme="majorEastAsia" w:cstheme="majorBidi"/>
          <w:bCs/>
          <w:color w:val="2F5496" w:themeColor="accent1" w:themeShade="BF"/>
          <w:sz w:val="24"/>
          <w:szCs w:val="24"/>
          <w:lang w:val="es-MX"/>
        </w:rPr>
      </w:pPr>
      <w:r w:rsidRPr="00FA5F63">
        <w:rPr>
          <w:rFonts w:eastAsiaTheme="majorEastAsia" w:cstheme="majorBidi"/>
          <w:bCs/>
          <w:color w:val="2F5496" w:themeColor="accent1" w:themeShade="BF"/>
          <w:sz w:val="24"/>
          <w:szCs w:val="24"/>
          <w:lang w:val="es-MX"/>
        </w:rPr>
        <w:t xml:space="preserve">CEDAW Capitulo VIII. Violencia de </w:t>
      </w:r>
      <w:r w:rsidR="00995D44" w:rsidRPr="00FA5F63">
        <w:rPr>
          <w:rFonts w:eastAsiaTheme="majorEastAsia" w:cstheme="majorBidi"/>
          <w:bCs/>
          <w:color w:val="2F5496" w:themeColor="accent1" w:themeShade="BF"/>
          <w:sz w:val="24"/>
          <w:szCs w:val="24"/>
          <w:lang w:val="es-MX"/>
        </w:rPr>
        <w:t>género contra</w:t>
      </w:r>
      <w:r w:rsidRPr="00FA5F63">
        <w:rPr>
          <w:rFonts w:eastAsiaTheme="majorEastAsia" w:cstheme="majorBidi"/>
          <w:bCs/>
          <w:color w:val="2F5496" w:themeColor="accent1" w:themeShade="BF"/>
          <w:sz w:val="24"/>
          <w:szCs w:val="24"/>
          <w:lang w:val="es-MX"/>
        </w:rPr>
        <w:t xml:space="preserve"> la mujer, </w:t>
      </w:r>
      <w:r w:rsidR="00995D44" w:rsidRPr="00FA5F63">
        <w:rPr>
          <w:rFonts w:eastAsiaTheme="majorEastAsia" w:cstheme="majorBidi"/>
          <w:bCs/>
          <w:color w:val="2F5496" w:themeColor="accent1" w:themeShade="BF"/>
          <w:sz w:val="24"/>
          <w:szCs w:val="24"/>
          <w:lang w:val="es-MX"/>
        </w:rPr>
        <w:t>acápite 8.2</w:t>
      </w:r>
      <w:r w:rsidR="00FC0011" w:rsidRPr="00FA5F63">
        <w:rPr>
          <w:rFonts w:eastAsiaTheme="majorEastAsia" w:cstheme="majorBidi"/>
          <w:bCs/>
          <w:color w:val="2F5496" w:themeColor="accent1" w:themeShade="BF"/>
          <w:sz w:val="24"/>
          <w:szCs w:val="24"/>
          <w:lang w:val="es-MX"/>
        </w:rPr>
        <w:t xml:space="preserve"> Medidas para hacer frente a las causas fundamentales de la violencia de género; puntos 65 y 66   </w:t>
      </w:r>
    </w:p>
    <w:p w14:paraId="36979AFF" w14:textId="2692224B" w:rsidR="00027AB5" w:rsidRPr="00060085" w:rsidRDefault="00AE3322" w:rsidP="00B86CC0">
      <w:pPr>
        <w:pStyle w:val="Heading2"/>
      </w:pPr>
      <w:bookmarkStart w:id="8" w:name="_Toc87981591"/>
      <w:r w:rsidRPr="00060085">
        <w:t xml:space="preserve">Cambios a favor de una estrategia de prevención </w:t>
      </w:r>
      <w:r w:rsidR="00B73572" w:rsidRPr="00060085">
        <w:t>de la violencia</w:t>
      </w:r>
      <w:bookmarkEnd w:id="8"/>
      <w:r w:rsidR="00B73572" w:rsidRPr="00060085">
        <w:t xml:space="preserve"> </w:t>
      </w:r>
    </w:p>
    <w:p w14:paraId="724604F5" w14:textId="397027FB" w:rsidR="00A03EC6" w:rsidRPr="00D15358" w:rsidRDefault="00A03EC6" w:rsidP="002B7346">
      <w:pPr>
        <w:jc w:val="both"/>
        <w:rPr>
          <w:rFonts w:cstheme="minorHAnsi"/>
        </w:rPr>
      </w:pPr>
      <w:r w:rsidRPr="00D15358">
        <w:rPr>
          <w:rFonts w:cstheme="minorHAnsi"/>
        </w:rPr>
        <w:t>El Ministerio de la Mujer y Poblaciones Vulnerables (MIMP) tiene el mandato para combatir la violencia basada en género, por lo que tiene a su cargo los servicios públicos de atención en el marco del Programa Nacional Aurora</w:t>
      </w:r>
      <w:r w:rsidRPr="00D15358">
        <w:rPr>
          <w:rFonts w:cstheme="minorHAnsi"/>
          <w:vertAlign w:val="superscript"/>
        </w:rPr>
        <w:footnoteReference w:id="16"/>
      </w:r>
      <w:r w:rsidRPr="00D15358">
        <w:rPr>
          <w:rFonts w:cstheme="minorHAnsi"/>
        </w:rPr>
        <w:t>. Un cambio sustancial en el abordaje de la violencia contra la mujer ha sido la adopción de un enfoque de prevención, ya no solo de atención</w:t>
      </w:r>
      <w:r w:rsidRPr="00D15358">
        <w:rPr>
          <w:rFonts w:cstheme="minorHAnsi"/>
          <w:vertAlign w:val="superscript"/>
        </w:rPr>
        <w:footnoteReference w:id="17"/>
      </w:r>
      <w:r w:rsidR="0006287F">
        <w:rPr>
          <w:rFonts w:cstheme="minorHAnsi"/>
        </w:rPr>
        <w:t xml:space="preserve">. </w:t>
      </w:r>
    </w:p>
    <w:p w14:paraId="3372D7EC" w14:textId="737C8FAF" w:rsidR="0032404A" w:rsidRDefault="00023C06" w:rsidP="0036732A">
      <w:pPr>
        <w:shd w:val="clear" w:color="auto" w:fill="FFFFFF"/>
        <w:spacing w:after="0" w:line="240" w:lineRule="auto"/>
        <w:contextualSpacing/>
        <w:jc w:val="both"/>
        <w:rPr>
          <w:rFonts w:cstheme="minorHAnsi"/>
        </w:rPr>
      </w:pPr>
      <w:r>
        <w:rPr>
          <w:rFonts w:cstheme="minorHAnsi"/>
        </w:rPr>
        <w:t xml:space="preserve">Una estrategia de prevención </w:t>
      </w:r>
      <w:r w:rsidR="00795D2B">
        <w:rPr>
          <w:rFonts w:cstheme="minorHAnsi"/>
        </w:rPr>
        <w:t>permite</w:t>
      </w:r>
      <w:r w:rsidR="00FD297F" w:rsidRPr="00D15358">
        <w:rPr>
          <w:rFonts w:cstheme="minorHAnsi"/>
        </w:rPr>
        <w:t xml:space="preserve"> un enfoque más sostenible </w:t>
      </w:r>
      <w:r w:rsidR="00795D2B">
        <w:rPr>
          <w:rFonts w:cstheme="minorHAnsi"/>
        </w:rPr>
        <w:t xml:space="preserve">en la medida que no </w:t>
      </w:r>
      <w:r w:rsidR="00FD297F" w:rsidRPr="00D15358">
        <w:rPr>
          <w:rFonts w:cstheme="minorHAnsi"/>
        </w:rPr>
        <w:t>solo atiend</w:t>
      </w:r>
      <w:r w:rsidR="00795D2B">
        <w:rPr>
          <w:rFonts w:cstheme="minorHAnsi"/>
        </w:rPr>
        <w:t>e</w:t>
      </w:r>
      <w:r w:rsidR="00FD297F" w:rsidRPr="00D15358">
        <w:rPr>
          <w:rFonts w:cstheme="minorHAnsi"/>
        </w:rPr>
        <w:t xml:space="preserve"> la violencia del presente, sino que bus</w:t>
      </w:r>
      <w:r w:rsidR="00795D2B">
        <w:rPr>
          <w:rFonts w:cstheme="minorHAnsi"/>
        </w:rPr>
        <w:t>ca</w:t>
      </w:r>
      <w:r w:rsidR="00FD297F" w:rsidRPr="00D15358">
        <w:rPr>
          <w:rFonts w:cstheme="minorHAnsi"/>
        </w:rPr>
        <w:t xml:space="preserve"> evitar y reducir la VBG en el mediano y largo plazo.</w:t>
      </w:r>
      <w:r w:rsidR="0036732A">
        <w:rPr>
          <w:rFonts w:cstheme="minorHAnsi"/>
        </w:rPr>
        <w:t xml:space="preserve"> Sin embargo, este cambio representa un d</w:t>
      </w:r>
      <w:r w:rsidR="00FD297F" w:rsidRPr="00D15358">
        <w:rPr>
          <w:rFonts w:cstheme="minorHAnsi"/>
        </w:rPr>
        <w:t xml:space="preserve">esafío </w:t>
      </w:r>
      <w:r w:rsidR="001E7697">
        <w:rPr>
          <w:rFonts w:cstheme="minorHAnsi"/>
        </w:rPr>
        <w:t xml:space="preserve">dado que un </w:t>
      </w:r>
      <w:r w:rsidR="00FD297F" w:rsidRPr="00D15358">
        <w:rPr>
          <w:rFonts w:cstheme="minorHAnsi"/>
        </w:rPr>
        <w:t xml:space="preserve">enfoque de prevención </w:t>
      </w:r>
      <w:r w:rsidR="001E7697">
        <w:rPr>
          <w:rFonts w:cstheme="minorHAnsi"/>
        </w:rPr>
        <w:t xml:space="preserve">no solo demanda de mayores </w:t>
      </w:r>
      <w:proofErr w:type="gramStart"/>
      <w:r w:rsidR="001E7697">
        <w:rPr>
          <w:rFonts w:cstheme="minorHAnsi"/>
        </w:rPr>
        <w:t>recursos</w:t>
      </w:r>
      <w:proofErr w:type="gramEnd"/>
      <w:r w:rsidR="001E7697">
        <w:rPr>
          <w:rFonts w:cstheme="minorHAnsi"/>
        </w:rPr>
        <w:t xml:space="preserve"> </w:t>
      </w:r>
      <w:r w:rsidR="0032404A">
        <w:rPr>
          <w:rFonts w:cstheme="minorHAnsi"/>
        </w:rPr>
        <w:t xml:space="preserve">sino que </w:t>
      </w:r>
      <w:r w:rsidR="00FD297F" w:rsidRPr="00D15358">
        <w:rPr>
          <w:rFonts w:cstheme="minorHAnsi"/>
        </w:rPr>
        <w:t xml:space="preserve">posiblemente muestre resultados a mediano y largo plazo </w:t>
      </w:r>
      <w:r w:rsidR="00DA1076">
        <w:rPr>
          <w:rFonts w:cstheme="minorHAnsi"/>
        </w:rPr>
        <w:t xml:space="preserve">lo que es contrario a la forma en que </w:t>
      </w:r>
      <w:r w:rsidR="00117BB7">
        <w:rPr>
          <w:rFonts w:cstheme="minorHAnsi"/>
        </w:rPr>
        <w:t xml:space="preserve">usualmente funciona el Estado peruano tanto por su debilidad institucional como por la alta rotación de </w:t>
      </w:r>
      <w:r w:rsidR="001853FF">
        <w:rPr>
          <w:rFonts w:cstheme="minorHAnsi"/>
        </w:rPr>
        <w:t xml:space="preserve">altos </w:t>
      </w:r>
      <w:r w:rsidR="00117BB7">
        <w:rPr>
          <w:rFonts w:cstheme="minorHAnsi"/>
        </w:rPr>
        <w:t xml:space="preserve">funcionarios </w:t>
      </w:r>
      <w:r w:rsidR="001853FF">
        <w:rPr>
          <w:rFonts w:cstheme="minorHAnsi"/>
        </w:rPr>
        <w:t xml:space="preserve">y las dificultades para dar continuidad a las políticas públicas. </w:t>
      </w:r>
    </w:p>
    <w:p w14:paraId="2A376F52" w14:textId="2BB65643" w:rsidR="00844559" w:rsidRDefault="00844559" w:rsidP="0036732A">
      <w:pPr>
        <w:shd w:val="clear" w:color="auto" w:fill="FFFFFF"/>
        <w:spacing w:after="0" w:line="240" w:lineRule="auto"/>
        <w:contextualSpacing/>
        <w:jc w:val="both"/>
        <w:rPr>
          <w:rFonts w:cstheme="minorHAnsi"/>
        </w:rPr>
      </w:pPr>
    </w:p>
    <w:p w14:paraId="1BD632BA" w14:textId="1A074B70" w:rsidR="00844559" w:rsidRDefault="00844559" w:rsidP="00844559">
      <w:pPr>
        <w:spacing w:after="0" w:line="240" w:lineRule="auto"/>
        <w:jc w:val="both"/>
        <w:rPr>
          <w:rFonts w:eastAsia="Candara" w:cs="Arial"/>
          <w:sz w:val="24"/>
        </w:rPr>
      </w:pPr>
      <w:r w:rsidRPr="001671F6">
        <w:rPr>
          <w:rFonts w:eastAsia="Candara" w:cs="Arial"/>
          <w:color w:val="000000"/>
        </w:rPr>
        <w:t xml:space="preserve">El gobierno peruano ha asignado una cantidad creciente de recursos públicos tanto al Plan de Igualdad de Género </w:t>
      </w:r>
      <w:r w:rsidRPr="00B83991">
        <w:rPr>
          <w:rFonts w:eastAsia="Candara" w:cs="Arial"/>
          <w:color w:val="000000"/>
        </w:rPr>
        <w:t>2012-2017 como al Plan Nacional Contra la Violencia Hacia la Mujer 2009-2015</w:t>
      </w:r>
      <w:r w:rsidRPr="001671F6">
        <w:rPr>
          <w:rFonts w:eastAsia="Candara" w:cs="Arial"/>
          <w:color w:val="000000"/>
        </w:rPr>
        <w:t xml:space="preserve"> en la última década. De acuerdo con DEMUS (2020:5), ha habido un incremento de 17 veces el presupuesto para el Plan Contra la Violencia desde el año 2009 y 3.4 veces desde el año 2016. </w:t>
      </w:r>
      <w:r w:rsidR="00B27F7D">
        <w:rPr>
          <w:rFonts w:eastAsia="Candara" w:cs="Arial"/>
          <w:color w:val="000000"/>
        </w:rPr>
        <w:t xml:space="preserve"> </w:t>
      </w:r>
      <w:r w:rsidR="00537872">
        <w:rPr>
          <w:rFonts w:eastAsia="Candara" w:cs="Arial"/>
          <w:color w:val="000000"/>
        </w:rPr>
        <w:t xml:space="preserve"> (Ver Anexo – Cuadro </w:t>
      </w:r>
      <w:r w:rsidR="003F5281">
        <w:rPr>
          <w:rFonts w:eastAsia="Candara" w:cs="Arial"/>
          <w:color w:val="000000"/>
        </w:rPr>
        <w:t>8)</w:t>
      </w:r>
    </w:p>
    <w:p w14:paraId="35BA6273" w14:textId="01C0A6F1" w:rsidR="00A47657" w:rsidRDefault="00A47657" w:rsidP="00844559">
      <w:pPr>
        <w:spacing w:after="0" w:line="240" w:lineRule="auto"/>
        <w:jc w:val="both"/>
        <w:rPr>
          <w:rFonts w:eastAsia="Candara" w:cs="Arial"/>
          <w:color w:val="000000"/>
        </w:rPr>
      </w:pPr>
      <w:r>
        <w:rPr>
          <w:rFonts w:eastAsia="Candara" w:cs="Arial"/>
          <w:color w:val="000000"/>
        </w:rPr>
        <w:t xml:space="preserve">  </w:t>
      </w:r>
    </w:p>
    <w:p w14:paraId="03FF7963" w14:textId="62865376" w:rsidR="00844559" w:rsidRPr="001671F6" w:rsidRDefault="00844559" w:rsidP="00844559">
      <w:pPr>
        <w:spacing w:after="0" w:line="240" w:lineRule="auto"/>
        <w:jc w:val="both"/>
        <w:rPr>
          <w:rFonts w:eastAsia="Candara" w:cs="Arial"/>
        </w:rPr>
      </w:pPr>
      <w:r w:rsidRPr="001671F6">
        <w:rPr>
          <w:rFonts w:eastAsia="Candara" w:cs="Arial"/>
          <w:color w:val="000000"/>
        </w:rPr>
        <w:t xml:space="preserve">A pesar de ello, un desafío </w:t>
      </w:r>
      <w:proofErr w:type="gramStart"/>
      <w:r w:rsidRPr="001671F6">
        <w:rPr>
          <w:rFonts w:eastAsia="Candara" w:cs="Arial"/>
          <w:color w:val="000000"/>
        </w:rPr>
        <w:t xml:space="preserve">importante </w:t>
      </w:r>
      <w:r w:rsidR="008F1672">
        <w:rPr>
          <w:rFonts w:eastAsia="Candara" w:cs="Arial"/>
          <w:color w:val="000000"/>
        </w:rPr>
        <w:t xml:space="preserve"> es</w:t>
      </w:r>
      <w:proofErr w:type="gramEnd"/>
      <w:r w:rsidR="008F1672">
        <w:rPr>
          <w:rFonts w:eastAsia="Candara" w:cs="Arial"/>
          <w:color w:val="000000"/>
        </w:rPr>
        <w:t xml:space="preserve"> </w:t>
      </w:r>
      <w:r w:rsidRPr="001671F6">
        <w:rPr>
          <w:rFonts w:eastAsia="Candara" w:cs="Arial"/>
          <w:color w:val="000000"/>
        </w:rPr>
        <w:t>la obligatoriedad de incorporar el enfoque de género en los presupuestos del sector público, así como en las evaluaciones de ejecución presupuestal para lograr un monitoreo efectivo de la incidencia de las políticas de igualdad de género</w:t>
      </w:r>
      <w:r w:rsidRPr="001671F6">
        <w:rPr>
          <w:rFonts w:eastAsia="Candara" w:cs="Arial"/>
          <w:color w:val="808080"/>
          <w:vertAlign w:val="superscript"/>
        </w:rPr>
        <w:footnoteReference w:id="18"/>
      </w:r>
      <w:r w:rsidRPr="001671F6">
        <w:rPr>
          <w:rFonts w:eastAsia="Candara" w:cs="Arial"/>
          <w:color w:val="000000"/>
        </w:rPr>
        <w:t xml:space="preserve">.  En términos </w:t>
      </w:r>
      <w:r w:rsidRPr="001671F6">
        <w:rPr>
          <w:rFonts w:eastAsia="Candara" w:cs="Arial"/>
          <w:color w:val="000000"/>
        </w:rPr>
        <w:lastRenderedPageBreak/>
        <w:t xml:space="preserve">globales, el presupuesto del Plan contra la violencia constituye solo el 0.25% del Presupuesto del Sector Público y el asignado al sector MIMP no supera el 0.61% (Ibid.: 54).  </w:t>
      </w:r>
    </w:p>
    <w:p w14:paraId="0FDEAE63" w14:textId="77777777" w:rsidR="00283263" w:rsidRDefault="00283263" w:rsidP="00802F7A">
      <w:pPr>
        <w:shd w:val="clear" w:color="auto" w:fill="FFFFFF"/>
        <w:spacing w:after="0" w:line="240" w:lineRule="auto"/>
        <w:contextualSpacing/>
        <w:jc w:val="both"/>
      </w:pPr>
    </w:p>
    <w:p w14:paraId="7B613A2E" w14:textId="3A0566EA" w:rsidR="00283263" w:rsidRDefault="00C06E18" w:rsidP="00802F7A">
      <w:pPr>
        <w:shd w:val="clear" w:color="auto" w:fill="FFFFFF"/>
        <w:spacing w:after="0" w:line="240" w:lineRule="auto"/>
        <w:contextualSpacing/>
        <w:jc w:val="both"/>
        <w:rPr>
          <w:rFonts w:cstheme="minorHAnsi"/>
        </w:rPr>
      </w:pPr>
      <w:r>
        <w:rPr>
          <w:rFonts w:cstheme="minorHAnsi"/>
        </w:rPr>
        <w:t>Un</w:t>
      </w:r>
      <w:r w:rsidR="008149D1">
        <w:rPr>
          <w:rFonts w:cstheme="minorHAnsi"/>
        </w:rPr>
        <w:t xml:space="preserve"> enfoque preventivo exige elevar la calidad de la información </w:t>
      </w:r>
      <w:r w:rsidR="00EB1CA6">
        <w:rPr>
          <w:rFonts w:cstheme="minorHAnsi"/>
        </w:rPr>
        <w:t>con que se cuenta para tomar decisiones de políticas y</w:t>
      </w:r>
      <w:r w:rsidR="002E3E5B">
        <w:rPr>
          <w:rFonts w:cstheme="minorHAnsi"/>
        </w:rPr>
        <w:t xml:space="preserve"> hasta el momento ese ha sido un camino lleno de obstáculos en el que cada institución cuenta con un formato diferente de </w:t>
      </w:r>
      <w:r w:rsidR="001F55DB">
        <w:rPr>
          <w:rFonts w:cstheme="minorHAnsi"/>
        </w:rPr>
        <w:t>recojo de data</w:t>
      </w:r>
      <w:r w:rsidR="00DA2DAD">
        <w:rPr>
          <w:rFonts w:cstheme="minorHAnsi"/>
        </w:rPr>
        <w:t xml:space="preserve"> que </w:t>
      </w:r>
      <w:r w:rsidR="001F55DB">
        <w:rPr>
          <w:rFonts w:cstheme="minorHAnsi"/>
        </w:rPr>
        <w:t xml:space="preserve">no </w:t>
      </w:r>
      <w:r w:rsidR="00DA15E6">
        <w:rPr>
          <w:rFonts w:cstheme="minorHAnsi"/>
        </w:rPr>
        <w:t xml:space="preserve">se </w:t>
      </w:r>
      <w:r w:rsidR="00B73080">
        <w:rPr>
          <w:rFonts w:cstheme="minorHAnsi"/>
        </w:rPr>
        <w:t xml:space="preserve">logra consolidar. </w:t>
      </w:r>
      <w:r w:rsidR="00A46DF4">
        <w:rPr>
          <w:rFonts w:cstheme="minorHAnsi"/>
        </w:rPr>
        <w:t xml:space="preserve">Una </w:t>
      </w:r>
      <w:r w:rsidR="00802F7A" w:rsidRPr="00D15358">
        <w:rPr>
          <w:rFonts w:cstheme="minorHAnsi"/>
        </w:rPr>
        <w:t xml:space="preserve">estrategia de prevención de la violencia </w:t>
      </w:r>
      <w:r w:rsidR="00A46DF4">
        <w:rPr>
          <w:rFonts w:cstheme="minorHAnsi"/>
        </w:rPr>
        <w:t>debe</w:t>
      </w:r>
      <w:r w:rsidR="00802F7A" w:rsidRPr="00D15358">
        <w:rPr>
          <w:rFonts w:cstheme="minorHAnsi"/>
        </w:rPr>
        <w:t xml:space="preserve"> articul</w:t>
      </w:r>
      <w:r w:rsidR="00A46DF4">
        <w:rPr>
          <w:rFonts w:cstheme="minorHAnsi"/>
        </w:rPr>
        <w:t>ar</w:t>
      </w:r>
      <w:r w:rsidR="00802F7A" w:rsidRPr="00D15358">
        <w:rPr>
          <w:rFonts w:cstheme="minorHAnsi"/>
        </w:rPr>
        <w:t xml:space="preserve"> a las diversas instancias competentes (Policía Nacional, Ministerio Publico, CEM/MIMP, Poder Judicial, etc.), </w:t>
      </w:r>
      <w:r w:rsidR="00D13E3A">
        <w:rPr>
          <w:rFonts w:cstheme="minorHAnsi"/>
        </w:rPr>
        <w:t xml:space="preserve">y disponer de </w:t>
      </w:r>
      <w:r w:rsidR="00802F7A" w:rsidRPr="00D15358">
        <w:rPr>
          <w:rFonts w:cstheme="minorHAnsi"/>
        </w:rPr>
        <w:t xml:space="preserve">un sistema unificado de registro de la violencia. </w:t>
      </w:r>
    </w:p>
    <w:p w14:paraId="73BBB487" w14:textId="77777777" w:rsidR="00D13E3A" w:rsidRDefault="00D13E3A" w:rsidP="00802F7A">
      <w:pPr>
        <w:shd w:val="clear" w:color="auto" w:fill="FFFFFF"/>
        <w:spacing w:after="0" w:line="240" w:lineRule="auto"/>
        <w:contextualSpacing/>
        <w:jc w:val="both"/>
        <w:rPr>
          <w:rFonts w:cstheme="minorHAnsi"/>
        </w:rPr>
      </w:pPr>
    </w:p>
    <w:p w14:paraId="796311EF" w14:textId="45B991EB" w:rsidR="008149D1" w:rsidRPr="00D15358" w:rsidRDefault="00B73080" w:rsidP="00160BE7">
      <w:pPr>
        <w:jc w:val="both"/>
        <w:rPr>
          <w:rFonts w:cstheme="minorHAnsi"/>
        </w:rPr>
      </w:pPr>
      <w:r>
        <w:rPr>
          <w:rFonts w:cstheme="minorHAnsi"/>
        </w:rPr>
        <w:t xml:space="preserve">En lo que </w:t>
      </w:r>
      <w:r w:rsidR="004439B6">
        <w:rPr>
          <w:rFonts w:cstheme="minorHAnsi"/>
        </w:rPr>
        <w:t>respecta a</w:t>
      </w:r>
      <w:r>
        <w:rPr>
          <w:rFonts w:cstheme="minorHAnsi"/>
        </w:rPr>
        <w:t xml:space="preserve"> la ubicación y monitoreo de agresores, </w:t>
      </w:r>
      <w:r w:rsidR="00B01A28">
        <w:rPr>
          <w:rFonts w:cstheme="minorHAnsi"/>
        </w:rPr>
        <w:t xml:space="preserve">las noticias diarias de </w:t>
      </w:r>
      <w:r w:rsidR="00B01A28" w:rsidRPr="00796252">
        <w:rPr>
          <w:rFonts w:cstheme="minorHAnsi"/>
        </w:rPr>
        <w:t>feminicidios</w:t>
      </w:r>
      <w:r w:rsidR="00A16A2A" w:rsidRPr="00796252">
        <w:rPr>
          <w:rFonts w:cstheme="minorHAnsi"/>
        </w:rPr>
        <w:t xml:space="preserve"> (1</w:t>
      </w:r>
      <w:r w:rsidR="0063786E">
        <w:rPr>
          <w:rFonts w:cstheme="minorHAnsi"/>
        </w:rPr>
        <w:t>23 casos hasta noviembre 2021)</w:t>
      </w:r>
      <w:r w:rsidR="00B01A28">
        <w:rPr>
          <w:rFonts w:cstheme="minorHAnsi"/>
        </w:rPr>
        <w:t xml:space="preserve"> siempre están precedidas de </w:t>
      </w:r>
      <w:r w:rsidR="006C45B3">
        <w:rPr>
          <w:rFonts w:cstheme="minorHAnsi"/>
        </w:rPr>
        <w:t xml:space="preserve">denuncias previas de maltrato que no fueron tomadas en serio </w:t>
      </w:r>
      <w:r w:rsidR="00F0184A">
        <w:rPr>
          <w:rFonts w:cstheme="minorHAnsi"/>
        </w:rPr>
        <w:t>en su momento</w:t>
      </w:r>
      <w:r w:rsidR="004439B6">
        <w:rPr>
          <w:rFonts w:cstheme="minorHAnsi"/>
        </w:rPr>
        <w:t xml:space="preserve">.  </w:t>
      </w:r>
      <w:r w:rsidR="005D6E60">
        <w:rPr>
          <w:rFonts w:cstheme="minorHAnsi"/>
        </w:rPr>
        <w:t xml:space="preserve"> La impunidad es uno de los grandes desafíos en torno a la violencia y para combatirlo se necesita</w:t>
      </w:r>
      <w:r w:rsidR="00030981">
        <w:rPr>
          <w:rFonts w:cstheme="minorHAnsi"/>
        </w:rPr>
        <w:t xml:space="preserve"> </w:t>
      </w:r>
      <w:r w:rsidR="00796252">
        <w:rPr>
          <w:rFonts w:cstheme="minorHAnsi"/>
        </w:rPr>
        <w:t xml:space="preserve">un sistema de información articulado a nivel nacional que cuente con información sobre ubicación geográfica y desplazamiento de agresores alguna vez denunciados de manera que las entidades competentes puedan contar con una herramienta que les permita hacer seguimiento y alertar a futuras </w:t>
      </w:r>
      <w:proofErr w:type="spellStart"/>
      <w:r w:rsidR="00796252">
        <w:rPr>
          <w:rFonts w:cstheme="minorHAnsi"/>
        </w:rPr>
        <w:t>victimas</w:t>
      </w:r>
      <w:proofErr w:type="spellEnd"/>
      <w:r w:rsidR="00796252">
        <w:rPr>
          <w:rFonts w:cstheme="minorHAnsi"/>
        </w:rPr>
        <w:t xml:space="preserve">. La falta de información interconectada sobre agresores hace posible que un agresor se mude de </w:t>
      </w:r>
      <w:proofErr w:type="gramStart"/>
      <w:r w:rsidR="00272B57">
        <w:rPr>
          <w:rFonts w:cstheme="minorHAnsi"/>
        </w:rPr>
        <w:t>localidad,  vuelva</w:t>
      </w:r>
      <w:proofErr w:type="gramEnd"/>
      <w:r w:rsidR="00272B57">
        <w:rPr>
          <w:rFonts w:cstheme="minorHAnsi"/>
        </w:rPr>
        <w:t xml:space="preserve"> a agredir y solo si es reportado, el sistema empiece a operar partiendo de cero. </w:t>
      </w:r>
    </w:p>
    <w:p w14:paraId="482B9868" w14:textId="77777777" w:rsidR="008C75A9" w:rsidRPr="00D15358" w:rsidRDefault="008C75A9" w:rsidP="00B86CC0">
      <w:pPr>
        <w:pStyle w:val="Heading2"/>
      </w:pPr>
      <w:bookmarkStart w:id="9" w:name="_Toc87981592"/>
      <w:r w:rsidRPr="00060085">
        <w:t>Alta tolerancia a la violencia e impunidad</w:t>
      </w:r>
      <w:bookmarkEnd w:id="9"/>
    </w:p>
    <w:p w14:paraId="1806655D" w14:textId="33FE4328" w:rsidR="008C75A9" w:rsidRDefault="008C75A9" w:rsidP="00030981">
      <w:pPr>
        <w:shd w:val="clear" w:color="auto" w:fill="FFFFFF"/>
        <w:contextualSpacing/>
        <w:jc w:val="both"/>
        <w:rPr>
          <w:rFonts w:cstheme="minorHAnsi"/>
        </w:rPr>
      </w:pPr>
      <w:r w:rsidRPr="00D15358">
        <w:rPr>
          <w:rFonts w:cstheme="minorHAnsi"/>
        </w:rPr>
        <w:t xml:space="preserve">Un </w:t>
      </w:r>
      <w:r>
        <w:rPr>
          <w:rFonts w:cstheme="minorHAnsi"/>
        </w:rPr>
        <w:t xml:space="preserve">factor determinante para crear las condiciones que las mujeres necesitan para confiar en la administración de justicia es su efectividad y oportunidad para actuar. Al respecto es central poder </w:t>
      </w:r>
      <w:r w:rsidRPr="00D15358">
        <w:rPr>
          <w:rFonts w:cstheme="minorHAnsi"/>
        </w:rPr>
        <w:t>combatir la impunidad que es un factor clave en el subregistro de casos de violencia</w:t>
      </w:r>
      <w:r>
        <w:rPr>
          <w:rFonts w:cstheme="minorHAnsi"/>
        </w:rPr>
        <w:t xml:space="preserve"> e </w:t>
      </w:r>
      <w:r w:rsidRPr="00D15358">
        <w:rPr>
          <w:rFonts w:cstheme="minorHAnsi"/>
        </w:rPr>
        <w:t xml:space="preserve">impulsar iniciativas para fortalecer las capacidades del sistema (a través de la acción interinstitucional y multisectorial) y el desarrollo de una administración de justicia especializada en la materia. </w:t>
      </w:r>
    </w:p>
    <w:p w14:paraId="7FAA3F0D" w14:textId="77777777" w:rsidR="00D958EE" w:rsidRDefault="00D958EE" w:rsidP="000020D9">
      <w:pPr>
        <w:jc w:val="both"/>
        <w:rPr>
          <w:rFonts w:cstheme="minorHAnsi"/>
        </w:rPr>
      </w:pPr>
    </w:p>
    <w:p w14:paraId="10F28692" w14:textId="54805530" w:rsidR="00F43DE5" w:rsidRDefault="00F43DE5" w:rsidP="000020D9">
      <w:pPr>
        <w:jc w:val="both"/>
        <w:rPr>
          <w:rFonts w:cstheme="minorHAnsi"/>
        </w:rPr>
      </w:pPr>
      <w:r>
        <w:rPr>
          <w:rFonts w:cstheme="minorHAnsi"/>
        </w:rPr>
        <w:t xml:space="preserve">La </w:t>
      </w:r>
      <w:r w:rsidRPr="0055702D">
        <w:rPr>
          <w:rFonts w:cstheme="minorHAnsi"/>
        </w:rPr>
        <w:t xml:space="preserve">Encuesta Nacional sobre Relaciones Sociales </w:t>
      </w:r>
      <w:r>
        <w:rPr>
          <w:rFonts w:cstheme="minorHAnsi"/>
        </w:rPr>
        <w:t xml:space="preserve">(ENARES 2019) </w:t>
      </w:r>
      <w:r w:rsidRPr="0055702D">
        <w:rPr>
          <w:rFonts w:cstheme="minorHAnsi"/>
        </w:rPr>
        <w:t>del INEI pone de manifiesto la normalización de la violencia de género en determinadas circunstancias. </w:t>
      </w:r>
      <w:r w:rsidRPr="00F43DE5">
        <w:rPr>
          <w:rFonts w:cstheme="minorHAnsi"/>
        </w:rPr>
        <w:t>El índice de la tolerancia social hacia la violencia contra las mujeres de 18 años a más edad es de 58</w:t>
      </w:r>
      <w:r w:rsidR="0097679C">
        <w:rPr>
          <w:rFonts w:cstheme="minorHAnsi"/>
        </w:rPr>
        <w:t>.</w:t>
      </w:r>
      <w:r w:rsidRPr="00F43DE5">
        <w:rPr>
          <w:rFonts w:cstheme="minorHAnsi"/>
        </w:rPr>
        <w:t>9</w:t>
      </w:r>
      <w:r w:rsidR="00463F6C" w:rsidRPr="00F43DE5">
        <w:rPr>
          <w:rFonts w:cstheme="minorHAnsi"/>
        </w:rPr>
        <w:t>%</w:t>
      </w:r>
      <w:r w:rsidR="00463F6C">
        <w:rPr>
          <w:rFonts w:cstheme="minorHAnsi"/>
        </w:rPr>
        <w:t xml:space="preserve">; </w:t>
      </w:r>
      <w:r w:rsidR="00463F6C" w:rsidRPr="00003A9B">
        <w:rPr>
          <w:rFonts w:cstheme="minorHAnsi"/>
        </w:rPr>
        <w:t>el</w:t>
      </w:r>
      <w:r w:rsidRPr="00003A9B">
        <w:rPr>
          <w:rFonts w:cstheme="minorHAnsi"/>
        </w:rPr>
        <w:t xml:space="preserve"> 27% de la población considera que “si la mujer falta el respeto a su esposo o pareja, merece castigo”. Un 33% cree que una mujer infiel debe tener alguna forma de castigo por su pareja.</w:t>
      </w:r>
      <w:r w:rsidR="000020D9">
        <w:rPr>
          <w:rFonts w:cstheme="minorHAnsi"/>
        </w:rPr>
        <w:t xml:space="preserve"> E</w:t>
      </w:r>
      <w:r w:rsidRPr="00003A9B">
        <w:rPr>
          <w:rFonts w:cstheme="minorHAnsi"/>
        </w:rPr>
        <w:t>l 31% considera que una mujer que viste “provocativamente” busca que la acosen sexualmente.</w:t>
      </w:r>
      <w:r w:rsidR="000020D9">
        <w:rPr>
          <w:rFonts w:cstheme="minorHAnsi"/>
        </w:rPr>
        <w:t xml:space="preserve"> </w:t>
      </w:r>
    </w:p>
    <w:p w14:paraId="37D6669E" w14:textId="0E076141" w:rsidR="00747249" w:rsidRDefault="00936FAB" w:rsidP="000020D9">
      <w:pPr>
        <w:jc w:val="both"/>
        <w:rPr>
          <w:rFonts w:cstheme="minorHAnsi"/>
        </w:rPr>
      </w:pPr>
      <w:r>
        <w:rPr>
          <w:rFonts w:cstheme="minorHAnsi"/>
        </w:rPr>
        <w:t xml:space="preserve">Destacamos que </w:t>
      </w:r>
      <w:r w:rsidR="00747249">
        <w:rPr>
          <w:rFonts w:cstheme="minorHAnsi"/>
        </w:rPr>
        <w:t xml:space="preserve">combatir la tolerancia a la violencia amerita estrategias y acciones que vinculen </w:t>
      </w:r>
      <w:r w:rsidR="00937E30">
        <w:rPr>
          <w:rFonts w:cstheme="minorHAnsi"/>
        </w:rPr>
        <w:t xml:space="preserve">la promoción y garantía de los derechos sexuales y reproductivos, aspecto sobre el cual se </w:t>
      </w:r>
      <w:proofErr w:type="gramStart"/>
      <w:r w:rsidR="00937E30">
        <w:rPr>
          <w:rFonts w:cstheme="minorHAnsi"/>
        </w:rPr>
        <w:t>encuentra  mucha</w:t>
      </w:r>
      <w:proofErr w:type="gramEnd"/>
      <w:r w:rsidR="00937E30">
        <w:rPr>
          <w:rFonts w:cstheme="minorHAnsi"/>
        </w:rPr>
        <w:t xml:space="preserve"> resistencia en el Estado. </w:t>
      </w:r>
    </w:p>
    <w:p w14:paraId="5991CCE9" w14:textId="77777777" w:rsidR="00936FAB" w:rsidRDefault="00936FAB" w:rsidP="00B86CC0">
      <w:pPr>
        <w:pStyle w:val="Heading2"/>
      </w:pPr>
      <w:bookmarkStart w:id="10" w:name="_Toc87981593"/>
    </w:p>
    <w:p w14:paraId="502B7C79" w14:textId="4BF03799" w:rsidR="00B73572" w:rsidRPr="00060085" w:rsidRDefault="00B82C22" w:rsidP="00B86CC0">
      <w:pPr>
        <w:pStyle w:val="Heading2"/>
      </w:pPr>
      <w:r w:rsidRPr="00060085">
        <w:t xml:space="preserve">La violencia de </w:t>
      </w:r>
      <w:r w:rsidR="004C6132" w:rsidRPr="00060085">
        <w:t>género no</w:t>
      </w:r>
      <w:r w:rsidRPr="00060085">
        <w:t xml:space="preserve"> se resuelve </w:t>
      </w:r>
      <w:r w:rsidR="00F81369" w:rsidRPr="00060085">
        <w:t xml:space="preserve">solo </w:t>
      </w:r>
      <w:r w:rsidRPr="00060085">
        <w:t>con autonomía económica</w:t>
      </w:r>
      <w:bookmarkEnd w:id="10"/>
      <w:r w:rsidRPr="00060085">
        <w:t xml:space="preserve"> </w:t>
      </w:r>
    </w:p>
    <w:p w14:paraId="2691BF45" w14:textId="175EBFDE" w:rsidR="009B1AEB" w:rsidRDefault="00DA0316" w:rsidP="002B7346">
      <w:pPr>
        <w:shd w:val="clear" w:color="auto" w:fill="FFFFFF"/>
        <w:jc w:val="both"/>
        <w:rPr>
          <w:rFonts w:cstheme="minorHAnsi"/>
        </w:rPr>
      </w:pPr>
      <w:r>
        <w:rPr>
          <w:rFonts w:cstheme="minorHAnsi"/>
        </w:rPr>
        <w:t xml:space="preserve">Si bien </w:t>
      </w:r>
      <w:r w:rsidR="00C6337A">
        <w:rPr>
          <w:rFonts w:cstheme="minorHAnsi"/>
        </w:rPr>
        <w:t xml:space="preserve">la ausencia de ingresos propios </w:t>
      </w:r>
      <w:r w:rsidR="0080067D">
        <w:rPr>
          <w:rFonts w:cstheme="minorHAnsi"/>
        </w:rPr>
        <w:t xml:space="preserve">en </w:t>
      </w:r>
      <w:proofErr w:type="gramStart"/>
      <w:r w:rsidR="0080067D">
        <w:rPr>
          <w:rFonts w:cstheme="minorHAnsi"/>
        </w:rPr>
        <w:t>las  mujeres</w:t>
      </w:r>
      <w:proofErr w:type="gramEnd"/>
      <w:r w:rsidR="0080067D">
        <w:rPr>
          <w:rFonts w:cstheme="minorHAnsi"/>
        </w:rPr>
        <w:t xml:space="preserve"> </w:t>
      </w:r>
      <w:r w:rsidR="00C6337A">
        <w:rPr>
          <w:rFonts w:cstheme="minorHAnsi"/>
        </w:rPr>
        <w:t xml:space="preserve"> las coloca en una situación de  vulnerabilidad para tomar decisiones </w:t>
      </w:r>
      <w:r w:rsidR="003E1CE0">
        <w:rPr>
          <w:rFonts w:cstheme="minorHAnsi"/>
        </w:rPr>
        <w:t>autónomas y romper los vínculos de violencia</w:t>
      </w:r>
      <w:r w:rsidR="009B1AEB">
        <w:rPr>
          <w:rFonts w:cstheme="minorHAnsi"/>
        </w:rPr>
        <w:t>, lo</w:t>
      </w:r>
      <w:r w:rsidR="00907F96">
        <w:rPr>
          <w:rFonts w:cstheme="minorHAnsi"/>
        </w:rPr>
        <w:t xml:space="preserve"> cierto es que la autonomía económica de las mujeres no es una condición suficiente ni un factor de protección </w:t>
      </w:r>
      <w:r w:rsidR="002053CA">
        <w:rPr>
          <w:rFonts w:cstheme="minorHAnsi"/>
        </w:rPr>
        <w:t xml:space="preserve">ante la violencia de género. </w:t>
      </w:r>
    </w:p>
    <w:p w14:paraId="79AC7430" w14:textId="56936018" w:rsidR="009B1AEB" w:rsidRDefault="005A3FAE" w:rsidP="002B7346">
      <w:pPr>
        <w:shd w:val="clear" w:color="auto" w:fill="FFFFFF"/>
        <w:jc w:val="both"/>
        <w:rPr>
          <w:rFonts w:cstheme="minorHAnsi"/>
        </w:rPr>
      </w:pPr>
      <w:r>
        <w:rPr>
          <w:rFonts w:cstheme="minorHAnsi"/>
        </w:rPr>
        <w:t xml:space="preserve">El actual gobierno y, en particular, el Ministerio de la Mujer y </w:t>
      </w:r>
      <w:r w:rsidR="001906BC">
        <w:rPr>
          <w:rFonts w:cstheme="minorHAnsi"/>
        </w:rPr>
        <w:t xml:space="preserve">Poblaciones Vulnerables (MIMP) ha expresado </w:t>
      </w:r>
      <w:r w:rsidR="00A648D4">
        <w:rPr>
          <w:rFonts w:cstheme="minorHAnsi"/>
        </w:rPr>
        <w:t xml:space="preserve">su voluntad de priorizar el empoderamiento económico de la mujer </w:t>
      </w:r>
      <w:r w:rsidR="00D87208">
        <w:rPr>
          <w:rFonts w:cstheme="minorHAnsi"/>
        </w:rPr>
        <w:t xml:space="preserve">como una estrategia para </w:t>
      </w:r>
      <w:r w:rsidR="009B3AB0">
        <w:rPr>
          <w:rFonts w:cstheme="minorHAnsi"/>
        </w:rPr>
        <w:t xml:space="preserve">proveer a las mujeres de </w:t>
      </w:r>
      <w:r w:rsidR="00393523">
        <w:rPr>
          <w:rFonts w:cstheme="minorHAnsi"/>
        </w:rPr>
        <w:t xml:space="preserve">herramientas para alcanzar autonomía en la toma de decisiones y </w:t>
      </w:r>
      <w:r w:rsidR="009B3AB0">
        <w:rPr>
          <w:rFonts w:cstheme="minorHAnsi"/>
        </w:rPr>
        <w:t>reducir la violencia de género</w:t>
      </w:r>
      <w:r w:rsidR="00393523">
        <w:rPr>
          <w:rFonts w:cstheme="minorHAnsi"/>
        </w:rPr>
        <w:t xml:space="preserve">. </w:t>
      </w:r>
      <w:r w:rsidR="00CF60B6">
        <w:rPr>
          <w:rFonts w:cstheme="minorHAnsi"/>
        </w:rPr>
        <w:t>Esta estrategia viene de unos años atrás cuando en el 2018</w:t>
      </w:r>
      <w:r w:rsidR="00924442">
        <w:rPr>
          <w:rFonts w:cstheme="minorHAnsi"/>
        </w:rPr>
        <w:t xml:space="preserve"> </w:t>
      </w:r>
      <w:r w:rsidR="00883109">
        <w:rPr>
          <w:rFonts w:cstheme="minorHAnsi"/>
        </w:rPr>
        <w:t xml:space="preserve">se </w:t>
      </w:r>
      <w:r w:rsidR="00924442">
        <w:rPr>
          <w:rFonts w:cstheme="minorHAnsi"/>
        </w:rPr>
        <w:t>implementó</w:t>
      </w:r>
      <w:r w:rsidR="00883109">
        <w:rPr>
          <w:rFonts w:cstheme="minorHAnsi"/>
        </w:rPr>
        <w:t xml:space="preserve"> la estrategia de “</w:t>
      </w:r>
      <w:r w:rsidR="00924442">
        <w:rPr>
          <w:rFonts w:cstheme="minorHAnsi"/>
        </w:rPr>
        <w:t>Empoderamiento</w:t>
      </w:r>
      <w:r w:rsidR="00883109">
        <w:rPr>
          <w:rFonts w:cstheme="minorHAnsi"/>
        </w:rPr>
        <w:t xml:space="preserve"> </w:t>
      </w:r>
      <w:r w:rsidR="009A4F02">
        <w:rPr>
          <w:rFonts w:cstheme="minorHAnsi"/>
        </w:rPr>
        <w:t>socioeconómico</w:t>
      </w:r>
      <w:r w:rsidR="00883109">
        <w:rPr>
          <w:rFonts w:cstheme="minorHAnsi"/>
        </w:rPr>
        <w:t xml:space="preserve"> de las mujeres </w:t>
      </w:r>
      <w:proofErr w:type="spellStart"/>
      <w:r w:rsidR="00883109">
        <w:rPr>
          <w:rFonts w:cstheme="minorHAnsi"/>
        </w:rPr>
        <w:t>victimas</w:t>
      </w:r>
      <w:proofErr w:type="spellEnd"/>
      <w:r w:rsidR="00883109">
        <w:rPr>
          <w:rFonts w:cstheme="minorHAnsi"/>
        </w:rPr>
        <w:t xml:space="preserve"> de violencia </w:t>
      </w:r>
      <w:r w:rsidR="00924442">
        <w:rPr>
          <w:rFonts w:cstheme="minorHAnsi"/>
        </w:rPr>
        <w:t>o en riesgo de serlo”</w:t>
      </w:r>
      <w:r w:rsidR="00CF3115">
        <w:rPr>
          <w:rFonts w:cstheme="minorHAnsi"/>
        </w:rPr>
        <w:t xml:space="preserve">, mediante la inserción laboral, en el marco del Programa </w:t>
      </w:r>
      <w:r w:rsidR="00CF3115">
        <w:rPr>
          <w:rFonts w:cstheme="minorHAnsi"/>
        </w:rPr>
        <w:lastRenderedPageBreak/>
        <w:t xml:space="preserve">Presupuestal </w:t>
      </w:r>
      <w:r w:rsidR="00B102FD">
        <w:rPr>
          <w:rFonts w:cstheme="minorHAnsi"/>
        </w:rPr>
        <w:t>“Lucha contra la violencia familiar”</w:t>
      </w:r>
      <w:r w:rsidR="009A4F02">
        <w:rPr>
          <w:rStyle w:val="FootnoteReference"/>
          <w:rFonts w:cstheme="minorHAnsi"/>
        </w:rPr>
        <w:footnoteReference w:id="19"/>
      </w:r>
      <w:r w:rsidR="00700BCD">
        <w:rPr>
          <w:rFonts w:cstheme="minorHAnsi"/>
        </w:rPr>
        <w:t xml:space="preserve">. Asimismo, se </w:t>
      </w:r>
      <w:r w:rsidR="00582BEA">
        <w:rPr>
          <w:rFonts w:cstheme="minorHAnsi"/>
        </w:rPr>
        <w:t>implementó</w:t>
      </w:r>
      <w:r w:rsidR="00700BCD">
        <w:rPr>
          <w:rFonts w:cstheme="minorHAnsi"/>
        </w:rPr>
        <w:t xml:space="preserve"> un </w:t>
      </w:r>
      <w:r w:rsidR="002F1615">
        <w:rPr>
          <w:rFonts w:cstheme="minorHAnsi"/>
        </w:rPr>
        <w:t>“</w:t>
      </w:r>
      <w:r w:rsidR="00700BCD">
        <w:rPr>
          <w:rFonts w:cstheme="minorHAnsi"/>
        </w:rPr>
        <w:t xml:space="preserve">proyecto para que las mujeres entre 14 y 24 años </w:t>
      </w:r>
      <w:r w:rsidR="004A7551">
        <w:rPr>
          <w:rFonts w:cstheme="minorHAnsi"/>
        </w:rPr>
        <w:t xml:space="preserve">desarrollen habilidades personales (autonomía física, sexual y reproductiva, autonomía en la toma de decisiones) y vocacionales relacionadas con actividades </w:t>
      </w:r>
      <w:r w:rsidR="002F1615">
        <w:rPr>
          <w:rFonts w:cstheme="minorHAnsi"/>
        </w:rPr>
        <w:t xml:space="preserve">generadoras de ingresos”. </w:t>
      </w:r>
    </w:p>
    <w:p w14:paraId="258B8303" w14:textId="188BD6B8" w:rsidR="001D6C46" w:rsidRDefault="001D6C46" w:rsidP="002B7346">
      <w:pPr>
        <w:shd w:val="clear" w:color="auto" w:fill="FFFFFF"/>
        <w:jc w:val="both"/>
        <w:rPr>
          <w:rFonts w:cstheme="minorHAnsi"/>
        </w:rPr>
      </w:pPr>
      <w:r>
        <w:rPr>
          <w:rFonts w:cstheme="minorHAnsi"/>
        </w:rPr>
        <w:t xml:space="preserve">Es decir, las estrategias de empoderamiento económico deben ir acompañadas de otras para fortalecer conciencia de derechos y prevención. </w:t>
      </w:r>
    </w:p>
    <w:p w14:paraId="51344378" w14:textId="77777777" w:rsidR="001D6C46" w:rsidRDefault="001D6C46" w:rsidP="00B86CC0">
      <w:pPr>
        <w:pStyle w:val="Heading2"/>
      </w:pPr>
      <w:bookmarkStart w:id="11" w:name="_Toc87981594"/>
    </w:p>
    <w:p w14:paraId="39061F6B" w14:textId="0D42A803" w:rsidR="001208D2" w:rsidRPr="00060085" w:rsidRDefault="001208D2" w:rsidP="00B86CC0">
      <w:pPr>
        <w:pStyle w:val="Heading2"/>
      </w:pPr>
      <w:r w:rsidRPr="00060085">
        <w:t>Nueva modalidad de violencia: la desaparición de mujeres y niñas</w:t>
      </w:r>
      <w:bookmarkEnd w:id="11"/>
      <w:r w:rsidRPr="00060085">
        <w:t xml:space="preserve"> </w:t>
      </w:r>
    </w:p>
    <w:p w14:paraId="12DF129D" w14:textId="77777777" w:rsidR="00E76A17" w:rsidRDefault="00E76A17" w:rsidP="006D0414">
      <w:pPr>
        <w:spacing w:after="0" w:line="240" w:lineRule="auto"/>
        <w:jc w:val="right"/>
        <w:rPr>
          <w:rFonts w:eastAsiaTheme="majorEastAsia" w:cstheme="majorBidi"/>
          <w:bCs/>
          <w:color w:val="2F5496" w:themeColor="accent1" w:themeShade="BF"/>
          <w:sz w:val="24"/>
          <w:szCs w:val="24"/>
          <w:lang w:val="es-MX"/>
        </w:rPr>
      </w:pPr>
      <w:r>
        <w:rPr>
          <w:rFonts w:eastAsiaTheme="majorEastAsia" w:cstheme="majorBidi"/>
          <w:bCs/>
          <w:color w:val="2F5496" w:themeColor="accent1" w:themeShade="BF"/>
          <w:sz w:val="24"/>
          <w:szCs w:val="24"/>
          <w:lang w:val="es-MX"/>
        </w:rPr>
        <w:t xml:space="preserve">CEDAW. </w:t>
      </w:r>
      <w:r w:rsidR="009E384E" w:rsidRPr="00E76A17">
        <w:rPr>
          <w:rFonts w:eastAsiaTheme="majorEastAsia" w:cstheme="majorBidi"/>
          <w:bCs/>
          <w:color w:val="2F5496" w:themeColor="accent1" w:themeShade="BF"/>
          <w:sz w:val="24"/>
          <w:szCs w:val="24"/>
          <w:lang w:val="es-MX"/>
        </w:rPr>
        <w:t xml:space="preserve">IX Trata de personas. 9.2 </w:t>
      </w:r>
      <w:r w:rsidRPr="00E76A17">
        <w:rPr>
          <w:rFonts w:eastAsiaTheme="majorEastAsia" w:cstheme="majorBidi"/>
          <w:bCs/>
          <w:color w:val="2F5496" w:themeColor="accent1" w:themeShade="BF"/>
          <w:sz w:val="24"/>
          <w:szCs w:val="24"/>
          <w:lang w:val="es-MX"/>
        </w:rPr>
        <w:t>Implementación</w:t>
      </w:r>
      <w:r w:rsidR="009E384E" w:rsidRPr="00E76A17">
        <w:rPr>
          <w:rFonts w:eastAsiaTheme="majorEastAsia" w:cstheme="majorBidi"/>
          <w:bCs/>
          <w:color w:val="2F5496" w:themeColor="accent1" w:themeShade="BF"/>
          <w:sz w:val="24"/>
          <w:szCs w:val="24"/>
          <w:lang w:val="es-MX"/>
        </w:rPr>
        <w:t xml:space="preserve"> d</w:t>
      </w:r>
      <w:r w:rsidRPr="00E76A17">
        <w:rPr>
          <w:rFonts w:eastAsiaTheme="majorEastAsia" w:cstheme="majorBidi"/>
          <w:bCs/>
          <w:color w:val="2F5496" w:themeColor="accent1" w:themeShade="BF"/>
          <w:sz w:val="24"/>
          <w:szCs w:val="24"/>
          <w:lang w:val="es-MX"/>
        </w:rPr>
        <w:t>e</w:t>
      </w:r>
      <w:r w:rsidR="009E384E" w:rsidRPr="00E76A17">
        <w:rPr>
          <w:rFonts w:eastAsiaTheme="majorEastAsia" w:cstheme="majorBidi"/>
          <w:bCs/>
          <w:color w:val="2F5496" w:themeColor="accent1" w:themeShade="BF"/>
          <w:sz w:val="24"/>
          <w:szCs w:val="24"/>
          <w:lang w:val="es-MX"/>
        </w:rPr>
        <w:t xml:space="preserve"> medidas de alerta temprana</w:t>
      </w:r>
      <w:r w:rsidRPr="00E76A17">
        <w:rPr>
          <w:rFonts w:eastAsiaTheme="majorEastAsia" w:cstheme="majorBidi"/>
          <w:bCs/>
          <w:color w:val="2F5496" w:themeColor="accent1" w:themeShade="BF"/>
          <w:sz w:val="24"/>
          <w:szCs w:val="24"/>
          <w:lang w:val="es-MX"/>
        </w:rPr>
        <w:t xml:space="preserve">, búsqueda e identificación para casos de mujeres incluidas adolescentes presuntamente desaparecidas. </w:t>
      </w:r>
    </w:p>
    <w:p w14:paraId="0C9F1DA7" w14:textId="1D990845" w:rsidR="00025C88" w:rsidRPr="00E76A17" w:rsidRDefault="009E384E" w:rsidP="002B7346">
      <w:pPr>
        <w:spacing w:after="0"/>
        <w:jc w:val="right"/>
        <w:rPr>
          <w:rFonts w:eastAsiaTheme="majorEastAsia" w:cstheme="majorBidi"/>
          <w:bCs/>
          <w:color w:val="2F5496" w:themeColor="accent1" w:themeShade="BF"/>
          <w:sz w:val="24"/>
          <w:szCs w:val="24"/>
          <w:lang w:val="es-MX"/>
        </w:rPr>
      </w:pPr>
      <w:r w:rsidRPr="00E76A17">
        <w:rPr>
          <w:rFonts w:eastAsiaTheme="majorEastAsia" w:cstheme="majorBidi"/>
          <w:bCs/>
          <w:color w:val="2F5496" w:themeColor="accent1" w:themeShade="BF"/>
          <w:sz w:val="24"/>
          <w:szCs w:val="24"/>
          <w:lang w:val="es-MX"/>
        </w:rPr>
        <w:t xml:space="preserve"> </w:t>
      </w:r>
    </w:p>
    <w:p w14:paraId="1FEBFC7F" w14:textId="04FAFD2D" w:rsidR="0088581F" w:rsidRDefault="00D15358" w:rsidP="002B7346">
      <w:pPr>
        <w:jc w:val="both"/>
        <w:rPr>
          <w:rFonts w:cstheme="minorHAnsi"/>
        </w:rPr>
      </w:pPr>
      <w:r w:rsidRPr="00D15358">
        <w:rPr>
          <w:rFonts w:cstheme="minorHAnsi"/>
        </w:rPr>
        <w:t>La Defensoría del Pueblo</w:t>
      </w:r>
      <w:r w:rsidRPr="00D15358">
        <w:rPr>
          <w:rFonts w:cstheme="minorHAnsi"/>
          <w:vertAlign w:val="superscript"/>
        </w:rPr>
        <w:footnoteReference w:id="20"/>
      </w:r>
      <w:r w:rsidRPr="00D15358">
        <w:rPr>
          <w:rFonts w:cstheme="minorHAnsi"/>
        </w:rPr>
        <w:t xml:space="preserve">ha llamado la atención sobre el </w:t>
      </w:r>
      <w:proofErr w:type="gramStart"/>
      <w:r w:rsidRPr="00D15358">
        <w:rPr>
          <w:rFonts w:cstheme="minorHAnsi"/>
        </w:rPr>
        <w:t>incremento  del</w:t>
      </w:r>
      <w:proofErr w:type="gramEnd"/>
      <w:r w:rsidRPr="00D15358">
        <w:rPr>
          <w:rFonts w:cstheme="minorHAnsi"/>
        </w:rPr>
        <w:t xml:space="preserve"> número de mujeres y niñas desaparecidas</w:t>
      </w:r>
      <w:r w:rsidR="00D14C6C">
        <w:rPr>
          <w:rFonts w:cstheme="minorHAnsi"/>
        </w:rPr>
        <w:t>,</w:t>
      </w:r>
      <w:r w:rsidRPr="00D15358">
        <w:rPr>
          <w:rFonts w:cstheme="minorHAnsi"/>
        </w:rPr>
        <w:t xml:space="preserve"> especialmente durante la pandemia. En algunos casos, estas desapariciones -al no ser atendidas a tiempo- se convierten en feminicidios o se relacionan a casos de trata de personas.  Solo en enero del 2021, 311 niñas/os y adolescentes fueron reportadas/os como desaparecidas/os. De esta cifra, 268 eran niñas y adolescentes mujeres, es decir, un 86%, lo cual reafirma la mayor vulnerabilidad debido al </w:t>
      </w:r>
      <w:r w:rsidR="001208D2">
        <w:rPr>
          <w:rFonts w:cstheme="minorHAnsi"/>
        </w:rPr>
        <w:t>sexo</w:t>
      </w:r>
      <w:r w:rsidRPr="00D15358">
        <w:rPr>
          <w:rFonts w:cstheme="minorHAnsi"/>
        </w:rPr>
        <w:t xml:space="preserve"> de las víctimas. </w:t>
      </w:r>
      <w:r w:rsidR="003419AC">
        <w:rPr>
          <w:rFonts w:cstheme="minorHAnsi"/>
        </w:rPr>
        <w:t xml:space="preserve"> (Ver Anexo Cuadro </w:t>
      </w:r>
      <w:r w:rsidR="00ED39FB">
        <w:rPr>
          <w:rFonts w:cstheme="minorHAnsi"/>
        </w:rPr>
        <w:t>9)</w:t>
      </w:r>
    </w:p>
    <w:p w14:paraId="71B8C27F" w14:textId="77777777" w:rsidR="00D14C6C" w:rsidRDefault="00D14C6C" w:rsidP="00D958EE">
      <w:pPr>
        <w:jc w:val="both"/>
        <w:rPr>
          <w:rFonts w:cstheme="minorHAnsi"/>
        </w:rPr>
      </w:pPr>
      <w:r>
        <w:rPr>
          <w:rFonts w:cstheme="minorHAnsi"/>
        </w:rPr>
        <w:t xml:space="preserve">Se necesita </w:t>
      </w:r>
      <w:r w:rsidR="00D958EE" w:rsidRPr="00D15358">
        <w:rPr>
          <w:rFonts w:cstheme="minorHAnsi"/>
        </w:rPr>
        <w:t>seguir fortaleciendo el Sistema de Búsqueda de Personas Desaparecidas</w:t>
      </w:r>
      <w:r w:rsidR="00D958EE">
        <w:rPr>
          <w:rFonts w:cstheme="minorHAnsi"/>
        </w:rPr>
        <w:t xml:space="preserve"> y </w:t>
      </w:r>
      <w:r w:rsidR="00D958EE" w:rsidRPr="00D15358">
        <w:rPr>
          <w:rFonts w:cstheme="minorHAnsi"/>
        </w:rPr>
        <w:t xml:space="preserve">subsanar los problemas en los registros de datos de las víctimas.  Contar con cifras confiables es de suma importancia, por lo que se necesita mejorar el Registro de Información de Personas Desaparecidas (RENIPED), desagregado por edad, identidad de género, </w:t>
      </w:r>
      <w:r w:rsidR="00D958EE">
        <w:rPr>
          <w:rFonts w:cstheme="minorHAnsi"/>
        </w:rPr>
        <w:t xml:space="preserve">etnicidad, discapacidad, </w:t>
      </w:r>
      <w:r w:rsidR="00D958EE" w:rsidRPr="00D15358">
        <w:rPr>
          <w:rFonts w:cstheme="minorHAnsi"/>
        </w:rPr>
        <w:t>entre otros.</w:t>
      </w:r>
    </w:p>
    <w:p w14:paraId="388B3E43" w14:textId="3B3AD1FD" w:rsidR="00D958EE" w:rsidRDefault="00D14C6C" w:rsidP="00D958EE">
      <w:pPr>
        <w:jc w:val="both"/>
        <w:rPr>
          <w:rFonts w:cstheme="minorHAnsi"/>
        </w:rPr>
      </w:pPr>
      <w:r>
        <w:rPr>
          <w:rFonts w:cstheme="minorHAnsi"/>
        </w:rPr>
        <w:t xml:space="preserve">La </w:t>
      </w:r>
      <w:r w:rsidR="00D958EE" w:rsidRPr="00D15358">
        <w:rPr>
          <w:rFonts w:cstheme="minorHAnsi"/>
        </w:rPr>
        <w:t xml:space="preserve">desaparición de mujeres no se considera como una forma de violencia en la Ley 30364, ni en el Plan Nacional Contra la Violencia de Género 2016-2021. </w:t>
      </w:r>
      <w:r w:rsidR="00D958EE">
        <w:rPr>
          <w:rFonts w:cstheme="minorHAnsi"/>
        </w:rPr>
        <w:t xml:space="preserve"> Al respecto, el </w:t>
      </w:r>
      <w:r w:rsidR="00D958EE" w:rsidRPr="00272B57">
        <w:rPr>
          <w:rFonts w:cstheme="minorHAnsi"/>
        </w:rPr>
        <w:t>Mecanismo de Seguimiento de la Convención Interamericana para Prevenir, Sancionar y Erradicar la Violencia contra las Mujeres</w:t>
      </w:r>
      <w:r w:rsidR="00D958EE">
        <w:rPr>
          <w:rFonts w:cstheme="minorHAnsi"/>
        </w:rPr>
        <w:t xml:space="preserve"> (MESECVI) </w:t>
      </w:r>
      <w:r w:rsidR="00D958EE" w:rsidRPr="00272B57">
        <w:rPr>
          <w:rFonts w:cstheme="minorHAnsi"/>
        </w:rPr>
        <w:t xml:space="preserve">ha solicitado a los Estados incluir la desaparición de mujeres como una modalidad de violencia; esta demanda viene siendo recogida por las organizaciones de sociedad civil, así como la necesidad de un protocolo especializado para el tratamiento de los casos. </w:t>
      </w:r>
      <w:r w:rsidR="00D958EE">
        <w:rPr>
          <w:rFonts w:cstheme="minorHAnsi"/>
        </w:rPr>
        <w:t xml:space="preserve"> De acuerdo con los registros oficiales de RENIPED, las niñas y adolescentes de 12 a 17 años son las m</w:t>
      </w:r>
      <w:r w:rsidR="0008164B">
        <w:rPr>
          <w:rFonts w:cstheme="minorHAnsi"/>
        </w:rPr>
        <w:t>ás</w:t>
      </w:r>
      <w:r w:rsidR="00D958EE">
        <w:rPr>
          <w:rFonts w:cstheme="minorHAnsi"/>
        </w:rPr>
        <w:t xml:space="preserve"> vulnerables. </w:t>
      </w:r>
    </w:p>
    <w:p w14:paraId="5EFF9FAB" w14:textId="77777777" w:rsidR="003B59AF" w:rsidRPr="00D15358" w:rsidRDefault="003B59AF" w:rsidP="002B7346">
      <w:pPr>
        <w:shd w:val="clear" w:color="auto" w:fill="FFFFFF"/>
        <w:spacing w:after="0" w:line="240" w:lineRule="auto"/>
        <w:ind w:left="720"/>
        <w:contextualSpacing/>
        <w:jc w:val="both"/>
        <w:rPr>
          <w:rFonts w:cstheme="minorHAnsi"/>
        </w:rPr>
      </w:pPr>
    </w:p>
    <w:p w14:paraId="2CA89A9F" w14:textId="77777777" w:rsidR="00B50043" w:rsidRPr="007E63AE" w:rsidRDefault="00B50043" w:rsidP="002B7346">
      <w:pPr>
        <w:rPr>
          <w:lang w:val="es-MX"/>
        </w:rPr>
      </w:pPr>
    </w:p>
    <w:sectPr w:rsidR="00B50043" w:rsidRPr="007E63AE" w:rsidSect="00D80DB0">
      <w:footerReference w:type="default" r:id="rId8"/>
      <w:pgSz w:w="11906" w:h="16838"/>
      <w:pgMar w:top="1247" w:right="1588" w:bottom="1247" w:left="158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E42070" w14:textId="77777777" w:rsidR="001B1542" w:rsidRDefault="001B1542" w:rsidP="00D15358">
      <w:pPr>
        <w:spacing w:after="0" w:line="240" w:lineRule="auto"/>
      </w:pPr>
      <w:r>
        <w:separator/>
      </w:r>
    </w:p>
  </w:endnote>
  <w:endnote w:type="continuationSeparator" w:id="0">
    <w:p w14:paraId="4080344B" w14:textId="77777777" w:rsidR="001B1542" w:rsidRDefault="001B1542" w:rsidP="00D153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1051569"/>
      <w:docPartObj>
        <w:docPartGallery w:val="Page Numbers (Bottom of Page)"/>
        <w:docPartUnique/>
      </w:docPartObj>
    </w:sdtPr>
    <w:sdtEndPr/>
    <w:sdtContent>
      <w:p w14:paraId="26345B5F" w14:textId="422F3C06" w:rsidR="00D15358" w:rsidRDefault="00D15358">
        <w:pPr>
          <w:pStyle w:val="Footer"/>
          <w:jc w:val="right"/>
        </w:pPr>
        <w:r>
          <w:fldChar w:fldCharType="begin"/>
        </w:r>
        <w:r>
          <w:instrText>PAGE   \* MERGEFORMAT</w:instrText>
        </w:r>
        <w:r>
          <w:fldChar w:fldCharType="separate"/>
        </w:r>
        <w:r w:rsidR="00B83991" w:rsidRPr="00B83991">
          <w:rPr>
            <w:noProof/>
            <w:lang w:val="es-ES"/>
          </w:rPr>
          <w:t>15</w:t>
        </w:r>
        <w:r>
          <w:fldChar w:fldCharType="end"/>
        </w:r>
      </w:p>
    </w:sdtContent>
  </w:sdt>
  <w:p w14:paraId="788390A5" w14:textId="77777777" w:rsidR="00D15358" w:rsidRDefault="00D153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376DD" w14:textId="77777777" w:rsidR="001B1542" w:rsidRDefault="001B1542" w:rsidP="00D15358">
      <w:pPr>
        <w:spacing w:after="0" w:line="240" w:lineRule="auto"/>
      </w:pPr>
      <w:r>
        <w:separator/>
      </w:r>
    </w:p>
  </w:footnote>
  <w:footnote w:type="continuationSeparator" w:id="0">
    <w:p w14:paraId="4E772027" w14:textId="77777777" w:rsidR="001B1542" w:rsidRDefault="001B1542" w:rsidP="00D15358">
      <w:pPr>
        <w:spacing w:after="0" w:line="240" w:lineRule="auto"/>
      </w:pPr>
      <w:r>
        <w:continuationSeparator/>
      </w:r>
    </w:p>
  </w:footnote>
  <w:footnote w:id="1">
    <w:p w14:paraId="37719AE8" w14:textId="16EF3880" w:rsidR="00AF7888" w:rsidRPr="00AF7888" w:rsidRDefault="00AF7888">
      <w:pPr>
        <w:pStyle w:val="FootnoteText"/>
      </w:pPr>
      <w:r>
        <w:rPr>
          <w:rStyle w:val="FootnoteReference"/>
        </w:rPr>
        <w:footnoteRef/>
      </w:r>
      <w:r>
        <w:t xml:space="preserve"> </w:t>
      </w:r>
      <w:r w:rsidR="00ED2480">
        <w:t xml:space="preserve">Se toma como referencia la </w:t>
      </w:r>
      <w:r w:rsidR="00BA0838">
        <w:t>versión</w:t>
      </w:r>
      <w:r w:rsidR="00ED2480">
        <w:t xml:space="preserve"> </w:t>
      </w:r>
      <w:r w:rsidR="00BA0838">
        <w:t>p</w:t>
      </w:r>
      <w:r w:rsidR="00ED2480">
        <w:t xml:space="preserve">reliminar del Informe de Respuesta </w:t>
      </w:r>
      <w:r w:rsidR="00B61DD3">
        <w:t>a la “Lista de cuestiones y preguntas relativa al noveno informe periódico del Perú”. (CEDAW/C/PER/Q/</w:t>
      </w:r>
      <w:r w:rsidR="00BA0838">
        <w:t>9)</w:t>
      </w:r>
    </w:p>
  </w:footnote>
  <w:footnote w:id="2">
    <w:p w14:paraId="675BB63E" w14:textId="428ED968" w:rsidR="00356FD7" w:rsidRPr="00356FD7" w:rsidRDefault="00356FD7">
      <w:pPr>
        <w:pStyle w:val="FootnoteText"/>
      </w:pPr>
      <w:r>
        <w:rPr>
          <w:rStyle w:val="FootnoteReference"/>
        </w:rPr>
        <w:footnoteRef/>
      </w:r>
      <w:r>
        <w:t xml:space="preserve"> Centro Nacional de Epidemiologia, Prevención y Control de Enfermedades – MINSA. </w:t>
      </w:r>
    </w:p>
  </w:footnote>
  <w:footnote w:id="3">
    <w:p w14:paraId="0C7E0847" w14:textId="03E25235" w:rsidR="00E2097D" w:rsidRPr="00E2097D" w:rsidRDefault="00E2097D">
      <w:pPr>
        <w:pStyle w:val="FootnoteText"/>
      </w:pPr>
      <w:r>
        <w:rPr>
          <w:rStyle w:val="FootnoteReference"/>
        </w:rPr>
        <w:footnoteRef/>
      </w:r>
      <w:r>
        <w:t xml:space="preserve"> Mesa de Concertación para la Lucha contra la Pobreza</w:t>
      </w:r>
      <w:r w:rsidR="00653AE7">
        <w:t>. Perú: Mortalidad materna sigue en aumento en el contexto de COVID</w:t>
      </w:r>
      <w:r w:rsidR="00DA226E">
        <w:t xml:space="preserve"> 19. Un llamado a la acción. </w:t>
      </w:r>
      <w:r>
        <w:t xml:space="preserve"> </w:t>
      </w:r>
      <w:r w:rsidR="00DA226E">
        <w:t xml:space="preserve">Alerta </w:t>
      </w:r>
      <w:proofErr w:type="spellStart"/>
      <w:r w:rsidR="00DA226E">
        <w:t>N°</w:t>
      </w:r>
      <w:proofErr w:type="spellEnd"/>
      <w:r w:rsidR="00DA226E">
        <w:t xml:space="preserve"> 1-2021-SC/ GT Salud-MCLCP. Abril del 2021. </w:t>
      </w:r>
    </w:p>
  </w:footnote>
  <w:footnote w:id="4">
    <w:p w14:paraId="46BEDFC0" w14:textId="32640C93" w:rsidR="00D533D7" w:rsidRPr="00D533D7" w:rsidRDefault="00D533D7">
      <w:pPr>
        <w:pStyle w:val="FootnoteText"/>
      </w:pPr>
      <w:r>
        <w:rPr>
          <w:rStyle w:val="FootnoteReference"/>
        </w:rPr>
        <w:footnoteRef/>
      </w:r>
      <w:r>
        <w:t xml:space="preserve"> Una parte significativa del análisis de esta sección </w:t>
      </w:r>
      <w:r w:rsidR="0048421D">
        <w:t xml:space="preserve">proviene de una entrevista con Walter Mendoza, analista de UNFPA. </w:t>
      </w:r>
    </w:p>
  </w:footnote>
  <w:footnote w:id="5">
    <w:p w14:paraId="5EF65944" w14:textId="49779BB6" w:rsidR="00DA79FC" w:rsidRPr="00DA79FC" w:rsidRDefault="00DA79FC" w:rsidP="00DA79FC">
      <w:pPr>
        <w:kinsoku w:val="0"/>
        <w:overflowPunct w:val="0"/>
        <w:spacing w:after="0" w:line="240" w:lineRule="auto"/>
        <w:contextualSpacing/>
        <w:textAlignment w:val="baseline"/>
      </w:pPr>
      <w:r>
        <w:rPr>
          <w:rStyle w:val="FootnoteReference"/>
        </w:rPr>
        <w:footnoteRef/>
      </w:r>
      <w:r>
        <w:t xml:space="preserve"> </w:t>
      </w:r>
      <w:r w:rsidR="00C11D5B" w:rsidRPr="00C11D5B">
        <w:rPr>
          <w:sz w:val="18"/>
          <w:szCs w:val="18"/>
        </w:rPr>
        <w:t>El 12 de junio inici</w:t>
      </w:r>
      <w:r>
        <w:rPr>
          <w:sz w:val="18"/>
          <w:szCs w:val="18"/>
        </w:rPr>
        <w:t>ó la</w:t>
      </w:r>
      <w:r w:rsidR="00C11D5B" w:rsidRPr="00C11D5B">
        <w:rPr>
          <w:sz w:val="18"/>
          <w:szCs w:val="18"/>
        </w:rPr>
        <w:t xml:space="preserve"> vacunación a gestantes de 28+ semanas, el 3 de setiembre las de 12+ semanas</w:t>
      </w:r>
      <w:r w:rsidR="00205A0A">
        <w:rPr>
          <w:sz w:val="18"/>
          <w:szCs w:val="18"/>
        </w:rPr>
        <w:t>.</w:t>
      </w:r>
    </w:p>
  </w:footnote>
  <w:footnote w:id="6">
    <w:p w14:paraId="119D8F4A" w14:textId="77777777" w:rsidR="004153F7" w:rsidRPr="001550CB" w:rsidRDefault="004153F7" w:rsidP="004153F7">
      <w:pPr>
        <w:shd w:val="clear" w:color="auto" w:fill="FFFFFF"/>
        <w:spacing w:after="0" w:line="240" w:lineRule="auto"/>
        <w:jc w:val="both"/>
        <w:rPr>
          <w:sz w:val="18"/>
          <w:szCs w:val="18"/>
        </w:rPr>
      </w:pPr>
      <w:r w:rsidRPr="00F61DE5">
        <w:rPr>
          <w:rStyle w:val="FootnoteReference"/>
          <w:sz w:val="18"/>
          <w:szCs w:val="18"/>
        </w:rPr>
        <w:footnoteRef/>
      </w:r>
      <w:r w:rsidRPr="00F61DE5">
        <w:rPr>
          <w:sz w:val="18"/>
          <w:szCs w:val="18"/>
        </w:rPr>
        <w:t xml:space="preserve"> </w:t>
      </w:r>
      <w:hyperlink r:id="rId1" w:history="1">
        <w:r w:rsidRPr="00693604">
          <w:rPr>
            <w:rFonts w:eastAsia="Times New Roman" w:cstheme="minorHAnsi"/>
            <w:color w:val="2780E3"/>
            <w:sz w:val="18"/>
            <w:szCs w:val="18"/>
            <w:u w:val="single"/>
            <w:lang w:eastAsia="es-PE"/>
          </w:rPr>
          <w:t xml:space="preserve">Matriz de Seguimiento de Desplazamiento </w:t>
        </w:r>
        <w:r>
          <w:rPr>
            <w:rFonts w:eastAsia="Times New Roman" w:cstheme="minorHAnsi"/>
            <w:color w:val="2780E3"/>
            <w:sz w:val="18"/>
            <w:szCs w:val="18"/>
            <w:u w:val="single"/>
            <w:lang w:eastAsia="es-PE"/>
          </w:rPr>
          <w:t>#</w:t>
        </w:r>
        <w:r w:rsidRPr="00693604">
          <w:rPr>
            <w:rFonts w:eastAsia="Times New Roman" w:cstheme="minorHAnsi"/>
            <w:color w:val="2780E3"/>
            <w:sz w:val="18"/>
            <w:szCs w:val="18"/>
            <w:u w:val="single"/>
            <w:lang w:eastAsia="es-PE"/>
          </w:rPr>
          <w:t xml:space="preserve"> 6</w:t>
        </w:r>
      </w:hyperlink>
      <w:r w:rsidRPr="00693604">
        <w:rPr>
          <w:rFonts w:eastAsia="Times New Roman" w:cstheme="minorHAnsi"/>
          <w:color w:val="535353"/>
          <w:sz w:val="18"/>
          <w:szCs w:val="18"/>
          <w:lang w:eastAsia="es-PE"/>
        </w:rPr>
        <w:t xml:space="preserve"> (DTM) </w:t>
      </w:r>
      <w:r w:rsidRPr="00EA6D64">
        <w:rPr>
          <w:rFonts w:eastAsia="Times New Roman" w:cstheme="minorHAnsi"/>
          <w:sz w:val="18"/>
          <w:szCs w:val="18"/>
          <w:lang w:eastAsia="es-PE"/>
        </w:rPr>
        <w:t>de la Organización Internacional para las Migraciones (OIM)</w:t>
      </w:r>
    </w:p>
  </w:footnote>
  <w:footnote w:id="7">
    <w:p w14:paraId="41A18FED" w14:textId="77777777" w:rsidR="00805076" w:rsidRPr="00FF18D0" w:rsidRDefault="00805076" w:rsidP="00805076">
      <w:pPr>
        <w:pStyle w:val="FootnoteText"/>
        <w:jc w:val="both"/>
        <w:rPr>
          <w:rFonts w:cstheme="minorHAnsi"/>
          <w:sz w:val="18"/>
          <w:szCs w:val="18"/>
        </w:rPr>
      </w:pPr>
      <w:r w:rsidRPr="00C811CC">
        <w:rPr>
          <w:rStyle w:val="FootnoteReference"/>
          <w:rFonts w:cstheme="minorHAnsi"/>
          <w:sz w:val="16"/>
          <w:szCs w:val="16"/>
        </w:rPr>
        <w:footnoteRef/>
      </w:r>
      <w:r w:rsidRPr="00C811CC">
        <w:rPr>
          <w:rFonts w:cstheme="minorHAnsi"/>
          <w:sz w:val="16"/>
          <w:szCs w:val="16"/>
        </w:rPr>
        <w:t xml:space="preserve"> </w:t>
      </w:r>
      <w:r w:rsidRPr="00FF18D0">
        <w:rPr>
          <w:rFonts w:cstheme="minorHAnsi"/>
          <w:sz w:val="18"/>
          <w:szCs w:val="18"/>
        </w:rPr>
        <w:t xml:space="preserve">IDEHPUCP 2020 “El proceso migratorio”. Las mujeres migrantes y refugiadas venezolanas y su inserción en el mercado laboral peruano: dificultades, expectativas y potencialidades. Lima. IDEHPUCP y CARE, </w:t>
      </w:r>
      <w:proofErr w:type="spellStart"/>
      <w:r w:rsidRPr="00FF18D0">
        <w:rPr>
          <w:rFonts w:cstheme="minorHAnsi"/>
          <w:sz w:val="18"/>
          <w:szCs w:val="18"/>
        </w:rPr>
        <w:t>pp</w:t>
      </w:r>
      <w:proofErr w:type="spellEnd"/>
      <w:r w:rsidRPr="00FF18D0">
        <w:rPr>
          <w:rFonts w:cstheme="minorHAnsi"/>
          <w:sz w:val="18"/>
          <w:szCs w:val="18"/>
        </w:rPr>
        <w:t xml:space="preserve"> 27. Consulta el 26 de octubre del 2020. </w:t>
      </w:r>
    </w:p>
  </w:footnote>
  <w:footnote w:id="8">
    <w:p w14:paraId="0ACF2F2E" w14:textId="77777777" w:rsidR="009732C6" w:rsidRPr="00F66735" w:rsidRDefault="009732C6" w:rsidP="009732C6">
      <w:pPr>
        <w:pStyle w:val="FootnoteText"/>
        <w:rPr>
          <w:sz w:val="18"/>
          <w:szCs w:val="18"/>
          <w:lang w:val="es-MX"/>
        </w:rPr>
      </w:pPr>
      <w:r w:rsidRPr="00F66735">
        <w:rPr>
          <w:rStyle w:val="FootnoteReference"/>
          <w:sz w:val="18"/>
          <w:szCs w:val="18"/>
        </w:rPr>
        <w:footnoteRef/>
      </w:r>
      <w:r w:rsidRPr="00F66735">
        <w:rPr>
          <w:sz w:val="18"/>
          <w:szCs w:val="18"/>
        </w:rPr>
        <w:t xml:space="preserve"> Rebeca Irons. Percepción de mujeres venezolanas sobre los servicios de salud sexual y reproductiva en Lima, Perú. </w:t>
      </w:r>
      <w:proofErr w:type="spellStart"/>
      <w:r w:rsidRPr="00F66735">
        <w:rPr>
          <w:sz w:val="18"/>
          <w:szCs w:val="18"/>
        </w:rPr>
        <w:t>Rev</w:t>
      </w:r>
      <w:proofErr w:type="spellEnd"/>
      <w:r w:rsidRPr="00F66735">
        <w:rPr>
          <w:sz w:val="18"/>
          <w:szCs w:val="18"/>
        </w:rPr>
        <w:t xml:space="preserve"> </w:t>
      </w:r>
      <w:proofErr w:type="spellStart"/>
      <w:r w:rsidRPr="00F66735">
        <w:rPr>
          <w:sz w:val="18"/>
          <w:szCs w:val="18"/>
        </w:rPr>
        <w:t>Peru</w:t>
      </w:r>
      <w:proofErr w:type="spellEnd"/>
      <w:r w:rsidRPr="00F66735">
        <w:rPr>
          <w:sz w:val="18"/>
          <w:szCs w:val="18"/>
        </w:rPr>
        <w:t xml:space="preserve"> </w:t>
      </w:r>
      <w:proofErr w:type="spellStart"/>
      <w:r w:rsidRPr="00F66735">
        <w:rPr>
          <w:sz w:val="18"/>
          <w:szCs w:val="18"/>
        </w:rPr>
        <w:t>Med</w:t>
      </w:r>
      <w:proofErr w:type="spellEnd"/>
      <w:r w:rsidRPr="00F66735">
        <w:rPr>
          <w:sz w:val="18"/>
          <w:szCs w:val="18"/>
        </w:rPr>
        <w:t xml:space="preserve"> </w:t>
      </w:r>
      <w:proofErr w:type="spellStart"/>
      <w:r w:rsidRPr="00F66735">
        <w:rPr>
          <w:sz w:val="18"/>
          <w:szCs w:val="18"/>
        </w:rPr>
        <w:t>Exp</w:t>
      </w:r>
      <w:proofErr w:type="spellEnd"/>
      <w:r w:rsidRPr="00F66735">
        <w:rPr>
          <w:sz w:val="18"/>
          <w:szCs w:val="18"/>
        </w:rPr>
        <w:t xml:space="preserve"> Salud Publica. 2021;38(2):248-53. </w:t>
      </w:r>
    </w:p>
  </w:footnote>
  <w:footnote w:id="9">
    <w:p w14:paraId="4D272582" w14:textId="77777777" w:rsidR="002C3375" w:rsidRPr="000C6681" w:rsidRDefault="002C3375" w:rsidP="002C3375">
      <w:pPr>
        <w:pStyle w:val="FootnoteText"/>
        <w:jc w:val="both"/>
        <w:rPr>
          <w:sz w:val="18"/>
          <w:szCs w:val="18"/>
          <w:lang w:val="es-MX"/>
        </w:rPr>
      </w:pPr>
      <w:r>
        <w:rPr>
          <w:rStyle w:val="FootnoteReference"/>
        </w:rPr>
        <w:footnoteRef/>
      </w:r>
      <w:r>
        <w:t xml:space="preserve"> </w:t>
      </w:r>
      <w:r w:rsidRPr="000C6681">
        <w:rPr>
          <w:sz w:val="18"/>
          <w:szCs w:val="18"/>
          <w:lang w:val="es-MX"/>
        </w:rPr>
        <w:t xml:space="preserve">Defensoría del Pueblo. Eliana </w:t>
      </w:r>
      <w:proofErr w:type="spellStart"/>
      <w:r w:rsidRPr="000C6681">
        <w:rPr>
          <w:sz w:val="18"/>
          <w:szCs w:val="18"/>
          <w:lang w:val="es-MX"/>
        </w:rPr>
        <w:t>Revollar</w:t>
      </w:r>
      <w:proofErr w:type="spellEnd"/>
      <w:r w:rsidRPr="000C6681">
        <w:rPr>
          <w:sz w:val="18"/>
          <w:szCs w:val="18"/>
          <w:lang w:val="es-MX"/>
        </w:rPr>
        <w:t xml:space="preserve">. </w:t>
      </w:r>
      <w:hyperlink r:id="rId2" w:history="1">
        <w:r w:rsidRPr="000C6681">
          <w:rPr>
            <w:rStyle w:val="Hyperlink"/>
            <w:sz w:val="18"/>
            <w:szCs w:val="18"/>
            <w:lang w:val="es-MX"/>
          </w:rPr>
          <w:t>Fortalecer los derechos de las mujeres significa no retroceder en agenda por la igualdad de género</w:t>
        </w:r>
      </w:hyperlink>
      <w:r w:rsidRPr="000C6681">
        <w:rPr>
          <w:sz w:val="18"/>
          <w:szCs w:val="18"/>
          <w:lang w:val="es-MX"/>
        </w:rPr>
        <w:t xml:space="preserve">. 8 de marzo del 2021.   </w:t>
      </w:r>
    </w:p>
  </w:footnote>
  <w:footnote w:id="10">
    <w:p w14:paraId="71D6BE7F" w14:textId="24163A89" w:rsidR="002C3375" w:rsidRPr="000C6681" w:rsidRDefault="002C3375" w:rsidP="002C3375">
      <w:pPr>
        <w:pStyle w:val="FootnoteText"/>
        <w:jc w:val="both"/>
        <w:rPr>
          <w:sz w:val="18"/>
          <w:szCs w:val="18"/>
          <w:lang w:val="es-MX"/>
        </w:rPr>
      </w:pPr>
    </w:p>
  </w:footnote>
  <w:footnote w:id="11">
    <w:p w14:paraId="44C8A751" w14:textId="1D39D505" w:rsidR="001E10B7" w:rsidRPr="0060376D" w:rsidRDefault="001E10B7" w:rsidP="001E10B7">
      <w:pPr>
        <w:pStyle w:val="FootnoteText"/>
        <w:jc w:val="both"/>
      </w:pPr>
      <w:r>
        <w:rPr>
          <w:rStyle w:val="FootnoteReference"/>
        </w:rPr>
        <w:footnoteRef/>
      </w:r>
      <w:r w:rsidRPr="0060376D">
        <w:t xml:space="preserve"> </w:t>
      </w:r>
      <w:r>
        <w:t xml:space="preserve">Sentencia del Tribunal Constitucional, </w:t>
      </w:r>
      <w:proofErr w:type="spellStart"/>
      <w:r>
        <w:t>Exp</w:t>
      </w:r>
      <w:proofErr w:type="spellEnd"/>
      <w:r>
        <w:t>. No 02005-2009-PA/TC.</w:t>
      </w:r>
      <w:r w:rsidRPr="00D32BFC">
        <w:t xml:space="preserve"> Esta decisión suspendida temporalmente en 2014 por el Poder Judicial mientras está en curso otro proceso judicial constitucional sobre el tema, </w:t>
      </w:r>
      <w:r>
        <w:t>el que</w:t>
      </w:r>
      <w:r w:rsidRPr="00D32BFC">
        <w:t xml:space="preserve"> hasta la fecha no se culmina (https://ojo-publico.com/2515/el-acceso-gratuito-la-pildora-de-emergencia-esta-en-manos-del-tc).</w:t>
      </w:r>
    </w:p>
  </w:footnote>
  <w:footnote w:id="12">
    <w:p w14:paraId="60C796CE" w14:textId="77777777" w:rsidR="001E10B7" w:rsidRPr="00770BAE" w:rsidRDefault="001E10B7" w:rsidP="001E10B7">
      <w:pPr>
        <w:pStyle w:val="FootnoteText"/>
      </w:pPr>
      <w:r>
        <w:rPr>
          <w:rStyle w:val="FootnoteReference"/>
        </w:rPr>
        <w:footnoteRef/>
      </w:r>
      <w:r w:rsidRPr="00770BAE">
        <w:t xml:space="preserve"> https://promsex.org/pleno-del-tribunal-constitucional-debe-decidir-sentencia-definitiva-sobre-la-anticoncepcion-oral-de-emergencia-aoe/</w:t>
      </w:r>
    </w:p>
  </w:footnote>
  <w:footnote w:id="13">
    <w:p w14:paraId="0139DD0A" w14:textId="77777777" w:rsidR="00BE35B8" w:rsidRPr="00C52C7D" w:rsidRDefault="00BE35B8" w:rsidP="00BE35B8">
      <w:pPr>
        <w:pStyle w:val="FootnoteText"/>
        <w:jc w:val="both"/>
        <w:rPr>
          <w:color w:val="FF0000"/>
        </w:rPr>
      </w:pPr>
      <w:r>
        <w:rPr>
          <w:rStyle w:val="FootnoteReference"/>
        </w:rPr>
        <w:footnoteRef/>
      </w:r>
      <w:r w:rsidRPr="00C52C7D">
        <w:t xml:space="preserve"> </w:t>
      </w:r>
      <w:r w:rsidRPr="006F1EC4">
        <w:rPr>
          <w:color w:val="000000" w:themeColor="text1"/>
        </w:rPr>
        <w:t>Hasta el mes de febrero 2021</w:t>
      </w:r>
      <w:r>
        <w:rPr>
          <w:color w:val="000000" w:themeColor="text1"/>
        </w:rPr>
        <w:t xml:space="preserve"> (pedido de acceso a la información MINSA).</w:t>
      </w:r>
    </w:p>
  </w:footnote>
  <w:footnote w:id="14">
    <w:p w14:paraId="58D11828" w14:textId="26EEDFA6" w:rsidR="005F219C" w:rsidRPr="005F219C" w:rsidRDefault="005F219C">
      <w:pPr>
        <w:pStyle w:val="FootnoteText"/>
      </w:pPr>
      <w:r>
        <w:rPr>
          <w:rStyle w:val="FootnoteReference"/>
        </w:rPr>
        <w:footnoteRef/>
      </w:r>
      <w:r>
        <w:t xml:space="preserve"> Pedido de acceso a la información </w:t>
      </w:r>
      <w:proofErr w:type="spellStart"/>
      <w:proofErr w:type="gramStart"/>
      <w:r>
        <w:t>publica</w:t>
      </w:r>
      <w:proofErr w:type="spellEnd"/>
      <w:proofErr w:type="gramEnd"/>
      <w:r>
        <w:t xml:space="preserve"> del Centro Flora Tristan. </w:t>
      </w:r>
    </w:p>
  </w:footnote>
  <w:footnote w:id="15">
    <w:p w14:paraId="4DF8E27C" w14:textId="77777777" w:rsidR="005F219C" w:rsidRPr="009D0FE4" w:rsidRDefault="005F219C" w:rsidP="005F219C">
      <w:pPr>
        <w:pStyle w:val="FootnoteText"/>
        <w:jc w:val="both"/>
      </w:pPr>
      <w:r>
        <w:rPr>
          <w:rStyle w:val="FootnoteReference"/>
        </w:rPr>
        <w:footnoteRef/>
      </w:r>
      <w:r w:rsidRPr="009D0FE4">
        <w:t xml:space="preserve"> </w:t>
      </w:r>
      <w:r>
        <w:t>Pedido de acceso a la información, Poder Judicial del Perú, mayo 2021.</w:t>
      </w:r>
    </w:p>
  </w:footnote>
  <w:footnote w:id="16">
    <w:p w14:paraId="03392092" w14:textId="77777777" w:rsidR="00A03EC6" w:rsidRPr="00471D88" w:rsidRDefault="00A03EC6" w:rsidP="00A03EC6">
      <w:pPr>
        <w:pStyle w:val="FootnoteText"/>
        <w:jc w:val="both"/>
        <w:rPr>
          <w:sz w:val="18"/>
          <w:szCs w:val="18"/>
        </w:rPr>
      </w:pPr>
      <w:r>
        <w:rPr>
          <w:rStyle w:val="FootnoteReference"/>
        </w:rPr>
        <w:footnoteRef/>
      </w:r>
      <w:r>
        <w:t xml:space="preserve"> </w:t>
      </w:r>
      <w:r w:rsidRPr="00471D88">
        <w:rPr>
          <w:sz w:val="18"/>
          <w:szCs w:val="18"/>
        </w:rPr>
        <w:t>Programa Nacional AURORA para la lucha contra la violencia hacia las mujeres y el grupo familiar</w:t>
      </w:r>
    </w:p>
  </w:footnote>
  <w:footnote w:id="17">
    <w:p w14:paraId="41A3345D" w14:textId="592C2FC3" w:rsidR="00A03EC6" w:rsidRPr="00DC75DB" w:rsidRDefault="00A03EC6" w:rsidP="00A03EC6">
      <w:pPr>
        <w:pStyle w:val="FootnoteText"/>
        <w:jc w:val="both"/>
        <w:rPr>
          <w:sz w:val="18"/>
          <w:szCs w:val="18"/>
        </w:rPr>
      </w:pPr>
      <w:r>
        <w:rPr>
          <w:rStyle w:val="FootnoteReference"/>
        </w:rPr>
        <w:footnoteRef/>
      </w:r>
      <w:r>
        <w:t xml:space="preserve"> </w:t>
      </w:r>
      <w:r w:rsidR="00656EFA">
        <w:rPr>
          <w:sz w:val="18"/>
          <w:szCs w:val="18"/>
        </w:rPr>
        <w:t>S</w:t>
      </w:r>
      <w:r w:rsidRPr="00DC75DB">
        <w:rPr>
          <w:sz w:val="18"/>
          <w:szCs w:val="18"/>
        </w:rPr>
        <w:t xml:space="preserve">e </w:t>
      </w:r>
      <w:r>
        <w:rPr>
          <w:sz w:val="18"/>
          <w:szCs w:val="18"/>
        </w:rPr>
        <w:t>aprobó</w:t>
      </w:r>
      <w:r w:rsidRPr="00DC75DB">
        <w:rPr>
          <w:sz w:val="18"/>
          <w:szCs w:val="18"/>
        </w:rPr>
        <w:t>: Decreto Supremo 022-2021-MIMP</w:t>
      </w:r>
      <w:r>
        <w:rPr>
          <w:sz w:val="18"/>
          <w:szCs w:val="18"/>
        </w:rPr>
        <w:t xml:space="preserve"> </w:t>
      </w:r>
      <w:r w:rsidRPr="00DC75DB">
        <w:rPr>
          <w:sz w:val="18"/>
          <w:szCs w:val="18"/>
        </w:rPr>
        <w:t>que aprueba la Estrategia Nacional de Prevención de la Violencia de Género contra las Mujeres “Mujeres libres de violencia”</w:t>
      </w:r>
      <w:r>
        <w:rPr>
          <w:sz w:val="18"/>
          <w:szCs w:val="18"/>
        </w:rPr>
        <w:t>; la</w:t>
      </w:r>
      <w:r w:rsidRPr="00DC75DB">
        <w:rPr>
          <w:sz w:val="18"/>
          <w:szCs w:val="18"/>
        </w:rPr>
        <w:t xml:space="preserve"> Resolución Ministerial </w:t>
      </w:r>
      <w:proofErr w:type="spellStart"/>
      <w:r w:rsidRPr="00DC75DB">
        <w:rPr>
          <w:sz w:val="18"/>
          <w:szCs w:val="18"/>
        </w:rPr>
        <w:t>N°</w:t>
      </w:r>
      <w:proofErr w:type="spellEnd"/>
      <w:r w:rsidRPr="00DC75DB">
        <w:rPr>
          <w:sz w:val="18"/>
          <w:szCs w:val="18"/>
        </w:rPr>
        <w:t xml:space="preserve"> 058-2021-MIMP</w:t>
      </w:r>
      <w:r>
        <w:rPr>
          <w:sz w:val="18"/>
          <w:szCs w:val="18"/>
        </w:rPr>
        <w:t xml:space="preserve"> </w:t>
      </w:r>
      <w:r w:rsidRPr="00DC75DB">
        <w:rPr>
          <w:sz w:val="18"/>
          <w:szCs w:val="18"/>
        </w:rPr>
        <w:t>que aprueba los “Lineamientos estratégicos para la prevención de la violencia de género contra las mujeres”</w:t>
      </w:r>
      <w:r>
        <w:rPr>
          <w:sz w:val="18"/>
          <w:szCs w:val="18"/>
        </w:rPr>
        <w:t xml:space="preserve">. </w:t>
      </w:r>
    </w:p>
  </w:footnote>
  <w:footnote w:id="18">
    <w:p w14:paraId="70D9EFF8" w14:textId="77777777" w:rsidR="00844559" w:rsidRPr="008C75A9" w:rsidRDefault="00844559" w:rsidP="00844559">
      <w:pPr>
        <w:pBdr>
          <w:top w:val="nil"/>
          <w:left w:val="nil"/>
          <w:bottom w:val="nil"/>
          <w:right w:val="nil"/>
          <w:between w:val="nil"/>
        </w:pBdr>
        <w:ind w:left="142" w:hanging="142"/>
        <w:rPr>
          <w:rFonts w:eastAsia="Candara" w:cs="Arial"/>
          <w:color w:val="000000"/>
          <w:sz w:val="18"/>
          <w:szCs w:val="18"/>
        </w:rPr>
      </w:pPr>
      <w:r w:rsidRPr="00DC18AF">
        <w:rPr>
          <w:rFonts w:cs="Arial"/>
          <w:vertAlign w:val="superscript"/>
        </w:rPr>
        <w:footnoteRef/>
      </w:r>
      <w:r w:rsidRPr="00DC18AF">
        <w:rPr>
          <w:rFonts w:eastAsia="Candara" w:cs="Arial"/>
          <w:color w:val="000000"/>
          <w:sz w:val="16"/>
          <w:szCs w:val="16"/>
        </w:rPr>
        <w:t xml:space="preserve"> </w:t>
      </w:r>
      <w:r w:rsidRPr="008C75A9">
        <w:rPr>
          <w:rFonts w:eastAsia="Candara" w:cs="Arial"/>
          <w:color w:val="000000"/>
          <w:sz w:val="18"/>
          <w:szCs w:val="18"/>
        </w:rPr>
        <w:t xml:space="preserve">Desafortunadamente, la ley 29083 que incluía esta medida, fue derogada, con lo que el análisis de género en la evaluación de la ejecución del presupuesto público dejo de ser de obligatorio cumplimiento. </w:t>
      </w:r>
    </w:p>
  </w:footnote>
  <w:footnote w:id="19">
    <w:p w14:paraId="633D0FC4" w14:textId="5E30D868" w:rsidR="009A4F02" w:rsidRPr="009A4F02" w:rsidRDefault="009A4F02">
      <w:pPr>
        <w:pStyle w:val="FootnoteText"/>
        <w:rPr>
          <w:lang w:val="es-MX"/>
        </w:rPr>
      </w:pPr>
      <w:r>
        <w:rPr>
          <w:rStyle w:val="FootnoteReference"/>
        </w:rPr>
        <w:footnoteRef/>
      </w:r>
      <w:r>
        <w:t xml:space="preserve"> </w:t>
      </w:r>
      <w:r>
        <w:rPr>
          <w:lang w:val="es-MX"/>
        </w:rPr>
        <w:t>MINJUSDH</w:t>
      </w:r>
      <w:r w:rsidR="0086389B">
        <w:rPr>
          <w:lang w:val="es-MX"/>
        </w:rPr>
        <w:t>; página 18</w:t>
      </w:r>
      <w:r w:rsidR="00815AA6">
        <w:rPr>
          <w:lang w:val="es-MX"/>
        </w:rPr>
        <w:t xml:space="preserve">; puntos 65 y 66. </w:t>
      </w:r>
    </w:p>
  </w:footnote>
  <w:footnote w:id="20">
    <w:p w14:paraId="2F6C275B" w14:textId="77777777" w:rsidR="00D15358" w:rsidRPr="009939C0" w:rsidRDefault="00D15358" w:rsidP="00D15358">
      <w:pPr>
        <w:pStyle w:val="FootnoteText"/>
        <w:jc w:val="both"/>
        <w:rPr>
          <w:sz w:val="18"/>
          <w:szCs w:val="18"/>
        </w:rPr>
      </w:pPr>
      <w:r w:rsidRPr="009939C0">
        <w:rPr>
          <w:rStyle w:val="FootnoteReference"/>
          <w:sz w:val="18"/>
          <w:szCs w:val="18"/>
        </w:rPr>
        <w:footnoteRef/>
      </w:r>
      <w:r w:rsidRPr="009939C0">
        <w:rPr>
          <w:sz w:val="18"/>
          <w:szCs w:val="18"/>
        </w:rPr>
        <w:t xml:space="preserve"> Defensoría del Pueblo (2021). ¿Qué paso con ellas? Reporte de igualdad y no violencia #13. febrero 2021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56D3F"/>
    <w:multiLevelType w:val="hybridMultilevel"/>
    <w:tmpl w:val="BCFE050C"/>
    <w:lvl w:ilvl="0" w:tplc="0FE2B4CC">
      <w:start w:val="1"/>
      <w:numFmt w:val="decimal"/>
      <w:lvlText w:val="%1."/>
      <w:lvlJc w:val="left"/>
      <w:pPr>
        <w:tabs>
          <w:tab w:val="num" w:pos="720"/>
        </w:tabs>
        <w:ind w:left="720" w:hanging="360"/>
      </w:pPr>
    </w:lvl>
    <w:lvl w:ilvl="1" w:tplc="6E866B26" w:tentative="1">
      <w:start w:val="1"/>
      <w:numFmt w:val="decimal"/>
      <w:lvlText w:val="%2."/>
      <w:lvlJc w:val="left"/>
      <w:pPr>
        <w:tabs>
          <w:tab w:val="num" w:pos="1440"/>
        </w:tabs>
        <w:ind w:left="1440" w:hanging="360"/>
      </w:pPr>
    </w:lvl>
    <w:lvl w:ilvl="2" w:tplc="F140B760" w:tentative="1">
      <w:start w:val="1"/>
      <w:numFmt w:val="decimal"/>
      <w:lvlText w:val="%3."/>
      <w:lvlJc w:val="left"/>
      <w:pPr>
        <w:tabs>
          <w:tab w:val="num" w:pos="2160"/>
        </w:tabs>
        <w:ind w:left="2160" w:hanging="360"/>
      </w:pPr>
    </w:lvl>
    <w:lvl w:ilvl="3" w:tplc="7D8028B8" w:tentative="1">
      <w:start w:val="1"/>
      <w:numFmt w:val="decimal"/>
      <w:lvlText w:val="%4."/>
      <w:lvlJc w:val="left"/>
      <w:pPr>
        <w:tabs>
          <w:tab w:val="num" w:pos="2880"/>
        </w:tabs>
        <w:ind w:left="2880" w:hanging="360"/>
      </w:pPr>
    </w:lvl>
    <w:lvl w:ilvl="4" w:tplc="A1104AF2" w:tentative="1">
      <w:start w:val="1"/>
      <w:numFmt w:val="decimal"/>
      <w:lvlText w:val="%5."/>
      <w:lvlJc w:val="left"/>
      <w:pPr>
        <w:tabs>
          <w:tab w:val="num" w:pos="3600"/>
        </w:tabs>
        <w:ind w:left="3600" w:hanging="360"/>
      </w:pPr>
    </w:lvl>
    <w:lvl w:ilvl="5" w:tplc="8E4A360E" w:tentative="1">
      <w:start w:val="1"/>
      <w:numFmt w:val="decimal"/>
      <w:lvlText w:val="%6."/>
      <w:lvlJc w:val="left"/>
      <w:pPr>
        <w:tabs>
          <w:tab w:val="num" w:pos="4320"/>
        </w:tabs>
        <w:ind w:left="4320" w:hanging="360"/>
      </w:pPr>
    </w:lvl>
    <w:lvl w:ilvl="6" w:tplc="37288162" w:tentative="1">
      <w:start w:val="1"/>
      <w:numFmt w:val="decimal"/>
      <w:lvlText w:val="%7."/>
      <w:lvlJc w:val="left"/>
      <w:pPr>
        <w:tabs>
          <w:tab w:val="num" w:pos="5040"/>
        </w:tabs>
        <w:ind w:left="5040" w:hanging="360"/>
      </w:pPr>
    </w:lvl>
    <w:lvl w:ilvl="7" w:tplc="0016BED8" w:tentative="1">
      <w:start w:val="1"/>
      <w:numFmt w:val="decimal"/>
      <w:lvlText w:val="%8."/>
      <w:lvlJc w:val="left"/>
      <w:pPr>
        <w:tabs>
          <w:tab w:val="num" w:pos="5760"/>
        </w:tabs>
        <w:ind w:left="5760" w:hanging="360"/>
      </w:pPr>
    </w:lvl>
    <w:lvl w:ilvl="8" w:tplc="1564042C" w:tentative="1">
      <w:start w:val="1"/>
      <w:numFmt w:val="decimal"/>
      <w:lvlText w:val="%9."/>
      <w:lvlJc w:val="left"/>
      <w:pPr>
        <w:tabs>
          <w:tab w:val="num" w:pos="6480"/>
        </w:tabs>
        <w:ind w:left="6480" w:hanging="360"/>
      </w:pPr>
    </w:lvl>
  </w:abstractNum>
  <w:abstractNum w:abstractNumId="1" w15:restartNumberingAfterBreak="0">
    <w:nsid w:val="023E3E0E"/>
    <w:multiLevelType w:val="hybridMultilevel"/>
    <w:tmpl w:val="22AA4C8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5722309"/>
    <w:multiLevelType w:val="hybridMultilevel"/>
    <w:tmpl w:val="9E56D22A"/>
    <w:lvl w:ilvl="0" w:tplc="26527E3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F53FAE"/>
    <w:multiLevelType w:val="hybridMultilevel"/>
    <w:tmpl w:val="4F4ECA48"/>
    <w:lvl w:ilvl="0" w:tplc="28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544EA4"/>
    <w:multiLevelType w:val="multilevel"/>
    <w:tmpl w:val="619AE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654C14"/>
    <w:multiLevelType w:val="hybridMultilevel"/>
    <w:tmpl w:val="55AC3C1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40897758"/>
    <w:multiLevelType w:val="hybridMultilevel"/>
    <w:tmpl w:val="5CB62070"/>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4DC125B5"/>
    <w:multiLevelType w:val="hybridMultilevel"/>
    <w:tmpl w:val="1E32DEAE"/>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52EB36EA"/>
    <w:multiLevelType w:val="hybridMultilevel"/>
    <w:tmpl w:val="B6345A20"/>
    <w:lvl w:ilvl="0" w:tplc="DB3C12B8">
      <w:start w:val="1"/>
      <w:numFmt w:val="decimal"/>
      <w:lvlText w:val="%1."/>
      <w:lvlJc w:val="left"/>
      <w:pPr>
        <w:tabs>
          <w:tab w:val="num" w:pos="720"/>
        </w:tabs>
        <w:ind w:left="720" w:hanging="360"/>
      </w:pPr>
    </w:lvl>
    <w:lvl w:ilvl="1" w:tplc="9C808A8C" w:tentative="1">
      <w:start w:val="1"/>
      <w:numFmt w:val="decimal"/>
      <w:lvlText w:val="%2."/>
      <w:lvlJc w:val="left"/>
      <w:pPr>
        <w:tabs>
          <w:tab w:val="num" w:pos="1440"/>
        </w:tabs>
        <w:ind w:left="1440" w:hanging="360"/>
      </w:pPr>
    </w:lvl>
    <w:lvl w:ilvl="2" w:tplc="82CEA35E" w:tentative="1">
      <w:start w:val="1"/>
      <w:numFmt w:val="decimal"/>
      <w:lvlText w:val="%3."/>
      <w:lvlJc w:val="left"/>
      <w:pPr>
        <w:tabs>
          <w:tab w:val="num" w:pos="2160"/>
        </w:tabs>
        <w:ind w:left="2160" w:hanging="360"/>
      </w:pPr>
    </w:lvl>
    <w:lvl w:ilvl="3" w:tplc="F3E08AF8" w:tentative="1">
      <w:start w:val="1"/>
      <w:numFmt w:val="decimal"/>
      <w:lvlText w:val="%4."/>
      <w:lvlJc w:val="left"/>
      <w:pPr>
        <w:tabs>
          <w:tab w:val="num" w:pos="2880"/>
        </w:tabs>
        <w:ind w:left="2880" w:hanging="360"/>
      </w:pPr>
    </w:lvl>
    <w:lvl w:ilvl="4" w:tplc="EAD0E236" w:tentative="1">
      <w:start w:val="1"/>
      <w:numFmt w:val="decimal"/>
      <w:lvlText w:val="%5."/>
      <w:lvlJc w:val="left"/>
      <w:pPr>
        <w:tabs>
          <w:tab w:val="num" w:pos="3600"/>
        </w:tabs>
        <w:ind w:left="3600" w:hanging="360"/>
      </w:pPr>
    </w:lvl>
    <w:lvl w:ilvl="5" w:tplc="B194F646" w:tentative="1">
      <w:start w:val="1"/>
      <w:numFmt w:val="decimal"/>
      <w:lvlText w:val="%6."/>
      <w:lvlJc w:val="left"/>
      <w:pPr>
        <w:tabs>
          <w:tab w:val="num" w:pos="4320"/>
        </w:tabs>
        <w:ind w:left="4320" w:hanging="360"/>
      </w:pPr>
    </w:lvl>
    <w:lvl w:ilvl="6" w:tplc="5DA29ED2" w:tentative="1">
      <w:start w:val="1"/>
      <w:numFmt w:val="decimal"/>
      <w:lvlText w:val="%7."/>
      <w:lvlJc w:val="left"/>
      <w:pPr>
        <w:tabs>
          <w:tab w:val="num" w:pos="5040"/>
        </w:tabs>
        <w:ind w:left="5040" w:hanging="360"/>
      </w:pPr>
    </w:lvl>
    <w:lvl w:ilvl="7" w:tplc="79923D3E" w:tentative="1">
      <w:start w:val="1"/>
      <w:numFmt w:val="decimal"/>
      <w:lvlText w:val="%8."/>
      <w:lvlJc w:val="left"/>
      <w:pPr>
        <w:tabs>
          <w:tab w:val="num" w:pos="5760"/>
        </w:tabs>
        <w:ind w:left="5760" w:hanging="360"/>
      </w:pPr>
    </w:lvl>
    <w:lvl w:ilvl="8" w:tplc="BE2C48B2" w:tentative="1">
      <w:start w:val="1"/>
      <w:numFmt w:val="decimal"/>
      <w:lvlText w:val="%9."/>
      <w:lvlJc w:val="left"/>
      <w:pPr>
        <w:tabs>
          <w:tab w:val="num" w:pos="6480"/>
        </w:tabs>
        <w:ind w:left="6480" w:hanging="360"/>
      </w:pPr>
    </w:lvl>
  </w:abstractNum>
  <w:abstractNum w:abstractNumId="9" w15:restartNumberingAfterBreak="0">
    <w:nsid w:val="60143D18"/>
    <w:multiLevelType w:val="multilevel"/>
    <w:tmpl w:val="1A6E5754"/>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628E21B0"/>
    <w:multiLevelType w:val="hybridMultilevel"/>
    <w:tmpl w:val="AE161C22"/>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
  </w:num>
  <w:num w:numId="2">
    <w:abstractNumId w:val="7"/>
  </w:num>
  <w:num w:numId="3">
    <w:abstractNumId w:val="6"/>
  </w:num>
  <w:num w:numId="4">
    <w:abstractNumId w:val="5"/>
  </w:num>
  <w:num w:numId="5">
    <w:abstractNumId w:val="10"/>
  </w:num>
  <w:num w:numId="6">
    <w:abstractNumId w:val="9"/>
  </w:num>
  <w:num w:numId="7">
    <w:abstractNumId w:val="4"/>
  </w:num>
  <w:num w:numId="8">
    <w:abstractNumId w:val="0"/>
  </w:num>
  <w:num w:numId="9">
    <w:abstractNumId w:val="8"/>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3AE"/>
    <w:rsid w:val="000008DB"/>
    <w:rsid w:val="000020D9"/>
    <w:rsid w:val="00003A9B"/>
    <w:rsid w:val="0000724B"/>
    <w:rsid w:val="00013E1F"/>
    <w:rsid w:val="0001751D"/>
    <w:rsid w:val="000177BA"/>
    <w:rsid w:val="000227D7"/>
    <w:rsid w:val="00023C06"/>
    <w:rsid w:val="00025C88"/>
    <w:rsid w:val="00027AB5"/>
    <w:rsid w:val="00030981"/>
    <w:rsid w:val="00035337"/>
    <w:rsid w:val="0003608F"/>
    <w:rsid w:val="0003646A"/>
    <w:rsid w:val="00040784"/>
    <w:rsid w:val="00045C89"/>
    <w:rsid w:val="00046DF3"/>
    <w:rsid w:val="00050568"/>
    <w:rsid w:val="00060085"/>
    <w:rsid w:val="0006287F"/>
    <w:rsid w:val="00062A4B"/>
    <w:rsid w:val="00063CAC"/>
    <w:rsid w:val="00064068"/>
    <w:rsid w:val="0008164B"/>
    <w:rsid w:val="00082B77"/>
    <w:rsid w:val="000846AC"/>
    <w:rsid w:val="000869EA"/>
    <w:rsid w:val="00092EEA"/>
    <w:rsid w:val="00095CBC"/>
    <w:rsid w:val="000A16AB"/>
    <w:rsid w:val="000A32B7"/>
    <w:rsid w:val="000A4AC3"/>
    <w:rsid w:val="000B068C"/>
    <w:rsid w:val="000B613A"/>
    <w:rsid w:val="000C17CB"/>
    <w:rsid w:val="000C4E4F"/>
    <w:rsid w:val="000D167E"/>
    <w:rsid w:val="000E443C"/>
    <w:rsid w:val="000F0FBE"/>
    <w:rsid w:val="000F1E1F"/>
    <w:rsid w:val="000F2EB7"/>
    <w:rsid w:val="000F3313"/>
    <w:rsid w:val="001034A6"/>
    <w:rsid w:val="0010434E"/>
    <w:rsid w:val="00113505"/>
    <w:rsid w:val="00117BB7"/>
    <w:rsid w:val="001208D2"/>
    <w:rsid w:val="00121549"/>
    <w:rsid w:val="00132E65"/>
    <w:rsid w:val="00133F05"/>
    <w:rsid w:val="001416F9"/>
    <w:rsid w:val="0014264C"/>
    <w:rsid w:val="00160BE7"/>
    <w:rsid w:val="00166A07"/>
    <w:rsid w:val="001671F6"/>
    <w:rsid w:val="001778FF"/>
    <w:rsid w:val="001853FF"/>
    <w:rsid w:val="0018726B"/>
    <w:rsid w:val="001906BC"/>
    <w:rsid w:val="00194F62"/>
    <w:rsid w:val="00197548"/>
    <w:rsid w:val="001A6C52"/>
    <w:rsid w:val="001B1542"/>
    <w:rsid w:val="001B68BD"/>
    <w:rsid w:val="001C08F6"/>
    <w:rsid w:val="001C35BF"/>
    <w:rsid w:val="001C6760"/>
    <w:rsid w:val="001D6C46"/>
    <w:rsid w:val="001D6F6B"/>
    <w:rsid w:val="001D7CFF"/>
    <w:rsid w:val="001E0F2F"/>
    <w:rsid w:val="001E10B7"/>
    <w:rsid w:val="001E7697"/>
    <w:rsid w:val="001F4ACF"/>
    <w:rsid w:val="001F55DB"/>
    <w:rsid w:val="001F625E"/>
    <w:rsid w:val="00202A3D"/>
    <w:rsid w:val="002030EB"/>
    <w:rsid w:val="002051B8"/>
    <w:rsid w:val="002053CA"/>
    <w:rsid w:val="0020558D"/>
    <w:rsid w:val="00205A04"/>
    <w:rsid w:val="00205A0A"/>
    <w:rsid w:val="002146B3"/>
    <w:rsid w:val="00223BA6"/>
    <w:rsid w:val="00231F0F"/>
    <w:rsid w:val="002338B0"/>
    <w:rsid w:val="002555D7"/>
    <w:rsid w:val="002605D8"/>
    <w:rsid w:val="00261785"/>
    <w:rsid w:val="002624A6"/>
    <w:rsid w:val="002666D7"/>
    <w:rsid w:val="00272B57"/>
    <w:rsid w:val="00272B7A"/>
    <w:rsid w:val="00282E80"/>
    <w:rsid w:val="00283263"/>
    <w:rsid w:val="0028759C"/>
    <w:rsid w:val="00290B86"/>
    <w:rsid w:val="002941F1"/>
    <w:rsid w:val="00297E67"/>
    <w:rsid w:val="002A1288"/>
    <w:rsid w:val="002A3320"/>
    <w:rsid w:val="002B0694"/>
    <w:rsid w:val="002B19F4"/>
    <w:rsid w:val="002B626F"/>
    <w:rsid w:val="002B6DA0"/>
    <w:rsid w:val="002B6FB5"/>
    <w:rsid w:val="002B7346"/>
    <w:rsid w:val="002C3375"/>
    <w:rsid w:val="002C57C4"/>
    <w:rsid w:val="002D3ECF"/>
    <w:rsid w:val="002D4C97"/>
    <w:rsid w:val="002D4FDB"/>
    <w:rsid w:val="002D7940"/>
    <w:rsid w:val="002E0418"/>
    <w:rsid w:val="002E3E5B"/>
    <w:rsid w:val="002F1615"/>
    <w:rsid w:val="00301593"/>
    <w:rsid w:val="00301716"/>
    <w:rsid w:val="00302E38"/>
    <w:rsid w:val="00312F91"/>
    <w:rsid w:val="003155D6"/>
    <w:rsid w:val="003159BD"/>
    <w:rsid w:val="003170A2"/>
    <w:rsid w:val="0032404A"/>
    <w:rsid w:val="00324439"/>
    <w:rsid w:val="00325926"/>
    <w:rsid w:val="00336E30"/>
    <w:rsid w:val="003400FA"/>
    <w:rsid w:val="00340B50"/>
    <w:rsid w:val="003419AC"/>
    <w:rsid w:val="00350D63"/>
    <w:rsid w:val="00356FD7"/>
    <w:rsid w:val="00360770"/>
    <w:rsid w:val="003649E5"/>
    <w:rsid w:val="00364D86"/>
    <w:rsid w:val="0036631B"/>
    <w:rsid w:val="0036732A"/>
    <w:rsid w:val="00384F2C"/>
    <w:rsid w:val="003857C5"/>
    <w:rsid w:val="00393523"/>
    <w:rsid w:val="003A2835"/>
    <w:rsid w:val="003A58BB"/>
    <w:rsid w:val="003A60A5"/>
    <w:rsid w:val="003B431F"/>
    <w:rsid w:val="003B59AF"/>
    <w:rsid w:val="003B620B"/>
    <w:rsid w:val="003C7D58"/>
    <w:rsid w:val="003E1CE0"/>
    <w:rsid w:val="003E5438"/>
    <w:rsid w:val="003F27D3"/>
    <w:rsid w:val="003F2F04"/>
    <w:rsid w:val="003F5281"/>
    <w:rsid w:val="004153F7"/>
    <w:rsid w:val="00424543"/>
    <w:rsid w:val="004269DF"/>
    <w:rsid w:val="00426A48"/>
    <w:rsid w:val="00442E54"/>
    <w:rsid w:val="004439B6"/>
    <w:rsid w:val="00444F20"/>
    <w:rsid w:val="00453755"/>
    <w:rsid w:val="00456AC3"/>
    <w:rsid w:val="00457760"/>
    <w:rsid w:val="00460AE1"/>
    <w:rsid w:val="00463F6C"/>
    <w:rsid w:val="0048421D"/>
    <w:rsid w:val="004864CE"/>
    <w:rsid w:val="004873B5"/>
    <w:rsid w:val="004A7551"/>
    <w:rsid w:val="004B7104"/>
    <w:rsid w:val="004C4E2D"/>
    <w:rsid w:val="004C6132"/>
    <w:rsid w:val="004D3091"/>
    <w:rsid w:val="004E2ABA"/>
    <w:rsid w:val="004E5AC0"/>
    <w:rsid w:val="004F45CF"/>
    <w:rsid w:val="00513A7F"/>
    <w:rsid w:val="00516CA0"/>
    <w:rsid w:val="0052124B"/>
    <w:rsid w:val="00535F98"/>
    <w:rsid w:val="00537872"/>
    <w:rsid w:val="00540E6E"/>
    <w:rsid w:val="005442BE"/>
    <w:rsid w:val="00544480"/>
    <w:rsid w:val="00544E3A"/>
    <w:rsid w:val="005475DB"/>
    <w:rsid w:val="005476ED"/>
    <w:rsid w:val="005526BF"/>
    <w:rsid w:val="00552C8A"/>
    <w:rsid w:val="00556A88"/>
    <w:rsid w:val="0055702D"/>
    <w:rsid w:val="00557886"/>
    <w:rsid w:val="0057454B"/>
    <w:rsid w:val="00574A9E"/>
    <w:rsid w:val="0057724A"/>
    <w:rsid w:val="00582BEA"/>
    <w:rsid w:val="0058418F"/>
    <w:rsid w:val="00594FFC"/>
    <w:rsid w:val="005957FB"/>
    <w:rsid w:val="00595B96"/>
    <w:rsid w:val="005972C1"/>
    <w:rsid w:val="005A1047"/>
    <w:rsid w:val="005A2614"/>
    <w:rsid w:val="005A30AA"/>
    <w:rsid w:val="005A3BF4"/>
    <w:rsid w:val="005A3FAE"/>
    <w:rsid w:val="005A4790"/>
    <w:rsid w:val="005A5785"/>
    <w:rsid w:val="005B4B90"/>
    <w:rsid w:val="005B5114"/>
    <w:rsid w:val="005C1961"/>
    <w:rsid w:val="005C1C2B"/>
    <w:rsid w:val="005D01D5"/>
    <w:rsid w:val="005D43ED"/>
    <w:rsid w:val="005D5DFA"/>
    <w:rsid w:val="005D6882"/>
    <w:rsid w:val="005D6E60"/>
    <w:rsid w:val="005E1E6D"/>
    <w:rsid w:val="005F219C"/>
    <w:rsid w:val="00605C08"/>
    <w:rsid w:val="00620BEE"/>
    <w:rsid w:val="006225D2"/>
    <w:rsid w:val="006229FD"/>
    <w:rsid w:val="006276C2"/>
    <w:rsid w:val="006328B5"/>
    <w:rsid w:val="00633054"/>
    <w:rsid w:val="00634B21"/>
    <w:rsid w:val="0063786E"/>
    <w:rsid w:val="00637CF7"/>
    <w:rsid w:val="00640E8F"/>
    <w:rsid w:val="006433A8"/>
    <w:rsid w:val="00644679"/>
    <w:rsid w:val="006532FB"/>
    <w:rsid w:val="00653749"/>
    <w:rsid w:val="00653AE7"/>
    <w:rsid w:val="00656EFA"/>
    <w:rsid w:val="00663817"/>
    <w:rsid w:val="00665A63"/>
    <w:rsid w:val="0066746C"/>
    <w:rsid w:val="00671B65"/>
    <w:rsid w:val="00672381"/>
    <w:rsid w:val="0067417B"/>
    <w:rsid w:val="00677F58"/>
    <w:rsid w:val="00684A46"/>
    <w:rsid w:val="006917A3"/>
    <w:rsid w:val="006A589D"/>
    <w:rsid w:val="006A5B85"/>
    <w:rsid w:val="006B373A"/>
    <w:rsid w:val="006B45E2"/>
    <w:rsid w:val="006C40D6"/>
    <w:rsid w:val="006C45B3"/>
    <w:rsid w:val="006C4B38"/>
    <w:rsid w:val="006C56E1"/>
    <w:rsid w:val="006D0414"/>
    <w:rsid w:val="006D4DED"/>
    <w:rsid w:val="006D5669"/>
    <w:rsid w:val="006E54A5"/>
    <w:rsid w:val="006F21D9"/>
    <w:rsid w:val="006F7CB5"/>
    <w:rsid w:val="00700599"/>
    <w:rsid w:val="00700A4C"/>
    <w:rsid w:val="00700BCD"/>
    <w:rsid w:val="0070363A"/>
    <w:rsid w:val="00705387"/>
    <w:rsid w:val="00713E79"/>
    <w:rsid w:val="00732BC5"/>
    <w:rsid w:val="00741B70"/>
    <w:rsid w:val="007432D8"/>
    <w:rsid w:val="00746686"/>
    <w:rsid w:val="00747249"/>
    <w:rsid w:val="00747EB1"/>
    <w:rsid w:val="00764099"/>
    <w:rsid w:val="007654AA"/>
    <w:rsid w:val="00766342"/>
    <w:rsid w:val="0076688A"/>
    <w:rsid w:val="0077126C"/>
    <w:rsid w:val="00772786"/>
    <w:rsid w:val="007736C6"/>
    <w:rsid w:val="0077391E"/>
    <w:rsid w:val="0077392C"/>
    <w:rsid w:val="007743D5"/>
    <w:rsid w:val="00790382"/>
    <w:rsid w:val="007928D6"/>
    <w:rsid w:val="00795D2B"/>
    <w:rsid w:val="00795D2F"/>
    <w:rsid w:val="00796252"/>
    <w:rsid w:val="007A0432"/>
    <w:rsid w:val="007A6A17"/>
    <w:rsid w:val="007A6C78"/>
    <w:rsid w:val="007B6A40"/>
    <w:rsid w:val="007B7E6C"/>
    <w:rsid w:val="007C7C33"/>
    <w:rsid w:val="007D5382"/>
    <w:rsid w:val="007D7D1D"/>
    <w:rsid w:val="007E0A41"/>
    <w:rsid w:val="007E0C85"/>
    <w:rsid w:val="007E1304"/>
    <w:rsid w:val="007E6320"/>
    <w:rsid w:val="007E63AE"/>
    <w:rsid w:val="007F3076"/>
    <w:rsid w:val="00800085"/>
    <w:rsid w:val="0080067D"/>
    <w:rsid w:val="00802F7A"/>
    <w:rsid w:val="00805076"/>
    <w:rsid w:val="008149D1"/>
    <w:rsid w:val="00815AA6"/>
    <w:rsid w:val="00822CAC"/>
    <w:rsid w:val="00831187"/>
    <w:rsid w:val="00831B24"/>
    <w:rsid w:val="00840647"/>
    <w:rsid w:val="0084096D"/>
    <w:rsid w:val="0084258E"/>
    <w:rsid w:val="00843276"/>
    <w:rsid w:val="00844559"/>
    <w:rsid w:val="008446B7"/>
    <w:rsid w:val="008527C4"/>
    <w:rsid w:val="0086389B"/>
    <w:rsid w:val="00877963"/>
    <w:rsid w:val="00881A7A"/>
    <w:rsid w:val="00883109"/>
    <w:rsid w:val="008832E0"/>
    <w:rsid w:val="0088581F"/>
    <w:rsid w:val="00895305"/>
    <w:rsid w:val="008B639F"/>
    <w:rsid w:val="008C02CE"/>
    <w:rsid w:val="008C75A9"/>
    <w:rsid w:val="008D0D37"/>
    <w:rsid w:val="008F1672"/>
    <w:rsid w:val="008F58C9"/>
    <w:rsid w:val="008F75C0"/>
    <w:rsid w:val="00901BFF"/>
    <w:rsid w:val="00907F96"/>
    <w:rsid w:val="00924442"/>
    <w:rsid w:val="00932B64"/>
    <w:rsid w:val="009354B0"/>
    <w:rsid w:val="00936FAB"/>
    <w:rsid w:val="00937E30"/>
    <w:rsid w:val="00940F35"/>
    <w:rsid w:val="009525D4"/>
    <w:rsid w:val="009527B6"/>
    <w:rsid w:val="00956FB9"/>
    <w:rsid w:val="0095703B"/>
    <w:rsid w:val="00964BEC"/>
    <w:rsid w:val="00965944"/>
    <w:rsid w:val="009661E5"/>
    <w:rsid w:val="009732C6"/>
    <w:rsid w:val="0097679C"/>
    <w:rsid w:val="00984D4A"/>
    <w:rsid w:val="009875C4"/>
    <w:rsid w:val="00991653"/>
    <w:rsid w:val="00995D44"/>
    <w:rsid w:val="00996F6A"/>
    <w:rsid w:val="0099709D"/>
    <w:rsid w:val="009A4F02"/>
    <w:rsid w:val="009A6660"/>
    <w:rsid w:val="009B1AEB"/>
    <w:rsid w:val="009B3AB0"/>
    <w:rsid w:val="009B78FE"/>
    <w:rsid w:val="009B7AE5"/>
    <w:rsid w:val="009C49B3"/>
    <w:rsid w:val="009D30AF"/>
    <w:rsid w:val="009D5D1D"/>
    <w:rsid w:val="009D7EE3"/>
    <w:rsid w:val="009E384E"/>
    <w:rsid w:val="009E57F5"/>
    <w:rsid w:val="009E7DE1"/>
    <w:rsid w:val="009F5CCB"/>
    <w:rsid w:val="00A01ED5"/>
    <w:rsid w:val="00A03EC6"/>
    <w:rsid w:val="00A067DC"/>
    <w:rsid w:val="00A11E66"/>
    <w:rsid w:val="00A16583"/>
    <w:rsid w:val="00A16A2A"/>
    <w:rsid w:val="00A16E50"/>
    <w:rsid w:val="00A3176A"/>
    <w:rsid w:val="00A429B4"/>
    <w:rsid w:val="00A44B20"/>
    <w:rsid w:val="00A46DF4"/>
    <w:rsid w:val="00A47657"/>
    <w:rsid w:val="00A50D40"/>
    <w:rsid w:val="00A5532A"/>
    <w:rsid w:val="00A6014B"/>
    <w:rsid w:val="00A623AE"/>
    <w:rsid w:val="00A62E47"/>
    <w:rsid w:val="00A648D4"/>
    <w:rsid w:val="00A64B3D"/>
    <w:rsid w:val="00A66631"/>
    <w:rsid w:val="00A6779C"/>
    <w:rsid w:val="00A725DA"/>
    <w:rsid w:val="00A733EB"/>
    <w:rsid w:val="00A76D44"/>
    <w:rsid w:val="00A815B4"/>
    <w:rsid w:val="00A84A57"/>
    <w:rsid w:val="00AA1A7F"/>
    <w:rsid w:val="00AA3615"/>
    <w:rsid w:val="00AB3A69"/>
    <w:rsid w:val="00AC034F"/>
    <w:rsid w:val="00AD5863"/>
    <w:rsid w:val="00AE04CE"/>
    <w:rsid w:val="00AE0E00"/>
    <w:rsid w:val="00AE15D5"/>
    <w:rsid w:val="00AE3322"/>
    <w:rsid w:val="00AE39AE"/>
    <w:rsid w:val="00AE7BEC"/>
    <w:rsid w:val="00AF6778"/>
    <w:rsid w:val="00AF7888"/>
    <w:rsid w:val="00B01A28"/>
    <w:rsid w:val="00B02D00"/>
    <w:rsid w:val="00B102FD"/>
    <w:rsid w:val="00B14676"/>
    <w:rsid w:val="00B1482D"/>
    <w:rsid w:val="00B27F7D"/>
    <w:rsid w:val="00B31490"/>
    <w:rsid w:val="00B33374"/>
    <w:rsid w:val="00B3713B"/>
    <w:rsid w:val="00B37145"/>
    <w:rsid w:val="00B4345D"/>
    <w:rsid w:val="00B44650"/>
    <w:rsid w:val="00B50043"/>
    <w:rsid w:val="00B516F6"/>
    <w:rsid w:val="00B54CA6"/>
    <w:rsid w:val="00B60B64"/>
    <w:rsid w:val="00B61DD3"/>
    <w:rsid w:val="00B64276"/>
    <w:rsid w:val="00B73080"/>
    <w:rsid w:val="00B73572"/>
    <w:rsid w:val="00B82C22"/>
    <w:rsid w:val="00B83991"/>
    <w:rsid w:val="00B86CC0"/>
    <w:rsid w:val="00B95189"/>
    <w:rsid w:val="00B952F9"/>
    <w:rsid w:val="00BA0838"/>
    <w:rsid w:val="00BA4A19"/>
    <w:rsid w:val="00BA67DA"/>
    <w:rsid w:val="00BA7A1A"/>
    <w:rsid w:val="00BB03FB"/>
    <w:rsid w:val="00BB1DC6"/>
    <w:rsid w:val="00BB4372"/>
    <w:rsid w:val="00BB458F"/>
    <w:rsid w:val="00BB65FC"/>
    <w:rsid w:val="00BB706B"/>
    <w:rsid w:val="00BC636A"/>
    <w:rsid w:val="00BC7ACA"/>
    <w:rsid w:val="00BC7F4D"/>
    <w:rsid w:val="00BD2D28"/>
    <w:rsid w:val="00BD4AEA"/>
    <w:rsid w:val="00BD6994"/>
    <w:rsid w:val="00BE35B8"/>
    <w:rsid w:val="00BE6F04"/>
    <w:rsid w:val="00BF015A"/>
    <w:rsid w:val="00BF107C"/>
    <w:rsid w:val="00BF73F8"/>
    <w:rsid w:val="00C06E18"/>
    <w:rsid w:val="00C07250"/>
    <w:rsid w:val="00C07695"/>
    <w:rsid w:val="00C1168E"/>
    <w:rsid w:val="00C11D5B"/>
    <w:rsid w:val="00C13536"/>
    <w:rsid w:val="00C141FA"/>
    <w:rsid w:val="00C15599"/>
    <w:rsid w:val="00C160AA"/>
    <w:rsid w:val="00C1726D"/>
    <w:rsid w:val="00C17394"/>
    <w:rsid w:val="00C30F6A"/>
    <w:rsid w:val="00C325CC"/>
    <w:rsid w:val="00C33888"/>
    <w:rsid w:val="00C34150"/>
    <w:rsid w:val="00C348F0"/>
    <w:rsid w:val="00C35862"/>
    <w:rsid w:val="00C3677D"/>
    <w:rsid w:val="00C467DF"/>
    <w:rsid w:val="00C53788"/>
    <w:rsid w:val="00C6337A"/>
    <w:rsid w:val="00C63EE3"/>
    <w:rsid w:val="00C70974"/>
    <w:rsid w:val="00C752B0"/>
    <w:rsid w:val="00C75E4F"/>
    <w:rsid w:val="00C81CAC"/>
    <w:rsid w:val="00C91BA3"/>
    <w:rsid w:val="00C92EA7"/>
    <w:rsid w:val="00C95010"/>
    <w:rsid w:val="00C97716"/>
    <w:rsid w:val="00C97BA6"/>
    <w:rsid w:val="00CB2043"/>
    <w:rsid w:val="00CB39F7"/>
    <w:rsid w:val="00CB41FF"/>
    <w:rsid w:val="00CB6895"/>
    <w:rsid w:val="00CC2528"/>
    <w:rsid w:val="00CC3F9F"/>
    <w:rsid w:val="00CD0D12"/>
    <w:rsid w:val="00CD4304"/>
    <w:rsid w:val="00CD6316"/>
    <w:rsid w:val="00CE30CA"/>
    <w:rsid w:val="00CE3E52"/>
    <w:rsid w:val="00CE5FA0"/>
    <w:rsid w:val="00CE7304"/>
    <w:rsid w:val="00CF03AD"/>
    <w:rsid w:val="00CF1C0E"/>
    <w:rsid w:val="00CF1E4C"/>
    <w:rsid w:val="00CF3115"/>
    <w:rsid w:val="00CF60B6"/>
    <w:rsid w:val="00D06EA9"/>
    <w:rsid w:val="00D11AEA"/>
    <w:rsid w:val="00D13E3A"/>
    <w:rsid w:val="00D14C6C"/>
    <w:rsid w:val="00D15358"/>
    <w:rsid w:val="00D161BD"/>
    <w:rsid w:val="00D17428"/>
    <w:rsid w:val="00D17A95"/>
    <w:rsid w:val="00D2288C"/>
    <w:rsid w:val="00D32BFC"/>
    <w:rsid w:val="00D37E5C"/>
    <w:rsid w:val="00D47B0A"/>
    <w:rsid w:val="00D533D7"/>
    <w:rsid w:val="00D5787E"/>
    <w:rsid w:val="00D67356"/>
    <w:rsid w:val="00D72ED6"/>
    <w:rsid w:val="00D74B0A"/>
    <w:rsid w:val="00D77512"/>
    <w:rsid w:val="00D80DB0"/>
    <w:rsid w:val="00D87208"/>
    <w:rsid w:val="00D900D5"/>
    <w:rsid w:val="00D90806"/>
    <w:rsid w:val="00D949D7"/>
    <w:rsid w:val="00D958EE"/>
    <w:rsid w:val="00DA0316"/>
    <w:rsid w:val="00DA0567"/>
    <w:rsid w:val="00DA1076"/>
    <w:rsid w:val="00DA15E6"/>
    <w:rsid w:val="00DA226E"/>
    <w:rsid w:val="00DA2DAD"/>
    <w:rsid w:val="00DA79FC"/>
    <w:rsid w:val="00DB2A53"/>
    <w:rsid w:val="00DB2F47"/>
    <w:rsid w:val="00DB321C"/>
    <w:rsid w:val="00DB4269"/>
    <w:rsid w:val="00DC1E51"/>
    <w:rsid w:val="00DC6429"/>
    <w:rsid w:val="00DC74DB"/>
    <w:rsid w:val="00DE00CB"/>
    <w:rsid w:val="00DF0F4F"/>
    <w:rsid w:val="00DF1F2B"/>
    <w:rsid w:val="00DF3BEE"/>
    <w:rsid w:val="00DF52FF"/>
    <w:rsid w:val="00DF72D5"/>
    <w:rsid w:val="00E000CE"/>
    <w:rsid w:val="00E00B81"/>
    <w:rsid w:val="00E04225"/>
    <w:rsid w:val="00E05BF9"/>
    <w:rsid w:val="00E05C79"/>
    <w:rsid w:val="00E11C91"/>
    <w:rsid w:val="00E20813"/>
    <w:rsid w:val="00E2097D"/>
    <w:rsid w:val="00E30752"/>
    <w:rsid w:val="00E35DCA"/>
    <w:rsid w:val="00E37D24"/>
    <w:rsid w:val="00E404C0"/>
    <w:rsid w:val="00E44C13"/>
    <w:rsid w:val="00E47BD8"/>
    <w:rsid w:val="00E53210"/>
    <w:rsid w:val="00E56323"/>
    <w:rsid w:val="00E65DA1"/>
    <w:rsid w:val="00E70AC6"/>
    <w:rsid w:val="00E76A17"/>
    <w:rsid w:val="00E85FC8"/>
    <w:rsid w:val="00E927B5"/>
    <w:rsid w:val="00E93652"/>
    <w:rsid w:val="00E95FE7"/>
    <w:rsid w:val="00EB1CA6"/>
    <w:rsid w:val="00EC1C98"/>
    <w:rsid w:val="00EC5448"/>
    <w:rsid w:val="00EC6418"/>
    <w:rsid w:val="00ED2480"/>
    <w:rsid w:val="00ED39FB"/>
    <w:rsid w:val="00ED5582"/>
    <w:rsid w:val="00EE2E62"/>
    <w:rsid w:val="00EE3C77"/>
    <w:rsid w:val="00EE7EBA"/>
    <w:rsid w:val="00EF200B"/>
    <w:rsid w:val="00EF264F"/>
    <w:rsid w:val="00EF6819"/>
    <w:rsid w:val="00EF730D"/>
    <w:rsid w:val="00F0184A"/>
    <w:rsid w:val="00F059CF"/>
    <w:rsid w:val="00F13F41"/>
    <w:rsid w:val="00F2284A"/>
    <w:rsid w:val="00F3259E"/>
    <w:rsid w:val="00F35CB2"/>
    <w:rsid w:val="00F435BD"/>
    <w:rsid w:val="00F43DE5"/>
    <w:rsid w:val="00F52E9D"/>
    <w:rsid w:val="00F54AA5"/>
    <w:rsid w:val="00F55258"/>
    <w:rsid w:val="00F73B74"/>
    <w:rsid w:val="00F81369"/>
    <w:rsid w:val="00F820F3"/>
    <w:rsid w:val="00F83689"/>
    <w:rsid w:val="00F877A1"/>
    <w:rsid w:val="00F916DB"/>
    <w:rsid w:val="00F94ECC"/>
    <w:rsid w:val="00F97F69"/>
    <w:rsid w:val="00FA4406"/>
    <w:rsid w:val="00FA5F63"/>
    <w:rsid w:val="00FB65E2"/>
    <w:rsid w:val="00FC0011"/>
    <w:rsid w:val="00FD297F"/>
    <w:rsid w:val="00FD4B66"/>
    <w:rsid w:val="00FE18E8"/>
    <w:rsid w:val="00FE41D0"/>
    <w:rsid w:val="00FE65DA"/>
    <w:rsid w:val="00FF18D0"/>
    <w:rsid w:val="00FF507E"/>
    <w:rsid w:val="00FF760B"/>
    <w:rsid w:val="00FF77A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643B2"/>
  <w15:chartTrackingRefBased/>
  <w15:docId w15:val="{FAB71065-4279-4F35-996D-F3CC435BA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666D7"/>
    <w:pPr>
      <w:keepNext/>
      <w:keepLines/>
      <w:spacing w:before="240" w:after="0"/>
      <w:outlineLvl w:val="0"/>
    </w:pPr>
    <w:rPr>
      <w:rFonts w:eastAsiaTheme="majorEastAsia" w:cstheme="majorBidi"/>
      <w:b/>
      <w:color w:val="2F5496" w:themeColor="accent1" w:themeShade="BF"/>
      <w:sz w:val="28"/>
      <w:szCs w:val="32"/>
      <w:lang w:val="es-MX"/>
    </w:rPr>
  </w:style>
  <w:style w:type="paragraph" w:styleId="Heading2">
    <w:name w:val="heading 2"/>
    <w:basedOn w:val="Normal"/>
    <w:next w:val="Normal"/>
    <w:link w:val="Heading2Char"/>
    <w:autoRedefine/>
    <w:uiPriority w:val="9"/>
    <w:unhideWhenUsed/>
    <w:qFormat/>
    <w:rsid w:val="00B86CC0"/>
    <w:pPr>
      <w:keepNext/>
      <w:keepLines/>
      <w:spacing w:before="40" w:after="0"/>
      <w:outlineLvl w:val="1"/>
    </w:pPr>
    <w:rPr>
      <w:i/>
      <w:iCs/>
      <w:color w:val="0020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Überschrift 4-neu,Titulo parrafo,Bulleted,Iz - Párrafo de lista,Sivsa Parrafo,Titulo de Fígura,Fundamentacion,paul2,Lista 123,Footnote,List Paragraph1,Bulleted List,Cita Pie de Página,titulo,Viñeta normal,TITULO A,N°,Ha"/>
    <w:basedOn w:val="Normal"/>
    <w:link w:val="ListParagraphChar"/>
    <w:uiPriority w:val="34"/>
    <w:qFormat/>
    <w:rsid w:val="007E63AE"/>
    <w:pPr>
      <w:ind w:left="720"/>
      <w:contextualSpacing/>
    </w:pPr>
  </w:style>
  <w:style w:type="paragraph" w:styleId="FootnoteText">
    <w:name w:val="footnote text"/>
    <w:basedOn w:val="Normal"/>
    <w:link w:val="FootnoteTextChar"/>
    <w:uiPriority w:val="99"/>
    <w:unhideWhenUsed/>
    <w:rsid w:val="00D15358"/>
    <w:pPr>
      <w:spacing w:after="0" w:line="240" w:lineRule="auto"/>
    </w:pPr>
    <w:rPr>
      <w:sz w:val="20"/>
      <w:szCs w:val="20"/>
    </w:rPr>
  </w:style>
  <w:style w:type="character" w:customStyle="1" w:styleId="FootnoteTextChar">
    <w:name w:val="Footnote Text Char"/>
    <w:basedOn w:val="DefaultParagraphFont"/>
    <w:link w:val="FootnoteText"/>
    <w:uiPriority w:val="99"/>
    <w:rsid w:val="00D15358"/>
    <w:rPr>
      <w:sz w:val="20"/>
      <w:szCs w:val="20"/>
    </w:rPr>
  </w:style>
  <w:style w:type="character" w:styleId="FootnoteReference">
    <w:name w:val="footnote reference"/>
    <w:aliases w:val="Subtitulo"/>
    <w:basedOn w:val="DefaultParagraphFont"/>
    <w:uiPriority w:val="99"/>
    <w:unhideWhenUsed/>
    <w:qFormat/>
    <w:rsid w:val="00D15358"/>
    <w:rPr>
      <w:vertAlign w:val="superscript"/>
    </w:rPr>
  </w:style>
  <w:style w:type="character" w:styleId="Hyperlink">
    <w:name w:val="Hyperlink"/>
    <w:basedOn w:val="DefaultParagraphFont"/>
    <w:uiPriority w:val="99"/>
    <w:unhideWhenUsed/>
    <w:rsid w:val="00D15358"/>
    <w:rPr>
      <w:color w:val="0000FF"/>
      <w:u w:val="single"/>
    </w:rPr>
  </w:style>
  <w:style w:type="paragraph" w:customStyle="1" w:styleId="flow-text">
    <w:name w:val="flow-text"/>
    <w:basedOn w:val="Normal"/>
    <w:rsid w:val="00D15358"/>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customStyle="1" w:styleId="Heading1Char">
    <w:name w:val="Heading 1 Char"/>
    <w:basedOn w:val="DefaultParagraphFont"/>
    <w:link w:val="Heading1"/>
    <w:uiPriority w:val="9"/>
    <w:rsid w:val="002666D7"/>
    <w:rPr>
      <w:rFonts w:eastAsiaTheme="majorEastAsia" w:cstheme="majorBidi"/>
      <w:b/>
      <w:color w:val="2F5496" w:themeColor="accent1" w:themeShade="BF"/>
      <w:sz w:val="28"/>
      <w:szCs w:val="32"/>
      <w:lang w:val="es-MX"/>
    </w:rPr>
  </w:style>
  <w:style w:type="paragraph" w:styleId="Header">
    <w:name w:val="header"/>
    <w:basedOn w:val="Normal"/>
    <w:link w:val="HeaderChar"/>
    <w:uiPriority w:val="99"/>
    <w:unhideWhenUsed/>
    <w:rsid w:val="00D15358"/>
    <w:pPr>
      <w:tabs>
        <w:tab w:val="center" w:pos="4252"/>
        <w:tab w:val="right" w:pos="8504"/>
      </w:tabs>
      <w:spacing w:after="0" w:line="240" w:lineRule="auto"/>
    </w:pPr>
  </w:style>
  <w:style w:type="character" w:customStyle="1" w:styleId="HeaderChar">
    <w:name w:val="Header Char"/>
    <w:basedOn w:val="DefaultParagraphFont"/>
    <w:link w:val="Header"/>
    <w:uiPriority w:val="99"/>
    <w:rsid w:val="00D15358"/>
  </w:style>
  <w:style w:type="paragraph" w:styleId="Footer">
    <w:name w:val="footer"/>
    <w:basedOn w:val="Normal"/>
    <w:link w:val="FooterChar"/>
    <w:uiPriority w:val="99"/>
    <w:unhideWhenUsed/>
    <w:rsid w:val="00D15358"/>
    <w:pPr>
      <w:tabs>
        <w:tab w:val="center" w:pos="4252"/>
        <w:tab w:val="right" w:pos="8504"/>
      </w:tabs>
      <w:spacing w:after="0" w:line="240" w:lineRule="auto"/>
    </w:pPr>
  </w:style>
  <w:style w:type="character" w:customStyle="1" w:styleId="FooterChar">
    <w:name w:val="Footer Char"/>
    <w:basedOn w:val="DefaultParagraphFont"/>
    <w:link w:val="Footer"/>
    <w:uiPriority w:val="99"/>
    <w:rsid w:val="00D15358"/>
  </w:style>
  <w:style w:type="character" w:customStyle="1" w:styleId="UnresolvedMention1">
    <w:name w:val="Unresolved Mention1"/>
    <w:basedOn w:val="DefaultParagraphFont"/>
    <w:uiPriority w:val="99"/>
    <w:semiHidden/>
    <w:unhideWhenUsed/>
    <w:rsid w:val="00901BFF"/>
    <w:rPr>
      <w:color w:val="605E5C"/>
      <w:shd w:val="clear" w:color="auto" w:fill="E1DFDD"/>
    </w:rPr>
  </w:style>
  <w:style w:type="character" w:customStyle="1" w:styleId="ListParagraphChar">
    <w:name w:val="List Paragraph Char"/>
    <w:aliases w:val="Überschrift 4-neu Char,Titulo parrafo Char,Bulleted Char,Iz - Párrafo de lista Char,Sivsa Parrafo Char,Titulo de Fígura Char,Fundamentacion Char,paul2 Char,Lista 123 Char,Footnote Char,List Paragraph1 Char,Bulleted List Char,N° Char"/>
    <w:link w:val="ListParagraph"/>
    <w:uiPriority w:val="34"/>
    <w:rsid w:val="00B50043"/>
  </w:style>
  <w:style w:type="paragraph" w:styleId="TOCHeading">
    <w:name w:val="TOC Heading"/>
    <w:basedOn w:val="Heading1"/>
    <w:next w:val="Normal"/>
    <w:uiPriority w:val="39"/>
    <w:unhideWhenUsed/>
    <w:qFormat/>
    <w:rsid w:val="00516CA0"/>
    <w:pPr>
      <w:outlineLvl w:val="9"/>
    </w:pPr>
    <w:rPr>
      <w:rFonts w:asciiTheme="majorHAnsi" w:hAnsiTheme="majorHAnsi"/>
      <w:b w:val="0"/>
      <w:sz w:val="32"/>
      <w:lang w:eastAsia="es-PE"/>
    </w:rPr>
  </w:style>
  <w:style w:type="paragraph" w:styleId="TOC1">
    <w:name w:val="toc 1"/>
    <w:basedOn w:val="Normal"/>
    <w:next w:val="Normal"/>
    <w:autoRedefine/>
    <w:uiPriority w:val="39"/>
    <w:unhideWhenUsed/>
    <w:rsid w:val="00516CA0"/>
    <w:pPr>
      <w:spacing w:after="100"/>
    </w:pPr>
  </w:style>
  <w:style w:type="character" w:customStyle="1" w:styleId="Heading2Char">
    <w:name w:val="Heading 2 Char"/>
    <w:basedOn w:val="DefaultParagraphFont"/>
    <w:link w:val="Heading2"/>
    <w:uiPriority w:val="9"/>
    <w:rsid w:val="00B86CC0"/>
    <w:rPr>
      <w:i/>
      <w:iCs/>
      <w:color w:val="002060"/>
    </w:rPr>
  </w:style>
  <w:style w:type="paragraph" w:styleId="TOC2">
    <w:name w:val="toc 2"/>
    <w:basedOn w:val="Normal"/>
    <w:next w:val="Normal"/>
    <w:autoRedefine/>
    <w:uiPriority w:val="39"/>
    <w:unhideWhenUsed/>
    <w:rsid w:val="00060085"/>
    <w:pPr>
      <w:spacing w:after="100"/>
      <w:ind w:left="220"/>
    </w:pPr>
  </w:style>
  <w:style w:type="character" w:styleId="CommentReference">
    <w:name w:val="annotation reference"/>
    <w:basedOn w:val="DefaultParagraphFont"/>
    <w:uiPriority w:val="99"/>
    <w:semiHidden/>
    <w:unhideWhenUsed/>
    <w:rsid w:val="00732BC5"/>
    <w:rPr>
      <w:sz w:val="16"/>
      <w:szCs w:val="16"/>
    </w:rPr>
  </w:style>
  <w:style w:type="paragraph" w:styleId="CommentText">
    <w:name w:val="annotation text"/>
    <w:basedOn w:val="Normal"/>
    <w:link w:val="CommentTextChar"/>
    <w:uiPriority w:val="99"/>
    <w:semiHidden/>
    <w:unhideWhenUsed/>
    <w:rsid w:val="00732BC5"/>
    <w:pPr>
      <w:spacing w:line="240" w:lineRule="auto"/>
    </w:pPr>
    <w:rPr>
      <w:sz w:val="20"/>
      <w:szCs w:val="20"/>
    </w:rPr>
  </w:style>
  <w:style w:type="character" w:customStyle="1" w:styleId="CommentTextChar">
    <w:name w:val="Comment Text Char"/>
    <w:basedOn w:val="DefaultParagraphFont"/>
    <w:link w:val="CommentText"/>
    <w:uiPriority w:val="99"/>
    <w:semiHidden/>
    <w:rsid w:val="00732BC5"/>
    <w:rPr>
      <w:sz w:val="20"/>
      <w:szCs w:val="20"/>
    </w:rPr>
  </w:style>
  <w:style w:type="paragraph" w:styleId="CommentSubject">
    <w:name w:val="annotation subject"/>
    <w:basedOn w:val="CommentText"/>
    <w:next w:val="CommentText"/>
    <w:link w:val="CommentSubjectChar"/>
    <w:uiPriority w:val="99"/>
    <w:semiHidden/>
    <w:unhideWhenUsed/>
    <w:rsid w:val="00732BC5"/>
    <w:rPr>
      <w:b/>
      <w:bCs/>
    </w:rPr>
  </w:style>
  <w:style w:type="character" w:customStyle="1" w:styleId="CommentSubjectChar">
    <w:name w:val="Comment Subject Char"/>
    <w:basedOn w:val="CommentTextChar"/>
    <w:link w:val="CommentSubject"/>
    <w:uiPriority w:val="99"/>
    <w:semiHidden/>
    <w:rsid w:val="00732BC5"/>
    <w:rPr>
      <w:b/>
      <w:bCs/>
      <w:sz w:val="20"/>
      <w:szCs w:val="20"/>
    </w:rPr>
  </w:style>
  <w:style w:type="character" w:styleId="FollowedHyperlink">
    <w:name w:val="FollowedHyperlink"/>
    <w:basedOn w:val="DefaultParagraphFont"/>
    <w:uiPriority w:val="99"/>
    <w:semiHidden/>
    <w:unhideWhenUsed/>
    <w:rsid w:val="005F219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5051311">
      <w:bodyDiv w:val="1"/>
      <w:marLeft w:val="0"/>
      <w:marRight w:val="0"/>
      <w:marTop w:val="0"/>
      <w:marBottom w:val="0"/>
      <w:divBdr>
        <w:top w:val="none" w:sz="0" w:space="0" w:color="auto"/>
        <w:left w:val="none" w:sz="0" w:space="0" w:color="auto"/>
        <w:bottom w:val="none" w:sz="0" w:space="0" w:color="auto"/>
        <w:right w:val="none" w:sz="0" w:space="0" w:color="auto"/>
      </w:divBdr>
    </w:div>
    <w:div w:id="1025794493">
      <w:bodyDiv w:val="1"/>
      <w:marLeft w:val="0"/>
      <w:marRight w:val="0"/>
      <w:marTop w:val="0"/>
      <w:marBottom w:val="0"/>
      <w:divBdr>
        <w:top w:val="none" w:sz="0" w:space="0" w:color="auto"/>
        <w:left w:val="none" w:sz="0" w:space="0" w:color="auto"/>
        <w:bottom w:val="none" w:sz="0" w:space="0" w:color="auto"/>
        <w:right w:val="none" w:sz="0" w:space="0" w:color="auto"/>
      </w:divBdr>
      <w:divsChild>
        <w:div w:id="1557543504">
          <w:marLeft w:val="547"/>
          <w:marRight w:val="0"/>
          <w:marTop w:val="115"/>
          <w:marBottom w:val="0"/>
          <w:divBdr>
            <w:top w:val="none" w:sz="0" w:space="0" w:color="auto"/>
            <w:left w:val="none" w:sz="0" w:space="0" w:color="auto"/>
            <w:bottom w:val="none" w:sz="0" w:space="0" w:color="auto"/>
            <w:right w:val="none" w:sz="0" w:space="0" w:color="auto"/>
          </w:divBdr>
        </w:div>
        <w:div w:id="396249188">
          <w:marLeft w:val="547"/>
          <w:marRight w:val="0"/>
          <w:marTop w:val="115"/>
          <w:marBottom w:val="0"/>
          <w:divBdr>
            <w:top w:val="none" w:sz="0" w:space="0" w:color="auto"/>
            <w:left w:val="none" w:sz="0" w:space="0" w:color="auto"/>
            <w:bottom w:val="none" w:sz="0" w:space="0" w:color="auto"/>
            <w:right w:val="none" w:sz="0" w:space="0" w:color="auto"/>
          </w:divBdr>
        </w:div>
      </w:divsChild>
    </w:div>
    <w:div w:id="1519730709">
      <w:bodyDiv w:val="1"/>
      <w:marLeft w:val="0"/>
      <w:marRight w:val="0"/>
      <w:marTop w:val="0"/>
      <w:marBottom w:val="0"/>
      <w:divBdr>
        <w:top w:val="none" w:sz="0" w:space="0" w:color="auto"/>
        <w:left w:val="none" w:sz="0" w:space="0" w:color="auto"/>
        <w:bottom w:val="none" w:sz="0" w:space="0" w:color="auto"/>
        <w:right w:val="none" w:sz="0" w:space="0" w:color="auto"/>
      </w:divBdr>
    </w:div>
    <w:div w:id="2091002657">
      <w:bodyDiv w:val="1"/>
      <w:marLeft w:val="0"/>
      <w:marRight w:val="0"/>
      <w:marTop w:val="0"/>
      <w:marBottom w:val="0"/>
      <w:divBdr>
        <w:top w:val="none" w:sz="0" w:space="0" w:color="auto"/>
        <w:left w:val="none" w:sz="0" w:space="0" w:color="auto"/>
        <w:bottom w:val="none" w:sz="0" w:space="0" w:color="auto"/>
        <w:right w:val="none" w:sz="0" w:space="0" w:color="auto"/>
      </w:divBdr>
      <w:divsChild>
        <w:div w:id="1873493495">
          <w:marLeft w:val="547"/>
          <w:marRight w:val="0"/>
          <w:marTop w:val="115"/>
          <w:marBottom w:val="0"/>
          <w:divBdr>
            <w:top w:val="none" w:sz="0" w:space="0" w:color="auto"/>
            <w:left w:val="none" w:sz="0" w:space="0" w:color="auto"/>
            <w:bottom w:val="none" w:sz="0" w:space="0" w:color="auto"/>
            <w:right w:val="none" w:sz="0" w:space="0" w:color="auto"/>
          </w:divBdr>
        </w:div>
        <w:div w:id="1795438162">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defensoria.gob.pe/defensoria-del-pueblo-fortalecer-los-derechos-de-las-mujeres-implica-no-retroceder-en-agenda-por-la-igualdad-de-genero/" TargetMode="External"/><Relationship Id="rId1" Type="http://schemas.openxmlformats.org/officeDocument/2006/relationships/hyperlink" Target="https://migration.iom.int/system/tdf/reports/DTM_R6_VF.pdf?file=1&amp;type=node&amp;id=667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5BFE4B-46FC-497E-994A-3EE1F933F7C2}">
  <ds:schemaRefs>
    <ds:schemaRef ds:uri="http://schemas.openxmlformats.org/officeDocument/2006/bibliography"/>
  </ds:schemaRefs>
</ds:datastoreItem>
</file>

<file path=customXml/itemProps2.xml><?xml version="1.0" encoding="utf-8"?>
<ds:datastoreItem xmlns:ds="http://schemas.openxmlformats.org/officeDocument/2006/customXml" ds:itemID="{2DBEEEED-967E-4305-815F-6D129F29D7A1}"/>
</file>

<file path=customXml/itemProps3.xml><?xml version="1.0" encoding="utf-8"?>
<ds:datastoreItem xmlns:ds="http://schemas.openxmlformats.org/officeDocument/2006/customXml" ds:itemID="{34571EEA-A700-41CB-BCD2-F7B0A6AB6110}"/>
</file>

<file path=customXml/itemProps4.xml><?xml version="1.0" encoding="utf-8"?>
<ds:datastoreItem xmlns:ds="http://schemas.openxmlformats.org/officeDocument/2006/customXml" ds:itemID="{2E6338A1-61D5-465A-878B-B2BBCAACB9B2}"/>
</file>

<file path=docProps/app.xml><?xml version="1.0" encoding="utf-8"?>
<Properties xmlns="http://schemas.openxmlformats.org/officeDocument/2006/extended-properties" xmlns:vt="http://schemas.openxmlformats.org/officeDocument/2006/docPropsVTypes">
  <Template>Normal</Template>
  <TotalTime>3</TotalTime>
  <Pages>7</Pages>
  <Words>2665</Words>
  <Characters>15195</Characters>
  <Application>Microsoft Office Word</Application>
  <DocSecurity>0</DocSecurity>
  <Lines>126</Lines>
  <Paragraphs>35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Villar</dc:creator>
  <cp:keywords/>
  <dc:description/>
  <cp:lastModifiedBy>Liz Meléndez</cp:lastModifiedBy>
  <cp:revision>4</cp:revision>
  <dcterms:created xsi:type="dcterms:W3CDTF">2022-01-18T00:52:00Z</dcterms:created>
  <dcterms:modified xsi:type="dcterms:W3CDTF">2022-01-18T00:54:00Z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