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6CA22" w14:textId="77777777" w:rsidR="003B4185" w:rsidRPr="00306A83" w:rsidRDefault="003B4185">
      <w:pPr>
        <w:rPr>
          <w:rFonts w:asciiTheme="majorBidi" w:eastAsia="Times New Roman" w:hAnsiTheme="majorBidi" w:cstheme="majorBidi"/>
        </w:rPr>
      </w:pPr>
    </w:p>
    <w:tbl>
      <w:tblPr>
        <w:tblStyle w:val="TableGrid"/>
        <w:tblW w:w="0" w:type="auto"/>
        <w:tblLook w:val="04A0" w:firstRow="1" w:lastRow="0" w:firstColumn="1" w:lastColumn="0" w:noHBand="0" w:noVBand="1"/>
      </w:tblPr>
      <w:tblGrid>
        <w:gridCol w:w="9056"/>
      </w:tblGrid>
      <w:tr w:rsidR="00C13B21" w14:paraId="58D95E62" w14:textId="77777777" w:rsidTr="00C13B21">
        <w:tc>
          <w:tcPr>
            <w:tcW w:w="9056" w:type="dxa"/>
          </w:tcPr>
          <w:p w14:paraId="03AAC0C7" w14:textId="77777777" w:rsidR="00C13B21" w:rsidRDefault="00C13B21" w:rsidP="00C13B21">
            <w:pPr>
              <w:spacing w:before="240"/>
              <w:jc w:val="center"/>
              <w:rPr>
                <w:rFonts w:asciiTheme="majorBidi" w:eastAsia="Times New Roman" w:hAnsiTheme="majorBidi" w:cstheme="majorBidi"/>
                <w:b/>
              </w:rPr>
            </w:pPr>
            <w:r w:rsidRPr="00306A83">
              <w:rPr>
                <w:rFonts w:asciiTheme="majorBidi" w:eastAsia="Times New Roman" w:hAnsiTheme="majorBidi" w:cstheme="majorBidi"/>
                <w:b/>
              </w:rPr>
              <w:t>C</w:t>
            </w:r>
            <w:r>
              <w:rPr>
                <w:rFonts w:asciiTheme="majorBidi" w:eastAsia="Times New Roman" w:hAnsiTheme="majorBidi" w:cstheme="majorBidi"/>
                <w:b/>
              </w:rPr>
              <w:t>Ô</w:t>
            </w:r>
            <w:r w:rsidRPr="00306A83">
              <w:rPr>
                <w:rFonts w:asciiTheme="majorBidi" w:eastAsia="Times New Roman" w:hAnsiTheme="majorBidi" w:cstheme="majorBidi"/>
                <w:b/>
              </w:rPr>
              <w:t xml:space="preserve">TE D’IVOIRE : </w:t>
            </w:r>
          </w:p>
          <w:p w14:paraId="57C13683" w14:textId="77777777" w:rsidR="00C13B21" w:rsidRDefault="00586DB8" w:rsidP="00586DB8">
            <w:pPr>
              <w:spacing w:before="240"/>
              <w:jc w:val="center"/>
              <w:rPr>
                <w:rFonts w:asciiTheme="majorBidi" w:eastAsia="Times New Roman" w:hAnsiTheme="majorBidi" w:cstheme="majorBidi"/>
                <w:b/>
              </w:rPr>
            </w:pPr>
            <w:r>
              <w:rPr>
                <w:rFonts w:asciiTheme="majorBidi" w:eastAsia="Times New Roman" w:hAnsiTheme="majorBidi" w:cstheme="majorBidi"/>
                <w:b/>
              </w:rPr>
              <w:t>Du déni de la torture à un début de redevabilité ?</w:t>
            </w:r>
          </w:p>
          <w:p w14:paraId="60D524ED" w14:textId="77777777" w:rsidR="00586DB8" w:rsidRDefault="00586DB8" w:rsidP="00586DB8">
            <w:pPr>
              <w:spacing w:before="240"/>
              <w:jc w:val="center"/>
              <w:rPr>
                <w:rFonts w:asciiTheme="majorBidi" w:eastAsia="Times New Roman" w:hAnsiTheme="majorBidi" w:cstheme="majorBidi"/>
                <w:b/>
              </w:rPr>
            </w:pPr>
            <w:r>
              <w:rPr>
                <w:rFonts w:asciiTheme="majorBidi" w:eastAsia="Times New Roman" w:hAnsiTheme="majorBidi" w:cstheme="majorBidi"/>
                <w:b/>
              </w:rPr>
              <w:t>Appel à une prise en charge adéquate des victimes de torture</w:t>
            </w:r>
          </w:p>
          <w:p w14:paraId="7A8B9B7F" w14:textId="240BDC7F" w:rsidR="00586DB8" w:rsidRDefault="00586DB8" w:rsidP="00586DB8">
            <w:pPr>
              <w:spacing w:before="240"/>
              <w:jc w:val="center"/>
              <w:rPr>
                <w:rFonts w:asciiTheme="majorBidi" w:eastAsia="Times New Roman" w:hAnsiTheme="majorBidi" w:cstheme="majorBidi"/>
                <w:b/>
              </w:rPr>
            </w:pPr>
          </w:p>
        </w:tc>
      </w:tr>
    </w:tbl>
    <w:p w14:paraId="4429E000" w14:textId="77777777" w:rsidR="003B4185" w:rsidRPr="00306A83" w:rsidRDefault="003B4185">
      <w:pPr>
        <w:spacing w:before="240"/>
        <w:jc w:val="center"/>
        <w:rPr>
          <w:rFonts w:asciiTheme="majorBidi" w:eastAsia="Times New Roman" w:hAnsiTheme="majorBidi" w:cstheme="majorBidi"/>
          <w:b/>
          <w:color w:val="0070C0"/>
        </w:rPr>
      </w:pPr>
    </w:p>
    <w:p w14:paraId="15833A5E" w14:textId="77777777" w:rsidR="003B4185" w:rsidRPr="00306A83" w:rsidRDefault="003B4185">
      <w:pPr>
        <w:spacing w:before="240"/>
        <w:jc w:val="center"/>
        <w:rPr>
          <w:rFonts w:asciiTheme="majorBidi" w:eastAsia="Times New Roman" w:hAnsiTheme="majorBidi" w:cstheme="majorBidi"/>
          <w:b/>
          <w:color w:val="0070C0"/>
        </w:rPr>
      </w:pPr>
    </w:p>
    <w:p w14:paraId="6662DDDF" w14:textId="77777777" w:rsidR="003B4185" w:rsidRPr="00306A83" w:rsidRDefault="006803DD">
      <w:pPr>
        <w:spacing w:before="240" w:after="240"/>
        <w:jc w:val="center"/>
        <w:rPr>
          <w:rFonts w:asciiTheme="majorBidi" w:eastAsia="Times New Roman" w:hAnsiTheme="majorBidi" w:cstheme="majorBidi"/>
          <w:b/>
        </w:rPr>
      </w:pPr>
      <w:r w:rsidRPr="00306A83">
        <w:rPr>
          <w:rFonts w:asciiTheme="majorBidi" w:eastAsia="Times New Roman" w:hAnsiTheme="majorBidi" w:cstheme="majorBidi"/>
          <w:b/>
        </w:rPr>
        <w:t xml:space="preserve">Rapport alternatif de la société civile soumis en application de l’article 19 de la Convention contre la torture et </w:t>
      </w:r>
      <w:r w:rsidRPr="00306A83">
        <w:rPr>
          <w:rFonts w:asciiTheme="majorBidi" w:eastAsia="Times New Roman" w:hAnsiTheme="majorBidi" w:cstheme="majorBidi"/>
          <w:b/>
        </w:rPr>
        <w:t>autres peines ou traitements cruels, inhumains ou dégradants</w:t>
      </w:r>
    </w:p>
    <w:p w14:paraId="79E696EA" w14:textId="77777777" w:rsidR="003B4185" w:rsidRPr="00306A83" w:rsidRDefault="006803DD">
      <w:pPr>
        <w:spacing w:before="240" w:after="240"/>
        <w:jc w:val="center"/>
        <w:rPr>
          <w:rFonts w:asciiTheme="majorBidi" w:eastAsia="Times New Roman" w:hAnsiTheme="majorBidi" w:cstheme="majorBidi"/>
          <w:b/>
        </w:rPr>
      </w:pPr>
      <w:r w:rsidRPr="00306A83">
        <w:rPr>
          <w:rFonts w:asciiTheme="majorBidi" w:eastAsia="Times New Roman" w:hAnsiTheme="majorBidi" w:cstheme="majorBidi"/>
          <w:b/>
        </w:rPr>
        <w:t xml:space="preserve"> </w:t>
      </w:r>
      <w:proofErr w:type="gramStart"/>
      <w:r w:rsidRPr="00306A83">
        <w:rPr>
          <w:rFonts w:asciiTheme="majorBidi" w:eastAsia="Times New Roman" w:hAnsiTheme="majorBidi" w:cstheme="majorBidi"/>
          <w:b/>
        </w:rPr>
        <w:t>en</w:t>
      </w:r>
      <w:proofErr w:type="gramEnd"/>
      <w:r w:rsidRPr="00306A83">
        <w:rPr>
          <w:rFonts w:asciiTheme="majorBidi" w:eastAsia="Times New Roman" w:hAnsiTheme="majorBidi" w:cstheme="majorBidi"/>
          <w:b/>
        </w:rPr>
        <w:t xml:space="preserve"> réponse au rapport de l’État de Côte d’Ivoire soumis au CAT le 19 février 2024 </w:t>
      </w:r>
    </w:p>
    <w:p w14:paraId="1E388639" w14:textId="77777777" w:rsidR="003B4185" w:rsidRPr="00306A83" w:rsidRDefault="003B4185">
      <w:pPr>
        <w:spacing w:before="240" w:after="240"/>
        <w:jc w:val="center"/>
        <w:rPr>
          <w:rFonts w:asciiTheme="majorBidi" w:eastAsia="Times New Roman" w:hAnsiTheme="majorBidi" w:cstheme="majorBidi"/>
          <w:b/>
        </w:rPr>
      </w:pPr>
    </w:p>
    <w:p w14:paraId="7981EBE1" w14:textId="77777777" w:rsidR="003B4185" w:rsidRPr="00306A83" w:rsidRDefault="003B4185">
      <w:pPr>
        <w:spacing w:before="240" w:after="240"/>
        <w:jc w:val="center"/>
        <w:rPr>
          <w:rFonts w:asciiTheme="majorBidi" w:eastAsia="Times New Roman" w:hAnsiTheme="majorBidi" w:cstheme="majorBidi"/>
          <w:b/>
        </w:rPr>
      </w:pPr>
    </w:p>
    <w:p w14:paraId="08431944" w14:textId="77777777" w:rsidR="003B4185" w:rsidRPr="00306A83" w:rsidRDefault="006803DD">
      <w:pPr>
        <w:spacing w:before="240"/>
        <w:jc w:val="center"/>
        <w:rPr>
          <w:rFonts w:asciiTheme="majorBidi" w:eastAsia="Times New Roman" w:hAnsiTheme="majorBidi" w:cstheme="majorBidi"/>
          <w:b/>
        </w:rPr>
      </w:pPr>
      <w:r w:rsidRPr="00306A83">
        <w:rPr>
          <w:rFonts w:asciiTheme="majorBidi" w:eastAsia="Times New Roman" w:hAnsiTheme="majorBidi" w:cstheme="majorBidi"/>
          <w:b/>
        </w:rPr>
        <w:t>80</w:t>
      </w:r>
      <w:r w:rsidRPr="00306A83">
        <w:rPr>
          <w:rFonts w:asciiTheme="majorBidi" w:eastAsia="Times New Roman" w:hAnsiTheme="majorBidi" w:cstheme="majorBidi"/>
          <w:b/>
          <w:vertAlign w:val="superscript"/>
        </w:rPr>
        <w:t>e</w:t>
      </w:r>
      <w:r w:rsidRPr="00306A83">
        <w:rPr>
          <w:rFonts w:asciiTheme="majorBidi" w:eastAsia="Times New Roman" w:hAnsiTheme="majorBidi" w:cstheme="majorBidi"/>
          <w:b/>
        </w:rPr>
        <w:t xml:space="preserve"> session du Comité contre la torture</w:t>
      </w:r>
    </w:p>
    <w:p w14:paraId="112D0937" w14:textId="77777777" w:rsidR="003B4185" w:rsidRPr="00306A83" w:rsidRDefault="006803DD">
      <w:pPr>
        <w:spacing w:before="240"/>
        <w:jc w:val="center"/>
        <w:rPr>
          <w:rFonts w:asciiTheme="majorBidi" w:eastAsia="Times New Roman" w:hAnsiTheme="majorBidi" w:cstheme="majorBidi"/>
        </w:rPr>
      </w:pPr>
      <w:r w:rsidRPr="00306A83">
        <w:rPr>
          <w:rFonts w:asciiTheme="majorBidi" w:eastAsia="Times New Roman" w:hAnsiTheme="majorBidi" w:cstheme="majorBidi"/>
          <w:b/>
        </w:rPr>
        <w:t>Examen du rapport initial de la République de Côte d’Ivoire</w:t>
      </w:r>
      <w:r w:rsidRPr="00306A83">
        <w:rPr>
          <w:rFonts w:asciiTheme="majorBidi" w:eastAsia="Times New Roman" w:hAnsiTheme="majorBidi" w:cstheme="majorBidi"/>
        </w:rPr>
        <w:t xml:space="preserve"> </w:t>
      </w:r>
    </w:p>
    <w:p w14:paraId="07C74FB6" w14:textId="77777777" w:rsidR="003B4185" w:rsidRPr="00306A83" w:rsidRDefault="006803DD">
      <w:pPr>
        <w:spacing w:before="240" w:after="240"/>
        <w:jc w:val="center"/>
        <w:rPr>
          <w:rFonts w:asciiTheme="majorBidi" w:eastAsia="Times New Roman" w:hAnsiTheme="majorBidi" w:cstheme="majorBidi"/>
        </w:rPr>
      </w:pPr>
      <w:r w:rsidRPr="00306A83">
        <w:rPr>
          <w:rFonts w:asciiTheme="majorBidi" w:eastAsia="Times New Roman" w:hAnsiTheme="majorBidi" w:cstheme="majorBidi"/>
        </w:rPr>
        <w:t xml:space="preserve"> </w:t>
      </w:r>
    </w:p>
    <w:p w14:paraId="0449AC99" w14:textId="77777777" w:rsidR="003B4185" w:rsidRPr="00306A83" w:rsidRDefault="006803DD">
      <w:pPr>
        <w:spacing w:before="240" w:after="240"/>
        <w:jc w:val="center"/>
        <w:rPr>
          <w:rFonts w:asciiTheme="majorBidi" w:eastAsia="Times New Roman" w:hAnsiTheme="majorBidi" w:cstheme="majorBidi"/>
        </w:rPr>
      </w:pPr>
      <w:r w:rsidRPr="00306A83">
        <w:rPr>
          <w:rFonts w:asciiTheme="majorBidi" w:eastAsia="Times New Roman" w:hAnsiTheme="majorBidi" w:cstheme="majorBidi"/>
          <w:b/>
        </w:rPr>
        <w:t>Juin 2</w:t>
      </w:r>
      <w:r w:rsidRPr="00306A83">
        <w:rPr>
          <w:rFonts w:asciiTheme="majorBidi" w:eastAsia="Times New Roman" w:hAnsiTheme="majorBidi" w:cstheme="majorBidi"/>
          <w:b/>
        </w:rPr>
        <w:t>024</w:t>
      </w:r>
    </w:p>
    <w:p w14:paraId="196F14E5" w14:textId="77777777" w:rsidR="003B4185" w:rsidRPr="00306A83" w:rsidRDefault="006803DD">
      <w:pPr>
        <w:jc w:val="center"/>
        <w:rPr>
          <w:rFonts w:asciiTheme="majorBidi" w:eastAsia="Times New Roman" w:hAnsiTheme="majorBidi" w:cstheme="majorBidi"/>
          <w:b/>
        </w:rPr>
      </w:pPr>
      <w:r w:rsidRPr="00306A83">
        <w:rPr>
          <w:rFonts w:asciiTheme="majorBidi" w:eastAsia="Times New Roman" w:hAnsiTheme="majorBidi" w:cstheme="majorBidi"/>
          <w:b/>
          <w:noProof/>
        </w:rPr>
        <w:drawing>
          <wp:inline distT="114300" distB="114300" distL="114300" distR="114300" wp14:anchorId="0193EE76" wp14:editId="232FE3CF">
            <wp:extent cx="1886268" cy="739417"/>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886268" cy="739417"/>
                    </a:xfrm>
                    <a:prstGeom prst="rect">
                      <a:avLst/>
                    </a:prstGeom>
                    <a:ln/>
                  </pic:spPr>
                </pic:pic>
              </a:graphicData>
            </a:graphic>
          </wp:inline>
        </w:drawing>
      </w:r>
      <w:r w:rsidRPr="00306A83">
        <w:rPr>
          <w:rFonts w:asciiTheme="majorBidi" w:eastAsia="Times New Roman" w:hAnsiTheme="majorBidi" w:cstheme="majorBidi"/>
          <w:b/>
          <w:noProof/>
        </w:rPr>
        <w:drawing>
          <wp:inline distT="114300" distB="114300" distL="114300" distR="114300" wp14:anchorId="7F4345DA" wp14:editId="52DBB6BD">
            <wp:extent cx="1600200" cy="16192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600200" cy="1619250"/>
                    </a:xfrm>
                    <a:prstGeom prst="rect">
                      <a:avLst/>
                    </a:prstGeom>
                    <a:ln/>
                  </pic:spPr>
                </pic:pic>
              </a:graphicData>
            </a:graphic>
          </wp:inline>
        </w:drawing>
      </w:r>
      <w:r w:rsidRPr="00306A83">
        <w:rPr>
          <w:rFonts w:asciiTheme="majorBidi" w:eastAsia="Times New Roman" w:hAnsiTheme="majorBidi" w:cstheme="majorBidi"/>
          <w:b/>
          <w:noProof/>
        </w:rPr>
        <w:drawing>
          <wp:inline distT="114300" distB="114300" distL="114300" distR="114300" wp14:anchorId="51FE6087" wp14:editId="26C9FC27">
            <wp:extent cx="846960" cy="156844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846960" cy="1568445"/>
                    </a:xfrm>
                    <a:prstGeom prst="rect">
                      <a:avLst/>
                    </a:prstGeom>
                    <a:ln/>
                  </pic:spPr>
                </pic:pic>
              </a:graphicData>
            </a:graphic>
          </wp:inline>
        </w:drawing>
      </w:r>
    </w:p>
    <w:p w14:paraId="55814837" w14:textId="77777777" w:rsidR="003B4185" w:rsidRPr="00306A83" w:rsidRDefault="006803DD">
      <w:pPr>
        <w:shd w:val="clear" w:color="auto" w:fill="FFFFFF"/>
        <w:jc w:val="center"/>
        <w:rPr>
          <w:rFonts w:asciiTheme="majorBidi" w:eastAsia="Times New Roman" w:hAnsiTheme="majorBidi" w:cstheme="majorBidi"/>
          <w:b/>
        </w:rPr>
      </w:pPr>
      <w:r w:rsidRPr="00306A83">
        <w:rPr>
          <w:rFonts w:asciiTheme="majorBidi" w:eastAsia="Times New Roman" w:hAnsiTheme="majorBidi" w:cstheme="majorBidi"/>
          <w:b/>
          <w:noProof/>
        </w:rPr>
        <w:drawing>
          <wp:inline distT="114300" distB="114300" distL="114300" distR="114300" wp14:anchorId="2DDB273B" wp14:editId="4B7CCBB7">
            <wp:extent cx="1619568" cy="9747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619568" cy="974740"/>
                    </a:xfrm>
                    <a:prstGeom prst="rect">
                      <a:avLst/>
                    </a:prstGeom>
                    <a:ln/>
                  </pic:spPr>
                </pic:pic>
              </a:graphicData>
            </a:graphic>
          </wp:inline>
        </w:drawing>
      </w:r>
      <w:r w:rsidRPr="00306A83">
        <w:rPr>
          <w:rFonts w:asciiTheme="majorBidi" w:eastAsia="Times New Roman" w:hAnsiTheme="majorBidi" w:cstheme="majorBidi"/>
          <w:b/>
          <w:noProof/>
        </w:rPr>
        <w:drawing>
          <wp:inline distT="114300" distB="114300" distL="114300" distR="114300" wp14:anchorId="0D9FF7B0" wp14:editId="4CEDC3FF">
            <wp:extent cx="1535751" cy="1260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1535751" cy="1260475"/>
                    </a:xfrm>
                    <a:prstGeom prst="rect">
                      <a:avLst/>
                    </a:prstGeom>
                    <a:ln/>
                  </pic:spPr>
                </pic:pic>
              </a:graphicData>
            </a:graphic>
          </wp:inline>
        </w:drawing>
      </w:r>
    </w:p>
    <w:p w14:paraId="5BBC5A91" w14:textId="77777777" w:rsidR="003B4185" w:rsidRPr="00306A83" w:rsidRDefault="006803DD">
      <w:pPr>
        <w:shd w:val="clear" w:color="auto" w:fill="FFFFFF"/>
        <w:rPr>
          <w:rFonts w:asciiTheme="majorBidi" w:eastAsia="Times New Roman" w:hAnsiTheme="majorBidi" w:cstheme="majorBidi"/>
          <w:b/>
        </w:rPr>
      </w:pPr>
      <w:r w:rsidRPr="00306A83">
        <w:rPr>
          <w:rFonts w:asciiTheme="majorBidi" w:hAnsiTheme="majorBidi" w:cstheme="majorBidi"/>
        </w:rPr>
        <w:br w:type="page"/>
      </w:r>
    </w:p>
    <w:p w14:paraId="63EB5ECA" w14:textId="77777777" w:rsidR="003B4185" w:rsidRPr="00306A83" w:rsidRDefault="006803DD">
      <w:pPr>
        <w:shd w:val="clear" w:color="auto" w:fill="FFFFFF"/>
        <w:rPr>
          <w:rFonts w:asciiTheme="majorBidi" w:eastAsia="Times New Roman" w:hAnsiTheme="majorBidi" w:cstheme="majorBidi"/>
        </w:rPr>
      </w:pPr>
      <w:r w:rsidRPr="00306A83">
        <w:rPr>
          <w:rFonts w:asciiTheme="majorBidi" w:eastAsia="Times New Roman" w:hAnsiTheme="majorBidi" w:cstheme="majorBidi"/>
          <w:b/>
        </w:rPr>
        <w:lastRenderedPageBreak/>
        <w:t xml:space="preserve">Préface et méthodologie </w:t>
      </w:r>
      <w:r w:rsidRPr="00306A83">
        <w:rPr>
          <w:rFonts w:asciiTheme="majorBidi" w:eastAsia="Times New Roman" w:hAnsiTheme="majorBidi" w:cstheme="majorBidi"/>
        </w:rPr>
        <w:t xml:space="preserve"> </w:t>
      </w:r>
    </w:p>
    <w:p w14:paraId="57A05DB9"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3E386317"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Ce rapport a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rédige</w:t>
      </w:r>
      <w:proofErr w:type="spellEnd"/>
      <w:r w:rsidRPr="00306A83">
        <w:rPr>
          <w:rFonts w:asciiTheme="majorBidi" w:eastAsia="Times New Roman" w:hAnsiTheme="majorBidi" w:cstheme="majorBidi"/>
        </w:rPr>
        <w:t xml:space="preserve">́ conjointement par plusieurs organisations de la société civile ivoirienne : le Mouvement Ivoirien des Droits Humains (MIDH), la Coalition Ivoirienne des Défenseurs des Droits </w:t>
      </w:r>
      <w:r w:rsidRPr="00306A83">
        <w:rPr>
          <w:rFonts w:asciiTheme="majorBidi" w:eastAsia="Times New Roman" w:hAnsiTheme="majorBidi" w:cstheme="majorBidi"/>
        </w:rPr>
        <w:t>Humains (CIDDH), l’Action des Chrétiens pour l’Abolition de la Torture de Côte d'Ivoire (ACAT-CI) et l’Observatoire des Lieux de Détention (</w:t>
      </w:r>
      <w:proofErr w:type="spellStart"/>
      <w:r w:rsidRPr="00306A83">
        <w:rPr>
          <w:rFonts w:asciiTheme="majorBidi" w:eastAsia="Times New Roman" w:hAnsiTheme="majorBidi" w:cstheme="majorBidi"/>
        </w:rPr>
        <w:t>ObsLiD</w:t>
      </w:r>
      <w:proofErr w:type="spellEnd"/>
      <w:r w:rsidRPr="00306A83">
        <w:rPr>
          <w:rFonts w:asciiTheme="majorBidi" w:eastAsia="Times New Roman" w:hAnsiTheme="majorBidi" w:cstheme="majorBidi"/>
        </w:rPr>
        <w:t>), toutes basées à Abidjan. Ces dernières ont été soutenues par l’Organisation Mondiale contre la Torture (OMC</w:t>
      </w:r>
      <w:r w:rsidRPr="00306A83">
        <w:rPr>
          <w:rFonts w:asciiTheme="majorBidi" w:eastAsia="Times New Roman" w:hAnsiTheme="majorBidi" w:cstheme="majorBidi"/>
        </w:rPr>
        <w:t xml:space="preserve">T) </w:t>
      </w:r>
      <w:proofErr w:type="spellStart"/>
      <w:r w:rsidRPr="00306A83">
        <w:rPr>
          <w:rFonts w:asciiTheme="majorBidi" w:eastAsia="Times New Roman" w:hAnsiTheme="majorBidi" w:cstheme="majorBidi"/>
        </w:rPr>
        <w:t>basée</w:t>
      </w:r>
      <w:proofErr w:type="spellEnd"/>
      <w:r w:rsidRPr="00306A83">
        <w:rPr>
          <w:rFonts w:asciiTheme="majorBidi" w:eastAsia="Times New Roman" w:hAnsiTheme="majorBidi" w:cstheme="majorBidi"/>
        </w:rPr>
        <w:t xml:space="preserve"> à </w:t>
      </w:r>
      <w:proofErr w:type="spellStart"/>
      <w:r w:rsidRPr="00306A83">
        <w:rPr>
          <w:rFonts w:asciiTheme="majorBidi" w:eastAsia="Times New Roman" w:hAnsiTheme="majorBidi" w:cstheme="majorBidi"/>
        </w:rPr>
        <w:t>Genève</w:t>
      </w:r>
      <w:proofErr w:type="spellEnd"/>
      <w:r w:rsidRPr="00306A83">
        <w:rPr>
          <w:rFonts w:asciiTheme="majorBidi" w:eastAsia="Times New Roman" w:hAnsiTheme="majorBidi" w:cstheme="majorBidi"/>
        </w:rPr>
        <w:t xml:space="preserve">. </w:t>
      </w:r>
    </w:p>
    <w:p w14:paraId="143E3DE1"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32D89005" w14:textId="421EE43F"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Ce rapport est le fruit d’un atelier </w:t>
      </w:r>
      <w:proofErr w:type="spellStart"/>
      <w:r w:rsidRPr="00306A83">
        <w:rPr>
          <w:rFonts w:asciiTheme="majorBidi" w:eastAsia="Times New Roman" w:hAnsiTheme="majorBidi" w:cstheme="majorBidi"/>
        </w:rPr>
        <w:t>réalise</w:t>
      </w:r>
      <w:proofErr w:type="spellEnd"/>
      <w:r w:rsidRPr="00306A83">
        <w:rPr>
          <w:rFonts w:asciiTheme="majorBidi" w:eastAsia="Times New Roman" w:hAnsiTheme="majorBidi" w:cstheme="majorBidi"/>
        </w:rPr>
        <w:t xml:space="preserve">́ du 2 au 3 mai 2024 à Abidjan, rassemblant une quinzaine d’organisations de la </w:t>
      </w:r>
      <w:proofErr w:type="spellStart"/>
      <w:r w:rsidRPr="00306A83">
        <w:rPr>
          <w:rFonts w:asciiTheme="majorBidi" w:eastAsia="Times New Roman" w:hAnsiTheme="majorBidi" w:cstheme="majorBidi"/>
        </w:rPr>
        <w:t>sociéte</w:t>
      </w:r>
      <w:proofErr w:type="spellEnd"/>
      <w:r w:rsidRPr="00306A83">
        <w:rPr>
          <w:rFonts w:asciiTheme="majorBidi" w:eastAsia="Times New Roman" w:hAnsiTheme="majorBidi" w:cstheme="majorBidi"/>
        </w:rPr>
        <w:t xml:space="preserve">́ civile ivoiriennes </w:t>
      </w:r>
      <w:proofErr w:type="spellStart"/>
      <w:r w:rsidRPr="00306A83">
        <w:rPr>
          <w:rFonts w:asciiTheme="majorBidi" w:eastAsia="Times New Roman" w:hAnsiTheme="majorBidi" w:cstheme="majorBidi"/>
        </w:rPr>
        <w:t>engagées</w:t>
      </w:r>
      <w:proofErr w:type="spellEnd"/>
      <w:r w:rsidRPr="00306A83">
        <w:rPr>
          <w:rFonts w:asciiTheme="majorBidi" w:eastAsia="Times New Roman" w:hAnsiTheme="majorBidi" w:cstheme="majorBidi"/>
        </w:rPr>
        <w:t xml:space="preserve"> dans la lutte contre la torture, la lutte contre les violences fai</w:t>
      </w:r>
      <w:r w:rsidRPr="00306A83">
        <w:rPr>
          <w:rFonts w:asciiTheme="majorBidi" w:eastAsia="Times New Roman" w:hAnsiTheme="majorBidi" w:cstheme="majorBidi"/>
        </w:rPr>
        <w:t xml:space="preserve">tes aux femmes et la protection des défenseurs des droits humains ainsi que des représentants du </w:t>
      </w:r>
      <w:proofErr w:type="gramStart"/>
      <w:r w:rsidRPr="00306A83">
        <w:rPr>
          <w:rFonts w:asciiTheme="majorBidi" w:eastAsia="Times New Roman" w:hAnsiTheme="majorBidi" w:cstheme="majorBidi"/>
        </w:rPr>
        <w:t>Ministère</w:t>
      </w:r>
      <w:proofErr w:type="gramEnd"/>
      <w:r w:rsidRPr="00306A83">
        <w:rPr>
          <w:rFonts w:asciiTheme="majorBidi" w:eastAsia="Times New Roman" w:hAnsiTheme="majorBidi" w:cstheme="majorBidi"/>
        </w:rPr>
        <w:t xml:space="preserve"> de la Justice, de l’Admin</w:t>
      </w:r>
      <w:r w:rsidR="007C5C61">
        <w:rPr>
          <w:rFonts w:asciiTheme="majorBidi" w:eastAsia="Times New Roman" w:hAnsiTheme="majorBidi" w:cstheme="majorBidi"/>
        </w:rPr>
        <w:t>i</w:t>
      </w:r>
      <w:r w:rsidRPr="00306A83">
        <w:rPr>
          <w:rFonts w:asciiTheme="majorBidi" w:eastAsia="Times New Roman" w:hAnsiTheme="majorBidi" w:cstheme="majorBidi"/>
        </w:rPr>
        <w:t>stration Pénitentiaire et un journaliste. Cet atelier a pris la forme d’une consultation nationale, lors de laquelle les pa</w:t>
      </w:r>
      <w:r w:rsidRPr="00306A83">
        <w:rPr>
          <w:rFonts w:asciiTheme="majorBidi" w:eastAsia="Times New Roman" w:hAnsiTheme="majorBidi" w:cstheme="majorBidi"/>
        </w:rPr>
        <w:t xml:space="preserve">rticipants ont travaillé sur la liste de points établie par le Comité contre la Torture avant la soumission du rapport initial de la République de Côte d’Ivoire. Ils ont </w:t>
      </w:r>
      <w:proofErr w:type="spellStart"/>
      <w:r w:rsidRPr="00306A83">
        <w:rPr>
          <w:rFonts w:asciiTheme="majorBidi" w:eastAsia="Times New Roman" w:hAnsiTheme="majorBidi" w:cstheme="majorBidi"/>
        </w:rPr>
        <w:t>partage</w:t>
      </w:r>
      <w:proofErr w:type="spellEnd"/>
      <w:r w:rsidRPr="00306A83">
        <w:rPr>
          <w:rFonts w:asciiTheme="majorBidi" w:eastAsia="Times New Roman" w:hAnsiTheme="majorBidi" w:cstheme="majorBidi"/>
        </w:rPr>
        <w:t xml:space="preserve">́ leurs expériences, documentations et les </w:t>
      </w:r>
      <w:proofErr w:type="spellStart"/>
      <w:r w:rsidRPr="00306A83">
        <w:rPr>
          <w:rFonts w:asciiTheme="majorBidi" w:eastAsia="Times New Roman" w:hAnsiTheme="majorBidi" w:cstheme="majorBidi"/>
        </w:rPr>
        <w:t>différentes</w:t>
      </w:r>
      <w:proofErr w:type="spellEnd"/>
      <w:r w:rsidRPr="00306A83">
        <w:rPr>
          <w:rFonts w:asciiTheme="majorBidi" w:eastAsia="Times New Roman" w:hAnsiTheme="majorBidi" w:cstheme="majorBidi"/>
        </w:rPr>
        <w:t xml:space="preserve"> affaires judiciaires su</w:t>
      </w:r>
      <w:r w:rsidRPr="00306A83">
        <w:rPr>
          <w:rFonts w:asciiTheme="majorBidi" w:eastAsia="Times New Roman" w:hAnsiTheme="majorBidi" w:cstheme="majorBidi"/>
        </w:rPr>
        <w:t xml:space="preserve">r lesquelles travaillent leurs organisations.  </w:t>
      </w:r>
    </w:p>
    <w:p w14:paraId="3919DAE5"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2FEF5D2E" w14:textId="791035DE"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En plus des organisations ivoiriennes susmentionnée</w:t>
      </w:r>
      <w:r w:rsidR="00891BEE" w:rsidRPr="00306A83">
        <w:rPr>
          <w:rFonts w:asciiTheme="majorBidi" w:eastAsia="Times New Roman" w:hAnsiTheme="majorBidi" w:cstheme="majorBidi"/>
        </w:rPr>
        <w:t>s</w:t>
      </w:r>
      <w:r w:rsidRPr="00306A83">
        <w:rPr>
          <w:rFonts w:asciiTheme="majorBidi" w:eastAsia="Times New Roman" w:hAnsiTheme="majorBidi" w:cstheme="majorBidi"/>
        </w:rPr>
        <w:t xml:space="preserve"> ayant </w:t>
      </w:r>
      <w:proofErr w:type="spellStart"/>
      <w:r w:rsidRPr="00306A83">
        <w:rPr>
          <w:rFonts w:asciiTheme="majorBidi" w:eastAsia="Times New Roman" w:hAnsiTheme="majorBidi" w:cstheme="majorBidi"/>
        </w:rPr>
        <w:t>participe</w:t>
      </w:r>
      <w:proofErr w:type="spellEnd"/>
      <w:r w:rsidRPr="00306A83">
        <w:rPr>
          <w:rFonts w:asciiTheme="majorBidi" w:eastAsia="Times New Roman" w:hAnsiTheme="majorBidi" w:cstheme="majorBidi"/>
        </w:rPr>
        <w:t xml:space="preserve">́ à la </w:t>
      </w:r>
      <w:proofErr w:type="spellStart"/>
      <w:r w:rsidRPr="00306A83">
        <w:rPr>
          <w:rFonts w:asciiTheme="majorBidi" w:eastAsia="Times New Roman" w:hAnsiTheme="majorBidi" w:cstheme="majorBidi"/>
        </w:rPr>
        <w:t>rédaction</w:t>
      </w:r>
      <w:proofErr w:type="spellEnd"/>
      <w:r w:rsidRPr="00306A83">
        <w:rPr>
          <w:rFonts w:asciiTheme="majorBidi" w:eastAsia="Times New Roman" w:hAnsiTheme="majorBidi" w:cstheme="majorBidi"/>
        </w:rPr>
        <w:t xml:space="preserve"> du rapport, les organisations ci-aprè</w:t>
      </w:r>
      <w:proofErr w:type="spellStart"/>
      <w:r w:rsidRPr="00306A83">
        <w:rPr>
          <w:rFonts w:asciiTheme="majorBidi" w:eastAsia="Times New Roman" w:hAnsiTheme="majorBidi" w:cstheme="majorBidi"/>
        </w:rPr>
        <w:t>s ont</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participe</w:t>
      </w:r>
      <w:proofErr w:type="spellEnd"/>
      <w:r w:rsidRPr="00306A83">
        <w:rPr>
          <w:rFonts w:asciiTheme="majorBidi" w:eastAsia="Times New Roman" w:hAnsiTheme="majorBidi" w:cstheme="majorBidi"/>
        </w:rPr>
        <w:t>́ à la consultation nationale</w:t>
      </w:r>
      <w:r w:rsidR="00D40091">
        <w:rPr>
          <w:rFonts w:asciiTheme="majorBidi" w:eastAsia="Times New Roman" w:hAnsiTheme="majorBidi" w:cstheme="majorBidi"/>
        </w:rPr>
        <w:t xml:space="preserve"> </w:t>
      </w:r>
      <w:r w:rsidRPr="00306A83">
        <w:rPr>
          <w:rFonts w:asciiTheme="majorBidi" w:eastAsia="Times New Roman" w:hAnsiTheme="majorBidi" w:cstheme="majorBidi"/>
        </w:rPr>
        <w:t xml:space="preserve">: </w:t>
      </w:r>
    </w:p>
    <w:p w14:paraId="0CD68D53" w14:textId="77777777" w:rsidR="003B4185" w:rsidRPr="00306A83" w:rsidRDefault="006803DD">
      <w:pPr>
        <w:shd w:val="clear" w:color="auto" w:fill="FFFFFF"/>
        <w:rPr>
          <w:rFonts w:asciiTheme="majorBidi" w:eastAsia="Times New Roman" w:hAnsiTheme="majorBidi" w:cstheme="majorBidi"/>
        </w:rPr>
      </w:pPr>
      <w:r w:rsidRPr="00306A83">
        <w:rPr>
          <w:rFonts w:asciiTheme="majorBidi" w:eastAsia="Times New Roman" w:hAnsiTheme="majorBidi" w:cstheme="majorBidi"/>
        </w:rPr>
        <w:t xml:space="preserve">Il s’agit de :  </w:t>
      </w:r>
    </w:p>
    <w:p w14:paraId="1DF853F0" w14:textId="77777777" w:rsidR="003B4185" w:rsidRPr="00306A83" w:rsidRDefault="006803DD">
      <w:pPr>
        <w:numPr>
          <w:ilvl w:val="0"/>
          <w:numId w:val="9"/>
        </w:numPr>
        <w:ind w:left="1080"/>
        <w:rPr>
          <w:rFonts w:asciiTheme="majorBidi" w:eastAsia="Times New Roman" w:hAnsiTheme="majorBidi" w:cstheme="majorBidi"/>
        </w:rPr>
      </w:pPr>
      <w:r w:rsidRPr="00306A83">
        <w:rPr>
          <w:rFonts w:asciiTheme="majorBidi" w:eastAsia="Times New Roman" w:hAnsiTheme="majorBidi" w:cstheme="majorBidi"/>
        </w:rPr>
        <w:t xml:space="preserve">FIACAT </w:t>
      </w:r>
    </w:p>
    <w:p w14:paraId="5AB8ED29" w14:textId="77777777" w:rsidR="003B4185" w:rsidRPr="00306A83" w:rsidRDefault="006803DD">
      <w:pPr>
        <w:numPr>
          <w:ilvl w:val="0"/>
          <w:numId w:val="9"/>
        </w:numPr>
        <w:ind w:left="1080"/>
        <w:rPr>
          <w:rFonts w:asciiTheme="majorBidi" w:eastAsia="Times New Roman" w:hAnsiTheme="majorBidi" w:cstheme="majorBidi"/>
        </w:rPr>
      </w:pPr>
      <w:r w:rsidRPr="00306A83">
        <w:rPr>
          <w:rFonts w:asciiTheme="majorBidi" w:eastAsia="Times New Roman" w:hAnsiTheme="majorBidi" w:cstheme="majorBidi"/>
        </w:rPr>
        <w:t>Organis</w:t>
      </w:r>
      <w:r w:rsidRPr="00306A83">
        <w:rPr>
          <w:rFonts w:asciiTheme="majorBidi" w:eastAsia="Times New Roman" w:hAnsiTheme="majorBidi" w:cstheme="majorBidi"/>
        </w:rPr>
        <w:t xml:space="preserve">ation des femmes actives de Côte d’Ivoire (OFACI) </w:t>
      </w:r>
    </w:p>
    <w:p w14:paraId="5A837B39" w14:textId="77777777" w:rsidR="003B4185" w:rsidRPr="00306A83" w:rsidRDefault="006803DD">
      <w:pPr>
        <w:numPr>
          <w:ilvl w:val="0"/>
          <w:numId w:val="9"/>
        </w:numPr>
        <w:ind w:left="1080"/>
        <w:rPr>
          <w:rFonts w:asciiTheme="majorBidi" w:eastAsia="Times New Roman" w:hAnsiTheme="majorBidi" w:cstheme="majorBidi"/>
        </w:rPr>
      </w:pPr>
      <w:r w:rsidRPr="00306A83">
        <w:rPr>
          <w:rFonts w:asciiTheme="majorBidi" w:eastAsia="Times New Roman" w:hAnsiTheme="majorBidi" w:cstheme="majorBidi"/>
        </w:rPr>
        <w:t xml:space="preserve">Ligue Ivoirienne des Droits Humains (LIDHO) </w:t>
      </w:r>
    </w:p>
    <w:p w14:paraId="011B1E57" w14:textId="77777777" w:rsidR="003B4185" w:rsidRPr="00306A83" w:rsidRDefault="006803DD">
      <w:pPr>
        <w:numPr>
          <w:ilvl w:val="0"/>
          <w:numId w:val="9"/>
        </w:numPr>
        <w:ind w:left="1080"/>
        <w:rPr>
          <w:rFonts w:asciiTheme="majorBidi" w:eastAsia="Times New Roman" w:hAnsiTheme="majorBidi" w:cstheme="majorBidi"/>
        </w:rPr>
      </w:pPr>
      <w:r w:rsidRPr="00306A83">
        <w:rPr>
          <w:rFonts w:asciiTheme="majorBidi" w:eastAsia="Times New Roman" w:hAnsiTheme="majorBidi" w:cstheme="majorBidi"/>
        </w:rPr>
        <w:t>Association des femmes juristes de Côte d’Ivoire (AFJCI)</w:t>
      </w:r>
    </w:p>
    <w:p w14:paraId="0867A0E9" w14:textId="77777777" w:rsidR="003B4185" w:rsidRPr="00306A83" w:rsidRDefault="006803DD">
      <w:pPr>
        <w:numPr>
          <w:ilvl w:val="0"/>
          <w:numId w:val="9"/>
        </w:numPr>
        <w:ind w:left="1080"/>
        <w:rPr>
          <w:rFonts w:asciiTheme="majorBidi" w:hAnsiTheme="majorBidi" w:cstheme="majorBidi"/>
        </w:rPr>
      </w:pPr>
      <w:r w:rsidRPr="00306A83">
        <w:rPr>
          <w:rFonts w:asciiTheme="majorBidi" w:eastAsia="Times New Roman" w:hAnsiTheme="majorBidi" w:cstheme="majorBidi"/>
        </w:rPr>
        <w:t>Prisonniers sans frontières Côte d’Ivoire (PRSF-CI)</w:t>
      </w:r>
    </w:p>
    <w:p w14:paraId="0A94D20E" w14:textId="77777777" w:rsidR="003B4185" w:rsidRPr="00306A83" w:rsidRDefault="006803DD">
      <w:pPr>
        <w:numPr>
          <w:ilvl w:val="0"/>
          <w:numId w:val="9"/>
        </w:numPr>
        <w:ind w:left="1080"/>
        <w:rPr>
          <w:rFonts w:asciiTheme="majorBidi" w:hAnsiTheme="majorBidi" w:cstheme="majorBidi"/>
        </w:rPr>
      </w:pPr>
      <w:r w:rsidRPr="00306A83">
        <w:rPr>
          <w:rFonts w:asciiTheme="majorBidi" w:eastAsia="Times New Roman" w:hAnsiTheme="majorBidi" w:cstheme="majorBidi"/>
        </w:rPr>
        <w:t>Dignité et Droits pour les Enfants en Côte d’Ivoire</w:t>
      </w:r>
      <w:r w:rsidRPr="00306A83">
        <w:rPr>
          <w:rFonts w:asciiTheme="majorBidi" w:eastAsia="Times New Roman" w:hAnsiTheme="majorBidi" w:cstheme="majorBidi"/>
        </w:rPr>
        <w:t xml:space="preserve"> (DDE-CI)</w:t>
      </w:r>
    </w:p>
    <w:p w14:paraId="0A4B260A" w14:textId="77777777" w:rsidR="003B4185" w:rsidRPr="00306A83" w:rsidRDefault="006803DD">
      <w:pPr>
        <w:numPr>
          <w:ilvl w:val="0"/>
          <w:numId w:val="9"/>
        </w:numPr>
        <w:ind w:left="1080"/>
        <w:rPr>
          <w:rFonts w:asciiTheme="majorBidi" w:hAnsiTheme="majorBidi" w:cstheme="majorBidi"/>
        </w:rPr>
      </w:pPr>
      <w:r w:rsidRPr="00306A83">
        <w:rPr>
          <w:rFonts w:asciiTheme="majorBidi" w:eastAsia="Times New Roman" w:hAnsiTheme="majorBidi" w:cstheme="majorBidi"/>
        </w:rPr>
        <w:t>La Balle Aux Prisonniers (</w:t>
      </w:r>
      <w:proofErr w:type="spellStart"/>
      <w:r w:rsidRPr="00306A83">
        <w:rPr>
          <w:rFonts w:asciiTheme="majorBidi" w:eastAsia="Times New Roman" w:hAnsiTheme="majorBidi" w:cstheme="majorBidi"/>
        </w:rPr>
        <w:t>LaBAP</w:t>
      </w:r>
      <w:proofErr w:type="spellEnd"/>
      <w:r w:rsidRPr="00306A83">
        <w:rPr>
          <w:rFonts w:asciiTheme="majorBidi" w:eastAsia="Times New Roman" w:hAnsiTheme="majorBidi" w:cstheme="majorBidi"/>
        </w:rPr>
        <w:t>)</w:t>
      </w:r>
    </w:p>
    <w:p w14:paraId="7FFEF946" w14:textId="77777777" w:rsidR="003B4185" w:rsidRPr="00306A83" w:rsidRDefault="006803DD">
      <w:pPr>
        <w:numPr>
          <w:ilvl w:val="0"/>
          <w:numId w:val="9"/>
        </w:numPr>
        <w:ind w:left="1080"/>
        <w:rPr>
          <w:rFonts w:asciiTheme="majorBidi" w:hAnsiTheme="majorBidi" w:cstheme="majorBidi"/>
        </w:rPr>
      </w:pPr>
      <w:r w:rsidRPr="00306A83">
        <w:rPr>
          <w:rFonts w:asciiTheme="majorBidi" w:eastAsia="Times New Roman" w:hAnsiTheme="majorBidi" w:cstheme="majorBidi"/>
        </w:rPr>
        <w:t>ONG REMAR Côte d’Ivoire</w:t>
      </w:r>
    </w:p>
    <w:p w14:paraId="73ADFE5B" w14:textId="77777777" w:rsidR="003B4185" w:rsidRPr="00306A83" w:rsidRDefault="006803DD">
      <w:pPr>
        <w:numPr>
          <w:ilvl w:val="0"/>
          <w:numId w:val="9"/>
        </w:numPr>
        <w:ind w:left="1080"/>
        <w:rPr>
          <w:rFonts w:asciiTheme="majorBidi" w:hAnsiTheme="majorBidi" w:cstheme="majorBidi"/>
        </w:rPr>
      </w:pPr>
      <w:r w:rsidRPr="00306A83">
        <w:rPr>
          <w:rFonts w:asciiTheme="majorBidi" w:eastAsia="Times New Roman" w:hAnsiTheme="majorBidi" w:cstheme="majorBidi"/>
        </w:rPr>
        <w:t>ONG Renaître</w:t>
      </w:r>
    </w:p>
    <w:p w14:paraId="7503DE52" w14:textId="77777777" w:rsidR="003B4185" w:rsidRPr="00306A83" w:rsidRDefault="006803DD">
      <w:pPr>
        <w:numPr>
          <w:ilvl w:val="0"/>
          <w:numId w:val="9"/>
        </w:numPr>
        <w:ind w:left="1080"/>
        <w:rPr>
          <w:rFonts w:asciiTheme="majorBidi" w:hAnsiTheme="majorBidi" w:cstheme="majorBidi"/>
        </w:rPr>
      </w:pPr>
      <w:r w:rsidRPr="00306A83">
        <w:rPr>
          <w:rFonts w:asciiTheme="majorBidi" w:eastAsia="Times New Roman" w:hAnsiTheme="majorBidi" w:cstheme="majorBidi"/>
        </w:rPr>
        <w:t>Association Nationale d’Aide aux prisonniers (ANAP)</w:t>
      </w:r>
    </w:p>
    <w:p w14:paraId="3074D3F8"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0CF4A564"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Ce rapport est divisé en plusieurs thématiques répondant à la plupart des questions soulevées dans la liste de points à traiter (List of Issues Prior to </w:t>
      </w:r>
      <w:proofErr w:type="spellStart"/>
      <w:r w:rsidRPr="00306A83">
        <w:rPr>
          <w:rFonts w:asciiTheme="majorBidi" w:eastAsia="Times New Roman" w:hAnsiTheme="majorBidi" w:cstheme="majorBidi"/>
        </w:rPr>
        <w:t>Reporting</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publiée</w:t>
      </w:r>
      <w:proofErr w:type="spellEnd"/>
      <w:r w:rsidRPr="00306A83">
        <w:rPr>
          <w:rFonts w:asciiTheme="majorBidi" w:eastAsia="Times New Roman" w:hAnsiTheme="majorBidi" w:cstheme="majorBidi"/>
        </w:rPr>
        <w:t xml:space="preserve"> en 2016 par le </w:t>
      </w:r>
      <w:proofErr w:type="spellStart"/>
      <w:r w:rsidRPr="00306A83">
        <w:rPr>
          <w:rFonts w:asciiTheme="majorBidi" w:eastAsia="Times New Roman" w:hAnsiTheme="majorBidi" w:cstheme="majorBidi"/>
        </w:rPr>
        <w:t>Comite</w:t>
      </w:r>
      <w:proofErr w:type="spellEnd"/>
      <w:r w:rsidRPr="00306A83">
        <w:rPr>
          <w:rFonts w:asciiTheme="majorBidi" w:eastAsia="Times New Roman" w:hAnsiTheme="majorBidi" w:cstheme="majorBidi"/>
        </w:rPr>
        <w:t>́ contre la torture. Le rapport ne revient pas systématiqueme</w:t>
      </w:r>
      <w:r w:rsidRPr="00306A83">
        <w:rPr>
          <w:rFonts w:asciiTheme="majorBidi" w:eastAsia="Times New Roman" w:hAnsiTheme="majorBidi" w:cstheme="majorBidi"/>
        </w:rPr>
        <w:t xml:space="preserve">nt sur les </w:t>
      </w:r>
      <w:proofErr w:type="spellStart"/>
      <w:r w:rsidRPr="00306A83">
        <w:rPr>
          <w:rFonts w:asciiTheme="majorBidi" w:eastAsia="Times New Roman" w:hAnsiTheme="majorBidi" w:cstheme="majorBidi"/>
        </w:rPr>
        <w:t>réponses</w:t>
      </w:r>
      <w:proofErr w:type="spellEnd"/>
      <w:r w:rsidRPr="00306A83">
        <w:rPr>
          <w:rFonts w:asciiTheme="majorBidi" w:eastAsia="Times New Roman" w:hAnsiTheme="majorBidi" w:cstheme="majorBidi"/>
        </w:rPr>
        <w:t xml:space="preserve"> contenues dans le rapport de l’</w:t>
      </w:r>
      <w:proofErr w:type="spellStart"/>
      <w:r w:rsidRPr="00306A83">
        <w:rPr>
          <w:rFonts w:asciiTheme="majorBidi" w:eastAsia="Times New Roman" w:hAnsiTheme="majorBidi" w:cstheme="majorBidi"/>
        </w:rPr>
        <w:t>État</w:t>
      </w:r>
      <w:proofErr w:type="spellEnd"/>
      <w:r w:rsidRPr="00306A83">
        <w:rPr>
          <w:rFonts w:asciiTheme="majorBidi" w:eastAsia="Times New Roman" w:hAnsiTheme="majorBidi" w:cstheme="majorBidi"/>
        </w:rPr>
        <w:t xml:space="preserve"> mais </w:t>
      </w:r>
      <w:proofErr w:type="spellStart"/>
      <w:r w:rsidRPr="00306A83">
        <w:rPr>
          <w:rFonts w:asciiTheme="majorBidi" w:eastAsia="Times New Roman" w:hAnsiTheme="majorBidi" w:cstheme="majorBidi"/>
        </w:rPr>
        <w:t>relève</w:t>
      </w:r>
      <w:proofErr w:type="spellEnd"/>
      <w:r w:rsidRPr="00306A83">
        <w:rPr>
          <w:rFonts w:asciiTheme="majorBidi" w:eastAsia="Times New Roman" w:hAnsiTheme="majorBidi" w:cstheme="majorBidi"/>
        </w:rPr>
        <w:t xml:space="preserve"> les </w:t>
      </w:r>
      <w:proofErr w:type="spellStart"/>
      <w:r w:rsidRPr="00306A83">
        <w:rPr>
          <w:rFonts w:asciiTheme="majorBidi" w:eastAsia="Times New Roman" w:hAnsiTheme="majorBidi" w:cstheme="majorBidi"/>
        </w:rPr>
        <w:t>défis</w:t>
      </w:r>
      <w:proofErr w:type="spellEnd"/>
      <w:r w:rsidRPr="00306A83">
        <w:rPr>
          <w:rFonts w:asciiTheme="majorBidi" w:eastAsia="Times New Roman" w:hAnsiTheme="majorBidi" w:cstheme="majorBidi"/>
        </w:rPr>
        <w:t xml:space="preserve"> et limites des mesures décrites par l’</w:t>
      </w:r>
      <w:proofErr w:type="spellStart"/>
      <w:r w:rsidRPr="00306A83">
        <w:rPr>
          <w:rFonts w:asciiTheme="majorBidi" w:eastAsia="Times New Roman" w:hAnsiTheme="majorBidi" w:cstheme="majorBidi"/>
        </w:rPr>
        <w:t>État</w:t>
      </w:r>
      <w:proofErr w:type="spellEnd"/>
      <w:r w:rsidRPr="00306A83">
        <w:rPr>
          <w:rFonts w:asciiTheme="majorBidi" w:eastAsia="Times New Roman" w:hAnsiTheme="majorBidi" w:cstheme="majorBidi"/>
        </w:rPr>
        <w:t xml:space="preserve"> dans son rapport. </w:t>
      </w:r>
    </w:p>
    <w:p w14:paraId="2079AE12" w14:textId="77777777" w:rsidR="003B4185" w:rsidRPr="00306A83" w:rsidRDefault="006803DD">
      <w:pPr>
        <w:rPr>
          <w:rFonts w:asciiTheme="majorBidi" w:eastAsia="Times New Roman" w:hAnsiTheme="majorBidi" w:cstheme="majorBidi"/>
          <w:b/>
        </w:rPr>
      </w:pPr>
      <w:r w:rsidRPr="00306A83">
        <w:rPr>
          <w:rFonts w:asciiTheme="majorBidi" w:hAnsiTheme="majorBidi" w:cstheme="majorBidi"/>
        </w:rPr>
        <w:br w:type="page"/>
      </w:r>
    </w:p>
    <w:p w14:paraId="7717999D" w14:textId="77777777" w:rsidR="003B4185" w:rsidRPr="00306A83" w:rsidRDefault="003B4185">
      <w:pPr>
        <w:jc w:val="both"/>
        <w:rPr>
          <w:rFonts w:asciiTheme="majorBidi" w:eastAsia="Times New Roman" w:hAnsiTheme="majorBidi" w:cstheme="majorBidi"/>
          <w:b/>
          <w:i/>
        </w:rPr>
      </w:pPr>
    </w:p>
    <w:p w14:paraId="5F6D1B43" w14:textId="77777777" w:rsidR="003B4185" w:rsidRPr="00306A83" w:rsidRDefault="006803DD">
      <w:pPr>
        <w:jc w:val="both"/>
        <w:rPr>
          <w:rFonts w:asciiTheme="majorBidi" w:eastAsia="Times New Roman" w:hAnsiTheme="majorBidi" w:cstheme="majorBidi"/>
          <w:b/>
          <w:i/>
        </w:rPr>
      </w:pPr>
      <w:r w:rsidRPr="00306A83">
        <w:rPr>
          <w:rFonts w:asciiTheme="majorBidi" w:eastAsia="Times New Roman" w:hAnsiTheme="majorBidi" w:cstheme="majorBidi"/>
          <w:b/>
          <w:i/>
        </w:rPr>
        <w:t>Mouvement Ivoirien des Droits Humains (MIDH)</w:t>
      </w:r>
    </w:p>
    <w:p w14:paraId="77BBC383" w14:textId="77777777" w:rsidR="003B4185" w:rsidRPr="00306A83" w:rsidRDefault="003B4185">
      <w:pPr>
        <w:jc w:val="both"/>
        <w:rPr>
          <w:rFonts w:asciiTheme="majorBidi" w:eastAsia="Times New Roman" w:hAnsiTheme="majorBidi" w:cstheme="majorBidi"/>
          <w:b/>
          <w:i/>
        </w:rPr>
      </w:pPr>
    </w:p>
    <w:p w14:paraId="79486130" w14:textId="77777777" w:rsidR="003B4185" w:rsidRPr="00306A83" w:rsidRDefault="006803DD">
      <w:pPr>
        <w:jc w:val="both"/>
        <w:rPr>
          <w:rFonts w:asciiTheme="majorBidi" w:eastAsia="Times New Roman" w:hAnsiTheme="majorBidi" w:cstheme="majorBidi"/>
          <w:highlight w:val="white"/>
        </w:rPr>
      </w:pPr>
      <w:r w:rsidRPr="00306A83">
        <w:rPr>
          <w:rFonts w:asciiTheme="majorBidi" w:eastAsia="Times New Roman" w:hAnsiTheme="majorBidi" w:cstheme="majorBidi"/>
          <w:highlight w:val="white"/>
        </w:rPr>
        <w:t xml:space="preserve">Le Mouvement ivoirien des droits humains (MIDH) a été créé en 2000 </w:t>
      </w:r>
      <w:proofErr w:type="gramStart"/>
      <w:r w:rsidRPr="00306A83">
        <w:rPr>
          <w:rFonts w:asciiTheme="majorBidi" w:eastAsia="Times New Roman" w:hAnsiTheme="majorBidi" w:cstheme="majorBidi"/>
          <w:highlight w:val="white"/>
        </w:rPr>
        <w:t>suite à</w:t>
      </w:r>
      <w:proofErr w:type="gramEnd"/>
      <w:r w:rsidRPr="00306A83">
        <w:rPr>
          <w:rFonts w:asciiTheme="majorBidi" w:eastAsia="Times New Roman" w:hAnsiTheme="majorBidi" w:cstheme="majorBidi"/>
          <w:highlight w:val="white"/>
        </w:rPr>
        <w:t xml:space="preserve"> la prise de pouvoir des militaires en Côte d’Ivoire. Le MIDH a été créé dans le but d’apporter un nouveau soutien et de renforcer la promotion et la défense des droits humains.</w:t>
      </w:r>
    </w:p>
    <w:p w14:paraId="68C55E27" w14:textId="77777777" w:rsidR="003B4185" w:rsidRPr="00306A83" w:rsidRDefault="003B4185">
      <w:pPr>
        <w:jc w:val="both"/>
        <w:rPr>
          <w:rFonts w:asciiTheme="majorBidi" w:eastAsia="Times New Roman" w:hAnsiTheme="majorBidi" w:cstheme="majorBidi"/>
          <w:b/>
          <w:i/>
          <w:highlight w:val="white"/>
        </w:rPr>
      </w:pPr>
    </w:p>
    <w:p w14:paraId="76B9F7C6" w14:textId="77777777" w:rsidR="003B4185" w:rsidRPr="00306A83" w:rsidRDefault="006803DD">
      <w:pPr>
        <w:jc w:val="both"/>
        <w:rPr>
          <w:rFonts w:asciiTheme="majorBidi" w:eastAsia="Times New Roman" w:hAnsiTheme="majorBidi" w:cstheme="majorBidi"/>
          <w:color w:val="424141"/>
        </w:rPr>
      </w:pPr>
      <w:r w:rsidRPr="00306A83">
        <w:rPr>
          <w:rFonts w:asciiTheme="majorBidi" w:eastAsia="Times New Roman" w:hAnsiTheme="majorBidi" w:cstheme="majorBidi"/>
          <w:b/>
          <w:i/>
        </w:rPr>
        <w:t>Coa</w:t>
      </w:r>
      <w:r w:rsidRPr="00306A83">
        <w:rPr>
          <w:rFonts w:asciiTheme="majorBidi" w:eastAsia="Times New Roman" w:hAnsiTheme="majorBidi" w:cstheme="majorBidi"/>
          <w:b/>
          <w:i/>
        </w:rPr>
        <w:t>lition Ivoirienne des Défenseurs des Droits Humains (CIDDH)</w:t>
      </w:r>
    </w:p>
    <w:p w14:paraId="57635F90" w14:textId="77777777" w:rsidR="003B4185" w:rsidRPr="00306A83" w:rsidRDefault="003B4185">
      <w:pPr>
        <w:jc w:val="both"/>
        <w:rPr>
          <w:rFonts w:asciiTheme="majorBidi" w:eastAsia="Times New Roman" w:hAnsiTheme="majorBidi" w:cstheme="majorBidi"/>
          <w:color w:val="424141"/>
        </w:rPr>
      </w:pPr>
    </w:p>
    <w:p w14:paraId="1A560217" w14:textId="77777777" w:rsidR="003B4185" w:rsidRPr="00306A83" w:rsidRDefault="006803DD">
      <w:pPr>
        <w:jc w:val="both"/>
        <w:rPr>
          <w:rFonts w:asciiTheme="majorBidi" w:eastAsia="Times New Roman" w:hAnsiTheme="majorBidi" w:cstheme="majorBidi"/>
          <w:color w:val="424141"/>
        </w:rPr>
      </w:pPr>
      <w:r w:rsidRPr="00306A83">
        <w:rPr>
          <w:rFonts w:asciiTheme="majorBidi" w:eastAsia="Times New Roman" w:hAnsiTheme="majorBidi" w:cstheme="majorBidi"/>
          <w:color w:val="424141"/>
        </w:rPr>
        <w:t xml:space="preserve">La Coalition Ivoirienne des Défenseurs des Droits Humains (CIDDH) est un regroupement d’Organisations Non Gouvernementales de promotion et de défense des Droits de l’Homme créé en </w:t>
      </w:r>
      <w:proofErr w:type="gramStart"/>
      <w:r w:rsidRPr="00306A83">
        <w:rPr>
          <w:rFonts w:asciiTheme="majorBidi" w:eastAsia="Times New Roman" w:hAnsiTheme="majorBidi" w:cstheme="majorBidi"/>
          <w:color w:val="424141"/>
        </w:rPr>
        <w:t>Septembre</w:t>
      </w:r>
      <w:proofErr w:type="gramEnd"/>
      <w:r w:rsidRPr="00306A83">
        <w:rPr>
          <w:rFonts w:asciiTheme="majorBidi" w:eastAsia="Times New Roman" w:hAnsiTheme="majorBidi" w:cstheme="majorBidi"/>
          <w:color w:val="424141"/>
        </w:rPr>
        <w:t xml:space="preserve"> 2004.</w:t>
      </w:r>
      <w:r w:rsidRPr="00306A83">
        <w:rPr>
          <w:rFonts w:asciiTheme="majorBidi" w:eastAsia="Times New Roman" w:hAnsiTheme="majorBidi" w:cstheme="majorBidi"/>
          <w:color w:val="424141"/>
        </w:rPr>
        <w:t xml:space="preserve"> A cette époque de nombreux Défenseurs des Droits Humains étaient menacés en Côte d’Ivoire. Ces Défenseurs exerçaient dans un contexte d’insécurité rimant avec la violence, l’intimidation et les arrestations. La période de la transition militaire après le </w:t>
      </w:r>
      <w:r w:rsidRPr="00306A83">
        <w:rPr>
          <w:rFonts w:asciiTheme="majorBidi" w:eastAsia="Times New Roman" w:hAnsiTheme="majorBidi" w:cstheme="majorBidi"/>
          <w:color w:val="424141"/>
        </w:rPr>
        <w:t>coup d’état du 24 décembre 1999 était caractérisée par une situation précaire pour les Défenseurs des Droits Humains. La CIDDH a été créée pour répondre à la problématique de sécurisation des Défenseurs des Droits Humains en Côte d’Ivoire que cette situati</w:t>
      </w:r>
      <w:r w:rsidRPr="00306A83">
        <w:rPr>
          <w:rFonts w:asciiTheme="majorBidi" w:eastAsia="Times New Roman" w:hAnsiTheme="majorBidi" w:cstheme="majorBidi"/>
          <w:color w:val="424141"/>
        </w:rPr>
        <w:t>on a engendré. La CIDDH est aujourd’hui composée de 29 organisations de promotion et de défense des Droits de l’Homme.</w:t>
      </w:r>
    </w:p>
    <w:p w14:paraId="709AD99C" w14:textId="77777777" w:rsidR="003B4185" w:rsidRPr="00306A83" w:rsidRDefault="003B4185">
      <w:pPr>
        <w:jc w:val="both"/>
        <w:rPr>
          <w:rFonts w:asciiTheme="majorBidi" w:eastAsia="Times New Roman" w:hAnsiTheme="majorBidi" w:cstheme="majorBidi"/>
          <w:b/>
          <w:i/>
        </w:rPr>
      </w:pPr>
    </w:p>
    <w:p w14:paraId="7F9B2AC8" w14:textId="77777777" w:rsidR="003B4185" w:rsidRPr="00306A83" w:rsidRDefault="006803DD">
      <w:pPr>
        <w:jc w:val="both"/>
        <w:rPr>
          <w:rFonts w:asciiTheme="majorBidi" w:eastAsia="Times New Roman" w:hAnsiTheme="majorBidi" w:cstheme="majorBidi"/>
          <w:b/>
          <w:i/>
        </w:rPr>
      </w:pPr>
      <w:r w:rsidRPr="00306A83">
        <w:rPr>
          <w:rFonts w:asciiTheme="majorBidi" w:eastAsia="Times New Roman" w:hAnsiTheme="majorBidi" w:cstheme="majorBidi"/>
          <w:b/>
          <w:i/>
        </w:rPr>
        <w:t>Action des Chrétiens pour l’Abolition de la Torture de Côte d’Ivoire (ACAT-CI)</w:t>
      </w:r>
    </w:p>
    <w:p w14:paraId="7EC53742" w14:textId="77777777" w:rsidR="003B4185" w:rsidRPr="00306A83" w:rsidRDefault="003B4185">
      <w:pPr>
        <w:jc w:val="both"/>
        <w:rPr>
          <w:rFonts w:asciiTheme="majorBidi" w:eastAsia="Times New Roman" w:hAnsiTheme="majorBidi" w:cstheme="majorBidi"/>
          <w:b/>
          <w:i/>
        </w:rPr>
      </w:pPr>
    </w:p>
    <w:p w14:paraId="6EE5E1E0"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L’Action des Chrétiens pour l’Abolition de la Torture de</w:t>
      </w:r>
      <w:r w:rsidRPr="00306A83">
        <w:rPr>
          <w:rFonts w:asciiTheme="majorBidi" w:eastAsia="Times New Roman" w:hAnsiTheme="majorBidi" w:cstheme="majorBidi"/>
        </w:rPr>
        <w:t xml:space="preserve"> Côte d’Ivoire (ACAT CI), organisation non gouvernementale œcuménique de promotion et de protection des droits humains, a été créée la 10 mars 1993. Elle a pour thématiques essentielles la lutte contre la torture, les traitements cruels, inhumains ou dégra</w:t>
      </w:r>
      <w:r w:rsidRPr="00306A83">
        <w:rPr>
          <w:rFonts w:asciiTheme="majorBidi" w:eastAsia="Times New Roman" w:hAnsiTheme="majorBidi" w:cstheme="majorBidi"/>
        </w:rPr>
        <w:t>dants, la peine de mort, les disparitions forcées et les exécutions extrajudiciaires.</w:t>
      </w:r>
    </w:p>
    <w:p w14:paraId="041734CE" w14:textId="77777777" w:rsidR="003B4185" w:rsidRPr="00306A83" w:rsidRDefault="003B4185">
      <w:pPr>
        <w:jc w:val="both"/>
        <w:rPr>
          <w:rFonts w:asciiTheme="majorBidi" w:eastAsia="Times New Roman" w:hAnsiTheme="majorBidi" w:cstheme="majorBidi"/>
        </w:rPr>
      </w:pPr>
    </w:p>
    <w:p w14:paraId="09518201" w14:textId="77777777" w:rsidR="003B4185" w:rsidRPr="00306A83" w:rsidRDefault="006803DD">
      <w:pPr>
        <w:jc w:val="both"/>
        <w:rPr>
          <w:rFonts w:asciiTheme="majorBidi" w:eastAsia="Times New Roman" w:hAnsiTheme="majorBidi" w:cstheme="majorBidi"/>
          <w:b/>
          <w:i/>
        </w:rPr>
      </w:pPr>
      <w:r w:rsidRPr="00306A83">
        <w:rPr>
          <w:rFonts w:asciiTheme="majorBidi" w:eastAsia="Times New Roman" w:hAnsiTheme="majorBidi" w:cstheme="majorBidi"/>
          <w:b/>
          <w:i/>
        </w:rPr>
        <w:t>Observatoire des Lieux de Détention (</w:t>
      </w:r>
      <w:proofErr w:type="spellStart"/>
      <w:r w:rsidRPr="00306A83">
        <w:rPr>
          <w:rFonts w:asciiTheme="majorBidi" w:eastAsia="Times New Roman" w:hAnsiTheme="majorBidi" w:cstheme="majorBidi"/>
          <w:b/>
          <w:i/>
        </w:rPr>
        <w:t>ObsLiD</w:t>
      </w:r>
      <w:proofErr w:type="spellEnd"/>
      <w:r w:rsidRPr="00306A83">
        <w:rPr>
          <w:rFonts w:asciiTheme="majorBidi" w:eastAsia="Times New Roman" w:hAnsiTheme="majorBidi" w:cstheme="majorBidi"/>
          <w:b/>
          <w:i/>
        </w:rPr>
        <w:t>)</w:t>
      </w:r>
    </w:p>
    <w:p w14:paraId="16F51890" w14:textId="77777777" w:rsidR="003B4185" w:rsidRPr="00306A83" w:rsidRDefault="003B4185">
      <w:pPr>
        <w:jc w:val="both"/>
        <w:rPr>
          <w:rFonts w:asciiTheme="majorBidi" w:eastAsia="Times New Roman" w:hAnsiTheme="majorBidi" w:cstheme="majorBidi"/>
        </w:rPr>
      </w:pPr>
    </w:p>
    <w:p w14:paraId="53BC08A1"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L’Observatoire des Lieux de Détention (</w:t>
      </w:r>
      <w:proofErr w:type="spellStart"/>
      <w:r w:rsidRPr="00306A83">
        <w:rPr>
          <w:rFonts w:asciiTheme="majorBidi" w:eastAsia="Times New Roman" w:hAnsiTheme="majorBidi" w:cstheme="majorBidi"/>
        </w:rPr>
        <w:t>ObsLiD</w:t>
      </w:r>
      <w:proofErr w:type="spellEnd"/>
      <w:r w:rsidRPr="00306A83">
        <w:rPr>
          <w:rFonts w:asciiTheme="majorBidi" w:eastAsia="Times New Roman" w:hAnsiTheme="majorBidi" w:cstheme="majorBidi"/>
        </w:rPr>
        <w:t>) est une faitière de 28 ONG</w:t>
      </w:r>
      <w:r w:rsidRPr="00306A83">
        <w:rPr>
          <w:rFonts w:asciiTheme="majorBidi" w:eastAsia="Times New Roman" w:hAnsiTheme="majorBidi" w:cstheme="majorBidi"/>
          <w:vertAlign w:val="superscript"/>
        </w:rPr>
        <w:footnoteReference w:id="1"/>
      </w:r>
      <w:r w:rsidRPr="00306A83">
        <w:rPr>
          <w:rFonts w:asciiTheme="majorBidi" w:eastAsia="Times New Roman" w:hAnsiTheme="majorBidi" w:cstheme="majorBidi"/>
        </w:rPr>
        <w:t xml:space="preserve"> intervenant dans le milieu carcéral ivoirien. Il a été créé le 29 juin 2017 et légalement reconnu par les autorités ivoiriennes sous le n° 1903/PA/SG/D2.</w:t>
      </w:r>
    </w:p>
    <w:p w14:paraId="6FA3EACB" w14:textId="77777777" w:rsidR="003B4185" w:rsidRPr="00306A83" w:rsidRDefault="003B4185">
      <w:pPr>
        <w:jc w:val="both"/>
        <w:rPr>
          <w:rFonts w:asciiTheme="majorBidi" w:eastAsia="Times New Roman" w:hAnsiTheme="majorBidi" w:cstheme="majorBidi"/>
        </w:rPr>
      </w:pPr>
    </w:p>
    <w:p w14:paraId="7E735392" w14:textId="77777777" w:rsidR="003B4185" w:rsidRPr="00306A83" w:rsidRDefault="006803DD">
      <w:pPr>
        <w:jc w:val="both"/>
        <w:rPr>
          <w:rFonts w:asciiTheme="majorBidi" w:eastAsia="Times New Roman" w:hAnsiTheme="majorBidi" w:cstheme="majorBidi"/>
          <w:b/>
          <w:i/>
        </w:rPr>
      </w:pPr>
      <w:r w:rsidRPr="00306A83">
        <w:rPr>
          <w:rFonts w:asciiTheme="majorBidi" w:eastAsia="Times New Roman" w:hAnsiTheme="majorBidi" w:cstheme="majorBidi"/>
          <w:b/>
          <w:i/>
        </w:rPr>
        <w:t>Organisation Mondiale contre la Torture (OMCT)</w:t>
      </w:r>
    </w:p>
    <w:p w14:paraId="295A028C" w14:textId="77777777" w:rsidR="003B4185" w:rsidRPr="00306A83" w:rsidRDefault="006803DD">
      <w:pPr>
        <w:rPr>
          <w:rFonts w:asciiTheme="majorBidi" w:eastAsia="Times New Roman" w:hAnsiTheme="majorBidi" w:cstheme="majorBidi"/>
          <w:b/>
        </w:rPr>
      </w:pPr>
      <w:r w:rsidRPr="00306A83">
        <w:rPr>
          <w:rFonts w:asciiTheme="majorBidi" w:eastAsia="Times New Roman" w:hAnsiTheme="majorBidi" w:cstheme="majorBidi"/>
          <w:b/>
        </w:rPr>
        <w:tab/>
      </w:r>
      <w:r w:rsidRPr="00306A83">
        <w:rPr>
          <w:rFonts w:asciiTheme="majorBidi" w:eastAsia="Times New Roman" w:hAnsiTheme="majorBidi" w:cstheme="majorBidi"/>
          <w:b/>
        </w:rPr>
        <w:tab/>
        <w:t xml:space="preserve"> </w:t>
      </w:r>
      <w:r w:rsidRPr="00306A83">
        <w:rPr>
          <w:rFonts w:asciiTheme="majorBidi" w:eastAsia="Times New Roman" w:hAnsiTheme="majorBidi" w:cstheme="majorBidi"/>
          <w:b/>
        </w:rPr>
        <w:tab/>
        <w:t xml:space="preserve"> </w:t>
      </w:r>
      <w:r w:rsidRPr="00306A83">
        <w:rPr>
          <w:rFonts w:asciiTheme="majorBidi" w:eastAsia="Times New Roman" w:hAnsiTheme="majorBidi" w:cstheme="majorBidi"/>
          <w:b/>
        </w:rPr>
        <w:tab/>
        <w:t xml:space="preserve"> </w:t>
      </w:r>
      <w:r w:rsidRPr="00306A83">
        <w:rPr>
          <w:rFonts w:asciiTheme="majorBidi" w:eastAsia="Times New Roman" w:hAnsiTheme="majorBidi" w:cstheme="majorBidi"/>
          <w:b/>
        </w:rPr>
        <w:tab/>
      </w:r>
      <w:r w:rsidRPr="00306A83">
        <w:rPr>
          <w:rFonts w:asciiTheme="majorBidi" w:eastAsia="Times New Roman" w:hAnsiTheme="majorBidi" w:cstheme="majorBidi"/>
          <w:b/>
        </w:rPr>
        <w:tab/>
      </w:r>
    </w:p>
    <w:p w14:paraId="7D208E18" w14:textId="77777777" w:rsidR="003B4185" w:rsidRPr="00306A83" w:rsidRDefault="006803DD">
      <w:pPr>
        <w:jc w:val="both"/>
        <w:rPr>
          <w:rFonts w:asciiTheme="majorBidi" w:eastAsia="Times New Roman" w:hAnsiTheme="majorBidi" w:cstheme="majorBidi"/>
          <w:b/>
        </w:rPr>
      </w:pPr>
      <w:r w:rsidRPr="00306A83">
        <w:rPr>
          <w:rFonts w:asciiTheme="majorBidi" w:eastAsia="Times New Roman" w:hAnsiTheme="majorBidi" w:cstheme="majorBidi"/>
        </w:rPr>
        <w:t>L’OMCT est la principale coalition d’ONG lu</w:t>
      </w:r>
      <w:r w:rsidRPr="00306A83">
        <w:rPr>
          <w:rFonts w:asciiTheme="majorBidi" w:eastAsia="Times New Roman" w:hAnsiTheme="majorBidi" w:cstheme="majorBidi"/>
        </w:rPr>
        <w:t xml:space="preserve">ttant contre la torture et les mauvais traitements. Son mouvement compte plus de 200 organisations locales, membres du </w:t>
      </w:r>
      <w:proofErr w:type="spellStart"/>
      <w:r w:rsidRPr="00306A83">
        <w:rPr>
          <w:rFonts w:asciiTheme="majorBidi" w:eastAsia="Times New Roman" w:hAnsiTheme="majorBidi" w:cstheme="majorBidi"/>
        </w:rPr>
        <w:t>Réseau</w:t>
      </w:r>
      <w:proofErr w:type="spellEnd"/>
      <w:r w:rsidRPr="00306A83">
        <w:rPr>
          <w:rFonts w:asciiTheme="majorBidi" w:eastAsia="Times New Roman" w:hAnsiTheme="majorBidi" w:cstheme="majorBidi"/>
        </w:rPr>
        <w:t xml:space="preserve"> SOS-Torture et actives dans plus de 90 pays à travers le monde. </w:t>
      </w:r>
      <w:proofErr w:type="spellStart"/>
      <w:r w:rsidRPr="00306A83">
        <w:rPr>
          <w:rFonts w:asciiTheme="majorBidi" w:eastAsia="Times New Roman" w:hAnsiTheme="majorBidi" w:cstheme="majorBidi"/>
        </w:rPr>
        <w:t>Motivée</w:t>
      </w:r>
      <w:proofErr w:type="spellEnd"/>
      <w:r w:rsidRPr="00306A83">
        <w:rPr>
          <w:rFonts w:asciiTheme="majorBidi" w:eastAsia="Times New Roman" w:hAnsiTheme="majorBidi" w:cstheme="majorBidi"/>
        </w:rPr>
        <w:t xml:space="preserve"> par les besoins de ses membres, l’OMCT œuvre dans tous </w:t>
      </w:r>
      <w:r w:rsidRPr="00306A83">
        <w:rPr>
          <w:rFonts w:asciiTheme="majorBidi" w:eastAsia="Times New Roman" w:hAnsiTheme="majorBidi" w:cstheme="majorBidi"/>
        </w:rPr>
        <w:t xml:space="preserve">les domaines du travail contre la torture – </w:t>
      </w:r>
      <w:proofErr w:type="spellStart"/>
      <w:r w:rsidRPr="00306A83">
        <w:rPr>
          <w:rFonts w:asciiTheme="majorBidi" w:eastAsia="Times New Roman" w:hAnsiTheme="majorBidi" w:cstheme="majorBidi"/>
        </w:rPr>
        <w:t>prévention</w:t>
      </w:r>
      <w:proofErr w:type="spellEnd"/>
      <w:r w:rsidRPr="00306A83">
        <w:rPr>
          <w:rFonts w:asciiTheme="majorBidi" w:eastAsia="Times New Roman" w:hAnsiTheme="majorBidi" w:cstheme="majorBidi"/>
        </w:rPr>
        <w:t>, lutte contre l’</w:t>
      </w:r>
      <w:proofErr w:type="spellStart"/>
      <w:r w:rsidRPr="00306A83">
        <w:rPr>
          <w:rFonts w:asciiTheme="majorBidi" w:eastAsia="Times New Roman" w:hAnsiTheme="majorBidi" w:cstheme="majorBidi"/>
        </w:rPr>
        <w:t>impunite</w:t>
      </w:r>
      <w:proofErr w:type="spellEnd"/>
      <w:r w:rsidRPr="00306A83">
        <w:rPr>
          <w:rFonts w:asciiTheme="majorBidi" w:eastAsia="Times New Roman" w:hAnsiTheme="majorBidi" w:cstheme="majorBidi"/>
        </w:rPr>
        <w:t xml:space="preserve">́, assistance directe, </w:t>
      </w:r>
      <w:proofErr w:type="spellStart"/>
      <w:r w:rsidRPr="00306A83">
        <w:rPr>
          <w:rFonts w:asciiTheme="majorBidi" w:eastAsia="Times New Roman" w:hAnsiTheme="majorBidi" w:cstheme="majorBidi"/>
        </w:rPr>
        <w:t>réhabilitation</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réparation</w:t>
      </w:r>
      <w:proofErr w:type="spellEnd"/>
      <w:r w:rsidRPr="00306A83">
        <w:rPr>
          <w:rFonts w:asciiTheme="majorBidi" w:eastAsia="Times New Roman" w:hAnsiTheme="majorBidi" w:cstheme="majorBidi"/>
        </w:rPr>
        <w:t xml:space="preserve"> et protection – pour les victimes et leurs familles, pour les </w:t>
      </w:r>
      <w:proofErr w:type="spellStart"/>
      <w:r w:rsidRPr="00306A83">
        <w:rPr>
          <w:rFonts w:asciiTheme="majorBidi" w:eastAsia="Times New Roman" w:hAnsiTheme="majorBidi" w:cstheme="majorBidi"/>
        </w:rPr>
        <w:t>défenseurs</w:t>
      </w:r>
      <w:proofErr w:type="spellEnd"/>
      <w:r w:rsidRPr="00306A83">
        <w:rPr>
          <w:rFonts w:asciiTheme="majorBidi" w:eastAsia="Times New Roman" w:hAnsiTheme="majorBidi" w:cstheme="majorBidi"/>
        </w:rPr>
        <w:t xml:space="preserve"> des droits humains et pour que tout un chacun puis</w:t>
      </w:r>
      <w:r w:rsidRPr="00306A83">
        <w:rPr>
          <w:rFonts w:asciiTheme="majorBidi" w:eastAsia="Times New Roman" w:hAnsiTheme="majorBidi" w:cstheme="majorBidi"/>
        </w:rPr>
        <w:t xml:space="preserve">se vivre dans un monde sans torture. L’OMCT est une ONG internationale suisse, </w:t>
      </w:r>
      <w:proofErr w:type="spellStart"/>
      <w:r w:rsidRPr="00306A83">
        <w:rPr>
          <w:rFonts w:asciiTheme="majorBidi" w:eastAsia="Times New Roman" w:hAnsiTheme="majorBidi" w:cstheme="majorBidi"/>
        </w:rPr>
        <w:t>indépendante</w:t>
      </w:r>
      <w:proofErr w:type="spellEnd"/>
      <w:r w:rsidRPr="00306A83">
        <w:rPr>
          <w:rFonts w:asciiTheme="majorBidi" w:eastAsia="Times New Roman" w:hAnsiTheme="majorBidi" w:cstheme="majorBidi"/>
        </w:rPr>
        <w:t xml:space="preserve">, apolitique et non confessionnelle, </w:t>
      </w:r>
      <w:proofErr w:type="spellStart"/>
      <w:r w:rsidRPr="00306A83">
        <w:rPr>
          <w:rFonts w:asciiTheme="majorBidi" w:eastAsia="Times New Roman" w:hAnsiTheme="majorBidi" w:cstheme="majorBidi"/>
        </w:rPr>
        <w:t>fondée</w:t>
      </w:r>
      <w:proofErr w:type="spellEnd"/>
      <w:r w:rsidRPr="00306A83">
        <w:rPr>
          <w:rFonts w:asciiTheme="majorBidi" w:eastAsia="Times New Roman" w:hAnsiTheme="majorBidi" w:cstheme="majorBidi"/>
        </w:rPr>
        <w:t xml:space="preserve"> à </w:t>
      </w:r>
      <w:proofErr w:type="spellStart"/>
      <w:r w:rsidRPr="00306A83">
        <w:rPr>
          <w:rFonts w:asciiTheme="majorBidi" w:eastAsia="Times New Roman" w:hAnsiTheme="majorBidi" w:cstheme="majorBidi"/>
        </w:rPr>
        <w:t>Genève</w:t>
      </w:r>
      <w:proofErr w:type="spellEnd"/>
      <w:r w:rsidRPr="00306A83">
        <w:rPr>
          <w:rFonts w:asciiTheme="majorBidi" w:eastAsia="Times New Roman" w:hAnsiTheme="majorBidi" w:cstheme="majorBidi"/>
        </w:rPr>
        <w:t xml:space="preserve"> en 1985. Son </w:t>
      </w:r>
      <w:proofErr w:type="spellStart"/>
      <w:r w:rsidRPr="00306A83">
        <w:rPr>
          <w:rFonts w:asciiTheme="majorBidi" w:eastAsia="Times New Roman" w:hAnsiTheme="majorBidi" w:cstheme="majorBidi"/>
        </w:rPr>
        <w:t>secrétariat</w:t>
      </w:r>
      <w:proofErr w:type="spellEnd"/>
      <w:r w:rsidRPr="00306A83">
        <w:rPr>
          <w:rFonts w:asciiTheme="majorBidi" w:eastAsia="Times New Roman" w:hAnsiTheme="majorBidi" w:cstheme="majorBidi"/>
        </w:rPr>
        <w:t xml:space="preserve"> international est basé en Suisse et elle dispose de bureaux en Tunisie et en Belg</w:t>
      </w:r>
      <w:r w:rsidRPr="00306A83">
        <w:rPr>
          <w:rFonts w:asciiTheme="majorBidi" w:eastAsia="Times New Roman" w:hAnsiTheme="majorBidi" w:cstheme="majorBidi"/>
        </w:rPr>
        <w:t>ique.</w:t>
      </w:r>
      <w:r w:rsidRPr="00306A83">
        <w:rPr>
          <w:rFonts w:asciiTheme="majorBidi" w:hAnsiTheme="majorBidi" w:cstheme="majorBidi"/>
        </w:rPr>
        <w:br w:type="page"/>
      </w:r>
    </w:p>
    <w:p w14:paraId="175170E1" w14:textId="77777777" w:rsidR="00F40C8C" w:rsidRPr="00306A83" w:rsidRDefault="00F40C8C" w:rsidP="00F40C8C">
      <w:pPr>
        <w:jc w:val="center"/>
        <w:rPr>
          <w:rFonts w:asciiTheme="majorBidi" w:eastAsia="Times New Roman" w:hAnsiTheme="majorBidi" w:cstheme="majorBidi"/>
          <w:b/>
        </w:rPr>
      </w:pPr>
    </w:p>
    <w:sdt>
      <w:sdtPr>
        <w:rPr>
          <w:rFonts w:ascii="Calibri" w:eastAsia="Calibri" w:hAnsi="Calibri" w:cs="Calibri"/>
          <w:b w:val="0"/>
          <w:bCs w:val="0"/>
          <w:color w:val="auto"/>
          <w:sz w:val="24"/>
          <w:szCs w:val="24"/>
          <w:lang w:val="fr-FR"/>
        </w:rPr>
        <w:id w:val="1846054913"/>
        <w:docPartObj>
          <w:docPartGallery w:val="Table of Contents"/>
          <w:docPartUnique/>
        </w:docPartObj>
      </w:sdtPr>
      <w:sdtEndPr>
        <w:rPr>
          <w:noProof/>
        </w:rPr>
      </w:sdtEndPr>
      <w:sdtContent>
        <w:p w14:paraId="313ADA68" w14:textId="56F2ADDC" w:rsidR="00947169" w:rsidRPr="00947169" w:rsidRDefault="00947169">
          <w:pPr>
            <w:pStyle w:val="TOCHeading"/>
            <w:rPr>
              <w:rFonts w:asciiTheme="majorBidi" w:hAnsiTheme="majorBidi"/>
              <w:sz w:val="26"/>
              <w:szCs w:val="26"/>
            </w:rPr>
          </w:pPr>
          <w:r w:rsidRPr="00947169">
            <w:rPr>
              <w:rFonts w:asciiTheme="majorBidi" w:hAnsiTheme="majorBidi"/>
              <w:sz w:val="26"/>
              <w:szCs w:val="26"/>
              <w:lang w:val="fr-FR"/>
            </w:rPr>
            <w:t>Table des matières</w:t>
          </w:r>
        </w:p>
        <w:p w14:paraId="48263AC7" w14:textId="14B0444F" w:rsidR="00947169" w:rsidRPr="00947169" w:rsidRDefault="00947169" w:rsidP="00035696">
          <w:pPr>
            <w:pStyle w:val="TOC1"/>
            <w:rPr>
              <w:rFonts w:eastAsiaTheme="minorEastAsia"/>
              <w:kern w:val="2"/>
              <w:lang w:val="fr-CH"/>
              <w14:ligatures w14:val="standardContextual"/>
            </w:rPr>
          </w:pPr>
          <w:r w:rsidRPr="00947169">
            <w:rPr>
              <w:noProof w:val="0"/>
            </w:rPr>
            <w:fldChar w:fldCharType="begin"/>
          </w:r>
          <w:r w:rsidRPr="00947169">
            <w:instrText>TOC \o "1-3" \h \z \u</w:instrText>
          </w:r>
          <w:r w:rsidRPr="00947169">
            <w:rPr>
              <w:noProof w:val="0"/>
            </w:rPr>
            <w:fldChar w:fldCharType="separate"/>
          </w:r>
          <w:hyperlink w:anchor="_Toc168990339" w:history="1">
            <w:r w:rsidRPr="00947169">
              <w:rPr>
                <w:rStyle w:val="Hyperlink"/>
              </w:rPr>
              <w:t>Introduction</w:t>
            </w:r>
            <w:r w:rsidRPr="00947169">
              <w:rPr>
                <w:webHidden/>
              </w:rPr>
              <w:tab/>
            </w:r>
            <w:r w:rsidRPr="00947169">
              <w:rPr>
                <w:webHidden/>
              </w:rPr>
              <w:fldChar w:fldCharType="begin"/>
            </w:r>
            <w:r w:rsidRPr="00947169">
              <w:rPr>
                <w:webHidden/>
              </w:rPr>
              <w:instrText xml:space="preserve"> PAGEREF _Toc168990339 \h </w:instrText>
            </w:r>
            <w:r w:rsidRPr="00947169">
              <w:rPr>
                <w:webHidden/>
              </w:rPr>
            </w:r>
            <w:r w:rsidRPr="00947169">
              <w:rPr>
                <w:webHidden/>
              </w:rPr>
              <w:fldChar w:fldCharType="separate"/>
            </w:r>
            <w:r w:rsidR="007C5C61">
              <w:rPr>
                <w:webHidden/>
              </w:rPr>
              <w:t>6</w:t>
            </w:r>
            <w:r w:rsidRPr="00947169">
              <w:rPr>
                <w:webHidden/>
              </w:rPr>
              <w:fldChar w:fldCharType="end"/>
            </w:r>
          </w:hyperlink>
        </w:p>
        <w:p w14:paraId="7DA9C014" w14:textId="332480C1" w:rsidR="00947169" w:rsidRPr="00947169" w:rsidRDefault="006803DD" w:rsidP="00035696">
          <w:pPr>
            <w:pStyle w:val="TOC1"/>
            <w:rPr>
              <w:rFonts w:eastAsiaTheme="minorEastAsia"/>
              <w:kern w:val="2"/>
              <w:lang w:val="fr-CH"/>
              <w14:ligatures w14:val="standardContextual"/>
            </w:rPr>
          </w:pPr>
          <w:hyperlink w:anchor="_Toc168990340" w:history="1">
            <w:r w:rsidR="00947169" w:rsidRPr="00947169">
              <w:rPr>
                <w:rStyle w:val="Hyperlink"/>
              </w:rPr>
              <w:t>Résumé</w:t>
            </w:r>
            <w:r w:rsidR="00947169" w:rsidRPr="00947169">
              <w:rPr>
                <w:webHidden/>
              </w:rPr>
              <w:tab/>
            </w:r>
            <w:r w:rsidR="00947169" w:rsidRPr="00947169">
              <w:rPr>
                <w:webHidden/>
              </w:rPr>
              <w:fldChar w:fldCharType="begin"/>
            </w:r>
            <w:r w:rsidR="00947169" w:rsidRPr="00947169">
              <w:rPr>
                <w:webHidden/>
              </w:rPr>
              <w:instrText xml:space="preserve"> PAGEREF _Toc168990340 \h </w:instrText>
            </w:r>
            <w:r w:rsidR="00947169" w:rsidRPr="00947169">
              <w:rPr>
                <w:webHidden/>
              </w:rPr>
            </w:r>
            <w:r w:rsidR="00947169" w:rsidRPr="00947169">
              <w:rPr>
                <w:webHidden/>
              </w:rPr>
              <w:fldChar w:fldCharType="separate"/>
            </w:r>
            <w:r w:rsidR="007C5C61">
              <w:rPr>
                <w:webHidden/>
              </w:rPr>
              <w:t>8</w:t>
            </w:r>
            <w:r w:rsidR="00947169" w:rsidRPr="00947169">
              <w:rPr>
                <w:webHidden/>
              </w:rPr>
              <w:fldChar w:fldCharType="end"/>
            </w:r>
          </w:hyperlink>
        </w:p>
        <w:p w14:paraId="743AACA8" w14:textId="463799A6" w:rsidR="00947169" w:rsidRPr="00947169" w:rsidRDefault="006803DD" w:rsidP="00035696">
          <w:pPr>
            <w:pStyle w:val="TOC1"/>
            <w:rPr>
              <w:rFonts w:eastAsiaTheme="minorEastAsia"/>
              <w:kern w:val="2"/>
              <w:lang w:val="fr-CH"/>
              <w14:ligatures w14:val="standardContextual"/>
            </w:rPr>
          </w:pPr>
          <w:hyperlink w:anchor="_Toc168990341" w:history="1">
            <w:r w:rsidR="00947169" w:rsidRPr="00947169">
              <w:rPr>
                <w:rStyle w:val="Hyperlink"/>
              </w:rPr>
              <w:t>I.</w:t>
            </w:r>
            <w:r w:rsidR="00321F83">
              <w:rPr>
                <w:rFonts w:eastAsiaTheme="minorEastAsia"/>
                <w:kern w:val="2"/>
                <w:lang w:val="fr-CH"/>
                <w14:ligatures w14:val="standardContextual"/>
              </w:rPr>
              <w:t xml:space="preserve"> </w:t>
            </w:r>
            <w:r w:rsidR="00947169" w:rsidRPr="00947169">
              <w:rPr>
                <w:rStyle w:val="Hyperlink"/>
              </w:rPr>
              <w:t>Les insuffisances du cadre législatif ivoirien pour lutter contre la torture et les mauvais traitements</w:t>
            </w:r>
            <w:r w:rsidR="00947169" w:rsidRPr="00947169">
              <w:rPr>
                <w:webHidden/>
              </w:rPr>
              <w:tab/>
            </w:r>
            <w:r w:rsidR="00947169" w:rsidRPr="00947169">
              <w:rPr>
                <w:webHidden/>
              </w:rPr>
              <w:fldChar w:fldCharType="begin"/>
            </w:r>
            <w:r w:rsidR="00947169" w:rsidRPr="00947169">
              <w:rPr>
                <w:webHidden/>
              </w:rPr>
              <w:instrText xml:space="preserve"> PAGEREF _Toc168990341 \h </w:instrText>
            </w:r>
            <w:r w:rsidR="00947169" w:rsidRPr="00947169">
              <w:rPr>
                <w:webHidden/>
              </w:rPr>
            </w:r>
            <w:r w:rsidR="00947169" w:rsidRPr="00947169">
              <w:rPr>
                <w:webHidden/>
              </w:rPr>
              <w:fldChar w:fldCharType="separate"/>
            </w:r>
            <w:r w:rsidR="007C5C61">
              <w:rPr>
                <w:webHidden/>
              </w:rPr>
              <w:t>10</w:t>
            </w:r>
            <w:r w:rsidR="00947169" w:rsidRPr="00947169">
              <w:rPr>
                <w:webHidden/>
              </w:rPr>
              <w:fldChar w:fldCharType="end"/>
            </w:r>
          </w:hyperlink>
        </w:p>
        <w:p w14:paraId="09FEB0BB" w14:textId="6771DF6E"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2" w:history="1">
            <w:r w:rsidR="00947169" w:rsidRPr="00947169">
              <w:rPr>
                <w:rStyle w:val="Hyperlink"/>
                <w:rFonts w:asciiTheme="majorBidi" w:hAnsiTheme="majorBidi" w:cstheme="majorBidi"/>
                <w:noProof/>
                <w:szCs w:val="22"/>
              </w:rPr>
              <w:t>1.</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Absence de conformité de la définition de la torture prévue par la loi n°2019-574 de 2019</w:t>
            </w:r>
            <w:r w:rsidR="00947169" w:rsidRPr="00947169">
              <w:rPr>
                <w:rStyle w:val="Hyperlink"/>
                <w:rFonts w:asciiTheme="majorBidi" w:hAnsiTheme="majorBidi" w:cstheme="majorBidi"/>
                <w:noProof/>
                <w:szCs w:val="22"/>
                <w:highlight w:val="white"/>
              </w:rPr>
              <w:t xml:space="preserve"> </w:t>
            </w:r>
            <w:r w:rsidR="00947169" w:rsidRPr="00947169">
              <w:rPr>
                <w:rStyle w:val="Hyperlink"/>
                <w:rFonts w:asciiTheme="majorBidi" w:hAnsiTheme="majorBidi" w:cstheme="majorBidi"/>
                <w:noProof/>
                <w:szCs w:val="22"/>
              </w:rPr>
              <w:t>(Article 1er)</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_Toc168990342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10</w:t>
            </w:r>
            <w:r w:rsidR="00947169" w:rsidRPr="00947169">
              <w:rPr>
                <w:rFonts w:asciiTheme="majorBidi" w:hAnsiTheme="majorBidi" w:cstheme="majorBidi"/>
                <w:noProof/>
                <w:webHidden/>
                <w:szCs w:val="22"/>
              </w:rPr>
              <w:fldChar w:fldCharType="end"/>
            </w:r>
          </w:hyperlink>
        </w:p>
        <w:p w14:paraId="0ACEA79D" w14:textId="7B3D197A"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3" w:history="1">
            <w:r w:rsidR="00947169" w:rsidRPr="00947169">
              <w:rPr>
                <w:rStyle w:val="Hyperlink"/>
                <w:rFonts w:asciiTheme="majorBidi" w:hAnsiTheme="majorBidi" w:cstheme="majorBidi"/>
                <w:noProof/>
                <w:szCs w:val="22"/>
              </w:rPr>
              <w:t>2.</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Cadre législatif insuffisant pour la criminalisation de la torture (Article 4)</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_Toc168990343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12</w:t>
            </w:r>
            <w:r w:rsidR="00947169" w:rsidRPr="00947169">
              <w:rPr>
                <w:rFonts w:asciiTheme="majorBidi" w:hAnsiTheme="majorBidi" w:cstheme="majorBidi"/>
                <w:noProof/>
                <w:webHidden/>
                <w:szCs w:val="22"/>
              </w:rPr>
              <w:fldChar w:fldCharType="end"/>
            </w:r>
          </w:hyperlink>
        </w:p>
        <w:p w14:paraId="3500F5EC" w14:textId="1E681D31"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4" w:history="1">
            <w:r w:rsidR="00947169" w:rsidRPr="00947169">
              <w:rPr>
                <w:rStyle w:val="Hyperlink"/>
                <w:rFonts w:asciiTheme="majorBidi" w:hAnsiTheme="majorBidi" w:cstheme="majorBidi"/>
                <w:noProof/>
                <w:szCs w:val="22"/>
              </w:rPr>
              <w:t>3.</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Absence d’imprescribilité des actes de torture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_Toc168990344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13</w:t>
            </w:r>
            <w:r w:rsidR="00947169" w:rsidRPr="00947169">
              <w:rPr>
                <w:rFonts w:asciiTheme="majorBidi" w:hAnsiTheme="majorBidi" w:cstheme="majorBidi"/>
                <w:noProof/>
                <w:webHidden/>
                <w:szCs w:val="22"/>
              </w:rPr>
              <w:fldChar w:fldCharType="end"/>
            </w:r>
          </w:hyperlink>
        </w:p>
        <w:p w14:paraId="00E727F2" w14:textId="4DF21964"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5" w:history="1">
            <w:r w:rsidR="00947169" w:rsidRPr="00947169">
              <w:rPr>
                <w:rStyle w:val="Hyperlink"/>
                <w:rFonts w:asciiTheme="majorBidi" w:hAnsiTheme="majorBidi" w:cstheme="majorBidi"/>
                <w:noProof/>
                <w:szCs w:val="22"/>
              </w:rPr>
              <w:t>4.</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Principe de non-refoulement (Article 3)</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_Toc168990345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13</w:t>
            </w:r>
            <w:r w:rsidR="00947169" w:rsidRPr="00947169">
              <w:rPr>
                <w:rFonts w:asciiTheme="majorBidi" w:hAnsiTheme="majorBidi" w:cstheme="majorBidi"/>
                <w:noProof/>
                <w:webHidden/>
                <w:szCs w:val="22"/>
              </w:rPr>
              <w:fldChar w:fldCharType="end"/>
            </w:r>
          </w:hyperlink>
        </w:p>
        <w:p w14:paraId="3EF40DC9" w14:textId="2E7E4B46"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6" w:history="1">
            <w:r w:rsidR="00947169" w:rsidRPr="00947169">
              <w:rPr>
                <w:rStyle w:val="Hyperlink"/>
                <w:rFonts w:asciiTheme="majorBidi" w:hAnsiTheme="majorBidi" w:cstheme="majorBidi"/>
                <w:noProof/>
                <w:szCs w:val="22"/>
              </w:rPr>
              <w:t>5.</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Insuffisances de la législation sur la compétence universelle (Article 5)</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_Toc168990346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14</w:t>
            </w:r>
            <w:r w:rsidR="00947169" w:rsidRPr="00947169">
              <w:rPr>
                <w:rFonts w:asciiTheme="majorBidi" w:hAnsiTheme="majorBidi" w:cstheme="majorBidi"/>
                <w:noProof/>
                <w:webHidden/>
                <w:szCs w:val="22"/>
              </w:rPr>
              <w:fldChar w:fldCharType="end"/>
            </w:r>
          </w:hyperlink>
        </w:p>
        <w:p w14:paraId="33C1AB91" w14:textId="1C402F89"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7" w:history="1">
            <w:r w:rsidR="00947169" w:rsidRPr="00947169">
              <w:rPr>
                <w:rStyle w:val="Hyperlink"/>
                <w:rFonts w:asciiTheme="majorBidi" w:hAnsiTheme="majorBidi" w:cstheme="majorBidi"/>
                <w:noProof/>
                <w:szCs w:val="22"/>
              </w:rPr>
              <w:t>6.</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Irrecevabilité des preuves obtenues sous la torture (Article 15)</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_Toc168990347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15</w:t>
            </w:r>
            <w:r w:rsidR="00947169" w:rsidRPr="00947169">
              <w:rPr>
                <w:rFonts w:asciiTheme="majorBidi" w:hAnsiTheme="majorBidi" w:cstheme="majorBidi"/>
                <w:noProof/>
                <w:webHidden/>
                <w:szCs w:val="22"/>
              </w:rPr>
              <w:fldChar w:fldCharType="end"/>
            </w:r>
          </w:hyperlink>
        </w:p>
        <w:p w14:paraId="27DFACEC" w14:textId="08B1C52A"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48" w:history="1">
            <w:r w:rsidR="00947169" w:rsidRPr="00947169">
              <w:rPr>
                <w:rStyle w:val="Hyperlink"/>
                <w:rFonts w:asciiTheme="majorBidi" w:hAnsiTheme="majorBidi" w:cstheme="majorBidi"/>
                <w:noProof/>
                <w:szCs w:val="22"/>
              </w:rPr>
              <w:t>7.</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Absence de mise en œuvre effective de la loi criminalisant la torture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_Toc168990348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15</w:t>
            </w:r>
            <w:r w:rsidR="00947169" w:rsidRPr="00947169">
              <w:rPr>
                <w:rFonts w:asciiTheme="majorBidi" w:hAnsiTheme="majorBidi" w:cstheme="majorBidi"/>
                <w:noProof/>
                <w:webHidden/>
                <w:szCs w:val="22"/>
              </w:rPr>
              <w:fldChar w:fldCharType="end"/>
            </w:r>
          </w:hyperlink>
        </w:p>
        <w:p w14:paraId="4AF9AC01" w14:textId="4F0FF93F" w:rsidR="00947169" w:rsidRPr="00947169" w:rsidRDefault="006803DD" w:rsidP="00035696">
          <w:pPr>
            <w:pStyle w:val="TOC1"/>
            <w:rPr>
              <w:rFonts w:eastAsiaTheme="minorEastAsia"/>
              <w:kern w:val="2"/>
              <w:lang w:val="fr-CH"/>
              <w14:ligatures w14:val="standardContextual"/>
            </w:rPr>
          </w:pPr>
          <w:hyperlink w:anchor="_Toc168990349" w:history="1">
            <w:r w:rsidR="00947169" w:rsidRPr="00947169">
              <w:rPr>
                <w:rStyle w:val="Hyperlink"/>
              </w:rPr>
              <w:t>II.</w:t>
            </w:r>
            <w:r w:rsidR="00321F83">
              <w:rPr>
                <w:rFonts w:eastAsiaTheme="minorEastAsia"/>
                <w:kern w:val="2"/>
                <w:lang w:val="fr-CH"/>
                <w14:ligatures w14:val="standardContextual"/>
              </w:rPr>
              <w:t xml:space="preserve"> </w:t>
            </w:r>
            <w:r w:rsidR="00947169" w:rsidRPr="00947169">
              <w:rPr>
                <w:rStyle w:val="Hyperlink"/>
              </w:rPr>
              <w:t>Les garanties juridiques des personnes privées de liberté mises à mal en pratique (Article 2)</w:t>
            </w:r>
            <w:r w:rsidR="00947169" w:rsidRPr="00947169">
              <w:rPr>
                <w:webHidden/>
              </w:rPr>
              <w:tab/>
            </w:r>
            <w:r w:rsidR="00947169" w:rsidRPr="00947169">
              <w:rPr>
                <w:webHidden/>
              </w:rPr>
              <w:fldChar w:fldCharType="begin"/>
            </w:r>
            <w:r w:rsidR="00947169" w:rsidRPr="00947169">
              <w:rPr>
                <w:webHidden/>
              </w:rPr>
              <w:instrText xml:space="preserve"> PAGEREF _Toc168990349 \h </w:instrText>
            </w:r>
            <w:r w:rsidR="00947169" w:rsidRPr="00947169">
              <w:rPr>
                <w:webHidden/>
              </w:rPr>
            </w:r>
            <w:r w:rsidR="00947169" w:rsidRPr="00947169">
              <w:rPr>
                <w:webHidden/>
              </w:rPr>
              <w:fldChar w:fldCharType="separate"/>
            </w:r>
            <w:r w:rsidR="007C5C61">
              <w:rPr>
                <w:webHidden/>
              </w:rPr>
              <w:t>16</w:t>
            </w:r>
            <w:r w:rsidR="00947169" w:rsidRPr="00947169">
              <w:rPr>
                <w:webHidden/>
              </w:rPr>
              <w:fldChar w:fldCharType="end"/>
            </w:r>
          </w:hyperlink>
        </w:p>
        <w:p w14:paraId="67488D22" w14:textId="65D3DD4B"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50" w:history="1">
            <w:r w:rsidR="00947169" w:rsidRPr="00947169">
              <w:rPr>
                <w:rStyle w:val="Hyperlink"/>
                <w:rFonts w:asciiTheme="majorBidi" w:hAnsiTheme="majorBidi" w:cstheme="majorBidi"/>
                <w:noProof/>
                <w:szCs w:val="22"/>
              </w:rPr>
              <w:t>1.</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Non-respect des droits lors de la garde-à-vue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_Toc168990350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16</w:t>
            </w:r>
            <w:r w:rsidR="00947169" w:rsidRPr="00947169">
              <w:rPr>
                <w:rFonts w:asciiTheme="majorBidi" w:hAnsiTheme="majorBidi" w:cstheme="majorBidi"/>
                <w:noProof/>
                <w:webHidden/>
                <w:szCs w:val="22"/>
              </w:rPr>
              <w:fldChar w:fldCharType="end"/>
            </w:r>
          </w:hyperlink>
        </w:p>
        <w:p w14:paraId="655B4B55" w14:textId="49A75C0A"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51" w:history="1">
            <w:r w:rsidR="00947169" w:rsidRPr="00947169">
              <w:rPr>
                <w:rStyle w:val="Hyperlink"/>
                <w:rFonts w:asciiTheme="majorBidi" w:hAnsiTheme="majorBidi" w:cstheme="majorBidi"/>
                <w:noProof/>
                <w:szCs w:val="22"/>
              </w:rPr>
              <w:t>2.</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Non respect flagrant des délais de détention préventive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_Toc168990351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17</w:t>
            </w:r>
            <w:r w:rsidR="00947169" w:rsidRPr="00947169">
              <w:rPr>
                <w:rFonts w:asciiTheme="majorBidi" w:hAnsiTheme="majorBidi" w:cstheme="majorBidi"/>
                <w:noProof/>
                <w:webHidden/>
                <w:szCs w:val="22"/>
              </w:rPr>
              <w:fldChar w:fldCharType="end"/>
            </w:r>
          </w:hyperlink>
        </w:p>
        <w:p w14:paraId="7A65F0FD" w14:textId="1834C0C0"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52" w:history="1">
            <w:r w:rsidR="00947169" w:rsidRPr="00947169">
              <w:rPr>
                <w:rStyle w:val="Hyperlink"/>
                <w:rFonts w:asciiTheme="majorBidi" w:hAnsiTheme="majorBidi" w:cstheme="majorBidi"/>
                <w:noProof/>
                <w:szCs w:val="22"/>
              </w:rPr>
              <w:t>3.</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Réparation en cas de détention abusive ou injustifiée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_Toc168990352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19</w:t>
            </w:r>
            <w:r w:rsidR="00947169" w:rsidRPr="00947169">
              <w:rPr>
                <w:rFonts w:asciiTheme="majorBidi" w:hAnsiTheme="majorBidi" w:cstheme="majorBidi"/>
                <w:noProof/>
                <w:webHidden/>
                <w:szCs w:val="22"/>
              </w:rPr>
              <w:fldChar w:fldCharType="end"/>
            </w:r>
          </w:hyperlink>
        </w:p>
        <w:p w14:paraId="33DB1671" w14:textId="58AE050C"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53" w:history="1">
            <w:r w:rsidR="00947169" w:rsidRPr="00947169">
              <w:rPr>
                <w:rStyle w:val="Hyperlink"/>
                <w:rFonts w:asciiTheme="majorBidi" w:hAnsiTheme="majorBidi" w:cstheme="majorBidi"/>
                <w:noProof/>
                <w:szCs w:val="22"/>
              </w:rPr>
              <w:t>4.</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Garanties juridiques des personnes étrangères privées de liberté</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_Toc168990353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19</w:t>
            </w:r>
            <w:r w:rsidR="00947169" w:rsidRPr="00947169">
              <w:rPr>
                <w:rFonts w:asciiTheme="majorBidi" w:hAnsiTheme="majorBidi" w:cstheme="majorBidi"/>
                <w:noProof/>
                <w:webHidden/>
                <w:szCs w:val="22"/>
              </w:rPr>
              <w:fldChar w:fldCharType="end"/>
            </w:r>
          </w:hyperlink>
        </w:p>
        <w:p w14:paraId="76F8C28A" w14:textId="70AB7937"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54" w:history="1">
            <w:r w:rsidR="00947169" w:rsidRPr="00947169">
              <w:rPr>
                <w:rStyle w:val="Hyperlink"/>
                <w:rFonts w:asciiTheme="majorBidi" w:hAnsiTheme="majorBidi" w:cstheme="majorBidi"/>
                <w:noProof/>
                <w:szCs w:val="22"/>
              </w:rPr>
              <w:t>5.</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Garanties juridiques des personnes accusées de terrorisme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_Toc168990354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20</w:t>
            </w:r>
            <w:r w:rsidR="00947169" w:rsidRPr="00947169">
              <w:rPr>
                <w:rFonts w:asciiTheme="majorBidi" w:hAnsiTheme="majorBidi" w:cstheme="majorBidi"/>
                <w:noProof/>
                <w:webHidden/>
                <w:szCs w:val="22"/>
              </w:rPr>
              <w:fldChar w:fldCharType="end"/>
            </w:r>
          </w:hyperlink>
        </w:p>
        <w:p w14:paraId="404C3200" w14:textId="6CF0FB19"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55" w:history="1">
            <w:r w:rsidR="00947169" w:rsidRPr="00947169">
              <w:rPr>
                <w:rStyle w:val="Hyperlink"/>
                <w:rFonts w:asciiTheme="majorBidi" w:hAnsiTheme="majorBidi" w:cstheme="majorBidi"/>
                <w:noProof/>
                <w:szCs w:val="22"/>
              </w:rPr>
              <w:t>6.</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Détention au secret: lieux non officiels de détention</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_Toc168990355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21</w:t>
            </w:r>
            <w:r w:rsidR="00947169" w:rsidRPr="00947169">
              <w:rPr>
                <w:rFonts w:asciiTheme="majorBidi" w:hAnsiTheme="majorBidi" w:cstheme="majorBidi"/>
                <w:noProof/>
                <w:webHidden/>
                <w:szCs w:val="22"/>
              </w:rPr>
              <w:fldChar w:fldCharType="end"/>
            </w:r>
          </w:hyperlink>
        </w:p>
        <w:p w14:paraId="46270C3B" w14:textId="2136D8DC"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56"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highlight w:val="white"/>
              </w:rPr>
              <w:t xml:space="preserve">L’Ex </w:t>
            </w:r>
            <w:r w:rsidR="00947169" w:rsidRPr="00947169">
              <w:rPr>
                <w:rStyle w:val="Hyperlink"/>
                <w:rFonts w:asciiTheme="majorBidi" w:hAnsiTheme="majorBidi" w:cstheme="majorBidi"/>
                <w:noProof/>
                <w:sz w:val="22"/>
                <w:szCs w:val="22"/>
              </w:rPr>
              <w:t>Hôtel Sebroko</w:t>
            </w:r>
            <w:r w:rsidR="00947169" w:rsidRPr="00947169">
              <w:rPr>
                <w:rStyle w:val="Hyperlink"/>
                <w:rFonts w:asciiTheme="majorBidi" w:hAnsiTheme="majorBidi" w:cstheme="majorBidi"/>
                <w:noProof/>
                <w:sz w:val="22"/>
                <w:szCs w:val="22"/>
                <w:highlight w:val="white"/>
              </w:rPr>
              <w:t xml:space="preserve"> d’Abidjan</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_Toc168990356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21</w:t>
            </w:r>
            <w:r w:rsidR="00947169" w:rsidRPr="00947169">
              <w:rPr>
                <w:rFonts w:asciiTheme="majorBidi" w:hAnsiTheme="majorBidi" w:cstheme="majorBidi"/>
                <w:noProof/>
                <w:webHidden/>
                <w:sz w:val="22"/>
                <w:szCs w:val="22"/>
              </w:rPr>
              <w:fldChar w:fldCharType="end"/>
            </w:r>
          </w:hyperlink>
        </w:p>
        <w:p w14:paraId="630D124A" w14:textId="7D0141B0"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57"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highlight w:val="white"/>
              </w:rPr>
              <w:t>La Direction de la surveillance du territoire (</w:t>
            </w:r>
            <w:r w:rsidR="00947169" w:rsidRPr="00947169">
              <w:rPr>
                <w:rStyle w:val="Hyperlink"/>
                <w:rFonts w:asciiTheme="majorBidi" w:hAnsiTheme="majorBidi" w:cstheme="majorBidi"/>
                <w:noProof/>
                <w:sz w:val="22"/>
                <w:szCs w:val="22"/>
              </w:rPr>
              <w:t>DST</w:t>
            </w:r>
            <w:r w:rsidR="00947169" w:rsidRPr="00947169">
              <w:rPr>
                <w:rStyle w:val="Hyperlink"/>
                <w:rFonts w:asciiTheme="majorBidi" w:hAnsiTheme="majorBidi" w:cstheme="majorBidi"/>
                <w:noProof/>
                <w:sz w:val="22"/>
                <w:szCs w:val="22"/>
                <w:highlight w:val="white"/>
              </w:rPr>
              <w:t>)</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_Toc168990357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22</w:t>
            </w:r>
            <w:r w:rsidR="00947169" w:rsidRPr="00947169">
              <w:rPr>
                <w:rFonts w:asciiTheme="majorBidi" w:hAnsiTheme="majorBidi" w:cstheme="majorBidi"/>
                <w:noProof/>
                <w:webHidden/>
                <w:sz w:val="22"/>
                <w:szCs w:val="22"/>
              </w:rPr>
              <w:fldChar w:fldCharType="end"/>
            </w:r>
          </w:hyperlink>
        </w:p>
        <w:p w14:paraId="07839F71" w14:textId="60B075CF" w:rsidR="00947169" w:rsidRPr="00947169" w:rsidRDefault="006803DD" w:rsidP="00035696">
          <w:pPr>
            <w:pStyle w:val="TOC1"/>
            <w:rPr>
              <w:rFonts w:eastAsiaTheme="minorEastAsia"/>
              <w:kern w:val="2"/>
              <w:lang w:val="fr-CH"/>
              <w14:ligatures w14:val="standardContextual"/>
            </w:rPr>
          </w:pPr>
          <w:hyperlink w:anchor="_Toc168990358" w:history="1">
            <w:r w:rsidR="00947169" w:rsidRPr="00947169">
              <w:rPr>
                <w:rStyle w:val="Hyperlink"/>
              </w:rPr>
              <w:t>III.</w:t>
            </w:r>
            <w:r w:rsidR="00321F83">
              <w:rPr>
                <w:rFonts w:eastAsiaTheme="minorEastAsia"/>
                <w:kern w:val="2"/>
                <w:lang w:val="fr-CH"/>
                <w14:ligatures w14:val="standardContextual"/>
              </w:rPr>
              <w:t xml:space="preserve"> </w:t>
            </w:r>
            <w:r w:rsidR="00947169" w:rsidRPr="00947169">
              <w:rPr>
                <w:rStyle w:val="Hyperlink"/>
              </w:rPr>
              <w:t>Une chaine pénale peu formée et une population non sensibilisée à l’interdiction absolue de la torture et des mauvais traitements (Article 10 de la Convention)</w:t>
            </w:r>
            <w:r w:rsidR="00947169" w:rsidRPr="00947169">
              <w:rPr>
                <w:webHidden/>
              </w:rPr>
              <w:tab/>
            </w:r>
            <w:r w:rsidR="00947169" w:rsidRPr="00947169">
              <w:rPr>
                <w:webHidden/>
              </w:rPr>
              <w:fldChar w:fldCharType="begin"/>
            </w:r>
            <w:r w:rsidR="00947169" w:rsidRPr="00947169">
              <w:rPr>
                <w:webHidden/>
              </w:rPr>
              <w:instrText xml:space="preserve"> PAGEREF _Toc168990358 \h </w:instrText>
            </w:r>
            <w:r w:rsidR="00947169" w:rsidRPr="00947169">
              <w:rPr>
                <w:webHidden/>
              </w:rPr>
            </w:r>
            <w:r w:rsidR="00947169" w:rsidRPr="00947169">
              <w:rPr>
                <w:webHidden/>
              </w:rPr>
              <w:fldChar w:fldCharType="separate"/>
            </w:r>
            <w:r w:rsidR="007C5C61">
              <w:rPr>
                <w:webHidden/>
              </w:rPr>
              <w:t>23</w:t>
            </w:r>
            <w:r w:rsidR="00947169" w:rsidRPr="00947169">
              <w:rPr>
                <w:webHidden/>
              </w:rPr>
              <w:fldChar w:fldCharType="end"/>
            </w:r>
          </w:hyperlink>
        </w:p>
        <w:p w14:paraId="5F885D82" w14:textId="7B8074B8" w:rsidR="00947169" w:rsidRPr="00947169" w:rsidRDefault="006803DD" w:rsidP="00035696">
          <w:pPr>
            <w:pStyle w:val="TOC1"/>
            <w:rPr>
              <w:rFonts w:eastAsiaTheme="minorEastAsia"/>
              <w:kern w:val="2"/>
              <w:lang w:val="fr-CH"/>
              <w14:ligatures w14:val="standardContextual"/>
            </w:rPr>
          </w:pPr>
          <w:hyperlink w:anchor="_Toc168990359" w:history="1">
            <w:r w:rsidR="00947169" w:rsidRPr="00947169">
              <w:rPr>
                <w:rStyle w:val="Hyperlink"/>
              </w:rPr>
              <w:t>IV.</w:t>
            </w:r>
            <w:r w:rsidR="00947169" w:rsidRPr="00947169">
              <w:rPr>
                <w:rFonts w:eastAsiaTheme="minorEastAsia"/>
                <w:kern w:val="2"/>
                <w:lang w:val="fr-CH"/>
                <w14:ligatures w14:val="standardContextual"/>
              </w:rPr>
              <w:tab/>
            </w:r>
            <w:r w:rsidR="00947169" w:rsidRPr="00947169">
              <w:rPr>
                <w:rStyle w:val="Hyperlink"/>
              </w:rPr>
              <w:t>Les mauvaises conditions de détention dans les prisons ivoiriennes (Article 11 de la Convention)</w:t>
            </w:r>
            <w:r w:rsidR="00947169" w:rsidRPr="00947169">
              <w:rPr>
                <w:webHidden/>
              </w:rPr>
              <w:tab/>
            </w:r>
            <w:r w:rsidR="00947169" w:rsidRPr="00947169">
              <w:rPr>
                <w:webHidden/>
              </w:rPr>
              <w:fldChar w:fldCharType="begin"/>
            </w:r>
            <w:r w:rsidR="00947169" w:rsidRPr="00947169">
              <w:rPr>
                <w:webHidden/>
              </w:rPr>
              <w:instrText xml:space="preserve"> PAGEREF _Toc168990359 \h </w:instrText>
            </w:r>
            <w:r w:rsidR="00947169" w:rsidRPr="00947169">
              <w:rPr>
                <w:webHidden/>
              </w:rPr>
            </w:r>
            <w:r w:rsidR="00947169" w:rsidRPr="00947169">
              <w:rPr>
                <w:webHidden/>
              </w:rPr>
              <w:fldChar w:fldCharType="separate"/>
            </w:r>
            <w:r w:rsidR="007C5C61">
              <w:rPr>
                <w:webHidden/>
              </w:rPr>
              <w:t>24</w:t>
            </w:r>
            <w:r w:rsidR="00947169" w:rsidRPr="00947169">
              <w:rPr>
                <w:webHidden/>
              </w:rPr>
              <w:fldChar w:fldCharType="end"/>
            </w:r>
          </w:hyperlink>
        </w:p>
        <w:p w14:paraId="0D782B8E" w14:textId="598D088D"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60" w:history="1">
            <w:r w:rsidR="00947169" w:rsidRPr="00947169">
              <w:rPr>
                <w:rStyle w:val="Hyperlink"/>
                <w:rFonts w:asciiTheme="majorBidi" w:hAnsiTheme="majorBidi" w:cstheme="majorBidi"/>
                <w:noProof/>
                <w:szCs w:val="22"/>
              </w:rPr>
              <w:t>1.</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La surpopulation pénitentiaire, source de mauvais traitement des détenus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_Toc168990360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24</w:t>
            </w:r>
            <w:r w:rsidR="00947169" w:rsidRPr="00947169">
              <w:rPr>
                <w:rFonts w:asciiTheme="majorBidi" w:hAnsiTheme="majorBidi" w:cstheme="majorBidi"/>
                <w:noProof/>
                <w:webHidden/>
                <w:szCs w:val="22"/>
              </w:rPr>
              <w:fldChar w:fldCharType="end"/>
            </w:r>
          </w:hyperlink>
        </w:p>
        <w:p w14:paraId="562BAC91" w14:textId="6AB6B2AD"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1"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Le Pôle pénitentiaire d’Abidjan (PPA)</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_Toc168990361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25</w:t>
            </w:r>
            <w:r w:rsidR="00947169" w:rsidRPr="00947169">
              <w:rPr>
                <w:rFonts w:asciiTheme="majorBidi" w:hAnsiTheme="majorBidi" w:cstheme="majorBidi"/>
                <w:noProof/>
                <w:webHidden/>
                <w:sz w:val="22"/>
                <w:szCs w:val="22"/>
              </w:rPr>
              <w:fldChar w:fldCharType="end"/>
            </w:r>
          </w:hyperlink>
        </w:p>
        <w:p w14:paraId="6488298A" w14:textId="379E8682"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2"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La situation alarmante de la surpopulation dans les autres prisons</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_Toc168990362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25</w:t>
            </w:r>
            <w:r w:rsidR="00947169" w:rsidRPr="00947169">
              <w:rPr>
                <w:rFonts w:asciiTheme="majorBidi" w:hAnsiTheme="majorBidi" w:cstheme="majorBidi"/>
                <w:noProof/>
                <w:webHidden/>
                <w:sz w:val="22"/>
                <w:szCs w:val="22"/>
              </w:rPr>
              <w:fldChar w:fldCharType="end"/>
            </w:r>
          </w:hyperlink>
        </w:p>
        <w:p w14:paraId="56AE7E6E" w14:textId="703BFB92"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63" w:history="1">
            <w:r w:rsidR="00947169" w:rsidRPr="00947169">
              <w:rPr>
                <w:rStyle w:val="Hyperlink"/>
                <w:rFonts w:asciiTheme="majorBidi" w:hAnsiTheme="majorBidi" w:cstheme="majorBidi"/>
                <w:noProof/>
                <w:szCs w:val="22"/>
              </w:rPr>
              <w:t>2.</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Les conditions de vie et de survie dans les prisons ivoiriennes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_Toc168990363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26</w:t>
            </w:r>
            <w:r w:rsidR="00947169" w:rsidRPr="00947169">
              <w:rPr>
                <w:rFonts w:asciiTheme="majorBidi" w:hAnsiTheme="majorBidi" w:cstheme="majorBidi"/>
                <w:noProof/>
                <w:webHidden/>
                <w:szCs w:val="22"/>
              </w:rPr>
              <w:fldChar w:fldCharType="end"/>
            </w:r>
          </w:hyperlink>
        </w:p>
        <w:p w14:paraId="7F351FFE" w14:textId="4E1C4876"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4"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Salubrité, hygiène et assainissement</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_Toc168990364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26</w:t>
            </w:r>
            <w:r w:rsidR="00947169" w:rsidRPr="00947169">
              <w:rPr>
                <w:rFonts w:asciiTheme="majorBidi" w:hAnsiTheme="majorBidi" w:cstheme="majorBidi"/>
                <w:noProof/>
                <w:webHidden/>
                <w:sz w:val="22"/>
                <w:szCs w:val="22"/>
              </w:rPr>
              <w:fldChar w:fldCharType="end"/>
            </w:r>
          </w:hyperlink>
        </w:p>
        <w:p w14:paraId="341951E7" w14:textId="6E2D1A7F"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5"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Une alimentation insuffisante et inadéquate</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_Toc168990365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26</w:t>
            </w:r>
            <w:r w:rsidR="00947169" w:rsidRPr="00947169">
              <w:rPr>
                <w:rFonts w:asciiTheme="majorBidi" w:hAnsiTheme="majorBidi" w:cstheme="majorBidi"/>
                <w:noProof/>
                <w:webHidden/>
                <w:sz w:val="22"/>
                <w:szCs w:val="22"/>
              </w:rPr>
              <w:fldChar w:fldCharType="end"/>
            </w:r>
          </w:hyperlink>
        </w:p>
        <w:p w14:paraId="4A67E3B5" w14:textId="688B642A"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6"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Santé physique et mentale des détenus</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_Toc168990366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27</w:t>
            </w:r>
            <w:r w:rsidR="00947169" w:rsidRPr="00947169">
              <w:rPr>
                <w:rFonts w:asciiTheme="majorBidi" w:hAnsiTheme="majorBidi" w:cstheme="majorBidi"/>
                <w:noProof/>
                <w:webHidden/>
                <w:sz w:val="22"/>
                <w:szCs w:val="22"/>
              </w:rPr>
              <w:fldChar w:fldCharType="end"/>
            </w:r>
          </w:hyperlink>
        </w:p>
        <w:p w14:paraId="0E9779F6" w14:textId="688B2368"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7" w:history="1">
            <w:r w:rsidR="00947169" w:rsidRPr="00947169">
              <w:rPr>
                <w:rStyle w:val="Hyperlink"/>
                <w:rFonts w:asciiTheme="majorBidi" w:hAnsiTheme="majorBidi" w:cstheme="majorBidi"/>
                <w:noProof/>
                <w:sz w:val="22"/>
                <w:szCs w:val="22"/>
                <w:highlight w:val="white"/>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highlight w:val="white"/>
              </w:rPr>
              <w:t>Mort en détention</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_Toc168990367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28</w:t>
            </w:r>
            <w:r w:rsidR="00947169" w:rsidRPr="00947169">
              <w:rPr>
                <w:rFonts w:asciiTheme="majorBidi" w:hAnsiTheme="majorBidi" w:cstheme="majorBidi"/>
                <w:noProof/>
                <w:webHidden/>
                <w:sz w:val="22"/>
                <w:szCs w:val="22"/>
              </w:rPr>
              <w:fldChar w:fldCharType="end"/>
            </w:r>
          </w:hyperlink>
        </w:p>
        <w:p w14:paraId="642E98B9" w14:textId="1D18D91C"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8" w:history="1">
            <w:r w:rsidR="00947169" w:rsidRPr="00947169">
              <w:rPr>
                <w:rStyle w:val="Hyperlink"/>
                <w:rFonts w:asciiTheme="majorBidi" w:hAnsiTheme="majorBidi" w:cstheme="majorBidi"/>
                <w:noProof/>
                <w:sz w:val="22"/>
                <w:szCs w:val="22"/>
                <w:highlight w:val="white"/>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highlight w:val="white"/>
              </w:rPr>
              <w:t>Règlement intérieur et mesures disciplinaires</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_Toc168990368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28</w:t>
            </w:r>
            <w:r w:rsidR="00947169" w:rsidRPr="00947169">
              <w:rPr>
                <w:rFonts w:asciiTheme="majorBidi" w:hAnsiTheme="majorBidi" w:cstheme="majorBidi"/>
                <w:noProof/>
                <w:webHidden/>
                <w:sz w:val="22"/>
                <w:szCs w:val="22"/>
              </w:rPr>
              <w:fldChar w:fldCharType="end"/>
            </w:r>
          </w:hyperlink>
        </w:p>
        <w:p w14:paraId="6AA5E08C" w14:textId="0D1A8028"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69"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L’absence de programme de réinsertion sociale</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_Toc168990369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29</w:t>
            </w:r>
            <w:r w:rsidR="00947169" w:rsidRPr="00947169">
              <w:rPr>
                <w:rFonts w:asciiTheme="majorBidi" w:hAnsiTheme="majorBidi" w:cstheme="majorBidi"/>
                <w:noProof/>
                <w:webHidden/>
                <w:sz w:val="22"/>
                <w:szCs w:val="22"/>
              </w:rPr>
              <w:fldChar w:fldCharType="end"/>
            </w:r>
          </w:hyperlink>
        </w:p>
        <w:p w14:paraId="78A457E9" w14:textId="12E85903"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70" w:history="1">
            <w:r w:rsidR="00947169" w:rsidRPr="00947169">
              <w:rPr>
                <w:rStyle w:val="Hyperlink"/>
                <w:rFonts w:asciiTheme="majorBidi" w:hAnsiTheme="majorBidi" w:cstheme="majorBidi"/>
                <w:noProof/>
                <w:szCs w:val="22"/>
              </w:rPr>
              <w:t>3.</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Les difficultés d’accès de la société civile aux prisons ivoiriennes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_Toc168990370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29</w:t>
            </w:r>
            <w:r w:rsidR="00947169" w:rsidRPr="00947169">
              <w:rPr>
                <w:rFonts w:asciiTheme="majorBidi" w:hAnsiTheme="majorBidi" w:cstheme="majorBidi"/>
                <w:noProof/>
                <w:webHidden/>
                <w:szCs w:val="22"/>
              </w:rPr>
              <w:fldChar w:fldCharType="end"/>
            </w:r>
          </w:hyperlink>
        </w:p>
        <w:p w14:paraId="53CD8BEA" w14:textId="2CDE0DC5"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71" w:history="1">
            <w:r w:rsidR="00947169" w:rsidRPr="00947169">
              <w:rPr>
                <w:rStyle w:val="Hyperlink"/>
                <w:rFonts w:asciiTheme="majorBidi" w:hAnsiTheme="majorBidi" w:cstheme="majorBidi"/>
                <w:noProof/>
                <w:szCs w:val="22"/>
              </w:rPr>
              <w:t>4.</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L’absence de désignation du Mécanisme National de Prévention</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_Toc168990371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30</w:t>
            </w:r>
            <w:r w:rsidR="00947169" w:rsidRPr="00947169">
              <w:rPr>
                <w:rFonts w:asciiTheme="majorBidi" w:hAnsiTheme="majorBidi" w:cstheme="majorBidi"/>
                <w:noProof/>
                <w:webHidden/>
                <w:szCs w:val="22"/>
              </w:rPr>
              <w:fldChar w:fldCharType="end"/>
            </w:r>
          </w:hyperlink>
        </w:p>
        <w:p w14:paraId="0F7D7D08" w14:textId="732287C2" w:rsidR="00947169" w:rsidRPr="00947169" w:rsidRDefault="006803DD" w:rsidP="00035696">
          <w:pPr>
            <w:pStyle w:val="TOC1"/>
            <w:rPr>
              <w:rFonts w:eastAsiaTheme="minorEastAsia"/>
              <w:kern w:val="2"/>
              <w:lang w:val="fr-CH"/>
              <w14:ligatures w14:val="standardContextual"/>
            </w:rPr>
          </w:pPr>
          <w:hyperlink w:anchor="_Toc168990372" w:history="1">
            <w:r w:rsidR="00947169" w:rsidRPr="00947169">
              <w:rPr>
                <w:rStyle w:val="Hyperlink"/>
              </w:rPr>
              <w:t>V.</w:t>
            </w:r>
            <w:r w:rsidR="007C5C61">
              <w:rPr>
                <w:rStyle w:val="Hyperlink"/>
              </w:rPr>
              <w:t xml:space="preserve"> </w:t>
            </w:r>
            <w:r w:rsidR="00947169" w:rsidRPr="00947169">
              <w:rPr>
                <w:rStyle w:val="Hyperlink"/>
              </w:rPr>
              <w:t>La persistance de l’impunité pour les crimes du passé (Articles 12 et 13)</w:t>
            </w:r>
            <w:r w:rsidR="00947169" w:rsidRPr="00947169">
              <w:rPr>
                <w:webHidden/>
              </w:rPr>
              <w:tab/>
            </w:r>
            <w:r w:rsidR="00947169" w:rsidRPr="00947169">
              <w:rPr>
                <w:webHidden/>
              </w:rPr>
              <w:fldChar w:fldCharType="begin"/>
            </w:r>
            <w:r w:rsidR="00947169" w:rsidRPr="00947169">
              <w:rPr>
                <w:webHidden/>
              </w:rPr>
              <w:instrText xml:space="preserve"> PAGEREF _Toc168990372 \h </w:instrText>
            </w:r>
            <w:r w:rsidR="00947169" w:rsidRPr="00947169">
              <w:rPr>
                <w:webHidden/>
              </w:rPr>
            </w:r>
            <w:r w:rsidR="00947169" w:rsidRPr="00947169">
              <w:rPr>
                <w:webHidden/>
              </w:rPr>
              <w:fldChar w:fldCharType="separate"/>
            </w:r>
            <w:r w:rsidR="007C5C61">
              <w:rPr>
                <w:webHidden/>
              </w:rPr>
              <w:t>31</w:t>
            </w:r>
            <w:r w:rsidR="00947169" w:rsidRPr="00947169">
              <w:rPr>
                <w:webHidden/>
              </w:rPr>
              <w:fldChar w:fldCharType="end"/>
            </w:r>
          </w:hyperlink>
        </w:p>
        <w:p w14:paraId="5C325A65" w14:textId="2BA797A0"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73" w:history="1">
            <w:r w:rsidR="00947169" w:rsidRPr="00947169">
              <w:rPr>
                <w:rStyle w:val="Hyperlink"/>
                <w:rFonts w:asciiTheme="majorBidi" w:hAnsiTheme="majorBidi" w:cstheme="majorBidi"/>
                <w:noProof/>
                <w:szCs w:val="22"/>
              </w:rPr>
              <w:t>1.</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Allégations de torture par les forces de police, de défense ou de sécurité ivoiriennes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_Toc168990373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31</w:t>
            </w:r>
            <w:r w:rsidR="00947169" w:rsidRPr="00947169">
              <w:rPr>
                <w:rFonts w:asciiTheme="majorBidi" w:hAnsiTheme="majorBidi" w:cstheme="majorBidi"/>
                <w:noProof/>
                <w:webHidden/>
                <w:szCs w:val="22"/>
              </w:rPr>
              <w:fldChar w:fldCharType="end"/>
            </w:r>
          </w:hyperlink>
        </w:p>
        <w:p w14:paraId="12C2C144" w14:textId="14773F23" w:rsidR="00947169" w:rsidRPr="00947169" w:rsidRDefault="006803DD">
          <w:pPr>
            <w:pStyle w:val="TOC2"/>
            <w:tabs>
              <w:tab w:val="left" w:pos="720"/>
              <w:tab w:val="right" w:leader="dot" w:pos="9056"/>
            </w:tabs>
            <w:rPr>
              <w:rFonts w:asciiTheme="majorBidi" w:eastAsiaTheme="minorEastAsia" w:hAnsiTheme="majorBidi" w:cstheme="majorBidi"/>
              <w:i/>
              <w:iCs/>
              <w:noProof/>
              <w:kern w:val="2"/>
              <w:szCs w:val="22"/>
              <w:lang w:val="fr-CH"/>
              <w14:ligatures w14:val="standardContextual"/>
            </w:rPr>
          </w:pPr>
          <w:hyperlink w:anchor="_Toc168990374" w:history="1">
            <w:r w:rsidR="00947169" w:rsidRPr="00947169">
              <w:rPr>
                <w:rStyle w:val="Hyperlink"/>
                <w:rFonts w:asciiTheme="majorBidi" w:hAnsiTheme="majorBidi" w:cstheme="majorBidi"/>
                <w:noProof/>
                <w:szCs w:val="22"/>
              </w:rPr>
              <w:t>2.</w:t>
            </w:r>
            <w:r w:rsidR="00947169" w:rsidRPr="00947169">
              <w:rPr>
                <w:rFonts w:asciiTheme="majorBidi" w:eastAsiaTheme="minorEastAsia" w:hAnsiTheme="majorBidi" w:cstheme="majorBidi"/>
                <w:i/>
                <w:iCs/>
                <w:noProof/>
                <w:kern w:val="2"/>
                <w:szCs w:val="22"/>
                <w:lang w:val="fr-CH"/>
                <w14:ligatures w14:val="standardContextual"/>
              </w:rPr>
              <w:t xml:space="preserve"> </w:t>
            </w:r>
            <w:r w:rsidR="00947169" w:rsidRPr="00947169">
              <w:rPr>
                <w:rStyle w:val="Hyperlink"/>
                <w:rFonts w:asciiTheme="majorBidi" w:hAnsiTheme="majorBidi" w:cstheme="majorBidi"/>
                <w:noProof/>
                <w:szCs w:val="22"/>
              </w:rPr>
              <w:t>L’usage excessif de la force, arrestations arbitraires et détentions au secret lors du contexte électoral de 2020</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_Toc168990374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32</w:t>
            </w:r>
            <w:r w:rsidR="00947169" w:rsidRPr="00947169">
              <w:rPr>
                <w:rFonts w:asciiTheme="majorBidi" w:hAnsiTheme="majorBidi" w:cstheme="majorBidi"/>
                <w:noProof/>
                <w:webHidden/>
                <w:szCs w:val="22"/>
              </w:rPr>
              <w:fldChar w:fldCharType="end"/>
            </w:r>
          </w:hyperlink>
        </w:p>
        <w:p w14:paraId="547D08BF" w14:textId="36694D52" w:rsidR="00947169" w:rsidRPr="00947169" w:rsidRDefault="006803DD">
          <w:pPr>
            <w:pStyle w:val="TOC2"/>
            <w:tabs>
              <w:tab w:val="left" w:pos="720"/>
              <w:tab w:val="right" w:leader="dot" w:pos="9056"/>
            </w:tabs>
            <w:rPr>
              <w:rFonts w:asciiTheme="majorBidi" w:eastAsiaTheme="minorEastAsia" w:hAnsiTheme="majorBidi" w:cstheme="majorBidi"/>
              <w:i/>
              <w:iCs/>
              <w:noProof/>
              <w:kern w:val="2"/>
              <w:szCs w:val="22"/>
              <w:lang w:val="fr-CH"/>
              <w14:ligatures w14:val="standardContextual"/>
            </w:rPr>
          </w:pPr>
          <w:hyperlink w:anchor="_Toc168990375" w:history="1">
            <w:r w:rsidR="00947169" w:rsidRPr="00947169">
              <w:rPr>
                <w:rStyle w:val="Hyperlink"/>
                <w:rFonts w:asciiTheme="majorBidi" w:hAnsiTheme="majorBidi" w:cstheme="majorBidi"/>
                <w:noProof/>
                <w:szCs w:val="22"/>
              </w:rPr>
              <w:t>3.</w:t>
            </w:r>
            <w:r w:rsidR="00947169" w:rsidRPr="00947169">
              <w:rPr>
                <w:rFonts w:asciiTheme="majorBidi" w:eastAsiaTheme="minorEastAsia" w:hAnsiTheme="majorBidi" w:cstheme="majorBidi"/>
                <w:i/>
                <w:iCs/>
                <w:noProof/>
                <w:kern w:val="2"/>
                <w:szCs w:val="22"/>
                <w:lang w:val="fr-CH"/>
                <w14:ligatures w14:val="standardContextual"/>
              </w:rPr>
              <w:t xml:space="preserve"> </w:t>
            </w:r>
            <w:r w:rsidR="00947169" w:rsidRPr="00947169">
              <w:rPr>
                <w:rStyle w:val="Hyperlink"/>
                <w:rFonts w:asciiTheme="majorBidi" w:hAnsiTheme="majorBidi" w:cstheme="majorBidi"/>
                <w:noProof/>
                <w:szCs w:val="22"/>
              </w:rPr>
              <w:t>Les résultats insuffisants d’enquêtes nationales sur les actes de torture et de mauvais traitements commis lors des différentes crises ivoiriennes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_Toc168990375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34</w:t>
            </w:r>
            <w:r w:rsidR="00947169" w:rsidRPr="00947169">
              <w:rPr>
                <w:rFonts w:asciiTheme="majorBidi" w:hAnsiTheme="majorBidi" w:cstheme="majorBidi"/>
                <w:noProof/>
                <w:webHidden/>
                <w:szCs w:val="22"/>
              </w:rPr>
              <w:fldChar w:fldCharType="end"/>
            </w:r>
          </w:hyperlink>
        </w:p>
        <w:p w14:paraId="5BC56652" w14:textId="1444C919"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76"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Violations commises dans les années 2000: le charnier de Yopougon</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_Toc168990376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34</w:t>
            </w:r>
            <w:r w:rsidR="00947169" w:rsidRPr="00947169">
              <w:rPr>
                <w:rFonts w:asciiTheme="majorBidi" w:hAnsiTheme="majorBidi" w:cstheme="majorBidi"/>
                <w:noProof/>
                <w:webHidden/>
                <w:sz w:val="22"/>
                <w:szCs w:val="22"/>
              </w:rPr>
              <w:fldChar w:fldCharType="end"/>
            </w:r>
          </w:hyperlink>
        </w:p>
        <w:p w14:paraId="3EF336F3" w14:textId="0E2E9AEE"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77"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Violations commises lors de la crise postélectorale de 2010-2011</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_Toc168990377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35</w:t>
            </w:r>
            <w:r w:rsidR="00947169" w:rsidRPr="00947169">
              <w:rPr>
                <w:rFonts w:asciiTheme="majorBidi" w:hAnsiTheme="majorBidi" w:cstheme="majorBidi"/>
                <w:noProof/>
                <w:webHidden/>
                <w:sz w:val="22"/>
                <w:szCs w:val="22"/>
              </w:rPr>
              <w:fldChar w:fldCharType="end"/>
            </w:r>
          </w:hyperlink>
        </w:p>
        <w:p w14:paraId="138FD5FB" w14:textId="1CAC6B56"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78" w:history="1">
            <w:r w:rsidR="00947169" w:rsidRPr="00947169">
              <w:rPr>
                <w:rStyle w:val="Hyperlink"/>
                <w:rFonts w:asciiTheme="majorBidi" w:hAnsiTheme="majorBidi" w:cstheme="majorBidi"/>
                <w:noProof/>
                <w:szCs w:val="22"/>
              </w:rPr>
              <w:t>4.</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L’adoption d’une loi d’amnistie en 2018 comme entrave à la justice</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_Toc168990378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37</w:t>
            </w:r>
            <w:r w:rsidR="00947169" w:rsidRPr="00947169">
              <w:rPr>
                <w:rFonts w:asciiTheme="majorBidi" w:hAnsiTheme="majorBidi" w:cstheme="majorBidi"/>
                <w:noProof/>
                <w:webHidden/>
                <w:szCs w:val="22"/>
              </w:rPr>
              <w:fldChar w:fldCharType="end"/>
            </w:r>
          </w:hyperlink>
        </w:p>
        <w:p w14:paraId="1010BF86" w14:textId="65CD1648"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79" w:history="1">
            <w:r w:rsidR="00947169" w:rsidRPr="00947169">
              <w:rPr>
                <w:rStyle w:val="Hyperlink"/>
                <w:rFonts w:asciiTheme="majorBidi" w:hAnsiTheme="majorBidi" w:cstheme="majorBidi"/>
                <w:noProof/>
                <w:szCs w:val="22"/>
              </w:rPr>
              <w:t>5.</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L’accès à la justice et l’indépendance des juges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_Toc168990379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38</w:t>
            </w:r>
            <w:r w:rsidR="00947169" w:rsidRPr="00947169">
              <w:rPr>
                <w:rFonts w:asciiTheme="majorBidi" w:hAnsiTheme="majorBidi" w:cstheme="majorBidi"/>
                <w:noProof/>
                <w:webHidden/>
                <w:szCs w:val="22"/>
              </w:rPr>
              <w:fldChar w:fldCharType="end"/>
            </w:r>
          </w:hyperlink>
        </w:p>
        <w:p w14:paraId="6D903A23" w14:textId="3962F133" w:rsidR="00947169" w:rsidRPr="00947169" w:rsidRDefault="006803DD">
          <w:pPr>
            <w:pStyle w:val="TOC3"/>
            <w:tabs>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80" w:history="1">
            <w:r w:rsidR="00947169" w:rsidRPr="00947169">
              <w:rPr>
                <w:rStyle w:val="Hyperlink"/>
                <w:rFonts w:asciiTheme="majorBidi" w:hAnsiTheme="majorBidi" w:cstheme="majorBidi"/>
                <w:noProof/>
                <w:sz w:val="22"/>
                <w:szCs w:val="22"/>
              </w:rPr>
              <w:t>A- Le difficile accès à la justice</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_Toc168990380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38</w:t>
            </w:r>
            <w:r w:rsidR="00947169" w:rsidRPr="00947169">
              <w:rPr>
                <w:rFonts w:asciiTheme="majorBidi" w:hAnsiTheme="majorBidi" w:cstheme="majorBidi"/>
                <w:noProof/>
                <w:webHidden/>
                <w:sz w:val="22"/>
                <w:szCs w:val="22"/>
              </w:rPr>
              <w:fldChar w:fldCharType="end"/>
            </w:r>
          </w:hyperlink>
        </w:p>
        <w:p w14:paraId="51135556" w14:textId="662D6332" w:rsidR="00947169" w:rsidRPr="00947169" w:rsidRDefault="006803DD">
          <w:pPr>
            <w:pStyle w:val="TOC3"/>
            <w:tabs>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81" w:history="1">
            <w:r w:rsidR="00947169" w:rsidRPr="00947169">
              <w:rPr>
                <w:rStyle w:val="Hyperlink"/>
                <w:rFonts w:asciiTheme="majorBidi" w:hAnsiTheme="majorBidi" w:cstheme="majorBidi"/>
                <w:noProof/>
                <w:sz w:val="22"/>
                <w:szCs w:val="22"/>
              </w:rPr>
              <w:t>B- Sur le manque d’indépendance du pouvoir judiciaire</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_Toc168990381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41</w:t>
            </w:r>
            <w:r w:rsidR="00947169" w:rsidRPr="00947169">
              <w:rPr>
                <w:rFonts w:asciiTheme="majorBidi" w:hAnsiTheme="majorBidi" w:cstheme="majorBidi"/>
                <w:noProof/>
                <w:webHidden/>
                <w:sz w:val="22"/>
                <w:szCs w:val="22"/>
              </w:rPr>
              <w:fldChar w:fldCharType="end"/>
            </w:r>
          </w:hyperlink>
        </w:p>
        <w:p w14:paraId="6DBDB169" w14:textId="14DDAA1E" w:rsidR="00947169" w:rsidRPr="00947169" w:rsidRDefault="006803DD" w:rsidP="00035696">
          <w:pPr>
            <w:pStyle w:val="TOC1"/>
            <w:rPr>
              <w:rFonts w:eastAsiaTheme="minorEastAsia"/>
              <w:kern w:val="2"/>
              <w:lang w:val="fr-CH"/>
              <w14:ligatures w14:val="standardContextual"/>
            </w:rPr>
          </w:pPr>
          <w:hyperlink w:anchor="_Toc168990382" w:history="1">
            <w:r w:rsidR="00947169" w:rsidRPr="00947169">
              <w:rPr>
                <w:rStyle w:val="Hyperlink"/>
              </w:rPr>
              <w:t>VI.</w:t>
            </w:r>
            <w:r w:rsidR="00035696">
              <w:rPr>
                <w:rFonts w:eastAsiaTheme="minorEastAsia"/>
                <w:kern w:val="2"/>
                <w:lang w:val="fr-CH"/>
                <w14:ligatures w14:val="standardContextual"/>
              </w:rPr>
              <w:t xml:space="preserve"> </w:t>
            </w:r>
            <w:r w:rsidR="00947169" w:rsidRPr="00947169">
              <w:rPr>
                <w:rStyle w:val="Hyperlink"/>
              </w:rPr>
              <w:t>Le manque d’accès à la réparation et à la réhabilitation des victimes de torture (Article 14 de la Convention)</w:t>
            </w:r>
            <w:r w:rsidR="00947169" w:rsidRPr="00947169">
              <w:rPr>
                <w:webHidden/>
              </w:rPr>
              <w:tab/>
            </w:r>
            <w:r w:rsidR="00947169" w:rsidRPr="00947169">
              <w:rPr>
                <w:webHidden/>
              </w:rPr>
              <w:fldChar w:fldCharType="begin"/>
            </w:r>
            <w:r w:rsidR="00947169" w:rsidRPr="00947169">
              <w:rPr>
                <w:webHidden/>
              </w:rPr>
              <w:instrText xml:space="preserve"> PAGEREF _Toc168990382 \h </w:instrText>
            </w:r>
            <w:r w:rsidR="00947169" w:rsidRPr="00947169">
              <w:rPr>
                <w:webHidden/>
              </w:rPr>
            </w:r>
            <w:r w:rsidR="00947169" w:rsidRPr="00947169">
              <w:rPr>
                <w:webHidden/>
              </w:rPr>
              <w:fldChar w:fldCharType="separate"/>
            </w:r>
            <w:r w:rsidR="007C5C61">
              <w:rPr>
                <w:webHidden/>
              </w:rPr>
              <w:t>41</w:t>
            </w:r>
            <w:r w:rsidR="00947169" w:rsidRPr="00947169">
              <w:rPr>
                <w:webHidden/>
              </w:rPr>
              <w:fldChar w:fldCharType="end"/>
            </w:r>
          </w:hyperlink>
        </w:p>
        <w:p w14:paraId="214BFBF0" w14:textId="5CAED468" w:rsidR="00947169" w:rsidRPr="00947169" w:rsidRDefault="006803DD">
          <w:pPr>
            <w:pStyle w:val="TOC2"/>
            <w:tabs>
              <w:tab w:val="left" w:pos="960"/>
              <w:tab w:val="right" w:leader="dot" w:pos="9056"/>
            </w:tabs>
            <w:rPr>
              <w:rFonts w:asciiTheme="majorBidi" w:eastAsiaTheme="minorEastAsia" w:hAnsiTheme="majorBidi" w:cstheme="majorBidi"/>
              <w:i/>
              <w:iCs/>
              <w:noProof/>
              <w:kern w:val="2"/>
              <w:szCs w:val="22"/>
              <w:lang w:val="fr-CH"/>
              <w14:ligatures w14:val="standardContextual"/>
            </w:rPr>
          </w:pPr>
          <w:hyperlink w:anchor="_Toc168990383" w:history="1">
            <w:r w:rsidR="00947169" w:rsidRPr="00947169">
              <w:rPr>
                <w:rStyle w:val="Hyperlink"/>
                <w:rFonts w:asciiTheme="majorBidi" w:hAnsiTheme="majorBidi" w:cstheme="majorBidi"/>
                <w:noProof/>
                <w:szCs w:val="22"/>
              </w:rPr>
              <w:t>1.</w:t>
            </w:r>
            <w:r w:rsidR="00947169" w:rsidRPr="00947169">
              <w:rPr>
                <w:rFonts w:asciiTheme="majorBidi" w:eastAsiaTheme="minorEastAsia" w:hAnsiTheme="majorBidi" w:cstheme="majorBidi"/>
                <w:i/>
                <w:iCs/>
                <w:noProof/>
                <w:kern w:val="2"/>
                <w:szCs w:val="22"/>
                <w:lang w:val="fr-CH"/>
                <w14:ligatures w14:val="standardContextual"/>
              </w:rPr>
              <w:t xml:space="preserve"> </w:t>
            </w:r>
            <w:r w:rsidR="00947169" w:rsidRPr="00947169">
              <w:rPr>
                <w:rStyle w:val="Hyperlink"/>
                <w:rFonts w:asciiTheme="majorBidi" w:hAnsiTheme="majorBidi" w:cstheme="majorBidi"/>
                <w:noProof/>
                <w:szCs w:val="22"/>
              </w:rPr>
              <w:t>L’absence de mécanisme général de réparation et de réhabilitation des victimes de torture et de mauvais traitements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_Toc168990383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41</w:t>
            </w:r>
            <w:r w:rsidR="00947169" w:rsidRPr="00947169">
              <w:rPr>
                <w:rFonts w:asciiTheme="majorBidi" w:hAnsiTheme="majorBidi" w:cstheme="majorBidi"/>
                <w:noProof/>
                <w:webHidden/>
                <w:szCs w:val="22"/>
              </w:rPr>
              <w:fldChar w:fldCharType="end"/>
            </w:r>
          </w:hyperlink>
        </w:p>
        <w:p w14:paraId="7B0CE426" w14:textId="33E607F7"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84" w:history="1">
            <w:r w:rsidR="00947169" w:rsidRPr="00947169">
              <w:rPr>
                <w:rStyle w:val="Hyperlink"/>
                <w:rFonts w:asciiTheme="majorBidi" w:hAnsiTheme="majorBidi" w:cstheme="majorBidi"/>
                <w:noProof/>
                <w:szCs w:val="22"/>
              </w:rPr>
              <w:t>2.</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L’absence de réparation et de réhabilitation des victimes de torture des différentes crises ivoiriennes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_Toc168990384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42</w:t>
            </w:r>
            <w:r w:rsidR="00947169" w:rsidRPr="00947169">
              <w:rPr>
                <w:rFonts w:asciiTheme="majorBidi" w:hAnsiTheme="majorBidi" w:cstheme="majorBidi"/>
                <w:noProof/>
                <w:webHidden/>
                <w:szCs w:val="22"/>
              </w:rPr>
              <w:fldChar w:fldCharType="end"/>
            </w:r>
          </w:hyperlink>
        </w:p>
        <w:p w14:paraId="38998E53" w14:textId="2D140EE3" w:rsidR="00947169" w:rsidRPr="00947169" w:rsidRDefault="006803DD" w:rsidP="00035696">
          <w:pPr>
            <w:pStyle w:val="TOC1"/>
            <w:rPr>
              <w:rFonts w:eastAsiaTheme="minorEastAsia"/>
              <w:kern w:val="2"/>
              <w:lang w:val="fr-CH"/>
              <w14:ligatures w14:val="standardContextual"/>
            </w:rPr>
          </w:pPr>
          <w:hyperlink w:anchor="_Toc168990385" w:history="1">
            <w:r w:rsidR="00947169" w:rsidRPr="00947169">
              <w:rPr>
                <w:rStyle w:val="Hyperlink"/>
              </w:rPr>
              <w:t>VII.</w:t>
            </w:r>
            <w:r w:rsidR="00035696">
              <w:rPr>
                <w:rFonts w:eastAsiaTheme="minorEastAsia"/>
                <w:kern w:val="2"/>
                <w:lang w:val="fr-CH"/>
                <w14:ligatures w14:val="standardContextual"/>
              </w:rPr>
              <w:t xml:space="preserve"> </w:t>
            </w:r>
            <w:r w:rsidR="00947169" w:rsidRPr="00947169">
              <w:rPr>
                <w:rStyle w:val="Hyperlink"/>
              </w:rPr>
              <w:t>L’insuffisante protection de certains groupes spécifiques contre les violences</w:t>
            </w:r>
            <w:r w:rsidR="00947169" w:rsidRPr="00947169">
              <w:rPr>
                <w:webHidden/>
              </w:rPr>
              <w:tab/>
            </w:r>
            <w:r w:rsidR="00947169" w:rsidRPr="00947169">
              <w:rPr>
                <w:webHidden/>
              </w:rPr>
              <w:fldChar w:fldCharType="begin"/>
            </w:r>
            <w:r w:rsidR="00947169" w:rsidRPr="00947169">
              <w:rPr>
                <w:webHidden/>
              </w:rPr>
              <w:instrText xml:space="preserve"> PAGEREF _Toc168990385 \h </w:instrText>
            </w:r>
            <w:r w:rsidR="00947169" w:rsidRPr="00947169">
              <w:rPr>
                <w:webHidden/>
              </w:rPr>
            </w:r>
            <w:r w:rsidR="00947169" w:rsidRPr="00947169">
              <w:rPr>
                <w:webHidden/>
              </w:rPr>
              <w:fldChar w:fldCharType="separate"/>
            </w:r>
            <w:r w:rsidR="007C5C61">
              <w:rPr>
                <w:webHidden/>
              </w:rPr>
              <w:t>45</w:t>
            </w:r>
            <w:r w:rsidR="00947169" w:rsidRPr="00947169">
              <w:rPr>
                <w:webHidden/>
              </w:rPr>
              <w:fldChar w:fldCharType="end"/>
            </w:r>
          </w:hyperlink>
        </w:p>
        <w:p w14:paraId="75F5DE0A" w14:textId="13B276D3"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86" w:history="1">
            <w:r w:rsidR="00947169" w:rsidRPr="00947169">
              <w:rPr>
                <w:rStyle w:val="Hyperlink"/>
                <w:rFonts w:asciiTheme="majorBidi" w:hAnsiTheme="majorBidi" w:cstheme="majorBidi"/>
                <w:noProof/>
                <w:szCs w:val="22"/>
              </w:rPr>
              <w:t>1.</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Les violences faites aux femmes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_Toc168990386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45</w:t>
            </w:r>
            <w:r w:rsidR="00947169" w:rsidRPr="00947169">
              <w:rPr>
                <w:rFonts w:asciiTheme="majorBidi" w:hAnsiTheme="majorBidi" w:cstheme="majorBidi"/>
                <w:noProof/>
                <w:webHidden/>
                <w:szCs w:val="22"/>
              </w:rPr>
              <w:fldChar w:fldCharType="end"/>
            </w:r>
          </w:hyperlink>
        </w:p>
        <w:p w14:paraId="7454284E" w14:textId="504F36C3"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87"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Accès à la justice et aux soins insuffisant des victimes de violences sexuelles</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_Toc168990387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45</w:t>
            </w:r>
            <w:r w:rsidR="00947169" w:rsidRPr="00947169">
              <w:rPr>
                <w:rFonts w:asciiTheme="majorBidi" w:hAnsiTheme="majorBidi" w:cstheme="majorBidi"/>
                <w:noProof/>
                <w:webHidden/>
                <w:sz w:val="22"/>
                <w:szCs w:val="22"/>
              </w:rPr>
              <w:fldChar w:fldCharType="end"/>
            </w:r>
          </w:hyperlink>
        </w:p>
        <w:p w14:paraId="5B9B3025" w14:textId="0E6C6F62" w:rsidR="00947169" w:rsidRPr="00947169" w:rsidRDefault="006803DD">
          <w:pPr>
            <w:pStyle w:val="TOC3"/>
            <w:tabs>
              <w:tab w:val="left" w:pos="720"/>
              <w:tab w:val="right" w:leader="dot" w:pos="9056"/>
            </w:tabs>
            <w:rPr>
              <w:rFonts w:asciiTheme="majorBidi" w:eastAsiaTheme="minorEastAsia" w:hAnsiTheme="majorBidi" w:cstheme="majorBidi"/>
              <w:noProof/>
              <w:kern w:val="2"/>
              <w:sz w:val="22"/>
              <w:szCs w:val="22"/>
              <w:lang w:val="fr-CH"/>
              <w14:ligatures w14:val="standardContextual"/>
            </w:rPr>
          </w:pPr>
          <w:hyperlink w:anchor="_Toc168990388" w:history="1">
            <w:r w:rsidR="00947169" w:rsidRPr="00947169">
              <w:rPr>
                <w:rStyle w:val="Hyperlink"/>
                <w:rFonts w:asciiTheme="majorBidi" w:hAnsiTheme="majorBidi" w:cstheme="majorBidi"/>
                <w:noProof/>
                <w:sz w:val="22"/>
                <w:szCs w:val="22"/>
              </w:rPr>
              <w:t>-</w:t>
            </w:r>
            <w:r w:rsidR="00947169" w:rsidRPr="00947169">
              <w:rPr>
                <w:rFonts w:asciiTheme="majorBidi" w:eastAsiaTheme="minorEastAsia" w:hAnsiTheme="majorBidi" w:cstheme="majorBidi"/>
                <w:noProof/>
                <w:kern w:val="2"/>
                <w:sz w:val="22"/>
                <w:szCs w:val="22"/>
                <w:lang w:val="fr-CH"/>
                <w14:ligatures w14:val="standardContextual"/>
              </w:rPr>
              <w:tab/>
            </w:r>
            <w:r w:rsidR="00947169" w:rsidRPr="00947169">
              <w:rPr>
                <w:rStyle w:val="Hyperlink"/>
                <w:rFonts w:asciiTheme="majorBidi" w:hAnsiTheme="majorBidi" w:cstheme="majorBidi"/>
                <w:noProof/>
                <w:sz w:val="22"/>
                <w:szCs w:val="22"/>
              </w:rPr>
              <w:t>Prise en charge largement insuffisante des cas de mutilations génitales féminines</w:t>
            </w:r>
            <w:r w:rsidR="00947169" w:rsidRPr="00947169">
              <w:rPr>
                <w:rFonts w:asciiTheme="majorBidi" w:hAnsiTheme="majorBidi" w:cstheme="majorBidi"/>
                <w:noProof/>
                <w:webHidden/>
                <w:sz w:val="22"/>
                <w:szCs w:val="22"/>
              </w:rPr>
              <w:tab/>
            </w:r>
            <w:r w:rsidR="00947169" w:rsidRPr="00947169">
              <w:rPr>
                <w:rFonts w:asciiTheme="majorBidi" w:hAnsiTheme="majorBidi" w:cstheme="majorBidi"/>
                <w:noProof/>
                <w:webHidden/>
                <w:sz w:val="22"/>
                <w:szCs w:val="22"/>
              </w:rPr>
              <w:fldChar w:fldCharType="begin"/>
            </w:r>
            <w:r w:rsidR="00947169" w:rsidRPr="00947169">
              <w:rPr>
                <w:rFonts w:asciiTheme="majorBidi" w:hAnsiTheme="majorBidi" w:cstheme="majorBidi"/>
                <w:noProof/>
                <w:webHidden/>
                <w:sz w:val="22"/>
                <w:szCs w:val="22"/>
              </w:rPr>
              <w:instrText xml:space="preserve"> PAGEREF _Toc168990388 \h </w:instrText>
            </w:r>
            <w:r w:rsidR="00947169" w:rsidRPr="00947169">
              <w:rPr>
                <w:rFonts w:asciiTheme="majorBidi" w:hAnsiTheme="majorBidi" w:cstheme="majorBidi"/>
                <w:noProof/>
                <w:webHidden/>
                <w:sz w:val="22"/>
                <w:szCs w:val="22"/>
              </w:rPr>
            </w:r>
            <w:r w:rsidR="00947169" w:rsidRPr="00947169">
              <w:rPr>
                <w:rFonts w:asciiTheme="majorBidi" w:hAnsiTheme="majorBidi" w:cstheme="majorBidi"/>
                <w:noProof/>
                <w:webHidden/>
                <w:sz w:val="22"/>
                <w:szCs w:val="22"/>
              </w:rPr>
              <w:fldChar w:fldCharType="separate"/>
            </w:r>
            <w:r w:rsidR="007C5C61">
              <w:rPr>
                <w:rFonts w:asciiTheme="majorBidi" w:hAnsiTheme="majorBidi" w:cstheme="majorBidi"/>
                <w:noProof/>
                <w:webHidden/>
                <w:sz w:val="22"/>
                <w:szCs w:val="22"/>
              </w:rPr>
              <w:t>47</w:t>
            </w:r>
            <w:r w:rsidR="00947169" w:rsidRPr="00947169">
              <w:rPr>
                <w:rFonts w:asciiTheme="majorBidi" w:hAnsiTheme="majorBidi" w:cstheme="majorBidi"/>
                <w:noProof/>
                <w:webHidden/>
                <w:sz w:val="22"/>
                <w:szCs w:val="22"/>
              </w:rPr>
              <w:fldChar w:fldCharType="end"/>
            </w:r>
          </w:hyperlink>
        </w:p>
        <w:p w14:paraId="6B92E65D" w14:textId="35D979CD" w:rsidR="00947169" w:rsidRPr="00947169" w:rsidRDefault="006803DD">
          <w:pPr>
            <w:pStyle w:val="TOC2"/>
            <w:tabs>
              <w:tab w:val="left" w:pos="480"/>
              <w:tab w:val="right" w:leader="dot" w:pos="9056"/>
            </w:tabs>
            <w:rPr>
              <w:rFonts w:asciiTheme="majorBidi" w:eastAsiaTheme="minorEastAsia" w:hAnsiTheme="majorBidi" w:cstheme="majorBidi"/>
              <w:i/>
              <w:iCs/>
              <w:noProof/>
              <w:kern w:val="2"/>
              <w:szCs w:val="22"/>
              <w:lang w:val="fr-CH"/>
              <w14:ligatures w14:val="standardContextual"/>
            </w:rPr>
          </w:pPr>
          <w:hyperlink w:anchor="_Toc168990389" w:history="1">
            <w:r w:rsidR="00947169" w:rsidRPr="00947169">
              <w:rPr>
                <w:rStyle w:val="Hyperlink"/>
                <w:rFonts w:asciiTheme="majorBidi" w:hAnsiTheme="majorBidi" w:cstheme="majorBidi"/>
                <w:noProof/>
                <w:szCs w:val="22"/>
              </w:rPr>
              <w:t>2.</w:t>
            </w:r>
            <w:r w:rsidR="00947169" w:rsidRPr="00947169">
              <w:rPr>
                <w:rFonts w:asciiTheme="majorBidi" w:eastAsiaTheme="minorEastAsia" w:hAnsiTheme="majorBidi" w:cstheme="majorBidi"/>
                <w:i/>
                <w:iCs/>
                <w:noProof/>
                <w:kern w:val="2"/>
                <w:szCs w:val="22"/>
                <w:lang w:val="fr-CH"/>
                <w14:ligatures w14:val="standardContextual"/>
              </w:rPr>
              <w:tab/>
            </w:r>
            <w:r w:rsidR="00947169" w:rsidRPr="00947169">
              <w:rPr>
                <w:rStyle w:val="Hyperlink"/>
                <w:rFonts w:asciiTheme="majorBidi" w:hAnsiTheme="majorBidi" w:cstheme="majorBidi"/>
                <w:noProof/>
                <w:szCs w:val="22"/>
              </w:rPr>
              <w:t>Défenseurs des droits humains</w:t>
            </w:r>
            <w:r w:rsidR="00947169" w:rsidRPr="00947169">
              <w:rPr>
                <w:rFonts w:asciiTheme="majorBidi" w:hAnsiTheme="majorBidi" w:cstheme="majorBidi"/>
                <w:noProof/>
                <w:webHidden/>
                <w:szCs w:val="22"/>
              </w:rPr>
              <w:tab/>
            </w:r>
            <w:r w:rsidR="00947169" w:rsidRPr="00947169">
              <w:rPr>
                <w:rFonts w:asciiTheme="majorBidi" w:hAnsiTheme="majorBidi" w:cstheme="majorBidi"/>
                <w:noProof/>
                <w:webHidden/>
                <w:szCs w:val="22"/>
              </w:rPr>
              <w:fldChar w:fldCharType="begin"/>
            </w:r>
            <w:r w:rsidR="00947169" w:rsidRPr="00947169">
              <w:rPr>
                <w:rFonts w:asciiTheme="majorBidi" w:hAnsiTheme="majorBidi" w:cstheme="majorBidi"/>
                <w:noProof/>
                <w:webHidden/>
                <w:szCs w:val="22"/>
              </w:rPr>
              <w:instrText xml:space="preserve"> PAGEREF _Toc168990389 \h </w:instrText>
            </w:r>
            <w:r w:rsidR="00947169" w:rsidRPr="00947169">
              <w:rPr>
                <w:rFonts w:asciiTheme="majorBidi" w:hAnsiTheme="majorBidi" w:cstheme="majorBidi"/>
                <w:noProof/>
                <w:webHidden/>
                <w:szCs w:val="22"/>
              </w:rPr>
            </w:r>
            <w:r w:rsidR="00947169" w:rsidRPr="00947169">
              <w:rPr>
                <w:rFonts w:asciiTheme="majorBidi" w:hAnsiTheme="majorBidi" w:cstheme="majorBidi"/>
                <w:noProof/>
                <w:webHidden/>
                <w:szCs w:val="22"/>
              </w:rPr>
              <w:fldChar w:fldCharType="separate"/>
            </w:r>
            <w:r w:rsidR="007C5C61">
              <w:rPr>
                <w:rFonts w:asciiTheme="majorBidi" w:hAnsiTheme="majorBidi" w:cstheme="majorBidi"/>
                <w:noProof/>
                <w:webHidden/>
                <w:szCs w:val="22"/>
              </w:rPr>
              <w:t>49</w:t>
            </w:r>
            <w:r w:rsidR="00947169" w:rsidRPr="00947169">
              <w:rPr>
                <w:rFonts w:asciiTheme="majorBidi" w:hAnsiTheme="majorBidi" w:cstheme="majorBidi"/>
                <w:noProof/>
                <w:webHidden/>
                <w:szCs w:val="22"/>
              </w:rPr>
              <w:fldChar w:fldCharType="end"/>
            </w:r>
          </w:hyperlink>
        </w:p>
        <w:p w14:paraId="39D98659" w14:textId="585884FC" w:rsidR="00947169" w:rsidRDefault="00947169">
          <w:r w:rsidRPr="00947169">
            <w:rPr>
              <w:rFonts w:asciiTheme="majorBidi" w:hAnsiTheme="majorBidi" w:cstheme="majorBidi"/>
              <w:b/>
              <w:bCs/>
              <w:noProof/>
              <w:sz w:val="22"/>
              <w:szCs w:val="22"/>
            </w:rPr>
            <w:fldChar w:fldCharType="end"/>
          </w:r>
        </w:p>
      </w:sdtContent>
    </w:sdt>
    <w:p w14:paraId="3F765E7E" w14:textId="793C3F33" w:rsidR="00F40C8C" w:rsidRPr="00306A83" w:rsidRDefault="00F40C8C" w:rsidP="00F40C8C">
      <w:pPr>
        <w:rPr>
          <w:rFonts w:asciiTheme="majorBidi" w:eastAsia="Times New Roman" w:hAnsiTheme="majorBidi" w:cstheme="majorBidi"/>
          <w:b/>
        </w:rPr>
      </w:pPr>
      <w:r w:rsidRPr="00306A83">
        <w:rPr>
          <w:rFonts w:asciiTheme="majorBidi" w:eastAsia="Times New Roman" w:hAnsiTheme="majorBidi" w:cstheme="majorBidi"/>
          <w:b/>
        </w:rPr>
        <w:br w:type="page"/>
      </w:r>
    </w:p>
    <w:p w14:paraId="64F83BBB" w14:textId="0BEA882A" w:rsidR="003B4185" w:rsidRPr="00306A83" w:rsidRDefault="006803DD" w:rsidP="00F40C8C">
      <w:pPr>
        <w:pStyle w:val="Heading1"/>
        <w:rPr>
          <w:rFonts w:asciiTheme="majorBidi" w:hAnsiTheme="majorBidi" w:cstheme="majorBidi"/>
          <w:szCs w:val="24"/>
        </w:rPr>
      </w:pPr>
      <w:bookmarkStart w:id="0" w:name="_Toc168990339"/>
      <w:r w:rsidRPr="00306A83">
        <w:rPr>
          <w:rFonts w:asciiTheme="majorBidi" w:hAnsiTheme="majorBidi" w:cstheme="majorBidi"/>
          <w:szCs w:val="24"/>
        </w:rPr>
        <w:lastRenderedPageBreak/>
        <w:t>Introduction</w:t>
      </w:r>
      <w:bookmarkEnd w:id="0"/>
      <w:r w:rsidRPr="00306A83">
        <w:rPr>
          <w:rFonts w:asciiTheme="majorBidi" w:hAnsiTheme="majorBidi" w:cstheme="majorBidi"/>
          <w:szCs w:val="24"/>
        </w:rPr>
        <w:t xml:space="preserve"> </w:t>
      </w:r>
    </w:p>
    <w:p w14:paraId="22186F4B" w14:textId="77777777" w:rsidR="003B4185" w:rsidRPr="00306A83" w:rsidRDefault="003B4185">
      <w:pPr>
        <w:spacing w:after="160" w:line="276" w:lineRule="auto"/>
        <w:jc w:val="both"/>
        <w:rPr>
          <w:rFonts w:asciiTheme="majorBidi" w:eastAsia="Arial" w:hAnsiTheme="majorBidi" w:cstheme="majorBidi"/>
        </w:rPr>
      </w:pPr>
    </w:p>
    <w:p w14:paraId="1E725B7A" w14:textId="77777777" w:rsidR="003B4185" w:rsidRPr="00306A83" w:rsidRDefault="006803DD">
      <w:pPr>
        <w:spacing w:after="160" w:line="276" w:lineRule="auto"/>
        <w:jc w:val="both"/>
        <w:rPr>
          <w:rFonts w:asciiTheme="majorBidi" w:eastAsia="Times New Roman" w:hAnsiTheme="majorBidi" w:cstheme="majorBidi"/>
        </w:rPr>
      </w:pPr>
      <w:r w:rsidRPr="00306A83">
        <w:rPr>
          <w:rFonts w:asciiTheme="majorBidi" w:eastAsia="Times New Roman" w:hAnsiTheme="majorBidi" w:cstheme="majorBidi"/>
        </w:rPr>
        <w:t>En Côte d’Ivoire, depuis l’indépendance, la torture est utilisée couramment par les forces de sécurité comme instrument de répression et d’humiliation des opinions dissidentes. Elle a été une arme redoutable lors des différentes crises politiques qui ont s</w:t>
      </w:r>
      <w:r w:rsidRPr="00306A83">
        <w:rPr>
          <w:rFonts w:asciiTheme="majorBidi" w:eastAsia="Times New Roman" w:hAnsiTheme="majorBidi" w:cstheme="majorBidi"/>
        </w:rPr>
        <w:t>ecoué le pays. Ainsi, les institutions politiques et sécuritaires du pays ont cultivé une culture du recours de manière excessive et disproportionnée à la violence d’état pour régler les désaccords politiques. Depuis le rétablissement du multipartisme le 3</w:t>
      </w:r>
      <w:r w:rsidRPr="00306A83">
        <w:rPr>
          <w:rFonts w:asciiTheme="majorBidi" w:eastAsia="Times New Roman" w:hAnsiTheme="majorBidi" w:cstheme="majorBidi"/>
        </w:rPr>
        <w:t xml:space="preserve">0 avril 1990, la Côte d’Ivoire a été secouée par des crises à répétition qui ont culminé avec la crise postélectorale de 2010-2011 faisant plus de 3000 morts, de nombreuses victimes dont celles de torture, traitements cruels, inhumains ou dégradants. </w:t>
      </w:r>
    </w:p>
    <w:p w14:paraId="242C18E2" w14:textId="285F54DD" w:rsidR="003B4185" w:rsidRPr="00306A83" w:rsidRDefault="006803DD">
      <w:pPr>
        <w:spacing w:after="160" w:line="276" w:lineRule="auto"/>
        <w:jc w:val="both"/>
        <w:rPr>
          <w:rFonts w:asciiTheme="majorBidi" w:eastAsia="Times New Roman" w:hAnsiTheme="majorBidi" w:cstheme="majorBidi"/>
        </w:rPr>
      </w:pPr>
      <w:r w:rsidRPr="00306A83">
        <w:rPr>
          <w:rFonts w:asciiTheme="majorBidi" w:eastAsia="Times New Roman" w:hAnsiTheme="majorBidi" w:cstheme="majorBidi"/>
        </w:rPr>
        <w:t>Bien</w:t>
      </w:r>
      <w:r w:rsidRPr="00306A83">
        <w:rPr>
          <w:rFonts w:asciiTheme="majorBidi" w:eastAsia="Times New Roman" w:hAnsiTheme="majorBidi" w:cstheme="majorBidi"/>
        </w:rPr>
        <w:t xml:space="preserve"> que cette phase d’atermoiements politiques semble aujourd'hui dépassée, cette empreinte culturelle demeure dans les choix politiques, les pratiques institutionnelles et la mémoire des agents en charge de l’application de la loi. Les régimes politiques qui</w:t>
      </w:r>
      <w:r w:rsidRPr="00306A83">
        <w:rPr>
          <w:rFonts w:asciiTheme="majorBidi" w:eastAsia="Times New Roman" w:hAnsiTheme="majorBidi" w:cstheme="majorBidi"/>
        </w:rPr>
        <w:t xml:space="preserve"> se sont </w:t>
      </w:r>
      <w:proofErr w:type="gramStart"/>
      <w:r w:rsidRPr="00306A83">
        <w:rPr>
          <w:rFonts w:asciiTheme="majorBidi" w:eastAsia="Times New Roman" w:hAnsiTheme="majorBidi" w:cstheme="majorBidi"/>
        </w:rPr>
        <w:t>succédés</w:t>
      </w:r>
      <w:proofErr w:type="gramEnd"/>
      <w:r w:rsidRPr="00306A83">
        <w:rPr>
          <w:rFonts w:asciiTheme="majorBidi" w:eastAsia="Times New Roman" w:hAnsiTheme="majorBidi" w:cstheme="majorBidi"/>
        </w:rPr>
        <w:t xml:space="preserve"> bien qu’ayant à tour de </w:t>
      </w:r>
      <w:r w:rsidR="00AE205E" w:rsidRPr="00306A83">
        <w:rPr>
          <w:rFonts w:asciiTheme="majorBidi" w:eastAsia="Times New Roman" w:hAnsiTheme="majorBidi" w:cstheme="majorBidi"/>
        </w:rPr>
        <w:t>rôle</w:t>
      </w:r>
      <w:r w:rsidRPr="00306A83">
        <w:rPr>
          <w:rFonts w:asciiTheme="majorBidi" w:eastAsia="Times New Roman" w:hAnsiTheme="majorBidi" w:cstheme="majorBidi"/>
        </w:rPr>
        <w:t xml:space="preserve"> engagé des réformes censées sortir le pays d’une histoire violente ont maintenu un cadre légal perméable à la torture et un système institutionnel inapte à la prévention et la surveillance de la pratique de la</w:t>
      </w:r>
      <w:r w:rsidRPr="00306A83">
        <w:rPr>
          <w:rFonts w:asciiTheme="majorBidi" w:eastAsia="Times New Roman" w:hAnsiTheme="majorBidi" w:cstheme="majorBidi"/>
        </w:rPr>
        <w:t xml:space="preserve"> torture. </w:t>
      </w:r>
    </w:p>
    <w:p w14:paraId="4AC36D78" w14:textId="1AAAC3E3" w:rsidR="003B4185" w:rsidRPr="00306A83" w:rsidRDefault="006803DD">
      <w:pPr>
        <w:spacing w:after="160" w:line="276" w:lineRule="auto"/>
        <w:jc w:val="both"/>
        <w:rPr>
          <w:rFonts w:asciiTheme="majorBidi" w:eastAsia="Times New Roman" w:hAnsiTheme="majorBidi" w:cstheme="majorBidi"/>
        </w:rPr>
      </w:pPr>
      <w:r w:rsidRPr="00306A83">
        <w:rPr>
          <w:rFonts w:asciiTheme="majorBidi" w:eastAsia="Times New Roman" w:hAnsiTheme="majorBidi" w:cstheme="majorBidi"/>
        </w:rPr>
        <w:t>Aujourd'hui, le pays semble avoir tourné les sombres pages de son passé, pour s'inscrire dans une trajectoire de développement économique et social. La stabilité politique, la croissance économique fulgurante et l’assainissement de son environne</w:t>
      </w:r>
      <w:r w:rsidRPr="00306A83">
        <w:rPr>
          <w:rFonts w:asciiTheme="majorBidi" w:eastAsia="Times New Roman" w:hAnsiTheme="majorBidi" w:cstheme="majorBidi"/>
        </w:rPr>
        <w:t xml:space="preserve">ment sécuritaire sont des résultats obtenus au cours des dernières années garantissant un </w:t>
      </w:r>
      <w:proofErr w:type="spellStart"/>
      <w:r w:rsidRPr="00306A83">
        <w:rPr>
          <w:rFonts w:asciiTheme="majorBidi" w:eastAsia="Times New Roman" w:hAnsiTheme="majorBidi" w:cstheme="majorBidi"/>
        </w:rPr>
        <w:t>mieux être</w:t>
      </w:r>
      <w:proofErr w:type="spellEnd"/>
      <w:r w:rsidRPr="00306A83">
        <w:rPr>
          <w:rFonts w:asciiTheme="majorBidi" w:eastAsia="Times New Roman" w:hAnsiTheme="majorBidi" w:cstheme="majorBidi"/>
        </w:rPr>
        <w:t xml:space="preserve"> des populations. De </w:t>
      </w:r>
      <w:r w:rsidR="00321F83" w:rsidRPr="00306A83">
        <w:rPr>
          <w:rFonts w:asciiTheme="majorBidi" w:eastAsia="Times New Roman" w:hAnsiTheme="majorBidi" w:cstheme="majorBidi"/>
        </w:rPr>
        <w:t>même, la</w:t>
      </w:r>
      <w:r w:rsidRPr="00306A83">
        <w:rPr>
          <w:rFonts w:asciiTheme="majorBidi" w:eastAsia="Times New Roman" w:hAnsiTheme="majorBidi" w:cstheme="majorBidi"/>
        </w:rPr>
        <w:t xml:space="preserve"> réorganisation et la restructuration des institutions sécuritaires et politiques du pays opérée au cours des dix dernières années laissent voir, </w:t>
      </w:r>
      <w:r w:rsidRPr="00306A83">
        <w:rPr>
          <w:rFonts w:asciiTheme="majorBidi" w:eastAsia="Times New Roman" w:hAnsiTheme="majorBidi" w:cstheme="majorBidi"/>
          <w:i/>
        </w:rPr>
        <w:t xml:space="preserve">prima facie, </w:t>
      </w:r>
      <w:r w:rsidRPr="00306A83">
        <w:rPr>
          <w:rFonts w:asciiTheme="majorBidi" w:eastAsia="Times New Roman" w:hAnsiTheme="majorBidi" w:cstheme="majorBidi"/>
        </w:rPr>
        <w:t xml:space="preserve">que la Côte d’ivoire est sur la voie d’une émergence. Toutefois, ces efforts restent marqués par </w:t>
      </w:r>
      <w:r w:rsidRPr="00306A83">
        <w:rPr>
          <w:rFonts w:asciiTheme="majorBidi" w:eastAsia="Times New Roman" w:hAnsiTheme="majorBidi" w:cstheme="majorBidi"/>
        </w:rPr>
        <w:t xml:space="preserve">des insuffisances majeures en matière de protection des droits humains. Les réformes constitutionnelles et légales prenant en compte la prohibition absolue et générale de la torture pendant cette période n’ont pas résistées à la tentation de la répression </w:t>
      </w:r>
      <w:r w:rsidRPr="00306A83">
        <w:rPr>
          <w:rFonts w:asciiTheme="majorBidi" w:eastAsia="Times New Roman" w:hAnsiTheme="majorBidi" w:cstheme="majorBidi"/>
        </w:rPr>
        <w:t>violente en période de désaccord politique. L’adoption d’un nouveau code</w:t>
      </w:r>
      <w:r w:rsidRPr="00306A83">
        <w:rPr>
          <w:rFonts w:asciiTheme="majorBidi" w:eastAsia="Times New Roman" w:hAnsiTheme="majorBidi" w:cstheme="majorBidi"/>
          <w:vertAlign w:val="superscript"/>
        </w:rPr>
        <w:t xml:space="preserve"> </w:t>
      </w:r>
      <w:r w:rsidRPr="00306A83">
        <w:rPr>
          <w:rFonts w:asciiTheme="majorBidi" w:eastAsia="Times New Roman" w:hAnsiTheme="majorBidi" w:cstheme="majorBidi"/>
        </w:rPr>
        <w:t>pénal en juin 2019 criminalisant la torture et d’un code de procédure pénale offrant plus de garantie juridique, n’ont malheureusement pas suffit à indiquer une volonté politique ferm</w:t>
      </w:r>
      <w:r w:rsidRPr="00306A83">
        <w:rPr>
          <w:rFonts w:asciiTheme="majorBidi" w:eastAsia="Times New Roman" w:hAnsiTheme="majorBidi" w:cstheme="majorBidi"/>
        </w:rPr>
        <w:t>e pour inscrire un véritablement changement dans les pratiques institutionnelles. La torture n’est toujours pas adéquatement définie et punie dans l’arsenal législatif ivoirien, laissant apparaitre une volonté politique manifeste d’entretenir l’impunité. L</w:t>
      </w:r>
      <w:r w:rsidRPr="00306A83">
        <w:rPr>
          <w:rFonts w:asciiTheme="majorBidi" w:eastAsia="Times New Roman" w:hAnsiTheme="majorBidi" w:cstheme="majorBidi"/>
        </w:rPr>
        <w:t>’adoption en 2018 d’une loi d’amnistie générale pour tourner la page de la crise post-électorale de 2011 a consacré cette option préférentielle pour l’impunité des actes de torture. La nomination et la promotion à des postes clé de personnes soupçonnées d’</w:t>
      </w:r>
      <w:r w:rsidRPr="00306A83">
        <w:rPr>
          <w:rFonts w:asciiTheme="majorBidi" w:eastAsia="Times New Roman" w:hAnsiTheme="majorBidi" w:cstheme="majorBidi"/>
        </w:rPr>
        <w:t>acte de torture en est l’illustration parfaite.</w:t>
      </w:r>
    </w:p>
    <w:p w14:paraId="464B667E"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De même la pléthore d’institutions et de mécanismes - Commission Nationale d’Enquête (CNE), la Commission Nationale pour la Réconciliation et l’Indemnisation des Victimes des Crises Survenues en Côte d’Ivoire</w:t>
      </w:r>
      <w:r w:rsidRPr="00306A83">
        <w:rPr>
          <w:rFonts w:asciiTheme="majorBidi" w:eastAsia="Times New Roman" w:hAnsiTheme="majorBidi" w:cstheme="majorBidi"/>
        </w:rPr>
        <w:t xml:space="preserve"> (CONARIV), la Cellule </w:t>
      </w:r>
      <w:proofErr w:type="spellStart"/>
      <w:r w:rsidRPr="00306A83">
        <w:rPr>
          <w:rFonts w:asciiTheme="majorBidi" w:eastAsia="Times New Roman" w:hAnsiTheme="majorBidi" w:cstheme="majorBidi"/>
        </w:rPr>
        <w:t>spéciale</w:t>
      </w:r>
      <w:proofErr w:type="spellEnd"/>
      <w:r w:rsidRPr="00306A83">
        <w:rPr>
          <w:rFonts w:asciiTheme="majorBidi" w:eastAsia="Times New Roman" w:hAnsiTheme="majorBidi" w:cstheme="majorBidi"/>
        </w:rPr>
        <w:t xml:space="preserve">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(CSE), la Cellule </w:t>
      </w:r>
      <w:proofErr w:type="spellStart"/>
      <w:r w:rsidRPr="00306A83">
        <w:rPr>
          <w:rFonts w:asciiTheme="majorBidi" w:eastAsia="Times New Roman" w:hAnsiTheme="majorBidi" w:cstheme="majorBidi"/>
        </w:rPr>
        <w:t>Spéciale</w:t>
      </w:r>
      <w:proofErr w:type="spellEnd"/>
      <w:r w:rsidRPr="00306A83">
        <w:rPr>
          <w:rFonts w:asciiTheme="majorBidi" w:eastAsia="Times New Roman" w:hAnsiTheme="majorBidi" w:cstheme="majorBidi"/>
        </w:rPr>
        <w:t xml:space="preserve">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et d’Instruction (CSEI) - créées pour identifier, réparer et réhabiliter les</w:t>
      </w:r>
      <w:r w:rsidRPr="00306A83">
        <w:rPr>
          <w:rFonts w:asciiTheme="majorBidi" w:eastAsia="Times New Roman" w:hAnsiTheme="majorBidi" w:cstheme="majorBidi"/>
          <w:b/>
        </w:rPr>
        <w:t xml:space="preserve"> </w:t>
      </w:r>
      <w:r w:rsidRPr="00306A83">
        <w:rPr>
          <w:rFonts w:asciiTheme="majorBidi" w:eastAsia="Times New Roman" w:hAnsiTheme="majorBidi" w:cstheme="majorBidi"/>
        </w:rPr>
        <w:t>milliers de survivants et de victimes des différentes crises ivoiriennes sont restés sans grande</w:t>
      </w:r>
      <w:r w:rsidRPr="00306A83">
        <w:rPr>
          <w:rFonts w:asciiTheme="majorBidi" w:eastAsia="Times New Roman" w:hAnsiTheme="majorBidi" w:cstheme="majorBidi"/>
        </w:rPr>
        <w:t xml:space="preserve"> efficacité. Plusieurs victimes en général et particulièrement les victimes de torture, de traitements cruels, inhumains ou dégradants sont des laissés-pour-compte ou apparaissent </w:t>
      </w:r>
      <w:r w:rsidRPr="00306A83">
        <w:rPr>
          <w:rFonts w:asciiTheme="majorBidi" w:eastAsia="Times New Roman" w:hAnsiTheme="majorBidi" w:cstheme="majorBidi"/>
        </w:rPr>
        <w:lastRenderedPageBreak/>
        <w:t>comme des “cas sociaux”. En réalité, elles n’ont pas bénéficié de réparation</w:t>
      </w:r>
      <w:r w:rsidRPr="00306A83">
        <w:rPr>
          <w:rFonts w:asciiTheme="majorBidi" w:eastAsia="Times New Roman" w:hAnsiTheme="majorBidi" w:cstheme="majorBidi"/>
        </w:rPr>
        <w:t xml:space="preserve">s et de réhabilitations idoines. </w:t>
      </w:r>
    </w:p>
    <w:p w14:paraId="55A7B7B4"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Malgré quelques avancées notables comme la ratification, par la Côte d’Ivoire, du Protocole facultatif se rapportant à la Convention contre la torture et autres peines ou traitements cruels, inhumains ou dégradants, la con</w:t>
      </w:r>
      <w:r w:rsidRPr="00306A83">
        <w:rPr>
          <w:rFonts w:asciiTheme="majorBidi" w:eastAsia="Times New Roman" w:hAnsiTheme="majorBidi" w:cstheme="majorBidi"/>
        </w:rPr>
        <w:t xml:space="preserve">struction de nouvelles prisons, la libération de nombreux prisonniers politiques et la révision des Codes usuels, l’arsenal juridique et institutionnel reste faible pour véritablement prendre en compte le sort des victimes d’actes de torture et de mauvais </w:t>
      </w:r>
      <w:r w:rsidRPr="00306A83">
        <w:rPr>
          <w:rFonts w:asciiTheme="majorBidi" w:eastAsia="Times New Roman" w:hAnsiTheme="majorBidi" w:cstheme="majorBidi"/>
        </w:rPr>
        <w:t xml:space="preserve">traitements. </w:t>
      </w:r>
    </w:p>
    <w:p w14:paraId="1E3F5C9E" w14:textId="6D9CFBC6"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Ainsi, le recours à la torture, l’impun</w:t>
      </w:r>
      <w:r w:rsidR="001C26D8">
        <w:rPr>
          <w:rFonts w:asciiTheme="majorBidi" w:eastAsia="Times New Roman" w:hAnsiTheme="majorBidi" w:cstheme="majorBidi"/>
        </w:rPr>
        <w:t>i</w:t>
      </w:r>
      <w:r w:rsidRPr="00306A83">
        <w:rPr>
          <w:rFonts w:asciiTheme="majorBidi" w:eastAsia="Times New Roman" w:hAnsiTheme="majorBidi" w:cstheme="majorBidi"/>
        </w:rPr>
        <w:t xml:space="preserve">té de ses auteurs et l’abandon des victimes apparaissent comme le dernier verrou </w:t>
      </w:r>
      <w:r w:rsidR="001C26D8" w:rsidRPr="00306A83">
        <w:rPr>
          <w:rFonts w:asciiTheme="majorBidi" w:eastAsia="Times New Roman" w:hAnsiTheme="majorBidi" w:cstheme="majorBidi"/>
        </w:rPr>
        <w:t>empêchant</w:t>
      </w:r>
      <w:r w:rsidRPr="00306A83">
        <w:rPr>
          <w:rFonts w:asciiTheme="majorBidi" w:eastAsia="Times New Roman" w:hAnsiTheme="majorBidi" w:cstheme="majorBidi"/>
        </w:rPr>
        <w:t xml:space="preserve"> le véritable essor socioécon</w:t>
      </w:r>
      <w:r w:rsidR="001C26D8">
        <w:rPr>
          <w:rFonts w:asciiTheme="majorBidi" w:eastAsia="Times New Roman" w:hAnsiTheme="majorBidi" w:cstheme="majorBidi"/>
        </w:rPr>
        <w:t>om</w:t>
      </w:r>
      <w:r w:rsidRPr="00306A83">
        <w:rPr>
          <w:rFonts w:asciiTheme="majorBidi" w:eastAsia="Times New Roman" w:hAnsiTheme="majorBidi" w:cstheme="majorBidi"/>
        </w:rPr>
        <w:t xml:space="preserve">ique de la Cote d’ivoire dans un approche de </w:t>
      </w:r>
      <w:r w:rsidR="001C26D8" w:rsidRPr="00306A83">
        <w:rPr>
          <w:rFonts w:asciiTheme="majorBidi" w:eastAsia="Times New Roman" w:hAnsiTheme="majorBidi" w:cstheme="majorBidi"/>
        </w:rPr>
        <w:t>développement</w:t>
      </w:r>
      <w:r w:rsidRPr="00306A83">
        <w:rPr>
          <w:rFonts w:asciiTheme="majorBidi" w:eastAsia="Times New Roman" w:hAnsiTheme="majorBidi" w:cstheme="majorBidi"/>
        </w:rPr>
        <w:t xml:space="preserve"> durable. Un développem</w:t>
      </w:r>
      <w:r w:rsidRPr="00306A83">
        <w:rPr>
          <w:rFonts w:asciiTheme="majorBidi" w:eastAsia="Times New Roman" w:hAnsiTheme="majorBidi" w:cstheme="majorBidi"/>
        </w:rPr>
        <w:t xml:space="preserve">ent qui réussirait à allier la croissance économique à la protection de la dignité humaine. En effet, la lutte contre la torture et les mauvais traitements ne bénéficient pas des même efforts consentis pour le développement infrastructurel actuel du pays. </w:t>
      </w:r>
    </w:p>
    <w:p w14:paraId="7FD0E645" w14:textId="77777777" w:rsidR="003B4185" w:rsidRPr="00306A83" w:rsidRDefault="003B4185">
      <w:pPr>
        <w:jc w:val="both"/>
        <w:rPr>
          <w:rFonts w:asciiTheme="majorBidi" w:eastAsia="Times New Roman" w:hAnsiTheme="majorBidi" w:cstheme="majorBidi"/>
        </w:rPr>
      </w:pPr>
    </w:p>
    <w:p w14:paraId="0C1EF335" w14:textId="3A73DD15"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Le présent rapport alternatif, tout en reconnaissant les efforts consentis pour la stabilisation du pays, souhaite alerter les autorités sur le risque d’une construction socio-économique sur des fondements fragiles constitués de réflexe tortionnaire et d</w:t>
      </w:r>
      <w:r w:rsidRPr="00306A83">
        <w:rPr>
          <w:rFonts w:asciiTheme="majorBidi" w:eastAsia="Times New Roman" w:hAnsiTheme="majorBidi" w:cstheme="majorBidi"/>
        </w:rPr>
        <w:t xml:space="preserve">e négligence des victimes. Il identifie les défis et propose des recommandations pour faire entrer le pays dans une émergence intégrale prenant en compte les aspects liés à la protection de la dignité humaine. </w:t>
      </w:r>
    </w:p>
    <w:p w14:paraId="1A6501C3" w14:textId="77777777" w:rsidR="003B4185" w:rsidRPr="00306A83" w:rsidRDefault="003B4185">
      <w:pPr>
        <w:rPr>
          <w:rFonts w:asciiTheme="majorBidi" w:eastAsia="Times New Roman" w:hAnsiTheme="majorBidi" w:cstheme="majorBidi"/>
        </w:rPr>
      </w:pPr>
    </w:p>
    <w:p w14:paraId="30015096" w14:textId="77777777" w:rsidR="003B4185" w:rsidRPr="00306A83" w:rsidRDefault="003B4185">
      <w:pPr>
        <w:rPr>
          <w:rFonts w:asciiTheme="majorBidi" w:eastAsia="Times New Roman" w:hAnsiTheme="majorBidi" w:cstheme="majorBidi"/>
        </w:rPr>
      </w:pPr>
    </w:p>
    <w:p w14:paraId="3D7D4D8E" w14:textId="77777777" w:rsidR="003B4185" w:rsidRPr="00306A83" w:rsidRDefault="006803DD">
      <w:pPr>
        <w:rPr>
          <w:rFonts w:asciiTheme="majorBidi" w:eastAsia="Times New Roman" w:hAnsiTheme="majorBidi" w:cstheme="majorBidi"/>
          <w:b/>
        </w:rPr>
      </w:pPr>
      <w:r w:rsidRPr="00306A83">
        <w:rPr>
          <w:rFonts w:asciiTheme="majorBidi" w:hAnsiTheme="majorBidi" w:cstheme="majorBidi"/>
        </w:rPr>
        <w:br w:type="page"/>
      </w:r>
    </w:p>
    <w:p w14:paraId="0B1509DF" w14:textId="77777777" w:rsidR="003B4185" w:rsidRPr="00306A83" w:rsidRDefault="006803DD" w:rsidP="00F40C8C">
      <w:pPr>
        <w:pStyle w:val="Heading1"/>
        <w:rPr>
          <w:rFonts w:asciiTheme="majorBidi" w:hAnsiTheme="majorBidi" w:cstheme="majorBidi"/>
          <w:szCs w:val="24"/>
        </w:rPr>
      </w:pPr>
      <w:bookmarkStart w:id="1" w:name="_Toc168990340"/>
      <w:r w:rsidRPr="00306A83">
        <w:rPr>
          <w:rFonts w:asciiTheme="majorBidi" w:hAnsiTheme="majorBidi" w:cstheme="majorBidi"/>
          <w:szCs w:val="24"/>
        </w:rPr>
        <w:lastRenderedPageBreak/>
        <w:t>Résumé</w:t>
      </w:r>
      <w:bookmarkEnd w:id="1"/>
      <w:r w:rsidRPr="00306A83">
        <w:rPr>
          <w:rFonts w:asciiTheme="majorBidi" w:hAnsiTheme="majorBidi" w:cstheme="majorBidi"/>
          <w:szCs w:val="24"/>
        </w:rPr>
        <w:t xml:space="preserve"> </w:t>
      </w:r>
    </w:p>
    <w:p w14:paraId="431A0598" w14:textId="77777777" w:rsidR="00321F83" w:rsidRDefault="00321F83" w:rsidP="00321F83">
      <w:pPr>
        <w:pStyle w:val="NormalWeb"/>
        <w:spacing w:before="0" w:beforeAutospacing="0" w:after="0" w:afterAutospacing="0"/>
        <w:jc w:val="both"/>
      </w:pPr>
    </w:p>
    <w:p w14:paraId="3CEA9374" w14:textId="642EEDE1" w:rsidR="00321F83" w:rsidRDefault="00321F83" w:rsidP="00321F83">
      <w:pPr>
        <w:pStyle w:val="NormalWeb"/>
        <w:spacing w:before="0" w:beforeAutospacing="0" w:after="0" w:afterAutospacing="0"/>
        <w:jc w:val="both"/>
      </w:pPr>
      <w:r w:rsidRPr="00321F83">
        <w:t>Le présent rapport relève plusieurs avancées du cadre législatif et institutionnel ivoirien entourant la criminalisation de la torture et autres peines ou traitements cruels, inhumains ou dégradants. Ceci s’illustre par l’adoption de la loi n° 2019-574 du 26 juin 2019 portant Code pénal (en ces dispositions relatives à la criminalisation de la torture) et de la loi portant Code de procédure pénale de décembre 2018. Le pays s’est aussi doté de nouveaux établissements pénitentiaires et d’une nouvelle institution de promotion et protection des droits humains en 2018 et mis en place une direction des droits humains au sein du ministère de la justice. Toutes ces réformes ont permis de faire face à un passé violent et douloureux au cours duquel la torture a été un instrument redoutable.</w:t>
      </w:r>
    </w:p>
    <w:p w14:paraId="610E6D9D" w14:textId="77777777" w:rsidR="00321F83" w:rsidRPr="00321F83" w:rsidRDefault="00321F83" w:rsidP="00321F83">
      <w:pPr>
        <w:pStyle w:val="NormalWeb"/>
        <w:spacing w:before="0" w:beforeAutospacing="0" w:after="0" w:afterAutospacing="0"/>
        <w:jc w:val="both"/>
      </w:pPr>
    </w:p>
    <w:p w14:paraId="1EB8EA7C" w14:textId="2C7D8E1F" w:rsidR="00321F83" w:rsidRDefault="00321F83" w:rsidP="00321F83">
      <w:pPr>
        <w:pStyle w:val="NormalWeb"/>
        <w:spacing w:before="0" w:beforeAutospacing="0" w:after="0" w:afterAutospacing="0"/>
        <w:jc w:val="both"/>
      </w:pPr>
      <w:r w:rsidRPr="00321F83">
        <w:t>Toutefois de nombreuses insuffisances sont identifiées et attestent que la mise en œuvre de la Convention contre la torture et autres peines ou traitements cruels, inhumains ou dégradants n’est pas effective en Côte d’ivoire. Les manquements observés portent notamment de la nature de l’infraction de torture, de la preuve des aveux obtenus sous la torture ou sous la menace de torture, d’une absence d’</w:t>
      </w:r>
      <w:proofErr w:type="spellStart"/>
      <w:r w:rsidRPr="00321F83">
        <w:t>imprescribilité</w:t>
      </w:r>
      <w:proofErr w:type="spellEnd"/>
      <w:r w:rsidRPr="00321F83">
        <w:t xml:space="preserve"> des actes de torture, d’une absence de garanties contre le non-refoulement et de l’insuffisance de la législation sur la compétence universelle</w:t>
      </w:r>
      <w:r>
        <w:t>.</w:t>
      </w:r>
    </w:p>
    <w:p w14:paraId="2144FB2D" w14:textId="77777777" w:rsidR="00321F83" w:rsidRPr="00321F83" w:rsidRDefault="00321F83" w:rsidP="00321F83">
      <w:pPr>
        <w:pStyle w:val="NormalWeb"/>
        <w:spacing w:before="0" w:beforeAutospacing="0" w:after="0" w:afterAutospacing="0"/>
        <w:jc w:val="both"/>
      </w:pPr>
    </w:p>
    <w:p w14:paraId="37084760" w14:textId="77777777" w:rsidR="00321F83" w:rsidRPr="00321F83" w:rsidRDefault="00321F83" w:rsidP="00321F83">
      <w:pPr>
        <w:pStyle w:val="NormalWeb"/>
        <w:spacing w:before="0" w:beforeAutospacing="0" w:after="0" w:afterAutospacing="0"/>
        <w:jc w:val="both"/>
      </w:pPr>
      <w:r w:rsidRPr="00321F83">
        <w:t xml:space="preserve">A cela, il faut ajouter le manque de confiance des justiciables en la justice, le difficile accès à la justice au regard du coût encore onéreux des actes de justice, des lenteurs judiciaires et de la </w:t>
      </w:r>
      <w:proofErr w:type="gramStart"/>
      <w:r w:rsidRPr="00321F83">
        <w:t>non effectivité</w:t>
      </w:r>
      <w:proofErr w:type="gramEnd"/>
      <w:r w:rsidRPr="00321F83">
        <w:t xml:space="preserve"> de l’assistance judiciaire. Par ailleurs, le rapport initial, ne fait aucune mention d’un module de formation exclusif sur la torture et les mauvais traitements à l’endroit de tous les acteurs de la chaine pénale ivoirienne.</w:t>
      </w:r>
    </w:p>
    <w:p w14:paraId="53A70DC8" w14:textId="75510855" w:rsidR="00321F83" w:rsidRPr="00321F83" w:rsidRDefault="00321F83" w:rsidP="00321F83">
      <w:pPr>
        <w:pStyle w:val="NormalWeb"/>
        <w:spacing w:before="240" w:beforeAutospacing="0" w:after="0" w:afterAutospacing="0"/>
        <w:jc w:val="both"/>
      </w:pPr>
      <w:r w:rsidRPr="00321F83">
        <w:t xml:space="preserve">Les conditions de détention dans les prisons ivoiriennes sont inhumaines. A la surpopulation endémique s’ajoute la mauvaise alimentation, la prolifération des maladies contagieuses et les décès en cascade en détention. Certains détenus cumulent plus de la dizaine d'années de détention préventive, d’où le fort taux de surpopulation carcérale avoisinant les 300%. Les détentions arbitraires font florès, surtout, en période électorale. La réparation en cas de détention abusive ou injustifiée reste utopique. En droit ivoirien, la législation spécifique incriminant les infractions de terrorisme déroge en plusieurs points aux garanties légales ordinaires prévues pour les personnes privées de liberté. Les prisons sont le reflet d’une politique pénale et carcérale impropre à la vie humaine. Depuis bientôt un an, les organisations de la société civile ivoirienne n’arrivent plus à s’entretenir librement avec les détenus pour surveiller leurs conditions de détention et contribuer à leur réinsertion. Elles n’ont pas non plus accès aux locaux de la Direction de la Surveillance du Territoire (DST) encore moins de </w:t>
      </w:r>
      <w:proofErr w:type="gramStart"/>
      <w:r w:rsidRPr="00321F83">
        <w:t>l’ex hôtel</w:t>
      </w:r>
      <w:proofErr w:type="gramEnd"/>
      <w:r w:rsidRPr="00321F83">
        <w:t xml:space="preserve"> </w:t>
      </w:r>
      <w:proofErr w:type="spellStart"/>
      <w:r w:rsidRPr="00321F83">
        <w:t>Sébroko</w:t>
      </w:r>
      <w:proofErr w:type="spellEnd"/>
      <w:r w:rsidRPr="00321F83">
        <w:t>, ancien quartier général de l’Opération des Nations unies en Côte d’Ivoire (ONUCI) qui sont reconnus comme des lieux de torture par les victimes qu’elles ont soutenues. </w:t>
      </w:r>
    </w:p>
    <w:p w14:paraId="4AC89EAD" w14:textId="77777777" w:rsidR="00321F83" w:rsidRPr="00321F83" w:rsidRDefault="00321F83" w:rsidP="00321F83">
      <w:pPr>
        <w:pStyle w:val="NormalWeb"/>
        <w:spacing w:before="240" w:beforeAutospacing="0" w:after="0" w:afterAutospacing="0"/>
        <w:jc w:val="both"/>
      </w:pPr>
      <w:r w:rsidRPr="00321F83">
        <w:t>Les garanties juridiques des personnes privées de liberté sont mises à mal en pratique par le non-respect flagrant des droits lors de la garde-à-vue et des délais de la détention préventive. La réparation en cas de détention abusive ou injustifiée reste utopique. En droit ivoirien, la législation spécifique incriminant les infractions de terrorisme déroge en plusieurs points aux garanties légales ordinaires prévues pour les personnes privées de liberté. </w:t>
      </w:r>
    </w:p>
    <w:p w14:paraId="0D7C37B4" w14:textId="7DAC0E80" w:rsidR="00321F83" w:rsidRPr="00321F83" w:rsidRDefault="00321F83" w:rsidP="00321F83">
      <w:pPr>
        <w:pStyle w:val="NormalWeb"/>
        <w:spacing w:before="240" w:beforeAutospacing="0" w:after="0" w:afterAutospacing="0"/>
        <w:jc w:val="both"/>
      </w:pPr>
      <w:r w:rsidRPr="00321F83">
        <w:t>La C</w:t>
      </w:r>
      <w:r w:rsidR="005C631A">
        <w:t>ô</w:t>
      </w:r>
      <w:r w:rsidRPr="00321F83">
        <w:t>te d’</w:t>
      </w:r>
      <w:r w:rsidR="005C631A">
        <w:t>I</w:t>
      </w:r>
      <w:r w:rsidRPr="00321F83">
        <w:t xml:space="preserve">voire a fait une option préférentielle claire pour l’impunité pour les crimes du passé avec de nombreuses allégations de torture par les forces de police, de défense et de sécurité ivoiriennes. L’adoption de la loi d’amnistie de 2018 constitue une entrave à la justice. Cette loi reste un véritable obstacle à la poursuite et à la condamnation des auteurs des crimes de la crise </w:t>
      </w:r>
      <w:r w:rsidRPr="00321F83">
        <w:lastRenderedPageBreak/>
        <w:t>postélectorale, apparaissant ainsi comme un déni de justice pour les victimes de la crise post-électorale. La persistance de l’impunité pour les crimes du passé avec de nombreuses allégations de torture par les forces de police, de défense et de sécurité ivoiriennes, avec à la clé, un usage excessif de la force et des détentions au secret.</w:t>
      </w:r>
    </w:p>
    <w:p w14:paraId="7171BA99" w14:textId="01705361" w:rsidR="00321F83" w:rsidRPr="00321F83" w:rsidRDefault="00321F83" w:rsidP="00321F83">
      <w:pPr>
        <w:pStyle w:val="NormalWeb"/>
        <w:spacing w:before="240" w:beforeAutospacing="0" w:after="0" w:afterAutospacing="0"/>
        <w:jc w:val="both"/>
      </w:pPr>
      <w:r w:rsidRPr="00321F83">
        <w:t>Malgré tout, le 1</w:t>
      </w:r>
      <w:r w:rsidR="002D4890" w:rsidRPr="002D4890">
        <w:rPr>
          <w:vertAlign w:val="superscript"/>
        </w:rPr>
        <w:t>er</w:t>
      </w:r>
      <w:r w:rsidR="002D4890">
        <w:t xml:space="preserve"> </w:t>
      </w:r>
      <w:r w:rsidRPr="00321F83">
        <w:t>mars 2023, la République de Côte d’Ivoire a ratifié le Protocole additionnel à la Convention contre la torture prévoyant la mise en place d’un mécanisme national de prévention dans un délai d’un an à compter de la ratification. Même si, à ce jour, le mécanisme national de prévention n’a pas été désigné, bien que le délai du 31 mars 2024 ait été dépassé, il n’en demeure pas moins que c’est la marque d’une volonté étatique de progresser dans la lutte contre la torture.</w:t>
      </w:r>
    </w:p>
    <w:p w14:paraId="7B5A78FC" w14:textId="77777777" w:rsidR="003B4185" w:rsidRPr="00306A83" w:rsidRDefault="003B4185">
      <w:pPr>
        <w:spacing w:before="240" w:after="240"/>
        <w:jc w:val="both"/>
        <w:rPr>
          <w:rFonts w:asciiTheme="majorBidi" w:eastAsia="Times New Roman" w:hAnsiTheme="majorBidi" w:cstheme="majorBidi"/>
        </w:rPr>
      </w:pPr>
    </w:p>
    <w:p w14:paraId="58E05BAC" w14:textId="77777777" w:rsidR="003B4185" w:rsidRPr="00306A83" w:rsidRDefault="003B4185">
      <w:pPr>
        <w:jc w:val="both"/>
        <w:rPr>
          <w:rFonts w:asciiTheme="majorBidi" w:eastAsia="Times New Roman" w:hAnsiTheme="majorBidi" w:cstheme="majorBidi"/>
        </w:rPr>
      </w:pPr>
    </w:p>
    <w:p w14:paraId="3229C68D" w14:textId="77777777" w:rsidR="003B4185" w:rsidRPr="00306A83" w:rsidRDefault="003B4185">
      <w:pPr>
        <w:pBdr>
          <w:top w:val="nil"/>
          <w:left w:val="nil"/>
          <w:bottom w:val="nil"/>
          <w:right w:val="nil"/>
          <w:between w:val="nil"/>
        </w:pBdr>
        <w:spacing w:line="259" w:lineRule="auto"/>
        <w:rPr>
          <w:rFonts w:asciiTheme="majorBidi" w:eastAsia="Times New Roman" w:hAnsiTheme="majorBidi" w:cstheme="majorBidi"/>
          <w:b/>
          <w:strike/>
        </w:rPr>
      </w:pPr>
    </w:p>
    <w:p w14:paraId="07B2ECBD" w14:textId="77777777" w:rsidR="003B4185" w:rsidRPr="00306A83" w:rsidRDefault="006803DD">
      <w:pPr>
        <w:ind w:left="1440"/>
        <w:rPr>
          <w:rFonts w:asciiTheme="majorBidi" w:eastAsia="Times New Roman" w:hAnsiTheme="majorBidi" w:cstheme="majorBidi"/>
          <w:b/>
          <w:strike/>
        </w:rPr>
      </w:pPr>
      <w:r w:rsidRPr="00306A83">
        <w:rPr>
          <w:rFonts w:asciiTheme="majorBidi" w:hAnsiTheme="majorBidi" w:cstheme="majorBidi"/>
        </w:rPr>
        <w:br w:type="page"/>
      </w:r>
    </w:p>
    <w:p w14:paraId="7630B625" w14:textId="77777777" w:rsidR="003B4185" w:rsidRPr="00306A83" w:rsidRDefault="003B4185">
      <w:pPr>
        <w:ind w:left="1440"/>
        <w:rPr>
          <w:rFonts w:asciiTheme="majorBidi" w:eastAsia="Times New Roman" w:hAnsiTheme="majorBidi" w:cstheme="majorBidi"/>
          <w:b/>
          <w:strike/>
        </w:rPr>
      </w:pPr>
    </w:p>
    <w:p w14:paraId="45C89F14" w14:textId="30EFC2F3" w:rsidR="003B4185" w:rsidRPr="00306A83" w:rsidRDefault="006803DD" w:rsidP="00F40C8C">
      <w:pPr>
        <w:pStyle w:val="Heading1"/>
        <w:numPr>
          <w:ilvl w:val="0"/>
          <w:numId w:val="35"/>
        </w:numPr>
        <w:rPr>
          <w:rFonts w:asciiTheme="majorBidi" w:hAnsiTheme="majorBidi" w:cstheme="majorBidi"/>
          <w:szCs w:val="24"/>
        </w:rPr>
      </w:pPr>
      <w:bookmarkStart w:id="2" w:name="_Toc168990341"/>
      <w:r w:rsidRPr="00306A83">
        <w:rPr>
          <w:rFonts w:asciiTheme="majorBidi" w:hAnsiTheme="majorBidi" w:cstheme="majorBidi"/>
          <w:szCs w:val="24"/>
        </w:rPr>
        <w:t>Les insuffisances du cadre législatif ivoirien pour lutter contre la torture et les mauvais traitements</w:t>
      </w:r>
      <w:bookmarkEnd w:id="2"/>
      <w:r w:rsidRPr="00306A83">
        <w:rPr>
          <w:rFonts w:asciiTheme="majorBidi" w:hAnsiTheme="majorBidi" w:cstheme="majorBidi"/>
          <w:szCs w:val="24"/>
        </w:rPr>
        <w:t xml:space="preserve"> </w:t>
      </w:r>
    </w:p>
    <w:p w14:paraId="3C8BA2D9" w14:textId="77777777" w:rsidR="003B4185" w:rsidRPr="00306A83" w:rsidRDefault="003B4185">
      <w:pPr>
        <w:pBdr>
          <w:top w:val="nil"/>
          <w:left w:val="nil"/>
          <w:bottom w:val="nil"/>
          <w:right w:val="nil"/>
          <w:between w:val="nil"/>
        </w:pBdr>
        <w:spacing w:after="160" w:line="259" w:lineRule="auto"/>
        <w:rPr>
          <w:rFonts w:asciiTheme="majorBidi" w:eastAsia="Times New Roman" w:hAnsiTheme="majorBidi" w:cstheme="majorBidi"/>
          <w:b/>
        </w:rPr>
      </w:pPr>
    </w:p>
    <w:p w14:paraId="53F33DD7"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La prohibition de la torture et des mauvais traitements a d’abord été introduite dans la Constitution ivoirienne du 1er août 2000 puis réaffirmée dans celle du 8 novembre 2016 dont, l’article 5, stipule que « … </w:t>
      </w:r>
      <w:r w:rsidRPr="00306A83">
        <w:rPr>
          <w:rFonts w:asciiTheme="majorBidi" w:eastAsia="Times New Roman" w:hAnsiTheme="majorBidi" w:cstheme="majorBidi"/>
          <w:i/>
        </w:rPr>
        <w:t>la torture physique ou morale, les traitement</w:t>
      </w:r>
      <w:r w:rsidRPr="00306A83">
        <w:rPr>
          <w:rFonts w:asciiTheme="majorBidi" w:eastAsia="Times New Roman" w:hAnsiTheme="majorBidi" w:cstheme="majorBidi"/>
          <w:i/>
        </w:rPr>
        <w:t>s inhumains, cruels, dégradants et humiliants, les violences physiques, les mutilations génitales féminines ainsi que toutes les autres formes d’avilissement de l’être humain sont interdites.</w:t>
      </w:r>
      <w:r w:rsidRPr="00306A83">
        <w:rPr>
          <w:rFonts w:asciiTheme="majorBidi" w:eastAsia="Times New Roman" w:hAnsiTheme="majorBidi" w:cstheme="majorBidi"/>
        </w:rPr>
        <w:t xml:space="preserve"> » Au-delà de cette prohibition constitutionnelle, c’est seulemen</w:t>
      </w:r>
      <w:r w:rsidRPr="00306A83">
        <w:rPr>
          <w:rFonts w:asciiTheme="majorBidi" w:eastAsia="Times New Roman" w:hAnsiTheme="majorBidi" w:cstheme="majorBidi"/>
        </w:rPr>
        <w:t>t en 2015 que la loi n° 2015-134 du 9 mars 2015 modifiant et complétant la loi n° 81-640 du 31 juillet définit et criminalise la torture comme crime de guerre et crime contre l’humanité.  Enfin en 2019 la loi n° 2019-574 du 26 juin 2019 définira et intègre</w:t>
      </w:r>
      <w:r w:rsidRPr="00306A83">
        <w:rPr>
          <w:rFonts w:asciiTheme="majorBidi" w:eastAsia="Times New Roman" w:hAnsiTheme="majorBidi" w:cstheme="majorBidi"/>
        </w:rPr>
        <w:t xml:space="preserve">ra la torture et les mauvais traitements comme infraction autonome (articles 399-402 du Code pénal) dans la législation ivoirienne. </w:t>
      </w:r>
    </w:p>
    <w:p w14:paraId="3598473C" w14:textId="631EE7DB"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Bien que tardivement, la Côte d’Ivoire a internalisé la Convention contre la torture (CAT) dans son Code Pénal</w:t>
      </w:r>
      <w:r w:rsidRPr="00306A83">
        <w:rPr>
          <w:rFonts w:asciiTheme="majorBidi" w:eastAsia="Times New Roman" w:hAnsiTheme="majorBidi" w:cstheme="majorBidi"/>
          <w:b/>
        </w:rPr>
        <w:t xml:space="preserve"> </w:t>
      </w:r>
      <w:r w:rsidRPr="00306A83">
        <w:rPr>
          <w:rFonts w:asciiTheme="majorBidi" w:eastAsia="Times New Roman" w:hAnsiTheme="majorBidi" w:cstheme="majorBidi"/>
        </w:rPr>
        <w:t>par l’adopti</w:t>
      </w:r>
      <w:r w:rsidRPr="00306A83">
        <w:rPr>
          <w:rFonts w:asciiTheme="majorBidi" w:eastAsia="Times New Roman" w:hAnsiTheme="majorBidi" w:cstheme="majorBidi"/>
        </w:rPr>
        <w:t xml:space="preserve">on de la Loi n°2019‐574 du 26 juin 2019 portant Code Pénal </w:t>
      </w:r>
      <w:r w:rsidRPr="00306A83">
        <w:rPr>
          <w:rFonts w:asciiTheme="majorBidi" w:eastAsia="Times New Roman" w:hAnsiTheme="majorBidi" w:cstheme="majorBidi"/>
          <w:i/>
        </w:rPr>
        <w:t xml:space="preserve">(JO 2019‐09 </w:t>
      </w:r>
      <w:proofErr w:type="spellStart"/>
      <w:r w:rsidRPr="00306A83">
        <w:rPr>
          <w:rFonts w:asciiTheme="majorBidi" w:eastAsia="Times New Roman" w:hAnsiTheme="majorBidi" w:cstheme="majorBidi"/>
          <w:i/>
        </w:rPr>
        <w:t>sp</w:t>
      </w:r>
      <w:proofErr w:type="spellEnd"/>
      <w:r w:rsidRPr="00306A83">
        <w:rPr>
          <w:rFonts w:asciiTheme="majorBidi" w:eastAsia="Times New Roman" w:hAnsiTheme="majorBidi" w:cstheme="majorBidi"/>
          <w:i/>
        </w:rPr>
        <w:t>)</w:t>
      </w:r>
      <w:r w:rsidR="005C631A">
        <w:rPr>
          <w:rFonts w:asciiTheme="majorBidi" w:eastAsia="Times New Roman" w:hAnsiTheme="majorBidi" w:cstheme="majorBidi"/>
          <w:i/>
        </w:rPr>
        <w:t>.</w:t>
      </w:r>
      <w:r w:rsidRPr="005C631A">
        <w:rPr>
          <w:rFonts w:asciiTheme="majorBidi" w:eastAsia="Times New Roman" w:hAnsiTheme="majorBidi" w:cstheme="majorBidi"/>
          <w:iCs/>
          <w:vertAlign w:val="superscript"/>
        </w:rPr>
        <w:footnoteReference w:id="2"/>
      </w:r>
      <w:r w:rsidRPr="00306A83">
        <w:rPr>
          <w:rFonts w:asciiTheme="majorBidi" w:eastAsia="Times New Roman" w:hAnsiTheme="majorBidi" w:cstheme="majorBidi"/>
        </w:rPr>
        <w:t xml:space="preserve"> La torture est ainsi devenue une infraction autonome dans le droit positif ivoirien (articles 399 à 402 du Code pénal). </w:t>
      </w:r>
    </w:p>
    <w:p w14:paraId="2DF19261" w14:textId="640C2F84"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278954F4" w14:textId="10D34BBD" w:rsidR="003B4185" w:rsidRPr="00306A83" w:rsidRDefault="006803DD" w:rsidP="00F40C8C">
      <w:pPr>
        <w:pStyle w:val="Heading2"/>
        <w:numPr>
          <w:ilvl w:val="0"/>
          <w:numId w:val="36"/>
        </w:numPr>
        <w:rPr>
          <w:rFonts w:cstheme="majorBidi"/>
          <w:szCs w:val="24"/>
        </w:rPr>
      </w:pPr>
      <w:bookmarkStart w:id="3" w:name="_Toc168990342"/>
      <w:r w:rsidRPr="00306A83">
        <w:rPr>
          <w:rFonts w:cstheme="majorBidi"/>
          <w:szCs w:val="24"/>
        </w:rPr>
        <w:t xml:space="preserve">Absence de conformité de la définition de la </w:t>
      </w:r>
      <w:r w:rsidRPr="00306A83">
        <w:rPr>
          <w:rFonts w:cstheme="majorBidi"/>
          <w:szCs w:val="24"/>
        </w:rPr>
        <w:t>torture prévue par la loi n°2019-574 de 2019</w:t>
      </w:r>
      <w:r w:rsidRPr="00306A83">
        <w:rPr>
          <w:rFonts w:cstheme="majorBidi"/>
          <w:color w:val="FF0000"/>
          <w:szCs w:val="24"/>
          <w:highlight w:val="white"/>
        </w:rPr>
        <w:t xml:space="preserve"> </w:t>
      </w:r>
      <w:r w:rsidRPr="00306A83">
        <w:rPr>
          <w:rFonts w:cstheme="majorBidi"/>
          <w:szCs w:val="24"/>
        </w:rPr>
        <w:t>(Article 1er)</w:t>
      </w:r>
      <w:bookmarkEnd w:id="3"/>
    </w:p>
    <w:p w14:paraId="5A8CD394" w14:textId="77777777" w:rsidR="003B4185" w:rsidRPr="00306A83" w:rsidRDefault="003B4185">
      <w:pPr>
        <w:spacing w:line="259" w:lineRule="auto"/>
        <w:jc w:val="both"/>
        <w:rPr>
          <w:rFonts w:asciiTheme="majorBidi" w:eastAsia="Times New Roman" w:hAnsiTheme="majorBidi" w:cstheme="majorBidi"/>
        </w:rPr>
      </w:pPr>
    </w:p>
    <w:p w14:paraId="679DC4C8"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Contrairement à l’article 1er de la Convention contre la torture, la définition retenue en droit pénal ivoirien n’est pas entièrement conforme aux dispositions de l’article 1er de la Convention. N</w:t>
      </w:r>
      <w:r w:rsidRPr="00306A83">
        <w:rPr>
          <w:rFonts w:asciiTheme="majorBidi" w:eastAsia="Times New Roman" w:hAnsiTheme="majorBidi" w:cstheme="majorBidi"/>
        </w:rPr>
        <w:t xml:space="preserve">on seulement elle n’est pas complète, mais elle entretient aussi un flou quasi volontaire. </w:t>
      </w:r>
    </w:p>
    <w:p w14:paraId="2A931BB4" w14:textId="77777777" w:rsidR="003B4185" w:rsidRPr="00306A83" w:rsidRDefault="003B4185">
      <w:pPr>
        <w:spacing w:line="259" w:lineRule="auto"/>
        <w:rPr>
          <w:rFonts w:asciiTheme="majorBidi" w:eastAsia="Times New Roman" w:hAnsiTheme="majorBidi" w:cstheme="majorBidi"/>
        </w:rPr>
      </w:pPr>
    </w:p>
    <w:p w14:paraId="689A8335" w14:textId="77777777" w:rsidR="003B4185" w:rsidRPr="00306A83" w:rsidRDefault="006803DD">
      <w:pPr>
        <w:spacing w:line="259" w:lineRule="auto"/>
        <w:rPr>
          <w:rFonts w:asciiTheme="majorBidi" w:eastAsia="Times New Roman" w:hAnsiTheme="majorBidi" w:cstheme="majorBidi"/>
        </w:rPr>
      </w:pPr>
      <w:r w:rsidRPr="00306A83">
        <w:rPr>
          <w:rFonts w:asciiTheme="majorBidi" w:eastAsia="Times New Roman" w:hAnsiTheme="majorBidi" w:cstheme="majorBidi"/>
        </w:rPr>
        <w:t xml:space="preserve">La torture est définie par le Code pénal ivoirien à son article 399 comme suit :  </w:t>
      </w:r>
    </w:p>
    <w:p w14:paraId="0AA878A6"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7C293D76"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i/>
        </w:rPr>
        <w:t xml:space="preserve">“Constitue un acte de torture, le fait d’infliger volontairement à autrui des </w:t>
      </w:r>
      <w:r w:rsidRPr="00306A83">
        <w:rPr>
          <w:rFonts w:asciiTheme="majorBidi" w:eastAsia="Times New Roman" w:hAnsiTheme="majorBidi" w:cstheme="majorBidi"/>
          <w:i/>
        </w:rPr>
        <w:t xml:space="preserve">douleurs ou souffrances aigues, physiques ou mentales aux fins notamment :1° d’obtenir de lui ou d’une tierce personne des renseignements ou des aveux ; 2° de le punir d’un acte qu’il ou une tierce personne a commis ou est soupçonné d’avoir commis ; 3° de </w:t>
      </w:r>
      <w:r w:rsidRPr="00306A83">
        <w:rPr>
          <w:rFonts w:asciiTheme="majorBidi" w:eastAsia="Times New Roman" w:hAnsiTheme="majorBidi" w:cstheme="majorBidi"/>
          <w:i/>
        </w:rPr>
        <w:t>l’intimider ou de faire pression sur lui ou d’intimider ou de faire pression sur une tierce personne.</w:t>
      </w:r>
      <w:r w:rsidRPr="00306A83">
        <w:rPr>
          <w:rFonts w:asciiTheme="majorBidi" w:eastAsia="Times New Roman" w:hAnsiTheme="majorBidi" w:cstheme="majorBidi"/>
        </w:rPr>
        <w:t xml:space="preserve"> </w:t>
      </w:r>
    </w:p>
    <w:p w14:paraId="5527CACE"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729C3319"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i/>
        </w:rPr>
        <w:t xml:space="preserve">Constitue également un acte de torture, le fait d’infliger volontairement à autrui des douleurs ou souffrances aiguës, physiques ou mentales pour tout </w:t>
      </w:r>
      <w:r w:rsidRPr="00306A83">
        <w:rPr>
          <w:rFonts w:asciiTheme="majorBidi" w:eastAsia="Times New Roman" w:hAnsiTheme="majorBidi" w:cstheme="majorBidi"/>
          <w:i/>
        </w:rPr>
        <w:t>autre motif fondé sur une forme de discrimination quelle qu’elle soit”.</w:t>
      </w:r>
      <w:r w:rsidRPr="00306A83">
        <w:rPr>
          <w:rFonts w:asciiTheme="majorBidi" w:eastAsia="Times New Roman" w:hAnsiTheme="majorBidi" w:cstheme="majorBidi"/>
        </w:rPr>
        <w:t xml:space="preserve"> </w:t>
      </w:r>
    </w:p>
    <w:p w14:paraId="6D61465B"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47D51010" w14:textId="140A426C" w:rsidR="003B4185"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Le premier défi se pose au niveau de l’auteur de l’infraction : “quiconque”. En généralisant les auteurs d’un acte de torture, la Cote d’ivoire banalise l’esprit de la Convention qu</w:t>
      </w:r>
      <w:r w:rsidRPr="00306A83">
        <w:rPr>
          <w:rFonts w:asciiTheme="majorBidi" w:eastAsia="Times New Roman" w:hAnsiTheme="majorBidi" w:cstheme="majorBidi"/>
        </w:rPr>
        <w:t xml:space="preserve">i consacre le </w:t>
      </w:r>
      <w:r w:rsidR="00B968BE" w:rsidRPr="00306A83">
        <w:rPr>
          <w:rFonts w:asciiTheme="majorBidi" w:eastAsia="Times New Roman" w:hAnsiTheme="majorBidi" w:cstheme="majorBidi"/>
        </w:rPr>
        <w:lastRenderedPageBreak/>
        <w:t>rôle</w:t>
      </w:r>
      <w:r w:rsidRPr="00306A83">
        <w:rPr>
          <w:rFonts w:asciiTheme="majorBidi" w:eastAsia="Times New Roman" w:hAnsiTheme="majorBidi" w:cstheme="majorBidi"/>
        </w:rPr>
        <w:t xml:space="preserve"> ou l’omission de l’</w:t>
      </w:r>
      <w:r w:rsidR="00B968BE" w:rsidRPr="00306A83">
        <w:rPr>
          <w:rFonts w:asciiTheme="majorBidi" w:eastAsia="Times New Roman" w:hAnsiTheme="majorBidi" w:cstheme="majorBidi"/>
        </w:rPr>
        <w:t>État</w:t>
      </w:r>
      <w:r w:rsidRPr="00306A83">
        <w:rPr>
          <w:rFonts w:asciiTheme="majorBidi" w:eastAsia="Times New Roman" w:hAnsiTheme="majorBidi" w:cstheme="majorBidi"/>
        </w:rPr>
        <w:t xml:space="preserve">, de ses agents publics et de toute autre personne agissant à titre officiel dans la </w:t>
      </w:r>
      <w:r w:rsidR="00B968BE" w:rsidRPr="00306A83">
        <w:rPr>
          <w:rFonts w:asciiTheme="majorBidi" w:eastAsia="Times New Roman" w:hAnsiTheme="majorBidi" w:cstheme="majorBidi"/>
        </w:rPr>
        <w:t>perpétration</w:t>
      </w:r>
      <w:r w:rsidRPr="00306A83">
        <w:rPr>
          <w:rFonts w:asciiTheme="majorBidi" w:eastAsia="Times New Roman" w:hAnsiTheme="majorBidi" w:cstheme="majorBidi"/>
        </w:rPr>
        <w:t xml:space="preserve"> des actes de torture. En effet, la Convention impose des obligations aux </w:t>
      </w:r>
      <w:r w:rsidR="00B968BE" w:rsidRPr="00306A83">
        <w:rPr>
          <w:rFonts w:asciiTheme="majorBidi" w:eastAsia="Times New Roman" w:hAnsiTheme="majorBidi" w:cstheme="majorBidi"/>
        </w:rPr>
        <w:t>États</w:t>
      </w:r>
      <w:r w:rsidRPr="00306A83">
        <w:rPr>
          <w:rFonts w:asciiTheme="majorBidi" w:eastAsia="Times New Roman" w:hAnsiTheme="majorBidi" w:cstheme="majorBidi"/>
        </w:rPr>
        <w:t xml:space="preserve"> parties, et non aux particuliers. La </w:t>
      </w:r>
      <w:r w:rsidRPr="00306A83">
        <w:rPr>
          <w:rFonts w:asciiTheme="majorBidi" w:eastAsia="Times New Roman" w:hAnsiTheme="majorBidi" w:cstheme="majorBidi"/>
        </w:rPr>
        <w:t xml:space="preserve">torture </w:t>
      </w:r>
      <w:proofErr w:type="gramStart"/>
      <w:r w:rsidRPr="00306A83">
        <w:rPr>
          <w:rFonts w:asciiTheme="majorBidi" w:eastAsia="Times New Roman" w:hAnsiTheme="majorBidi" w:cstheme="majorBidi"/>
        </w:rPr>
        <w:t>est</w:t>
      </w:r>
      <w:proofErr w:type="gramEnd"/>
      <w:r w:rsidRPr="00306A83">
        <w:rPr>
          <w:rFonts w:asciiTheme="majorBidi" w:eastAsia="Times New Roman" w:hAnsiTheme="majorBidi" w:cstheme="majorBidi"/>
        </w:rPr>
        <w:t xml:space="preserve"> </w:t>
      </w:r>
      <w:r w:rsidR="005C631A">
        <w:rPr>
          <w:rFonts w:asciiTheme="majorBidi" w:eastAsia="Times New Roman" w:hAnsiTheme="majorBidi" w:cstheme="majorBidi"/>
        </w:rPr>
        <w:t xml:space="preserve">un </w:t>
      </w:r>
      <w:r w:rsidRPr="00306A83">
        <w:rPr>
          <w:rFonts w:asciiTheme="majorBidi" w:eastAsia="Times New Roman" w:hAnsiTheme="majorBidi" w:cstheme="majorBidi"/>
        </w:rPr>
        <w:t xml:space="preserve">crime grave dont l’interdiction absolue est </w:t>
      </w:r>
      <w:r w:rsidR="00B968BE" w:rsidRPr="00306A83">
        <w:rPr>
          <w:rFonts w:asciiTheme="majorBidi" w:eastAsia="Times New Roman" w:hAnsiTheme="majorBidi" w:cstheme="majorBidi"/>
        </w:rPr>
        <w:t>considérée</w:t>
      </w:r>
      <w:r w:rsidRPr="00306A83">
        <w:rPr>
          <w:rFonts w:asciiTheme="majorBidi" w:eastAsia="Times New Roman" w:hAnsiTheme="majorBidi" w:cstheme="majorBidi"/>
        </w:rPr>
        <w:t xml:space="preserve"> comme </w:t>
      </w:r>
      <w:r w:rsidRPr="00306A83">
        <w:rPr>
          <w:rFonts w:asciiTheme="majorBidi" w:eastAsia="Times New Roman" w:hAnsiTheme="majorBidi" w:cstheme="majorBidi"/>
          <w:i/>
        </w:rPr>
        <w:t>Jus cogens</w:t>
      </w:r>
      <w:r w:rsidRPr="00306A83">
        <w:rPr>
          <w:rFonts w:asciiTheme="majorBidi" w:eastAsia="Times New Roman" w:hAnsiTheme="majorBidi" w:cstheme="majorBidi"/>
        </w:rPr>
        <w:t xml:space="preserve">. Sa prohibition en droit national doit coller au maximum aux prescriptions du droit international et de la coutume. </w:t>
      </w:r>
    </w:p>
    <w:p w14:paraId="5A801267" w14:textId="77777777" w:rsidR="00B968BE" w:rsidRPr="00306A83" w:rsidRDefault="00B968BE">
      <w:pPr>
        <w:spacing w:line="259" w:lineRule="auto"/>
        <w:jc w:val="both"/>
        <w:rPr>
          <w:rFonts w:asciiTheme="majorBidi" w:eastAsia="Times New Roman" w:hAnsiTheme="majorBidi" w:cstheme="majorBidi"/>
        </w:rPr>
      </w:pPr>
    </w:p>
    <w:p w14:paraId="53D60B28" w14:textId="55868F8A"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La définition en droit ivoirien ne prévoit pas comm</w:t>
      </w:r>
      <w:r w:rsidRPr="00306A83">
        <w:rPr>
          <w:rFonts w:asciiTheme="majorBidi" w:eastAsia="Times New Roman" w:hAnsiTheme="majorBidi" w:cstheme="majorBidi"/>
        </w:rPr>
        <w:t>e auteur, toutes les personnes qui, très souvent sans être des agents de l’</w:t>
      </w:r>
      <w:r w:rsidR="00B968BE" w:rsidRPr="00306A83">
        <w:rPr>
          <w:rFonts w:asciiTheme="majorBidi" w:eastAsia="Times New Roman" w:hAnsiTheme="majorBidi" w:cstheme="majorBidi"/>
        </w:rPr>
        <w:t>État</w:t>
      </w:r>
      <w:r w:rsidRPr="00306A83">
        <w:rPr>
          <w:rFonts w:asciiTheme="majorBidi" w:eastAsia="Times New Roman" w:hAnsiTheme="majorBidi" w:cstheme="majorBidi"/>
        </w:rPr>
        <w:t>, agissent tout de même à titre officiel</w:t>
      </w:r>
      <w:r w:rsidR="00B968BE">
        <w:rPr>
          <w:rFonts w:asciiTheme="majorBidi" w:eastAsia="Times New Roman" w:hAnsiTheme="majorBidi" w:cstheme="majorBidi"/>
        </w:rPr>
        <w:t xml:space="preserve"> </w:t>
      </w:r>
      <w:r w:rsidRPr="00306A83">
        <w:rPr>
          <w:rFonts w:asciiTheme="majorBidi" w:eastAsia="Times New Roman" w:hAnsiTheme="majorBidi" w:cstheme="majorBidi"/>
        </w:rPr>
        <w:t xml:space="preserve">: Il s’agit notamment des chefs traditionnels, des chasseurs traditionnels appelés </w:t>
      </w:r>
      <w:proofErr w:type="spellStart"/>
      <w:r w:rsidRPr="00306A83">
        <w:rPr>
          <w:rFonts w:asciiTheme="majorBidi" w:eastAsia="Times New Roman" w:hAnsiTheme="majorBidi" w:cstheme="majorBidi"/>
        </w:rPr>
        <w:t>Dozo</w:t>
      </w:r>
      <w:proofErr w:type="spellEnd"/>
      <w:r w:rsidRPr="00306A83">
        <w:rPr>
          <w:rFonts w:asciiTheme="majorBidi" w:eastAsia="Times New Roman" w:hAnsiTheme="majorBidi" w:cstheme="majorBidi"/>
        </w:rPr>
        <w:t xml:space="preserve"> et de nombreuses milices ayant joué un rôle impo</w:t>
      </w:r>
      <w:r w:rsidRPr="00306A83">
        <w:rPr>
          <w:rFonts w:asciiTheme="majorBidi" w:eastAsia="Times New Roman" w:hAnsiTheme="majorBidi" w:cstheme="majorBidi"/>
        </w:rPr>
        <w:t>rtant dans les différentes crises qu’</w:t>
      </w:r>
      <w:r w:rsidR="00B968BE">
        <w:rPr>
          <w:rFonts w:asciiTheme="majorBidi" w:eastAsia="Times New Roman" w:hAnsiTheme="majorBidi" w:cstheme="majorBidi"/>
        </w:rPr>
        <w:t>a</w:t>
      </w:r>
      <w:r w:rsidRPr="00306A83">
        <w:rPr>
          <w:rFonts w:asciiTheme="majorBidi" w:eastAsia="Times New Roman" w:hAnsiTheme="majorBidi" w:cstheme="majorBidi"/>
        </w:rPr>
        <w:t xml:space="preserve"> connu le pays. A ce titre le </w:t>
      </w:r>
      <w:proofErr w:type="spellStart"/>
      <w:r w:rsidRPr="00306A83">
        <w:rPr>
          <w:rFonts w:asciiTheme="majorBidi" w:eastAsia="Times New Roman" w:hAnsiTheme="majorBidi" w:cstheme="majorBidi"/>
        </w:rPr>
        <w:t>Comite</w:t>
      </w:r>
      <w:proofErr w:type="spellEnd"/>
      <w:r w:rsidRPr="00306A83">
        <w:rPr>
          <w:rFonts w:asciiTheme="majorBidi" w:eastAsia="Times New Roman" w:hAnsiTheme="majorBidi" w:cstheme="majorBidi"/>
        </w:rPr>
        <w:t xml:space="preserve">́ a rappelé que les personnes « agissant à titre officiel » incluent les </w:t>
      </w:r>
      <w:proofErr w:type="spellStart"/>
      <w:r w:rsidRPr="00306A83">
        <w:rPr>
          <w:rFonts w:asciiTheme="majorBidi" w:eastAsia="Times New Roman" w:hAnsiTheme="majorBidi" w:cstheme="majorBidi"/>
        </w:rPr>
        <w:t>autorités</w:t>
      </w:r>
      <w:proofErr w:type="spellEnd"/>
      <w:r w:rsidRPr="00306A83">
        <w:rPr>
          <w:rFonts w:asciiTheme="majorBidi" w:eastAsia="Times New Roman" w:hAnsiTheme="majorBidi" w:cstheme="majorBidi"/>
        </w:rPr>
        <w:t xml:space="preserve"> de facto, y compris les groupes rebelles et </w:t>
      </w:r>
      <w:proofErr w:type="spellStart"/>
      <w:r w:rsidRPr="00306A83">
        <w:rPr>
          <w:rFonts w:asciiTheme="majorBidi" w:eastAsia="Times New Roman" w:hAnsiTheme="majorBidi" w:cstheme="majorBidi"/>
        </w:rPr>
        <w:t>insurgés</w:t>
      </w:r>
      <w:proofErr w:type="spellEnd"/>
      <w:r w:rsidRPr="00306A83">
        <w:rPr>
          <w:rFonts w:asciiTheme="majorBidi" w:eastAsia="Times New Roman" w:hAnsiTheme="majorBidi" w:cstheme="majorBidi"/>
        </w:rPr>
        <w:t xml:space="preserve"> qui « exercent certains pouvoirs qui sont c</w:t>
      </w:r>
      <w:r w:rsidRPr="00306A83">
        <w:rPr>
          <w:rFonts w:asciiTheme="majorBidi" w:eastAsia="Times New Roman" w:hAnsiTheme="majorBidi" w:cstheme="majorBidi"/>
        </w:rPr>
        <w:t xml:space="preserve">omparables à ceux qu’exerce normalement un gouvernement </w:t>
      </w:r>
      <w:proofErr w:type="spellStart"/>
      <w:r w:rsidRPr="00306A83">
        <w:rPr>
          <w:rFonts w:asciiTheme="majorBidi" w:eastAsia="Times New Roman" w:hAnsiTheme="majorBidi" w:cstheme="majorBidi"/>
        </w:rPr>
        <w:t>légitime</w:t>
      </w:r>
      <w:proofErr w:type="spellEnd"/>
      <w:r w:rsidRPr="00306A83">
        <w:rPr>
          <w:rFonts w:asciiTheme="majorBidi" w:eastAsia="Times New Roman" w:hAnsiTheme="majorBidi" w:cstheme="majorBidi"/>
        </w:rPr>
        <w:t xml:space="preserve"> »</w:t>
      </w:r>
      <w:r w:rsidRPr="00306A83">
        <w:rPr>
          <w:rFonts w:asciiTheme="majorBidi" w:eastAsia="Times New Roman" w:hAnsiTheme="majorBidi" w:cstheme="majorBidi"/>
          <w:vertAlign w:val="superscript"/>
        </w:rPr>
        <w:footnoteReference w:id="3"/>
      </w:r>
      <w:r w:rsidRPr="00306A83">
        <w:rPr>
          <w:rFonts w:asciiTheme="majorBidi" w:eastAsia="Times New Roman" w:hAnsiTheme="majorBidi" w:cstheme="majorBidi"/>
        </w:rPr>
        <w:t xml:space="preserve">. </w:t>
      </w:r>
    </w:p>
    <w:p w14:paraId="5576D319" w14:textId="77777777" w:rsidR="003B4185" w:rsidRPr="00306A83" w:rsidRDefault="003B4185">
      <w:pPr>
        <w:spacing w:line="259" w:lineRule="auto"/>
        <w:jc w:val="both"/>
        <w:rPr>
          <w:rFonts w:asciiTheme="majorBidi" w:eastAsia="Times New Roman" w:hAnsiTheme="majorBidi" w:cstheme="majorBidi"/>
        </w:rPr>
      </w:pPr>
    </w:p>
    <w:p w14:paraId="4A8D508E" w14:textId="4E66BC58"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La Côte d’</w:t>
      </w:r>
      <w:r w:rsidR="005C631A">
        <w:rPr>
          <w:rFonts w:asciiTheme="majorBidi" w:eastAsia="Times New Roman" w:hAnsiTheme="majorBidi" w:cstheme="majorBidi"/>
        </w:rPr>
        <w:t>I</w:t>
      </w:r>
      <w:r w:rsidRPr="00306A83">
        <w:rPr>
          <w:rFonts w:asciiTheme="majorBidi" w:eastAsia="Times New Roman" w:hAnsiTheme="majorBidi" w:cstheme="majorBidi"/>
        </w:rPr>
        <w:t xml:space="preserve">voire </w:t>
      </w:r>
      <w:r w:rsidR="00F40C8C" w:rsidRPr="00306A83">
        <w:rPr>
          <w:rFonts w:asciiTheme="majorBidi" w:eastAsia="Times New Roman" w:hAnsiTheme="majorBidi" w:cstheme="majorBidi"/>
        </w:rPr>
        <w:t>a</w:t>
      </w:r>
      <w:r w:rsidRPr="00306A83">
        <w:rPr>
          <w:rFonts w:asciiTheme="majorBidi" w:eastAsia="Times New Roman" w:hAnsiTheme="majorBidi" w:cstheme="majorBidi"/>
        </w:rPr>
        <w:t xml:space="preserve"> le droit que reconnaît le Comité aux </w:t>
      </w:r>
      <w:r w:rsidR="00F40C8C" w:rsidRPr="00306A83">
        <w:rPr>
          <w:rFonts w:asciiTheme="majorBidi" w:eastAsia="Times New Roman" w:hAnsiTheme="majorBidi" w:cstheme="majorBidi"/>
        </w:rPr>
        <w:t>États</w:t>
      </w:r>
      <w:r w:rsidRPr="00306A83">
        <w:rPr>
          <w:rFonts w:asciiTheme="majorBidi" w:eastAsia="Times New Roman" w:hAnsiTheme="majorBidi" w:cstheme="majorBidi"/>
        </w:rPr>
        <w:t xml:space="preserve"> d’adopter des “</w:t>
      </w:r>
      <w:r w:rsidRPr="00306A83">
        <w:rPr>
          <w:rFonts w:asciiTheme="majorBidi" w:eastAsia="Times New Roman" w:hAnsiTheme="majorBidi" w:cstheme="majorBidi"/>
          <w:i/>
        </w:rPr>
        <w:t xml:space="preserve">définitions de portée plus vaste” </w:t>
      </w:r>
      <w:r w:rsidRPr="00306A83">
        <w:rPr>
          <w:rFonts w:asciiTheme="majorBidi" w:eastAsia="Times New Roman" w:hAnsiTheme="majorBidi" w:cstheme="majorBidi"/>
        </w:rPr>
        <w:t xml:space="preserve">mais elles doivent servir l’objet et le but de la Convention </w:t>
      </w:r>
      <w:r w:rsidRPr="00306A83">
        <w:rPr>
          <w:rFonts w:asciiTheme="majorBidi" w:eastAsia="Times New Roman" w:hAnsiTheme="majorBidi" w:cstheme="majorBidi"/>
        </w:rPr>
        <w:t>contenir les normes énoncées dans celle-ci et être mises en œuvre conformément à ces normes.</w:t>
      </w:r>
      <w:r w:rsidRPr="00306A83">
        <w:rPr>
          <w:rFonts w:asciiTheme="majorBidi" w:eastAsia="Times New Roman" w:hAnsiTheme="majorBidi" w:cstheme="majorBidi"/>
          <w:vertAlign w:val="superscript"/>
        </w:rPr>
        <w:footnoteReference w:id="4"/>
      </w:r>
      <w:r w:rsidRPr="00306A83">
        <w:rPr>
          <w:rFonts w:asciiTheme="majorBidi" w:eastAsia="Times New Roman" w:hAnsiTheme="majorBidi" w:cstheme="majorBidi"/>
        </w:rPr>
        <w:t xml:space="preserve">  La C</w:t>
      </w:r>
      <w:r w:rsidR="00B968BE">
        <w:rPr>
          <w:rFonts w:asciiTheme="majorBidi" w:eastAsia="Times New Roman" w:hAnsiTheme="majorBidi" w:cstheme="majorBidi"/>
        </w:rPr>
        <w:t>ô</w:t>
      </w:r>
      <w:r w:rsidRPr="00306A83">
        <w:rPr>
          <w:rFonts w:asciiTheme="majorBidi" w:eastAsia="Times New Roman" w:hAnsiTheme="majorBidi" w:cstheme="majorBidi"/>
        </w:rPr>
        <w:t>te d’</w:t>
      </w:r>
      <w:r w:rsidR="00B968BE">
        <w:rPr>
          <w:rFonts w:asciiTheme="majorBidi" w:eastAsia="Times New Roman" w:hAnsiTheme="majorBidi" w:cstheme="majorBidi"/>
        </w:rPr>
        <w:t>I</w:t>
      </w:r>
      <w:r w:rsidRPr="00306A83">
        <w:rPr>
          <w:rFonts w:asciiTheme="majorBidi" w:eastAsia="Times New Roman" w:hAnsiTheme="majorBidi" w:cstheme="majorBidi"/>
        </w:rPr>
        <w:t xml:space="preserve">voire aurait pu adopter une loi qui comme, le </w:t>
      </w:r>
      <w:r w:rsidRPr="00306A83">
        <w:rPr>
          <w:rFonts w:asciiTheme="majorBidi" w:eastAsia="Times New Roman" w:hAnsiTheme="majorBidi" w:cstheme="majorBidi"/>
          <w:i/>
        </w:rPr>
        <w:t xml:space="preserve">Prevention and Prohibition of Torture </w:t>
      </w:r>
      <w:proofErr w:type="spellStart"/>
      <w:r w:rsidRPr="00306A83">
        <w:rPr>
          <w:rFonts w:asciiTheme="majorBidi" w:eastAsia="Times New Roman" w:hAnsiTheme="majorBidi" w:cstheme="majorBidi"/>
          <w:i/>
        </w:rPr>
        <w:t>Act</w:t>
      </w:r>
      <w:proofErr w:type="spellEnd"/>
      <w:r w:rsidRPr="00306A83">
        <w:rPr>
          <w:rFonts w:asciiTheme="majorBidi" w:eastAsia="Times New Roman" w:hAnsiTheme="majorBidi" w:cstheme="majorBidi"/>
        </w:rPr>
        <w:t xml:space="preserve"> adopté par l’Ouganda en 2012, contient dans sa définition de </w:t>
      </w:r>
      <w:r w:rsidRPr="00306A83">
        <w:rPr>
          <w:rFonts w:asciiTheme="majorBidi" w:eastAsia="Times New Roman" w:hAnsiTheme="majorBidi" w:cstheme="majorBidi"/>
        </w:rPr>
        <w:t>la torture les actes commis “</w:t>
      </w:r>
      <w:r w:rsidRPr="00306A83">
        <w:rPr>
          <w:rFonts w:asciiTheme="majorBidi" w:eastAsia="Times New Roman" w:hAnsiTheme="majorBidi" w:cstheme="majorBidi"/>
          <w:i/>
        </w:rPr>
        <w:t>par ou à l'instigation ou avec le consentement ou l'assentiment de toute personne, qu'il s'agisse d'un agent public ou d'une autre personne agissant à titre officiel ou privé</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5"/>
      </w:r>
      <w:r w:rsidRPr="00306A83">
        <w:rPr>
          <w:rFonts w:asciiTheme="majorBidi" w:eastAsia="Times New Roman" w:hAnsiTheme="majorBidi" w:cstheme="majorBidi"/>
        </w:rPr>
        <w:t xml:space="preserve"> marquant ainsi une différence claire entre les au</w:t>
      </w:r>
      <w:r w:rsidRPr="00306A83">
        <w:rPr>
          <w:rFonts w:asciiTheme="majorBidi" w:eastAsia="Times New Roman" w:hAnsiTheme="majorBidi" w:cstheme="majorBidi"/>
        </w:rPr>
        <w:t xml:space="preserve">teurs. </w:t>
      </w:r>
    </w:p>
    <w:p w14:paraId="2A5835B3" w14:textId="77777777" w:rsidR="003B4185" w:rsidRPr="00306A83" w:rsidRDefault="003B4185">
      <w:pPr>
        <w:spacing w:line="259" w:lineRule="auto"/>
        <w:jc w:val="both"/>
        <w:rPr>
          <w:rFonts w:asciiTheme="majorBidi" w:eastAsia="Times New Roman" w:hAnsiTheme="majorBidi" w:cstheme="majorBidi"/>
        </w:rPr>
      </w:pPr>
    </w:p>
    <w:p w14:paraId="1510CCE7" w14:textId="69043B80"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De plus lorsque l’article 402 du Code pénal rappelle le rôle central de l’“</w:t>
      </w:r>
      <w:r w:rsidRPr="00306A83">
        <w:rPr>
          <w:rFonts w:asciiTheme="majorBidi" w:eastAsia="Times New Roman" w:hAnsiTheme="majorBidi" w:cstheme="majorBidi"/>
          <w:i/>
        </w:rPr>
        <w:t xml:space="preserve">agent public” </w:t>
      </w:r>
      <w:r w:rsidRPr="00306A83">
        <w:rPr>
          <w:rFonts w:asciiTheme="majorBidi" w:eastAsia="Times New Roman" w:hAnsiTheme="majorBidi" w:cstheme="majorBidi"/>
        </w:rPr>
        <w:t>dans la commission des actes de torture elle ne précise pas deux choses</w:t>
      </w:r>
      <w:r w:rsidR="00B968BE">
        <w:rPr>
          <w:rFonts w:asciiTheme="majorBidi" w:eastAsia="Times New Roman" w:hAnsiTheme="majorBidi" w:cstheme="majorBidi"/>
        </w:rPr>
        <w:t xml:space="preserve"> </w:t>
      </w:r>
      <w:r w:rsidRPr="00306A83">
        <w:rPr>
          <w:rFonts w:asciiTheme="majorBidi" w:eastAsia="Times New Roman" w:hAnsiTheme="majorBidi" w:cstheme="majorBidi"/>
        </w:rPr>
        <w:t>:</w:t>
      </w:r>
      <w:r w:rsidRPr="00306A83">
        <w:rPr>
          <w:rFonts w:asciiTheme="majorBidi" w:eastAsia="Times New Roman" w:hAnsiTheme="majorBidi" w:cstheme="majorBidi"/>
          <w:i/>
        </w:rPr>
        <w:t xml:space="preserve"> “l’</w:t>
      </w:r>
      <w:r w:rsidR="00B968BE" w:rsidRPr="00306A83">
        <w:rPr>
          <w:rFonts w:asciiTheme="majorBidi" w:eastAsia="Times New Roman" w:hAnsiTheme="majorBidi" w:cstheme="majorBidi"/>
          <w:i/>
        </w:rPr>
        <w:t>omission</w:t>
      </w:r>
      <w:r w:rsidRPr="00306A83">
        <w:rPr>
          <w:rFonts w:asciiTheme="majorBidi" w:eastAsia="Times New Roman" w:hAnsiTheme="majorBidi" w:cstheme="majorBidi"/>
          <w:i/>
        </w:rPr>
        <w:t xml:space="preserve">” </w:t>
      </w:r>
      <w:r w:rsidRPr="00306A83">
        <w:rPr>
          <w:rFonts w:asciiTheme="majorBidi" w:eastAsia="Times New Roman" w:hAnsiTheme="majorBidi" w:cstheme="majorBidi"/>
        </w:rPr>
        <w:t xml:space="preserve">et le caractère </w:t>
      </w:r>
      <w:r w:rsidRPr="00306A83">
        <w:rPr>
          <w:rFonts w:asciiTheme="majorBidi" w:eastAsia="Times New Roman" w:hAnsiTheme="majorBidi" w:cstheme="majorBidi"/>
          <w:i/>
        </w:rPr>
        <w:t xml:space="preserve">“exprès” </w:t>
      </w:r>
      <w:r w:rsidRPr="00306A83">
        <w:rPr>
          <w:rFonts w:asciiTheme="majorBidi" w:eastAsia="Times New Roman" w:hAnsiTheme="majorBidi" w:cstheme="majorBidi"/>
        </w:rPr>
        <w:t>ou</w:t>
      </w:r>
      <w:r w:rsidRPr="00306A83">
        <w:rPr>
          <w:rFonts w:asciiTheme="majorBidi" w:eastAsia="Times New Roman" w:hAnsiTheme="majorBidi" w:cstheme="majorBidi"/>
          <w:i/>
        </w:rPr>
        <w:t xml:space="preserve"> “tacite” </w:t>
      </w:r>
      <w:r w:rsidRPr="00306A83">
        <w:rPr>
          <w:rFonts w:asciiTheme="majorBidi" w:eastAsia="Times New Roman" w:hAnsiTheme="majorBidi" w:cstheme="majorBidi"/>
        </w:rPr>
        <w:t>de son consentement. Le droit ivoi</w:t>
      </w:r>
      <w:r w:rsidRPr="00306A83">
        <w:rPr>
          <w:rFonts w:asciiTheme="majorBidi" w:eastAsia="Times New Roman" w:hAnsiTheme="majorBidi" w:cstheme="majorBidi"/>
        </w:rPr>
        <w:t>rien ne prévoit donc pas clairement que la non-intervention des autorités renforce et accroît le risque que des individus portent atteinte à autrui.</w:t>
      </w:r>
      <w:r w:rsidRPr="00306A83">
        <w:rPr>
          <w:rFonts w:asciiTheme="majorBidi" w:eastAsia="Times New Roman" w:hAnsiTheme="majorBidi" w:cstheme="majorBidi"/>
          <w:vertAlign w:val="superscript"/>
        </w:rPr>
        <w:footnoteReference w:id="6"/>
      </w:r>
      <w:r w:rsidRPr="00306A83">
        <w:rPr>
          <w:rFonts w:asciiTheme="majorBidi" w:eastAsia="Times New Roman" w:hAnsiTheme="majorBidi" w:cstheme="majorBidi"/>
        </w:rPr>
        <w:t xml:space="preserve"> </w:t>
      </w:r>
    </w:p>
    <w:p w14:paraId="40916839" w14:textId="77777777" w:rsidR="003B4185" w:rsidRPr="00306A83" w:rsidRDefault="003B4185">
      <w:pPr>
        <w:spacing w:line="259" w:lineRule="auto"/>
        <w:jc w:val="both"/>
        <w:rPr>
          <w:rFonts w:asciiTheme="majorBidi" w:eastAsia="Times New Roman" w:hAnsiTheme="majorBidi" w:cstheme="majorBidi"/>
        </w:rPr>
      </w:pPr>
    </w:p>
    <w:p w14:paraId="442777B8" w14:textId="667355D3" w:rsidR="003B4185" w:rsidRPr="00306A83" w:rsidRDefault="006803DD" w:rsidP="00B968BE">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Au regard de l’histoire récente de la Côte d'ivoire, il est évident que la définition actuelle ne consi</w:t>
      </w:r>
      <w:r w:rsidRPr="00306A83">
        <w:rPr>
          <w:rFonts w:asciiTheme="majorBidi" w:eastAsia="Times New Roman" w:hAnsiTheme="majorBidi" w:cstheme="majorBidi"/>
        </w:rPr>
        <w:t>dère pas que</w:t>
      </w:r>
      <w:r w:rsidRPr="00306A83">
        <w:rPr>
          <w:rFonts w:asciiTheme="majorBidi" w:eastAsia="Times New Roman" w:hAnsiTheme="majorBidi" w:cstheme="majorBidi"/>
          <w:i/>
        </w:rPr>
        <w:t xml:space="preserve"> l’État partie peut être “tenu pour responsable et ses agents devraient être considérés comme les auteurs, les complices ou les responsables d’une quelconque autre manière, en vertu de la Convention, pour avoir consenti, expressément ou tacitem</w:t>
      </w:r>
      <w:r w:rsidRPr="00306A83">
        <w:rPr>
          <w:rFonts w:asciiTheme="majorBidi" w:eastAsia="Times New Roman" w:hAnsiTheme="majorBidi" w:cstheme="majorBidi"/>
          <w:i/>
        </w:rPr>
        <w:t>ent, à la commission d’actes interdits</w:t>
      </w:r>
      <w:r w:rsidRPr="00306A83">
        <w:rPr>
          <w:rFonts w:asciiTheme="majorBidi" w:eastAsia="Times New Roman" w:hAnsiTheme="majorBidi" w:cstheme="majorBidi"/>
        </w:rPr>
        <w:t xml:space="preserve">” par des individus agissants à titre officiel </w:t>
      </w:r>
      <w:r w:rsidR="00B968BE" w:rsidRPr="00306A83">
        <w:rPr>
          <w:rFonts w:asciiTheme="majorBidi" w:eastAsia="Times New Roman" w:hAnsiTheme="majorBidi" w:cstheme="majorBidi"/>
        </w:rPr>
        <w:t>en tant qu’autorité</w:t>
      </w:r>
      <w:r w:rsidRPr="00306A83">
        <w:rPr>
          <w:rFonts w:asciiTheme="majorBidi" w:eastAsia="Times New Roman" w:hAnsiTheme="majorBidi" w:cstheme="majorBidi"/>
        </w:rPr>
        <w:t xml:space="preserve"> de facto. En d’autres termes, la définition actuelle semble négli</w:t>
      </w:r>
      <w:r w:rsidR="00F40C8C" w:rsidRPr="00306A83">
        <w:rPr>
          <w:rFonts w:asciiTheme="majorBidi" w:eastAsia="Times New Roman" w:hAnsiTheme="majorBidi" w:cstheme="majorBidi"/>
        </w:rPr>
        <w:t>g</w:t>
      </w:r>
      <w:r w:rsidRPr="00306A83">
        <w:rPr>
          <w:rFonts w:asciiTheme="majorBidi" w:eastAsia="Times New Roman" w:hAnsiTheme="majorBidi" w:cstheme="majorBidi"/>
        </w:rPr>
        <w:t>er l’indifférence ou l’inaction de l’</w:t>
      </w:r>
      <w:r w:rsidR="00F40C8C" w:rsidRPr="00306A83">
        <w:rPr>
          <w:rFonts w:asciiTheme="majorBidi" w:eastAsia="Times New Roman" w:hAnsiTheme="majorBidi" w:cstheme="majorBidi"/>
        </w:rPr>
        <w:t>État</w:t>
      </w:r>
      <w:r w:rsidRPr="00306A83">
        <w:rPr>
          <w:rFonts w:asciiTheme="majorBidi" w:eastAsia="Times New Roman" w:hAnsiTheme="majorBidi" w:cstheme="majorBidi"/>
        </w:rPr>
        <w:t xml:space="preserve"> pour mettre un terme et réprimer les actes de torture commis par des acteurs non étatiques, et ne permet d’établir sa responsabilité directe.</w:t>
      </w:r>
      <w:r w:rsidRPr="00306A83">
        <w:rPr>
          <w:rFonts w:asciiTheme="majorBidi" w:eastAsia="Times New Roman" w:hAnsiTheme="majorBidi" w:cstheme="majorBidi"/>
          <w:vertAlign w:val="superscript"/>
        </w:rPr>
        <w:footnoteReference w:id="7"/>
      </w:r>
      <w:r w:rsidRPr="00306A83">
        <w:rPr>
          <w:rFonts w:asciiTheme="majorBidi" w:eastAsia="Times New Roman" w:hAnsiTheme="majorBidi" w:cstheme="majorBidi"/>
        </w:rPr>
        <w:t xml:space="preserve"> </w:t>
      </w:r>
    </w:p>
    <w:p w14:paraId="3928A895" w14:textId="77777777" w:rsidR="003B4185" w:rsidRPr="00306A83" w:rsidRDefault="003B4185">
      <w:pPr>
        <w:spacing w:line="259" w:lineRule="auto"/>
        <w:jc w:val="both"/>
        <w:rPr>
          <w:rFonts w:asciiTheme="majorBidi" w:eastAsia="Times New Roman" w:hAnsiTheme="majorBidi" w:cstheme="majorBidi"/>
        </w:rPr>
      </w:pPr>
    </w:p>
    <w:p w14:paraId="67D834B1"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Or, la définition de la torture telle que prévue par l’article 399 du Code pénal ivoirien ne reflète ainsi pa</w:t>
      </w:r>
      <w:r w:rsidRPr="00306A83">
        <w:rPr>
          <w:rFonts w:asciiTheme="majorBidi" w:eastAsia="Times New Roman" w:hAnsiTheme="majorBidi" w:cstheme="majorBidi"/>
        </w:rPr>
        <w:t>s exactement la portée des obligations de l’État au titre de la Convention quant à la diligence à laquelle il est tenu pour prévenir, enquêter, poursuivre et condamner les auteurs d’actes de torture non-étatiques.</w:t>
      </w:r>
    </w:p>
    <w:p w14:paraId="6C6A5EF6" w14:textId="77777777" w:rsidR="003B4185" w:rsidRPr="00306A83" w:rsidRDefault="003B4185">
      <w:pPr>
        <w:spacing w:line="259" w:lineRule="auto"/>
        <w:jc w:val="both"/>
        <w:rPr>
          <w:rFonts w:asciiTheme="majorBidi" w:eastAsia="Times New Roman" w:hAnsiTheme="majorBidi" w:cstheme="majorBidi"/>
        </w:rPr>
      </w:pPr>
    </w:p>
    <w:p w14:paraId="6FE0D8E4" w14:textId="71B06B3F" w:rsidR="003B4185" w:rsidRPr="00B968BE" w:rsidRDefault="006803DD" w:rsidP="00B968BE">
      <w:pPr>
        <w:spacing w:line="259" w:lineRule="auto"/>
        <w:jc w:val="both"/>
        <w:rPr>
          <w:rFonts w:asciiTheme="majorBidi" w:eastAsia="Times New Roman" w:hAnsiTheme="majorBidi" w:cstheme="majorBidi"/>
          <w:highlight w:val="yellow"/>
        </w:rPr>
      </w:pPr>
      <w:r w:rsidRPr="00306A83">
        <w:rPr>
          <w:rFonts w:asciiTheme="majorBidi" w:eastAsia="Times New Roman" w:hAnsiTheme="majorBidi" w:cstheme="majorBidi"/>
        </w:rPr>
        <w:t>Ainsi, le critère de la commission, de l’</w:t>
      </w:r>
      <w:r w:rsidRPr="00306A83">
        <w:rPr>
          <w:rFonts w:asciiTheme="majorBidi" w:eastAsia="Times New Roman" w:hAnsiTheme="majorBidi" w:cstheme="majorBidi"/>
        </w:rPr>
        <w:t>instigation ou du consentement des agents de l’</w:t>
      </w:r>
      <w:r w:rsidR="00F40C8C" w:rsidRPr="00306A83">
        <w:rPr>
          <w:rFonts w:asciiTheme="majorBidi" w:eastAsia="Times New Roman" w:hAnsiTheme="majorBidi" w:cstheme="majorBidi"/>
        </w:rPr>
        <w:t>État</w:t>
      </w:r>
      <w:r w:rsidRPr="00306A83">
        <w:rPr>
          <w:rFonts w:asciiTheme="majorBidi" w:eastAsia="Times New Roman" w:hAnsiTheme="majorBidi" w:cstheme="majorBidi"/>
        </w:rPr>
        <w:t xml:space="preserve"> doit être contenu expressément dans la définition de l’article 399 du Code pénal, et non se borner à une circonstance aggravante personnelle, entraînant l’application d’une peine plus lourde que celle ini</w:t>
      </w:r>
      <w:r w:rsidRPr="00306A83">
        <w:rPr>
          <w:rFonts w:asciiTheme="majorBidi" w:eastAsia="Times New Roman" w:hAnsiTheme="majorBidi" w:cstheme="majorBidi"/>
        </w:rPr>
        <w:t>tialement encourue.</w:t>
      </w:r>
    </w:p>
    <w:p w14:paraId="1FED9A31" w14:textId="56384DFB" w:rsidR="003B4185" w:rsidRPr="00306A83" w:rsidRDefault="006803DD" w:rsidP="00F40C8C">
      <w:pPr>
        <w:pStyle w:val="Heading2"/>
        <w:numPr>
          <w:ilvl w:val="0"/>
          <w:numId w:val="36"/>
        </w:numPr>
        <w:rPr>
          <w:rFonts w:cstheme="majorBidi"/>
          <w:szCs w:val="24"/>
        </w:rPr>
      </w:pPr>
      <w:bookmarkStart w:id="4" w:name="_Toc168990343"/>
      <w:r w:rsidRPr="00306A83">
        <w:rPr>
          <w:rFonts w:cstheme="majorBidi"/>
          <w:szCs w:val="24"/>
        </w:rPr>
        <w:t>Cadre législatif insuffisant pour la criminalisation de la torture (Article 4)</w:t>
      </w:r>
      <w:bookmarkEnd w:id="4"/>
    </w:p>
    <w:p w14:paraId="4F4C86ED" w14:textId="77777777" w:rsidR="003B4185" w:rsidRPr="00306A83" w:rsidRDefault="003B4185">
      <w:pPr>
        <w:spacing w:line="259" w:lineRule="auto"/>
        <w:jc w:val="both"/>
        <w:rPr>
          <w:rFonts w:asciiTheme="majorBidi" w:eastAsia="Times New Roman" w:hAnsiTheme="majorBidi" w:cstheme="majorBidi"/>
        </w:rPr>
      </w:pPr>
    </w:p>
    <w:p w14:paraId="45E11CB8"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L’article 399 du Code pénal ivoirien prévoit que : </w:t>
      </w:r>
    </w:p>
    <w:p w14:paraId="6817AAE3" w14:textId="77777777" w:rsidR="003B4185" w:rsidRPr="00306A83" w:rsidRDefault="003B4185">
      <w:pPr>
        <w:spacing w:line="259" w:lineRule="auto"/>
        <w:jc w:val="both"/>
        <w:rPr>
          <w:rFonts w:asciiTheme="majorBidi" w:eastAsia="Times New Roman" w:hAnsiTheme="majorBidi" w:cstheme="majorBidi"/>
        </w:rPr>
      </w:pPr>
    </w:p>
    <w:p w14:paraId="6F03C3D1"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i/>
        </w:rPr>
        <w:t>“Est puni d’un emprisonnement de cinq à dix ans et d’une amende de 500.000 FCFA à 5.000.000 FCFA quicon</w:t>
      </w:r>
      <w:r w:rsidRPr="00306A83">
        <w:rPr>
          <w:rFonts w:asciiTheme="majorBidi" w:eastAsia="Times New Roman" w:hAnsiTheme="majorBidi" w:cstheme="majorBidi"/>
          <w:i/>
        </w:rPr>
        <w:t>que commet un acte de torture.</w:t>
      </w:r>
      <w:r w:rsidRPr="00306A83">
        <w:rPr>
          <w:rFonts w:asciiTheme="majorBidi" w:eastAsia="Times New Roman" w:hAnsiTheme="majorBidi" w:cstheme="majorBidi"/>
        </w:rPr>
        <w:t xml:space="preserve"> </w:t>
      </w:r>
    </w:p>
    <w:p w14:paraId="7E7C24B4"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7B991049" w14:textId="77777777" w:rsidR="003B4185" w:rsidRPr="00306A83" w:rsidRDefault="006803DD">
      <w:pPr>
        <w:spacing w:line="259" w:lineRule="auto"/>
        <w:ind w:left="720"/>
        <w:jc w:val="both"/>
        <w:rPr>
          <w:rFonts w:asciiTheme="majorBidi" w:eastAsia="Times New Roman" w:hAnsiTheme="majorBidi" w:cstheme="majorBidi"/>
        </w:rPr>
      </w:pPr>
      <w:r w:rsidRPr="00306A83">
        <w:rPr>
          <w:rFonts w:asciiTheme="majorBidi" w:eastAsia="Times New Roman" w:hAnsiTheme="majorBidi" w:cstheme="majorBidi"/>
          <w:i/>
        </w:rPr>
        <w:t>L’ordre de commettre un acte de torture est manifestement illicite.”</w:t>
      </w:r>
      <w:r w:rsidRPr="00306A83">
        <w:rPr>
          <w:rFonts w:asciiTheme="majorBidi" w:eastAsia="Times New Roman" w:hAnsiTheme="majorBidi" w:cstheme="majorBidi"/>
        </w:rPr>
        <w:t xml:space="preserve"> </w:t>
      </w:r>
    </w:p>
    <w:p w14:paraId="3A12CD4F" w14:textId="77777777" w:rsidR="003B4185" w:rsidRPr="00306A83" w:rsidRDefault="003B4185">
      <w:pPr>
        <w:spacing w:line="259" w:lineRule="auto"/>
        <w:ind w:left="720"/>
        <w:jc w:val="both"/>
        <w:rPr>
          <w:rFonts w:asciiTheme="majorBidi" w:eastAsia="Times New Roman" w:hAnsiTheme="majorBidi" w:cstheme="majorBidi"/>
        </w:rPr>
      </w:pPr>
    </w:p>
    <w:p w14:paraId="7E5B3539"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En application de l’article 3 du Code pénal, lequel dispose que toute infraction passible d’une peine privative de liberté inférieure ou égale à dix an</w:t>
      </w:r>
      <w:r w:rsidRPr="00306A83">
        <w:rPr>
          <w:rFonts w:asciiTheme="majorBidi" w:eastAsia="Times New Roman" w:hAnsiTheme="majorBidi" w:cstheme="majorBidi"/>
        </w:rPr>
        <w:t>s est qualifiée de délit, l’infraction de torture est donc de nature délictuelle.</w:t>
      </w:r>
    </w:p>
    <w:p w14:paraId="0C15D0A2" w14:textId="77777777" w:rsidR="003B4185" w:rsidRPr="00306A83" w:rsidRDefault="003B4185">
      <w:pPr>
        <w:spacing w:line="259" w:lineRule="auto"/>
        <w:jc w:val="both"/>
        <w:rPr>
          <w:rFonts w:asciiTheme="majorBidi" w:eastAsia="Times New Roman" w:hAnsiTheme="majorBidi" w:cstheme="majorBidi"/>
        </w:rPr>
      </w:pPr>
    </w:p>
    <w:p w14:paraId="3BF1932B"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L’article 402 du Code pénal dispose notamment que la peine prévue est portée au double “</w:t>
      </w:r>
      <w:r w:rsidRPr="00306A83">
        <w:rPr>
          <w:rFonts w:asciiTheme="majorBidi" w:eastAsia="Times New Roman" w:hAnsiTheme="majorBidi" w:cstheme="majorBidi"/>
          <w:i/>
        </w:rPr>
        <w:t>si l’auteur est un agent public ou s’il a agi à l’instigation d’un agent public ou av</w:t>
      </w:r>
      <w:r w:rsidRPr="00306A83">
        <w:rPr>
          <w:rFonts w:asciiTheme="majorBidi" w:eastAsia="Times New Roman" w:hAnsiTheme="majorBidi" w:cstheme="majorBidi"/>
          <w:i/>
        </w:rPr>
        <w:t>ec le consentement de celui-ci</w:t>
      </w:r>
      <w:r w:rsidRPr="00306A83">
        <w:rPr>
          <w:rFonts w:asciiTheme="majorBidi" w:eastAsia="Times New Roman" w:hAnsiTheme="majorBidi" w:cstheme="majorBidi"/>
        </w:rPr>
        <w:t>”.</w:t>
      </w:r>
    </w:p>
    <w:p w14:paraId="3DA7BAED" w14:textId="77777777" w:rsidR="003B4185" w:rsidRPr="00306A83" w:rsidRDefault="003B4185">
      <w:pPr>
        <w:spacing w:line="259" w:lineRule="auto"/>
        <w:jc w:val="both"/>
        <w:rPr>
          <w:rFonts w:asciiTheme="majorBidi" w:eastAsia="Times New Roman" w:hAnsiTheme="majorBidi" w:cstheme="majorBidi"/>
        </w:rPr>
      </w:pPr>
    </w:p>
    <w:p w14:paraId="66BAFBEC" w14:textId="6B4CDBDD"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Ainsi le droit pénal ivo</w:t>
      </w:r>
      <w:r w:rsidR="00B968BE">
        <w:rPr>
          <w:rFonts w:asciiTheme="majorBidi" w:eastAsia="Times New Roman" w:hAnsiTheme="majorBidi" w:cstheme="majorBidi"/>
        </w:rPr>
        <w:t>iri</w:t>
      </w:r>
      <w:r w:rsidRPr="00306A83">
        <w:rPr>
          <w:rFonts w:asciiTheme="majorBidi" w:eastAsia="Times New Roman" w:hAnsiTheme="majorBidi" w:cstheme="majorBidi"/>
        </w:rPr>
        <w:t xml:space="preserve">en prévoit donc une incrimination et une criminalisation duale de la torture à la fois comme délit pour les personnes privées et comme crime considéré comme circonstances aggravantes </w:t>
      </w:r>
      <w:proofErr w:type="gramStart"/>
      <w:r w:rsidRPr="00306A83">
        <w:rPr>
          <w:rFonts w:asciiTheme="majorBidi" w:eastAsia="Times New Roman" w:hAnsiTheme="majorBidi" w:cstheme="majorBidi"/>
        </w:rPr>
        <w:t>pour  les</w:t>
      </w:r>
      <w:proofErr w:type="gramEnd"/>
      <w:r w:rsidRPr="00306A83">
        <w:rPr>
          <w:rFonts w:asciiTheme="majorBidi" w:eastAsia="Times New Roman" w:hAnsiTheme="majorBidi" w:cstheme="majorBidi"/>
        </w:rPr>
        <w:t xml:space="preserve"> agents publics.  </w:t>
      </w:r>
    </w:p>
    <w:p w14:paraId="2E5F872B" w14:textId="520D975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Lorsqu'elle n’est pas commise dans des circon</w:t>
      </w:r>
      <w:r w:rsidRPr="00306A83">
        <w:rPr>
          <w:rFonts w:asciiTheme="majorBidi" w:eastAsia="Times New Roman" w:hAnsiTheme="majorBidi" w:cstheme="majorBidi"/>
        </w:rPr>
        <w:t>stances aggravantes, la peine encourue se situe entre 5 et 10 ans d’emprisonnement. Ainsi, contrairement à ce qui est allégué par l’</w:t>
      </w:r>
      <w:r w:rsidR="00B968BE" w:rsidRPr="00306A83">
        <w:rPr>
          <w:rFonts w:asciiTheme="majorBidi" w:eastAsia="Times New Roman" w:hAnsiTheme="majorBidi" w:cstheme="majorBidi"/>
        </w:rPr>
        <w:t>État</w:t>
      </w:r>
      <w:r w:rsidRPr="00306A83">
        <w:rPr>
          <w:rFonts w:asciiTheme="majorBidi" w:eastAsia="Times New Roman" w:hAnsiTheme="majorBidi" w:cstheme="majorBidi"/>
        </w:rPr>
        <w:t xml:space="preserve"> partie dans son rapport au paragraphe 13, les peines ne sont pas “appropriées”. Il y a en réalité une grave disproporti</w:t>
      </w:r>
      <w:r w:rsidRPr="00306A83">
        <w:rPr>
          <w:rFonts w:asciiTheme="majorBidi" w:eastAsia="Times New Roman" w:hAnsiTheme="majorBidi" w:cstheme="majorBidi"/>
        </w:rPr>
        <w:t>on entre la gravité du crime de torture et le quantum relativement faible de la peine encourue.  Il y aurait donc selon le Code pénal ivo</w:t>
      </w:r>
      <w:r w:rsidR="00B968BE">
        <w:rPr>
          <w:rFonts w:asciiTheme="majorBidi" w:eastAsia="Times New Roman" w:hAnsiTheme="majorBidi" w:cstheme="majorBidi"/>
        </w:rPr>
        <w:t>i</w:t>
      </w:r>
      <w:r w:rsidRPr="00306A83">
        <w:rPr>
          <w:rFonts w:asciiTheme="majorBidi" w:eastAsia="Times New Roman" w:hAnsiTheme="majorBidi" w:cstheme="majorBidi"/>
        </w:rPr>
        <w:t>rien deux formes de torture, l’une qui constituerait un délit et une autre un crime. Si l’</w:t>
      </w:r>
      <w:r w:rsidR="00B968BE" w:rsidRPr="00306A83">
        <w:rPr>
          <w:rFonts w:asciiTheme="majorBidi" w:eastAsia="Times New Roman" w:hAnsiTheme="majorBidi" w:cstheme="majorBidi"/>
        </w:rPr>
        <w:t>État</w:t>
      </w:r>
      <w:r w:rsidRPr="00306A83">
        <w:rPr>
          <w:rFonts w:asciiTheme="majorBidi" w:eastAsia="Times New Roman" w:hAnsiTheme="majorBidi" w:cstheme="majorBidi"/>
        </w:rPr>
        <w:t xml:space="preserve"> ivo</w:t>
      </w:r>
      <w:r w:rsidR="00B968BE">
        <w:rPr>
          <w:rFonts w:asciiTheme="majorBidi" w:eastAsia="Times New Roman" w:hAnsiTheme="majorBidi" w:cstheme="majorBidi"/>
        </w:rPr>
        <w:t>i</w:t>
      </w:r>
      <w:r w:rsidRPr="00306A83">
        <w:rPr>
          <w:rFonts w:asciiTheme="majorBidi" w:eastAsia="Times New Roman" w:hAnsiTheme="majorBidi" w:cstheme="majorBidi"/>
        </w:rPr>
        <w:t xml:space="preserve">rien choisi de </w:t>
      </w:r>
      <w:proofErr w:type="gramStart"/>
      <w:r w:rsidRPr="00306A83">
        <w:rPr>
          <w:rFonts w:asciiTheme="majorBidi" w:eastAsia="Times New Roman" w:hAnsiTheme="majorBidi" w:cstheme="majorBidi"/>
        </w:rPr>
        <w:t>cons</w:t>
      </w:r>
      <w:r w:rsidRPr="00306A83">
        <w:rPr>
          <w:rFonts w:asciiTheme="majorBidi" w:eastAsia="Times New Roman" w:hAnsiTheme="majorBidi" w:cstheme="majorBidi"/>
        </w:rPr>
        <w:t>idéré</w:t>
      </w:r>
      <w:proofErr w:type="gramEnd"/>
      <w:r w:rsidRPr="00306A83">
        <w:rPr>
          <w:rFonts w:asciiTheme="majorBidi" w:eastAsia="Times New Roman" w:hAnsiTheme="majorBidi" w:cstheme="majorBidi"/>
        </w:rPr>
        <w:t xml:space="preserve"> “quiconque” comme auteur d’acte de torture elle devrait imposer le même quantum de peine à tous les auteurs. </w:t>
      </w:r>
    </w:p>
    <w:p w14:paraId="21D14ED2" w14:textId="77777777" w:rsidR="003B4185" w:rsidRPr="00306A83" w:rsidRDefault="003B4185">
      <w:pPr>
        <w:spacing w:line="259" w:lineRule="auto"/>
        <w:jc w:val="both"/>
        <w:rPr>
          <w:rFonts w:asciiTheme="majorBidi" w:eastAsia="Times New Roman" w:hAnsiTheme="majorBidi" w:cstheme="majorBidi"/>
        </w:rPr>
      </w:pPr>
    </w:p>
    <w:p w14:paraId="75C98BBA"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Par ailleurs, il n'existe pas dans le droit ivoirien une interdiction absolue de la torture en toute circonstances, y compris en cas d’état</w:t>
      </w:r>
      <w:r w:rsidRPr="00306A83">
        <w:rPr>
          <w:rFonts w:asciiTheme="majorBidi" w:eastAsia="Times New Roman" w:hAnsiTheme="majorBidi" w:cstheme="majorBidi"/>
        </w:rPr>
        <w:t xml:space="preserve"> de guerre ou de menace de guerre, d'instabilité politique intérieure ou de tout autre état d'exception, conformément à ce qui est prévu à l'article 2 de la Convention.</w:t>
      </w:r>
    </w:p>
    <w:p w14:paraId="50025CAD"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05AA274D"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lastRenderedPageBreak/>
        <w:t xml:space="preserve">En ce qui concerne la tentative d’acte de torture, l’article 28 du Code pénal </w:t>
      </w:r>
      <w:r w:rsidRPr="00306A83">
        <w:rPr>
          <w:rFonts w:asciiTheme="majorBidi" w:eastAsia="Times New Roman" w:hAnsiTheme="majorBidi" w:cstheme="majorBidi"/>
        </w:rPr>
        <w:t>ivoirien dispose que “</w:t>
      </w:r>
      <w:r w:rsidRPr="00306A83">
        <w:rPr>
          <w:rFonts w:asciiTheme="majorBidi" w:eastAsia="Times New Roman" w:hAnsiTheme="majorBidi" w:cstheme="majorBidi"/>
          <w:i/>
        </w:rPr>
        <w:t>la</w:t>
      </w:r>
      <w:r w:rsidRPr="00306A83">
        <w:rPr>
          <w:rFonts w:asciiTheme="majorBidi" w:eastAsia="Times New Roman" w:hAnsiTheme="majorBidi" w:cstheme="majorBidi"/>
        </w:rPr>
        <w:t xml:space="preserve"> </w:t>
      </w:r>
      <w:r w:rsidRPr="00306A83">
        <w:rPr>
          <w:rFonts w:asciiTheme="majorBidi" w:eastAsia="Times New Roman" w:hAnsiTheme="majorBidi" w:cstheme="majorBidi"/>
          <w:i/>
        </w:rPr>
        <w:t>tentative de délit est considérée comme le délit lui-même dans les cas déterminés par une disposition de la loi</w:t>
      </w:r>
      <w:r w:rsidRPr="00306A83">
        <w:rPr>
          <w:rFonts w:asciiTheme="majorBidi" w:eastAsia="Times New Roman" w:hAnsiTheme="majorBidi" w:cstheme="majorBidi"/>
        </w:rPr>
        <w:t>". Toutefois, aucune disposition spécifique n’est prévue pour la tentative de commettre un acte de torture. Celle-ci n’e</w:t>
      </w:r>
      <w:r w:rsidRPr="00306A83">
        <w:rPr>
          <w:rFonts w:asciiTheme="majorBidi" w:eastAsia="Times New Roman" w:hAnsiTheme="majorBidi" w:cstheme="majorBidi"/>
        </w:rPr>
        <w:t xml:space="preserve">st donc pas incriminée par le droit pénal ivoirien.  </w:t>
      </w:r>
    </w:p>
    <w:p w14:paraId="6BB26F44"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376369AE"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La complicité est punie aux articles 30 à 32 du Code pénal. L’article 32 du Code pénal dispose que : “</w:t>
      </w:r>
      <w:r w:rsidRPr="00306A83">
        <w:rPr>
          <w:rFonts w:asciiTheme="majorBidi" w:eastAsia="Times New Roman" w:hAnsiTheme="majorBidi" w:cstheme="majorBidi"/>
          <w:i/>
        </w:rPr>
        <w:t>Tout complice d’un crime, d’un délit ou d’une tentative encourt les mêmes peines et les mêmes mesu</w:t>
      </w:r>
      <w:r w:rsidRPr="00306A83">
        <w:rPr>
          <w:rFonts w:asciiTheme="majorBidi" w:eastAsia="Times New Roman" w:hAnsiTheme="majorBidi" w:cstheme="majorBidi"/>
          <w:i/>
        </w:rPr>
        <w:t>res de sûreté que l’auteur même de ce crime, de ce délit ou de cette tentative</w:t>
      </w:r>
      <w:r w:rsidRPr="00306A83">
        <w:rPr>
          <w:rFonts w:asciiTheme="majorBidi" w:eastAsia="Times New Roman" w:hAnsiTheme="majorBidi" w:cstheme="majorBidi"/>
        </w:rPr>
        <w:t>”. Ainsi, contrairement à la tentative, la complicité d’un acte de torture est réprimée.</w:t>
      </w:r>
    </w:p>
    <w:p w14:paraId="7BDA1A4A" w14:textId="77777777" w:rsidR="003B4185" w:rsidRPr="00306A83" w:rsidRDefault="003B4185">
      <w:pPr>
        <w:spacing w:after="40" w:line="259" w:lineRule="auto"/>
        <w:jc w:val="both"/>
        <w:rPr>
          <w:rFonts w:asciiTheme="majorBidi" w:eastAsia="Times New Roman" w:hAnsiTheme="majorBidi" w:cstheme="majorBidi"/>
        </w:rPr>
      </w:pPr>
    </w:p>
    <w:p w14:paraId="2E54D20E" w14:textId="3078FE57" w:rsidR="003B4185" w:rsidRPr="00B968BE" w:rsidRDefault="006803DD" w:rsidP="00B968BE">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Enfin, s’agissant de la responsabilité du supérieur hiérarchique, l’article 399 al. 4 du</w:t>
      </w:r>
      <w:r w:rsidRPr="00306A83">
        <w:rPr>
          <w:rFonts w:asciiTheme="majorBidi" w:eastAsia="Times New Roman" w:hAnsiTheme="majorBidi" w:cstheme="majorBidi"/>
        </w:rPr>
        <w:t xml:space="preserve"> Code pénal prévoit l’ordre de commettre un acte de torture comme étant illicite.  </w:t>
      </w:r>
    </w:p>
    <w:p w14:paraId="070B343D" w14:textId="697FC23B" w:rsidR="003B4185" w:rsidRPr="00B968BE" w:rsidRDefault="006803DD" w:rsidP="00B968BE">
      <w:pPr>
        <w:pStyle w:val="Heading2"/>
        <w:numPr>
          <w:ilvl w:val="0"/>
          <w:numId w:val="36"/>
        </w:numPr>
        <w:rPr>
          <w:rFonts w:cstheme="majorBidi"/>
          <w:szCs w:val="24"/>
        </w:rPr>
      </w:pPr>
      <w:bookmarkStart w:id="5" w:name="_Toc168990344"/>
      <w:r w:rsidRPr="00306A83">
        <w:rPr>
          <w:rFonts w:cstheme="majorBidi"/>
          <w:szCs w:val="24"/>
        </w:rPr>
        <w:t>Absence d’</w:t>
      </w:r>
      <w:proofErr w:type="spellStart"/>
      <w:r w:rsidRPr="00306A83">
        <w:rPr>
          <w:rFonts w:cstheme="majorBidi"/>
          <w:szCs w:val="24"/>
        </w:rPr>
        <w:t>imprescribilité</w:t>
      </w:r>
      <w:proofErr w:type="spellEnd"/>
      <w:r w:rsidRPr="00306A83">
        <w:rPr>
          <w:rFonts w:cstheme="majorBidi"/>
          <w:szCs w:val="24"/>
        </w:rPr>
        <w:t xml:space="preserve"> des actes de torture</w:t>
      </w:r>
      <w:bookmarkEnd w:id="5"/>
      <w:r w:rsidRPr="00B968BE">
        <w:rPr>
          <w:rFonts w:cstheme="majorBidi"/>
          <w:szCs w:val="24"/>
        </w:rPr>
        <w:t xml:space="preserve"> </w:t>
      </w:r>
    </w:p>
    <w:p w14:paraId="53DFB0C5"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La Convention contre la torture impose l’imprescriptibilité des actes de torture, compte tenu du caractère continu des effet</w:t>
      </w:r>
      <w:r w:rsidRPr="00306A83">
        <w:rPr>
          <w:rFonts w:asciiTheme="majorBidi" w:eastAsia="Times New Roman" w:hAnsiTheme="majorBidi" w:cstheme="majorBidi"/>
        </w:rPr>
        <w:t>s de ce crime et afin d’éviter tout obstacle à la réparation des victimes.</w:t>
      </w:r>
      <w:r w:rsidRPr="00306A83">
        <w:rPr>
          <w:rFonts w:asciiTheme="majorBidi" w:eastAsia="Times New Roman" w:hAnsiTheme="majorBidi" w:cstheme="majorBidi"/>
          <w:vertAlign w:val="superscript"/>
        </w:rPr>
        <w:footnoteReference w:id="8"/>
      </w:r>
      <w:r w:rsidRPr="00306A83">
        <w:rPr>
          <w:rFonts w:asciiTheme="majorBidi" w:eastAsia="Times New Roman" w:hAnsiTheme="majorBidi" w:cstheme="majorBidi"/>
        </w:rPr>
        <w:t xml:space="preserve"> </w:t>
      </w:r>
    </w:p>
    <w:p w14:paraId="478D60A4" w14:textId="77777777" w:rsidR="003B4185" w:rsidRPr="00306A83" w:rsidRDefault="003B4185">
      <w:pPr>
        <w:spacing w:after="40" w:line="259" w:lineRule="auto"/>
        <w:jc w:val="both"/>
        <w:rPr>
          <w:rFonts w:asciiTheme="majorBidi" w:eastAsia="Times New Roman" w:hAnsiTheme="majorBidi" w:cstheme="majorBidi"/>
        </w:rPr>
      </w:pPr>
    </w:p>
    <w:p w14:paraId="15C13CB6"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Or, les dispositions applicables à la prescription en droit ivoirien prévoient qu’en matière de crime, l’action publique se prescrit par 10 années révolues à compter de la commi</w:t>
      </w:r>
      <w:r w:rsidRPr="00306A83">
        <w:rPr>
          <w:rFonts w:asciiTheme="majorBidi" w:eastAsia="Times New Roman" w:hAnsiTheme="majorBidi" w:cstheme="majorBidi"/>
        </w:rPr>
        <w:t>ssion du crime, tandis que les délits se prescrivent par 3 années.</w:t>
      </w:r>
      <w:r w:rsidRPr="00306A83">
        <w:rPr>
          <w:rFonts w:asciiTheme="majorBidi" w:eastAsia="Times New Roman" w:hAnsiTheme="majorBidi" w:cstheme="majorBidi"/>
          <w:vertAlign w:val="superscript"/>
        </w:rPr>
        <w:footnoteReference w:id="9"/>
      </w:r>
      <w:r w:rsidRPr="00306A83">
        <w:rPr>
          <w:rFonts w:asciiTheme="majorBidi" w:eastAsia="Times New Roman" w:hAnsiTheme="majorBidi" w:cstheme="majorBidi"/>
        </w:rPr>
        <w:t xml:space="preserve"> Il n’existe aucune disposition spécifique prévoyant l’imprescriptibilité de l’action publique s’agissant des actes de torture. </w:t>
      </w:r>
    </w:p>
    <w:p w14:paraId="3142D062" w14:textId="77777777" w:rsidR="003B4185" w:rsidRPr="00306A83" w:rsidRDefault="003B4185">
      <w:pPr>
        <w:spacing w:after="40" w:line="259" w:lineRule="auto"/>
        <w:jc w:val="both"/>
        <w:rPr>
          <w:rFonts w:asciiTheme="majorBidi" w:eastAsia="Times New Roman" w:hAnsiTheme="majorBidi" w:cstheme="majorBidi"/>
        </w:rPr>
      </w:pPr>
    </w:p>
    <w:p w14:paraId="3B267979" w14:textId="654B3CE1" w:rsidR="003B4185" w:rsidRPr="00306A83" w:rsidRDefault="006803DD" w:rsidP="00B968BE">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Ainsi, les faits de torture, qu’ils soient qualifiés de dé</w:t>
      </w:r>
      <w:r w:rsidRPr="00306A83">
        <w:rPr>
          <w:rFonts w:asciiTheme="majorBidi" w:eastAsia="Times New Roman" w:hAnsiTheme="majorBidi" w:cstheme="majorBidi"/>
        </w:rPr>
        <w:t>lit ou de crime en fonction des circonstances de la cause, sont susceptibles d’être couverts par la prescription, en violation de la Convention contre la torture.</w:t>
      </w:r>
    </w:p>
    <w:p w14:paraId="4E0EF4D7" w14:textId="144A568E" w:rsidR="003B4185" w:rsidRDefault="006803DD" w:rsidP="00F40C8C">
      <w:pPr>
        <w:pStyle w:val="Heading2"/>
        <w:numPr>
          <w:ilvl w:val="0"/>
          <w:numId w:val="36"/>
        </w:numPr>
        <w:rPr>
          <w:rFonts w:cstheme="majorBidi"/>
          <w:szCs w:val="24"/>
        </w:rPr>
      </w:pPr>
      <w:bookmarkStart w:id="6" w:name="_Toc168990345"/>
      <w:r w:rsidRPr="00306A83">
        <w:rPr>
          <w:rFonts w:cstheme="majorBidi"/>
          <w:szCs w:val="24"/>
        </w:rPr>
        <w:t>Principe de non-refoulement (Article 3)</w:t>
      </w:r>
      <w:bookmarkEnd w:id="6"/>
    </w:p>
    <w:p w14:paraId="3EA96924" w14:textId="77777777" w:rsidR="00B968BE" w:rsidRPr="00B968BE" w:rsidRDefault="00B968BE" w:rsidP="00B968BE"/>
    <w:p w14:paraId="2ED3CCCD" w14:textId="77777777" w:rsidR="003B4185" w:rsidRPr="00306A83" w:rsidRDefault="006803DD">
      <w:pPr>
        <w:spacing w:line="259" w:lineRule="auto"/>
        <w:jc w:val="both"/>
        <w:rPr>
          <w:rFonts w:asciiTheme="majorBidi" w:eastAsia="Times New Roman" w:hAnsiTheme="majorBidi" w:cstheme="majorBidi"/>
          <w:color w:val="0078D4"/>
        </w:rPr>
      </w:pPr>
      <w:r w:rsidRPr="00306A83">
        <w:rPr>
          <w:rFonts w:asciiTheme="majorBidi" w:eastAsia="Times New Roman" w:hAnsiTheme="majorBidi" w:cstheme="majorBidi"/>
        </w:rPr>
        <w:t>L’article 3 de la Convention contre la torture prévo</w:t>
      </w:r>
      <w:r w:rsidRPr="00306A83">
        <w:rPr>
          <w:rFonts w:asciiTheme="majorBidi" w:eastAsia="Times New Roman" w:hAnsiTheme="majorBidi" w:cstheme="majorBidi"/>
        </w:rPr>
        <w:t xml:space="preserve">it l’obligation pour l’État partie de ne pas renvoyer une personne de son territoire </w:t>
      </w:r>
      <w:proofErr w:type="gramStart"/>
      <w:r w:rsidRPr="00306A83">
        <w:rPr>
          <w:rFonts w:asciiTheme="majorBidi" w:eastAsia="Times New Roman" w:hAnsiTheme="majorBidi" w:cstheme="majorBidi"/>
        </w:rPr>
        <w:t>s’ “</w:t>
      </w:r>
      <w:proofErr w:type="gramEnd"/>
      <w:r w:rsidRPr="00306A83">
        <w:rPr>
          <w:rFonts w:asciiTheme="majorBidi" w:eastAsia="Times New Roman" w:hAnsiTheme="majorBidi" w:cstheme="majorBidi"/>
          <w:i/>
        </w:rPr>
        <w:t>il</w:t>
      </w:r>
      <w:r w:rsidRPr="00306A83">
        <w:rPr>
          <w:rFonts w:asciiTheme="majorBidi" w:eastAsia="Times New Roman" w:hAnsiTheme="majorBidi" w:cstheme="majorBidi"/>
        </w:rPr>
        <w:t xml:space="preserve"> </w:t>
      </w:r>
      <w:r w:rsidRPr="00306A83">
        <w:rPr>
          <w:rFonts w:asciiTheme="majorBidi" w:eastAsia="Times New Roman" w:hAnsiTheme="majorBidi" w:cstheme="majorBidi"/>
          <w:i/>
        </w:rPr>
        <w:t>y a des motifs sérieux de croire qu’elle risque d’être soumise à la torture</w:t>
      </w:r>
      <w:r w:rsidRPr="00306A83">
        <w:rPr>
          <w:rFonts w:asciiTheme="majorBidi" w:eastAsia="Times New Roman" w:hAnsiTheme="majorBidi" w:cstheme="majorBidi"/>
        </w:rPr>
        <w:t>”.</w:t>
      </w:r>
    </w:p>
    <w:p w14:paraId="0E648F25"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Le Comité a rappelé dans son observation générale n°4 (2017) que “</w:t>
      </w:r>
      <w:r w:rsidRPr="00306A83">
        <w:rPr>
          <w:rFonts w:asciiTheme="majorBidi" w:eastAsia="Times New Roman" w:hAnsiTheme="majorBidi" w:cstheme="majorBidi"/>
          <w:i/>
        </w:rPr>
        <w:t>l’obligation de non-</w:t>
      </w:r>
      <w:r w:rsidRPr="00306A83">
        <w:rPr>
          <w:rFonts w:asciiTheme="majorBidi" w:eastAsia="Times New Roman" w:hAnsiTheme="majorBidi" w:cstheme="majorBidi"/>
          <w:i/>
        </w:rPr>
        <w:t>refoulement visée à l’article 3 de la Convention existe chaque fois qu’il y a des « motifs sérieux » de croire que l’intéressé risque d’être soumis à la torture dans l’État vers lequel il doit être expulsé, que ce soit à titre individuel ou en tant que mem</w:t>
      </w:r>
      <w:r w:rsidRPr="00306A83">
        <w:rPr>
          <w:rFonts w:asciiTheme="majorBidi" w:eastAsia="Times New Roman" w:hAnsiTheme="majorBidi" w:cstheme="majorBidi"/>
          <w:i/>
        </w:rPr>
        <w:t>bre d’un groupe susceptible d’être torturé dans l’État de destination</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0"/>
      </w:r>
    </w:p>
    <w:p w14:paraId="42D43A89" w14:textId="77777777" w:rsidR="003B4185" w:rsidRPr="00306A83" w:rsidRDefault="003B4185">
      <w:pPr>
        <w:spacing w:line="259" w:lineRule="auto"/>
        <w:jc w:val="both"/>
        <w:rPr>
          <w:rFonts w:asciiTheme="majorBidi" w:eastAsia="Times New Roman" w:hAnsiTheme="majorBidi" w:cstheme="majorBidi"/>
          <w:color w:val="0078D4"/>
        </w:rPr>
      </w:pPr>
    </w:p>
    <w:p w14:paraId="62D6672B"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En droit ivoirien, le principe de non-refoulement est prévu par l’article 16 de la loi n°2023-590 du 7 juin 2023 portant Statut de Réfugié :</w:t>
      </w:r>
    </w:p>
    <w:p w14:paraId="5640CED0" w14:textId="77777777" w:rsidR="003B4185" w:rsidRPr="00306A83" w:rsidRDefault="003B4185">
      <w:pPr>
        <w:spacing w:line="331" w:lineRule="auto"/>
        <w:ind w:left="720"/>
        <w:jc w:val="both"/>
        <w:rPr>
          <w:rFonts w:asciiTheme="majorBidi" w:eastAsia="Times New Roman" w:hAnsiTheme="majorBidi" w:cstheme="majorBidi"/>
        </w:rPr>
      </w:pPr>
    </w:p>
    <w:p w14:paraId="0F4AD483" w14:textId="77777777" w:rsidR="003B4185" w:rsidRPr="00306A83" w:rsidRDefault="006803DD">
      <w:pPr>
        <w:ind w:left="720"/>
        <w:jc w:val="both"/>
        <w:rPr>
          <w:rFonts w:asciiTheme="majorBidi" w:eastAsia="Times New Roman" w:hAnsiTheme="majorBidi" w:cstheme="majorBidi"/>
        </w:rPr>
      </w:pPr>
      <w:r w:rsidRPr="00306A83">
        <w:rPr>
          <w:rFonts w:asciiTheme="majorBidi" w:eastAsia="Times New Roman" w:hAnsiTheme="majorBidi" w:cstheme="majorBidi"/>
        </w:rPr>
        <w:t xml:space="preserve">« </w:t>
      </w:r>
      <w:r w:rsidRPr="00306A83">
        <w:rPr>
          <w:rFonts w:asciiTheme="majorBidi" w:eastAsia="Times New Roman" w:hAnsiTheme="majorBidi" w:cstheme="majorBidi"/>
          <w:i/>
        </w:rPr>
        <w:t xml:space="preserve">Le réfugié ou le demandeur </w:t>
      </w:r>
      <w:r w:rsidRPr="00306A83">
        <w:rPr>
          <w:rFonts w:asciiTheme="majorBidi" w:eastAsia="Times New Roman" w:hAnsiTheme="majorBidi" w:cstheme="majorBidi"/>
          <w:i/>
        </w:rPr>
        <w:t>d'asile ne peut être refoulé à la frontière, expulsé ou exposé à toute autre mesure tendant à le contraindre à retourner ou à demeurer sur un territoire où sa vie, son intégrité physique ou sa liberté serait menacée en raison de sa race, de sa religion, de</w:t>
      </w:r>
      <w:r w:rsidRPr="00306A83">
        <w:rPr>
          <w:rFonts w:asciiTheme="majorBidi" w:eastAsia="Times New Roman" w:hAnsiTheme="majorBidi" w:cstheme="majorBidi"/>
          <w:i/>
        </w:rPr>
        <w:t xml:space="preserve"> sa nationalité, de son genre, de son appartenance à un groupe social ou de ses opinions politiques</w:t>
      </w:r>
      <w:r w:rsidRPr="00306A83">
        <w:rPr>
          <w:rFonts w:asciiTheme="majorBidi" w:eastAsia="Times New Roman" w:hAnsiTheme="majorBidi" w:cstheme="majorBidi"/>
        </w:rPr>
        <w:t>. »</w:t>
      </w:r>
      <w:r w:rsidRPr="00306A83">
        <w:rPr>
          <w:rFonts w:asciiTheme="majorBidi" w:eastAsia="Times New Roman" w:hAnsiTheme="majorBidi" w:cstheme="majorBidi"/>
          <w:vertAlign w:val="superscript"/>
        </w:rPr>
        <w:footnoteReference w:id="11"/>
      </w:r>
    </w:p>
    <w:p w14:paraId="44C75BFD" w14:textId="77777777" w:rsidR="003B4185" w:rsidRPr="00306A83" w:rsidRDefault="003B4185">
      <w:pPr>
        <w:spacing w:line="331" w:lineRule="auto"/>
        <w:ind w:left="720"/>
        <w:jc w:val="both"/>
        <w:rPr>
          <w:rFonts w:asciiTheme="majorBidi" w:eastAsia="Times New Roman" w:hAnsiTheme="majorBidi" w:cstheme="majorBidi"/>
          <w:color w:val="0078D4"/>
        </w:rPr>
      </w:pPr>
    </w:p>
    <w:p w14:paraId="2F20CDCE"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Cette disposition s’applique spécifiquement pour les personnes sollicitant ou ayant obtenu l’asile en Côte d’Ivoire. Or, elle apparaît plus restrictiv</w:t>
      </w:r>
      <w:r w:rsidRPr="00306A83">
        <w:rPr>
          <w:rFonts w:asciiTheme="majorBidi" w:eastAsia="Times New Roman" w:hAnsiTheme="majorBidi" w:cstheme="majorBidi"/>
        </w:rPr>
        <w:t xml:space="preserve">e que l’article 3 de la Convention, puisqu’elle conditionne le non-refoulement à l’existence d’un motif pour lequel la personne concernée pourrait voir sa vie, son intégrité physique ou sa liberté </w:t>
      </w:r>
      <w:proofErr w:type="gramStart"/>
      <w:r w:rsidRPr="00306A83">
        <w:rPr>
          <w:rFonts w:asciiTheme="majorBidi" w:eastAsia="Times New Roman" w:hAnsiTheme="majorBidi" w:cstheme="majorBidi"/>
        </w:rPr>
        <w:t>menacée;</w:t>
      </w:r>
      <w:proofErr w:type="gramEnd"/>
      <w:r w:rsidRPr="00306A83">
        <w:rPr>
          <w:rFonts w:asciiTheme="majorBidi" w:eastAsia="Times New Roman" w:hAnsiTheme="majorBidi" w:cstheme="majorBidi"/>
        </w:rPr>
        <w:t xml:space="preserve"> tandis que l’article 3 de la Convention ne prévoit</w:t>
      </w:r>
      <w:r w:rsidRPr="00306A83">
        <w:rPr>
          <w:rFonts w:asciiTheme="majorBidi" w:eastAsia="Times New Roman" w:hAnsiTheme="majorBidi" w:cstheme="majorBidi"/>
        </w:rPr>
        <w:t xml:space="preserve"> aucune autre condition que l’existence de “</w:t>
      </w:r>
      <w:r w:rsidRPr="00306A83">
        <w:rPr>
          <w:rFonts w:asciiTheme="majorBidi" w:eastAsia="Times New Roman" w:hAnsiTheme="majorBidi" w:cstheme="majorBidi"/>
          <w:i/>
        </w:rPr>
        <w:t>motifs sérieux de croire que l’intéressé risque d’être soumis à la torture</w:t>
      </w:r>
      <w:r w:rsidRPr="00306A83">
        <w:rPr>
          <w:rFonts w:asciiTheme="majorBidi" w:eastAsia="Times New Roman" w:hAnsiTheme="majorBidi" w:cstheme="majorBidi"/>
        </w:rPr>
        <w:t xml:space="preserve">”. </w:t>
      </w:r>
    </w:p>
    <w:p w14:paraId="188429F6" w14:textId="77777777" w:rsidR="003B4185" w:rsidRPr="00306A83" w:rsidRDefault="003B4185">
      <w:pPr>
        <w:jc w:val="both"/>
        <w:rPr>
          <w:rFonts w:asciiTheme="majorBidi" w:eastAsia="Times New Roman" w:hAnsiTheme="majorBidi" w:cstheme="majorBidi"/>
        </w:rPr>
      </w:pPr>
    </w:p>
    <w:p w14:paraId="214A78D8" w14:textId="77777777" w:rsidR="003B4185" w:rsidRPr="00306A83" w:rsidRDefault="006803DD">
      <w:pPr>
        <w:jc w:val="both"/>
        <w:rPr>
          <w:rFonts w:asciiTheme="majorBidi" w:eastAsia="Times New Roman" w:hAnsiTheme="majorBidi" w:cstheme="majorBidi"/>
          <w:highlight w:val="yellow"/>
        </w:rPr>
      </w:pPr>
      <w:r w:rsidRPr="00306A83">
        <w:rPr>
          <w:rFonts w:asciiTheme="majorBidi" w:eastAsia="Times New Roman" w:hAnsiTheme="majorBidi" w:cstheme="majorBidi"/>
        </w:rPr>
        <w:t>Il convient par ailleurs de noter que la loi du 7 juin 2023 prévoit notamment des causes de révocation du statut de réfugié, et donc,</w:t>
      </w:r>
      <w:r w:rsidRPr="00306A83">
        <w:rPr>
          <w:rFonts w:asciiTheme="majorBidi" w:eastAsia="Times New Roman" w:hAnsiTheme="majorBidi" w:cstheme="majorBidi"/>
        </w:rPr>
        <w:t xml:space="preserve"> de la protection internationale, si la personne concernée s’est rendue coupable d’un crime international.</w:t>
      </w:r>
      <w:r w:rsidRPr="00306A83">
        <w:rPr>
          <w:rFonts w:asciiTheme="majorBidi" w:eastAsia="Times New Roman" w:hAnsiTheme="majorBidi" w:cstheme="majorBidi"/>
          <w:vertAlign w:val="superscript"/>
        </w:rPr>
        <w:footnoteReference w:id="12"/>
      </w:r>
      <w:r w:rsidRPr="00306A83">
        <w:rPr>
          <w:rFonts w:asciiTheme="majorBidi" w:eastAsia="Times New Roman" w:hAnsiTheme="majorBidi" w:cstheme="majorBidi"/>
        </w:rPr>
        <w:t xml:space="preserve"> À l’inverse, l’article 3 de la Convention est plus protecteur puisqu’il ne prévoit aucune exception au principe de non-refoulement, pour toute pers</w:t>
      </w:r>
      <w:r w:rsidRPr="00306A83">
        <w:rPr>
          <w:rFonts w:asciiTheme="majorBidi" w:eastAsia="Times New Roman" w:hAnsiTheme="majorBidi" w:cstheme="majorBidi"/>
        </w:rPr>
        <w:t>onne.</w:t>
      </w:r>
      <w:r w:rsidRPr="00306A83">
        <w:rPr>
          <w:rFonts w:asciiTheme="majorBidi" w:eastAsia="Times New Roman" w:hAnsiTheme="majorBidi" w:cstheme="majorBidi"/>
          <w:vertAlign w:val="superscript"/>
        </w:rPr>
        <w:footnoteReference w:id="13"/>
      </w:r>
      <w:r w:rsidRPr="00306A83">
        <w:rPr>
          <w:rFonts w:asciiTheme="majorBidi" w:eastAsia="Times New Roman" w:hAnsiTheme="majorBidi" w:cstheme="majorBidi"/>
        </w:rPr>
        <w:t xml:space="preserve"> En ce sens, le Comité a considéré que l’Etat partie doit inclure expressément dans sa législation la torture comme base de non-refoulement lorsqu’il y a des motifs sérieux de croire que la menace de torture existe, en application de l’article 3 de </w:t>
      </w:r>
      <w:r w:rsidRPr="00306A83">
        <w:rPr>
          <w:rFonts w:asciiTheme="majorBidi" w:eastAsia="Times New Roman" w:hAnsiTheme="majorBidi" w:cstheme="majorBidi"/>
        </w:rPr>
        <w:t>la Convention.</w:t>
      </w:r>
      <w:r w:rsidRPr="00306A83">
        <w:rPr>
          <w:rFonts w:asciiTheme="majorBidi" w:eastAsia="Times New Roman" w:hAnsiTheme="majorBidi" w:cstheme="majorBidi"/>
          <w:vertAlign w:val="superscript"/>
        </w:rPr>
        <w:footnoteReference w:id="14"/>
      </w:r>
    </w:p>
    <w:p w14:paraId="410AABF8"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6DA6D0ED" w14:textId="0433639F" w:rsidR="003B4185" w:rsidRPr="00306A83" w:rsidRDefault="006803DD" w:rsidP="00B968BE">
      <w:pPr>
        <w:jc w:val="both"/>
        <w:rPr>
          <w:rFonts w:asciiTheme="majorBidi" w:eastAsia="Times New Roman" w:hAnsiTheme="majorBidi" w:cstheme="majorBidi"/>
        </w:rPr>
      </w:pPr>
      <w:r w:rsidRPr="00306A83">
        <w:rPr>
          <w:rFonts w:asciiTheme="majorBidi" w:eastAsia="Times New Roman" w:hAnsiTheme="majorBidi" w:cstheme="majorBidi"/>
        </w:rPr>
        <w:t>Ainsi, il est nécessaire que l’Etat partie incorpore dans le droit interne une disposition spécifique garantissant le principe de non-refoulement en cas de risque d’être soumis à la torture, tel que consacré par l’article 3 de la Convent</w:t>
      </w:r>
      <w:r w:rsidRPr="00306A83">
        <w:rPr>
          <w:rFonts w:asciiTheme="majorBidi" w:eastAsia="Times New Roman" w:hAnsiTheme="majorBidi" w:cstheme="majorBidi"/>
        </w:rPr>
        <w:t>ion contre la torture.</w:t>
      </w:r>
    </w:p>
    <w:p w14:paraId="33AA12CD" w14:textId="62517465" w:rsidR="003B4185" w:rsidRDefault="006803DD" w:rsidP="00F40C8C">
      <w:pPr>
        <w:pStyle w:val="Heading2"/>
        <w:numPr>
          <w:ilvl w:val="0"/>
          <w:numId w:val="36"/>
        </w:numPr>
        <w:rPr>
          <w:rFonts w:cstheme="majorBidi"/>
          <w:szCs w:val="24"/>
        </w:rPr>
      </w:pPr>
      <w:bookmarkStart w:id="7" w:name="_Toc168990346"/>
      <w:r w:rsidRPr="00306A83">
        <w:rPr>
          <w:rFonts w:cstheme="majorBidi"/>
          <w:szCs w:val="24"/>
        </w:rPr>
        <w:t>Insuffisances de la législation sur la compétence universelle (Article 5)</w:t>
      </w:r>
      <w:bookmarkEnd w:id="7"/>
    </w:p>
    <w:p w14:paraId="7D2DD7D2" w14:textId="77777777" w:rsidR="00B968BE" w:rsidRPr="00B968BE" w:rsidRDefault="00B968BE" w:rsidP="00B968BE"/>
    <w:p w14:paraId="1EA0224F"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En application de l’article 5 de la Convention contre la torture, les États parties doivent établir leur compétence universelle sur tout auteur présumé d’acte</w:t>
      </w:r>
      <w:r w:rsidRPr="00306A83">
        <w:rPr>
          <w:rFonts w:asciiTheme="majorBidi" w:eastAsia="Times New Roman" w:hAnsiTheme="majorBidi" w:cstheme="majorBidi"/>
        </w:rPr>
        <w:t>s de torture se trouvant sur tout territoire sous leur juridiction. Le Comité contre la torture a récemment rappelé que la compétence universelle sur les actes de torture fait partie des éléments que les États parties sont tenus de prendre en compte pour é</w:t>
      </w:r>
      <w:r w:rsidRPr="00306A83">
        <w:rPr>
          <w:rFonts w:asciiTheme="majorBidi" w:eastAsia="Times New Roman" w:hAnsiTheme="majorBidi" w:cstheme="majorBidi"/>
        </w:rPr>
        <w:t>tablir une législation disposant de critères conformes à la Convention.</w:t>
      </w:r>
      <w:r w:rsidRPr="00306A83">
        <w:rPr>
          <w:rFonts w:asciiTheme="majorBidi" w:eastAsia="Times New Roman" w:hAnsiTheme="majorBidi" w:cstheme="majorBidi"/>
          <w:vertAlign w:val="superscript"/>
        </w:rPr>
        <w:footnoteReference w:id="15"/>
      </w:r>
    </w:p>
    <w:p w14:paraId="0050F064" w14:textId="77777777" w:rsidR="003B4185" w:rsidRPr="00306A83" w:rsidRDefault="003B4185">
      <w:pPr>
        <w:spacing w:line="259" w:lineRule="auto"/>
        <w:jc w:val="both"/>
        <w:rPr>
          <w:rFonts w:asciiTheme="majorBidi" w:eastAsia="Times New Roman" w:hAnsiTheme="majorBidi" w:cstheme="majorBidi"/>
        </w:rPr>
      </w:pPr>
    </w:p>
    <w:p w14:paraId="3C22EEF1" w14:textId="77777777" w:rsidR="003B4185" w:rsidRPr="00306A83" w:rsidRDefault="006803DD">
      <w:pPr>
        <w:spacing w:line="259" w:lineRule="auto"/>
        <w:jc w:val="both"/>
        <w:rPr>
          <w:rFonts w:asciiTheme="majorBidi" w:eastAsia="Times New Roman" w:hAnsiTheme="majorBidi" w:cstheme="majorBidi"/>
          <w:b/>
        </w:rPr>
      </w:pPr>
      <w:r w:rsidRPr="00306A83">
        <w:rPr>
          <w:rFonts w:asciiTheme="majorBidi" w:eastAsia="Times New Roman" w:hAnsiTheme="majorBidi" w:cstheme="majorBidi"/>
        </w:rPr>
        <w:t>Or, comme mentionné par l’Etat de Côte d’Ivoire dans son rapport initial, la législation ivoirienne actuelle ne prévoit pas les actes de torture comme des infractions auxquelles s’a</w:t>
      </w:r>
      <w:r w:rsidRPr="00306A83">
        <w:rPr>
          <w:rFonts w:asciiTheme="majorBidi" w:eastAsia="Times New Roman" w:hAnsiTheme="majorBidi" w:cstheme="majorBidi"/>
        </w:rPr>
        <w:t xml:space="preserve">pplique la compétence universelle indépendamment du lieu de leur commission, de la </w:t>
      </w:r>
      <w:r w:rsidRPr="00306A83">
        <w:rPr>
          <w:rFonts w:asciiTheme="majorBidi" w:eastAsia="Times New Roman" w:hAnsiTheme="majorBidi" w:cstheme="majorBidi"/>
        </w:rPr>
        <w:lastRenderedPageBreak/>
        <w:t>nationalité de l’auteur ou de la nationalité de la victime.</w:t>
      </w:r>
      <w:r w:rsidRPr="00306A83">
        <w:rPr>
          <w:rFonts w:asciiTheme="majorBidi" w:eastAsia="Times New Roman" w:hAnsiTheme="majorBidi" w:cstheme="majorBidi"/>
          <w:vertAlign w:val="superscript"/>
        </w:rPr>
        <w:footnoteReference w:id="16"/>
      </w:r>
      <w:r w:rsidRPr="00306A83">
        <w:rPr>
          <w:rFonts w:asciiTheme="majorBidi" w:eastAsia="Times New Roman" w:hAnsiTheme="majorBidi" w:cstheme="majorBidi"/>
        </w:rPr>
        <w:t xml:space="preserve"> L’État partie doit donc inclure cette possibilité dans son cadre législatif.</w:t>
      </w:r>
    </w:p>
    <w:p w14:paraId="23355963" w14:textId="77777777" w:rsidR="003B4185" w:rsidRPr="00306A83" w:rsidRDefault="003B4185">
      <w:pPr>
        <w:spacing w:line="259" w:lineRule="auto"/>
        <w:jc w:val="both"/>
        <w:rPr>
          <w:rFonts w:asciiTheme="majorBidi" w:eastAsia="Times New Roman" w:hAnsiTheme="majorBidi" w:cstheme="majorBidi"/>
        </w:rPr>
      </w:pPr>
    </w:p>
    <w:p w14:paraId="7CDDBAC0" w14:textId="47FF17BE" w:rsidR="003B4185" w:rsidRPr="00306A83" w:rsidRDefault="006803DD" w:rsidP="0017525C">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La Côte d’ivoire aurait pu fait recours à la compétence universelle pour juger l’ex-président burkinabé Blaise </w:t>
      </w:r>
      <w:proofErr w:type="spellStart"/>
      <w:r w:rsidRPr="00306A83">
        <w:rPr>
          <w:rFonts w:asciiTheme="majorBidi" w:eastAsia="Times New Roman" w:hAnsiTheme="majorBidi" w:cstheme="majorBidi"/>
        </w:rPr>
        <w:t>compaoré</w:t>
      </w:r>
      <w:proofErr w:type="spellEnd"/>
      <w:r w:rsidRPr="00306A83">
        <w:rPr>
          <w:rFonts w:asciiTheme="majorBidi" w:eastAsia="Times New Roman" w:hAnsiTheme="majorBidi" w:cstheme="majorBidi"/>
        </w:rPr>
        <w:t xml:space="preserve"> qu’elle a refusé d’extrader en avril 2022 après que le tribunal militaire de Ouagadougou </w:t>
      </w:r>
      <w:proofErr w:type="gramStart"/>
      <w:r w:rsidRPr="00306A83">
        <w:rPr>
          <w:rFonts w:asciiTheme="majorBidi" w:eastAsia="Times New Roman" w:hAnsiTheme="majorBidi" w:cstheme="majorBidi"/>
        </w:rPr>
        <w:t>l’ait</w:t>
      </w:r>
      <w:proofErr w:type="gramEnd"/>
      <w:r w:rsidRPr="00306A83">
        <w:rPr>
          <w:rFonts w:asciiTheme="majorBidi" w:eastAsia="Times New Roman" w:hAnsiTheme="majorBidi" w:cstheme="majorBidi"/>
        </w:rPr>
        <w:t xml:space="preserve"> reconnu coupable d'atteinte à la sureté d</w:t>
      </w:r>
      <w:r w:rsidRPr="00306A83">
        <w:rPr>
          <w:rFonts w:asciiTheme="majorBidi" w:eastAsia="Times New Roman" w:hAnsiTheme="majorBidi" w:cstheme="majorBidi"/>
        </w:rPr>
        <w:t>e l'Etat et de complicité d'assassinat de Thomas Sankara</w:t>
      </w:r>
      <w:r w:rsidRPr="00306A83">
        <w:rPr>
          <w:rFonts w:asciiTheme="majorBidi" w:eastAsia="Times New Roman" w:hAnsiTheme="majorBidi" w:cstheme="majorBidi"/>
          <w:vertAlign w:val="superscript"/>
        </w:rPr>
        <w:footnoteReference w:id="17"/>
      </w:r>
      <w:r w:rsidRPr="00306A83">
        <w:rPr>
          <w:rFonts w:asciiTheme="majorBidi" w:eastAsia="Times New Roman" w:hAnsiTheme="majorBidi" w:cstheme="majorBidi"/>
        </w:rPr>
        <w:t xml:space="preserve">. </w:t>
      </w:r>
    </w:p>
    <w:p w14:paraId="6152436C" w14:textId="1CAE378C" w:rsidR="003B4185" w:rsidRDefault="006803DD" w:rsidP="00F40C8C">
      <w:pPr>
        <w:pStyle w:val="Heading2"/>
        <w:numPr>
          <w:ilvl w:val="0"/>
          <w:numId w:val="36"/>
        </w:numPr>
        <w:rPr>
          <w:rFonts w:cstheme="majorBidi"/>
          <w:szCs w:val="24"/>
        </w:rPr>
      </w:pPr>
      <w:bookmarkStart w:id="8" w:name="_Toc168990347"/>
      <w:r w:rsidRPr="00306A83">
        <w:rPr>
          <w:rFonts w:cstheme="majorBidi"/>
          <w:szCs w:val="24"/>
        </w:rPr>
        <w:t>Irrecevabilité des preuves obtenues sous la torture (Article 15)</w:t>
      </w:r>
      <w:bookmarkEnd w:id="8"/>
    </w:p>
    <w:p w14:paraId="221A9C7B" w14:textId="77777777" w:rsidR="0017525C" w:rsidRPr="0017525C" w:rsidRDefault="0017525C" w:rsidP="0017525C"/>
    <w:p w14:paraId="2BF160D3"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La Convention contre la torture exige, en son article 15, que l’État partie veille à ce que “</w:t>
      </w:r>
      <w:r w:rsidRPr="00306A83">
        <w:rPr>
          <w:rFonts w:asciiTheme="majorBidi" w:eastAsia="Times New Roman" w:hAnsiTheme="majorBidi" w:cstheme="majorBidi"/>
          <w:i/>
        </w:rPr>
        <w:t xml:space="preserve">toute déclaration dont il est </w:t>
      </w:r>
      <w:r w:rsidRPr="00306A83">
        <w:rPr>
          <w:rFonts w:asciiTheme="majorBidi" w:eastAsia="Times New Roman" w:hAnsiTheme="majorBidi" w:cstheme="majorBidi"/>
          <w:i/>
        </w:rPr>
        <w:t>établi qu'elle a été obtenue par la torture ne puisse être invoquée comme un élément de preuve dans une procédure, si ce n'est contre la personne accusée de torture pour établir qu'une déclaration a été faite</w:t>
      </w:r>
      <w:r w:rsidRPr="00306A83">
        <w:rPr>
          <w:rFonts w:asciiTheme="majorBidi" w:eastAsia="Times New Roman" w:hAnsiTheme="majorBidi" w:cstheme="majorBidi"/>
        </w:rPr>
        <w:t xml:space="preserve">.” </w:t>
      </w:r>
    </w:p>
    <w:p w14:paraId="661C4947" w14:textId="77777777" w:rsidR="003B4185" w:rsidRPr="00306A83" w:rsidRDefault="003B4185">
      <w:pPr>
        <w:spacing w:after="40" w:line="259" w:lineRule="auto"/>
        <w:jc w:val="both"/>
        <w:rPr>
          <w:rFonts w:asciiTheme="majorBidi" w:eastAsia="Times New Roman" w:hAnsiTheme="majorBidi" w:cstheme="majorBidi"/>
        </w:rPr>
      </w:pPr>
    </w:p>
    <w:p w14:paraId="663425B2"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Pourtant, l’article 439 du Code pénal ivoir</w:t>
      </w:r>
      <w:r w:rsidRPr="00306A83">
        <w:rPr>
          <w:rFonts w:asciiTheme="majorBidi" w:eastAsia="Times New Roman" w:hAnsiTheme="majorBidi" w:cstheme="majorBidi"/>
        </w:rPr>
        <w:t>ien, prévoit que</w:t>
      </w:r>
      <w:r w:rsidRPr="00306A83">
        <w:rPr>
          <w:rFonts w:asciiTheme="majorBidi" w:eastAsia="Times New Roman" w:hAnsiTheme="majorBidi" w:cstheme="majorBidi"/>
          <w:b/>
        </w:rPr>
        <w:t xml:space="preserve"> </w:t>
      </w:r>
      <w:r w:rsidRPr="00306A83">
        <w:rPr>
          <w:rFonts w:asciiTheme="majorBidi" w:eastAsia="Times New Roman" w:hAnsiTheme="majorBidi" w:cstheme="majorBidi"/>
        </w:rPr>
        <w:t>: “</w:t>
      </w:r>
      <w:r w:rsidRPr="00306A83">
        <w:rPr>
          <w:rFonts w:asciiTheme="majorBidi" w:eastAsia="Times New Roman" w:hAnsiTheme="majorBidi" w:cstheme="majorBidi"/>
          <w:i/>
        </w:rPr>
        <w:t>L'aveu, comme tout élément de preuve, est laissé à la libre appréciation des juges</w:t>
      </w:r>
      <w:r w:rsidRPr="00306A83">
        <w:rPr>
          <w:rFonts w:asciiTheme="majorBidi" w:eastAsia="Times New Roman" w:hAnsiTheme="majorBidi" w:cstheme="majorBidi"/>
        </w:rPr>
        <w:t xml:space="preserve">”. Il ressort donc qu’il revient aux juges d’apprécier si un aveu qui a été obtenu sous la torture peut être admis dans une procédure. Ainsi, il n’existe </w:t>
      </w:r>
      <w:r w:rsidRPr="00306A83">
        <w:rPr>
          <w:rFonts w:asciiTheme="majorBidi" w:eastAsia="Times New Roman" w:hAnsiTheme="majorBidi" w:cstheme="majorBidi"/>
        </w:rPr>
        <w:t xml:space="preserve">toujours pas de disposition dans le droit ivoirien qui prévoit l’irrecevabilité dans toute procédure d’aveux ou déclarations obtenues par la torture.  </w:t>
      </w:r>
    </w:p>
    <w:p w14:paraId="799715FF" w14:textId="77777777" w:rsidR="003B4185" w:rsidRPr="00306A83" w:rsidRDefault="003B4185">
      <w:pPr>
        <w:spacing w:after="40" w:line="259" w:lineRule="auto"/>
        <w:jc w:val="both"/>
        <w:rPr>
          <w:rFonts w:asciiTheme="majorBidi" w:eastAsia="Times New Roman" w:hAnsiTheme="majorBidi" w:cstheme="majorBidi"/>
        </w:rPr>
      </w:pPr>
    </w:p>
    <w:p w14:paraId="424877BC" w14:textId="71F1DD38" w:rsidR="003B4185" w:rsidRPr="00306A83" w:rsidRDefault="006803DD" w:rsidP="0017525C">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Il est d’ailleurs important de noter qu’en pratique, il apparait que des aveux obtenus sous la torture </w:t>
      </w:r>
      <w:r w:rsidRPr="00306A83">
        <w:rPr>
          <w:rFonts w:asciiTheme="majorBidi" w:eastAsia="Times New Roman" w:hAnsiTheme="majorBidi" w:cstheme="majorBidi"/>
        </w:rPr>
        <w:t>auraient été utilisées par les autorités ivoiriennes. Selon des informations publiées par Amnesty International en 2021, six personnes auraient été contraintes de signer un document sans pouvoir le lire et ainsi reconnaitre les accusations portées contre e</w:t>
      </w:r>
      <w:r w:rsidRPr="00306A83">
        <w:rPr>
          <w:rFonts w:asciiTheme="majorBidi" w:eastAsia="Times New Roman" w:hAnsiTheme="majorBidi" w:cstheme="majorBidi"/>
        </w:rPr>
        <w:t>lles après avoir été soumises à des actes de torture au moyen de câbles électriques, pistolets paralysants et de machettes dans les locaux de la Direction de la surveillance du territoire (DST).</w:t>
      </w:r>
      <w:r w:rsidRPr="00306A83">
        <w:rPr>
          <w:rFonts w:asciiTheme="majorBidi" w:eastAsia="Times New Roman" w:hAnsiTheme="majorBidi" w:cstheme="majorBidi"/>
          <w:vertAlign w:val="superscript"/>
        </w:rPr>
        <w:footnoteReference w:id="18"/>
      </w:r>
    </w:p>
    <w:p w14:paraId="7348E007" w14:textId="2E99C639" w:rsidR="00F40C8C" w:rsidRDefault="006803DD" w:rsidP="0017525C">
      <w:pPr>
        <w:pStyle w:val="Heading2"/>
        <w:numPr>
          <w:ilvl w:val="0"/>
          <w:numId w:val="36"/>
        </w:numPr>
        <w:rPr>
          <w:rFonts w:cstheme="majorBidi"/>
          <w:szCs w:val="24"/>
        </w:rPr>
      </w:pPr>
      <w:bookmarkStart w:id="9" w:name="_Toc168990348"/>
      <w:r w:rsidRPr="00306A83">
        <w:rPr>
          <w:rFonts w:cstheme="majorBidi"/>
          <w:szCs w:val="24"/>
        </w:rPr>
        <w:t xml:space="preserve">Absence de mise en </w:t>
      </w:r>
      <w:r w:rsidR="00F40C8C" w:rsidRPr="00306A83">
        <w:rPr>
          <w:rFonts w:cstheme="majorBidi"/>
          <w:szCs w:val="24"/>
        </w:rPr>
        <w:t>œuvre</w:t>
      </w:r>
      <w:r w:rsidRPr="00306A83">
        <w:rPr>
          <w:rFonts w:cstheme="majorBidi"/>
          <w:szCs w:val="24"/>
        </w:rPr>
        <w:t xml:space="preserve"> effective de la loi criminalisant </w:t>
      </w:r>
      <w:r w:rsidRPr="00306A83">
        <w:rPr>
          <w:rFonts w:cstheme="majorBidi"/>
          <w:szCs w:val="24"/>
        </w:rPr>
        <w:t>la torture</w:t>
      </w:r>
      <w:bookmarkEnd w:id="9"/>
      <w:r w:rsidRPr="00306A83">
        <w:rPr>
          <w:rFonts w:cstheme="majorBidi"/>
          <w:szCs w:val="24"/>
        </w:rPr>
        <w:t xml:space="preserve"> </w:t>
      </w:r>
    </w:p>
    <w:p w14:paraId="71BE8F2C" w14:textId="77777777" w:rsidR="0017525C" w:rsidRPr="0017525C" w:rsidRDefault="0017525C" w:rsidP="0017525C"/>
    <w:p w14:paraId="62C61716" w14:textId="77C247C9"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Selon l’annuaire des statistiques judiciaires et pénitentiaires pour l’année judiciaire 2021-2022, il n’y a pas eu de faits qualifiés d’actes de torture et de mauvais traitements. Ainsi, il n’existe à ce jour, aucune application effective par </w:t>
      </w:r>
      <w:r w:rsidRPr="00306A83">
        <w:rPr>
          <w:rFonts w:asciiTheme="majorBidi" w:eastAsia="Times New Roman" w:hAnsiTheme="majorBidi" w:cstheme="majorBidi"/>
        </w:rPr>
        <w:t xml:space="preserve">un tribunal de la loi n°2019-574 comme base légale pour la condamnation d’auteurs d’actes de torture. </w:t>
      </w:r>
    </w:p>
    <w:p w14:paraId="647082A1"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Ceci est confirmé par l'État partie, lequel indique dans son rapport initial que les “</w:t>
      </w:r>
      <w:r w:rsidRPr="00306A83">
        <w:rPr>
          <w:rFonts w:asciiTheme="majorBidi" w:eastAsia="Times New Roman" w:hAnsiTheme="majorBidi" w:cstheme="majorBidi"/>
          <w:i/>
        </w:rPr>
        <w:t>données statistiques sur les affaires dans lesquelles les dispositi</w:t>
      </w:r>
      <w:r w:rsidRPr="00306A83">
        <w:rPr>
          <w:rFonts w:asciiTheme="majorBidi" w:eastAsia="Times New Roman" w:hAnsiTheme="majorBidi" w:cstheme="majorBidi"/>
          <w:i/>
        </w:rPr>
        <w:t>ons de la Convention ont été invoquées devant les tribunaux ne sont pas disponibles</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9"/>
      </w:r>
    </w:p>
    <w:p w14:paraId="4B5039F2"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lastRenderedPageBreak/>
        <w:t xml:space="preserve">Il convient néanmoins de relever que dans le cadre d’une récente affaire liée au meurtre de </w:t>
      </w:r>
      <w:r w:rsidRPr="00306A83">
        <w:rPr>
          <w:rFonts w:asciiTheme="majorBidi" w:eastAsia="Times New Roman" w:hAnsiTheme="majorBidi" w:cstheme="majorBidi"/>
          <w:color w:val="1C1C1C"/>
        </w:rPr>
        <w:t xml:space="preserve">Luc </w:t>
      </w:r>
      <w:proofErr w:type="spellStart"/>
      <w:r w:rsidRPr="00306A83">
        <w:rPr>
          <w:rFonts w:asciiTheme="majorBidi" w:eastAsia="Times New Roman" w:hAnsiTheme="majorBidi" w:cstheme="majorBidi"/>
          <w:color w:val="1C1C1C"/>
        </w:rPr>
        <w:t>Valen</w:t>
      </w:r>
      <w:proofErr w:type="spellEnd"/>
      <w:r w:rsidRPr="00306A83">
        <w:rPr>
          <w:rFonts w:asciiTheme="majorBidi" w:eastAsia="Times New Roman" w:hAnsiTheme="majorBidi" w:cstheme="majorBidi"/>
          <w:color w:val="1C1C1C"/>
        </w:rPr>
        <w:t xml:space="preserve"> </w:t>
      </w:r>
      <w:proofErr w:type="spellStart"/>
      <w:r w:rsidRPr="00306A83">
        <w:rPr>
          <w:rFonts w:asciiTheme="majorBidi" w:eastAsia="Times New Roman" w:hAnsiTheme="majorBidi" w:cstheme="majorBidi"/>
          <w:color w:val="1C1C1C"/>
        </w:rPr>
        <w:t>Bomahé</w:t>
      </w:r>
      <w:proofErr w:type="spellEnd"/>
      <w:r w:rsidRPr="00306A83">
        <w:rPr>
          <w:rFonts w:asciiTheme="majorBidi" w:eastAsia="Times New Roman" w:hAnsiTheme="majorBidi" w:cstheme="majorBidi"/>
          <w:color w:val="1C1C1C"/>
        </w:rPr>
        <w:t xml:space="preserve"> </w:t>
      </w:r>
      <w:r w:rsidRPr="00306A83">
        <w:rPr>
          <w:rFonts w:asciiTheme="majorBidi" w:eastAsia="Times New Roman" w:hAnsiTheme="majorBidi" w:cstheme="majorBidi"/>
        </w:rPr>
        <w:t xml:space="preserve">du village de </w:t>
      </w:r>
      <w:proofErr w:type="spellStart"/>
      <w:r w:rsidRPr="00306A83">
        <w:rPr>
          <w:rFonts w:asciiTheme="majorBidi" w:eastAsia="Times New Roman" w:hAnsiTheme="majorBidi" w:cstheme="majorBidi"/>
        </w:rPr>
        <w:t>Zéo</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Bangolo</w:t>
      </w:r>
      <w:proofErr w:type="spellEnd"/>
      <w:r w:rsidRPr="00306A83">
        <w:rPr>
          <w:rFonts w:asciiTheme="majorBidi" w:eastAsia="Times New Roman" w:hAnsiTheme="majorBidi" w:cstheme="majorBidi"/>
        </w:rPr>
        <w:t xml:space="preserve">), </w:t>
      </w:r>
      <w:r w:rsidRPr="00306A83">
        <w:rPr>
          <w:rFonts w:asciiTheme="majorBidi" w:eastAsia="Times New Roman" w:hAnsiTheme="majorBidi" w:cstheme="majorBidi"/>
          <w:color w:val="1C1C1C"/>
        </w:rPr>
        <w:t xml:space="preserve">jeune instituteur bénévole, </w:t>
      </w:r>
      <w:r w:rsidRPr="00306A83">
        <w:rPr>
          <w:rFonts w:asciiTheme="majorBidi" w:eastAsia="Times New Roman" w:hAnsiTheme="majorBidi" w:cstheme="majorBidi"/>
        </w:rPr>
        <w:t>t</w:t>
      </w:r>
      <w:r w:rsidRPr="00306A83">
        <w:rPr>
          <w:rFonts w:asciiTheme="majorBidi" w:eastAsia="Times New Roman" w:hAnsiTheme="majorBidi" w:cstheme="majorBidi"/>
          <w:color w:val="1C1C1C"/>
        </w:rPr>
        <w:t>r</w:t>
      </w:r>
      <w:r w:rsidRPr="00306A83">
        <w:rPr>
          <w:rFonts w:asciiTheme="majorBidi" w:eastAsia="Times New Roman" w:hAnsiTheme="majorBidi" w:cstheme="majorBidi"/>
          <w:color w:val="1C1C1C"/>
        </w:rPr>
        <w:t>ois personnes ont été déférées et inculpées par le Parquet de Man le 19 février 2024 pour des faits de tortures, traitements inhumains, traitements dégradants et coups mortels.</w:t>
      </w:r>
      <w:r w:rsidRPr="00306A83">
        <w:rPr>
          <w:rFonts w:asciiTheme="majorBidi" w:eastAsia="Times New Roman" w:hAnsiTheme="majorBidi" w:cstheme="majorBidi"/>
          <w:vertAlign w:val="superscript"/>
        </w:rPr>
        <w:footnoteReference w:id="20"/>
      </w:r>
      <w:r w:rsidRPr="00306A83">
        <w:rPr>
          <w:rFonts w:asciiTheme="majorBidi" w:eastAsia="Times New Roman" w:hAnsiTheme="majorBidi" w:cstheme="majorBidi"/>
        </w:rPr>
        <w:t xml:space="preserve"> </w:t>
      </w:r>
    </w:p>
    <w:p w14:paraId="5FCBE27D" w14:textId="77777777" w:rsidR="003B4185" w:rsidRPr="00306A83" w:rsidRDefault="003B4185">
      <w:pPr>
        <w:pBdr>
          <w:top w:val="nil"/>
          <w:left w:val="nil"/>
          <w:bottom w:val="nil"/>
          <w:right w:val="nil"/>
          <w:between w:val="nil"/>
        </w:pBdr>
        <w:spacing w:after="160" w:line="259" w:lineRule="auto"/>
        <w:jc w:val="both"/>
        <w:rPr>
          <w:rFonts w:asciiTheme="majorBidi" w:eastAsia="Times New Roman" w:hAnsiTheme="majorBidi" w:cstheme="majorBidi"/>
        </w:rPr>
      </w:pPr>
    </w:p>
    <w:tbl>
      <w:tblPr>
        <w:tblStyle w:val="a"/>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74C11798" w14:textId="77777777">
        <w:tc>
          <w:tcPr>
            <w:tcW w:w="9066" w:type="dxa"/>
            <w:shd w:val="clear" w:color="auto" w:fill="auto"/>
            <w:tcMar>
              <w:top w:w="100" w:type="dxa"/>
              <w:left w:w="100" w:type="dxa"/>
              <w:bottom w:w="100" w:type="dxa"/>
              <w:right w:w="100" w:type="dxa"/>
            </w:tcMar>
          </w:tcPr>
          <w:p w14:paraId="2BBCACA1" w14:textId="77222771"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Recommandations</w:t>
            </w:r>
            <w:r w:rsidRPr="00306A83">
              <w:rPr>
                <w:rFonts w:asciiTheme="majorBidi" w:eastAsia="Times New Roman" w:hAnsiTheme="majorBidi" w:cstheme="majorBidi"/>
              </w:rPr>
              <w:t xml:space="preserve"> : </w:t>
            </w:r>
          </w:p>
          <w:p w14:paraId="00376074" w14:textId="334CDE1E" w:rsidR="003B4185" w:rsidRPr="00306A83" w:rsidRDefault="006803DD" w:rsidP="00F40C8C">
            <w:pPr>
              <w:numPr>
                <w:ilvl w:val="0"/>
                <w:numId w:val="3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Adopter les dispositions </w:t>
            </w:r>
            <w:proofErr w:type="spellStart"/>
            <w:r w:rsidRPr="00306A83">
              <w:rPr>
                <w:rFonts w:asciiTheme="majorBidi" w:eastAsia="Times New Roman" w:hAnsiTheme="majorBidi" w:cstheme="majorBidi"/>
              </w:rPr>
              <w:t>nécessaires</w:t>
            </w:r>
            <w:proofErr w:type="spellEnd"/>
            <w:r w:rsidRPr="00306A83">
              <w:rPr>
                <w:rFonts w:asciiTheme="majorBidi" w:eastAsia="Times New Roman" w:hAnsiTheme="majorBidi" w:cstheme="majorBidi"/>
              </w:rPr>
              <w:t xml:space="preserve">, au sein du Code </w:t>
            </w:r>
            <w:proofErr w:type="spellStart"/>
            <w:r w:rsidRPr="00306A83">
              <w:rPr>
                <w:rFonts w:asciiTheme="majorBidi" w:eastAsia="Times New Roman" w:hAnsiTheme="majorBidi" w:cstheme="majorBidi"/>
              </w:rPr>
              <w:t>pénal</w:t>
            </w:r>
            <w:proofErr w:type="spellEnd"/>
            <w:r w:rsidRPr="00306A83">
              <w:rPr>
                <w:rFonts w:asciiTheme="majorBidi" w:eastAsia="Times New Roman" w:hAnsiTheme="majorBidi" w:cstheme="majorBidi"/>
              </w:rPr>
              <w:t>, ou une nouvelle sur la préve</w:t>
            </w:r>
            <w:r w:rsidR="00F40C8C" w:rsidRPr="00306A83">
              <w:rPr>
                <w:rFonts w:asciiTheme="majorBidi" w:eastAsia="Times New Roman" w:hAnsiTheme="majorBidi" w:cstheme="majorBidi"/>
              </w:rPr>
              <w:t>n</w:t>
            </w:r>
            <w:r w:rsidRPr="00306A83">
              <w:rPr>
                <w:rFonts w:asciiTheme="majorBidi" w:eastAsia="Times New Roman" w:hAnsiTheme="majorBidi" w:cstheme="majorBidi"/>
              </w:rPr>
              <w:t xml:space="preserve">tion et la prohibition de la torture afin de conformer la définition de la torture à la convention,  </w:t>
            </w:r>
            <w:proofErr w:type="spellStart"/>
            <w:r w:rsidRPr="00306A83">
              <w:rPr>
                <w:rFonts w:asciiTheme="majorBidi" w:eastAsia="Times New Roman" w:hAnsiTheme="majorBidi" w:cstheme="majorBidi"/>
              </w:rPr>
              <w:t>prévoir</w:t>
            </w:r>
            <w:proofErr w:type="spellEnd"/>
            <w:r w:rsidRPr="00306A83">
              <w:rPr>
                <w:rFonts w:asciiTheme="majorBidi" w:eastAsia="Times New Roman" w:hAnsiTheme="majorBidi" w:cstheme="majorBidi"/>
              </w:rPr>
              <w:t xml:space="preserve"> explicitement la </w:t>
            </w:r>
            <w:proofErr w:type="spellStart"/>
            <w:r w:rsidRPr="00306A83">
              <w:rPr>
                <w:rFonts w:asciiTheme="majorBidi" w:eastAsia="Times New Roman" w:hAnsiTheme="majorBidi" w:cstheme="majorBidi"/>
              </w:rPr>
              <w:t>complicite</w:t>
            </w:r>
            <w:proofErr w:type="spellEnd"/>
            <w:r w:rsidRPr="00306A83">
              <w:rPr>
                <w:rFonts w:asciiTheme="majorBidi" w:eastAsia="Times New Roman" w:hAnsiTheme="majorBidi" w:cstheme="majorBidi"/>
              </w:rPr>
              <w:t xml:space="preserve">́ et la tentative concernant les actes de torture, </w:t>
            </w:r>
            <w:proofErr w:type="spellStart"/>
            <w:r w:rsidRPr="00306A83">
              <w:rPr>
                <w:rFonts w:asciiTheme="majorBidi" w:eastAsia="Times New Roman" w:hAnsiTheme="majorBidi" w:cstheme="majorBidi"/>
              </w:rPr>
              <w:t>conformément</w:t>
            </w:r>
            <w:proofErr w:type="spellEnd"/>
            <w:r w:rsidRPr="00306A83">
              <w:rPr>
                <w:rFonts w:asciiTheme="majorBidi" w:eastAsia="Times New Roman" w:hAnsiTheme="majorBidi" w:cstheme="majorBidi"/>
              </w:rPr>
              <w:t xml:space="preserve"> au paragraphe 1 de l’article 4 de la Convention, et pour assurer la </w:t>
            </w:r>
            <w:proofErr w:type="spellStart"/>
            <w:r w:rsidRPr="00306A83">
              <w:rPr>
                <w:rFonts w:asciiTheme="majorBidi" w:eastAsia="Times New Roman" w:hAnsiTheme="majorBidi" w:cstheme="majorBidi"/>
              </w:rPr>
              <w:t>responsabilite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hiérarchique</w:t>
            </w:r>
            <w:proofErr w:type="spellEnd"/>
            <w:r w:rsidRPr="00306A83">
              <w:rPr>
                <w:rFonts w:asciiTheme="majorBidi" w:eastAsia="Times New Roman" w:hAnsiTheme="majorBidi" w:cstheme="majorBidi"/>
              </w:rPr>
              <w:t xml:space="preserve"> des </w:t>
            </w:r>
            <w:proofErr w:type="spellStart"/>
            <w:r w:rsidRPr="00306A83">
              <w:rPr>
                <w:rFonts w:asciiTheme="majorBidi" w:eastAsia="Times New Roman" w:hAnsiTheme="majorBidi" w:cstheme="majorBidi"/>
              </w:rPr>
              <w:t>supérieurs</w:t>
            </w:r>
            <w:proofErr w:type="spellEnd"/>
            <w:r w:rsidRPr="00306A83">
              <w:rPr>
                <w:rFonts w:asciiTheme="majorBidi" w:eastAsia="Times New Roman" w:hAnsiTheme="majorBidi" w:cstheme="majorBidi"/>
              </w:rPr>
              <w:t xml:space="preserve">, que les actes aient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commis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leur instigation ou avec leur consentement explicite ou tacite</w:t>
            </w:r>
          </w:p>
          <w:p w14:paraId="677BEBF3" w14:textId="2A56A666" w:rsidR="003B4185" w:rsidRPr="00306A83" w:rsidRDefault="006803DD" w:rsidP="00F40C8C">
            <w:pPr>
              <w:numPr>
                <w:ilvl w:val="0"/>
                <w:numId w:val="32"/>
              </w:numPr>
              <w:spacing w:line="259" w:lineRule="auto"/>
              <w:jc w:val="both"/>
              <w:rPr>
                <w:rFonts w:asciiTheme="majorBidi" w:hAnsiTheme="majorBidi" w:cstheme="majorBidi"/>
              </w:rPr>
            </w:pPr>
            <w:r w:rsidRPr="00306A83">
              <w:rPr>
                <w:rFonts w:asciiTheme="majorBidi" w:eastAsia="Times New Roman" w:hAnsiTheme="majorBidi" w:cstheme="majorBidi"/>
              </w:rPr>
              <w:t xml:space="preserve">Réviser le Code pénal et le Code de Procédure Pénale afin que l’infraction de torture, de traitements cruels, inhumains ou dégradants soit </w:t>
            </w:r>
            <w:r w:rsidR="00F40C8C" w:rsidRPr="00306A83">
              <w:rPr>
                <w:rFonts w:asciiTheme="majorBidi" w:eastAsia="Times New Roman" w:hAnsiTheme="majorBidi" w:cstheme="majorBidi"/>
              </w:rPr>
              <w:t>érigée</w:t>
            </w:r>
            <w:r w:rsidRPr="00306A83">
              <w:rPr>
                <w:rFonts w:asciiTheme="majorBidi" w:eastAsia="Times New Roman" w:hAnsiTheme="majorBidi" w:cstheme="majorBidi"/>
              </w:rPr>
              <w:t xml:space="preserve"> en une infraction criminelle et que les peines prévues soient proportionnelles à la gravité des actes, pour êt</w:t>
            </w:r>
            <w:r w:rsidRPr="00306A83">
              <w:rPr>
                <w:rFonts w:asciiTheme="majorBidi" w:eastAsia="Times New Roman" w:hAnsiTheme="majorBidi" w:cstheme="majorBidi"/>
              </w:rPr>
              <w:t>re parfaitement conformes à tous les éléments de l’article 1er de la Convention contre la torture.</w:t>
            </w:r>
          </w:p>
          <w:p w14:paraId="1817B0C2" w14:textId="77777777" w:rsidR="003B4185" w:rsidRPr="00306A83" w:rsidRDefault="006803DD" w:rsidP="00F40C8C">
            <w:pPr>
              <w:numPr>
                <w:ilvl w:val="0"/>
                <w:numId w:val="3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Rendre punissable la tentative de torture et de traitements cruels, inhumains ou dégradants.</w:t>
            </w:r>
          </w:p>
          <w:p w14:paraId="5FE4BE6B" w14:textId="77777777" w:rsidR="003B4185" w:rsidRPr="00306A83" w:rsidRDefault="006803DD" w:rsidP="00F40C8C">
            <w:pPr>
              <w:numPr>
                <w:ilvl w:val="0"/>
                <w:numId w:val="3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Rendre explicitement irrecevables les aveux obtenus sous la tort</w:t>
            </w:r>
            <w:r w:rsidRPr="00306A83">
              <w:rPr>
                <w:rFonts w:asciiTheme="majorBidi" w:eastAsia="Times New Roman" w:hAnsiTheme="majorBidi" w:cstheme="majorBidi"/>
              </w:rPr>
              <w:t xml:space="preserve">ure par le Code de procédure pénale. </w:t>
            </w:r>
          </w:p>
          <w:p w14:paraId="6569F4B2" w14:textId="77777777" w:rsidR="003B4185" w:rsidRPr="00306A83" w:rsidRDefault="006803DD" w:rsidP="00F40C8C">
            <w:pPr>
              <w:numPr>
                <w:ilvl w:val="0"/>
                <w:numId w:val="3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Modifier le Code pénal afin de rendre imprescriptible les actes de torture, de sorte que les auteurs et complices de tels actes puissent faire l’objet d’enquêtes, de poursuites et de sanctions.</w:t>
            </w:r>
          </w:p>
          <w:p w14:paraId="2CDD4B19" w14:textId="77777777" w:rsidR="003B4185" w:rsidRPr="00306A83" w:rsidRDefault="006803DD" w:rsidP="00F40C8C">
            <w:pPr>
              <w:numPr>
                <w:ilvl w:val="0"/>
                <w:numId w:val="3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Modifier la législation </w:t>
            </w:r>
            <w:r w:rsidRPr="00306A83">
              <w:rPr>
                <w:rFonts w:asciiTheme="majorBidi" w:eastAsia="Times New Roman" w:hAnsiTheme="majorBidi" w:cstheme="majorBidi"/>
              </w:rPr>
              <w:t>afin d’établir la compétence universelle sur tout auteur présumé d’actes de torture se trouvant sur tout territoire sous sa juridiction.</w:t>
            </w:r>
          </w:p>
          <w:p w14:paraId="4096D047" w14:textId="4DC7700B" w:rsidR="003B4185" w:rsidRPr="00306A83" w:rsidRDefault="006803DD" w:rsidP="00F40C8C">
            <w:pPr>
              <w:numPr>
                <w:ilvl w:val="0"/>
                <w:numId w:val="3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Réviser la législation pour garantir explicitement le principe absolu de non-refoulement conformément à l’article 3 de </w:t>
            </w:r>
            <w:r w:rsidRPr="00306A83">
              <w:rPr>
                <w:rFonts w:asciiTheme="majorBidi" w:eastAsia="Times New Roman" w:hAnsiTheme="majorBidi" w:cstheme="majorBidi"/>
              </w:rPr>
              <w:t xml:space="preserve">la Convention.  </w:t>
            </w:r>
          </w:p>
        </w:tc>
      </w:tr>
    </w:tbl>
    <w:p w14:paraId="7BC79A99" w14:textId="77777777" w:rsidR="003B4185" w:rsidRPr="00306A83" w:rsidRDefault="003B4185">
      <w:pPr>
        <w:spacing w:line="259" w:lineRule="auto"/>
        <w:jc w:val="both"/>
        <w:rPr>
          <w:rFonts w:asciiTheme="majorBidi" w:eastAsia="Times New Roman" w:hAnsiTheme="majorBidi" w:cstheme="majorBidi"/>
        </w:rPr>
      </w:pPr>
    </w:p>
    <w:p w14:paraId="40A19ED1" w14:textId="1EA6399A" w:rsidR="003B4185" w:rsidRPr="0017525C" w:rsidRDefault="006803DD" w:rsidP="0017525C">
      <w:pPr>
        <w:pStyle w:val="Heading1"/>
        <w:numPr>
          <w:ilvl w:val="0"/>
          <w:numId w:val="35"/>
        </w:numPr>
        <w:rPr>
          <w:rFonts w:asciiTheme="majorBidi" w:hAnsiTheme="majorBidi" w:cstheme="majorBidi"/>
          <w:szCs w:val="24"/>
        </w:rPr>
      </w:pPr>
      <w:bookmarkStart w:id="10" w:name="_Toc168990349"/>
      <w:r w:rsidRPr="00306A83">
        <w:rPr>
          <w:rFonts w:asciiTheme="majorBidi" w:hAnsiTheme="majorBidi" w:cstheme="majorBidi"/>
          <w:szCs w:val="24"/>
        </w:rPr>
        <w:t>Les garanties juridiques des personnes privées de liberté mises à mal en pratique (Article 2)</w:t>
      </w:r>
      <w:bookmarkEnd w:id="10"/>
    </w:p>
    <w:p w14:paraId="135688DA" w14:textId="0CAC3BC5" w:rsidR="003B4185" w:rsidRPr="00306A83" w:rsidRDefault="006803DD" w:rsidP="00306A83">
      <w:pPr>
        <w:pStyle w:val="Heading2"/>
        <w:numPr>
          <w:ilvl w:val="0"/>
          <w:numId w:val="37"/>
        </w:numPr>
        <w:rPr>
          <w:rFonts w:cstheme="majorBidi"/>
          <w:szCs w:val="24"/>
        </w:rPr>
      </w:pPr>
      <w:bookmarkStart w:id="11" w:name="_Toc168990350"/>
      <w:r w:rsidRPr="00306A83">
        <w:rPr>
          <w:rFonts w:cstheme="majorBidi"/>
          <w:szCs w:val="24"/>
        </w:rPr>
        <w:t>Non-respect des droits lors de la garde-à-vue</w:t>
      </w:r>
      <w:bookmarkEnd w:id="11"/>
      <w:r w:rsidRPr="00306A83">
        <w:rPr>
          <w:rFonts w:cstheme="majorBidi"/>
          <w:szCs w:val="24"/>
        </w:rPr>
        <w:t xml:space="preserve"> </w:t>
      </w:r>
    </w:p>
    <w:p w14:paraId="79CCCD43" w14:textId="77777777" w:rsidR="003B4185" w:rsidRPr="00306A83" w:rsidRDefault="006803DD">
      <w:pPr>
        <w:spacing w:after="40" w:line="259" w:lineRule="auto"/>
        <w:jc w:val="both"/>
        <w:rPr>
          <w:rFonts w:asciiTheme="majorBidi" w:eastAsia="Times New Roman" w:hAnsiTheme="majorBidi" w:cstheme="majorBidi"/>
          <w:color w:val="0078D4"/>
        </w:rPr>
      </w:pPr>
      <w:r w:rsidRPr="00306A83">
        <w:rPr>
          <w:rFonts w:asciiTheme="majorBidi" w:eastAsia="Times New Roman" w:hAnsiTheme="majorBidi" w:cstheme="majorBidi"/>
          <w:color w:val="0078D4"/>
        </w:rPr>
        <w:t xml:space="preserve"> </w:t>
      </w:r>
    </w:p>
    <w:p w14:paraId="40EB7AC7"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délai de garde à vue est fixé à 48h renouvelable une fois par décision du </w:t>
      </w:r>
      <w:r w:rsidRPr="00306A83">
        <w:rPr>
          <w:rFonts w:asciiTheme="majorBidi" w:eastAsia="Times New Roman" w:hAnsiTheme="majorBidi" w:cstheme="majorBidi"/>
        </w:rPr>
        <w:t>Procureur de la République, soit 96 heures maximum au total.</w:t>
      </w:r>
      <w:r w:rsidRPr="00306A83">
        <w:rPr>
          <w:rFonts w:asciiTheme="majorBidi" w:eastAsia="Times New Roman" w:hAnsiTheme="majorBidi" w:cstheme="majorBidi"/>
          <w:vertAlign w:val="superscript"/>
        </w:rPr>
        <w:footnoteReference w:id="21"/>
      </w:r>
      <w:r w:rsidRPr="00306A83">
        <w:rPr>
          <w:rFonts w:asciiTheme="majorBidi" w:eastAsia="Times New Roman" w:hAnsiTheme="majorBidi" w:cstheme="majorBidi"/>
        </w:rPr>
        <w:t xml:space="preserve"> La personne gardée-à-vue doit être “</w:t>
      </w:r>
      <w:r w:rsidRPr="00306A83">
        <w:rPr>
          <w:rFonts w:asciiTheme="majorBidi" w:eastAsia="Times New Roman" w:hAnsiTheme="majorBidi" w:cstheme="majorBidi"/>
          <w:i/>
        </w:rPr>
        <w:t>informée de son droit de faire prévenir, sans délai, par tout moyen de communication, une personne avec laquelle elle vit habituellement, un parent, un ami o</w:t>
      </w:r>
      <w:r w:rsidRPr="00306A83">
        <w:rPr>
          <w:rFonts w:asciiTheme="majorBidi" w:eastAsia="Times New Roman" w:hAnsiTheme="majorBidi" w:cstheme="majorBidi"/>
          <w:i/>
        </w:rPr>
        <w:t xml:space="preserve">u son employeur, de la mesure dont elle est </w:t>
      </w:r>
      <w:r w:rsidRPr="00306A83">
        <w:rPr>
          <w:rFonts w:asciiTheme="majorBidi" w:eastAsia="Times New Roman" w:hAnsiTheme="majorBidi" w:cstheme="majorBidi"/>
          <w:i/>
        </w:rPr>
        <w:lastRenderedPageBreak/>
        <w:t>l'objet</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22"/>
      </w:r>
      <w:r w:rsidRPr="00306A83">
        <w:rPr>
          <w:rFonts w:asciiTheme="majorBidi" w:eastAsia="Times New Roman" w:hAnsiTheme="majorBidi" w:cstheme="majorBidi"/>
        </w:rPr>
        <w:t xml:space="preserve"> La personne gardée à vue peut se faire assister d’un conseil, si elle en manifeste la volonté,</w:t>
      </w:r>
      <w:r w:rsidRPr="00306A83">
        <w:rPr>
          <w:rFonts w:asciiTheme="majorBidi" w:eastAsia="Times New Roman" w:hAnsiTheme="majorBidi" w:cstheme="majorBidi"/>
          <w:vertAlign w:val="superscript"/>
        </w:rPr>
        <w:footnoteReference w:id="23"/>
      </w:r>
      <w:r w:rsidRPr="00306A83">
        <w:rPr>
          <w:rFonts w:asciiTheme="majorBidi" w:eastAsia="Times New Roman" w:hAnsiTheme="majorBidi" w:cstheme="majorBidi"/>
        </w:rPr>
        <w:t xml:space="preserve"> et bénéficie d’un examen de droit par un médecin si elle ou un membre de sa famille en fait la demande.</w:t>
      </w:r>
      <w:r w:rsidRPr="00306A83">
        <w:rPr>
          <w:rFonts w:asciiTheme="majorBidi" w:eastAsia="Times New Roman" w:hAnsiTheme="majorBidi" w:cstheme="majorBidi"/>
          <w:vertAlign w:val="superscript"/>
        </w:rPr>
        <w:footnoteReference w:id="24"/>
      </w:r>
      <w:r w:rsidRPr="00306A83">
        <w:rPr>
          <w:rFonts w:asciiTheme="majorBidi" w:eastAsia="Times New Roman" w:hAnsiTheme="majorBidi" w:cstheme="majorBidi"/>
        </w:rPr>
        <w:t xml:space="preserve"> </w:t>
      </w:r>
    </w:p>
    <w:p w14:paraId="24D1EC4D" w14:textId="77777777" w:rsidR="003B4185" w:rsidRPr="00306A83" w:rsidRDefault="003B4185">
      <w:pPr>
        <w:spacing w:line="259" w:lineRule="auto"/>
        <w:jc w:val="both"/>
        <w:rPr>
          <w:rFonts w:asciiTheme="majorBidi" w:eastAsia="Times New Roman" w:hAnsiTheme="majorBidi" w:cstheme="majorBidi"/>
        </w:rPr>
      </w:pPr>
    </w:p>
    <w:p w14:paraId="24630ECE"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Néanmoins, ces droits ne sont pas garantis en pratique. Il existe de nombreux cas de détention en garde-à-vue au-delà des délais légaux. Le témoignage ci-dessous d’un ancien détenu activiste des droits humains met en lumière la violation de ses droits</w:t>
      </w:r>
      <w:r w:rsidRPr="00306A83">
        <w:rPr>
          <w:rFonts w:asciiTheme="majorBidi" w:eastAsia="Times New Roman" w:hAnsiTheme="majorBidi" w:cstheme="majorBidi"/>
        </w:rPr>
        <w:t xml:space="preserve"> :</w:t>
      </w:r>
    </w:p>
    <w:p w14:paraId="073BBD98" w14:textId="77777777" w:rsidR="003B4185" w:rsidRPr="00306A83" w:rsidRDefault="003B4185">
      <w:pPr>
        <w:spacing w:line="259" w:lineRule="auto"/>
        <w:jc w:val="both"/>
        <w:rPr>
          <w:rFonts w:asciiTheme="majorBidi" w:eastAsia="Times New Roman" w:hAnsiTheme="majorBidi" w:cstheme="majorBidi"/>
        </w:rPr>
      </w:pPr>
    </w:p>
    <w:p w14:paraId="19E53202" w14:textId="77777777" w:rsidR="003B4185" w:rsidRPr="00306A83" w:rsidRDefault="006803DD">
      <w:pPr>
        <w:spacing w:line="259" w:lineRule="auto"/>
        <w:ind w:left="720"/>
        <w:jc w:val="both"/>
        <w:rPr>
          <w:rFonts w:asciiTheme="majorBidi" w:eastAsia="Times New Roman" w:hAnsiTheme="majorBidi" w:cstheme="majorBidi"/>
          <w:i/>
        </w:rPr>
      </w:pPr>
      <w:r w:rsidRPr="00306A83">
        <w:rPr>
          <w:rFonts w:asciiTheme="majorBidi" w:eastAsia="Times New Roman" w:hAnsiTheme="majorBidi" w:cstheme="majorBidi"/>
          <w:i/>
        </w:rPr>
        <w:t xml:space="preserve">“Pendant la garde à vue, un policier m’a donné un coup de pied au bas ventre, je faisais pipi dans un bidon vide d’eau minéral, je n’ai pas eu accès à aucun membre de ma famille, ni à un avocat, ni nourriture alors que le nouveau code pénal et code de </w:t>
      </w:r>
      <w:r w:rsidRPr="00306A83">
        <w:rPr>
          <w:rFonts w:asciiTheme="majorBidi" w:eastAsia="Times New Roman" w:hAnsiTheme="majorBidi" w:cstheme="majorBidi"/>
          <w:i/>
        </w:rPr>
        <w:t>procédure pénal me permettent d’informer un membre de ma famille ou un proche, j’ai fait plus de 48h sans que personne ne sache là où j’étais”.</w:t>
      </w:r>
      <w:r w:rsidRPr="00306A83">
        <w:rPr>
          <w:rFonts w:asciiTheme="majorBidi" w:eastAsia="Times New Roman" w:hAnsiTheme="majorBidi" w:cstheme="majorBidi"/>
          <w:i/>
          <w:vertAlign w:val="superscript"/>
        </w:rPr>
        <w:footnoteReference w:id="25"/>
      </w:r>
    </w:p>
    <w:p w14:paraId="08BC3CA3" w14:textId="77777777" w:rsidR="003B4185" w:rsidRPr="00306A83" w:rsidRDefault="003B4185">
      <w:pPr>
        <w:spacing w:line="259" w:lineRule="auto"/>
        <w:jc w:val="both"/>
        <w:rPr>
          <w:rFonts w:asciiTheme="majorBidi" w:eastAsia="Times New Roman" w:hAnsiTheme="majorBidi" w:cstheme="majorBidi"/>
        </w:rPr>
      </w:pPr>
    </w:p>
    <w:p w14:paraId="386EFEC0"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Dans une étude réalisée en 2021 par la FIACAT et l’ACAT-CI sur la détention préventive en Côte d’Ivoire, il est </w:t>
      </w:r>
      <w:proofErr w:type="gramStart"/>
      <w:r w:rsidRPr="00306A83">
        <w:rPr>
          <w:rFonts w:asciiTheme="majorBidi" w:eastAsia="Times New Roman" w:hAnsiTheme="majorBidi" w:cstheme="majorBidi"/>
        </w:rPr>
        <w:t>établit</w:t>
      </w:r>
      <w:proofErr w:type="gramEnd"/>
      <w:r w:rsidRPr="00306A83">
        <w:rPr>
          <w:rFonts w:asciiTheme="majorBidi" w:eastAsia="Times New Roman" w:hAnsiTheme="majorBidi" w:cstheme="majorBidi"/>
        </w:rPr>
        <w:t xml:space="preserve"> que l’accès à un conseil juridique est illusoire en pratique, en raison de l’ignorance des procédures et du manque de ressources financi</w:t>
      </w:r>
      <w:r w:rsidRPr="00306A83">
        <w:rPr>
          <w:rFonts w:asciiTheme="majorBidi" w:eastAsia="Times New Roman" w:hAnsiTheme="majorBidi" w:cstheme="majorBidi"/>
        </w:rPr>
        <w:t>ères des personnes privées de liberté. Sur les 213 personnes détenues interrogées et réparties sur les 10 maisons d’arrêt et de correction du pays, près de 93% d’entre elles n’ont pas eu accès à l’assistance d’un avocat.</w:t>
      </w:r>
      <w:r w:rsidRPr="00306A83">
        <w:rPr>
          <w:rFonts w:asciiTheme="majorBidi" w:eastAsia="Times New Roman" w:hAnsiTheme="majorBidi" w:cstheme="majorBidi"/>
          <w:vertAlign w:val="superscript"/>
        </w:rPr>
        <w:footnoteReference w:id="26"/>
      </w:r>
      <w:r w:rsidRPr="00306A83">
        <w:rPr>
          <w:rFonts w:asciiTheme="majorBidi" w:eastAsia="Times New Roman" w:hAnsiTheme="majorBidi" w:cstheme="majorBidi"/>
        </w:rPr>
        <w:t xml:space="preserve"> </w:t>
      </w:r>
    </w:p>
    <w:p w14:paraId="152FD4CF" w14:textId="77777777" w:rsidR="003B4185" w:rsidRPr="00306A83" w:rsidRDefault="003B4185">
      <w:pPr>
        <w:spacing w:line="259" w:lineRule="auto"/>
        <w:jc w:val="both"/>
        <w:rPr>
          <w:rFonts w:asciiTheme="majorBidi" w:eastAsia="Times New Roman" w:hAnsiTheme="majorBidi" w:cstheme="majorBidi"/>
          <w:i/>
        </w:rPr>
      </w:pPr>
    </w:p>
    <w:p w14:paraId="6703C07F" w14:textId="43836AFE" w:rsidR="003B4185" w:rsidRPr="00306A83" w:rsidRDefault="006803DD" w:rsidP="00306A83">
      <w:pPr>
        <w:pStyle w:val="Heading2"/>
        <w:numPr>
          <w:ilvl w:val="0"/>
          <w:numId w:val="37"/>
        </w:numPr>
        <w:rPr>
          <w:rFonts w:cstheme="majorBidi"/>
          <w:szCs w:val="24"/>
        </w:rPr>
      </w:pPr>
      <w:bookmarkStart w:id="12" w:name="_Toc168990351"/>
      <w:proofErr w:type="spellStart"/>
      <w:r w:rsidRPr="00306A83">
        <w:rPr>
          <w:rFonts w:cstheme="majorBidi"/>
          <w:szCs w:val="24"/>
        </w:rPr>
        <w:t>Non respect</w:t>
      </w:r>
      <w:proofErr w:type="spellEnd"/>
      <w:r w:rsidRPr="00306A83">
        <w:rPr>
          <w:rFonts w:cstheme="majorBidi"/>
          <w:szCs w:val="24"/>
        </w:rPr>
        <w:t xml:space="preserve"> flagrant des délais</w:t>
      </w:r>
      <w:r w:rsidRPr="00306A83">
        <w:rPr>
          <w:rFonts w:cstheme="majorBidi"/>
          <w:szCs w:val="24"/>
        </w:rPr>
        <w:t xml:space="preserve"> de détention préventive</w:t>
      </w:r>
      <w:bookmarkEnd w:id="12"/>
      <w:r w:rsidRPr="00306A83">
        <w:rPr>
          <w:rFonts w:cstheme="majorBidi"/>
          <w:szCs w:val="24"/>
        </w:rPr>
        <w:t xml:space="preserve"> </w:t>
      </w:r>
    </w:p>
    <w:p w14:paraId="15FCA3ED" w14:textId="77777777" w:rsidR="003B4185" w:rsidRPr="00306A83" w:rsidRDefault="003B4185">
      <w:pPr>
        <w:spacing w:line="259" w:lineRule="auto"/>
        <w:ind w:left="720"/>
        <w:rPr>
          <w:rFonts w:asciiTheme="majorBidi" w:eastAsia="Times New Roman" w:hAnsiTheme="majorBidi" w:cstheme="majorBidi"/>
          <w:color w:val="0078D4"/>
        </w:rPr>
      </w:pPr>
    </w:p>
    <w:p w14:paraId="18298222"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Aux termes des articles 166 et 167 du Code de procédure pénale ivoirien, la durée de la détention préventive ne peut dépasser 6 mois en matière correctionnelle et 8 mois en matière criminelle. Cette durée peut être prolongée deux</w:t>
      </w:r>
      <w:r w:rsidRPr="00306A83">
        <w:rPr>
          <w:rFonts w:asciiTheme="majorBidi" w:eastAsia="Times New Roman" w:hAnsiTheme="majorBidi" w:cstheme="majorBidi"/>
        </w:rPr>
        <w:t xml:space="preserve"> fois, respectivement de 6 et 8 mois au maximum. À l’issue de ces délais, l’inculpé doit en principe être remis en liberté d’office.</w:t>
      </w:r>
      <w:r w:rsidRPr="00306A83">
        <w:rPr>
          <w:rFonts w:asciiTheme="majorBidi" w:eastAsia="Times New Roman" w:hAnsiTheme="majorBidi" w:cstheme="majorBidi"/>
          <w:vertAlign w:val="superscript"/>
        </w:rPr>
        <w:footnoteReference w:id="27"/>
      </w:r>
      <w:r w:rsidRPr="00306A83">
        <w:rPr>
          <w:rFonts w:asciiTheme="majorBidi" w:eastAsia="Times New Roman" w:hAnsiTheme="majorBidi" w:cstheme="majorBidi"/>
        </w:rPr>
        <w:t xml:space="preserve"> </w:t>
      </w:r>
    </w:p>
    <w:p w14:paraId="0B720D53" w14:textId="77777777" w:rsidR="003B4185" w:rsidRPr="00306A83" w:rsidRDefault="003B4185">
      <w:pPr>
        <w:spacing w:after="40" w:line="259" w:lineRule="auto"/>
        <w:jc w:val="both"/>
        <w:rPr>
          <w:rFonts w:asciiTheme="majorBidi" w:eastAsia="Times New Roman" w:hAnsiTheme="majorBidi" w:cstheme="majorBidi"/>
        </w:rPr>
      </w:pPr>
    </w:p>
    <w:p w14:paraId="3175DAC2"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Ces dispositions démontrent la volonté du législateur de limiter dans le nouveau code de procédure pénale la durée de l</w:t>
      </w:r>
      <w:r w:rsidRPr="00306A83">
        <w:rPr>
          <w:rFonts w:asciiTheme="majorBidi" w:eastAsia="Times New Roman" w:hAnsiTheme="majorBidi" w:cstheme="majorBidi"/>
        </w:rPr>
        <w:t>a détention préventive, en considérant que cette limitation est une véritable garantie contre la détention préventive injustifiée, et de consacrer le caractère temporaire et exceptionnel de cette procédure.</w:t>
      </w:r>
      <w:r w:rsidRPr="00306A83">
        <w:rPr>
          <w:rFonts w:asciiTheme="majorBidi" w:eastAsia="Times New Roman" w:hAnsiTheme="majorBidi" w:cstheme="majorBidi"/>
          <w:vertAlign w:val="superscript"/>
        </w:rPr>
        <w:footnoteReference w:id="28"/>
      </w:r>
    </w:p>
    <w:p w14:paraId="11560165" w14:textId="77777777" w:rsidR="003B4185" w:rsidRPr="00306A83" w:rsidRDefault="003B4185">
      <w:pPr>
        <w:spacing w:after="40" w:line="259" w:lineRule="auto"/>
        <w:jc w:val="both"/>
        <w:rPr>
          <w:rFonts w:asciiTheme="majorBidi" w:eastAsia="Times New Roman" w:hAnsiTheme="majorBidi" w:cstheme="majorBidi"/>
        </w:rPr>
      </w:pPr>
    </w:p>
    <w:p w14:paraId="2B804D05"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Pourtant, l’article 168 du Code de procédure p</w:t>
      </w:r>
      <w:r w:rsidRPr="00306A83">
        <w:rPr>
          <w:rFonts w:asciiTheme="majorBidi" w:eastAsia="Times New Roman" w:hAnsiTheme="majorBidi" w:cstheme="majorBidi"/>
        </w:rPr>
        <w:t>énale dispose que “</w:t>
      </w:r>
      <w:r w:rsidRPr="00306A83">
        <w:rPr>
          <w:rFonts w:asciiTheme="majorBidi" w:eastAsia="Times New Roman" w:hAnsiTheme="majorBidi" w:cstheme="majorBidi"/>
          <w:i/>
        </w:rPr>
        <w:t>Les dispositions des articles 166 et 167 sont applicables jusqu’à l’ordonnance de règlement</w:t>
      </w:r>
      <w:r w:rsidRPr="00306A83">
        <w:rPr>
          <w:rFonts w:asciiTheme="majorBidi" w:eastAsia="Times New Roman" w:hAnsiTheme="majorBidi" w:cstheme="majorBidi"/>
        </w:rPr>
        <w:t>”. Une fois que le juge d'instruction a clôturé son information judiciaire, attestant d’une poursuite criminelle, la chambre d’instruction - qui a</w:t>
      </w:r>
      <w:r w:rsidRPr="00306A83">
        <w:rPr>
          <w:rFonts w:asciiTheme="majorBidi" w:eastAsia="Times New Roman" w:hAnsiTheme="majorBidi" w:cstheme="majorBidi"/>
        </w:rPr>
        <w:t xml:space="preserve"> l’obligation d’une seconde instruction - est exonérée de délai. Ainsi, autant que durera la seconde instruction devant la chambre d’instruction, celle-ci ne </w:t>
      </w:r>
      <w:r w:rsidRPr="00306A83">
        <w:rPr>
          <w:rFonts w:asciiTheme="majorBidi" w:eastAsia="Times New Roman" w:hAnsiTheme="majorBidi" w:cstheme="majorBidi"/>
        </w:rPr>
        <w:lastRenderedPageBreak/>
        <w:t>s’inquiète d’aucune pression péremptoire. Par conséquent, les délais formellement signifiés aux ar</w:t>
      </w:r>
      <w:r w:rsidRPr="00306A83">
        <w:rPr>
          <w:rFonts w:asciiTheme="majorBidi" w:eastAsia="Times New Roman" w:hAnsiTheme="majorBidi" w:cstheme="majorBidi"/>
        </w:rPr>
        <w:t xml:space="preserve">ticles 166 et 167 du Code de procédure pénale sont vidés de leur substance, et l’article 168 du code de procédure pénale apparaît autoriser une procédure hautement attentatoire au principe de la présomption d’innocence. </w:t>
      </w:r>
    </w:p>
    <w:p w14:paraId="74177DAC" w14:textId="77777777" w:rsidR="003B4185" w:rsidRPr="00306A83" w:rsidRDefault="003B4185">
      <w:pPr>
        <w:spacing w:after="40" w:line="259" w:lineRule="auto"/>
        <w:jc w:val="both"/>
        <w:rPr>
          <w:rFonts w:asciiTheme="majorBidi" w:eastAsia="Times New Roman" w:hAnsiTheme="majorBidi" w:cstheme="majorBidi"/>
        </w:rPr>
      </w:pPr>
    </w:p>
    <w:p w14:paraId="443D2CEA"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Par ailleurs, la législation ivoir</w:t>
      </w:r>
      <w:r w:rsidRPr="00306A83">
        <w:rPr>
          <w:rFonts w:asciiTheme="majorBidi" w:eastAsia="Times New Roman" w:hAnsiTheme="majorBidi" w:cstheme="majorBidi"/>
        </w:rPr>
        <w:t>ienne a été épinglée en 2021 et 2023 par la Cour de justice de la Communauté économique des États de l’Afrique de l’Ouest s’agissant du maintien de la détention pendant le délai du recours en cassation prévu par l’article 605 du Code de procédure pénale iv</w:t>
      </w:r>
      <w:r w:rsidRPr="00306A83">
        <w:rPr>
          <w:rFonts w:asciiTheme="majorBidi" w:eastAsia="Times New Roman" w:hAnsiTheme="majorBidi" w:cstheme="majorBidi"/>
        </w:rPr>
        <w:t>oirien. En effet, la Cour a estimé que cet article n'est pas conforme aux normes internationales protégeant le droit à la liberté et à la présomption d’innocence puisqu'il permet une période de détention indéfinie et doit par conséquent être abrogé.</w:t>
      </w:r>
      <w:r w:rsidRPr="00306A83">
        <w:rPr>
          <w:rFonts w:asciiTheme="majorBidi" w:eastAsia="Times New Roman" w:hAnsiTheme="majorBidi" w:cstheme="majorBidi"/>
          <w:vertAlign w:val="superscript"/>
        </w:rPr>
        <w:footnoteReference w:id="29"/>
      </w:r>
      <w:r w:rsidRPr="00306A83">
        <w:rPr>
          <w:rFonts w:asciiTheme="majorBidi" w:eastAsia="Times New Roman" w:hAnsiTheme="majorBidi" w:cstheme="majorBidi"/>
        </w:rPr>
        <w:t xml:space="preserve"> </w:t>
      </w:r>
    </w:p>
    <w:p w14:paraId="79F0E964" w14:textId="77777777" w:rsidR="003B4185" w:rsidRPr="00306A83" w:rsidRDefault="003B4185">
      <w:pPr>
        <w:spacing w:line="259" w:lineRule="auto"/>
        <w:jc w:val="both"/>
        <w:rPr>
          <w:rFonts w:asciiTheme="majorBidi" w:eastAsia="Times New Roman" w:hAnsiTheme="majorBidi" w:cstheme="majorBidi"/>
        </w:rPr>
      </w:pPr>
    </w:p>
    <w:p w14:paraId="2A36A01C"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Lo</w:t>
      </w:r>
      <w:r w:rsidRPr="00306A83">
        <w:rPr>
          <w:rFonts w:asciiTheme="majorBidi" w:eastAsia="Times New Roman" w:hAnsiTheme="majorBidi" w:cstheme="majorBidi"/>
        </w:rPr>
        <w:t>rsque face à des situations de détention préventive abusivement prolongée, les ONG dénoncent le mépris des délais, et l'annihilation du droit à la présomption d’innocence, celles-ci font l’objet de menace de la part des autorités pénitentiaires, et même de</w:t>
      </w:r>
      <w:r w:rsidRPr="00306A83">
        <w:rPr>
          <w:rFonts w:asciiTheme="majorBidi" w:eastAsia="Times New Roman" w:hAnsiTheme="majorBidi" w:cstheme="majorBidi"/>
        </w:rPr>
        <w:t xml:space="preserve"> magistrats, pour dénonciation calomnieuse, arguant que devant la chambre d’instruction, aucun </w:t>
      </w:r>
      <w:proofErr w:type="gramStart"/>
      <w:r w:rsidRPr="00306A83">
        <w:rPr>
          <w:rFonts w:asciiTheme="majorBidi" w:eastAsia="Times New Roman" w:hAnsiTheme="majorBidi" w:cstheme="majorBidi"/>
        </w:rPr>
        <w:t>délai  n’est</w:t>
      </w:r>
      <w:proofErr w:type="gramEnd"/>
      <w:r w:rsidRPr="00306A83">
        <w:rPr>
          <w:rFonts w:asciiTheme="majorBidi" w:eastAsia="Times New Roman" w:hAnsiTheme="majorBidi" w:cstheme="majorBidi"/>
        </w:rPr>
        <w:t xml:space="preserve"> imparti aux juges de la formation d’instruction du second degré. En conséquence, 10 ou 20 ans d’instruction d’une affaire devant cette formation jud</w:t>
      </w:r>
      <w:r w:rsidRPr="00306A83">
        <w:rPr>
          <w:rFonts w:asciiTheme="majorBidi" w:eastAsia="Times New Roman" w:hAnsiTheme="majorBidi" w:cstheme="majorBidi"/>
        </w:rPr>
        <w:t>iciaire n'entament en rien la légalité de la procédure. L’individu donc poursuivi et maintenu en détention préventive, pendant ce temps l’est régulièrement. Principe constitutionnel</w:t>
      </w:r>
      <w:r w:rsidRPr="00306A83">
        <w:rPr>
          <w:rFonts w:asciiTheme="majorBidi" w:eastAsia="Times New Roman" w:hAnsiTheme="majorBidi" w:cstheme="majorBidi"/>
          <w:vertAlign w:val="superscript"/>
        </w:rPr>
        <w:footnoteReference w:id="30"/>
      </w:r>
      <w:r w:rsidRPr="00306A83">
        <w:rPr>
          <w:rFonts w:asciiTheme="majorBidi" w:eastAsia="Times New Roman" w:hAnsiTheme="majorBidi" w:cstheme="majorBidi"/>
        </w:rPr>
        <w:t>,</w:t>
      </w:r>
      <w:r w:rsidRPr="00306A83">
        <w:rPr>
          <w:rFonts w:asciiTheme="majorBidi" w:eastAsia="Times New Roman" w:hAnsiTheme="majorBidi" w:cstheme="majorBidi"/>
          <w:color w:val="323232"/>
          <w:shd w:val="clear" w:color="auto" w:fill="FAFAFA"/>
        </w:rPr>
        <w:t xml:space="preserve"> principes directeurs de la procédure pénale, </w:t>
      </w:r>
      <w:r w:rsidRPr="00306A83">
        <w:rPr>
          <w:rFonts w:asciiTheme="majorBidi" w:eastAsia="Times New Roman" w:hAnsiTheme="majorBidi" w:cstheme="majorBidi"/>
        </w:rPr>
        <w:t xml:space="preserve">le droit à la présomption d’innocence est de ce fait sacrifié sur l’autel d’une loi ordinaire à la légitimité ensablée par une société politique hautement colorée, au mépris des droits fondamentaux de l’accusé. </w:t>
      </w:r>
    </w:p>
    <w:p w14:paraId="0CA9128A" w14:textId="77777777" w:rsidR="003B4185" w:rsidRPr="00306A83" w:rsidRDefault="003B4185">
      <w:pPr>
        <w:spacing w:line="259" w:lineRule="auto"/>
        <w:jc w:val="both"/>
        <w:rPr>
          <w:rFonts w:asciiTheme="majorBidi" w:eastAsia="Times New Roman" w:hAnsiTheme="majorBidi" w:cstheme="majorBidi"/>
        </w:rPr>
      </w:pPr>
    </w:p>
    <w:p w14:paraId="4D38ECBB"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Oscillant autour des 35%</w:t>
      </w:r>
      <w:r w:rsidRPr="00306A83">
        <w:rPr>
          <w:rFonts w:asciiTheme="majorBidi" w:eastAsia="Times New Roman" w:hAnsiTheme="majorBidi" w:cstheme="majorBidi"/>
          <w:vertAlign w:val="superscript"/>
        </w:rPr>
        <w:footnoteReference w:id="31"/>
      </w:r>
      <w:r w:rsidRPr="00306A83">
        <w:rPr>
          <w:rFonts w:asciiTheme="majorBidi" w:eastAsia="Times New Roman" w:hAnsiTheme="majorBidi" w:cstheme="majorBidi"/>
        </w:rPr>
        <w:t xml:space="preserve"> de la population</w:t>
      </w:r>
      <w:r w:rsidRPr="00306A83">
        <w:rPr>
          <w:rFonts w:asciiTheme="majorBidi" w:eastAsia="Times New Roman" w:hAnsiTheme="majorBidi" w:cstheme="majorBidi"/>
        </w:rPr>
        <w:t xml:space="preserve"> carcérale, la détention préventive constitue une cause majeure de l'inflation carcérale, avec son corollaire de mauvaises conditions de détention. Suivant une communication du Directeur des Affaires Civiles et Pénales le 23 février 2024, 183 détenu.es en </w:t>
      </w:r>
      <w:r w:rsidRPr="00306A83">
        <w:rPr>
          <w:rFonts w:asciiTheme="majorBidi" w:eastAsia="Times New Roman" w:hAnsiTheme="majorBidi" w:cstheme="majorBidi"/>
        </w:rPr>
        <w:t>détention illégale attendent d'être situé.es sur leur sort. Passée l’étape de l’instruction, le prévenu et l’accusé doivent passer en jugement, un mois et six mois respectivement devant le tribunal correctionnel et criminel. Mais là encore, les délais sont</w:t>
      </w:r>
      <w:r w:rsidRPr="00306A83">
        <w:rPr>
          <w:rFonts w:asciiTheme="majorBidi" w:eastAsia="Times New Roman" w:hAnsiTheme="majorBidi" w:cstheme="majorBidi"/>
        </w:rPr>
        <w:t xml:space="preserve"> rarement honorés, surtout en matière de poursuite criminelle. Si la lourdeur et la complexité des Cours d’assise ont engendré l'avènement des tribunaux criminels, en remplacement de celles-là, la </w:t>
      </w:r>
      <w:proofErr w:type="gramStart"/>
      <w:r w:rsidRPr="00306A83">
        <w:rPr>
          <w:rFonts w:asciiTheme="majorBidi" w:eastAsia="Times New Roman" w:hAnsiTheme="majorBidi" w:cstheme="majorBidi"/>
        </w:rPr>
        <w:t>non permanence</w:t>
      </w:r>
      <w:proofErr w:type="gramEnd"/>
      <w:r w:rsidRPr="00306A83">
        <w:rPr>
          <w:rFonts w:asciiTheme="majorBidi" w:eastAsia="Times New Roman" w:hAnsiTheme="majorBidi" w:cstheme="majorBidi"/>
        </w:rPr>
        <w:t xml:space="preserve"> de ceux-ci</w:t>
      </w:r>
      <w:r w:rsidRPr="00306A83">
        <w:rPr>
          <w:rFonts w:asciiTheme="majorBidi" w:eastAsia="Times New Roman" w:hAnsiTheme="majorBidi" w:cstheme="majorBidi"/>
          <w:vertAlign w:val="superscript"/>
        </w:rPr>
        <w:footnoteReference w:id="32"/>
      </w:r>
      <w:r w:rsidRPr="00306A83">
        <w:rPr>
          <w:rFonts w:asciiTheme="majorBidi" w:eastAsia="Times New Roman" w:hAnsiTheme="majorBidi" w:cstheme="majorBidi"/>
        </w:rPr>
        <w:t xml:space="preserve"> et l'irrégularité de la tenue d</w:t>
      </w:r>
      <w:r w:rsidRPr="00306A83">
        <w:rPr>
          <w:rFonts w:asciiTheme="majorBidi" w:eastAsia="Times New Roman" w:hAnsiTheme="majorBidi" w:cstheme="majorBidi"/>
        </w:rPr>
        <w:t xml:space="preserve">e ces tribunaux criminels entraînent les mêmes effets que les ex-Cours d’assise. </w:t>
      </w:r>
    </w:p>
    <w:p w14:paraId="1BDEAF68" w14:textId="77777777" w:rsidR="003B4185" w:rsidRPr="00306A83" w:rsidRDefault="003B4185">
      <w:pPr>
        <w:spacing w:line="259" w:lineRule="auto"/>
        <w:jc w:val="both"/>
        <w:rPr>
          <w:rFonts w:asciiTheme="majorBidi" w:eastAsia="Times New Roman" w:hAnsiTheme="majorBidi" w:cstheme="majorBidi"/>
        </w:rPr>
      </w:pPr>
    </w:p>
    <w:p w14:paraId="036868B1" w14:textId="10A1E7F7" w:rsidR="003B4185" w:rsidRPr="0017525C" w:rsidRDefault="006803DD" w:rsidP="0017525C">
      <w:pPr>
        <w:spacing w:line="259" w:lineRule="auto"/>
        <w:jc w:val="both"/>
        <w:rPr>
          <w:rFonts w:asciiTheme="majorBidi" w:eastAsia="Times New Roman" w:hAnsiTheme="majorBidi" w:cstheme="majorBidi"/>
          <w:color w:val="FF0000"/>
        </w:rPr>
      </w:pPr>
      <w:r w:rsidRPr="00306A83">
        <w:rPr>
          <w:rFonts w:asciiTheme="majorBidi" w:eastAsia="Times New Roman" w:hAnsiTheme="majorBidi" w:cstheme="majorBidi"/>
        </w:rPr>
        <w:t>Aussi bien pendant l’instruction, qu’en phase de jugement, les garanties judiciaires des détenus préventifs sont souvent violées. En 2015, le Comité des droits de l’homme de</w:t>
      </w:r>
      <w:r w:rsidRPr="00306A83">
        <w:rPr>
          <w:rFonts w:asciiTheme="majorBidi" w:eastAsia="Times New Roman" w:hAnsiTheme="majorBidi" w:cstheme="majorBidi"/>
        </w:rPr>
        <w:t xml:space="preserve">s Nations Unies avait soulevé sa préoccupation quant aux durées excessives et abusives de la détention </w:t>
      </w:r>
      <w:r w:rsidRPr="00306A83">
        <w:rPr>
          <w:rFonts w:asciiTheme="majorBidi" w:eastAsia="Times New Roman" w:hAnsiTheme="majorBidi" w:cstheme="majorBidi"/>
        </w:rPr>
        <w:lastRenderedPageBreak/>
        <w:t>préventive allant jusqu’à plusieurs années au-delà du délai légal, pour un nombre très élevé de personnes.</w:t>
      </w:r>
      <w:r w:rsidRPr="00306A83">
        <w:rPr>
          <w:rFonts w:asciiTheme="majorBidi" w:eastAsia="Times New Roman" w:hAnsiTheme="majorBidi" w:cstheme="majorBidi"/>
          <w:vertAlign w:val="superscript"/>
        </w:rPr>
        <w:footnoteReference w:id="33"/>
      </w:r>
    </w:p>
    <w:p w14:paraId="57850B97" w14:textId="7CA619EE" w:rsidR="003B4185" w:rsidRPr="00306A83" w:rsidRDefault="006803DD" w:rsidP="00306A83">
      <w:pPr>
        <w:pStyle w:val="Heading2"/>
        <w:numPr>
          <w:ilvl w:val="0"/>
          <w:numId w:val="37"/>
        </w:numPr>
        <w:rPr>
          <w:rFonts w:cstheme="majorBidi"/>
          <w:szCs w:val="24"/>
        </w:rPr>
      </w:pPr>
      <w:bookmarkStart w:id="13" w:name="_Toc168990352"/>
      <w:r w:rsidRPr="00306A83">
        <w:rPr>
          <w:rFonts w:cstheme="majorBidi"/>
          <w:szCs w:val="24"/>
        </w:rPr>
        <w:t xml:space="preserve">Réparation en cas de détention </w:t>
      </w:r>
      <w:r w:rsidRPr="00306A83">
        <w:rPr>
          <w:rFonts w:cstheme="majorBidi"/>
          <w:szCs w:val="24"/>
        </w:rPr>
        <w:t>abusive ou injustifiée</w:t>
      </w:r>
      <w:bookmarkEnd w:id="13"/>
    </w:p>
    <w:p w14:paraId="261A9006" w14:textId="77777777" w:rsidR="003B4185" w:rsidRPr="00306A83" w:rsidRDefault="003B4185">
      <w:pPr>
        <w:spacing w:line="259" w:lineRule="auto"/>
        <w:ind w:left="720"/>
        <w:rPr>
          <w:rFonts w:asciiTheme="majorBidi" w:eastAsia="Times New Roman" w:hAnsiTheme="majorBidi" w:cstheme="majorBidi"/>
        </w:rPr>
      </w:pPr>
    </w:p>
    <w:p w14:paraId="64140CCB"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Au-delà des délais de détention préventive constamment violés, l'inculpé en détention préventive illégale a le droit de demander réparation lorsque sa culpabilité n’est pas retenue à l’issue d’un jugement rendu définitif. D’une mani</w:t>
      </w:r>
      <w:r w:rsidRPr="00306A83">
        <w:rPr>
          <w:rFonts w:asciiTheme="majorBidi" w:eastAsia="Times New Roman" w:hAnsiTheme="majorBidi" w:cstheme="majorBidi"/>
        </w:rPr>
        <w:t>ère générale, le droit à un recours pour faire reconnaître ses droits violés est prescrit par la Déclaration Universelle des Droits de l’Homme de 1948 en son article 8.</w:t>
      </w:r>
      <w:r w:rsidRPr="00306A83">
        <w:rPr>
          <w:rFonts w:asciiTheme="majorBidi" w:eastAsia="Times New Roman" w:hAnsiTheme="majorBidi" w:cstheme="majorBidi"/>
          <w:vertAlign w:val="superscript"/>
        </w:rPr>
        <w:footnoteReference w:id="34"/>
      </w:r>
      <w:r w:rsidRPr="00306A83">
        <w:rPr>
          <w:rFonts w:asciiTheme="majorBidi" w:eastAsia="Times New Roman" w:hAnsiTheme="majorBidi" w:cstheme="majorBidi"/>
        </w:rPr>
        <w:t xml:space="preserve"> En effet, un arrêt de la Cour Suprême, Chambre administrative (CSCA), l’arrêt “ </w:t>
      </w:r>
      <w:r w:rsidRPr="00306A83">
        <w:rPr>
          <w:rFonts w:asciiTheme="majorBidi" w:eastAsia="Times New Roman" w:hAnsiTheme="majorBidi" w:cstheme="majorBidi"/>
          <w:i/>
        </w:rPr>
        <w:t>la so</w:t>
      </w:r>
      <w:r w:rsidRPr="00306A83">
        <w:rPr>
          <w:rFonts w:asciiTheme="majorBidi" w:eastAsia="Times New Roman" w:hAnsiTheme="majorBidi" w:cstheme="majorBidi"/>
          <w:i/>
        </w:rPr>
        <w:t>ciété des centaures routiers</w:t>
      </w:r>
      <w:r w:rsidRPr="00306A83">
        <w:rPr>
          <w:rFonts w:asciiTheme="majorBidi" w:eastAsia="Times New Roman" w:hAnsiTheme="majorBidi" w:cstheme="majorBidi"/>
        </w:rPr>
        <w:t>” pose le principe de la responsabilité de l’administration pour les dommages qu’elle aurait causé à des particuliers du fait de ses activités.</w:t>
      </w:r>
      <w:r w:rsidRPr="00306A83">
        <w:rPr>
          <w:rFonts w:asciiTheme="majorBidi" w:eastAsia="Times New Roman" w:hAnsiTheme="majorBidi" w:cstheme="majorBidi"/>
          <w:vertAlign w:val="superscript"/>
        </w:rPr>
        <w:footnoteReference w:id="35"/>
      </w:r>
      <w:r w:rsidRPr="00306A83">
        <w:rPr>
          <w:rFonts w:asciiTheme="majorBidi" w:eastAsia="Times New Roman" w:hAnsiTheme="majorBidi" w:cstheme="majorBidi"/>
        </w:rPr>
        <w:t xml:space="preserve"> Par ailleurs, en matière spécialement de réparation pour détentions illégales, le </w:t>
      </w:r>
      <w:r w:rsidRPr="00306A83">
        <w:rPr>
          <w:rFonts w:asciiTheme="majorBidi" w:eastAsia="Times New Roman" w:hAnsiTheme="majorBidi" w:cstheme="majorBidi"/>
        </w:rPr>
        <w:t>Pacte International relatif aux Droits Civils et Politiques précise en son article 9(5) que “</w:t>
      </w:r>
      <w:r w:rsidRPr="00306A83">
        <w:rPr>
          <w:rFonts w:asciiTheme="majorBidi" w:eastAsia="Times New Roman" w:hAnsiTheme="majorBidi" w:cstheme="majorBidi"/>
          <w:i/>
        </w:rPr>
        <w:t>Tout individu victime d’arrestation ou de détention illégale a droit à réparation</w:t>
      </w:r>
      <w:r w:rsidRPr="00306A83">
        <w:rPr>
          <w:rFonts w:asciiTheme="majorBidi" w:eastAsia="Times New Roman" w:hAnsiTheme="majorBidi" w:cstheme="majorBidi"/>
        </w:rPr>
        <w:t xml:space="preserve">”. </w:t>
      </w:r>
    </w:p>
    <w:p w14:paraId="703BC70C" w14:textId="77777777" w:rsidR="003B4185" w:rsidRPr="00306A83" w:rsidRDefault="003B4185">
      <w:pPr>
        <w:spacing w:line="259" w:lineRule="auto"/>
        <w:jc w:val="both"/>
        <w:rPr>
          <w:rFonts w:asciiTheme="majorBidi" w:eastAsia="Times New Roman" w:hAnsiTheme="majorBidi" w:cstheme="majorBidi"/>
        </w:rPr>
      </w:pPr>
    </w:p>
    <w:p w14:paraId="5962FAFA" w14:textId="4BDB09BB" w:rsidR="003B4185" w:rsidRPr="00306A83" w:rsidRDefault="006803DD" w:rsidP="0017525C">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Toutefois, les archives judiciaires mises à notre disposition sur la matière </w:t>
      </w:r>
      <w:r w:rsidRPr="00306A83">
        <w:rPr>
          <w:rFonts w:asciiTheme="majorBidi" w:eastAsia="Times New Roman" w:hAnsiTheme="majorBidi" w:cstheme="majorBidi"/>
        </w:rPr>
        <w:t>ne nous ont pas permis de voir des victimes de détention préventive injustifiée, indemnisées pour violation de la mesure. Cela peut être soit pour défaut de plainte des victimes devant les juridictions, soit parce que tous les cas de longues détentions pré</w:t>
      </w:r>
      <w:r w:rsidRPr="00306A83">
        <w:rPr>
          <w:rFonts w:asciiTheme="majorBidi" w:eastAsia="Times New Roman" w:hAnsiTheme="majorBidi" w:cstheme="majorBidi"/>
        </w:rPr>
        <w:t xml:space="preserve">ventives ont tous été miraculeusement condamnés et les peines ont toutes couvert le temps de détention. </w:t>
      </w:r>
    </w:p>
    <w:p w14:paraId="454338EA" w14:textId="2BD047FE" w:rsidR="003B4185" w:rsidRPr="00306A83" w:rsidRDefault="006803DD" w:rsidP="00306A83">
      <w:pPr>
        <w:pStyle w:val="Heading2"/>
        <w:numPr>
          <w:ilvl w:val="0"/>
          <w:numId w:val="37"/>
        </w:numPr>
        <w:rPr>
          <w:rFonts w:cstheme="majorBidi"/>
          <w:szCs w:val="24"/>
        </w:rPr>
      </w:pPr>
      <w:bookmarkStart w:id="14" w:name="_Toc168990353"/>
      <w:r w:rsidRPr="00306A83">
        <w:rPr>
          <w:rFonts w:cstheme="majorBidi"/>
          <w:szCs w:val="24"/>
        </w:rPr>
        <w:t>Garanties juridiques des personnes étrangères privées de liberté</w:t>
      </w:r>
      <w:bookmarkEnd w:id="14"/>
    </w:p>
    <w:p w14:paraId="3EEB38A8" w14:textId="77777777" w:rsidR="003B4185" w:rsidRPr="00306A83" w:rsidRDefault="003B4185">
      <w:pPr>
        <w:spacing w:line="259" w:lineRule="auto"/>
        <w:jc w:val="both"/>
        <w:rPr>
          <w:rFonts w:asciiTheme="majorBidi" w:eastAsia="Times New Roman" w:hAnsiTheme="majorBidi" w:cstheme="majorBidi"/>
        </w:rPr>
      </w:pPr>
    </w:p>
    <w:p w14:paraId="60E96217" w14:textId="7971E46C"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Sur les garanties judiciaires de l’inculpé étranger, selon la Résolution 1998/22 du C</w:t>
      </w:r>
      <w:r w:rsidRPr="00306A83">
        <w:rPr>
          <w:rFonts w:asciiTheme="majorBidi" w:eastAsia="Times New Roman" w:hAnsiTheme="majorBidi" w:cstheme="majorBidi"/>
        </w:rPr>
        <w:t>onseil économique et social des Nations-Unies, adoptée le 28 juillet 1998, dans la procédure pénale contre un étranger, aucune distinction n’est faite par rapport aux nationaux. Aussi, conformément aux dispositions de la Convention de Vienne sur les relati</w:t>
      </w:r>
      <w:r w:rsidRPr="00306A83">
        <w:rPr>
          <w:rFonts w:asciiTheme="majorBidi" w:eastAsia="Times New Roman" w:hAnsiTheme="majorBidi" w:cstheme="majorBidi"/>
        </w:rPr>
        <w:t xml:space="preserve">ons consulaires de 1963, l’art.36. </w:t>
      </w:r>
      <w:proofErr w:type="gramStart"/>
      <w:r w:rsidRPr="00306A83">
        <w:rPr>
          <w:rFonts w:asciiTheme="majorBidi" w:eastAsia="Times New Roman" w:hAnsiTheme="majorBidi" w:cstheme="majorBidi"/>
        </w:rPr>
        <w:t>b</w:t>
      </w:r>
      <w:proofErr w:type="gramEnd"/>
      <w:r w:rsidRPr="00306A83">
        <w:rPr>
          <w:rFonts w:asciiTheme="majorBidi" w:eastAsia="Times New Roman" w:hAnsiTheme="majorBidi" w:cstheme="majorBidi"/>
        </w:rPr>
        <w:t xml:space="preserve"> prescrit que, à sa “ </w:t>
      </w:r>
      <w:r w:rsidRPr="00306A83">
        <w:rPr>
          <w:rFonts w:asciiTheme="majorBidi" w:eastAsia="Times New Roman" w:hAnsiTheme="majorBidi" w:cstheme="majorBidi"/>
          <w:i/>
        </w:rPr>
        <w:t>demande, les autorités compétentes de l’</w:t>
      </w:r>
      <w:r w:rsidR="0017525C" w:rsidRPr="00306A83">
        <w:rPr>
          <w:rFonts w:asciiTheme="majorBidi" w:eastAsia="Times New Roman" w:hAnsiTheme="majorBidi" w:cstheme="majorBidi"/>
          <w:i/>
        </w:rPr>
        <w:t>État</w:t>
      </w:r>
      <w:r w:rsidRPr="00306A83">
        <w:rPr>
          <w:rFonts w:asciiTheme="majorBidi" w:eastAsia="Times New Roman" w:hAnsiTheme="majorBidi" w:cstheme="majorBidi"/>
          <w:i/>
        </w:rPr>
        <w:t xml:space="preserve"> de résidence doivent avertir sans retard le poste consulaire de l’</w:t>
      </w:r>
      <w:r w:rsidR="0017525C" w:rsidRPr="00306A83">
        <w:rPr>
          <w:rFonts w:asciiTheme="majorBidi" w:eastAsia="Times New Roman" w:hAnsiTheme="majorBidi" w:cstheme="majorBidi"/>
          <w:i/>
        </w:rPr>
        <w:t>État</w:t>
      </w:r>
      <w:r w:rsidRPr="00306A83">
        <w:rPr>
          <w:rFonts w:asciiTheme="majorBidi" w:eastAsia="Times New Roman" w:hAnsiTheme="majorBidi" w:cstheme="majorBidi"/>
          <w:i/>
        </w:rPr>
        <w:t xml:space="preserve"> d’envoi lorsque, dans sa circonscription consulaire, un ressortissant de cet État </w:t>
      </w:r>
      <w:r w:rsidRPr="00306A83">
        <w:rPr>
          <w:rFonts w:asciiTheme="majorBidi" w:eastAsia="Times New Roman" w:hAnsiTheme="majorBidi" w:cstheme="majorBidi"/>
          <w:i/>
        </w:rPr>
        <w:t>est arrêté, incarcéré ou mis en état de détention préventive ou toute autre forme de détention</w:t>
      </w:r>
      <w:r w:rsidRPr="00306A83">
        <w:rPr>
          <w:rFonts w:asciiTheme="majorBidi" w:eastAsia="Times New Roman" w:hAnsiTheme="majorBidi" w:cstheme="majorBidi"/>
        </w:rPr>
        <w:t>”. Par ailleurs, les autorités compétentes de l’</w:t>
      </w:r>
      <w:r w:rsidR="0017525C" w:rsidRPr="00306A83">
        <w:rPr>
          <w:rFonts w:asciiTheme="majorBidi" w:eastAsia="Times New Roman" w:hAnsiTheme="majorBidi" w:cstheme="majorBidi"/>
        </w:rPr>
        <w:t>État</w:t>
      </w:r>
      <w:r w:rsidRPr="00306A83">
        <w:rPr>
          <w:rFonts w:asciiTheme="majorBidi" w:eastAsia="Times New Roman" w:hAnsiTheme="majorBidi" w:cstheme="majorBidi"/>
        </w:rPr>
        <w:t xml:space="preserve"> de résidence sont tenues de transmettre sans retard, toute communication de la personne arrêtée, incarcérée o</w:t>
      </w:r>
      <w:r w:rsidRPr="00306A83">
        <w:rPr>
          <w:rFonts w:asciiTheme="majorBidi" w:eastAsia="Times New Roman" w:hAnsiTheme="majorBidi" w:cstheme="majorBidi"/>
        </w:rPr>
        <w:t>u mise en état de détention préventive ou toute autre forme de détention, adressée au poste consulaire de l’</w:t>
      </w:r>
      <w:r w:rsidR="0017525C" w:rsidRPr="00306A83">
        <w:rPr>
          <w:rFonts w:asciiTheme="majorBidi" w:eastAsia="Times New Roman" w:hAnsiTheme="majorBidi" w:cstheme="majorBidi"/>
        </w:rPr>
        <w:t>État</w:t>
      </w:r>
      <w:r w:rsidRPr="00306A83">
        <w:rPr>
          <w:rFonts w:asciiTheme="majorBidi" w:eastAsia="Times New Roman" w:hAnsiTheme="majorBidi" w:cstheme="majorBidi"/>
        </w:rPr>
        <w:t xml:space="preserve"> dont il est le ressortissant. Ce droit doit être notifié à l’étranger arrêté, incarcéré ou placé en détention préventive par l’autorité compétente ayant pris la décision d’arrestation ou de la privation de sa liberté. </w:t>
      </w:r>
    </w:p>
    <w:p w14:paraId="7464FD1F" w14:textId="77777777" w:rsidR="003B4185" w:rsidRPr="00306A83" w:rsidRDefault="003B4185">
      <w:pPr>
        <w:spacing w:line="259" w:lineRule="auto"/>
        <w:jc w:val="both"/>
        <w:rPr>
          <w:rFonts w:asciiTheme="majorBidi" w:eastAsia="Times New Roman" w:hAnsiTheme="majorBidi" w:cstheme="majorBidi"/>
        </w:rPr>
      </w:pPr>
    </w:p>
    <w:p w14:paraId="4078C6AD" w14:textId="2154EC10" w:rsidR="003B4185" w:rsidRPr="00306A83" w:rsidRDefault="006803DD" w:rsidP="0017525C">
      <w:pPr>
        <w:spacing w:line="259" w:lineRule="auto"/>
        <w:jc w:val="both"/>
        <w:rPr>
          <w:rFonts w:asciiTheme="majorBidi" w:eastAsia="Times New Roman" w:hAnsiTheme="majorBidi" w:cstheme="majorBidi"/>
          <w:color w:val="FF0000"/>
        </w:rPr>
      </w:pPr>
      <w:r w:rsidRPr="00306A83">
        <w:rPr>
          <w:rFonts w:asciiTheme="majorBidi" w:eastAsia="Times New Roman" w:hAnsiTheme="majorBidi" w:cstheme="majorBidi"/>
        </w:rPr>
        <w:lastRenderedPageBreak/>
        <w:t>Cependant, en la matière, plusieurs</w:t>
      </w:r>
      <w:r w:rsidRPr="00306A83">
        <w:rPr>
          <w:rFonts w:asciiTheme="majorBidi" w:eastAsia="Times New Roman" w:hAnsiTheme="majorBidi" w:cstheme="majorBidi"/>
        </w:rPr>
        <w:t xml:space="preserve"> détenus étrangers interrogés ont indiqué ne pas avoir eu connaissance de ces dispositions au moment de leur arrestation et de leur détention.</w:t>
      </w:r>
    </w:p>
    <w:p w14:paraId="746AA89F" w14:textId="29EDE6A0" w:rsidR="003B4185" w:rsidRPr="00306A83" w:rsidRDefault="006803DD" w:rsidP="00306A83">
      <w:pPr>
        <w:pStyle w:val="Heading2"/>
        <w:numPr>
          <w:ilvl w:val="0"/>
          <w:numId w:val="37"/>
        </w:numPr>
        <w:rPr>
          <w:rFonts w:cstheme="majorBidi"/>
          <w:szCs w:val="24"/>
        </w:rPr>
      </w:pPr>
      <w:bookmarkStart w:id="15" w:name="_Toc168990354"/>
      <w:r w:rsidRPr="00306A83">
        <w:rPr>
          <w:rFonts w:cstheme="majorBidi"/>
          <w:szCs w:val="24"/>
        </w:rPr>
        <w:t>Garanties juridiques des personnes accusées de terrorisme</w:t>
      </w:r>
      <w:bookmarkEnd w:id="15"/>
    </w:p>
    <w:p w14:paraId="3AD3CA6E" w14:textId="77777777" w:rsidR="003B4185" w:rsidRPr="00306A83" w:rsidRDefault="003B4185">
      <w:pPr>
        <w:spacing w:line="259" w:lineRule="auto"/>
        <w:ind w:left="720"/>
        <w:rPr>
          <w:rFonts w:asciiTheme="majorBidi" w:eastAsia="Times New Roman" w:hAnsiTheme="majorBidi" w:cstheme="majorBidi"/>
        </w:rPr>
      </w:pPr>
    </w:p>
    <w:p w14:paraId="6A09C2BD"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Il existe en droit ivoirien une législation spécifique</w:t>
      </w:r>
      <w:r w:rsidRPr="00306A83">
        <w:rPr>
          <w:rFonts w:asciiTheme="majorBidi" w:eastAsia="Times New Roman" w:hAnsiTheme="majorBidi" w:cstheme="majorBidi"/>
        </w:rPr>
        <w:t xml:space="preserve"> incriminant les infractions de terrorisme, à savoir la loi n° 2015-493 du 7 juillet 2015 portant répression du terrorisme.</w:t>
      </w:r>
      <w:r w:rsidRPr="00306A83">
        <w:rPr>
          <w:rFonts w:asciiTheme="majorBidi" w:eastAsia="Times New Roman" w:hAnsiTheme="majorBidi" w:cstheme="majorBidi"/>
          <w:vertAlign w:val="superscript"/>
        </w:rPr>
        <w:footnoteReference w:id="36"/>
      </w:r>
      <w:r w:rsidRPr="00306A83">
        <w:rPr>
          <w:rFonts w:asciiTheme="majorBidi" w:eastAsia="Times New Roman" w:hAnsiTheme="majorBidi" w:cstheme="majorBidi"/>
        </w:rPr>
        <w:t xml:space="preserve"> Cette loi déroge en plusieurs points aux garanties légales ordinaires prévues pour les personnes privées de liberté.  </w:t>
      </w:r>
    </w:p>
    <w:p w14:paraId="1380B244" w14:textId="77777777" w:rsidR="003B4185" w:rsidRPr="00306A83" w:rsidRDefault="003B4185">
      <w:pPr>
        <w:spacing w:after="40" w:line="259" w:lineRule="auto"/>
        <w:jc w:val="both"/>
        <w:rPr>
          <w:rFonts w:asciiTheme="majorBidi" w:eastAsia="Times New Roman" w:hAnsiTheme="majorBidi" w:cstheme="majorBidi"/>
          <w:color w:val="0078D4"/>
        </w:rPr>
      </w:pPr>
    </w:p>
    <w:p w14:paraId="4B4399DE"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Tout d’abo</w:t>
      </w:r>
      <w:r w:rsidRPr="00306A83">
        <w:rPr>
          <w:rFonts w:asciiTheme="majorBidi" w:eastAsia="Times New Roman" w:hAnsiTheme="majorBidi" w:cstheme="majorBidi"/>
        </w:rPr>
        <w:t xml:space="preserve">rd, le délai de garde à vue est supérieur au délai de garde à vue ordinaire fixé à 48 heures renouvelable. L’article 17 de la loi prévoit la possibilité de retenir une personne accusée de terrorisme en garde à vue jusqu’à 96 heures avec une possibilité de </w:t>
      </w:r>
      <w:r w:rsidRPr="00306A83">
        <w:rPr>
          <w:rFonts w:asciiTheme="majorBidi" w:eastAsia="Times New Roman" w:hAnsiTheme="majorBidi" w:cstheme="majorBidi"/>
        </w:rPr>
        <w:t>prolongation par le procureur de la République pour 96 heures supplémentaires, soit un délai total de 8 jours.</w:t>
      </w:r>
    </w:p>
    <w:p w14:paraId="7B72B834" w14:textId="77777777" w:rsidR="003B4185" w:rsidRPr="00306A83" w:rsidRDefault="003B4185">
      <w:pPr>
        <w:spacing w:after="40" w:line="259" w:lineRule="auto"/>
        <w:jc w:val="both"/>
        <w:rPr>
          <w:rFonts w:asciiTheme="majorBidi" w:eastAsia="Times New Roman" w:hAnsiTheme="majorBidi" w:cstheme="majorBidi"/>
        </w:rPr>
      </w:pPr>
    </w:p>
    <w:p w14:paraId="7B11ABEE" w14:textId="77777777" w:rsidR="003B4185" w:rsidRPr="00306A83" w:rsidRDefault="006803DD">
      <w:pPr>
        <w:spacing w:after="40" w:line="259" w:lineRule="auto"/>
        <w:jc w:val="both"/>
        <w:rPr>
          <w:rFonts w:asciiTheme="majorBidi" w:eastAsia="Times New Roman" w:hAnsiTheme="majorBidi" w:cstheme="majorBidi"/>
        </w:rPr>
      </w:pPr>
      <w:r w:rsidRPr="00306A83">
        <w:rPr>
          <w:rFonts w:asciiTheme="majorBidi" w:eastAsia="Times New Roman" w:hAnsiTheme="majorBidi" w:cstheme="majorBidi"/>
        </w:rPr>
        <w:t>Pourtant, le Comité des droits de l’Homme relève que tout délai supérieur à quarante-huit heures doit rester absolument exceptionnel et être jus</w:t>
      </w:r>
      <w:r w:rsidRPr="00306A83">
        <w:rPr>
          <w:rFonts w:asciiTheme="majorBidi" w:eastAsia="Times New Roman" w:hAnsiTheme="majorBidi" w:cstheme="majorBidi"/>
        </w:rPr>
        <w:t>tifié par les circonstances, car le maintien de la personne sous la garde des policiers sans contrôle judiciaire augmente inutilement le risque de mauvais traitements.</w:t>
      </w:r>
      <w:r w:rsidRPr="00306A83">
        <w:rPr>
          <w:rFonts w:asciiTheme="majorBidi" w:eastAsia="Times New Roman" w:hAnsiTheme="majorBidi" w:cstheme="majorBidi"/>
          <w:vertAlign w:val="superscript"/>
        </w:rPr>
        <w:footnoteReference w:id="37"/>
      </w:r>
      <w:r w:rsidRPr="00306A83">
        <w:rPr>
          <w:rFonts w:asciiTheme="majorBidi" w:eastAsia="Times New Roman" w:hAnsiTheme="majorBidi" w:cstheme="majorBidi"/>
        </w:rPr>
        <w:t xml:space="preserve"> Le Comité contre la torture a rappelé que le renouvellement de la garde-à-vue doit êtr</w:t>
      </w:r>
      <w:r w:rsidRPr="00306A83">
        <w:rPr>
          <w:rFonts w:asciiTheme="majorBidi" w:eastAsia="Times New Roman" w:hAnsiTheme="majorBidi" w:cstheme="majorBidi"/>
        </w:rPr>
        <w:t>e circonscrit à des circonstances exceptionnelles dûment justifiées et respecter les principes de nécessité et de proportionnalité, y compris en matière de terrorisme.</w:t>
      </w:r>
      <w:r w:rsidRPr="00306A83">
        <w:rPr>
          <w:rFonts w:asciiTheme="majorBidi" w:eastAsia="Times New Roman" w:hAnsiTheme="majorBidi" w:cstheme="majorBidi"/>
          <w:vertAlign w:val="superscript"/>
        </w:rPr>
        <w:footnoteReference w:id="38"/>
      </w:r>
    </w:p>
    <w:p w14:paraId="6FFDD234" w14:textId="77777777" w:rsidR="003B4185" w:rsidRPr="00306A83" w:rsidRDefault="003B4185">
      <w:pPr>
        <w:spacing w:after="40" w:line="259" w:lineRule="auto"/>
        <w:jc w:val="both"/>
        <w:rPr>
          <w:rFonts w:asciiTheme="majorBidi" w:eastAsia="Times New Roman" w:hAnsiTheme="majorBidi" w:cstheme="majorBidi"/>
        </w:rPr>
      </w:pPr>
    </w:p>
    <w:p w14:paraId="777601C2" w14:textId="77777777" w:rsidR="003B4185" w:rsidRPr="00306A83" w:rsidRDefault="006803DD">
      <w:pPr>
        <w:spacing w:after="40" w:line="259" w:lineRule="auto"/>
        <w:jc w:val="both"/>
        <w:rPr>
          <w:rFonts w:asciiTheme="majorBidi" w:eastAsia="Times New Roman" w:hAnsiTheme="majorBidi" w:cstheme="majorBidi"/>
          <w:color w:val="0078D4"/>
        </w:rPr>
      </w:pPr>
      <w:r w:rsidRPr="00306A83">
        <w:rPr>
          <w:rFonts w:asciiTheme="majorBidi" w:eastAsia="Times New Roman" w:hAnsiTheme="majorBidi" w:cstheme="majorBidi"/>
        </w:rPr>
        <w:t xml:space="preserve">Par conséquent, le délai de garde-à-vue maximum de 8 jours prévu par la loi portant répression du terrorisme est excessif au regard des standards internationaux. </w:t>
      </w:r>
    </w:p>
    <w:p w14:paraId="052E6CD6" w14:textId="77777777" w:rsidR="003B4185" w:rsidRPr="00306A83" w:rsidRDefault="003B4185">
      <w:pPr>
        <w:spacing w:after="40" w:line="259" w:lineRule="auto"/>
        <w:jc w:val="both"/>
        <w:rPr>
          <w:rFonts w:asciiTheme="majorBidi" w:eastAsia="Times New Roman" w:hAnsiTheme="majorBidi" w:cstheme="majorBidi"/>
        </w:rPr>
      </w:pPr>
    </w:p>
    <w:p w14:paraId="6111FCDF" w14:textId="77777777" w:rsidR="003B4185" w:rsidRPr="00306A83" w:rsidRDefault="006803DD">
      <w:pPr>
        <w:jc w:val="both"/>
        <w:rPr>
          <w:rFonts w:asciiTheme="majorBidi" w:eastAsia="Arial" w:hAnsiTheme="majorBidi" w:cstheme="majorBidi"/>
          <w:color w:val="101010"/>
        </w:rPr>
      </w:pPr>
      <w:r w:rsidRPr="00306A83">
        <w:rPr>
          <w:rFonts w:asciiTheme="majorBidi" w:eastAsia="Times New Roman" w:hAnsiTheme="majorBidi" w:cstheme="majorBidi"/>
        </w:rPr>
        <w:t>La détention préventive des personnes arrêtées et jugées dans le cadre de l’attentat terrori</w:t>
      </w:r>
      <w:r w:rsidRPr="00306A83">
        <w:rPr>
          <w:rFonts w:asciiTheme="majorBidi" w:eastAsia="Times New Roman" w:hAnsiTheme="majorBidi" w:cstheme="majorBidi"/>
        </w:rPr>
        <w:t>ste survenu à Grand-Bassam, Le 13 mars 2016, a excédé les 24 mois prévus par l’article 167 du Code de procédure pénale</w:t>
      </w:r>
      <w:r w:rsidRPr="00306A83">
        <w:rPr>
          <w:rFonts w:asciiTheme="majorBidi" w:eastAsia="Times New Roman" w:hAnsiTheme="majorBidi" w:cstheme="majorBidi"/>
          <w:vertAlign w:val="superscript"/>
        </w:rPr>
        <w:footnoteReference w:id="39"/>
      </w:r>
      <w:r w:rsidRPr="00306A83">
        <w:rPr>
          <w:rFonts w:asciiTheme="majorBidi" w:eastAsia="Times New Roman" w:hAnsiTheme="majorBidi" w:cstheme="majorBidi"/>
        </w:rPr>
        <w:t>. Les 18 suspects ont été jugés 6 ans après leur détention.</w:t>
      </w:r>
    </w:p>
    <w:p w14:paraId="0A1EDA85" w14:textId="77777777" w:rsidR="003B4185" w:rsidRPr="00306A83" w:rsidRDefault="003B4185">
      <w:pPr>
        <w:spacing w:after="40" w:line="259" w:lineRule="auto"/>
        <w:jc w:val="both"/>
        <w:rPr>
          <w:rFonts w:asciiTheme="majorBidi" w:eastAsia="Times New Roman" w:hAnsiTheme="majorBidi" w:cstheme="majorBidi"/>
        </w:rPr>
      </w:pPr>
    </w:p>
    <w:p w14:paraId="5CB1DC2F" w14:textId="77777777" w:rsidR="003B4185" w:rsidRPr="00306A83" w:rsidRDefault="003B4185">
      <w:pPr>
        <w:spacing w:line="259" w:lineRule="auto"/>
        <w:jc w:val="both"/>
        <w:rPr>
          <w:rFonts w:asciiTheme="majorBidi" w:eastAsia="Times New Roman" w:hAnsiTheme="majorBidi" w:cstheme="majorBidi"/>
          <w:color w:val="0078D4"/>
        </w:rPr>
      </w:pPr>
    </w:p>
    <w:tbl>
      <w:tblPr>
        <w:tblStyle w:val="a0"/>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47603B98" w14:textId="77777777">
        <w:tc>
          <w:tcPr>
            <w:tcW w:w="9066" w:type="dxa"/>
            <w:shd w:val="clear" w:color="auto" w:fill="auto"/>
            <w:tcMar>
              <w:top w:w="100" w:type="dxa"/>
              <w:left w:w="100" w:type="dxa"/>
              <w:bottom w:w="100" w:type="dxa"/>
              <w:right w:w="100" w:type="dxa"/>
            </w:tcMar>
          </w:tcPr>
          <w:p w14:paraId="2E58D5EF" w14:textId="2D20FAD0"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 xml:space="preserve">Recommandations </w:t>
            </w:r>
            <w:r w:rsidRPr="00306A83">
              <w:rPr>
                <w:rFonts w:asciiTheme="majorBidi" w:eastAsia="Times New Roman" w:hAnsiTheme="majorBidi" w:cstheme="majorBidi"/>
              </w:rPr>
              <w:t xml:space="preserve">: </w:t>
            </w:r>
          </w:p>
          <w:p w14:paraId="21140A04" w14:textId="77777777" w:rsidR="003B4185" w:rsidRPr="00306A83" w:rsidRDefault="003B4185">
            <w:pPr>
              <w:spacing w:line="259" w:lineRule="auto"/>
              <w:jc w:val="both"/>
              <w:rPr>
                <w:rFonts w:asciiTheme="majorBidi" w:eastAsia="Times New Roman" w:hAnsiTheme="majorBidi" w:cstheme="majorBidi"/>
              </w:rPr>
            </w:pPr>
          </w:p>
          <w:p w14:paraId="18D10D47"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Veiller à ce que les délais légaux de garde à vue ains</w:t>
            </w:r>
            <w:r w:rsidRPr="00306A83">
              <w:rPr>
                <w:rFonts w:asciiTheme="majorBidi" w:eastAsia="Times New Roman" w:hAnsiTheme="majorBidi" w:cstheme="majorBidi"/>
              </w:rPr>
              <w:t xml:space="preserve">i que les garanties judiciaires pendant la période de garde à vue, tel que l’accès à un conseil juridique ou à un examen médical, soient effectivement respectés en </w:t>
            </w:r>
            <w:proofErr w:type="gramStart"/>
            <w:r w:rsidRPr="00306A83">
              <w:rPr>
                <w:rFonts w:asciiTheme="majorBidi" w:eastAsia="Times New Roman" w:hAnsiTheme="majorBidi" w:cstheme="majorBidi"/>
              </w:rPr>
              <w:t>pratique;</w:t>
            </w:r>
            <w:proofErr w:type="gramEnd"/>
          </w:p>
          <w:p w14:paraId="26F71DC2"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Veiller au </w:t>
            </w:r>
            <w:proofErr w:type="spellStart"/>
            <w:r w:rsidRPr="00306A83">
              <w:rPr>
                <w:rFonts w:asciiTheme="majorBidi" w:eastAsia="Times New Roman" w:hAnsiTheme="majorBidi" w:cstheme="majorBidi"/>
              </w:rPr>
              <w:t>contrôle</w:t>
            </w:r>
            <w:proofErr w:type="spellEnd"/>
            <w:r w:rsidRPr="00306A83">
              <w:rPr>
                <w:rFonts w:asciiTheme="majorBidi" w:eastAsia="Times New Roman" w:hAnsiTheme="majorBidi" w:cstheme="majorBidi"/>
              </w:rPr>
              <w:t xml:space="preserve"> effectif de la </w:t>
            </w:r>
            <w:proofErr w:type="spellStart"/>
            <w:r w:rsidRPr="00306A83">
              <w:rPr>
                <w:rFonts w:asciiTheme="majorBidi" w:eastAsia="Times New Roman" w:hAnsiTheme="majorBidi" w:cstheme="majorBidi"/>
              </w:rPr>
              <w:t>détention</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préventive</w:t>
            </w:r>
            <w:proofErr w:type="spellEnd"/>
            <w:r w:rsidRPr="00306A83">
              <w:rPr>
                <w:rFonts w:asciiTheme="majorBidi" w:eastAsia="Times New Roman" w:hAnsiTheme="majorBidi" w:cstheme="majorBidi"/>
              </w:rPr>
              <w:t>, en s’assurant que cell</w:t>
            </w:r>
            <w:r w:rsidRPr="00306A83">
              <w:rPr>
                <w:rFonts w:asciiTheme="majorBidi" w:eastAsia="Times New Roman" w:hAnsiTheme="majorBidi" w:cstheme="majorBidi"/>
              </w:rPr>
              <w:t xml:space="preserve">e-ci respecte les dispositions fixant </w:t>
            </w:r>
            <w:proofErr w:type="spellStart"/>
            <w:r w:rsidRPr="00306A83">
              <w:rPr>
                <w:rFonts w:asciiTheme="majorBidi" w:eastAsia="Times New Roman" w:hAnsiTheme="majorBidi" w:cstheme="majorBidi"/>
              </w:rPr>
              <w:t>sa</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durée</w:t>
            </w:r>
            <w:proofErr w:type="spellEnd"/>
            <w:r w:rsidRPr="00306A83">
              <w:rPr>
                <w:rFonts w:asciiTheme="majorBidi" w:eastAsia="Times New Roman" w:hAnsiTheme="majorBidi" w:cstheme="majorBidi"/>
              </w:rPr>
              <w:t xml:space="preserve"> maximale, et qu’elle est aussi </w:t>
            </w:r>
            <w:proofErr w:type="spellStart"/>
            <w:r w:rsidRPr="00306A83">
              <w:rPr>
                <w:rFonts w:asciiTheme="majorBidi" w:eastAsia="Times New Roman" w:hAnsiTheme="majorBidi" w:cstheme="majorBidi"/>
              </w:rPr>
              <w:t>brève</w:t>
            </w:r>
            <w:proofErr w:type="spellEnd"/>
            <w:r w:rsidRPr="00306A83">
              <w:rPr>
                <w:rFonts w:asciiTheme="majorBidi" w:eastAsia="Times New Roman" w:hAnsiTheme="majorBidi" w:cstheme="majorBidi"/>
              </w:rPr>
              <w:t xml:space="preserve"> que possible, exceptionnelle, </w:t>
            </w:r>
            <w:proofErr w:type="spellStart"/>
            <w:r w:rsidRPr="00306A83">
              <w:rPr>
                <w:rFonts w:asciiTheme="majorBidi" w:eastAsia="Times New Roman" w:hAnsiTheme="majorBidi" w:cstheme="majorBidi"/>
              </w:rPr>
              <w:t>nécessaire</w:t>
            </w:r>
            <w:proofErr w:type="spellEnd"/>
            <w:r w:rsidRPr="00306A83">
              <w:rPr>
                <w:rFonts w:asciiTheme="majorBidi" w:eastAsia="Times New Roman" w:hAnsiTheme="majorBidi" w:cstheme="majorBidi"/>
              </w:rPr>
              <w:t xml:space="preserve"> et </w:t>
            </w:r>
            <w:proofErr w:type="gramStart"/>
            <w:r w:rsidRPr="00306A83">
              <w:rPr>
                <w:rFonts w:asciiTheme="majorBidi" w:eastAsia="Times New Roman" w:hAnsiTheme="majorBidi" w:cstheme="majorBidi"/>
              </w:rPr>
              <w:t>proportionnelle;</w:t>
            </w:r>
            <w:proofErr w:type="gramEnd"/>
          </w:p>
          <w:p w14:paraId="713D6175"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lastRenderedPageBreak/>
              <w:t xml:space="preserve">Promouvoir activement, au sein des parquets et </w:t>
            </w:r>
            <w:proofErr w:type="spellStart"/>
            <w:r w:rsidRPr="00306A83">
              <w:rPr>
                <w:rFonts w:asciiTheme="majorBidi" w:eastAsia="Times New Roman" w:hAnsiTheme="majorBidi" w:cstheme="majorBidi"/>
              </w:rPr>
              <w:t>auprès</w:t>
            </w:r>
            <w:proofErr w:type="spellEnd"/>
            <w:r w:rsidRPr="00306A83">
              <w:rPr>
                <w:rFonts w:asciiTheme="majorBidi" w:eastAsia="Times New Roman" w:hAnsiTheme="majorBidi" w:cstheme="majorBidi"/>
              </w:rPr>
              <w:t xml:space="preserve"> des juges, le recours à des mesures de substitution </w:t>
            </w:r>
            <w:r w:rsidRPr="00306A83">
              <w:rPr>
                <w:rFonts w:asciiTheme="majorBidi" w:eastAsia="Times New Roman" w:hAnsiTheme="majorBidi" w:cstheme="majorBidi"/>
              </w:rPr>
              <w:t xml:space="preserve">à la </w:t>
            </w:r>
            <w:proofErr w:type="spellStart"/>
            <w:r w:rsidRPr="00306A83">
              <w:rPr>
                <w:rFonts w:asciiTheme="majorBidi" w:eastAsia="Times New Roman" w:hAnsiTheme="majorBidi" w:cstheme="majorBidi"/>
              </w:rPr>
              <w:t>détention</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préventive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conformément</w:t>
            </w:r>
            <w:proofErr w:type="spellEnd"/>
            <w:r w:rsidRPr="00306A83">
              <w:rPr>
                <w:rFonts w:asciiTheme="majorBidi" w:eastAsia="Times New Roman" w:hAnsiTheme="majorBidi" w:cstheme="majorBidi"/>
              </w:rPr>
              <w:t xml:space="preserve"> aux </w:t>
            </w:r>
            <w:proofErr w:type="spellStart"/>
            <w:r w:rsidRPr="00306A83">
              <w:rPr>
                <w:rFonts w:asciiTheme="majorBidi" w:eastAsia="Times New Roman" w:hAnsiTheme="majorBidi" w:cstheme="majorBidi"/>
              </w:rPr>
              <w:t>Règles</w:t>
            </w:r>
            <w:proofErr w:type="spellEnd"/>
            <w:r w:rsidRPr="00306A83">
              <w:rPr>
                <w:rFonts w:asciiTheme="majorBidi" w:eastAsia="Times New Roman" w:hAnsiTheme="majorBidi" w:cstheme="majorBidi"/>
              </w:rPr>
              <w:t xml:space="preserve"> minima des Nations Unies pour l’</w:t>
            </w:r>
            <w:proofErr w:type="spellStart"/>
            <w:r w:rsidRPr="00306A83">
              <w:rPr>
                <w:rFonts w:asciiTheme="majorBidi" w:eastAsia="Times New Roman" w:hAnsiTheme="majorBidi" w:cstheme="majorBidi"/>
              </w:rPr>
              <w:t>élaboration</w:t>
            </w:r>
            <w:proofErr w:type="spellEnd"/>
            <w:r w:rsidRPr="00306A83">
              <w:rPr>
                <w:rFonts w:asciiTheme="majorBidi" w:eastAsia="Times New Roman" w:hAnsiTheme="majorBidi" w:cstheme="majorBidi"/>
              </w:rPr>
              <w:t xml:space="preserve"> de mesures non privatives de </w:t>
            </w:r>
            <w:proofErr w:type="spellStart"/>
            <w:r w:rsidRPr="00306A83">
              <w:rPr>
                <w:rFonts w:asciiTheme="majorBidi" w:eastAsia="Times New Roman" w:hAnsiTheme="majorBidi" w:cstheme="majorBidi"/>
              </w:rPr>
              <w:t>liberte</w:t>
            </w:r>
            <w:proofErr w:type="spellEnd"/>
            <w:r w:rsidRPr="00306A83">
              <w:rPr>
                <w:rFonts w:asciiTheme="majorBidi" w:eastAsia="Times New Roman" w:hAnsiTheme="majorBidi" w:cstheme="majorBidi"/>
              </w:rPr>
              <w:t>́ (</w:t>
            </w:r>
            <w:proofErr w:type="spellStart"/>
            <w:r w:rsidRPr="00306A83">
              <w:rPr>
                <w:rFonts w:asciiTheme="majorBidi" w:eastAsia="Times New Roman" w:hAnsiTheme="majorBidi" w:cstheme="majorBidi"/>
              </w:rPr>
              <w:t>Règles</w:t>
            </w:r>
            <w:proofErr w:type="spellEnd"/>
            <w:r w:rsidRPr="00306A83">
              <w:rPr>
                <w:rFonts w:asciiTheme="majorBidi" w:eastAsia="Times New Roman" w:hAnsiTheme="majorBidi" w:cstheme="majorBidi"/>
              </w:rPr>
              <w:t xml:space="preserve"> de </w:t>
            </w:r>
            <w:proofErr w:type="gramStart"/>
            <w:r w:rsidRPr="00306A83">
              <w:rPr>
                <w:rFonts w:asciiTheme="majorBidi" w:eastAsia="Times New Roman" w:hAnsiTheme="majorBidi" w:cstheme="majorBidi"/>
              </w:rPr>
              <w:t>Tokyo;</w:t>
            </w:r>
            <w:proofErr w:type="gramEnd"/>
          </w:p>
          <w:p w14:paraId="5AD0B85E"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Abroger l’article 605 du Code de procédure pénale, conformément aux décisions rendues par la Cour de Justice de la Communauté Économique des États d’Afrique de </w:t>
            </w:r>
            <w:proofErr w:type="gramStart"/>
            <w:r w:rsidRPr="00306A83">
              <w:rPr>
                <w:rFonts w:asciiTheme="majorBidi" w:eastAsia="Times New Roman" w:hAnsiTheme="majorBidi" w:cstheme="majorBidi"/>
              </w:rPr>
              <w:t>l’Ouest;</w:t>
            </w:r>
            <w:proofErr w:type="gramEnd"/>
            <w:r w:rsidRPr="00306A83">
              <w:rPr>
                <w:rFonts w:asciiTheme="majorBidi" w:eastAsia="Times New Roman" w:hAnsiTheme="majorBidi" w:cstheme="majorBidi"/>
              </w:rPr>
              <w:t xml:space="preserve"> </w:t>
            </w:r>
          </w:p>
          <w:p w14:paraId="143DD986"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Abroger l’article 168 du code de procédure pénale dans sa forme </w:t>
            </w:r>
            <w:proofErr w:type="gramStart"/>
            <w:r w:rsidRPr="00306A83">
              <w:rPr>
                <w:rFonts w:asciiTheme="majorBidi" w:eastAsia="Times New Roman" w:hAnsiTheme="majorBidi" w:cstheme="majorBidi"/>
              </w:rPr>
              <w:t>actuelle;</w:t>
            </w:r>
            <w:proofErr w:type="gramEnd"/>
          </w:p>
          <w:p w14:paraId="23CEA852"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Garantir le </w:t>
            </w:r>
            <w:r w:rsidRPr="00306A83">
              <w:rPr>
                <w:rFonts w:asciiTheme="majorBidi" w:eastAsia="Times New Roman" w:hAnsiTheme="majorBidi" w:cstheme="majorBidi"/>
              </w:rPr>
              <w:t xml:space="preserve">droit à la réparation en cas de détention abusive ou </w:t>
            </w:r>
            <w:proofErr w:type="gramStart"/>
            <w:r w:rsidRPr="00306A83">
              <w:rPr>
                <w:rFonts w:asciiTheme="majorBidi" w:eastAsia="Times New Roman" w:hAnsiTheme="majorBidi" w:cstheme="majorBidi"/>
              </w:rPr>
              <w:t>injustifiée;</w:t>
            </w:r>
            <w:proofErr w:type="gramEnd"/>
          </w:p>
          <w:p w14:paraId="4A1C25EF"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Garantir aux personnes étrangères privées de liberté la notification de leurs </w:t>
            </w:r>
            <w:proofErr w:type="gramStart"/>
            <w:r w:rsidRPr="00306A83">
              <w:rPr>
                <w:rFonts w:asciiTheme="majorBidi" w:eastAsia="Times New Roman" w:hAnsiTheme="majorBidi" w:cstheme="majorBidi"/>
              </w:rPr>
              <w:t>droits;</w:t>
            </w:r>
            <w:proofErr w:type="gramEnd"/>
            <w:r w:rsidRPr="00306A83">
              <w:rPr>
                <w:rFonts w:asciiTheme="majorBidi" w:eastAsia="Times New Roman" w:hAnsiTheme="majorBidi" w:cstheme="majorBidi"/>
              </w:rPr>
              <w:t xml:space="preserve">  </w:t>
            </w:r>
          </w:p>
          <w:p w14:paraId="34E81AFD" w14:textId="71DC57CB"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Modifier la loi contre le terrorisme afin d’imposer un délai de garde à vue conforme aux standards int</w:t>
            </w:r>
            <w:r w:rsidRPr="00306A83">
              <w:rPr>
                <w:rFonts w:asciiTheme="majorBidi" w:eastAsia="Times New Roman" w:hAnsiTheme="majorBidi" w:cstheme="majorBidi"/>
              </w:rPr>
              <w:t>ernationaux.</w:t>
            </w:r>
          </w:p>
        </w:tc>
      </w:tr>
    </w:tbl>
    <w:p w14:paraId="51DB0E55" w14:textId="77777777" w:rsidR="003B4185" w:rsidRPr="00306A83" w:rsidRDefault="003B4185">
      <w:pPr>
        <w:spacing w:line="259" w:lineRule="auto"/>
        <w:jc w:val="both"/>
        <w:rPr>
          <w:rFonts w:asciiTheme="majorBidi" w:eastAsia="Times New Roman" w:hAnsiTheme="majorBidi" w:cstheme="majorBidi"/>
          <w:i/>
          <w:color w:val="FF0000"/>
        </w:rPr>
      </w:pPr>
    </w:p>
    <w:p w14:paraId="338CB82B" w14:textId="5976C8EF" w:rsidR="003B4185" w:rsidRPr="0017525C" w:rsidRDefault="006803DD" w:rsidP="0017525C">
      <w:pPr>
        <w:pStyle w:val="Heading2"/>
        <w:numPr>
          <w:ilvl w:val="0"/>
          <w:numId w:val="37"/>
        </w:numPr>
        <w:rPr>
          <w:rFonts w:cstheme="majorBidi"/>
          <w:szCs w:val="24"/>
        </w:rPr>
      </w:pPr>
      <w:bookmarkStart w:id="16" w:name="_Toc168990355"/>
      <w:r w:rsidRPr="00306A83">
        <w:rPr>
          <w:rFonts w:cstheme="majorBidi"/>
          <w:szCs w:val="24"/>
        </w:rPr>
        <w:t xml:space="preserve">Détention au </w:t>
      </w:r>
      <w:proofErr w:type="gramStart"/>
      <w:r w:rsidRPr="00306A83">
        <w:rPr>
          <w:rFonts w:cstheme="majorBidi"/>
          <w:szCs w:val="24"/>
        </w:rPr>
        <w:t>secret:</w:t>
      </w:r>
      <w:proofErr w:type="gramEnd"/>
      <w:r w:rsidRPr="00306A83">
        <w:rPr>
          <w:rFonts w:cstheme="majorBidi"/>
          <w:szCs w:val="24"/>
        </w:rPr>
        <w:t xml:space="preserve"> lieux non officiels de détention</w:t>
      </w:r>
      <w:bookmarkEnd w:id="16"/>
      <w:r w:rsidRPr="00306A83">
        <w:rPr>
          <w:rFonts w:cstheme="majorBidi"/>
          <w:szCs w:val="24"/>
        </w:rPr>
        <w:t xml:space="preserve"> </w:t>
      </w:r>
    </w:p>
    <w:p w14:paraId="38820F3B" w14:textId="4F789A89" w:rsidR="003B4185" w:rsidRPr="00306A83" w:rsidRDefault="006803DD" w:rsidP="00306A83">
      <w:pPr>
        <w:pStyle w:val="Heading3"/>
        <w:numPr>
          <w:ilvl w:val="0"/>
          <w:numId w:val="38"/>
        </w:numPr>
        <w:rPr>
          <w:rFonts w:cstheme="majorBidi"/>
          <w:szCs w:val="24"/>
        </w:rPr>
      </w:pPr>
      <w:bookmarkStart w:id="17" w:name="_Toc168990356"/>
      <w:proofErr w:type="gramStart"/>
      <w:r w:rsidRPr="00306A83">
        <w:rPr>
          <w:rFonts w:cstheme="majorBidi"/>
          <w:szCs w:val="24"/>
          <w:highlight w:val="white"/>
        </w:rPr>
        <w:t xml:space="preserve">L’Ex </w:t>
      </w:r>
      <w:r w:rsidRPr="00306A83">
        <w:rPr>
          <w:rFonts w:cstheme="majorBidi"/>
          <w:szCs w:val="24"/>
        </w:rPr>
        <w:t>Hôtel</w:t>
      </w:r>
      <w:proofErr w:type="gramEnd"/>
      <w:r w:rsidRPr="00306A83">
        <w:rPr>
          <w:rFonts w:cstheme="majorBidi"/>
          <w:szCs w:val="24"/>
        </w:rPr>
        <w:t xml:space="preserve"> </w:t>
      </w:r>
      <w:proofErr w:type="spellStart"/>
      <w:r w:rsidRPr="00306A83">
        <w:rPr>
          <w:rFonts w:cstheme="majorBidi"/>
          <w:szCs w:val="24"/>
        </w:rPr>
        <w:t>Sebroko</w:t>
      </w:r>
      <w:proofErr w:type="spellEnd"/>
      <w:r w:rsidRPr="00306A83">
        <w:rPr>
          <w:rFonts w:cstheme="majorBidi"/>
          <w:szCs w:val="24"/>
          <w:highlight w:val="white"/>
        </w:rPr>
        <w:t xml:space="preserve"> d’Abidjan</w:t>
      </w:r>
      <w:bookmarkEnd w:id="17"/>
    </w:p>
    <w:p w14:paraId="708F1A74" w14:textId="77777777" w:rsidR="003B4185" w:rsidRPr="00306A83" w:rsidRDefault="003B4185">
      <w:pPr>
        <w:spacing w:line="259" w:lineRule="auto"/>
        <w:jc w:val="both"/>
        <w:rPr>
          <w:rFonts w:asciiTheme="majorBidi" w:eastAsia="Times New Roman" w:hAnsiTheme="majorBidi" w:cstheme="majorBidi"/>
        </w:rPr>
      </w:pPr>
    </w:p>
    <w:p w14:paraId="3CF6D40B"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L’Hôtel </w:t>
      </w:r>
      <w:proofErr w:type="spellStart"/>
      <w:r w:rsidRPr="00306A83">
        <w:rPr>
          <w:rFonts w:asciiTheme="majorBidi" w:eastAsia="Times New Roman" w:hAnsiTheme="majorBidi" w:cstheme="majorBidi"/>
        </w:rPr>
        <w:t>Sébroko</w:t>
      </w:r>
      <w:proofErr w:type="spellEnd"/>
      <w:r w:rsidRPr="00306A83">
        <w:rPr>
          <w:rFonts w:asciiTheme="majorBidi" w:eastAsia="Times New Roman" w:hAnsiTheme="majorBidi" w:cstheme="majorBidi"/>
        </w:rPr>
        <w:t xml:space="preserve">, ancienne base de la Mission des Nations unies en Côte d’Ivoire (ONUCI), situé dans la commune d’Attécoubé, a été occupé en 2017 et 2022 par au moins deux unité des forces de défense et de sécurité nationales notamment </w:t>
      </w:r>
      <w:r w:rsidRPr="00306A83">
        <w:rPr>
          <w:rFonts w:asciiTheme="majorBidi" w:eastAsia="Times New Roman" w:hAnsiTheme="majorBidi" w:cstheme="majorBidi"/>
          <w:highlight w:val="white"/>
        </w:rPr>
        <w:t>Centre de coordination des décisions</w:t>
      </w:r>
      <w:r w:rsidRPr="00306A83">
        <w:rPr>
          <w:rFonts w:asciiTheme="majorBidi" w:eastAsia="Times New Roman" w:hAnsiTheme="majorBidi" w:cstheme="majorBidi"/>
          <w:highlight w:val="white"/>
        </w:rPr>
        <w:t xml:space="preserve"> opérationnelles (</w:t>
      </w:r>
      <w:proofErr w:type="spellStart"/>
      <w:r w:rsidRPr="00306A83">
        <w:rPr>
          <w:rFonts w:asciiTheme="majorBidi" w:eastAsia="Times New Roman" w:hAnsiTheme="majorBidi" w:cstheme="majorBidi"/>
          <w:highlight w:val="white"/>
        </w:rPr>
        <w:t>Ccdo</w:t>
      </w:r>
      <w:proofErr w:type="spellEnd"/>
      <w:r w:rsidRPr="00306A83">
        <w:rPr>
          <w:rFonts w:asciiTheme="majorBidi" w:eastAsia="Times New Roman" w:hAnsiTheme="majorBidi" w:cstheme="majorBidi"/>
          <w:highlight w:val="white"/>
        </w:rPr>
        <w:t>)</w:t>
      </w:r>
      <w:r w:rsidRPr="00306A83">
        <w:rPr>
          <w:rFonts w:asciiTheme="majorBidi" w:eastAsia="Times New Roman" w:hAnsiTheme="majorBidi" w:cstheme="majorBidi"/>
          <w:highlight w:val="white"/>
          <w:vertAlign w:val="superscript"/>
        </w:rPr>
        <w:footnoteReference w:id="40"/>
      </w:r>
      <w:r w:rsidRPr="00306A83">
        <w:rPr>
          <w:rFonts w:asciiTheme="majorBidi" w:eastAsia="Times New Roman" w:hAnsiTheme="majorBidi" w:cstheme="majorBidi"/>
          <w:highlight w:val="white"/>
        </w:rPr>
        <w:t xml:space="preserve">, une </w:t>
      </w:r>
      <w:proofErr w:type="spellStart"/>
      <w:r w:rsidRPr="00306A83">
        <w:rPr>
          <w:rFonts w:asciiTheme="majorBidi" w:eastAsia="Times New Roman" w:hAnsiTheme="majorBidi" w:cstheme="majorBidi"/>
          <w:highlight w:val="white"/>
        </w:rPr>
        <w:t>unite</w:t>
      </w:r>
      <w:proofErr w:type="spellEnd"/>
      <w:r w:rsidRPr="00306A83">
        <w:rPr>
          <w:rFonts w:asciiTheme="majorBidi" w:eastAsia="Times New Roman" w:hAnsiTheme="majorBidi" w:cstheme="majorBidi"/>
          <w:highlight w:val="white"/>
        </w:rPr>
        <w:t xml:space="preserve">́ mixte </w:t>
      </w:r>
      <w:proofErr w:type="spellStart"/>
      <w:r w:rsidRPr="00306A83">
        <w:rPr>
          <w:rFonts w:asciiTheme="majorBidi" w:eastAsia="Times New Roman" w:hAnsiTheme="majorBidi" w:cstheme="majorBidi"/>
          <w:highlight w:val="white"/>
        </w:rPr>
        <w:t>composée</w:t>
      </w:r>
      <w:proofErr w:type="spellEnd"/>
      <w:r w:rsidRPr="00306A83">
        <w:rPr>
          <w:rFonts w:asciiTheme="majorBidi" w:eastAsia="Times New Roman" w:hAnsiTheme="majorBidi" w:cstheme="majorBidi"/>
          <w:highlight w:val="white"/>
        </w:rPr>
        <w:t xml:space="preserve"> de personnel de la police, de la gendarmerie et des forces </w:t>
      </w:r>
      <w:proofErr w:type="spellStart"/>
      <w:r w:rsidRPr="00306A83">
        <w:rPr>
          <w:rFonts w:asciiTheme="majorBidi" w:eastAsia="Times New Roman" w:hAnsiTheme="majorBidi" w:cstheme="majorBidi"/>
          <w:highlight w:val="white"/>
        </w:rPr>
        <w:t>armées</w:t>
      </w:r>
      <w:proofErr w:type="spellEnd"/>
      <w:r w:rsidRPr="00306A83">
        <w:rPr>
          <w:rFonts w:asciiTheme="majorBidi" w:eastAsia="Times New Roman" w:hAnsiTheme="majorBidi" w:cstheme="majorBidi"/>
          <w:highlight w:val="white"/>
        </w:rPr>
        <w:t xml:space="preserve"> et l’</w:t>
      </w:r>
      <w:r w:rsidRPr="00306A83">
        <w:rPr>
          <w:rFonts w:asciiTheme="majorBidi" w:eastAsia="Times New Roman" w:hAnsiTheme="majorBidi" w:cstheme="majorBidi"/>
        </w:rPr>
        <w:t>Unité de lutte contre la grande criminalité (ULGC)</w:t>
      </w:r>
      <w:r w:rsidRPr="00306A83">
        <w:rPr>
          <w:rFonts w:asciiTheme="majorBidi" w:eastAsia="Times New Roman" w:hAnsiTheme="majorBidi" w:cstheme="majorBidi"/>
          <w:highlight w:val="white"/>
        </w:rPr>
        <w:t xml:space="preserve"> </w:t>
      </w:r>
      <w:r w:rsidRPr="00306A83">
        <w:rPr>
          <w:rFonts w:asciiTheme="majorBidi" w:eastAsia="Times New Roman" w:hAnsiTheme="majorBidi" w:cstheme="majorBidi"/>
        </w:rPr>
        <w:t>composé majoritairement de militaires, est</w:t>
      </w:r>
      <w:hyperlink r:id="rId14">
        <w:r w:rsidRPr="00306A83">
          <w:rPr>
            <w:rFonts w:asciiTheme="majorBidi" w:eastAsia="Times New Roman" w:hAnsiTheme="majorBidi" w:cstheme="majorBidi"/>
            <w:u w:val="single"/>
          </w:rPr>
          <w:t xml:space="preserve"> commandé par le colonel Inza Fofana, alias « </w:t>
        </w:r>
        <w:proofErr w:type="spellStart"/>
        <w:r w:rsidRPr="00306A83">
          <w:rPr>
            <w:rFonts w:asciiTheme="majorBidi" w:eastAsia="Times New Roman" w:hAnsiTheme="majorBidi" w:cstheme="majorBidi"/>
            <w:u w:val="single"/>
          </w:rPr>
          <w:t>Gruman</w:t>
        </w:r>
        <w:proofErr w:type="spellEnd"/>
        <w:r w:rsidRPr="00306A83">
          <w:rPr>
            <w:rFonts w:asciiTheme="majorBidi" w:eastAsia="Times New Roman" w:hAnsiTheme="majorBidi" w:cstheme="majorBidi"/>
            <w:u w:val="single"/>
          </w:rPr>
          <w:t xml:space="preserve"> »</w:t>
        </w:r>
      </w:hyperlink>
      <w:r w:rsidRPr="00306A83">
        <w:rPr>
          <w:rFonts w:asciiTheme="majorBidi" w:eastAsia="Times New Roman" w:hAnsiTheme="majorBidi" w:cstheme="majorBidi"/>
          <w:u w:val="single"/>
          <w:vertAlign w:val="superscript"/>
        </w:rPr>
        <w:footnoteReference w:id="41"/>
      </w:r>
      <w:hyperlink r:id="rId15">
        <w:r w:rsidRPr="00306A83">
          <w:rPr>
            <w:rFonts w:asciiTheme="majorBidi" w:eastAsia="Times New Roman" w:hAnsiTheme="majorBidi" w:cstheme="majorBidi"/>
            <w:u w:val="single"/>
          </w:rPr>
          <w:t>.</w:t>
        </w:r>
      </w:hyperlink>
      <w:r w:rsidRPr="00306A83">
        <w:rPr>
          <w:rFonts w:asciiTheme="majorBidi" w:eastAsia="Times New Roman" w:hAnsiTheme="majorBidi" w:cstheme="majorBidi"/>
        </w:rPr>
        <w:t xml:space="preserve"> </w:t>
      </w:r>
      <w:r w:rsidRPr="00306A83">
        <w:rPr>
          <w:rFonts w:asciiTheme="majorBidi" w:eastAsia="Times New Roman" w:hAnsiTheme="majorBidi" w:cstheme="majorBidi"/>
          <w:highlight w:val="white"/>
        </w:rPr>
        <w:t xml:space="preserve">. </w:t>
      </w:r>
      <w:r w:rsidRPr="00306A83">
        <w:rPr>
          <w:rFonts w:asciiTheme="majorBidi" w:eastAsia="Times New Roman" w:hAnsiTheme="majorBidi" w:cstheme="majorBidi"/>
        </w:rPr>
        <w:t>Les témoignages recueillis par l’OMCT et des sources concordantes confirment que cet hôtel a été utilisé comme lieu de détention non-officiel où ont été torturées des personnes dissidentes lors des contestations électo</w:t>
      </w:r>
      <w:r w:rsidRPr="00306A83">
        <w:rPr>
          <w:rFonts w:asciiTheme="majorBidi" w:eastAsia="Times New Roman" w:hAnsiTheme="majorBidi" w:cstheme="majorBidi"/>
        </w:rPr>
        <w:t>rales de 2020.</w:t>
      </w:r>
    </w:p>
    <w:p w14:paraId="611E55CF" w14:textId="77777777" w:rsidR="0017525C" w:rsidRDefault="0017525C">
      <w:pPr>
        <w:spacing w:line="276" w:lineRule="auto"/>
        <w:jc w:val="both"/>
        <w:rPr>
          <w:rFonts w:asciiTheme="majorBidi" w:eastAsia="Times New Roman" w:hAnsiTheme="majorBidi" w:cstheme="majorBidi"/>
        </w:rPr>
      </w:pPr>
    </w:p>
    <w:p w14:paraId="5AF77646" w14:textId="3D076E46" w:rsidR="003B4185" w:rsidRPr="00306A83" w:rsidRDefault="006803DD">
      <w:p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Monsieur KOUAKOU N'GORAN AIME CESAR à 52 ans, il est marié et père de 4 enfants</w:t>
      </w:r>
      <w:r w:rsidRPr="00306A83">
        <w:rPr>
          <w:rFonts w:asciiTheme="majorBidi" w:eastAsia="Times New Roman" w:hAnsiTheme="majorBidi" w:cstheme="majorBidi"/>
          <w:vertAlign w:val="superscript"/>
        </w:rPr>
        <w:footnoteReference w:id="42"/>
      </w:r>
      <w:r w:rsidRPr="00306A83">
        <w:rPr>
          <w:rFonts w:asciiTheme="majorBidi" w:eastAsia="Times New Roman" w:hAnsiTheme="majorBidi" w:cstheme="majorBidi"/>
        </w:rPr>
        <w:t>.</w:t>
      </w:r>
    </w:p>
    <w:p w14:paraId="62814A66" w14:textId="77777777" w:rsidR="003B4185" w:rsidRPr="00306A83" w:rsidRDefault="006803DD">
      <w:p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15100545" w14:textId="40A284AC" w:rsidR="003B4185" w:rsidRPr="00306A83" w:rsidRDefault="006803DD">
      <w:p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 xml:space="preserve">En 2020 il est le 1er Secrétaire Général Adjoint du syndicat libre des travailleurs du </w:t>
      </w:r>
      <w:r w:rsidRPr="00306A83">
        <w:rPr>
          <w:rFonts w:asciiTheme="majorBidi" w:eastAsia="Times New Roman" w:hAnsiTheme="majorBidi" w:cstheme="majorBidi"/>
          <w:highlight w:val="white"/>
        </w:rPr>
        <w:t>Bureau national d'études techniques et de développement (</w:t>
      </w:r>
      <w:r w:rsidRPr="00306A83">
        <w:rPr>
          <w:rFonts w:asciiTheme="majorBidi" w:eastAsia="Times New Roman" w:hAnsiTheme="majorBidi" w:cstheme="majorBidi"/>
          <w:b/>
        </w:rPr>
        <w:t>BNETD</w:t>
      </w:r>
      <w:r w:rsidRPr="00306A83">
        <w:rPr>
          <w:rFonts w:asciiTheme="majorBidi" w:eastAsia="Times New Roman" w:hAnsiTheme="majorBidi" w:cstheme="majorBidi"/>
        </w:rPr>
        <w:t>) diri</w:t>
      </w:r>
      <w:r w:rsidRPr="00306A83">
        <w:rPr>
          <w:rFonts w:asciiTheme="majorBidi" w:eastAsia="Times New Roman" w:hAnsiTheme="majorBidi" w:cstheme="majorBidi"/>
        </w:rPr>
        <w:t>gé par madame Pulchérie GBALET, une syndicaliste et responsable de l’organisation Alternative citoyenne ivoirienne (ACI). Le 13 août 2020 il a été kidnappé sur son lieu de travail par un groupe d’hommes en civil, non identifiés, armés et encagoulés. Il a é</w:t>
      </w:r>
      <w:r w:rsidRPr="00306A83">
        <w:rPr>
          <w:rFonts w:asciiTheme="majorBidi" w:eastAsia="Times New Roman" w:hAnsiTheme="majorBidi" w:cstheme="majorBidi"/>
        </w:rPr>
        <w:t>té conduit à l'</w:t>
      </w:r>
      <w:proofErr w:type="spellStart"/>
      <w:r w:rsidRPr="00306A83">
        <w:rPr>
          <w:rFonts w:asciiTheme="majorBidi" w:eastAsia="Times New Roman" w:hAnsiTheme="majorBidi" w:cstheme="majorBidi"/>
        </w:rPr>
        <w:t>hotel</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Sebroco</w:t>
      </w:r>
      <w:proofErr w:type="spellEnd"/>
      <w:r w:rsidRPr="00306A83">
        <w:rPr>
          <w:rFonts w:asciiTheme="majorBidi" w:eastAsia="Times New Roman" w:hAnsiTheme="majorBidi" w:cstheme="majorBidi"/>
        </w:rPr>
        <w:t>, l’ancienne base opérationnelle de l'ONUCI et y a séjourné pendant trois jours dans un container. Monsieur Kouakou a été privé de nourriture, encagoulé, battu à la machette sans possibilité de voir le visage de ses tortionnaire</w:t>
      </w:r>
      <w:r w:rsidRPr="00306A83">
        <w:rPr>
          <w:rFonts w:asciiTheme="majorBidi" w:eastAsia="Times New Roman" w:hAnsiTheme="majorBidi" w:cstheme="majorBidi"/>
        </w:rPr>
        <w:t xml:space="preserve">s. Il s’est donc aperçu qu’il s’agissait de membres des forces de </w:t>
      </w:r>
      <w:r w:rsidRPr="00306A83">
        <w:rPr>
          <w:rFonts w:asciiTheme="majorBidi" w:eastAsia="Times New Roman" w:hAnsiTheme="majorBidi" w:cstheme="majorBidi"/>
        </w:rPr>
        <w:lastRenderedPageBreak/>
        <w:t>sécurité nationale qui lui reprochaient son engagement au côté de madame Pulchérie GBALET et tentaient de le faire avouer son implication dans un éventuel projet de déstabilisation de l’</w:t>
      </w:r>
      <w:r w:rsidR="0017525C" w:rsidRPr="00306A83">
        <w:rPr>
          <w:rFonts w:asciiTheme="majorBidi" w:eastAsia="Times New Roman" w:hAnsiTheme="majorBidi" w:cstheme="majorBidi"/>
        </w:rPr>
        <w:t>État</w:t>
      </w:r>
      <w:r w:rsidRPr="00306A83">
        <w:rPr>
          <w:rFonts w:asciiTheme="majorBidi" w:eastAsia="Times New Roman" w:hAnsiTheme="majorBidi" w:cstheme="majorBidi"/>
        </w:rPr>
        <w:t xml:space="preserve">. Il a été privé de médicaments et d’un médecin alors qu'il avait subi une intervention chirurgicale un mois plus tôt. </w:t>
      </w:r>
    </w:p>
    <w:p w14:paraId="22A6F638" w14:textId="77777777" w:rsidR="003B4185" w:rsidRPr="00306A83" w:rsidRDefault="006803DD">
      <w:p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quatrième jour, il a été transféré à la préfecture de police d’Abidjan où il a passé trois jours avant d'être déféré au parquet puis </w:t>
      </w:r>
      <w:r w:rsidRPr="00306A83">
        <w:rPr>
          <w:rFonts w:asciiTheme="majorBidi" w:eastAsia="Times New Roman" w:hAnsiTheme="majorBidi" w:cstheme="majorBidi"/>
        </w:rPr>
        <w:t xml:space="preserve">à la Maison d’arrêt et de correction d’Abidjan (MACA). Les responsables de la préfecture de la Police lui ont dévoilé qu’il était à la </w:t>
      </w:r>
      <w:proofErr w:type="spellStart"/>
      <w:r w:rsidRPr="00306A83">
        <w:rPr>
          <w:rFonts w:asciiTheme="majorBidi" w:eastAsia="Times New Roman" w:hAnsiTheme="majorBidi" w:cstheme="majorBidi"/>
        </w:rPr>
        <w:t>Sébroko</w:t>
      </w:r>
      <w:proofErr w:type="spellEnd"/>
      <w:r w:rsidRPr="00306A83">
        <w:rPr>
          <w:rFonts w:asciiTheme="majorBidi" w:eastAsia="Times New Roman" w:hAnsiTheme="majorBidi" w:cstheme="majorBidi"/>
        </w:rPr>
        <w:t xml:space="preserve"> où son téléphone a été repéré pour la dernière fois. </w:t>
      </w:r>
    </w:p>
    <w:p w14:paraId="188CCD17" w14:textId="35C8929A" w:rsidR="003B4185" w:rsidRPr="00306A83" w:rsidRDefault="006803DD" w:rsidP="0017525C">
      <w:p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 xml:space="preserve">Où il a passé 8 mois et 2 semaines et au terme desquels il </w:t>
      </w:r>
      <w:r w:rsidRPr="00306A83">
        <w:rPr>
          <w:rFonts w:asciiTheme="majorBidi" w:eastAsia="Times New Roman" w:hAnsiTheme="majorBidi" w:cstheme="majorBidi"/>
        </w:rPr>
        <w:t>a bénéficié d’un non-lieu. Son arrestation par des individus non identifiés et sa détention dans un lieu non officiel sans accès à son avocat et aux soins médicaux constituent clairement une violation des garanties juridiques fondamentales. Monsieur Kouako</w:t>
      </w:r>
      <w:r w:rsidRPr="00306A83">
        <w:rPr>
          <w:rFonts w:asciiTheme="majorBidi" w:eastAsia="Times New Roman" w:hAnsiTheme="majorBidi" w:cstheme="majorBidi"/>
        </w:rPr>
        <w:t>u a pourtant indiqué au juge du 8</w:t>
      </w:r>
      <w:proofErr w:type="gramStart"/>
      <w:r w:rsidRPr="00306A83">
        <w:rPr>
          <w:rFonts w:asciiTheme="majorBidi" w:eastAsia="Times New Roman" w:hAnsiTheme="majorBidi" w:cstheme="majorBidi"/>
          <w:vertAlign w:val="superscript"/>
        </w:rPr>
        <w:t>e</w:t>
      </w:r>
      <w:r w:rsidRPr="00306A83">
        <w:rPr>
          <w:rFonts w:asciiTheme="majorBidi" w:eastAsia="Times New Roman" w:hAnsiTheme="majorBidi" w:cstheme="majorBidi"/>
        </w:rPr>
        <w:t xml:space="preserve">  cabinet</w:t>
      </w:r>
      <w:proofErr w:type="gramEnd"/>
      <w:r w:rsidRPr="00306A83">
        <w:rPr>
          <w:rFonts w:asciiTheme="majorBidi" w:eastAsia="Times New Roman" w:hAnsiTheme="majorBidi" w:cstheme="majorBidi"/>
        </w:rPr>
        <w:t xml:space="preserve"> d’instruction qu’il a été arrêté et détenu arbitrairement dans un lieu tenu secret où il a été torturé mais ces allégations n’ont donné lieu à aucune enquête. </w:t>
      </w:r>
    </w:p>
    <w:p w14:paraId="6CA4A593" w14:textId="4693A32F" w:rsidR="003B4185" w:rsidRPr="00306A83" w:rsidRDefault="006803DD" w:rsidP="00306A83">
      <w:pPr>
        <w:pStyle w:val="Heading3"/>
        <w:numPr>
          <w:ilvl w:val="0"/>
          <w:numId w:val="38"/>
        </w:numPr>
        <w:rPr>
          <w:rFonts w:cstheme="majorBidi"/>
          <w:szCs w:val="24"/>
        </w:rPr>
      </w:pPr>
      <w:bookmarkStart w:id="18" w:name="_Toc168990357"/>
      <w:r w:rsidRPr="00306A83">
        <w:rPr>
          <w:rFonts w:cstheme="majorBidi"/>
          <w:szCs w:val="24"/>
          <w:highlight w:val="white"/>
        </w:rPr>
        <w:t>La Direction de la surveillance du territoire (</w:t>
      </w:r>
      <w:r w:rsidRPr="00306A83">
        <w:rPr>
          <w:rFonts w:cstheme="majorBidi"/>
          <w:szCs w:val="24"/>
        </w:rPr>
        <w:t>DST</w:t>
      </w:r>
      <w:r w:rsidRPr="00306A83">
        <w:rPr>
          <w:rFonts w:cstheme="majorBidi"/>
          <w:szCs w:val="24"/>
          <w:highlight w:val="white"/>
        </w:rPr>
        <w:t>)</w:t>
      </w:r>
      <w:bookmarkEnd w:id="18"/>
      <w:r w:rsidRPr="00306A83">
        <w:rPr>
          <w:rFonts w:cstheme="majorBidi"/>
          <w:szCs w:val="24"/>
          <w:highlight w:val="white"/>
        </w:rPr>
        <w:t xml:space="preserve"> </w:t>
      </w:r>
    </w:p>
    <w:p w14:paraId="0370D76A" w14:textId="77777777" w:rsidR="003B4185" w:rsidRPr="00306A83" w:rsidRDefault="003B4185">
      <w:pPr>
        <w:spacing w:line="276" w:lineRule="auto"/>
        <w:ind w:left="720"/>
        <w:jc w:val="both"/>
        <w:rPr>
          <w:rFonts w:asciiTheme="majorBidi" w:eastAsia="Times New Roman" w:hAnsiTheme="majorBidi" w:cstheme="majorBidi"/>
          <w:highlight w:val="white"/>
        </w:rPr>
      </w:pPr>
    </w:p>
    <w:p w14:paraId="1B04BD46" w14:textId="77777777" w:rsidR="003B4185" w:rsidRPr="00306A83" w:rsidRDefault="006803DD">
      <w:pPr>
        <w:pBdr>
          <w:bottom w:val="none" w:sz="0" w:space="5" w:color="auto"/>
        </w:pBdr>
        <w:spacing w:before="100" w:line="276" w:lineRule="auto"/>
        <w:jc w:val="both"/>
        <w:rPr>
          <w:rFonts w:asciiTheme="majorBidi" w:eastAsia="Times New Roman" w:hAnsiTheme="majorBidi" w:cstheme="majorBidi"/>
          <w:highlight w:val="white"/>
        </w:rPr>
      </w:pPr>
      <w:r w:rsidRPr="00306A83">
        <w:rPr>
          <w:rFonts w:asciiTheme="majorBidi" w:eastAsia="Times New Roman" w:hAnsiTheme="majorBidi" w:cstheme="majorBidi"/>
          <w:highlight w:val="white"/>
        </w:rPr>
        <w:t xml:space="preserve">La </w:t>
      </w:r>
      <w:r w:rsidRPr="00306A83">
        <w:rPr>
          <w:rFonts w:asciiTheme="majorBidi" w:eastAsia="Times New Roman" w:hAnsiTheme="majorBidi" w:cstheme="majorBidi"/>
          <w:b/>
          <w:highlight w:val="white"/>
        </w:rPr>
        <w:t>Direction de la surveillance du territoire</w:t>
      </w:r>
      <w:r w:rsidRPr="00306A83">
        <w:rPr>
          <w:rFonts w:asciiTheme="majorBidi" w:eastAsia="Times New Roman" w:hAnsiTheme="majorBidi" w:cstheme="majorBidi"/>
          <w:highlight w:val="white"/>
        </w:rPr>
        <w:t xml:space="preserve"> est un service de renseignement ivoirien dépendant du ministère de l'Intérieur. Elle est dirigée depuis le mois de mai 2011 par le lieutenant-colonel de police </w:t>
      </w:r>
      <w:hyperlink r:id="rId16">
        <w:r w:rsidRPr="00306A83">
          <w:rPr>
            <w:rFonts w:asciiTheme="majorBidi" w:eastAsia="Times New Roman" w:hAnsiTheme="majorBidi" w:cstheme="majorBidi"/>
            <w:highlight w:val="white"/>
          </w:rPr>
          <w:t>Inza Touré</w:t>
        </w:r>
      </w:hyperlink>
      <w:r w:rsidRPr="00306A83">
        <w:rPr>
          <w:rFonts w:asciiTheme="majorBidi" w:eastAsia="Times New Roman" w:hAnsiTheme="majorBidi" w:cstheme="majorBidi"/>
          <w:highlight w:val="white"/>
        </w:rPr>
        <w:t xml:space="preserve">. En vertu de l’article 14 du </w:t>
      </w:r>
      <w:proofErr w:type="spellStart"/>
      <w:r w:rsidRPr="00306A83">
        <w:rPr>
          <w:rFonts w:asciiTheme="majorBidi" w:eastAsia="Times New Roman" w:hAnsiTheme="majorBidi" w:cstheme="majorBidi"/>
          <w:highlight w:val="white"/>
        </w:rPr>
        <w:t>Décret</w:t>
      </w:r>
      <w:proofErr w:type="spellEnd"/>
      <w:r w:rsidRPr="00306A83">
        <w:rPr>
          <w:rFonts w:asciiTheme="majorBidi" w:eastAsia="Times New Roman" w:hAnsiTheme="majorBidi" w:cstheme="majorBidi"/>
          <w:highlight w:val="white"/>
        </w:rPr>
        <w:t xml:space="preserve"> N°2011-388 du 16 novembre 2011, elle a pour mission de : </w:t>
      </w:r>
    </w:p>
    <w:p w14:paraId="1FDDF003" w14:textId="77777777" w:rsidR="003B4185" w:rsidRPr="00306A83" w:rsidRDefault="006803DD">
      <w:pPr>
        <w:numPr>
          <w:ilvl w:val="0"/>
          <w:numId w:val="29"/>
        </w:numP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collecter</w:t>
      </w:r>
      <w:proofErr w:type="gramEnd"/>
      <w:r w:rsidRPr="00306A83">
        <w:rPr>
          <w:rFonts w:asciiTheme="majorBidi" w:eastAsia="Times New Roman" w:hAnsiTheme="majorBidi" w:cstheme="majorBidi"/>
        </w:rPr>
        <w:t>, de centraliser, d’analyser, en vue de l’établissement des rapports mensuels destinés au Gouvernement</w:t>
      </w:r>
      <w:r w:rsidRPr="00306A83">
        <w:rPr>
          <w:rFonts w:asciiTheme="majorBidi" w:eastAsia="Times New Roman" w:hAnsiTheme="majorBidi" w:cstheme="majorBidi"/>
        </w:rPr>
        <w:t>, de toute information relevant de sa compétence ou intéressant la sécurité intérieure ;</w:t>
      </w:r>
    </w:p>
    <w:p w14:paraId="204D64CE" w14:textId="77777777" w:rsidR="003B4185" w:rsidRPr="00306A83" w:rsidRDefault="006803DD">
      <w:pPr>
        <w:numPr>
          <w:ilvl w:val="0"/>
          <w:numId w:val="29"/>
        </w:numP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rechercher</w:t>
      </w:r>
      <w:proofErr w:type="gramEnd"/>
      <w:r w:rsidRPr="00306A83">
        <w:rPr>
          <w:rFonts w:asciiTheme="majorBidi" w:eastAsia="Times New Roman" w:hAnsiTheme="majorBidi" w:cstheme="majorBidi"/>
        </w:rPr>
        <w:t>, de centraliser et d’exploiter les renseignements se rapportant à la sûreté de l’Etat ;</w:t>
      </w:r>
    </w:p>
    <w:p w14:paraId="5420F1C6" w14:textId="77777777" w:rsidR="003B4185" w:rsidRPr="00306A83" w:rsidRDefault="006803DD">
      <w:pPr>
        <w:numPr>
          <w:ilvl w:val="0"/>
          <w:numId w:val="29"/>
        </w:numPr>
        <w:pBdr>
          <w:top w:val="nil"/>
          <w:left w:val="nil"/>
          <w:bottom w:val="nil"/>
          <w:right w:val="nil"/>
          <w:between w:val="nil"/>
        </w:pBd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contrôler</w:t>
      </w:r>
      <w:proofErr w:type="gramEnd"/>
      <w:r w:rsidRPr="00306A83">
        <w:rPr>
          <w:rFonts w:asciiTheme="majorBidi" w:eastAsia="Times New Roman" w:hAnsiTheme="majorBidi" w:cstheme="majorBidi"/>
        </w:rPr>
        <w:t xml:space="preserve"> la circulation transfrontalière ;</w:t>
      </w:r>
    </w:p>
    <w:p w14:paraId="0EE828F3" w14:textId="77777777" w:rsidR="003B4185" w:rsidRPr="00306A83" w:rsidRDefault="006803DD">
      <w:pPr>
        <w:numPr>
          <w:ilvl w:val="0"/>
          <w:numId w:val="29"/>
        </w:numPr>
        <w:pBdr>
          <w:top w:val="nil"/>
          <w:left w:val="nil"/>
          <w:bottom w:val="nil"/>
          <w:right w:val="nil"/>
          <w:between w:val="nil"/>
        </w:pBd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exécuter</w:t>
      </w:r>
      <w:proofErr w:type="gramEnd"/>
      <w:r w:rsidRPr="00306A83">
        <w:rPr>
          <w:rFonts w:asciiTheme="majorBidi" w:eastAsia="Times New Roman" w:hAnsiTheme="majorBidi" w:cstheme="majorBidi"/>
        </w:rPr>
        <w:t xml:space="preserve"> les mesures de </w:t>
      </w:r>
      <w:r w:rsidRPr="00306A83">
        <w:rPr>
          <w:rFonts w:asciiTheme="majorBidi" w:eastAsia="Times New Roman" w:hAnsiTheme="majorBidi" w:cstheme="majorBidi"/>
        </w:rPr>
        <w:t>police concernant les étrangers ;</w:t>
      </w:r>
    </w:p>
    <w:p w14:paraId="7B77BAF4" w14:textId="77777777" w:rsidR="003B4185" w:rsidRPr="00306A83" w:rsidRDefault="006803DD">
      <w:pPr>
        <w:numPr>
          <w:ilvl w:val="0"/>
          <w:numId w:val="29"/>
        </w:numPr>
        <w:pBdr>
          <w:top w:val="nil"/>
          <w:left w:val="nil"/>
          <w:bottom w:val="nil"/>
          <w:right w:val="nil"/>
          <w:between w:val="nil"/>
        </w:pBd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assurer</w:t>
      </w:r>
      <w:proofErr w:type="gramEnd"/>
      <w:r w:rsidRPr="00306A83">
        <w:rPr>
          <w:rFonts w:asciiTheme="majorBidi" w:eastAsia="Times New Roman" w:hAnsiTheme="majorBidi" w:cstheme="majorBidi"/>
        </w:rPr>
        <w:t xml:space="preserve"> la surveillance des frontières terrestres, maritimes, fluviales et aériennes ;</w:t>
      </w:r>
    </w:p>
    <w:p w14:paraId="3B4C2A30" w14:textId="77777777" w:rsidR="003B4185" w:rsidRPr="00306A83" w:rsidRDefault="006803DD">
      <w:pPr>
        <w:numPr>
          <w:ilvl w:val="0"/>
          <w:numId w:val="29"/>
        </w:numPr>
        <w:pBdr>
          <w:top w:val="nil"/>
          <w:left w:val="nil"/>
          <w:bottom w:val="nil"/>
          <w:right w:val="nil"/>
          <w:between w:val="nil"/>
        </w:pBd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lutter</w:t>
      </w:r>
      <w:proofErr w:type="gramEnd"/>
      <w:r w:rsidRPr="00306A83">
        <w:rPr>
          <w:rFonts w:asciiTheme="majorBidi" w:eastAsia="Times New Roman" w:hAnsiTheme="majorBidi" w:cstheme="majorBidi"/>
        </w:rPr>
        <w:t xml:space="preserve"> contre les atteintes à la sûreté intérieure de l’Etat ;</w:t>
      </w:r>
    </w:p>
    <w:p w14:paraId="73FB3D8A" w14:textId="77777777" w:rsidR="003B4185" w:rsidRPr="00306A83" w:rsidRDefault="006803DD">
      <w:pPr>
        <w:numPr>
          <w:ilvl w:val="0"/>
          <w:numId w:val="29"/>
        </w:numPr>
        <w:pBdr>
          <w:top w:val="nil"/>
          <w:left w:val="nil"/>
          <w:bottom w:val="nil"/>
          <w:right w:val="nil"/>
          <w:between w:val="nil"/>
        </w:pBd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délivrer</w:t>
      </w:r>
      <w:proofErr w:type="gramEnd"/>
      <w:r w:rsidRPr="00306A83">
        <w:rPr>
          <w:rFonts w:asciiTheme="majorBidi" w:eastAsia="Times New Roman" w:hAnsiTheme="majorBidi" w:cstheme="majorBidi"/>
        </w:rPr>
        <w:t xml:space="preserve"> les passeports, laissez-passer ainsi que les visas d’entrée et </w:t>
      </w:r>
      <w:r w:rsidRPr="00306A83">
        <w:rPr>
          <w:rFonts w:asciiTheme="majorBidi" w:eastAsia="Times New Roman" w:hAnsiTheme="majorBidi" w:cstheme="majorBidi"/>
        </w:rPr>
        <w:t>de sortie ;</w:t>
      </w:r>
    </w:p>
    <w:p w14:paraId="0874C9A1" w14:textId="77777777" w:rsidR="003B4185" w:rsidRPr="00306A83" w:rsidRDefault="006803DD">
      <w:pPr>
        <w:numPr>
          <w:ilvl w:val="0"/>
          <w:numId w:val="29"/>
        </w:numPr>
        <w:pBdr>
          <w:top w:val="nil"/>
          <w:left w:val="nil"/>
          <w:bottom w:val="nil"/>
          <w:right w:val="nil"/>
          <w:between w:val="nil"/>
        </w:pBdr>
        <w:spacing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contrôler</w:t>
      </w:r>
      <w:proofErr w:type="gramEnd"/>
      <w:r w:rsidRPr="00306A83">
        <w:rPr>
          <w:rFonts w:asciiTheme="majorBidi" w:eastAsia="Times New Roman" w:hAnsiTheme="majorBidi" w:cstheme="majorBidi"/>
        </w:rPr>
        <w:t xml:space="preserve"> les entreprises ou sociétés privées de sécurité et de transport de fonds ;</w:t>
      </w:r>
    </w:p>
    <w:p w14:paraId="0367C796" w14:textId="77777777" w:rsidR="003B4185" w:rsidRPr="00306A83" w:rsidRDefault="006803DD">
      <w:pPr>
        <w:numPr>
          <w:ilvl w:val="0"/>
          <w:numId w:val="29"/>
        </w:numPr>
        <w:pBdr>
          <w:top w:val="nil"/>
          <w:left w:val="nil"/>
          <w:bottom w:val="nil"/>
          <w:right w:val="nil"/>
          <w:between w:val="nil"/>
        </w:pBdr>
        <w:spacing w:after="160" w:line="259" w:lineRule="auto"/>
        <w:jc w:val="both"/>
        <w:rPr>
          <w:rFonts w:asciiTheme="majorBidi" w:eastAsia="Times New Roman" w:hAnsiTheme="majorBidi" w:cstheme="majorBidi"/>
        </w:rPr>
      </w:pPr>
      <w:proofErr w:type="gramStart"/>
      <w:r w:rsidRPr="00306A83">
        <w:rPr>
          <w:rFonts w:asciiTheme="majorBidi" w:eastAsia="Times New Roman" w:hAnsiTheme="majorBidi" w:cstheme="majorBidi"/>
        </w:rPr>
        <w:t>traiter</w:t>
      </w:r>
      <w:proofErr w:type="gramEnd"/>
      <w:r w:rsidRPr="00306A83">
        <w:rPr>
          <w:rFonts w:asciiTheme="majorBidi" w:eastAsia="Times New Roman" w:hAnsiTheme="majorBidi" w:cstheme="majorBidi"/>
        </w:rPr>
        <w:t xml:space="preserve"> les dossiers relatifs aux demandes de permis de port d'armes et de toutes les questions se rapportant aux armes, munitions et substances explosives</w:t>
      </w:r>
      <w:r w:rsidRPr="00306A83">
        <w:rPr>
          <w:rFonts w:asciiTheme="majorBidi" w:eastAsia="Times New Roman" w:hAnsiTheme="majorBidi" w:cstheme="majorBidi"/>
          <w:vertAlign w:val="superscript"/>
        </w:rPr>
        <w:footnoteReference w:id="43"/>
      </w:r>
      <w:r w:rsidRPr="00306A83">
        <w:rPr>
          <w:rFonts w:asciiTheme="majorBidi" w:eastAsia="Times New Roman" w:hAnsiTheme="majorBidi" w:cstheme="majorBidi"/>
        </w:rPr>
        <w:t>.</w:t>
      </w:r>
    </w:p>
    <w:p w14:paraId="71054B2C" w14:textId="28E81300" w:rsidR="003B4185" w:rsidRPr="00306A83" w:rsidRDefault="006803DD" w:rsidP="00306A83">
      <w:pPr>
        <w:spacing w:after="160" w:line="259" w:lineRule="auto"/>
        <w:jc w:val="both"/>
        <w:rPr>
          <w:rFonts w:asciiTheme="majorBidi" w:eastAsia="Arial" w:hAnsiTheme="majorBidi" w:cstheme="majorBidi"/>
          <w:color w:val="4D5156"/>
          <w:highlight w:val="white"/>
        </w:rPr>
      </w:pPr>
      <w:r w:rsidRPr="00306A83">
        <w:rPr>
          <w:rFonts w:asciiTheme="majorBidi" w:eastAsia="Times New Roman" w:hAnsiTheme="majorBidi" w:cstheme="majorBidi"/>
        </w:rPr>
        <w:t>Cet arrêté ne constitue pas une base légale suffisante et solide pour faire des locaux de la DST un lieu officiel et légitime de détention. Pourtant dans l'exercice de ses missions, elle procède à des missions de police à travers l’interpellation, l’arrest</w:t>
      </w:r>
      <w:r w:rsidRPr="00306A83">
        <w:rPr>
          <w:rFonts w:asciiTheme="majorBidi" w:eastAsia="Times New Roman" w:hAnsiTheme="majorBidi" w:cstheme="majorBidi"/>
        </w:rPr>
        <w:t xml:space="preserve">ation et de détention de personnes soupçonnées d'actes tombant sous sa juridiction. Toutefois ses activités de police judiciaire semblent échapper à tout contrôle du pouvoir judiciaire et d’autres organes de surveillance comme les </w:t>
      </w:r>
      <w:proofErr w:type="spellStart"/>
      <w:r w:rsidRPr="00306A83">
        <w:rPr>
          <w:rFonts w:asciiTheme="majorBidi" w:eastAsia="Times New Roman" w:hAnsiTheme="majorBidi" w:cstheme="majorBidi"/>
        </w:rPr>
        <w:t>ONGs</w:t>
      </w:r>
      <w:proofErr w:type="spellEnd"/>
      <w:r w:rsidRPr="00306A83">
        <w:rPr>
          <w:rFonts w:asciiTheme="majorBidi" w:eastAsia="Times New Roman" w:hAnsiTheme="majorBidi" w:cstheme="majorBidi"/>
        </w:rPr>
        <w:t xml:space="preserve"> et la CNDH. Nos orga</w:t>
      </w:r>
      <w:r w:rsidRPr="00306A83">
        <w:rPr>
          <w:rFonts w:asciiTheme="majorBidi" w:eastAsia="Times New Roman" w:hAnsiTheme="majorBidi" w:cstheme="majorBidi"/>
        </w:rPr>
        <w:t xml:space="preserve">nisations ont documenté de nombreux témoignages attestant que les locaux de la DST servent de lieu de privation de liberté incommunicado. Les </w:t>
      </w:r>
      <w:r w:rsidRPr="00306A83">
        <w:rPr>
          <w:rFonts w:asciiTheme="majorBidi" w:eastAsia="Times New Roman" w:hAnsiTheme="majorBidi" w:cstheme="majorBidi"/>
        </w:rPr>
        <w:lastRenderedPageBreak/>
        <w:t>demandes d'</w:t>
      </w:r>
      <w:proofErr w:type="spellStart"/>
      <w:r w:rsidRPr="00306A83">
        <w:rPr>
          <w:rFonts w:asciiTheme="majorBidi" w:eastAsia="Times New Roman" w:hAnsiTheme="majorBidi" w:cstheme="majorBidi"/>
        </w:rPr>
        <w:t>accès</w:t>
      </w:r>
      <w:proofErr w:type="spellEnd"/>
      <w:r w:rsidRPr="00306A83">
        <w:rPr>
          <w:rFonts w:asciiTheme="majorBidi" w:eastAsia="Times New Roman" w:hAnsiTheme="majorBidi" w:cstheme="majorBidi"/>
        </w:rPr>
        <w:t xml:space="preserve"> aux prisonniers par leurs avocats et leurs familles sont impossibles</w:t>
      </w:r>
      <w:r w:rsidRPr="00306A83">
        <w:rPr>
          <w:rFonts w:asciiTheme="majorBidi" w:eastAsia="Times New Roman" w:hAnsiTheme="majorBidi" w:cstheme="majorBidi"/>
          <w:vertAlign w:val="superscript"/>
        </w:rPr>
        <w:footnoteReference w:id="44"/>
      </w:r>
      <w:r w:rsidRPr="00306A83">
        <w:rPr>
          <w:rFonts w:asciiTheme="majorBidi" w:eastAsia="Times New Roman" w:hAnsiTheme="majorBidi" w:cstheme="majorBidi"/>
        </w:rPr>
        <w:t>. Le gouvernement n’autori</w:t>
      </w:r>
      <w:r w:rsidRPr="00306A83">
        <w:rPr>
          <w:rFonts w:asciiTheme="majorBidi" w:eastAsia="Times New Roman" w:hAnsiTheme="majorBidi" w:cstheme="majorBidi"/>
        </w:rPr>
        <w:t xml:space="preserve">se pas les </w:t>
      </w:r>
      <w:proofErr w:type="spellStart"/>
      <w:r w:rsidRPr="00306A83">
        <w:rPr>
          <w:rFonts w:asciiTheme="majorBidi" w:eastAsia="Times New Roman" w:hAnsiTheme="majorBidi" w:cstheme="majorBidi"/>
        </w:rPr>
        <w:t>ONGs</w:t>
      </w:r>
      <w:proofErr w:type="spellEnd"/>
      <w:r w:rsidRPr="00306A83">
        <w:rPr>
          <w:rFonts w:asciiTheme="majorBidi" w:eastAsia="Times New Roman" w:hAnsiTheme="majorBidi" w:cstheme="majorBidi"/>
        </w:rPr>
        <w:t xml:space="preserve"> à visiter les locaux de la DST. </w:t>
      </w:r>
      <w:r w:rsidRPr="00306A83">
        <w:rPr>
          <w:rFonts w:asciiTheme="majorBidi" w:eastAsia="Times New Roman" w:hAnsiTheme="majorBidi" w:cstheme="majorBidi"/>
          <w:highlight w:val="white"/>
        </w:rPr>
        <w:t xml:space="preserve">Il arrive même que la </w:t>
      </w:r>
      <w:r w:rsidRPr="00306A83">
        <w:rPr>
          <w:rFonts w:asciiTheme="majorBidi" w:eastAsia="Times New Roman" w:hAnsiTheme="majorBidi" w:cstheme="majorBidi"/>
          <w:b/>
        </w:rPr>
        <w:t>DST</w:t>
      </w:r>
      <w:r w:rsidRPr="00306A83">
        <w:rPr>
          <w:rFonts w:asciiTheme="majorBidi" w:eastAsia="Times New Roman" w:hAnsiTheme="majorBidi" w:cstheme="majorBidi"/>
          <w:highlight w:val="white"/>
        </w:rPr>
        <w:t xml:space="preserve"> refuse l'accès à des institutions telles que la Commission nationale des droits de l'homme de Côte d'Ivoire (</w:t>
      </w:r>
      <w:r w:rsidRPr="00306A83">
        <w:rPr>
          <w:rFonts w:asciiTheme="majorBidi" w:eastAsia="Times New Roman" w:hAnsiTheme="majorBidi" w:cstheme="majorBidi"/>
          <w:b/>
        </w:rPr>
        <w:t>CNDHCI</w:t>
      </w:r>
      <w:r w:rsidRPr="00306A83">
        <w:rPr>
          <w:rFonts w:asciiTheme="majorBidi" w:eastAsia="Times New Roman" w:hAnsiTheme="majorBidi" w:cstheme="majorBidi"/>
          <w:highlight w:val="white"/>
        </w:rPr>
        <w:t>)</w:t>
      </w:r>
      <w:r w:rsidRPr="00306A83">
        <w:rPr>
          <w:rFonts w:asciiTheme="majorBidi" w:eastAsia="Times New Roman" w:hAnsiTheme="majorBidi" w:cstheme="majorBidi"/>
          <w:highlight w:val="white"/>
          <w:vertAlign w:val="superscript"/>
        </w:rPr>
        <w:footnoteReference w:id="45"/>
      </w:r>
      <w:r w:rsidRPr="00306A83">
        <w:rPr>
          <w:rFonts w:asciiTheme="majorBidi" w:eastAsia="Arial" w:hAnsiTheme="majorBidi" w:cstheme="majorBidi"/>
          <w:color w:val="4D5156"/>
          <w:highlight w:val="white"/>
        </w:rPr>
        <w:t>.</w:t>
      </w:r>
    </w:p>
    <w:p w14:paraId="7321C161" w14:textId="77777777" w:rsidR="003B4185" w:rsidRPr="00306A83" w:rsidRDefault="003B4185">
      <w:pPr>
        <w:spacing w:line="259" w:lineRule="auto"/>
        <w:jc w:val="both"/>
        <w:rPr>
          <w:rFonts w:asciiTheme="majorBidi" w:eastAsia="Times New Roman" w:hAnsiTheme="majorBidi" w:cstheme="majorBidi"/>
          <w:color w:val="0078D4"/>
        </w:rPr>
      </w:pPr>
    </w:p>
    <w:tbl>
      <w:tblPr>
        <w:tblStyle w:val="a1"/>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01542E00" w14:textId="77777777">
        <w:tc>
          <w:tcPr>
            <w:tcW w:w="9066" w:type="dxa"/>
            <w:shd w:val="clear" w:color="auto" w:fill="auto"/>
            <w:tcMar>
              <w:top w:w="100" w:type="dxa"/>
              <w:left w:w="100" w:type="dxa"/>
              <w:bottom w:w="100" w:type="dxa"/>
              <w:right w:w="100" w:type="dxa"/>
            </w:tcMar>
          </w:tcPr>
          <w:p w14:paraId="7104A3BE" w14:textId="73D1050B"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 xml:space="preserve">Recommandations </w:t>
            </w:r>
            <w:r w:rsidRPr="00306A83">
              <w:rPr>
                <w:rFonts w:asciiTheme="majorBidi" w:eastAsia="Times New Roman" w:hAnsiTheme="majorBidi" w:cstheme="majorBidi"/>
              </w:rPr>
              <w:t xml:space="preserve">: </w:t>
            </w:r>
          </w:p>
          <w:p w14:paraId="5A0A9374" w14:textId="77777777" w:rsidR="003B4185" w:rsidRPr="00306A83" w:rsidRDefault="003B4185">
            <w:pPr>
              <w:spacing w:line="259" w:lineRule="auto"/>
              <w:jc w:val="both"/>
              <w:rPr>
                <w:rFonts w:asciiTheme="majorBidi" w:eastAsia="Times New Roman" w:hAnsiTheme="majorBidi" w:cstheme="majorBidi"/>
              </w:rPr>
            </w:pPr>
          </w:p>
          <w:p w14:paraId="62C7A47A" w14:textId="77777777" w:rsidR="003B4185" w:rsidRPr="00306A83" w:rsidRDefault="006803DD">
            <w:pPr>
              <w:numPr>
                <w:ilvl w:val="0"/>
                <w:numId w:val="1"/>
              </w:numPr>
              <w:spacing w:before="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Ouvrir des enquêtes sur les arrestations, détentions et actes de torture ayant eu lieu au sein de l’ex </w:t>
            </w:r>
            <w:proofErr w:type="spellStart"/>
            <w:r w:rsidRPr="00306A83">
              <w:rPr>
                <w:rFonts w:asciiTheme="majorBidi" w:eastAsia="Times New Roman" w:hAnsiTheme="majorBidi" w:cstheme="majorBidi"/>
              </w:rPr>
              <w:t>hotel</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sébroko</w:t>
            </w:r>
            <w:proofErr w:type="spellEnd"/>
            <w:r w:rsidRPr="00306A83">
              <w:rPr>
                <w:rFonts w:asciiTheme="majorBidi" w:eastAsia="Times New Roman" w:hAnsiTheme="majorBidi" w:cstheme="majorBidi"/>
              </w:rPr>
              <w:t xml:space="preserve"> afin d’</w:t>
            </w:r>
            <w:proofErr w:type="spellStart"/>
            <w:r w:rsidRPr="00306A83">
              <w:rPr>
                <w:rFonts w:asciiTheme="majorBidi" w:eastAsia="Times New Roman" w:hAnsiTheme="majorBidi" w:cstheme="majorBidi"/>
              </w:rPr>
              <w:t>indentifier</w:t>
            </w:r>
            <w:proofErr w:type="spellEnd"/>
            <w:r w:rsidRPr="00306A83">
              <w:rPr>
                <w:rFonts w:asciiTheme="majorBidi" w:eastAsia="Times New Roman" w:hAnsiTheme="majorBidi" w:cstheme="majorBidi"/>
              </w:rPr>
              <w:t xml:space="preserve"> les auteurs et les </w:t>
            </w:r>
            <w:proofErr w:type="spellStart"/>
            <w:r w:rsidRPr="00306A83">
              <w:rPr>
                <w:rFonts w:asciiTheme="majorBidi" w:eastAsia="Times New Roman" w:hAnsiTheme="majorBidi" w:cstheme="majorBidi"/>
              </w:rPr>
              <w:t>traduires</w:t>
            </w:r>
            <w:proofErr w:type="spellEnd"/>
            <w:r w:rsidRPr="00306A83">
              <w:rPr>
                <w:rFonts w:asciiTheme="majorBidi" w:eastAsia="Times New Roman" w:hAnsiTheme="majorBidi" w:cstheme="majorBidi"/>
              </w:rPr>
              <w:t xml:space="preserve"> devant les juridictions </w:t>
            </w:r>
            <w:proofErr w:type="gramStart"/>
            <w:r w:rsidRPr="00306A83">
              <w:rPr>
                <w:rFonts w:asciiTheme="majorBidi" w:eastAsia="Times New Roman" w:hAnsiTheme="majorBidi" w:cstheme="majorBidi"/>
              </w:rPr>
              <w:t>compétentes;</w:t>
            </w:r>
            <w:proofErr w:type="gramEnd"/>
            <w:r w:rsidRPr="00306A83">
              <w:rPr>
                <w:rFonts w:asciiTheme="majorBidi" w:eastAsia="Times New Roman" w:hAnsiTheme="majorBidi" w:cstheme="majorBidi"/>
              </w:rPr>
              <w:t xml:space="preserve"> </w:t>
            </w:r>
          </w:p>
          <w:p w14:paraId="1FFDC645" w14:textId="77777777" w:rsidR="003B4185" w:rsidRPr="00306A83" w:rsidRDefault="006803DD">
            <w:pPr>
              <w:numPr>
                <w:ilvl w:val="0"/>
                <w:numId w:val="1"/>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Fournir au </w:t>
            </w:r>
            <w:proofErr w:type="spellStart"/>
            <w:r w:rsidRPr="00306A83">
              <w:rPr>
                <w:rFonts w:asciiTheme="majorBidi" w:eastAsia="Times New Roman" w:hAnsiTheme="majorBidi" w:cstheme="majorBidi"/>
              </w:rPr>
              <w:t>Comite</w:t>
            </w:r>
            <w:proofErr w:type="spellEnd"/>
            <w:r w:rsidRPr="00306A83">
              <w:rPr>
                <w:rFonts w:asciiTheme="majorBidi" w:eastAsia="Times New Roman" w:hAnsiTheme="majorBidi" w:cstheme="majorBidi"/>
              </w:rPr>
              <w:t xml:space="preserve">́, lors de la </w:t>
            </w:r>
            <w:proofErr w:type="spellStart"/>
            <w:r w:rsidRPr="00306A83">
              <w:rPr>
                <w:rFonts w:asciiTheme="majorBidi" w:eastAsia="Times New Roman" w:hAnsiTheme="majorBidi" w:cstheme="majorBidi"/>
              </w:rPr>
              <w:t>présentation</w:t>
            </w:r>
            <w:proofErr w:type="spellEnd"/>
            <w:r w:rsidRPr="00306A83">
              <w:rPr>
                <w:rFonts w:asciiTheme="majorBidi" w:eastAsia="Times New Roman" w:hAnsiTheme="majorBidi" w:cstheme="majorBidi"/>
              </w:rPr>
              <w:t xml:space="preserve"> de son p</w:t>
            </w:r>
            <w:r w:rsidRPr="00306A83">
              <w:rPr>
                <w:rFonts w:asciiTheme="majorBidi" w:eastAsia="Times New Roman" w:hAnsiTheme="majorBidi" w:cstheme="majorBidi"/>
              </w:rPr>
              <w:t xml:space="preserve">rochain rapport </w:t>
            </w:r>
            <w:proofErr w:type="spellStart"/>
            <w:r w:rsidRPr="00306A83">
              <w:rPr>
                <w:rFonts w:asciiTheme="majorBidi" w:eastAsia="Times New Roman" w:hAnsiTheme="majorBidi" w:cstheme="majorBidi"/>
              </w:rPr>
              <w:t>périodique</w:t>
            </w:r>
            <w:proofErr w:type="spellEnd"/>
            <w:r w:rsidRPr="00306A83">
              <w:rPr>
                <w:rFonts w:asciiTheme="majorBidi" w:eastAsia="Times New Roman" w:hAnsiTheme="majorBidi" w:cstheme="majorBidi"/>
              </w:rPr>
              <w:t xml:space="preserve">, une liste exhaustive de tous ses lieux de </w:t>
            </w:r>
            <w:proofErr w:type="spellStart"/>
            <w:r w:rsidRPr="00306A83">
              <w:rPr>
                <w:rFonts w:asciiTheme="majorBidi" w:eastAsia="Times New Roman" w:hAnsiTheme="majorBidi" w:cstheme="majorBidi"/>
              </w:rPr>
              <w:t>détention</w:t>
            </w:r>
            <w:proofErr w:type="spellEnd"/>
            <w:r w:rsidRPr="00306A83">
              <w:rPr>
                <w:rFonts w:asciiTheme="majorBidi" w:eastAsia="Times New Roman" w:hAnsiTheme="majorBidi" w:cstheme="majorBidi"/>
              </w:rPr>
              <w:t xml:space="preserve"> officiels et fermer tous les lieux non officiels de détentions y compris ceux des services de </w:t>
            </w:r>
            <w:proofErr w:type="gramStart"/>
            <w:r w:rsidRPr="00306A83">
              <w:rPr>
                <w:rFonts w:asciiTheme="majorBidi" w:eastAsia="Times New Roman" w:hAnsiTheme="majorBidi" w:cstheme="majorBidi"/>
              </w:rPr>
              <w:t>renseignement;</w:t>
            </w:r>
            <w:proofErr w:type="gramEnd"/>
          </w:p>
          <w:p w14:paraId="65AC18C2" w14:textId="77777777" w:rsidR="003B4185" w:rsidRPr="00306A83" w:rsidRDefault="006803DD">
            <w:pPr>
              <w:numPr>
                <w:ilvl w:val="0"/>
                <w:numId w:val="1"/>
              </w:numPr>
              <w:spacing w:after="240" w:line="259" w:lineRule="auto"/>
              <w:jc w:val="both"/>
              <w:rPr>
                <w:rFonts w:asciiTheme="majorBidi" w:eastAsia="Times New Roman" w:hAnsiTheme="majorBidi" w:cstheme="majorBidi"/>
              </w:rPr>
            </w:pPr>
            <w:proofErr w:type="spellStart"/>
            <w:r w:rsidRPr="00306A83">
              <w:rPr>
                <w:rFonts w:asciiTheme="majorBidi" w:eastAsia="Times New Roman" w:hAnsiTheme="majorBidi" w:cstheme="majorBidi"/>
              </w:rPr>
              <w:t>Réviser</w:t>
            </w:r>
            <w:proofErr w:type="spellEnd"/>
            <w:r w:rsidRPr="00306A83">
              <w:rPr>
                <w:rFonts w:asciiTheme="majorBidi" w:eastAsia="Times New Roman" w:hAnsiTheme="majorBidi" w:cstheme="majorBidi"/>
              </w:rPr>
              <w:t xml:space="preserve"> son cadre </w:t>
            </w:r>
            <w:proofErr w:type="spellStart"/>
            <w:r w:rsidRPr="00306A83">
              <w:rPr>
                <w:rFonts w:asciiTheme="majorBidi" w:eastAsia="Times New Roman" w:hAnsiTheme="majorBidi" w:cstheme="majorBidi"/>
              </w:rPr>
              <w:t>législatif</w:t>
            </w:r>
            <w:proofErr w:type="spellEnd"/>
            <w:r w:rsidRPr="00306A83">
              <w:rPr>
                <w:rFonts w:asciiTheme="majorBidi" w:eastAsia="Times New Roman" w:hAnsiTheme="majorBidi" w:cstheme="majorBidi"/>
              </w:rPr>
              <w:t xml:space="preserve"> et sa pratique, afin que toutes le</w:t>
            </w:r>
            <w:r w:rsidRPr="00306A83">
              <w:rPr>
                <w:rFonts w:asciiTheme="majorBidi" w:eastAsia="Times New Roman" w:hAnsiTheme="majorBidi" w:cstheme="majorBidi"/>
              </w:rPr>
              <w:t xml:space="preserve">s arrestations et </w:t>
            </w:r>
            <w:proofErr w:type="spellStart"/>
            <w:r w:rsidRPr="00306A83">
              <w:rPr>
                <w:rFonts w:asciiTheme="majorBidi" w:eastAsia="Times New Roman" w:hAnsiTheme="majorBidi" w:cstheme="majorBidi"/>
              </w:rPr>
              <w:t>détentions</w:t>
            </w:r>
            <w:proofErr w:type="spellEnd"/>
            <w:r w:rsidRPr="00306A83">
              <w:rPr>
                <w:rFonts w:asciiTheme="majorBidi" w:eastAsia="Times New Roman" w:hAnsiTheme="majorBidi" w:cstheme="majorBidi"/>
              </w:rPr>
              <w:t xml:space="preserve">, y compris celles qui sont sous la </w:t>
            </w:r>
            <w:proofErr w:type="spellStart"/>
            <w:r w:rsidRPr="00306A83">
              <w:rPr>
                <w:rFonts w:asciiTheme="majorBidi" w:eastAsia="Times New Roman" w:hAnsiTheme="majorBidi" w:cstheme="majorBidi"/>
              </w:rPr>
              <w:t>responsabilite</w:t>
            </w:r>
            <w:proofErr w:type="spellEnd"/>
            <w:r w:rsidRPr="00306A83">
              <w:rPr>
                <w:rFonts w:asciiTheme="majorBidi" w:eastAsia="Times New Roman" w:hAnsiTheme="majorBidi" w:cstheme="majorBidi"/>
              </w:rPr>
              <w:t xml:space="preserve">́ des services de renseignements y compris la DST, soient soumises au </w:t>
            </w:r>
            <w:proofErr w:type="spellStart"/>
            <w:r w:rsidRPr="00306A83">
              <w:rPr>
                <w:rFonts w:asciiTheme="majorBidi" w:eastAsia="Times New Roman" w:hAnsiTheme="majorBidi" w:cstheme="majorBidi"/>
              </w:rPr>
              <w:t>contrôle</w:t>
            </w:r>
            <w:proofErr w:type="spellEnd"/>
            <w:r w:rsidRPr="00306A83">
              <w:rPr>
                <w:rFonts w:asciiTheme="majorBidi" w:eastAsia="Times New Roman" w:hAnsiTheme="majorBidi" w:cstheme="majorBidi"/>
              </w:rPr>
              <w:t xml:space="preserve"> de l’</w:t>
            </w:r>
            <w:proofErr w:type="spellStart"/>
            <w:r w:rsidRPr="00306A83">
              <w:rPr>
                <w:rFonts w:asciiTheme="majorBidi" w:eastAsia="Times New Roman" w:hAnsiTheme="majorBidi" w:cstheme="majorBidi"/>
              </w:rPr>
              <w:t>autorite</w:t>
            </w:r>
            <w:proofErr w:type="spellEnd"/>
            <w:r w:rsidRPr="00306A83">
              <w:rPr>
                <w:rFonts w:asciiTheme="majorBidi" w:eastAsia="Times New Roman" w:hAnsiTheme="majorBidi" w:cstheme="majorBidi"/>
              </w:rPr>
              <w:t>́ judiciaire.</w:t>
            </w:r>
          </w:p>
          <w:p w14:paraId="163EC690" w14:textId="285584B6" w:rsidR="003B4185" w:rsidRPr="00306A83" w:rsidRDefault="003B4185">
            <w:pPr>
              <w:spacing w:line="259" w:lineRule="auto"/>
              <w:jc w:val="both"/>
              <w:rPr>
                <w:rFonts w:asciiTheme="majorBidi" w:eastAsia="Times New Roman" w:hAnsiTheme="majorBidi" w:cstheme="majorBidi"/>
              </w:rPr>
            </w:pPr>
          </w:p>
        </w:tc>
      </w:tr>
    </w:tbl>
    <w:p w14:paraId="53C3E5D9" w14:textId="77777777" w:rsidR="003B4185" w:rsidRPr="00306A83" w:rsidRDefault="003B4185">
      <w:pPr>
        <w:spacing w:after="160" w:line="259" w:lineRule="auto"/>
        <w:jc w:val="both"/>
        <w:rPr>
          <w:rFonts w:asciiTheme="majorBidi" w:eastAsia="Arial" w:hAnsiTheme="majorBidi" w:cstheme="majorBidi"/>
          <w:color w:val="4D5156"/>
          <w:highlight w:val="white"/>
        </w:rPr>
      </w:pPr>
    </w:p>
    <w:p w14:paraId="1D558EF6" w14:textId="014DE11F" w:rsidR="003B4185" w:rsidRPr="00306A83" w:rsidRDefault="006803DD" w:rsidP="00FF3C17">
      <w:pPr>
        <w:pStyle w:val="Heading1"/>
        <w:numPr>
          <w:ilvl w:val="0"/>
          <w:numId w:val="35"/>
        </w:numPr>
        <w:jc w:val="both"/>
      </w:pPr>
      <w:bookmarkStart w:id="19" w:name="_Toc168990358"/>
      <w:r w:rsidRPr="00306A83">
        <w:t xml:space="preserve">Une chaine pénale peu formée et une population non </w:t>
      </w:r>
      <w:r w:rsidRPr="00306A83">
        <w:t>sensibilisée à l’interdiction absolue de la torture et des mauvais traitements (Article 10 de la Convention)</w:t>
      </w:r>
      <w:bookmarkEnd w:id="19"/>
    </w:p>
    <w:p w14:paraId="765A3C6B" w14:textId="15A02040"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A la lumière du rapport initial de l’</w:t>
      </w:r>
      <w:r w:rsidR="00FF3C17" w:rsidRPr="00306A83">
        <w:rPr>
          <w:rFonts w:asciiTheme="majorBidi" w:eastAsia="Times New Roman" w:hAnsiTheme="majorBidi" w:cstheme="majorBidi"/>
        </w:rPr>
        <w:t>État</w:t>
      </w:r>
      <w:r w:rsidRPr="00306A83">
        <w:rPr>
          <w:rFonts w:asciiTheme="majorBidi" w:eastAsia="Times New Roman" w:hAnsiTheme="majorBidi" w:cstheme="majorBidi"/>
        </w:rPr>
        <w:t>, aucune mention n’est faite d’un module de formation exclusif sur la torture et les mauvais traitements à</w:t>
      </w:r>
      <w:r w:rsidRPr="00306A83">
        <w:rPr>
          <w:rFonts w:asciiTheme="majorBidi" w:eastAsia="Times New Roman" w:hAnsiTheme="majorBidi" w:cstheme="majorBidi"/>
        </w:rPr>
        <w:t xml:space="preserve"> l’endroit de tous les acteurs de la chaine pénale ivoirienne.</w:t>
      </w:r>
    </w:p>
    <w:p w14:paraId="7ECCD8E4"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Le rapport s’est résumé à relever les actions des organisations de la société civile, notamment de l’ACAT-CI et de la FIACAT qui ont élaboré un module de formation sur la prévention de la tortu</w:t>
      </w:r>
      <w:r w:rsidRPr="00306A83">
        <w:rPr>
          <w:rFonts w:asciiTheme="majorBidi" w:eastAsia="Times New Roman" w:hAnsiTheme="majorBidi" w:cstheme="majorBidi"/>
        </w:rPr>
        <w:t>re et des mauvais traitements dont des séquences sont enseignées à l’école de formation des agents pénitentiaires.</w:t>
      </w:r>
    </w:p>
    <w:p w14:paraId="13A9A4FB"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Il ressort donc la nécessité de renforcer les capacités des officiers de police judiciaire (OPJ), des avocats, des magistrats du parquet, des</w:t>
      </w:r>
      <w:r w:rsidRPr="00306A83">
        <w:rPr>
          <w:rFonts w:asciiTheme="majorBidi" w:eastAsia="Times New Roman" w:hAnsiTheme="majorBidi" w:cstheme="majorBidi"/>
        </w:rPr>
        <w:t xml:space="preserve"> juges d’instruction, du greffier, du personnel de l’administration pénitentiaire, du greffier pénitencier, du service de la protection judiciaire de l’enfance et de la jeunesse et des magistrats du siège sur la torture et les mauvais traitements. En parti</w:t>
      </w:r>
      <w:r w:rsidRPr="00306A83">
        <w:rPr>
          <w:rFonts w:asciiTheme="majorBidi" w:eastAsia="Times New Roman" w:hAnsiTheme="majorBidi" w:cstheme="majorBidi"/>
        </w:rPr>
        <w:t>culier, ces formations doivent porter sur les dispositions de la Convention contre la torture, ainsi que sur le contenu du Manuel pour enquêter efficacement sur la torture et autres peines ou traitements cruels inhumains ou dégradants.</w:t>
      </w:r>
      <w:r w:rsidRPr="00306A83">
        <w:rPr>
          <w:rFonts w:asciiTheme="majorBidi" w:eastAsia="Times New Roman" w:hAnsiTheme="majorBidi" w:cstheme="majorBidi"/>
          <w:vertAlign w:val="superscript"/>
        </w:rPr>
        <w:footnoteReference w:id="46"/>
      </w:r>
      <w:r w:rsidRPr="00306A83">
        <w:rPr>
          <w:rFonts w:asciiTheme="majorBidi" w:eastAsia="Times New Roman" w:hAnsiTheme="majorBidi" w:cstheme="majorBidi"/>
        </w:rPr>
        <w:t xml:space="preserve">  </w:t>
      </w:r>
    </w:p>
    <w:p w14:paraId="6E2AF84A"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lastRenderedPageBreak/>
        <w:t>De même, la popu</w:t>
      </w:r>
      <w:r w:rsidRPr="00306A83">
        <w:rPr>
          <w:rFonts w:asciiTheme="majorBidi" w:eastAsia="Times New Roman" w:hAnsiTheme="majorBidi" w:cstheme="majorBidi"/>
        </w:rPr>
        <w:t>lation dans sa grande majorité méconnait les instruments de lutte contre la torture et les mauvais traitements notamment l’UNCAT et l’OPCAT. Ce qui explique l’usage de la torture comme moyen de sanction et de punition dans l’affaire de l’</w:t>
      </w:r>
      <w:proofErr w:type="spellStart"/>
      <w:r w:rsidRPr="00306A83">
        <w:rPr>
          <w:rFonts w:asciiTheme="majorBidi" w:eastAsia="Times New Roman" w:hAnsiTheme="majorBidi" w:cstheme="majorBidi"/>
        </w:rPr>
        <w:t>instituteuur</w:t>
      </w:r>
      <w:proofErr w:type="spellEnd"/>
      <w:r w:rsidRPr="00306A83">
        <w:rPr>
          <w:rFonts w:asciiTheme="majorBidi" w:eastAsia="Times New Roman" w:hAnsiTheme="majorBidi" w:cstheme="majorBidi"/>
        </w:rPr>
        <w:t xml:space="preserve"> bénév</w:t>
      </w:r>
      <w:r w:rsidRPr="00306A83">
        <w:rPr>
          <w:rFonts w:asciiTheme="majorBidi" w:eastAsia="Times New Roman" w:hAnsiTheme="majorBidi" w:cstheme="majorBidi"/>
        </w:rPr>
        <w:t xml:space="preserve">ole de </w:t>
      </w:r>
      <w:proofErr w:type="spellStart"/>
      <w:r w:rsidRPr="00306A83">
        <w:rPr>
          <w:rFonts w:asciiTheme="majorBidi" w:eastAsia="Times New Roman" w:hAnsiTheme="majorBidi" w:cstheme="majorBidi"/>
        </w:rPr>
        <w:t>Zéo</w:t>
      </w:r>
      <w:proofErr w:type="spellEnd"/>
      <w:r w:rsidRPr="00306A83">
        <w:rPr>
          <w:rFonts w:asciiTheme="majorBidi" w:eastAsia="Times New Roman" w:hAnsiTheme="majorBidi" w:cstheme="majorBidi"/>
        </w:rPr>
        <w:t xml:space="preserve"> (Guiglo)</w:t>
      </w:r>
      <w:r w:rsidRPr="00306A83">
        <w:rPr>
          <w:rFonts w:asciiTheme="majorBidi" w:eastAsia="Times New Roman" w:hAnsiTheme="majorBidi" w:cstheme="majorBidi"/>
          <w:vertAlign w:val="superscript"/>
        </w:rPr>
        <w:footnoteReference w:id="47"/>
      </w:r>
      <w:r w:rsidRPr="00306A83">
        <w:rPr>
          <w:rFonts w:asciiTheme="majorBidi" w:eastAsia="Times New Roman" w:hAnsiTheme="majorBidi" w:cstheme="majorBidi"/>
        </w:rPr>
        <w:t xml:space="preserve"> et le cas du vigile torturé par électrocution pour vol de plaquettes d'œufs à </w:t>
      </w:r>
      <w:proofErr w:type="spellStart"/>
      <w:proofErr w:type="gramStart"/>
      <w:r w:rsidRPr="00306A83">
        <w:rPr>
          <w:rFonts w:asciiTheme="majorBidi" w:eastAsia="Times New Roman" w:hAnsiTheme="majorBidi" w:cstheme="majorBidi"/>
        </w:rPr>
        <w:t>Duékoué</w:t>
      </w:r>
      <w:proofErr w:type="spellEnd"/>
      <w:r w:rsidRPr="00306A83">
        <w:rPr>
          <w:rFonts w:asciiTheme="majorBidi" w:eastAsia="Times New Roman" w:hAnsiTheme="majorBidi" w:cstheme="majorBidi"/>
        </w:rPr>
        <w:t xml:space="preserve"> .</w:t>
      </w:r>
      <w:proofErr w:type="gramEnd"/>
      <w:r w:rsidRPr="00306A83">
        <w:rPr>
          <w:rFonts w:asciiTheme="majorBidi" w:eastAsia="Times New Roman" w:hAnsiTheme="majorBidi" w:cstheme="majorBidi"/>
          <w:vertAlign w:val="superscript"/>
        </w:rPr>
        <w:footnoteReference w:id="48"/>
      </w:r>
    </w:p>
    <w:tbl>
      <w:tblPr>
        <w:tblStyle w:val="a2"/>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5D9571CF" w14:textId="77777777">
        <w:tc>
          <w:tcPr>
            <w:tcW w:w="9066" w:type="dxa"/>
            <w:shd w:val="clear" w:color="auto" w:fill="auto"/>
            <w:tcMar>
              <w:top w:w="100" w:type="dxa"/>
              <w:left w:w="100" w:type="dxa"/>
              <w:bottom w:w="100" w:type="dxa"/>
              <w:right w:w="100" w:type="dxa"/>
            </w:tcMar>
          </w:tcPr>
          <w:p w14:paraId="01841730" w14:textId="4140E15E"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b/>
              </w:rPr>
              <w:t>Recommandations</w:t>
            </w:r>
            <w:r w:rsidRPr="00306A83">
              <w:rPr>
                <w:rFonts w:asciiTheme="majorBidi" w:eastAsia="Times New Roman" w:hAnsiTheme="majorBidi" w:cstheme="majorBidi"/>
              </w:rPr>
              <w:t xml:space="preserve"> :</w:t>
            </w:r>
          </w:p>
          <w:p w14:paraId="437A39EB" w14:textId="77777777" w:rsidR="003B4185" w:rsidRPr="00306A83" w:rsidRDefault="006803DD">
            <w:pPr>
              <w:numPr>
                <w:ilvl w:val="0"/>
                <w:numId w:val="28"/>
              </w:numP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Intégrer systématiquement d’ici 2025, un module spécifique sur la torture et les mauvais traitements dans les curricula de formation de tous les agents de la chaine </w:t>
            </w:r>
            <w:proofErr w:type="gramStart"/>
            <w:r w:rsidRPr="00306A83">
              <w:rPr>
                <w:rFonts w:asciiTheme="majorBidi" w:eastAsia="Times New Roman" w:hAnsiTheme="majorBidi" w:cstheme="majorBidi"/>
              </w:rPr>
              <w:t>pénale;</w:t>
            </w:r>
            <w:proofErr w:type="gramEnd"/>
          </w:p>
          <w:p w14:paraId="430CD007" w14:textId="66861783" w:rsidR="003B4185" w:rsidRPr="00306A83" w:rsidRDefault="006803DD">
            <w:pPr>
              <w:numPr>
                <w:ilvl w:val="0"/>
                <w:numId w:val="28"/>
              </w:numPr>
              <w:ind w:left="1080"/>
              <w:jc w:val="both"/>
              <w:rPr>
                <w:rFonts w:asciiTheme="majorBidi" w:eastAsia="Times New Roman" w:hAnsiTheme="majorBidi" w:cstheme="majorBidi"/>
              </w:rPr>
            </w:pPr>
            <w:r w:rsidRPr="00306A83">
              <w:rPr>
                <w:rFonts w:asciiTheme="majorBidi" w:eastAsia="Times New Roman" w:hAnsiTheme="majorBidi" w:cstheme="majorBidi"/>
              </w:rPr>
              <w:t>Sensibiliser la population au caractère absolu de l’interdiction de la torture et d</w:t>
            </w:r>
            <w:r w:rsidRPr="00306A83">
              <w:rPr>
                <w:rFonts w:asciiTheme="majorBidi" w:eastAsia="Times New Roman" w:hAnsiTheme="majorBidi" w:cstheme="majorBidi"/>
              </w:rPr>
              <w:t xml:space="preserve">es mauvais traitements et vulgariser, d’ici 2026, les instruments de lutte contre la torture et les mauvais traitements auprès des populations dans les 31 régions du territoire national.  </w:t>
            </w:r>
          </w:p>
        </w:tc>
      </w:tr>
    </w:tbl>
    <w:p w14:paraId="493C0729" w14:textId="77777777" w:rsidR="003B4185" w:rsidRPr="00306A83" w:rsidRDefault="006803DD">
      <w:pPr>
        <w:spacing w:before="240" w:after="240" w:line="259" w:lineRule="auto"/>
        <w:jc w:val="both"/>
        <w:rPr>
          <w:rFonts w:asciiTheme="majorBidi" w:eastAsia="Times New Roman" w:hAnsiTheme="majorBidi" w:cstheme="majorBidi"/>
          <w:i/>
        </w:rPr>
      </w:pPr>
      <w:r w:rsidRPr="00306A83">
        <w:rPr>
          <w:rFonts w:asciiTheme="majorBidi" w:eastAsia="Times New Roman" w:hAnsiTheme="majorBidi" w:cstheme="majorBidi"/>
          <w:i/>
        </w:rPr>
        <w:t xml:space="preserve">                    </w:t>
      </w:r>
    </w:p>
    <w:p w14:paraId="1EEB9E7E" w14:textId="7CC994C2" w:rsidR="003B4185" w:rsidRPr="00306A83" w:rsidRDefault="006803DD" w:rsidP="00FF3C17">
      <w:pPr>
        <w:pStyle w:val="Heading1"/>
        <w:numPr>
          <w:ilvl w:val="0"/>
          <w:numId w:val="35"/>
        </w:numPr>
      </w:pPr>
      <w:bookmarkStart w:id="20" w:name="_Toc168990359"/>
      <w:r w:rsidRPr="00306A83">
        <w:rPr>
          <w:color w:val="000000"/>
        </w:rPr>
        <w:t xml:space="preserve">Les mauvaises conditions de détention </w:t>
      </w:r>
      <w:r w:rsidRPr="00306A83">
        <w:t>dans les prisons ivoiriennes</w:t>
      </w:r>
      <w:r w:rsidRPr="00306A83">
        <w:rPr>
          <w:color w:val="000000"/>
        </w:rPr>
        <w:t xml:space="preserve"> </w:t>
      </w:r>
      <w:r w:rsidRPr="00306A83">
        <w:t>(Article 11 de la Convention)</w:t>
      </w:r>
      <w:bookmarkEnd w:id="20"/>
    </w:p>
    <w:p w14:paraId="502BFF25" w14:textId="77777777" w:rsidR="003B4185" w:rsidRPr="00306A83" w:rsidRDefault="003B4185">
      <w:pPr>
        <w:pBdr>
          <w:top w:val="nil"/>
          <w:left w:val="nil"/>
          <w:bottom w:val="nil"/>
          <w:right w:val="nil"/>
          <w:between w:val="nil"/>
        </w:pBdr>
        <w:jc w:val="both"/>
        <w:rPr>
          <w:rFonts w:asciiTheme="majorBidi" w:eastAsia="Times New Roman" w:hAnsiTheme="majorBidi" w:cstheme="majorBidi"/>
        </w:rPr>
      </w:pPr>
    </w:p>
    <w:p w14:paraId="42E81132"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 xml:space="preserve">En </w:t>
      </w:r>
      <w:proofErr w:type="spellStart"/>
      <w:r w:rsidRPr="00306A83">
        <w:rPr>
          <w:rFonts w:asciiTheme="majorBidi" w:eastAsia="Times New Roman" w:hAnsiTheme="majorBidi" w:cstheme="majorBidi"/>
        </w:rPr>
        <w:t>Côte</w:t>
      </w:r>
      <w:proofErr w:type="spellEnd"/>
      <w:r w:rsidRPr="00306A83">
        <w:rPr>
          <w:rFonts w:asciiTheme="majorBidi" w:eastAsia="Times New Roman" w:hAnsiTheme="majorBidi" w:cstheme="majorBidi"/>
        </w:rPr>
        <w:t xml:space="preserve"> d’Ivoire, le taux de surpopulation </w:t>
      </w:r>
      <w:proofErr w:type="spellStart"/>
      <w:r w:rsidRPr="00306A83">
        <w:rPr>
          <w:rFonts w:asciiTheme="majorBidi" w:eastAsia="Times New Roman" w:hAnsiTheme="majorBidi" w:cstheme="majorBidi"/>
        </w:rPr>
        <w:t>carcérale</w:t>
      </w:r>
      <w:proofErr w:type="spellEnd"/>
      <w:r w:rsidRPr="00306A83">
        <w:rPr>
          <w:rFonts w:asciiTheme="majorBidi" w:eastAsia="Times New Roman" w:hAnsiTheme="majorBidi" w:cstheme="majorBidi"/>
        </w:rPr>
        <w:t xml:space="preserve"> atteignait les 298% en février 2022 dans les 34 établissements pénitentiaires que compte le pays. Si la</w:t>
      </w:r>
      <w:r w:rsidRPr="00306A83">
        <w:rPr>
          <w:rFonts w:asciiTheme="majorBidi" w:eastAsia="Times New Roman" w:hAnsiTheme="majorBidi" w:cstheme="majorBidi"/>
        </w:rPr>
        <w:t xml:space="preserve"> Cote d’ivoire a fait l’effort d’éliminer la torture au sein de ses prisons, elle y a pourtant maintenu des conditions de détention inhumaine, cruelles et </w:t>
      </w:r>
      <w:proofErr w:type="spellStart"/>
      <w:r w:rsidRPr="00306A83">
        <w:rPr>
          <w:rFonts w:asciiTheme="majorBidi" w:eastAsia="Times New Roman" w:hAnsiTheme="majorBidi" w:cstheme="majorBidi"/>
        </w:rPr>
        <w:t>et</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dégrandantes</w:t>
      </w:r>
      <w:proofErr w:type="spellEnd"/>
      <w:r w:rsidRPr="00306A83">
        <w:rPr>
          <w:rFonts w:asciiTheme="majorBidi" w:eastAsia="Times New Roman" w:hAnsiTheme="majorBidi" w:cstheme="majorBidi"/>
        </w:rPr>
        <w:t xml:space="preserve"> pouvant même dans certains cas être qualifiées de forme de torture. Car en réalité le</w:t>
      </w:r>
      <w:r w:rsidRPr="00306A83">
        <w:rPr>
          <w:rFonts w:asciiTheme="majorBidi" w:eastAsia="Times New Roman" w:hAnsiTheme="majorBidi" w:cstheme="majorBidi"/>
        </w:rPr>
        <w:t xml:space="preserve"> caractère systématique, durable et intentionnel de ces conditions pourrait relever de l’article 1er de la Convention puisqu’il est évident que depuis plusieurs décennies, en dépit de nombreux rapports alarmants, les autorités ivoiriennes choisissent sans </w:t>
      </w:r>
      <w:r w:rsidRPr="00306A83">
        <w:rPr>
          <w:rFonts w:asciiTheme="majorBidi" w:eastAsia="Times New Roman" w:hAnsiTheme="majorBidi" w:cstheme="majorBidi"/>
        </w:rPr>
        <w:t>fournir des efforts conséquents de maintenir environs 25000 personnes dans des conditions impropres à la vie humaine dans le but de les punir sans une promotion véritable d’une approche correctionnelle et de réinsertion. En réalité, les petits arrangements</w:t>
      </w:r>
      <w:r w:rsidRPr="00306A83">
        <w:rPr>
          <w:rFonts w:asciiTheme="majorBidi" w:eastAsia="Times New Roman" w:hAnsiTheme="majorBidi" w:cstheme="majorBidi"/>
        </w:rPr>
        <w:t xml:space="preserve"> logistiques et administratifs observés, y compris avec la construction de nouvelles prisons, comme celle de San Pedro, ne suffisent pas à inverser considérablement cette situation si l’Etat ivoirien ne révise pas intégralement et profondément sa politique</w:t>
      </w:r>
      <w:r w:rsidRPr="00306A83">
        <w:rPr>
          <w:rFonts w:asciiTheme="majorBidi" w:eastAsia="Times New Roman" w:hAnsiTheme="majorBidi" w:cstheme="majorBidi"/>
        </w:rPr>
        <w:t xml:space="preserve"> carcérale. </w:t>
      </w:r>
    </w:p>
    <w:p w14:paraId="5BE89470" w14:textId="76F58D6E" w:rsidR="003B4185" w:rsidRPr="00FF3C17" w:rsidRDefault="006803DD" w:rsidP="00FF3C17">
      <w:pPr>
        <w:pStyle w:val="Heading2"/>
        <w:numPr>
          <w:ilvl w:val="0"/>
          <w:numId w:val="39"/>
        </w:numPr>
      </w:pPr>
      <w:bookmarkStart w:id="21" w:name="_Toc168990360"/>
      <w:r w:rsidRPr="00FF3C17">
        <w:t>La surpopulation pénitentiaire, source de mauvais traitement des détenus</w:t>
      </w:r>
      <w:bookmarkEnd w:id="21"/>
      <w:r w:rsidRPr="00FF3C17">
        <w:t xml:space="preserve"> </w:t>
      </w:r>
    </w:p>
    <w:p w14:paraId="04936E66"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La population </w:t>
      </w:r>
      <w:proofErr w:type="spellStart"/>
      <w:r w:rsidRPr="00306A83">
        <w:rPr>
          <w:rFonts w:asciiTheme="majorBidi" w:eastAsia="Times New Roman" w:hAnsiTheme="majorBidi" w:cstheme="majorBidi"/>
        </w:rPr>
        <w:t>carcérale</w:t>
      </w:r>
      <w:proofErr w:type="spellEnd"/>
      <w:r w:rsidRPr="00306A83">
        <w:rPr>
          <w:rFonts w:asciiTheme="majorBidi" w:eastAsia="Times New Roman" w:hAnsiTheme="majorBidi" w:cstheme="majorBidi"/>
        </w:rPr>
        <w:t xml:space="preserve"> du pays, est </w:t>
      </w:r>
      <w:proofErr w:type="spellStart"/>
      <w:r w:rsidRPr="00306A83">
        <w:rPr>
          <w:rFonts w:asciiTheme="majorBidi" w:eastAsia="Times New Roman" w:hAnsiTheme="majorBidi" w:cstheme="majorBidi"/>
        </w:rPr>
        <w:t>estimée</w:t>
      </w:r>
      <w:proofErr w:type="spellEnd"/>
      <w:r w:rsidRPr="00306A83">
        <w:rPr>
          <w:rFonts w:asciiTheme="majorBidi" w:eastAsia="Times New Roman" w:hAnsiTheme="majorBidi" w:cstheme="majorBidi"/>
        </w:rPr>
        <w:t xml:space="preserve"> au 19 février 2024 à 27731 personnes dont 92, 98% </w:t>
      </w:r>
      <w:proofErr w:type="gramStart"/>
      <w:r w:rsidRPr="00306A83">
        <w:rPr>
          <w:rFonts w:asciiTheme="majorBidi" w:eastAsia="Times New Roman" w:hAnsiTheme="majorBidi" w:cstheme="majorBidi"/>
        </w:rPr>
        <w:t>d' hommes</w:t>
      </w:r>
      <w:proofErr w:type="gramEnd"/>
      <w:r w:rsidRPr="00306A83">
        <w:rPr>
          <w:rFonts w:asciiTheme="majorBidi" w:eastAsia="Times New Roman" w:hAnsiTheme="majorBidi" w:cstheme="majorBidi"/>
        </w:rPr>
        <w:t xml:space="preserve">, 2, 99% de femmes et 4, 03% de mineurs sous mandat de </w:t>
      </w:r>
      <w:proofErr w:type="spellStart"/>
      <w:r w:rsidRPr="00306A83">
        <w:rPr>
          <w:rFonts w:asciiTheme="majorBidi" w:eastAsia="Times New Roman" w:hAnsiTheme="majorBidi" w:cstheme="majorBidi"/>
        </w:rPr>
        <w:t>dépôt</w:t>
      </w:r>
      <w:proofErr w:type="spellEnd"/>
      <w:r w:rsidRPr="00306A83">
        <w:rPr>
          <w:rFonts w:asciiTheme="majorBidi" w:eastAsia="Times New Roman" w:hAnsiTheme="majorBidi" w:cstheme="majorBidi"/>
        </w:rPr>
        <w:t xml:space="preserve"> </w:t>
      </w:r>
      <w:r w:rsidRPr="00306A83">
        <w:rPr>
          <w:rFonts w:asciiTheme="majorBidi" w:eastAsia="Times New Roman" w:hAnsiTheme="majorBidi" w:cstheme="majorBidi"/>
        </w:rPr>
        <w:t xml:space="preserve"> pour une capacité d’accueil de 7729. De plus, 70% des prisons ivoiriennes datent de la période coloniale. Elles sont vétustes dans des proportions inqualifiables.</w:t>
      </w:r>
    </w:p>
    <w:p w14:paraId="26FEED23" w14:textId="28B69208" w:rsidR="003B4185" w:rsidRPr="00306A83" w:rsidRDefault="006803DD" w:rsidP="00FF3C17">
      <w:pPr>
        <w:pStyle w:val="Heading3"/>
        <w:numPr>
          <w:ilvl w:val="0"/>
          <w:numId w:val="29"/>
        </w:numPr>
      </w:pPr>
      <w:bookmarkStart w:id="22" w:name="_Toc168990361"/>
      <w:r w:rsidRPr="00306A83">
        <w:lastRenderedPageBreak/>
        <w:t>Le Pôle pénitentiaire d’Abidjan (PPA)</w:t>
      </w:r>
      <w:bookmarkEnd w:id="22"/>
      <w:r w:rsidRPr="00306A83">
        <w:t xml:space="preserve"> </w:t>
      </w:r>
    </w:p>
    <w:p w14:paraId="1CDC2664"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w:t>
      </w:r>
      <w:proofErr w:type="spellStart"/>
      <w:r w:rsidRPr="00306A83">
        <w:rPr>
          <w:rFonts w:asciiTheme="majorBidi" w:eastAsia="Times New Roman" w:hAnsiTheme="majorBidi" w:cstheme="majorBidi"/>
        </w:rPr>
        <w:t>Pole</w:t>
      </w:r>
      <w:proofErr w:type="spellEnd"/>
      <w:r w:rsidRPr="00306A83">
        <w:rPr>
          <w:rFonts w:asciiTheme="majorBidi" w:eastAsia="Times New Roman" w:hAnsiTheme="majorBidi" w:cstheme="majorBidi"/>
        </w:rPr>
        <w:t xml:space="preserve"> pénitentiaire d’Abidjan (PPA) anciennement Ma</w:t>
      </w:r>
      <w:r w:rsidRPr="00306A83">
        <w:rPr>
          <w:rFonts w:asciiTheme="majorBidi" w:eastAsia="Times New Roman" w:hAnsiTheme="majorBidi" w:cstheme="majorBidi"/>
        </w:rPr>
        <w:t>ison d’</w:t>
      </w:r>
      <w:proofErr w:type="spellStart"/>
      <w:r w:rsidRPr="00306A83">
        <w:rPr>
          <w:rFonts w:asciiTheme="majorBidi" w:eastAsia="Times New Roman" w:hAnsiTheme="majorBidi" w:cstheme="majorBidi"/>
        </w:rPr>
        <w:t>Arrêt</w:t>
      </w:r>
      <w:proofErr w:type="spellEnd"/>
      <w:r w:rsidRPr="00306A83">
        <w:rPr>
          <w:rFonts w:asciiTheme="majorBidi" w:eastAsia="Times New Roman" w:hAnsiTheme="majorBidi" w:cstheme="majorBidi"/>
        </w:rPr>
        <w:t xml:space="preserve"> et de Correction d’Abidjan (MACA) accueille à </w:t>
      </w:r>
      <w:proofErr w:type="gramStart"/>
      <w:r w:rsidRPr="00306A83">
        <w:rPr>
          <w:rFonts w:asciiTheme="majorBidi" w:eastAsia="Times New Roman" w:hAnsiTheme="majorBidi" w:cstheme="majorBidi"/>
        </w:rPr>
        <w:t>lui  seul</w:t>
      </w:r>
      <w:proofErr w:type="gramEnd"/>
      <w:r w:rsidRPr="00306A83">
        <w:rPr>
          <w:rFonts w:asciiTheme="majorBidi" w:eastAsia="Times New Roman" w:hAnsiTheme="majorBidi" w:cstheme="majorBidi"/>
        </w:rPr>
        <w:t xml:space="preserve"> 8 888 </w:t>
      </w:r>
      <w:proofErr w:type="spellStart"/>
      <w:r w:rsidRPr="00306A83">
        <w:rPr>
          <w:rFonts w:asciiTheme="majorBidi" w:eastAsia="Times New Roman" w:hAnsiTheme="majorBidi" w:cstheme="majorBidi"/>
        </w:rPr>
        <w:t>détenus</w:t>
      </w:r>
      <w:proofErr w:type="spellEnd"/>
      <w:r w:rsidRPr="00306A83">
        <w:rPr>
          <w:rFonts w:asciiTheme="majorBidi" w:eastAsia="Times New Roman" w:hAnsiTheme="majorBidi" w:cstheme="majorBidi"/>
        </w:rPr>
        <w:t xml:space="preserve">, soit 37, 61% de la population </w:t>
      </w:r>
      <w:proofErr w:type="spellStart"/>
      <w:r w:rsidRPr="00306A83">
        <w:rPr>
          <w:rFonts w:asciiTheme="majorBidi" w:eastAsia="Times New Roman" w:hAnsiTheme="majorBidi" w:cstheme="majorBidi"/>
        </w:rPr>
        <w:t>carcérale</w:t>
      </w:r>
      <w:proofErr w:type="spellEnd"/>
      <w:r w:rsidRPr="00306A83">
        <w:rPr>
          <w:rFonts w:asciiTheme="majorBidi" w:eastAsia="Times New Roman" w:hAnsiTheme="majorBidi" w:cstheme="majorBidi"/>
        </w:rPr>
        <w:t xml:space="preserve"> totale</w:t>
      </w:r>
      <w:r w:rsidRPr="00306A83">
        <w:rPr>
          <w:rFonts w:asciiTheme="majorBidi" w:eastAsia="Times New Roman" w:hAnsiTheme="majorBidi" w:cstheme="majorBidi"/>
          <w:vertAlign w:val="superscript"/>
        </w:rPr>
        <w:footnoteReference w:id="49"/>
      </w:r>
      <w:r w:rsidRPr="00306A83">
        <w:rPr>
          <w:rFonts w:asciiTheme="majorBidi" w:eastAsia="Times New Roman" w:hAnsiTheme="majorBidi" w:cstheme="majorBidi"/>
        </w:rPr>
        <w:t xml:space="preserve">. Il concentre en son sein l’effectif le plus </w:t>
      </w:r>
      <w:proofErr w:type="spellStart"/>
      <w:r w:rsidRPr="00306A83">
        <w:rPr>
          <w:rFonts w:asciiTheme="majorBidi" w:eastAsia="Times New Roman" w:hAnsiTheme="majorBidi" w:cstheme="majorBidi"/>
        </w:rPr>
        <w:t>éleve</w:t>
      </w:r>
      <w:proofErr w:type="spellEnd"/>
      <w:r w:rsidRPr="00306A83">
        <w:rPr>
          <w:rFonts w:asciiTheme="majorBidi" w:eastAsia="Times New Roman" w:hAnsiTheme="majorBidi" w:cstheme="majorBidi"/>
        </w:rPr>
        <w:t xml:space="preserve">́ de </w:t>
      </w:r>
      <w:proofErr w:type="spellStart"/>
      <w:r w:rsidRPr="00306A83">
        <w:rPr>
          <w:rFonts w:asciiTheme="majorBidi" w:eastAsia="Times New Roman" w:hAnsiTheme="majorBidi" w:cstheme="majorBidi"/>
        </w:rPr>
        <w:t>détenus</w:t>
      </w:r>
      <w:proofErr w:type="spellEnd"/>
      <w:r w:rsidRPr="00306A83">
        <w:rPr>
          <w:rFonts w:asciiTheme="majorBidi" w:eastAsia="Times New Roman" w:hAnsiTheme="majorBidi" w:cstheme="majorBidi"/>
        </w:rPr>
        <w:t>. En signant l'arrêté N° 209 du 18 avril 2023 portant c</w:t>
      </w:r>
      <w:r w:rsidRPr="00306A83">
        <w:rPr>
          <w:rFonts w:asciiTheme="majorBidi" w:eastAsia="Times New Roman" w:hAnsiTheme="majorBidi" w:cstheme="majorBidi"/>
        </w:rPr>
        <w:t>réation, organisation et fonctionnement du pôle pénitentiaire d’Abidjan, l’Etat a tenté de résoudre le défi important que représente la surpopulation carcérale à Abidjan. Ainsi la Maison d'Arrêt de Correction d’Abidjan (MACA) a été que fractionnée en 5 éta</w:t>
      </w:r>
      <w:r w:rsidRPr="00306A83">
        <w:rPr>
          <w:rFonts w:asciiTheme="majorBidi" w:eastAsia="Times New Roman" w:hAnsiTheme="majorBidi" w:cstheme="majorBidi"/>
        </w:rPr>
        <w:t>blissements pénitentiaires donnant ainsi naissance au nouveau Pôle Pénitentiaire d’Abidjan (PAA). En réalité, les différents bâtiments qui constituaient l’ex MACA sont devenus des maisons d'arrêts avec à leur tête un chef d’établissement. Ceci porte donc l</w:t>
      </w:r>
      <w:r w:rsidRPr="00306A83">
        <w:rPr>
          <w:rFonts w:asciiTheme="majorBidi" w:eastAsia="Times New Roman" w:hAnsiTheme="majorBidi" w:cstheme="majorBidi"/>
        </w:rPr>
        <w:t xml:space="preserve">e nombre de prisons fonctionnelles en Côte d’Ivoire de 35 à 40. </w:t>
      </w:r>
    </w:p>
    <w:p w14:paraId="44B99987"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Il faut souligner qu’une visite de l’OMCT au sein de la PPA en mai 2024 a permis de constater que ce nouveau découpage n’a en réalité amélioré que la gestion administrative et </w:t>
      </w:r>
      <w:r w:rsidRPr="00306A83">
        <w:rPr>
          <w:rFonts w:asciiTheme="majorBidi" w:eastAsia="Times New Roman" w:hAnsiTheme="majorBidi" w:cstheme="majorBidi"/>
        </w:rPr>
        <w:t>sécuritaire de cet établissement. Chacune des nouvelles maisons d’arrêt anciennement bâtiment de la MACA demeure marquée par la surpopulation carcérale et la vétusté des infrastructures. Elles ne bénéficient pas de facilités sanitaires, culinaires, sportiv</w:t>
      </w:r>
      <w:r w:rsidRPr="00306A83">
        <w:rPr>
          <w:rFonts w:asciiTheme="majorBidi" w:eastAsia="Times New Roman" w:hAnsiTheme="majorBidi" w:cstheme="majorBidi"/>
        </w:rPr>
        <w:t>es et sociales dédiées pouvant en faire des établissements pénitentiaires à part entière. Cette nouvelle organisation améliore donc tout simplement la séparation entre les différentes catégories de pensionnaires et rend possible une meilleure gestion de la</w:t>
      </w:r>
      <w:r w:rsidRPr="00306A83">
        <w:rPr>
          <w:rFonts w:asciiTheme="majorBidi" w:eastAsia="Times New Roman" w:hAnsiTheme="majorBidi" w:cstheme="majorBidi"/>
        </w:rPr>
        <w:t xml:space="preserve"> sécurité. En revanche, elle n’augmente pas le nombre de place, ni de couchage ni dans les cellules, à l’infirmerie ou à cuisine commune.  Ainsi désormais, les prévenus sont séparés de personnes dont la peine a été définitivement prononcée. De plus, elle g</w:t>
      </w:r>
      <w:r w:rsidRPr="00306A83">
        <w:rPr>
          <w:rFonts w:asciiTheme="majorBidi" w:eastAsia="Times New Roman" w:hAnsiTheme="majorBidi" w:cstheme="majorBidi"/>
        </w:rPr>
        <w:t>arantit une séparation entre les hommes, les femmes et les enfants. Dans certaines circonstances, la forte densité dans certaines de ces maisons d'arrêt oblige les autorités à transférer certains détenus à la maison de correction ou à la maison pénale.</w:t>
      </w:r>
    </w:p>
    <w:p w14:paraId="1F43A9A9" w14:textId="5A738CA3" w:rsidR="003B4185" w:rsidRPr="00FF3C17" w:rsidRDefault="006803DD" w:rsidP="00FF3C17">
      <w:pPr>
        <w:pStyle w:val="Heading3"/>
        <w:numPr>
          <w:ilvl w:val="0"/>
          <w:numId w:val="29"/>
        </w:numPr>
      </w:pPr>
      <w:bookmarkStart w:id="23" w:name="_Toc168990362"/>
      <w:r w:rsidRPr="00FF3C17">
        <w:t xml:space="preserve">La </w:t>
      </w:r>
      <w:r w:rsidRPr="00FF3C17">
        <w:t>situation alarmante de la surpopulation dans les autres prisons</w:t>
      </w:r>
      <w:bookmarkEnd w:id="23"/>
    </w:p>
    <w:p w14:paraId="4B4EF2AF" w14:textId="77777777" w:rsidR="00FF3C17" w:rsidRDefault="00FF3C17">
      <w:pPr>
        <w:pBdr>
          <w:top w:val="nil"/>
          <w:left w:val="nil"/>
          <w:bottom w:val="nil"/>
          <w:right w:val="nil"/>
          <w:between w:val="nil"/>
        </w:pBdr>
        <w:spacing w:line="259" w:lineRule="auto"/>
        <w:jc w:val="both"/>
        <w:rPr>
          <w:rFonts w:asciiTheme="majorBidi" w:eastAsia="Times New Roman" w:hAnsiTheme="majorBidi" w:cstheme="majorBidi"/>
        </w:rPr>
      </w:pPr>
    </w:p>
    <w:p w14:paraId="01D0752A" w14:textId="1DE73E55"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Dans les prisons de Soubré, Bondoukou, Adzopé et Man cette surpopulation est insoutenable. On se relaie pour s’allonger pendant la nuit, faute d’espace puisque les cellules devant les accueil</w:t>
      </w:r>
      <w:r w:rsidRPr="00306A83">
        <w:rPr>
          <w:rFonts w:asciiTheme="majorBidi" w:eastAsia="Times New Roman" w:hAnsiTheme="majorBidi" w:cstheme="majorBidi"/>
        </w:rPr>
        <w:t xml:space="preserve">lir proposent moins d’1m2 par </w:t>
      </w:r>
      <w:proofErr w:type="gramStart"/>
      <w:r w:rsidRPr="00306A83">
        <w:rPr>
          <w:rFonts w:asciiTheme="majorBidi" w:eastAsia="Times New Roman" w:hAnsiTheme="majorBidi" w:cstheme="majorBidi"/>
        </w:rPr>
        <w:t>personne..</w:t>
      </w:r>
      <w:proofErr w:type="gramEnd"/>
      <w:r w:rsidRPr="00306A83">
        <w:rPr>
          <w:rFonts w:asciiTheme="majorBidi" w:eastAsia="Times New Roman" w:hAnsiTheme="majorBidi" w:cstheme="majorBidi"/>
        </w:rPr>
        <w:t xml:space="preserve"> Pendant la nuit, les toilettes servent de dortoir. Dans d’autres prisons, comme, même dans la cour, un détenu à moins de 1m2.</w:t>
      </w:r>
    </w:p>
    <w:p w14:paraId="352B8BA6"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S’agissant de l’organisation des quartiers, il est à noter que les seules séparations qu’</w:t>
      </w:r>
      <w:r w:rsidRPr="00306A83">
        <w:rPr>
          <w:rFonts w:asciiTheme="majorBidi" w:eastAsia="Times New Roman" w:hAnsiTheme="majorBidi" w:cstheme="majorBidi"/>
        </w:rPr>
        <w:t>il convient d’identifier sont celles des hommes d’avec les femmes. En effet, à l’exception de quelques prisons (Dimbokro, San Pedro, Toumodi et le pôle pénitentiaire d’Abidjan (PPA) qui prévoient une séparation entre les condamnés et les prévenus, aucune s</w:t>
      </w:r>
      <w:r w:rsidRPr="00306A83">
        <w:rPr>
          <w:rFonts w:asciiTheme="majorBidi" w:eastAsia="Times New Roman" w:hAnsiTheme="majorBidi" w:cstheme="majorBidi"/>
        </w:rPr>
        <w:t xml:space="preserve">éparation n’est admise dans le reste des prisons du pays. </w:t>
      </w:r>
    </w:p>
    <w:p w14:paraId="62992C68"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Au niveau des femmes, la séparation n’existe ni entre condamnées et prévenues, ni entre femmes adultes et mineures. En plus, dans les quartiers femmes, il n’y pas d’espace de nurserie, et les mères</w:t>
      </w:r>
      <w:r w:rsidRPr="00306A83">
        <w:rPr>
          <w:rFonts w:asciiTheme="majorBidi" w:eastAsia="Times New Roman" w:hAnsiTheme="majorBidi" w:cstheme="majorBidi"/>
        </w:rPr>
        <w:t xml:space="preserve"> ne bénéficient donc pas d’un espace réservé, avec leurs enfants. </w:t>
      </w:r>
    </w:p>
    <w:p w14:paraId="29497F1A"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Autre chose, les mineurs sous mandat de dépôt (MD) partagent les mêmes cellules avec les mineurs sous ordonnance de garde provisoire (OGP), sauf à Abidjan, Bouaké et Man où il existe </w:t>
      </w:r>
      <w:r w:rsidRPr="00306A83">
        <w:rPr>
          <w:rFonts w:asciiTheme="majorBidi" w:eastAsia="Times New Roman" w:hAnsiTheme="majorBidi" w:cstheme="majorBidi"/>
        </w:rPr>
        <w:lastRenderedPageBreak/>
        <w:t>des ce</w:t>
      </w:r>
      <w:r w:rsidRPr="00306A83">
        <w:rPr>
          <w:rFonts w:asciiTheme="majorBidi" w:eastAsia="Times New Roman" w:hAnsiTheme="majorBidi" w:cstheme="majorBidi"/>
        </w:rPr>
        <w:t xml:space="preserve">ntres d’observation pour mineurs (COM). On remarque également qu’à Man, le COM n’est qu’un quartier de la maison d'arrêt et de correction. </w:t>
      </w:r>
    </w:p>
    <w:p w14:paraId="5B12FB49" w14:textId="383FA21B" w:rsidR="003B4185" w:rsidRPr="0017525C" w:rsidRDefault="006803DD" w:rsidP="0017525C">
      <w:pPr>
        <w:pStyle w:val="Heading2"/>
        <w:numPr>
          <w:ilvl w:val="0"/>
          <w:numId w:val="39"/>
        </w:numPr>
      </w:pPr>
      <w:bookmarkStart w:id="24" w:name="_Toc168990363"/>
      <w:r w:rsidRPr="00FF3C17">
        <w:t>Les conditions de vie et de survie dans les prisons ivoiriennes</w:t>
      </w:r>
      <w:bookmarkEnd w:id="24"/>
    </w:p>
    <w:p w14:paraId="023F026E" w14:textId="1C909CFC" w:rsidR="003B4185" w:rsidRPr="00306A83" w:rsidRDefault="006803DD" w:rsidP="00FF3C17">
      <w:pPr>
        <w:pStyle w:val="Heading3"/>
        <w:numPr>
          <w:ilvl w:val="0"/>
          <w:numId w:val="29"/>
        </w:numPr>
      </w:pPr>
      <w:bookmarkStart w:id="25" w:name="_Toc168990364"/>
      <w:r w:rsidRPr="00306A83">
        <w:t>Salubrité, hygiène et assainissement</w:t>
      </w:r>
      <w:bookmarkEnd w:id="25"/>
      <w:r w:rsidRPr="00306A83">
        <w:t xml:space="preserve"> </w:t>
      </w:r>
    </w:p>
    <w:p w14:paraId="464CE072"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0E4B4EE2"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Sur les condi</w:t>
      </w:r>
      <w:r w:rsidRPr="00306A83">
        <w:rPr>
          <w:rFonts w:asciiTheme="majorBidi" w:eastAsia="Times New Roman" w:hAnsiTheme="majorBidi" w:cstheme="majorBidi"/>
        </w:rPr>
        <w:t>tions matérielles de détention, l'insalubrité, la promiscuité, l’insuffisance de nourriture et le manque de soin constituent des éléments que partagent tous les détenu.es en Côte d’Ivoire. Lorsqu’on franchit la porte des cellules d’une prison, une atmosphè</w:t>
      </w:r>
      <w:r w:rsidRPr="00306A83">
        <w:rPr>
          <w:rFonts w:asciiTheme="majorBidi" w:eastAsia="Times New Roman" w:hAnsiTheme="majorBidi" w:cstheme="majorBidi"/>
        </w:rPr>
        <w:t xml:space="preserve">re suffocante nous envahit. En plus de l’insalubrité, la ventilation, l’humidité et la température sont très mauvaises. La configuration des fenêtres est identique. </w:t>
      </w:r>
      <w:proofErr w:type="gramStart"/>
      <w:r w:rsidRPr="00306A83">
        <w:rPr>
          <w:rFonts w:asciiTheme="majorBidi" w:eastAsia="Times New Roman" w:hAnsiTheme="majorBidi" w:cstheme="majorBidi"/>
        </w:rPr>
        <w:t>Il  s’agit</w:t>
      </w:r>
      <w:proofErr w:type="gramEnd"/>
      <w:r w:rsidRPr="00306A83">
        <w:rPr>
          <w:rFonts w:asciiTheme="majorBidi" w:eastAsia="Times New Roman" w:hAnsiTheme="majorBidi" w:cstheme="majorBidi"/>
        </w:rPr>
        <w:t xml:space="preserve"> de claustras en béton qui ne laisse aucune possibilité aux détenus de pouvoir le</w:t>
      </w:r>
      <w:r w:rsidRPr="00306A83">
        <w:rPr>
          <w:rFonts w:asciiTheme="majorBidi" w:eastAsia="Times New Roman" w:hAnsiTheme="majorBidi" w:cstheme="majorBidi"/>
        </w:rPr>
        <w:t xml:space="preserve">s ouvrir ou les fermer. En effet, la plupart des cellules sont construites avec des persiennes pour seul élément de ventilation. Les détenus ont affirmé aux délégués de l’OMCT lors de sa </w:t>
      </w:r>
      <w:proofErr w:type="spellStart"/>
      <w:r w:rsidRPr="00306A83">
        <w:rPr>
          <w:rFonts w:asciiTheme="majorBidi" w:eastAsia="Times New Roman" w:hAnsiTheme="majorBidi" w:cstheme="majorBidi"/>
        </w:rPr>
        <w:t>viste</w:t>
      </w:r>
      <w:proofErr w:type="spellEnd"/>
      <w:r w:rsidRPr="00306A83">
        <w:rPr>
          <w:rFonts w:asciiTheme="majorBidi" w:eastAsia="Times New Roman" w:hAnsiTheme="majorBidi" w:cstheme="majorBidi"/>
        </w:rPr>
        <w:t xml:space="preserve"> en mai 2024 que les cellules ne </w:t>
      </w:r>
      <w:proofErr w:type="gramStart"/>
      <w:r w:rsidRPr="00306A83">
        <w:rPr>
          <w:rFonts w:asciiTheme="majorBidi" w:eastAsia="Times New Roman" w:hAnsiTheme="majorBidi" w:cstheme="majorBidi"/>
        </w:rPr>
        <w:t>bénéficie</w:t>
      </w:r>
      <w:proofErr w:type="gramEnd"/>
      <w:r w:rsidRPr="00306A83">
        <w:rPr>
          <w:rFonts w:asciiTheme="majorBidi" w:eastAsia="Times New Roman" w:hAnsiTheme="majorBidi" w:cstheme="majorBidi"/>
        </w:rPr>
        <w:t xml:space="preserve"> d’aucune climatisatio</w:t>
      </w:r>
      <w:r w:rsidRPr="00306A83">
        <w:rPr>
          <w:rFonts w:asciiTheme="majorBidi" w:eastAsia="Times New Roman" w:hAnsiTheme="majorBidi" w:cstheme="majorBidi"/>
        </w:rPr>
        <w:t xml:space="preserve">n ou ventilation en dépit de la forte chaleur. Les Persiennes sont parfois volontairement bouchées par les détenues pour empêcher les rats et souris porteurs de maladie de pénétrer dans leurs cellules, malgré la chaleur et la moisissure. </w:t>
      </w:r>
    </w:p>
    <w:p w14:paraId="7A1DF9EE"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Au niveau de la l</w:t>
      </w:r>
      <w:r w:rsidRPr="00306A83">
        <w:rPr>
          <w:rFonts w:asciiTheme="majorBidi" w:eastAsia="Times New Roman" w:hAnsiTheme="majorBidi" w:cstheme="majorBidi"/>
        </w:rPr>
        <w:t>iterie, les couchages des détenus sont en très mauvais état. Une bonne partie des détenus dans nos prisons dorment à même le sol ou sur des pagnes, quelques-uns ont des nattes et les plus chanceux, rarement, ont des matelas. L’Administration ne fournit pas</w:t>
      </w:r>
      <w:r w:rsidRPr="00306A83">
        <w:rPr>
          <w:rFonts w:asciiTheme="majorBidi" w:eastAsia="Times New Roman" w:hAnsiTheme="majorBidi" w:cstheme="majorBidi"/>
        </w:rPr>
        <w:t xml:space="preserve"> de couchage aux détenus. </w:t>
      </w:r>
    </w:p>
    <w:p w14:paraId="6B0A2AC0" w14:textId="77777777" w:rsidR="003B4185" w:rsidRPr="00306A83" w:rsidRDefault="003B4185">
      <w:pPr>
        <w:spacing w:line="259" w:lineRule="auto"/>
        <w:jc w:val="both"/>
        <w:rPr>
          <w:rFonts w:asciiTheme="majorBidi" w:eastAsia="Times New Roman" w:hAnsiTheme="majorBidi" w:cstheme="majorBidi"/>
        </w:rPr>
      </w:pPr>
    </w:p>
    <w:p w14:paraId="0CB6031E" w14:textId="4D75E19D" w:rsidR="003B4185" w:rsidRPr="00306A83" w:rsidRDefault="006803DD" w:rsidP="0017525C">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Concernant la situation spécifique des mineurs, dans une étude récente produite par l’Action des Chrétiens pour l’Abolition de la Torture de Côte d’Ivoire (ACAT CI)</w:t>
      </w:r>
      <w:r w:rsidRPr="00306A83">
        <w:rPr>
          <w:rFonts w:asciiTheme="majorBidi" w:eastAsia="Times New Roman" w:hAnsiTheme="majorBidi" w:cstheme="majorBidi"/>
          <w:vertAlign w:val="superscript"/>
        </w:rPr>
        <w:footnoteReference w:id="50"/>
      </w:r>
      <w:r w:rsidRPr="00306A83">
        <w:rPr>
          <w:rFonts w:asciiTheme="majorBidi" w:eastAsia="Times New Roman" w:hAnsiTheme="majorBidi" w:cstheme="majorBidi"/>
        </w:rPr>
        <w:t xml:space="preserve">, en termes d’approvisionnement des produits indispensables à </w:t>
      </w:r>
      <w:r w:rsidRPr="00306A83">
        <w:rPr>
          <w:rFonts w:asciiTheme="majorBidi" w:eastAsia="Times New Roman" w:hAnsiTheme="majorBidi" w:cstheme="majorBidi"/>
        </w:rPr>
        <w:t>l’hygiène des mineurs, les régisseurs des MAC indiquent ne pas recevoir suffisamment de kits de toilettes pour couvrir les besoins des mineurs. Dans le même sens, 91% des détenus mineurs interrogés sur 7 MAC estiment que la quantité de savons distribuée pa</w:t>
      </w:r>
      <w:r w:rsidRPr="00306A83">
        <w:rPr>
          <w:rFonts w:asciiTheme="majorBidi" w:eastAsia="Times New Roman" w:hAnsiTheme="majorBidi" w:cstheme="majorBidi"/>
        </w:rPr>
        <w:t>r la prison n’est pas suffisante. Au PPA, l’administration ne donne pas de savons aux détenus. Pour ceux qui n’ont pas de moyens pour s’en acheter, ils se lavent sans savon et font la lessive sans savon.</w:t>
      </w:r>
    </w:p>
    <w:p w14:paraId="3DA251B1" w14:textId="6C6A456E" w:rsidR="003B4185" w:rsidRPr="00306A83" w:rsidRDefault="006803DD" w:rsidP="00FF3C17">
      <w:pPr>
        <w:pStyle w:val="Heading3"/>
        <w:numPr>
          <w:ilvl w:val="0"/>
          <w:numId w:val="29"/>
        </w:numPr>
      </w:pPr>
      <w:bookmarkStart w:id="26" w:name="_Toc168990365"/>
      <w:r w:rsidRPr="00306A83">
        <w:t>Une alimentation insuffisante et inadéquate</w:t>
      </w:r>
      <w:bookmarkEnd w:id="26"/>
    </w:p>
    <w:p w14:paraId="1724D8DA" w14:textId="77777777" w:rsidR="003B4185" w:rsidRPr="00306A83" w:rsidRDefault="003B4185">
      <w:pPr>
        <w:spacing w:line="259" w:lineRule="auto"/>
        <w:ind w:left="720"/>
        <w:jc w:val="both"/>
        <w:rPr>
          <w:rFonts w:asciiTheme="majorBidi" w:eastAsia="Times New Roman" w:hAnsiTheme="majorBidi" w:cstheme="majorBidi"/>
        </w:rPr>
      </w:pPr>
    </w:p>
    <w:p w14:paraId="7B9FD385"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L’accès à l'alimentation constitue des éléments de droit des détenu.es les plus constamment violés. Au niveau de l’alimentation, le budget alloué est largement insuffisant. Ainsi, la quantité et la qualité de la nourriture sont extrêmement faibles. La port</w:t>
      </w:r>
      <w:r w:rsidRPr="00306A83">
        <w:rPr>
          <w:rFonts w:asciiTheme="majorBidi" w:eastAsia="Times New Roman" w:hAnsiTheme="majorBidi" w:cstheme="majorBidi"/>
        </w:rPr>
        <w:t>ion alimentaire est particulièrement déséquilibrée puisque dans aucune prison, les détenu.es ne mangent des fruits et des légumes chaque jour. Bien plus, ils ne mangent jamais de fruits. Le personnel pénitentiaire affirme par ailleurs, globalement qu’il n’</w:t>
      </w:r>
      <w:r w:rsidRPr="00306A83">
        <w:rPr>
          <w:rFonts w:asciiTheme="majorBidi" w:eastAsia="Times New Roman" w:hAnsiTheme="majorBidi" w:cstheme="majorBidi"/>
        </w:rPr>
        <w:t xml:space="preserve">existe pas de régimes alimentaires dédiés pour les malades, les femmes enceintes et pour les bébés accompagnant leur mère. </w:t>
      </w:r>
    </w:p>
    <w:p w14:paraId="3D829B97"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5697B683" w14:textId="5D0500F1" w:rsidR="003B4185" w:rsidRPr="00306A83" w:rsidRDefault="006803DD" w:rsidP="00FF3C17">
      <w:pPr>
        <w:pStyle w:val="Heading3"/>
        <w:numPr>
          <w:ilvl w:val="0"/>
          <w:numId w:val="29"/>
        </w:numPr>
      </w:pPr>
      <w:bookmarkStart w:id="27" w:name="_Toc168990366"/>
      <w:r w:rsidRPr="00306A83">
        <w:lastRenderedPageBreak/>
        <w:t>Santé physique et mentale des détenus</w:t>
      </w:r>
      <w:bookmarkEnd w:id="27"/>
      <w:r w:rsidRPr="00306A83">
        <w:t xml:space="preserve"> </w:t>
      </w:r>
    </w:p>
    <w:p w14:paraId="1541A472"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b/>
        </w:rPr>
      </w:pPr>
    </w:p>
    <w:p w14:paraId="124E6FA0"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Concernant le volet sanitaire dans les prisons ivoiriennes, la récurrence des affections à </w:t>
      </w:r>
      <w:r w:rsidRPr="00306A83">
        <w:rPr>
          <w:rFonts w:asciiTheme="majorBidi" w:eastAsia="Times New Roman" w:hAnsiTheme="majorBidi" w:cstheme="majorBidi"/>
        </w:rPr>
        <w:t xml:space="preserve">l’origine des consultations est symptomatique des conditions générales de détention. En effet, selon les informations recueillies auprès des agents sociaux, compte </w:t>
      </w:r>
      <w:proofErr w:type="spellStart"/>
      <w:r w:rsidRPr="00306A83">
        <w:rPr>
          <w:rFonts w:asciiTheme="majorBidi" w:eastAsia="Times New Roman" w:hAnsiTheme="majorBidi" w:cstheme="majorBidi"/>
        </w:rPr>
        <w:t>ténu</w:t>
      </w:r>
      <w:proofErr w:type="spellEnd"/>
      <w:r w:rsidRPr="00306A83">
        <w:rPr>
          <w:rFonts w:asciiTheme="majorBidi" w:eastAsia="Times New Roman" w:hAnsiTheme="majorBidi" w:cstheme="majorBidi"/>
        </w:rPr>
        <w:t xml:space="preserve"> du mutisme excessif de certains agents de santé, lesquelles informations corroborées pa</w:t>
      </w:r>
      <w:r w:rsidRPr="00306A83">
        <w:rPr>
          <w:rFonts w:asciiTheme="majorBidi" w:eastAsia="Times New Roman" w:hAnsiTheme="majorBidi" w:cstheme="majorBidi"/>
        </w:rPr>
        <w:t>r le rapport du CNDH de 2022 sur le droit à la santé dans les prison</w:t>
      </w:r>
      <w:r w:rsidRPr="00306A83">
        <w:rPr>
          <w:rFonts w:asciiTheme="majorBidi" w:eastAsia="Times New Roman" w:hAnsiTheme="majorBidi" w:cstheme="majorBidi"/>
          <w:vertAlign w:val="superscript"/>
        </w:rPr>
        <w:footnoteReference w:id="51"/>
      </w:r>
      <w:r w:rsidRPr="00306A83">
        <w:rPr>
          <w:rFonts w:asciiTheme="majorBidi" w:eastAsia="Times New Roman" w:hAnsiTheme="majorBidi" w:cstheme="majorBidi"/>
        </w:rPr>
        <w:t xml:space="preserve"> ivoiriennes, les maladies récurrentes dans les prisons sont entre autres, la tuberculose, les infections respiratoires aiguës, le paludisme, les dermatoses, les mycoses, la bronchite, l</w:t>
      </w:r>
      <w:r w:rsidRPr="00306A83">
        <w:rPr>
          <w:rFonts w:asciiTheme="majorBidi" w:eastAsia="Times New Roman" w:hAnsiTheme="majorBidi" w:cstheme="majorBidi"/>
        </w:rPr>
        <w:t>a diarrhée, la dépression, la pneumopathie, les infections sexuellement transmissibles (IST) et les gales. Dans une étude réalisée par l’ACAT CI sur les conditions de détention des femmes et des mineurs</w:t>
      </w:r>
      <w:r w:rsidRPr="00306A83">
        <w:rPr>
          <w:rFonts w:asciiTheme="majorBidi" w:eastAsia="Times New Roman" w:hAnsiTheme="majorBidi" w:cstheme="majorBidi"/>
          <w:vertAlign w:val="superscript"/>
        </w:rPr>
        <w:footnoteReference w:id="52"/>
      </w:r>
      <w:r w:rsidRPr="00306A83">
        <w:rPr>
          <w:rFonts w:asciiTheme="majorBidi" w:eastAsia="Times New Roman" w:hAnsiTheme="majorBidi" w:cstheme="majorBidi"/>
        </w:rPr>
        <w:t>, le personnel de santé des établissements pénitenti</w:t>
      </w:r>
      <w:r w:rsidRPr="00306A83">
        <w:rPr>
          <w:rFonts w:asciiTheme="majorBidi" w:eastAsia="Times New Roman" w:hAnsiTheme="majorBidi" w:cstheme="majorBidi"/>
        </w:rPr>
        <w:t>aires qui ont accepté de nous recevoir ont affirmé qu’au niveau des femmes et des mineur.es, les problèmes de santé les plus fréquents sont notamment, ceux dermatologiques, respiratoires ainsi que nutritionnels. Suivent les troubles digestifs et le paludis</w:t>
      </w:r>
      <w:r w:rsidRPr="00306A83">
        <w:rPr>
          <w:rFonts w:asciiTheme="majorBidi" w:eastAsia="Times New Roman" w:hAnsiTheme="majorBidi" w:cstheme="majorBidi"/>
        </w:rPr>
        <w:t>me. La fréquence des cas de maladie contagieuse, telle que la tuberculose, est due à la surpopulation carcérale et à l’absence d’examens médicaux sérieux avant l’admission de nouveaux détenus en cellule.</w:t>
      </w:r>
    </w:p>
    <w:p w14:paraId="661D082B"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02CF388F"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Le plateau technique est resté largement en dessous</w:t>
      </w:r>
      <w:r w:rsidRPr="00306A83">
        <w:rPr>
          <w:rFonts w:asciiTheme="majorBidi" w:eastAsia="Times New Roman" w:hAnsiTheme="majorBidi" w:cstheme="majorBidi"/>
        </w:rPr>
        <w:t xml:space="preserve"> de ce qu’il convient d’apprécier. Toujours selon le rapport du CNDH suscité, “</w:t>
      </w:r>
      <w:r w:rsidRPr="00306A83">
        <w:rPr>
          <w:rFonts w:asciiTheme="majorBidi" w:eastAsia="Times New Roman" w:hAnsiTheme="majorBidi" w:cstheme="majorBidi"/>
          <w:i/>
        </w:rPr>
        <w:t>le plateau technique dédié à la prise en charge des affections semble adéquat dans 21 % des établissements pénitentiaires du pays</w:t>
      </w:r>
      <w:r w:rsidRPr="00306A83">
        <w:rPr>
          <w:rFonts w:asciiTheme="majorBidi" w:eastAsia="Times New Roman" w:hAnsiTheme="majorBidi" w:cstheme="majorBidi"/>
        </w:rPr>
        <w:t>”.  Dans la plupart des cas, l’effectivité de la</w:t>
      </w:r>
      <w:r w:rsidRPr="00306A83">
        <w:rPr>
          <w:rFonts w:asciiTheme="majorBidi" w:eastAsia="Times New Roman" w:hAnsiTheme="majorBidi" w:cstheme="majorBidi"/>
        </w:rPr>
        <w:t xml:space="preserve"> prise en charge des détenu.es se fait, soit par le canal du service du chef d’établissement, soit par les parents, ou encore par la sollicitude des services sociaux. A défaut, le détenu ou la détenue est tout simplement </w:t>
      </w:r>
      <w:proofErr w:type="spellStart"/>
      <w:proofErr w:type="gramStart"/>
      <w:r w:rsidRPr="00306A83">
        <w:rPr>
          <w:rFonts w:asciiTheme="majorBidi" w:eastAsia="Times New Roman" w:hAnsiTheme="majorBidi" w:cstheme="majorBidi"/>
        </w:rPr>
        <w:t>retourné.e</w:t>
      </w:r>
      <w:proofErr w:type="spellEnd"/>
      <w:proofErr w:type="gramEnd"/>
      <w:r w:rsidRPr="00306A83">
        <w:rPr>
          <w:rFonts w:asciiTheme="majorBidi" w:eastAsia="Times New Roman" w:hAnsiTheme="majorBidi" w:cstheme="majorBidi"/>
        </w:rPr>
        <w:t xml:space="preserve"> dans sa cellule sans bén</w:t>
      </w:r>
      <w:r w:rsidRPr="00306A83">
        <w:rPr>
          <w:rFonts w:asciiTheme="majorBidi" w:eastAsia="Times New Roman" w:hAnsiTheme="majorBidi" w:cstheme="majorBidi"/>
        </w:rPr>
        <w:t>éficier de traitement. Pourtant, deux décrets, l’un no 2021-757 du 1er décembre 2021, portant attribution, organisation et fonctionnement des Etablissements Publics Hospitaliers Régionaux (EPHR) l’autre no 2021-758 du 1er décembre 2021 portant attribution,</w:t>
      </w:r>
      <w:r w:rsidRPr="00306A83">
        <w:rPr>
          <w:rFonts w:asciiTheme="majorBidi" w:eastAsia="Times New Roman" w:hAnsiTheme="majorBidi" w:cstheme="majorBidi"/>
        </w:rPr>
        <w:t xml:space="preserve"> organisation et fonctionnement des Établissements Publics Hospitaliers Départementaux (EPHD), affirment respectivement aux articles 64 et 57 que “...</w:t>
      </w:r>
      <w:r w:rsidRPr="00306A83">
        <w:rPr>
          <w:rFonts w:asciiTheme="majorBidi" w:eastAsia="Times New Roman" w:hAnsiTheme="majorBidi" w:cstheme="majorBidi"/>
          <w:i/>
        </w:rPr>
        <w:t>les détenus admis à la demande du ministère chargé de la justice, à la diligence du Préfet de la  circonsc</w:t>
      </w:r>
      <w:r w:rsidRPr="00306A83">
        <w:rPr>
          <w:rFonts w:asciiTheme="majorBidi" w:eastAsia="Times New Roman" w:hAnsiTheme="majorBidi" w:cstheme="majorBidi"/>
          <w:i/>
        </w:rPr>
        <w:t>ription administrative dont relève l’EPHR/D, bénéficient de plein droit du régime d’assistance médicale de la Couverture Maladie Universelle (CMU). Le cas échéant, les frais générés par la prise en charge des détenus devront être supportés par l’autorité p</w:t>
      </w:r>
      <w:r w:rsidRPr="00306A83">
        <w:rPr>
          <w:rFonts w:asciiTheme="majorBidi" w:eastAsia="Times New Roman" w:hAnsiTheme="majorBidi" w:cstheme="majorBidi"/>
          <w:i/>
        </w:rPr>
        <w:t>ublique compétente, notamment, le Conseil régional et la Mairie. Les mineurs sont admis à la demande de leurs parents ou de leur tuteur légal</w:t>
      </w:r>
      <w:r w:rsidRPr="00306A83">
        <w:rPr>
          <w:rFonts w:asciiTheme="majorBidi" w:eastAsia="Times New Roman" w:hAnsiTheme="majorBidi" w:cstheme="majorBidi"/>
        </w:rPr>
        <w:t xml:space="preserve">”. </w:t>
      </w:r>
    </w:p>
    <w:p w14:paraId="62B97EBE"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01403318"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color w:val="333333"/>
        </w:rPr>
      </w:pPr>
      <w:r w:rsidRPr="00306A83">
        <w:rPr>
          <w:rFonts w:asciiTheme="majorBidi" w:eastAsia="Times New Roman" w:hAnsiTheme="majorBidi" w:cstheme="majorBidi"/>
        </w:rPr>
        <w:t>Dans la pratique des référencements, de nombreuses difficultés sont rencontrées dans l’exécution des billets d</w:t>
      </w:r>
      <w:r w:rsidRPr="00306A83">
        <w:rPr>
          <w:rFonts w:asciiTheme="majorBidi" w:eastAsia="Times New Roman" w:hAnsiTheme="majorBidi" w:cstheme="majorBidi"/>
        </w:rPr>
        <w:t>e sortie. Les détenus affirment qu’ils ne sont pas évacués lorsqu’ils manquent de moyens financiers. Le référencement bute également sur la lourdeur administrative, l’insuffisance d’agents de sécurité et l’absence de véhicules d’évacuation. Et lorsque le r</w:t>
      </w:r>
      <w:r w:rsidRPr="00306A83">
        <w:rPr>
          <w:rFonts w:asciiTheme="majorBidi" w:eastAsia="Times New Roman" w:hAnsiTheme="majorBidi" w:cstheme="majorBidi"/>
        </w:rPr>
        <w:t>éférencement est effectué, à la vérité, ces autorités publiques compétentes citées dans les décrets sus indiqués sont absentes. Le malade ne doit compter que sur les parents et autres philanthropes. A défaut, il ne recevra pas de soins. Dans cette hypothès</w:t>
      </w:r>
      <w:r w:rsidRPr="00306A83">
        <w:rPr>
          <w:rFonts w:asciiTheme="majorBidi" w:eastAsia="Times New Roman" w:hAnsiTheme="majorBidi" w:cstheme="majorBidi"/>
        </w:rPr>
        <w:t xml:space="preserve">e, le détenu est simplement réintégré dans sa cellule. Il s’ensuit donc des situations de décès dans plusieurs cas. </w:t>
      </w:r>
      <w:r w:rsidRPr="00306A83">
        <w:rPr>
          <w:rFonts w:asciiTheme="majorBidi" w:eastAsia="Times New Roman" w:hAnsiTheme="majorBidi" w:cstheme="majorBidi"/>
        </w:rPr>
        <w:lastRenderedPageBreak/>
        <w:t xml:space="preserve">Sur le personnel de santé, selon les statistiques dressées par le CNDH, sur 40 établissements pénitentiaires, nous avons neuf médecins, sur </w:t>
      </w:r>
      <w:r w:rsidRPr="00306A83">
        <w:rPr>
          <w:rFonts w:asciiTheme="majorBidi" w:eastAsia="Times New Roman" w:hAnsiTheme="majorBidi" w:cstheme="majorBidi"/>
        </w:rPr>
        <w:t xml:space="preserve">un total de 84 agents de santé. Or, </w:t>
      </w:r>
      <w:r w:rsidRPr="00306A83">
        <w:rPr>
          <w:rFonts w:asciiTheme="majorBidi" w:eastAsia="Times New Roman" w:hAnsiTheme="majorBidi" w:cstheme="majorBidi"/>
          <w:color w:val="040C28"/>
        </w:rPr>
        <w:t>l'OMS recommande un minimum de 23 médecins pour 10.000 habitants</w:t>
      </w:r>
      <w:r w:rsidRPr="00306A83">
        <w:rPr>
          <w:rFonts w:asciiTheme="majorBidi" w:eastAsia="Times New Roman" w:hAnsiTheme="majorBidi" w:cstheme="majorBidi"/>
          <w:color w:val="202124"/>
        </w:rPr>
        <w:t xml:space="preserve">. En 2019, en Côte d’Ivoire, </w:t>
      </w:r>
      <w:r w:rsidRPr="00306A83">
        <w:rPr>
          <w:rFonts w:asciiTheme="majorBidi" w:eastAsia="Times New Roman" w:hAnsiTheme="majorBidi" w:cstheme="majorBidi"/>
          <w:color w:val="333333"/>
        </w:rPr>
        <w:t>le ratio médecin/population est de 1 médecin pour 7 354 habitants en 2019</w:t>
      </w:r>
      <w:r w:rsidRPr="00306A83">
        <w:rPr>
          <w:rFonts w:asciiTheme="majorBidi" w:eastAsia="Times New Roman" w:hAnsiTheme="majorBidi" w:cstheme="majorBidi"/>
          <w:color w:val="333333"/>
          <w:vertAlign w:val="superscript"/>
        </w:rPr>
        <w:footnoteReference w:id="53"/>
      </w:r>
      <w:r w:rsidRPr="00306A83">
        <w:rPr>
          <w:rFonts w:asciiTheme="majorBidi" w:eastAsia="Times New Roman" w:hAnsiTheme="majorBidi" w:cstheme="majorBidi"/>
          <w:color w:val="333333"/>
        </w:rPr>
        <w:t xml:space="preserve">. </w:t>
      </w:r>
    </w:p>
    <w:p w14:paraId="16F4D1B3"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0AC80ED3" w14:textId="4C24C746" w:rsidR="003B4185" w:rsidRPr="00306A83" w:rsidRDefault="006803DD" w:rsidP="0017525C">
      <w:pPr>
        <w:pBdr>
          <w:top w:val="nil"/>
          <w:left w:val="nil"/>
          <w:bottom w:val="nil"/>
          <w:right w:val="nil"/>
          <w:between w:val="nil"/>
        </w:pBdr>
        <w:spacing w:line="259" w:lineRule="auto"/>
        <w:jc w:val="both"/>
        <w:rPr>
          <w:rFonts w:asciiTheme="majorBidi" w:eastAsia="Times New Roman" w:hAnsiTheme="majorBidi" w:cstheme="majorBidi"/>
          <w:color w:val="212529"/>
          <w:highlight w:val="white"/>
        </w:rPr>
      </w:pPr>
      <w:r w:rsidRPr="00306A83">
        <w:rPr>
          <w:rFonts w:asciiTheme="majorBidi" w:eastAsia="Times New Roman" w:hAnsiTheme="majorBidi" w:cstheme="majorBidi"/>
        </w:rPr>
        <w:t xml:space="preserve">Concernant les hospitalisations, environ 1⁄3 des prisons en sont exclues, faute d’équipements et d’espaces. S’agissant </w:t>
      </w:r>
      <w:proofErr w:type="gramStart"/>
      <w:r w:rsidRPr="00306A83">
        <w:rPr>
          <w:rFonts w:asciiTheme="majorBidi" w:eastAsia="Times New Roman" w:hAnsiTheme="majorBidi" w:cstheme="majorBidi"/>
        </w:rPr>
        <w:t>des permanence</w:t>
      </w:r>
      <w:proofErr w:type="gramEnd"/>
      <w:r w:rsidRPr="00306A83">
        <w:rPr>
          <w:rFonts w:asciiTheme="majorBidi" w:eastAsia="Times New Roman" w:hAnsiTheme="majorBidi" w:cstheme="majorBidi"/>
        </w:rPr>
        <w:t>, le personnel de santé est absent au-delà de 17h dans plus d’une quinzaine de centres de santé dans les établissements pén</w:t>
      </w:r>
      <w:r w:rsidRPr="00306A83">
        <w:rPr>
          <w:rFonts w:asciiTheme="majorBidi" w:eastAsia="Times New Roman" w:hAnsiTheme="majorBidi" w:cstheme="majorBidi"/>
        </w:rPr>
        <w:t xml:space="preserve">itentiaires. Dans un établissement pénitentiaire, même les </w:t>
      </w:r>
      <w:proofErr w:type="spellStart"/>
      <w:r w:rsidRPr="00306A83">
        <w:rPr>
          <w:rFonts w:asciiTheme="majorBidi" w:eastAsia="Times New Roman" w:hAnsiTheme="majorBidi" w:cstheme="majorBidi"/>
        </w:rPr>
        <w:t>week</w:t>
      </w:r>
      <w:proofErr w:type="spellEnd"/>
      <w:r w:rsidRPr="00306A83">
        <w:rPr>
          <w:rFonts w:asciiTheme="majorBidi" w:eastAsia="Times New Roman" w:hAnsiTheme="majorBidi" w:cstheme="majorBidi"/>
        </w:rPr>
        <w:t xml:space="preserve"> end, il n’y a pas de permanence. Est-il permis de parler d’assistance psychologiques et </w:t>
      </w:r>
      <w:proofErr w:type="gramStart"/>
      <w:r w:rsidRPr="00306A83">
        <w:rPr>
          <w:rFonts w:asciiTheme="majorBidi" w:eastAsia="Times New Roman" w:hAnsiTheme="majorBidi" w:cstheme="majorBidi"/>
        </w:rPr>
        <w:t>psychiatriques?</w:t>
      </w:r>
      <w:proofErr w:type="gramEnd"/>
      <w:r w:rsidRPr="00306A83">
        <w:rPr>
          <w:rFonts w:asciiTheme="majorBidi" w:eastAsia="Times New Roman" w:hAnsiTheme="majorBidi" w:cstheme="majorBidi"/>
        </w:rPr>
        <w:t xml:space="preserve"> La vérité, c’est qu’en la matière, les détenu.es souffrant de troubles psychiques sont r</w:t>
      </w:r>
      <w:r w:rsidRPr="00306A83">
        <w:rPr>
          <w:rFonts w:asciiTheme="majorBidi" w:eastAsia="Times New Roman" w:hAnsiTheme="majorBidi" w:cstheme="majorBidi"/>
        </w:rPr>
        <w:t xml:space="preserve">éféré.es dans le seul Centre psychiatrique de Bingerville. Toutefois les complexités administratives incompréhensibles favorisent la présence d’un nombre grandissant de personnes </w:t>
      </w:r>
      <w:proofErr w:type="gramStart"/>
      <w:r w:rsidRPr="00306A83">
        <w:rPr>
          <w:rFonts w:asciiTheme="majorBidi" w:eastAsia="Times New Roman" w:hAnsiTheme="majorBidi" w:cstheme="majorBidi"/>
        </w:rPr>
        <w:t>manifestement  victimes</w:t>
      </w:r>
      <w:proofErr w:type="gramEnd"/>
      <w:r w:rsidRPr="00306A83">
        <w:rPr>
          <w:rFonts w:asciiTheme="majorBidi" w:eastAsia="Times New Roman" w:hAnsiTheme="majorBidi" w:cstheme="majorBidi"/>
        </w:rPr>
        <w:t xml:space="preserve"> de troubles mentaux. Suivant un rapport de l’ONG, Obs</w:t>
      </w:r>
      <w:r w:rsidRPr="00306A83">
        <w:rPr>
          <w:rFonts w:asciiTheme="majorBidi" w:eastAsia="Times New Roman" w:hAnsiTheme="majorBidi" w:cstheme="majorBidi"/>
        </w:rPr>
        <w:t>ervatoire Ivoirien des Droits de l’Homme (OIDH), publié en mars 2018, “</w:t>
      </w:r>
      <w:r w:rsidRPr="00306A83">
        <w:rPr>
          <w:rFonts w:asciiTheme="majorBidi" w:eastAsia="Times New Roman" w:hAnsiTheme="majorBidi" w:cstheme="majorBidi"/>
          <w:i/>
          <w:color w:val="212529"/>
          <w:highlight w:val="white"/>
        </w:rPr>
        <w:t>des personnes présentant ce type de pathologie ont été observées dans 73 % des cellules ordinaires, aussi bien dans les cellules des femmes que dans celles des hommes</w:t>
      </w:r>
      <w:r w:rsidRPr="00306A83">
        <w:rPr>
          <w:rFonts w:asciiTheme="majorBidi" w:eastAsia="Times New Roman" w:hAnsiTheme="majorBidi" w:cstheme="majorBidi"/>
          <w:color w:val="212529"/>
          <w:highlight w:val="white"/>
        </w:rPr>
        <w:t>”. L’OIDH précise q</w:t>
      </w:r>
      <w:r w:rsidRPr="00306A83">
        <w:rPr>
          <w:rFonts w:asciiTheme="majorBidi" w:eastAsia="Times New Roman" w:hAnsiTheme="majorBidi" w:cstheme="majorBidi"/>
          <w:color w:val="212529"/>
          <w:highlight w:val="white"/>
        </w:rPr>
        <w:t xml:space="preserve">ue selon les selon </w:t>
      </w:r>
      <w:proofErr w:type="gramStart"/>
      <w:r w:rsidRPr="00306A83">
        <w:rPr>
          <w:rFonts w:asciiTheme="majorBidi" w:eastAsia="Times New Roman" w:hAnsiTheme="majorBidi" w:cstheme="majorBidi"/>
          <w:color w:val="212529"/>
          <w:highlight w:val="white"/>
        </w:rPr>
        <w:t>des  régisseurs</w:t>
      </w:r>
      <w:proofErr w:type="gramEnd"/>
      <w:r w:rsidRPr="00306A83">
        <w:rPr>
          <w:rFonts w:asciiTheme="majorBidi" w:eastAsia="Times New Roman" w:hAnsiTheme="majorBidi" w:cstheme="majorBidi"/>
          <w:color w:val="212529"/>
          <w:highlight w:val="white"/>
        </w:rPr>
        <w:t xml:space="preserve">, certains des prévenus souffrant de démence seraient arrivés dans leur établissement dans cet état. </w:t>
      </w:r>
    </w:p>
    <w:p w14:paraId="37ED63B5" w14:textId="57F20075" w:rsidR="003B4185" w:rsidRPr="00FF3C17" w:rsidRDefault="006803DD" w:rsidP="00FF3C17">
      <w:pPr>
        <w:pStyle w:val="Heading3"/>
        <w:numPr>
          <w:ilvl w:val="0"/>
          <w:numId w:val="29"/>
        </w:numPr>
        <w:rPr>
          <w:highlight w:val="white"/>
        </w:rPr>
      </w:pPr>
      <w:bookmarkStart w:id="28" w:name="_Toc168990367"/>
      <w:r w:rsidRPr="00FF3C17">
        <w:rPr>
          <w:highlight w:val="white"/>
        </w:rPr>
        <w:t>Mort en détention</w:t>
      </w:r>
      <w:bookmarkEnd w:id="28"/>
      <w:r w:rsidRPr="00FF3C17">
        <w:rPr>
          <w:highlight w:val="white"/>
        </w:rPr>
        <w:t xml:space="preserve"> </w:t>
      </w:r>
    </w:p>
    <w:p w14:paraId="2916F34B"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color w:val="212529"/>
          <w:highlight w:val="white"/>
        </w:rPr>
      </w:pPr>
    </w:p>
    <w:p w14:paraId="03C69049" w14:textId="20900B3F" w:rsidR="003B4185" w:rsidRPr="00306A83" w:rsidRDefault="006803DD" w:rsidP="0017525C">
      <w:pPr>
        <w:pBdr>
          <w:top w:val="nil"/>
          <w:left w:val="nil"/>
          <w:bottom w:val="nil"/>
          <w:right w:val="nil"/>
          <w:between w:val="nil"/>
        </w:pBdr>
        <w:spacing w:line="259" w:lineRule="auto"/>
        <w:jc w:val="both"/>
        <w:rPr>
          <w:rFonts w:asciiTheme="majorBidi" w:eastAsia="Times New Roman" w:hAnsiTheme="majorBidi" w:cstheme="majorBidi"/>
          <w:color w:val="212529"/>
          <w:highlight w:val="white"/>
        </w:rPr>
      </w:pPr>
      <w:r w:rsidRPr="00306A83">
        <w:rPr>
          <w:rFonts w:asciiTheme="majorBidi" w:eastAsia="Times New Roman" w:hAnsiTheme="majorBidi" w:cstheme="majorBidi"/>
          <w:color w:val="212529"/>
          <w:highlight w:val="white"/>
        </w:rPr>
        <w:t>Quant aux décès dans les prisons, selon les informations recueillies auprès du service social, en ca</w:t>
      </w:r>
      <w:r w:rsidRPr="00306A83">
        <w:rPr>
          <w:rFonts w:asciiTheme="majorBidi" w:eastAsia="Times New Roman" w:hAnsiTheme="majorBidi" w:cstheme="majorBidi"/>
          <w:color w:val="212529"/>
          <w:highlight w:val="white"/>
        </w:rPr>
        <w:t>s de décès, la procédure est essentiellement l’affaire du service social, qui engage toutes les démarches administratives et sociales. Le nombre de décès n’est cependant pas documenté, un mutisme assourdissant créant le mystère sur celui-ci. Toutefois, sel</w:t>
      </w:r>
      <w:r w:rsidRPr="00306A83">
        <w:rPr>
          <w:rFonts w:asciiTheme="majorBidi" w:eastAsia="Times New Roman" w:hAnsiTheme="majorBidi" w:cstheme="majorBidi"/>
          <w:color w:val="212529"/>
          <w:highlight w:val="white"/>
        </w:rPr>
        <w:t xml:space="preserve">on nos sources, le taux de mortalité est anormalement élevé. Ayant séjourné 6 jours dans une prisons pour des activités, un travailleur mandaté par une ONG, </w:t>
      </w:r>
      <w:proofErr w:type="spellStart"/>
      <w:r w:rsidRPr="00306A83">
        <w:rPr>
          <w:rFonts w:asciiTheme="majorBidi" w:eastAsia="Times New Roman" w:hAnsiTheme="majorBidi" w:cstheme="majorBidi"/>
          <w:color w:val="212529"/>
          <w:highlight w:val="white"/>
        </w:rPr>
        <w:t>à</w:t>
      </w:r>
      <w:proofErr w:type="spellEnd"/>
      <w:r w:rsidRPr="00306A83">
        <w:rPr>
          <w:rFonts w:asciiTheme="majorBidi" w:eastAsia="Times New Roman" w:hAnsiTheme="majorBidi" w:cstheme="majorBidi"/>
          <w:color w:val="212529"/>
          <w:highlight w:val="white"/>
        </w:rPr>
        <w:t xml:space="preserve"> dénombré 7 décès durant cette période. Rappelons que cette prison compte moins de 1000 pensionnai</w:t>
      </w:r>
      <w:r w:rsidRPr="00306A83">
        <w:rPr>
          <w:rFonts w:asciiTheme="majorBidi" w:eastAsia="Times New Roman" w:hAnsiTheme="majorBidi" w:cstheme="majorBidi"/>
          <w:color w:val="212529"/>
          <w:highlight w:val="white"/>
        </w:rPr>
        <w:t>res, environ 600, pour une capacité d’accueil de 150 personnes. Au PPA, nos sources font état d’au moins 20 décès par mois. Ces faits nous amènent à nous interroger sur le chiffre des décès que nous fournit l’annuaire statistique judiciaires et pénitentiai</w:t>
      </w:r>
      <w:r w:rsidRPr="00306A83">
        <w:rPr>
          <w:rFonts w:asciiTheme="majorBidi" w:eastAsia="Times New Roman" w:hAnsiTheme="majorBidi" w:cstheme="majorBidi"/>
          <w:color w:val="212529"/>
          <w:highlight w:val="white"/>
        </w:rPr>
        <w:t xml:space="preserve">res 2021-2022. Pendant que dans le rapport de l’Etat, il est mentionné qu’en 2017, 2018, 2019, 2020, 2021, 2022, 2023, il </w:t>
      </w:r>
      <w:proofErr w:type="spellStart"/>
      <w:r w:rsidRPr="00306A83">
        <w:rPr>
          <w:rFonts w:asciiTheme="majorBidi" w:eastAsia="Times New Roman" w:hAnsiTheme="majorBidi" w:cstheme="majorBidi"/>
          <w:color w:val="212529"/>
          <w:highlight w:val="white"/>
        </w:rPr>
        <w:t>eu</w:t>
      </w:r>
      <w:proofErr w:type="spellEnd"/>
      <w:r w:rsidRPr="00306A83">
        <w:rPr>
          <w:rFonts w:asciiTheme="majorBidi" w:eastAsia="Times New Roman" w:hAnsiTheme="majorBidi" w:cstheme="majorBidi"/>
          <w:color w:val="212529"/>
          <w:highlight w:val="white"/>
        </w:rPr>
        <w:t xml:space="preserve"> respectivement, 95, 191, 217, 329, 235 et 219 décès, l’annuaire des statistiques judiciaires et pénitentiaires de 2018-2019 et 2021</w:t>
      </w:r>
      <w:r w:rsidRPr="00306A83">
        <w:rPr>
          <w:rFonts w:asciiTheme="majorBidi" w:eastAsia="Times New Roman" w:hAnsiTheme="majorBidi" w:cstheme="majorBidi"/>
          <w:color w:val="212529"/>
          <w:highlight w:val="white"/>
        </w:rPr>
        <w:t>-2022, fait état de, respectivement, pour les années 2017 et 2018, 33, 104 décès. Les statistiques pour l’année 2019 sont indisponibles, 112 pour l’année 2020 et les années 2021-2022 restent encore indisponibles. Cette différence entre les chiffres du gouv</w:t>
      </w:r>
      <w:r w:rsidRPr="00306A83">
        <w:rPr>
          <w:rFonts w:asciiTheme="majorBidi" w:eastAsia="Times New Roman" w:hAnsiTheme="majorBidi" w:cstheme="majorBidi"/>
          <w:color w:val="212529"/>
          <w:highlight w:val="white"/>
        </w:rPr>
        <w:t xml:space="preserve">ernement nourrit des doutes légitimes sur la crédibilité des statistiques judiciaires et pénitentiaires que fournit annuellement l'État. </w:t>
      </w:r>
    </w:p>
    <w:p w14:paraId="7399F5F1" w14:textId="309C475B" w:rsidR="003B4185" w:rsidRPr="00FF3C17" w:rsidRDefault="006803DD" w:rsidP="00FF3C17">
      <w:pPr>
        <w:pStyle w:val="Heading3"/>
        <w:numPr>
          <w:ilvl w:val="0"/>
          <w:numId w:val="29"/>
        </w:numPr>
        <w:rPr>
          <w:highlight w:val="white"/>
        </w:rPr>
      </w:pPr>
      <w:bookmarkStart w:id="29" w:name="_Toc168990368"/>
      <w:r w:rsidRPr="00FF3C17">
        <w:rPr>
          <w:highlight w:val="white"/>
        </w:rPr>
        <w:t>Règlement intérieur et mesures disciplinaires</w:t>
      </w:r>
      <w:bookmarkEnd w:id="29"/>
    </w:p>
    <w:p w14:paraId="747D0BF1"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color w:val="212529"/>
          <w:highlight w:val="white"/>
        </w:rPr>
      </w:pPr>
    </w:p>
    <w:p w14:paraId="43BB5CED" w14:textId="3AF7E224" w:rsidR="003B4185" w:rsidRPr="0017525C" w:rsidRDefault="006803DD" w:rsidP="0017525C">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Sur la nécessité du règlement intérieur dans chaque prison, les adminis</w:t>
      </w:r>
      <w:r w:rsidRPr="00306A83">
        <w:rPr>
          <w:rFonts w:asciiTheme="majorBidi" w:eastAsia="Times New Roman" w:hAnsiTheme="majorBidi" w:cstheme="majorBidi"/>
        </w:rPr>
        <w:t xml:space="preserve">trateurs des prisons affirment avoir des règlements intérieurs. Toutefois, sur 7 chefs d'établissement à qui nous avons demandé avoir connaissance de l’existence d’un règlement intérieur, </w:t>
      </w:r>
      <w:proofErr w:type="gramStart"/>
      <w:r w:rsidRPr="00306A83">
        <w:rPr>
          <w:rFonts w:asciiTheme="majorBidi" w:eastAsia="Times New Roman" w:hAnsiTheme="majorBidi" w:cstheme="majorBidi"/>
        </w:rPr>
        <w:t>aucun  n’a</w:t>
      </w:r>
      <w:proofErr w:type="gramEnd"/>
      <w:r w:rsidRPr="00306A83">
        <w:rPr>
          <w:rFonts w:asciiTheme="majorBidi" w:eastAsia="Times New Roman" w:hAnsiTheme="majorBidi" w:cstheme="majorBidi"/>
        </w:rPr>
        <w:t xml:space="preserve"> été capable de nous présenter le règlement intérieur dans</w:t>
      </w:r>
      <w:r w:rsidRPr="00306A83">
        <w:rPr>
          <w:rFonts w:asciiTheme="majorBidi" w:eastAsia="Times New Roman" w:hAnsiTheme="majorBidi" w:cstheme="majorBidi"/>
        </w:rPr>
        <w:t xml:space="preserve"> sa prison, à l’exception d’un seul. Dans </w:t>
      </w:r>
      <w:r w:rsidRPr="00306A83">
        <w:rPr>
          <w:rFonts w:asciiTheme="majorBidi" w:eastAsia="Times New Roman" w:hAnsiTheme="majorBidi" w:cstheme="majorBidi"/>
        </w:rPr>
        <w:lastRenderedPageBreak/>
        <w:t>ce dernier cas, le règlement n’a pas encore été approuvé par la direction de l’administration pénitentiaire. Dans ces prisons, les détenu.es n’ont pas connaissance des habitudes à observer. Il</w:t>
      </w:r>
      <w:r w:rsidR="0017525C">
        <w:rPr>
          <w:rFonts w:asciiTheme="majorBidi" w:eastAsia="Times New Roman" w:hAnsiTheme="majorBidi" w:cstheme="majorBidi"/>
        </w:rPr>
        <w:t>s</w:t>
      </w:r>
      <w:r w:rsidRPr="00306A83">
        <w:rPr>
          <w:rFonts w:asciiTheme="majorBidi" w:eastAsia="Times New Roman" w:hAnsiTheme="majorBidi" w:cstheme="majorBidi"/>
        </w:rPr>
        <w:t xml:space="preserve"> ne sont soumis qu’au</w:t>
      </w:r>
      <w:r w:rsidRPr="00306A83">
        <w:rPr>
          <w:rFonts w:asciiTheme="majorBidi" w:eastAsia="Times New Roman" w:hAnsiTheme="majorBidi" w:cstheme="majorBidi"/>
        </w:rPr>
        <w:t xml:space="preserve">x seules injonctions, suivant leurs humeurs, des agents pénitentiaires. </w:t>
      </w:r>
    </w:p>
    <w:p w14:paraId="05E8DA6D" w14:textId="3C825CE3" w:rsidR="003B4185" w:rsidRPr="00306A83" w:rsidRDefault="006803DD" w:rsidP="00FF3C17">
      <w:pPr>
        <w:pStyle w:val="Heading3"/>
        <w:numPr>
          <w:ilvl w:val="0"/>
          <w:numId w:val="29"/>
        </w:numPr>
      </w:pPr>
      <w:bookmarkStart w:id="30" w:name="_Toc168990369"/>
      <w:r w:rsidRPr="00306A83">
        <w:t>L’absence de programme de réinsertion sociale</w:t>
      </w:r>
      <w:bookmarkEnd w:id="30"/>
    </w:p>
    <w:p w14:paraId="51103168" w14:textId="77777777" w:rsidR="003B4185" w:rsidRPr="00306A83" w:rsidRDefault="003B4185">
      <w:pPr>
        <w:spacing w:line="259" w:lineRule="auto"/>
        <w:jc w:val="both"/>
        <w:rPr>
          <w:rFonts w:asciiTheme="majorBidi" w:eastAsia="Times New Roman" w:hAnsiTheme="majorBidi" w:cstheme="majorBidi"/>
        </w:rPr>
      </w:pPr>
    </w:p>
    <w:p w14:paraId="75444A41" w14:textId="77777777" w:rsidR="003B4185" w:rsidRPr="00306A83" w:rsidRDefault="006803DD">
      <w:pPr>
        <w:spacing w:line="259" w:lineRule="auto"/>
        <w:jc w:val="both"/>
        <w:rPr>
          <w:rFonts w:asciiTheme="majorBidi" w:eastAsia="Times New Roman" w:hAnsiTheme="majorBidi" w:cstheme="majorBidi"/>
          <w:color w:val="212529"/>
          <w:highlight w:val="white"/>
        </w:rPr>
      </w:pPr>
      <w:r w:rsidRPr="00306A83">
        <w:rPr>
          <w:rFonts w:asciiTheme="majorBidi" w:eastAsia="Times New Roman" w:hAnsiTheme="majorBidi" w:cstheme="majorBidi"/>
        </w:rPr>
        <w:t xml:space="preserve">En plus, les prisons ne disposent pas d’ateliers de formation. Les détenus sont oisifs et ne bénéficient d’aucune activité de formation </w:t>
      </w:r>
      <w:r w:rsidRPr="00306A83">
        <w:rPr>
          <w:rFonts w:asciiTheme="majorBidi" w:eastAsia="Times New Roman" w:hAnsiTheme="majorBidi" w:cstheme="majorBidi"/>
        </w:rPr>
        <w:t xml:space="preserve">socio-professionnelle. Il n’existe pas de plan de mise en œuvre des activités de resocialisation. Aucune convention ne lie, dans la pratique, le </w:t>
      </w:r>
      <w:proofErr w:type="gramStart"/>
      <w:r w:rsidRPr="00306A83">
        <w:rPr>
          <w:rFonts w:asciiTheme="majorBidi" w:eastAsia="Times New Roman" w:hAnsiTheme="majorBidi" w:cstheme="majorBidi"/>
        </w:rPr>
        <w:t>Ministère de l'Éducation</w:t>
      </w:r>
      <w:proofErr w:type="gramEnd"/>
      <w:r w:rsidRPr="00306A83">
        <w:rPr>
          <w:rFonts w:asciiTheme="majorBidi" w:eastAsia="Times New Roman" w:hAnsiTheme="majorBidi" w:cstheme="majorBidi"/>
        </w:rPr>
        <w:t xml:space="preserve"> nationale et de l'alphabétisation et celui de l’Enseignement technique et de la format</w:t>
      </w:r>
      <w:r w:rsidRPr="00306A83">
        <w:rPr>
          <w:rFonts w:asciiTheme="majorBidi" w:eastAsia="Times New Roman" w:hAnsiTheme="majorBidi" w:cstheme="majorBidi"/>
        </w:rPr>
        <w:t>ion professionnelle, permettant la formation socio-professionnelle des détenu.es. La sous-direction de l’Administration pénitentiaire chargée de la réinsertion sociale ne dispose pratiquement pas de budget pour sa mission. Seul le PPA dispose d’un programm</w:t>
      </w:r>
      <w:r w:rsidRPr="00306A83">
        <w:rPr>
          <w:rFonts w:asciiTheme="majorBidi" w:eastAsia="Times New Roman" w:hAnsiTheme="majorBidi" w:cstheme="majorBidi"/>
        </w:rPr>
        <w:t xml:space="preserve">e de formation et de réinsertion ne prenant en charge que 50 détenus sur la double dizaine de milliers qu'il compte. Les activités sportives sont rares, d’autant que les établissements pénitentiaires ne bénéficient pas d'infrastructures sportives. </w:t>
      </w:r>
    </w:p>
    <w:p w14:paraId="57E199E5" w14:textId="25B7BCA2" w:rsidR="003B4185" w:rsidRPr="00FF3C17" w:rsidRDefault="006803DD" w:rsidP="00FF3C17">
      <w:pPr>
        <w:pStyle w:val="Heading2"/>
        <w:numPr>
          <w:ilvl w:val="0"/>
          <w:numId w:val="39"/>
        </w:numPr>
      </w:pPr>
      <w:bookmarkStart w:id="31" w:name="_Toc168990370"/>
      <w:r w:rsidRPr="00FF3C17">
        <w:t>Les dif</w:t>
      </w:r>
      <w:r w:rsidRPr="00FF3C17">
        <w:t>ficultés d’accès de la société civile aux prisons ivoiriennes</w:t>
      </w:r>
      <w:bookmarkEnd w:id="31"/>
    </w:p>
    <w:p w14:paraId="04D9D0D1"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i/>
        </w:rPr>
      </w:pPr>
    </w:p>
    <w:p w14:paraId="332CA79C"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L'État partie soutient dans son rapport que “</w:t>
      </w:r>
      <w:r w:rsidRPr="00306A83">
        <w:rPr>
          <w:rFonts w:asciiTheme="majorBidi" w:eastAsia="Times New Roman" w:hAnsiTheme="majorBidi" w:cstheme="majorBidi"/>
          <w:i/>
        </w:rPr>
        <w:t xml:space="preserve">les organisations de la société civile ont la possibilité de visiter les prisons, à condition d’obtenir une autorisation préalable de la part de </w:t>
      </w:r>
      <w:r w:rsidRPr="00306A83">
        <w:rPr>
          <w:rFonts w:asciiTheme="majorBidi" w:eastAsia="Times New Roman" w:hAnsiTheme="majorBidi" w:cstheme="majorBidi"/>
          <w:i/>
        </w:rPr>
        <w:t>l’Administration pénitentiaire conformément à l’article 13 du décret no 69-189 du 14 mai 1969 portant réglementation des établissements pénitentiaires et fixant les modalités d’exécution des peines privatives de Liberté</w:t>
      </w:r>
      <w:r w:rsidRPr="00306A83">
        <w:rPr>
          <w:rFonts w:asciiTheme="majorBidi" w:eastAsia="Times New Roman" w:hAnsiTheme="majorBidi" w:cstheme="majorBidi"/>
        </w:rPr>
        <w:t xml:space="preserve">". </w:t>
      </w:r>
      <w:r w:rsidRPr="00306A83">
        <w:rPr>
          <w:rFonts w:asciiTheme="majorBidi" w:eastAsia="Times New Roman" w:hAnsiTheme="majorBidi" w:cstheme="majorBidi"/>
          <w:i/>
        </w:rPr>
        <w:t>Ce décret a été remplacé par un au</w:t>
      </w:r>
      <w:r w:rsidRPr="00306A83">
        <w:rPr>
          <w:rFonts w:asciiTheme="majorBidi" w:eastAsia="Times New Roman" w:hAnsiTheme="majorBidi" w:cstheme="majorBidi"/>
          <w:i/>
        </w:rPr>
        <w:t>tre, décret No 2023.239 du 05 avril 2023 portant réglementation des établissements pénitentiaires et fixant les modalités d’exécution de la détention des personnes  qui, en son article 126 affirme  que « Les représentants d’organisations internationales, d</w:t>
      </w:r>
      <w:r w:rsidRPr="00306A83">
        <w:rPr>
          <w:rFonts w:asciiTheme="majorBidi" w:eastAsia="Times New Roman" w:hAnsiTheme="majorBidi" w:cstheme="majorBidi"/>
          <w:i/>
        </w:rPr>
        <w:t xml:space="preserve">’organisations publiques et d’organisations non gouvernementales œuvrant dans le domaine des droits de l’Homme ou du droit international humanitaires, ainsi que les associations régulièrement constituées, poursuivant un but humanitaire, peuvent, effectuer </w:t>
      </w:r>
      <w:r w:rsidRPr="00306A83">
        <w:rPr>
          <w:rFonts w:asciiTheme="majorBidi" w:eastAsia="Times New Roman" w:hAnsiTheme="majorBidi" w:cstheme="majorBidi"/>
          <w:i/>
        </w:rPr>
        <w:t>des visites dans les établissements pénitentiaires, sur autorisation accordée par le ministre de la justice</w:t>
      </w:r>
      <w:r w:rsidRPr="00306A83">
        <w:rPr>
          <w:rFonts w:asciiTheme="majorBidi" w:eastAsia="Times New Roman" w:hAnsiTheme="majorBidi" w:cstheme="majorBidi"/>
        </w:rPr>
        <w:t xml:space="preserve"> ».</w:t>
      </w:r>
    </w:p>
    <w:p w14:paraId="5326E2AA"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15D2692E" w14:textId="00B1FCA4" w:rsidR="003B4185" w:rsidRPr="00306A83" w:rsidRDefault="00FF3C17">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L’État ajoute que “</w:t>
      </w:r>
      <w:r w:rsidRPr="00306A83">
        <w:rPr>
          <w:rFonts w:asciiTheme="majorBidi" w:eastAsia="Times New Roman" w:hAnsiTheme="majorBidi" w:cstheme="majorBidi"/>
          <w:i/>
        </w:rPr>
        <w:t>Les ONG nationales et internationales telles que Prisonniers Sans Frontière et</w:t>
      </w:r>
      <w:r w:rsidRPr="00306A83">
        <w:rPr>
          <w:rFonts w:asciiTheme="majorBidi" w:eastAsia="Times New Roman" w:hAnsiTheme="majorBidi" w:cstheme="majorBidi"/>
          <w:i/>
          <w:color w:val="D13438"/>
        </w:rPr>
        <w:t xml:space="preserve"> </w:t>
      </w:r>
      <w:r w:rsidRPr="00306A83">
        <w:rPr>
          <w:rFonts w:asciiTheme="majorBidi" w:eastAsia="Times New Roman" w:hAnsiTheme="majorBidi" w:cstheme="majorBidi"/>
          <w:i/>
        </w:rPr>
        <w:t>Amnesty international et celles nationales comme Action Chrétienne pour l’Abolition de la Torture-Côte d’Ivoire (ACAT-CI) et Soutien aux Prisonniers de Côte d’Ivoire (SOPCI) ainsi que la Croix-Rouge ont la possibilité d’effectuer des visites sans autorisation préalable dans les lieux de détention</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54"/>
      </w:r>
      <w:r w:rsidRPr="00306A83">
        <w:rPr>
          <w:rFonts w:asciiTheme="majorBidi" w:eastAsia="Times New Roman" w:hAnsiTheme="majorBidi" w:cstheme="majorBidi"/>
        </w:rPr>
        <w:t xml:space="preserve"> </w:t>
      </w:r>
    </w:p>
    <w:p w14:paraId="4419BFE2"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2AE32775"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Pourtant, force est de constater que les ONG citées ci-dessus ne sont pas autorisées à effectuer des visites inopinées dans les lieux de détention. De plus, lorsque les visites sont autorisées, celles-ci ne permettent pas aux représentants</w:t>
      </w:r>
      <w:r w:rsidRPr="00306A83">
        <w:rPr>
          <w:rFonts w:asciiTheme="majorBidi" w:eastAsia="Times New Roman" w:hAnsiTheme="majorBidi" w:cstheme="majorBidi"/>
        </w:rPr>
        <w:t xml:space="preserve"> de la société civile de faire une visite complète de monitoring et de s’entretenir librement avec des détenus. Même la mission de l’OMCT ayant obtenu l’autorisation d’effectuer une visite au sein du PPA le 04 mai 2024 n'a pu réaliser qu’une visite adminis</w:t>
      </w:r>
      <w:r w:rsidRPr="00306A83">
        <w:rPr>
          <w:rFonts w:asciiTheme="majorBidi" w:eastAsia="Times New Roman" w:hAnsiTheme="majorBidi" w:cstheme="majorBidi"/>
        </w:rPr>
        <w:t xml:space="preserve">trative guidée sans pouvoir librement observer les cellules et l’ensemble des </w:t>
      </w:r>
      <w:r w:rsidRPr="00306A83">
        <w:rPr>
          <w:rFonts w:asciiTheme="majorBidi" w:eastAsia="Times New Roman" w:hAnsiTheme="majorBidi" w:cstheme="majorBidi"/>
        </w:rPr>
        <w:lastRenderedPageBreak/>
        <w:t>milieux de vie des détenus. Les autorités n'encouragent donc plus des visites de monitoring par des acteurs de la société civile.  Enfin, à ce jour, l’accès aux locaux de la Dire</w:t>
      </w:r>
      <w:r w:rsidRPr="00306A83">
        <w:rPr>
          <w:rFonts w:asciiTheme="majorBidi" w:eastAsia="Times New Roman" w:hAnsiTheme="majorBidi" w:cstheme="majorBidi"/>
        </w:rPr>
        <w:t xml:space="preserve">ction de la Surveillance du Territoire n’est permis à aucune organisation de la société civile. </w:t>
      </w:r>
    </w:p>
    <w:p w14:paraId="676D6BA0" w14:textId="77777777" w:rsidR="003B4185" w:rsidRPr="00306A83" w:rsidRDefault="003B4185">
      <w:pPr>
        <w:shd w:val="clear" w:color="auto" w:fill="FFFFFF"/>
        <w:spacing w:line="259" w:lineRule="auto"/>
        <w:jc w:val="both"/>
        <w:rPr>
          <w:rFonts w:asciiTheme="majorBidi" w:eastAsia="Times New Roman" w:hAnsiTheme="majorBidi" w:cstheme="majorBidi"/>
        </w:rPr>
      </w:pPr>
    </w:p>
    <w:tbl>
      <w:tblPr>
        <w:tblStyle w:val="a3"/>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29E53ABA" w14:textId="77777777">
        <w:tc>
          <w:tcPr>
            <w:tcW w:w="9066" w:type="dxa"/>
            <w:shd w:val="clear" w:color="auto" w:fill="auto"/>
            <w:tcMar>
              <w:top w:w="100" w:type="dxa"/>
              <w:left w:w="100" w:type="dxa"/>
              <w:bottom w:w="100" w:type="dxa"/>
              <w:right w:w="100" w:type="dxa"/>
            </w:tcMar>
          </w:tcPr>
          <w:p w14:paraId="6BC6B4D6" w14:textId="6EB23443"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Recommandations</w:t>
            </w:r>
            <w:r w:rsidRPr="00306A83">
              <w:rPr>
                <w:rFonts w:asciiTheme="majorBidi" w:eastAsia="Times New Roman" w:hAnsiTheme="majorBidi" w:cstheme="majorBidi"/>
              </w:rPr>
              <w:t xml:space="preserve"> :</w:t>
            </w:r>
          </w:p>
          <w:p w14:paraId="41145C2B" w14:textId="77777777" w:rsidR="003B4185" w:rsidRPr="00306A83" w:rsidRDefault="006803DD">
            <w:pPr>
              <w:numPr>
                <w:ilvl w:val="0"/>
                <w:numId w:val="28"/>
              </w:numPr>
              <w:spacing w:before="240"/>
              <w:jc w:val="both"/>
              <w:rPr>
                <w:rFonts w:asciiTheme="majorBidi" w:eastAsia="Times New Roman" w:hAnsiTheme="majorBidi" w:cstheme="majorBidi"/>
              </w:rPr>
            </w:pPr>
            <w:r w:rsidRPr="00306A83">
              <w:rPr>
                <w:rFonts w:asciiTheme="majorBidi" w:eastAsia="Times New Roman" w:hAnsiTheme="majorBidi" w:cstheme="majorBidi"/>
              </w:rPr>
              <w:t xml:space="preserve">Concevoir un plan </w:t>
            </w:r>
            <w:proofErr w:type="spellStart"/>
            <w:r w:rsidRPr="00306A83">
              <w:rPr>
                <w:rFonts w:asciiTheme="majorBidi" w:eastAsia="Times New Roman" w:hAnsiTheme="majorBidi" w:cstheme="majorBidi"/>
              </w:rPr>
              <w:t>général</w:t>
            </w:r>
            <w:proofErr w:type="spellEnd"/>
            <w:r w:rsidRPr="00306A83">
              <w:rPr>
                <w:rFonts w:asciiTheme="majorBidi" w:eastAsia="Times New Roman" w:hAnsiTheme="majorBidi" w:cstheme="majorBidi"/>
              </w:rPr>
              <w:t xml:space="preserve"> sur la situation des </w:t>
            </w:r>
            <w:proofErr w:type="spellStart"/>
            <w:r w:rsidRPr="00306A83">
              <w:rPr>
                <w:rFonts w:asciiTheme="majorBidi" w:eastAsia="Times New Roman" w:hAnsiTheme="majorBidi" w:cstheme="majorBidi"/>
              </w:rPr>
              <w:t>établissements</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pénitentiaires</w:t>
            </w:r>
            <w:proofErr w:type="spellEnd"/>
            <w:r w:rsidRPr="00306A83">
              <w:rPr>
                <w:rFonts w:asciiTheme="majorBidi" w:eastAsia="Times New Roman" w:hAnsiTheme="majorBidi" w:cstheme="majorBidi"/>
              </w:rPr>
              <w:t xml:space="preserve"> afin de </w:t>
            </w:r>
            <w:proofErr w:type="spellStart"/>
            <w:r w:rsidRPr="00306A83">
              <w:rPr>
                <w:rFonts w:asciiTheme="majorBidi" w:eastAsia="Times New Roman" w:hAnsiTheme="majorBidi" w:cstheme="majorBidi"/>
              </w:rPr>
              <w:t>réduire</w:t>
            </w:r>
            <w:proofErr w:type="spellEnd"/>
            <w:r w:rsidRPr="00306A83">
              <w:rPr>
                <w:rFonts w:asciiTheme="majorBidi" w:eastAsia="Times New Roman" w:hAnsiTheme="majorBidi" w:cstheme="majorBidi"/>
              </w:rPr>
              <w:t xml:space="preserve"> la surpopulation </w:t>
            </w:r>
            <w:proofErr w:type="spellStart"/>
            <w:r w:rsidRPr="00306A83">
              <w:rPr>
                <w:rFonts w:asciiTheme="majorBidi" w:eastAsia="Times New Roman" w:hAnsiTheme="majorBidi" w:cstheme="majorBidi"/>
              </w:rPr>
              <w:t>carcérale</w:t>
            </w:r>
            <w:proofErr w:type="spellEnd"/>
            <w:r w:rsidRPr="00306A83">
              <w:rPr>
                <w:rFonts w:asciiTheme="majorBidi" w:eastAsia="Times New Roman" w:hAnsiTheme="majorBidi" w:cstheme="majorBidi"/>
              </w:rPr>
              <w:t xml:space="preserve"> en </w:t>
            </w:r>
            <w:proofErr w:type="spellStart"/>
            <w:r w:rsidRPr="00306A83">
              <w:rPr>
                <w:rFonts w:asciiTheme="majorBidi" w:eastAsia="Times New Roman" w:hAnsiTheme="majorBidi" w:cstheme="majorBidi"/>
              </w:rPr>
              <w:t>privilégia</w:t>
            </w:r>
            <w:r w:rsidRPr="00306A83">
              <w:rPr>
                <w:rFonts w:asciiTheme="majorBidi" w:eastAsia="Times New Roman" w:hAnsiTheme="majorBidi" w:cstheme="majorBidi"/>
              </w:rPr>
              <w:t>nt</w:t>
            </w:r>
            <w:proofErr w:type="spellEnd"/>
            <w:r w:rsidRPr="00306A83">
              <w:rPr>
                <w:rFonts w:asciiTheme="majorBidi" w:eastAsia="Times New Roman" w:hAnsiTheme="majorBidi" w:cstheme="majorBidi"/>
              </w:rPr>
              <w:t xml:space="preserve"> les mesures de substitution à la </w:t>
            </w:r>
            <w:proofErr w:type="spellStart"/>
            <w:r w:rsidRPr="00306A83">
              <w:rPr>
                <w:rFonts w:asciiTheme="majorBidi" w:eastAsia="Times New Roman" w:hAnsiTheme="majorBidi" w:cstheme="majorBidi"/>
              </w:rPr>
              <w:t>détention</w:t>
            </w:r>
            <w:proofErr w:type="spellEnd"/>
            <w:r w:rsidRPr="00306A83">
              <w:rPr>
                <w:rFonts w:asciiTheme="majorBidi" w:eastAsia="Times New Roman" w:hAnsiTheme="majorBidi" w:cstheme="majorBidi"/>
              </w:rPr>
              <w:t>.</w:t>
            </w:r>
          </w:p>
          <w:p w14:paraId="4520C326" w14:textId="77777777" w:rsidR="003B4185" w:rsidRPr="00306A83" w:rsidRDefault="006803DD">
            <w:pPr>
              <w:numPr>
                <w:ilvl w:val="0"/>
                <w:numId w:val="28"/>
              </w:numPr>
              <w:jc w:val="both"/>
              <w:rPr>
                <w:rFonts w:asciiTheme="majorBidi" w:eastAsia="Times New Roman" w:hAnsiTheme="majorBidi" w:cstheme="majorBidi"/>
              </w:rPr>
            </w:pPr>
            <w:proofErr w:type="spellStart"/>
            <w:r w:rsidRPr="00306A83">
              <w:rPr>
                <w:rFonts w:asciiTheme="majorBidi" w:eastAsia="Times New Roman" w:hAnsiTheme="majorBidi" w:cstheme="majorBidi"/>
              </w:rPr>
              <w:t>Améliorer</w:t>
            </w:r>
            <w:proofErr w:type="spellEnd"/>
            <w:r w:rsidRPr="00306A83">
              <w:rPr>
                <w:rFonts w:asciiTheme="majorBidi" w:eastAsia="Times New Roman" w:hAnsiTheme="majorBidi" w:cstheme="majorBidi"/>
              </w:rPr>
              <w:t xml:space="preserve"> les conditions </w:t>
            </w:r>
            <w:proofErr w:type="spellStart"/>
            <w:r w:rsidRPr="00306A83">
              <w:rPr>
                <w:rFonts w:asciiTheme="majorBidi" w:eastAsia="Times New Roman" w:hAnsiTheme="majorBidi" w:cstheme="majorBidi"/>
              </w:rPr>
              <w:t>matérielles</w:t>
            </w:r>
            <w:proofErr w:type="spellEnd"/>
            <w:r w:rsidRPr="00306A83">
              <w:rPr>
                <w:rFonts w:asciiTheme="majorBidi" w:eastAsia="Times New Roman" w:hAnsiTheme="majorBidi" w:cstheme="majorBidi"/>
              </w:rPr>
              <w:t xml:space="preserve"> dans tous les lieux de privation de </w:t>
            </w:r>
            <w:proofErr w:type="spellStart"/>
            <w:r w:rsidRPr="00306A83">
              <w:rPr>
                <w:rFonts w:asciiTheme="majorBidi" w:eastAsia="Times New Roman" w:hAnsiTheme="majorBidi" w:cstheme="majorBidi"/>
              </w:rPr>
              <w:t>liberte</w:t>
            </w:r>
            <w:proofErr w:type="spellEnd"/>
            <w:r w:rsidRPr="00306A83">
              <w:rPr>
                <w:rFonts w:asciiTheme="majorBidi" w:eastAsia="Times New Roman" w:hAnsiTheme="majorBidi" w:cstheme="majorBidi"/>
              </w:rPr>
              <w:t xml:space="preserve">́ et notamment au sein du </w:t>
            </w:r>
            <w:proofErr w:type="spellStart"/>
            <w:r w:rsidRPr="00306A83">
              <w:rPr>
                <w:rFonts w:asciiTheme="majorBidi" w:eastAsia="Times New Roman" w:hAnsiTheme="majorBidi" w:cstheme="majorBidi"/>
              </w:rPr>
              <w:t>Pole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penitentiaire</w:t>
            </w:r>
            <w:proofErr w:type="spellEnd"/>
            <w:r w:rsidRPr="00306A83">
              <w:rPr>
                <w:rFonts w:asciiTheme="majorBidi" w:eastAsia="Times New Roman" w:hAnsiTheme="majorBidi" w:cstheme="majorBidi"/>
              </w:rPr>
              <w:t xml:space="preserve"> d’Abidjan, en veillant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xml:space="preserve">̀ ce que les prisonniers </w:t>
            </w:r>
            <w:proofErr w:type="spellStart"/>
            <w:r w:rsidRPr="00306A83">
              <w:rPr>
                <w:rFonts w:asciiTheme="majorBidi" w:eastAsia="Times New Roman" w:hAnsiTheme="majorBidi" w:cstheme="majorBidi"/>
              </w:rPr>
              <w:t>reçoivent</w:t>
            </w:r>
            <w:proofErr w:type="spellEnd"/>
            <w:r w:rsidRPr="00306A83">
              <w:rPr>
                <w:rFonts w:asciiTheme="majorBidi" w:eastAsia="Times New Roman" w:hAnsiTheme="majorBidi" w:cstheme="majorBidi"/>
              </w:rPr>
              <w:t>, en temps voulu et s</w:t>
            </w:r>
            <w:r w:rsidRPr="00306A83">
              <w:rPr>
                <w:rFonts w:asciiTheme="majorBidi" w:eastAsia="Times New Roman" w:hAnsiTheme="majorBidi" w:cstheme="majorBidi"/>
              </w:rPr>
              <w:t xml:space="preserve">ans frais, les soins </w:t>
            </w:r>
            <w:proofErr w:type="spellStart"/>
            <w:r w:rsidRPr="00306A83">
              <w:rPr>
                <w:rFonts w:asciiTheme="majorBidi" w:eastAsia="Times New Roman" w:hAnsiTheme="majorBidi" w:cstheme="majorBidi"/>
              </w:rPr>
              <w:t>médicaux</w:t>
            </w:r>
            <w:proofErr w:type="spellEnd"/>
            <w:r w:rsidRPr="00306A83">
              <w:rPr>
                <w:rFonts w:asciiTheme="majorBidi" w:eastAsia="Times New Roman" w:hAnsiTheme="majorBidi" w:cstheme="majorBidi"/>
              </w:rPr>
              <w:t xml:space="preserve"> et </w:t>
            </w:r>
            <w:proofErr w:type="spellStart"/>
            <w:r w:rsidRPr="00306A83">
              <w:rPr>
                <w:rFonts w:asciiTheme="majorBidi" w:eastAsia="Times New Roman" w:hAnsiTheme="majorBidi" w:cstheme="majorBidi"/>
              </w:rPr>
              <w:t>médicaments</w:t>
            </w:r>
            <w:proofErr w:type="spellEnd"/>
            <w:r w:rsidRPr="00306A83">
              <w:rPr>
                <w:rFonts w:asciiTheme="majorBidi" w:eastAsia="Times New Roman" w:hAnsiTheme="majorBidi" w:cstheme="majorBidi"/>
              </w:rPr>
              <w:t xml:space="preserve"> requis par leur </w:t>
            </w:r>
            <w:proofErr w:type="spellStart"/>
            <w:r w:rsidRPr="00306A83">
              <w:rPr>
                <w:rFonts w:asciiTheme="majorBidi" w:eastAsia="Times New Roman" w:hAnsiTheme="majorBidi" w:cstheme="majorBidi"/>
              </w:rPr>
              <w:t>état</w:t>
            </w:r>
            <w:proofErr w:type="spellEnd"/>
            <w:r w:rsidRPr="00306A83">
              <w:rPr>
                <w:rFonts w:asciiTheme="majorBidi" w:eastAsia="Times New Roman" w:hAnsiTheme="majorBidi" w:cstheme="majorBidi"/>
              </w:rPr>
              <w:t xml:space="preserve">, aient </w:t>
            </w:r>
            <w:proofErr w:type="spellStart"/>
            <w:r w:rsidRPr="00306A83">
              <w:rPr>
                <w:rFonts w:asciiTheme="majorBidi" w:eastAsia="Times New Roman" w:hAnsiTheme="majorBidi" w:cstheme="majorBidi"/>
              </w:rPr>
              <w:t>accès</w:t>
            </w:r>
            <w:proofErr w:type="spellEnd"/>
            <w:r w:rsidRPr="00306A83">
              <w:rPr>
                <w:rFonts w:asciiTheme="majorBidi" w:eastAsia="Times New Roman" w:hAnsiTheme="majorBidi" w:cstheme="majorBidi"/>
              </w:rPr>
              <w:t xml:space="preserve"> à une alimentation nutritive et suffisante, et disposent de conditions sanitaires </w:t>
            </w:r>
            <w:proofErr w:type="spellStart"/>
            <w:r w:rsidRPr="00306A83">
              <w:rPr>
                <w:rFonts w:asciiTheme="majorBidi" w:eastAsia="Times New Roman" w:hAnsiTheme="majorBidi" w:cstheme="majorBidi"/>
              </w:rPr>
              <w:t>adéquates</w:t>
            </w:r>
            <w:proofErr w:type="spellEnd"/>
            <w:r w:rsidRPr="00306A83">
              <w:rPr>
                <w:rFonts w:asciiTheme="majorBidi" w:eastAsia="Times New Roman" w:hAnsiTheme="majorBidi" w:cstheme="majorBidi"/>
              </w:rPr>
              <w:t xml:space="preserve"> ainsi que d’une </w:t>
            </w:r>
            <w:proofErr w:type="spellStart"/>
            <w:r w:rsidRPr="00306A83">
              <w:rPr>
                <w:rFonts w:asciiTheme="majorBidi" w:eastAsia="Times New Roman" w:hAnsiTheme="majorBidi" w:cstheme="majorBidi"/>
              </w:rPr>
              <w:t>aération</w:t>
            </w:r>
            <w:proofErr w:type="spellEnd"/>
            <w:r w:rsidRPr="00306A83">
              <w:rPr>
                <w:rFonts w:asciiTheme="majorBidi" w:eastAsia="Times New Roman" w:hAnsiTheme="majorBidi" w:cstheme="majorBidi"/>
              </w:rPr>
              <w:t xml:space="preserve"> suffisante au sein des cellules, eu </w:t>
            </w:r>
            <w:proofErr w:type="spellStart"/>
            <w:r w:rsidRPr="00306A83">
              <w:rPr>
                <w:rFonts w:asciiTheme="majorBidi" w:eastAsia="Times New Roman" w:hAnsiTheme="majorBidi" w:cstheme="majorBidi"/>
              </w:rPr>
              <w:t>égard</w:t>
            </w:r>
            <w:proofErr w:type="spellEnd"/>
            <w:r w:rsidRPr="00306A83">
              <w:rPr>
                <w:rFonts w:asciiTheme="majorBidi" w:eastAsia="Times New Roman" w:hAnsiTheme="majorBidi" w:cstheme="majorBidi"/>
              </w:rPr>
              <w:t xml:space="preserve"> aux condit</w:t>
            </w:r>
            <w:r w:rsidRPr="00306A83">
              <w:rPr>
                <w:rFonts w:asciiTheme="majorBidi" w:eastAsia="Times New Roman" w:hAnsiTheme="majorBidi" w:cstheme="majorBidi"/>
              </w:rPr>
              <w:t>ions climatiques au sein du pays.</w:t>
            </w:r>
          </w:p>
          <w:p w14:paraId="14EB675E" w14:textId="77777777" w:rsidR="003B4185" w:rsidRPr="00306A83" w:rsidRDefault="006803DD">
            <w:pPr>
              <w:numPr>
                <w:ilvl w:val="0"/>
                <w:numId w:val="28"/>
              </w:numPr>
              <w:jc w:val="both"/>
              <w:rPr>
                <w:rFonts w:asciiTheme="majorBidi" w:eastAsia="Times New Roman" w:hAnsiTheme="majorBidi" w:cstheme="majorBidi"/>
              </w:rPr>
            </w:pPr>
            <w:sdt>
              <w:sdtPr>
                <w:rPr>
                  <w:rFonts w:asciiTheme="majorBidi" w:hAnsiTheme="majorBidi" w:cstheme="majorBidi"/>
                </w:rPr>
                <w:tag w:val="goog_rdk_4"/>
                <w:id w:val="-554153605"/>
              </w:sdtPr>
              <w:sdtEndPr/>
              <w:sdtContent>
                <w:r w:rsidRPr="00306A83">
                  <w:rPr>
                    <w:rFonts w:asciiTheme="majorBidi" w:eastAsia="Cardo" w:hAnsiTheme="majorBidi" w:cstheme="majorBidi"/>
                  </w:rPr>
                  <w:t xml:space="preserve">Doter les </w:t>
                </w:r>
                <w:proofErr w:type="spellStart"/>
                <w:r w:rsidRPr="00306A83">
                  <w:rPr>
                    <w:rFonts w:asciiTheme="majorBidi" w:eastAsia="Cardo" w:hAnsiTheme="majorBidi" w:cstheme="majorBidi"/>
                  </w:rPr>
                  <w:t>établissements</w:t>
                </w:r>
                <w:proofErr w:type="spellEnd"/>
                <w:r w:rsidRPr="00306A83">
                  <w:rPr>
                    <w:rFonts w:asciiTheme="majorBidi" w:eastAsia="Cardo" w:hAnsiTheme="majorBidi" w:cstheme="majorBidi"/>
                  </w:rPr>
                  <w:t xml:space="preserve"> </w:t>
                </w:r>
                <w:proofErr w:type="spellStart"/>
                <w:r w:rsidRPr="00306A83">
                  <w:rPr>
                    <w:rFonts w:asciiTheme="majorBidi" w:eastAsia="Cardo" w:hAnsiTheme="majorBidi" w:cstheme="majorBidi"/>
                  </w:rPr>
                  <w:t>pénitentiaires</w:t>
                </w:r>
                <w:proofErr w:type="spellEnd"/>
                <w:r w:rsidRPr="00306A83">
                  <w:rPr>
                    <w:rFonts w:asciiTheme="majorBidi" w:eastAsia="Cardo" w:hAnsiTheme="majorBidi" w:cstheme="majorBidi"/>
                  </w:rPr>
                  <w:t xml:space="preserve"> de personnel − y compris </w:t>
                </w:r>
                <w:proofErr w:type="spellStart"/>
                <w:r w:rsidRPr="00306A83">
                  <w:rPr>
                    <w:rFonts w:asciiTheme="majorBidi" w:eastAsia="Cardo" w:hAnsiTheme="majorBidi" w:cstheme="majorBidi"/>
                  </w:rPr>
                  <w:t>médical</w:t>
                </w:r>
                <w:proofErr w:type="spellEnd"/>
                <w:r w:rsidRPr="00306A83">
                  <w:rPr>
                    <w:rFonts w:asciiTheme="majorBidi" w:eastAsia="Cardo" w:hAnsiTheme="majorBidi" w:cstheme="majorBidi"/>
                  </w:rPr>
                  <w:t xml:space="preserve"> − qualifié, formé et en nombre suffisant, adopter un </w:t>
                </w:r>
                <w:proofErr w:type="spellStart"/>
                <w:r w:rsidRPr="00306A83">
                  <w:rPr>
                    <w:rFonts w:asciiTheme="majorBidi" w:eastAsia="Cardo" w:hAnsiTheme="majorBidi" w:cstheme="majorBidi"/>
                  </w:rPr>
                  <w:t>règlement</w:t>
                </w:r>
                <w:proofErr w:type="spellEnd"/>
                <w:r w:rsidRPr="00306A83">
                  <w:rPr>
                    <w:rFonts w:asciiTheme="majorBidi" w:eastAsia="Cardo" w:hAnsiTheme="majorBidi" w:cstheme="majorBidi"/>
                  </w:rPr>
                  <w:t xml:space="preserve"> </w:t>
                </w:r>
                <w:proofErr w:type="spellStart"/>
                <w:r w:rsidRPr="00306A83">
                  <w:rPr>
                    <w:rFonts w:asciiTheme="majorBidi" w:eastAsia="Cardo" w:hAnsiTheme="majorBidi" w:cstheme="majorBidi"/>
                  </w:rPr>
                  <w:t>intérieur</w:t>
                </w:r>
                <w:proofErr w:type="spellEnd"/>
                <w:r w:rsidRPr="00306A83">
                  <w:rPr>
                    <w:rFonts w:asciiTheme="majorBidi" w:eastAsia="Cardo" w:hAnsiTheme="majorBidi" w:cstheme="majorBidi"/>
                  </w:rPr>
                  <w:t xml:space="preserve"> dans tous les lieux de </w:t>
                </w:r>
                <w:proofErr w:type="spellStart"/>
                <w:r w:rsidRPr="00306A83">
                  <w:rPr>
                    <w:rFonts w:asciiTheme="majorBidi" w:eastAsia="Cardo" w:hAnsiTheme="majorBidi" w:cstheme="majorBidi"/>
                  </w:rPr>
                  <w:t>détention</w:t>
                </w:r>
                <w:proofErr w:type="spellEnd"/>
                <w:r w:rsidRPr="00306A83">
                  <w:rPr>
                    <w:rFonts w:asciiTheme="majorBidi" w:eastAsia="Cardo" w:hAnsiTheme="majorBidi" w:cstheme="majorBidi"/>
                  </w:rPr>
                  <w:t xml:space="preserve"> et </w:t>
                </w:r>
                <w:proofErr w:type="spellStart"/>
                <w:r w:rsidRPr="00306A83">
                  <w:rPr>
                    <w:rFonts w:asciiTheme="majorBidi" w:eastAsia="Cardo" w:hAnsiTheme="majorBidi" w:cstheme="majorBidi"/>
                  </w:rPr>
                  <w:t>enquêter</w:t>
                </w:r>
                <w:proofErr w:type="spellEnd"/>
                <w:r w:rsidRPr="00306A83">
                  <w:rPr>
                    <w:rFonts w:asciiTheme="majorBidi" w:eastAsia="Cardo" w:hAnsiTheme="majorBidi" w:cstheme="majorBidi"/>
                  </w:rPr>
                  <w:t xml:space="preserve"> sur tous les cas de co</w:t>
                </w:r>
                <w:r w:rsidRPr="00306A83">
                  <w:rPr>
                    <w:rFonts w:asciiTheme="majorBidi" w:eastAsia="Cardo" w:hAnsiTheme="majorBidi" w:cstheme="majorBidi"/>
                  </w:rPr>
                  <w:t xml:space="preserve">rruption et de </w:t>
                </w:r>
                <w:proofErr w:type="spellStart"/>
                <w:r w:rsidRPr="00306A83">
                  <w:rPr>
                    <w:rFonts w:asciiTheme="majorBidi" w:eastAsia="Cardo" w:hAnsiTheme="majorBidi" w:cstheme="majorBidi"/>
                  </w:rPr>
                  <w:t>privilèges</w:t>
                </w:r>
                <w:proofErr w:type="spellEnd"/>
                <w:r w:rsidRPr="00306A83">
                  <w:rPr>
                    <w:rFonts w:asciiTheme="majorBidi" w:eastAsia="Cardo" w:hAnsiTheme="majorBidi" w:cstheme="majorBidi"/>
                  </w:rPr>
                  <w:t>, en sanctionnant les responsables.</w:t>
                </w:r>
              </w:sdtContent>
            </w:sdt>
          </w:p>
          <w:p w14:paraId="25E93D78" w14:textId="77777777" w:rsidR="003B4185" w:rsidRPr="00306A83" w:rsidRDefault="006803DD">
            <w:pPr>
              <w:numPr>
                <w:ilvl w:val="0"/>
                <w:numId w:val="28"/>
              </w:numPr>
              <w:jc w:val="both"/>
              <w:rPr>
                <w:rFonts w:asciiTheme="majorBidi" w:eastAsia="Times New Roman" w:hAnsiTheme="majorBidi" w:cstheme="majorBidi"/>
              </w:rPr>
            </w:pPr>
            <w:r w:rsidRPr="00306A83">
              <w:rPr>
                <w:rFonts w:asciiTheme="majorBidi" w:eastAsia="Times New Roman" w:hAnsiTheme="majorBidi" w:cstheme="majorBidi"/>
              </w:rPr>
              <w:t xml:space="preserve">S’assurer que tous les cas de </w:t>
            </w:r>
            <w:proofErr w:type="spellStart"/>
            <w:r w:rsidRPr="00306A83">
              <w:rPr>
                <w:rFonts w:asciiTheme="majorBidi" w:eastAsia="Times New Roman" w:hAnsiTheme="majorBidi" w:cstheme="majorBidi"/>
              </w:rPr>
              <w:t>décès</w:t>
            </w:r>
            <w:proofErr w:type="spellEnd"/>
            <w:r w:rsidRPr="00306A83">
              <w:rPr>
                <w:rFonts w:asciiTheme="majorBidi" w:eastAsia="Times New Roman" w:hAnsiTheme="majorBidi" w:cstheme="majorBidi"/>
              </w:rPr>
              <w:t xml:space="preserve"> en </w:t>
            </w:r>
            <w:proofErr w:type="spellStart"/>
            <w:r w:rsidRPr="00306A83">
              <w:rPr>
                <w:rFonts w:asciiTheme="majorBidi" w:eastAsia="Times New Roman" w:hAnsiTheme="majorBidi" w:cstheme="majorBidi"/>
              </w:rPr>
              <w:t>détention</w:t>
            </w:r>
            <w:proofErr w:type="spellEnd"/>
            <w:r w:rsidRPr="00306A83">
              <w:rPr>
                <w:rFonts w:asciiTheme="majorBidi" w:eastAsia="Times New Roman" w:hAnsiTheme="majorBidi" w:cstheme="majorBidi"/>
              </w:rPr>
              <w:t xml:space="preserve"> font rapidement l’objet d’</w:t>
            </w:r>
            <w:proofErr w:type="spellStart"/>
            <w:r w:rsidRPr="00306A83">
              <w:rPr>
                <w:rFonts w:asciiTheme="majorBidi" w:eastAsia="Times New Roman" w:hAnsiTheme="majorBidi" w:cstheme="majorBidi"/>
              </w:rPr>
              <w:t>enquêtes</w:t>
            </w:r>
            <w:proofErr w:type="spellEnd"/>
            <w:r w:rsidRPr="00306A83">
              <w:rPr>
                <w:rFonts w:asciiTheme="majorBidi" w:eastAsia="Times New Roman" w:hAnsiTheme="majorBidi" w:cstheme="majorBidi"/>
              </w:rPr>
              <w:t xml:space="preserve"> impartiales, </w:t>
            </w:r>
            <w:proofErr w:type="spellStart"/>
            <w:r w:rsidRPr="00306A83">
              <w:rPr>
                <w:rFonts w:asciiTheme="majorBidi" w:eastAsia="Times New Roman" w:hAnsiTheme="majorBidi" w:cstheme="majorBidi"/>
              </w:rPr>
              <w:t>menées</w:t>
            </w:r>
            <w:proofErr w:type="spellEnd"/>
            <w:r w:rsidRPr="00306A83">
              <w:rPr>
                <w:rFonts w:asciiTheme="majorBidi" w:eastAsia="Times New Roman" w:hAnsiTheme="majorBidi" w:cstheme="majorBidi"/>
              </w:rPr>
              <w:t xml:space="preserve"> par une </w:t>
            </w:r>
            <w:proofErr w:type="spellStart"/>
            <w:r w:rsidRPr="00306A83">
              <w:rPr>
                <w:rFonts w:asciiTheme="majorBidi" w:eastAsia="Times New Roman" w:hAnsiTheme="majorBidi" w:cstheme="majorBidi"/>
              </w:rPr>
              <w:t>unite</w:t>
            </w:r>
            <w:proofErr w:type="spellEnd"/>
            <w:r w:rsidRPr="00306A83">
              <w:rPr>
                <w:rFonts w:asciiTheme="majorBidi" w:eastAsia="Times New Roman" w:hAnsiTheme="majorBidi" w:cstheme="majorBidi"/>
              </w:rPr>
              <w:t>́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indépendante</w:t>
            </w:r>
            <w:proofErr w:type="spellEnd"/>
            <w:r w:rsidRPr="00306A83">
              <w:rPr>
                <w:rFonts w:asciiTheme="majorBidi" w:eastAsia="Times New Roman" w:hAnsiTheme="majorBidi" w:cstheme="majorBidi"/>
              </w:rPr>
              <w:t xml:space="preserve"> n’ayant aucun lien institutionnel ou </w:t>
            </w:r>
            <w:proofErr w:type="spellStart"/>
            <w:r w:rsidRPr="00306A83">
              <w:rPr>
                <w:rFonts w:asciiTheme="majorBidi" w:eastAsia="Times New Roman" w:hAnsiTheme="majorBidi" w:cstheme="majorBidi"/>
              </w:rPr>
              <w:t>hiéra</w:t>
            </w:r>
            <w:r w:rsidRPr="00306A83">
              <w:rPr>
                <w:rFonts w:asciiTheme="majorBidi" w:eastAsia="Times New Roman" w:hAnsiTheme="majorBidi" w:cstheme="majorBidi"/>
              </w:rPr>
              <w:t>rchique</w:t>
            </w:r>
            <w:proofErr w:type="spellEnd"/>
            <w:r w:rsidRPr="00306A83">
              <w:rPr>
                <w:rFonts w:asciiTheme="majorBidi" w:eastAsia="Times New Roman" w:hAnsiTheme="majorBidi" w:cstheme="majorBidi"/>
              </w:rPr>
              <w:t xml:space="preserve"> avec l’</w:t>
            </w:r>
            <w:proofErr w:type="spellStart"/>
            <w:r w:rsidRPr="00306A83">
              <w:rPr>
                <w:rFonts w:asciiTheme="majorBidi" w:eastAsia="Times New Roman" w:hAnsiTheme="majorBidi" w:cstheme="majorBidi"/>
              </w:rPr>
              <w:t>autorite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chargée</w:t>
            </w:r>
            <w:proofErr w:type="spellEnd"/>
            <w:r w:rsidRPr="00306A83">
              <w:rPr>
                <w:rFonts w:asciiTheme="majorBidi" w:eastAsia="Times New Roman" w:hAnsiTheme="majorBidi" w:cstheme="majorBidi"/>
              </w:rPr>
              <w:t xml:space="preserve"> de la </w:t>
            </w:r>
            <w:proofErr w:type="spellStart"/>
            <w:r w:rsidRPr="00306A83">
              <w:rPr>
                <w:rFonts w:asciiTheme="majorBidi" w:eastAsia="Times New Roman" w:hAnsiTheme="majorBidi" w:cstheme="majorBidi"/>
              </w:rPr>
              <w:t>détention</w:t>
            </w:r>
            <w:proofErr w:type="spellEnd"/>
            <w:r w:rsidRPr="00306A83">
              <w:rPr>
                <w:rFonts w:asciiTheme="majorBidi" w:eastAsia="Times New Roman" w:hAnsiTheme="majorBidi" w:cstheme="majorBidi"/>
              </w:rPr>
              <w:t xml:space="preserve">, et impliquant une expertise </w:t>
            </w:r>
            <w:proofErr w:type="spellStart"/>
            <w:r w:rsidRPr="00306A83">
              <w:rPr>
                <w:rFonts w:asciiTheme="majorBidi" w:eastAsia="Times New Roman" w:hAnsiTheme="majorBidi" w:cstheme="majorBidi"/>
              </w:rPr>
              <w:t>médicolégale</w:t>
            </w:r>
            <w:proofErr w:type="spellEnd"/>
            <w:r w:rsidRPr="00306A83">
              <w:rPr>
                <w:rFonts w:asciiTheme="majorBidi" w:eastAsia="Times New Roman" w:hAnsiTheme="majorBidi" w:cstheme="majorBidi"/>
              </w:rPr>
              <w:t>, y compris des autopsies s’il le faut.</w:t>
            </w:r>
          </w:p>
          <w:p w14:paraId="7FE7E088" w14:textId="77777777" w:rsidR="003B4185" w:rsidRPr="00306A83" w:rsidRDefault="006803DD">
            <w:pPr>
              <w:numPr>
                <w:ilvl w:val="0"/>
                <w:numId w:val="28"/>
              </w:numPr>
              <w:pBdr>
                <w:left w:val="nil"/>
              </w:pBdr>
              <w:spacing w:after="240"/>
              <w:jc w:val="both"/>
              <w:rPr>
                <w:rFonts w:asciiTheme="majorBidi" w:eastAsia="Times New Roman" w:hAnsiTheme="majorBidi" w:cstheme="majorBidi"/>
              </w:rPr>
            </w:pPr>
            <w:r w:rsidRPr="00306A83">
              <w:rPr>
                <w:rFonts w:asciiTheme="majorBidi" w:eastAsia="Times New Roman" w:hAnsiTheme="majorBidi" w:cstheme="majorBidi"/>
              </w:rPr>
              <w:t>Permettre aux organisations de la société civile de conduire des visites inopinées et d’effectuer un monitoring complet de</w:t>
            </w:r>
            <w:r w:rsidRPr="00306A83">
              <w:rPr>
                <w:rFonts w:asciiTheme="majorBidi" w:eastAsia="Times New Roman" w:hAnsiTheme="majorBidi" w:cstheme="majorBidi"/>
              </w:rPr>
              <w:t xml:space="preserve"> tous les lieux de privation de liberté, y compris les locaux de la Direction de la Surveillance du Territoire.</w:t>
            </w:r>
          </w:p>
          <w:p w14:paraId="7D9DCD98" w14:textId="2B6577D0" w:rsidR="003B4185" w:rsidRPr="00306A83" w:rsidRDefault="003B4185">
            <w:pPr>
              <w:spacing w:line="259" w:lineRule="auto"/>
              <w:ind w:left="720"/>
              <w:jc w:val="both"/>
              <w:rPr>
                <w:rFonts w:asciiTheme="majorBidi" w:eastAsia="Times New Roman" w:hAnsiTheme="majorBidi" w:cstheme="majorBidi"/>
              </w:rPr>
            </w:pPr>
          </w:p>
        </w:tc>
      </w:tr>
    </w:tbl>
    <w:p w14:paraId="5A0ACACF" w14:textId="77777777" w:rsidR="003B4185" w:rsidRPr="00306A83" w:rsidRDefault="003B4185">
      <w:pPr>
        <w:spacing w:line="259" w:lineRule="auto"/>
        <w:ind w:left="720"/>
        <w:jc w:val="both"/>
        <w:rPr>
          <w:rFonts w:asciiTheme="majorBidi" w:eastAsia="Times New Roman" w:hAnsiTheme="majorBidi" w:cstheme="majorBidi"/>
          <w:i/>
        </w:rPr>
      </w:pPr>
    </w:p>
    <w:p w14:paraId="6B134DD9" w14:textId="188F2485" w:rsidR="003B4185" w:rsidRPr="00306A83" w:rsidRDefault="006803DD" w:rsidP="00FF3C17">
      <w:pPr>
        <w:pStyle w:val="Heading2"/>
        <w:numPr>
          <w:ilvl w:val="0"/>
          <w:numId w:val="39"/>
        </w:numPr>
      </w:pPr>
      <w:bookmarkStart w:id="32" w:name="_Toc168990371"/>
      <w:r w:rsidRPr="00306A83">
        <w:t>L’absence de désignation du Mécanisme National de Prévention</w:t>
      </w:r>
      <w:bookmarkEnd w:id="32"/>
    </w:p>
    <w:p w14:paraId="5E9E7830" w14:textId="77777777" w:rsidR="003B4185" w:rsidRPr="00306A83" w:rsidRDefault="003B4185">
      <w:pPr>
        <w:spacing w:line="259" w:lineRule="auto"/>
        <w:jc w:val="both"/>
        <w:rPr>
          <w:rFonts w:asciiTheme="majorBidi" w:eastAsia="Times New Roman" w:hAnsiTheme="majorBidi" w:cstheme="majorBidi"/>
          <w:i/>
        </w:rPr>
      </w:pPr>
    </w:p>
    <w:p w14:paraId="0075BB1C"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1er mars 2023, la République de Côte d’Ivoire a ratifié le </w:t>
      </w:r>
      <w:r w:rsidRPr="00306A83">
        <w:rPr>
          <w:rFonts w:asciiTheme="majorBidi" w:eastAsia="Times New Roman" w:hAnsiTheme="majorBidi" w:cstheme="majorBidi"/>
        </w:rPr>
        <w:t>Protocole additionnel à la Convention contre la torture prévoyant la mise en place d’un mécanisme national de prévention dans un délai d’un an à compter de la ratification. À ce jour, le mécanisme national de prévention n’a pas été désigné, bien que le dél</w:t>
      </w:r>
      <w:r w:rsidRPr="00306A83">
        <w:rPr>
          <w:rFonts w:asciiTheme="majorBidi" w:eastAsia="Times New Roman" w:hAnsiTheme="majorBidi" w:cstheme="majorBidi"/>
        </w:rPr>
        <w:t>ai du 31 mars 2024 ait été dépassé.</w:t>
      </w:r>
    </w:p>
    <w:p w14:paraId="3F97C357" w14:textId="77777777" w:rsidR="003B4185" w:rsidRPr="00306A83" w:rsidRDefault="003B4185">
      <w:pPr>
        <w:spacing w:line="259" w:lineRule="auto"/>
        <w:jc w:val="both"/>
        <w:rPr>
          <w:rFonts w:asciiTheme="majorBidi" w:eastAsia="Times New Roman" w:hAnsiTheme="majorBidi" w:cstheme="majorBidi"/>
        </w:rPr>
      </w:pPr>
    </w:p>
    <w:tbl>
      <w:tblPr>
        <w:tblStyle w:val="a4"/>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46F38037" w14:textId="77777777">
        <w:tc>
          <w:tcPr>
            <w:tcW w:w="9066" w:type="dxa"/>
            <w:shd w:val="clear" w:color="auto" w:fill="auto"/>
            <w:tcMar>
              <w:top w:w="100" w:type="dxa"/>
              <w:left w:w="100" w:type="dxa"/>
              <w:bottom w:w="100" w:type="dxa"/>
              <w:right w:w="100" w:type="dxa"/>
            </w:tcMar>
          </w:tcPr>
          <w:p w14:paraId="3C2DB3DA" w14:textId="4330A53D"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Recommandation</w:t>
            </w:r>
            <w:r w:rsidRPr="00306A83">
              <w:rPr>
                <w:rFonts w:asciiTheme="majorBidi" w:eastAsia="Times New Roman" w:hAnsiTheme="majorBidi" w:cstheme="majorBidi"/>
              </w:rPr>
              <w:t xml:space="preserve"> :</w:t>
            </w:r>
          </w:p>
          <w:p w14:paraId="40598FEE" w14:textId="1E32E214" w:rsidR="003B4185" w:rsidRPr="00306A83" w:rsidRDefault="006803DD">
            <w:pPr>
              <w:numPr>
                <w:ilvl w:val="0"/>
                <w:numId w:val="28"/>
              </w:numPr>
              <w:ind w:left="1080"/>
              <w:jc w:val="both"/>
              <w:rPr>
                <w:rFonts w:asciiTheme="majorBidi" w:eastAsia="Times New Roman" w:hAnsiTheme="majorBidi" w:cstheme="majorBidi"/>
              </w:rPr>
            </w:pPr>
            <w:r w:rsidRPr="00306A83">
              <w:rPr>
                <w:rFonts w:asciiTheme="majorBidi" w:eastAsia="Times New Roman" w:hAnsiTheme="majorBidi" w:cstheme="majorBidi"/>
              </w:rPr>
              <w:t>Adopter dans plus brefs délais une loi établissant un</w:t>
            </w:r>
            <w:r w:rsidR="0017525C">
              <w:rPr>
                <w:rFonts w:asciiTheme="majorBidi" w:eastAsia="Times New Roman" w:hAnsiTheme="majorBidi" w:cstheme="majorBidi"/>
              </w:rPr>
              <w:t xml:space="preserve"> </w:t>
            </w:r>
            <w:r w:rsidRPr="00306A83">
              <w:rPr>
                <w:rFonts w:asciiTheme="majorBidi" w:eastAsia="Times New Roman" w:hAnsiTheme="majorBidi" w:cstheme="majorBidi"/>
              </w:rPr>
              <w:t xml:space="preserve">Mécanisme National de Prévention de la torture, en garantissant les modalités de désignation de ses membres qui respecte l’indépendance et la transparence et allouer un budget suffisant pour garantir son bon fonctionnement.  </w:t>
            </w:r>
          </w:p>
        </w:tc>
      </w:tr>
    </w:tbl>
    <w:p w14:paraId="068AA742" w14:textId="77777777" w:rsidR="003B4185" w:rsidRDefault="003B4185">
      <w:pPr>
        <w:pBdr>
          <w:top w:val="nil"/>
          <w:left w:val="nil"/>
          <w:bottom w:val="nil"/>
          <w:right w:val="nil"/>
          <w:between w:val="nil"/>
        </w:pBdr>
        <w:spacing w:after="160" w:line="259" w:lineRule="auto"/>
        <w:jc w:val="both"/>
        <w:rPr>
          <w:rFonts w:asciiTheme="majorBidi" w:eastAsia="Times New Roman" w:hAnsiTheme="majorBidi" w:cstheme="majorBidi"/>
          <w:color w:val="FF0000"/>
        </w:rPr>
      </w:pPr>
    </w:p>
    <w:p w14:paraId="29E83D42" w14:textId="77777777" w:rsidR="0017525C" w:rsidRPr="00306A83" w:rsidRDefault="0017525C">
      <w:pPr>
        <w:pBdr>
          <w:top w:val="nil"/>
          <w:left w:val="nil"/>
          <w:bottom w:val="nil"/>
          <w:right w:val="nil"/>
          <w:between w:val="nil"/>
        </w:pBdr>
        <w:spacing w:after="160" w:line="259" w:lineRule="auto"/>
        <w:jc w:val="both"/>
        <w:rPr>
          <w:rFonts w:asciiTheme="majorBidi" w:eastAsia="Times New Roman" w:hAnsiTheme="majorBidi" w:cstheme="majorBidi"/>
          <w:color w:val="FF0000"/>
        </w:rPr>
      </w:pPr>
    </w:p>
    <w:p w14:paraId="103F4A53" w14:textId="2C0B0F29" w:rsidR="003B4185" w:rsidRPr="00306A83" w:rsidRDefault="006803DD" w:rsidP="00FF3C17">
      <w:pPr>
        <w:pStyle w:val="Heading1"/>
        <w:numPr>
          <w:ilvl w:val="0"/>
          <w:numId w:val="35"/>
        </w:numPr>
      </w:pPr>
      <w:bookmarkStart w:id="33" w:name="_Toc168990372"/>
      <w:r w:rsidRPr="00306A83">
        <w:lastRenderedPageBreak/>
        <w:t xml:space="preserve">La persistance de </w:t>
      </w:r>
      <w:r w:rsidRPr="00306A83">
        <w:t>l’impunité pour les crimes du passé (Articles 12 et 13)</w:t>
      </w:r>
      <w:bookmarkEnd w:id="33"/>
    </w:p>
    <w:p w14:paraId="6713003B"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b/>
          <w:color w:val="FF0000"/>
        </w:rPr>
      </w:pPr>
    </w:p>
    <w:p w14:paraId="5EFCCC78"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highlight w:val="yellow"/>
        </w:rPr>
      </w:pPr>
      <w:r w:rsidRPr="00306A83">
        <w:rPr>
          <w:rFonts w:asciiTheme="majorBidi" w:eastAsia="Times New Roman" w:hAnsiTheme="majorBidi" w:cstheme="majorBidi"/>
        </w:rPr>
        <w:t>En application de l’article 12 de la Convention contre la torture, l’Etat partie a l’obligation de “</w:t>
      </w:r>
      <w:r w:rsidRPr="00306A83">
        <w:rPr>
          <w:rFonts w:asciiTheme="majorBidi" w:eastAsia="Times New Roman" w:hAnsiTheme="majorBidi" w:cstheme="majorBidi"/>
          <w:i/>
        </w:rPr>
        <w:t xml:space="preserve">veiller à ce que les autorités compétentes procèdent immédiatement à une enquête impartiale chaque </w:t>
      </w:r>
      <w:r w:rsidRPr="00306A83">
        <w:rPr>
          <w:rFonts w:asciiTheme="majorBidi" w:eastAsia="Times New Roman" w:hAnsiTheme="majorBidi" w:cstheme="majorBidi"/>
          <w:i/>
        </w:rPr>
        <w:t>fois qu'il y a des motifs raisonnables de croire qu'un acte de torture a été commis sur tout territoire sous sa juridiction</w:t>
      </w:r>
      <w:r w:rsidRPr="00306A83">
        <w:rPr>
          <w:rFonts w:asciiTheme="majorBidi" w:eastAsia="Times New Roman" w:hAnsiTheme="majorBidi" w:cstheme="majorBidi"/>
        </w:rPr>
        <w:t>”. Le Comité a précisé que l’État partie doit immédiatement ouvrir une enquête dès qu’une allégation de torture est portée à son atte</w:t>
      </w:r>
      <w:r w:rsidRPr="00306A83">
        <w:rPr>
          <w:rFonts w:asciiTheme="majorBidi" w:eastAsia="Times New Roman" w:hAnsiTheme="majorBidi" w:cstheme="majorBidi"/>
        </w:rPr>
        <w:t>ntion.</w:t>
      </w:r>
      <w:r w:rsidRPr="00306A83">
        <w:rPr>
          <w:rFonts w:asciiTheme="majorBidi" w:eastAsia="Times New Roman" w:hAnsiTheme="majorBidi" w:cstheme="majorBidi"/>
          <w:vertAlign w:val="superscript"/>
        </w:rPr>
        <w:footnoteReference w:id="55"/>
      </w:r>
      <w:r w:rsidRPr="00306A83">
        <w:rPr>
          <w:rFonts w:asciiTheme="majorBidi" w:eastAsia="Times New Roman" w:hAnsiTheme="majorBidi" w:cstheme="majorBidi"/>
        </w:rPr>
        <w:t xml:space="preserve"> Cette obligation s’applique également en cas de mauvais traitements.</w:t>
      </w:r>
      <w:r w:rsidRPr="00306A83">
        <w:rPr>
          <w:rFonts w:asciiTheme="majorBidi" w:eastAsia="Times New Roman" w:hAnsiTheme="majorBidi" w:cstheme="majorBidi"/>
          <w:vertAlign w:val="superscript"/>
        </w:rPr>
        <w:footnoteReference w:id="56"/>
      </w:r>
    </w:p>
    <w:p w14:paraId="233D0D29"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782E9124"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Pourtant, de nombreuses allégations d’actes de torture, mauvais traitements, arrestations arbitraires et détentions secrètes commis par des forces de police et de </w:t>
      </w:r>
      <w:r w:rsidRPr="00306A83">
        <w:rPr>
          <w:rFonts w:asciiTheme="majorBidi" w:eastAsia="Times New Roman" w:hAnsiTheme="majorBidi" w:cstheme="majorBidi"/>
        </w:rPr>
        <w:t>sécurité ne font pas l’objet d’enquêtes et demeurent impunis, y compris les crimes commis lors des différentes crises ivoiriennes.</w:t>
      </w:r>
    </w:p>
    <w:p w14:paraId="2D831B93" w14:textId="77777777" w:rsidR="003B4185" w:rsidRPr="00306A83" w:rsidRDefault="006803DD">
      <w:pP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En outre, il convient de relever qu’il n’existe toujours pas en Côte d’Ivoire de mécanisme indépendant et efficace chargé de </w:t>
      </w:r>
      <w:r w:rsidRPr="00306A83">
        <w:rPr>
          <w:rFonts w:asciiTheme="majorBidi" w:eastAsia="Times New Roman" w:hAnsiTheme="majorBidi" w:cstheme="majorBidi"/>
        </w:rPr>
        <w:t>recevoir et d’enquêter sur les allégations de torture par les forces de police et de défense, ainsi que l’avait soulevé le Comité des droits de l’Homme en 2015.</w:t>
      </w:r>
      <w:r w:rsidRPr="00306A83">
        <w:rPr>
          <w:rFonts w:asciiTheme="majorBidi" w:eastAsia="Times New Roman" w:hAnsiTheme="majorBidi" w:cstheme="majorBidi"/>
          <w:vertAlign w:val="superscript"/>
        </w:rPr>
        <w:footnoteReference w:id="57"/>
      </w:r>
    </w:p>
    <w:p w14:paraId="19C595DF" w14:textId="77777777" w:rsidR="003B4185" w:rsidRPr="00306A83" w:rsidRDefault="006803DD">
      <w:pPr>
        <w:spacing w:after="160" w:line="259" w:lineRule="auto"/>
        <w:jc w:val="both"/>
        <w:rPr>
          <w:rFonts w:asciiTheme="majorBidi" w:eastAsia="Times New Roman" w:hAnsiTheme="majorBidi" w:cstheme="majorBidi"/>
          <w:color w:val="1D2228"/>
          <w:highlight w:val="white"/>
        </w:rPr>
      </w:pPr>
      <w:r w:rsidRPr="00306A83">
        <w:rPr>
          <w:rFonts w:asciiTheme="majorBidi" w:eastAsia="Times New Roman" w:hAnsiTheme="majorBidi" w:cstheme="majorBidi"/>
          <w:color w:val="1D2228"/>
          <w:highlight w:val="white"/>
        </w:rPr>
        <w:t xml:space="preserve">Comme vient le confirmer le rapport de la </w:t>
      </w:r>
      <w:proofErr w:type="gramStart"/>
      <w:r w:rsidRPr="00306A83">
        <w:rPr>
          <w:rFonts w:asciiTheme="majorBidi" w:eastAsia="Times New Roman" w:hAnsiTheme="majorBidi" w:cstheme="majorBidi"/>
          <w:color w:val="1D2228"/>
          <w:highlight w:val="white"/>
        </w:rPr>
        <w:t>FIDH:</w:t>
      </w:r>
      <w:proofErr w:type="gramEnd"/>
      <w:r w:rsidRPr="00306A83">
        <w:rPr>
          <w:rFonts w:asciiTheme="majorBidi" w:eastAsia="Times New Roman" w:hAnsiTheme="majorBidi" w:cstheme="majorBidi"/>
          <w:color w:val="1D2228"/>
          <w:highlight w:val="white"/>
        </w:rPr>
        <w:t xml:space="preserve"> “</w:t>
      </w:r>
      <w:r w:rsidRPr="0017525C">
        <w:rPr>
          <w:rFonts w:asciiTheme="majorBidi" w:eastAsia="Times New Roman" w:hAnsiTheme="majorBidi" w:cstheme="majorBidi"/>
          <w:i/>
          <w:iCs/>
          <w:color w:val="1D2228"/>
          <w:highlight w:val="white"/>
        </w:rPr>
        <w:t xml:space="preserve">Plus de dix ans </w:t>
      </w:r>
      <w:proofErr w:type="spellStart"/>
      <w:r w:rsidRPr="0017525C">
        <w:rPr>
          <w:rFonts w:asciiTheme="majorBidi" w:eastAsia="Times New Roman" w:hAnsiTheme="majorBidi" w:cstheme="majorBidi"/>
          <w:i/>
          <w:iCs/>
          <w:color w:val="1D2228"/>
          <w:highlight w:val="white"/>
        </w:rPr>
        <w:t>après</w:t>
      </w:r>
      <w:proofErr w:type="spellEnd"/>
      <w:r w:rsidRPr="0017525C">
        <w:rPr>
          <w:rFonts w:asciiTheme="majorBidi" w:eastAsia="Times New Roman" w:hAnsiTheme="majorBidi" w:cstheme="majorBidi"/>
          <w:i/>
          <w:iCs/>
          <w:color w:val="1D2228"/>
          <w:highlight w:val="white"/>
        </w:rPr>
        <w:t xml:space="preserve"> les violences </w:t>
      </w:r>
      <w:proofErr w:type="spellStart"/>
      <w:r w:rsidRPr="0017525C">
        <w:rPr>
          <w:rFonts w:asciiTheme="majorBidi" w:eastAsia="Times New Roman" w:hAnsiTheme="majorBidi" w:cstheme="majorBidi"/>
          <w:i/>
          <w:iCs/>
          <w:color w:val="1D2228"/>
          <w:highlight w:val="white"/>
        </w:rPr>
        <w:t>post-électorales</w:t>
      </w:r>
      <w:proofErr w:type="spellEnd"/>
      <w:r w:rsidRPr="0017525C">
        <w:rPr>
          <w:rFonts w:asciiTheme="majorBidi" w:eastAsia="Times New Roman" w:hAnsiTheme="majorBidi" w:cstheme="majorBidi"/>
          <w:i/>
          <w:iCs/>
          <w:color w:val="1D2228"/>
          <w:highlight w:val="white"/>
        </w:rPr>
        <w:t xml:space="preserve"> de 2010-2011 en </w:t>
      </w:r>
      <w:proofErr w:type="spellStart"/>
      <w:r w:rsidRPr="0017525C">
        <w:rPr>
          <w:rFonts w:asciiTheme="majorBidi" w:eastAsia="Times New Roman" w:hAnsiTheme="majorBidi" w:cstheme="majorBidi"/>
          <w:i/>
          <w:iCs/>
          <w:color w:val="1D2228"/>
          <w:highlight w:val="white"/>
        </w:rPr>
        <w:t>Côte</w:t>
      </w:r>
      <w:proofErr w:type="spellEnd"/>
      <w:r w:rsidRPr="0017525C">
        <w:rPr>
          <w:rFonts w:asciiTheme="majorBidi" w:eastAsia="Times New Roman" w:hAnsiTheme="majorBidi" w:cstheme="majorBidi"/>
          <w:i/>
          <w:iCs/>
          <w:color w:val="1D2228"/>
          <w:highlight w:val="white"/>
        </w:rPr>
        <w:t xml:space="preserve"> d’Ivoire, les </w:t>
      </w:r>
      <w:proofErr w:type="spellStart"/>
      <w:r w:rsidRPr="0017525C">
        <w:rPr>
          <w:rFonts w:asciiTheme="majorBidi" w:eastAsia="Times New Roman" w:hAnsiTheme="majorBidi" w:cstheme="majorBidi"/>
          <w:i/>
          <w:iCs/>
          <w:color w:val="1D2228"/>
          <w:highlight w:val="white"/>
        </w:rPr>
        <w:t>avancées</w:t>
      </w:r>
      <w:proofErr w:type="spellEnd"/>
      <w:r w:rsidRPr="0017525C">
        <w:rPr>
          <w:rFonts w:asciiTheme="majorBidi" w:eastAsia="Times New Roman" w:hAnsiTheme="majorBidi" w:cstheme="majorBidi"/>
          <w:i/>
          <w:iCs/>
          <w:color w:val="1D2228"/>
          <w:highlight w:val="white"/>
        </w:rPr>
        <w:t xml:space="preserve"> judiciaires sur les crimes commis sont </w:t>
      </w:r>
      <w:proofErr w:type="spellStart"/>
      <w:r w:rsidRPr="0017525C">
        <w:rPr>
          <w:rFonts w:asciiTheme="majorBidi" w:eastAsia="Times New Roman" w:hAnsiTheme="majorBidi" w:cstheme="majorBidi"/>
          <w:i/>
          <w:iCs/>
          <w:color w:val="1D2228"/>
          <w:highlight w:val="white"/>
        </w:rPr>
        <w:t>très</w:t>
      </w:r>
      <w:proofErr w:type="spellEnd"/>
      <w:r w:rsidRPr="0017525C">
        <w:rPr>
          <w:rFonts w:asciiTheme="majorBidi" w:eastAsia="Times New Roman" w:hAnsiTheme="majorBidi" w:cstheme="majorBidi"/>
          <w:i/>
          <w:iCs/>
          <w:color w:val="1D2228"/>
          <w:highlight w:val="white"/>
        </w:rPr>
        <w:t xml:space="preserve"> </w:t>
      </w:r>
      <w:proofErr w:type="spellStart"/>
      <w:r w:rsidRPr="0017525C">
        <w:rPr>
          <w:rFonts w:asciiTheme="majorBidi" w:eastAsia="Times New Roman" w:hAnsiTheme="majorBidi" w:cstheme="majorBidi"/>
          <w:i/>
          <w:iCs/>
          <w:color w:val="1D2228"/>
          <w:highlight w:val="white"/>
        </w:rPr>
        <w:t>limitées</w:t>
      </w:r>
      <w:proofErr w:type="spellEnd"/>
      <w:r w:rsidRPr="0017525C">
        <w:rPr>
          <w:rFonts w:asciiTheme="majorBidi" w:eastAsia="Times New Roman" w:hAnsiTheme="majorBidi" w:cstheme="majorBidi"/>
          <w:i/>
          <w:iCs/>
          <w:color w:val="1D2228"/>
          <w:highlight w:val="white"/>
        </w:rPr>
        <w:t xml:space="preserve">. Depuis 2011, une suite de </w:t>
      </w:r>
      <w:proofErr w:type="spellStart"/>
      <w:r w:rsidRPr="0017525C">
        <w:rPr>
          <w:rFonts w:asciiTheme="majorBidi" w:eastAsia="Times New Roman" w:hAnsiTheme="majorBidi" w:cstheme="majorBidi"/>
          <w:i/>
          <w:iCs/>
          <w:color w:val="1D2228"/>
          <w:highlight w:val="white"/>
        </w:rPr>
        <w:t>mécanismes</w:t>
      </w:r>
      <w:proofErr w:type="spellEnd"/>
      <w:r w:rsidRPr="0017525C">
        <w:rPr>
          <w:rFonts w:asciiTheme="majorBidi" w:eastAsia="Times New Roman" w:hAnsiTheme="majorBidi" w:cstheme="majorBidi"/>
          <w:i/>
          <w:iCs/>
          <w:color w:val="1D2228"/>
          <w:highlight w:val="white"/>
        </w:rPr>
        <w:t xml:space="preserve"> divers (d’</w:t>
      </w:r>
      <w:proofErr w:type="spellStart"/>
      <w:r w:rsidRPr="0017525C">
        <w:rPr>
          <w:rFonts w:asciiTheme="majorBidi" w:eastAsia="Times New Roman" w:hAnsiTheme="majorBidi" w:cstheme="majorBidi"/>
          <w:i/>
          <w:iCs/>
          <w:color w:val="1D2228"/>
          <w:highlight w:val="white"/>
        </w:rPr>
        <w:t>enquête</w:t>
      </w:r>
      <w:proofErr w:type="spellEnd"/>
      <w:r w:rsidRPr="0017525C">
        <w:rPr>
          <w:rFonts w:asciiTheme="majorBidi" w:eastAsia="Times New Roman" w:hAnsiTheme="majorBidi" w:cstheme="majorBidi"/>
          <w:i/>
          <w:iCs/>
          <w:color w:val="1D2228"/>
          <w:highlight w:val="white"/>
        </w:rPr>
        <w:t xml:space="preserve">, judiciaires, d’indemnisation) a </w:t>
      </w:r>
      <w:proofErr w:type="spellStart"/>
      <w:r w:rsidRPr="0017525C">
        <w:rPr>
          <w:rFonts w:asciiTheme="majorBidi" w:eastAsia="Times New Roman" w:hAnsiTheme="majorBidi" w:cstheme="majorBidi"/>
          <w:i/>
          <w:iCs/>
          <w:color w:val="1D2228"/>
          <w:highlight w:val="white"/>
        </w:rPr>
        <w:t>éte</w:t>
      </w:r>
      <w:proofErr w:type="spellEnd"/>
      <w:r w:rsidRPr="0017525C">
        <w:rPr>
          <w:rFonts w:asciiTheme="majorBidi" w:eastAsia="Times New Roman" w:hAnsiTheme="majorBidi" w:cstheme="majorBidi"/>
          <w:i/>
          <w:iCs/>
          <w:color w:val="1D2228"/>
          <w:highlight w:val="white"/>
        </w:rPr>
        <w:t>́ mis en place, et cependan</w:t>
      </w:r>
      <w:r w:rsidRPr="0017525C">
        <w:rPr>
          <w:rFonts w:asciiTheme="majorBidi" w:eastAsia="Times New Roman" w:hAnsiTheme="majorBidi" w:cstheme="majorBidi"/>
          <w:i/>
          <w:iCs/>
          <w:color w:val="1D2228"/>
          <w:highlight w:val="white"/>
        </w:rPr>
        <w:t xml:space="preserve">t, ils ont tous fini leurs mandats sans accomplir leur mission </w:t>
      </w:r>
      <w:proofErr w:type="spellStart"/>
      <w:r w:rsidRPr="0017525C">
        <w:rPr>
          <w:rFonts w:asciiTheme="majorBidi" w:eastAsia="Times New Roman" w:hAnsiTheme="majorBidi" w:cstheme="majorBidi"/>
          <w:i/>
          <w:iCs/>
          <w:color w:val="1D2228"/>
          <w:highlight w:val="white"/>
        </w:rPr>
        <w:t>première</w:t>
      </w:r>
      <w:proofErr w:type="spellEnd"/>
      <w:r w:rsidRPr="0017525C">
        <w:rPr>
          <w:rFonts w:asciiTheme="majorBidi" w:eastAsia="Times New Roman" w:hAnsiTheme="majorBidi" w:cstheme="majorBidi"/>
          <w:i/>
          <w:iCs/>
          <w:color w:val="1D2228"/>
          <w:highlight w:val="white"/>
        </w:rPr>
        <w:t xml:space="preserve">, ou, dans le cas de la CSEI, existent encore mais sans que ses fonctions et </w:t>
      </w:r>
      <w:proofErr w:type="spellStart"/>
      <w:r w:rsidRPr="0017525C">
        <w:rPr>
          <w:rFonts w:asciiTheme="majorBidi" w:eastAsia="Times New Roman" w:hAnsiTheme="majorBidi" w:cstheme="majorBidi"/>
          <w:i/>
          <w:iCs/>
          <w:color w:val="1D2228"/>
          <w:highlight w:val="white"/>
        </w:rPr>
        <w:t>activités</w:t>
      </w:r>
      <w:proofErr w:type="spellEnd"/>
      <w:r w:rsidRPr="0017525C">
        <w:rPr>
          <w:rFonts w:asciiTheme="majorBidi" w:eastAsia="Times New Roman" w:hAnsiTheme="majorBidi" w:cstheme="majorBidi"/>
          <w:i/>
          <w:iCs/>
          <w:color w:val="1D2228"/>
          <w:highlight w:val="white"/>
        </w:rPr>
        <w:t xml:space="preserve"> </w:t>
      </w:r>
      <w:proofErr w:type="spellStart"/>
      <w:r w:rsidRPr="0017525C">
        <w:rPr>
          <w:rFonts w:asciiTheme="majorBidi" w:eastAsia="Times New Roman" w:hAnsiTheme="majorBidi" w:cstheme="majorBidi"/>
          <w:i/>
          <w:iCs/>
          <w:color w:val="1D2228"/>
          <w:highlight w:val="white"/>
        </w:rPr>
        <w:t>répondent</w:t>
      </w:r>
      <w:proofErr w:type="spellEnd"/>
      <w:r w:rsidRPr="0017525C">
        <w:rPr>
          <w:rFonts w:asciiTheme="majorBidi" w:eastAsia="Times New Roman" w:hAnsiTheme="majorBidi" w:cstheme="majorBidi"/>
          <w:i/>
          <w:iCs/>
          <w:color w:val="1D2228"/>
          <w:highlight w:val="white"/>
        </w:rPr>
        <w:t xml:space="preserve"> de </w:t>
      </w:r>
      <w:proofErr w:type="spellStart"/>
      <w:r w:rsidRPr="0017525C">
        <w:rPr>
          <w:rFonts w:asciiTheme="majorBidi" w:eastAsia="Times New Roman" w:hAnsiTheme="majorBidi" w:cstheme="majorBidi"/>
          <w:i/>
          <w:iCs/>
          <w:color w:val="1D2228"/>
          <w:highlight w:val="white"/>
        </w:rPr>
        <w:t>manière</w:t>
      </w:r>
      <w:proofErr w:type="spellEnd"/>
      <w:r w:rsidRPr="0017525C">
        <w:rPr>
          <w:rFonts w:asciiTheme="majorBidi" w:eastAsia="Times New Roman" w:hAnsiTheme="majorBidi" w:cstheme="majorBidi"/>
          <w:i/>
          <w:iCs/>
          <w:color w:val="1D2228"/>
          <w:highlight w:val="white"/>
        </w:rPr>
        <w:t xml:space="preserve"> effective à la raison initiale de leur </w:t>
      </w:r>
      <w:proofErr w:type="spellStart"/>
      <w:r w:rsidRPr="0017525C">
        <w:rPr>
          <w:rFonts w:asciiTheme="majorBidi" w:eastAsia="Times New Roman" w:hAnsiTheme="majorBidi" w:cstheme="majorBidi"/>
          <w:i/>
          <w:iCs/>
          <w:color w:val="1D2228"/>
          <w:highlight w:val="white"/>
        </w:rPr>
        <w:t>création</w:t>
      </w:r>
      <w:proofErr w:type="spellEnd"/>
      <w:r w:rsidRPr="00306A83">
        <w:rPr>
          <w:rFonts w:asciiTheme="majorBidi" w:eastAsia="Times New Roman" w:hAnsiTheme="majorBidi" w:cstheme="majorBidi"/>
          <w:color w:val="1D2228"/>
          <w:highlight w:val="white"/>
        </w:rPr>
        <w:t>”</w:t>
      </w:r>
      <w:r w:rsidRPr="00306A83">
        <w:rPr>
          <w:rFonts w:asciiTheme="majorBidi" w:eastAsia="Times New Roman" w:hAnsiTheme="majorBidi" w:cstheme="majorBidi"/>
          <w:color w:val="1D2228"/>
          <w:highlight w:val="white"/>
          <w:vertAlign w:val="superscript"/>
        </w:rPr>
        <w:footnoteReference w:id="58"/>
      </w:r>
      <w:r w:rsidRPr="00306A83">
        <w:rPr>
          <w:rFonts w:asciiTheme="majorBidi" w:eastAsia="Times New Roman" w:hAnsiTheme="majorBidi" w:cstheme="majorBidi"/>
          <w:color w:val="1D2228"/>
          <w:highlight w:val="white"/>
        </w:rPr>
        <w:t xml:space="preserve">. </w:t>
      </w:r>
    </w:p>
    <w:p w14:paraId="4C1339B8" w14:textId="37D61768" w:rsidR="003B4185" w:rsidRPr="00306A83" w:rsidRDefault="006803DD" w:rsidP="00FF3C17">
      <w:pPr>
        <w:pStyle w:val="Heading2"/>
        <w:numPr>
          <w:ilvl w:val="0"/>
          <w:numId w:val="40"/>
        </w:numPr>
      </w:pPr>
      <w:bookmarkStart w:id="34" w:name="_Toc168990373"/>
      <w:r w:rsidRPr="00306A83">
        <w:t>Allégations de tor</w:t>
      </w:r>
      <w:r w:rsidRPr="00306A83">
        <w:t>ture par les forces de police, de défense ou de sécurité ivoiriennes</w:t>
      </w:r>
      <w:bookmarkEnd w:id="34"/>
    </w:p>
    <w:p w14:paraId="189A1A0B" w14:textId="77777777" w:rsidR="003B4185" w:rsidRPr="00306A83" w:rsidRDefault="003B4185">
      <w:pPr>
        <w:ind w:left="720"/>
        <w:jc w:val="both"/>
        <w:rPr>
          <w:rFonts w:asciiTheme="majorBidi" w:eastAsia="Times New Roman" w:hAnsiTheme="majorBidi" w:cstheme="majorBidi"/>
        </w:rPr>
      </w:pPr>
    </w:p>
    <w:p w14:paraId="6AE5D56F"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Comme relevé par le Comité des droits de l’Homme en 2015, il existe un “</w:t>
      </w:r>
      <w:r w:rsidRPr="00306A83">
        <w:rPr>
          <w:rFonts w:asciiTheme="majorBidi" w:eastAsia="Times New Roman" w:hAnsiTheme="majorBidi" w:cstheme="majorBidi"/>
          <w:i/>
        </w:rPr>
        <w:t>nombre élevé de cas de torture par les forces de police, de défense et de sécurité, notamment à la Direction de la</w:t>
      </w:r>
      <w:r w:rsidRPr="00306A83">
        <w:rPr>
          <w:rFonts w:asciiTheme="majorBidi" w:eastAsia="Times New Roman" w:hAnsiTheme="majorBidi" w:cstheme="majorBidi"/>
          <w:i/>
        </w:rPr>
        <w:t xml:space="preserve"> surveillance du territoire (DST) et au Centre de coordination des décisions opérationnelles, ainsi que par les Forces républicaines de Côte d’Ivoire</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59"/>
      </w:r>
    </w:p>
    <w:p w14:paraId="0E3A016F" w14:textId="77777777" w:rsidR="003B4185" w:rsidRPr="00306A83" w:rsidRDefault="003B4185">
      <w:pPr>
        <w:spacing w:line="276" w:lineRule="auto"/>
        <w:jc w:val="both"/>
        <w:rPr>
          <w:rFonts w:asciiTheme="majorBidi" w:eastAsia="Times New Roman" w:hAnsiTheme="majorBidi" w:cstheme="majorBidi"/>
        </w:rPr>
      </w:pPr>
    </w:p>
    <w:p w14:paraId="6255A769" w14:textId="6BB3688B"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Plusieurs exemples de cas sont développés ci-dessous</w:t>
      </w:r>
      <w:r w:rsidR="0017525C">
        <w:rPr>
          <w:rFonts w:asciiTheme="majorBidi" w:eastAsia="Times New Roman" w:hAnsiTheme="majorBidi" w:cstheme="majorBidi"/>
        </w:rPr>
        <w:t xml:space="preserve"> </w:t>
      </w:r>
      <w:r w:rsidRPr="00306A83">
        <w:rPr>
          <w:rFonts w:asciiTheme="majorBidi" w:eastAsia="Times New Roman" w:hAnsiTheme="majorBidi" w:cstheme="majorBidi"/>
        </w:rPr>
        <w:t>:</w:t>
      </w:r>
    </w:p>
    <w:p w14:paraId="0B0447CE" w14:textId="77777777" w:rsidR="003B4185" w:rsidRPr="00306A83" w:rsidRDefault="003B4185">
      <w:pPr>
        <w:spacing w:line="259" w:lineRule="auto"/>
        <w:jc w:val="both"/>
        <w:rPr>
          <w:rFonts w:asciiTheme="majorBidi" w:eastAsia="Times New Roman" w:hAnsiTheme="majorBidi" w:cstheme="majorBidi"/>
        </w:rPr>
      </w:pPr>
    </w:p>
    <w:p w14:paraId="3E436973" w14:textId="77777777" w:rsidR="003B4185" w:rsidRPr="00306A83" w:rsidRDefault="006803DD">
      <w:pPr>
        <w:numPr>
          <w:ilvl w:val="0"/>
          <w:numId w:val="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8 novembre 2018, le cybermilitant Soro </w:t>
      </w:r>
      <w:proofErr w:type="spellStart"/>
      <w:r w:rsidRPr="00306A83">
        <w:rPr>
          <w:rFonts w:asciiTheme="majorBidi" w:eastAsia="Times New Roman" w:hAnsiTheme="majorBidi" w:cstheme="majorBidi"/>
        </w:rPr>
        <w:t>Tan</w:t>
      </w:r>
      <w:r w:rsidRPr="00306A83">
        <w:rPr>
          <w:rFonts w:asciiTheme="majorBidi" w:eastAsia="Times New Roman" w:hAnsiTheme="majorBidi" w:cstheme="majorBidi"/>
        </w:rPr>
        <w:t>gboho</w:t>
      </w:r>
      <w:proofErr w:type="spellEnd"/>
      <w:r w:rsidRPr="00306A83">
        <w:rPr>
          <w:rFonts w:asciiTheme="majorBidi" w:eastAsia="Times New Roman" w:hAnsiTheme="majorBidi" w:cstheme="majorBidi"/>
        </w:rPr>
        <w:t>, alias Carton noir, a été arrêté de manière arbitraire dans la ville de Korhogo, dans le nord du pays. Il a subi des actes de torture et des mauvais traitements au motif qu’il a diffusé en direct sur Facebook une vidéo montrant des policiers qui, sel</w:t>
      </w:r>
      <w:r w:rsidRPr="00306A83">
        <w:rPr>
          <w:rFonts w:asciiTheme="majorBidi" w:eastAsia="Times New Roman" w:hAnsiTheme="majorBidi" w:cstheme="majorBidi"/>
        </w:rPr>
        <w:t xml:space="preserve">on lui, étaient en train d’extorquer de l’argent à des </w:t>
      </w:r>
      <w:r w:rsidRPr="00306A83">
        <w:rPr>
          <w:rFonts w:asciiTheme="majorBidi" w:eastAsia="Times New Roman" w:hAnsiTheme="majorBidi" w:cstheme="majorBidi"/>
        </w:rPr>
        <w:lastRenderedPageBreak/>
        <w:t>motards. Il a été passé à tabac dans les locaux de la police, où il a passé deux nuits avant d’être transféré à la DST.</w:t>
      </w:r>
      <w:r w:rsidRPr="00306A83">
        <w:rPr>
          <w:rFonts w:asciiTheme="majorBidi" w:eastAsia="Times New Roman" w:hAnsiTheme="majorBidi" w:cstheme="majorBidi"/>
          <w:vertAlign w:val="superscript"/>
        </w:rPr>
        <w:footnoteReference w:id="60"/>
      </w:r>
    </w:p>
    <w:p w14:paraId="3B3142C9" w14:textId="77777777" w:rsidR="003B4185" w:rsidRPr="00306A83" w:rsidRDefault="006803DD">
      <w:pPr>
        <w:numPr>
          <w:ilvl w:val="0"/>
          <w:numId w:val="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François Ebiba Yapo, cybermilitant également connu sous le nom de Serge Koffi, </w:t>
      </w:r>
      <w:r w:rsidRPr="00306A83">
        <w:rPr>
          <w:rFonts w:asciiTheme="majorBidi" w:eastAsia="Times New Roman" w:hAnsiTheme="majorBidi" w:cstheme="majorBidi"/>
        </w:rPr>
        <w:t>dit « le drone », a déclaré avoir été torturé aux mains de l’Unité de lutte contre le grand banditisme (ULGB) entre le 7 et le 11 mai 2020.</w:t>
      </w:r>
      <w:r w:rsidRPr="00306A83">
        <w:rPr>
          <w:rFonts w:asciiTheme="majorBidi" w:eastAsia="Times New Roman" w:hAnsiTheme="majorBidi" w:cstheme="majorBidi"/>
          <w:vertAlign w:val="superscript"/>
        </w:rPr>
        <w:footnoteReference w:id="61"/>
      </w:r>
      <w:r w:rsidRPr="00306A83">
        <w:rPr>
          <w:rFonts w:asciiTheme="majorBidi" w:eastAsia="Times New Roman" w:hAnsiTheme="majorBidi" w:cstheme="majorBidi"/>
        </w:rPr>
        <w:t xml:space="preserve"> Il a déclaré que des agents lui avaient donné des coups de machette sur la plante des pieds et dans le dos, et des coups de poing et de pied au visage et au ventre. En raison de ses publications sur les réseaux sociaux, il a été inculpé, entre autres, d’a</w:t>
      </w:r>
      <w:r w:rsidRPr="00306A83">
        <w:rPr>
          <w:rFonts w:asciiTheme="majorBidi" w:eastAsia="Times New Roman" w:hAnsiTheme="majorBidi" w:cstheme="majorBidi"/>
        </w:rPr>
        <w:t xml:space="preserve">tteinte à la défense nationale, troubles à l’ordre public, diffamation et outrage sur les réseaux sociaux. Ses allégations de torture n’ont donné lieu à aucune enquête. </w:t>
      </w:r>
    </w:p>
    <w:p w14:paraId="6BDBE2F9" w14:textId="77777777" w:rsidR="003B4185" w:rsidRPr="00306A83" w:rsidRDefault="006803DD">
      <w:pPr>
        <w:numPr>
          <w:ilvl w:val="0"/>
          <w:numId w:val="2"/>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Un homme arrêté le 31 octobre 2020 a passé près d’un mois à la DST, où cinq autres per</w:t>
      </w:r>
      <w:r w:rsidRPr="00306A83">
        <w:rPr>
          <w:rFonts w:asciiTheme="majorBidi" w:eastAsia="Times New Roman" w:hAnsiTheme="majorBidi" w:cstheme="majorBidi"/>
        </w:rPr>
        <w:t>sonnes et lui-même auraient été torturés au moyen de câbles électriques et de pistolets paralysants. Ils auraient ensuite reçu des coups de machettes, avant de signer une déclaration qu’ils n’ont pas été autorisés à lire. Ils ont été transférés tous les si</w:t>
      </w:r>
      <w:r w:rsidRPr="00306A83">
        <w:rPr>
          <w:rFonts w:asciiTheme="majorBidi" w:eastAsia="Times New Roman" w:hAnsiTheme="majorBidi" w:cstheme="majorBidi"/>
        </w:rPr>
        <w:t>x à la MACA.</w:t>
      </w:r>
      <w:r w:rsidRPr="00306A83">
        <w:rPr>
          <w:rFonts w:asciiTheme="majorBidi" w:eastAsia="Times New Roman" w:hAnsiTheme="majorBidi" w:cstheme="majorBidi"/>
          <w:vertAlign w:val="superscript"/>
        </w:rPr>
        <w:footnoteReference w:id="62"/>
      </w:r>
    </w:p>
    <w:p w14:paraId="6D9F4F02" w14:textId="77777777" w:rsidR="003B4185" w:rsidRPr="00306A83" w:rsidRDefault="003B4185">
      <w:pPr>
        <w:spacing w:line="259" w:lineRule="auto"/>
        <w:jc w:val="both"/>
        <w:rPr>
          <w:rFonts w:asciiTheme="majorBidi" w:eastAsia="Times New Roman" w:hAnsiTheme="majorBidi" w:cstheme="majorBidi"/>
          <w:i/>
          <w:color w:val="FF0000"/>
        </w:rPr>
      </w:pPr>
    </w:p>
    <w:p w14:paraId="13A6F6CA" w14:textId="738379B8" w:rsidR="003B4185" w:rsidRPr="00306A83" w:rsidRDefault="006803DD" w:rsidP="00FF3C17">
      <w:pPr>
        <w:pStyle w:val="Heading2"/>
        <w:numPr>
          <w:ilvl w:val="0"/>
          <w:numId w:val="40"/>
        </w:numPr>
      </w:pPr>
      <w:bookmarkStart w:id="35" w:name="_Toc168990374"/>
      <w:r w:rsidRPr="00306A83">
        <w:t>L’usage excessif de la force, arrestations arbitraires et détentions au secret lors du contexte électoral de 2020</w:t>
      </w:r>
      <w:bookmarkEnd w:id="35"/>
    </w:p>
    <w:p w14:paraId="07566EFD" w14:textId="77777777" w:rsidR="003B4185" w:rsidRPr="00306A83" w:rsidRDefault="003B4185">
      <w:pPr>
        <w:rPr>
          <w:rFonts w:asciiTheme="majorBidi" w:eastAsia="Times New Roman" w:hAnsiTheme="majorBidi" w:cstheme="majorBidi"/>
        </w:rPr>
      </w:pPr>
    </w:p>
    <w:p w14:paraId="19EC9DF4"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Lors de la période des élections présidentielles ivoiriennes de 2020, plusieurs manifestations ont été violemment réprimées par les forces de l’ordre et ont donné lieu à des arrestations arbitraires. </w:t>
      </w:r>
    </w:p>
    <w:p w14:paraId="25745C67" w14:textId="77777777" w:rsidR="003B4185" w:rsidRPr="00306A83" w:rsidRDefault="006803DD">
      <w:pPr>
        <w:shd w:val="clear" w:color="auto" w:fill="FFFFFF"/>
        <w:rPr>
          <w:rFonts w:asciiTheme="majorBidi" w:eastAsia="Times New Roman" w:hAnsiTheme="majorBidi" w:cstheme="majorBidi"/>
        </w:rPr>
      </w:pPr>
      <w:r w:rsidRPr="00306A83">
        <w:rPr>
          <w:rFonts w:asciiTheme="majorBidi" w:eastAsia="Times New Roman" w:hAnsiTheme="majorBidi" w:cstheme="majorBidi"/>
        </w:rPr>
        <w:t xml:space="preserve"> </w:t>
      </w:r>
    </w:p>
    <w:p w14:paraId="7C09AF2F"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Au mois d’août 2020, des dizaines de personnes ont ét</w:t>
      </w:r>
      <w:r w:rsidRPr="00306A83">
        <w:rPr>
          <w:rFonts w:asciiTheme="majorBidi" w:eastAsia="Times New Roman" w:hAnsiTheme="majorBidi" w:cstheme="majorBidi"/>
        </w:rPr>
        <w:t>é arrêtées arbitrairement pour avoir participé à des manifestations contre le troisième mandat du président Alassane Ouattara. Le ministre de la Sécurité et de la Protection civile a déclaré que, entre le 10 et le 14 août 2020, cinq personnes étaient morte</w:t>
      </w:r>
      <w:r w:rsidRPr="00306A83">
        <w:rPr>
          <w:rFonts w:asciiTheme="majorBidi" w:eastAsia="Times New Roman" w:hAnsiTheme="majorBidi" w:cstheme="majorBidi"/>
        </w:rPr>
        <w:t>s, 104 avaient été blessées et 68 avaient été arrêtées pour “troubles à l’ordre public, incitation à la révolte, violence sur les forces de l’ordre et destruction de biens d’autrui” lors de manifestations.</w:t>
      </w:r>
      <w:r w:rsidRPr="00306A83">
        <w:rPr>
          <w:rFonts w:asciiTheme="majorBidi" w:eastAsia="Times New Roman" w:hAnsiTheme="majorBidi" w:cstheme="majorBidi"/>
          <w:vertAlign w:val="superscript"/>
        </w:rPr>
        <w:footnoteReference w:id="63"/>
      </w:r>
      <w:r w:rsidRPr="00306A83">
        <w:rPr>
          <w:rFonts w:asciiTheme="majorBidi" w:eastAsia="Times New Roman" w:hAnsiTheme="majorBidi" w:cstheme="majorBidi"/>
          <w:vertAlign w:val="superscript"/>
        </w:rPr>
        <w:t xml:space="preserve"> </w:t>
      </w:r>
      <w:r w:rsidRPr="00306A83">
        <w:rPr>
          <w:rFonts w:asciiTheme="majorBidi" w:eastAsia="Times New Roman" w:hAnsiTheme="majorBidi" w:cstheme="majorBidi"/>
        </w:rPr>
        <w:t xml:space="preserve">Par ailleurs, au cours des manifestations, cinq </w:t>
      </w:r>
      <w:r w:rsidRPr="00306A83">
        <w:rPr>
          <w:rFonts w:asciiTheme="majorBidi" w:eastAsia="Times New Roman" w:hAnsiTheme="majorBidi" w:cstheme="majorBidi"/>
        </w:rPr>
        <w:t>personnes ont été tuées dans plusieurs régions du pays – trois à Daoukro, une à Gagnoa et une autre à Bonoua.</w:t>
      </w:r>
      <w:r w:rsidRPr="00306A83">
        <w:rPr>
          <w:rFonts w:asciiTheme="majorBidi" w:eastAsia="Times New Roman" w:hAnsiTheme="majorBidi" w:cstheme="majorBidi"/>
          <w:vertAlign w:val="superscript"/>
        </w:rPr>
        <w:footnoteReference w:id="64"/>
      </w:r>
    </w:p>
    <w:p w14:paraId="1A92A120" w14:textId="77777777" w:rsidR="003B4185" w:rsidRPr="00306A83" w:rsidRDefault="003B4185">
      <w:pPr>
        <w:shd w:val="clear" w:color="auto" w:fill="FFFFFF"/>
        <w:jc w:val="both"/>
        <w:rPr>
          <w:rFonts w:asciiTheme="majorBidi" w:eastAsia="Times New Roman" w:hAnsiTheme="majorBidi" w:cstheme="majorBidi"/>
        </w:rPr>
      </w:pPr>
    </w:p>
    <w:p w14:paraId="063C16A1" w14:textId="064A1BD6"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A titre d’illustration, le 15 août 2020, Madame Pulchérie </w:t>
      </w:r>
      <w:proofErr w:type="spellStart"/>
      <w:r w:rsidRPr="00306A83">
        <w:rPr>
          <w:rFonts w:asciiTheme="majorBidi" w:eastAsia="Times New Roman" w:hAnsiTheme="majorBidi" w:cstheme="majorBidi"/>
        </w:rPr>
        <w:t>Gbalet</w:t>
      </w:r>
      <w:proofErr w:type="spellEnd"/>
      <w:r w:rsidRPr="00306A83">
        <w:rPr>
          <w:rFonts w:asciiTheme="majorBidi" w:eastAsia="Times New Roman" w:hAnsiTheme="majorBidi" w:cstheme="majorBidi"/>
        </w:rPr>
        <w:t>, présidente d’Alternative citoyenne ivoirienne (ACI), une coalition de 40 orga</w:t>
      </w:r>
      <w:r w:rsidRPr="00306A83">
        <w:rPr>
          <w:rFonts w:asciiTheme="majorBidi" w:eastAsia="Times New Roman" w:hAnsiTheme="majorBidi" w:cstheme="majorBidi"/>
        </w:rPr>
        <w:t xml:space="preserve">nisations de la société civile ayant organisé les manifestations, et deux de ses collègues ont été arrêtés et emmenés dans un centre de détention non officiel de </w:t>
      </w:r>
      <w:proofErr w:type="spellStart"/>
      <w:r w:rsidRPr="00306A83">
        <w:rPr>
          <w:rFonts w:asciiTheme="majorBidi" w:eastAsia="Times New Roman" w:hAnsiTheme="majorBidi" w:cstheme="majorBidi"/>
        </w:rPr>
        <w:t>Sebroko</w:t>
      </w:r>
      <w:proofErr w:type="spellEnd"/>
      <w:r w:rsidRPr="00306A83">
        <w:rPr>
          <w:rFonts w:asciiTheme="majorBidi" w:eastAsia="Times New Roman" w:hAnsiTheme="majorBidi" w:cstheme="majorBidi"/>
        </w:rPr>
        <w:t xml:space="preserve"> à Abidjan.</w:t>
      </w:r>
      <w:r w:rsidRPr="00306A83">
        <w:rPr>
          <w:rFonts w:asciiTheme="majorBidi" w:eastAsia="Times New Roman" w:hAnsiTheme="majorBidi" w:cstheme="majorBidi"/>
          <w:vertAlign w:val="superscript"/>
        </w:rPr>
        <w:footnoteReference w:id="65"/>
      </w:r>
      <w:r w:rsidRPr="00306A83">
        <w:rPr>
          <w:rFonts w:asciiTheme="majorBidi" w:eastAsia="Times New Roman" w:hAnsiTheme="majorBidi" w:cstheme="majorBidi"/>
          <w:vertAlign w:val="superscript"/>
        </w:rPr>
        <w:t xml:space="preserve"> </w:t>
      </w:r>
      <w:r w:rsidRPr="00306A83">
        <w:rPr>
          <w:rFonts w:asciiTheme="majorBidi" w:eastAsia="Times New Roman" w:hAnsiTheme="majorBidi" w:cstheme="majorBidi"/>
        </w:rPr>
        <w:t xml:space="preserve">Madame Pulchérie </w:t>
      </w:r>
      <w:proofErr w:type="spellStart"/>
      <w:r w:rsidRPr="00306A83">
        <w:rPr>
          <w:rFonts w:asciiTheme="majorBidi" w:eastAsia="Times New Roman" w:hAnsiTheme="majorBidi" w:cstheme="majorBidi"/>
        </w:rPr>
        <w:t>Gbalet</w:t>
      </w:r>
      <w:proofErr w:type="spellEnd"/>
      <w:r w:rsidRPr="00306A83">
        <w:rPr>
          <w:rFonts w:asciiTheme="majorBidi" w:eastAsia="Times New Roman" w:hAnsiTheme="majorBidi" w:cstheme="majorBidi"/>
        </w:rPr>
        <w:t xml:space="preserve"> a finalement été détenue pendant 8 mois au sein d</w:t>
      </w:r>
      <w:r w:rsidRPr="00306A83">
        <w:rPr>
          <w:rFonts w:asciiTheme="majorBidi" w:eastAsia="Times New Roman" w:hAnsiTheme="majorBidi" w:cstheme="majorBidi"/>
        </w:rPr>
        <w:t>u Pôle Pénitentiaire d’Abidjan pour des faits d’atteinte à l'ordre public et à l'autorité de l'</w:t>
      </w:r>
      <w:r w:rsidR="00FF3C17" w:rsidRPr="00306A83">
        <w:rPr>
          <w:rFonts w:asciiTheme="majorBidi" w:eastAsia="Times New Roman" w:hAnsiTheme="majorBidi" w:cstheme="majorBidi"/>
        </w:rPr>
        <w:t>État</w:t>
      </w:r>
      <w:r w:rsidRPr="00306A83">
        <w:rPr>
          <w:rFonts w:asciiTheme="majorBidi" w:eastAsia="Times New Roman" w:hAnsiTheme="majorBidi" w:cstheme="majorBidi"/>
        </w:rPr>
        <w:t xml:space="preserve">", "participation à un mouvement insurrectionnel", "destruction </w:t>
      </w:r>
      <w:r w:rsidRPr="00306A83">
        <w:rPr>
          <w:rFonts w:asciiTheme="majorBidi" w:eastAsia="Times New Roman" w:hAnsiTheme="majorBidi" w:cstheme="majorBidi"/>
        </w:rPr>
        <w:lastRenderedPageBreak/>
        <w:t>volontaire de biens publics" et "provocation d’un attroupement" avant d’être provisoirement l</w:t>
      </w:r>
      <w:r w:rsidRPr="00306A83">
        <w:rPr>
          <w:rFonts w:asciiTheme="majorBidi" w:eastAsia="Times New Roman" w:hAnsiTheme="majorBidi" w:cstheme="majorBidi"/>
        </w:rPr>
        <w:t>ibérée et placée sous contrôle judiciaire.</w:t>
      </w:r>
      <w:r w:rsidRPr="00306A83">
        <w:rPr>
          <w:rFonts w:asciiTheme="majorBidi" w:eastAsia="Times New Roman" w:hAnsiTheme="majorBidi" w:cstheme="majorBidi"/>
          <w:vertAlign w:val="superscript"/>
        </w:rPr>
        <w:footnoteReference w:id="66"/>
      </w:r>
    </w:p>
    <w:p w14:paraId="4A3CD556"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1AD11C96"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Par ailleurs, selon Amnesty International, il y aurait eu lors de ces manifestations une résurgence du recours à des agents non officiels du « maintien de l’ordre ».</w:t>
      </w:r>
      <w:r w:rsidRPr="00306A83">
        <w:rPr>
          <w:rFonts w:asciiTheme="majorBidi" w:eastAsia="Times New Roman" w:hAnsiTheme="majorBidi" w:cstheme="majorBidi"/>
          <w:vertAlign w:val="superscript"/>
        </w:rPr>
        <w:footnoteReference w:id="67"/>
      </w:r>
      <w:r w:rsidRPr="00306A83">
        <w:rPr>
          <w:rFonts w:asciiTheme="majorBidi" w:eastAsia="Times New Roman" w:hAnsiTheme="majorBidi" w:cstheme="majorBidi"/>
        </w:rPr>
        <w:t xml:space="preserve"> En effet, la police aurait collaboré avec</w:t>
      </w:r>
      <w:r w:rsidRPr="00306A83">
        <w:rPr>
          <w:rFonts w:asciiTheme="majorBidi" w:eastAsia="Times New Roman" w:hAnsiTheme="majorBidi" w:cstheme="majorBidi"/>
        </w:rPr>
        <w:t xml:space="preserve"> des groupes d’hommes armés pour la gestion des manifestations qui ont commis des exactions à l’encontre des manifestants. Selon le témoignage d’un policier, des dizaines d’hommes, dont certains étaient armés de machettes et de gros bâtons, se sont rendus </w:t>
      </w:r>
      <w:r w:rsidRPr="00306A83">
        <w:rPr>
          <w:rFonts w:asciiTheme="majorBidi" w:eastAsia="Times New Roman" w:hAnsiTheme="majorBidi" w:cstheme="majorBidi"/>
        </w:rPr>
        <w:t>sur les lieux des manifestations et ont chassé les manifestants, sans que les policiers n’interviennent pour les protéger.</w:t>
      </w:r>
      <w:r w:rsidRPr="00306A83">
        <w:rPr>
          <w:rFonts w:asciiTheme="majorBidi" w:eastAsia="Times New Roman" w:hAnsiTheme="majorBidi" w:cstheme="majorBidi"/>
          <w:vertAlign w:val="superscript"/>
        </w:rPr>
        <w:footnoteReference w:id="68"/>
      </w:r>
      <w:r w:rsidRPr="00306A83">
        <w:rPr>
          <w:rFonts w:asciiTheme="majorBidi" w:eastAsia="Times New Roman" w:hAnsiTheme="majorBidi" w:cstheme="majorBidi"/>
        </w:rPr>
        <w:t xml:space="preserve"> Il convient de noter qu’il n’existe pas dans le droit ivoirien de dispositions régissant l’usage de la force, des armes et autres d</w:t>
      </w:r>
      <w:r w:rsidRPr="00306A83">
        <w:rPr>
          <w:rFonts w:asciiTheme="majorBidi" w:eastAsia="Times New Roman" w:hAnsiTheme="majorBidi" w:cstheme="majorBidi"/>
        </w:rPr>
        <w:t>ispositifs par les forces de l’ordre. Par ailleurs, il n’existe pas de directives ou protocoles spécifiques applicables à la gestion des manifestations par les forces de l’ordre.</w:t>
      </w:r>
      <w:r w:rsidRPr="00306A83">
        <w:rPr>
          <w:rFonts w:asciiTheme="majorBidi" w:eastAsia="Times New Roman" w:hAnsiTheme="majorBidi" w:cstheme="majorBidi"/>
          <w:vertAlign w:val="superscript"/>
        </w:rPr>
        <w:footnoteReference w:id="69"/>
      </w:r>
      <w:r w:rsidRPr="00306A83">
        <w:rPr>
          <w:rFonts w:asciiTheme="majorBidi" w:eastAsia="Times New Roman" w:hAnsiTheme="majorBidi" w:cstheme="majorBidi"/>
        </w:rPr>
        <w:t xml:space="preserve"> En revanche, il convient de noter que le Code pénal réprime l’usage de viol</w:t>
      </w:r>
      <w:r w:rsidRPr="00306A83">
        <w:rPr>
          <w:rFonts w:asciiTheme="majorBidi" w:eastAsia="Times New Roman" w:hAnsiTheme="majorBidi" w:cstheme="majorBidi"/>
        </w:rPr>
        <w:t>ences sans motif légitime dans l’exercice ou à l’occasion de l’exercice des fonctions des agents publics.</w:t>
      </w:r>
      <w:r w:rsidRPr="00306A83">
        <w:rPr>
          <w:rFonts w:asciiTheme="majorBidi" w:eastAsia="Times New Roman" w:hAnsiTheme="majorBidi" w:cstheme="majorBidi"/>
          <w:vertAlign w:val="superscript"/>
        </w:rPr>
        <w:footnoteReference w:id="70"/>
      </w:r>
    </w:p>
    <w:p w14:paraId="63425FE3"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0465668E"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Au total, lors d’affrontements violents entre les manifestants et les forces de sécurité, 85 personnes sont mortes et 484 ont été blessées avant, </w:t>
      </w:r>
      <w:r w:rsidRPr="00306A83">
        <w:rPr>
          <w:rFonts w:asciiTheme="majorBidi" w:eastAsia="Times New Roman" w:hAnsiTheme="majorBidi" w:cstheme="majorBidi"/>
        </w:rPr>
        <w:t>pendant et après l’élection qui s’est tenue le 31 octobre 2020.</w:t>
      </w:r>
      <w:r w:rsidRPr="00306A83">
        <w:rPr>
          <w:rFonts w:asciiTheme="majorBidi" w:eastAsia="Times New Roman" w:hAnsiTheme="majorBidi" w:cstheme="majorBidi"/>
          <w:vertAlign w:val="superscript"/>
        </w:rPr>
        <w:footnoteReference w:id="71"/>
      </w:r>
    </w:p>
    <w:p w14:paraId="411BF5F5"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68B77D76"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À la suite des élections, les autorités ivoiriennes ont arrêté plus d’une dizaine de membres de partis de l’opposition, qui ont rejeté les résultats et ont déclaré avoir instauré un Conseil national de transition pour organiser de nouvelles élections. Des </w:t>
      </w:r>
      <w:r w:rsidRPr="00306A83">
        <w:rPr>
          <w:rFonts w:asciiTheme="majorBidi" w:eastAsia="Times New Roman" w:hAnsiTheme="majorBidi" w:cstheme="majorBidi"/>
        </w:rPr>
        <w:t xml:space="preserve">membres de l’opposition, dont Pascal </w:t>
      </w:r>
      <w:proofErr w:type="spellStart"/>
      <w:r w:rsidRPr="00306A83">
        <w:rPr>
          <w:rFonts w:asciiTheme="majorBidi" w:eastAsia="Times New Roman" w:hAnsiTheme="majorBidi" w:cstheme="majorBidi"/>
        </w:rPr>
        <w:t>Affi</w:t>
      </w:r>
      <w:proofErr w:type="spellEnd"/>
      <w:r w:rsidRPr="00306A83">
        <w:rPr>
          <w:rFonts w:asciiTheme="majorBidi" w:eastAsia="Times New Roman" w:hAnsiTheme="majorBidi" w:cstheme="majorBidi"/>
        </w:rPr>
        <w:t xml:space="preserve"> N’Guessan, un ancien Premier ministre, ont été détenus au secret et interrogés sans avoir accès à des avocats pendant plusieurs jours après leur arrestation.</w:t>
      </w:r>
      <w:r w:rsidRPr="00306A83">
        <w:rPr>
          <w:rFonts w:asciiTheme="majorBidi" w:eastAsia="Times New Roman" w:hAnsiTheme="majorBidi" w:cstheme="majorBidi"/>
          <w:vertAlign w:val="superscript"/>
        </w:rPr>
        <w:footnoteReference w:id="72"/>
      </w:r>
    </w:p>
    <w:p w14:paraId="62550051"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71FA0534"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En outre, le 24 février 2023, 31 militants du Parti </w:t>
      </w:r>
      <w:r w:rsidRPr="00306A83">
        <w:rPr>
          <w:rFonts w:asciiTheme="majorBidi" w:eastAsia="Times New Roman" w:hAnsiTheme="majorBidi" w:cstheme="majorBidi"/>
        </w:rPr>
        <w:t>du peuple africain-Côte d'Ivoire (PPA-CI) ont été arrêtés arbitrairement après avoir accompagné le secrétaire général de leur parti à une convocation au tribunal. Le 9 mars 2023, 26 d'entre eux ont été condamnés à deux ans de prison pour “trouble à l'ordre</w:t>
      </w:r>
      <w:r w:rsidRPr="00306A83">
        <w:rPr>
          <w:rFonts w:asciiTheme="majorBidi" w:eastAsia="Times New Roman" w:hAnsiTheme="majorBidi" w:cstheme="majorBidi"/>
        </w:rPr>
        <w:t xml:space="preserve"> public”, puis ont été libérés le 22 mars suivant, leur peine ayant été suspendue en appel.</w:t>
      </w:r>
      <w:r w:rsidRPr="00306A83">
        <w:rPr>
          <w:rFonts w:asciiTheme="majorBidi" w:eastAsia="Times New Roman" w:hAnsiTheme="majorBidi" w:cstheme="majorBidi"/>
          <w:vertAlign w:val="superscript"/>
        </w:rPr>
        <w:footnoteReference w:id="73"/>
      </w:r>
    </w:p>
    <w:p w14:paraId="1FA69DAB" w14:textId="77777777" w:rsidR="003B4185"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5518850B" w14:textId="77777777" w:rsidR="0017525C" w:rsidRDefault="0017525C">
      <w:pPr>
        <w:shd w:val="clear" w:color="auto" w:fill="FFFFFF"/>
        <w:jc w:val="both"/>
        <w:rPr>
          <w:rFonts w:asciiTheme="majorBidi" w:eastAsia="Times New Roman" w:hAnsiTheme="majorBidi" w:cstheme="majorBidi"/>
        </w:rPr>
      </w:pPr>
    </w:p>
    <w:p w14:paraId="3D37E258" w14:textId="77777777" w:rsidR="0017525C" w:rsidRPr="00306A83" w:rsidRDefault="0017525C">
      <w:pPr>
        <w:shd w:val="clear" w:color="auto" w:fill="FFFFFF"/>
        <w:jc w:val="both"/>
        <w:rPr>
          <w:rFonts w:asciiTheme="majorBidi" w:eastAsia="Times New Roman" w:hAnsiTheme="majorBidi" w:cstheme="majorBidi"/>
        </w:rPr>
      </w:pPr>
    </w:p>
    <w:p w14:paraId="55FB73AC" w14:textId="77777777"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rPr>
        <w:t xml:space="preserve"> </w:t>
      </w:r>
    </w:p>
    <w:tbl>
      <w:tblPr>
        <w:tblStyle w:val="a5"/>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690F92C2" w14:textId="77777777">
        <w:tc>
          <w:tcPr>
            <w:tcW w:w="9066" w:type="dxa"/>
            <w:shd w:val="clear" w:color="auto" w:fill="auto"/>
            <w:tcMar>
              <w:top w:w="100" w:type="dxa"/>
              <w:left w:w="100" w:type="dxa"/>
              <w:bottom w:w="100" w:type="dxa"/>
              <w:right w:w="100" w:type="dxa"/>
            </w:tcMar>
          </w:tcPr>
          <w:p w14:paraId="2A91836C" w14:textId="57E37E5B" w:rsidR="003B4185" w:rsidRPr="00306A83" w:rsidRDefault="006803DD">
            <w:pPr>
              <w:shd w:val="clear" w:color="auto" w:fill="FFFFFF"/>
              <w:jc w:val="both"/>
              <w:rPr>
                <w:rFonts w:asciiTheme="majorBidi" w:eastAsia="Times New Roman" w:hAnsiTheme="majorBidi" w:cstheme="majorBidi"/>
              </w:rPr>
            </w:pPr>
            <w:r w:rsidRPr="00306A83">
              <w:rPr>
                <w:rFonts w:asciiTheme="majorBidi" w:eastAsia="Times New Roman" w:hAnsiTheme="majorBidi" w:cstheme="majorBidi"/>
                <w:b/>
              </w:rPr>
              <w:lastRenderedPageBreak/>
              <w:t>Recommandations</w:t>
            </w:r>
            <w:r w:rsidR="009C1366">
              <w:rPr>
                <w:rFonts w:asciiTheme="majorBidi" w:eastAsia="Times New Roman" w:hAnsiTheme="majorBidi" w:cstheme="majorBidi"/>
                <w:b/>
              </w:rPr>
              <w:t xml:space="preserve"> </w:t>
            </w:r>
            <w:r w:rsidRPr="00306A83">
              <w:rPr>
                <w:rFonts w:asciiTheme="majorBidi" w:eastAsia="Times New Roman" w:hAnsiTheme="majorBidi" w:cstheme="majorBidi"/>
              </w:rPr>
              <w:t xml:space="preserve">: </w:t>
            </w:r>
          </w:p>
          <w:p w14:paraId="2B6B9C54" w14:textId="77777777" w:rsidR="003B4185" w:rsidRPr="00306A83" w:rsidRDefault="003B4185">
            <w:pPr>
              <w:shd w:val="clear" w:color="auto" w:fill="FFFFFF"/>
              <w:jc w:val="both"/>
              <w:rPr>
                <w:rFonts w:asciiTheme="majorBidi" w:eastAsia="Times New Roman" w:hAnsiTheme="majorBidi" w:cstheme="majorBidi"/>
              </w:rPr>
            </w:pPr>
          </w:p>
          <w:p w14:paraId="5A59110A" w14:textId="77777777" w:rsidR="003B4185" w:rsidRPr="00306A83" w:rsidRDefault="006803DD">
            <w:pPr>
              <w:numPr>
                <w:ilvl w:val="0"/>
                <w:numId w:val="28"/>
              </w:numP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Exiger du procureur de la République au regard de l’article 12 de l’UNCAT à s’autosaisir systématiquement des allégations de </w:t>
            </w:r>
            <w:r w:rsidRPr="00306A83">
              <w:rPr>
                <w:rFonts w:asciiTheme="majorBidi" w:eastAsia="Times New Roman" w:hAnsiTheme="majorBidi" w:cstheme="majorBidi"/>
              </w:rPr>
              <w:t>torture et de mauvais traitements.</w:t>
            </w:r>
          </w:p>
          <w:p w14:paraId="25EF9443" w14:textId="77777777" w:rsidR="003B4185" w:rsidRPr="00306A83" w:rsidRDefault="006803DD">
            <w:pPr>
              <w:numPr>
                <w:ilvl w:val="0"/>
                <w:numId w:val="28"/>
              </w:numPr>
              <w:ind w:left="1080"/>
              <w:jc w:val="both"/>
              <w:rPr>
                <w:rFonts w:asciiTheme="majorBidi" w:eastAsia="Times New Roman" w:hAnsiTheme="majorBidi" w:cstheme="majorBidi"/>
              </w:rPr>
            </w:pPr>
            <w:r w:rsidRPr="00306A83">
              <w:rPr>
                <w:rFonts w:asciiTheme="majorBidi" w:eastAsia="Times New Roman" w:hAnsiTheme="majorBidi" w:cstheme="majorBidi"/>
              </w:rPr>
              <w:t>Veiller à ce que toutes les allégations d’usage excessif de la force par les forces de police et de sécurité et d’arrestations arbitraires fassent rapidement l’objet d’une enquête impartiale, à ce que les auteurs présumés</w:t>
            </w:r>
            <w:r w:rsidRPr="00306A83">
              <w:rPr>
                <w:rFonts w:asciiTheme="majorBidi" w:eastAsia="Times New Roman" w:hAnsiTheme="majorBidi" w:cstheme="majorBidi"/>
              </w:rPr>
              <w:t xml:space="preserve"> soient traduits en justice et, s’ils sont reconnus coupables, à ce qu’ils soient condamnés à des peines à la mesure de la gravité de leurs actes et à ce que les victimes ou leurs proches obtiennent pleinement réparation.</w:t>
            </w:r>
          </w:p>
          <w:p w14:paraId="731789D5" w14:textId="3EC013FA" w:rsidR="003B4185" w:rsidRPr="00306A83" w:rsidRDefault="006803DD">
            <w:pPr>
              <w:numPr>
                <w:ilvl w:val="0"/>
                <w:numId w:val="28"/>
              </w:numPr>
              <w:ind w:left="1080"/>
              <w:jc w:val="both"/>
              <w:rPr>
                <w:rFonts w:asciiTheme="majorBidi" w:eastAsia="Times New Roman" w:hAnsiTheme="majorBidi" w:cstheme="majorBidi"/>
              </w:rPr>
            </w:pPr>
            <w:r w:rsidRPr="00306A83">
              <w:rPr>
                <w:rFonts w:asciiTheme="majorBidi" w:eastAsia="Times New Roman" w:hAnsiTheme="majorBidi" w:cstheme="majorBidi"/>
              </w:rPr>
              <w:t>Adopter et publier une législation</w:t>
            </w:r>
            <w:r w:rsidRPr="00306A83">
              <w:rPr>
                <w:rFonts w:asciiTheme="majorBidi" w:eastAsia="Times New Roman" w:hAnsiTheme="majorBidi" w:cstheme="majorBidi"/>
              </w:rPr>
              <w:t xml:space="preserve"> nationale relative à l’usage de la force et des armes en vue de la mettre en conformité avec les normes internationales, en particulier les Principes de base sur le recours à la force et l’utilisation des armes à feu par les responsables de l’application </w:t>
            </w:r>
            <w:r w:rsidRPr="00306A83">
              <w:rPr>
                <w:rFonts w:asciiTheme="majorBidi" w:eastAsia="Times New Roman" w:hAnsiTheme="majorBidi" w:cstheme="majorBidi"/>
              </w:rPr>
              <w:t>des lois et les Lignes directrices des Nations Unies basées sur les droits de l’homme portant sur l’utilisation des armes à létalité réduite dans le cadre de l’application des lois.</w:t>
            </w:r>
          </w:p>
        </w:tc>
      </w:tr>
    </w:tbl>
    <w:p w14:paraId="157E095A" w14:textId="77777777" w:rsidR="003B4185" w:rsidRPr="00306A83" w:rsidRDefault="003B4185">
      <w:pPr>
        <w:pBdr>
          <w:top w:val="nil"/>
          <w:left w:val="nil"/>
          <w:bottom w:val="nil"/>
          <w:right w:val="nil"/>
          <w:between w:val="nil"/>
        </w:pBdr>
        <w:spacing w:after="160" w:line="259" w:lineRule="auto"/>
        <w:ind w:left="720"/>
        <w:jc w:val="both"/>
        <w:rPr>
          <w:rFonts w:asciiTheme="majorBidi" w:eastAsia="Times New Roman" w:hAnsiTheme="majorBidi" w:cstheme="majorBidi"/>
          <w:b/>
        </w:rPr>
      </w:pPr>
    </w:p>
    <w:p w14:paraId="1F397240" w14:textId="0D7B0D2C" w:rsidR="003B4185" w:rsidRPr="00FF3C17" w:rsidRDefault="006803DD" w:rsidP="00FF3C17">
      <w:pPr>
        <w:pStyle w:val="Heading2"/>
        <w:numPr>
          <w:ilvl w:val="0"/>
          <w:numId w:val="40"/>
        </w:numPr>
      </w:pPr>
      <w:bookmarkStart w:id="36" w:name="_Toc168990375"/>
      <w:r w:rsidRPr="00FF3C17">
        <w:t xml:space="preserve">Les résultats insuffisants d’enquêtes nationales sur les actes de </w:t>
      </w:r>
      <w:r w:rsidRPr="00FF3C17">
        <w:t>torture et de mauvais traitements commis lors des différentes crises ivoiriennes</w:t>
      </w:r>
      <w:bookmarkEnd w:id="36"/>
    </w:p>
    <w:p w14:paraId="79E0CFB2"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La plupart des crimes internationaux et violations des droits humains perpétrés lors de la décennie noire de l’histoire de la Côte d’Ivoire, qui s’étend de 2000 à 2011, demeur</w:t>
      </w:r>
      <w:r w:rsidRPr="00306A83">
        <w:rPr>
          <w:rFonts w:asciiTheme="majorBidi" w:eastAsia="Times New Roman" w:hAnsiTheme="majorBidi" w:cstheme="majorBidi"/>
        </w:rPr>
        <w:t xml:space="preserve">ent à ce jour impunis.  </w:t>
      </w:r>
    </w:p>
    <w:p w14:paraId="408CE6AF" w14:textId="23F31C78" w:rsidR="003B4185" w:rsidRPr="00306A83" w:rsidRDefault="006803DD" w:rsidP="00FF3C17">
      <w:pPr>
        <w:pStyle w:val="Heading3"/>
        <w:numPr>
          <w:ilvl w:val="0"/>
          <w:numId w:val="2"/>
        </w:numPr>
      </w:pPr>
      <w:bookmarkStart w:id="37" w:name="_Toc168990376"/>
      <w:r w:rsidRPr="00306A83">
        <w:t>Violations commises dans les années 2000</w:t>
      </w:r>
      <w:r w:rsidR="0017525C">
        <w:t xml:space="preserve"> </w:t>
      </w:r>
      <w:r w:rsidRPr="00306A83">
        <w:t>: le charnier de Yopougon</w:t>
      </w:r>
      <w:bookmarkEnd w:id="37"/>
    </w:p>
    <w:p w14:paraId="787AAD8C" w14:textId="77777777" w:rsidR="003B4185" w:rsidRPr="00306A83" w:rsidRDefault="006803DD">
      <w:pP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Le 26 octobre 2000, un charnier de cinquante-sept personnes est découvert à Yopougon, un quartier populaire du nord-ouest d’Abidjan, à l’issue des élections préside</w:t>
      </w:r>
      <w:r w:rsidRPr="00306A83">
        <w:rPr>
          <w:rFonts w:asciiTheme="majorBidi" w:eastAsia="Times New Roman" w:hAnsiTheme="majorBidi" w:cstheme="majorBidi"/>
        </w:rPr>
        <w:t>ntielles du 22 octobre 2000. Cette découverte s’inscrit dans le contexte plus large des violations des droits humains commises à cette période et au mois de décembre 2000.</w:t>
      </w:r>
    </w:p>
    <w:p w14:paraId="1560DC3B" w14:textId="77777777" w:rsidR="003B4185" w:rsidRPr="00306A83" w:rsidRDefault="006803DD">
      <w:pP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Au regard de la gravité des actes, une commission d’enquête </w:t>
      </w:r>
      <w:r w:rsidRPr="00306A83">
        <w:rPr>
          <w:rFonts w:asciiTheme="majorBidi" w:eastAsia="Times New Roman" w:hAnsiTheme="majorBidi" w:cstheme="majorBidi"/>
        </w:rPr>
        <w:t>internationale avait été mise en place par le Secrétaire général des Nations-Unies afin d’établir les faits, déterminer les responsabilités et faire des recommandations. Le rapport publié par la commission d’enquête fait état d’une pratique de la torture e</w:t>
      </w:r>
      <w:r w:rsidRPr="00306A83">
        <w:rPr>
          <w:rFonts w:asciiTheme="majorBidi" w:eastAsia="Times New Roman" w:hAnsiTheme="majorBidi" w:cstheme="majorBidi"/>
        </w:rPr>
        <w:t>t des mauvais traitements qui a été “</w:t>
      </w:r>
      <w:r w:rsidRPr="00306A83">
        <w:rPr>
          <w:rFonts w:asciiTheme="majorBidi" w:eastAsia="Times New Roman" w:hAnsiTheme="majorBidi" w:cstheme="majorBidi"/>
          <w:i/>
        </w:rPr>
        <w:t>systématique lors des arrestations et des gardes à vue qui se sont déroulées pendant les évènements d'octobre et de décembre [2000]</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74"/>
      </w:r>
      <w:r w:rsidRPr="00306A83">
        <w:rPr>
          <w:rFonts w:asciiTheme="majorBidi" w:eastAsia="Times New Roman" w:hAnsiTheme="majorBidi" w:cstheme="majorBidi"/>
        </w:rPr>
        <w:t xml:space="preserve"> </w:t>
      </w:r>
    </w:p>
    <w:p w14:paraId="3FED8D63" w14:textId="77777777" w:rsidR="003B4185" w:rsidRPr="00306A83" w:rsidRDefault="006803DD">
      <w:pP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S’agissant du charnier de Yopougon, le rapport souligne l’implication des gendarme</w:t>
      </w:r>
      <w:r w:rsidRPr="00306A83">
        <w:rPr>
          <w:rFonts w:asciiTheme="majorBidi" w:eastAsia="Times New Roman" w:hAnsiTheme="majorBidi" w:cstheme="majorBidi"/>
        </w:rPr>
        <w:t>s du camp d’Abobo, dont 8 d’entre eux ont été poursuivis par la justice ivoirienne pour “meurtres et assassinats”.</w:t>
      </w:r>
      <w:r w:rsidRPr="00306A83">
        <w:rPr>
          <w:rFonts w:asciiTheme="majorBidi" w:eastAsia="Times New Roman" w:hAnsiTheme="majorBidi" w:cstheme="majorBidi"/>
          <w:vertAlign w:val="superscript"/>
        </w:rPr>
        <w:footnoteReference w:id="75"/>
      </w:r>
      <w:r w:rsidRPr="00306A83">
        <w:rPr>
          <w:rFonts w:asciiTheme="majorBidi" w:eastAsia="Times New Roman" w:hAnsiTheme="majorBidi" w:cstheme="majorBidi"/>
        </w:rPr>
        <w:t xml:space="preserve"> Cependant, comme indiqué par l'État partie dans son rapport initial, les 8 gendarmes qui avaient été poursuivis ont finalement été acquittés le 4 août 2001 par le Tribunal militaire d’Abidjan, faute de preuves suffisantes.</w:t>
      </w:r>
      <w:r w:rsidRPr="00306A83">
        <w:rPr>
          <w:rFonts w:asciiTheme="majorBidi" w:eastAsia="Times New Roman" w:hAnsiTheme="majorBidi" w:cstheme="majorBidi"/>
          <w:vertAlign w:val="superscript"/>
        </w:rPr>
        <w:footnoteReference w:id="76"/>
      </w:r>
      <w:r w:rsidRPr="00306A83">
        <w:rPr>
          <w:rFonts w:asciiTheme="majorBidi" w:eastAsia="Times New Roman" w:hAnsiTheme="majorBidi" w:cstheme="majorBidi"/>
        </w:rPr>
        <w:t xml:space="preserve"> </w:t>
      </w:r>
    </w:p>
    <w:p w14:paraId="1755F385" w14:textId="77777777" w:rsidR="003B4185" w:rsidRPr="00306A83" w:rsidRDefault="006803DD">
      <w:pP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lastRenderedPageBreak/>
        <w:t>En 2015, le Comité des droits</w:t>
      </w:r>
      <w:r w:rsidRPr="00306A83">
        <w:rPr>
          <w:rFonts w:asciiTheme="majorBidi" w:eastAsia="Times New Roman" w:hAnsiTheme="majorBidi" w:cstheme="majorBidi"/>
        </w:rPr>
        <w:t xml:space="preserve"> de l’Homme des Nations-Unies avait soulevé sa préoccupation quant aux “lenteurs accusées” dans l’enquête sur le charnier de Yopougon.</w:t>
      </w:r>
      <w:r w:rsidRPr="00306A83">
        <w:rPr>
          <w:rFonts w:asciiTheme="majorBidi" w:eastAsia="Times New Roman" w:hAnsiTheme="majorBidi" w:cstheme="majorBidi"/>
          <w:vertAlign w:val="superscript"/>
        </w:rPr>
        <w:footnoteReference w:id="77"/>
      </w:r>
      <w:r w:rsidRPr="00306A83">
        <w:rPr>
          <w:rFonts w:asciiTheme="majorBidi" w:eastAsia="Times New Roman" w:hAnsiTheme="majorBidi" w:cstheme="majorBidi"/>
        </w:rPr>
        <w:t xml:space="preserve"> À ce jour, aucune avancée significative ne semble avoir été faite pour enquêter et poursuivre les auteurs de ces exécut</w:t>
      </w:r>
      <w:r w:rsidRPr="00306A83">
        <w:rPr>
          <w:rFonts w:asciiTheme="majorBidi" w:eastAsia="Times New Roman" w:hAnsiTheme="majorBidi" w:cstheme="majorBidi"/>
        </w:rPr>
        <w:t>ions extrajudiciaires, laissant les victimes sans aucune forme de réparation.</w:t>
      </w:r>
      <w:r w:rsidRPr="00306A83">
        <w:rPr>
          <w:rFonts w:asciiTheme="majorBidi" w:eastAsia="Times New Roman" w:hAnsiTheme="majorBidi" w:cstheme="majorBidi"/>
          <w:vertAlign w:val="superscript"/>
        </w:rPr>
        <w:footnoteReference w:id="78"/>
      </w:r>
    </w:p>
    <w:p w14:paraId="576C0603" w14:textId="7FE326B5" w:rsidR="003B4185" w:rsidRPr="00306A83" w:rsidRDefault="006803DD" w:rsidP="00FF3C17">
      <w:pPr>
        <w:pStyle w:val="Heading3"/>
        <w:numPr>
          <w:ilvl w:val="0"/>
          <w:numId w:val="2"/>
        </w:numPr>
      </w:pPr>
      <w:bookmarkStart w:id="38" w:name="_Toc168990377"/>
      <w:r w:rsidRPr="00306A83">
        <w:t>Violations commises lors de la crise postélectorale de 2010-2011</w:t>
      </w:r>
      <w:bookmarkEnd w:id="38"/>
    </w:p>
    <w:p w14:paraId="662F92FB"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Près de 14 ans après les violences </w:t>
      </w:r>
      <w:proofErr w:type="spellStart"/>
      <w:r w:rsidRPr="00306A83">
        <w:rPr>
          <w:rFonts w:asciiTheme="majorBidi" w:eastAsia="Times New Roman" w:hAnsiTheme="majorBidi" w:cstheme="majorBidi"/>
        </w:rPr>
        <w:t>post-électorales</w:t>
      </w:r>
      <w:proofErr w:type="spellEnd"/>
      <w:r w:rsidRPr="00306A83">
        <w:rPr>
          <w:rFonts w:asciiTheme="majorBidi" w:eastAsia="Times New Roman" w:hAnsiTheme="majorBidi" w:cstheme="majorBidi"/>
        </w:rPr>
        <w:t xml:space="preserve"> de 2010-2011, les </w:t>
      </w:r>
      <w:proofErr w:type="spellStart"/>
      <w:r w:rsidRPr="00306A83">
        <w:rPr>
          <w:rFonts w:asciiTheme="majorBidi" w:eastAsia="Times New Roman" w:hAnsiTheme="majorBidi" w:cstheme="majorBidi"/>
        </w:rPr>
        <w:t>avancées</w:t>
      </w:r>
      <w:proofErr w:type="spellEnd"/>
      <w:r w:rsidRPr="00306A83">
        <w:rPr>
          <w:rFonts w:asciiTheme="majorBidi" w:eastAsia="Times New Roman" w:hAnsiTheme="majorBidi" w:cstheme="majorBidi"/>
        </w:rPr>
        <w:t xml:space="preserve"> judiciaires sur les crimes com</w:t>
      </w:r>
      <w:r w:rsidRPr="00306A83">
        <w:rPr>
          <w:rFonts w:asciiTheme="majorBidi" w:eastAsia="Times New Roman" w:hAnsiTheme="majorBidi" w:cstheme="majorBidi"/>
        </w:rPr>
        <w:t xml:space="preserve">mis par toutes les parties au conflit sont </w:t>
      </w:r>
      <w:proofErr w:type="spellStart"/>
      <w:r w:rsidRPr="00306A83">
        <w:rPr>
          <w:rFonts w:asciiTheme="majorBidi" w:eastAsia="Times New Roman" w:hAnsiTheme="majorBidi" w:cstheme="majorBidi"/>
        </w:rPr>
        <w:t>très</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limitées</w:t>
      </w:r>
      <w:proofErr w:type="spellEnd"/>
      <w:r w:rsidRPr="00306A83">
        <w:rPr>
          <w:rFonts w:asciiTheme="majorBidi" w:eastAsia="Times New Roman" w:hAnsiTheme="majorBidi" w:cstheme="majorBidi"/>
        </w:rPr>
        <w:t xml:space="preserve">. Depuis 2011, plusieurs mécanismes d’établissements des faits ont été mis en place, sans qu’ils n’achèvent cependant de manière effective la mission qui leur était confiée.   </w:t>
      </w:r>
    </w:p>
    <w:p w14:paraId="4A26849E" w14:textId="77777777" w:rsidR="003B4185" w:rsidRPr="00306A83" w:rsidRDefault="006803DD">
      <w:pPr>
        <w:shd w:val="clear" w:color="auto" w:fill="FFFFFF"/>
        <w:spacing w:before="240" w:after="240" w:line="259" w:lineRule="auto"/>
        <w:jc w:val="both"/>
        <w:rPr>
          <w:rFonts w:asciiTheme="majorBidi" w:eastAsia="Times New Roman" w:hAnsiTheme="majorBidi" w:cstheme="majorBidi"/>
          <w:color w:val="1D2228"/>
        </w:rPr>
      </w:pPr>
      <w:r w:rsidRPr="00306A83">
        <w:rPr>
          <w:rFonts w:asciiTheme="majorBidi" w:eastAsia="Times New Roman" w:hAnsiTheme="majorBidi" w:cstheme="majorBidi"/>
          <w:color w:val="1D2228"/>
        </w:rPr>
        <w:t>Les informations judi</w:t>
      </w:r>
      <w:r w:rsidRPr="00306A83">
        <w:rPr>
          <w:rFonts w:asciiTheme="majorBidi" w:eastAsia="Times New Roman" w:hAnsiTheme="majorBidi" w:cstheme="majorBidi"/>
          <w:color w:val="1D2228"/>
        </w:rPr>
        <w:t xml:space="preserve">ciaires ouvertes sur l’attaque du camp de </w:t>
      </w:r>
      <w:proofErr w:type="spellStart"/>
      <w:r w:rsidRPr="00306A83">
        <w:rPr>
          <w:rFonts w:asciiTheme="majorBidi" w:eastAsia="Times New Roman" w:hAnsiTheme="majorBidi" w:cstheme="majorBidi"/>
          <w:color w:val="1D2228"/>
        </w:rPr>
        <w:t>Nahibly</w:t>
      </w:r>
      <w:proofErr w:type="spellEnd"/>
      <w:r w:rsidRPr="00306A83">
        <w:rPr>
          <w:rFonts w:asciiTheme="majorBidi" w:eastAsia="Times New Roman" w:hAnsiTheme="majorBidi" w:cstheme="majorBidi"/>
          <w:color w:val="1D2228"/>
        </w:rPr>
        <w:t xml:space="preserve"> de l’</w:t>
      </w:r>
      <w:proofErr w:type="spellStart"/>
      <w:r w:rsidRPr="00306A83">
        <w:rPr>
          <w:rFonts w:asciiTheme="majorBidi" w:eastAsia="Times New Roman" w:hAnsiTheme="majorBidi" w:cstheme="majorBidi"/>
          <w:color w:val="1D2228"/>
        </w:rPr>
        <w:t>éte</w:t>
      </w:r>
      <w:proofErr w:type="spellEnd"/>
      <w:r w:rsidRPr="00306A83">
        <w:rPr>
          <w:rFonts w:asciiTheme="majorBidi" w:eastAsia="Times New Roman" w:hAnsiTheme="majorBidi" w:cstheme="majorBidi"/>
          <w:color w:val="1D2228"/>
        </w:rPr>
        <w:t xml:space="preserve">́ 2012 et la </w:t>
      </w:r>
      <w:proofErr w:type="spellStart"/>
      <w:r w:rsidRPr="00306A83">
        <w:rPr>
          <w:rFonts w:asciiTheme="majorBidi" w:eastAsia="Times New Roman" w:hAnsiTheme="majorBidi" w:cstheme="majorBidi"/>
          <w:color w:val="1D2228"/>
        </w:rPr>
        <w:t>découverte</w:t>
      </w:r>
      <w:proofErr w:type="spellEnd"/>
      <w:r w:rsidRPr="00306A83">
        <w:rPr>
          <w:rFonts w:asciiTheme="majorBidi" w:eastAsia="Times New Roman" w:hAnsiTheme="majorBidi" w:cstheme="majorBidi"/>
          <w:color w:val="1D2228"/>
        </w:rPr>
        <w:t xml:space="preserve"> d’un charnier à </w:t>
      </w:r>
      <w:proofErr w:type="spellStart"/>
      <w:r w:rsidRPr="00306A83">
        <w:rPr>
          <w:rFonts w:asciiTheme="majorBidi" w:eastAsia="Times New Roman" w:hAnsiTheme="majorBidi" w:cstheme="majorBidi"/>
          <w:color w:val="1D2228"/>
        </w:rPr>
        <w:t>Duékoue</w:t>
      </w:r>
      <w:proofErr w:type="spellEnd"/>
      <w:r w:rsidRPr="00306A83">
        <w:rPr>
          <w:rFonts w:asciiTheme="majorBidi" w:eastAsia="Times New Roman" w:hAnsiTheme="majorBidi" w:cstheme="majorBidi"/>
          <w:color w:val="1D2228"/>
        </w:rPr>
        <w:t xml:space="preserve">́, autre </w:t>
      </w:r>
      <w:proofErr w:type="spellStart"/>
      <w:r w:rsidRPr="00306A83">
        <w:rPr>
          <w:rFonts w:asciiTheme="majorBidi" w:eastAsia="Times New Roman" w:hAnsiTheme="majorBidi" w:cstheme="majorBidi"/>
          <w:color w:val="1D2228"/>
        </w:rPr>
        <w:t>défi</w:t>
      </w:r>
      <w:proofErr w:type="spellEnd"/>
      <w:r w:rsidRPr="00306A83">
        <w:rPr>
          <w:rFonts w:asciiTheme="majorBidi" w:eastAsia="Times New Roman" w:hAnsiTheme="majorBidi" w:cstheme="majorBidi"/>
          <w:color w:val="1D2228"/>
        </w:rPr>
        <w:t xml:space="preserve"> de la lutte contre l’</w:t>
      </w:r>
      <w:proofErr w:type="spellStart"/>
      <w:r w:rsidRPr="00306A83">
        <w:rPr>
          <w:rFonts w:asciiTheme="majorBidi" w:eastAsia="Times New Roman" w:hAnsiTheme="majorBidi" w:cstheme="majorBidi"/>
          <w:color w:val="1D2228"/>
        </w:rPr>
        <w:t>impunite</w:t>
      </w:r>
      <w:proofErr w:type="spellEnd"/>
      <w:r w:rsidRPr="00306A83">
        <w:rPr>
          <w:rFonts w:asciiTheme="majorBidi" w:eastAsia="Times New Roman" w:hAnsiTheme="majorBidi" w:cstheme="majorBidi"/>
          <w:color w:val="1D2228"/>
        </w:rPr>
        <w:t>́</w:t>
      </w:r>
      <w:r w:rsidRPr="00306A83">
        <w:rPr>
          <w:rFonts w:asciiTheme="majorBidi" w:eastAsia="Times New Roman" w:hAnsiTheme="majorBidi" w:cstheme="majorBidi"/>
          <w:color w:val="1D2228"/>
          <w:vertAlign w:val="superscript"/>
        </w:rPr>
        <w:footnoteReference w:id="79"/>
      </w:r>
      <w:r w:rsidRPr="00306A83">
        <w:rPr>
          <w:rFonts w:asciiTheme="majorBidi" w:eastAsia="Times New Roman" w:hAnsiTheme="majorBidi" w:cstheme="majorBidi"/>
          <w:color w:val="1D2228"/>
        </w:rPr>
        <w:t>.</w:t>
      </w:r>
    </w:p>
    <w:p w14:paraId="42BA8EA5"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Par décret n°2011-176 en date du 20 juillet 2011, la Commission Nationale d’Enquête (CNE) a été cr</w:t>
      </w:r>
      <w:r w:rsidRPr="00306A83">
        <w:rPr>
          <w:rFonts w:asciiTheme="majorBidi" w:eastAsia="Times New Roman" w:hAnsiTheme="majorBidi" w:cstheme="majorBidi"/>
        </w:rPr>
        <w:t>éée afin de mener sur toute l’étendue du territoire national, des enquêtes non judiciaires relatives aux violations des droits de l’homme et du droit international humanitaire dans la période postélectorale allant du 31 octobre 2010 au 15 mai 2011.</w:t>
      </w:r>
      <w:r w:rsidRPr="00306A83">
        <w:rPr>
          <w:rFonts w:asciiTheme="majorBidi" w:eastAsia="Times New Roman" w:hAnsiTheme="majorBidi" w:cstheme="majorBidi"/>
          <w:vertAlign w:val="superscript"/>
        </w:rPr>
        <w:footnoteReference w:id="80"/>
      </w:r>
      <w:r w:rsidRPr="00306A83">
        <w:rPr>
          <w:rFonts w:asciiTheme="majorBidi" w:eastAsia="Times New Roman" w:hAnsiTheme="majorBidi" w:cstheme="majorBidi"/>
        </w:rPr>
        <w:t xml:space="preserve"> Cette</w:t>
      </w:r>
      <w:r w:rsidRPr="00306A83">
        <w:rPr>
          <w:rFonts w:asciiTheme="majorBidi" w:eastAsia="Times New Roman" w:hAnsiTheme="majorBidi" w:cstheme="majorBidi"/>
        </w:rPr>
        <w:t xml:space="preserve"> Commission a produit un rapport soumis au gouvernement au mois d’août 2012, lequel recommandait à court terme “</w:t>
      </w:r>
      <w:r w:rsidRPr="00306A83">
        <w:rPr>
          <w:rFonts w:asciiTheme="majorBidi" w:eastAsia="Times New Roman" w:hAnsiTheme="majorBidi" w:cstheme="majorBidi"/>
          <w:i/>
        </w:rPr>
        <w:t xml:space="preserve">l’ouverture de poursuites judiciaires contre les auteurs </w:t>
      </w:r>
      <w:proofErr w:type="spellStart"/>
      <w:r w:rsidRPr="00306A83">
        <w:rPr>
          <w:rFonts w:asciiTheme="majorBidi" w:eastAsia="Times New Roman" w:hAnsiTheme="majorBidi" w:cstheme="majorBidi"/>
          <w:i/>
        </w:rPr>
        <w:t>présumés</w:t>
      </w:r>
      <w:proofErr w:type="spellEnd"/>
      <w:r w:rsidRPr="00306A83">
        <w:rPr>
          <w:rFonts w:asciiTheme="majorBidi" w:eastAsia="Times New Roman" w:hAnsiTheme="majorBidi" w:cstheme="majorBidi"/>
          <w:i/>
        </w:rPr>
        <w:t xml:space="preserve"> des violations, sans </w:t>
      </w:r>
      <w:proofErr w:type="spellStart"/>
      <w:r w:rsidRPr="00306A83">
        <w:rPr>
          <w:rFonts w:asciiTheme="majorBidi" w:eastAsia="Times New Roman" w:hAnsiTheme="majorBidi" w:cstheme="majorBidi"/>
          <w:i/>
        </w:rPr>
        <w:t>égard</w:t>
      </w:r>
      <w:proofErr w:type="spellEnd"/>
      <w:r w:rsidRPr="00306A83">
        <w:rPr>
          <w:rFonts w:asciiTheme="majorBidi" w:eastAsia="Times New Roman" w:hAnsiTheme="majorBidi" w:cstheme="majorBidi"/>
          <w:i/>
        </w:rPr>
        <w:t xml:space="preserve"> à leur statut social</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81"/>
      </w:r>
      <w:r w:rsidRPr="00306A83">
        <w:rPr>
          <w:rFonts w:asciiTheme="majorBidi" w:eastAsia="Times New Roman" w:hAnsiTheme="majorBidi" w:cstheme="majorBidi"/>
        </w:rPr>
        <w:tab/>
      </w:r>
      <w:r w:rsidRPr="00306A83">
        <w:rPr>
          <w:rFonts w:asciiTheme="majorBidi" w:eastAsia="Times New Roman" w:hAnsiTheme="majorBidi" w:cstheme="majorBidi"/>
        </w:rPr>
        <w:tab/>
      </w:r>
    </w:p>
    <w:p w14:paraId="09FF2357"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Par </w:t>
      </w:r>
      <w:proofErr w:type="spellStart"/>
      <w:r w:rsidRPr="00306A83">
        <w:rPr>
          <w:rFonts w:asciiTheme="majorBidi" w:eastAsia="Times New Roman" w:hAnsiTheme="majorBidi" w:cstheme="majorBidi"/>
        </w:rPr>
        <w:t>arrête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intermi</w:t>
      </w:r>
      <w:r w:rsidRPr="00306A83">
        <w:rPr>
          <w:rFonts w:asciiTheme="majorBidi" w:eastAsia="Times New Roman" w:hAnsiTheme="majorBidi" w:cstheme="majorBidi"/>
        </w:rPr>
        <w:t>nistériel</w:t>
      </w:r>
      <w:proofErr w:type="spellEnd"/>
      <w:r w:rsidRPr="00306A83">
        <w:rPr>
          <w:rFonts w:asciiTheme="majorBidi" w:eastAsia="Times New Roman" w:hAnsiTheme="majorBidi" w:cstheme="majorBidi"/>
        </w:rPr>
        <w:t xml:space="preserve"> du 24 juin 2011, la Cellule </w:t>
      </w:r>
      <w:proofErr w:type="spellStart"/>
      <w:r w:rsidRPr="00306A83">
        <w:rPr>
          <w:rFonts w:asciiTheme="majorBidi" w:eastAsia="Times New Roman" w:hAnsiTheme="majorBidi" w:cstheme="majorBidi"/>
        </w:rPr>
        <w:t>spéciale</w:t>
      </w:r>
      <w:proofErr w:type="spellEnd"/>
      <w:r w:rsidRPr="00306A83">
        <w:rPr>
          <w:rFonts w:asciiTheme="majorBidi" w:eastAsia="Times New Roman" w:hAnsiTheme="majorBidi" w:cstheme="majorBidi"/>
        </w:rPr>
        <w:t xml:space="preserve">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(CSE) a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créée</w:t>
      </w:r>
      <w:proofErr w:type="spellEnd"/>
      <w:r w:rsidRPr="00306A83">
        <w:rPr>
          <w:rFonts w:asciiTheme="majorBidi" w:eastAsia="Times New Roman" w:hAnsiTheme="majorBidi" w:cstheme="majorBidi"/>
        </w:rPr>
        <w:t xml:space="preserve"> comme organe temporaire chargé des poursuites judiciaires relatives à la crise </w:t>
      </w:r>
      <w:proofErr w:type="spellStart"/>
      <w:r w:rsidRPr="00306A83">
        <w:rPr>
          <w:rFonts w:asciiTheme="majorBidi" w:eastAsia="Times New Roman" w:hAnsiTheme="majorBidi" w:cstheme="majorBidi"/>
        </w:rPr>
        <w:t>post-électorale</w:t>
      </w:r>
      <w:proofErr w:type="spellEnd"/>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82"/>
      </w:r>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Après</w:t>
      </w:r>
      <w:proofErr w:type="spellEnd"/>
      <w:r w:rsidRPr="00306A83">
        <w:rPr>
          <w:rFonts w:asciiTheme="majorBidi" w:eastAsia="Times New Roman" w:hAnsiTheme="majorBidi" w:cstheme="majorBidi"/>
        </w:rPr>
        <w:t xml:space="preserve"> deux ans de travaux, son mandat a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remis en cause, alors même</w:t>
      </w:r>
      <w:r w:rsidRPr="00306A83">
        <w:rPr>
          <w:rFonts w:asciiTheme="majorBidi" w:eastAsia="Times New Roman" w:hAnsiTheme="majorBidi" w:cstheme="majorBidi"/>
        </w:rPr>
        <w:t xml:space="preserve"> qu’aucun procès issu des instructions réalisées n’a été tenu ni même programmé. </w:t>
      </w:r>
    </w:p>
    <w:p w14:paraId="1BFB7A74"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Au mois de </w:t>
      </w:r>
      <w:proofErr w:type="spellStart"/>
      <w:r w:rsidRPr="00306A83">
        <w:rPr>
          <w:rFonts w:asciiTheme="majorBidi" w:eastAsia="Times New Roman" w:hAnsiTheme="majorBidi" w:cstheme="majorBidi"/>
        </w:rPr>
        <w:t>décembre</w:t>
      </w:r>
      <w:proofErr w:type="spellEnd"/>
      <w:r w:rsidRPr="00306A83">
        <w:rPr>
          <w:rFonts w:asciiTheme="majorBidi" w:eastAsia="Times New Roman" w:hAnsiTheme="majorBidi" w:cstheme="majorBidi"/>
        </w:rPr>
        <w:t xml:space="preserve"> 2013, la CSE a finalement été </w:t>
      </w:r>
      <w:proofErr w:type="spellStart"/>
      <w:r w:rsidRPr="00306A83">
        <w:rPr>
          <w:rFonts w:asciiTheme="majorBidi" w:eastAsia="Times New Roman" w:hAnsiTheme="majorBidi" w:cstheme="majorBidi"/>
        </w:rPr>
        <w:t>remplacée</w:t>
      </w:r>
      <w:proofErr w:type="spellEnd"/>
      <w:r w:rsidRPr="00306A83">
        <w:rPr>
          <w:rFonts w:asciiTheme="majorBidi" w:eastAsia="Times New Roman" w:hAnsiTheme="majorBidi" w:cstheme="majorBidi"/>
        </w:rPr>
        <w:t xml:space="preserve">, sous la pression de la </w:t>
      </w:r>
      <w:proofErr w:type="spellStart"/>
      <w:r w:rsidRPr="00306A83">
        <w:rPr>
          <w:rFonts w:asciiTheme="majorBidi" w:eastAsia="Times New Roman" w:hAnsiTheme="majorBidi" w:cstheme="majorBidi"/>
        </w:rPr>
        <w:t>sociéte</w:t>
      </w:r>
      <w:proofErr w:type="spellEnd"/>
      <w:r w:rsidRPr="00306A83">
        <w:rPr>
          <w:rFonts w:asciiTheme="majorBidi" w:eastAsia="Times New Roman" w:hAnsiTheme="majorBidi" w:cstheme="majorBidi"/>
        </w:rPr>
        <w:t xml:space="preserve">́ civile, par un organisme permanent, la Cellule </w:t>
      </w:r>
      <w:proofErr w:type="spellStart"/>
      <w:r w:rsidRPr="00306A83">
        <w:rPr>
          <w:rFonts w:asciiTheme="majorBidi" w:eastAsia="Times New Roman" w:hAnsiTheme="majorBidi" w:cstheme="majorBidi"/>
        </w:rPr>
        <w:t>Spéciale</w:t>
      </w:r>
      <w:proofErr w:type="spellEnd"/>
      <w:r w:rsidRPr="00306A83">
        <w:rPr>
          <w:rFonts w:asciiTheme="majorBidi" w:eastAsia="Times New Roman" w:hAnsiTheme="majorBidi" w:cstheme="majorBidi"/>
        </w:rPr>
        <w:t xml:space="preserve">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et d’Instr</w:t>
      </w:r>
      <w:r w:rsidRPr="00306A83">
        <w:rPr>
          <w:rFonts w:asciiTheme="majorBidi" w:eastAsia="Times New Roman" w:hAnsiTheme="majorBidi" w:cstheme="majorBidi"/>
        </w:rPr>
        <w:t>uction (CSEI).</w:t>
      </w:r>
      <w:r w:rsidRPr="00306A83">
        <w:rPr>
          <w:rFonts w:asciiTheme="majorBidi" w:eastAsia="Times New Roman" w:hAnsiTheme="majorBidi" w:cstheme="majorBidi"/>
          <w:vertAlign w:val="superscript"/>
        </w:rPr>
        <w:footnoteReference w:id="83"/>
      </w:r>
      <w:r w:rsidRPr="00306A83">
        <w:rPr>
          <w:rFonts w:asciiTheme="majorBidi" w:eastAsia="Times New Roman" w:hAnsiTheme="majorBidi" w:cstheme="majorBidi"/>
        </w:rPr>
        <w:t xml:space="preserve"> Cette nouvelle instance a le mandat d’</w:t>
      </w:r>
      <w:proofErr w:type="spellStart"/>
      <w:r w:rsidRPr="00306A83">
        <w:rPr>
          <w:rFonts w:asciiTheme="majorBidi" w:eastAsia="Times New Roman" w:hAnsiTheme="majorBidi" w:cstheme="majorBidi"/>
        </w:rPr>
        <w:t>enquêter</w:t>
      </w:r>
      <w:proofErr w:type="spellEnd"/>
      <w:r w:rsidRPr="00306A83">
        <w:rPr>
          <w:rFonts w:asciiTheme="majorBidi" w:eastAsia="Times New Roman" w:hAnsiTheme="majorBidi" w:cstheme="majorBidi"/>
        </w:rPr>
        <w:t xml:space="preserve"> et de mener des instructions judiciaires relatives aux “</w:t>
      </w:r>
      <w:r w:rsidRPr="00306A83">
        <w:rPr>
          <w:rFonts w:asciiTheme="majorBidi" w:eastAsia="Times New Roman" w:hAnsiTheme="majorBidi" w:cstheme="majorBidi"/>
          <w:i/>
        </w:rPr>
        <w:t xml:space="preserve">crimes et </w:t>
      </w:r>
      <w:proofErr w:type="spellStart"/>
      <w:r w:rsidRPr="00306A83">
        <w:rPr>
          <w:rFonts w:asciiTheme="majorBidi" w:eastAsia="Times New Roman" w:hAnsiTheme="majorBidi" w:cstheme="majorBidi"/>
          <w:i/>
        </w:rPr>
        <w:t>délits</w:t>
      </w:r>
      <w:proofErr w:type="spellEnd"/>
      <w:r w:rsidRPr="00306A83">
        <w:rPr>
          <w:rFonts w:asciiTheme="majorBidi" w:eastAsia="Times New Roman" w:hAnsiTheme="majorBidi" w:cstheme="majorBidi"/>
          <w:i/>
        </w:rPr>
        <w:t xml:space="preserve"> commis à l’occasion de la crise </w:t>
      </w:r>
      <w:proofErr w:type="spellStart"/>
      <w:r w:rsidRPr="00306A83">
        <w:rPr>
          <w:rFonts w:asciiTheme="majorBidi" w:eastAsia="Times New Roman" w:hAnsiTheme="majorBidi" w:cstheme="majorBidi"/>
          <w:i/>
        </w:rPr>
        <w:t>consécutive</w:t>
      </w:r>
      <w:proofErr w:type="spellEnd"/>
      <w:r w:rsidRPr="00306A83">
        <w:rPr>
          <w:rFonts w:asciiTheme="majorBidi" w:eastAsia="Times New Roman" w:hAnsiTheme="majorBidi" w:cstheme="majorBidi"/>
          <w:i/>
        </w:rPr>
        <w:t xml:space="preserve"> à l’</w:t>
      </w:r>
      <w:proofErr w:type="spellStart"/>
      <w:r w:rsidRPr="00306A83">
        <w:rPr>
          <w:rFonts w:asciiTheme="majorBidi" w:eastAsia="Times New Roman" w:hAnsiTheme="majorBidi" w:cstheme="majorBidi"/>
          <w:i/>
        </w:rPr>
        <w:t>élection</w:t>
      </w:r>
      <w:proofErr w:type="spellEnd"/>
      <w:r w:rsidRPr="00306A83">
        <w:rPr>
          <w:rFonts w:asciiTheme="majorBidi" w:eastAsia="Times New Roman" w:hAnsiTheme="majorBidi" w:cstheme="majorBidi"/>
          <w:i/>
        </w:rPr>
        <w:t xml:space="preserve"> </w:t>
      </w:r>
      <w:proofErr w:type="spellStart"/>
      <w:r w:rsidRPr="00306A83">
        <w:rPr>
          <w:rFonts w:asciiTheme="majorBidi" w:eastAsia="Times New Roman" w:hAnsiTheme="majorBidi" w:cstheme="majorBidi"/>
          <w:i/>
        </w:rPr>
        <w:t>présidentielle</w:t>
      </w:r>
      <w:proofErr w:type="spellEnd"/>
      <w:r w:rsidRPr="00306A83">
        <w:rPr>
          <w:rFonts w:asciiTheme="majorBidi" w:eastAsia="Times New Roman" w:hAnsiTheme="majorBidi" w:cstheme="majorBidi"/>
          <w:i/>
        </w:rPr>
        <w:t xml:space="preserve"> de 2010 ainsi qu’à toutes les infractio</w:t>
      </w:r>
      <w:r w:rsidRPr="00306A83">
        <w:rPr>
          <w:rFonts w:asciiTheme="majorBidi" w:eastAsia="Times New Roman" w:hAnsiTheme="majorBidi" w:cstheme="majorBidi"/>
          <w:i/>
        </w:rPr>
        <w:t xml:space="preserve">ns connexes ou en rapport avec lesdits crimes et </w:t>
      </w:r>
      <w:proofErr w:type="spellStart"/>
      <w:r w:rsidRPr="00306A83">
        <w:rPr>
          <w:rFonts w:asciiTheme="majorBidi" w:eastAsia="Times New Roman" w:hAnsiTheme="majorBidi" w:cstheme="majorBidi"/>
          <w:i/>
        </w:rPr>
        <w:t>délits</w:t>
      </w:r>
      <w:proofErr w:type="spellEnd"/>
      <w:r w:rsidRPr="00306A83">
        <w:rPr>
          <w:rFonts w:asciiTheme="majorBidi" w:eastAsia="Times New Roman" w:hAnsiTheme="majorBidi" w:cstheme="majorBidi"/>
          <w:i/>
        </w:rPr>
        <w:t>”</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84"/>
      </w:r>
      <w:r w:rsidRPr="00306A83">
        <w:rPr>
          <w:rFonts w:asciiTheme="majorBidi" w:eastAsia="Times New Roman" w:hAnsiTheme="majorBidi" w:cstheme="majorBidi"/>
        </w:rPr>
        <w:t xml:space="preserve"> </w:t>
      </w:r>
    </w:p>
    <w:p w14:paraId="19957050"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lastRenderedPageBreak/>
        <w:t xml:space="preserve">Il convient pourtant de relever que le premier </w:t>
      </w:r>
      <w:proofErr w:type="spellStart"/>
      <w:r w:rsidRPr="00306A83">
        <w:rPr>
          <w:rFonts w:asciiTheme="majorBidi" w:eastAsia="Times New Roman" w:hAnsiTheme="majorBidi" w:cstheme="majorBidi"/>
        </w:rPr>
        <w:t>procès</w:t>
      </w:r>
      <w:proofErr w:type="spellEnd"/>
      <w:r w:rsidRPr="00306A83">
        <w:rPr>
          <w:rFonts w:asciiTheme="majorBidi" w:eastAsia="Times New Roman" w:hAnsiTheme="majorBidi" w:cstheme="majorBidi"/>
        </w:rPr>
        <w:t xml:space="preserve"> organisé par la CSEI contre 83 personnes visait uniquement des partisans du camp pro-Gbagbo, y compris l’ancienne première dame Simone Gbagbo, et ne traitait pas des violations des droits humains, mais uniquement des crimes d’atteinte à la </w:t>
      </w:r>
      <w:proofErr w:type="spellStart"/>
      <w:r w:rsidRPr="00306A83">
        <w:rPr>
          <w:rFonts w:asciiTheme="majorBidi" w:eastAsia="Times New Roman" w:hAnsiTheme="majorBidi" w:cstheme="majorBidi"/>
        </w:rPr>
        <w:t>sûrete</w:t>
      </w:r>
      <w:proofErr w:type="spellEnd"/>
      <w:r w:rsidRPr="00306A83">
        <w:rPr>
          <w:rFonts w:asciiTheme="majorBidi" w:eastAsia="Times New Roman" w:hAnsiTheme="majorBidi" w:cstheme="majorBidi"/>
        </w:rPr>
        <w:t>́ de l’</w:t>
      </w:r>
      <w:proofErr w:type="spellStart"/>
      <w:r w:rsidRPr="00306A83">
        <w:rPr>
          <w:rFonts w:asciiTheme="majorBidi" w:eastAsia="Times New Roman" w:hAnsiTheme="majorBidi" w:cstheme="majorBidi"/>
        </w:rPr>
        <w:t>État</w:t>
      </w:r>
      <w:proofErr w:type="spellEnd"/>
      <w:r w:rsidRPr="00306A83">
        <w:rPr>
          <w:rFonts w:asciiTheme="majorBidi" w:eastAsia="Times New Roman" w:hAnsiTheme="majorBidi" w:cstheme="majorBidi"/>
        </w:rPr>
        <w:t xml:space="preserve">. Il n’incluait donc aucun des crimes dont la population ivoirienne a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la victime directe.</w:t>
      </w:r>
      <w:r w:rsidRPr="00306A83">
        <w:rPr>
          <w:rFonts w:asciiTheme="majorBidi" w:eastAsia="Times New Roman" w:hAnsiTheme="majorBidi" w:cstheme="majorBidi"/>
          <w:vertAlign w:val="superscript"/>
        </w:rPr>
        <w:footnoteReference w:id="85"/>
      </w:r>
      <w:r w:rsidRPr="00306A83">
        <w:rPr>
          <w:rFonts w:asciiTheme="majorBidi" w:eastAsia="Times New Roman" w:hAnsiTheme="majorBidi" w:cstheme="majorBidi"/>
        </w:rPr>
        <w:t xml:space="preserve"> De plus, le procès finalement disjoint de Simone Gbagbo pour crimes contre l’humanité, qui s’est conclu par un acquittement en 2017, a été perçu par la s</w:t>
      </w:r>
      <w:r w:rsidRPr="00306A83">
        <w:rPr>
          <w:rFonts w:asciiTheme="majorBidi" w:eastAsia="Times New Roman" w:hAnsiTheme="majorBidi" w:cstheme="majorBidi"/>
        </w:rPr>
        <w:t>ociété civile comme une occasion manquée de rendre justice.</w:t>
      </w:r>
      <w:r w:rsidRPr="00306A83">
        <w:rPr>
          <w:rFonts w:asciiTheme="majorBidi" w:eastAsia="Times New Roman" w:hAnsiTheme="majorBidi" w:cstheme="majorBidi"/>
          <w:vertAlign w:val="superscript"/>
        </w:rPr>
        <w:footnoteReference w:id="86"/>
      </w:r>
      <w:r w:rsidRPr="00306A83">
        <w:rPr>
          <w:rFonts w:asciiTheme="majorBidi" w:eastAsia="Times New Roman" w:hAnsiTheme="majorBidi" w:cstheme="majorBidi"/>
        </w:rPr>
        <w:t xml:space="preserve"> </w:t>
      </w:r>
    </w:p>
    <w:p w14:paraId="15025B12"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En parallèle, les crimes de droit international commis contre la population pendant les affrontements de 2010-2011 ont fait l’objet de deux instructions concernant les crimes d’atteinte à la vie et à l’intégrité physique (dossiers “crimes de sang”). </w:t>
      </w:r>
    </w:p>
    <w:p w14:paraId="166C8940" w14:textId="77777777" w:rsidR="003B4185" w:rsidRPr="00306A83" w:rsidRDefault="006803DD">
      <w:pPr>
        <w:pBdr>
          <w:top w:val="nil"/>
          <w:left w:val="nil"/>
          <w:bottom w:val="nil"/>
          <w:right w:val="nil"/>
          <w:between w:val="nil"/>
        </w:pBdr>
        <w:spacing w:after="160" w:line="259" w:lineRule="auto"/>
        <w:jc w:val="both"/>
        <w:rPr>
          <w:rFonts w:asciiTheme="majorBidi" w:eastAsia="Times New Roman" w:hAnsiTheme="majorBidi" w:cstheme="majorBidi"/>
          <w:color w:val="0C0B09"/>
        </w:rPr>
      </w:pPr>
      <w:r w:rsidRPr="00306A83">
        <w:rPr>
          <w:rFonts w:asciiTheme="majorBidi" w:eastAsia="Times New Roman" w:hAnsiTheme="majorBidi" w:cstheme="majorBidi"/>
        </w:rPr>
        <w:t>La pr</w:t>
      </w:r>
      <w:r w:rsidRPr="00306A83">
        <w:rPr>
          <w:rFonts w:asciiTheme="majorBidi" w:eastAsia="Times New Roman" w:hAnsiTheme="majorBidi" w:cstheme="majorBidi"/>
        </w:rPr>
        <w:t xml:space="preserve">emière instruction a accusé des retards </w:t>
      </w:r>
      <w:proofErr w:type="spellStart"/>
      <w:r w:rsidRPr="00306A83">
        <w:rPr>
          <w:rFonts w:asciiTheme="majorBidi" w:eastAsia="Times New Roman" w:hAnsiTheme="majorBidi" w:cstheme="majorBidi"/>
        </w:rPr>
        <w:t>considérables</w:t>
      </w:r>
      <w:proofErr w:type="spellEnd"/>
      <w:r w:rsidRPr="00306A83">
        <w:rPr>
          <w:rFonts w:asciiTheme="majorBidi" w:eastAsia="Times New Roman" w:hAnsiTheme="majorBidi" w:cstheme="majorBidi"/>
        </w:rPr>
        <w:t xml:space="preserve"> et </w:t>
      </w:r>
      <w:proofErr w:type="spellStart"/>
      <w:r w:rsidRPr="00306A83">
        <w:rPr>
          <w:rFonts w:asciiTheme="majorBidi" w:eastAsia="Times New Roman" w:hAnsiTheme="majorBidi" w:cstheme="majorBidi"/>
        </w:rPr>
        <w:t>très</w:t>
      </w:r>
      <w:proofErr w:type="spellEnd"/>
      <w:r w:rsidRPr="00306A83">
        <w:rPr>
          <w:rFonts w:asciiTheme="majorBidi" w:eastAsia="Times New Roman" w:hAnsiTheme="majorBidi" w:cstheme="majorBidi"/>
        </w:rPr>
        <w:t xml:space="preserve"> peu d’actes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ont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accomplis, </w:t>
      </w:r>
      <w:proofErr w:type="spellStart"/>
      <w:r w:rsidRPr="00306A83">
        <w:rPr>
          <w:rFonts w:asciiTheme="majorBidi" w:eastAsia="Times New Roman" w:hAnsiTheme="majorBidi" w:cstheme="majorBidi"/>
        </w:rPr>
        <w:t>témoignant</w:t>
      </w:r>
      <w:proofErr w:type="spellEnd"/>
      <w:r w:rsidRPr="00306A83">
        <w:rPr>
          <w:rFonts w:asciiTheme="majorBidi" w:eastAsia="Times New Roman" w:hAnsiTheme="majorBidi" w:cstheme="majorBidi"/>
        </w:rPr>
        <w:t xml:space="preserve"> du manque de </w:t>
      </w:r>
      <w:proofErr w:type="spellStart"/>
      <w:r w:rsidRPr="00306A83">
        <w:rPr>
          <w:rFonts w:asciiTheme="majorBidi" w:eastAsia="Times New Roman" w:hAnsiTheme="majorBidi" w:cstheme="majorBidi"/>
        </w:rPr>
        <w:t>volonte</w:t>
      </w:r>
      <w:proofErr w:type="spellEnd"/>
      <w:r w:rsidRPr="00306A83">
        <w:rPr>
          <w:rFonts w:asciiTheme="majorBidi" w:eastAsia="Times New Roman" w:hAnsiTheme="majorBidi" w:cstheme="majorBidi"/>
        </w:rPr>
        <w:t>́ politique de juger les auteurs de ces crimes.</w:t>
      </w:r>
      <w:r w:rsidRPr="00306A83">
        <w:rPr>
          <w:rFonts w:asciiTheme="majorBidi" w:eastAsia="Times New Roman" w:hAnsiTheme="majorBidi" w:cstheme="majorBidi"/>
          <w:vertAlign w:val="superscript"/>
        </w:rPr>
        <w:footnoteReference w:id="87"/>
      </w:r>
      <w:r w:rsidRPr="00306A83">
        <w:rPr>
          <w:rFonts w:asciiTheme="majorBidi" w:eastAsia="Times New Roman" w:hAnsiTheme="majorBidi" w:cstheme="majorBidi"/>
        </w:rPr>
        <w:t xml:space="preserve"> Elle a finalement débouché sur la seule condamnation, en 2021, de </w:t>
      </w:r>
      <w:r w:rsidRPr="00306A83">
        <w:rPr>
          <w:rFonts w:asciiTheme="majorBidi" w:eastAsia="Times New Roman" w:hAnsiTheme="majorBidi" w:cstheme="majorBidi"/>
        </w:rPr>
        <w:t xml:space="preserve">M. </w:t>
      </w:r>
      <w:proofErr w:type="spellStart"/>
      <w:r w:rsidRPr="00306A83">
        <w:rPr>
          <w:rFonts w:asciiTheme="majorBidi" w:eastAsia="Times New Roman" w:hAnsiTheme="majorBidi" w:cstheme="majorBidi"/>
          <w:color w:val="0C0B09"/>
        </w:rPr>
        <w:t>Amadé</w:t>
      </w:r>
      <w:proofErr w:type="spellEnd"/>
      <w:r w:rsidRPr="00306A83">
        <w:rPr>
          <w:rFonts w:asciiTheme="majorBidi" w:eastAsia="Times New Roman" w:hAnsiTheme="majorBidi" w:cstheme="majorBidi"/>
          <w:color w:val="0C0B09"/>
        </w:rPr>
        <w:t xml:space="preserve"> </w:t>
      </w:r>
      <w:proofErr w:type="spellStart"/>
      <w:r w:rsidRPr="00306A83">
        <w:rPr>
          <w:rFonts w:asciiTheme="majorBidi" w:eastAsia="Times New Roman" w:hAnsiTheme="majorBidi" w:cstheme="majorBidi"/>
          <w:color w:val="0C0B09"/>
        </w:rPr>
        <w:t>Ouérémi</w:t>
      </w:r>
      <w:proofErr w:type="spellEnd"/>
      <w:r w:rsidRPr="00306A83">
        <w:rPr>
          <w:rFonts w:asciiTheme="majorBidi" w:eastAsia="Times New Roman" w:hAnsiTheme="majorBidi" w:cstheme="majorBidi"/>
          <w:color w:val="0C0B09"/>
        </w:rPr>
        <w:t xml:space="preserve"> à l’emprisonnement à vie pour son rôle dans l’attaque de la ville de </w:t>
      </w:r>
      <w:proofErr w:type="spellStart"/>
      <w:r w:rsidRPr="00306A83">
        <w:rPr>
          <w:rFonts w:asciiTheme="majorBidi" w:eastAsia="Times New Roman" w:hAnsiTheme="majorBidi" w:cstheme="majorBidi"/>
          <w:color w:val="0C0B09"/>
        </w:rPr>
        <w:t>Duékoué</w:t>
      </w:r>
      <w:proofErr w:type="spellEnd"/>
      <w:r w:rsidRPr="00306A83">
        <w:rPr>
          <w:rFonts w:asciiTheme="majorBidi" w:eastAsia="Times New Roman" w:hAnsiTheme="majorBidi" w:cstheme="majorBidi"/>
          <w:color w:val="0C0B09"/>
        </w:rPr>
        <w:t xml:space="preserve"> ayant fait 800 morts, les 28 et 29 mars 2011, dans l’ouest de la Côte d’Ivoire. Il a notamment été reconnu coupable de “crimes contre les populations”, “pillages”</w:t>
      </w:r>
      <w:r w:rsidRPr="00306A83">
        <w:rPr>
          <w:rFonts w:asciiTheme="majorBidi" w:eastAsia="Times New Roman" w:hAnsiTheme="majorBidi" w:cstheme="majorBidi"/>
          <w:color w:val="0C0B09"/>
        </w:rPr>
        <w:t xml:space="preserve">, “séquestrations”, “coups et blessures volontaires” </w:t>
      </w:r>
      <w:proofErr w:type="gramStart"/>
      <w:r w:rsidRPr="00306A83">
        <w:rPr>
          <w:rFonts w:asciiTheme="majorBidi" w:eastAsia="Times New Roman" w:hAnsiTheme="majorBidi" w:cstheme="majorBidi"/>
          <w:color w:val="0C0B09"/>
        </w:rPr>
        <w:t>et  “</w:t>
      </w:r>
      <w:proofErr w:type="gramEnd"/>
      <w:r w:rsidRPr="00306A83">
        <w:rPr>
          <w:rFonts w:asciiTheme="majorBidi" w:eastAsia="Times New Roman" w:hAnsiTheme="majorBidi" w:cstheme="majorBidi"/>
          <w:color w:val="0C0B09"/>
        </w:rPr>
        <w:t>destructions de biens”.</w:t>
      </w:r>
      <w:r w:rsidRPr="00306A83">
        <w:rPr>
          <w:rFonts w:asciiTheme="majorBidi" w:eastAsia="Times New Roman" w:hAnsiTheme="majorBidi" w:cstheme="majorBidi"/>
          <w:color w:val="0C0B09"/>
          <w:vertAlign w:val="superscript"/>
        </w:rPr>
        <w:footnoteReference w:id="88"/>
      </w:r>
      <w:r w:rsidRPr="00306A83">
        <w:rPr>
          <w:rFonts w:asciiTheme="majorBidi" w:eastAsia="Times New Roman" w:hAnsiTheme="majorBidi" w:cstheme="majorBidi"/>
          <w:color w:val="0C0B09"/>
        </w:rPr>
        <w:t xml:space="preserve"> Des qualifications qui ne rendent pas compte de la gravité des crimes commis au regard du droit international. </w:t>
      </w:r>
    </w:p>
    <w:p w14:paraId="5CDA0935"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La deuxième instruction a été effectuée sur la base du rappo</w:t>
      </w:r>
      <w:r w:rsidRPr="00306A83">
        <w:rPr>
          <w:rFonts w:asciiTheme="majorBidi" w:eastAsia="Times New Roman" w:hAnsiTheme="majorBidi" w:cstheme="majorBidi"/>
        </w:rPr>
        <w:t xml:space="preserve">rt de la CNE susmentionné. Dans le cadre de cette instruction, 26 personnes ont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inculpées</w:t>
      </w:r>
      <w:proofErr w:type="spellEnd"/>
      <w:r w:rsidRPr="00306A83">
        <w:rPr>
          <w:rFonts w:asciiTheme="majorBidi" w:eastAsia="Times New Roman" w:hAnsiTheme="majorBidi" w:cstheme="majorBidi"/>
        </w:rPr>
        <w:t xml:space="preserve">, dont 5 ont fait l’objet d’un mandat de </w:t>
      </w:r>
      <w:proofErr w:type="spellStart"/>
      <w:r w:rsidRPr="00306A83">
        <w:rPr>
          <w:rFonts w:asciiTheme="majorBidi" w:eastAsia="Times New Roman" w:hAnsiTheme="majorBidi" w:cstheme="majorBidi"/>
        </w:rPr>
        <w:t>dépôt</w:t>
      </w:r>
      <w:proofErr w:type="spellEnd"/>
      <w:r w:rsidRPr="00306A83">
        <w:rPr>
          <w:rFonts w:asciiTheme="majorBidi" w:eastAsia="Times New Roman" w:hAnsiTheme="majorBidi" w:cstheme="majorBidi"/>
        </w:rPr>
        <w:t>, visant majoritairement des partisans du camp Gbagbo mais également des individus du camp pro-Ouattara.</w:t>
      </w:r>
      <w:r w:rsidRPr="00306A83">
        <w:rPr>
          <w:rFonts w:asciiTheme="majorBidi" w:eastAsia="Times New Roman" w:hAnsiTheme="majorBidi" w:cstheme="majorBidi"/>
          <w:vertAlign w:val="superscript"/>
        </w:rPr>
        <w:footnoteReference w:id="89"/>
      </w:r>
      <w:r w:rsidRPr="00306A83">
        <w:rPr>
          <w:rFonts w:asciiTheme="majorBidi" w:eastAsia="Times New Roman" w:hAnsiTheme="majorBidi" w:cstheme="majorBidi"/>
        </w:rPr>
        <w:t xml:space="preserve"> Cepen</w:t>
      </w:r>
      <w:r w:rsidRPr="00306A83">
        <w:rPr>
          <w:rFonts w:asciiTheme="majorBidi" w:eastAsia="Times New Roman" w:hAnsiTheme="majorBidi" w:cstheme="majorBidi"/>
        </w:rPr>
        <w:t>dant, très peu de ces inculpations ont abouti à des procès et des condamnations.</w:t>
      </w:r>
    </w:p>
    <w:p w14:paraId="33A00F7F"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Ainsi, les instructions de crimes graves n’ont visé majoritairement qu’une faction du conflit et ont été </w:t>
      </w:r>
      <w:proofErr w:type="spellStart"/>
      <w:r w:rsidRPr="00306A83">
        <w:rPr>
          <w:rFonts w:asciiTheme="majorBidi" w:eastAsia="Times New Roman" w:hAnsiTheme="majorBidi" w:cstheme="majorBidi"/>
        </w:rPr>
        <w:t>clôturées</w:t>
      </w:r>
      <w:proofErr w:type="spellEnd"/>
      <w:r w:rsidRPr="00306A83">
        <w:rPr>
          <w:rFonts w:asciiTheme="majorBidi" w:eastAsia="Times New Roman" w:hAnsiTheme="majorBidi" w:cstheme="majorBidi"/>
        </w:rPr>
        <w:t xml:space="preserve"> sans que cela ne donne lieu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la tenue de procès et à la c</w:t>
      </w:r>
      <w:r w:rsidRPr="00306A83">
        <w:rPr>
          <w:rFonts w:asciiTheme="majorBidi" w:eastAsia="Times New Roman" w:hAnsiTheme="majorBidi" w:cstheme="majorBidi"/>
        </w:rPr>
        <w:t xml:space="preserve">ondamnation de tous les auteurs des crimes de la crise postélectorale de 2010-2011, remettant fortement en question le </w:t>
      </w:r>
      <w:proofErr w:type="spellStart"/>
      <w:r w:rsidRPr="00306A83">
        <w:rPr>
          <w:rFonts w:asciiTheme="majorBidi" w:eastAsia="Times New Roman" w:hAnsiTheme="majorBidi" w:cstheme="majorBidi"/>
        </w:rPr>
        <w:t>rôle</w:t>
      </w:r>
      <w:proofErr w:type="spellEnd"/>
      <w:r w:rsidRPr="00306A83">
        <w:rPr>
          <w:rFonts w:asciiTheme="majorBidi" w:eastAsia="Times New Roman" w:hAnsiTheme="majorBidi" w:cstheme="majorBidi"/>
        </w:rPr>
        <w:t xml:space="preserve"> et l’</w:t>
      </w:r>
      <w:proofErr w:type="spellStart"/>
      <w:r w:rsidRPr="00306A83">
        <w:rPr>
          <w:rFonts w:asciiTheme="majorBidi" w:eastAsia="Times New Roman" w:hAnsiTheme="majorBidi" w:cstheme="majorBidi"/>
        </w:rPr>
        <w:t>efficacite</w:t>
      </w:r>
      <w:proofErr w:type="spellEnd"/>
      <w:r w:rsidRPr="00306A83">
        <w:rPr>
          <w:rFonts w:asciiTheme="majorBidi" w:eastAsia="Times New Roman" w:hAnsiTheme="majorBidi" w:cstheme="majorBidi"/>
        </w:rPr>
        <w:t xml:space="preserve">́ de la CSEI. De plus, des attaques et menaces ont eu lieu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l’encontre du personnel de justice, ceux-ci ne bénéfic</w:t>
      </w:r>
      <w:r w:rsidRPr="00306A83">
        <w:rPr>
          <w:rFonts w:asciiTheme="majorBidi" w:eastAsia="Times New Roman" w:hAnsiTheme="majorBidi" w:cstheme="majorBidi"/>
        </w:rPr>
        <w:t>iant pas de mesures de sécurité adéquates, ce qui a pu entraver son bon fonctionnement.</w:t>
      </w:r>
      <w:r w:rsidRPr="00306A83">
        <w:rPr>
          <w:rFonts w:asciiTheme="majorBidi" w:eastAsia="Times New Roman" w:hAnsiTheme="majorBidi" w:cstheme="majorBidi"/>
          <w:vertAlign w:val="superscript"/>
        </w:rPr>
        <w:footnoteReference w:id="90"/>
      </w:r>
      <w:r w:rsidRPr="00306A83">
        <w:rPr>
          <w:rFonts w:asciiTheme="majorBidi" w:eastAsia="Times New Roman" w:hAnsiTheme="majorBidi" w:cstheme="majorBidi"/>
        </w:rPr>
        <w:t xml:space="preserve"> En outre, la CSEI a, en 2016,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désignée</w:t>
      </w:r>
      <w:proofErr w:type="spellEnd"/>
      <w:r w:rsidRPr="00306A83">
        <w:rPr>
          <w:rFonts w:asciiTheme="majorBidi" w:eastAsia="Times New Roman" w:hAnsiTheme="majorBidi" w:cstheme="majorBidi"/>
        </w:rPr>
        <w:t xml:space="preserve"> comme organe </w:t>
      </w:r>
      <w:r w:rsidRPr="00306A83">
        <w:rPr>
          <w:rFonts w:asciiTheme="majorBidi" w:eastAsia="Times New Roman" w:hAnsiTheme="majorBidi" w:cstheme="majorBidi"/>
        </w:rPr>
        <w:lastRenderedPageBreak/>
        <w:t>principal d’</w:t>
      </w:r>
      <w:proofErr w:type="spellStart"/>
      <w:r w:rsidRPr="00306A83">
        <w:rPr>
          <w:rFonts w:asciiTheme="majorBidi" w:eastAsia="Times New Roman" w:hAnsiTheme="majorBidi" w:cstheme="majorBidi"/>
        </w:rPr>
        <w:t>enquête</w:t>
      </w:r>
      <w:proofErr w:type="spellEnd"/>
      <w:r w:rsidRPr="00306A83">
        <w:rPr>
          <w:rFonts w:asciiTheme="majorBidi" w:eastAsia="Times New Roman" w:hAnsiTheme="majorBidi" w:cstheme="majorBidi"/>
        </w:rPr>
        <w:t xml:space="preserve"> sur des questions de terrorisme, diluant son mandat sur les crimes de la crise post- </w:t>
      </w:r>
      <w:proofErr w:type="spellStart"/>
      <w:r w:rsidRPr="00306A83">
        <w:rPr>
          <w:rFonts w:asciiTheme="majorBidi" w:eastAsia="Times New Roman" w:hAnsiTheme="majorBidi" w:cstheme="majorBidi"/>
        </w:rPr>
        <w:t>électorale</w:t>
      </w:r>
      <w:proofErr w:type="spellEnd"/>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91"/>
      </w:r>
      <w:r w:rsidRPr="00306A83">
        <w:rPr>
          <w:rFonts w:asciiTheme="majorBidi" w:eastAsia="Times New Roman" w:hAnsiTheme="majorBidi" w:cstheme="majorBidi"/>
        </w:rPr>
        <w:t xml:space="preserve"> </w:t>
      </w:r>
    </w:p>
    <w:p w14:paraId="1E7F3B6D" w14:textId="77777777" w:rsidR="003B4185" w:rsidRPr="00306A83" w:rsidRDefault="006803DD">
      <w:pPr>
        <w:spacing w:before="240" w:after="240" w:line="259" w:lineRule="auto"/>
        <w:jc w:val="both"/>
        <w:rPr>
          <w:rFonts w:asciiTheme="majorBidi" w:eastAsia="Times New Roman" w:hAnsiTheme="majorBidi" w:cstheme="majorBidi"/>
          <w:highlight w:val="yellow"/>
        </w:rPr>
      </w:pPr>
      <w:r w:rsidRPr="00306A83">
        <w:rPr>
          <w:rFonts w:asciiTheme="majorBidi" w:eastAsia="Times New Roman" w:hAnsiTheme="majorBidi" w:cstheme="majorBidi"/>
        </w:rPr>
        <w:t xml:space="preserve">Enfin, il convient de relever que d’anciens militaires et chefs de guerre du conflit de 2010 ont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réintégrés</w:t>
      </w:r>
      <w:proofErr w:type="spellEnd"/>
      <w:r w:rsidRPr="00306A83">
        <w:rPr>
          <w:rFonts w:asciiTheme="majorBidi" w:eastAsia="Times New Roman" w:hAnsiTheme="majorBidi" w:cstheme="majorBidi"/>
        </w:rPr>
        <w:t xml:space="preserve"> à l’</w:t>
      </w:r>
      <w:proofErr w:type="spellStart"/>
      <w:r w:rsidRPr="00306A83">
        <w:rPr>
          <w:rFonts w:asciiTheme="majorBidi" w:eastAsia="Times New Roman" w:hAnsiTheme="majorBidi" w:cstheme="majorBidi"/>
        </w:rPr>
        <w:t>armée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régulière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après</w:t>
      </w:r>
      <w:proofErr w:type="spellEnd"/>
      <w:r w:rsidRPr="00306A83">
        <w:rPr>
          <w:rFonts w:asciiTheme="majorBidi" w:eastAsia="Times New Roman" w:hAnsiTheme="majorBidi" w:cstheme="majorBidi"/>
        </w:rPr>
        <w:t xml:space="preserve"> avoir </w:t>
      </w:r>
      <w:proofErr w:type="spellStart"/>
      <w:r w:rsidRPr="00306A83">
        <w:rPr>
          <w:rFonts w:asciiTheme="majorBidi" w:eastAsia="Times New Roman" w:hAnsiTheme="majorBidi" w:cstheme="majorBidi"/>
        </w:rPr>
        <w:t>reçu</w:t>
      </w:r>
      <w:proofErr w:type="spellEnd"/>
      <w:r w:rsidRPr="00306A83">
        <w:rPr>
          <w:rFonts w:asciiTheme="majorBidi" w:eastAsia="Times New Roman" w:hAnsiTheme="majorBidi" w:cstheme="majorBidi"/>
        </w:rPr>
        <w:t xml:space="preserve"> des primes du gouvernement.</w:t>
      </w:r>
      <w:r w:rsidRPr="00306A83">
        <w:rPr>
          <w:rFonts w:asciiTheme="majorBidi" w:eastAsia="Times New Roman" w:hAnsiTheme="majorBidi" w:cstheme="majorBidi"/>
          <w:vertAlign w:val="superscript"/>
        </w:rPr>
        <w:footnoteReference w:id="92"/>
      </w:r>
    </w:p>
    <w:p w14:paraId="12179898" w14:textId="5A0ADF8E" w:rsidR="003B4185" w:rsidRPr="00306A83" w:rsidRDefault="006803DD" w:rsidP="00FF3C17">
      <w:pPr>
        <w:pStyle w:val="Heading2"/>
        <w:numPr>
          <w:ilvl w:val="0"/>
          <w:numId w:val="40"/>
        </w:numPr>
      </w:pPr>
      <w:bookmarkStart w:id="39" w:name="_Toc168990378"/>
      <w:r w:rsidRPr="00306A83">
        <w:t>L’adoption d’une loi d’amnistie en 2018 comme ent</w:t>
      </w:r>
      <w:r w:rsidRPr="00306A83">
        <w:t>rave à la justice</w:t>
      </w:r>
      <w:bookmarkEnd w:id="39"/>
      <w:r w:rsidRPr="00306A83">
        <w:t xml:space="preserve"> </w:t>
      </w:r>
    </w:p>
    <w:p w14:paraId="2E45CA73"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i/>
          <w:color w:val="FF0000"/>
        </w:rPr>
      </w:pPr>
    </w:p>
    <w:p w14:paraId="46745F57"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Le 6 août 2018, le président Alassane Ouattara a pris une ordonnance portant amnistie au bénéfice des “</w:t>
      </w:r>
      <w:r w:rsidRPr="00306A83">
        <w:rPr>
          <w:rFonts w:asciiTheme="majorBidi" w:eastAsia="Times New Roman" w:hAnsiTheme="majorBidi" w:cstheme="majorBidi"/>
          <w:i/>
        </w:rPr>
        <w:t xml:space="preserve">personnes poursuivies ou condamnées pour des infractions en lien avec la crise post-électorale de 2010 ou des infractions </w:t>
      </w:r>
      <w:r w:rsidRPr="00306A83">
        <w:rPr>
          <w:rFonts w:asciiTheme="majorBidi" w:eastAsia="Times New Roman" w:hAnsiTheme="majorBidi" w:cstheme="majorBidi"/>
          <w:i/>
        </w:rPr>
        <w:t>contre la sûreté de l'Etat commises après le 21 mai 2011, à l'exclusion des personnes en procès devant une juridiction pénale internationale, ainsi que de militaires et de membres de groupes armés</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93"/>
      </w:r>
      <w:r w:rsidRPr="00306A83">
        <w:rPr>
          <w:rFonts w:asciiTheme="majorBidi" w:eastAsia="Times New Roman" w:hAnsiTheme="majorBidi" w:cstheme="majorBidi"/>
        </w:rPr>
        <w:t xml:space="preserve"> Cette ordonnance a </w:t>
      </w:r>
      <w:proofErr w:type="spellStart"/>
      <w:r w:rsidRPr="00306A83">
        <w:rPr>
          <w:rFonts w:asciiTheme="majorBidi" w:eastAsia="Times New Roman" w:hAnsiTheme="majorBidi" w:cstheme="majorBidi"/>
        </w:rPr>
        <w:t>donne</w:t>
      </w:r>
      <w:proofErr w:type="spellEnd"/>
      <w:r w:rsidRPr="00306A83">
        <w:rPr>
          <w:rFonts w:asciiTheme="majorBidi" w:eastAsia="Times New Roman" w:hAnsiTheme="majorBidi" w:cstheme="majorBidi"/>
        </w:rPr>
        <w:t xml:space="preserve">́ lieu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xml:space="preserve">̀ une loi de ratification le 27 </w:t>
      </w:r>
      <w:proofErr w:type="spellStart"/>
      <w:r w:rsidRPr="00306A83">
        <w:rPr>
          <w:rFonts w:asciiTheme="majorBidi" w:eastAsia="Times New Roman" w:hAnsiTheme="majorBidi" w:cstheme="majorBidi"/>
        </w:rPr>
        <w:t>décembre</w:t>
      </w:r>
      <w:proofErr w:type="spellEnd"/>
      <w:r w:rsidRPr="00306A83">
        <w:rPr>
          <w:rFonts w:asciiTheme="majorBidi" w:eastAsia="Times New Roman" w:hAnsiTheme="majorBidi" w:cstheme="majorBidi"/>
        </w:rPr>
        <w:t xml:space="preserve"> 2018, transformant cet acte </w:t>
      </w:r>
      <w:proofErr w:type="spellStart"/>
      <w:r w:rsidRPr="00306A83">
        <w:rPr>
          <w:rFonts w:asciiTheme="majorBidi" w:eastAsia="Times New Roman" w:hAnsiTheme="majorBidi" w:cstheme="majorBidi"/>
        </w:rPr>
        <w:t>présidentiel</w:t>
      </w:r>
      <w:proofErr w:type="spellEnd"/>
      <w:r w:rsidRPr="00306A83">
        <w:rPr>
          <w:rFonts w:asciiTheme="majorBidi" w:eastAsia="Times New Roman" w:hAnsiTheme="majorBidi" w:cstheme="majorBidi"/>
        </w:rPr>
        <w:t xml:space="preserve"> en loi.</w:t>
      </w:r>
    </w:p>
    <w:p w14:paraId="797A63F8"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675A195A"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Cette loi d’amnistie, qui en pratique, a bénéficié à 800 personnes,</w:t>
      </w:r>
      <w:r w:rsidRPr="00306A83">
        <w:rPr>
          <w:rFonts w:asciiTheme="majorBidi" w:eastAsia="Times New Roman" w:hAnsiTheme="majorBidi" w:cstheme="majorBidi"/>
          <w:vertAlign w:val="superscript"/>
        </w:rPr>
        <w:footnoteReference w:id="94"/>
      </w:r>
      <w:r w:rsidRPr="00306A83">
        <w:rPr>
          <w:rFonts w:asciiTheme="majorBidi" w:eastAsia="Times New Roman" w:hAnsiTheme="majorBidi" w:cstheme="majorBidi"/>
        </w:rPr>
        <w:t xml:space="preserve"> constitue un véritable obstacle à la poursuite et à la condamnation des auteurs des crimes de</w:t>
      </w:r>
      <w:r w:rsidRPr="00306A83">
        <w:rPr>
          <w:rFonts w:asciiTheme="majorBidi" w:eastAsia="Times New Roman" w:hAnsiTheme="majorBidi" w:cstheme="majorBidi"/>
        </w:rPr>
        <w:t xml:space="preserve"> la crise postélectorale de 2010-2011. En effet, comme cela avait été soulevé par le Comité des Nations-Unies pour l’élimination de la discrimination à l’égard des femmes en 2019, cette amnistie n’exclut pas les crimes internationaux, en violation des enga</w:t>
      </w:r>
      <w:r w:rsidRPr="00306A83">
        <w:rPr>
          <w:rFonts w:asciiTheme="majorBidi" w:eastAsia="Times New Roman" w:hAnsiTheme="majorBidi" w:cstheme="majorBidi"/>
        </w:rPr>
        <w:t>gements internationaux de la Côte d’Ivoire en matière de justice pénale.</w:t>
      </w:r>
      <w:r w:rsidRPr="00306A83">
        <w:rPr>
          <w:rFonts w:asciiTheme="majorBidi" w:eastAsia="Times New Roman" w:hAnsiTheme="majorBidi" w:cstheme="majorBidi"/>
          <w:vertAlign w:val="superscript"/>
        </w:rPr>
        <w:footnoteReference w:id="95"/>
      </w:r>
      <w:r w:rsidRPr="00306A83">
        <w:rPr>
          <w:rFonts w:asciiTheme="majorBidi" w:eastAsia="Times New Roman" w:hAnsiTheme="majorBidi" w:cstheme="majorBidi"/>
        </w:rPr>
        <w:t xml:space="preserve"> </w:t>
      </w:r>
    </w:p>
    <w:p w14:paraId="068B8012"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30BCD502" w14:textId="7777777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L’ordonnance d’amnistie précise en son article 2 que la liste des militaires et membres de groupes armés exclus du bénéfice de l'amnistie serait arrêtée par les ministres de la Dé</w:t>
      </w:r>
      <w:r w:rsidRPr="00306A83">
        <w:rPr>
          <w:rFonts w:asciiTheme="majorBidi" w:eastAsia="Times New Roman" w:hAnsiTheme="majorBidi" w:cstheme="majorBidi"/>
        </w:rPr>
        <w:t xml:space="preserve">fense, de la Justice, de l'Intérieur et de la Sécurité. Or, cette liste ne semble pas avoir été publiée, ce qui démontre le manque de </w:t>
      </w:r>
      <w:proofErr w:type="spellStart"/>
      <w:r w:rsidRPr="00306A83">
        <w:rPr>
          <w:rFonts w:asciiTheme="majorBidi" w:eastAsia="Times New Roman" w:hAnsiTheme="majorBidi" w:cstheme="majorBidi"/>
        </w:rPr>
        <w:t>volonte</w:t>
      </w:r>
      <w:proofErr w:type="spellEnd"/>
      <w:r w:rsidRPr="00306A83">
        <w:rPr>
          <w:rFonts w:asciiTheme="majorBidi" w:eastAsia="Times New Roman" w:hAnsiTheme="majorBidi" w:cstheme="majorBidi"/>
        </w:rPr>
        <w:t xml:space="preserve">́ politique des </w:t>
      </w:r>
      <w:proofErr w:type="spellStart"/>
      <w:r w:rsidRPr="00306A83">
        <w:rPr>
          <w:rFonts w:asciiTheme="majorBidi" w:eastAsia="Times New Roman" w:hAnsiTheme="majorBidi" w:cstheme="majorBidi"/>
        </w:rPr>
        <w:t>autorités</w:t>
      </w:r>
      <w:proofErr w:type="spellEnd"/>
      <w:r w:rsidRPr="00306A83">
        <w:rPr>
          <w:rFonts w:asciiTheme="majorBidi" w:eastAsia="Times New Roman" w:hAnsiTheme="majorBidi" w:cstheme="majorBidi"/>
        </w:rPr>
        <w:t xml:space="preserve"> à juger les crimes du passé.</w:t>
      </w:r>
      <w:r w:rsidRPr="00306A83">
        <w:rPr>
          <w:rFonts w:asciiTheme="majorBidi" w:eastAsia="Times New Roman" w:hAnsiTheme="majorBidi" w:cstheme="majorBidi"/>
          <w:vertAlign w:val="superscript"/>
        </w:rPr>
        <w:footnoteReference w:id="96"/>
      </w:r>
    </w:p>
    <w:p w14:paraId="5744767B"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788234D5"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highlight w:val="yellow"/>
        </w:rPr>
      </w:pPr>
      <w:r w:rsidRPr="00306A83">
        <w:rPr>
          <w:rFonts w:asciiTheme="majorBidi" w:eastAsia="Times New Roman" w:hAnsiTheme="majorBidi" w:cstheme="majorBidi"/>
        </w:rPr>
        <w:t xml:space="preserve">En 2019, plusieurs organisations de la société civile </w:t>
      </w:r>
      <w:r w:rsidRPr="00306A83">
        <w:rPr>
          <w:rFonts w:asciiTheme="majorBidi" w:eastAsia="Times New Roman" w:hAnsiTheme="majorBidi" w:cstheme="majorBidi"/>
        </w:rPr>
        <w:t>ont intenté un recours en excès de pouvoir afin de solliciter l’annulation de cette ordonnance présidentielle d’amnistie au motif qu’elle était contraire aux engagements internationaux de la République de Côte d’Ivoire. Les organisations arguaient égalemen</w:t>
      </w:r>
      <w:r w:rsidRPr="00306A83">
        <w:rPr>
          <w:rFonts w:asciiTheme="majorBidi" w:eastAsia="Times New Roman" w:hAnsiTheme="majorBidi" w:cstheme="majorBidi"/>
        </w:rPr>
        <w:t xml:space="preserve">t de l’incompétence du président pour prendre des ordonnances en matière de justice ou d’amnistie. Le 20 mars 2024, le Conseil d’Etat a finalement rejeté cette demande, estimant qu’il n’était pas compétent pour juger l’excès de </w:t>
      </w:r>
      <w:r w:rsidRPr="00306A83">
        <w:rPr>
          <w:rFonts w:asciiTheme="majorBidi" w:eastAsia="Times New Roman" w:hAnsiTheme="majorBidi" w:cstheme="majorBidi"/>
        </w:rPr>
        <w:lastRenderedPageBreak/>
        <w:t>pouvoir du président Ouattar</w:t>
      </w:r>
      <w:r w:rsidRPr="00306A83">
        <w:rPr>
          <w:rFonts w:asciiTheme="majorBidi" w:eastAsia="Times New Roman" w:hAnsiTheme="majorBidi" w:cstheme="majorBidi"/>
        </w:rPr>
        <w:t>a.</w:t>
      </w:r>
      <w:r w:rsidRPr="00306A83">
        <w:rPr>
          <w:rFonts w:asciiTheme="majorBidi" w:eastAsia="Times New Roman" w:hAnsiTheme="majorBidi" w:cstheme="majorBidi"/>
          <w:vertAlign w:val="superscript"/>
        </w:rPr>
        <w:footnoteReference w:id="97"/>
      </w:r>
      <w:r w:rsidRPr="00306A83">
        <w:rPr>
          <w:rFonts w:asciiTheme="majorBidi" w:eastAsia="Times New Roman" w:hAnsiTheme="majorBidi" w:cstheme="majorBidi"/>
        </w:rPr>
        <w:t xml:space="preserve"> Cette décision laisse subsister l’ordonnance qui consacre l’amnistie, constituant un déni de justice pour les victimes de la crise post-électorale. </w:t>
      </w:r>
    </w:p>
    <w:p w14:paraId="3631BBA7"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Il convient par ailleurs de noter que les efforts pour lutter contre l’impunité au niveau internationa</w:t>
      </w:r>
      <w:r w:rsidRPr="00306A83">
        <w:rPr>
          <w:rFonts w:asciiTheme="majorBidi" w:eastAsia="Times New Roman" w:hAnsiTheme="majorBidi" w:cstheme="majorBidi"/>
        </w:rPr>
        <w:t xml:space="preserve">l ont également échoué. Le procès de Laurent Gbagbo et de Charles Blé </w:t>
      </w:r>
      <w:proofErr w:type="spellStart"/>
      <w:r w:rsidRPr="00306A83">
        <w:rPr>
          <w:rFonts w:asciiTheme="majorBidi" w:eastAsia="Times New Roman" w:hAnsiTheme="majorBidi" w:cstheme="majorBidi"/>
        </w:rPr>
        <w:t>Goudé</w:t>
      </w:r>
      <w:proofErr w:type="spellEnd"/>
      <w:r w:rsidRPr="00306A83">
        <w:rPr>
          <w:rFonts w:asciiTheme="majorBidi" w:eastAsia="Times New Roman" w:hAnsiTheme="majorBidi" w:cstheme="majorBidi"/>
        </w:rPr>
        <w:t xml:space="preserve">, accusés de crimes contre l’Humanité de meurtre, viol, autres actes inhumains et </w:t>
      </w:r>
      <w:proofErr w:type="spellStart"/>
      <w:r w:rsidRPr="00306A83">
        <w:rPr>
          <w:rFonts w:asciiTheme="majorBidi" w:eastAsia="Times New Roman" w:hAnsiTheme="majorBidi" w:cstheme="majorBidi"/>
        </w:rPr>
        <w:t>persécution</w:t>
      </w:r>
      <w:proofErr w:type="spellEnd"/>
      <w:r w:rsidRPr="00306A83">
        <w:rPr>
          <w:rFonts w:asciiTheme="majorBidi" w:eastAsia="Times New Roman" w:hAnsiTheme="majorBidi" w:cstheme="majorBidi"/>
        </w:rPr>
        <w:t xml:space="preserve"> devant la Cour Pénale Internationale s’est soldé par leur acquittement le 31 mars 2021</w:t>
      </w:r>
      <w:r w:rsidRPr="00306A83">
        <w:rPr>
          <w:rFonts w:asciiTheme="majorBidi" w:eastAsia="Times New Roman" w:hAnsiTheme="majorBidi" w:cstheme="majorBidi"/>
        </w:rPr>
        <w:t>, en raison de l’insuffisance des preuves pour démontrer la responsabilité des accusés, laissant les 727 victimes identifiées ayant participé au procès sans aucune réparation.</w:t>
      </w:r>
      <w:r w:rsidRPr="00306A83">
        <w:rPr>
          <w:rFonts w:asciiTheme="majorBidi" w:eastAsia="Times New Roman" w:hAnsiTheme="majorBidi" w:cstheme="majorBidi"/>
          <w:vertAlign w:val="superscript"/>
        </w:rPr>
        <w:footnoteReference w:id="98"/>
      </w:r>
    </w:p>
    <w:p w14:paraId="2CF8BB47" w14:textId="77777777" w:rsidR="003B4185" w:rsidRPr="00306A83" w:rsidRDefault="006803DD">
      <w:pPr>
        <w:spacing w:before="240" w:after="240" w:line="259" w:lineRule="auto"/>
        <w:jc w:val="both"/>
        <w:rPr>
          <w:rFonts w:asciiTheme="majorBidi" w:eastAsia="Times New Roman" w:hAnsiTheme="majorBidi" w:cstheme="majorBidi"/>
          <w:i/>
          <w:color w:val="FF0000"/>
        </w:rPr>
      </w:pPr>
      <w:r w:rsidRPr="00306A83">
        <w:rPr>
          <w:rFonts w:asciiTheme="majorBidi" w:eastAsia="Times New Roman" w:hAnsiTheme="majorBidi" w:cstheme="majorBidi"/>
        </w:rPr>
        <w:t xml:space="preserve">Enfin, il convient de souligner qu’en 2020, la </w:t>
      </w:r>
      <w:proofErr w:type="spellStart"/>
      <w:r w:rsidRPr="00306A83">
        <w:rPr>
          <w:rFonts w:asciiTheme="majorBidi" w:eastAsia="Times New Roman" w:hAnsiTheme="majorBidi" w:cstheme="majorBidi"/>
        </w:rPr>
        <w:t>Côte</w:t>
      </w:r>
      <w:proofErr w:type="spellEnd"/>
      <w:r w:rsidRPr="00306A83">
        <w:rPr>
          <w:rFonts w:asciiTheme="majorBidi" w:eastAsia="Times New Roman" w:hAnsiTheme="majorBidi" w:cstheme="majorBidi"/>
        </w:rPr>
        <w:t xml:space="preserve"> d’Ivoire a retiré sa décl</w:t>
      </w:r>
      <w:r w:rsidRPr="00306A83">
        <w:rPr>
          <w:rFonts w:asciiTheme="majorBidi" w:eastAsia="Times New Roman" w:hAnsiTheme="majorBidi" w:cstheme="majorBidi"/>
        </w:rPr>
        <w:t xml:space="preserve">aration de reconnaissance de </w:t>
      </w:r>
      <w:proofErr w:type="spellStart"/>
      <w:r w:rsidRPr="00306A83">
        <w:rPr>
          <w:rFonts w:asciiTheme="majorBidi" w:eastAsia="Times New Roman" w:hAnsiTheme="majorBidi" w:cstheme="majorBidi"/>
        </w:rPr>
        <w:t>compétence</w:t>
      </w:r>
      <w:proofErr w:type="spellEnd"/>
      <w:r w:rsidRPr="00306A83">
        <w:rPr>
          <w:rFonts w:asciiTheme="majorBidi" w:eastAsia="Times New Roman" w:hAnsiTheme="majorBidi" w:cstheme="majorBidi"/>
        </w:rPr>
        <w:t xml:space="preserve"> de la Cour africaine des Droits de l’Homme et des Peuples pour recevoir des plaintes individuelles. Ce retrait prive les victimes de violations des droits humains d’une voie de recours au niveau international. </w:t>
      </w:r>
    </w:p>
    <w:tbl>
      <w:tblPr>
        <w:tblStyle w:val="a6"/>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6898F79D" w14:textId="77777777">
        <w:tc>
          <w:tcPr>
            <w:tcW w:w="9066" w:type="dxa"/>
            <w:shd w:val="clear" w:color="auto" w:fill="auto"/>
            <w:tcMar>
              <w:top w:w="100" w:type="dxa"/>
              <w:left w:w="100" w:type="dxa"/>
              <w:bottom w:w="100" w:type="dxa"/>
              <w:right w:w="100" w:type="dxa"/>
            </w:tcMar>
          </w:tcPr>
          <w:p w14:paraId="5D3562D1" w14:textId="621F64AC"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Reco</w:t>
            </w:r>
            <w:r w:rsidRPr="00306A83">
              <w:rPr>
                <w:rFonts w:asciiTheme="majorBidi" w:eastAsia="Times New Roman" w:hAnsiTheme="majorBidi" w:cstheme="majorBidi"/>
                <w:b/>
              </w:rPr>
              <w:t xml:space="preserve">mmandations </w:t>
            </w:r>
            <w:r w:rsidRPr="00306A83">
              <w:rPr>
                <w:rFonts w:asciiTheme="majorBidi" w:eastAsia="Times New Roman" w:hAnsiTheme="majorBidi" w:cstheme="majorBidi"/>
              </w:rPr>
              <w:t>:</w:t>
            </w:r>
            <w:r w:rsidRPr="00306A83">
              <w:rPr>
                <w:rFonts w:asciiTheme="majorBidi" w:eastAsia="Times New Roman" w:hAnsiTheme="majorBidi" w:cstheme="majorBidi"/>
              </w:rPr>
              <w:tab/>
            </w:r>
            <w:r w:rsidRPr="00306A83">
              <w:rPr>
                <w:rFonts w:asciiTheme="majorBidi" w:eastAsia="Times New Roman" w:hAnsiTheme="majorBidi" w:cstheme="majorBidi"/>
              </w:rPr>
              <w:tab/>
            </w:r>
            <w:r w:rsidRPr="00306A83">
              <w:rPr>
                <w:rFonts w:asciiTheme="majorBidi" w:eastAsia="Times New Roman" w:hAnsiTheme="majorBidi" w:cstheme="majorBidi"/>
              </w:rPr>
              <w:tab/>
            </w:r>
            <w:r w:rsidRPr="00306A83">
              <w:rPr>
                <w:rFonts w:asciiTheme="majorBidi" w:eastAsia="Times New Roman" w:hAnsiTheme="majorBidi" w:cstheme="majorBidi"/>
              </w:rPr>
              <w:tab/>
            </w:r>
          </w:p>
          <w:p w14:paraId="641CC577" w14:textId="77777777" w:rsidR="003B4185" w:rsidRPr="00306A83" w:rsidRDefault="006803DD">
            <w:pPr>
              <w:numPr>
                <w:ilvl w:val="0"/>
                <w:numId w:val="20"/>
              </w:numPr>
              <w:spacing w:before="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Abroger la loi du 27 </w:t>
            </w:r>
            <w:proofErr w:type="spellStart"/>
            <w:r w:rsidRPr="00306A83">
              <w:rPr>
                <w:rFonts w:asciiTheme="majorBidi" w:eastAsia="Times New Roman" w:hAnsiTheme="majorBidi" w:cstheme="majorBidi"/>
              </w:rPr>
              <w:t>décembre</w:t>
            </w:r>
            <w:proofErr w:type="spellEnd"/>
            <w:r w:rsidRPr="00306A83">
              <w:rPr>
                <w:rFonts w:asciiTheme="majorBidi" w:eastAsia="Times New Roman" w:hAnsiTheme="majorBidi" w:cstheme="majorBidi"/>
              </w:rPr>
              <w:t xml:space="preserve"> 2018 qui ratifie l’ordonnance d’amnistie du 6 </w:t>
            </w:r>
            <w:proofErr w:type="spellStart"/>
            <w:r w:rsidRPr="00306A83">
              <w:rPr>
                <w:rFonts w:asciiTheme="majorBidi" w:eastAsia="Times New Roman" w:hAnsiTheme="majorBidi" w:cstheme="majorBidi"/>
              </w:rPr>
              <w:t>août</w:t>
            </w:r>
            <w:proofErr w:type="spellEnd"/>
            <w:r w:rsidRPr="00306A83">
              <w:rPr>
                <w:rFonts w:asciiTheme="majorBidi" w:eastAsia="Times New Roman" w:hAnsiTheme="majorBidi" w:cstheme="majorBidi"/>
              </w:rPr>
              <w:t xml:space="preserve"> 2018. </w:t>
            </w:r>
          </w:p>
          <w:p w14:paraId="3ED04265" w14:textId="77777777" w:rsidR="003B4185" w:rsidRPr="00306A83" w:rsidRDefault="006803DD">
            <w:pPr>
              <w:numPr>
                <w:ilvl w:val="0"/>
                <w:numId w:val="20"/>
              </w:num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 xml:space="preserve">Poursuivre les enquêtes et les procédures judiciaires relatives aux allégations de crimes de guerre, de crimes contre l’humanité ou de </w:t>
            </w:r>
            <w:r w:rsidRPr="00306A83">
              <w:rPr>
                <w:rFonts w:asciiTheme="majorBidi" w:eastAsia="Times New Roman" w:hAnsiTheme="majorBidi" w:cstheme="majorBidi"/>
              </w:rPr>
              <w:t>violations flagrantes des droits de l’homme commises durant les crises ivoiriennes, et veiller à ce que les personnes accusées de tels crimes ne soient pas libérées sur la base de l’ordonnance d’amnistie du 6 août 2018.</w:t>
            </w:r>
          </w:p>
          <w:p w14:paraId="568FE033" w14:textId="5C847F95" w:rsidR="003B4185" w:rsidRPr="00306A83" w:rsidRDefault="006803DD">
            <w:pPr>
              <w:numPr>
                <w:ilvl w:val="0"/>
                <w:numId w:val="20"/>
              </w:numPr>
              <w:spacing w:line="276" w:lineRule="auto"/>
              <w:jc w:val="both"/>
              <w:rPr>
                <w:rFonts w:asciiTheme="majorBidi" w:eastAsia="Times New Roman" w:hAnsiTheme="majorBidi" w:cstheme="majorBidi"/>
              </w:rPr>
            </w:pPr>
            <w:r w:rsidRPr="00306A83">
              <w:rPr>
                <w:rFonts w:asciiTheme="majorBidi" w:eastAsia="Times New Roman" w:hAnsiTheme="majorBidi" w:cstheme="majorBidi"/>
              </w:rPr>
              <w:t>Suspendre de leurs fonctions les per</w:t>
            </w:r>
            <w:r w:rsidRPr="00306A83">
              <w:rPr>
                <w:rFonts w:asciiTheme="majorBidi" w:eastAsia="Times New Roman" w:hAnsiTheme="majorBidi" w:cstheme="majorBidi"/>
              </w:rPr>
              <w:t>sonnes soupçonnées d’implications dans les crimes internationaux.</w:t>
            </w:r>
          </w:p>
        </w:tc>
      </w:tr>
    </w:tbl>
    <w:p w14:paraId="4F60423D" w14:textId="77777777" w:rsidR="003B4185" w:rsidRPr="00306A83" w:rsidRDefault="003B4185">
      <w:pPr>
        <w:pBdr>
          <w:top w:val="nil"/>
          <w:left w:val="nil"/>
          <w:bottom w:val="nil"/>
          <w:right w:val="nil"/>
          <w:between w:val="nil"/>
        </w:pBdr>
        <w:spacing w:after="160" w:line="259" w:lineRule="auto"/>
        <w:jc w:val="both"/>
        <w:rPr>
          <w:rFonts w:asciiTheme="majorBidi" w:eastAsia="Times New Roman" w:hAnsiTheme="majorBidi" w:cstheme="majorBidi"/>
          <w:highlight w:val="yellow"/>
        </w:rPr>
      </w:pPr>
    </w:p>
    <w:p w14:paraId="55D297C4" w14:textId="39CBECFD" w:rsidR="003B4185" w:rsidRPr="0017525C" w:rsidRDefault="006803DD" w:rsidP="0017525C">
      <w:pPr>
        <w:pStyle w:val="Heading2"/>
        <w:numPr>
          <w:ilvl w:val="0"/>
          <w:numId w:val="40"/>
        </w:numPr>
      </w:pPr>
      <w:bookmarkStart w:id="40" w:name="_Toc168990379"/>
      <w:r w:rsidRPr="00306A83">
        <w:t>L’accès à la justice et l’indépendance des juges</w:t>
      </w:r>
      <w:bookmarkEnd w:id="40"/>
    </w:p>
    <w:p w14:paraId="0B152ECC" w14:textId="77777777" w:rsidR="003B4185" w:rsidRPr="00306A83" w:rsidRDefault="006803DD" w:rsidP="00FF3C17">
      <w:pPr>
        <w:pStyle w:val="Heading3"/>
      </w:pPr>
      <w:bookmarkStart w:id="41" w:name="_Toc168990380"/>
      <w:r w:rsidRPr="00306A83">
        <w:t>A- Le difficile accès à la justice</w:t>
      </w:r>
      <w:bookmarkEnd w:id="41"/>
      <w:r w:rsidRPr="00306A83">
        <w:t xml:space="preserve"> </w:t>
      </w:r>
    </w:p>
    <w:p w14:paraId="46B0ED80" w14:textId="325FFF6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 xml:space="preserve">La Constitution ivoirienne de 2016, en son article 6, dispose que : “le droit de toute personne a un libre et </w:t>
      </w:r>
      <w:proofErr w:type="spellStart"/>
      <w:r w:rsidRPr="00306A83">
        <w:rPr>
          <w:rFonts w:asciiTheme="majorBidi" w:eastAsia="Times New Roman" w:hAnsiTheme="majorBidi" w:cstheme="majorBidi"/>
        </w:rPr>
        <w:t>égal</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accès</w:t>
      </w:r>
      <w:proofErr w:type="spellEnd"/>
      <w:r w:rsidRPr="00306A83">
        <w:rPr>
          <w:rFonts w:asciiTheme="majorBidi" w:eastAsia="Times New Roman" w:hAnsiTheme="majorBidi" w:cstheme="majorBidi"/>
        </w:rPr>
        <w:t xml:space="preserve"> à la Justice est protégé et garanti. Toute personne a droit à un procès équitable et à un jugement rendu dans un délai raisonnable d</w:t>
      </w:r>
      <w:r w:rsidRPr="00306A83">
        <w:rPr>
          <w:rFonts w:asciiTheme="majorBidi" w:eastAsia="Times New Roman" w:hAnsiTheme="majorBidi" w:cstheme="majorBidi"/>
        </w:rPr>
        <w:t>éterminé par la loi. L’</w:t>
      </w:r>
      <w:r w:rsidR="0017525C" w:rsidRPr="00306A83">
        <w:rPr>
          <w:rFonts w:asciiTheme="majorBidi" w:eastAsia="Times New Roman" w:hAnsiTheme="majorBidi" w:cstheme="majorBidi"/>
        </w:rPr>
        <w:t>État</w:t>
      </w:r>
      <w:r w:rsidRPr="00306A83">
        <w:rPr>
          <w:rFonts w:asciiTheme="majorBidi" w:eastAsia="Times New Roman" w:hAnsiTheme="majorBidi" w:cstheme="majorBidi"/>
        </w:rPr>
        <w:t xml:space="preserve"> favorise le développement d’une justice de proximité”. Pourtant l’accès à la justice dans les faits reste jalonné de nombreux obstacles en pratique. En novembre 2023, le bâtonnier de l’ordre des avocats de Côte d'ivoire estimait</w:t>
      </w:r>
      <w:r w:rsidRPr="00306A83">
        <w:rPr>
          <w:rFonts w:asciiTheme="majorBidi" w:eastAsia="Times New Roman" w:hAnsiTheme="majorBidi" w:cstheme="majorBidi"/>
        </w:rPr>
        <w:t xml:space="preserve"> que la justice ivoirienne est marquée par</w:t>
      </w:r>
      <w:r w:rsidR="0017525C">
        <w:rPr>
          <w:rFonts w:asciiTheme="majorBidi" w:eastAsia="Times New Roman" w:hAnsiTheme="majorBidi" w:cstheme="majorBidi"/>
        </w:rPr>
        <w:t xml:space="preserve"> </w:t>
      </w:r>
      <w:r w:rsidRPr="00306A83">
        <w:rPr>
          <w:rFonts w:asciiTheme="majorBidi" w:eastAsia="Times New Roman" w:hAnsiTheme="majorBidi" w:cstheme="majorBidi"/>
        </w:rPr>
        <w:t xml:space="preserve">: </w:t>
      </w:r>
    </w:p>
    <w:p w14:paraId="0C94137B" w14:textId="77777777" w:rsidR="003B4185" w:rsidRPr="00306A83" w:rsidRDefault="006803DD">
      <w:pPr>
        <w:numPr>
          <w:ilvl w:val="0"/>
          <w:numId w:val="8"/>
        </w:numPr>
        <w:ind w:left="1240"/>
        <w:rPr>
          <w:rFonts w:asciiTheme="majorBidi" w:hAnsiTheme="majorBidi" w:cstheme="majorBidi"/>
          <w:color w:val="000000"/>
        </w:rPr>
      </w:pPr>
      <w:r w:rsidRPr="00306A83">
        <w:rPr>
          <w:rFonts w:asciiTheme="majorBidi" w:eastAsia="Times New Roman" w:hAnsiTheme="majorBidi" w:cstheme="majorBidi"/>
        </w:rPr>
        <w:t>“la lenteur dans la délivrance des décisions de justice,</w:t>
      </w:r>
    </w:p>
    <w:p w14:paraId="27BC1034" w14:textId="77777777" w:rsidR="003B4185" w:rsidRPr="00306A83" w:rsidRDefault="006803DD">
      <w:pPr>
        <w:numPr>
          <w:ilvl w:val="0"/>
          <w:numId w:val="8"/>
        </w:numPr>
        <w:ind w:left="1240"/>
        <w:rPr>
          <w:rFonts w:asciiTheme="majorBidi" w:hAnsiTheme="majorBidi" w:cstheme="majorBidi"/>
          <w:color w:val="000000"/>
        </w:rPr>
      </w:pPr>
      <w:proofErr w:type="gramStart"/>
      <w:r w:rsidRPr="00306A83">
        <w:rPr>
          <w:rFonts w:asciiTheme="majorBidi" w:eastAsia="Times New Roman" w:hAnsiTheme="majorBidi" w:cstheme="majorBidi"/>
        </w:rPr>
        <w:t>l’archivage</w:t>
      </w:r>
      <w:proofErr w:type="gramEnd"/>
      <w:r w:rsidRPr="00306A83">
        <w:rPr>
          <w:rFonts w:asciiTheme="majorBidi" w:eastAsia="Times New Roman" w:hAnsiTheme="majorBidi" w:cstheme="majorBidi"/>
        </w:rPr>
        <w:t xml:space="preserve"> inadapté des décisions de justice,</w:t>
      </w:r>
    </w:p>
    <w:p w14:paraId="74C66F68" w14:textId="77777777" w:rsidR="003B4185" w:rsidRPr="00306A83" w:rsidRDefault="006803DD">
      <w:pPr>
        <w:numPr>
          <w:ilvl w:val="0"/>
          <w:numId w:val="8"/>
        </w:numPr>
        <w:ind w:left="1240"/>
        <w:rPr>
          <w:rFonts w:asciiTheme="majorBidi" w:hAnsiTheme="majorBidi" w:cstheme="majorBidi"/>
          <w:color w:val="000000"/>
        </w:rPr>
      </w:pPr>
      <w:proofErr w:type="gramStart"/>
      <w:r w:rsidRPr="00306A83">
        <w:rPr>
          <w:rFonts w:asciiTheme="majorBidi" w:eastAsia="Times New Roman" w:hAnsiTheme="majorBidi" w:cstheme="majorBidi"/>
        </w:rPr>
        <w:lastRenderedPageBreak/>
        <w:t>l’absence</w:t>
      </w:r>
      <w:proofErr w:type="gramEnd"/>
      <w:r w:rsidRPr="00306A83">
        <w:rPr>
          <w:rFonts w:asciiTheme="majorBidi" w:eastAsia="Times New Roman" w:hAnsiTheme="majorBidi" w:cstheme="majorBidi"/>
        </w:rPr>
        <w:t xml:space="preserve"> de publication des statistiques des recours contre les décisions de justice,</w:t>
      </w:r>
    </w:p>
    <w:p w14:paraId="7BACE4C9" w14:textId="77777777" w:rsidR="003B4185" w:rsidRPr="00306A83" w:rsidRDefault="006803DD">
      <w:pPr>
        <w:numPr>
          <w:ilvl w:val="0"/>
          <w:numId w:val="8"/>
        </w:numPr>
        <w:ind w:left="1240"/>
        <w:rPr>
          <w:rFonts w:asciiTheme="majorBidi" w:hAnsiTheme="majorBidi" w:cstheme="majorBidi"/>
          <w:color w:val="000000"/>
        </w:rPr>
      </w:pPr>
      <w:proofErr w:type="gramStart"/>
      <w:r w:rsidRPr="00306A83">
        <w:rPr>
          <w:rFonts w:asciiTheme="majorBidi" w:eastAsia="Times New Roman" w:hAnsiTheme="majorBidi" w:cstheme="majorBidi"/>
        </w:rPr>
        <w:t>la</w:t>
      </w:r>
      <w:proofErr w:type="gramEnd"/>
      <w:r w:rsidRPr="00306A83">
        <w:rPr>
          <w:rFonts w:asciiTheme="majorBidi" w:eastAsia="Times New Roman" w:hAnsiTheme="majorBidi" w:cstheme="majorBidi"/>
        </w:rPr>
        <w:t xml:space="preserve"> qualité des décisions rendues,</w:t>
      </w:r>
    </w:p>
    <w:p w14:paraId="32D1E489" w14:textId="77777777" w:rsidR="003B4185" w:rsidRPr="00306A83" w:rsidRDefault="006803DD">
      <w:pPr>
        <w:numPr>
          <w:ilvl w:val="0"/>
          <w:numId w:val="8"/>
        </w:numPr>
        <w:spacing w:after="300"/>
        <w:ind w:left="1240"/>
        <w:rPr>
          <w:rFonts w:asciiTheme="majorBidi" w:hAnsiTheme="majorBidi" w:cstheme="majorBidi"/>
          <w:color w:val="000000"/>
        </w:rPr>
      </w:pPr>
      <w:proofErr w:type="gramStart"/>
      <w:r w:rsidRPr="00306A83">
        <w:rPr>
          <w:rFonts w:asciiTheme="majorBidi" w:eastAsia="Times New Roman" w:hAnsiTheme="majorBidi" w:cstheme="majorBidi"/>
        </w:rPr>
        <w:t>les</w:t>
      </w:r>
      <w:proofErr w:type="gramEnd"/>
      <w:r w:rsidRPr="00306A83">
        <w:rPr>
          <w:rFonts w:asciiTheme="majorBidi" w:eastAsia="Times New Roman" w:hAnsiTheme="majorBidi" w:cstheme="majorBidi"/>
        </w:rPr>
        <w:t xml:space="preserve"> procédures de référé fugaces, souvenir de l’urgence”</w:t>
      </w:r>
      <w:r w:rsidRPr="00306A83">
        <w:rPr>
          <w:rFonts w:asciiTheme="majorBidi" w:eastAsia="Times New Roman" w:hAnsiTheme="majorBidi" w:cstheme="majorBidi"/>
          <w:vertAlign w:val="superscript"/>
        </w:rPr>
        <w:footnoteReference w:id="99"/>
      </w:r>
    </w:p>
    <w:p w14:paraId="39393CCD" w14:textId="77777777" w:rsidR="003B4185" w:rsidRPr="00306A83" w:rsidRDefault="006803DD" w:rsidP="00FF3C17">
      <w:pPr>
        <w:pStyle w:val="Heading4"/>
        <w:ind w:firstLine="720"/>
      </w:pPr>
      <w:r w:rsidRPr="00306A83">
        <w:t>i) Un accès encore coûteux</w:t>
      </w:r>
    </w:p>
    <w:p w14:paraId="63DE66ED" w14:textId="77777777" w:rsidR="003B4185" w:rsidRPr="00306A83" w:rsidRDefault="006803DD">
      <w:pPr>
        <w:spacing w:before="240"/>
        <w:jc w:val="both"/>
        <w:rPr>
          <w:rFonts w:asciiTheme="majorBidi" w:eastAsia="Times New Roman" w:hAnsiTheme="majorBidi" w:cstheme="majorBidi"/>
        </w:rPr>
      </w:pPr>
      <w:r w:rsidRPr="00306A83">
        <w:rPr>
          <w:rFonts w:asciiTheme="majorBidi" w:eastAsia="Times New Roman" w:hAnsiTheme="majorBidi" w:cstheme="majorBidi"/>
        </w:rPr>
        <w:t xml:space="preserve">     Quand une personne fait face à la justice, elle doit </w:t>
      </w:r>
      <w:r w:rsidRPr="00306A83">
        <w:rPr>
          <w:rFonts w:asciiTheme="majorBidi" w:eastAsia="Times New Roman" w:hAnsiTheme="majorBidi" w:cstheme="majorBidi"/>
        </w:rPr>
        <w:t>payer les frais d’établissement des règles de procédure comme le prévoit le décret N° 75-315 du 4 juin 1976 portant fixation du tarif des frais de justice criminelle, correctionnelle et de simple police modifié par décret  N° 95-407 du 02 mai 1995, l’artic</w:t>
      </w:r>
      <w:r w:rsidRPr="00306A83">
        <w:rPr>
          <w:rFonts w:asciiTheme="majorBidi" w:eastAsia="Times New Roman" w:hAnsiTheme="majorBidi" w:cstheme="majorBidi"/>
        </w:rPr>
        <w:t>le 852 du code procédure pénale qui prévoit les frais de justice  et le Décret N° 2013-279 du 24 avril 2013 portant tarification des émoluments et frais de justice en matière civile, commerciale, administrative et sociale. De plus, pour défendre efficaceme</w:t>
      </w:r>
      <w:r w:rsidRPr="00306A83">
        <w:rPr>
          <w:rFonts w:asciiTheme="majorBidi" w:eastAsia="Times New Roman" w:hAnsiTheme="majorBidi" w:cstheme="majorBidi"/>
        </w:rPr>
        <w:t xml:space="preserve">nt ses droits devant une juridiction, il faut s’attacher les prestations d’un </w:t>
      </w:r>
      <w:proofErr w:type="gramStart"/>
      <w:r w:rsidRPr="00306A83">
        <w:rPr>
          <w:rFonts w:asciiTheme="majorBidi" w:eastAsia="Times New Roman" w:hAnsiTheme="majorBidi" w:cstheme="majorBidi"/>
        </w:rPr>
        <w:t>Avocat</w:t>
      </w:r>
      <w:proofErr w:type="gramEnd"/>
      <w:r w:rsidRPr="00306A83">
        <w:rPr>
          <w:rFonts w:asciiTheme="majorBidi" w:eastAsia="Times New Roman" w:hAnsiTheme="majorBidi" w:cstheme="majorBidi"/>
        </w:rPr>
        <w:t>. En outre il faut produire un certificat médical pour les cas de viol et autre atteinte à l’intégrité physique qui coûte 50 000 CFA. Ceci n’est pas à la portée de tous les</w:t>
      </w:r>
      <w:r w:rsidRPr="00306A83">
        <w:rPr>
          <w:rFonts w:asciiTheme="majorBidi" w:eastAsia="Times New Roman" w:hAnsiTheme="majorBidi" w:cstheme="majorBidi"/>
        </w:rPr>
        <w:t xml:space="preserve"> citoyens. En outre, l’annexe fiscale de la loi de finance N° 2023-1000 du 18 décembre 2023 portant budget de l’État pour l’année 2024 fixe de nouveaux coûts de procédure :</w:t>
      </w:r>
    </w:p>
    <w:p w14:paraId="661F85DC" w14:textId="77777777" w:rsidR="003B4185" w:rsidRPr="00306A83" w:rsidRDefault="006803DD">
      <w:pPr>
        <w:spacing w:before="240"/>
        <w:ind w:left="360"/>
        <w:jc w:val="both"/>
        <w:rPr>
          <w:rFonts w:asciiTheme="majorBidi" w:eastAsia="Times New Roman" w:hAnsiTheme="majorBidi" w:cstheme="majorBidi"/>
        </w:rPr>
      </w:pPr>
      <w:r w:rsidRPr="00306A83">
        <w:rPr>
          <w:rFonts w:asciiTheme="majorBidi" w:eastAsia="Times New Roman" w:hAnsiTheme="majorBidi" w:cstheme="majorBidi"/>
        </w:rPr>
        <w:t>-          Les procédures de fond et de référés : 50 000 FCFA</w:t>
      </w:r>
    </w:p>
    <w:p w14:paraId="625F3B1C" w14:textId="77777777" w:rsidR="003B4185" w:rsidRPr="00306A83" w:rsidRDefault="006803DD">
      <w:pPr>
        <w:spacing w:before="240"/>
        <w:ind w:left="360"/>
        <w:jc w:val="both"/>
        <w:rPr>
          <w:rFonts w:asciiTheme="majorBidi" w:eastAsia="Times New Roman" w:hAnsiTheme="majorBidi" w:cstheme="majorBidi"/>
        </w:rPr>
      </w:pPr>
      <w:r w:rsidRPr="00306A83">
        <w:rPr>
          <w:rFonts w:asciiTheme="majorBidi" w:eastAsia="Times New Roman" w:hAnsiTheme="majorBidi" w:cstheme="majorBidi"/>
        </w:rPr>
        <w:t xml:space="preserve">-          La tierce </w:t>
      </w:r>
      <w:r w:rsidRPr="00306A83">
        <w:rPr>
          <w:rFonts w:asciiTheme="majorBidi" w:eastAsia="Times New Roman" w:hAnsiTheme="majorBidi" w:cstheme="majorBidi"/>
        </w:rPr>
        <w:t>opposition : 55 000 FCFA</w:t>
      </w:r>
    </w:p>
    <w:p w14:paraId="7A6B9A7A" w14:textId="77777777" w:rsidR="003B4185" w:rsidRPr="00306A83" w:rsidRDefault="006803DD">
      <w:pPr>
        <w:spacing w:before="240"/>
        <w:ind w:left="360"/>
        <w:jc w:val="both"/>
        <w:rPr>
          <w:rFonts w:asciiTheme="majorBidi" w:eastAsia="Times New Roman" w:hAnsiTheme="majorBidi" w:cstheme="majorBidi"/>
        </w:rPr>
      </w:pPr>
      <w:r w:rsidRPr="00306A83">
        <w:rPr>
          <w:rFonts w:asciiTheme="majorBidi" w:eastAsia="Times New Roman" w:hAnsiTheme="majorBidi" w:cstheme="majorBidi"/>
        </w:rPr>
        <w:t>-          La procédure en révision : 100 000 FCFA</w:t>
      </w:r>
    </w:p>
    <w:p w14:paraId="0D123D73" w14:textId="77777777" w:rsidR="003B4185" w:rsidRPr="00306A83" w:rsidRDefault="006803DD">
      <w:pPr>
        <w:spacing w:before="240"/>
        <w:ind w:left="360"/>
        <w:jc w:val="both"/>
        <w:rPr>
          <w:rFonts w:asciiTheme="majorBidi" w:eastAsia="Times New Roman" w:hAnsiTheme="majorBidi" w:cstheme="majorBidi"/>
        </w:rPr>
      </w:pPr>
      <w:r w:rsidRPr="00306A83">
        <w:rPr>
          <w:rFonts w:asciiTheme="majorBidi" w:eastAsia="Times New Roman" w:hAnsiTheme="majorBidi" w:cstheme="majorBidi"/>
        </w:rPr>
        <w:t>-          Les procédures collectives d’apurement de passif : 1 000 000 FCFA.</w:t>
      </w:r>
    </w:p>
    <w:p w14:paraId="0FCC1350" w14:textId="77777777" w:rsidR="003B4185" w:rsidRPr="00306A83" w:rsidRDefault="006803DD">
      <w:pPr>
        <w:spacing w:before="240"/>
        <w:jc w:val="both"/>
        <w:rPr>
          <w:rFonts w:asciiTheme="majorBidi" w:eastAsia="Times New Roman" w:hAnsiTheme="majorBidi" w:cstheme="majorBidi"/>
        </w:rPr>
      </w:pPr>
      <w:r w:rsidRPr="00306A83">
        <w:rPr>
          <w:rFonts w:asciiTheme="majorBidi" w:eastAsia="Times New Roman" w:hAnsiTheme="majorBidi" w:cstheme="majorBidi"/>
        </w:rPr>
        <w:t>Depuis le 21 décembre 2022, le SMIG en Côte d’Ivoire est de 75 000 FCFA. Au regard des coûts, il serai</w:t>
      </w:r>
      <w:r w:rsidRPr="00306A83">
        <w:rPr>
          <w:rFonts w:asciiTheme="majorBidi" w:eastAsia="Times New Roman" w:hAnsiTheme="majorBidi" w:cstheme="majorBidi"/>
        </w:rPr>
        <w:t>t difficile voire impossible pour un usager de faire valoir ses droits devant les tribunaux.</w:t>
      </w:r>
    </w:p>
    <w:p w14:paraId="230D8FD3"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 xml:space="preserve">     C’est sans conteste pour cette raison que l’État a mis en place l’assistance judiciaire.  L’assistance judiciaire est un service de l’État qui vise à aider le</w:t>
      </w:r>
      <w:r w:rsidRPr="00306A83">
        <w:rPr>
          <w:rFonts w:asciiTheme="majorBidi" w:eastAsia="Times New Roman" w:hAnsiTheme="majorBidi" w:cstheme="majorBidi"/>
        </w:rPr>
        <w:t>s personnes démunies qui ont un procès en justice. Elle dispense l’usager de payer des frais de justice. Cette aide juridictionnelle est créée par le décret N° 2016-781 du 12 octobre 2016.</w:t>
      </w:r>
    </w:p>
    <w:p w14:paraId="5A534820" w14:textId="77777777" w:rsidR="003B4185" w:rsidRPr="00306A83" w:rsidRDefault="006803DD" w:rsidP="00FF3C17">
      <w:pPr>
        <w:pStyle w:val="Heading4"/>
        <w:ind w:firstLine="720"/>
      </w:pPr>
      <w:r w:rsidRPr="00306A83">
        <w:t xml:space="preserve">ii) La </w:t>
      </w:r>
      <w:proofErr w:type="gramStart"/>
      <w:r w:rsidRPr="00306A83">
        <w:t>non effectivité</w:t>
      </w:r>
      <w:proofErr w:type="gramEnd"/>
      <w:r w:rsidRPr="00306A83">
        <w:t xml:space="preserve"> de l’assistance judiciaire</w:t>
      </w:r>
    </w:p>
    <w:p w14:paraId="4802CF7D"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Le candidat à l’e</w:t>
      </w:r>
      <w:r w:rsidRPr="00306A83">
        <w:rPr>
          <w:rFonts w:asciiTheme="majorBidi" w:eastAsia="Times New Roman" w:hAnsiTheme="majorBidi" w:cstheme="majorBidi"/>
        </w:rPr>
        <w:t>xonération des frais de justice doit faire une demande et démontrer qu’il est incapable de régler les frais de justice. Une fois la demande satisfaite, l’usager ne paiera aucun frais de justice et bénéficiera de l’assistance de tous les auxiliaires de just</w:t>
      </w:r>
      <w:r w:rsidRPr="00306A83">
        <w:rPr>
          <w:rFonts w:asciiTheme="majorBidi" w:eastAsia="Times New Roman" w:hAnsiTheme="majorBidi" w:cstheme="majorBidi"/>
        </w:rPr>
        <w:t>ice pertinents. L’assistance judiciaire existe. Cependant, elle demeure méconnue de la population et des usagers. Le préfinancement par des avocats de leur prestation constituerait un frein à son bon fonctionnement. L’on note qu’une grande partie de la pop</w:t>
      </w:r>
      <w:r w:rsidRPr="00306A83">
        <w:rPr>
          <w:rFonts w:asciiTheme="majorBidi" w:eastAsia="Times New Roman" w:hAnsiTheme="majorBidi" w:cstheme="majorBidi"/>
        </w:rPr>
        <w:t>ulation ignore tout de leurs droits et les voies de saisine des juridictions.</w:t>
      </w:r>
    </w:p>
    <w:p w14:paraId="2EDEBC69" w14:textId="77777777" w:rsidR="003B4185" w:rsidRPr="00306A83" w:rsidRDefault="006803DD">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Sur la période 2016-2019, ce sont 460 demandes d’assistance judiciaire qui ont été présentées, dont 200 dossiers financés à hauteur de 660 586 079 FCFA</w:t>
      </w:r>
      <w:r w:rsidRPr="00306A83">
        <w:rPr>
          <w:rFonts w:asciiTheme="majorBidi" w:eastAsia="Times New Roman" w:hAnsiTheme="majorBidi" w:cstheme="majorBidi"/>
          <w:vertAlign w:val="superscript"/>
        </w:rPr>
        <w:footnoteReference w:id="100"/>
      </w:r>
      <w:r w:rsidRPr="00306A83">
        <w:rPr>
          <w:rFonts w:asciiTheme="majorBidi" w:eastAsia="Times New Roman" w:hAnsiTheme="majorBidi" w:cstheme="majorBidi"/>
        </w:rPr>
        <w:t>.. En trois ans, il y a e</w:t>
      </w:r>
      <w:r w:rsidRPr="00306A83">
        <w:rPr>
          <w:rFonts w:asciiTheme="majorBidi" w:eastAsia="Times New Roman" w:hAnsiTheme="majorBidi" w:cstheme="majorBidi"/>
        </w:rPr>
        <w:t xml:space="preserve">u seulement </w:t>
      </w:r>
      <w:r w:rsidRPr="00306A83">
        <w:rPr>
          <w:rFonts w:asciiTheme="majorBidi" w:eastAsia="Times New Roman" w:hAnsiTheme="majorBidi" w:cstheme="majorBidi"/>
        </w:rPr>
        <w:lastRenderedPageBreak/>
        <w:t>460 demandes. Et sur ces 460, seulement 200 ont été satisfaites. Ces chiffres montrent la résonance du mécanisme et son difficile fonctionnement.</w:t>
      </w:r>
    </w:p>
    <w:p w14:paraId="31EEE55B" w14:textId="77777777" w:rsidR="003B4185" w:rsidRPr="00FF3C17" w:rsidRDefault="006803DD" w:rsidP="00FF3C17">
      <w:pPr>
        <w:pStyle w:val="Heading4"/>
        <w:ind w:firstLine="700"/>
      </w:pPr>
      <w:r w:rsidRPr="00FF3C17">
        <w:t xml:space="preserve">iii) Lenteurs judiciaires et confiance en la justice </w:t>
      </w:r>
    </w:p>
    <w:p w14:paraId="34E1AC66" w14:textId="77777777" w:rsidR="003B4185" w:rsidRPr="00306A83" w:rsidRDefault="006803DD" w:rsidP="00FF3C17">
      <w:pPr>
        <w:spacing w:before="240" w:after="240"/>
        <w:jc w:val="both"/>
        <w:rPr>
          <w:rFonts w:asciiTheme="majorBidi" w:eastAsia="Times New Roman" w:hAnsiTheme="majorBidi" w:cstheme="majorBidi"/>
        </w:rPr>
      </w:pPr>
      <w:r w:rsidRPr="00306A83">
        <w:rPr>
          <w:rFonts w:asciiTheme="majorBidi" w:eastAsia="Times New Roman" w:hAnsiTheme="majorBidi" w:cstheme="majorBidi"/>
        </w:rPr>
        <w:t xml:space="preserve">Les populations n’ont pas confiance en </w:t>
      </w:r>
      <w:r w:rsidRPr="00306A83">
        <w:rPr>
          <w:rFonts w:asciiTheme="majorBidi" w:eastAsia="Times New Roman" w:hAnsiTheme="majorBidi" w:cstheme="majorBidi"/>
        </w:rPr>
        <w:t>leur justice. Souvent, les personnes alléguant d’être victimes de violation des droits de l’homme refusent de saisir les juridictions nationales. Cette dernière est perçue comme un organe de l’État juste pour réprimer les plus faibles et les moins protégés</w:t>
      </w:r>
      <w:r w:rsidRPr="00306A83">
        <w:rPr>
          <w:rFonts w:asciiTheme="majorBidi" w:eastAsia="Times New Roman" w:hAnsiTheme="majorBidi" w:cstheme="majorBidi"/>
        </w:rPr>
        <w:t>. Pour eux c’est une justice à deux vitesses. En outre, l’on n’apprécie pas la lenteur dont les dossiers sont traités par les magistrats. Cette lenteur s’expliquerait par l’insuffisance de personnel judiciaire au sein des institutions. (Selon l’annuaire de</w:t>
      </w:r>
      <w:r w:rsidRPr="00306A83">
        <w:rPr>
          <w:rFonts w:asciiTheme="majorBidi" w:eastAsia="Times New Roman" w:hAnsiTheme="majorBidi" w:cstheme="majorBidi"/>
        </w:rPr>
        <w:t xml:space="preserve">s statistiques judiciaires et pénitentiaires de la direction de la planification publié en 2020 on enregistre en Côte d’Ivoire un magistrat pour 36 823 habitants contre un magistrat pour 10 000 habitants selon la norme internationale ; un greffier pour 23 </w:t>
      </w:r>
      <w:r w:rsidRPr="00306A83">
        <w:rPr>
          <w:rFonts w:asciiTheme="majorBidi" w:eastAsia="Times New Roman" w:hAnsiTheme="majorBidi" w:cstheme="majorBidi"/>
        </w:rPr>
        <w:t>222 habitants ; un commissaire de justice pour 58 449 habitants…. La norme est 1 pour 10 000</w:t>
      </w:r>
      <w:r w:rsidRPr="00306A83">
        <w:rPr>
          <w:rFonts w:asciiTheme="majorBidi" w:eastAsia="Times New Roman" w:hAnsiTheme="majorBidi" w:cstheme="majorBidi"/>
          <w:vertAlign w:val="superscript"/>
        </w:rPr>
        <w:footnoteReference w:id="101"/>
      </w:r>
      <w:r w:rsidRPr="00306A83">
        <w:rPr>
          <w:rFonts w:asciiTheme="majorBidi" w:eastAsia="Times New Roman" w:hAnsiTheme="majorBidi" w:cstheme="majorBidi"/>
        </w:rPr>
        <w:t>.</w:t>
      </w:r>
    </w:p>
    <w:p w14:paraId="509FA4D0" w14:textId="77777777" w:rsidR="003B4185" w:rsidRPr="00306A83" w:rsidRDefault="006803DD">
      <w:pPr>
        <w:spacing w:before="240" w:after="240"/>
        <w:ind w:firstLine="700"/>
        <w:jc w:val="both"/>
        <w:rPr>
          <w:rFonts w:asciiTheme="majorBidi" w:eastAsia="Times New Roman" w:hAnsiTheme="majorBidi" w:cstheme="majorBidi"/>
        </w:rPr>
      </w:pPr>
      <w:r w:rsidRPr="00306A83">
        <w:rPr>
          <w:rFonts w:asciiTheme="majorBidi" w:eastAsia="Times New Roman" w:hAnsiTheme="majorBidi" w:cstheme="majorBidi"/>
        </w:rPr>
        <w:t xml:space="preserve">Le </w:t>
      </w:r>
      <w:proofErr w:type="gramStart"/>
      <w:r w:rsidRPr="00306A83">
        <w:rPr>
          <w:rFonts w:asciiTheme="majorBidi" w:eastAsia="Times New Roman" w:hAnsiTheme="majorBidi" w:cstheme="majorBidi"/>
        </w:rPr>
        <w:t>Ministère de la justice</w:t>
      </w:r>
      <w:proofErr w:type="gramEnd"/>
      <w:r w:rsidRPr="00306A83">
        <w:rPr>
          <w:rFonts w:asciiTheme="majorBidi" w:eastAsia="Times New Roman" w:hAnsiTheme="majorBidi" w:cstheme="majorBidi"/>
        </w:rPr>
        <w:t xml:space="preserve"> révèle qu’un magistrat traite 820 dossiers au tribunal d’Abidjan Plateau, 323 dossiers au tribunal de Man, 422 au tribunal de Soubré </w:t>
      </w:r>
      <w:r w:rsidRPr="00306A83">
        <w:rPr>
          <w:rFonts w:asciiTheme="majorBidi" w:eastAsia="Times New Roman" w:hAnsiTheme="majorBidi" w:cstheme="majorBidi"/>
        </w:rPr>
        <w:t>par an. (Annuaire des statistiques judiciaires et pénitentiaires, année judiciaire 2021-2022, p.19 du 23 juillet 2023)</w:t>
      </w:r>
    </w:p>
    <w:p w14:paraId="17829EA6" w14:textId="77777777" w:rsidR="003B4185" w:rsidRPr="00306A83" w:rsidRDefault="006803DD">
      <w:pPr>
        <w:spacing w:before="240" w:after="240"/>
        <w:ind w:firstLine="700"/>
        <w:jc w:val="both"/>
        <w:rPr>
          <w:rFonts w:asciiTheme="majorBidi" w:eastAsia="Times New Roman" w:hAnsiTheme="majorBidi" w:cstheme="majorBidi"/>
        </w:rPr>
      </w:pPr>
      <w:r w:rsidRPr="00306A83">
        <w:rPr>
          <w:rFonts w:asciiTheme="majorBidi" w:eastAsia="Times New Roman" w:hAnsiTheme="majorBidi" w:cstheme="majorBidi"/>
        </w:rPr>
        <w:t>En 2022, la Côte d’Ivoire compte 727 magistrats (Annuaire des statistiques judiciaires et pénitentiaires, année judiciaire 2021-2022, p.1</w:t>
      </w:r>
      <w:r w:rsidRPr="00306A83">
        <w:rPr>
          <w:rFonts w:asciiTheme="majorBidi" w:eastAsia="Times New Roman" w:hAnsiTheme="majorBidi" w:cstheme="majorBidi"/>
        </w:rPr>
        <w:t>2 du 23 juillet 2023). Le découpage judiciaire ne correspond pas aux besoins des usagers. Le pays compte 4 Cours d’Appel : Abidjan, Bouaké, Daloa, Korhogo. À ces cours, l’on peut ajouter la Cour d’Appel de commerce d’Abidjan. Nous avons 31 régions.</w:t>
      </w:r>
    </w:p>
    <w:p w14:paraId="090D0D0A" w14:textId="77777777" w:rsidR="003B4185" w:rsidRPr="00306A83" w:rsidRDefault="006803DD">
      <w:pPr>
        <w:spacing w:before="240" w:after="240"/>
        <w:ind w:firstLine="700"/>
        <w:jc w:val="both"/>
        <w:rPr>
          <w:rFonts w:asciiTheme="majorBidi" w:eastAsia="Times New Roman" w:hAnsiTheme="majorBidi" w:cstheme="majorBidi"/>
        </w:rPr>
      </w:pPr>
      <w:r w:rsidRPr="00306A83">
        <w:rPr>
          <w:rFonts w:asciiTheme="majorBidi" w:eastAsia="Times New Roman" w:hAnsiTheme="majorBidi" w:cstheme="majorBidi"/>
        </w:rPr>
        <w:t>La répa</w:t>
      </w:r>
      <w:r w:rsidRPr="00306A83">
        <w:rPr>
          <w:rFonts w:asciiTheme="majorBidi" w:eastAsia="Times New Roman" w:hAnsiTheme="majorBidi" w:cstheme="majorBidi"/>
        </w:rPr>
        <w:t>rtition des tribunaux sur le territoire montre l’éloignement de la justice des populations. La Cour d’appel de Daloa comprend cinq tribunaux de première instance (TPI). Ces derniers couvrent 12 régions et 38 départements (Annuaire des statistiques judiciai</w:t>
      </w:r>
      <w:r w:rsidRPr="00306A83">
        <w:rPr>
          <w:rFonts w:asciiTheme="majorBidi" w:eastAsia="Times New Roman" w:hAnsiTheme="majorBidi" w:cstheme="majorBidi"/>
        </w:rPr>
        <w:t>res et pénitentiaires, année judiciaire 2021-2022, p.47 du 23 juillet 2023). La population du ressort de la Cour d’Appel de Daloa est de 10 770 351. Il serait judicieux de créer une Cour d’Appel à Man., dans toutes les régions.</w:t>
      </w:r>
    </w:p>
    <w:p w14:paraId="54B9FE17" w14:textId="77777777" w:rsidR="003B4185" w:rsidRPr="00306A83" w:rsidRDefault="006803DD">
      <w:pPr>
        <w:spacing w:before="240" w:after="240"/>
        <w:ind w:firstLine="700"/>
        <w:jc w:val="both"/>
        <w:rPr>
          <w:rFonts w:asciiTheme="majorBidi" w:eastAsia="Times New Roman" w:hAnsiTheme="majorBidi" w:cstheme="majorBidi"/>
        </w:rPr>
      </w:pPr>
      <w:r w:rsidRPr="00306A83">
        <w:rPr>
          <w:rFonts w:asciiTheme="majorBidi" w:eastAsia="Times New Roman" w:hAnsiTheme="majorBidi" w:cstheme="majorBidi"/>
        </w:rPr>
        <w:t>Le pays n’est couvert qu’à 4</w:t>
      </w:r>
      <w:r w:rsidRPr="00306A83">
        <w:rPr>
          <w:rFonts w:asciiTheme="majorBidi" w:eastAsia="Times New Roman" w:hAnsiTheme="majorBidi" w:cstheme="majorBidi"/>
        </w:rPr>
        <w:t>0% en matière de service public de la justice (PND 2021-2025, Tome 1, N° 244, p.58).</w:t>
      </w:r>
    </w:p>
    <w:tbl>
      <w:tblPr>
        <w:tblStyle w:val="a7"/>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3EE0AD09" w14:textId="77777777">
        <w:tc>
          <w:tcPr>
            <w:tcW w:w="9066" w:type="dxa"/>
            <w:shd w:val="clear" w:color="auto" w:fill="auto"/>
            <w:tcMar>
              <w:top w:w="100" w:type="dxa"/>
              <w:left w:w="100" w:type="dxa"/>
              <w:bottom w:w="100" w:type="dxa"/>
              <w:right w:w="100" w:type="dxa"/>
            </w:tcMar>
          </w:tcPr>
          <w:p w14:paraId="7E55A0CD" w14:textId="075EB2F5" w:rsidR="003B4185" w:rsidRPr="00306A83" w:rsidRDefault="006803DD">
            <w:pPr>
              <w:spacing w:before="240" w:after="240"/>
              <w:jc w:val="both"/>
              <w:rPr>
                <w:rFonts w:asciiTheme="majorBidi" w:eastAsia="Times New Roman" w:hAnsiTheme="majorBidi" w:cstheme="majorBidi"/>
                <w:b/>
              </w:rPr>
            </w:pPr>
            <w:r w:rsidRPr="00306A83">
              <w:rPr>
                <w:rFonts w:asciiTheme="majorBidi" w:eastAsia="Times New Roman" w:hAnsiTheme="majorBidi" w:cstheme="majorBidi"/>
                <w:b/>
              </w:rPr>
              <w:t>Recommandations :</w:t>
            </w:r>
          </w:p>
          <w:p w14:paraId="3606E09E" w14:textId="77777777" w:rsidR="003B4185" w:rsidRPr="00306A83" w:rsidRDefault="006803DD">
            <w:pPr>
              <w:numPr>
                <w:ilvl w:val="0"/>
                <w:numId w:val="21"/>
              </w:numPr>
              <w:spacing w:before="240"/>
              <w:jc w:val="both"/>
              <w:rPr>
                <w:rFonts w:asciiTheme="majorBidi" w:eastAsia="Times New Roman" w:hAnsiTheme="majorBidi" w:cstheme="majorBidi"/>
              </w:rPr>
            </w:pPr>
            <w:r w:rsidRPr="00306A83">
              <w:rPr>
                <w:rFonts w:asciiTheme="majorBidi" w:eastAsia="Times New Roman" w:hAnsiTheme="majorBidi" w:cstheme="majorBidi"/>
                <w:highlight w:val="white"/>
              </w:rPr>
              <w:t xml:space="preserve">Nous recommandons </w:t>
            </w:r>
            <w:r w:rsidRPr="00306A83">
              <w:rPr>
                <w:rFonts w:asciiTheme="majorBidi" w:eastAsia="Times New Roman" w:hAnsiTheme="majorBidi" w:cstheme="majorBidi"/>
              </w:rPr>
              <w:t>la réduction de 2/3 des coûts de justice voire leur suppression.</w:t>
            </w:r>
          </w:p>
          <w:p w14:paraId="40E3E8E3" w14:textId="77777777" w:rsidR="003B4185" w:rsidRPr="00306A83" w:rsidRDefault="006803DD">
            <w:pPr>
              <w:numPr>
                <w:ilvl w:val="0"/>
                <w:numId w:val="21"/>
              </w:numPr>
              <w:jc w:val="both"/>
              <w:rPr>
                <w:rFonts w:asciiTheme="majorBidi" w:eastAsia="Times New Roman" w:hAnsiTheme="majorBidi" w:cstheme="majorBidi"/>
              </w:rPr>
            </w:pPr>
            <w:r w:rsidRPr="00306A83">
              <w:rPr>
                <w:rFonts w:asciiTheme="majorBidi" w:eastAsia="Times New Roman" w:hAnsiTheme="majorBidi" w:cstheme="majorBidi"/>
                <w:highlight w:val="white"/>
              </w:rPr>
              <w:t xml:space="preserve">Nous recommandons l’intensification de la sensibilisation </w:t>
            </w:r>
            <w:r w:rsidRPr="00306A83">
              <w:rPr>
                <w:rFonts w:asciiTheme="majorBidi" w:eastAsia="Times New Roman" w:hAnsiTheme="majorBidi" w:cstheme="majorBidi"/>
              </w:rPr>
              <w:t>de la population sur la saisine des juridictions notamment l’assistance judiciaire dans toutes les 31 régions.</w:t>
            </w:r>
          </w:p>
          <w:p w14:paraId="026A1DFE" w14:textId="77777777" w:rsidR="003B4185" w:rsidRPr="00306A83" w:rsidRDefault="006803DD">
            <w:pPr>
              <w:numPr>
                <w:ilvl w:val="0"/>
                <w:numId w:val="21"/>
              </w:numPr>
              <w:jc w:val="both"/>
              <w:rPr>
                <w:rFonts w:asciiTheme="majorBidi" w:eastAsia="Times New Roman" w:hAnsiTheme="majorBidi" w:cstheme="majorBidi"/>
              </w:rPr>
            </w:pPr>
            <w:r w:rsidRPr="00306A83">
              <w:rPr>
                <w:rFonts w:asciiTheme="majorBidi" w:eastAsia="Times New Roman" w:hAnsiTheme="majorBidi" w:cstheme="majorBidi"/>
                <w:highlight w:val="white"/>
              </w:rPr>
              <w:t xml:space="preserve">Nous recommandons </w:t>
            </w:r>
            <w:r w:rsidRPr="00306A83">
              <w:rPr>
                <w:rFonts w:asciiTheme="majorBidi" w:eastAsia="Times New Roman" w:hAnsiTheme="majorBidi" w:cstheme="majorBidi"/>
              </w:rPr>
              <w:t>l’accroissement du nombre de magistrats et le rapprochement de tribun</w:t>
            </w:r>
            <w:r w:rsidRPr="00306A83">
              <w:rPr>
                <w:rFonts w:asciiTheme="majorBidi" w:eastAsia="Times New Roman" w:hAnsiTheme="majorBidi" w:cstheme="majorBidi"/>
              </w:rPr>
              <w:t>aux des justiciables.</w:t>
            </w:r>
          </w:p>
          <w:p w14:paraId="3C0D3E5D" w14:textId="77777777" w:rsidR="003B4185" w:rsidRPr="00306A83" w:rsidRDefault="006803DD">
            <w:pPr>
              <w:numPr>
                <w:ilvl w:val="0"/>
                <w:numId w:val="21"/>
              </w:numPr>
              <w:jc w:val="both"/>
              <w:rPr>
                <w:rFonts w:asciiTheme="majorBidi" w:eastAsia="Times New Roman" w:hAnsiTheme="majorBidi" w:cstheme="majorBidi"/>
              </w:rPr>
            </w:pPr>
            <w:r w:rsidRPr="00306A83">
              <w:rPr>
                <w:rFonts w:asciiTheme="majorBidi" w:eastAsia="Times New Roman" w:hAnsiTheme="majorBidi" w:cstheme="majorBidi"/>
              </w:rPr>
              <w:t>Nous recommandons la création de nouvelles Cours d’Appel.</w:t>
            </w:r>
          </w:p>
          <w:p w14:paraId="631E4C41" w14:textId="77777777" w:rsidR="003B4185" w:rsidRPr="00306A83" w:rsidRDefault="006803DD">
            <w:pPr>
              <w:numPr>
                <w:ilvl w:val="0"/>
                <w:numId w:val="21"/>
              </w:numPr>
              <w:jc w:val="both"/>
              <w:rPr>
                <w:rFonts w:asciiTheme="majorBidi" w:eastAsia="Times New Roman" w:hAnsiTheme="majorBidi" w:cstheme="majorBidi"/>
              </w:rPr>
            </w:pPr>
            <w:r w:rsidRPr="00306A83">
              <w:rPr>
                <w:rFonts w:asciiTheme="majorBidi" w:eastAsia="Times New Roman" w:hAnsiTheme="majorBidi" w:cstheme="majorBidi"/>
              </w:rPr>
              <w:t>Nous recommandons la facilitation du remboursement des frais engagés par les Avocats.</w:t>
            </w:r>
          </w:p>
          <w:p w14:paraId="1C603B9F" w14:textId="77777777" w:rsidR="003B4185" w:rsidRPr="00306A83" w:rsidRDefault="006803DD">
            <w:pPr>
              <w:numPr>
                <w:ilvl w:val="0"/>
                <w:numId w:val="21"/>
              </w:numPr>
              <w:jc w:val="both"/>
              <w:rPr>
                <w:rFonts w:asciiTheme="majorBidi" w:eastAsia="Times New Roman" w:hAnsiTheme="majorBidi" w:cstheme="majorBidi"/>
              </w:rPr>
            </w:pPr>
            <w:r w:rsidRPr="00306A83">
              <w:rPr>
                <w:rFonts w:asciiTheme="majorBidi" w:eastAsia="Times New Roman" w:hAnsiTheme="majorBidi" w:cstheme="majorBidi"/>
              </w:rPr>
              <w:lastRenderedPageBreak/>
              <w:t>Nous recommandons que la victime de torture soit d’office déclarée démunie et bénéficie sy</w:t>
            </w:r>
            <w:r w:rsidRPr="00306A83">
              <w:rPr>
                <w:rFonts w:asciiTheme="majorBidi" w:eastAsia="Times New Roman" w:hAnsiTheme="majorBidi" w:cstheme="majorBidi"/>
              </w:rPr>
              <w:t>stématiquement de l’assistance judiciaire.</w:t>
            </w:r>
          </w:p>
          <w:p w14:paraId="32DC0CB8" w14:textId="31D9B0C1" w:rsidR="003B4185" w:rsidRPr="00306A83" w:rsidRDefault="006803DD">
            <w:pPr>
              <w:numPr>
                <w:ilvl w:val="0"/>
                <w:numId w:val="21"/>
              </w:numPr>
              <w:jc w:val="both"/>
              <w:rPr>
                <w:rFonts w:asciiTheme="majorBidi" w:eastAsia="Times New Roman" w:hAnsiTheme="majorBidi" w:cstheme="majorBidi"/>
              </w:rPr>
            </w:pPr>
            <w:r w:rsidRPr="00306A83">
              <w:rPr>
                <w:rFonts w:asciiTheme="majorBidi" w:eastAsia="Times New Roman" w:hAnsiTheme="majorBidi" w:cstheme="majorBidi"/>
              </w:rPr>
              <w:t>Nous recommandons la gratuité du certificat médical pour la victime de la torture.</w:t>
            </w:r>
          </w:p>
        </w:tc>
      </w:tr>
    </w:tbl>
    <w:p w14:paraId="4C5B02F8" w14:textId="77777777" w:rsidR="003B4185" w:rsidRPr="00306A83" w:rsidRDefault="003B4185">
      <w:pPr>
        <w:spacing w:before="240"/>
        <w:ind w:left="720"/>
        <w:jc w:val="both"/>
        <w:rPr>
          <w:rFonts w:asciiTheme="majorBidi" w:eastAsia="Times New Roman" w:hAnsiTheme="majorBidi" w:cstheme="majorBidi"/>
          <w:b/>
        </w:rPr>
      </w:pPr>
    </w:p>
    <w:p w14:paraId="5A8DAF9F" w14:textId="77777777" w:rsidR="003B4185" w:rsidRPr="00306A83" w:rsidRDefault="006803DD" w:rsidP="00FF3C17">
      <w:pPr>
        <w:pStyle w:val="Heading3"/>
      </w:pPr>
      <w:bookmarkStart w:id="42" w:name="_Toc168990381"/>
      <w:r w:rsidRPr="00306A83">
        <w:t>B- Sur le manque d’indépendance du pouvoir judiciaire</w:t>
      </w:r>
      <w:bookmarkEnd w:id="42"/>
    </w:p>
    <w:p w14:paraId="08974433" w14:textId="77777777" w:rsidR="003B4185" w:rsidRPr="00306A83" w:rsidRDefault="003B4185">
      <w:pPr>
        <w:jc w:val="both"/>
        <w:rPr>
          <w:rFonts w:asciiTheme="majorBidi" w:eastAsia="Times New Roman" w:hAnsiTheme="majorBidi" w:cstheme="majorBidi"/>
        </w:rPr>
      </w:pPr>
    </w:p>
    <w:p w14:paraId="2E201F69"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 xml:space="preserve">En 2015, le Comité des droits de l’Homme a </w:t>
      </w:r>
      <w:proofErr w:type="spellStart"/>
      <w:r w:rsidRPr="00306A83">
        <w:rPr>
          <w:rFonts w:asciiTheme="majorBidi" w:eastAsia="Times New Roman" w:hAnsiTheme="majorBidi" w:cstheme="majorBidi"/>
        </w:rPr>
        <w:t>exprime</w:t>
      </w:r>
      <w:proofErr w:type="spellEnd"/>
      <w:r w:rsidRPr="00306A83">
        <w:rPr>
          <w:rFonts w:asciiTheme="majorBidi" w:eastAsia="Times New Roman" w:hAnsiTheme="majorBidi" w:cstheme="majorBidi"/>
        </w:rPr>
        <w:t xml:space="preserve">́ sa </w:t>
      </w:r>
      <w:proofErr w:type="spellStart"/>
      <w:r w:rsidRPr="00306A83">
        <w:rPr>
          <w:rFonts w:asciiTheme="majorBidi" w:eastAsia="Times New Roman" w:hAnsiTheme="majorBidi" w:cstheme="majorBidi"/>
        </w:rPr>
        <w:t>préoccupation</w:t>
      </w:r>
      <w:proofErr w:type="spellEnd"/>
      <w:r w:rsidRPr="00306A83">
        <w:rPr>
          <w:rFonts w:asciiTheme="majorBidi" w:eastAsia="Times New Roman" w:hAnsiTheme="majorBidi" w:cstheme="majorBidi"/>
        </w:rPr>
        <w:t xml:space="preserve"> vis-</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̀-vis de l’absence d’</w:t>
      </w:r>
      <w:proofErr w:type="spellStart"/>
      <w:r w:rsidRPr="00306A83">
        <w:rPr>
          <w:rFonts w:asciiTheme="majorBidi" w:eastAsia="Times New Roman" w:hAnsiTheme="majorBidi" w:cstheme="majorBidi"/>
        </w:rPr>
        <w:t>indépendance</w:t>
      </w:r>
      <w:proofErr w:type="spellEnd"/>
      <w:r w:rsidRPr="00306A83">
        <w:rPr>
          <w:rFonts w:asciiTheme="majorBidi" w:eastAsia="Times New Roman" w:hAnsiTheme="majorBidi" w:cstheme="majorBidi"/>
        </w:rPr>
        <w:t xml:space="preserve"> du pouvoir judiciaire en Côte d’Ivoire du fait </w:t>
      </w:r>
      <w:r w:rsidRPr="00306A83">
        <w:rPr>
          <w:rFonts w:asciiTheme="majorBidi" w:eastAsia="Times New Roman" w:hAnsiTheme="majorBidi" w:cstheme="majorBidi"/>
          <w:i/>
        </w:rPr>
        <w:t xml:space="preserve">“d’immixtions du pouvoir </w:t>
      </w:r>
      <w:proofErr w:type="spellStart"/>
      <w:r w:rsidRPr="00306A83">
        <w:rPr>
          <w:rFonts w:asciiTheme="majorBidi" w:eastAsia="Times New Roman" w:hAnsiTheme="majorBidi" w:cstheme="majorBidi"/>
          <w:i/>
        </w:rPr>
        <w:t>exécutif</w:t>
      </w:r>
      <w:proofErr w:type="spellEnd"/>
      <w:r w:rsidRPr="00306A83">
        <w:rPr>
          <w:rFonts w:asciiTheme="majorBidi" w:eastAsia="Times New Roman" w:hAnsiTheme="majorBidi" w:cstheme="majorBidi"/>
          <w:i/>
        </w:rPr>
        <w:t xml:space="preserve"> dans le fonctionnement de la justice » </w:t>
      </w:r>
      <w:r w:rsidRPr="00306A83">
        <w:rPr>
          <w:rFonts w:asciiTheme="majorBidi" w:eastAsia="Times New Roman" w:hAnsiTheme="majorBidi" w:cstheme="majorBidi"/>
        </w:rPr>
        <w:t xml:space="preserve">et </w:t>
      </w:r>
      <w:r w:rsidRPr="00306A83">
        <w:rPr>
          <w:rFonts w:asciiTheme="majorBidi" w:eastAsia="Times New Roman" w:hAnsiTheme="majorBidi" w:cstheme="majorBidi"/>
          <w:i/>
        </w:rPr>
        <w:t xml:space="preserve">« la </w:t>
      </w:r>
      <w:proofErr w:type="spellStart"/>
      <w:r w:rsidRPr="00306A83">
        <w:rPr>
          <w:rFonts w:asciiTheme="majorBidi" w:eastAsia="Times New Roman" w:hAnsiTheme="majorBidi" w:cstheme="majorBidi"/>
          <w:i/>
        </w:rPr>
        <w:t>partialite</w:t>
      </w:r>
      <w:proofErr w:type="spellEnd"/>
      <w:r w:rsidRPr="00306A83">
        <w:rPr>
          <w:rFonts w:asciiTheme="majorBidi" w:eastAsia="Times New Roman" w:hAnsiTheme="majorBidi" w:cstheme="majorBidi"/>
          <w:i/>
        </w:rPr>
        <w:t>́ et l’</w:t>
      </w:r>
      <w:r w:rsidRPr="00306A83">
        <w:rPr>
          <w:rFonts w:asciiTheme="majorBidi" w:eastAsia="Times New Roman" w:hAnsiTheme="majorBidi" w:cstheme="majorBidi"/>
          <w:i/>
        </w:rPr>
        <w:t>absence d’</w:t>
      </w:r>
      <w:proofErr w:type="spellStart"/>
      <w:r w:rsidRPr="00306A83">
        <w:rPr>
          <w:rFonts w:asciiTheme="majorBidi" w:eastAsia="Times New Roman" w:hAnsiTheme="majorBidi" w:cstheme="majorBidi"/>
          <w:i/>
        </w:rPr>
        <w:t>équite</w:t>
      </w:r>
      <w:proofErr w:type="spellEnd"/>
      <w:r w:rsidRPr="00306A83">
        <w:rPr>
          <w:rFonts w:asciiTheme="majorBidi" w:eastAsia="Times New Roman" w:hAnsiTheme="majorBidi" w:cstheme="majorBidi"/>
          <w:i/>
        </w:rPr>
        <w:t xml:space="preserve">́ dont feraient preuve les magistrats dans le traitement des affaires relatives à la crise </w:t>
      </w:r>
      <w:proofErr w:type="spellStart"/>
      <w:r w:rsidRPr="00306A83">
        <w:rPr>
          <w:rFonts w:asciiTheme="majorBidi" w:eastAsia="Times New Roman" w:hAnsiTheme="majorBidi" w:cstheme="majorBidi"/>
          <w:i/>
        </w:rPr>
        <w:t>post-électorale</w:t>
      </w:r>
      <w:proofErr w:type="spellEnd"/>
      <w:r w:rsidRPr="00306A83">
        <w:rPr>
          <w:rFonts w:asciiTheme="majorBidi" w:eastAsia="Times New Roman" w:hAnsiTheme="majorBidi" w:cstheme="majorBidi"/>
          <w:i/>
        </w:rPr>
        <w:t xml:space="preserve"> de 2010-2011”.</w:t>
      </w:r>
      <w:r w:rsidRPr="00306A83">
        <w:rPr>
          <w:rFonts w:asciiTheme="majorBidi" w:eastAsia="Times New Roman" w:hAnsiTheme="majorBidi" w:cstheme="majorBidi"/>
          <w:vertAlign w:val="superscript"/>
        </w:rPr>
        <w:footnoteReference w:id="102"/>
      </w:r>
    </w:p>
    <w:p w14:paraId="2161D28B" w14:textId="77777777" w:rsidR="003B4185" w:rsidRPr="00306A83" w:rsidRDefault="003B4185">
      <w:pPr>
        <w:jc w:val="both"/>
        <w:rPr>
          <w:rFonts w:asciiTheme="majorBidi" w:eastAsia="Times New Roman" w:hAnsiTheme="majorBidi" w:cstheme="majorBidi"/>
          <w:i/>
        </w:rPr>
      </w:pPr>
    </w:p>
    <w:p w14:paraId="40D6D857"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 xml:space="preserve">En effet, bien que la Constitution ivoirienne consacre l’indépendance du pouvoir judiciaire en son article 139, </w:t>
      </w:r>
      <w:r w:rsidRPr="00306A83">
        <w:rPr>
          <w:rFonts w:asciiTheme="majorBidi" w:eastAsia="Times New Roman" w:hAnsiTheme="majorBidi" w:cstheme="majorBidi"/>
        </w:rPr>
        <w:t xml:space="preserve">il convient de noter que les magistrats du Parquet sont </w:t>
      </w:r>
      <w:proofErr w:type="spellStart"/>
      <w:r w:rsidRPr="00306A83">
        <w:rPr>
          <w:rFonts w:asciiTheme="majorBidi" w:eastAsia="Times New Roman" w:hAnsiTheme="majorBidi" w:cstheme="majorBidi"/>
        </w:rPr>
        <w:t>placés</w:t>
      </w:r>
      <w:proofErr w:type="spellEnd"/>
      <w:r w:rsidRPr="00306A83">
        <w:rPr>
          <w:rFonts w:asciiTheme="majorBidi" w:eastAsia="Times New Roman" w:hAnsiTheme="majorBidi" w:cstheme="majorBidi"/>
        </w:rPr>
        <w:t xml:space="preserve"> sous la direction et le </w:t>
      </w:r>
      <w:proofErr w:type="spellStart"/>
      <w:r w:rsidRPr="00306A83">
        <w:rPr>
          <w:rFonts w:asciiTheme="majorBidi" w:eastAsia="Times New Roman" w:hAnsiTheme="majorBidi" w:cstheme="majorBidi"/>
        </w:rPr>
        <w:t>contrôle</w:t>
      </w:r>
      <w:proofErr w:type="spellEnd"/>
      <w:r w:rsidRPr="00306A83">
        <w:rPr>
          <w:rFonts w:asciiTheme="majorBidi" w:eastAsia="Times New Roman" w:hAnsiTheme="majorBidi" w:cstheme="majorBidi"/>
        </w:rPr>
        <w:t xml:space="preserve"> de leurs chefs </w:t>
      </w:r>
      <w:proofErr w:type="spellStart"/>
      <w:r w:rsidRPr="00306A83">
        <w:rPr>
          <w:rFonts w:asciiTheme="majorBidi" w:eastAsia="Times New Roman" w:hAnsiTheme="majorBidi" w:cstheme="majorBidi"/>
        </w:rPr>
        <w:t>hiérarchiques</w:t>
      </w:r>
      <w:proofErr w:type="spellEnd"/>
      <w:r w:rsidRPr="00306A83">
        <w:rPr>
          <w:rFonts w:asciiTheme="majorBidi" w:eastAsia="Times New Roman" w:hAnsiTheme="majorBidi" w:cstheme="majorBidi"/>
        </w:rPr>
        <w:t xml:space="preserve"> et sous l’</w:t>
      </w:r>
      <w:proofErr w:type="spellStart"/>
      <w:r w:rsidRPr="00306A83">
        <w:rPr>
          <w:rFonts w:asciiTheme="majorBidi" w:eastAsia="Times New Roman" w:hAnsiTheme="majorBidi" w:cstheme="majorBidi"/>
        </w:rPr>
        <w:t>autorite</w:t>
      </w:r>
      <w:proofErr w:type="spellEnd"/>
      <w:r w:rsidRPr="00306A83">
        <w:rPr>
          <w:rFonts w:asciiTheme="majorBidi" w:eastAsia="Times New Roman" w:hAnsiTheme="majorBidi" w:cstheme="majorBidi"/>
        </w:rPr>
        <w:t xml:space="preserve">́ du Garde des Sceaux, </w:t>
      </w:r>
      <w:proofErr w:type="gramStart"/>
      <w:r w:rsidRPr="00306A83">
        <w:rPr>
          <w:rFonts w:asciiTheme="majorBidi" w:eastAsia="Times New Roman" w:hAnsiTheme="majorBidi" w:cstheme="majorBidi"/>
        </w:rPr>
        <w:t>Ministre</w:t>
      </w:r>
      <w:proofErr w:type="gramEnd"/>
      <w:r w:rsidRPr="00306A83">
        <w:rPr>
          <w:rFonts w:asciiTheme="majorBidi" w:eastAsia="Times New Roman" w:hAnsiTheme="majorBidi" w:cstheme="majorBidi"/>
        </w:rPr>
        <w:t xml:space="preserve"> de la Justice. Si la parole des magistrats du parquet est libre à l’audience, </w:t>
      </w:r>
      <w:r w:rsidRPr="00306A83">
        <w:rPr>
          <w:rFonts w:asciiTheme="majorBidi" w:eastAsia="Times New Roman" w:hAnsiTheme="majorBidi" w:cstheme="majorBidi"/>
        </w:rPr>
        <w:t xml:space="preserve">en application de l’article 7 du statut de la magistrature, il est </w:t>
      </w:r>
      <w:proofErr w:type="spellStart"/>
      <w:r w:rsidRPr="00306A83">
        <w:rPr>
          <w:rFonts w:asciiTheme="majorBidi" w:eastAsia="Times New Roman" w:hAnsiTheme="majorBidi" w:cstheme="majorBidi"/>
        </w:rPr>
        <w:t>légitime</w:t>
      </w:r>
      <w:proofErr w:type="spellEnd"/>
      <w:r w:rsidRPr="00306A83">
        <w:rPr>
          <w:rFonts w:asciiTheme="majorBidi" w:eastAsia="Times New Roman" w:hAnsiTheme="majorBidi" w:cstheme="majorBidi"/>
        </w:rPr>
        <w:t xml:space="preserve"> de penser que le lien de subordination </w:t>
      </w:r>
      <w:proofErr w:type="spellStart"/>
      <w:r w:rsidRPr="00306A83">
        <w:rPr>
          <w:rFonts w:asciiTheme="majorBidi" w:eastAsia="Times New Roman" w:hAnsiTheme="majorBidi" w:cstheme="majorBidi"/>
        </w:rPr>
        <w:t>hiérarchique</w:t>
      </w:r>
      <w:proofErr w:type="spellEnd"/>
      <w:r w:rsidRPr="00306A83">
        <w:rPr>
          <w:rFonts w:asciiTheme="majorBidi" w:eastAsia="Times New Roman" w:hAnsiTheme="majorBidi" w:cstheme="majorBidi"/>
        </w:rPr>
        <w:t xml:space="preserve"> rend leur </w:t>
      </w:r>
      <w:proofErr w:type="spellStart"/>
      <w:r w:rsidRPr="00306A83">
        <w:rPr>
          <w:rFonts w:asciiTheme="majorBidi" w:eastAsia="Times New Roman" w:hAnsiTheme="majorBidi" w:cstheme="majorBidi"/>
        </w:rPr>
        <w:t>décision</w:t>
      </w:r>
      <w:proofErr w:type="spellEnd"/>
      <w:r w:rsidRPr="00306A83">
        <w:rPr>
          <w:rFonts w:asciiTheme="majorBidi" w:eastAsia="Times New Roman" w:hAnsiTheme="majorBidi" w:cstheme="majorBidi"/>
        </w:rPr>
        <w:t xml:space="preserve"> de l’</w:t>
      </w:r>
      <w:proofErr w:type="spellStart"/>
      <w:r w:rsidRPr="00306A83">
        <w:rPr>
          <w:rFonts w:asciiTheme="majorBidi" w:eastAsia="Times New Roman" w:hAnsiTheme="majorBidi" w:cstheme="majorBidi"/>
        </w:rPr>
        <w:t>opportunite</w:t>
      </w:r>
      <w:proofErr w:type="spellEnd"/>
      <w:r w:rsidRPr="00306A83">
        <w:rPr>
          <w:rFonts w:asciiTheme="majorBidi" w:eastAsia="Times New Roman" w:hAnsiTheme="majorBidi" w:cstheme="majorBidi"/>
        </w:rPr>
        <w:t xml:space="preserve">́ des poursuites tributaires du pouvoir </w:t>
      </w:r>
      <w:proofErr w:type="spellStart"/>
      <w:r w:rsidRPr="00306A83">
        <w:rPr>
          <w:rFonts w:asciiTheme="majorBidi" w:eastAsia="Times New Roman" w:hAnsiTheme="majorBidi" w:cstheme="majorBidi"/>
        </w:rPr>
        <w:t>exécutif</w:t>
      </w:r>
      <w:proofErr w:type="spellEnd"/>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03"/>
      </w:r>
      <w:r w:rsidRPr="00306A83">
        <w:rPr>
          <w:rFonts w:asciiTheme="majorBidi" w:eastAsia="Times New Roman" w:hAnsiTheme="majorBidi" w:cstheme="majorBidi"/>
        </w:rPr>
        <w:t xml:space="preserve"> </w:t>
      </w:r>
    </w:p>
    <w:p w14:paraId="0D366424" w14:textId="77777777" w:rsidR="003B4185" w:rsidRPr="00306A83" w:rsidRDefault="003B4185">
      <w:pPr>
        <w:jc w:val="both"/>
        <w:rPr>
          <w:rFonts w:asciiTheme="majorBidi" w:eastAsia="Times New Roman" w:hAnsiTheme="majorBidi" w:cstheme="majorBidi"/>
        </w:rPr>
      </w:pPr>
    </w:p>
    <w:tbl>
      <w:tblPr>
        <w:tblStyle w:val="a8"/>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20A44B72" w14:textId="77777777">
        <w:tc>
          <w:tcPr>
            <w:tcW w:w="9066" w:type="dxa"/>
            <w:shd w:val="clear" w:color="auto" w:fill="auto"/>
            <w:tcMar>
              <w:top w:w="100" w:type="dxa"/>
              <w:left w:w="100" w:type="dxa"/>
              <w:bottom w:w="100" w:type="dxa"/>
              <w:right w:w="100" w:type="dxa"/>
            </w:tcMar>
          </w:tcPr>
          <w:p w14:paraId="7AAC6715" w14:textId="5B80D03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b/>
              </w:rPr>
              <w:t>Recommandation</w:t>
            </w:r>
            <w:r w:rsidR="009C1366">
              <w:rPr>
                <w:rFonts w:asciiTheme="majorBidi" w:eastAsia="Times New Roman" w:hAnsiTheme="majorBidi" w:cstheme="majorBidi"/>
                <w:b/>
              </w:rPr>
              <w:t xml:space="preserve">s </w:t>
            </w:r>
            <w:r w:rsidRPr="00306A83">
              <w:rPr>
                <w:rFonts w:asciiTheme="majorBidi" w:eastAsia="Times New Roman" w:hAnsiTheme="majorBidi" w:cstheme="majorBidi"/>
              </w:rPr>
              <w:t>:</w:t>
            </w:r>
          </w:p>
          <w:p w14:paraId="42FB7EB3" w14:textId="77777777" w:rsidR="003B4185" w:rsidRPr="00306A83" w:rsidRDefault="006803DD">
            <w:pPr>
              <w:numPr>
                <w:ilvl w:val="0"/>
                <w:numId w:val="16"/>
              </w:numPr>
              <w:jc w:val="both"/>
              <w:rPr>
                <w:rFonts w:asciiTheme="majorBidi" w:eastAsia="Times New Roman" w:hAnsiTheme="majorBidi" w:cstheme="majorBidi"/>
              </w:rPr>
            </w:pPr>
            <w:r w:rsidRPr="00306A83">
              <w:rPr>
                <w:rFonts w:asciiTheme="majorBidi" w:eastAsia="Times New Roman" w:hAnsiTheme="majorBidi" w:cstheme="majorBidi"/>
              </w:rPr>
              <w:t>Garantir de maniè</w:t>
            </w:r>
            <w:r w:rsidRPr="00306A83">
              <w:rPr>
                <w:rFonts w:asciiTheme="majorBidi" w:eastAsia="Times New Roman" w:hAnsiTheme="majorBidi" w:cstheme="majorBidi"/>
              </w:rPr>
              <w:t>re effective l’indépendance du pouvoir judiciaire et garantir l’impartialité de la justice dans le cadre des affaires relatives à la crise postélectorale de 2010-2011.</w:t>
            </w:r>
          </w:p>
          <w:p w14:paraId="45386C6C" w14:textId="615C5B39" w:rsidR="003B4185" w:rsidRPr="00306A83" w:rsidRDefault="006803DD">
            <w:pPr>
              <w:numPr>
                <w:ilvl w:val="0"/>
                <w:numId w:val="16"/>
              </w:numPr>
              <w:spacing w:after="16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Créer un mécanisme indépendant et efficace chargé de recevoir et d’enquêter sur les </w:t>
            </w:r>
            <w:r w:rsidRPr="00306A83">
              <w:rPr>
                <w:rFonts w:asciiTheme="majorBidi" w:eastAsia="Times New Roman" w:hAnsiTheme="majorBidi" w:cstheme="majorBidi"/>
              </w:rPr>
              <w:t>allégations de torture par les forces de police et de sécurité.</w:t>
            </w:r>
          </w:p>
        </w:tc>
      </w:tr>
    </w:tbl>
    <w:p w14:paraId="59EF1095" w14:textId="77777777" w:rsidR="003B4185" w:rsidRPr="00306A83" w:rsidRDefault="003B4185">
      <w:pPr>
        <w:jc w:val="both"/>
        <w:rPr>
          <w:rFonts w:asciiTheme="majorBidi" w:eastAsia="Times New Roman" w:hAnsiTheme="majorBidi" w:cstheme="majorBidi"/>
        </w:rPr>
      </w:pPr>
    </w:p>
    <w:p w14:paraId="435BF880" w14:textId="77777777" w:rsidR="003B4185" w:rsidRPr="00306A83" w:rsidRDefault="006803DD">
      <w:pPr>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3A590E35" w14:textId="016F8D64" w:rsidR="003B4185" w:rsidRPr="00FF3C17" w:rsidRDefault="006803DD" w:rsidP="00FF3C17">
      <w:pPr>
        <w:pStyle w:val="Heading1"/>
        <w:numPr>
          <w:ilvl w:val="0"/>
          <w:numId w:val="35"/>
        </w:numPr>
        <w:jc w:val="both"/>
      </w:pPr>
      <w:bookmarkStart w:id="43" w:name="_Toc168990382"/>
      <w:r w:rsidRPr="00FF3C17">
        <w:t>Le manque d’accès à la réparation et à la réhabilitation des victimes de torture (Article 14 de la Convention)</w:t>
      </w:r>
      <w:bookmarkEnd w:id="43"/>
    </w:p>
    <w:p w14:paraId="0582DA94" w14:textId="77777777" w:rsidR="003B4185" w:rsidRPr="00306A83" w:rsidRDefault="003B4185">
      <w:pPr>
        <w:spacing w:line="259" w:lineRule="auto"/>
        <w:jc w:val="both"/>
        <w:rPr>
          <w:rFonts w:asciiTheme="majorBidi" w:eastAsia="Times New Roman" w:hAnsiTheme="majorBidi" w:cstheme="majorBidi"/>
          <w:highlight w:val="yellow"/>
        </w:rPr>
      </w:pPr>
    </w:p>
    <w:p w14:paraId="38C0043B" w14:textId="7D756B92" w:rsidR="003B4185" w:rsidRPr="00306A83" w:rsidRDefault="006803DD" w:rsidP="00FF3C17">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cadre légal pour la réparation et la réhabilitation des victimes de </w:t>
      </w:r>
      <w:r w:rsidRPr="00306A83">
        <w:rPr>
          <w:rFonts w:asciiTheme="majorBidi" w:eastAsia="Times New Roman" w:hAnsiTheme="majorBidi" w:cstheme="majorBidi"/>
        </w:rPr>
        <w:t>torture et de mauvais traitements est lacunaire. Des milliers de victimes des différentes crises ivoiriennes depuis le début des années 2000 demeurent toujours sans aucune forme de réparation.</w:t>
      </w:r>
    </w:p>
    <w:p w14:paraId="396F1F6E" w14:textId="0F237CF5" w:rsidR="003B4185" w:rsidRPr="00306A83" w:rsidRDefault="006803DD" w:rsidP="00FF3C17">
      <w:pPr>
        <w:pStyle w:val="Heading2"/>
        <w:numPr>
          <w:ilvl w:val="0"/>
          <w:numId w:val="41"/>
        </w:numPr>
      </w:pPr>
      <w:bookmarkStart w:id="44" w:name="_Toc168990383"/>
      <w:r w:rsidRPr="00306A83">
        <w:t>L’absence de mécanisme général de réparation et de réhabilitati</w:t>
      </w:r>
      <w:r w:rsidRPr="00306A83">
        <w:t>on des victimes de torture et de mauvais traitements</w:t>
      </w:r>
      <w:bookmarkEnd w:id="44"/>
      <w:r w:rsidRPr="00306A83">
        <w:t xml:space="preserve"> </w:t>
      </w:r>
    </w:p>
    <w:p w14:paraId="77158A30" w14:textId="77777777" w:rsidR="003B4185" w:rsidRPr="00306A83" w:rsidRDefault="003B4185">
      <w:pPr>
        <w:spacing w:line="259" w:lineRule="auto"/>
        <w:jc w:val="both"/>
        <w:rPr>
          <w:rFonts w:asciiTheme="majorBidi" w:eastAsia="Times New Roman" w:hAnsiTheme="majorBidi" w:cstheme="majorBidi"/>
          <w:i/>
        </w:rPr>
      </w:pPr>
    </w:p>
    <w:p w14:paraId="10633B5E" w14:textId="77777777" w:rsidR="003B4185" w:rsidRPr="00306A83" w:rsidRDefault="006803DD">
      <w:pPr>
        <w:spacing w:line="259" w:lineRule="auto"/>
        <w:jc w:val="both"/>
        <w:rPr>
          <w:rFonts w:asciiTheme="majorBidi" w:eastAsia="Times New Roman" w:hAnsiTheme="majorBidi" w:cstheme="majorBidi"/>
          <w:highlight w:val="yellow"/>
        </w:rPr>
      </w:pPr>
      <w:r w:rsidRPr="00306A83">
        <w:rPr>
          <w:rFonts w:asciiTheme="majorBidi" w:eastAsia="Times New Roman" w:hAnsiTheme="majorBidi" w:cstheme="majorBidi"/>
        </w:rPr>
        <w:lastRenderedPageBreak/>
        <w:t>Il n’existe pas de dispositions expresses dans la législation interne ivoirienne établissant le droit des victimes d’actes de torture et de mauvais traitements à une indemnisation équitable et appropri</w:t>
      </w:r>
      <w:r w:rsidRPr="00306A83">
        <w:rPr>
          <w:rFonts w:asciiTheme="majorBidi" w:eastAsia="Times New Roman" w:hAnsiTheme="majorBidi" w:cstheme="majorBidi"/>
        </w:rPr>
        <w:t>ée, y compris les moyens nécessaires à leur réadaptation la plus complète possible, conformément à l’article 14 de la Convention contre la torture.</w:t>
      </w:r>
    </w:p>
    <w:p w14:paraId="49E9363A" w14:textId="77777777" w:rsidR="003B4185" w:rsidRPr="00306A83" w:rsidRDefault="003B4185">
      <w:pPr>
        <w:spacing w:line="259" w:lineRule="auto"/>
        <w:jc w:val="both"/>
        <w:rPr>
          <w:rFonts w:asciiTheme="majorBidi" w:eastAsia="Times New Roman" w:hAnsiTheme="majorBidi" w:cstheme="majorBidi"/>
          <w:highlight w:val="yellow"/>
        </w:rPr>
      </w:pPr>
    </w:p>
    <w:p w14:paraId="2352E600" w14:textId="1D50CD9A" w:rsidR="003B4185" w:rsidRPr="0017525C" w:rsidRDefault="006803DD" w:rsidP="0017525C">
      <w:p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Ainsi, il n’existe pas de centre spécialisé de réhabilitation et de réparation à l’exemple de Primo Levi</w:t>
      </w:r>
      <w:r w:rsidRPr="00306A83">
        <w:rPr>
          <w:rFonts w:asciiTheme="majorBidi" w:eastAsia="Times New Roman" w:hAnsiTheme="majorBidi" w:cstheme="majorBidi"/>
          <w:vertAlign w:val="superscript"/>
        </w:rPr>
        <w:footnoteReference w:id="104"/>
      </w:r>
      <w:r w:rsidRPr="00306A83">
        <w:rPr>
          <w:rFonts w:asciiTheme="majorBidi" w:eastAsia="Times New Roman" w:hAnsiTheme="majorBidi" w:cstheme="majorBidi"/>
        </w:rPr>
        <w:t xml:space="preserve"> en France, ce qui fait obstacle à la prise en charge effective des victimes de torture. </w:t>
      </w:r>
    </w:p>
    <w:p w14:paraId="3E4E503D" w14:textId="48727FBC" w:rsidR="003B4185" w:rsidRPr="00306A83" w:rsidRDefault="006803DD" w:rsidP="00FF3C17">
      <w:pPr>
        <w:pStyle w:val="Heading2"/>
        <w:numPr>
          <w:ilvl w:val="0"/>
          <w:numId w:val="41"/>
        </w:numPr>
        <w:jc w:val="both"/>
      </w:pPr>
      <w:bookmarkStart w:id="45" w:name="_Toc168990384"/>
      <w:r w:rsidRPr="00306A83">
        <w:t>L’absence de réparation et de réhabilitation des victimes de torture des différentes crises ivoiriennes</w:t>
      </w:r>
      <w:bookmarkEnd w:id="45"/>
      <w:r w:rsidRPr="00306A83">
        <w:tab/>
      </w:r>
      <w:r w:rsidRPr="00306A83">
        <w:tab/>
      </w:r>
      <w:r w:rsidRPr="00306A83">
        <w:tab/>
      </w:r>
      <w:r w:rsidRPr="00306A83">
        <w:tab/>
      </w:r>
    </w:p>
    <w:p w14:paraId="5D68FD83"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Les crises et conflits armés qui ont secoué la Côte d’Ivoi</w:t>
      </w:r>
      <w:r w:rsidRPr="00306A83">
        <w:rPr>
          <w:rFonts w:asciiTheme="majorBidi" w:eastAsia="Times New Roman" w:hAnsiTheme="majorBidi" w:cstheme="majorBidi"/>
        </w:rPr>
        <w:t xml:space="preserve">re au début et au cours des années 2000 ont été dévastatrices sur le plan des droits humains, en raison de la commission de nombreuses exécutions extrajudiciaires, massacres, violences sexuelles, disparitions forcées et nombre de cas de torture de la part </w:t>
      </w:r>
      <w:r w:rsidRPr="00306A83">
        <w:rPr>
          <w:rFonts w:asciiTheme="majorBidi" w:eastAsia="Times New Roman" w:hAnsiTheme="majorBidi" w:cstheme="majorBidi"/>
        </w:rPr>
        <w:t xml:space="preserve">des différents acteurs. De plus, la crise politique qui a suivi le second tour de l’élection présidentielle ivoirienne du 28 novembre 2010 a également été caractérisée par une vague de violences postélectorales impliquant différentes parties et entraînant </w:t>
      </w:r>
      <w:r w:rsidRPr="00306A83">
        <w:rPr>
          <w:rFonts w:asciiTheme="majorBidi" w:eastAsia="Times New Roman" w:hAnsiTheme="majorBidi" w:cstheme="majorBidi"/>
        </w:rPr>
        <w:t>la mort d’au moins 3.000 personnes. La CNE mentionnée plus haut a relevé pendant la seule période postélectorale 296 cas de torture ayant entraîné la mort, 1354 cas de torture et 1135 cas de traitements cruels, inhumains et dégradants</w:t>
      </w:r>
      <w:r w:rsidRPr="00306A83">
        <w:rPr>
          <w:rFonts w:asciiTheme="majorBidi" w:eastAsia="Times New Roman" w:hAnsiTheme="majorBidi" w:cstheme="majorBidi"/>
          <w:b/>
        </w:rPr>
        <w:t>.</w:t>
      </w:r>
      <w:r w:rsidRPr="00306A83">
        <w:rPr>
          <w:rFonts w:asciiTheme="majorBidi" w:eastAsia="Times New Roman" w:hAnsiTheme="majorBidi" w:cstheme="majorBidi"/>
          <w:b/>
          <w:i/>
        </w:rPr>
        <w:t xml:space="preserve"> </w:t>
      </w:r>
    </w:p>
    <w:p w14:paraId="1FD28420"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Alors que l’article</w:t>
      </w:r>
      <w:r w:rsidRPr="00306A83">
        <w:rPr>
          <w:rFonts w:asciiTheme="majorBidi" w:eastAsia="Times New Roman" w:hAnsiTheme="majorBidi" w:cstheme="majorBidi"/>
        </w:rPr>
        <w:t xml:space="preserve"> 14 de l’UNCAT prévoit explicitement que : « </w:t>
      </w:r>
      <w:r w:rsidRPr="00306A83">
        <w:rPr>
          <w:rFonts w:asciiTheme="majorBidi" w:eastAsia="Times New Roman" w:hAnsiTheme="majorBidi" w:cstheme="majorBidi"/>
          <w:i/>
        </w:rPr>
        <w:t xml:space="preserve">tout état partie garantit, dans son système juridique, à la victime d’un acte de torture, le droit d’obtenir </w:t>
      </w:r>
      <w:r w:rsidRPr="00306A83">
        <w:rPr>
          <w:rFonts w:asciiTheme="majorBidi" w:eastAsia="Times New Roman" w:hAnsiTheme="majorBidi" w:cstheme="majorBidi"/>
          <w:b/>
          <w:i/>
        </w:rPr>
        <w:t>réparation</w:t>
      </w:r>
      <w:r w:rsidRPr="00306A83">
        <w:rPr>
          <w:rFonts w:asciiTheme="majorBidi" w:eastAsia="Times New Roman" w:hAnsiTheme="majorBidi" w:cstheme="majorBidi"/>
          <w:i/>
        </w:rPr>
        <w:t xml:space="preserve"> et d’être i</w:t>
      </w:r>
      <w:r w:rsidRPr="00306A83">
        <w:rPr>
          <w:rFonts w:asciiTheme="majorBidi" w:eastAsia="Times New Roman" w:hAnsiTheme="majorBidi" w:cstheme="majorBidi"/>
          <w:b/>
          <w:i/>
        </w:rPr>
        <w:t>ndemnisée</w:t>
      </w:r>
      <w:r w:rsidRPr="00306A83">
        <w:rPr>
          <w:rFonts w:asciiTheme="majorBidi" w:eastAsia="Times New Roman" w:hAnsiTheme="majorBidi" w:cstheme="majorBidi"/>
          <w:i/>
        </w:rPr>
        <w:t xml:space="preserve"> équitablement et de manière adéquate, y compris les moyens nécessaires</w:t>
      </w:r>
      <w:r w:rsidRPr="00306A83">
        <w:rPr>
          <w:rFonts w:asciiTheme="majorBidi" w:eastAsia="Times New Roman" w:hAnsiTheme="majorBidi" w:cstheme="majorBidi"/>
          <w:i/>
        </w:rPr>
        <w:t xml:space="preserve"> à sa </w:t>
      </w:r>
      <w:r w:rsidRPr="00306A83">
        <w:rPr>
          <w:rFonts w:asciiTheme="majorBidi" w:eastAsia="Times New Roman" w:hAnsiTheme="majorBidi" w:cstheme="majorBidi"/>
          <w:b/>
          <w:i/>
        </w:rPr>
        <w:t xml:space="preserve">réadaptation </w:t>
      </w:r>
      <w:r w:rsidRPr="00306A83">
        <w:rPr>
          <w:rFonts w:asciiTheme="majorBidi" w:eastAsia="Times New Roman" w:hAnsiTheme="majorBidi" w:cstheme="majorBidi"/>
          <w:i/>
        </w:rPr>
        <w:t>la plus complète possible</w:t>
      </w:r>
      <w:r w:rsidRPr="00306A83">
        <w:rPr>
          <w:rFonts w:asciiTheme="majorBidi" w:eastAsia="Times New Roman" w:hAnsiTheme="majorBidi" w:cstheme="majorBidi"/>
        </w:rPr>
        <w:t>… » et que l’observation générale n°3 du CAT et l’Observation générale n°4 de la CADHP, donnent les directives sur le droit à réparation des victimes de torture et de mauvais traitements, la Côte d’Ivoire s’est q</w:t>
      </w:r>
      <w:r w:rsidRPr="00306A83">
        <w:rPr>
          <w:rFonts w:asciiTheme="majorBidi" w:eastAsia="Times New Roman" w:hAnsiTheme="majorBidi" w:cstheme="majorBidi"/>
        </w:rPr>
        <w:t xml:space="preserve">uasiment limitée à l’indemnisation. </w:t>
      </w:r>
    </w:p>
    <w:p w14:paraId="6A238AED"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Au mois de juillet 2011, la Commission Dialogue, </w:t>
      </w:r>
      <w:proofErr w:type="spellStart"/>
      <w:r w:rsidRPr="00306A83">
        <w:rPr>
          <w:rFonts w:asciiTheme="majorBidi" w:eastAsia="Times New Roman" w:hAnsiTheme="majorBidi" w:cstheme="majorBidi"/>
        </w:rPr>
        <w:t>Vérite</w:t>
      </w:r>
      <w:proofErr w:type="spellEnd"/>
      <w:r w:rsidRPr="00306A83">
        <w:rPr>
          <w:rFonts w:asciiTheme="majorBidi" w:eastAsia="Times New Roman" w:hAnsiTheme="majorBidi" w:cstheme="majorBidi"/>
        </w:rPr>
        <w:t xml:space="preserve">́ et </w:t>
      </w:r>
      <w:proofErr w:type="spellStart"/>
      <w:r w:rsidRPr="00306A83">
        <w:rPr>
          <w:rFonts w:asciiTheme="majorBidi" w:eastAsia="Times New Roman" w:hAnsiTheme="majorBidi" w:cstheme="majorBidi"/>
        </w:rPr>
        <w:t>Réconciliation</w:t>
      </w:r>
      <w:proofErr w:type="spellEnd"/>
      <w:r w:rsidRPr="00306A83">
        <w:rPr>
          <w:rFonts w:asciiTheme="majorBidi" w:eastAsia="Times New Roman" w:hAnsiTheme="majorBidi" w:cstheme="majorBidi"/>
        </w:rPr>
        <w:t xml:space="preserve"> (CDVR) a été créée dans le but de contribuer à la réconciliation et afin notamment </w:t>
      </w:r>
      <w:proofErr w:type="gramStart"/>
      <w:r w:rsidRPr="00306A83">
        <w:rPr>
          <w:rFonts w:asciiTheme="majorBidi" w:eastAsia="Times New Roman" w:hAnsiTheme="majorBidi" w:cstheme="majorBidi"/>
        </w:rPr>
        <w:t>d’ “</w:t>
      </w:r>
      <w:proofErr w:type="gramEnd"/>
      <w:r w:rsidRPr="00306A83">
        <w:rPr>
          <w:rFonts w:asciiTheme="majorBidi" w:eastAsia="Times New Roman" w:hAnsiTheme="majorBidi" w:cstheme="majorBidi"/>
          <w:i/>
        </w:rPr>
        <w:t>entendre les victimes, obtenir la reconnaissance des fa</w:t>
      </w:r>
      <w:r w:rsidRPr="00306A83">
        <w:rPr>
          <w:rFonts w:asciiTheme="majorBidi" w:eastAsia="Times New Roman" w:hAnsiTheme="majorBidi" w:cstheme="majorBidi"/>
          <w:i/>
        </w:rPr>
        <w:t>its par les auteurs des violations incriminées et le pardon consécutif</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05"/>
      </w:r>
      <w:r w:rsidRPr="00306A83">
        <w:rPr>
          <w:rFonts w:asciiTheme="majorBidi" w:eastAsia="Times New Roman" w:hAnsiTheme="majorBidi" w:cstheme="majorBidi"/>
        </w:rPr>
        <w:t xml:space="preserve"> Durant son mandat qui a duré 3 années, la CDVR a auditionné plus de 70.000 personnes sur toute l’étendue du territoire. La CDVR a rendu son rapport au mois de </w:t>
      </w:r>
      <w:proofErr w:type="spellStart"/>
      <w:r w:rsidRPr="00306A83">
        <w:rPr>
          <w:rFonts w:asciiTheme="majorBidi" w:eastAsia="Times New Roman" w:hAnsiTheme="majorBidi" w:cstheme="majorBidi"/>
        </w:rPr>
        <w:t>décembre</w:t>
      </w:r>
      <w:proofErr w:type="spellEnd"/>
      <w:r w:rsidRPr="00306A83">
        <w:rPr>
          <w:rFonts w:asciiTheme="majorBidi" w:eastAsia="Times New Roman" w:hAnsiTheme="majorBidi" w:cstheme="majorBidi"/>
        </w:rPr>
        <w:t xml:space="preserve"> 2014,</w:t>
      </w:r>
      <w:r w:rsidRPr="00306A83">
        <w:rPr>
          <w:rFonts w:asciiTheme="majorBidi" w:eastAsia="Times New Roman" w:hAnsiTheme="majorBidi" w:cstheme="majorBidi"/>
          <w:vertAlign w:val="superscript"/>
        </w:rPr>
        <w:footnoteReference w:id="106"/>
      </w:r>
      <w:r w:rsidRPr="00306A83">
        <w:rPr>
          <w:rFonts w:asciiTheme="majorBidi" w:eastAsia="Times New Roman" w:hAnsiTheme="majorBidi" w:cstheme="majorBidi"/>
        </w:rPr>
        <w:t xml:space="preserve"> mais celui-ci a eu un impact limité quant au but recherché et à la réparation effective des victimes. Il se borne à affirmer que toutes les violations des droits humains </w:t>
      </w:r>
      <w:proofErr w:type="spellStart"/>
      <w:r w:rsidRPr="00306A83">
        <w:rPr>
          <w:rFonts w:asciiTheme="majorBidi" w:eastAsia="Times New Roman" w:hAnsiTheme="majorBidi" w:cstheme="majorBidi"/>
        </w:rPr>
        <w:t>constatées</w:t>
      </w:r>
      <w:proofErr w:type="spellEnd"/>
      <w:r w:rsidRPr="00306A83">
        <w:rPr>
          <w:rFonts w:asciiTheme="majorBidi" w:eastAsia="Times New Roman" w:hAnsiTheme="majorBidi" w:cstheme="majorBidi"/>
        </w:rPr>
        <w:t xml:space="preserve"> peuvent donner lieu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des poursuites, mais ne contient aucune mention de</w:t>
      </w:r>
      <w:r w:rsidRPr="00306A83">
        <w:rPr>
          <w:rFonts w:asciiTheme="majorBidi" w:eastAsia="Times New Roman" w:hAnsiTheme="majorBidi" w:cstheme="majorBidi"/>
        </w:rPr>
        <w:t xml:space="preserve"> processus de justice </w:t>
      </w:r>
      <w:r w:rsidRPr="00306A83">
        <w:rPr>
          <w:rFonts w:asciiTheme="majorBidi" w:eastAsia="Times New Roman" w:hAnsiTheme="majorBidi" w:cstheme="majorBidi"/>
        </w:rPr>
        <w:lastRenderedPageBreak/>
        <w:t>pénale.</w:t>
      </w:r>
      <w:r w:rsidRPr="00306A83">
        <w:rPr>
          <w:rFonts w:asciiTheme="majorBidi" w:eastAsia="Times New Roman" w:hAnsiTheme="majorBidi" w:cstheme="majorBidi"/>
          <w:vertAlign w:val="superscript"/>
        </w:rPr>
        <w:footnoteReference w:id="107"/>
      </w:r>
      <w:r w:rsidRPr="00306A83">
        <w:rPr>
          <w:rFonts w:asciiTheme="majorBidi" w:eastAsia="Times New Roman" w:hAnsiTheme="majorBidi" w:cstheme="majorBidi"/>
        </w:rPr>
        <w:t xml:space="preserve"> Au mois d’octobre 2016, le rapport a finalement été rendu public.</w:t>
      </w:r>
      <w:r w:rsidRPr="00306A83">
        <w:rPr>
          <w:rFonts w:asciiTheme="majorBidi" w:eastAsia="Times New Roman" w:hAnsiTheme="majorBidi" w:cstheme="majorBidi"/>
          <w:vertAlign w:val="superscript"/>
        </w:rPr>
        <w:footnoteReference w:id="108"/>
      </w:r>
      <w:r w:rsidRPr="00306A83">
        <w:rPr>
          <w:rFonts w:asciiTheme="majorBidi" w:eastAsia="Times New Roman" w:hAnsiTheme="majorBidi" w:cstheme="majorBidi"/>
        </w:rPr>
        <w:t xml:space="preserve"> Il relève 5501 cas de torture et de mauvais traitements et 2601 cas d’enlèvement et de séquestration. </w:t>
      </w:r>
    </w:p>
    <w:p w14:paraId="709594FD"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En 2015, le Comité des droits de l’Homme des Nations-</w:t>
      </w:r>
      <w:r w:rsidRPr="00306A83">
        <w:rPr>
          <w:rFonts w:asciiTheme="majorBidi" w:eastAsia="Times New Roman" w:hAnsiTheme="majorBidi" w:cstheme="majorBidi"/>
        </w:rPr>
        <w:t>unies s’est dit préoccupé par “</w:t>
      </w:r>
      <w:r w:rsidRPr="00306A83">
        <w:rPr>
          <w:rFonts w:asciiTheme="majorBidi" w:eastAsia="Times New Roman" w:hAnsiTheme="majorBidi" w:cstheme="majorBidi"/>
          <w:i/>
        </w:rPr>
        <w:t>certaines défaillances dans le processus mené par la Commission Dialogue, vérité et réconciliation, notamment l’absence de transparence dans la sélection des victimes à auditionner, les difficultés d’accès aux victimes vivant</w:t>
      </w:r>
      <w:r w:rsidRPr="00306A83">
        <w:rPr>
          <w:rFonts w:asciiTheme="majorBidi" w:eastAsia="Times New Roman" w:hAnsiTheme="majorBidi" w:cstheme="majorBidi"/>
          <w:i/>
        </w:rPr>
        <w:t xml:space="preserve"> dans les zones les plus reculées et l’absence de publicité des débats</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09"/>
      </w:r>
      <w:r w:rsidRPr="00306A83">
        <w:rPr>
          <w:rFonts w:asciiTheme="majorBidi" w:eastAsia="Times New Roman" w:hAnsiTheme="majorBidi" w:cstheme="majorBidi"/>
        </w:rPr>
        <w:t xml:space="preserve"> De plus, des critiques avaient émergé quant à l’indépendance de cet organe en raison de l’affiliation politique de son Président. </w:t>
      </w:r>
    </w:p>
    <w:p w14:paraId="3581A785"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Par ailleurs, la tenue des audiences a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marqu</w:t>
      </w:r>
      <w:r w:rsidRPr="00306A83">
        <w:rPr>
          <w:rFonts w:asciiTheme="majorBidi" w:eastAsia="Times New Roman" w:hAnsiTheme="majorBidi" w:cstheme="majorBidi"/>
        </w:rPr>
        <w:t>ée</w:t>
      </w:r>
      <w:proofErr w:type="spellEnd"/>
      <w:r w:rsidRPr="00306A83">
        <w:rPr>
          <w:rFonts w:asciiTheme="majorBidi" w:eastAsia="Times New Roman" w:hAnsiTheme="majorBidi" w:cstheme="majorBidi"/>
        </w:rPr>
        <w:t xml:space="preserve"> par la </w:t>
      </w:r>
      <w:proofErr w:type="spellStart"/>
      <w:r w:rsidRPr="00306A83">
        <w:rPr>
          <w:rFonts w:asciiTheme="majorBidi" w:eastAsia="Times New Roman" w:hAnsiTheme="majorBidi" w:cstheme="majorBidi"/>
        </w:rPr>
        <w:t>présence</w:t>
      </w:r>
      <w:proofErr w:type="spellEnd"/>
      <w:r w:rsidRPr="00306A83">
        <w:rPr>
          <w:rFonts w:asciiTheme="majorBidi" w:eastAsia="Times New Roman" w:hAnsiTheme="majorBidi" w:cstheme="majorBidi"/>
        </w:rPr>
        <w:t xml:space="preserve"> d’anciens militaires et chefs de guerre pendant le conflit en 2010 ce qui a fortement entravé le témoignage des victimes.</w:t>
      </w:r>
      <w:r w:rsidRPr="00306A83">
        <w:rPr>
          <w:rFonts w:asciiTheme="majorBidi" w:eastAsia="Times New Roman" w:hAnsiTheme="majorBidi" w:cstheme="majorBidi"/>
          <w:vertAlign w:val="superscript"/>
        </w:rPr>
        <w:footnoteReference w:id="110"/>
      </w:r>
      <w:r w:rsidRPr="00306A83">
        <w:rPr>
          <w:rFonts w:asciiTheme="majorBidi" w:eastAsia="Times New Roman" w:hAnsiTheme="majorBidi" w:cstheme="majorBidi"/>
        </w:rPr>
        <w:t xml:space="preserve"> Le </w:t>
      </w:r>
      <w:proofErr w:type="spellStart"/>
      <w:r w:rsidRPr="00306A83">
        <w:rPr>
          <w:rFonts w:asciiTheme="majorBidi" w:eastAsia="Times New Roman" w:hAnsiTheme="majorBidi" w:cstheme="majorBidi"/>
        </w:rPr>
        <w:t>déroulement</w:t>
      </w:r>
      <w:proofErr w:type="spellEnd"/>
      <w:r w:rsidRPr="00306A83">
        <w:rPr>
          <w:rFonts w:asciiTheme="majorBidi" w:eastAsia="Times New Roman" w:hAnsiTheme="majorBidi" w:cstheme="majorBidi"/>
        </w:rPr>
        <w:t xml:space="preserve"> des audiences a également mis en exergue l’insuffisance de soutien psychologique mis en œuvre p</w:t>
      </w:r>
      <w:r w:rsidRPr="00306A83">
        <w:rPr>
          <w:rFonts w:asciiTheme="majorBidi" w:eastAsia="Times New Roman" w:hAnsiTheme="majorBidi" w:cstheme="majorBidi"/>
        </w:rPr>
        <w:t>our accompagner les victimes en amont et au cours de leurs auditions publiques.</w:t>
      </w:r>
      <w:r w:rsidRPr="00306A83">
        <w:rPr>
          <w:rFonts w:asciiTheme="majorBidi" w:eastAsia="Times New Roman" w:hAnsiTheme="majorBidi" w:cstheme="majorBidi"/>
          <w:vertAlign w:val="superscript"/>
        </w:rPr>
        <w:footnoteReference w:id="111"/>
      </w:r>
      <w:r w:rsidRPr="00306A83">
        <w:rPr>
          <w:rFonts w:asciiTheme="majorBidi" w:eastAsia="Times New Roman" w:hAnsiTheme="majorBidi" w:cstheme="majorBidi"/>
        </w:rPr>
        <w:t xml:space="preserve"> </w:t>
      </w:r>
    </w:p>
    <w:p w14:paraId="4A046BAA"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Au mois de mars 2015, la Commission nationale pour la </w:t>
      </w:r>
      <w:proofErr w:type="spellStart"/>
      <w:r w:rsidRPr="00306A83">
        <w:rPr>
          <w:rFonts w:asciiTheme="majorBidi" w:eastAsia="Times New Roman" w:hAnsiTheme="majorBidi" w:cstheme="majorBidi"/>
        </w:rPr>
        <w:t>Réconciliation</w:t>
      </w:r>
      <w:proofErr w:type="spellEnd"/>
      <w:r w:rsidRPr="00306A83">
        <w:rPr>
          <w:rFonts w:asciiTheme="majorBidi" w:eastAsia="Times New Roman" w:hAnsiTheme="majorBidi" w:cstheme="majorBidi"/>
        </w:rPr>
        <w:t xml:space="preserve"> et Indemnisation des Victimes (CONARIV) a </w:t>
      </w:r>
      <w:proofErr w:type="spellStart"/>
      <w:r w:rsidRPr="00306A83">
        <w:rPr>
          <w:rFonts w:asciiTheme="majorBidi" w:eastAsia="Times New Roman" w:hAnsiTheme="majorBidi" w:cstheme="majorBidi"/>
        </w:rPr>
        <w:t>éte</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créée</w:t>
      </w:r>
      <w:proofErr w:type="spellEnd"/>
      <w:r w:rsidRPr="00306A83">
        <w:rPr>
          <w:rFonts w:asciiTheme="majorBidi" w:eastAsia="Times New Roman" w:hAnsiTheme="majorBidi" w:cstheme="majorBidi"/>
        </w:rPr>
        <w:t xml:space="preserve"> pour parachever les travaux de la CDVR et se ch</w:t>
      </w:r>
      <w:r w:rsidRPr="00306A83">
        <w:rPr>
          <w:rFonts w:asciiTheme="majorBidi" w:eastAsia="Times New Roman" w:hAnsiTheme="majorBidi" w:cstheme="majorBidi"/>
        </w:rPr>
        <w:t>arger de l’indemnisation des victimes des différentes crises.</w:t>
      </w:r>
      <w:r w:rsidRPr="00306A83">
        <w:rPr>
          <w:rFonts w:asciiTheme="majorBidi" w:eastAsia="Times New Roman" w:hAnsiTheme="majorBidi" w:cstheme="majorBidi"/>
          <w:vertAlign w:val="superscript"/>
        </w:rPr>
        <w:footnoteReference w:id="112"/>
      </w:r>
      <w:r w:rsidRPr="00306A83">
        <w:rPr>
          <w:rFonts w:asciiTheme="majorBidi" w:eastAsia="Times New Roman" w:hAnsiTheme="majorBidi" w:cstheme="majorBidi"/>
        </w:rPr>
        <w:t xml:space="preserve"> </w:t>
      </w:r>
    </w:p>
    <w:p w14:paraId="26A32423"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Le mandat de la CONARIV était de produire une liste unique consolidée de toutes les victimes des crises ivoiriennes et de superviser la mise en œuvre du programme de réparation.</w:t>
      </w:r>
      <w:r w:rsidRPr="00306A83">
        <w:rPr>
          <w:rFonts w:asciiTheme="majorBidi" w:eastAsia="Times New Roman" w:hAnsiTheme="majorBidi" w:cstheme="majorBidi"/>
          <w:vertAlign w:val="superscript"/>
        </w:rPr>
        <w:footnoteReference w:id="113"/>
      </w:r>
      <w:r w:rsidRPr="00306A83">
        <w:rPr>
          <w:rFonts w:asciiTheme="majorBidi" w:eastAsia="Times New Roman" w:hAnsiTheme="majorBidi" w:cstheme="majorBidi"/>
        </w:rPr>
        <w:t xml:space="preserve"> Selon le ra</w:t>
      </w:r>
      <w:r w:rsidRPr="00306A83">
        <w:rPr>
          <w:rFonts w:asciiTheme="majorBidi" w:eastAsia="Times New Roman" w:hAnsiTheme="majorBidi" w:cstheme="majorBidi"/>
        </w:rPr>
        <w:t>pport final de la CONARIV, sur les 874.056 dossiers réceptionnés, 316.954 ont été validés (soit 36 %).</w:t>
      </w:r>
      <w:r w:rsidRPr="00306A83">
        <w:rPr>
          <w:rFonts w:asciiTheme="majorBidi" w:eastAsia="Times New Roman" w:hAnsiTheme="majorBidi" w:cstheme="majorBidi"/>
          <w:vertAlign w:val="superscript"/>
        </w:rPr>
        <w:footnoteReference w:id="114"/>
      </w:r>
      <w:r w:rsidRPr="00306A83">
        <w:rPr>
          <w:rFonts w:asciiTheme="majorBidi" w:eastAsia="Times New Roman" w:hAnsiTheme="majorBidi" w:cstheme="majorBidi"/>
        </w:rPr>
        <w:t xml:space="preserve"> Ces victimes seront indemnisées pour les exactions commises entre 1990 et 2011. Selon le rapport, 0,77 % des personnes concernées ont été victimes de v</w:t>
      </w:r>
      <w:r w:rsidRPr="00306A83">
        <w:rPr>
          <w:rFonts w:asciiTheme="majorBidi" w:eastAsia="Times New Roman" w:hAnsiTheme="majorBidi" w:cstheme="majorBidi"/>
        </w:rPr>
        <w:t>iolences basées sur le genre, 8,45 % victimes de blessures graves, 6% ont perdu un proche (meurtres et/ou disparitions) et 84,78 % ont été victimes de destructions de biens. Sur la base de cette liste, une grille d’indemnisation a été établie avec un budge</w:t>
      </w:r>
      <w:r w:rsidRPr="00306A83">
        <w:rPr>
          <w:rFonts w:asciiTheme="majorBidi" w:eastAsia="Times New Roman" w:hAnsiTheme="majorBidi" w:cstheme="majorBidi"/>
        </w:rPr>
        <w:t xml:space="preserve">t total de 10 milliards de Francs CFA. Le mandat de la CONARIV s’est achevé en 2017, laissant le </w:t>
      </w:r>
      <w:proofErr w:type="gramStart"/>
      <w:r w:rsidRPr="00306A83">
        <w:rPr>
          <w:rFonts w:asciiTheme="majorBidi" w:eastAsia="Times New Roman" w:hAnsiTheme="majorBidi" w:cstheme="majorBidi"/>
        </w:rPr>
        <w:t>Ministère</w:t>
      </w:r>
      <w:proofErr w:type="gramEnd"/>
      <w:r w:rsidRPr="00306A83">
        <w:rPr>
          <w:rFonts w:asciiTheme="majorBidi" w:eastAsia="Times New Roman" w:hAnsiTheme="majorBidi" w:cstheme="majorBidi"/>
        </w:rPr>
        <w:t xml:space="preserve"> de la Solidarité et de la Cohésion Nationale en charge des questions résiduelles. </w:t>
      </w:r>
    </w:p>
    <w:p w14:paraId="5BAE2236"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Faisant un premier bilan de la phase pilote de l’indemnisation des</w:t>
      </w:r>
      <w:r w:rsidRPr="00306A83">
        <w:rPr>
          <w:rFonts w:asciiTheme="majorBidi" w:eastAsia="Times New Roman" w:hAnsiTheme="majorBidi" w:cstheme="majorBidi"/>
        </w:rPr>
        <w:t xml:space="preserve"> victimes, la Ministre en charge de la Solidarité, </w:t>
      </w:r>
      <w:proofErr w:type="spellStart"/>
      <w:r w:rsidRPr="00306A83">
        <w:rPr>
          <w:rFonts w:asciiTheme="majorBidi" w:eastAsia="Times New Roman" w:hAnsiTheme="majorBidi" w:cstheme="majorBidi"/>
        </w:rPr>
        <w:t>Mariatou</w:t>
      </w:r>
      <w:proofErr w:type="spellEnd"/>
      <w:r w:rsidRPr="00306A83">
        <w:rPr>
          <w:rFonts w:asciiTheme="majorBidi" w:eastAsia="Times New Roman" w:hAnsiTheme="majorBidi" w:cstheme="majorBidi"/>
        </w:rPr>
        <w:t xml:space="preserve"> Koné, a annoncé, le 2 mai 2018 à Abidjan, que globalement </w:t>
      </w:r>
      <w:r w:rsidRPr="00306A83">
        <w:rPr>
          <w:rFonts w:asciiTheme="majorBidi" w:eastAsia="Times New Roman" w:hAnsiTheme="majorBidi" w:cstheme="majorBidi"/>
        </w:rPr>
        <w:lastRenderedPageBreak/>
        <w:t>3,8 milliards de FCFA ont été distribués aux ayants droit des victimes.</w:t>
      </w:r>
      <w:r w:rsidRPr="00306A83">
        <w:rPr>
          <w:rFonts w:asciiTheme="majorBidi" w:eastAsia="Times New Roman" w:hAnsiTheme="majorBidi" w:cstheme="majorBidi"/>
          <w:vertAlign w:val="superscript"/>
        </w:rPr>
        <w:footnoteReference w:id="115"/>
      </w:r>
      <w:r w:rsidRPr="00306A83">
        <w:rPr>
          <w:rFonts w:asciiTheme="majorBidi" w:eastAsia="Times New Roman" w:hAnsiTheme="majorBidi" w:cstheme="majorBidi"/>
        </w:rPr>
        <w:t xml:space="preserve"> Pendant cette opération, un chèque d’un montant de 1 000 000 de </w:t>
      </w:r>
      <w:r w:rsidRPr="00306A83">
        <w:rPr>
          <w:rFonts w:asciiTheme="majorBidi" w:eastAsia="Times New Roman" w:hAnsiTheme="majorBidi" w:cstheme="majorBidi"/>
        </w:rPr>
        <w:t xml:space="preserve">FCFA a été remis aux ayants droit de chaque personne décédée, tandis qu’un chèque de 150 000 FCFA et des bons de prise en charge médicale ont été alloués à chaque blessé. 4 500 victimes étaient concernées par cette phase pilote. Elle a, cependant, précisé </w:t>
      </w:r>
      <w:r w:rsidRPr="00306A83">
        <w:rPr>
          <w:rFonts w:asciiTheme="majorBidi" w:eastAsia="Times New Roman" w:hAnsiTheme="majorBidi" w:cstheme="majorBidi"/>
        </w:rPr>
        <w:t xml:space="preserve">que la prise en charge médicale est faite par le </w:t>
      </w:r>
      <w:proofErr w:type="gramStart"/>
      <w:r w:rsidRPr="00306A83">
        <w:rPr>
          <w:rFonts w:asciiTheme="majorBidi" w:eastAsia="Times New Roman" w:hAnsiTheme="majorBidi" w:cstheme="majorBidi"/>
        </w:rPr>
        <w:t>Ministère</w:t>
      </w:r>
      <w:proofErr w:type="gramEnd"/>
      <w:r w:rsidRPr="00306A83">
        <w:rPr>
          <w:rFonts w:asciiTheme="majorBidi" w:eastAsia="Times New Roman" w:hAnsiTheme="majorBidi" w:cstheme="majorBidi"/>
        </w:rPr>
        <w:t xml:space="preserve"> de la Santé et de l’Hygiène publique. </w:t>
      </w:r>
    </w:p>
    <w:p w14:paraId="4263671B"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A ce jour, il ne nous a pas été possible d’avoir des statistiques désagrégées des victimes de torture et de mauvais traitements qui ont bénéficié de l’indemni</w:t>
      </w:r>
      <w:r w:rsidRPr="00306A83">
        <w:rPr>
          <w:rFonts w:asciiTheme="majorBidi" w:eastAsia="Times New Roman" w:hAnsiTheme="majorBidi" w:cstheme="majorBidi"/>
        </w:rPr>
        <w:t>sation et des prises en charges de ce Ministère. Ce mécanisme d’indemnisation issue de la justice transitionnelle a plutôt tendance à réduire les victimes de torture et de mauvais en cas sociaux. Elles sont d’ailleurs placées sous la responsabilité d’un Mi</w:t>
      </w:r>
      <w:r w:rsidRPr="00306A83">
        <w:rPr>
          <w:rFonts w:asciiTheme="majorBidi" w:eastAsia="Times New Roman" w:hAnsiTheme="majorBidi" w:cstheme="majorBidi"/>
        </w:rPr>
        <w:t>nistère en charge des Affaires sociales. Elles se retrouvent ainsi dans une situation de fragilité et d’indignité. Dans le même temps, certains bourreaux</w:t>
      </w:r>
      <w:r w:rsidRPr="00306A83">
        <w:rPr>
          <w:rFonts w:asciiTheme="majorBidi" w:eastAsia="Times New Roman" w:hAnsiTheme="majorBidi" w:cstheme="majorBidi"/>
          <w:vertAlign w:val="superscript"/>
        </w:rPr>
        <w:footnoteReference w:id="116"/>
      </w:r>
      <w:r w:rsidRPr="00306A83">
        <w:rPr>
          <w:rFonts w:asciiTheme="majorBidi" w:eastAsia="Times New Roman" w:hAnsiTheme="majorBidi" w:cstheme="majorBidi"/>
        </w:rPr>
        <w:t xml:space="preserve"> bien qu’épinglés par la justice nationale et internationale, n’ont jamais été inquiétés. Pire certai</w:t>
      </w:r>
      <w:r w:rsidRPr="00306A83">
        <w:rPr>
          <w:rFonts w:asciiTheme="majorBidi" w:eastAsia="Times New Roman" w:hAnsiTheme="majorBidi" w:cstheme="majorBidi"/>
        </w:rPr>
        <w:t xml:space="preserve">ns parmi eux ont connu des promotions érigeant ainsi l’impunité en mode de gestion et remettant en cause le principe de </w:t>
      </w:r>
      <w:proofErr w:type="gramStart"/>
      <w:r w:rsidRPr="00306A83">
        <w:rPr>
          <w:rFonts w:asciiTheme="majorBidi" w:eastAsia="Times New Roman" w:hAnsiTheme="majorBidi" w:cstheme="majorBidi"/>
        </w:rPr>
        <w:t>non répétition</w:t>
      </w:r>
      <w:proofErr w:type="gramEnd"/>
      <w:r w:rsidRPr="00306A83">
        <w:rPr>
          <w:rFonts w:asciiTheme="majorBidi" w:eastAsia="Times New Roman" w:hAnsiTheme="majorBidi" w:cstheme="majorBidi"/>
        </w:rPr>
        <w:t xml:space="preserve">. </w:t>
      </w:r>
    </w:p>
    <w:p w14:paraId="7A774974"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cas de Monsieur Zoumana </w:t>
      </w:r>
      <w:proofErr w:type="spellStart"/>
      <w:r w:rsidRPr="00306A83">
        <w:rPr>
          <w:rFonts w:asciiTheme="majorBidi" w:eastAsia="Times New Roman" w:hAnsiTheme="majorBidi" w:cstheme="majorBidi"/>
        </w:rPr>
        <w:t>Sorifing</w:t>
      </w:r>
      <w:proofErr w:type="spellEnd"/>
      <w:r w:rsidRPr="00306A83">
        <w:rPr>
          <w:rFonts w:asciiTheme="majorBidi" w:eastAsia="Times New Roman" w:hAnsiTheme="majorBidi" w:cstheme="majorBidi"/>
        </w:rPr>
        <w:t xml:space="preserve"> Traoré et de ses deux cousins victimes de disparitions forcées le 23 septembre 2002</w:t>
      </w:r>
      <w:r w:rsidRPr="00306A83">
        <w:rPr>
          <w:rFonts w:asciiTheme="majorBidi" w:eastAsia="Times New Roman" w:hAnsiTheme="majorBidi" w:cstheme="majorBidi"/>
        </w:rPr>
        <w:t xml:space="preserve"> en est l'illustration parfaite. Alors que le Comité des droits de l’homme de l’ONU a reconnu en 2011 que l0Etat de Cote d’ivoire était responsable des actes de torture, exécutions extrajudiciaires, détention </w:t>
      </w:r>
      <w:proofErr w:type="spellStart"/>
      <w:r w:rsidRPr="00306A83">
        <w:rPr>
          <w:rFonts w:asciiTheme="majorBidi" w:eastAsia="Times New Roman" w:hAnsiTheme="majorBidi" w:cstheme="majorBidi"/>
        </w:rPr>
        <w:t>sécrete</w:t>
      </w:r>
      <w:proofErr w:type="spellEnd"/>
      <w:r w:rsidRPr="00306A83">
        <w:rPr>
          <w:rFonts w:asciiTheme="majorBidi" w:eastAsia="Times New Roman" w:hAnsiTheme="majorBidi" w:cstheme="majorBidi"/>
        </w:rPr>
        <w:t xml:space="preserve"> dans des conditions inhumaines et de di</w:t>
      </w:r>
      <w:r w:rsidRPr="00306A83">
        <w:rPr>
          <w:rFonts w:asciiTheme="majorBidi" w:eastAsia="Times New Roman" w:hAnsiTheme="majorBidi" w:cstheme="majorBidi"/>
        </w:rPr>
        <w:t>sparitions forcées, il n’a jamais à ce jour obtenu réparation et des enquêtes n’ont jamais ouvertes pour retrouver ses deux cousins, pour identifier les auteurs de ces crimes et les traduire devant les tribunaux</w:t>
      </w:r>
      <w:r w:rsidRPr="00306A83">
        <w:rPr>
          <w:rFonts w:asciiTheme="majorBidi" w:eastAsia="Times New Roman" w:hAnsiTheme="majorBidi" w:cstheme="majorBidi"/>
          <w:vertAlign w:val="superscript"/>
        </w:rPr>
        <w:footnoteReference w:id="117"/>
      </w:r>
      <w:r w:rsidRPr="00306A83">
        <w:rPr>
          <w:rFonts w:asciiTheme="majorBidi" w:eastAsia="Times New Roman" w:hAnsiTheme="majorBidi" w:cstheme="majorBidi"/>
        </w:rPr>
        <w:t xml:space="preserve">. </w:t>
      </w:r>
    </w:p>
    <w:p w14:paraId="4D49CE64"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Une autre situation est relative aux vic</w:t>
      </w:r>
      <w:r w:rsidRPr="00306A83">
        <w:rPr>
          <w:rFonts w:asciiTheme="majorBidi" w:eastAsia="Times New Roman" w:hAnsiTheme="majorBidi" w:cstheme="majorBidi"/>
        </w:rPr>
        <w:t>times de torture et de mauvais traitements qui, réduit à l’indigence, n’ont pu produire une preuve de leur état. En effet, le certificat médical reste une preuve matérielle importante. Or, il coûte actuellement environ 50 000 FCFA. Ce qui constitue une lim</w:t>
      </w:r>
      <w:r w:rsidRPr="00306A83">
        <w:rPr>
          <w:rFonts w:asciiTheme="majorBidi" w:eastAsia="Times New Roman" w:hAnsiTheme="majorBidi" w:cstheme="majorBidi"/>
        </w:rPr>
        <w:t xml:space="preserve">ite dans le processus de justice, de réparation et de réhabilitation. </w:t>
      </w:r>
    </w:p>
    <w:p w14:paraId="237FB7B5" w14:textId="77777777" w:rsidR="003B4185" w:rsidRPr="00306A83" w:rsidRDefault="006803DD">
      <w:pPr>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17 janvier 2019, la Ministre ivoirienne en charge de la Solidarité et de la Cohésion sociale a procédé à l’indemnisation de 185 victimes dont 147 </w:t>
      </w:r>
      <w:proofErr w:type="spellStart"/>
      <w:r w:rsidRPr="00306A83">
        <w:rPr>
          <w:rFonts w:asciiTheme="majorBidi" w:eastAsia="Times New Roman" w:hAnsiTheme="majorBidi" w:cstheme="majorBidi"/>
        </w:rPr>
        <w:t>ayants-droit</w:t>
      </w:r>
      <w:proofErr w:type="spellEnd"/>
      <w:r w:rsidRPr="00306A83">
        <w:rPr>
          <w:rFonts w:asciiTheme="majorBidi" w:eastAsia="Times New Roman" w:hAnsiTheme="majorBidi" w:cstheme="majorBidi"/>
        </w:rPr>
        <w:t xml:space="preserve"> de personnes décédées d</w:t>
      </w:r>
      <w:r w:rsidRPr="00306A83">
        <w:rPr>
          <w:rFonts w:asciiTheme="majorBidi" w:eastAsia="Times New Roman" w:hAnsiTheme="majorBidi" w:cstheme="majorBidi"/>
        </w:rPr>
        <w:t>u fait des crises survenues en Côte d’Ivoire. Chaque ayant-droit de personne décédée a reçu symboliquement un chèque d’un million de FCFA ainsi que des bons de prise en charge médicale et ou psychologique.</w:t>
      </w:r>
      <w:r w:rsidRPr="00306A83">
        <w:rPr>
          <w:rFonts w:asciiTheme="majorBidi" w:eastAsia="Times New Roman" w:hAnsiTheme="majorBidi" w:cstheme="majorBidi"/>
          <w:vertAlign w:val="superscript"/>
        </w:rPr>
        <w:footnoteReference w:id="118"/>
      </w:r>
      <w:r w:rsidRPr="00306A83">
        <w:rPr>
          <w:rFonts w:asciiTheme="majorBidi" w:eastAsia="Times New Roman" w:hAnsiTheme="majorBidi" w:cstheme="majorBidi"/>
        </w:rPr>
        <w:t xml:space="preserve"> S’agissant des autres victimes des crises ivoiriennes identifiées par la CONARIV, à ce jour, aucune information ne permet d’établir qu’elles ont bénéficié d’une indemnisation et d’un programme de réhabilitation adapté.</w:t>
      </w:r>
    </w:p>
    <w:p w14:paraId="75B76B60" w14:textId="77777777" w:rsidR="003B4185" w:rsidRPr="00306A83" w:rsidRDefault="006803DD">
      <w:pPr>
        <w:spacing w:before="240" w:after="240" w:line="259" w:lineRule="auto"/>
        <w:jc w:val="both"/>
        <w:rPr>
          <w:rFonts w:asciiTheme="majorBidi" w:eastAsia="Times New Roman" w:hAnsiTheme="majorBidi" w:cstheme="majorBidi"/>
          <w:i/>
          <w:highlight w:val="yellow"/>
        </w:rPr>
      </w:pPr>
      <w:r w:rsidRPr="00306A83">
        <w:rPr>
          <w:rFonts w:asciiTheme="majorBidi" w:eastAsia="Times New Roman" w:hAnsiTheme="majorBidi" w:cstheme="majorBidi"/>
        </w:rPr>
        <w:t>Il convient de relever que le foncti</w:t>
      </w:r>
      <w:r w:rsidRPr="00306A83">
        <w:rPr>
          <w:rFonts w:asciiTheme="majorBidi" w:eastAsia="Times New Roman" w:hAnsiTheme="majorBidi" w:cstheme="majorBidi"/>
        </w:rPr>
        <w:t xml:space="preserve">onnement de cette Commission demeure peu transparent. En effet, les critères ayant permis la sélection des 316.954 victimes pouvant recevoir une </w:t>
      </w:r>
      <w:r w:rsidRPr="00306A83">
        <w:rPr>
          <w:rFonts w:asciiTheme="majorBidi" w:eastAsia="Times New Roman" w:hAnsiTheme="majorBidi" w:cstheme="majorBidi"/>
        </w:rPr>
        <w:lastRenderedPageBreak/>
        <w:t>indemnisation sont inconnus, et il n’y a notamment pas de définition précise du statut de “victime des crises i</w:t>
      </w:r>
      <w:r w:rsidRPr="00306A83">
        <w:rPr>
          <w:rFonts w:asciiTheme="majorBidi" w:eastAsia="Times New Roman" w:hAnsiTheme="majorBidi" w:cstheme="majorBidi"/>
        </w:rPr>
        <w:t>voiriennes”. À ce jour, la liste des victimes identifiées n’a pas été rendue publique. Il convient de noter que l'État partie reste silencieux sur ce point dans son rapport initial.</w:t>
      </w:r>
      <w:r w:rsidRPr="00306A83">
        <w:rPr>
          <w:rFonts w:asciiTheme="majorBidi" w:eastAsia="Times New Roman" w:hAnsiTheme="majorBidi" w:cstheme="majorBidi"/>
          <w:vertAlign w:val="superscript"/>
        </w:rPr>
        <w:footnoteReference w:id="119"/>
      </w:r>
    </w:p>
    <w:tbl>
      <w:tblPr>
        <w:tblStyle w:val="a9"/>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6D82672A" w14:textId="77777777">
        <w:tc>
          <w:tcPr>
            <w:tcW w:w="9066" w:type="dxa"/>
            <w:shd w:val="clear" w:color="auto" w:fill="auto"/>
            <w:tcMar>
              <w:top w:w="100" w:type="dxa"/>
              <w:left w:w="100" w:type="dxa"/>
              <w:bottom w:w="100" w:type="dxa"/>
              <w:right w:w="100" w:type="dxa"/>
            </w:tcMar>
          </w:tcPr>
          <w:p w14:paraId="189F2CCD" w14:textId="3EB04C97"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Recommandations</w:t>
            </w:r>
            <w:r w:rsidRPr="00306A83">
              <w:rPr>
                <w:rFonts w:asciiTheme="majorBidi" w:eastAsia="Times New Roman" w:hAnsiTheme="majorBidi" w:cstheme="majorBidi"/>
              </w:rPr>
              <w:t xml:space="preserve"> :</w:t>
            </w:r>
          </w:p>
          <w:p w14:paraId="2D866FBE" w14:textId="77777777" w:rsidR="003B4185" w:rsidRPr="00FF3C17" w:rsidRDefault="006803DD">
            <w:pPr>
              <w:numPr>
                <w:ilvl w:val="0"/>
                <w:numId w:val="25"/>
              </w:numPr>
              <w:spacing w:before="240" w:line="259" w:lineRule="auto"/>
              <w:jc w:val="both"/>
              <w:rPr>
                <w:rFonts w:asciiTheme="majorBidi" w:eastAsia="Times New Roman" w:hAnsiTheme="majorBidi" w:cstheme="majorBidi"/>
                <w:color w:val="000000" w:themeColor="text1"/>
              </w:rPr>
            </w:pPr>
            <w:r w:rsidRPr="00FF3C17">
              <w:rPr>
                <w:rFonts w:asciiTheme="majorBidi" w:eastAsia="Times New Roman" w:hAnsiTheme="majorBidi" w:cstheme="majorBidi"/>
                <w:color w:val="000000" w:themeColor="text1"/>
              </w:rPr>
              <w:t xml:space="preserve">Adopter un texte légal définissant avec précision la notion de victime des crises survenues en Côte d’Ivoire pouvant bénéficier d’une </w:t>
            </w:r>
            <w:proofErr w:type="gramStart"/>
            <w:r w:rsidRPr="00FF3C17">
              <w:rPr>
                <w:rFonts w:asciiTheme="majorBidi" w:eastAsia="Times New Roman" w:hAnsiTheme="majorBidi" w:cstheme="majorBidi"/>
                <w:color w:val="000000" w:themeColor="text1"/>
              </w:rPr>
              <w:t>indemnisation;</w:t>
            </w:r>
            <w:proofErr w:type="gramEnd"/>
          </w:p>
          <w:p w14:paraId="19799981" w14:textId="77777777" w:rsidR="003B4185" w:rsidRPr="00FF3C17" w:rsidRDefault="006803DD">
            <w:pPr>
              <w:numPr>
                <w:ilvl w:val="0"/>
                <w:numId w:val="25"/>
              </w:numPr>
              <w:spacing w:line="259" w:lineRule="auto"/>
              <w:jc w:val="both"/>
              <w:rPr>
                <w:rFonts w:asciiTheme="majorBidi" w:eastAsia="Times New Roman" w:hAnsiTheme="majorBidi" w:cstheme="majorBidi"/>
                <w:color w:val="000000" w:themeColor="text1"/>
              </w:rPr>
            </w:pPr>
            <w:proofErr w:type="spellStart"/>
            <w:r w:rsidRPr="00FF3C17">
              <w:rPr>
                <w:rFonts w:asciiTheme="majorBidi" w:eastAsia="Times New Roman" w:hAnsiTheme="majorBidi" w:cstheme="majorBidi"/>
                <w:color w:val="000000" w:themeColor="text1"/>
              </w:rPr>
              <w:t>Procéder</w:t>
            </w:r>
            <w:proofErr w:type="spellEnd"/>
            <w:r w:rsidRPr="00FF3C17">
              <w:rPr>
                <w:rFonts w:asciiTheme="majorBidi" w:eastAsia="Times New Roman" w:hAnsiTheme="majorBidi" w:cstheme="majorBidi"/>
                <w:color w:val="000000" w:themeColor="text1"/>
              </w:rPr>
              <w:t xml:space="preserve"> à la publication de la liste des victimes admises en tant que </w:t>
            </w:r>
            <w:proofErr w:type="spellStart"/>
            <w:r w:rsidRPr="00FF3C17">
              <w:rPr>
                <w:rFonts w:asciiTheme="majorBidi" w:eastAsia="Times New Roman" w:hAnsiTheme="majorBidi" w:cstheme="majorBidi"/>
                <w:color w:val="000000" w:themeColor="text1"/>
              </w:rPr>
              <w:t>bénéficiaires</w:t>
            </w:r>
            <w:proofErr w:type="spellEnd"/>
            <w:r w:rsidRPr="00FF3C17">
              <w:rPr>
                <w:rFonts w:asciiTheme="majorBidi" w:eastAsia="Times New Roman" w:hAnsiTheme="majorBidi" w:cstheme="majorBidi"/>
                <w:color w:val="000000" w:themeColor="text1"/>
              </w:rPr>
              <w:t xml:space="preserve"> et octroyer les re</w:t>
            </w:r>
            <w:r w:rsidRPr="00FF3C17">
              <w:rPr>
                <w:rFonts w:asciiTheme="majorBidi" w:eastAsia="Times New Roman" w:hAnsiTheme="majorBidi" w:cstheme="majorBidi"/>
                <w:color w:val="000000" w:themeColor="text1"/>
              </w:rPr>
              <w:t xml:space="preserve">ssources nécessaires au </w:t>
            </w:r>
            <w:proofErr w:type="spellStart"/>
            <w:r w:rsidRPr="00FF3C17">
              <w:rPr>
                <w:rFonts w:asciiTheme="majorBidi" w:eastAsia="Times New Roman" w:hAnsiTheme="majorBidi" w:cstheme="majorBidi"/>
                <w:color w:val="000000" w:themeColor="text1"/>
              </w:rPr>
              <w:t>ministère</w:t>
            </w:r>
            <w:proofErr w:type="spellEnd"/>
            <w:r w:rsidRPr="00FF3C17">
              <w:rPr>
                <w:rFonts w:asciiTheme="majorBidi" w:eastAsia="Times New Roman" w:hAnsiTheme="majorBidi" w:cstheme="majorBidi"/>
                <w:color w:val="000000" w:themeColor="text1"/>
              </w:rPr>
              <w:t xml:space="preserve"> de la </w:t>
            </w:r>
            <w:proofErr w:type="spellStart"/>
            <w:r w:rsidRPr="00FF3C17">
              <w:rPr>
                <w:rFonts w:asciiTheme="majorBidi" w:eastAsia="Times New Roman" w:hAnsiTheme="majorBidi" w:cstheme="majorBidi"/>
                <w:color w:val="000000" w:themeColor="text1"/>
              </w:rPr>
              <w:t>Solidarite</w:t>
            </w:r>
            <w:proofErr w:type="spellEnd"/>
            <w:r w:rsidRPr="00FF3C17">
              <w:rPr>
                <w:rFonts w:asciiTheme="majorBidi" w:eastAsia="Times New Roman" w:hAnsiTheme="majorBidi" w:cstheme="majorBidi"/>
                <w:color w:val="000000" w:themeColor="text1"/>
              </w:rPr>
              <w:t xml:space="preserve">́ pour allouer les </w:t>
            </w:r>
            <w:proofErr w:type="spellStart"/>
            <w:r w:rsidRPr="00FF3C17">
              <w:rPr>
                <w:rFonts w:asciiTheme="majorBidi" w:eastAsia="Times New Roman" w:hAnsiTheme="majorBidi" w:cstheme="majorBidi"/>
                <w:color w:val="000000" w:themeColor="text1"/>
              </w:rPr>
              <w:t>réparations</w:t>
            </w:r>
            <w:proofErr w:type="spellEnd"/>
            <w:r w:rsidRPr="00FF3C17">
              <w:rPr>
                <w:rFonts w:asciiTheme="majorBidi" w:eastAsia="Times New Roman" w:hAnsiTheme="majorBidi" w:cstheme="majorBidi"/>
                <w:color w:val="000000" w:themeColor="text1"/>
              </w:rPr>
              <w:t xml:space="preserve"> adéquates aux victimes de la crise </w:t>
            </w:r>
            <w:proofErr w:type="spellStart"/>
            <w:r w:rsidRPr="00FF3C17">
              <w:rPr>
                <w:rFonts w:asciiTheme="majorBidi" w:eastAsia="Times New Roman" w:hAnsiTheme="majorBidi" w:cstheme="majorBidi"/>
                <w:color w:val="000000" w:themeColor="text1"/>
              </w:rPr>
              <w:t>post-électorale</w:t>
            </w:r>
            <w:proofErr w:type="spellEnd"/>
            <w:r w:rsidRPr="00FF3C17">
              <w:rPr>
                <w:rFonts w:asciiTheme="majorBidi" w:eastAsia="Times New Roman" w:hAnsiTheme="majorBidi" w:cstheme="majorBidi"/>
                <w:color w:val="000000" w:themeColor="text1"/>
              </w:rPr>
              <w:t xml:space="preserve"> de 2010-2011.</w:t>
            </w:r>
          </w:p>
          <w:p w14:paraId="6902964B" w14:textId="77777777" w:rsidR="003B4185" w:rsidRPr="00306A83" w:rsidRDefault="006803DD">
            <w:pPr>
              <w:numPr>
                <w:ilvl w:val="0"/>
                <w:numId w:val="25"/>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Prévoir d’ici 2026 dans une loi relative à la torture et aux mauvais traitements, un mécanisme de réparatio</w:t>
            </w:r>
            <w:r w:rsidRPr="00306A83">
              <w:rPr>
                <w:rFonts w:asciiTheme="majorBidi" w:eastAsia="Times New Roman" w:hAnsiTheme="majorBidi" w:cstheme="majorBidi"/>
              </w:rPr>
              <w:t xml:space="preserve">n des victimes de torture et de mauvais traitements, notamment à une indemnisation équitable et appropriée et aux moyens nécessaires à leur réadaptation la plus complète possible. </w:t>
            </w:r>
          </w:p>
          <w:p w14:paraId="234CB070" w14:textId="77777777" w:rsidR="003B4185" w:rsidRPr="00306A83" w:rsidRDefault="006803DD">
            <w:pPr>
              <w:numPr>
                <w:ilvl w:val="0"/>
                <w:numId w:val="25"/>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Le décret de mise en place du mécanisme de réparation et de réhabilitation </w:t>
            </w:r>
            <w:r w:rsidRPr="00306A83">
              <w:rPr>
                <w:rFonts w:asciiTheme="majorBidi" w:eastAsia="Times New Roman" w:hAnsiTheme="majorBidi" w:cstheme="majorBidi"/>
              </w:rPr>
              <w:t xml:space="preserve">des victimes de torture devrait suivre dans un délai raisonnable de 6 mois.  </w:t>
            </w:r>
          </w:p>
          <w:p w14:paraId="50196F76" w14:textId="77777777" w:rsidR="003B4185" w:rsidRPr="00306A83" w:rsidRDefault="006803DD">
            <w:pPr>
              <w:numPr>
                <w:ilvl w:val="0"/>
                <w:numId w:val="25"/>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Créer à court terme au sein du Ministère en charge de la réparation de toutes les victimes des crises, une cellule spéciale de réparation et de réhabilitation des victimes de tor</w:t>
            </w:r>
            <w:r w:rsidRPr="00306A83">
              <w:rPr>
                <w:rFonts w:asciiTheme="majorBidi" w:eastAsia="Times New Roman" w:hAnsiTheme="majorBidi" w:cstheme="majorBidi"/>
              </w:rPr>
              <w:t>ture et de mauvais traitements dont le mandat doit être conforme aux directives africaines et internationales de réparation des victimes de torture et de mauvais traitements.</w:t>
            </w:r>
          </w:p>
          <w:p w14:paraId="7AD5D33C" w14:textId="77777777" w:rsidR="003B4185" w:rsidRPr="00306A83" w:rsidRDefault="006803DD">
            <w:pPr>
              <w:numPr>
                <w:ilvl w:val="0"/>
                <w:numId w:val="25"/>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Juger d’ici à 2026 tous les bourreaux afin de soulager les victimes de torture et</w:t>
            </w:r>
            <w:r w:rsidRPr="00306A83">
              <w:rPr>
                <w:rFonts w:asciiTheme="majorBidi" w:eastAsia="Times New Roman" w:hAnsiTheme="majorBidi" w:cstheme="majorBidi"/>
              </w:rPr>
              <w:t xml:space="preserve"> de mauvais traitements et leurs survivants.</w:t>
            </w:r>
          </w:p>
          <w:p w14:paraId="7815AF09" w14:textId="77777777" w:rsidR="003B4185" w:rsidRPr="00306A83" w:rsidRDefault="006803DD">
            <w:pPr>
              <w:numPr>
                <w:ilvl w:val="0"/>
                <w:numId w:val="25"/>
              </w:numP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Créer d’ici 2026 un centre national des victimes de traumatisme ayant un département d’accompagnement des survivants des crimes de torture et de mauvais traitements.</w:t>
            </w:r>
          </w:p>
          <w:p w14:paraId="72E8F16A" w14:textId="63F164AE" w:rsidR="003B4185" w:rsidRPr="00306A83" w:rsidRDefault="006803DD">
            <w:pPr>
              <w:numPr>
                <w:ilvl w:val="0"/>
                <w:numId w:val="25"/>
              </w:numPr>
              <w:spacing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Rendre à court terme, gratuits les certificat</w:t>
            </w:r>
            <w:r w:rsidRPr="00306A83">
              <w:rPr>
                <w:rFonts w:asciiTheme="majorBidi" w:eastAsia="Times New Roman" w:hAnsiTheme="majorBidi" w:cstheme="majorBidi"/>
              </w:rPr>
              <w:t xml:space="preserve">s médicaux pour les victimes de torture et de mauvais traitements. </w:t>
            </w:r>
          </w:p>
        </w:tc>
      </w:tr>
    </w:tbl>
    <w:p w14:paraId="3EBCB99C" w14:textId="77777777" w:rsidR="003B4185" w:rsidRPr="00306A83" w:rsidRDefault="003B4185">
      <w:pPr>
        <w:jc w:val="both"/>
        <w:rPr>
          <w:rFonts w:asciiTheme="majorBidi" w:eastAsia="Times New Roman" w:hAnsiTheme="majorBidi" w:cstheme="majorBidi"/>
        </w:rPr>
      </w:pPr>
    </w:p>
    <w:p w14:paraId="724F2CCC" w14:textId="780C427D" w:rsidR="003B4185" w:rsidRPr="0017525C" w:rsidRDefault="006803DD" w:rsidP="0017525C">
      <w:pPr>
        <w:pStyle w:val="Heading1"/>
        <w:numPr>
          <w:ilvl w:val="0"/>
          <w:numId w:val="35"/>
        </w:numPr>
      </w:pPr>
      <w:bookmarkStart w:id="46" w:name="_Toc168990385"/>
      <w:r w:rsidRPr="00FF3C17">
        <w:t>L’insuffisante protection de certains groupes spécifiques contre les violences</w:t>
      </w:r>
      <w:bookmarkEnd w:id="46"/>
      <w:r w:rsidRPr="00FF3C17">
        <w:t xml:space="preserve"> </w:t>
      </w:r>
    </w:p>
    <w:p w14:paraId="793E64CE" w14:textId="6A866452" w:rsidR="003B4185" w:rsidRPr="0017525C" w:rsidRDefault="006803DD" w:rsidP="0017525C">
      <w:pPr>
        <w:pStyle w:val="Heading2"/>
        <w:numPr>
          <w:ilvl w:val="0"/>
          <w:numId w:val="42"/>
        </w:numPr>
      </w:pPr>
      <w:bookmarkStart w:id="47" w:name="_Toc168990386"/>
      <w:r w:rsidRPr="00306A83">
        <w:t>Les violences faites aux femmes</w:t>
      </w:r>
      <w:bookmarkEnd w:id="47"/>
      <w:r w:rsidRPr="00306A83">
        <w:t xml:space="preserve">  </w:t>
      </w:r>
    </w:p>
    <w:p w14:paraId="69AE398E" w14:textId="0504743E" w:rsidR="003B4185" w:rsidRPr="00306A83" w:rsidRDefault="006803DD" w:rsidP="00FF3C17">
      <w:pPr>
        <w:pStyle w:val="Heading3"/>
        <w:numPr>
          <w:ilvl w:val="0"/>
          <w:numId w:val="21"/>
        </w:numPr>
      </w:pPr>
      <w:bookmarkStart w:id="48" w:name="_Toc168990387"/>
      <w:r w:rsidRPr="00306A83">
        <w:t xml:space="preserve">Accès à la justice et aux soins insuffisant des victimes de </w:t>
      </w:r>
      <w:r w:rsidRPr="00306A83">
        <w:t>violences sexuelles</w:t>
      </w:r>
      <w:bookmarkEnd w:id="48"/>
      <w:r w:rsidRPr="00306A83">
        <w:t xml:space="preserve"> </w:t>
      </w:r>
    </w:p>
    <w:p w14:paraId="5BE2ED0D"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i/>
        </w:rPr>
      </w:pPr>
    </w:p>
    <w:p w14:paraId="2BACFE37"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Si le cadre législatif applicable aux violences sexuelles a été renforcé ces dernières années, en pratique les obstacles pour les victimes dans l’accès à la justice demeurent nombreux. En effet, la Côte d’Ivoire s’est dotée de la loi </w:t>
      </w:r>
      <w:r w:rsidRPr="00306A83">
        <w:rPr>
          <w:rFonts w:asciiTheme="majorBidi" w:eastAsia="Times New Roman" w:hAnsiTheme="majorBidi" w:cstheme="majorBidi"/>
        </w:rPr>
        <w:t xml:space="preserve">n°2021-894 du 21 décembre 2021 relative aux mesures de protection des victimes de violences domestiques, de viol et de violences sexuelles autres que </w:t>
      </w:r>
      <w:r w:rsidRPr="00306A83">
        <w:rPr>
          <w:rFonts w:asciiTheme="majorBidi" w:eastAsia="Times New Roman" w:hAnsiTheme="majorBidi" w:cstheme="majorBidi"/>
        </w:rPr>
        <w:lastRenderedPageBreak/>
        <w:t>domestiques.</w:t>
      </w:r>
      <w:r w:rsidRPr="00306A83">
        <w:rPr>
          <w:rFonts w:asciiTheme="majorBidi" w:eastAsia="Times New Roman" w:hAnsiTheme="majorBidi" w:cstheme="majorBidi"/>
          <w:vertAlign w:val="superscript"/>
        </w:rPr>
        <w:footnoteReference w:id="120"/>
      </w:r>
      <w:r w:rsidRPr="00306A83">
        <w:rPr>
          <w:rFonts w:asciiTheme="majorBidi" w:eastAsia="Times New Roman" w:hAnsiTheme="majorBidi" w:cstheme="majorBidi"/>
        </w:rPr>
        <w:t xml:space="preserve"> Cette loi a notamment permis la définition des violences domestiques et a consacré la </w:t>
      </w:r>
      <w:proofErr w:type="spellStart"/>
      <w:r w:rsidRPr="00306A83">
        <w:rPr>
          <w:rFonts w:asciiTheme="majorBidi" w:eastAsia="Times New Roman" w:hAnsiTheme="majorBidi" w:cstheme="majorBidi"/>
        </w:rPr>
        <w:t>proce</w:t>
      </w:r>
      <w:r w:rsidRPr="00306A83">
        <w:rPr>
          <w:rFonts w:asciiTheme="majorBidi" w:eastAsia="Times New Roman" w:hAnsiTheme="majorBidi" w:cstheme="majorBidi"/>
        </w:rPr>
        <w:t>́dure</w:t>
      </w:r>
      <w:proofErr w:type="spellEnd"/>
      <w:r w:rsidRPr="00306A83">
        <w:rPr>
          <w:rFonts w:asciiTheme="majorBidi" w:eastAsia="Times New Roman" w:hAnsiTheme="majorBidi" w:cstheme="majorBidi"/>
        </w:rPr>
        <w:t xml:space="preserve"> civile d’ordonnance de protection dans son corpus juridique pour les victimes de violences domestiques, indépendamment de l’existence d’une procédure pénale. Cette procédure prévoit un délai de 24 heures pour délivrer une telle ordonnance par le Prés</w:t>
      </w:r>
      <w:r w:rsidRPr="00306A83">
        <w:rPr>
          <w:rFonts w:asciiTheme="majorBidi" w:eastAsia="Times New Roman" w:hAnsiTheme="majorBidi" w:cstheme="majorBidi"/>
        </w:rPr>
        <w:t>ident du tribunal, à compter de la saisine de celui-ci par le Procureur de la République ou par toute personne intéressée.</w:t>
      </w:r>
      <w:r w:rsidRPr="00306A83">
        <w:rPr>
          <w:rFonts w:asciiTheme="majorBidi" w:eastAsia="Times New Roman" w:hAnsiTheme="majorBidi" w:cstheme="majorBidi"/>
          <w:vertAlign w:val="superscript"/>
        </w:rPr>
        <w:footnoteReference w:id="121"/>
      </w:r>
      <w:r w:rsidRPr="00306A83">
        <w:rPr>
          <w:rFonts w:asciiTheme="majorBidi" w:eastAsia="Times New Roman" w:hAnsiTheme="majorBidi" w:cstheme="majorBidi"/>
        </w:rPr>
        <w:t xml:space="preserve"> Or, il est à craindre que ces délais ne soient pas respectés au regard de la lenteur des procédures, dû à l’engorgement du système </w:t>
      </w:r>
      <w:r w:rsidRPr="00306A83">
        <w:rPr>
          <w:rFonts w:asciiTheme="majorBidi" w:eastAsia="Times New Roman" w:hAnsiTheme="majorBidi" w:cstheme="majorBidi"/>
        </w:rPr>
        <w:t>judiciaire.</w:t>
      </w:r>
      <w:r w:rsidRPr="00306A83">
        <w:rPr>
          <w:rFonts w:asciiTheme="majorBidi" w:eastAsia="Times New Roman" w:hAnsiTheme="majorBidi" w:cstheme="majorBidi"/>
          <w:vertAlign w:val="superscript"/>
        </w:rPr>
        <w:footnoteReference w:id="122"/>
      </w:r>
    </w:p>
    <w:p w14:paraId="26A14C70"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 </w:t>
      </w:r>
    </w:p>
    <w:p w14:paraId="14FE30F8"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Par ailleurs, en matière pénale, si la loi de 2021 </w:t>
      </w:r>
      <w:proofErr w:type="spellStart"/>
      <w:r w:rsidRPr="00306A83">
        <w:rPr>
          <w:rFonts w:asciiTheme="majorBidi" w:eastAsia="Times New Roman" w:hAnsiTheme="majorBidi" w:cstheme="majorBidi"/>
        </w:rPr>
        <w:t>prévoit</w:t>
      </w:r>
      <w:proofErr w:type="spellEnd"/>
      <w:r w:rsidRPr="00306A83">
        <w:rPr>
          <w:rFonts w:asciiTheme="majorBidi" w:eastAsia="Times New Roman" w:hAnsiTheme="majorBidi" w:cstheme="majorBidi"/>
        </w:rPr>
        <w:t xml:space="preserve"> l’obligation pour l’officier de police judiciaire d’auditionner </w:t>
      </w:r>
      <w:proofErr w:type="spellStart"/>
      <w:r w:rsidRPr="00306A83">
        <w:rPr>
          <w:rFonts w:asciiTheme="majorBidi" w:eastAsia="Times New Roman" w:hAnsiTheme="majorBidi" w:cstheme="majorBidi"/>
        </w:rPr>
        <w:t>immédiatement</w:t>
      </w:r>
      <w:proofErr w:type="spellEnd"/>
      <w:r w:rsidRPr="00306A83">
        <w:rPr>
          <w:rFonts w:asciiTheme="majorBidi" w:eastAsia="Times New Roman" w:hAnsiTheme="majorBidi" w:cstheme="majorBidi"/>
        </w:rPr>
        <w:t xml:space="preserve"> la victime afin qu’elle soit entendue et de recueillir « toutes les preuves permettant d’</w:t>
      </w:r>
      <w:proofErr w:type="spellStart"/>
      <w:r w:rsidRPr="00306A83">
        <w:rPr>
          <w:rFonts w:asciiTheme="majorBidi" w:eastAsia="Times New Roman" w:hAnsiTheme="majorBidi" w:cstheme="majorBidi"/>
        </w:rPr>
        <w:t>éclairer</w:t>
      </w:r>
      <w:proofErr w:type="spellEnd"/>
      <w:r w:rsidRPr="00306A83">
        <w:rPr>
          <w:rFonts w:asciiTheme="majorBidi" w:eastAsia="Times New Roman" w:hAnsiTheme="majorBidi" w:cstheme="majorBidi"/>
        </w:rPr>
        <w:t xml:space="preserve"> les faits et les circonstances de la commission » et ne conditionne pas la mise en mouvement de l’action publique à la production d’un certificat médical,</w:t>
      </w:r>
      <w:r w:rsidRPr="00306A83">
        <w:rPr>
          <w:rFonts w:asciiTheme="majorBidi" w:eastAsia="Times New Roman" w:hAnsiTheme="majorBidi" w:cstheme="majorBidi"/>
          <w:vertAlign w:val="superscript"/>
        </w:rPr>
        <w:footnoteReference w:id="123"/>
      </w:r>
      <w:r w:rsidRPr="00306A83">
        <w:rPr>
          <w:rFonts w:asciiTheme="majorBidi" w:eastAsia="Times New Roman" w:hAnsiTheme="majorBidi" w:cstheme="majorBidi"/>
        </w:rPr>
        <w:t xml:space="preserve"> force est de constater que la preuve médicale revêt toujours une importance en pratique.</w:t>
      </w:r>
      <w:r w:rsidRPr="00306A83">
        <w:rPr>
          <w:rFonts w:asciiTheme="majorBidi" w:eastAsia="Times New Roman" w:hAnsiTheme="majorBidi" w:cstheme="majorBidi"/>
          <w:vertAlign w:val="superscript"/>
        </w:rPr>
        <w:footnoteReference w:id="124"/>
      </w:r>
      <w:r w:rsidRPr="00306A83">
        <w:rPr>
          <w:rFonts w:asciiTheme="majorBidi" w:eastAsia="Times New Roman" w:hAnsiTheme="majorBidi" w:cstheme="majorBidi"/>
        </w:rPr>
        <w:t xml:space="preserve"> Cela est d’autant plus problématique que les certificats médicaux sont difficiles à acquérir du fait de leur coût important et des risques de menaces auxquels sont </w:t>
      </w:r>
      <w:r w:rsidRPr="00306A83">
        <w:rPr>
          <w:rFonts w:asciiTheme="majorBidi" w:eastAsia="Times New Roman" w:hAnsiTheme="majorBidi" w:cstheme="majorBidi"/>
        </w:rPr>
        <w:t>confrontés les médecins œuvrant en faveur des droits des victimes.</w:t>
      </w:r>
      <w:r w:rsidRPr="00306A83">
        <w:rPr>
          <w:rFonts w:asciiTheme="majorBidi" w:eastAsia="Times New Roman" w:hAnsiTheme="majorBidi" w:cstheme="majorBidi"/>
          <w:vertAlign w:val="superscript"/>
        </w:rPr>
        <w:footnoteReference w:id="125"/>
      </w:r>
      <w:r w:rsidRPr="00306A83">
        <w:rPr>
          <w:rFonts w:asciiTheme="majorBidi" w:eastAsia="Times New Roman" w:hAnsiTheme="majorBidi" w:cstheme="majorBidi"/>
        </w:rPr>
        <w:tab/>
      </w:r>
    </w:p>
    <w:p w14:paraId="76A94A1F" w14:textId="77777777" w:rsidR="003B4185" w:rsidRPr="00306A83" w:rsidRDefault="006803DD">
      <w:pPr>
        <w:shd w:val="clear" w:color="auto" w:fill="FFFFFF"/>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En outre, l’accueil des victimes de violences sexuelles dans les commissariats et les brigades de gendarmerie demeure dysfonctionnel en raison d’un manque de moyens. Le </w:t>
      </w:r>
      <w:proofErr w:type="spellStart"/>
      <w:r w:rsidRPr="00306A83">
        <w:rPr>
          <w:rFonts w:asciiTheme="majorBidi" w:eastAsia="Times New Roman" w:hAnsiTheme="majorBidi" w:cstheme="majorBidi"/>
        </w:rPr>
        <w:t>système</w:t>
      </w:r>
      <w:proofErr w:type="spellEnd"/>
      <w:r w:rsidRPr="00306A83">
        <w:rPr>
          <w:rFonts w:asciiTheme="majorBidi" w:eastAsia="Times New Roman" w:hAnsiTheme="majorBidi" w:cstheme="majorBidi"/>
        </w:rPr>
        <w:t xml:space="preserve"> de burea</w:t>
      </w:r>
      <w:r w:rsidRPr="00306A83">
        <w:rPr>
          <w:rFonts w:asciiTheme="majorBidi" w:eastAsia="Times New Roman" w:hAnsiTheme="majorBidi" w:cstheme="majorBidi"/>
        </w:rPr>
        <w:t>ux et de points focaux “violences basées sur le genre” destiné à assurer de bonnes conditions d’accueil et d’orientation des victimes concerne moins d’un quart des commissariats et gendarmeries du pays.</w:t>
      </w:r>
      <w:r w:rsidRPr="00306A83">
        <w:rPr>
          <w:rFonts w:asciiTheme="majorBidi" w:eastAsia="Times New Roman" w:hAnsiTheme="majorBidi" w:cstheme="majorBidi"/>
          <w:vertAlign w:val="superscript"/>
        </w:rPr>
        <w:footnoteReference w:id="126"/>
      </w:r>
    </w:p>
    <w:p w14:paraId="578D71A9" w14:textId="77777777" w:rsidR="003B4185" w:rsidRPr="00306A83" w:rsidRDefault="006803DD">
      <w:pPr>
        <w:shd w:val="clear" w:color="auto" w:fill="FFFFFF"/>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S’agissant de la prise en charge médicale des vic</w:t>
      </w:r>
      <w:r w:rsidRPr="00306A83">
        <w:rPr>
          <w:rFonts w:asciiTheme="majorBidi" w:eastAsia="Times New Roman" w:hAnsiTheme="majorBidi" w:cstheme="majorBidi"/>
        </w:rPr>
        <w:t xml:space="preserve">times de violences sexuelles, la loi de 2021 prévoit la possibilité pour la victime, la famille de celle-ci ou l’officier de police judiciaire de </w:t>
      </w:r>
      <w:proofErr w:type="spellStart"/>
      <w:r w:rsidRPr="00306A83">
        <w:rPr>
          <w:rFonts w:asciiTheme="majorBidi" w:eastAsia="Times New Roman" w:hAnsiTheme="majorBidi" w:cstheme="majorBidi"/>
        </w:rPr>
        <w:t>requérir</w:t>
      </w:r>
      <w:proofErr w:type="spellEnd"/>
      <w:r w:rsidRPr="00306A83">
        <w:rPr>
          <w:rFonts w:asciiTheme="majorBidi" w:eastAsia="Times New Roman" w:hAnsiTheme="majorBidi" w:cstheme="majorBidi"/>
        </w:rPr>
        <w:t xml:space="preserve"> un </w:t>
      </w:r>
      <w:proofErr w:type="spellStart"/>
      <w:r w:rsidRPr="00306A83">
        <w:rPr>
          <w:rFonts w:asciiTheme="majorBidi" w:eastAsia="Times New Roman" w:hAnsiTheme="majorBidi" w:cstheme="majorBidi"/>
        </w:rPr>
        <w:t>médecin</w:t>
      </w:r>
      <w:proofErr w:type="spellEnd"/>
      <w:r w:rsidRPr="00306A83">
        <w:rPr>
          <w:rFonts w:asciiTheme="majorBidi" w:eastAsia="Times New Roman" w:hAnsiTheme="majorBidi" w:cstheme="majorBidi"/>
        </w:rPr>
        <w:t xml:space="preserve"> pour prodiguer des soins urgents si nécessaire.</w:t>
      </w:r>
      <w:r w:rsidRPr="00306A83">
        <w:rPr>
          <w:rFonts w:asciiTheme="majorBidi" w:eastAsia="Times New Roman" w:hAnsiTheme="majorBidi" w:cstheme="majorBidi"/>
          <w:vertAlign w:val="superscript"/>
        </w:rPr>
        <w:footnoteReference w:id="127"/>
      </w:r>
      <w:r w:rsidRPr="00306A83">
        <w:rPr>
          <w:rFonts w:asciiTheme="majorBidi" w:eastAsia="Times New Roman" w:hAnsiTheme="majorBidi" w:cstheme="majorBidi"/>
        </w:rPr>
        <w:t xml:space="preserve"> Cependant, les soins </w:t>
      </w:r>
      <w:proofErr w:type="spellStart"/>
      <w:r w:rsidRPr="00306A83">
        <w:rPr>
          <w:rFonts w:asciiTheme="majorBidi" w:eastAsia="Times New Roman" w:hAnsiTheme="majorBidi" w:cstheme="majorBidi"/>
        </w:rPr>
        <w:t>médicaux</w:t>
      </w:r>
      <w:proofErr w:type="spellEnd"/>
      <w:r w:rsidRPr="00306A83">
        <w:rPr>
          <w:rFonts w:asciiTheme="majorBidi" w:eastAsia="Times New Roman" w:hAnsiTheme="majorBidi" w:cstheme="majorBidi"/>
        </w:rPr>
        <w:t xml:space="preserve"> demeurent payants, ce qui les rend inaccessibles à la majeure partie de la population.</w:t>
      </w:r>
      <w:r w:rsidRPr="00306A83">
        <w:rPr>
          <w:rFonts w:asciiTheme="majorBidi" w:eastAsia="Times New Roman" w:hAnsiTheme="majorBidi" w:cstheme="majorBidi"/>
          <w:vertAlign w:val="superscript"/>
        </w:rPr>
        <w:footnoteReference w:id="128"/>
      </w:r>
    </w:p>
    <w:p w14:paraId="684E3789" w14:textId="77777777" w:rsidR="003B4185" w:rsidRPr="00306A83" w:rsidRDefault="006803DD">
      <w:pPr>
        <w:shd w:val="clear" w:color="auto" w:fill="FFFFFF"/>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lastRenderedPageBreak/>
        <w:t xml:space="preserve">De plus, il existe un faible nombre de plaintes et de </w:t>
      </w:r>
      <w:proofErr w:type="spellStart"/>
      <w:r w:rsidRPr="00306A83">
        <w:rPr>
          <w:rFonts w:asciiTheme="majorBidi" w:eastAsia="Times New Roman" w:hAnsiTheme="majorBidi" w:cstheme="majorBidi"/>
        </w:rPr>
        <w:t>procédures</w:t>
      </w:r>
      <w:proofErr w:type="spellEnd"/>
      <w:r w:rsidRPr="00306A83">
        <w:rPr>
          <w:rFonts w:asciiTheme="majorBidi" w:eastAsia="Times New Roman" w:hAnsiTheme="majorBidi" w:cstheme="majorBidi"/>
        </w:rPr>
        <w:t xml:space="preserve"> judiciaires concernant les violences sexuelles en raison de la </w:t>
      </w:r>
      <w:proofErr w:type="spellStart"/>
      <w:r w:rsidRPr="00306A83">
        <w:rPr>
          <w:rFonts w:asciiTheme="majorBidi" w:eastAsia="Times New Roman" w:hAnsiTheme="majorBidi" w:cstheme="majorBidi"/>
        </w:rPr>
        <w:t>prévalence</w:t>
      </w:r>
      <w:proofErr w:type="spellEnd"/>
      <w:r w:rsidRPr="00306A83">
        <w:rPr>
          <w:rFonts w:asciiTheme="majorBidi" w:eastAsia="Times New Roman" w:hAnsiTheme="majorBidi" w:cstheme="majorBidi"/>
        </w:rPr>
        <w:t xml:space="preserve"> des </w:t>
      </w:r>
      <w:proofErr w:type="spellStart"/>
      <w:r w:rsidRPr="00306A83">
        <w:rPr>
          <w:rFonts w:asciiTheme="majorBidi" w:eastAsia="Times New Roman" w:hAnsiTheme="majorBidi" w:cstheme="majorBidi"/>
        </w:rPr>
        <w:t>règlements</w:t>
      </w:r>
      <w:proofErr w:type="spellEnd"/>
      <w:r w:rsidRPr="00306A83">
        <w:rPr>
          <w:rFonts w:asciiTheme="majorBidi" w:eastAsia="Times New Roman" w:hAnsiTheme="majorBidi" w:cstheme="majorBidi"/>
        </w:rPr>
        <w:t xml:space="preserve"> à l’amiable dans tout le pays, ce qui empêche les victimes d’accéder </w:t>
      </w:r>
      <w:proofErr w:type="spellStart"/>
      <w:r w:rsidRPr="00306A83">
        <w:rPr>
          <w:rFonts w:asciiTheme="majorBidi" w:eastAsia="Times New Roman" w:hAnsiTheme="majorBidi" w:cstheme="majorBidi"/>
        </w:rPr>
        <w:t>a</w:t>
      </w:r>
      <w:proofErr w:type="spellEnd"/>
      <w:r w:rsidRPr="00306A83">
        <w:rPr>
          <w:rFonts w:asciiTheme="majorBidi" w:eastAsia="Times New Roman" w:hAnsiTheme="majorBidi" w:cstheme="majorBidi"/>
        </w:rPr>
        <w:t xml:space="preserve">̀ une prise en charge </w:t>
      </w:r>
      <w:proofErr w:type="spellStart"/>
      <w:r w:rsidRPr="00306A83">
        <w:rPr>
          <w:rFonts w:asciiTheme="majorBidi" w:eastAsia="Times New Roman" w:hAnsiTheme="majorBidi" w:cstheme="majorBidi"/>
        </w:rPr>
        <w:t>adéquate</w:t>
      </w:r>
      <w:proofErr w:type="spellEnd"/>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29"/>
      </w:r>
      <w:r w:rsidRPr="00306A83">
        <w:rPr>
          <w:rFonts w:asciiTheme="majorBidi" w:eastAsia="Times New Roman" w:hAnsiTheme="majorBidi" w:cstheme="majorBidi"/>
        </w:rPr>
        <w:t xml:space="preserve"> </w:t>
      </w:r>
    </w:p>
    <w:p w14:paraId="1BB56621" w14:textId="77777777" w:rsidR="003B4185" w:rsidRPr="00306A83" w:rsidRDefault="006803DD">
      <w:pPr>
        <w:shd w:val="clear" w:color="auto" w:fill="FFFFFF"/>
        <w:spacing w:before="240" w:after="240" w:line="259" w:lineRule="auto"/>
        <w:jc w:val="both"/>
        <w:rPr>
          <w:rFonts w:asciiTheme="majorBidi" w:eastAsia="Times New Roman" w:hAnsiTheme="majorBidi" w:cstheme="majorBidi"/>
        </w:rPr>
      </w:pPr>
      <w:r w:rsidRPr="00306A83">
        <w:rPr>
          <w:rFonts w:asciiTheme="majorBidi" w:eastAsia="Times New Roman" w:hAnsiTheme="majorBidi" w:cstheme="majorBidi"/>
        </w:rPr>
        <w:t>L’assistance judiciaire des victimes, bien que prévue par la loi, n’est pas garantie en pratique.</w:t>
      </w:r>
      <w:r w:rsidRPr="00306A83">
        <w:rPr>
          <w:rFonts w:asciiTheme="majorBidi" w:eastAsia="Times New Roman" w:hAnsiTheme="majorBidi" w:cstheme="majorBidi"/>
          <w:vertAlign w:val="superscript"/>
        </w:rPr>
        <w:footnoteReference w:id="130"/>
      </w:r>
      <w:r w:rsidRPr="00306A83">
        <w:rPr>
          <w:rFonts w:asciiTheme="majorBidi" w:eastAsia="Times New Roman" w:hAnsiTheme="majorBidi" w:cstheme="majorBidi"/>
        </w:rPr>
        <w:t xml:space="preserve"> Ainsi, contrairement à ce que soutient l’Etat de</w:t>
      </w:r>
      <w:r w:rsidRPr="00306A83">
        <w:rPr>
          <w:rFonts w:asciiTheme="majorBidi" w:eastAsia="Times New Roman" w:hAnsiTheme="majorBidi" w:cstheme="majorBidi"/>
        </w:rPr>
        <w:t xml:space="preserve"> Côte d’Ivoire dans son rapport,</w:t>
      </w:r>
      <w:r w:rsidRPr="00306A83">
        <w:rPr>
          <w:rFonts w:asciiTheme="majorBidi" w:eastAsia="Times New Roman" w:hAnsiTheme="majorBidi" w:cstheme="majorBidi"/>
          <w:vertAlign w:val="superscript"/>
        </w:rPr>
        <w:footnoteReference w:id="131"/>
      </w:r>
      <w:r w:rsidRPr="00306A83">
        <w:rPr>
          <w:rFonts w:asciiTheme="majorBidi" w:eastAsia="Times New Roman" w:hAnsiTheme="majorBidi" w:cstheme="majorBidi"/>
        </w:rPr>
        <w:t xml:space="preserve"> toutes les victimes qui en font la demande ne bénéficient pas “de droit” de l’assistance judiciaire.</w:t>
      </w:r>
    </w:p>
    <w:p w14:paraId="191BADEC" w14:textId="7777777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rPr>
        <w:t>Selon des données publiées par la Fédération Internationale des Droits Humains, qui a documenté 31 cas de violences sexu</w:t>
      </w:r>
      <w:r w:rsidRPr="00306A83">
        <w:rPr>
          <w:rFonts w:asciiTheme="majorBidi" w:eastAsia="Times New Roman" w:hAnsiTheme="majorBidi" w:cstheme="majorBidi"/>
        </w:rPr>
        <w:t>elles à l’encontre de femmes et filles commises entre 2017 et mai 2021, aucune des procédures ouvertes n’a abouti à une condamnation pénale.</w:t>
      </w:r>
      <w:r w:rsidRPr="00306A83">
        <w:rPr>
          <w:rFonts w:asciiTheme="majorBidi" w:eastAsia="Times New Roman" w:hAnsiTheme="majorBidi" w:cstheme="majorBidi"/>
          <w:vertAlign w:val="superscript"/>
        </w:rPr>
        <w:footnoteReference w:id="132"/>
      </w:r>
    </w:p>
    <w:p w14:paraId="55EBF779" w14:textId="77777777" w:rsidR="003B4185" w:rsidRPr="00306A83" w:rsidRDefault="003B4185">
      <w:pPr>
        <w:shd w:val="clear" w:color="auto" w:fill="FFFFFF"/>
        <w:spacing w:line="259" w:lineRule="auto"/>
        <w:jc w:val="both"/>
        <w:rPr>
          <w:rFonts w:asciiTheme="majorBidi" w:eastAsia="Times New Roman" w:hAnsiTheme="majorBidi" w:cstheme="majorBidi"/>
        </w:rPr>
      </w:pPr>
    </w:p>
    <w:tbl>
      <w:tblPr>
        <w:tblStyle w:val="aa"/>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381F2719" w14:textId="77777777">
        <w:tc>
          <w:tcPr>
            <w:tcW w:w="9066" w:type="dxa"/>
            <w:shd w:val="clear" w:color="auto" w:fill="auto"/>
            <w:tcMar>
              <w:top w:w="100" w:type="dxa"/>
              <w:left w:w="100" w:type="dxa"/>
              <w:bottom w:w="100" w:type="dxa"/>
              <w:right w:w="100" w:type="dxa"/>
            </w:tcMar>
          </w:tcPr>
          <w:p w14:paraId="5881B466" w14:textId="223B5807" w:rsidR="003B4185" w:rsidRPr="00306A83" w:rsidRDefault="006803DD">
            <w:pPr>
              <w:shd w:val="clear" w:color="auto" w:fill="FFFFFF"/>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 xml:space="preserve">Recommandations </w:t>
            </w:r>
            <w:r w:rsidRPr="00306A83">
              <w:rPr>
                <w:rFonts w:asciiTheme="majorBidi" w:eastAsia="Times New Roman" w:hAnsiTheme="majorBidi" w:cstheme="majorBidi"/>
              </w:rPr>
              <w:t>:</w:t>
            </w:r>
          </w:p>
          <w:p w14:paraId="02F285EC" w14:textId="77777777"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Former le personnel dans les commissariats et les gendarmeries à la loi n°2021-894 du 21 décembre 2021 afin que les certificats médicaux ne soient plus exigés comme prérequis au dépôt d’une plainte </w:t>
            </w:r>
            <w:proofErr w:type="gramStart"/>
            <w:r w:rsidRPr="00306A83">
              <w:rPr>
                <w:rFonts w:asciiTheme="majorBidi" w:eastAsia="Times New Roman" w:hAnsiTheme="majorBidi" w:cstheme="majorBidi"/>
              </w:rPr>
              <w:t>pénale;</w:t>
            </w:r>
            <w:proofErr w:type="gramEnd"/>
          </w:p>
          <w:p w14:paraId="2D08728C" w14:textId="7816EAD1"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Allouer des moyens suffisants pour renforcer l’acc</w:t>
            </w:r>
            <w:r w:rsidRPr="00306A83">
              <w:rPr>
                <w:rFonts w:asciiTheme="majorBidi" w:eastAsia="Times New Roman" w:hAnsiTheme="majorBidi" w:cstheme="majorBidi"/>
              </w:rPr>
              <w:t>ueil dans les commissariats et les gendarmeries ainsi que la prise en charge médicale et judiciaire des victimes de violences sexuelles et basées sur le genre.</w:t>
            </w:r>
          </w:p>
        </w:tc>
      </w:tr>
    </w:tbl>
    <w:p w14:paraId="1E2BCA71" w14:textId="77777777" w:rsidR="003B4185" w:rsidRPr="00306A83" w:rsidRDefault="003B4185">
      <w:pPr>
        <w:shd w:val="clear" w:color="auto" w:fill="FFFFFF"/>
        <w:spacing w:line="259" w:lineRule="auto"/>
        <w:jc w:val="both"/>
        <w:rPr>
          <w:rFonts w:asciiTheme="majorBidi" w:eastAsia="Times New Roman" w:hAnsiTheme="majorBidi" w:cstheme="majorBidi"/>
          <w:color w:val="D13438"/>
        </w:rPr>
      </w:pPr>
    </w:p>
    <w:p w14:paraId="11021B28" w14:textId="60038B79" w:rsidR="003B4185" w:rsidRPr="00FF3C17" w:rsidRDefault="006803DD" w:rsidP="00FF3C17">
      <w:pPr>
        <w:pStyle w:val="Heading3"/>
        <w:numPr>
          <w:ilvl w:val="0"/>
          <w:numId w:val="21"/>
        </w:numPr>
      </w:pPr>
      <w:bookmarkStart w:id="49" w:name="_Toc168990388"/>
      <w:r w:rsidRPr="00FF3C17">
        <w:t>Prise en charge largement insuffisante des cas de mutilations génitales féminines</w:t>
      </w:r>
      <w:bookmarkEnd w:id="49"/>
      <w:r w:rsidRPr="00FF3C17">
        <w:t xml:space="preserve"> </w:t>
      </w:r>
    </w:p>
    <w:p w14:paraId="18D899A9"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i/>
        </w:rPr>
      </w:pPr>
    </w:p>
    <w:p w14:paraId="488BB0DA"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 xml:space="preserve">L’article </w:t>
      </w:r>
      <w:r w:rsidRPr="00306A83">
        <w:rPr>
          <w:rFonts w:asciiTheme="majorBidi" w:eastAsia="Times New Roman" w:hAnsiTheme="majorBidi" w:cstheme="majorBidi"/>
        </w:rPr>
        <w:t>5 de la Constitution ivoirienne interdit expressément les mutilations génitales féminines.</w:t>
      </w:r>
      <w:r w:rsidRPr="00306A83">
        <w:rPr>
          <w:rFonts w:asciiTheme="majorBidi" w:eastAsia="Times New Roman" w:hAnsiTheme="majorBidi" w:cstheme="majorBidi"/>
          <w:vertAlign w:val="superscript"/>
        </w:rPr>
        <w:footnoteReference w:id="133"/>
      </w:r>
      <w:r w:rsidRPr="00306A83">
        <w:rPr>
          <w:rFonts w:asciiTheme="majorBidi" w:eastAsia="Times New Roman" w:hAnsiTheme="majorBidi" w:cstheme="majorBidi"/>
        </w:rPr>
        <w:t xml:space="preserve"> Le Code pénal ivoirien réprime toute “</w:t>
      </w:r>
      <w:r w:rsidRPr="00306A83">
        <w:rPr>
          <w:rFonts w:asciiTheme="majorBidi" w:eastAsia="Times New Roman" w:hAnsiTheme="majorBidi" w:cstheme="majorBidi"/>
          <w:i/>
        </w:rPr>
        <w:t xml:space="preserve">atteinte à l’intégrité de l’organe génital de la femme, par ablation totale ou partielle, infibulation, insensibilisation ou </w:t>
      </w:r>
      <w:r w:rsidRPr="00306A83">
        <w:rPr>
          <w:rFonts w:asciiTheme="majorBidi" w:eastAsia="Times New Roman" w:hAnsiTheme="majorBidi" w:cstheme="majorBidi"/>
          <w:i/>
        </w:rPr>
        <w:t>par tout autre procédé</w:t>
      </w:r>
      <w:r w:rsidRPr="00306A83">
        <w:rPr>
          <w:rFonts w:asciiTheme="majorBidi" w:eastAsia="Times New Roman" w:hAnsiTheme="majorBidi" w:cstheme="majorBidi"/>
        </w:rPr>
        <w:t>” et punit les auteurs de mutilation génitale d’une peine d’emprisonnement d’un à cinq ans et d’une amende de 200.000 à 2.000.000 de francs.</w:t>
      </w:r>
      <w:r w:rsidRPr="00306A83">
        <w:rPr>
          <w:rFonts w:asciiTheme="majorBidi" w:eastAsia="Times New Roman" w:hAnsiTheme="majorBidi" w:cstheme="majorBidi"/>
          <w:vertAlign w:val="superscript"/>
        </w:rPr>
        <w:footnoteReference w:id="134"/>
      </w:r>
    </w:p>
    <w:p w14:paraId="320C6779"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20EA635A"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Malgré l’existence d’un cadre législatif permettant la répression de l’excision en Côte d’Ivoire, force est de constater que cette pratique demeure courante. Selon des données officielles de l’Institut National de la Statistique publiées en 2016, la préval</w:t>
      </w:r>
      <w:r w:rsidRPr="00306A83">
        <w:rPr>
          <w:rFonts w:asciiTheme="majorBidi" w:eastAsia="Times New Roman" w:hAnsiTheme="majorBidi" w:cstheme="majorBidi"/>
        </w:rPr>
        <w:t xml:space="preserve">ence des mutilations génitales féminines chez les femmes âgées de 15 à 49 ans était de 36,7%, avec une prévalence plus élevée </w:t>
      </w:r>
      <w:r w:rsidRPr="00306A83">
        <w:rPr>
          <w:rFonts w:asciiTheme="majorBidi" w:eastAsia="Times New Roman" w:hAnsiTheme="majorBidi" w:cstheme="majorBidi"/>
        </w:rPr>
        <w:lastRenderedPageBreak/>
        <w:t>au nord et à l’ouest du pays.</w:t>
      </w:r>
      <w:r w:rsidRPr="00306A83">
        <w:rPr>
          <w:rFonts w:asciiTheme="majorBidi" w:eastAsia="Times New Roman" w:hAnsiTheme="majorBidi" w:cstheme="majorBidi"/>
          <w:vertAlign w:val="superscript"/>
        </w:rPr>
        <w:footnoteReference w:id="135"/>
      </w:r>
      <w:r w:rsidRPr="00306A83">
        <w:rPr>
          <w:rFonts w:asciiTheme="majorBidi" w:eastAsia="Times New Roman" w:hAnsiTheme="majorBidi" w:cstheme="majorBidi"/>
        </w:rPr>
        <w:t xml:space="preserve"> Selon l’ONG 28 </w:t>
      </w:r>
      <w:proofErr w:type="spellStart"/>
      <w:r w:rsidRPr="00306A83">
        <w:rPr>
          <w:rFonts w:asciiTheme="majorBidi" w:eastAsia="Times New Roman" w:hAnsiTheme="majorBidi" w:cstheme="majorBidi"/>
        </w:rPr>
        <w:t>Too</w:t>
      </w:r>
      <w:proofErr w:type="spellEnd"/>
      <w:r w:rsidRPr="00306A83">
        <w:rPr>
          <w:rFonts w:asciiTheme="majorBidi" w:eastAsia="Times New Roman" w:hAnsiTheme="majorBidi" w:cstheme="majorBidi"/>
        </w:rPr>
        <w:t xml:space="preserve"> </w:t>
      </w:r>
      <w:proofErr w:type="spellStart"/>
      <w:r w:rsidRPr="00306A83">
        <w:rPr>
          <w:rFonts w:asciiTheme="majorBidi" w:eastAsia="Times New Roman" w:hAnsiTheme="majorBidi" w:cstheme="majorBidi"/>
        </w:rPr>
        <w:t>Many</w:t>
      </w:r>
      <w:proofErr w:type="spellEnd"/>
      <w:r w:rsidRPr="00306A83">
        <w:rPr>
          <w:rFonts w:asciiTheme="majorBidi" w:eastAsia="Times New Roman" w:hAnsiTheme="majorBidi" w:cstheme="majorBidi"/>
        </w:rPr>
        <w:t>, ces données n’ont pas changé de manière significative au cours des derniè</w:t>
      </w:r>
      <w:r w:rsidRPr="00306A83">
        <w:rPr>
          <w:rFonts w:asciiTheme="majorBidi" w:eastAsia="Times New Roman" w:hAnsiTheme="majorBidi" w:cstheme="majorBidi"/>
        </w:rPr>
        <w:t>res années.</w:t>
      </w:r>
      <w:r w:rsidRPr="00306A83">
        <w:rPr>
          <w:rFonts w:asciiTheme="majorBidi" w:eastAsia="Times New Roman" w:hAnsiTheme="majorBidi" w:cstheme="majorBidi"/>
          <w:vertAlign w:val="superscript"/>
        </w:rPr>
        <w:footnoteReference w:id="136"/>
      </w:r>
      <w:r w:rsidRPr="00306A83">
        <w:rPr>
          <w:rFonts w:asciiTheme="majorBidi" w:eastAsia="Times New Roman" w:hAnsiTheme="majorBidi" w:cstheme="majorBidi"/>
        </w:rPr>
        <w:t xml:space="preserve"> </w:t>
      </w:r>
    </w:p>
    <w:p w14:paraId="5AF237BB"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1950D814"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Si le gouvernement ivoirien a engagé des efforts pour lutter contre les mutilations génitales féminines,</w:t>
      </w:r>
      <w:r w:rsidRPr="00306A83">
        <w:rPr>
          <w:rFonts w:asciiTheme="majorBidi" w:eastAsia="Times New Roman" w:hAnsiTheme="majorBidi" w:cstheme="majorBidi"/>
          <w:vertAlign w:val="superscript"/>
        </w:rPr>
        <w:footnoteReference w:id="137"/>
      </w:r>
      <w:r w:rsidRPr="00306A83">
        <w:rPr>
          <w:rFonts w:asciiTheme="majorBidi" w:eastAsia="Times New Roman" w:hAnsiTheme="majorBidi" w:cstheme="majorBidi"/>
        </w:rPr>
        <w:t xml:space="preserve"> en pratique leur élimination reste difficile car elles sont ancrées dans les communautés rurales, en particulier dans le nord et l’ouest du pays.</w:t>
      </w:r>
      <w:r w:rsidRPr="00306A83">
        <w:rPr>
          <w:rFonts w:asciiTheme="majorBidi" w:eastAsia="Times New Roman" w:hAnsiTheme="majorBidi" w:cstheme="majorBidi"/>
          <w:vertAlign w:val="superscript"/>
        </w:rPr>
        <w:footnoteReference w:id="138"/>
      </w:r>
      <w:r w:rsidRPr="00306A83">
        <w:rPr>
          <w:rFonts w:asciiTheme="majorBidi" w:eastAsia="Times New Roman" w:hAnsiTheme="majorBidi" w:cstheme="majorBidi"/>
        </w:rPr>
        <w:t xml:space="preserve"> </w:t>
      </w:r>
    </w:p>
    <w:p w14:paraId="4D7E3442"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p w14:paraId="7DA79C44" w14:textId="77777777" w:rsidR="003B4185" w:rsidRPr="00306A83" w:rsidRDefault="006803DD">
      <w:pPr>
        <w:pBdr>
          <w:top w:val="nil"/>
          <w:left w:val="nil"/>
          <w:bottom w:val="nil"/>
          <w:right w:val="nil"/>
          <w:between w:val="nil"/>
        </w:pBdr>
        <w:spacing w:line="259" w:lineRule="auto"/>
        <w:jc w:val="both"/>
        <w:rPr>
          <w:rFonts w:asciiTheme="majorBidi" w:eastAsia="Times New Roman" w:hAnsiTheme="majorBidi" w:cstheme="majorBidi"/>
        </w:rPr>
      </w:pPr>
      <w:r w:rsidRPr="00306A83">
        <w:rPr>
          <w:rFonts w:asciiTheme="majorBidi" w:eastAsia="Times New Roman" w:hAnsiTheme="majorBidi" w:cstheme="majorBidi"/>
        </w:rPr>
        <w:t>De plus, les poursuites et les condamnations pour des faits de mutilation génitale demeurent rares. En ef</w:t>
      </w:r>
      <w:r w:rsidRPr="00306A83">
        <w:rPr>
          <w:rFonts w:asciiTheme="majorBidi" w:eastAsia="Times New Roman" w:hAnsiTheme="majorBidi" w:cstheme="majorBidi"/>
        </w:rPr>
        <w:t>fet, la plupart des cas de mutilations génitales donnent lieu à des arrangements "extrajudiciaires" négociés entre les chefs de village et les commissaires de police locaux.</w:t>
      </w:r>
      <w:r w:rsidRPr="00306A83">
        <w:rPr>
          <w:rFonts w:asciiTheme="majorBidi" w:eastAsia="Times New Roman" w:hAnsiTheme="majorBidi" w:cstheme="majorBidi"/>
          <w:vertAlign w:val="superscript"/>
        </w:rPr>
        <w:footnoteReference w:id="139"/>
      </w:r>
      <w:r w:rsidRPr="00306A83">
        <w:rPr>
          <w:rFonts w:asciiTheme="majorBidi" w:eastAsia="Times New Roman" w:hAnsiTheme="majorBidi" w:cstheme="majorBidi"/>
        </w:rPr>
        <w:t xml:space="preserve"> Ainsi, en 2019, le Comité des Nations-Unies pour l’élimination de la discriminat</w:t>
      </w:r>
      <w:r w:rsidRPr="00306A83">
        <w:rPr>
          <w:rFonts w:asciiTheme="majorBidi" w:eastAsia="Times New Roman" w:hAnsiTheme="majorBidi" w:cstheme="majorBidi"/>
        </w:rPr>
        <w:t>ion à l’égard des femmes se disait préoccupé par “</w:t>
      </w:r>
      <w:r w:rsidRPr="00306A83">
        <w:rPr>
          <w:rFonts w:asciiTheme="majorBidi" w:eastAsia="Times New Roman" w:hAnsiTheme="majorBidi" w:cstheme="majorBidi"/>
          <w:i/>
        </w:rPr>
        <w:t>le nombre limité d’enquêtes, de poursuites et de condamnations et la clémence des peines prévues par la loi no 98-757 du 23 décembre 1998 réprimant les mutilations génitales féminines</w:t>
      </w:r>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40"/>
      </w:r>
      <w:r w:rsidRPr="00306A83">
        <w:rPr>
          <w:rFonts w:asciiTheme="majorBidi" w:eastAsia="Times New Roman" w:hAnsiTheme="majorBidi" w:cstheme="majorBidi"/>
        </w:rPr>
        <w:t xml:space="preserve"> Le Comité a en out</w:t>
      </w:r>
      <w:r w:rsidRPr="00306A83">
        <w:rPr>
          <w:rFonts w:asciiTheme="majorBidi" w:eastAsia="Times New Roman" w:hAnsiTheme="majorBidi" w:cstheme="majorBidi"/>
        </w:rPr>
        <w:t>re relevé l’absence de services de réadaptation pour les victimes de mutilations génitales féminines.</w:t>
      </w:r>
      <w:r w:rsidRPr="00306A83">
        <w:rPr>
          <w:rFonts w:asciiTheme="majorBidi" w:eastAsia="Times New Roman" w:hAnsiTheme="majorBidi" w:cstheme="majorBidi"/>
          <w:vertAlign w:val="superscript"/>
        </w:rPr>
        <w:footnoteReference w:id="141"/>
      </w:r>
      <w:r w:rsidRPr="00306A83">
        <w:rPr>
          <w:rFonts w:asciiTheme="majorBidi" w:eastAsia="Times New Roman" w:hAnsiTheme="majorBidi" w:cstheme="majorBidi"/>
        </w:rPr>
        <w:t xml:space="preserve"> Il n’existe pas en Côte d’Ivoire de service dédié pour la prise en charge des victimes de mutilations génitales féminines, que ce soit pour des personne</w:t>
      </w:r>
      <w:r w:rsidRPr="00306A83">
        <w:rPr>
          <w:rFonts w:asciiTheme="majorBidi" w:eastAsia="Times New Roman" w:hAnsiTheme="majorBidi" w:cstheme="majorBidi"/>
        </w:rPr>
        <w:t>s souffrant de maladies survenues du fait de l’excision, ou de personnes souhaitant bénéficier d’une chirurgie réparatrice.</w:t>
      </w:r>
      <w:r w:rsidRPr="00306A83">
        <w:rPr>
          <w:rFonts w:asciiTheme="majorBidi" w:eastAsia="Times New Roman" w:hAnsiTheme="majorBidi" w:cstheme="majorBidi"/>
          <w:vertAlign w:val="superscript"/>
        </w:rPr>
        <w:footnoteReference w:id="142"/>
      </w:r>
      <w:r w:rsidRPr="00306A83">
        <w:rPr>
          <w:rFonts w:asciiTheme="majorBidi" w:eastAsia="Times New Roman" w:hAnsiTheme="majorBidi" w:cstheme="majorBidi"/>
        </w:rPr>
        <w:t xml:space="preserve"> </w:t>
      </w:r>
    </w:p>
    <w:p w14:paraId="2222EA2B"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rPr>
      </w:pPr>
    </w:p>
    <w:tbl>
      <w:tblPr>
        <w:tblStyle w:val="ab"/>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2E43FA2C" w14:textId="77777777">
        <w:tc>
          <w:tcPr>
            <w:tcW w:w="9066" w:type="dxa"/>
            <w:shd w:val="clear" w:color="auto" w:fill="auto"/>
            <w:tcMar>
              <w:top w:w="100" w:type="dxa"/>
              <w:left w:w="100" w:type="dxa"/>
              <w:bottom w:w="100" w:type="dxa"/>
              <w:right w:w="100" w:type="dxa"/>
            </w:tcMar>
          </w:tcPr>
          <w:p w14:paraId="307E4B10" w14:textId="5D8E4331" w:rsidR="003B4185" w:rsidRPr="00306A83" w:rsidRDefault="006803DD">
            <w:pPr>
              <w:spacing w:line="259" w:lineRule="auto"/>
              <w:jc w:val="both"/>
              <w:rPr>
                <w:rFonts w:asciiTheme="majorBidi" w:eastAsia="Times New Roman" w:hAnsiTheme="majorBidi" w:cstheme="majorBidi"/>
              </w:rPr>
            </w:pPr>
            <w:r w:rsidRPr="00306A83">
              <w:rPr>
                <w:rFonts w:asciiTheme="majorBidi" w:eastAsia="Times New Roman" w:hAnsiTheme="majorBidi" w:cstheme="majorBidi"/>
                <w:b/>
              </w:rPr>
              <w:t>Recommandations</w:t>
            </w:r>
            <w:r w:rsidR="0017525C">
              <w:rPr>
                <w:rFonts w:asciiTheme="majorBidi" w:eastAsia="Times New Roman" w:hAnsiTheme="majorBidi" w:cstheme="majorBidi"/>
                <w:b/>
              </w:rPr>
              <w:t xml:space="preserve"> </w:t>
            </w:r>
            <w:r w:rsidRPr="00306A83">
              <w:rPr>
                <w:rFonts w:asciiTheme="majorBidi" w:eastAsia="Times New Roman" w:hAnsiTheme="majorBidi" w:cstheme="majorBidi"/>
              </w:rPr>
              <w:t>:</w:t>
            </w:r>
          </w:p>
          <w:p w14:paraId="78127DAD" w14:textId="77777777"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Enquêter de manière effective sur tous les cas de mutilations génitales féminines, poursuivre et condamner les</w:t>
            </w:r>
            <w:r w:rsidRPr="00306A83">
              <w:rPr>
                <w:rFonts w:asciiTheme="majorBidi" w:eastAsia="Times New Roman" w:hAnsiTheme="majorBidi" w:cstheme="majorBidi"/>
              </w:rPr>
              <w:t xml:space="preserve"> auteurs avec des peines appropriées en application du droit pénal </w:t>
            </w:r>
            <w:proofErr w:type="gramStart"/>
            <w:r w:rsidRPr="00306A83">
              <w:rPr>
                <w:rFonts w:asciiTheme="majorBidi" w:eastAsia="Times New Roman" w:hAnsiTheme="majorBidi" w:cstheme="majorBidi"/>
              </w:rPr>
              <w:t>ivoirien;</w:t>
            </w:r>
            <w:proofErr w:type="gramEnd"/>
          </w:p>
          <w:p w14:paraId="786C4005" w14:textId="44D92CFD"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Mettre en </w:t>
            </w:r>
            <w:r w:rsidR="00FF3C17" w:rsidRPr="00306A83">
              <w:rPr>
                <w:rFonts w:asciiTheme="majorBidi" w:eastAsia="Times New Roman" w:hAnsiTheme="majorBidi" w:cstheme="majorBidi"/>
              </w:rPr>
              <w:t>œuvre</w:t>
            </w:r>
            <w:r w:rsidRPr="00306A83">
              <w:rPr>
                <w:rFonts w:asciiTheme="majorBidi" w:eastAsia="Times New Roman" w:hAnsiTheme="majorBidi" w:cstheme="majorBidi"/>
              </w:rPr>
              <w:t xml:space="preserve"> une campagne nationale de sensibilisation de la population pour l’interdiction de toutes formes de mutilations génitales féminines en vue de l’éradication de ces </w:t>
            </w:r>
            <w:proofErr w:type="gramStart"/>
            <w:r w:rsidRPr="00306A83">
              <w:rPr>
                <w:rFonts w:asciiTheme="majorBidi" w:eastAsia="Times New Roman" w:hAnsiTheme="majorBidi" w:cstheme="majorBidi"/>
              </w:rPr>
              <w:t>p</w:t>
            </w:r>
            <w:r w:rsidRPr="00306A83">
              <w:rPr>
                <w:rFonts w:asciiTheme="majorBidi" w:eastAsia="Times New Roman" w:hAnsiTheme="majorBidi" w:cstheme="majorBidi"/>
              </w:rPr>
              <w:t>ratiques;</w:t>
            </w:r>
            <w:proofErr w:type="gramEnd"/>
          </w:p>
          <w:p w14:paraId="6BE0E87D" w14:textId="33915806"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Fournir à toutes </w:t>
            </w:r>
            <w:proofErr w:type="gramStart"/>
            <w:r w:rsidRPr="00306A83">
              <w:rPr>
                <w:rFonts w:asciiTheme="majorBidi" w:eastAsia="Times New Roman" w:hAnsiTheme="majorBidi" w:cstheme="majorBidi"/>
              </w:rPr>
              <w:t>les  victimes</w:t>
            </w:r>
            <w:proofErr w:type="gramEnd"/>
            <w:r w:rsidRPr="00306A83">
              <w:rPr>
                <w:rFonts w:asciiTheme="majorBidi" w:eastAsia="Times New Roman" w:hAnsiTheme="majorBidi" w:cstheme="majorBidi"/>
              </w:rPr>
              <w:t xml:space="preserve"> de mutilations génitales féminines un accès effectif aux soins médicaux, aux mesures de réadaptation psychosociale, indépendamment de l’existence d’une procédure pénale.</w:t>
            </w:r>
          </w:p>
        </w:tc>
      </w:tr>
    </w:tbl>
    <w:p w14:paraId="00E14015" w14:textId="77777777" w:rsidR="003B4185" w:rsidRPr="00306A83" w:rsidRDefault="003B4185">
      <w:pPr>
        <w:pBdr>
          <w:top w:val="nil"/>
          <w:left w:val="nil"/>
          <w:bottom w:val="nil"/>
          <w:right w:val="nil"/>
          <w:between w:val="nil"/>
        </w:pBdr>
        <w:spacing w:line="259" w:lineRule="auto"/>
        <w:jc w:val="both"/>
        <w:rPr>
          <w:rFonts w:asciiTheme="majorBidi" w:eastAsia="Times New Roman" w:hAnsiTheme="majorBidi" w:cstheme="majorBidi"/>
          <w:i/>
        </w:rPr>
      </w:pPr>
    </w:p>
    <w:p w14:paraId="5C640DCA" w14:textId="5FE0F5F8" w:rsidR="003B4185" w:rsidRPr="00306A83" w:rsidRDefault="006803DD" w:rsidP="00FF3C17">
      <w:pPr>
        <w:pStyle w:val="Heading2"/>
        <w:numPr>
          <w:ilvl w:val="0"/>
          <w:numId w:val="42"/>
        </w:numPr>
      </w:pPr>
      <w:bookmarkStart w:id="50" w:name="_Toc168990389"/>
      <w:r w:rsidRPr="00306A83">
        <w:lastRenderedPageBreak/>
        <w:t>Défenseurs des droits humains</w:t>
      </w:r>
      <w:bookmarkEnd w:id="50"/>
      <w:r w:rsidRPr="00306A83">
        <w:t xml:space="preserve"> </w:t>
      </w:r>
    </w:p>
    <w:p w14:paraId="0571E604" w14:textId="77777777" w:rsidR="003B4185" w:rsidRPr="00306A83" w:rsidRDefault="006803DD">
      <w:pPr>
        <w:shd w:val="clear" w:color="auto" w:fill="FFFFFF"/>
        <w:spacing w:before="240" w:after="240" w:line="276" w:lineRule="auto"/>
        <w:jc w:val="both"/>
        <w:rPr>
          <w:rFonts w:asciiTheme="majorBidi" w:eastAsia="Times New Roman" w:hAnsiTheme="majorBidi" w:cstheme="majorBidi"/>
        </w:rPr>
      </w:pPr>
      <w:r w:rsidRPr="00306A83">
        <w:rPr>
          <w:rFonts w:asciiTheme="majorBidi" w:eastAsia="Times New Roman" w:hAnsiTheme="majorBidi" w:cstheme="majorBidi"/>
        </w:rPr>
        <w:t>Le 20 juin 2014, la Côte d'Ivoire a adopté la Loi n°</w:t>
      </w:r>
      <w:r w:rsidRPr="00306A83">
        <w:rPr>
          <w:rFonts w:asciiTheme="majorBidi" w:eastAsia="Times New Roman" w:hAnsiTheme="majorBidi" w:cstheme="majorBidi"/>
        </w:rPr>
        <w:t xml:space="preserve"> 2014-388 portant promotion et protection des défenseurs des droits de l'homme, suivie de la publication d'un décret d'application en février 2017</w:t>
      </w:r>
      <w:r w:rsidRPr="00306A83">
        <w:rPr>
          <w:rFonts w:asciiTheme="majorBidi" w:eastAsia="Times New Roman" w:hAnsiTheme="majorBidi" w:cstheme="majorBidi"/>
          <w:vertAlign w:val="superscript"/>
        </w:rPr>
        <w:footnoteReference w:id="143"/>
      </w:r>
      <w:r w:rsidRPr="00306A83">
        <w:rPr>
          <w:rFonts w:asciiTheme="majorBidi" w:eastAsia="Times New Roman" w:hAnsiTheme="majorBidi" w:cstheme="majorBidi"/>
        </w:rPr>
        <w:t xml:space="preserve"> et de l'Arrêté interministériel n° 972/MJDH/MEMD/MIS du 10 novembre 2021 portant création du mécanisme de p</w:t>
      </w:r>
      <w:r w:rsidRPr="00306A83">
        <w:rPr>
          <w:rFonts w:asciiTheme="majorBidi" w:eastAsia="Times New Roman" w:hAnsiTheme="majorBidi" w:cstheme="majorBidi"/>
        </w:rPr>
        <w:t>rotection des défenseurs des droits de l'homme.</w:t>
      </w:r>
      <w:r w:rsidRPr="00306A83">
        <w:rPr>
          <w:rFonts w:asciiTheme="majorBidi" w:eastAsia="Times New Roman" w:hAnsiTheme="majorBidi" w:cstheme="majorBidi"/>
          <w:i/>
        </w:rPr>
        <w:t xml:space="preserve"> </w:t>
      </w:r>
      <w:r w:rsidRPr="00306A83">
        <w:rPr>
          <w:rFonts w:asciiTheme="majorBidi" w:eastAsia="Times New Roman" w:hAnsiTheme="majorBidi" w:cstheme="majorBidi"/>
        </w:rPr>
        <w:t xml:space="preserve">Aux termes des articles 17 et 18 de la loi n° 2014-388 de ladite loi, « </w:t>
      </w:r>
      <w:r w:rsidRPr="00306A83">
        <w:rPr>
          <w:rFonts w:asciiTheme="majorBidi" w:eastAsia="Times New Roman" w:hAnsiTheme="majorBidi" w:cstheme="majorBidi"/>
          <w:i/>
        </w:rPr>
        <w:t>l’Etat assure la protection des défenseurs des droits de l’homme et des membres de leurs familles en cas de risque ou de danger dans l’e</w:t>
      </w:r>
      <w:r w:rsidRPr="00306A83">
        <w:rPr>
          <w:rFonts w:asciiTheme="majorBidi" w:eastAsia="Times New Roman" w:hAnsiTheme="majorBidi" w:cstheme="majorBidi"/>
          <w:i/>
        </w:rPr>
        <w:t>xercice de leurs activités</w:t>
      </w:r>
      <w:r w:rsidRPr="00306A83">
        <w:rPr>
          <w:rFonts w:asciiTheme="majorBidi" w:eastAsia="Times New Roman" w:hAnsiTheme="majorBidi" w:cstheme="majorBidi"/>
        </w:rPr>
        <w:t xml:space="preserve"> » et « </w:t>
      </w:r>
      <w:r w:rsidRPr="00306A83">
        <w:rPr>
          <w:rFonts w:asciiTheme="majorBidi" w:eastAsia="Times New Roman" w:hAnsiTheme="majorBidi" w:cstheme="majorBidi"/>
          <w:i/>
        </w:rPr>
        <w:t>l’Etat doit veiller à ce que les violations commises contre les défenseurs des droits de l’homme soient punies conformément aux lois et règlements en vigueur</w:t>
      </w:r>
      <w:r w:rsidRPr="00306A83">
        <w:rPr>
          <w:rFonts w:asciiTheme="majorBidi" w:eastAsia="Times New Roman" w:hAnsiTheme="majorBidi" w:cstheme="majorBidi"/>
        </w:rPr>
        <w:t xml:space="preserve"> ». Bien que le mécanisme ait été mis en place et soit opérationn</w:t>
      </w:r>
      <w:r w:rsidRPr="00306A83">
        <w:rPr>
          <w:rFonts w:asciiTheme="majorBidi" w:eastAsia="Times New Roman" w:hAnsiTheme="majorBidi" w:cstheme="majorBidi"/>
        </w:rPr>
        <w:t xml:space="preserve">el depuis mars 2022, les défenseurs des droits de l'homme n'y sont pas représentés dans le Comité de Protection des Défenseurs des Droits de l’Homme, alors qu'ils en sont les principaux bénéficiaires. </w:t>
      </w:r>
    </w:p>
    <w:p w14:paraId="7D91C80B" w14:textId="77777777" w:rsidR="003B4185" w:rsidRPr="00306A83" w:rsidRDefault="006803DD">
      <w:pPr>
        <w:shd w:val="clear" w:color="auto" w:fill="FFFFFF"/>
        <w:spacing w:before="240" w:after="240" w:line="276" w:lineRule="auto"/>
        <w:jc w:val="both"/>
        <w:rPr>
          <w:rFonts w:asciiTheme="majorBidi" w:eastAsia="Times New Roman" w:hAnsiTheme="majorBidi" w:cstheme="majorBidi"/>
        </w:rPr>
      </w:pPr>
      <w:r w:rsidRPr="00306A83">
        <w:rPr>
          <w:rFonts w:asciiTheme="majorBidi" w:eastAsia="Times New Roman" w:hAnsiTheme="majorBidi" w:cstheme="majorBidi"/>
        </w:rPr>
        <w:t>De plus</w:t>
      </w:r>
      <w:r w:rsidRPr="00306A83">
        <w:rPr>
          <w:rFonts w:asciiTheme="majorBidi" w:eastAsia="Times New Roman" w:hAnsiTheme="majorBidi" w:cstheme="majorBidi"/>
          <w:i/>
        </w:rPr>
        <w:t xml:space="preserve">, </w:t>
      </w:r>
      <w:r w:rsidRPr="00306A83">
        <w:rPr>
          <w:rFonts w:asciiTheme="majorBidi" w:eastAsia="Times New Roman" w:hAnsiTheme="majorBidi" w:cstheme="majorBidi"/>
        </w:rPr>
        <w:t>à ce jour, le mécanisme n’a bénéficié à aucun</w:t>
      </w:r>
      <w:r w:rsidRPr="00306A83">
        <w:rPr>
          <w:rFonts w:asciiTheme="majorBidi" w:eastAsia="Times New Roman" w:hAnsiTheme="majorBidi" w:cstheme="majorBidi"/>
        </w:rPr>
        <w:t xml:space="preserve"> défenseurs des droits humains menacés. Pourtant, il existe de nombreuses entraves à l'exercice de leur liberté d'expression et de réunion pacifique et ils sont exposés au risque de détentions arbitraires, de harcèlement judiciaire, d'agressions physiques,</w:t>
      </w:r>
      <w:r w:rsidRPr="00306A83">
        <w:rPr>
          <w:rFonts w:asciiTheme="majorBidi" w:eastAsia="Times New Roman" w:hAnsiTheme="majorBidi" w:cstheme="majorBidi"/>
        </w:rPr>
        <w:t xml:space="preserve"> de menaces et d'intimidations comme l’illustrent les cas ci-dessous exposés.</w:t>
      </w:r>
    </w:p>
    <w:p w14:paraId="5CB44EB9" w14:textId="77777777" w:rsidR="003B4185" w:rsidRPr="00306A83" w:rsidRDefault="006803DD">
      <w:pPr>
        <w:shd w:val="clear" w:color="auto" w:fill="FFFFFF"/>
        <w:spacing w:before="240" w:after="240" w:line="276" w:lineRule="auto"/>
        <w:jc w:val="both"/>
        <w:rPr>
          <w:rFonts w:asciiTheme="majorBidi" w:eastAsia="Times New Roman" w:hAnsiTheme="majorBidi" w:cstheme="majorBidi"/>
          <w:i/>
        </w:rPr>
      </w:pPr>
      <w:r w:rsidRPr="00306A83">
        <w:rPr>
          <w:rFonts w:asciiTheme="majorBidi" w:eastAsia="Times New Roman" w:hAnsiTheme="majorBidi" w:cstheme="majorBidi"/>
        </w:rPr>
        <w:t xml:space="preserve">Les défenseurs de l'environnement ont fait l'objet de détentions arbitraires et de harcèlement judiciaire. Le 12 mars 2020, un tribunal de Toumodi a condamné le </w:t>
      </w:r>
      <w:r w:rsidRPr="00306A83">
        <w:rPr>
          <w:rFonts w:asciiTheme="majorBidi" w:eastAsia="Times New Roman" w:hAnsiTheme="majorBidi" w:cstheme="majorBidi"/>
        </w:rPr>
        <w:t>défenseur des droits de l'homme et étudiant en journalisme, Hubert Konan Yao, à une peine de cinq ans de prison et à une amende de trois millions de francs CFA (environ 5 000 USD) pour « incitation et trouble à l'ordre public », et « coups et blessures sur</w:t>
      </w:r>
      <w:r w:rsidRPr="00306A83">
        <w:rPr>
          <w:rFonts w:asciiTheme="majorBidi" w:eastAsia="Times New Roman" w:hAnsiTheme="majorBidi" w:cstheme="majorBidi"/>
        </w:rPr>
        <w:t xml:space="preserve"> des gendarmes en service ».</w:t>
      </w:r>
      <w:r w:rsidRPr="00306A83">
        <w:rPr>
          <w:rFonts w:asciiTheme="majorBidi" w:eastAsia="Times New Roman" w:hAnsiTheme="majorBidi" w:cstheme="majorBidi"/>
          <w:vertAlign w:val="superscript"/>
        </w:rPr>
        <w:footnoteReference w:id="144"/>
      </w:r>
      <w:r w:rsidRPr="00306A83">
        <w:rPr>
          <w:rFonts w:asciiTheme="majorBidi" w:eastAsia="Times New Roman" w:hAnsiTheme="majorBidi" w:cstheme="majorBidi"/>
        </w:rPr>
        <w:t xml:space="preserve"> Il avait été arrêté le 4 août 2019 dans une gare routière à </w:t>
      </w:r>
      <w:proofErr w:type="spellStart"/>
      <w:r w:rsidRPr="00306A83">
        <w:rPr>
          <w:rFonts w:asciiTheme="majorBidi" w:eastAsia="Times New Roman" w:hAnsiTheme="majorBidi" w:cstheme="majorBidi"/>
        </w:rPr>
        <w:t>Djékanou</w:t>
      </w:r>
      <w:proofErr w:type="spellEnd"/>
      <w:r w:rsidRPr="00306A83">
        <w:rPr>
          <w:rFonts w:asciiTheme="majorBidi" w:eastAsia="Times New Roman" w:hAnsiTheme="majorBidi" w:cstheme="majorBidi"/>
        </w:rPr>
        <w:t>. Des agents de police l'auraient agressé physiquement lorsqu'il a résisté à l'arrestation, alors qu'ils ne lui avaient pas présenté de mandat d'arrêt. Huber</w:t>
      </w:r>
      <w:r w:rsidRPr="00306A83">
        <w:rPr>
          <w:rFonts w:asciiTheme="majorBidi" w:eastAsia="Times New Roman" w:hAnsiTheme="majorBidi" w:cstheme="majorBidi"/>
        </w:rPr>
        <w:t>t Konan Yao a été appréhendé à la suite d'une manifestation de la communauté de N'da-</w:t>
      </w:r>
      <w:proofErr w:type="spellStart"/>
      <w:r w:rsidRPr="00306A83">
        <w:rPr>
          <w:rFonts w:asciiTheme="majorBidi" w:eastAsia="Times New Roman" w:hAnsiTheme="majorBidi" w:cstheme="majorBidi"/>
        </w:rPr>
        <w:t>kouassikro</w:t>
      </w:r>
      <w:proofErr w:type="spellEnd"/>
      <w:r w:rsidRPr="00306A83">
        <w:rPr>
          <w:rFonts w:asciiTheme="majorBidi" w:eastAsia="Times New Roman" w:hAnsiTheme="majorBidi" w:cstheme="majorBidi"/>
        </w:rPr>
        <w:t xml:space="preserve"> contre l'ouverture d'une mine d'or exploitée par Mondial Mines. Il avait participé à l'organisation de cette manifestation la veille, le 3 août 2019.</w:t>
      </w:r>
    </w:p>
    <w:p w14:paraId="0C3CEB4C" w14:textId="77777777" w:rsidR="003B4185" w:rsidRPr="00306A83" w:rsidRDefault="006803DD">
      <w:pPr>
        <w:shd w:val="clear" w:color="auto" w:fill="FFFFFF"/>
        <w:spacing w:before="240" w:line="276" w:lineRule="auto"/>
        <w:jc w:val="both"/>
        <w:rPr>
          <w:rFonts w:asciiTheme="majorBidi" w:eastAsia="Times New Roman" w:hAnsiTheme="majorBidi" w:cstheme="majorBidi"/>
          <w:i/>
        </w:rPr>
      </w:pPr>
      <w:r w:rsidRPr="00306A83">
        <w:rPr>
          <w:rFonts w:asciiTheme="majorBidi" w:eastAsia="Times New Roman" w:hAnsiTheme="majorBidi" w:cstheme="majorBidi"/>
        </w:rPr>
        <w:t>Des défenseurs et défenseures des droits de l'homme ont été menacés, diffamés et intimidés pour avoir dénoncé des violations des droits de l'homme. Une activiste leader d’une organisation, a fait l'objet d'intimidations, de menaces et de diffamation en lig</w:t>
      </w:r>
      <w:r w:rsidRPr="00306A83">
        <w:rPr>
          <w:rFonts w:asciiTheme="majorBidi" w:eastAsia="Times New Roman" w:hAnsiTheme="majorBidi" w:cstheme="majorBidi"/>
        </w:rPr>
        <w:t>ne après avoir mené une étude sur le harcèlement sexuel à l'Université Félix Houphouët-Boigny. L'étude a révélé que 80 % des étudiantes ont subi des actes de harcèlement sexuel perpétrés entre autres par des membres du syndicat étudiant Fédération estudian</w:t>
      </w:r>
      <w:r w:rsidRPr="00306A83">
        <w:rPr>
          <w:rFonts w:asciiTheme="majorBidi" w:eastAsia="Times New Roman" w:hAnsiTheme="majorBidi" w:cstheme="majorBidi"/>
        </w:rPr>
        <w:t xml:space="preserve">tine et scolaire de Côte d'Ivoire (FESCI). Le 19 mars 2023, un individu qui s'est présenté comme le secrétaire du ministre de </w:t>
      </w:r>
      <w:r w:rsidRPr="00306A83">
        <w:rPr>
          <w:rFonts w:asciiTheme="majorBidi" w:eastAsia="Times New Roman" w:hAnsiTheme="majorBidi" w:cstheme="majorBidi"/>
        </w:rPr>
        <w:lastRenderedPageBreak/>
        <w:t>l'Enseignement supérieur et de la Recherche scientifique l'a appelée dans le but de l'intimider. Il l'a accusé de se servir de son</w:t>
      </w:r>
      <w:r w:rsidRPr="00306A83">
        <w:rPr>
          <w:rFonts w:asciiTheme="majorBidi" w:eastAsia="Times New Roman" w:hAnsiTheme="majorBidi" w:cstheme="majorBidi"/>
        </w:rPr>
        <w:t xml:space="preserve"> étude pour tenter de discréditer le Ministère. Le 26 mars 2023, elle a été accostée par des membres de la FESCI qui l'ont empêchée de sortir de son véhicule. Les intimidations ont continué jusqu'en juillet 2023, lorsqu'un membre de la FESCI s'est rendu à </w:t>
      </w:r>
      <w:r w:rsidRPr="00306A83">
        <w:rPr>
          <w:rFonts w:asciiTheme="majorBidi" w:eastAsia="Times New Roman" w:hAnsiTheme="majorBidi" w:cstheme="majorBidi"/>
        </w:rPr>
        <w:t>son bureau sans autorisation, ce qui a poussé le CPDEFM à déménager ses bureaux.</w:t>
      </w:r>
      <w:r w:rsidRPr="00306A83">
        <w:rPr>
          <w:rFonts w:asciiTheme="majorBidi" w:eastAsia="Times New Roman" w:hAnsiTheme="majorBidi" w:cstheme="majorBidi"/>
          <w:vertAlign w:val="superscript"/>
        </w:rPr>
        <w:footnoteReference w:id="145"/>
      </w:r>
      <w:r w:rsidRPr="00306A83">
        <w:rPr>
          <w:rFonts w:asciiTheme="majorBidi" w:eastAsia="Times New Roman" w:hAnsiTheme="majorBidi" w:cstheme="majorBidi"/>
        </w:rPr>
        <w:t xml:space="preserve"> À cette période, elle a également été la cible de calomnies et d'insultes sur les réseaux sociaux.</w:t>
      </w:r>
      <w:r w:rsidRPr="00306A83">
        <w:rPr>
          <w:rFonts w:asciiTheme="majorBidi" w:eastAsia="Times New Roman" w:hAnsiTheme="majorBidi" w:cstheme="majorBidi"/>
          <w:vertAlign w:val="superscript"/>
        </w:rPr>
        <w:footnoteReference w:id="146"/>
      </w:r>
      <w:r w:rsidRPr="00306A83">
        <w:rPr>
          <w:rFonts w:asciiTheme="majorBidi" w:eastAsia="Times New Roman" w:hAnsiTheme="majorBidi" w:cstheme="majorBidi"/>
        </w:rPr>
        <w:t xml:space="preserve"> En 2023, la CIDDH a porté le cas devant le mécanisme ivoirien de protect</w:t>
      </w:r>
      <w:r w:rsidRPr="00306A83">
        <w:rPr>
          <w:rFonts w:asciiTheme="majorBidi" w:eastAsia="Times New Roman" w:hAnsiTheme="majorBidi" w:cstheme="majorBidi"/>
        </w:rPr>
        <w:t>ion des défenseurs des droits de l'homme, mais n'a pas encore reçu de réponse satisfaisante.</w:t>
      </w:r>
    </w:p>
    <w:p w14:paraId="181B7F27" w14:textId="77777777" w:rsidR="003B4185" w:rsidRPr="00306A83" w:rsidRDefault="006803DD">
      <w:pPr>
        <w:shd w:val="clear" w:color="auto" w:fill="FFFFFF"/>
        <w:spacing w:before="240" w:after="240" w:line="276" w:lineRule="auto"/>
        <w:jc w:val="both"/>
        <w:rPr>
          <w:rFonts w:asciiTheme="majorBidi" w:eastAsia="Times New Roman" w:hAnsiTheme="majorBidi" w:cstheme="majorBidi"/>
        </w:rPr>
      </w:pPr>
      <w:r w:rsidRPr="00306A83">
        <w:rPr>
          <w:rFonts w:asciiTheme="majorBidi" w:eastAsia="Times New Roman" w:hAnsiTheme="majorBidi" w:cstheme="majorBidi"/>
        </w:rPr>
        <w:t>Au mois de février 2020, la coordinatrice du mouvement citoyen No-Vox Côte d'Ivoire, a déclaré avoir reçu des appels téléphoniques et des menaces sur Facebook en r</w:t>
      </w:r>
      <w:r w:rsidRPr="00306A83">
        <w:rPr>
          <w:rFonts w:asciiTheme="majorBidi" w:eastAsia="Times New Roman" w:hAnsiTheme="majorBidi" w:cstheme="majorBidi"/>
        </w:rPr>
        <w:t>aison de son travail en faveur de la libération de l'activiste Hubert Konan Yao (voir 3.5) et à la suite de la publication d'un rapport de No-Vox, qui a révélé des cas de violation des droits de l'homme au sein de la communauté de N'</w:t>
      </w:r>
      <w:proofErr w:type="spellStart"/>
      <w:r w:rsidRPr="00306A83">
        <w:rPr>
          <w:rFonts w:asciiTheme="majorBidi" w:eastAsia="Times New Roman" w:hAnsiTheme="majorBidi" w:cstheme="majorBidi"/>
        </w:rPr>
        <w:t>dakouassikro</w:t>
      </w:r>
      <w:proofErr w:type="spellEnd"/>
      <w:r w:rsidRPr="00306A83">
        <w:rPr>
          <w:rFonts w:asciiTheme="majorBidi" w:eastAsia="Times New Roman" w:hAnsiTheme="majorBidi" w:cstheme="majorBidi"/>
        </w:rPr>
        <w:t>.</w:t>
      </w:r>
      <w:r w:rsidRPr="00306A83">
        <w:rPr>
          <w:rFonts w:asciiTheme="majorBidi" w:eastAsia="Times New Roman" w:hAnsiTheme="majorBidi" w:cstheme="majorBidi"/>
          <w:vertAlign w:val="superscript"/>
        </w:rPr>
        <w:footnoteReference w:id="147"/>
      </w:r>
    </w:p>
    <w:p w14:paraId="71E9CC03" w14:textId="77777777" w:rsidR="003B4185" w:rsidRPr="00306A83" w:rsidRDefault="006803DD">
      <w:pPr>
        <w:shd w:val="clear" w:color="auto" w:fill="FFFFFF"/>
        <w:spacing w:before="240" w:after="240" w:line="276" w:lineRule="auto"/>
        <w:jc w:val="both"/>
        <w:rPr>
          <w:rFonts w:asciiTheme="majorBidi" w:eastAsia="Times New Roman" w:hAnsiTheme="majorBidi" w:cstheme="majorBidi"/>
        </w:rPr>
      </w:pPr>
      <w:r w:rsidRPr="00306A83">
        <w:rPr>
          <w:rFonts w:asciiTheme="majorBidi" w:eastAsia="Times New Roman" w:hAnsiTheme="majorBidi" w:cstheme="majorBidi"/>
        </w:rPr>
        <w:t>Des jou</w:t>
      </w:r>
      <w:r w:rsidRPr="00306A83">
        <w:rPr>
          <w:rFonts w:asciiTheme="majorBidi" w:eastAsia="Times New Roman" w:hAnsiTheme="majorBidi" w:cstheme="majorBidi"/>
        </w:rPr>
        <w:t xml:space="preserve">rnalistes ont également été agressés physiquement. Le 6 mai 2020, Claude </w:t>
      </w:r>
      <w:proofErr w:type="spellStart"/>
      <w:r w:rsidRPr="00306A83">
        <w:rPr>
          <w:rFonts w:asciiTheme="majorBidi" w:eastAsia="Times New Roman" w:hAnsiTheme="majorBidi" w:cstheme="majorBidi"/>
        </w:rPr>
        <w:t>Dasse</w:t>
      </w:r>
      <w:proofErr w:type="spellEnd"/>
      <w:r w:rsidRPr="00306A83">
        <w:rPr>
          <w:rFonts w:asciiTheme="majorBidi" w:eastAsia="Times New Roman" w:hAnsiTheme="majorBidi" w:cstheme="majorBidi"/>
        </w:rPr>
        <w:t xml:space="preserve"> du quotidien L'Intelligent s'est rendu à la Maison d'arrêt et de correction d'Abidjan (MACA) afin d'enquêter sur des accusations d'extorsion de prisonniers par des gardiens de l</w:t>
      </w:r>
      <w:r w:rsidRPr="00306A83">
        <w:rPr>
          <w:rFonts w:asciiTheme="majorBidi" w:eastAsia="Times New Roman" w:hAnsiTheme="majorBidi" w:cstheme="majorBidi"/>
        </w:rPr>
        <w:t>'établissement. Il s'y est rendu sur rendez-vous pour rencontrer le directeur de la MACA et le directeur des gardiens de prison. À cette occasion, il affirme avoir été détenu, battu et menacé de mort durant quatre heures au sein de l'établissement pénitent</w:t>
      </w:r>
      <w:r w:rsidRPr="00306A83">
        <w:rPr>
          <w:rFonts w:asciiTheme="majorBidi" w:eastAsia="Times New Roman" w:hAnsiTheme="majorBidi" w:cstheme="majorBidi"/>
        </w:rPr>
        <w:t>iaire.</w:t>
      </w:r>
      <w:r w:rsidRPr="00306A83">
        <w:rPr>
          <w:rFonts w:asciiTheme="majorBidi" w:eastAsia="Times New Roman" w:hAnsiTheme="majorBidi" w:cstheme="majorBidi"/>
          <w:vertAlign w:val="superscript"/>
        </w:rPr>
        <w:footnoteReference w:id="148"/>
      </w:r>
    </w:p>
    <w:p w14:paraId="31448EEB" w14:textId="77777777" w:rsidR="003B4185" w:rsidRPr="00306A83" w:rsidRDefault="006803DD">
      <w:pPr>
        <w:shd w:val="clear" w:color="auto" w:fill="FFFFFF"/>
        <w:spacing w:before="240" w:line="276" w:lineRule="auto"/>
        <w:jc w:val="both"/>
        <w:rPr>
          <w:rFonts w:asciiTheme="majorBidi" w:eastAsia="Times New Roman" w:hAnsiTheme="majorBidi" w:cstheme="majorBidi"/>
        </w:rPr>
      </w:pPr>
      <w:r w:rsidRPr="00306A83">
        <w:rPr>
          <w:rFonts w:asciiTheme="majorBidi" w:eastAsia="Times New Roman" w:hAnsiTheme="majorBidi" w:cstheme="majorBidi"/>
        </w:rPr>
        <w:t>Le 19 août 2020, le Conseil des ministres a interdit toute manifestation publique jusqu'au 15 septembre de la même année.</w:t>
      </w:r>
      <w:r w:rsidRPr="00306A83">
        <w:rPr>
          <w:rFonts w:asciiTheme="majorBidi" w:eastAsia="Times New Roman" w:hAnsiTheme="majorBidi" w:cstheme="majorBidi"/>
          <w:vertAlign w:val="superscript"/>
        </w:rPr>
        <w:footnoteReference w:id="149"/>
      </w:r>
      <w:r w:rsidRPr="00306A83">
        <w:rPr>
          <w:rFonts w:asciiTheme="majorBidi" w:eastAsia="Times New Roman" w:hAnsiTheme="majorBidi" w:cstheme="majorBidi"/>
        </w:rPr>
        <w:t xml:space="preserve"> Cette prohibition a été renouvelée à plusieurs reprises et est restée en vigueur jusqu'au 15 décembre 2020.</w:t>
      </w:r>
      <w:r w:rsidRPr="00306A83">
        <w:rPr>
          <w:rFonts w:asciiTheme="majorBidi" w:eastAsia="Times New Roman" w:hAnsiTheme="majorBidi" w:cstheme="majorBidi"/>
          <w:vertAlign w:val="superscript"/>
        </w:rPr>
        <w:footnoteReference w:id="150"/>
      </w:r>
      <w:r w:rsidRPr="00306A83">
        <w:rPr>
          <w:rFonts w:asciiTheme="majorBidi" w:eastAsia="Times New Roman" w:hAnsiTheme="majorBidi" w:cstheme="majorBidi"/>
        </w:rPr>
        <w:t xml:space="preserve"> Malgré cette </w:t>
      </w:r>
      <w:r w:rsidRPr="00306A83">
        <w:rPr>
          <w:rFonts w:asciiTheme="majorBidi" w:eastAsia="Times New Roman" w:hAnsiTheme="majorBidi" w:cstheme="majorBidi"/>
        </w:rPr>
        <w:t xml:space="preserve">interdiction, des manifestations contre la candidature de Ouattara à un autre mandat ont éclaté les 21 et 22 août 2020. À Abidjan, les forces de sécurité ont utilisé des gaz lacrymogènes pour disperser les manifestants dans la banlieue de Yopougon, tandis </w:t>
      </w:r>
      <w:r w:rsidRPr="00306A83">
        <w:rPr>
          <w:rFonts w:asciiTheme="majorBidi" w:eastAsia="Times New Roman" w:hAnsiTheme="majorBidi" w:cstheme="majorBidi"/>
        </w:rPr>
        <w:t>qu'un nombre considérable d'agents de sécurité ont été déployés à Cocody pour dissuader les manifestants d'y manifester.</w:t>
      </w:r>
      <w:r w:rsidRPr="00306A83">
        <w:rPr>
          <w:rFonts w:asciiTheme="majorBidi" w:eastAsia="Times New Roman" w:hAnsiTheme="majorBidi" w:cstheme="majorBidi"/>
          <w:vertAlign w:val="superscript"/>
        </w:rPr>
        <w:footnoteReference w:id="151"/>
      </w:r>
    </w:p>
    <w:p w14:paraId="2E2BA291" w14:textId="77777777" w:rsidR="003B4185" w:rsidRPr="00306A83" w:rsidRDefault="006803DD">
      <w:pPr>
        <w:shd w:val="clear" w:color="auto" w:fill="FFFFFF"/>
        <w:spacing w:before="240" w:after="240" w:line="276" w:lineRule="auto"/>
        <w:jc w:val="both"/>
        <w:rPr>
          <w:rFonts w:asciiTheme="majorBidi" w:eastAsia="Times New Roman" w:hAnsiTheme="majorBidi" w:cstheme="majorBidi"/>
        </w:rPr>
      </w:pPr>
      <w:r w:rsidRPr="00306A83">
        <w:rPr>
          <w:rFonts w:asciiTheme="majorBidi" w:eastAsia="Times New Roman" w:hAnsiTheme="majorBidi" w:cstheme="majorBidi"/>
        </w:rPr>
        <w:lastRenderedPageBreak/>
        <w:t>Les manifestants, notamment les défenseurs des droits de l'homme, sont régulièrement arrêtés pendant les manifestations et, dans cert</w:t>
      </w:r>
      <w:r w:rsidRPr="00306A83">
        <w:rPr>
          <w:rFonts w:asciiTheme="majorBidi" w:eastAsia="Times New Roman" w:hAnsiTheme="majorBidi" w:cstheme="majorBidi"/>
        </w:rPr>
        <w:t xml:space="preserve">ains cas, poursuivis en justice. Le 10 mai 2023, des dizaines de producteurs de café et de cacao, ainsi que des membres de la Centrale syndicale agricole de Côte d'Ivoire ont été arrêtés lors d'une manifestation dans la commune du Plateau pour réclamer le </w:t>
      </w:r>
      <w:r w:rsidRPr="00306A83">
        <w:rPr>
          <w:rFonts w:asciiTheme="majorBidi" w:eastAsia="Times New Roman" w:hAnsiTheme="majorBidi" w:cstheme="majorBidi"/>
        </w:rPr>
        <w:t>versement de 17 millions de francs CFA du fonds COVID-19.</w:t>
      </w:r>
      <w:r w:rsidRPr="00306A83">
        <w:rPr>
          <w:rFonts w:asciiTheme="majorBidi" w:eastAsia="Times New Roman" w:hAnsiTheme="majorBidi" w:cstheme="majorBidi"/>
          <w:vertAlign w:val="superscript"/>
        </w:rPr>
        <w:footnoteReference w:id="152"/>
      </w:r>
      <w:r w:rsidRPr="00306A83">
        <w:rPr>
          <w:rFonts w:asciiTheme="majorBidi" w:eastAsia="Times New Roman" w:hAnsiTheme="majorBidi" w:cstheme="majorBidi"/>
        </w:rPr>
        <w:t xml:space="preserve"> Ils ont été libérés sans charges le 12 mai 2023, après avoir été entendus par un juge d'instruction pour « troubles à l'ordre public ».</w:t>
      </w:r>
      <w:r w:rsidRPr="00306A83">
        <w:rPr>
          <w:rFonts w:asciiTheme="majorBidi" w:eastAsia="Times New Roman" w:hAnsiTheme="majorBidi" w:cstheme="majorBidi"/>
          <w:vertAlign w:val="superscript"/>
        </w:rPr>
        <w:footnoteReference w:id="153"/>
      </w:r>
      <w:r w:rsidRPr="00306A83">
        <w:rPr>
          <w:rFonts w:asciiTheme="majorBidi" w:eastAsia="Times New Roman" w:hAnsiTheme="majorBidi" w:cstheme="majorBidi"/>
        </w:rPr>
        <w:t xml:space="preserve"> Le 28 décembre 2022, 45 personnes et membres du Collectif </w:t>
      </w:r>
      <w:r w:rsidRPr="00306A83">
        <w:rPr>
          <w:rFonts w:asciiTheme="majorBidi" w:eastAsia="Times New Roman" w:hAnsiTheme="majorBidi" w:cstheme="majorBidi"/>
        </w:rPr>
        <w:t>des docteurs non recrutés ont été condamnés à des peines de quatre mois de prison avec sursis après qu’un tribunal du Plateau les a jugés coupables de « trouble à l'ordre public » pour avoir participé à un sit-in pacifique le 21 décembre 2022.</w:t>
      </w:r>
      <w:r w:rsidRPr="00306A83">
        <w:rPr>
          <w:rFonts w:asciiTheme="majorBidi" w:eastAsia="Times New Roman" w:hAnsiTheme="majorBidi" w:cstheme="majorBidi"/>
          <w:vertAlign w:val="superscript"/>
        </w:rPr>
        <w:footnoteReference w:id="154"/>
      </w:r>
      <w:r w:rsidRPr="00306A83">
        <w:rPr>
          <w:rFonts w:asciiTheme="majorBidi" w:eastAsia="Times New Roman" w:hAnsiTheme="majorBidi" w:cstheme="majorBidi"/>
        </w:rPr>
        <w:t xml:space="preserve"> Le 25 nove</w:t>
      </w:r>
      <w:r w:rsidRPr="00306A83">
        <w:rPr>
          <w:rFonts w:asciiTheme="majorBidi" w:eastAsia="Times New Roman" w:hAnsiTheme="majorBidi" w:cstheme="majorBidi"/>
        </w:rPr>
        <w:t>mbre 2022, quatre militants de l'OSC Urgences ivoiriennes ont été arrêtés lors d'une manifestation pacifique à Abidjan contre la hausse du coût de la vie.</w:t>
      </w:r>
      <w:r w:rsidRPr="00306A83">
        <w:rPr>
          <w:rFonts w:asciiTheme="majorBidi" w:eastAsia="Times New Roman" w:hAnsiTheme="majorBidi" w:cstheme="majorBidi"/>
          <w:vertAlign w:val="superscript"/>
        </w:rPr>
        <w:footnoteReference w:id="155"/>
      </w:r>
    </w:p>
    <w:tbl>
      <w:tblPr>
        <w:tblStyle w:val="ac"/>
        <w:tblW w:w="90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6"/>
      </w:tblGrid>
      <w:tr w:rsidR="003B4185" w:rsidRPr="00306A83" w14:paraId="2F52ADAE" w14:textId="77777777">
        <w:tc>
          <w:tcPr>
            <w:tcW w:w="9066" w:type="dxa"/>
            <w:shd w:val="clear" w:color="auto" w:fill="auto"/>
            <w:tcMar>
              <w:top w:w="100" w:type="dxa"/>
              <w:left w:w="100" w:type="dxa"/>
              <w:bottom w:w="100" w:type="dxa"/>
              <w:right w:w="100" w:type="dxa"/>
            </w:tcMar>
          </w:tcPr>
          <w:p w14:paraId="5B085C4E" w14:textId="7389009C" w:rsidR="003B4185" w:rsidRPr="00306A83" w:rsidRDefault="006803DD">
            <w:pPr>
              <w:keepNext/>
              <w:keepLines/>
              <w:shd w:val="clear" w:color="auto" w:fill="FFFFFF"/>
              <w:jc w:val="both"/>
              <w:rPr>
                <w:rFonts w:asciiTheme="majorBidi" w:eastAsia="Times New Roman" w:hAnsiTheme="majorBidi" w:cstheme="majorBidi"/>
              </w:rPr>
            </w:pPr>
            <w:r w:rsidRPr="00306A83">
              <w:rPr>
                <w:rFonts w:asciiTheme="majorBidi" w:eastAsia="Times New Roman" w:hAnsiTheme="majorBidi" w:cstheme="majorBidi"/>
                <w:b/>
              </w:rPr>
              <w:t xml:space="preserve">Recommandations </w:t>
            </w:r>
            <w:r w:rsidRPr="00306A83">
              <w:rPr>
                <w:rFonts w:asciiTheme="majorBidi" w:eastAsia="Times New Roman" w:hAnsiTheme="majorBidi" w:cstheme="majorBidi"/>
              </w:rPr>
              <w:t>:</w:t>
            </w:r>
          </w:p>
          <w:p w14:paraId="6ACA0F0D" w14:textId="77777777" w:rsidR="003B4185" w:rsidRPr="00306A83" w:rsidRDefault="003B4185">
            <w:pPr>
              <w:keepNext/>
              <w:keepLines/>
              <w:shd w:val="clear" w:color="auto" w:fill="FFFFFF"/>
              <w:jc w:val="both"/>
              <w:rPr>
                <w:rFonts w:asciiTheme="majorBidi" w:eastAsia="Times New Roman" w:hAnsiTheme="majorBidi" w:cstheme="majorBidi"/>
              </w:rPr>
            </w:pPr>
          </w:p>
          <w:p w14:paraId="64B04315" w14:textId="77777777"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Garantir un environnement de travail sécurisé pour les défenseurs des droits humains en mettant en œuvre les dispositions contenues dans la loi n° 2014-388 du 20 juin 2014 et ses décrets d’application du 22 février 2017 et du 20 octobre </w:t>
            </w:r>
            <w:proofErr w:type="gramStart"/>
            <w:r w:rsidRPr="00306A83">
              <w:rPr>
                <w:rFonts w:asciiTheme="majorBidi" w:eastAsia="Times New Roman" w:hAnsiTheme="majorBidi" w:cstheme="majorBidi"/>
              </w:rPr>
              <w:t>2021;</w:t>
            </w:r>
            <w:proofErr w:type="gramEnd"/>
          </w:p>
          <w:p w14:paraId="590A62E8" w14:textId="77777777"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Renforcer le </w:t>
            </w:r>
            <w:r w:rsidRPr="00306A83">
              <w:rPr>
                <w:rFonts w:asciiTheme="majorBidi" w:eastAsia="Times New Roman" w:hAnsiTheme="majorBidi" w:cstheme="majorBidi"/>
              </w:rPr>
              <w:t xml:space="preserve">mécanisme de protection des défenseurs des droits de l'homme en intégrant les défenseurs des droits humains dans la composition et le fonctionnement du </w:t>
            </w:r>
            <w:proofErr w:type="gramStart"/>
            <w:r w:rsidRPr="00306A83">
              <w:rPr>
                <w:rFonts w:asciiTheme="majorBidi" w:eastAsia="Times New Roman" w:hAnsiTheme="majorBidi" w:cstheme="majorBidi"/>
              </w:rPr>
              <w:t>mécanisme;</w:t>
            </w:r>
            <w:proofErr w:type="gramEnd"/>
          </w:p>
          <w:p w14:paraId="7E8135CB" w14:textId="77777777"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Diligenter des enquêtes sur toutes les allégations de menaces, d’agressions et de détention a</w:t>
            </w:r>
            <w:r w:rsidRPr="00306A83">
              <w:rPr>
                <w:rFonts w:asciiTheme="majorBidi" w:eastAsia="Times New Roman" w:hAnsiTheme="majorBidi" w:cstheme="majorBidi"/>
              </w:rPr>
              <w:t xml:space="preserve">rbitraire à l’encontre des défenseurs des droits humains, poursuivre et sanctionner les </w:t>
            </w:r>
            <w:proofErr w:type="gramStart"/>
            <w:r w:rsidRPr="00306A83">
              <w:rPr>
                <w:rFonts w:asciiTheme="majorBidi" w:eastAsia="Times New Roman" w:hAnsiTheme="majorBidi" w:cstheme="majorBidi"/>
              </w:rPr>
              <w:t>auteurs;</w:t>
            </w:r>
            <w:proofErr w:type="gramEnd"/>
          </w:p>
          <w:p w14:paraId="3DF9B2F1" w14:textId="48149600" w:rsidR="003B4185" w:rsidRPr="00306A83" w:rsidRDefault="006803DD">
            <w:pPr>
              <w:numPr>
                <w:ilvl w:val="0"/>
                <w:numId w:val="28"/>
              </w:numPr>
              <w:pBdr>
                <w:left w:val="nil"/>
              </w:pBdr>
              <w:ind w:left="1080"/>
              <w:jc w:val="both"/>
              <w:rPr>
                <w:rFonts w:asciiTheme="majorBidi" w:eastAsia="Times New Roman" w:hAnsiTheme="majorBidi" w:cstheme="majorBidi"/>
              </w:rPr>
            </w:pPr>
            <w:r w:rsidRPr="00306A83">
              <w:rPr>
                <w:rFonts w:asciiTheme="majorBidi" w:eastAsia="Times New Roman" w:hAnsiTheme="majorBidi" w:cstheme="majorBidi"/>
              </w:rPr>
              <w:t xml:space="preserve">Reconnaitre la compétence du Comité contre la torture au titre de l’article 22 de la Convention contre la torture pour recevoir et examiner des communications </w:t>
            </w:r>
            <w:r w:rsidRPr="00306A83">
              <w:rPr>
                <w:rFonts w:asciiTheme="majorBidi" w:eastAsia="Times New Roman" w:hAnsiTheme="majorBidi" w:cstheme="majorBidi"/>
              </w:rPr>
              <w:t xml:space="preserve">présentées par ou pour le compte de particuliers relevant de sa juridiction qui prétendent être victimes d'une violation, par un </w:t>
            </w:r>
            <w:r w:rsidR="0017525C" w:rsidRPr="00306A83">
              <w:rPr>
                <w:rFonts w:asciiTheme="majorBidi" w:eastAsia="Times New Roman" w:hAnsiTheme="majorBidi" w:cstheme="majorBidi"/>
              </w:rPr>
              <w:t>État</w:t>
            </w:r>
            <w:r w:rsidRPr="00306A83">
              <w:rPr>
                <w:rFonts w:asciiTheme="majorBidi" w:eastAsia="Times New Roman" w:hAnsiTheme="majorBidi" w:cstheme="majorBidi"/>
              </w:rPr>
              <w:t xml:space="preserve"> partie, des dispositions de la Convention.</w:t>
            </w:r>
          </w:p>
        </w:tc>
      </w:tr>
    </w:tbl>
    <w:p w14:paraId="11DDB5CB" w14:textId="77777777" w:rsidR="003B4185" w:rsidRPr="00306A83" w:rsidRDefault="003B4185">
      <w:pPr>
        <w:jc w:val="both"/>
        <w:rPr>
          <w:rFonts w:asciiTheme="majorBidi" w:eastAsia="Times New Roman" w:hAnsiTheme="majorBidi" w:cstheme="majorBidi"/>
        </w:rPr>
      </w:pPr>
    </w:p>
    <w:sectPr w:rsidR="003B4185" w:rsidRPr="00306A83">
      <w:footerReference w:type="default" r:id="rId17"/>
      <w:pgSz w:w="11900" w:h="16840"/>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1736" w14:textId="77777777" w:rsidR="00FA3991" w:rsidRDefault="00FA3991">
      <w:r>
        <w:separator/>
      </w:r>
    </w:p>
  </w:endnote>
  <w:endnote w:type="continuationSeparator" w:id="0">
    <w:p w14:paraId="519ADF78" w14:textId="77777777" w:rsidR="00FA3991" w:rsidRDefault="00FA3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0CE904D-237D-4D6B-8F06-D991C970755D}"/>
    <w:embedBold r:id="rId2" w:fontKey="{17C13B4E-89D1-45D0-B612-280A88BFD488}"/>
    <w:embedItalic r:id="rId3" w:fontKey="{C435032C-75AF-473A-B394-140832AB4421}"/>
    <w:embedBoldItalic r:id="rId4" w:fontKey="{D91AAF5B-3DE3-42BD-96D7-93144F2D916B}"/>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6912FE9B-76F2-4BBE-8FE1-B6D8B4B675C5}"/>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6" w:fontKey="{9AD78B05-6E79-42E8-8181-526C39CCA4CF}"/>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7" w:fontKey="{215E2591-DB57-4670-A598-654516B55014}"/>
    <w:embedItalic r:id="rId8" w:fontKey="{B4966B95-6649-4F64-ADA4-075C492F714E}"/>
  </w:font>
  <w:font w:name="Calibri Light">
    <w:panose1 w:val="020F0302020204030204"/>
    <w:charset w:val="00"/>
    <w:family w:val="swiss"/>
    <w:pitch w:val="variable"/>
    <w:sig w:usb0="E4002EFF" w:usb1="C000247B" w:usb2="00000009" w:usb3="00000000" w:csb0="000001FF" w:csb1="00000000"/>
    <w:embedRegular r:id="rId9" w:fontKey="{C91977A6-4EBA-4122-A8BE-E52E55624A36}"/>
    <w:embedBold r:id="rId10" w:fontKey="{B79DFF57-2CB7-4B62-8BC2-CC57C4E359E3}"/>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rdo">
    <w:charset w:val="00"/>
    <w:family w:val="auto"/>
    <w:pitch w:val="default"/>
    <w:embedRegular r:id="rId11" w:fontKey="{0E2B938C-7DBB-4528-8942-8959E4E874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E27DD" w14:textId="77777777" w:rsidR="003B4185" w:rsidRDefault="006803DD">
    <w:pPr>
      <w:jc w:val="right"/>
      <w:rPr>
        <w:rFonts w:ascii="Times New Roman" w:eastAsia="Times New Roman" w:hAnsi="Times New Roman" w:cs="Times New Roman"/>
        <w:sz w:val="22"/>
        <w:szCs w:val="22"/>
      </w:rPr>
    </w:pPr>
    <w:r>
      <w:rPr>
        <w:rFonts w:ascii="Times New Roman" w:eastAsia="Times New Roman" w:hAnsi="Times New Roman" w:cs="Times New Roman"/>
        <w:sz w:val="22"/>
        <w:szCs w:val="22"/>
      </w:rPr>
      <w:fldChar w:fldCharType="begin"/>
    </w:r>
    <w:r>
      <w:rPr>
        <w:rFonts w:ascii="Times New Roman" w:eastAsia="Times New Roman" w:hAnsi="Times New Roman" w:cs="Times New Roman"/>
        <w:sz w:val="22"/>
        <w:szCs w:val="22"/>
      </w:rPr>
      <w:instrText>PAGE</w:instrText>
    </w:r>
    <w:r>
      <w:rPr>
        <w:rFonts w:ascii="Times New Roman" w:eastAsia="Times New Roman" w:hAnsi="Times New Roman" w:cs="Times New Roman"/>
        <w:sz w:val="22"/>
        <w:szCs w:val="22"/>
      </w:rPr>
      <w:fldChar w:fldCharType="separate"/>
    </w:r>
    <w:r w:rsidR="00891BEE">
      <w:rPr>
        <w:rFonts w:ascii="Times New Roman" w:eastAsia="Times New Roman" w:hAnsi="Times New Roman" w:cs="Times New Roman"/>
        <w:noProof/>
        <w:sz w:val="22"/>
        <w:szCs w:val="22"/>
      </w:rPr>
      <w:t>1</w:t>
    </w:r>
    <w:r>
      <w:rPr>
        <w:rFonts w:ascii="Times New Roman" w:eastAsia="Times New Roman" w:hAnsi="Times New Roman" w:cs="Times New Roman"/>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C47D" w14:textId="77777777" w:rsidR="00FA3991" w:rsidRDefault="00FA3991">
      <w:r>
        <w:separator/>
      </w:r>
    </w:p>
  </w:footnote>
  <w:footnote w:type="continuationSeparator" w:id="0">
    <w:p w14:paraId="3B8B0F9B" w14:textId="77777777" w:rsidR="00FA3991" w:rsidRDefault="00FA3991">
      <w:r>
        <w:continuationSeparator/>
      </w:r>
    </w:p>
  </w:footnote>
  <w:footnote w:id="1">
    <w:p w14:paraId="21DB8A5B" w14:textId="77777777" w:rsidR="003B4185" w:rsidRDefault="006803DD">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ACAT-RCI, AMNESTY International section CI, ANAP, APDH, Aumônerie des Prisons, RENAITRE, PRSF, MIDH, OREP, ONG FIERS IVOIRIENS, LABP, OIDH, RUBAN ROUGE, NGBOADO, SOPCI, Au Cœur de la Prison, Fondation Mireille Hanty, LIDHO, Femmes de Salem International, </w:t>
      </w:r>
      <w:r>
        <w:rPr>
          <w:rFonts w:ascii="Times New Roman" w:eastAsia="Times New Roman" w:hAnsi="Times New Roman" w:cs="Times New Roman"/>
          <w:sz w:val="20"/>
          <w:szCs w:val="20"/>
        </w:rPr>
        <w:t>CIDH, Transparency Justice, CICPI, CHAIRE UNESCO, RESEAU EQUITAS, PDHRE CI, REMAR, AREP, PRISONNER’S RIGHTS.</w:t>
      </w:r>
    </w:p>
  </w:footnote>
  <w:footnote w:id="2">
    <w:p w14:paraId="7E577755" w14:textId="77777777" w:rsidR="003B4185" w:rsidRPr="00AE205E" w:rsidRDefault="006803DD" w:rsidP="00B968BE">
      <w:pPr>
        <w:jc w:val="both"/>
        <w:rPr>
          <w:rFonts w:ascii="Times New Roman" w:eastAsia="Times New Roman" w:hAnsi="Times New Roman" w:cs="Times New Roman"/>
          <w:sz w:val="20"/>
          <w:szCs w:val="20"/>
        </w:rPr>
      </w:pPr>
      <w:r w:rsidRPr="00AE205E">
        <w:rPr>
          <w:rFonts w:ascii="Times New Roman" w:hAnsi="Times New Roman" w:cs="Times New Roman"/>
          <w:sz w:val="20"/>
          <w:szCs w:val="20"/>
          <w:vertAlign w:val="superscript"/>
        </w:rPr>
        <w:footnoteRef/>
      </w:r>
      <w:r w:rsidRPr="00AE205E">
        <w:rPr>
          <w:rFonts w:ascii="Times New Roman" w:eastAsia="Times New Roman" w:hAnsi="Times New Roman" w:cs="Times New Roman"/>
          <w:sz w:val="20"/>
          <w:szCs w:val="20"/>
        </w:rPr>
        <w:t xml:space="preserve"> Loi n°2019-574 du 26 juin 2019 portant Code pénal. Accessible à : </w:t>
      </w:r>
      <w:hyperlink r:id="rId1">
        <w:r w:rsidRPr="00AE205E">
          <w:rPr>
            <w:rFonts w:ascii="Times New Roman" w:eastAsia="Times New Roman" w:hAnsi="Times New Roman" w:cs="Times New Roman"/>
            <w:color w:val="1155CC"/>
            <w:sz w:val="20"/>
            <w:szCs w:val="20"/>
            <w:u w:val="single"/>
          </w:rPr>
          <w:t>https://www.droit-afrique.com/uploads/RCI-Code-2019-penal.pdf</w:t>
        </w:r>
      </w:hyperlink>
      <w:r w:rsidRPr="00AE205E">
        <w:rPr>
          <w:rFonts w:ascii="Times New Roman" w:eastAsia="Times New Roman" w:hAnsi="Times New Roman" w:cs="Times New Roman"/>
          <w:sz w:val="20"/>
          <w:szCs w:val="20"/>
        </w:rPr>
        <w:t xml:space="preserve"> </w:t>
      </w:r>
    </w:p>
  </w:footnote>
  <w:footnote w:id="3">
    <w:p w14:paraId="7C89F382" w14:textId="77777777" w:rsidR="003B4185" w:rsidRPr="00AE205E" w:rsidRDefault="006803DD">
      <w:pPr>
        <w:rPr>
          <w:rFonts w:asciiTheme="majorBidi" w:hAnsiTheme="majorBidi" w:cstheme="majorBidi"/>
          <w:sz w:val="20"/>
          <w:szCs w:val="20"/>
        </w:rPr>
      </w:pPr>
      <w:r w:rsidRPr="00AE205E">
        <w:rPr>
          <w:rFonts w:asciiTheme="majorBidi" w:hAnsiTheme="majorBidi" w:cstheme="majorBidi"/>
          <w:sz w:val="20"/>
          <w:szCs w:val="20"/>
          <w:vertAlign w:val="superscript"/>
        </w:rPr>
        <w:footnoteRef/>
      </w:r>
      <w:r w:rsidRPr="00AE205E">
        <w:rPr>
          <w:rFonts w:asciiTheme="majorBidi" w:hAnsiTheme="majorBidi" w:cstheme="majorBidi"/>
          <w:sz w:val="20"/>
          <w:szCs w:val="20"/>
          <w:lang w:val="it-IT"/>
        </w:rPr>
        <w:t xml:space="preserve"> CAT, Elmi c. Australie (25 mai 1999), Doc. </w:t>
      </w:r>
      <w:r w:rsidRPr="00AE205E">
        <w:rPr>
          <w:rFonts w:asciiTheme="majorBidi" w:hAnsiTheme="majorBidi" w:cstheme="majorBidi"/>
          <w:sz w:val="20"/>
          <w:szCs w:val="20"/>
        </w:rPr>
        <w:t>ONU CAT/C/22/D/120/1998, § 6.5.</w:t>
      </w:r>
    </w:p>
  </w:footnote>
  <w:footnote w:id="4">
    <w:p w14:paraId="534FB730" w14:textId="77777777" w:rsidR="003B4185" w:rsidRPr="00AE205E" w:rsidRDefault="006803DD">
      <w:pPr>
        <w:jc w:val="both"/>
        <w:rPr>
          <w:rFonts w:asciiTheme="majorBidi" w:eastAsia="Times New Roman" w:hAnsiTheme="majorBidi" w:cstheme="majorBidi"/>
          <w:sz w:val="20"/>
          <w:szCs w:val="20"/>
        </w:rPr>
      </w:pPr>
      <w:r w:rsidRPr="00AE205E">
        <w:rPr>
          <w:rFonts w:asciiTheme="majorBidi" w:hAnsiTheme="majorBidi" w:cstheme="majorBidi"/>
          <w:sz w:val="20"/>
          <w:szCs w:val="20"/>
          <w:vertAlign w:val="superscript"/>
        </w:rPr>
        <w:footnoteRef/>
      </w:r>
      <w:r w:rsidRPr="00AE205E">
        <w:rPr>
          <w:rFonts w:asciiTheme="majorBidi" w:eastAsia="Times New Roman" w:hAnsiTheme="majorBidi" w:cstheme="majorBidi"/>
          <w:sz w:val="20"/>
          <w:szCs w:val="20"/>
        </w:rPr>
        <w:t xml:space="preserve"> Observation générale n°2 du Comité contre la torture, </w:t>
      </w:r>
      <w:r w:rsidRPr="00AE205E">
        <w:rPr>
          <w:rFonts w:asciiTheme="majorBidi" w:eastAsia="Times New Roman" w:hAnsiTheme="majorBidi" w:cstheme="majorBidi"/>
          <w:i/>
          <w:sz w:val="20"/>
          <w:szCs w:val="20"/>
        </w:rPr>
        <w:t>Application de l’article 2 par les États parties</w:t>
      </w:r>
      <w:r w:rsidRPr="00AE205E">
        <w:rPr>
          <w:rFonts w:asciiTheme="majorBidi" w:eastAsia="Times New Roman" w:hAnsiTheme="majorBidi" w:cstheme="majorBidi"/>
          <w:sz w:val="20"/>
          <w:szCs w:val="20"/>
        </w:rPr>
        <w:t>, 2008, CAT/C/GC/2, para 9.</w:t>
      </w:r>
    </w:p>
  </w:footnote>
  <w:footnote w:id="5">
    <w:p w14:paraId="34339B1C" w14:textId="77777777" w:rsidR="003B4185" w:rsidRPr="00AE205E" w:rsidRDefault="006803DD">
      <w:pPr>
        <w:rPr>
          <w:rFonts w:asciiTheme="majorBidi" w:eastAsia="Times New Roman" w:hAnsiTheme="majorBidi" w:cstheme="majorBidi"/>
          <w:sz w:val="20"/>
          <w:szCs w:val="20"/>
        </w:rPr>
      </w:pPr>
      <w:r w:rsidRPr="00AE205E">
        <w:rPr>
          <w:rFonts w:asciiTheme="majorBidi" w:hAnsiTheme="majorBidi" w:cstheme="majorBidi"/>
          <w:sz w:val="20"/>
          <w:szCs w:val="20"/>
          <w:vertAlign w:val="superscript"/>
        </w:rPr>
        <w:footnoteRef/>
      </w:r>
      <w:r w:rsidRPr="00AE205E">
        <w:rPr>
          <w:rFonts w:asciiTheme="majorBidi" w:eastAsia="Times New Roman" w:hAnsiTheme="majorBidi" w:cstheme="majorBidi"/>
          <w:sz w:val="20"/>
          <w:szCs w:val="20"/>
          <w:lang w:val="en-US"/>
        </w:rPr>
        <w:t xml:space="preserve"> </w:t>
      </w:r>
      <w:r w:rsidRPr="00AE205E">
        <w:rPr>
          <w:rFonts w:asciiTheme="majorBidi" w:eastAsia="Times New Roman" w:hAnsiTheme="majorBidi" w:cstheme="majorBidi"/>
          <w:i/>
          <w:sz w:val="20"/>
          <w:szCs w:val="20"/>
          <w:lang w:val="en-US"/>
        </w:rPr>
        <w:t>Prevention and Prohibition of Torture Act</w:t>
      </w:r>
      <w:r w:rsidRPr="00AE205E">
        <w:rPr>
          <w:rFonts w:asciiTheme="majorBidi" w:eastAsia="Times New Roman" w:hAnsiTheme="majorBidi" w:cstheme="majorBidi"/>
          <w:sz w:val="20"/>
          <w:szCs w:val="20"/>
          <w:lang w:val="en-US"/>
        </w:rPr>
        <w:t xml:space="preserve">, Ouganda, 2012, Article 2(1). </w:t>
      </w:r>
      <w:r w:rsidRPr="00AE205E">
        <w:rPr>
          <w:rFonts w:asciiTheme="majorBidi" w:eastAsia="Times New Roman" w:hAnsiTheme="majorBidi" w:cstheme="majorBidi"/>
          <w:sz w:val="20"/>
          <w:szCs w:val="20"/>
        </w:rPr>
        <w:t xml:space="preserve">Accessible à : </w:t>
      </w:r>
      <w:hyperlink r:id="rId2">
        <w:r w:rsidRPr="00AE205E">
          <w:rPr>
            <w:rFonts w:asciiTheme="majorBidi" w:eastAsia="Times New Roman" w:hAnsiTheme="majorBidi" w:cstheme="majorBidi"/>
            <w:color w:val="1155CC"/>
            <w:sz w:val="20"/>
            <w:szCs w:val="20"/>
            <w:u w:val="single"/>
          </w:rPr>
          <w:t>https://ihl-databases.icrc.org/en/national-practice/prevention-and-prohibition-torture-act-2012-0</w:t>
        </w:r>
      </w:hyperlink>
      <w:r w:rsidRPr="00AE205E">
        <w:rPr>
          <w:rFonts w:asciiTheme="majorBidi" w:eastAsia="Times New Roman" w:hAnsiTheme="majorBidi" w:cstheme="majorBidi"/>
          <w:sz w:val="20"/>
          <w:szCs w:val="20"/>
        </w:rPr>
        <w:t xml:space="preserve"> </w:t>
      </w:r>
    </w:p>
    <w:p w14:paraId="3AD23F83" w14:textId="77777777" w:rsidR="003B4185" w:rsidRPr="00AE205E" w:rsidRDefault="006803DD">
      <w:pPr>
        <w:rPr>
          <w:rFonts w:asciiTheme="majorBidi" w:eastAsia="Times New Roman" w:hAnsiTheme="majorBidi" w:cstheme="majorBidi"/>
          <w:sz w:val="20"/>
          <w:szCs w:val="20"/>
        </w:rPr>
      </w:pPr>
      <w:r w:rsidRPr="00AE205E">
        <w:rPr>
          <w:rFonts w:asciiTheme="majorBidi" w:eastAsia="Times New Roman" w:hAnsiTheme="majorBidi" w:cstheme="majorBidi"/>
          <w:sz w:val="20"/>
          <w:szCs w:val="20"/>
        </w:rPr>
        <w:t xml:space="preserve">Voir aussi article 144(3) du </w:t>
      </w:r>
      <w:hyperlink r:id="rId3">
        <w:r w:rsidRPr="00AE205E">
          <w:rPr>
            <w:rFonts w:asciiTheme="majorBidi" w:eastAsia="Times New Roman" w:hAnsiTheme="majorBidi" w:cstheme="majorBidi"/>
            <w:color w:val="1155CC"/>
            <w:sz w:val="20"/>
            <w:szCs w:val="20"/>
            <w:u w:val="single"/>
          </w:rPr>
          <w:t>Code pénal argentin</w:t>
        </w:r>
      </w:hyperlink>
      <w:r w:rsidRPr="00AE205E">
        <w:rPr>
          <w:rFonts w:asciiTheme="majorBidi" w:eastAsia="Times New Roman" w:hAnsiTheme="majorBidi" w:cstheme="majorBidi"/>
          <w:sz w:val="20"/>
          <w:szCs w:val="20"/>
        </w:rPr>
        <w:t>, lequel prévoit expressément la répression des actes de torture commis par les agents de l’Etat et les personn</w:t>
      </w:r>
      <w:r w:rsidRPr="00AE205E">
        <w:rPr>
          <w:rFonts w:asciiTheme="majorBidi" w:eastAsia="Times New Roman" w:hAnsiTheme="majorBidi" w:cstheme="majorBidi"/>
          <w:sz w:val="20"/>
          <w:szCs w:val="20"/>
        </w:rPr>
        <w:t>es privées.</w:t>
      </w:r>
    </w:p>
  </w:footnote>
  <w:footnote w:id="6">
    <w:p w14:paraId="2EDB633A" w14:textId="77777777" w:rsidR="003B4185" w:rsidRDefault="006803DD">
      <w:pPr>
        <w:jc w:val="both"/>
        <w:rPr>
          <w:sz w:val="20"/>
          <w:szCs w:val="20"/>
        </w:rPr>
      </w:pPr>
      <w:r w:rsidRPr="00AE205E">
        <w:rPr>
          <w:rFonts w:asciiTheme="majorBidi" w:hAnsiTheme="majorBidi" w:cstheme="majorBidi"/>
          <w:sz w:val="20"/>
          <w:szCs w:val="20"/>
          <w:vertAlign w:val="superscript"/>
        </w:rPr>
        <w:footnoteRef/>
      </w:r>
      <w:r w:rsidRPr="00AE205E">
        <w:rPr>
          <w:rFonts w:asciiTheme="majorBidi" w:hAnsiTheme="majorBidi" w:cstheme="majorBidi"/>
          <w:sz w:val="20"/>
          <w:szCs w:val="20"/>
        </w:rPr>
        <w:t xml:space="preserve"> </w:t>
      </w:r>
      <w:r w:rsidRPr="00AE205E">
        <w:rPr>
          <w:rFonts w:asciiTheme="majorBidi" w:eastAsia="Times New Roman" w:hAnsiTheme="majorBidi" w:cstheme="majorBidi"/>
          <w:sz w:val="20"/>
          <w:szCs w:val="20"/>
        </w:rPr>
        <w:t xml:space="preserve">Observation générale n°2 du Comité contre la torture, </w:t>
      </w:r>
      <w:r w:rsidRPr="00AE205E">
        <w:rPr>
          <w:rFonts w:asciiTheme="majorBidi" w:eastAsia="Times New Roman" w:hAnsiTheme="majorBidi" w:cstheme="majorBidi"/>
          <w:i/>
          <w:sz w:val="20"/>
          <w:szCs w:val="20"/>
        </w:rPr>
        <w:t>Application de l’article 2 par les États parties</w:t>
      </w:r>
      <w:r w:rsidRPr="00AE205E">
        <w:rPr>
          <w:rFonts w:asciiTheme="majorBidi" w:eastAsia="Times New Roman" w:hAnsiTheme="majorBidi" w:cstheme="majorBidi"/>
          <w:sz w:val="20"/>
          <w:szCs w:val="20"/>
        </w:rPr>
        <w:t>, 2008, CAT/C/GC/2, para 15.</w:t>
      </w:r>
    </w:p>
  </w:footnote>
  <w:footnote w:id="7">
    <w:p w14:paraId="317A6B5B" w14:textId="77777777" w:rsidR="003B4185" w:rsidRPr="00B968BE" w:rsidRDefault="006803DD">
      <w:pPr>
        <w:jc w:val="both"/>
        <w:rPr>
          <w:rFonts w:asciiTheme="majorBidi" w:hAnsiTheme="majorBidi" w:cstheme="majorBidi"/>
          <w:sz w:val="20"/>
          <w:szCs w:val="20"/>
        </w:rPr>
      </w:pPr>
      <w:r w:rsidRPr="00B968BE">
        <w:rPr>
          <w:rFonts w:asciiTheme="majorBidi" w:hAnsiTheme="majorBidi" w:cstheme="majorBidi"/>
          <w:sz w:val="20"/>
          <w:szCs w:val="20"/>
          <w:vertAlign w:val="superscript"/>
        </w:rPr>
        <w:footnoteRef/>
      </w:r>
      <w:r w:rsidRPr="00B968BE">
        <w:rPr>
          <w:rFonts w:asciiTheme="majorBidi" w:eastAsia="Times New Roman" w:hAnsiTheme="majorBidi" w:cstheme="majorBidi"/>
          <w:sz w:val="20"/>
          <w:szCs w:val="20"/>
        </w:rPr>
        <w:t xml:space="preserve"> Observation générale n°2 du Comité contre la torture, </w:t>
      </w:r>
      <w:r w:rsidRPr="00B968BE">
        <w:rPr>
          <w:rFonts w:asciiTheme="majorBidi" w:eastAsia="Times New Roman" w:hAnsiTheme="majorBidi" w:cstheme="majorBidi"/>
          <w:i/>
          <w:sz w:val="20"/>
          <w:szCs w:val="20"/>
        </w:rPr>
        <w:t>Application de l’article 2 par les États parties</w:t>
      </w:r>
      <w:r w:rsidRPr="00B968BE">
        <w:rPr>
          <w:rFonts w:asciiTheme="majorBidi" w:eastAsia="Times New Roman" w:hAnsiTheme="majorBidi" w:cstheme="majorBidi"/>
          <w:sz w:val="20"/>
          <w:szCs w:val="20"/>
        </w:rPr>
        <w:t>, 2008,</w:t>
      </w:r>
      <w:r w:rsidRPr="00B968BE">
        <w:rPr>
          <w:rFonts w:asciiTheme="majorBidi" w:eastAsia="Times New Roman" w:hAnsiTheme="majorBidi" w:cstheme="majorBidi"/>
          <w:sz w:val="20"/>
          <w:szCs w:val="20"/>
        </w:rPr>
        <w:t xml:space="preserve"> CAT/C/GC/2, para 18.</w:t>
      </w:r>
    </w:p>
  </w:footnote>
  <w:footnote w:id="8">
    <w:p w14:paraId="4075603E" w14:textId="77777777" w:rsidR="003B4185" w:rsidRPr="00B968BE" w:rsidRDefault="006803DD">
      <w:pPr>
        <w:jc w:val="both"/>
        <w:rPr>
          <w:rFonts w:ascii="Times New Roman" w:eastAsia="Times New Roman" w:hAnsi="Times New Roman" w:cs="Times New Roman"/>
          <w:sz w:val="20"/>
          <w:szCs w:val="20"/>
        </w:rPr>
      </w:pPr>
      <w:r w:rsidRPr="00B968BE">
        <w:rPr>
          <w:rFonts w:ascii="Times New Roman" w:hAnsi="Times New Roman" w:cs="Times New Roman"/>
          <w:sz w:val="20"/>
          <w:szCs w:val="20"/>
          <w:vertAlign w:val="superscript"/>
        </w:rPr>
        <w:footnoteRef/>
      </w:r>
      <w:r w:rsidRPr="00B968BE">
        <w:rPr>
          <w:rFonts w:ascii="Times New Roman" w:eastAsia="Times New Roman" w:hAnsi="Times New Roman" w:cs="Times New Roman"/>
          <w:sz w:val="20"/>
          <w:szCs w:val="20"/>
        </w:rPr>
        <w:t xml:space="preserve"> Observation générale n°3 du Comité contre la torture, </w:t>
      </w:r>
      <w:r w:rsidRPr="00B968BE">
        <w:rPr>
          <w:rFonts w:ascii="Times New Roman" w:eastAsia="Times New Roman" w:hAnsi="Times New Roman" w:cs="Times New Roman"/>
          <w:i/>
          <w:sz w:val="20"/>
          <w:szCs w:val="20"/>
        </w:rPr>
        <w:t>Application de l’article 14 par les États Parties</w:t>
      </w:r>
      <w:r w:rsidRPr="00B968BE">
        <w:rPr>
          <w:rFonts w:ascii="Times New Roman" w:eastAsia="Times New Roman" w:hAnsi="Times New Roman" w:cs="Times New Roman"/>
          <w:sz w:val="20"/>
          <w:szCs w:val="20"/>
        </w:rPr>
        <w:t xml:space="preserve"> (2012), para. 40.</w:t>
      </w:r>
    </w:p>
  </w:footnote>
  <w:footnote w:id="9">
    <w:p w14:paraId="71FA10B9" w14:textId="77777777" w:rsidR="003B4185" w:rsidRDefault="006803DD">
      <w:pPr>
        <w:rPr>
          <w:rFonts w:ascii="Times New Roman" w:eastAsia="Times New Roman" w:hAnsi="Times New Roman" w:cs="Times New Roman"/>
          <w:sz w:val="20"/>
          <w:szCs w:val="20"/>
        </w:rPr>
      </w:pPr>
      <w:r w:rsidRPr="00B968BE">
        <w:rPr>
          <w:rFonts w:ascii="Times New Roman" w:hAnsi="Times New Roman" w:cs="Times New Roman"/>
          <w:sz w:val="20"/>
          <w:szCs w:val="20"/>
          <w:vertAlign w:val="superscript"/>
        </w:rPr>
        <w:footnoteRef/>
      </w:r>
      <w:r w:rsidRPr="00B968BE">
        <w:rPr>
          <w:rFonts w:ascii="Times New Roman" w:eastAsia="Times New Roman" w:hAnsi="Times New Roman" w:cs="Times New Roman"/>
          <w:sz w:val="20"/>
          <w:szCs w:val="20"/>
        </w:rPr>
        <w:t xml:space="preserve"> Article 12 al. 1 et 4 du Code de procédure pénale ivoirien.</w:t>
      </w:r>
    </w:p>
  </w:footnote>
  <w:footnote w:id="10">
    <w:p w14:paraId="2160801F" w14:textId="77777777" w:rsidR="003B4185" w:rsidRPr="00B968BE" w:rsidRDefault="006803DD">
      <w:pPr>
        <w:jc w:val="both"/>
        <w:rPr>
          <w:rFonts w:asciiTheme="majorBidi" w:eastAsia="Times New Roman" w:hAnsiTheme="majorBidi" w:cstheme="majorBidi"/>
          <w:sz w:val="20"/>
          <w:szCs w:val="20"/>
        </w:rPr>
      </w:pPr>
      <w:r w:rsidRPr="00B968BE">
        <w:rPr>
          <w:rFonts w:asciiTheme="majorBidi" w:hAnsiTheme="majorBidi" w:cstheme="majorBidi"/>
          <w:sz w:val="20"/>
          <w:szCs w:val="20"/>
          <w:vertAlign w:val="superscript"/>
        </w:rPr>
        <w:footnoteRef/>
      </w:r>
      <w:r w:rsidRPr="00B968BE">
        <w:rPr>
          <w:rFonts w:asciiTheme="majorBidi" w:eastAsia="Times New Roman" w:hAnsiTheme="majorBidi" w:cstheme="majorBidi"/>
          <w:sz w:val="20"/>
          <w:szCs w:val="20"/>
        </w:rPr>
        <w:t xml:space="preserve"> Comité contre la torture, </w:t>
      </w:r>
      <w:r w:rsidRPr="00B968BE">
        <w:rPr>
          <w:rFonts w:asciiTheme="majorBidi" w:eastAsia="Times New Roman" w:hAnsiTheme="majorBidi" w:cstheme="majorBidi"/>
          <w:i/>
          <w:sz w:val="20"/>
          <w:szCs w:val="20"/>
        </w:rPr>
        <w:t>Observation générale no 4 (2017) sur l’application de l’article 3 de la Convention dans le contexte de l’article 22</w:t>
      </w:r>
      <w:r w:rsidRPr="00B968BE">
        <w:rPr>
          <w:rFonts w:asciiTheme="majorBidi" w:eastAsia="Times New Roman" w:hAnsiTheme="majorBidi" w:cstheme="majorBidi"/>
          <w:sz w:val="20"/>
          <w:szCs w:val="20"/>
        </w:rPr>
        <w:t>, CAT/C/GC/4, 4 septembre 2018, para 11.</w:t>
      </w:r>
    </w:p>
  </w:footnote>
  <w:footnote w:id="11">
    <w:p w14:paraId="0E1FE2EE" w14:textId="77777777" w:rsidR="003B4185" w:rsidRPr="00AE205E" w:rsidRDefault="006803DD">
      <w:pPr>
        <w:rPr>
          <w:rFonts w:ascii="Times New Roman" w:eastAsia="Times New Roman" w:hAnsi="Times New Roman" w:cs="Times New Roman"/>
          <w:sz w:val="20"/>
          <w:szCs w:val="20"/>
        </w:rPr>
      </w:pPr>
      <w:r w:rsidRPr="00AE205E">
        <w:rPr>
          <w:rFonts w:ascii="Times New Roman" w:hAnsi="Times New Roman" w:cs="Times New Roman"/>
          <w:sz w:val="20"/>
          <w:szCs w:val="20"/>
          <w:vertAlign w:val="superscript"/>
        </w:rPr>
        <w:footnoteRef/>
      </w:r>
      <w:r w:rsidRPr="00AE205E">
        <w:rPr>
          <w:rFonts w:ascii="Times New Roman" w:hAnsi="Times New Roman" w:cs="Times New Roman"/>
          <w:sz w:val="20"/>
          <w:szCs w:val="20"/>
        </w:rPr>
        <w:t xml:space="preserve"> </w:t>
      </w:r>
      <w:r w:rsidRPr="00AE205E">
        <w:rPr>
          <w:rFonts w:ascii="Times New Roman" w:eastAsia="Times New Roman" w:hAnsi="Times New Roman" w:cs="Times New Roman"/>
          <w:sz w:val="20"/>
          <w:szCs w:val="20"/>
        </w:rPr>
        <w:t>Loi n°202</w:t>
      </w:r>
      <w:r w:rsidRPr="00AE205E">
        <w:rPr>
          <w:rFonts w:ascii="Times New Roman" w:eastAsia="Times New Roman" w:hAnsi="Times New Roman" w:cs="Times New Roman"/>
          <w:sz w:val="20"/>
          <w:szCs w:val="20"/>
        </w:rPr>
        <w:t xml:space="preserve">3-590 du 7 juin 2023 portant Statut de Réfugié accessible à :  </w:t>
      </w:r>
      <w:hyperlink r:id="rId4">
        <w:r w:rsidRPr="00AE205E">
          <w:rPr>
            <w:rFonts w:ascii="Times New Roman" w:eastAsia="Times New Roman" w:hAnsi="Times New Roman" w:cs="Times New Roman"/>
            <w:color w:val="1155CC"/>
            <w:sz w:val="20"/>
            <w:szCs w:val="20"/>
            <w:u w:val="single"/>
          </w:rPr>
          <w:t>https://www.refworld.org/legal/legislation/natlegbod/2023/fr/147561</w:t>
        </w:r>
      </w:hyperlink>
      <w:r w:rsidRPr="00AE205E">
        <w:rPr>
          <w:rFonts w:ascii="Times New Roman" w:eastAsia="Times New Roman" w:hAnsi="Times New Roman" w:cs="Times New Roman"/>
          <w:sz w:val="20"/>
          <w:szCs w:val="20"/>
        </w:rPr>
        <w:t xml:space="preserve"> </w:t>
      </w:r>
    </w:p>
  </w:footnote>
  <w:footnote w:id="12">
    <w:p w14:paraId="78518ABE" w14:textId="77777777" w:rsidR="003B4185" w:rsidRPr="00AE205E" w:rsidRDefault="006803DD">
      <w:pPr>
        <w:rPr>
          <w:rFonts w:ascii="Times New Roman" w:eastAsia="Times New Roman" w:hAnsi="Times New Roman" w:cs="Times New Roman"/>
          <w:sz w:val="20"/>
          <w:szCs w:val="20"/>
        </w:rPr>
      </w:pPr>
      <w:r w:rsidRPr="00AE205E">
        <w:rPr>
          <w:rFonts w:ascii="Times New Roman" w:hAnsi="Times New Roman" w:cs="Times New Roman"/>
          <w:sz w:val="20"/>
          <w:szCs w:val="20"/>
          <w:vertAlign w:val="superscript"/>
        </w:rPr>
        <w:footnoteRef/>
      </w:r>
      <w:r w:rsidRPr="00AE205E">
        <w:rPr>
          <w:rFonts w:ascii="Times New Roman" w:eastAsia="Times New Roman" w:hAnsi="Times New Roman" w:cs="Times New Roman"/>
          <w:sz w:val="20"/>
          <w:szCs w:val="20"/>
        </w:rPr>
        <w:t xml:space="preserve"> </w:t>
      </w:r>
      <w:r w:rsidRPr="00AE205E">
        <w:rPr>
          <w:rFonts w:ascii="Times New Roman" w:eastAsia="Times New Roman" w:hAnsi="Times New Roman" w:cs="Times New Roman"/>
          <w:i/>
          <w:sz w:val="20"/>
          <w:szCs w:val="20"/>
        </w:rPr>
        <w:t>Ibid</w:t>
      </w:r>
      <w:r w:rsidRPr="00AE205E">
        <w:rPr>
          <w:rFonts w:ascii="Times New Roman" w:eastAsia="Times New Roman" w:hAnsi="Times New Roman" w:cs="Times New Roman"/>
          <w:sz w:val="20"/>
          <w:szCs w:val="20"/>
        </w:rPr>
        <w:t>, article 34.</w:t>
      </w:r>
    </w:p>
  </w:footnote>
  <w:footnote w:id="13">
    <w:p w14:paraId="6B448365" w14:textId="77777777" w:rsidR="003B4185" w:rsidRPr="00AE205E" w:rsidRDefault="006803DD">
      <w:pPr>
        <w:rPr>
          <w:rFonts w:ascii="Times New Roman" w:hAnsi="Times New Roman" w:cs="Times New Roman"/>
          <w:sz w:val="20"/>
          <w:szCs w:val="20"/>
        </w:rPr>
      </w:pPr>
      <w:r w:rsidRPr="00AE205E">
        <w:rPr>
          <w:rFonts w:ascii="Times New Roman" w:hAnsi="Times New Roman" w:cs="Times New Roman"/>
          <w:sz w:val="20"/>
          <w:szCs w:val="20"/>
          <w:vertAlign w:val="superscript"/>
        </w:rPr>
        <w:footnoteRef/>
      </w:r>
      <w:r w:rsidRPr="00AE205E">
        <w:rPr>
          <w:rFonts w:ascii="Times New Roman" w:eastAsia="Times New Roman" w:hAnsi="Times New Roman" w:cs="Times New Roman"/>
          <w:sz w:val="20"/>
          <w:szCs w:val="20"/>
        </w:rPr>
        <w:t xml:space="preserve"> CAT, Paez v. Sweden, Comm. No. 39/1996, 28 avril 1997, para 14.5; CAT, Abdussamatov et al. v. Kazakhstan, Comm. No. 444/2010, 11 </w:t>
      </w:r>
      <w:r w:rsidRPr="00AE205E">
        <w:rPr>
          <w:rFonts w:ascii="Times New Roman" w:eastAsia="Times New Roman" w:hAnsi="Times New Roman" w:cs="Times New Roman"/>
          <w:sz w:val="20"/>
          <w:szCs w:val="20"/>
        </w:rPr>
        <w:t xml:space="preserve">juillet 2012, para 13.7. </w:t>
      </w:r>
    </w:p>
  </w:footnote>
  <w:footnote w:id="14">
    <w:p w14:paraId="3E71BAF1" w14:textId="77777777" w:rsidR="003B4185" w:rsidRPr="00AE205E" w:rsidRDefault="006803DD">
      <w:pPr>
        <w:rPr>
          <w:rFonts w:ascii="Times New Roman" w:hAnsi="Times New Roman" w:cs="Times New Roman"/>
          <w:sz w:val="20"/>
          <w:szCs w:val="20"/>
        </w:rPr>
      </w:pPr>
      <w:r w:rsidRPr="00AE205E">
        <w:rPr>
          <w:rFonts w:ascii="Times New Roman" w:hAnsi="Times New Roman" w:cs="Times New Roman"/>
          <w:sz w:val="20"/>
          <w:szCs w:val="20"/>
          <w:vertAlign w:val="superscript"/>
        </w:rPr>
        <w:footnoteRef/>
      </w:r>
      <w:r w:rsidRPr="00AE205E">
        <w:rPr>
          <w:rFonts w:ascii="Times New Roman" w:eastAsia="Times New Roman" w:hAnsi="Times New Roman" w:cs="Times New Roman"/>
          <w:sz w:val="20"/>
          <w:szCs w:val="20"/>
          <w:lang w:val="en-US"/>
        </w:rPr>
        <w:t xml:space="preserve"> Concluding Observations Canada, UN Doc. CAT/C/CR/34/CAN, 7 July 2005, para. </w:t>
      </w:r>
      <w:r w:rsidRPr="00AE205E">
        <w:rPr>
          <w:rFonts w:ascii="Times New Roman" w:eastAsia="Times New Roman" w:hAnsi="Times New Roman" w:cs="Times New Roman"/>
          <w:sz w:val="20"/>
          <w:szCs w:val="20"/>
        </w:rPr>
        <w:t>3.</w:t>
      </w:r>
    </w:p>
  </w:footnote>
  <w:footnote w:id="15">
    <w:p w14:paraId="2C1D9621" w14:textId="77777777" w:rsidR="003B4185" w:rsidRDefault="006803DD">
      <w:pPr>
        <w:jc w:val="both"/>
        <w:rPr>
          <w:rFonts w:ascii="Times New Roman" w:eastAsia="Times New Roman" w:hAnsi="Times New Roman" w:cs="Times New Roman"/>
          <w:sz w:val="20"/>
          <w:szCs w:val="20"/>
        </w:rPr>
      </w:pPr>
      <w:r w:rsidRPr="00AE205E">
        <w:rPr>
          <w:rFonts w:ascii="Times New Roman" w:hAnsi="Times New Roman" w:cs="Times New Roman"/>
          <w:sz w:val="20"/>
          <w:szCs w:val="20"/>
          <w:vertAlign w:val="superscript"/>
        </w:rPr>
        <w:footnoteRef/>
      </w:r>
      <w:r w:rsidRPr="00AE205E">
        <w:rPr>
          <w:rFonts w:ascii="Times New Roman" w:eastAsia="Times New Roman" w:hAnsi="Times New Roman" w:cs="Times New Roman"/>
          <w:sz w:val="20"/>
          <w:szCs w:val="20"/>
        </w:rPr>
        <w:t xml:space="preserve"> Comité contre la torture, </w:t>
      </w:r>
      <w:r w:rsidRPr="00AE205E">
        <w:rPr>
          <w:rFonts w:ascii="Times New Roman" w:eastAsia="Times New Roman" w:hAnsi="Times New Roman" w:cs="Times New Roman"/>
          <w:i/>
          <w:sz w:val="20"/>
          <w:szCs w:val="20"/>
        </w:rPr>
        <w:t>Observations finales concernant le huitième rapport périodique de la Suisse</w:t>
      </w:r>
      <w:r w:rsidRPr="00AE205E">
        <w:rPr>
          <w:rFonts w:ascii="Times New Roman" w:eastAsia="Times New Roman" w:hAnsi="Times New Roman" w:cs="Times New Roman"/>
          <w:sz w:val="20"/>
          <w:szCs w:val="20"/>
        </w:rPr>
        <w:t>, 2023, CAT/C/CHE/CO/8, para 12 (f).</w:t>
      </w:r>
      <w:r>
        <w:rPr>
          <w:rFonts w:ascii="Times New Roman" w:eastAsia="Times New Roman" w:hAnsi="Times New Roman" w:cs="Times New Roman"/>
          <w:sz w:val="20"/>
          <w:szCs w:val="20"/>
        </w:rPr>
        <w:t xml:space="preserve"> </w:t>
      </w:r>
    </w:p>
  </w:footnote>
  <w:footnote w:id="16">
    <w:p w14:paraId="06153D05"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5">
        <w:r w:rsidRPr="0017525C">
          <w:rPr>
            <w:rFonts w:ascii="Times New Roman" w:eastAsia="Times New Roman" w:hAnsi="Times New Roman" w:cs="Times New Roman"/>
            <w:color w:val="1155CC"/>
            <w:sz w:val="20"/>
            <w:szCs w:val="20"/>
            <w:u w:val="single"/>
          </w:rPr>
          <w:t>Rapport initial de l’État de Côte d’Ivoire</w:t>
        </w:r>
      </w:hyperlink>
      <w:r w:rsidRPr="0017525C">
        <w:rPr>
          <w:rFonts w:ascii="Times New Roman" w:eastAsia="Times New Roman" w:hAnsi="Times New Roman" w:cs="Times New Roman"/>
          <w:sz w:val="20"/>
          <w:szCs w:val="20"/>
        </w:rPr>
        <w:t xml:space="preserve">, CAT/C/CIV/1, para 163. </w:t>
      </w:r>
    </w:p>
  </w:footnote>
  <w:footnote w:id="17">
    <w:p w14:paraId="77D291CD"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6">
        <w:r w:rsidRPr="0017525C">
          <w:rPr>
            <w:rFonts w:ascii="Times New Roman" w:hAnsi="Times New Roman" w:cs="Times New Roman"/>
            <w:color w:val="1155CC"/>
            <w:sz w:val="20"/>
            <w:szCs w:val="20"/>
            <w:u w:val="single"/>
          </w:rPr>
          <w:t>https://www.pulse.ci/news/proces-sankara-letat-ivoirien-refuse-lextraditi</w:t>
        </w:r>
        <w:r w:rsidRPr="0017525C">
          <w:rPr>
            <w:rFonts w:ascii="Times New Roman" w:hAnsi="Times New Roman" w:cs="Times New Roman"/>
            <w:color w:val="1155CC"/>
            <w:sz w:val="20"/>
            <w:szCs w:val="20"/>
            <w:u w:val="single"/>
          </w:rPr>
          <w:t>on-de-blaise-compaore/4bdz7ty</w:t>
        </w:r>
      </w:hyperlink>
      <w:r w:rsidRPr="0017525C">
        <w:rPr>
          <w:rFonts w:ascii="Times New Roman" w:hAnsi="Times New Roman" w:cs="Times New Roman"/>
          <w:sz w:val="20"/>
          <w:szCs w:val="20"/>
        </w:rPr>
        <w:t xml:space="preserve"> et </w:t>
      </w:r>
      <w:hyperlink r:id="rId7">
        <w:r w:rsidRPr="0017525C">
          <w:rPr>
            <w:rFonts w:ascii="Times New Roman" w:hAnsi="Times New Roman" w:cs="Times New Roman"/>
            <w:color w:val="1155CC"/>
            <w:sz w:val="20"/>
            <w:szCs w:val="20"/>
            <w:u w:val="single"/>
          </w:rPr>
          <w:t>https://www.bbc.com/afrique/region-61023340</w:t>
        </w:r>
      </w:hyperlink>
    </w:p>
  </w:footnote>
  <w:footnote w:id="18">
    <w:p w14:paraId="64304D0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Amnesty International, “</w:t>
      </w:r>
      <w:r w:rsidRPr="0017525C">
        <w:rPr>
          <w:rFonts w:ascii="Times New Roman" w:eastAsia="Times New Roman" w:hAnsi="Times New Roman" w:cs="Times New Roman"/>
          <w:i/>
          <w:sz w:val="20"/>
          <w:szCs w:val="20"/>
        </w:rPr>
        <w:t>Côte d’Ivoire. Des c</w:t>
      </w:r>
      <w:r w:rsidRPr="0017525C">
        <w:rPr>
          <w:rFonts w:ascii="Times New Roman" w:eastAsia="Times New Roman" w:hAnsi="Times New Roman" w:cs="Times New Roman"/>
          <w:i/>
          <w:sz w:val="20"/>
          <w:szCs w:val="20"/>
        </w:rPr>
        <w:t>entaines de personnes détenues à la suite des troubles électoraux</w:t>
      </w:r>
      <w:r w:rsidRPr="0017525C">
        <w:rPr>
          <w:rFonts w:ascii="Times New Roman" w:eastAsia="Times New Roman" w:hAnsi="Times New Roman" w:cs="Times New Roman"/>
          <w:sz w:val="20"/>
          <w:szCs w:val="20"/>
        </w:rPr>
        <w:t xml:space="preserve">”, 26 mars 2021. Accessible à : </w:t>
      </w:r>
      <w:hyperlink r:id="rId8">
        <w:r w:rsidRPr="0017525C">
          <w:rPr>
            <w:rFonts w:ascii="Times New Roman" w:eastAsia="Times New Roman" w:hAnsi="Times New Roman" w:cs="Times New Roman"/>
            <w:color w:val="1155CC"/>
            <w:sz w:val="20"/>
            <w:szCs w:val="20"/>
            <w:u w:val="single"/>
          </w:rPr>
          <w:t>https://www.amnesty.org/fr/lates</w:t>
        </w:r>
        <w:r w:rsidRPr="0017525C">
          <w:rPr>
            <w:rFonts w:ascii="Times New Roman" w:eastAsia="Times New Roman" w:hAnsi="Times New Roman" w:cs="Times New Roman"/>
            <w:color w:val="1155CC"/>
            <w:sz w:val="20"/>
            <w:szCs w:val="20"/>
            <w:u w:val="single"/>
          </w:rPr>
          <w:t>t/news/2021/03/cote-divoire-hundreds-arrested-still-languishing-in-detention/</w:t>
        </w:r>
      </w:hyperlink>
      <w:r w:rsidRPr="0017525C">
        <w:rPr>
          <w:rFonts w:ascii="Times New Roman" w:eastAsia="Times New Roman" w:hAnsi="Times New Roman" w:cs="Times New Roman"/>
          <w:sz w:val="20"/>
          <w:szCs w:val="20"/>
        </w:rPr>
        <w:t xml:space="preserve"> </w:t>
      </w:r>
    </w:p>
  </w:footnote>
  <w:footnote w:id="19">
    <w:p w14:paraId="2C07BA12"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Rapport initial de l’État de Côte d’Ivoire, para 27.</w:t>
      </w:r>
      <w:r>
        <w:rPr>
          <w:rFonts w:ascii="Times New Roman" w:eastAsia="Times New Roman" w:hAnsi="Times New Roman" w:cs="Times New Roman"/>
          <w:sz w:val="20"/>
          <w:szCs w:val="20"/>
        </w:rPr>
        <w:t xml:space="preserve"> </w:t>
      </w:r>
    </w:p>
  </w:footnote>
  <w:footnote w:id="20">
    <w:p w14:paraId="3F7A04AE"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9">
        <w:r w:rsidRPr="0017525C">
          <w:rPr>
            <w:rFonts w:ascii="Times New Roman" w:eastAsia="Times New Roman" w:hAnsi="Times New Roman" w:cs="Times New Roman"/>
            <w:color w:val="1155CC"/>
            <w:sz w:val="20"/>
            <w:szCs w:val="20"/>
            <w:u w:val="single"/>
          </w:rPr>
          <w:t>https://www.facebook.com/share/p/PUrjncHyxJNADrTs/?mibextid=WC7FNe</w:t>
        </w:r>
      </w:hyperlink>
      <w:r w:rsidRPr="0017525C">
        <w:rPr>
          <w:rFonts w:ascii="Times New Roman" w:eastAsia="Times New Roman" w:hAnsi="Times New Roman" w:cs="Times New Roman"/>
          <w:sz w:val="20"/>
          <w:szCs w:val="20"/>
        </w:rPr>
        <w:t xml:space="preserve"> </w:t>
      </w:r>
    </w:p>
    <w:p w14:paraId="47124D45" w14:textId="77777777" w:rsidR="003B4185" w:rsidRPr="0017525C" w:rsidRDefault="006803DD">
      <w:pPr>
        <w:rPr>
          <w:rFonts w:ascii="Times New Roman" w:eastAsia="Times New Roman" w:hAnsi="Times New Roman" w:cs="Times New Roman"/>
          <w:sz w:val="20"/>
          <w:szCs w:val="20"/>
        </w:rPr>
      </w:pPr>
      <w:hyperlink r:id="rId10">
        <w:r w:rsidRPr="0017525C">
          <w:rPr>
            <w:rFonts w:ascii="Times New Roman" w:eastAsia="Times New Roman" w:hAnsi="Times New Roman" w:cs="Times New Roman"/>
            <w:color w:val="1155CC"/>
            <w:sz w:val="20"/>
            <w:szCs w:val="20"/>
            <w:u w:val="single"/>
          </w:rPr>
          <w:t>https://www.aip.ci/36369/cote-divoire-aip-suite-a-la-mort-dun-instituteur-benevole-a-zeo-trois-personnes-placees-en-detention-preventive-parquet/</w:t>
        </w:r>
      </w:hyperlink>
      <w:r w:rsidRPr="0017525C">
        <w:rPr>
          <w:rFonts w:ascii="Times New Roman" w:eastAsia="Times New Roman" w:hAnsi="Times New Roman" w:cs="Times New Roman"/>
          <w:sz w:val="20"/>
          <w:szCs w:val="20"/>
        </w:rPr>
        <w:t xml:space="preserve"> </w:t>
      </w:r>
    </w:p>
  </w:footnote>
  <w:footnote w:id="21">
    <w:p w14:paraId="242B238A" w14:textId="77777777" w:rsidR="003B4185" w:rsidRDefault="006803DD">
      <w:pPr>
        <w:rPr>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72 du Code de procédure pénale ivoirien. A noter que la garde-à-vue d’un mineur ne peut excéder 24 heures, sauf en matière criminelle, selon l’article 791 du Code de procédure pénale.</w:t>
      </w:r>
    </w:p>
  </w:footnote>
  <w:footnote w:id="22">
    <w:p w14:paraId="25FF25F3"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74 du Code de procédure pénale.</w:t>
      </w:r>
    </w:p>
  </w:footnote>
  <w:footnote w:id="23">
    <w:p w14:paraId="485F9353"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91 al.3 du </w:t>
      </w:r>
      <w:r w:rsidRPr="0017525C">
        <w:rPr>
          <w:rFonts w:ascii="Times New Roman" w:eastAsia="Times New Roman" w:hAnsi="Times New Roman" w:cs="Times New Roman"/>
          <w:sz w:val="20"/>
          <w:szCs w:val="20"/>
        </w:rPr>
        <w:t>Code de procédure pénale.</w:t>
      </w:r>
    </w:p>
  </w:footnote>
  <w:footnote w:id="24">
    <w:p w14:paraId="15A3ABE6"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75 du Code de procédure pénale.</w:t>
      </w:r>
    </w:p>
  </w:footnote>
  <w:footnote w:id="25">
    <w:p w14:paraId="43065ABD"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Information recueillie par l’OMCT lors d’un entretien en Côte d’Ivoire en 2021.</w:t>
      </w:r>
    </w:p>
  </w:footnote>
  <w:footnote w:id="26">
    <w:p w14:paraId="65D3E9BD"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Lionel </w:t>
      </w:r>
      <w:r w:rsidRPr="0017525C">
        <w:rPr>
          <w:rFonts w:ascii="Times New Roman" w:eastAsia="Times New Roman" w:hAnsi="Times New Roman" w:cs="Times New Roman"/>
          <w:sz w:val="20"/>
          <w:szCs w:val="20"/>
        </w:rPr>
        <w:t xml:space="preserve">Grassy, Bénédicte Fischer, Okia Arnold Achou, Marie-Julie Bernard. PRÉSUMÉ.E INNOCENT.E ? ÉTUDE SUR LA DÉTENTION PRÉVENTIVE EN CÔTE D’IVOIRE. 2020, pp. 75-76. halshs-03199516. Accessible à : </w:t>
      </w:r>
      <w:hyperlink r:id="rId11">
        <w:r w:rsidRPr="0017525C">
          <w:rPr>
            <w:rFonts w:ascii="Times New Roman" w:eastAsia="Times New Roman" w:hAnsi="Times New Roman" w:cs="Times New Roman"/>
            <w:color w:val="1155CC"/>
            <w:sz w:val="20"/>
            <w:szCs w:val="20"/>
            <w:u w:val="single"/>
          </w:rPr>
          <w:t>https://shs.hal.science/halshs-03199516v1/document</w:t>
        </w:r>
      </w:hyperlink>
      <w:r w:rsidRPr="0017525C">
        <w:rPr>
          <w:rFonts w:ascii="Times New Roman" w:eastAsia="Times New Roman" w:hAnsi="Times New Roman" w:cs="Times New Roman"/>
          <w:sz w:val="20"/>
          <w:szCs w:val="20"/>
        </w:rPr>
        <w:t xml:space="preserve"> </w:t>
      </w:r>
    </w:p>
  </w:footnote>
  <w:footnote w:id="27">
    <w:p w14:paraId="0DBAD2C7"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Articles 166 et 167 du Code de procédure pénale.</w:t>
      </w:r>
    </w:p>
  </w:footnote>
  <w:footnote w:id="28">
    <w:p w14:paraId="5334CAF9" w14:textId="77777777" w:rsidR="003B4185" w:rsidRDefault="006803DD">
      <w:pPr>
        <w:rPr>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153 du Code de procédure pénale.</w:t>
      </w:r>
    </w:p>
  </w:footnote>
  <w:footnote w:id="29">
    <w:p w14:paraId="2B5B9284"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12">
        <w:r w:rsidRPr="0017525C">
          <w:rPr>
            <w:rFonts w:ascii="Times New Roman" w:eastAsia="Times New Roman" w:hAnsi="Times New Roman" w:cs="Times New Roman"/>
            <w:color w:val="1155CC"/>
            <w:sz w:val="20"/>
            <w:szCs w:val="20"/>
            <w:u w:val="single"/>
          </w:rPr>
          <w:t>A</w:t>
        </w:r>
      </w:hyperlink>
      <w:hyperlink r:id="rId13">
        <w:r w:rsidRPr="0017525C">
          <w:rPr>
            <w:rFonts w:ascii="Times New Roman" w:eastAsia="Times New Roman" w:hAnsi="Times New Roman" w:cs="Times New Roman"/>
            <w:i/>
            <w:color w:val="1155CC"/>
            <w:sz w:val="20"/>
            <w:szCs w:val="20"/>
            <w:u w:val="single"/>
          </w:rPr>
          <w:t>ffaire Maître Traore Moussa c. Côte d’Ivoire</w:t>
        </w:r>
      </w:hyperlink>
      <w:r w:rsidRPr="0017525C">
        <w:rPr>
          <w:rFonts w:ascii="Times New Roman" w:eastAsia="Times New Roman" w:hAnsi="Times New Roman" w:cs="Times New Roman"/>
          <w:i/>
          <w:sz w:val="20"/>
          <w:szCs w:val="20"/>
        </w:rPr>
        <w:t xml:space="preserve">, </w:t>
      </w:r>
      <w:r w:rsidRPr="0017525C">
        <w:rPr>
          <w:rFonts w:ascii="Times New Roman" w:eastAsia="Times New Roman" w:hAnsi="Times New Roman" w:cs="Times New Roman"/>
          <w:sz w:val="20"/>
          <w:szCs w:val="20"/>
        </w:rPr>
        <w:t>arrêt n°ECW/CCJ/JUD/52/23, 7 décembre 2023, para. 75</w:t>
      </w:r>
      <w:r w:rsidRPr="0017525C">
        <w:rPr>
          <w:rFonts w:ascii="Times New Roman" w:eastAsia="Times New Roman" w:hAnsi="Times New Roman" w:cs="Times New Roman"/>
          <w:i/>
          <w:sz w:val="20"/>
          <w:szCs w:val="20"/>
        </w:rPr>
        <w:t xml:space="preserve">; </w:t>
      </w:r>
      <w:hyperlink r:id="rId14">
        <w:r w:rsidRPr="0017525C">
          <w:rPr>
            <w:rFonts w:ascii="Times New Roman" w:eastAsia="Times New Roman" w:hAnsi="Times New Roman" w:cs="Times New Roman"/>
            <w:i/>
            <w:color w:val="1155CC"/>
            <w:sz w:val="20"/>
            <w:szCs w:val="20"/>
            <w:u w:val="single"/>
          </w:rPr>
          <w:t>Affaire Kodjo Al</w:t>
        </w:r>
        <w:r w:rsidRPr="0017525C">
          <w:rPr>
            <w:rFonts w:ascii="Times New Roman" w:eastAsia="Times New Roman" w:hAnsi="Times New Roman" w:cs="Times New Roman"/>
            <w:i/>
            <w:color w:val="1155CC"/>
            <w:sz w:val="20"/>
            <w:szCs w:val="20"/>
            <w:u w:val="single"/>
          </w:rPr>
          <w:t>ain Victor Claude c. Côte d’Ivoire</w:t>
        </w:r>
      </w:hyperlink>
      <w:r w:rsidRPr="0017525C">
        <w:rPr>
          <w:rFonts w:ascii="Times New Roman" w:eastAsia="Times New Roman" w:hAnsi="Times New Roman" w:cs="Times New Roman"/>
          <w:i/>
          <w:sz w:val="20"/>
          <w:szCs w:val="20"/>
        </w:rPr>
        <w:t xml:space="preserve">, </w:t>
      </w:r>
      <w:r w:rsidRPr="0017525C">
        <w:rPr>
          <w:rFonts w:ascii="Times New Roman" w:eastAsia="Times New Roman" w:hAnsi="Times New Roman" w:cs="Times New Roman"/>
          <w:sz w:val="20"/>
          <w:szCs w:val="20"/>
        </w:rPr>
        <w:t>arrêt n°ECW/CCJ/JUD/09/21, 26 avril 2021, para. 75.</w:t>
      </w:r>
    </w:p>
  </w:footnote>
  <w:footnote w:id="30">
    <w:p w14:paraId="7310A68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7 de la Constitution ivoirienne de 2016</w:t>
      </w:r>
    </w:p>
  </w:footnote>
  <w:footnote w:id="31">
    <w:p w14:paraId="60D22578"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Annuaire des statistiques judiciaires et pénitentiaires, Année judiciaire 2018-2019.</w:t>
      </w:r>
    </w:p>
  </w:footnote>
  <w:footnote w:id="32">
    <w:p w14:paraId="78F459E9"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En application de l’article 266 du Code de procédure pénale, les tribunaux criminels siègent tous les trois mois.</w:t>
      </w:r>
    </w:p>
  </w:footnote>
  <w:footnote w:id="33">
    <w:p w14:paraId="512A405F"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Comité des droits de l’Homme des Nations unies, </w:t>
      </w:r>
      <w:hyperlink r:id="rId15">
        <w:r w:rsidRPr="0017525C">
          <w:rPr>
            <w:rFonts w:ascii="Times New Roman" w:eastAsia="Times New Roman" w:hAnsi="Times New Roman" w:cs="Times New Roman"/>
            <w:color w:val="1155CC"/>
            <w:sz w:val="20"/>
            <w:szCs w:val="20"/>
            <w:u w:val="single"/>
          </w:rPr>
          <w:t>Observations finales concernant le rapport initi</w:t>
        </w:r>
        <w:r w:rsidRPr="0017525C">
          <w:rPr>
            <w:rFonts w:ascii="Times New Roman" w:eastAsia="Times New Roman" w:hAnsi="Times New Roman" w:cs="Times New Roman"/>
            <w:color w:val="1155CC"/>
            <w:sz w:val="20"/>
            <w:szCs w:val="20"/>
            <w:u w:val="single"/>
          </w:rPr>
          <w:t>al de la Côte d’Ivoire</w:t>
        </w:r>
      </w:hyperlink>
      <w:r w:rsidRPr="0017525C">
        <w:rPr>
          <w:rFonts w:ascii="Times New Roman" w:eastAsia="Times New Roman" w:hAnsi="Times New Roman" w:cs="Times New Roman"/>
          <w:sz w:val="20"/>
          <w:szCs w:val="20"/>
        </w:rPr>
        <w:t>, 28 avril 2015.</w:t>
      </w:r>
    </w:p>
  </w:footnote>
  <w:footnote w:id="34">
    <w:p w14:paraId="5CF45899"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Cet article prévoit que « </w:t>
      </w:r>
      <w:r w:rsidRPr="0017525C">
        <w:rPr>
          <w:rFonts w:ascii="Times New Roman" w:eastAsia="Times New Roman" w:hAnsi="Times New Roman" w:cs="Times New Roman"/>
          <w:i/>
          <w:sz w:val="20"/>
          <w:szCs w:val="20"/>
        </w:rPr>
        <w:t xml:space="preserve">Toute personne a droit à un recours effectif devant les juridictions nationales compétentes contre les actes violant les droits fondamentaux qui lui sont </w:t>
      </w:r>
      <w:r w:rsidRPr="0017525C">
        <w:rPr>
          <w:rFonts w:ascii="Times New Roman" w:eastAsia="Times New Roman" w:hAnsi="Times New Roman" w:cs="Times New Roman"/>
          <w:i/>
          <w:sz w:val="20"/>
          <w:szCs w:val="20"/>
        </w:rPr>
        <w:t>reconnus par la constitution ou par la loi</w:t>
      </w:r>
      <w:r w:rsidRPr="0017525C">
        <w:rPr>
          <w:rFonts w:ascii="Times New Roman" w:eastAsia="Times New Roman" w:hAnsi="Times New Roman" w:cs="Times New Roman"/>
          <w:sz w:val="20"/>
          <w:szCs w:val="20"/>
        </w:rPr>
        <w:t xml:space="preserve"> ».</w:t>
      </w:r>
    </w:p>
  </w:footnote>
  <w:footnote w:id="35">
    <w:p w14:paraId="24F7C87D" w14:textId="77777777" w:rsidR="003B4185"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Martin BLEOU, Les Grands Arrêts de la Jurisprudence Administrative, éd. CEDA, 2014 CSCA, 14 janvier 1974 : société les centaures routiers c/ ministre des affaires économiques et financières.</w:t>
      </w:r>
    </w:p>
  </w:footnote>
  <w:footnote w:id="36">
    <w:p w14:paraId="50D33442"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16">
        <w:r w:rsidRPr="0017525C">
          <w:rPr>
            <w:rFonts w:ascii="Times New Roman" w:eastAsia="Times New Roman" w:hAnsi="Times New Roman" w:cs="Times New Roman"/>
            <w:color w:val="1155CC"/>
            <w:sz w:val="20"/>
            <w:szCs w:val="20"/>
            <w:u w:val="single"/>
          </w:rPr>
          <w:t>Loi n°2015-493 du 7 juillet 2015 portant répression du terrorisme</w:t>
        </w:r>
      </w:hyperlink>
      <w:r w:rsidRPr="0017525C">
        <w:rPr>
          <w:rFonts w:ascii="Times New Roman" w:eastAsia="Times New Roman" w:hAnsi="Times New Roman" w:cs="Times New Roman"/>
          <w:sz w:val="20"/>
          <w:szCs w:val="20"/>
        </w:rPr>
        <w:t xml:space="preserve">.  </w:t>
      </w:r>
    </w:p>
  </w:footnote>
  <w:footnote w:id="37">
    <w:p w14:paraId="5188A171"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Comité des droits de l’Homme, </w:t>
      </w:r>
      <w:r w:rsidRPr="0017525C">
        <w:rPr>
          <w:rFonts w:ascii="Times New Roman" w:eastAsia="Times New Roman" w:hAnsi="Times New Roman" w:cs="Times New Roman"/>
          <w:i/>
          <w:sz w:val="20"/>
          <w:szCs w:val="20"/>
        </w:rPr>
        <w:t>Observation générale n°35 portant sur l’article 9 (2014)</w:t>
      </w:r>
      <w:r w:rsidRPr="0017525C">
        <w:rPr>
          <w:rFonts w:ascii="Times New Roman" w:eastAsia="Times New Roman" w:hAnsi="Times New Roman" w:cs="Times New Roman"/>
          <w:sz w:val="20"/>
          <w:szCs w:val="20"/>
        </w:rPr>
        <w:t>, para 33.</w:t>
      </w:r>
    </w:p>
  </w:footnote>
  <w:footnote w:id="38">
    <w:p w14:paraId="01A64140"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Comité contre la torture, </w:t>
      </w:r>
      <w:hyperlink r:id="rId17">
        <w:r w:rsidRPr="0017525C">
          <w:rPr>
            <w:rFonts w:ascii="Times New Roman" w:eastAsia="Times New Roman" w:hAnsi="Times New Roman" w:cs="Times New Roman"/>
            <w:i/>
            <w:color w:val="1155CC"/>
            <w:sz w:val="20"/>
            <w:szCs w:val="20"/>
            <w:u w:val="single"/>
          </w:rPr>
          <w:t>Observations finales concernant le deuxième rapport périodique du Burkina Faso</w:t>
        </w:r>
      </w:hyperlink>
      <w:r w:rsidRPr="0017525C">
        <w:rPr>
          <w:rFonts w:ascii="Times New Roman" w:eastAsia="Times New Roman" w:hAnsi="Times New Roman" w:cs="Times New Roman"/>
          <w:sz w:val="20"/>
          <w:szCs w:val="20"/>
        </w:rPr>
        <w:t>, 2019, CAT/C/BFA/CO/2, paras 9-10.</w:t>
      </w:r>
    </w:p>
  </w:footnote>
  <w:footnote w:id="39">
    <w:p w14:paraId="6221D584"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18">
        <w:r w:rsidRPr="0017525C">
          <w:rPr>
            <w:rFonts w:ascii="Times New Roman" w:eastAsia="Times New Roman" w:hAnsi="Times New Roman" w:cs="Times New Roman"/>
            <w:color w:val="1155CC"/>
            <w:sz w:val="20"/>
            <w:szCs w:val="20"/>
            <w:u w:val="single"/>
          </w:rPr>
          <w:t>https://news.abidjan.net/articles/715305/cote-divoire-ouverture-du-proces-de-lattentat-terroriste-de-grand-bassam-au-tribunal-criminel-dabidjan</w:t>
        </w:r>
      </w:hyperlink>
    </w:p>
  </w:footnote>
  <w:footnote w:id="40">
    <w:p w14:paraId="47091BA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19">
        <w:r w:rsidRPr="0017525C">
          <w:rPr>
            <w:rFonts w:ascii="Times New Roman" w:eastAsia="Times New Roman" w:hAnsi="Times New Roman" w:cs="Times New Roman"/>
            <w:color w:val="1155CC"/>
            <w:sz w:val="20"/>
            <w:szCs w:val="20"/>
            <w:u w:val="single"/>
          </w:rPr>
          <w:t>https://www.linfodrome.com/politique/32642-fin-de-mission-de-l-onuci-voici-ceux-qui-ont-pris-possession-de-l-hotel-sebroko</w:t>
        </w:r>
      </w:hyperlink>
    </w:p>
  </w:footnote>
  <w:footnote w:id="41">
    <w:p w14:paraId="437757F2"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20">
        <w:r w:rsidRPr="0017525C">
          <w:rPr>
            <w:rFonts w:ascii="Times New Roman" w:eastAsia="Times New Roman" w:hAnsi="Times New Roman" w:cs="Times New Roman"/>
            <w:color w:val="1155CC"/>
            <w:sz w:val="20"/>
            <w:szCs w:val="20"/>
            <w:u w:val="single"/>
          </w:rPr>
          <w:t>https://www.jeuneafrique.com/1483467/politique/racket-et-extorsion-de-fonds</w:t>
        </w:r>
        <w:r w:rsidRPr="0017525C">
          <w:rPr>
            <w:rFonts w:ascii="Times New Roman" w:eastAsia="Times New Roman" w:hAnsi="Times New Roman" w:cs="Times New Roman"/>
            <w:color w:val="1155CC"/>
            <w:sz w:val="20"/>
            <w:szCs w:val="20"/>
            <w:u w:val="single"/>
          </w:rPr>
          <w:t>-en-cote-divoire-deux-unites-delite-sous-le-coup-dune-enquete/</w:t>
        </w:r>
      </w:hyperlink>
      <w:r w:rsidRPr="0017525C">
        <w:rPr>
          <w:rFonts w:ascii="Times New Roman" w:eastAsia="Times New Roman" w:hAnsi="Times New Roman" w:cs="Times New Roman"/>
          <w:sz w:val="20"/>
          <w:szCs w:val="20"/>
        </w:rPr>
        <w:t xml:space="preserve"> </w:t>
      </w:r>
    </w:p>
  </w:footnote>
  <w:footnote w:id="42">
    <w:p w14:paraId="5475BD2C"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21">
        <w:r w:rsidRPr="0017525C">
          <w:rPr>
            <w:rFonts w:ascii="Times New Roman" w:eastAsia="Times New Roman" w:hAnsi="Times New Roman" w:cs="Times New Roman"/>
            <w:color w:val="1155CC"/>
            <w:sz w:val="20"/>
            <w:szCs w:val="20"/>
            <w:u w:val="single"/>
          </w:rPr>
          <w:t>https://www.omct.org/fr/ressources/appels-urgents/arbitrary-detention-of-ms-pulch%C3%A9rie-gbalet-and-messrs-g%C3%A9d%C3%A9on-junior-gbaou-cyrille-djehi-bi-and-aim%C3%A9-c%C3%A9sar-kouakou-ngoran</w:t>
        </w:r>
      </w:hyperlink>
    </w:p>
  </w:footnote>
  <w:footnote w:id="43">
    <w:p w14:paraId="43E72E28"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22">
        <w:r w:rsidRPr="0017525C">
          <w:rPr>
            <w:rFonts w:ascii="Times New Roman" w:eastAsia="Times New Roman" w:hAnsi="Times New Roman" w:cs="Times New Roman"/>
            <w:color w:val="1155CC"/>
            <w:sz w:val="20"/>
            <w:szCs w:val="20"/>
            <w:u w:val="single"/>
          </w:rPr>
          <w:t>https://www.despse.ci/directions-et-services-rattaches-au-cabinet/</w:t>
        </w:r>
      </w:hyperlink>
    </w:p>
  </w:footnote>
  <w:footnote w:id="44">
    <w:p w14:paraId="16E280F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23">
        <w:r w:rsidRPr="0017525C">
          <w:rPr>
            <w:rFonts w:ascii="Times New Roman" w:eastAsia="Times New Roman" w:hAnsi="Times New Roman" w:cs="Times New Roman"/>
            <w:color w:val="1155CC"/>
            <w:sz w:val="20"/>
            <w:szCs w:val="20"/>
            <w:u w:val="single"/>
          </w:rPr>
          <w:t>https://uploads.mwp.mprod.getusinfo.com/uploads/sites/12/2023/06/FR-415610_COTE-DIVO</w:t>
        </w:r>
        <w:r w:rsidRPr="0017525C">
          <w:rPr>
            <w:rFonts w:ascii="Times New Roman" w:eastAsia="Times New Roman" w:hAnsi="Times New Roman" w:cs="Times New Roman"/>
            <w:color w:val="1155CC"/>
            <w:sz w:val="20"/>
            <w:szCs w:val="20"/>
            <w:u w:val="single"/>
          </w:rPr>
          <w:t>IRE-2022-HUMAN-RIGHTS-REPORT.pdf</w:t>
        </w:r>
      </w:hyperlink>
    </w:p>
  </w:footnote>
  <w:footnote w:id="45">
    <w:p w14:paraId="0A7A1B5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24">
        <w:r w:rsidRPr="0017525C">
          <w:rPr>
            <w:rFonts w:ascii="Times New Roman" w:eastAsia="Times New Roman" w:hAnsi="Times New Roman" w:cs="Times New Roman"/>
            <w:color w:val="1155CC"/>
            <w:sz w:val="20"/>
            <w:szCs w:val="20"/>
            <w:u w:val="single"/>
          </w:rPr>
          <w:t>https://www.fiacat.org/images/pdf/Rapport_alternatif_RCI_59CADHP.pdf</w:t>
        </w:r>
      </w:hyperlink>
      <w:r w:rsidRPr="0017525C">
        <w:rPr>
          <w:rFonts w:ascii="Times New Roman" w:eastAsia="Times New Roman" w:hAnsi="Times New Roman" w:cs="Times New Roman"/>
          <w:sz w:val="20"/>
          <w:szCs w:val="20"/>
        </w:rPr>
        <w:t>, p. 14</w:t>
      </w:r>
    </w:p>
  </w:footnote>
  <w:footnote w:id="46">
    <w:p w14:paraId="09776E0A"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Protocole d’Istanbul révisé en 2022, accessible à </w:t>
      </w:r>
      <w:hyperlink r:id="rId25">
        <w:r w:rsidRPr="0017525C">
          <w:rPr>
            <w:rFonts w:ascii="Times New Roman" w:eastAsia="Times New Roman" w:hAnsi="Times New Roman" w:cs="Times New Roman"/>
            <w:color w:val="1155CC"/>
            <w:sz w:val="20"/>
            <w:szCs w:val="20"/>
            <w:u w:val="single"/>
          </w:rPr>
          <w:t>https://www.ohchr.org/sites/default/files/2024-03/Istanbul-Protocol_Rev2_FR.pdf</w:t>
        </w:r>
      </w:hyperlink>
      <w:r>
        <w:rPr>
          <w:rFonts w:ascii="Times New Roman" w:eastAsia="Times New Roman" w:hAnsi="Times New Roman" w:cs="Times New Roman"/>
          <w:sz w:val="20"/>
          <w:szCs w:val="20"/>
        </w:rPr>
        <w:t xml:space="preserve"> </w:t>
      </w:r>
    </w:p>
  </w:footnote>
  <w:footnote w:id="47">
    <w:p w14:paraId="45C52729"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26">
        <w:r w:rsidRPr="0017525C">
          <w:rPr>
            <w:rFonts w:ascii="Times New Roman" w:hAnsi="Times New Roman" w:cs="Times New Roman"/>
            <w:color w:val="1155CC"/>
            <w:sz w:val="20"/>
            <w:szCs w:val="20"/>
            <w:u w:val="single"/>
          </w:rPr>
          <w:t>https://www.facebook.com/share/p/PUrjncHyxJNADrTs/?mibextid=WC7FNe</w:t>
        </w:r>
      </w:hyperlink>
      <w:r w:rsidRPr="0017525C">
        <w:rPr>
          <w:rFonts w:ascii="Times New Roman" w:hAnsi="Times New Roman" w:cs="Times New Roman"/>
          <w:sz w:val="20"/>
          <w:szCs w:val="20"/>
        </w:rPr>
        <w:t xml:space="preserve"> </w:t>
      </w:r>
    </w:p>
  </w:footnote>
  <w:footnote w:id="48">
    <w:p w14:paraId="377C2C35"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27">
        <w:r w:rsidRPr="0017525C">
          <w:rPr>
            <w:rFonts w:ascii="Times New Roman" w:eastAsia="Times New Roman" w:hAnsi="Times New Roman" w:cs="Times New Roman"/>
            <w:color w:val="1155CC"/>
            <w:sz w:val="20"/>
            <w:szCs w:val="20"/>
            <w:u w:val="single"/>
          </w:rPr>
          <w:t>https://crocinfos.net/torture-par-electrocution-a-duekoue-un-jeune-accuse-de-vol-de-plaquette</w:t>
        </w:r>
        <w:r w:rsidRPr="0017525C">
          <w:rPr>
            <w:rFonts w:ascii="Times New Roman" w:eastAsia="Times New Roman" w:hAnsi="Times New Roman" w:cs="Times New Roman"/>
            <w:color w:val="1155CC"/>
            <w:sz w:val="20"/>
            <w:szCs w:val="20"/>
            <w:u w:val="single"/>
          </w:rPr>
          <w:t>s-doeufs/amp/</w:t>
        </w:r>
      </w:hyperlink>
    </w:p>
    <w:p w14:paraId="31B8BEB4" w14:textId="77777777" w:rsidR="003B4185" w:rsidRDefault="003B4185">
      <w:pPr>
        <w:rPr>
          <w:sz w:val="20"/>
          <w:szCs w:val="20"/>
        </w:rPr>
      </w:pPr>
    </w:p>
  </w:footnote>
  <w:footnote w:id="49">
    <w:p w14:paraId="1778C3E1"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28">
        <w:r w:rsidRPr="0017525C">
          <w:rPr>
            <w:rFonts w:ascii="Times New Roman" w:eastAsia="Times New Roman" w:hAnsi="Times New Roman" w:cs="Times New Roman"/>
            <w:color w:val="1155CC"/>
            <w:sz w:val="20"/>
            <w:szCs w:val="20"/>
            <w:u w:val="single"/>
          </w:rPr>
          <w:t>https://cndh.ci/wp-content/uploads/2015/10/CNDH-RAP-IMPACT-DE-LA-SURPOP-DROITS-DES-DETENUS-A5-2.pdf</w:t>
        </w:r>
      </w:hyperlink>
    </w:p>
  </w:footnote>
  <w:footnote w:id="50">
    <w:p w14:paraId="0EFF42F7"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w:t>
      </w:r>
      <w:r w:rsidRPr="0017525C">
        <w:rPr>
          <w:rFonts w:ascii="Times New Roman" w:eastAsia="Times New Roman" w:hAnsi="Times New Roman" w:cs="Times New Roman"/>
          <w:sz w:val="20"/>
          <w:szCs w:val="20"/>
        </w:rPr>
        <w:t xml:space="preserve">ort FIACAT/ACAT/CERDAP, </w:t>
      </w:r>
      <w:hyperlink r:id="rId29">
        <w:r w:rsidRPr="0017525C">
          <w:rPr>
            <w:rFonts w:ascii="Times New Roman" w:eastAsia="Times New Roman" w:hAnsi="Times New Roman" w:cs="Times New Roman"/>
            <w:color w:val="1155CC"/>
            <w:sz w:val="20"/>
            <w:szCs w:val="20"/>
            <w:u w:val="single"/>
          </w:rPr>
          <w:t>Vivre l’enfer[mement]: Regard su</w:t>
        </w:r>
        <w:r w:rsidRPr="0017525C">
          <w:rPr>
            <w:rFonts w:ascii="Times New Roman" w:eastAsia="Times New Roman" w:hAnsi="Times New Roman" w:cs="Times New Roman"/>
            <w:color w:val="1155CC"/>
            <w:sz w:val="20"/>
            <w:szCs w:val="20"/>
            <w:u w:val="single"/>
          </w:rPr>
          <w:t>r la détention des femmes et des mineur·es en Côte d'Ivoire</w:t>
        </w:r>
      </w:hyperlink>
      <w:r w:rsidRPr="0017525C">
        <w:rPr>
          <w:rFonts w:ascii="Times New Roman" w:eastAsia="Times New Roman" w:hAnsi="Times New Roman" w:cs="Times New Roman"/>
          <w:sz w:val="20"/>
          <w:szCs w:val="20"/>
        </w:rPr>
        <w:t>, décembre 2022.</w:t>
      </w:r>
    </w:p>
  </w:footnote>
  <w:footnote w:id="51">
    <w:p w14:paraId="71B8C85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https://cndh.ci/wp-content/uploads/2015/10/CNDH-RAPPORT-DROIT-SANTE-PRISON-A5-2.pdf</w:t>
      </w:r>
    </w:p>
  </w:footnote>
  <w:footnote w:id="52">
    <w:p w14:paraId="58EB47F6"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https://fiacat.org/attachments/article/3088/Vivre%20l'Enfer[mement]%20regard%20sur%20la%20condition%20des%20femmes%20et%20des%20mineur.es%20en%20d%C3%A9tention%20en%20RCI</w:t>
      </w:r>
      <w:r w:rsidRPr="0017525C">
        <w:rPr>
          <w:rFonts w:ascii="Times New Roman" w:eastAsia="Times New Roman" w:hAnsi="Times New Roman" w:cs="Times New Roman"/>
          <w:sz w:val="20"/>
          <w:szCs w:val="20"/>
        </w:rPr>
        <w:t>.pdf</w:t>
      </w:r>
    </w:p>
  </w:footnote>
  <w:footnote w:id="53">
    <w:p w14:paraId="5534A0C7" w14:textId="230B7A60"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00AE205E">
        <w:rPr>
          <w:rFonts w:ascii="Times New Roman" w:hAnsi="Times New Roman" w:cs="Times New Roman"/>
          <w:sz w:val="20"/>
          <w:szCs w:val="20"/>
        </w:rPr>
        <w:t xml:space="preserve"> </w:t>
      </w:r>
      <w:hyperlink r:id="rId30" w:history="1">
        <w:r w:rsidR="00AE205E" w:rsidRPr="00FB0E64">
          <w:rPr>
            <w:rStyle w:val="Hyperlink"/>
            <w:rFonts w:ascii="Times New Roman" w:eastAsia="Times New Roman" w:hAnsi="Times New Roman" w:cs="Times New Roman"/>
            <w:sz w:val="20"/>
            <w:szCs w:val="20"/>
          </w:rPr>
          <w:t>https://psgouv.ci/welcome/details_sous_menu_gr3/point-synthetique-des-actions-menees884#</w:t>
        </w:r>
      </w:hyperlink>
    </w:p>
    <w:p w14:paraId="5F08C829" w14:textId="77777777" w:rsidR="003B4185" w:rsidRDefault="006803DD">
      <w:pPr>
        <w:spacing w:line="259" w:lineRule="auto"/>
        <w:jc w:val="both"/>
        <w:rPr>
          <w:rFonts w:ascii="Times New Roman" w:eastAsia="Times New Roman" w:hAnsi="Times New Roman" w:cs="Times New Roman"/>
          <w:sz w:val="20"/>
          <w:szCs w:val="20"/>
        </w:rPr>
      </w:pPr>
      <w:hyperlink r:id="rId31" w:anchor=":~:text=Ainsi%20%3A,15%20391%20habitants%20en%202011">
        <w:r w:rsidRPr="0017525C">
          <w:rPr>
            <w:rFonts w:ascii="Times New Roman" w:eastAsia="Times New Roman" w:hAnsi="Times New Roman" w:cs="Times New Roman"/>
            <w:color w:val="0563C1"/>
            <w:sz w:val="20"/>
            <w:szCs w:val="20"/>
            <w:u w:val="single"/>
          </w:rPr>
          <w:t>:~:text=Ainsi%20%3A,15%20391%20habitants%20en%202011</w:t>
        </w:r>
      </w:hyperlink>
      <w:r w:rsidRPr="0017525C">
        <w:rPr>
          <w:rFonts w:ascii="Times New Roman" w:eastAsia="Times New Roman" w:hAnsi="Times New Roman" w:cs="Times New Roman"/>
          <w:color w:val="333333"/>
          <w:sz w:val="20"/>
          <w:szCs w:val="20"/>
        </w:rPr>
        <w:t>.)</w:t>
      </w:r>
    </w:p>
  </w:footnote>
  <w:footnote w:id="54">
    <w:p w14:paraId="6EF3ACE0"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Rapport initial de l’É</w:t>
      </w:r>
      <w:r w:rsidRPr="0017525C">
        <w:rPr>
          <w:rFonts w:ascii="Times New Roman" w:eastAsia="Times New Roman" w:hAnsi="Times New Roman" w:cs="Times New Roman"/>
          <w:sz w:val="20"/>
          <w:szCs w:val="20"/>
        </w:rPr>
        <w:t>tat de Côte d’Ivoire, paras 214-215.</w:t>
      </w:r>
    </w:p>
  </w:footnote>
  <w:footnote w:id="55">
    <w:p w14:paraId="153C015E" w14:textId="77777777" w:rsidR="003B4185" w:rsidRPr="0017525C" w:rsidRDefault="006803DD">
      <w:pPr>
        <w:jc w:val="both"/>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CAT, Blanco Abad c. Espagne, CAT/C/20/D/59/1996, para 8.</w:t>
      </w:r>
    </w:p>
  </w:footnote>
  <w:footnote w:id="56">
    <w:p w14:paraId="3A0D2D85" w14:textId="77777777" w:rsidR="003B4185" w:rsidRPr="0017525C" w:rsidRDefault="006803DD">
      <w:pPr>
        <w:jc w:val="both"/>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Observation générale n°2 du Comité contre la torture, </w:t>
      </w:r>
      <w:r w:rsidRPr="0017525C">
        <w:rPr>
          <w:rFonts w:ascii="Times New Roman" w:eastAsia="Times New Roman" w:hAnsi="Times New Roman" w:cs="Times New Roman"/>
          <w:i/>
          <w:sz w:val="20"/>
          <w:szCs w:val="20"/>
        </w:rPr>
        <w:t>Application de l’article 2 par les États parties</w:t>
      </w:r>
      <w:r w:rsidRPr="0017525C">
        <w:rPr>
          <w:rFonts w:ascii="Times New Roman" w:eastAsia="Times New Roman" w:hAnsi="Times New Roman" w:cs="Times New Roman"/>
          <w:sz w:val="20"/>
          <w:szCs w:val="20"/>
        </w:rPr>
        <w:t>, 2008, CAT/C/GC/2, para 6.</w:t>
      </w:r>
    </w:p>
  </w:footnote>
  <w:footnote w:id="57">
    <w:p w14:paraId="26980DE7"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Comité des droits de l’Homme des Nations unies, </w:t>
      </w:r>
      <w:hyperlink r:id="rId32">
        <w:r w:rsidRPr="0017525C">
          <w:rPr>
            <w:rFonts w:ascii="Times New Roman" w:eastAsia="Times New Roman" w:hAnsi="Times New Roman" w:cs="Times New Roman"/>
            <w:color w:val="1155CC"/>
            <w:sz w:val="20"/>
            <w:szCs w:val="20"/>
            <w:u w:val="single"/>
          </w:rPr>
          <w:t>Observations finales concernant le rapport initial de la Côte d’Ivoire</w:t>
        </w:r>
      </w:hyperlink>
      <w:r w:rsidRPr="0017525C">
        <w:rPr>
          <w:rFonts w:ascii="Times New Roman" w:eastAsia="Times New Roman" w:hAnsi="Times New Roman" w:cs="Times New Roman"/>
          <w:sz w:val="20"/>
          <w:szCs w:val="20"/>
        </w:rPr>
        <w:t xml:space="preserve">, 2015, CCPR/C/CIV/CO/1, para 16. </w:t>
      </w:r>
    </w:p>
  </w:footnote>
  <w:footnote w:id="58">
    <w:p w14:paraId="325A0E71"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33">
        <w:r w:rsidRPr="0017525C">
          <w:rPr>
            <w:rFonts w:ascii="Times New Roman" w:eastAsia="Times New Roman" w:hAnsi="Times New Roman" w:cs="Times New Roman"/>
            <w:color w:val="954F72"/>
            <w:sz w:val="20"/>
            <w:szCs w:val="20"/>
            <w:highlight w:val="white"/>
            <w:u w:val="single"/>
          </w:rPr>
          <w:t>https://www.fidh.org/IMG/pdf/rapport_co_te_d_ivoire_no796f_pdf_web_ok_ok_au_12_juillet_2022.pdf</w:t>
        </w:r>
      </w:hyperlink>
    </w:p>
  </w:footnote>
  <w:footnote w:id="59">
    <w:p w14:paraId="43E8CF61" w14:textId="77777777" w:rsidR="003B4185" w:rsidRDefault="006803DD">
      <w:pPr>
        <w:rPr>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Comité des droits de l’Homme des Nations unies, </w:t>
      </w:r>
      <w:hyperlink r:id="rId34">
        <w:r w:rsidRPr="0017525C">
          <w:rPr>
            <w:rFonts w:ascii="Times New Roman" w:eastAsia="Times New Roman" w:hAnsi="Times New Roman" w:cs="Times New Roman"/>
            <w:color w:val="1155CC"/>
            <w:sz w:val="20"/>
            <w:szCs w:val="20"/>
            <w:u w:val="single"/>
          </w:rPr>
          <w:t>Observations finales concernant le rapport initial de la Côte d’Ivoire</w:t>
        </w:r>
      </w:hyperlink>
      <w:r w:rsidRPr="0017525C">
        <w:rPr>
          <w:rFonts w:ascii="Times New Roman" w:eastAsia="Times New Roman" w:hAnsi="Times New Roman" w:cs="Times New Roman"/>
          <w:sz w:val="20"/>
          <w:szCs w:val="20"/>
        </w:rPr>
        <w:t>, 2015, CCPR/C/CIV/CO/1, para 16.</w:t>
      </w:r>
      <w:r>
        <w:rPr>
          <w:rFonts w:ascii="Times New Roman" w:eastAsia="Times New Roman" w:hAnsi="Times New Roman" w:cs="Times New Roman"/>
          <w:sz w:val="20"/>
          <w:szCs w:val="20"/>
        </w:rPr>
        <w:t xml:space="preserve"> </w:t>
      </w:r>
    </w:p>
  </w:footnote>
  <w:footnote w:id="60">
    <w:p w14:paraId="55689D45"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Amnesty International, </w:t>
      </w:r>
      <w:hyperlink r:id="rId35">
        <w:r w:rsidRPr="0017525C">
          <w:rPr>
            <w:rFonts w:ascii="Times New Roman" w:eastAsia="Times New Roman" w:hAnsi="Times New Roman" w:cs="Times New Roman"/>
            <w:i/>
            <w:color w:val="1155CC"/>
            <w:sz w:val="20"/>
            <w:szCs w:val="20"/>
            <w:u w:val="single"/>
          </w:rPr>
          <w:t>Côte d’Ivoire. Arrestations arbi</w:t>
        </w:r>
        <w:r w:rsidRPr="0017525C">
          <w:rPr>
            <w:rFonts w:ascii="Times New Roman" w:eastAsia="Times New Roman" w:hAnsi="Times New Roman" w:cs="Times New Roman"/>
            <w:i/>
            <w:color w:val="1155CC"/>
            <w:sz w:val="20"/>
            <w:szCs w:val="20"/>
            <w:u w:val="single"/>
          </w:rPr>
          <w:t>traires, répression contre la dissidence et actes de torture en amont de l’élection présidentielle</w:t>
        </w:r>
      </w:hyperlink>
      <w:r w:rsidRPr="0017525C">
        <w:rPr>
          <w:rFonts w:ascii="Times New Roman" w:eastAsia="Times New Roman" w:hAnsi="Times New Roman" w:cs="Times New Roman"/>
          <w:i/>
          <w:sz w:val="20"/>
          <w:szCs w:val="20"/>
        </w:rPr>
        <w:t>,</w:t>
      </w:r>
      <w:r w:rsidRPr="0017525C">
        <w:rPr>
          <w:rFonts w:ascii="Times New Roman" w:eastAsia="Times New Roman" w:hAnsi="Times New Roman" w:cs="Times New Roman"/>
          <w:sz w:val="20"/>
          <w:szCs w:val="20"/>
        </w:rPr>
        <w:t xml:space="preserve"> 11 février 2019.</w:t>
      </w:r>
    </w:p>
  </w:footnote>
  <w:footnote w:id="61">
    <w:p w14:paraId="2966428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Amnesty International, rapport annuel 2020/2021, p. 176.</w:t>
      </w:r>
    </w:p>
  </w:footnote>
  <w:footnote w:id="62">
    <w:p w14:paraId="5312DC14" w14:textId="77777777" w:rsidR="003B4185" w:rsidRPr="0017525C" w:rsidRDefault="006803DD">
      <w:pPr>
        <w:jc w:val="both"/>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Amnesty International, “</w:t>
      </w:r>
      <w:hyperlink r:id="rId36">
        <w:r w:rsidRPr="0017525C">
          <w:rPr>
            <w:rFonts w:ascii="Times New Roman" w:eastAsia="Times New Roman" w:hAnsi="Times New Roman" w:cs="Times New Roman"/>
            <w:i/>
            <w:color w:val="1155CC"/>
            <w:sz w:val="20"/>
            <w:szCs w:val="20"/>
            <w:u w:val="single"/>
          </w:rPr>
          <w:t>Côte d’Ivoire. Des centaines de personnes détenues à la suite des troubles électoraux</w:t>
        </w:r>
      </w:hyperlink>
      <w:r w:rsidRPr="0017525C">
        <w:rPr>
          <w:rFonts w:ascii="Times New Roman" w:eastAsia="Times New Roman" w:hAnsi="Times New Roman" w:cs="Times New Roman"/>
          <w:sz w:val="20"/>
          <w:szCs w:val="20"/>
        </w:rPr>
        <w:t>”, 26 mars 2021.</w:t>
      </w:r>
    </w:p>
  </w:footnote>
  <w:footnote w:id="63">
    <w:p w14:paraId="1591DD7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 xml:space="preserve">Amnesty International, rapport annuel 2020/2021, p. 175. </w:t>
      </w:r>
    </w:p>
  </w:footnote>
  <w:footnote w:id="64">
    <w:p w14:paraId="17E9A474"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Amnesty International, </w:t>
      </w:r>
      <w:hyperlink r:id="rId37">
        <w:r w:rsidRPr="0017525C">
          <w:rPr>
            <w:rFonts w:ascii="Times New Roman" w:eastAsia="Times New Roman" w:hAnsi="Times New Roman" w:cs="Times New Roman"/>
            <w:i/>
            <w:color w:val="1155CC"/>
            <w:sz w:val="20"/>
            <w:szCs w:val="20"/>
            <w:u w:val="single"/>
          </w:rPr>
          <w:t>Côte d’Ivoire. La police perme</w:t>
        </w:r>
        <w:r w:rsidRPr="0017525C">
          <w:rPr>
            <w:rFonts w:ascii="Times New Roman" w:eastAsia="Times New Roman" w:hAnsi="Times New Roman" w:cs="Times New Roman"/>
            <w:i/>
            <w:color w:val="1155CC"/>
            <w:sz w:val="20"/>
            <w:szCs w:val="20"/>
            <w:u w:val="single"/>
          </w:rPr>
          <w:t>t à des hommes armés de machettes d’attaquer des protestataires</w:t>
        </w:r>
      </w:hyperlink>
      <w:r w:rsidRPr="0017525C">
        <w:rPr>
          <w:rFonts w:ascii="Times New Roman" w:eastAsia="Times New Roman" w:hAnsi="Times New Roman" w:cs="Times New Roman"/>
          <w:sz w:val="20"/>
          <w:szCs w:val="20"/>
        </w:rPr>
        <w:t>, 18 août 2020.</w:t>
      </w:r>
    </w:p>
  </w:footnote>
  <w:footnote w:id="65">
    <w:p w14:paraId="7956AC89"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Ibid</w:t>
      </w:r>
      <w:r w:rsidRPr="0017525C">
        <w:rPr>
          <w:rFonts w:ascii="Times New Roman" w:eastAsia="Times New Roman" w:hAnsi="Times New Roman" w:cs="Times New Roman"/>
          <w:sz w:val="20"/>
          <w:szCs w:val="20"/>
        </w:rPr>
        <w:t>.</w:t>
      </w:r>
    </w:p>
  </w:footnote>
  <w:footnote w:id="66">
    <w:p w14:paraId="0D25FF08"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Le Monde, </w:t>
      </w:r>
      <w:hyperlink r:id="rId38">
        <w:r w:rsidRPr="0017525C">
          <w:rPr>
            <w:rFonts w:ascii="Times New Roman" w:eastAsia="Times New Roman" w:hAnsi="Times New Roman" w:cs="Times New Roman"/>
            <w:i/>
            <w:color w:val="1155CC"/>
            <w:sz w:val="20"/>
            <w:szCs w:val="20"/>
            <w:u w:val="single"/>
          </w:rPr>
          <w:t>Pulchérie Gbalet, militante de tous les combats en Côte d’Ivoire</w:t>
        </w:r>
      </w:hyperlink>
      <w:r w:rsidRPr="0017525C">
        <w:rPr>
          <w:rFonts w:ascii="Times New Roman" w:eastAsia="Times New Roman" w:hAnsi="Times New Roman" w:cs="Times New Roman"/>
          <w:color w:val="2A303B"/>
          <w:sz w:val="20"/>
          <w:szCs w:val="20"/>
        </w:rPr>
        <w:t xml:space="preserve">, 21 mars 2024; Frontline Defenders, </w:t>
      </w:r>
      <w:hyperlink r:id="rId39">
        <w:r w:rsidRPr="0017525C">
          <w:rPr>
            <w:rFonts w:ascii="Times New Roman" w:eastAsia="Times New Roman" w:hAnsi="Times New Roman" w:cs="Times New Roman"/>
            <w:i/>
            <w:color w:val="1155CC"/>
            <w:sz w:val="20"/>
            <w:szCs w:val="20"/>
            <w:u w:val="single"/>
          </w:rPr>
          <w:t>La défenseure des droits humains Pulchérie Gbalet obtient une liberté provisoire</w:t>
        </w:r>
      </w:hyperlink>
      <w:r w:rsidRPr="0017525C">
        <w:rPr>
          <w:rFonts w:ascii="Times New Roman" w:eastAsia="Times New Roman" w:hAnsi="Times New Roman" w:cs="Times New Roman"/>
          <w:color w:val="2A303B"/>
          <w:sz w:val="20"/>
          <w:szCs w:val="20"/>
        </w:rPr>
        <w:t>, 11 mai 2021.</w:t>
      </w:r>
    </w:p>
  </w:footnote>
  <w:footnote w:id="67">
    <w:p w14:paraId="05B581BE"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Amnesty International, </w:t>
      </w:r>
      <w:hyperlink r:id="rId40">
        <w:r w:rsidRPr="0017525C">
          <w:rPr>
            <w:rFonts w:ascii="Times New Roman" w:eastAsia="Times New Roman" w:hAnsi="Times New Roman" w:cs="Times New Roman"/>
            <w:i/>
            <w:color w:val="1155CC"/>
            <w:sz w:val="20"/>
            <w:szCs w:val="20"/>
            <w:u w:val="single"/>
          </w:rPr>
          <w:t xml:space="preserve">Côte d’Ivoire. La police permet à des </w:t>
        </w:r>
        <w:r w:rsidRPr="0017525C">
          <w:rPr>
            <w:rFonts w:ascii="Times New Roman" w:eastAsia="Times New Roman" w:hAnsi="Times New Roman" w:cs="Times New Roman"/>
            <w:i/>
            <w:color w:val="1155CC"/>
            <w:sz w:val="20"/>
            <w:szCs w:val="20"/>
            <w:u w:val="single"/>
          </w:rPr>
          <w:t>hommes armés de machettes d’attaquer des protestataires</w:t>
        </w:r>
      </w:hyperlink>
      <w:r w:rsidRPr="0017525C">
        <w:rPr>
          <w:rFonts w:ascii="Times New Roman" w:eastAsia="Times New Roman" w:hAnsi="Times New Roman" w:cs="Times New Roman"/>
          <w:sz w:val="20"/>
          <w:szCs w:val="20"/>
        </w:rPr>
        <w:t>, 18 août 2020.</w:t>
      </w:r>
    </w:p>
  </w:footnote>
  <w:footnote w:id="68">
    <w:p w14:paraId="1F3F1378" w14:textId="77777777" w:rsidR="003B4185" w:rsidRPr="0017525C" w:rsidRDefault="006803DD">
      <w:pPr>
        <w:rPr>
          <w:rFonts w:ascii="Times New Roman" w:eastAsia="Times New Roman" w:hAnsi="Times New Roman" w:cs="Times New Roman"/>
          <w:i/>
          <w:sz w:val="20"/>
          <w:szCs w:val="20"/>
          <w:lang w:val="en-US"/>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lang w:val="en-US"/>
        </w:rPr>
        <w:t xml:space="preserve"> </w:t>
      </w:r>
      <w:r w:rsidRPr="0017525C">
        <w:rPr>
          <w:rFonts w:ascii="Times New Roman" w:eastAsia="Times New Roman" w:hAnsi="Times New Roman" w:cs="Times New Roman"/>
          <w:i/>
          <w:sz w:val="20"/>
          <w:szCs w:val="20"/>
          <w:lang w:val="en-US"/>
        </w:rPr>
        <w:t>Ibid.</w:t>
      </w:r>
    </w:p>
  </w:footnote>
  <w:footnote w:id="69">
    <w:p w14:paraId="51DA93F9"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lang w:val="en-US"/>
        </w:rPr>
        <w:t xml:space="preserve"> The Law on Police use of force worldwide, Côte d’Ivoire, 2021. </w:t>
      </w:r>
      <w:r w:rsidRPr="0017525C">
        <w:rPr>
          <w:rFonts w:ascii="Times New Roman" w:eastAsia="Times New Roman" w:hAnsi="Times New Roman" w:cs="Times New Roman"/>
          <w:sz w:val="20"/>
          <w:szCs w:val="20"/>
        </w:rPr>
        <w:t xml:space="preserve">Accessible à :  </w:t>
      </w:r>
      <w:hyperlink r:id="rId41">
        <w:r w:rsidRPr="0017525C">
          <w:rPr>
            <w:rFonts w:ascii="Times New Roman" w:eastAsia="Times New Roman" w:hAnsi="Times New Roman" w:cs="Times New Roman"/>
            <w:color w:val="1155CC"/>
            <w:sz w:val="20"/>
            <w:szCs w:val="20"/>
            <w:u w:val="single"/>
          </w:rPr>
          <w:t>https://www.policinglaw.info/country/ivory-coast</w:t>
        </w:r>
      </w:hyperlink>
    </w:p>
  </w:footnote>
  <w:footnote w:id="70">
    <w:p w14:paraId="496B85D5"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259 du Code pénal : “</w:t>
      </w:r>
      <w:r w:rsidRPr="0017525C">
        <w:rPr>
          <w:rFonts w:ascii="Times New Roman" w:eastAsia="Times New Roman" w:hAnsi="Times New Roman" w:cs="Times New Roman"/>
          <w:i/>
          <w:sz w:val="20"/>
          <w:szCs w:val="20"/>
        </w:rPr>
        <w:t>Lorsqu’un agent public, sans motif légitime, use ou fait user de violences en</w:t>
      </w:r>
      <w:r w:rsidRPr="0017525C">
        <w:rPr>
          <w:rFonts w:ascii="Times New Roman" w:eastAsia="Times New Roman" w:hAnsi="Times New Roman" w:cs="Times New Roman"/>
          <w:i/>
          <w:sz w:val="20"/>
          <w:szCs w:val="20"/>
        </w:rPr>
        <w:t>vers les personnes dans l’exercice ou à l’occasion de l’exercice de ses fonctions, il est puni selon la nature et la gravité de ces violences et la peine est élevée suivant la règle posée par l’article 106</w:t>
      </w:r>
      <w:r w:rsidRPr="0017525C">
        <w:rPr>
          <w:rFonts w:ascii="Times New Roman" w:eastAsia="Times New Roman" w:hAnsi="Times New Roman" w:cs="Times New Roman"/>
          <w:sz w:val="20"/>
          <w:szCs w:val="20"/>
        </w:rPr>
        <w:t>.”</w:t>
      </w:r>
    </w:p>
  </w:footnote>
  <w:footnote w:id="71">
    <w:p w14:paraId="3CFA1612"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Amnesty International, rapport annuel 2020/202</w:t>
      </w:r>
      <w:r w:rsidRPr="0017525C">
        <w:rPr>
          <w:rFonts w:ascii="Times New Roman" w:eastAsia="Times New Roman" w:hAnsi="Times New Roman" w:cs="Times New Roman"/>
          <w:sz w:val="20"/>
          <w:szCs w:val="20"/>
          <w:highlight w:val="white"/>
        </w:rPr>
        <w:t xml:space="preserve">1, pp. 175-176; </w:t>
      </w:r>
      <w:r w:rsidRPr="0017525C">
        <w:rPr>
          <w:rFonts w:ascii="Times New Roman" w:eastAsia="Times New Roman" w:hAnsi="Times New Roman" w:cs="Times New Roman"/>
          <w:sz w:val="20"/>
          <w:szCs w:val="20"/>
        </w:rPr>
        <w:t xml:space="preserve">Human Rights Watch, </w:t>
      </w:r>
      <w:hyperlink r:id="rId42">
        <w:r w:rsidRPr="0017525C">
          <w:rPr>
            <w:rFonts w:ascii="Times New Roman" w:eastAsia="Times New Roman" w:hAnsi="Times New Roman" w:cs="Times New Roman"/>
            <w:i/>
            <w:color w:val="1155CC"/>
            <w:sz w:val="20"/>
            <w:szCs w:val="20"/>
            <w:u w:val="single"/>
          </w:rPr>
          <w:t>Côte d’Ivoire : violences postélectorales et répression</w:t>
        </w:r>
      </w:hyperlink>
      <w:r w:rsidRPr="0017525C">
        <w:rPr>
          <w:rFonts w:ascii="Times New Roman" w:eastAsia="Times New Roman" w:hAnsi="Times New Roman" w:cs="Times New Roman"/>
          <w:color w:val="444444"/>
          <w:sz w:val="20"/>
          <w:szCs w:val="20"/>
        </w:rPr>
        <w:t>, 2 décembre 2020.</w:t>
      </w:r>
      <w:r w:rsidRPr="0017525C">
        <w:rPr>
          <w:rFonts w:ascii="Times New Roman" w:eastAsia="Times New Roman" w:hAnsi="Times New Roman" w:cs="Times New Roman"/>
          <w:sz w:val="20"/>
          <w:szCs w:val="20"/>
          <w:highlight w:val="white"/>
          <w:u w:val="single"/>
        </w:rPr>
        <w:t xml:space="preserve"> </w:t>
      </w:r>
    </w:p>
  </w:footnote>
  <w:footnote w:id="72">
    <w:p w14:paraId="612D744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Human Rights Watch, </w:t>
      </w:r>
      <w:hyperlink r:id="rId43">
        <w:r w:rsidRPr="0017525C">
          <w:rPr>
            <w:rFonts w:ascii="Times New Roman" w:eastAsia="Times New Roman" w:hAnsi="Times New Roman" w:cs="Times New Roman"/>
            <w:i/>
            <w:color w:val="1155CC"/>
            <w:sz w:val="20"/>
            <w:szCs w:val="20"/>
            <w:u w:val="single"/>
          </w:rPr>
          <w:t>Côte d’Ivoire : Violences postélectorales et répression</w:t>
        </w:r>
      </w:hyperlink>
      <w:r w:rsidRPr="0017525C">
        <w:rPr>
          <w:rFonts w:ascii="Times New Roman" w:eastAsia="Times New Roman" w:hAnsi="Times New Roman" w:cs="Times New Roman"/>
          <w:color w:val="444444"/>
          <w:sz w:val="20"/>
          <w:szCs w:val="20"/>
        </w:rPr>
        <w:t>, 2 décembre 2020</w:t>
      </w:r>
      <w:r w:rsidRPr="0017525C">
        <w:rPr>
          <w:rFonts w:ascii="Times New Roman" w:eastAsia="Times New Roman" w:hAnsi="Times New Roman" w:cs="Times New Roman"/>
          <w:sz w:val="20"/>
          <w:szCs w:val="20"/>
          <w:highlight w:val="white"/>
        </w:rPr>
        <w:t xml:space="preserve"> </w:t>
      </w:r>
    </w:p>
  </w:footnote>
  <w:footnote w:id="73">
    <w:p w14:paraId="27D28310" w14:textId="77777777" w:rsidR="003B4185"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Amnesty Intern</w:t>
      </w:r>
      <w:r w:rsidRPr="0017525C">
        <w:rPr>
          <w:rFonts w:ascii="Times New Roman" w:eastAsia="Times New Roman" w:hAnsi="Times New Roman" w:cs="Times New Roman"/>
          <w:sz w:val="20"/>
          <w:szCs w:val="20"/>
        </w:rPr>
        <w:t xml:space="preserve">ational, Rapport annuel 2023, p. 140; Human Rights Watch, </w:t>
      </w:r>
      <w:hyperlink r:id="rId44">
        <w:r w:rsidRPr="0017525C">
          <w:rPr>
            <w:rFonts w:ascii="Times New Roman" w:eastAsia="Times New Roman" w:hAnsi="Times New Roman" w:cs="Times New Roman"/>
            <w:i/>
            <w:color w:val="1155CC"/>
            <w:sz w:val="20"/>
            <w:szCs w:val="20"/>
            <w:u w:val="single"/>
          </w:rPr>
          <w:t>Côte d’Ivoire : Violences postélectorales et répression</w:t>
        </w:r>
      </w:hyperlink>
      <w:r w:rsidRPr="0017525C">
        <w:rPr>
          <w:rFonts w:ascii="Times New Roman" w:eastAsia="Times New Roman" w:hAnsi="Times New Roman" w:cs="Times New Roman"/>
          <w:color w:val="444444"/>
          <w:sz w:val="20"/>
          <w:szCs w:val="20"/>
        </w:rPr>
        <w:t xml:space="preserve">, 2 décembre 2020; Amnesty International, </w:t>
      </w:r>
      <w:hyperlink r:id="rId45">
        <w:r w:rsidRPr="0017525C">
          <w:rPr>
            <w:rFonts w:ascii="Times New Roman" w:eastAsia="Times New Roman" w:hAnsi="Times New Roman" w:cs="Times New Roman"/>
            <w:i/>
            <w:color w:val="1155CC"/>
            <w:sz w:val="20"/>
            <w:szCs w:val="20"/>
            <w:u w:val="single"/>
          </w:rPr>
          <w:t>Côte d’Ivoire : Amnesty International exige la libération immédiate des militants du PPA CI arbitrairement détenus</w:t>
        </w:r>
      </w:hyperlink>
      <w:r w:rsidRPr="0017525C">
        <w:rPr>
          <w:rFonts w:ascii="Times New Roman" w:eastAsia="Times New Roman" w:hAnsi="Times New Roman" w:cs="Times New Roman"/>
          <w:color w:val="262626"/>
          <w:sz w:val="20"/>
          <w:szCs w:val="20"/>
        </w:rPr>
        <w:t>, 13 mars 2023.</w:t>
      </w:r>
    </w:p>
  </w:footnote>
  <w:footnote w:id="74">
    <w:p w14:paraId="51FACA4A" w14:textId="77777777" w:rsidR="003B4185" w:rsidRPr="0017525C" w:rsidRDefault="006803DD">
      <w:pPr>
        <w:jc w:val="both"/>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Côte d'Ivoire : </w:t>
      </w:r>
      <w:hyperlink r:id="rId46">
        <w:r w:rsidRPr="0017525C">
          <w:rPr>
            <w:rFonts w:ascii="Times New Roman" w:eastAsia="Times New Roman" w:hAnsi="Times New Roman" w:cs="Times New Roman"/>
            <w:color w:val="1155CC"/>
            <w:sz w:val="20"/>
            <w:szCs w:val="20"/>
            <w:u w:val="single"/>
          </w:rPr>
          <w:t>rapport de la Commission d'enquête internationale pour la Côte d'Ivoire</w:t>
        </w:r>
      </w:hyperlink>
      <w:r w:rsidRPr="0017525C">
        <w:rPr>
          <w:rFonts w:ascii="Times New Roman" w:eastAsia="Times New Roman" w:hAnsi="Times New Roman" w:cs="Times New Roman"/>
          <w:sz w:val="20"/>
          <w:szCs w:val="20"/>
        </w:rPr>
        <w:t xml:space="preserve">, février-mai 2001, p. 60. </w:t>
      </w:r>
    </w:p>
  </w:footnote>
  <w:footnote w:id="75">
    <w:p w14:paraId="1D2F4BAE"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i/>
          <w:sz w:val="20"/>
          <w:szCs w:val="20"/>
        </w:rPr>
        <w:t xml:space="preserve"> Ibid</w:t>
      </w:r>
      <w:r w:rsidRPr="0017525C">
        <w:rPr>
          <w:rFonts w:ascii="Times New Roman" w:eastAsia="Times New Roman" w:hAnsi="Times New Roman" w:cs="Times New Roman"/>
          <w:sz w:val="20"/>
          <w:szCs w:val="20"/>
        </w:rPr>
        <w:t xml:space="preserve">, p. 50. </w:t>
      </w:r>
    </w:p>
  </w:footnote>
  <w:footnote w:id="76">
    <w:p w14:paraId="3A772109" w14:textId="77777777" w:rsidR="003B4185" w:rsidRDefault="006803DD">
      <w:pPr>
        <w:rPr>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initial de l’État de </w:t>
      </w:r>
      <w:r w:rsidRPr="0017525C">
        <w:rPr>
          <w:rFonts w:ascii="Times New Roman" w:eastAsia="Times New Roman" w:hAnsi="Times New Roman" w:cs="Times New Roman"/>
          <w:sz w:val="20"/>
          <w:szCs w:val="20"/>
        </w:rPr>
        <w:t>Côte d’Ivoire, para 281.</w:t>
      </w:r>
    </w:p>
  </w:footnote>
  <w:footnote w:id="77">
    <w:p w14:paraId="073B3369"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Comité des droits de l’Homme des Nations unies, </w:t>
      </w:r>
      <w:hyperlink r:id="rId47">
        <w:r w:rsidRPr="0017525C">
          <w:rPr>
            <w:rFonts w:ascii="Times New Roman" w:eastAsia="Times New Roman" w:hAnsi="Times New Roman" w:cs="Times New Roman"/>
            <w:color w:val="1155CC"/>
            <w:sz w:val="20"/>
            <w:szCs w:val="20"/>
            <w:u w:val="single"/>
          </w:rPr>
          <w:t>Observations finales concernant le rapport initial de la Côte d’Ivoire</w:t>
        </w:r>
      </w:hyperlink>
      <w:r w:rsidRPr="0017525C">
        <w:rPr>
          <w:rFonts w:ascii="Times New Roman" w:eastAsia="Times New Roman" w:hAnsi="Times New Roman" w:cs="Times New Roman"/>
          <w:sz w:val="20"/>
          <w:szCs w:val="20"/>
        </w:rPr>
        <w:t>, 2015, CCPR/C/CIV/CO/1, para 14.</w:t>
      </w:r>
    </w:p>
  </w:footnote>
  <w:footnote w:id="78">
    <w:p w14:paraId="052FEE28"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48" w:anchor="google_vignette">
        <w:r w:rsidRPr="0017525C">
          <w:rPr>
            <w:rFonts w:ascii="Times New Roman" w:eastAsia="Times New Roman" w:hAnsi="Times New Roman" w:cs="Times New Roman"/>
            <w:color w:val="1155CC"/>
            <w:sz w:val="20"/>
            <w:szCs w:val="20"/>
            <w:u w:val="single"/>
          </w:rPr>
          <w:t>https://www.afrique-sur7.ci/478711-charnier-yopougon-rhdp-enquete#google_vignette</w:t>
        </w:r>
      </w:hyperlink>
      <w:r w:rsidRPr="0017525C">
        <w:rPr>
          <w:rFonts w:ascii="Times New Roman" w:eastAsia="Times New Roman" w:hAnsi="Times New Roman" w:cs="Times New Roman"/>
          <w:sz w:val="20"/>
          <w:szCs w:val="20"/>
        </w:rPr>
        <w:t xml:space="preserve"> </w:t>
      </w:r>
    </w:p>
  </w:footnote>
  <w:footnote w:id="79">
    <w:p w14:paraId="1AD0320D"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49">
        <w:r w:rsidRPr="0017525C">
          <w:rPr>
            <w:rFonts w:ascii="Times New Roman" w:eastAsia="Times New Roman" w:hAnsi="Times New Roman" w:cs="Times New Roman"/>
            <w:color w:val="954F72"/>
            <w:sz w:val="20"/>
            <w:szCs w:val="20"/>
            <w:highlight w:val="white"/>
            <w:u w:val="single"/>
          </w:rPr>
          <w:t>http://www.fidh.org/IMG/pdf/cotedivoirefr2013.pdf p.20</w:t>
        </w:r>
      </w:hyperlink>
      <w:r w:rsidRPr="0017525C">
        <w:rPr>
          <w:rFonts w:ascii="Times New Roman" w:eastAsia="Times New Roman" w:hAnsi="Times New Roman" w:cs="Times New Roman"/>
          <w:color w:val="1D2228"/>
          <w:sz w:val="20"/>
          <w:szCs w:val="20"/>
          <w:highlight w:val="white"/>
        </w:rPr>
        <w:t xml:space="preserve"> consulté le 8 juin 2021à 8h11</w:t>
      </w:r>
    </w:p>
  </w:footnote>
  <w:footnote w:id="80">
    <w:p w14:paraId="401CD512"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Commission Nationale d’Enquête, République de Côte d’Ivoire, </w:t>
      </w:r>
      <w:r w:rsidRPr="0017525C">
        <w:rPr>
          <w:rFonts w:ascii="Times New Roman" w:eastAsia="Times New Roman" w:hAnsi="Times New Roman" w:cs="Times New Roman"/>
          <w:i/>
          <w:sz w:val="20"/>
          <w:szCs w:val="20"/>
        </w:rPr>
        <w:t>Rapport d’enquête sur les v</w:t>
      </w:r>
      <w:r w:rsidRPr="0017525C">
        <w:rPr>
          <w:rFonts w:ascii="Times New Roman" w:eastAsia="Times New Roman" w:hAnsi="Times New Roman" w:cs="Times New Roman"/>
          <w:i/>
          <w:sz w:val="20"/>
          <w:szCs w:val="20"/>
        </w:rPr>
        <w:t>iolations des droits de l’Homme et du droit international humanitaire survenues dans la période du 31 octobre 2010 au 15 mai 2011</w:t>
      </w:r>
      <w:r w:rsidRPr="0017525C">
        <w:rPr>
          <w:rFonts w:ascii="Times New Roman" w:eastAsia="Times New Roman" w:hAnsi="Times New Roman" w:cs="Times New Roman"/>
          <w:sz w:val="20"/>
          <w:szCs w:val="20"/>
        </w:rPr>
        <w:t xml:space="preserve">. Accessible à : </w:t>
      </w:r>
      <w:hyperlink r:id="rId50">
        <w:r w:rsidRPr="0017525C">
          <w:rPr>
            <w:rFonts w:ascii="Times New Roman" w:eastAsia="Times New Roman" w:hAnsi="Times New Roman" w:cs="Times New Roman"/>
            <w:color w:val="1155CC"/>
            <w:sz w:val="20"/>
            <w:szCs w:val="20"/>
            <w:u w:val="single"/>
          </w:rPr>
          <w:t>https://www.fidh.org/IMG/pdf/c</w:t>
        </w:r>
        <w:r w:rsidRPr="0017525C">
          <w:rPr>
            <w:rFonts w:ascii="Times New Roman" w:eastAsia="Times New Roman" w:hAnsi="Times New Roman" w:cs="Times New Roman"/>
            <w:color w:val="1155CC"/>
            <w:sz w:val="20"/>
            <w:szCs w:val="20"/>
            <w:u w:val="single"/>
          </w:rPr>
          <w:t>ne_resume_rapport_d_enquete.pdf</w:t>
        </w:r>
      </w:hyperlink>
      <w:r w:rsidRPr="0017525C">
        <w:rPr>
          <w:rFonts w:ascii="Times New Roman" w:eastAsia="Times New Roman" w:hAnsi="Times New Roman" w:cs="Times New Roman"/>
          <w:sz w:val="20"/>
          <w:szCs w:val="20"/>
        </w:rPr>
        <w:t xml:space="preserve"> </w:t>
      </w:r>
    </w:p>
  </w:footnote>
  <w:footnote w:id="81">
    <w:p w14:paraId="2D26DDC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Commission Nationale d’Enquête, République de Côte d’Ivoire, </w:t>
      </w:r>
      <w:r w:rsidRPr="0017525C">
        <w:rPr>
          <w:rFonts w:ascii="Times New Roman" w:eastAsia="Times New Roman" w:hAnsi="Times New Roman" w:cs="Times New Roman"/>
          <w:i/>
          <w:sz w:val="20"/>
          <w:szCs w:val="20"/>
        </w:rPr>
        <w:t xml:space="preserve">Rapport d’enquête sur les violations des droits de l’Homme et du droit international humanitaire survenues dans la </w:t>
      </w:r>
      <w:r w:rsidRPr="0017525C">
        <w:rPr>
          <w:rFonts w:ascii="Times New Roman" w:eastAsia="Times New Roman" w:hAnsi="Times New Roman" w:cs="Times New Roman"/>
          <w:i/>
          <w:sz w:val="20"/>
          <w:szCs w:val="20"/>
        </w:rPr>
        <w:t>période du 31 octobre 2010 au 15 mai 2011</w:t>
      </w:r>
      <w:r w:rsidRPr="0017525C">
        <w:rPr>
          <w:rFonts w:ascii="Times New Roman" w:eastAsia="Times New Roman" w:hAnsi="Times New Roman" w:cs="Times New Roman"/>
          <w:sz w:val="20"/>
          <w:szCs w:val="20"/>
        </w:rPr>
        <w:t xml:space="preserve">, p. 31. </w:t>
      </w:r>
    </w:p>
  </w:footnote>
  <w:footnote w:id="82">
    <w:p w14:paraId="47178ECF"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Arrêté n°020/MEMJ/DSJRH/MEF du 24 juin 2011 portant Création, Organisation, Attributions, et Fonctionnement d’une Cellule Spéciale d’Enquête relative à la Crise postélectorale.</w:t>
      </w:r>
    </w:p>
  </w:footnote>
  <w:footnote w:id="83">
    <w:p w14:paraId="6DCE81C6" w14:textId="77777777" w:rsidR="003B4185"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Décret n° 2013-</w:t>
      </w:r>
      <w:r w:rsidRPr="0017525C">
        <w:rPr>
          <w:rFonts w:ascii="Times New Roman" w:eastAsia="Times New Roman" w:hAnsi="Times New Roman" w:cs="Times New Roman"/>
          <w:sz w:val="20"/>
          <w:szCs w:val="20"/>
        </w:rPr>
        <w:t>93 du 30 décembre 2013 portant création, attribution, composition et fonctionnement de la Cellule Spéciale d’Enquête et d’Instruction</w:t>
      </w:r>
      <w:r w:rsidRPr="0017525C">
        <w:rPr>
          <w:rFonts w:ascii="Times New Roman" w:eastAsia="Times New Roman" w:hAnsi="Times New Roman" w:cs="Times New Roman"/>
          <w:i/>
          <w:sz w:val="20"/>
          <w:szCs w:val="20"/>
        </w:rPr>
        <w:t xml:space="preserve">; </w:t>
      </w:r>
      <w:r w:rsidRPr="0017525C">
        <w:rPr>
          <w:rFonts w:ascii="Times New Roman" w:eastAsia="Times New Roman" w:hAnsi="Times New Roman" w:cs="Times New Roman"/>
          <w:sz w:val="20"/>
          <w:szCs w:val="20"/>
        </w:rPr>
        <w:t xml:space="preserve">Centre international pour la justice transitionnelle, </w:t>
      </w:r>
      <w:r w:rsidRPr="0017525C">
        <w:rPr>
          <w:rFonts w:ascii="Times New Roman" w:eastAsia="Times New Roman" w:hAnsi="Times New Roman" w:cs="Times New Roman"/>
          <w:i/>
          <w:sz w:val="20"/>
          <w:szCs w:val="20"/>
        </w:rPr>
        <w:t>Espoirs déçus. Traitement judiciaire des violences postélect</w:t>
      </w:r>
      <w:r w:rsidRPr="0017525C">
        <w:rPr>
          <w:rFonts w:ascii="Times New Roman" w:eastAsia="Times New Roman" w:hAnsi="Times New Roman" w:cs="Times New Roman"/>
          <w:i/>
          <w:sz w:val="20"/>
          <w:szCs w:val="20"/>
        </w:rPr>
        <w:t>orales en Côte d’Ivoire</w:t>
      </w:r>
      <w:r w:rsidRPr="0017525C">
        <w:rPr>
          <w:rFonts w:ascii="Times New Roman" w:eastAsia="Times New Roman" w:hAnsi="Times New Roman" w:cs="Times New Roman"/>
          <w:sz w:val="20"/>
          <w:szCs w:val="20"/>
        </w:rPr>
        <w:t xml:space="preserve">, avril 2016, p. 10. Accessible à : </w:t>
      </w:r>
      <w:hyperlink r:id="rId51">
        <w:r w:rsidRPr="0017525C">
          <w:rPr>
            <w:rFonts w:ascii="Times New Roman" w:eastAsia="Times New Roman" w:hAnsi="Times New Roman" w:cs="Times New Roman"/>
            <w:color w:val="1155CC"/>
            <w:sz w:val="20"/>
            <w:szCs w:val="20"/>
            <w:u w:val="single"/>
          </w:rPr>
          <w:t>https://www.ictj.org/sites/default/files/ICTJ-Report-CDI-Prosecutions-2016-French.pdf</w:t>
        </w:r>
      </w:hyperlink>
      <w:r>
        <w:rPr>
          <w:rFonts w:ascii="Times New Roman" w:eastAsia="Times New Roman" w:hAnsi="Times New Roman" w:cs="Times New Roman"/>
          <w:sz w:val="20"/>
          <w:szCs w:val="20"/>
        </w:rPr>
        <w:t xml:space="preserve"> </w:t>
      </w:r>
    </w:p>
  </w:footnote>
  <w:footnote w:id="84">
    <w:p w14:paraId="26557C52"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Article 2, Arrêté n° 226/CPMGDSMJ/DSJ du 2 juin 2014 portant nomination des membres de la Cellule spéciale d’enquête et d’instruction.  Accessible à : </w:t>
      </w:r>
      <w:hyperlink r:id="rId52">
        <w:r w:rsidRPr="0017525C">
          <w:rPr>
            <w:rFonts w:ascii="Times New Roman" w:eastAsia="Times New Roman" w:hAnsi="Times New Roman" w:cs="Times New Roman"/>
            <w:sz w:val="20"/>
            <w:szCs w:val="20"/>
          </w:rPr>
          <w:t>https://www.fidh.org/IMG/pdf/upload_decretprci_csei.pdf</w:t>
        </w:r>
      </w:hyperlink>
      <w:r w:rsidRPr="0017525C">
        <w:rPr>
          <w:rFonts w:ascii="Times New Roman" w:eastAsia="Times New Roman" w:hAnsi="Times New Roman" w:cs="Times New Roman"/>
          <w:sz w:val="20"/>
          <w:szCs w:val="20"/>
        </w:rPr>
        <w:t xml:space="preserve">   </w:t>
      </w:r>
    </w:p>
  </w:footnote>
  <w:footnote w:id="85">
    <w:p w14:paraId="388F2524"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FIDH, LIDHO, MIDH, Côte </w:t>
      </w:r>
      <w:r w:rsidRPr="0017525C">
        <w:rPr>
          <w:rFonts w:ascii="Times New Roman" w:eastAsia="Times New Roman" w:hAnsi="Times New Roman" w:cs="Times New Roman"/>
          <w:sz w:val="20"/>
          <w:szCs w:val="20"/>
        </w:rPr>
        <w:t xml:space="preserve">d’Ivoire: de la justice sacrifiée au nom de la “réconciliation” à la justice instrumentalisée par le politique”, juillet 2022, p. 14. Accessible à : </w:t>
      </w:r>
      <w:hyperlink r:id="rId53">
        <w:r w:rsidRPr="0017525C">
          <w:rPr>
            <w:rFonts w:ascii="Times New Roman" w:eastAsia="Times New Roman" w:hAnsi="Times New Roman" w:cs="Times New Roman"/>
            <w:color w:val="1155CC"/>
            <w:sz w:val="20"/>
            <w:szCs w:val="20"/>
            <w:u w:val="single"/>
          </w:rPr>
          <w:t>https://www.fidh.org/IMG/pdf/rapport_co_te_d_ivoire_no796f_pdf_web_ok_ok_au_12_juillet_2022.pdf</w:t>
        </w:r>
      </w:hyperlink>
      <w:r w:rsidRPr="0017525C">
        <w:rPr>
          <w:rFonts w:ascii="Times New Roman" w:eastAsia="Times New Roman" w:hAnsi="Times New Roman" w:cs="Times New Roman"/>
          <w:sz w:val="20"/>
          <w:szCs w:val="20"/>
        </w:rPr>
        <w:t xml:space="preserve">  </w:t>
      </w:r>
    </w:p>
  </w:footnote>
  <w:footnote w:id="86">
    <w:p w14:paraId="66909744"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54">
        <w:r w:rsidRPr="0017525C">
          <w:rPr>
            <w:rFonts w:ascii="Times New Roman" w:eastAsia="Times New Roman" w:hAnsi="Times New Roman" w:cs="Times New Roman"/>
            <w:color w:val="1155CC"/>
            <w:sz w:val="20"/>
            <w:szCs w:val="20"/>
            <w:u w:val="single"/>
          </w:rPr>
          <w:t>https://www.hrw.org/fr/news/2017/03/29/cote-divoire-simone-gbagbo-acquittee-lissue-dun-proces-entache-dirregularites</w:t>
        </w:r>
      </w:hyperlink>
      <w:r w:rsidRPr="0017525C">
        <w:rPr>
          <w:rFonts w:ascii="Times New Roman" w:eastAsia="Times New Roman" w:hAnsi="Times New Roman" w:cs="Times New Roman"/>
          <w:sz w:val="20"/>
          <w:szCs w:val="20"/>
        </w:rPr>
        <w:t xml:space="preserve"> </w:t>
      </w:r>
    </w:p>
  </w:footnote>
  <w:footnote w:id="87">
    <w:p w14:paraId="5407E697"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Rapport FIDH, MIDH, LIDHO, Côte d’Ivoire : Choisir entre la justice et l’impunit</w:t>
      </w:r>
      <w:r w:rsidRPr="0017525C">
        <w:rPr>
          <w:rFonts w:ascii="Times New Roman" w:eastAsia="Times New Roman" w:hAnsi="Times New Roman" w:cs="Times New Roman"/>
          <w:sz w:val="20"/>
          <w:szCs w:val="20"/>
        </w:rPr>
        <w:t xml:space="preserve">é. Les autorités ivoiriennes face à leurs engagements, décembre 2014. Accessible à : </w:t>
      </w:r>
      <w:hyperlink r:id="rId55">
        <w:r w:rsidRPr="0017525C">
          <w:rPr>
            <w:rFonts w:ascii="Times New Roman" w:eastAsia="Times New Roman" w:hAnsi="Times New Roman" w:cs="Times New Roman"/>
            <w:color w:val="1155CC"/>
            <w:sz w:val="20"/>
            <w:szCs w:val="20"/>
            <w:u w:val="single"/>
          </w:rPr>
          <w:t>https://www.fidh.org/IMG/pdf/co_te_d_ivoire_652f_web.pdf</w:t>
        </w:r>
      </w:hyperlink>
      <w:r w:rsidRPr="0017525C">
        <w:rPr>
          <w:rFonts w:ascii="Times New Roman" w:eastAsia="Times New Roman" w:hAnsi="Times New Roman" w:cs="Times New Roman"/>
          <w:sz w:val="20"/>
          <w:szCs w:val="20"/>
        </w:rPr>
        <w:t xml:space="preserve"> </w:t>
      </w:r>
    </w:p>
  </w:footnote>
  <w:footnote w:id="88">
    <w:p w14:paraId="4E26155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FIDH, LIDHO, MIDH, </w:t>
      </w:r>
      <w:hyperlink r:id="rId56">
        <w:r w:rsidRPr="0017525C">
          <w:rPr>
            <w:rFonts w:ascii="Times New Roman" w:eastAsia="Times New Roman" w:hAnsi="Times New Roman" w:cs="Times New Roman"/>
            <w:color w:val="1155CC"/>
            <w:sz w:val="20"/>
            <w:szCs w:val="20"/>
            <w:u w:val="single"/>
          </w:rPr>
          <w:t>Côte d’Ivoire: de la justice sacrifiée au nom de la “réconciliation” à la justice instrumentalisée par le politique</w:t>
        </w:r>
      </w:hyperlink>
      <w:r w:rsidRPr="0017525C">
        <w:rPr>
          <w:rFonts w:ascii="Times New Roman" w:eastAsia="Times New Roman" w:hAnsi="Times New Roman" w:cs="Times New Roman"/>
          <w:sz w:val="20"/>
          <w:szCs w:val="20"/>
        </w:rPr>
        <w:t>”, juillet 2022, p. 15.</w:t>
      </w:r>
    </w:p>
  </w:footnote>
  <w:footnote w:id="89">
    <w:p w14:paraId="260E307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i/>
          <w:sz w:val="20"/>
          <w:szCs w:val="20"/>
        </w:rPr>
        <w:t>Ibid</w:t>
      </w:r>
      <w:r w:rsidRPr="0017525C">
        <w:rPr>
          <w:rFonts w:ascii="Times New Roman" w:eastAsia="Times New Roman" w:hAnsi="Times New Roman" w:cs="Times New Roman"/>
          <w:sz w:val="20"/>
          <w:szCs w:val="20"/>
        </w:rPr>
        <w:t>, p. 15.</w:t>
      </w:r>
    </w:p>
  </w:footnote>
  <w:footnote w:id="90">
    <w:p w14:paraId="0966B228"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Centre international pour la justice transitionnelle, </w:t>
      </w:r>
      <w:r w:rsidRPr="0017525C">
        <w:rPr>
          <w:rFonts w:ascii="Times New Roman" w:eastAsia="Times New Roman" w:hAnsi="Times New Roman" w:cs="Times New Roman"/>
          <w:i/>
          <w:sz w:val="20"/>
          <w:szCs w:val="20"/>
        </w:rPr>
        <w:t>Espoirs déçus. Traitement judiciaire des violences postélectorales en Côte d’Ivoire</w:t>
      </w:r>
      <w:r w:rsidRPr="0017525C">
        <w:rPr>
          <w:rFonts w:ascii="Times New Roman" w:eastAsia="Times New Roman" w:hAnsi="Times New Roman" w:cs="Times New Roman"/>
          <w:sz w:val="20"/>
          <w:szCs w:val="20"/>
        </w:rPr>
        <w:t xml:space="preserve">, avril 2016, p. 30. Accessible à : </w:t>
      </w:r>
      <w:hyperlink r:id="rId57">
        <w:r w:rsidRPr="0017525C">
          <w:rPr>
            <w:rFonts w:ascii="Times New Roman" w:eastAsia="Times New Roman" w:hAnsi="Times New Roman" w:cs="Times New Roman"/>
            <w:color w:val="1155CC"/>
            <w:sz w:val="20"/>
            <w:szCs w:val="20"/>
            <w:u w:val="single"/>
          </w:rPr>
          <w:t>https://www.ictj.org/sites/default/files/ICTJ-Report-CDI-Prosecutions-2016-French.pdf</w:t>
        </w:r>
      </w:hyperlink>
      <w:r>
        <w:rPr>
          <w:rFonts w:ascii="Times New Roman" w:eastAsia="Times New Roman" w:hAnsi="Times New Roman" w:cs="Times New Roman"/>
          <w:sz w:val="20"/>
          <w:szCs w:val="20"/>
        </w:rPr>
        <w:t xml:space="preserve"> </w:t>
      </w:r>
    </w:p>
  </w:footnote>
  <w:footnote w:id="91">
    <w:p w14:paraId="43CD6958"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Communiqué du Conseil des Ministres de Côte d’Ivoire, 20 juillet 2016. Accessible à : </w:t>
      </w:r>
      <w:hyperlink r:id="rId58">
        <w:r w:rsidRPr="0017525C">
          <w:rPr>
            <w:rFonts w:ascii="Times New Roman" w:eastAsia="Times New Roman" w:hAnsi="Times New Roman" w:cs="Times New Roman"/>
            <w:color w:val="1155CC"/>
            <w:sz w:val="20"/>
            <w:szCs w:val="20"/>
            <w:u w:val="single"/>
          </w:rPr>
          <w:t>https://www.gouv.ci/rss_conseil_rss.php?recordID=274</w:t>
        </w:r>
      </w:hyperlink>
      <w:r w:rsidRPr="0017525C">
        <w:rPr>
          <w:rFonts w:ascii="Times New Roman" w:eastAsia="Times New Roman" w:hAnsi="Times New Roman" w:cs="Times New Roman"/>
          <w:sz w:val="20"/>
          <w:szCs w:val="20"/>
        </w:rPr>
        <w:t xml:space="preserve"> </w:t>
      </w:r>
    </w:p>
  </w:footnote>
  <w:footnote w:id="92">
    <w:p w14:paraId="3A4F3361"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Rapport FIDH, LIDHO, MIDH, Côte d’Ivoire: de la justice sacrifiée au nom de la “réconciliation” à la justice instru</w:t>
      </w:r>
      <w:r w:rsidRPr="0017525C">
        <w:rPr>
          <w:rFonts w:ascii="Times New Roman" w:eastAsia="Times New Roman" w:hAnsi="Times New Roman" w:cs="Times New Roman"/>
          <w:sz w:val="20"/>
          <w:szCs w:val="20"/>
        </w:rPr>
        <w:t xml:space="preserve">mentalisée par le politique”, juillet 2022, p. 9. Accessible à : </w:t>
      </w:r>
      <w:hyperlink r:id="rId59">
        <w:r w:rsidRPr="0017525C">
          <w:rPr>
            <w:rFonts w:ascii="Times New Roman" w:eastAsia="Times New Roman" w:hAnsi="Times New Roman" w:cs="Times New Roman"/>
            <w:color w:val="1155CC"/>
            <w:sz w:val="20"/>
            <w:szCs w:val="20"/>
            <w:u w:val="single"/>
          </w:rPr>
          <w:t>https://www.fidh.org/IMG/pdf/rapport_co_te_d_ivoire_no796f_pdf_web_ok_ok_au_12</w:t>
        </w:r>
        <w:r w:rsidRPr="0017525C">
          <w:rPr>
            <w:rFonts w:ascii="Times New Roman" w:eastAsia="Times New Roman" w:hAnsi="Times New Roman" w:cs="Times New Roman"/>
            <w:color w:val="1155CC"/>
            <w:sz w:val="20"/>
            <w:szCs w:val="20"/>
            <w:u w:val="single"/>
          </w:rPr>
          <w:t>_juillet_2022.pdf</w:t>
        </w:r>
      </w:hyperlink>
      <w:r w:rsidRPr="0017525C">
        <w:rPr>
          <w:rFonts w:ascii="Times New Roman" w:eastAsia="Times New Roman" w:hAnsi="Times New Roman" w:cs="Times New Roman"/>
          <w:sz w:val="20"/>
          <w:szCs w:val="20"/>
        </w:rPr>
        <w:t xml:space="preserve">  </w:t>
      </w:r>
    </w:p>
  </w:footnote>
  <w:footnote w:id="93">
    <w:p w14:paraId="0B72E4FC"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Ordonnance n°2018-669 du 6 août 2018 portant amnistie, Article 1, Journal Officiel de la République de Côte d’Ivoire. Accessible à : </w:t>
      </w:r>
      <w:hyperlink r:id="rId60">
        <w:r w:rsidRPr="0017525C">
          <w:rPr>
            <w:rFonts w:ascii="Times New Roman" w:eastAsia="Times New Roman" w:hAnsi="Times New Roman" w:cs="Times New Roman"/>
            <w:sz w:val="20"/>
            <w:szCs w:val="20"/>
          </w:rPr>
          <w:t>http://ekladata.com/TxC5zZfOUAFDYvBKDtc4GIfFouw.pdf</w:t>
        </w:r>
      </w:hyperlink>
      <w:r w:rsidRPr="0017525C">
        <w:rPr>
          <w:rFonts w:ascii="Times New Roman" w:eastAsia="Times New Roman" w:hAnsi="Times New Roman" w:cs="Times New Roman"/>
          <w:sz w:val="20"/>
          <w:szCs w:val="20"/>
        </w:rPr>
        <w:t xml:space="preserve">   </w:t>
      </w:r>
    </w:p>
  </w:footnote>
  <w:footnote w:id="94">
    <w:p w14:paraId="51C75BB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hyperlink r:id="rId61">
        <w:r w:rsidRPr="0017525C">
          <w:rPr>
            <w:rFonts w:ascii="Times New Roman" w:eastAsia="Times New Roman" w:hAnsi="Times New Roman" w:cs="Times New Roman"/>
            <w:color w:val="1155CC"/>
            <w:sz w:val="20"/>
            <w:szCs w:val="20"/>
            <w:u w:val="single"/>
          </w:rPr>
          <w:t>https://www.jeuneafrique.com/613167/politique/cote-divoire-qui-sont-les-800-amnisties-de-ouattara/</w:t>
        </w:r>
      </w:hyperlink>
      <w:r w:rsidRPr="0017525C">
        <w:rPr>
          <w:rFonts w:ascii="Times New Roman" w:eastAsia="Times New Roman" w:hAnsi="Times New Roman" w:cs="Times New Roman"/>
          <w:sz w:val="20"/>
          <w:szCs w:val="20"/>
        </w:rPr>
        <w:t xml:space="preserve"> </w:t>
      </w:r>
    </w:p>
  </w:footnote>
  <w:footnote w:id="95">
    <w:p w14:paraId="6816FA02"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CEDAW, Observations finales concernant le quatrième rapport périodique de la Côte d’Ivoire, 2019, para. 9, CEDAW/C/CIV/CO/4.</w:t>
      </w:r>
      <w:r w:rsidRPr="0017525C">
        <w:rPr>
          <w:rFonts w:ascii="Times New Roman" w:eastAsia="Times New Roman" w:hAnsi="Times New Roman" w:cs="Times New Roman"/>
          <w:b/>
          <w:sz w:val="20"/>
          <w:szCs w:val="20"/>
        </w:rPr>
        <w:t xml:space="preserve"> </w:t>
      </w:r>
    </w:p>
  </w:footnote>
  <w:footnote w:id="96">
    <w:p w14:paraId="54822034" w14:textId="77777777" w:rsidR="003B4185" w:rsidRDefault="006803DD">
      <w:pPr>
        <w:rPr>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Rapport FIDH, LIDHO, MIDH, Côte d’Ivoire: de la justice sacrifiée au nom de la “réconcili</w:t>
      </w:r>
      <w:r w:rsidRPr="0017525C">
        <w:rPr>
          <w:rFonts w:ascii="Times New Roman" w:eastAsia="Times New Roman" w:hAnsi="Times New Roman" w:cs="Times New Roman"/>
          <w:sz w:val="20"/>
          <w:szCs w:val="20"/>
        </w:rPr>
        <w:t xml:space="preserve">ation” à la justice instrumentalisée par le politique”, juillet 2022, pp. 16-17. Accessible à : </w:t>
      </w:r>
      <w:hyperlink r:id="rId62">
        <w:r w:rsidRPr="0017525C">
          <w:rPr>
            <w:rFonts w:ascii="Times New Roman" w:eastAsia="Times New Roman" w:hAnsi="Times New Roman" w:cs="Times New Roman"/>
            <w:color w:val="1155CC"/>
            <w:sz w:val="20"/>
            <w:szCs w:val="20"/>
            <w:u w:val="single"/>
          </w:rPr>
          <w:t>https://www.fidh.org/IMG/pdf/rapport_co_te_d_iv</w:t>
        </w:r>
        <w:r w:rsidRPr="0017525C">
          <w:rPr>
            <w:rFonts w:ascii="Times New Roman" w:eastAsia="Times New Roman" w:hAnsi="Times New Roman" w:cs="Times New Roman"/>
            <w:color w:val="1155CC"/>
            <w:sz w:val="20"/>
            <w:szCs w:val="20"/>
            <w:u w:val="single"/>
          </w:rPr>
          <w:t>oire_no796f_pdf_web_ok_ok_au_12_juillet_2022.pdf</w:t>
        </w:r>
      </w:hyperlink>
      <w:r>
        <w:rPr>
          <w:rFonts w:ascii="Times New Roman" w:eastAsia="Times New Roman" w:hAnsi="Times New Roman" w:cs="Times New Roman"/>
          <w:sz w:val="20"/>
          <w:szCs w:val="20"/>
        </w:rPr>
        <w:t xml:space="preserve">  </w:t>
      </w:r>
    </w:p>
  </w:footnote>
  <w:footnote w:id="97">
    <w:p w14:paraId="1F1A3FF0"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FIDH, </w:t>
      </w:r>
      <w:r w:rsidRPr="0017525C">
        <w:rPr>
          <w:rFonts w:ascii="Times New Roman" w:eastAsia="Times New Roman" w:hAnsi="Times New Roman" w:cs="Times New Roman"/>
          <w:i/>
          <w:sz w:val="20"/>
          <w:szCs w:val="20"/>
        </w:rPr>
        <w:t>Côte d’Ivoire : le Conseil d’Etat encourage l’impunité</w:t>
      </w:r>
      <w:r w:rsidRPr="0017525C">
        <w:rPr>
          <w:rFonts w:ascii="Times New Roman" w:eastAsia="Times New Roman" w:hAnsi="Times New Roman" w:cs="Times New Roman"/>
          <w:sz w:val="20"/>
          <w:szCs w:val="20"/>
        </w:rPr>
        <w:t xml:space="preserve">, 20 mars 2024. Accessible à : </w:t>
      </w:r>
      <w:hyperlink r:id="rId63">
        <w:r w:rsidRPr="0017525C">
          <w:rPr>
            <w:rFonts w:ascii="Times New Roman" w:eastAsia="Times New Roman" w:hAnsi="Times New Roman" w:cs="Times New Roman"/>
            <w:color w:val="1155CC"/>
            <w:sz w:val="20"/>
            <w:szCs w:val="20"/>
            <w:u w:val="single"/>
          </w:rPr>
          <w:t>https://www.fidh.org/fr/regions/afrique/cote-d-ivoire/cote-d-ivoire-le-conseil-d-etat-encourage-l-impunite</w:t>
        </w:r>
      </w:hyperlink>
      <w:r w:rsidRPr="0017525C">
        <w:rPr>
          <w:rFonts w:ascii="Times New Roman" w:eastAsia="Times New Roman" w:hAnsi="Times New Roman" w:cs="Times New Roman"/>
          <w:sz w:val="20"/>
          <w:szCs w:val="20"/>
        </w:rPr>
        <w:t xml:space="preserve"> </w:t>
      </w:r>
    </w:p>
  </w:footnote>
  <w:footnote w:id="98">
    <w:p w14:paraId="4D1393E2" w14:textId="77777777" w:rsidR="003B4185" w:rsidRDefault="006803DD">
      <w:pPr>
        <w:jc w:val="both"/>
        <w:rPr>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ONU Info, </w:t>
      </w:r>
      <w:r w:rsidRPr="0017525C">
        <w:rPr>
          <w:rFonts w:ascii="Times New Roman" w:eastAsia="Times New Roman" w:hAnsi="Times New Roman" w:cs="Times New Roman"/>
          <w:i/>
          <w:sz w:val="20"/>
          <w:szCs w:val="20"/>
        </w:rPr>
        <w:t>Côte d’Ivoire : La CPI confirme l’acquittement de Laurent Gbagbo et de Charles Blé Goudé</w:t>
      </w:r>
      <w:r w:rsidRPr="0017525C">
        <w:rPr>
          <w:rFonts w:ascii="Times New Roman" w:eastAsia="Times New Roman" w:hAnsi="Times New Roman" w:cs="Times New Roman"/>
          <w:sz w:val="20"/>
          <w:szCs w:val="20"/>
        </w:rPr>
        <w:t xml:space="preserve">, 31 mars 2024. Accessible à : </w:t>
      </w:r>
      <w:hyperlink r:id="rId64">
        <w:r w:rsidRPr="0017525C">
          <w:rPr>
            <w:rFonts w:ascii="Times New Roman" w:eastAsia="Times New Roman" w:hAnsi="Times New Roman" w:cs="Times New Roman"/>
            <w:color w:val="1155CC"/>
            <w:sz w:val="20"/>
            <w:szCs w:val="20"/>
            <w:u w:val="single"/>
          </w:rPr>
          <w:t>https://news.un.org/fr/story/2021/03/1093092</w:t>
        </w:r>
      </w:hyperlink>
      <w:r w:rsidRPr="0017525C">
        <w:rPr>
          <w:rFonts w:ascii="Times New Roman" w:eastAsia="Times New Roman" w:hAnsi="Times New Roman" w:cs="Times New Roman"/>
          <w:sz w:val="20"/>
          <w:szCs w:val="20"/>
        </w:rPr>
        <w:t xml:space="preserve">; Fiche d’information sur l’affaire </w:t>
      </w:r>
      <w:r w:rsidRPr="0017525C">
        <w:rPr>
          <w:rFonts w:ascii="Times New Roman" w:eastAsia="Times New Roman" w:hAnsi="Times New Roman" w:cs="Times New Roman"/>
          <w:i/>
          <w:sz w:val="20"/>
          <w:szCs w:val="20"/>
        </w:rPr>
        <w:t>Le Procureur c. Laurent Gbagbo et Charles Blé Goudé</w:t>
      </w:r>
      <w:r w:rsidRPr="0017525C">
        <w:rPr>
          <w:rFonts w:ascii="Times New Roman" w:eastAsia="Times New Roman" w:hAnsi="Times New Roman" w:cs="Times New Roman"/>
          <w:sz w:val="20"/>
          <w:szCs w:val="20"/>
        </w:rPr>
        <w:t xml:space="preserve">, ICC-02/11-01/15. Accessible à : </w:t>
      </w:r>
      <w:hyperlink r:id="rId65">
        <w:r w:rsidRPr="0017525C">
          <w:rPr>
            <w:rFonts w:ascii="Times New Roman" w:eastAsia="Times New Roman" w:hAnsi="Times New Roman" w:cs="Times New Roman"/>
            <w:color w:val="1155CC"/>
            <w:sz w:val="20"/>
            <w:szCs w:val="20"/>
            <w:u w:val="single"/>
          </w:rPr>
          <w:t>https:/</w:t>
        </w:r>
        <w:r w:rsidRPr="0017525C">
          <w:rPr>
            <w:rFonts w:ascii="Times New Roman" w:eastAsia="Times New Roman" w:hAnsi="Times New Roman" w:cs="Times New Roman"/>
            <w:color w:val="1155CC"/>
            <w:sz w:val="20"/>
            <w:szCs w:val="20"/>
            <w:u w:val="single"/>
          </w:rPr>
          <w:t>/www.icc-cpi.int/sites/default/files/CaseInformationSheets/gbagbo-goudeFra.pdf</w:t>
        </w:r>
      </w:hyperlink>
      <w:r>
        <w:rPr>
          <w:rFonts w:ascii="Times New Roman" w:eastAsia="Times New Roman" w:hAnsi="Times New Roman" w:cs="Times New Roman"/>
          <w:sz w:val="20"/>
          <w:szCs w:val="20"/>
        </w:rPr>
        <w:t xml:space="preserve"> </w:t>
      </w:r>
      <w:r>
        <w:rPr>
          <w:sz w:val="20"/>
          <w:szCs w:val="20"/>
        </w:rPr>
        <w:t xml:space="preserve"> </w:t>
      </w:r>
    </w:p>
  </w:footnote>
  <w:footnote w:id="99">
    <w:p w14:paraId="031D19B3" w14:textId="009965E4"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hyperlink r:id="rId66" w:history="1">
        <w:r w:rsidR="0017525C" w:rsidRPr="00FB0E64">
          <w:rPr>
            <w:rStyle w:val="Hyperlink"/>
            <w:rFonts w:ascii="Times New Roman" w:eastAsia="Times New Roman" w:hAnsi="Times New Roman" w:cs="Times New Roman"/>
            <w:sz w:val="20"/>
            <w:szCs w:val="20"/>
          </w:rPr>
          <w:t>https://web.ordredesavocats.ci/index.php/2023/11/09/rentree-judiciaire-2023-2024-de-la-cour-dappel-dabidjan/</w:t>
        </w:r>
      </w:hyperlink>
    </w:p>
  </w:footnote>
  <w:footnote w:id="100">
    <w:p w14:paraId="0E6F9E47"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PND 2021-2025, Tome 1, N° 241, p. 57</w:t>
      </w:r>
    </w:p>
  </w:footnote>
  <w:footnote w:id="101">
    <w:p w14:paraId="6B17D0C0" w14:textId="77777777" w:rsidR="003B4185" w:rsidRPr="0017525C" w:rsidRDefault="006803DD" w:rsidP="00AE205E">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jeune Afrique sur </w:t>
      </w:r>
      <w:hyperlink r:id="rId67">
        <w:r w:rsidRPr="0017525C">
          <w:rPr>
            <w:rFonts w:ascii="Times New Roman" w:eastAsia="Times New Roman" w:hAnsi="Times New Roman" w:cs="Times New Roman"/>
            <w:sz w:val="20"/>
            <w:szCs w:val="20"/>
            <w:u w:val="single"/>
          </w:rPr>
          <w:t>https://www.jeuneafrique.com/1268113/politique/en-cote-divoire-afle-nombre-de-magistrats-a-retreci-comme-peau-de-ch</w:t>
        </w:r>
        <w:r w:rsidRPr="0017525C">
          <w:rPr>
            <w:rFonts w:ascii="Times New Roman" w:eastAsia="Times New Roman" w:hAnsi="Times New Roman" w:cs="Times New Roman"/>
            <w:sz w:val="20"/>
            <w:szCs w:val="20"/>
            <w:u w:val="single"/>
          </w:rPr>
          <w:t>agrinafaf/</w:t>
        </w:r>
      </w:hyperlink>
    </w:p>
  </w:footnote>
  <w:footnote w:id="102">
    <w:p w14:paraId="0BB0471F"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Comité des droits de l’Homme des Nations unies, Observations finales concernant le rapport initial de la Côte d’Ivoire, CCPR/C/CIV/CO/1, 28 avril 2015, para 20.</w:t>
      </w:r>
    </w:p>
  </w:footnote>
  <w:footnote w:id="103">
    <w:p w14:paraId="04A51CFF" w14:textId="77777777" w:rsidR="003B4185" w:rsidRDefault="006803DD">
      <w:pPr>
        <w:rPr>
          <w:rFonts w:ascii="Times New Roman" w:eastAsia="Times New Roman" w:hAnsi="Times New Roman" w:cs="Times New Roman"/>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Centre international pour la justice transi</w:t>
      </w:r>
      <w:r w:rsidRPr="0017525C">
        <w:rPr>
          <w:rFonts w:ascii="Times New Roman" w:eastAsia="Times New Roman" w:hAnsi="Times New Roman" w:cs="Times New Roman"/>
          <w:sz w:val="20"/>
          <w:szCs w:val="20"/>
        </w:rPr>
        <w:t xml:space="preserve">tionnelle, </w:t>
      </w:r>
      <w:r w:rsidRPr="0017525C">
        <w:rPr>
          <w:rFonts w:ascii="Times New Roman" w:eastAsia="Times New Roman" w:hAnsi="Times New Roman" w:cs="Times New Roman"/>
          <w:i/>
          <w:sz w:val="20"/>
          <w:szCs w:val="20"/>
        </w:rPr>
        <w:t>Espoirs déçus. Traitement judiciaire des violences postélectorales en Côte d’Ivoire</w:t>
      </w:r>
      <w:r w:rsidRPr="0017525C">
        <w:rPr>
          <w:rFonts w:ascii="Times New Roman" w:eastAsia="Times New Roman" w:hAnsi="Times New Roman" w:cs="Times New Roman"/>
          <w:sz w:val="20"/>
          <w:szCs w:val="20"/>
        </w:rPr>
        <w:t xml:space="preserve">, avril 2016, p. 23. Accessible à : </w:t>
      </w:r>
      <w:hyperlink r:id="rId68">
        <w:r w:rsidRPr="0017525C">
          <w:rPr>
            <w:rFonts w:ascii="Times New Roman" w:eastAsia="Times New Roman" w:hAnsi="Times New Roman" w:cs="Times New Roman"/>
            <w:color w:val="1155CC"/>
            <w:sz w:val="20"/>
            <w:szCs w:val="20"/>
            <w:u w:val="single"/>
          </w:rPr>
          <w:t>https://www.ictj.or</w:t>
        </w:r>
        <w:r w:rsidRPr="0017525C">
          <w:rPr>
            <w:rFonts w:ascii="Times New Roman" w:eastAsia="Times New Roman" w:hAnsi="Times New Roman" w:cs="Times New Roman"/>
            <w:color w:val="1155CC"/>
            <w:sz w:val="20"/>
            <w:szCs w:val="20"/>
            <w:u w:val="single"/>
          </w:rPr>
          <w:t>g/sites/default/files/ICTJ-Report-CDI-Prosecutions-2016-French.pdf</w:t>
        </w:r>
      </w:hyperlink>
      <w:r>
        <w:rPr>
          <w:rFonts w:ascii="Times New Roman" w:eastAsia="Times New Roman" w:hAnsi="Times New Roman" w:cs="Times New Roman"/>
          <w:sz w:val="20"/>
          <w:szCs w:val="20"/>
        </w:rPr>
        <w:t xml:space="preserve"> </w:t>
      </w:r>
    </w:p>
  </w:footnote>
  <w:footnote w:id="104">
    <w:p w14:paraId="4D5626F9" w14:textId="77777777" w:rsidR="003B4185" w:rsidRPr="0017525C" w:rsidRDefault="006803DD">
      <w:pPr>
        <w:jc w:val="both"/>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color w:val="0A0A0A"/>
          <w:sz w:val="20"/>
          <w:szCs w:val="20"/>
          <w:shd w:val="clear" w:color="auto" w:fill="FEFEFE"/>
        </w:rPr>
        <w:t xml:space="preserve">Le Centre Primo Levi est une association spécifiquement dédiée au soin et au soutien des personnes victimes de la torture et de la violence </w:t>
      </w:r>
      <w:r w:rsidRPr="0017525C">
        <w:rPr>
          <w:rFonts w:ascii="Times New Roman" w:eastAsia="Times New Roman" w:hAnsi="Times New Roman" w:cs="Times New Roman"/>
          <w:color w:val="0A0A0A"/>
          <w:sz w:val="20"/>
          <w:szCs w:val="20"/>
          <w:shd w:val="clear" w:color="auto" w:fill="FEFEFE"/>
        </w:rPr>
        <w:t>politique exilées en France. Dans son centre de soins situé à Paris, elle accueille chaque année plus de 400 personnes originaires de près de 50 pays différents. Fort de son expérience, le Centre Primo Levi sensibilise et forme de nombreux professionnelles</w:t>
      </w:r>
      <w:r w:rsidRPr="0017525C">
        <w:rPr>
          <w:rFonts w:ascii="Times New Roman" w:eastAsia="Times New Roman" w:hAnsi="Times New Roman" w:cs="Times New Roman"/>
          <w:color w:val="0A0A0A"/>
          <w:sz w:val="20"/>
          <w:szCs w:val="20"/>
          <w:shd w:val="clear" w:color="auto" w:fill="FEFEFE"/>
        </w:rPr>
        <w:t xml:space="preserve"> et professionnels en lien avec des personnes exilées pour promouvoir une prise en charge adaptée. Enfin, il mène des actions de plaidoyer pour défendre l’accès aux soins et le droit d’asile.</w:t>
      </w:r>
    </w:p>
  </w:footnote>
  <w:footnote w:id="105">
    <w:p w14:paraId="7D21EB1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Ordonnance n°2011-167 du 13 juillet 2011 portant création, att</w:t>
      </w:r>
      <w:r w:rsidRPr="0017525C">
        <w:rPr>
          <w:rFonts w:ascii="Times New Roman" w:eastAsia="Times New Roman" w:hAnsi="Times New Roman" w:cs="Times New Roman"/>
          <w:sz w:val="20"/>
          <w:szCs w:val="20"/>
        </w:rPr>
        <w:t xml:space="preserve">ributions, organisation et fonctionnement de la Commission Dialogue, Vérité et Réconciliation. Accessible à :   </w:t>
      </w:r>
      <w:hyperlink r:id="rId69">
        <w:r w:rsidRPr="0017525C">
          <w:rPr>
            <w:rFonts w:ascii="Times New Roman" w:eastAsia="Times New Roman" w:hAnsi="Times New Roman" w:cs="Times New Roman"/>
            <w:color w:val="1155CC"/>
            <w:sz w:val="20"/>
            <w:szCs w:val="20"/>
            <w:u w:val="single"/>
          </w:rPr>
          <w:t>http://65.52.131.71/bndgtcp/opac_css/daril/2011-167-.pdf</w:t>
        </w:r>
      </w:hyperlink>
      <w:r w:rsidRPr="0017525C">
        <w:rPr>
          <w:rFonts w:ascii="Times New Roman" w:eastAsia="Times New Roman" w:hAnsi="Times New Roman" w:cs="Times New Roman"/>
          <w:sz w:val="20"/>
          <w:szCs w:val="20"/>
        </w:rPr>
        <w:t xml:space="preserve"> </w:t>
      </w:r>
    </w:p>
  </w:footnote>
  <w:footnote w:id="106">
    <w:p w14:paraId="1945640C"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final de la Commission Dialogue, Vérité et Réconciliation, Décembre 2014. Accessible à : </w:t>
      </w:r>
      <w:hyperlink r:id="rId70">
        <w:r w:rsidRPr="0017525C">
          <w:rPr>
            <w:rFonts w:ascii="Times New Roman" w:eastAsia="Times New Roman" w:hAnsi="Times New Roman" w:cs="Times New Roman"/>
            <w:color w:val="1155CC"/>
            <w:sz w:val="20"/>
            <w:szCs w:val="20"/>
            <w:u w:val="single"/>
          </w:rPr>
          <w:t>https://www.gouv.ci/doc/presse/1477497207RAPPORT%20</w:t>
        </w:r>
        <w:r w:rsidRPr="0017525C">
          <w:rPr>
            <w:rFonts w:ascii="Times New Roman" w:eastAsia="Times New Roman" w:hAnsi="Times New Roman" w:cs="Times New Roman"/>
            <w:color w:val="1155CC"/>
            <w:sz w:val="20"/>
            <w:szCs w:val="20"/>
            <w:u w:val="single"/>
          </w:rPr>
          <w:t>FINAL_CDVR.pdf</w:t>
        </w:r>
      </w:hyperlink>
      <w:r>
        <w:rPr>
          <w:rFonts w:ascii="Times New Roman" w:eastAsia="Times New Roman" w:hAnsi="Times New Roman" w:cs="Times New Roman"/>
          <w:sz w:val="20"/>
          <w:szCs w:val="20"/>
        </w:rPr>
        <w:t xml:space="preserve"> </w:t>
      </w:r>
    </w:p>
  </w:footnote>
  <w:footnote w:id="107">
    <w:p w14:paraId="161BCFC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FIDH, LIDHO, MIDH, </w:t>
      </w:r>
      <w:hyperlink r:id="rId71">
        <w:r w:rsidRPr="0017525C">
          <w:rPr>
            <w:rFonts w:ascii="Times New Roman" w:eastAsia="Times New Roman" w:hAnsi="Times New Roman" w:cs="Times New Roman"/>
            <w:color w:val="1155CC"/>
            <w:sz w:val="20"/>
            <w:szCs w:val="20"/>
            <w:u w:val="single"/>
          </w:rPr>
          <w:t xml:space="preserve">Côte d’Ivoire: de </w:t>
        </w:r>
        <w:r w:rsidRPr="0017525C">
          <w:rPr>
            <w:rFonts w:ascii="Times New Roman" w:eastAsia="Times New Roman" w:hAnsi="Times New Roman" w:cs="Times New Roman"/>
            <w:color w:val="1155CC"/>
            <w:sz w:val="20"/>
            <w:szCs w:val="20"/>
            <w:u w:val="single"/>
          </w:rPr>
          <w:t>la justice sacrifiée au nom de la “réconciliation” à la justice instrumentalisée par le politique</w:t>
        </w:r>
      </w:hyperlink>
      <w:r w:rsidRPr="0017525C">
        <w:rPr>
          <w:rFonts w:ascii="Times New Roman" w:eastAsia="Times New Roman" w:hAnsi="Times New Roman" w:cs="Times New Roman"/>
          <w:sz w:val="20"/>
          <w:szCs w:val="20"/>
        </w:rPr>
        <w:t xml:space="preserve">”, juillet 2022, p. 10. </w:t>
      </w:r>
    </w:p>
  </w:footnote>
  <w:footnote w:id="108">
    <w:p w14:paraId="43FF5166"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Gouvernement de Côte d’Ivoire, </w:t>
      </w:r>
      <w:hyperlink r:id="rId72">
        <w:r w:rsidRPr="0017525C">
          <w:rPr>
            <w:rFonts w:ascii="Times New Roman" w:eastAsia="Times New Roman" w:hAnsi="Times New Roman" w:cs="Times New Roman"/>
            <w:i/>
            <w:color w:val="1155CC"/>
            <w:sz w:val="20"/>
            <w:szCs w:val="20"/>
            <w:u w:val="single"/>
          </w:rPr>
          <w:t>Cohésion sociale: le rapport final de la commission dialogue vérité et réconciliation rendu public</w:t>
        </w:r>
      </w:hyperlink>
      <w:r w:rsidRPr="0017525C">
        <w:rPr>
          <w:rFonts w:ascii="Times New Roman" w:eastAsia="Times New Roman" w:hAnsi="Times New Roman" w:cs="Times New Roman"/>
          <w:sz w:val="20"/>
          <w:szCs w:val="20"/>
        </w:rPr>
        <w:t>, 25 octobre 2016.</w:t>
      </w:r>
    </w:p>
  </w:footnote>
  <w:footnote w:id="109">
    <w:p w14:paraId="34E287CD"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Comité des droits de l’Homme des Nations unies, </w:t>
      </w:r>
      <w:hyperlink r:id="rId73">
        <w:r w:rsidRPr="0017525C">
          <w:rPr>
            <w:rFonts w:ascii="Times New Roman" w:eastAsia="Times New Roman" w:hAnsi="Times New Roman" w:cs="Times New Roman"/>
            <w:color w:val="1155CC"/>
            <w:sz w:val="20"/>
            <w:szCs w:val="20"/>
            <w:u w:val="single"/>
          </w:rPr>
          <w:t>Observations finales concernant le rapport initial de la Côte d’Ivoire</w:t>
        </w:r>
      </w:hyperlink>
      <w:r w:rsidRPr="0017525C">
        <w:rPr>
          <w:rFonts w:ascii="Times New Roman" w:eastAsia="Times New Roman" w:hAnsi="Times New Roman" w:cs="Times New Roman"/>
          <w:sz w:val="20"/>
          <w:szCs w:val="20"/>
        </w:rPr>
        <w:t xml:space="preserve">, 2015, CCPR/C/CIV/CO/1. Accessible à : </w:t>
      </w:r>
    </w:p>
  </w:footnote>
  <w:footnote w:id="110">
    <w:p w14:paraId="7180A3D4" w14:textId="77777777" w:rsidR="003B4185" w:rsidRPr="0017525C" w:rsidRDefault="006803DD">
      <w:pPr>
        <w:rPr>
          <w:rFonts w:ascii="Times New Roman" w:eastAsia="Times New Roman" w:hAnsi="Times New Roman" w:cs="Times New Roman"/>
          <w:sz w:val="20"/>
          <w:szCs w:val="20"/>
          <w:highlight w:val="yellow"/>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FIDH, LIDHO, MIDH, </w:t>
      </w:r>
      <w:hyperlink r:id="rId74">
        <w:r w:rsidRPr="0017525C">
          <w:rPr>
            <w:rFonts w:ascii="Times New Roman" w:eastAsia="Times New Roman" w:hAnsi="Times New Roman" w:cs="Times New Roman"/>
            <w:color w:val="1155CC"/>
            <w:sz w:val="20"/>
            <w:szCs w:val="20"/>
            <w:u w:val="single"/>
          </w:rPr>
          <w:t>Côte d’Ivoire: de la justice sacrifiée au nom de la “réconciliation” à la justice instrumentalisée par le politique</w:t>
        </w:r>
      </w:hyperlink>
      <w:r w:rsidRPr="0017525C">
        <w:rPr>
          <w:rFonts w:ascii="Times New Roman" w:eastAsia="Times New Roman" w:hAnsi="Times New Roman" w:cs="Times New Roman"/>
          <w:sz w:val="20"/>
          <w:szCs w:val="20"/>
        </w:rPr>
        <w:t>”, juillet 2022, pp. 9-10.</w:t>
      </w:r>
    </w:p>
  </w:footnote>
  <w:footnote w:id="111">
    <w:p w14:paraId="6F19EC7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FIDH, MIDH, LIDHO, Côte d’Ivoire : Choisir entre la justice et l’impunité. Les autorités ivoiriennes face à leurs engagements, décembre 2014, p. 12. Accessible à : </w:t>
      </w:r>
      <w:hyperlink r:id="rId75">
        <w:r w:rsidRPr="0017525C">
          <w:rPr>
            <w:rFonts w:ascii="Times New Roman" w:eastAsia="Times New Roman" w:hAnsi="Times New Roman" w:cs="Times New Roman"/>
            <w:color w:val="1155CC"/>
            <w:sz w:val="20"/>
            <w:szCs w:val="20"/>
            <w:u w:val="single"/>
          </w:rPr>
          <w:t>https</w:t>
        </w:r>
        <w:r w:rsidRPr="0017525C">
          <w:rPr>
            <w:rFonts w:ascii="Times New Roman" w:eastAsia="Times New Roman" w:hAnsi="Times New Roman" w:cs="Times New Roman"/>
            <w:color w:val="1155CC"/>
            <w:sz w:val="20"/>
            <w:szCs w:val="20"/>
            <w:u w:val="single"/>
          </w:rPr>
          <w:t>://www.fidh.org/IMG/pdf/co_te_d_ivoire_652f_web.pdf</w:t>
        </w:r>
      </w:hyperlink>
    </w:p>
  </w:footnote>
  <w:footnote w:id="112">
    <w:p w14:paraId="50921D40"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Communiqué de la Présidence, Abidjan, 24 mars 2015. Accessible à : </w:t>
      </w:r>
      <w:hyperlink r:id="rId76">
        <w:r w:rsidRPr="0017525C">
          <w:rPr>
            <w:rFonts w:ascii="Times New Roman" w:eastAsia="Times New Roman" w:hAnsi="Times New Roman" w:cs="Times New Roman"/>
            <w:color w:val="1155CC"/>
            <w:sz w:val="20"/>
            <w:szCs w:val="20"/>
            <w:u w:val="single"/>
          </w:rPr>
          <w:t>https://www.gouv.ci/_commu</w:t>
        </w:r>
        <w:r w:rsidRPr="0017525C">
          <w:rPr>
            <w:rFonts w:ascii="Times New Roman" w:eastAsia="Times New Roman" w:hAnsi="Times New Roman" w:cs="Times New Roman"/>
            <w:color w:val="1155CC"/>
            <w:sz w:val="20"/>
            <w:szCs w:val="20"/>
            <w:u w:val="single"/>
          </w:rPr>
          <w:t>nique-detail.php?recordID=293</w:t>
        </w:r>
      </w:hyperlink>
      <w:r w:rsidRPr="0017525C">
        <w:rPr>
          <w:rFonts w:ascii="Times New Roman" w:eastAsia="Times New Roman" w:hAnsi="Times New Roman" w:cs="Times New Roman"/>
          <w:sz w:val="20"/>
          <w:szCs w:val="20"/>
        </w:rPr>
        <w:t xml:space="preserve"> </w:t>
      </w:r>
    </w:p>
  </w:footnote>
  <w:footnote w:id="113">
    <w:p w14:paraId="1078EFC1"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Centre international pour la justice transitionnelle, </w:t>
      </w:r>
      <w:r w:rsidRPr="0017525C">
        <w:rPr>
          <w:rFonts w:ascii="Times New Roman" w:eastAsia="Times New Roman" w:hAnsi="Times New Roman" w:cs="Times New Roman"/>
          <w:i/>
          <w:sz w:val="20"/>
          <w:szCs w:val="20"/>
        </w:rPr>
        <w:t>Espoirs déçus. Traitement judiciaire des violences postélectorales en Côte d’Ivoire</w:t>
      </w:r>
      <w:r w:rsidRPr="0017525C">
        <w:rPr>
          <w:rFonts w:ascii="Times New Roman" w:eastAsia="Times New Roman" w:hAnsi="Times New Roman" w:cs="Times New Roman"/>
          <w:sz w:val="20"/>
          <w:szCs w:val="20"/>
        </w:rPr>
        <w:t xml:space="preserve">, avril 2016, pp. 28-29. Accessible à : </w:t>
      </w:r>
      <w:hyperlink r:id="rId77">
        <w:r w:rsidRPr="0017525C">
          <w:rPr>
            <w:rFonts w:ascii="Times New Roman" w:eastAsia="Times New Roman" w:hAnsi="Times New Roman" w:cs="Times New Roman"/>
            <w:color w:val="1155CC"/>
            <w:sz w:val="20"/>
            <w:szCs w:val="20"/>
            <w:u w:val="single"/>
          </w:rPr>
          <w:t>https://www.ictj.org/sites/default/files/ICTJ-Report-CDI-Prosecutions-2016-French.pdf</w:t>
        </w:r>
      </w:hyperlink>
      <w:r w:rsidRPr="0017525C">
        <w:rPr>
          <w:rFonts w:ascii="Times New Roman" w:eastAsia="Times New Roman" w:hAnsi="Times New Roman" w:cs="Times New Roman"/>
          <w:sz w:val="20"/>
          <w:szCs w:val="20"/>
        </w:rPr>
        <w:t xml:space="preserve"> </w:t>
      </w:r>
    </w:p>
  </w:footnote>
  <w:footnote w:id="114">
    <w:p w14:paraId="0A9267E1"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Jeune Afrique, </w:t>
      </w:r>
      <w:hyperlink r:id="rId78">
        <w:r w:rsidRPr="0017525C">
          <w:rPr>
            <w:rFonts w:ascii="Times New Roman" w:eastAsia="Times New Roman" w:hAnsi="Times New Roman" w:cs="Times New Roman"/>
            <w:color w:val="1155CC"/>
            <w:sz w:val="20"/>
            <w:szCs w:val="20"/>
            <w:u w:val="single"/>
          </w:rPr>
          <w:t xml:space="preserve">« </w:t>
        </w:r>
      </w:hyperlink>
      <w:hyperlink r:id="rId79">
        <w:r w:rsidRPr="0017525C">
          <w:rPr>
            <w:rFonts w:ascii="Times New Roman" w:eastAsia="Times New Roman" w:hAnsi="Times New Roman" w:cs="Times New Roman"/>
            <w:i/>
            <w:color w:val="1155CC"/>
            <w:sz w:val="20"/>
            <w:szCs w:val="20"/>
            <w:u w:val="single"/>
          </w:rPr>
          <w:t xml:space="preserve">Côte d’Ivoire : la Commission nationale pour la réconciliation et l’indemnisation a remis son rapport </w:t>
        </w:r>
      </w:hyperlink>
      <w:hyperlink r:id="rId80">
        <w:r w:rsidRPr="0017525C">
          <w:rPr>
            <w:rFonts w:ascii="Times New Roman" w:eastAsia="Times New Roman" w:hAnsi="Times New Roman" w:cs="Times New Roman"/>
            <w:color w:val="1155CC"/>
            <w:sz w:val="20"/>
            <w:szCs w:val="20"/>
            <w:u w:val="single"/>
          </w:rPr>
          <w:t>»</w:t>
        </w:r>
      </w:hyperlink>
      <w:r w:rsidRPr="0017525C">
        <w:rPr>
          <w:rFonts w:ascii="Times New Roman" w:eastAsia="Times New Roman" w:hAnsi="Times New Roman" w:cs="Times New Roman"/>
          <w:sz w:val="20"/>
          <w:szCs w:val="20"/>
        </w:rPr>
        <w:t>, 21 avril 2016.</w:t>
      </w:r>
    </w:p>
  </w:footnote>
  <w:footnote w:id="115">
    <w:p w14:paraId="2DA7CF06"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Gouvernement de Côte d’Ivoire, </w:t>
      </w:r>
      <w:hyperlink r:id="rId81">
        <w:r w:rsidRPr="0017525C">
          <w:rPr>
            <w:rFonts w:ascii="Times New Roman" w:eastAsia="Times New Roman" w:hAnsi="Times New Roman" w:cs="Times New Roman"/>
            <w:i/>
            <w:color w:val="1155CC"/>
            <w:sz w:val="20"/>
            <w:szCs w:val="20"/>
            <w:u w:val="single"/>
          </w:rPr>
          <w:t>Indemnisation des victimes des crises : 3,8 milliards de FCFA distribués globalement aux ayants droits</w:t>
        </w:r>
      </w:hyperlink>
      <w:r w:rsidRPr="0017525C">
        <w:rPr>
          <w:rFonts w:ascii="Times New Roman" w:eastAsia="Times New Roman" w:hAnsi="Times New Roman" w:cs="Times New Roman"/>
          <w:sz w:val="20"/>
          <w:szCs w:val="20"/>
        </w:rPr>
        <w:t xml:space="preserve">, 3 mai 2018. </w:t>
      </w:r>
    </w:p>
  </w:footnote>
  <w:footnote w:id="116">
    <w:p w14:paraId="19BDDA12" w14:textId="77777777" w:rsidR="003B4185" w:rsidRPr="0017525C" w:rsidRDefault="006803DD">
      <w:pPr>
        <w:rPr>
          <w:rFonts w:ascii="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hyperlink r:id="rId82">
        <w:r w:rsidRPr="0017525C">
          <w:rPr>
            <w:rFonts w:ascii="Times New Roman" w:eastAsia="Times New Roman" w:hAnsi="Times New Roman" w:cs="Times New Roman"/>
            <w:sz w:val="20"/>
            <w:szCs w:val="20"/>
            <w:highlight w:val="white"/>
          </w:rPr>
          <w:t>Côte d’Ivoire : Ouattara nomme trois anciens chefs de guerre de la rébellion à la tête de région</w:t>
        </w:r>
        <w:r w:rsidRPr="0017525C">
          <w:rPr>
            <w:rFonts w:ascii="Times New Roman" w:eastAsia="Times New Roman" w:hAnsi="Times New Roman" w:cs="Times New Roman"/>
            <w:sz w:val="20"/>
            <w:szCs w:val="20"/>
            <w:highlight w:val="white"/>
          </w:rPr>
          <w:t>s sensibles - Jeune Afrique.com</w:t>
        </w:r>
      </w:hyperlink>
    </w:p>
  </w:footnote>
  <w:footnote w:id="117">
    <w:p w14:paraId="2363A38E"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Zoumana Sorifing Traore v. Cote d’Ivoire, Communication No. 1759/2008, U.N. Doc. CCPR/C/103/D/1759/2008 (2011)</w:t>
      </w:r>
    </w:p>
  </w:footnote>
  <w:footnote w:id="118">
    <w:p w14:paraId="40864F36"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Gouvernement de Côte d’Ivoire, </w:t>
      </w:r>
      <w:hyperlink r:id="rId83">
        <w:r w:rsidRPr="0017525C">
          <w:rPr>
            <w:rFonts w:ascii="Times New Roman" w:eastAsia="Times New Roman" w:hAnsi="Times New Roman" w:cs="Times New Roman"/>
            <w:color w:val="1155CC"/>
            <w:sz w:val="20"/>
            <w:szCs w:val="20"/>
            <w:u w:val="single"/>
          </w:rPr>
          <w:t>“</w:t>
        </w:r>
      </w:hyperlink>
      <w:hyperlink r:id="rId84">
        <w:r w:rsidRPr="0017525C">
          <w:rPr>
            <w:rFonts w:ascii="Times New Roman" w:eastAsia="Times New Roman" w:hAnsi="Times New Roman" w:cs="Times New Roman"/>
            <w:i/>
            <w:color w:val="1155CC"/>
            <w:sz w:val="20"/>
            <w:szCs w:val="20"/>
            <w:u w:val="single"/>
          </w:rPr>
          <w:t>Crises survenues en Côte d’Ivoire : 185 victimes indemnisées</w:t>
        </w:r>
        <w:r w:rsidRPr="0017525C">
          <w:rPr>
            <w:rFonts w:ascii="Times New Roman" w:eastAsia="Times New Roman" w:hAnsi="Times New Roman" w:cs="Times New Roman"/>
            <w:i/>
            <w:color w:val="1155CC"/>
            <w:sz w:val="20"/>
            <w:szCs w:val="20"/>
            <w:u w:val="single"/>
          </w:rPr>
          <w:t xml:space="preserve"> à Guiglo”</w:t>
        </w:r>
      </w:hyperlink>
      <w:r w:rsidRPr="0017525C">
        <w:rPr>
          <w:rFonts w:ascii="Times New Roman" w:eastAsia="Times New Roman" w:hAnsi="Times New Roman" w:cs="Times New Roman"/>
          <w:sz w:val="20"/>
          <w:szCs w:val="20"/>
        </w:rPr>
        <w:t>, 21 janvier 2019.</w:t>
      </w:r>
      <w:r>
        <w:rPr>
          <w:rFonts w:ascii="Times New Roman" w:eastAsia="Times New Roman" w:hAnsi="Times New Roman" w:cs="Times New Roman"/>
          <w:sz w:val="20"/>
          <w:szCs w:val="20"/>
        </w:rPr>
        <w:t xml:space="preserve"> </w:t>
      </w:r>
    </w:p>
  </w:footnote>
  <w:footnote w:id="119">
    <w:p w14:paraId="7B998F2C"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Rapport initial de l’État de Côte d’Ivoire, paras 309-310.</w:t>
      </w:r>
    </w:p>
  </w:footnote>
  <w:footnote w:id="120">
    <w:p w14:paraId="4D1692E7"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Loi n°2021-894 du 21 décembre 2021 relative aux mesures de protection des victimes de violences domestiques, de viol et de viole</w:t>
      </w:r>
      <w:r w:rsidRPr="0017525C">
        <w:rPr>
          <w:rFonts w:ascii="Times New Roman" w:eastAsia="Times New Roman" w:hAnsi="Times New Roman" w:cs="Times New Roman"/>
          <w:sz w:val="20"/>
          <w:szCs w:val="20"/>
          <w:highlight w:val="white"/>
        </w:rPr>
        <w:t xml:space="preserve">nces sexuelles autres que domestiques. Accessible à : </w:t>
      </w:r>
      <w:r w:rsidRPr="0017525C">
        <w:rPr>
          <w:rFonts w:ascii="Times New Roman" w:eastAsia="Times New Roman" w:hAnsi="Times New Roman" w:cs="Times New Roman"/>
          <w:sz w:val="20"/>
          <w:szCs w:val="20"/>
          <w:u w:val="single"/>
          <w:shd w:val="clear" w:color="auto" w:fill="E1E3E6"/>
        </w:rPr>
        <w:t>https://famille.gouv.ci/Tmffe/Loi-No-2021-894-portant-sur-les-violences-domestiques.pdf</w:t>
      </w:r>
      <w:r w:rsidRPr="0017525C">
        <w:rPr>
          <w:rFonts w:ascii="Times New Roman" w:eastAsia="Times New Roman" w:hAnsi="Times New Roman" w:cs="Times New Roman"/>
          <w:sz w:val="20"/>
          <w:szCs w:val="20"/>
          <w:highlight w:val="white"/>
        </w:rPr>
        <w:t xml:space="preserve"> </w:t>
      </w:r>
    </w:p>
  </w:footnote>
  <w:footnote w:id="121">
    <w:p w14:paraId="760E94C9"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Article 3 de la loi n°2021-894 du 21 décembre 2021 relative aux mesures de protection des victimes de violences domestiques, de viol et de violences sexuelles autres que domestiques.</w:t>
      </w:r>
    </w:p>
  </w:footnote>
  <w:footnote w:id="122">
    <w:p w14:paraId="286EE04D"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Rapport FIDH, ”</w:t>
      </w:r>
      <w:r w:rsidRPr="0017525C">
        <w:rPr>
          <w:rFonts w:ascii="Times New Roman" w:eastAsia="Times New Roman" w:hAnsi="Times New Roman" w:cs="Times New Roman"/>
          <w:i/>
          <w:sz w:val="20"/>
          <w:szCs w:val="20"/>
          <w:highlight w:val="white"/>
        </w:rPr>
        <w:t xml:space="preserve">On va régler ça en famille : les obstacles à une prise </w:t>
      </w:r>
      <w:r w:rsidRPr="0017525C">
        <w:rPr>
          <w:rFonts w:ascii="Times New Roman" w:eastAsia="Times New Roman" w:hAnsi="Times New Roman" w:cs="Times New Roman"/>
          <w:i/>
          <w:sz w:val="20"/>
          <w:szCs w:val="20"/>
          <w:highlight w:val="white"/>
        </w:rPr>
        <w:t>en charge effective des victimes de violences sexuelles en Côte d’Ivoire</w:t>
      </w:r>
      <w:r w:rsidRPr="0017525C">
        <w:rPr>
          <w:rFonts w:ascii="Times New Roman" w:eastAsia="Times New Roman" w:hAnsi="Times New Roman" w:cs="Times New Roman"/>
          <w:sz w:val="20"/>
          <w:szCs w:val="20"/>
          <w:highlight w:val="white"/>
        </w:rPr>
        <w:t xml:space="preserve">”, mars 2022, p. 55. Accessible à : </w:t>
      </w:r>
      <w:r w:rsidRPr="0017525C">
        <w:rPr>
          <w:rFonts w:ascii="Times New Roman" w:eastAsia="Times New Roman" w:hAnsi="Times New Roman" w:cs="Times New Roman"/>
          <w:sz w:val="20"/>
          <w:szCs w:val="20"/>
          <w:u w:val="single"/>
          <w:shd w:val="clear" w:color="auto" w:fill="E1E3E6"/>
        </w:rPr>
        <w:t>https://www.fidh.org/IMG/pdf/vsbg_cote_divoire-2.pdf</w:t>
      </w:r>
      <w:r w:rsidRPr="0017525C">
        <w:rPr>
          <w:rFonts w:ascii="Times New Roman" w:eastAsia="Times New Roman" w:hAnsi="Times New Roman" w:cs="Times New Roman"/>
          <w:sz w:val="20"/>
          <w:szCs w:val="20"/>
          <w:highlight w:val="white"/>
          <w:u w:val="single"/>
        </w:rPr>
        <w:t xml:space="preserve"> </w:t>
      </w:r>
    </w:p>
  </w:footnote>
  <w:footnote w:id="123">
    <w:p w14:paraId="409FB86C"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Article 12 de la loi n°2021-894 du 21 décembre 2021 relative aux mesures de protection des v</w:t>
      </w:r>
      <w:r w:rsidRPr="0017525C">
        <w:rPr>
          <w:rFonts w:ascii="Times New Roman" w:eastAsia="Times New Roman" w:hAnsi="Times New Roman" w:cs="Times New Roman"/>
          <w:sz w:val="20"/>
          <w:szCs w:val="20"/>
        </w:rPr>
        <w:t>ictimes de violences domestiques, de viol et de violences sexuelles autres que domestiques.</w:t>
      </w:r>
    </w:p>
  </w:footnote>
  <w:footnote w:id="124">
    <w:p w14:paraId="4A72E7E4"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Rapport FIDH, ”Protection des victimes de violences sexuelles en Côte d’Ivoire: des avancées mais encore de nombreuses lacunes”, Novembre 2023, p. 5. Accessible à</w:t>
      </w:r>
      <w:r w:rsidRPr="0017525C">
        <w:rPr>
          <w:rFonts w:ascii="Times New Roman" w:eastAsia="Times New Roman" w:hAnsi="Times New Roman" w:cs="Times New Roman"/>
          <w:sz w:val="20"/>
          <w:szCs w:val="20"/>
          <w:highlight w:val="white"/>
        </w:rPr>
        <w:t xml:space="preserve"> : </w:t>
      </w:r>
      <w:r w:rsidRPr="0017525C">
        <w:rPr>
          <w:rFonts w:ascii="Times New Roman" w:eastAsia="Times New Roman" w:hAnsi="Times New Roman" w:cs="Times New Roman"/>
          <w:sz w:val="20"/>
          <w:szCs w:val="20"/>
          <w:u w:val="single"/>
          <w:shd w:val="clear" w:color="auto" w:fill="E1E3E6"/>
        </w:rPr>
        <w:t>https://www.fidh.org/IMG/pdf/cotedivoire818fprint.pdf</w:t>
      </w:r>
      <w:r w:rsidRPr="0017525C">
        <w:rPr>
          <w:rFonts w:ascii="Times New Roman" w:eastAsia="Times New Roman" w:hAnsi="Times New Roman" w:cs="Times New Roman"/>
          <w:sz w:val="20"/>
          <w:szCs w:val="20"/>
          <w:highlight w:val="white"/>
          <w:u w:val="single"/>
        </w:rPr>
        <w:t xml:space="preserve"> </w:t>
      </w:r>
    </w:p>
  </w:footnote>
  <w:footnote w:id="125">
    <w:p w14:paraId="3536FBCE"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Rapport FIDH, ”</w:t>
      </w:r>
      <w:r w:rsidRPr="0017525C">
        <w:rPr>
          <w:rFonts w:ascii="Times New Roman" w:eastAsia="Times New Roman" w:hAnsi="Times New Roman" w:cs="Times New Roman"/>
          <w:i/>
          <w:sz w:val="20"/>
          <w:szCs w:val="20"/>
          <w:highlight w:val="white"/>
        </w:rPr>
        <w:t>On va régler ça en famille : les obstacles à une prise en charge effective des victimes de violences sexuelles en Côte d’Ivoire</w:t>
      </w:r>
      <w:r w:rsidRPr="0017525C">
        <w:rPr>
          <w:rFonts w:ascii="Times New Roman" w:eastAsia="Times New Roman" w:hAnsi="Times New Roman" w:cs="Times New Roman"/>
          <w:sz w:val="20"/>
          <w:szCs w:val="20"/>
          <w:highlight w:val="white"/>
        </w:rPr>
        <w:t xml:space="preserve">”, mars 2022, pp. 47-48. Accessible à : </w:t>
      </w:r>
      <w:r w:rsidRPr="0017525C">
        <w:rPr>
          <w:rFonts w:ascii="Times New Roman" w:eastAsia="Times New Roman" w:hAnsi="Times New Roman" w:cs="Times New Roman"/>
          <w:sz w:val="20"/>
          <w:szCs w:val="20"/>
          <w:shd w:val="clear" w:color="auto" w:fill="E1E3E6"/>
        </w:rPr>
        <w:t>https://www.fi</w:t>
      </w:r>
      <w:r w:rsidRPr="0017525C">
        <w:rPr>
          <w:rFonts w:ascii="Times New Roman" w:eastAsia="Times New Roman" w:hAnsi="Times New Roman" w:cs="Times New Roman"/>
          <w:sz w:val="20"/>
          <w:szCs w:val="20"/>
          <w:shd w:val="clear" w:color="auto" w:fill="E1E3E6"/>
        </w:rPr>
        <w:t>dh.org/IMG/pdf/vsbg_cote_divoire-2.pdf</w:t>
      </w:r>
      <w:r w:rsidRPr="0017525C">
        <w:rPr>
          <w:rFonts w:ascii="Times New Roman" w:eastAsia="Times New Roman" w:hAnsi="Times New Roman" w:cs="Times New Roman"/>
          <w:sz w:val="20"/>
          <w:szCs w:val="20"/>
          <w:highlight w:val="white"/>
        </w:rPr>
        <w:t xml:space="preserve"> </w:t>
      </w:r>
    </w:p>
  </w:footnote>
  <w:footnote w:id="126">
    <w:p w14:paraId="1966EFD8"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i/>
          <w:sz w:val="20"/>
          <w:szCs w:val="20"/>
        </w:rPr>
        <w:t xml:space="preserve"> </w:t>
      </w:r>
      <w:r w:rsidRPr="0017525C">
        <w:rPr>
          <w:rFonts w:ascii="Times New Roman" w:eastAsia="Times New Roman" w:hAnsi="Times New Roman" w:cs="Times New Roman"/>
          <w:i/>
          <w:sz w:val="20"/>
          <w:szCs w:val="20"/>
          <w:highlight w:val="white"/>
        </w:rPr>
        <w:t>Ibid</w:t>
      </w:r>
      <w:r w:rsidRPr="0017525C">
        <w:rPr>
          <w:rFonts w:ascii="Times New Roman" w:eastAsia="Times New Roman" w:hAnsi="Times New Roman" w:cs="Times New Roman"/>
          <w:sz w:val="20"/>
          <w:szCs w:val="20"/>
          <w:highlight w:val="white"/>
        </w:rPr>
        <w:t xml:space="preserve">, p. 7. </w:t>
      </w:r>
    </w:p>
  </w:footnote>
  <w:footnote w:id="127">
    <w:p w14:paraId="1D0BFB6D"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Article 11 de la loi n°2021-894 du 21 décembre 2021 relative aux mesures de protection des victimes de violences domestiques, de viol et de violences sexuelles autres que domestiques.</w:t>
      </w:r>
    </w:p>
  </w:footnote>
  <w:footnote w:id="128">
    <w:p w14:paraId="6FB942C9"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Rapport FIDH, ”</w:t>
      </w:r>
      <w:r w:rsidRPr="0017525C">
        <w:rPr>
          <w:rFonts w:ascii="Times New Roman" w:eastAsia="Times New Roman" w:hAnsi="Times New Roman" w:cs="Times New Roman"/>
          <w:i/>
          <w:sz w:val="20"/>
          <w:szCs w:val="20"/>
          <w:highlight w:val="white"/>
        </w:rPr>
        <w:t>On va régler ça en famille : les obstacles à une prise en charge effective des victimes de violences sexuelles en Côte d’Ivoire</w:t>
      </w:r>
      <w:r w:rsidRPr="0017525C">
        <w:rPr>
          <w:rFonts w:ascii="Times New Roman" w:eastAsia="Times New Roman" w:hAnsi="Times New Roman" w:cs="Times New Roman"/>
          <w:sz w:val="20"/>
          <w:szCs w:val="20"/>
          <w:highlight w:val="white"/>
        </w:rPr>
        <w:t xml:space="preserve">”, mars 2022, p. 7. Accessible à : </w:t>
      </w:r>
      <w:r w:rsidRPr="0017525C">
        <w:rPr>
          <w:rFonts w:ascii="Times New Roman" w:eastAsia="Times New Roman" w:hAnsi="Times New Roman" w:cs="Times New Roman"/>
          <w:sz w:val="20"/>
          <w:szCs w:val="20"/>
          <w:u w:val="single"/>
          <w:shd w:val="clear" w:color="auto" w:fill="E1E3E6"/>
        </w:rPr>
        <w:t>https://www.fidh.org/IMG/pdf/vsbg_cote_divoire-2.pdf</w:t>
      </w:r>
    </w:p>
  </w:footnote>
  <w:footnote w:id="129">
    <w:p w14:paraId="31441015"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i/>
          <w:sz w:val="20"/>
          <w:szCs w:val="20"/>
          <w:highlight w:val="white"/>
        </w:rPr>
        <w:t>Ibid</w:t>
      </w:r>
      <w:r w:rsidRPr="0017525C">
        <w:rPr>
          <w:rFonts w:ascii="Times New Roman" w:eastAsia="Times New Roman" w:hAnsi="Times New Roman" w:cs="Times New Roman"/>
          <w:sz w:val="20"/>
          <w:szCs w:val="20"/>
          <w:highlight w:val="white"/>
        </w:rPr>
        <w:t xml:space="preserve">, p. 6. </w:t>
      </w:r>
    </w:p>
  </w:footnote>
  <w:footnote w:id="130">
    <w:p w14:paraId="1B29C13C"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Rapport F</w:t>
      </w:r>
      <w:r w:rsidRPr="0017525C">
        <w:rPr>
          <w:rFonts w:ascii="Times New Roman" w:eastAsia="Times New Roman" w:hAnsi="Times New Roman" w:cs="Times New Roman"/>
          <w:sz w:val="20"/>
          <w:szCs w:val="20"/>
          <w:highlight w:val="white"/>
        </w:rPr>
        <w:t xml:space="preserve">IDH, ”Protection des victimes de violences sexuelles en Côte d’Ivoire: des avancées mais encore de nombreuses lacunes”, Novembre 2023, pp. 5-6. Accessible à </w:t>
      </w:r>
      <w:r w:rsidRPr="0017525C">
        <w:rPr>
          <w:rFonts w:ascii="Times New Roman" w:eastAsia="Times New Roman" w:hAnsi="Times New Roman" w:cs="Times New Roman"/>
          <w:sz w:val="20"/>
          <w:szCs w:val="20"/>
          <w:u w:val="single"/>
          <w:shd w:val="clear" w:color="auto" w:fill="E1E3E6"/>
        </w:rPr>
        <w:t>https://www.fidh.org/IMG/pdf/cotedivoire818fprint.pdf</w:t>
      </w:r>
      <w:r w:rsidRPr="0017525C">
        <w:rPr>
          <w:rFonts w:ascii="Times New Roman" w:eastAsia="Times New Roman" w:hAnsi="Times New Roman" w:cs="Times New Roman"/>
          <w:sz w:val="20"/>
          <w:szCs w:val="20"/>
          <w:highlight w:val="white"/>
          <w:u w:val="single"/>
        </w:rPr>
        <w:t xml:space="preserve"> </w:t>
      </w:r>
    </w:p>
  </w:footnote>
  <w:footnote w:id="131">
    <w:p w14:paraId="2BE6D8D7"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Rapport initial de l’État de Côte d’Ivoire</w:t>
      </w:r>
      <w:r w:rsidRPr="0017525C">
        <w:rPr>
          <w:rFonts w:ascii="Times New Roman" w:eastAsia="Times New Roman" w:hAnsi="Times New Roman" w:cs="Times New Roman"/>
          <w:sz w:val="20"/>
          <w:szCs w:val="20"/>
        </w:rPr>
        <w:t xml:space="preserve">, para 98. </w:t>
      </w:r>
    </w:p>
  </w:footnote>
  <w:footnote w:id="132">
    <w:p w14:paraId="521972DE"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highlight w:val="white"/>
        </w:rPr>
        <w:t>Rapport FIDH, ”</w:t>
      </w:r>
      <w:r w:rsidRPr="0017525C">
        <w:rPr>
          <w:rFonts w:ascii="Times New Roman" w:eastAsia="Times New Roman" w:hAnsi="Times New Roman" w:cs="Times New Roman"/>
          <w:i/>
          <w:sz w:val="20"/>
          <w:szCs w:val="20"/>
          <w:highlight w:val="white"/>
        </w:rPr>
        <w:t>On va régler ça en famille : les obstacles à une prise en charge effective des victimes de violences sexuelles en Côte d’Ivoire</w:t>
      </w:r>
      <w:r w:rsidRPr="0017525C">
        <w:rPr>
          <w:rFonts w:ascii="Times New Roman" w:eastAsia="Times New Roman" w:hAnsi="Times New Roman" w:cs="Times New Roman"/>
          <w:sz w:val="20"/>
          <w:szCs w:val="20"/>
          <w:highlight w:val="white"/>
        </w:rPr>
        <w:t xml:space="preserve">”, mars 2022, p. 7-8. Accessible à : </w:t>
      </w:r>
      <w:r w:rsidRPr="0017525C">
        <w:rPr>
          <w:rFonts w:ascii="Times New Roman" w:eastAsia="Times New Roman" w:hAnsi="Times New Roman" w:cs="Times New Roman"/>
          <w:sz w:val="20"/>
          <w:szCs w:val="20"/>
          <w:u w:val="single"/>
          <w:shd w:val="clear" w:color="auto" w:fill="E1E3E6"/>
        </w:rPr>
        <w:t>https://www.fidh.org/IMG/pdf/vsbg_cote_divoire-2.pdf</w:t>
      </w:r>
      <w:r w:rsidRPr="0017525C">
        <w:rPr>
          <w:rFonts w:ascii="Times New Roman" w:eastAsia="Times New Roman" w:hAnsi="Times New Roman" w:cs="Times New Roman"/>
          <w:sz w:val="20"/>
          <w:szCs w:val="20"/>
          <w:highlight w:val="white"/>
          <w:u w:val="single"/>
        </w:rPr>
        <w:t xml:space="preserve"> </w:t>
      </w:r>
    </w:p>
  </w:footnote>
  <w:footnote w:id="133">
    <w:p w14:paraId="3558826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Constitution ivoirienne révisée en 2016, accessible à </w:t>
      </w:r>
      <w:hyperlink r:id="rId85">
        <w:r w:rsidRPr="0017525C">
          <w:rPr>
            <w:rFonts w:ascii="Times New Roman" w:eastAsia="Times New Roman" w:hAnsi="Times New Roman" w:cs="Times New Roman"/>
            <w:color w:val="1155CC"/>
            <w:sz w:val="20"/>
            <w:szCs w:val="20"/>
            <w:u w:val="single"/>
          </w:rPr>
          <w:t>https://www.caidp.ci/uploads/52782e1004ad2bbfd4d17dbf1c33384f.pdf</w:t>
        </w:r>
      </w:hyperlink>
      <w:r w:rsidRPr="0017525C">
        <w:rPr>
          <w:rFonts w:ascii="Times New Roman" w:eastAsia="Times New Roman" w:hAnsi="Times New Roman" w:cs="Times New Roman"/>
          <w:sz w:val="20"/>
          <w:szCs w:val="20"/>
        </w:rPr>
        <w:t xml:space="preserve"> </w:t>
      </w:r>
    </w:p>
  </w:footnote>
  <w:footnote w:id="134">
    <w:p w14:paraId="1F901F8F"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Articles 394 à 398 du Code pénal ivoirien, accessible à </w:t>
      </w:r>
      <w:hyperlink r:id="rId86">
        <w:r w:rsidRPr="0017525C">
          <w:rPr>
            <w:rFonts w:ascii="Times New Roman" w:eastAsia="Times New Roman" w:hAnsi="Times New Roman" w:cs="Times New Roman"/>
            <w:color w:val="1155CC"/>
            <w:sz w:val="20"/>
            <w:szCs w:val="20"/>
            <w:u w:val="single"/>
          </w:rPr>
          <w:t>https://www.droit-afrique.com/uploads/RCI-Code-2019-penal.pdf</w:t>
        </w:r>
      </w:hyperlink>
      <w:r>
        <w:rPr>
          <w:rFonts w:ascii="Times New Roman" w:eastAsia="Times New Roman" w:hAnsi="Times New Roman" w:cs="Times New Roman"/>
          <w:sz w:val="20"/>
          <w:szCs w:val="20"/>
        </w:rPr>
        <w:t xml:space="preserve"> </w:t>
      </w:r>
    </w:p>
  </w:footnote>
  <w:footnote w:id="135">
    <w:p w14:paraId="77177EDF"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Institut National de la Statistique (INS) (2017), La situation des femmes et des enfants en Côte d’Ivoire: Enquête par grappes à indicateurs multiples, 2016, Rapport des Résultats clés, pp.145–148. Abidjan, Côte d’Ivoire. Accessible à: </w:t>
      </w:r>
      <w:hyperlink r:id="rId87">
        <w:r w:rsidRPr="0017525C">
          <w:rPr>
            <w:rFonts w:ascii="Times New Roman" w:eastAsia="Times New Roman" w:hAnsi="Times New Roman" w:cs="Times New Roman"/>
            <w:color w:val="1155CC"/>
            <w:sz w:val="20"/>
            <w:szCs w:val="20"/>
            <w:u w:val="single"/>
          </w:rPr>
          <w:t>https://mics-surveys-prod.s3.amazonaws.com/MICS5/West%20and%20Central%20Africa/C%C3%B4te%20d%27Ivoire/</w:t>
        </w:r>
        <w:r w:rsidRPr="0017525C">
          <w:rPr>
            <w:rFonts w:ascii="Times New Roman" w:eastAsia="Times New Roman" w:hAnsi="Times New Roman" w:cs="Times New Roman"/>
            <w:color w:val="1155CC"/>
            <w:sz w:val="20"/>
            <w:szCs w:val="20"/>
            <w:u w:val="single"/>
          </w:rPr>
          <w:t>2016/Final/Cote%20d%27Ivoire%202016%20MICS_French.pdf</w:t>
        </w:r>
      </w:hyperlink>
    </w:p>
  </w:footnote>
  <w:footnote w:id="136">
    <w:p w14:paraId="5B6B2D9E"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Rapport de 28 Too Many, “Les MGF en Côte d’Ivoire: bref compte-rendu”, mars 2020, p.3. Accessible à </w:t>
      </w:r>
      <w:hyperlink r:id="rId88">
        <w:r w:rsidRPr="0017525C">
          <w:rPr>
            <w:rFonts w:ascii="Times New Roman" w:eastAsia="Times New Roman" w:hAnsi="Times New Roman" w:cs="Times New Roman"/>
            <w:color w:val="1155CC"/>
            <w:sz w:val="20"/>
            <w:szCs w:val="20"/>
            <w:u w:val="single"/>
          </w:rPr>
          <w:t>https://www.fgmcri.org/media/uploads/Country%20Research%20and%20Resources/Cote%20d%20Ivoire/cote_d'ivoire_short_report_v1_(march_2020)_french.pdf</w:t>
        </w:r>
      </w:hyperlink>
      <w:r w:rsidRPr="0017525C">
        <w:rPr>
          <w:rFonts w:ascii="Times New Roman" w:eastAsia="Times New Roman" w:hAnsi="Times New Roman" w:cs="Times New Roman"/>
          <w:sz w:val="20"/>
          <w:szCs w:val="20"/>
        </w:rPr>
        <w:t xml:space="preserve"> </w:t>
      </w:r>
    </w:p>
  </w:footnote>
  <w:footnote w:id="137">
    <w:p w14:paraId="39C1E2F0"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Rapport initial de l’État de Côte d’Ivoire, para 124.</w:t>
      </w:r>
    </w:p>
  </w:footnote>
  <w:footnote w:id="138">
    <w:p w14:paraId="5E2BD12D"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Rapport de 28 Too Many, “Les MGF en Côte d’Ivoire: bref compte-rendu”, mars 2020, p.5. Accessible à </w:t>
      </w:r>
      <w:hyperlink r:id="rId89">
        <w:r w:rsidRPr="0017525C">
          <w:rPr>
            <w:rFonts w:ascii="Times New Roman" w:eastAsia="Times New Roman" w:hAnsi="Times New Roman" w:cs="Times New Roman"/>
            <w:color w:val="1155CC"/>
            <w:sz w:val="20"/>
            <w:szCs w:val="20"/>
            <w:u w:val="single"/>
          </w:rPr>
          <w:t>https://www.fgmcri.org/media/uploads/Country%20Research%20and%20Resources/Cote%20d%20Ivoire/cote_d'ivoire_short_report_v1_(march_2020)_french.pdf</w:t>
        </w:r>
      </w:hyperlink>
      <w:r w:rsidRPr="0017525C">
        <w:rPr>
          <w:rFonts w:ascii="Times New Roman" w:eastAsia="Times New Roman" w:hAnsi="Times New Roman" w:cs="Times New Roman"/>
          <w:sz w:val="20"/>
          <w:szCs w:val="20"/>
        </w:rPr>
        <w:t xml:space="preserve"> </w:t>
      </w:r>
    </w:p>
  </w:footnote>
  <w:footnote w:id="139">
    <w:p w14:paraId="520489D5"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i/>
          <w:sz w:val="20"/>
          <w:szCs w:val="20"/>
        </w:rPr>
        <w:t>Ibid</w:t>
      </w:r>
      <w:r w:rsidRPr="0017525C">
        <w:rPr>
          <w:rFonts w:ascii="Times New Roman" w:eastAsia="Times New Roman" w:hAnsi="Times New Roman" w:cs="Times New Roman"/>
          <w:sz w:val="20"/>
          <w:szCs w:val="20"/>
        </w:rPr>
        <w:t xml:space="preserve">, p.4. </w:t>
      </w:r>
    </w:p>
  </w:footnote>
  <w:footnote w:id="140">
    <w:p w14:paraId="13288C18"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CEDAW, </w:t>
      </w:r>
      <w:hyperlink r:id="rId90">
        <w:r w:rsidRPr="0017525C">
          <w:rPr>
            <w:rFonts w:ascii="Times New Roman" w:eastAsia="Times New Roman" w:hAnsi="Times New Roman" w:cs="Times New Roman"/>
            <w:color w:val="1155CC"/>
            <w:sz w:val="20"/>
            <w:szCs w:val="20"/>
            <w:u w:val="single"/>
          </w:rPr>
          <w:t>Observations finales concernant le quatrième rapport périodique de la Côte d’Ivoire</w:t>
        </w:r>
      </w:hyperlink>
      <w:r w:rsidRPr="0017525C">
        <w:rPr>
          <w:rFonts w:ascii="Times New Roman" w:eastAsia="Times New Roman" w:hAnsi="Times New Roman" w:cs="Times New Roman"/>
          <w:sz w:val="20"/>
          <w:szCs w:val="20"/>
        </w:rPr>
        <w:t>, 2019,</w:t>
      </w:r>
      <w:r w:rsidRPr="0017525C">
        <w:rPr>
          <w:rFonts w:ascii="Times New Roman" w:eastAsia="Times New Roman" w:hAnsi="Times New Roman" w:cs="Times New Roman"/>
          <w:sz w:val="20"/>
          <w:szCs w:val="20"/>
        </w:rPr>
        <w:t xml:space="preserve"> para. 27, CEDAW/C/CIV/CO/4.</w:t>
      </w:r>
      <w:r w:rsidRPr="0017525C">
        <w:rPr>
          <w:rFonts w:ascii="Times New Roman" w:eastAsia="Times New Roman" w:hAnsi="Times New Roman" w:cs="Times New Roman"/>
          <w:b/>
          <w:sz w:val="20"/>
          <w:szCs w:val="20"/>
        </w:rPr>
        <w:t xml:space="preserve"> </w:t>
      </w:r>
    </w:p>
  </w:footnote>
  <w:footnote w:id="141">
    <w:p w14:paraId="159334C9"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i/>
          <w:sz w:val="20"/>
          <w:szCs w:val="20"/>
        </w:rPr>
        <w:t>Ibid</w:t>
      </w:r>
      <w:r w:rsidRPr="0017525C">
        <w:rPr>
          <w:rFonts w:ascii="Times New Roman" w:eastAsia="Times New Roman" w:hAnsi="Times New Roman" w:cs="Times New Roman"/>
          <w:sz w:val="20"/>
          <w:szCs w:val="20"/>
        </w:rPr>
        <w:t>, para. 27.</w:t>
      </w:r>
    </w:p>
  </w:footnote>
  <w:footnote w:id="142">
    <w:p w14:paraId="4B5CC21C"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 xml:space="preserve">Division de l’information, de la division et de la recherche - OFPRA, “Côte d’Ivoire: Les mutilations sexuelles féminines”, mars 2023, p. 11. Accessible à :  </w:t>
      </w:r>
      <w:hyperlink r:id="rId91">
        <w:r w:rsidRPr="0017525C">
          <w:rPr>
            <w:rFonts w:ascii="Times New Roman" w:eastAsia="Times New Roman" w:hAnsi="Times New Roman" w:cs="Times New Roman"/>
            <w:color w:val="1155CC"/>
            <w:sz w:val="20"/>
            <w:szCs w:val="20"/>
            <w:u w:val="single"/>
          </w:rPr>
          <w:t>https://ofpra.gouv.fr/sites/default/files/ofpra_flora/2303_civ_msf_158204_web.pdf</w:t>
        </w:r>
      </w:hyperlink>
      <w:r>
        <w:rPr>
          <w:rFonts w:ascii="Times New Roman" w:eastAsia="Times New Roman" w:hAnsi="Times New Roman" w:cs="Times New Roman"/>
          <w:sz w:val="20"/>
          <w:szCs w:val="20"/>
        </w:rPr>
        <w:t xml:space="preserve"> </w:t>
      </w:r>
    </w:p>
  </w:footnote>
  <w:footnote w:id="143">
    <w:p w14:paraId="408F83C3" w14:textId="77777777" w:rsidR="003B4185" w:rsidRPr="0017525C" w:rsidRDefault="006803DD">
      <w:pPr>
        <w:jc w:val="both"/>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hAnsi="Times New Roman" w:cs="Times New Roman"/>
          <w:sz w:val="20"/>
          <w:szCs w:val="20"/>
        </w:rPr>
        <w:t xml:space="preserve"> </w:t>
      </w:r>
      <w:r w:rsidRPr="0017525C">
        <w:rPr>
          <w:rFonts w:ascii="Times New Roman" w:eastAsia="Times New Roman" w:hAnsi="Times New Roman" w:cs="Times New Roman"/>
          <w:sz w:val="20"/>
          <w:szCs w:val="20"/>
        </w:rPr>
        <w:t>Modifié par le décret N° 2021-617 du 20 octobre 2021 relatif aux modalités d'applicat</w:t>
      </w:r>
      <w:r w:rsidRPr="0017525C">
        <w:rPr>
          <w:rFonts w:ascii="Times New Roman" w:eastAsia="Times New Roman" w:hAnsi="Times New Roman" w:cs="Times New Roman"/>
          <w:sz w:val="20"/>
          <w:szCs w:val="20"/>
        </w:rPr>
        <w:t>ion de la loi N°2014-388 du 20 juin 2014 relative à la promotion et à la protection des défenseurs des droits de l'homme.</w:t>
      </w:r>
    </w:p>
  </w:footnote>
  <w:footnote w:id="144">
    <w:p w14:paraId="5CBEB6A4" w14:textId="77777777" w:rsidR="003B4185"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Le journaliste Konan Yao Hubert condamné à 5 ans de prison ferme’, Presseivoire.net, 21 March 2020,</w:t>
      </w:r>
      <w:hyperlink r:id="rId92">
        <w:r w:rsidRPr="0017525C">
          <w:rPr>
            <w:rFonts w:ascii="Times New Roman" w:eastAsia="Times New Roman" w:hAnsi="Times New Roman" w:cs="Times New Roman"/>
            <w:i/>
            <w:sz w:val="20"/>
            <w:szCs w:val="20"/>
          </w:rPr>
          <w:t xml:space="preserve"> </w:t>
        </w:r>
      </w:hyperlink>
      <w:hyperlink r:id="rId93">
        <w:r w:rsidRPr="0017525C">
          <w:rPr>
            <w:rFonts w:ascii="Times New Roman" w:eastAsia="Times New Roman" w:hAnsi="Times New Roman" w:cs="Times New Roman"/>
            <w:i/>
            <w:color w:val="1155CC"/>
            <w:sz w:val="20"/>
            <w:szCs w:val="20"/>
            <w:u w:val="single"/>
          </w:rPr>
          <w:t>https://p</w:t>
        </w:r>
        <w:r w:rsidRPr="0017525C">
          <w:rPr>
            <w:rFonts w:ascii="Times New Roman" w:eastAsia="Times New Roman" w:hAnsi="Times New Roman" w:cs="Times New Roman"/>
            <w:i/>
            <w:color w:val="1155CC"/>
            <w:sz w:val="20"/>
            <w:szCs w:val="20"/>
            <w:u w:val="single"/>
          </w:rPr>
          <w:t>resseivoire.net/le-journaliste-konan-yao-hubert-condamne-5-ans-de-prison-ferme/</w:t>
        </w:r>
      </w:hyperlink>
      <w:r w:rsidRPr="0017525C">
        <w:rPr>
          <w:rFonts w:ascii="Times New Roman" w:eastAsia="Times New Roman" w:hAnsi="Times New Roman" w:cs="Times New Roman"/>
          <w:i/>
          <w:sz w:val="20"/>
          <w:szCs w:val="20"/>
        </w:rPr>
        <w:t>; ‘Human Rights defender Konan Yao Hubert on trial’, Frontline Defenders, 17 December 2020,</w:t>
      </w:r>
      <w:hyperlink r:id="rId94">
        <w:r w:rsidRPr="0017525C">
          <w:rPr>
            <w:rFonts w:ascii="Times New Roman" w:eastAsia="Times New Roman" w:hAnsi="Times New Roman" w:cs="Times New Roman"/>
            <w:i/>
            <w:sz w:val="20"/>
            <w:szCs w:val="20"/>
          </w:rPr>
          <w:t xml:space="preserve"> </w:t>
        </w:r>
      </w:hyperlink>
      <w:hyperlink r:id="rId95">
        <w:r w:rsidRPr="0017525C">
          <w:rPr>
            <w:rFonts w:ascii="Times New Roman" w:eastAsia="Times New Roman" w:hAnsi="Times New Roman" w:cs="Times New Roman"/>
            <w:i/>
            <w:color w:val="1155CC"/>
            <w:sz w:val="20"/>
            <w:szCs w:val="20"/>
            <w:u w:val="single"/>
          </w:rPr>
          <w:t>https://www.frontlinedefenders.org/en/case/human-rights-defe</w:t>
        </w:r>
        <w:r w:rsidRPr="0017525C">
          <w:rPr>
            <w:rFonts w:ascii="Times New Roman" w:eastAsia="Times New Roman" w:hAnsi="Times New Roman" w:cs="Times New Roman"/>
            <w:i/>
            <w:color w:val="1155CC"/>
            <w:sz w:val="20"/>
            <w:szCs w:val="20"/>
            <w:u w:val="single"/>
          </w:rPr>
          <w:t>nder-konan-yao-hubert-trial</w:t>
        </w:r>
      </w:hyperlink>
      <w:r w:rsidRPr="0017525C">
        <w:rPr>
          <w:rFonts w:ascii="Times New Roman" w:eastAsia="Times New Roman" w:hAnsi="Times New Roman" w:cs="Times New Roman"/>
          <w:i/>
          <w:sz w:val="20"/>
          <w:szCs w:val="20"/>
        </w:rPr>
        <w:t>.</w:t>
      </w:r>
    </w:p>
  </w:footnote>
  <w:footnote w:id="145">
    <w:p w14:paraId="1B719383"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Selon l’information reçue par la CIDDH de la part de la victime.</w:t>
      </w:r>
    </w:p>
  </w:footnote>
  <w:footnote w:id="146">
    <w:p w14:paraId="6F34CB93"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 xml:space="preserve">‘Droits humains – La Ligue ivorienne des droits de femmes apporte son soutien à Sylvia Apata après les menaces reçues’, </w:t>
      </w:r>
      <w:r w:rsidRPr="0017525C">
        <w:rPr>
          <w:rFonts w:ascii="Times New Roman" w:eastAsia="Times New Roman" w:hAnsi="Times New Roman" w:cs="Times New Roman"/>
          <w:sz w:val="20"/>
          <w:szCs w:val="20"/>
        </w:rPr>
        <w:t>La</w:t>
      </w:r>
      <w:r w:rsidRPr="0017525C">
        <w:rPr>
          <w:rFonts w:ascii="Times New Roman" w:eastAsia="Times New Roman" w:hAnsi="Times New Roman" w:cs="Times New Roman"/>
          <w:sz w:val="20"/>
          <w:szCs w:val="20"/>
        </w:rPr>
        <w:t>urote.net, 27 mars 2023,</w:t>
      </w:r>
      <w:hyperlink r:id="rId96">
        <w:r w:rsidRPr="0017525C">
          <w:rPr>
            <w:rFonts w:ascii="Times New Roman" w:eastAsia="Times New Roman" w:hAnsi="Times New Roman" w:cs="Times New Roman"/>
            <w:sz w:val="20"/>
            <w:szCs w:val="20"/>
          </w:rPr>
          <w:t xml:space="preserve"> </w:t>
        </w:r>
      </w:hyperlink>
      <w:hyperlink r:id="rId97">
        <w:r w:rsidRPr="0017525C">
          <w:rPr>
            <w:rFonts w:ascii="Times New Roman" w:eastAsia="Times New Roman" w:hAnsi="Times New Roman" w:cs="Times New Roman"/>
            <w:color w:val="1155CC"/>
            <w:sz w:val="20"/>
            <w:szCs w:val="20"/>
            <w:u w:val="single"/>
          </w:rPr>
          <w:t>https://www.laurore.net/droits-humains-la-ligue-ivoirienne-des-droits-des-femmes-apporte-son-soutien-a-sylvia-a</w:t>
        </w:r>
        <w:r w:rsidRPr="0017525C">
          <w:rPr>
            <w:rFonts w:ascii="Times New Roman" w:eastAsia="Times New Roman" w:hAnsi="Times New Roman" w:cs="Times New Roman"/>
            <w:color w:val="1155CC"/>
            <w:sz w:val="20"/>
            <w:szCs w:val="20"/>
            <w:u w:val="single"/>
          </w:rPr>
          <w:t>pata-apres-les-menaces-recues-communique/</w:t>
        </w:r>
      </w:hyperlink>
    </w:p>
  </w:footnote>
  <w:footnote w:id="147">
    <w:p w14:paraId="5772AF13"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 xml:space="preserve">‘Libertés publiques, la coordinatrice de No-Vox en Côte d’Ivoire denonce des menaces contre elle’, </w:t>
      </w:r>
      <w:r w:rsidRPr="0017525C">
        <w:rPr>
          <w:rFonts w:ascii="Times New Roman" w:eastAsia="Times New Roman" w:hAnsi="Times New Roman" w:cs="Times New Roman"/>
          <w:sz w:val="20"/>
          <w:szCs w:val="20"/>
        </w:rPr>
        <w:t>LeMediacitoyen.com, 4 février 2020,</w:t>
      </w:r>
      <w:hyperlink r:id="rId98">
        <w:r w:rsidRPr="0017525C">
          <w:rPr>
            <w:rFonts w:ascii="Times New Roman" w:eastAsia="Times New Roman" w:hAnsi="Times New Roman" w:cs="Times New Roman"/>
            <w:sz w:val="20"/>
            <w:szCs w:val="20"/>
          </w:rPr>
          <w:t xml:space="preserve"> </w:t>
        </w:r>
      </w:hyperlink>
      <w:hyperlink r:id="rId99">
        <w:r w:rsidRPr="0017525C">
          <w:rPr>
            <w:rFonts w:ascii="Times New Roman" w:eastAsia="Times New Roman" w:hAnsi="Times New Roman" w:cs="Times New Roman"/>
            <w:i/>
            <w:color w:val="1155CC"/>
            <w:sz w:val="20"/>
            <w:szCs w:val="20"/>
            <w:u w:val="single"/>
          </w:rPr>
          <w:t>https://www.lemediacitoyen.com/libertes-publiques-no-vox</w:t>
        </w:r>
        <w:r w:rsidRPr="0017525C">
          <w:rPr>
            <w:rFonts w:ascii="Times New Roman" w:eastAsia="Times New Roman" w:hAnsi="Times New Roman" w:cs="Times New Roman"/>
            <w:i/>
            <w:color w:val="1155CC"/>
            <w:sz w:val="20"/>
            <w:szCs w:val="20"/>
            <w:u w:val="single"/>
          </w:rPr>
          <w:t>-denonce-des-cas-de-harcelement-et-de-menaces-contre-sa-responsable/?fbclid=IwAR1RGrYmEVkFhGIYLzcI9CTeZlj5-Cjet25dAUaTXq_9zXe-LxSOkof2PM4</w:t>
        </w:r>
      </w:hyperlink>
    </w:p>
  </w:footnote>
  <w:footnote w:id="148">
    <w:p w14:paraId="65B362A9"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‘La justice ivorienne ouvre une enquête sur l’aggression d’un journaliste à la p</w:t>
      </w:r>
      <w:r w:rsidRPr="0017525C">
        <w:rPr>
          <w:rFonts w:ascii="Times New Roman" w:eastAsia="Times New Roman" w:hAnsi="Times New Roman" w:cs="Times New Roman"/>
          <w:i/>
          <w:sz w:val="20"/>
          <w:szCs w:val="20"/>
        </w:rPr>
        <w:t>rison d’Abidjan’,</w:t>
      </w:r>
      <w:r w:rsidRPr="0017525C">
        <w:rPr>
          <w:rFonts w:ascii="Times New Roman" w:eastAsia="Times New Roman" w:hAnsi="Times New Roman" w:cs="Times New Roman"/>
          <w:sz w:val="20"/>
          <w:szCs w:val="20"/>
        </w:rPr>
        <w:t xml:space="preserve"> Le Monde Afrique, 13 mai 2020,</w:t>
      </w:r>
      <w:hyperlink r:id="rId100">
        <w:r w:rsidRPr="0017525C">
          <w:rPr>
            <w:rFonts w:ascii="Times New Roman" w:eastAsia="Times New Roman" w:hAnsi="Times New Roman" w:cs="Times New Roman"/>
            <w:sz w:val="20"/>
            <w:szCs w:val="20"/>
          </w:rPr>
          <w:t xml:space="preserve"> </w:t>
        </w:r>
      </w:hyperlink>
      <w:hyperlink r:id="rId101">
        <w:r w:rsidRPr="0017525C">
          <w:rPr>
            <w:rFonts w:ascii="Times New Roman" w:eastAsia="Times New Roman" w:hAnsi="Times New Roman" w:cs="Times New Roman"/>
            <w:i/>
            <w:color w:val="1155CC"/>
            <w:sz w:val="20"/>
            <w:szCs w:val="20"/>
            <w:u w:val="single"/>
          </w:rPr>
          <w:t>https://www.lemonde.fr/afrique/article/2020/05/13/la-justice-ivoiri</w:t>
        </w:r>
        <w:r w:rsidRPr="0017525C">
          <w:rPr>
            <w:rFonts w:ascii="Times New Roman" w:eastAsia="Times New Roman" w:hAnsi="Times New Roman" w:cs="Times New Roman"/>
            <w:i/>
            <w:color w:val="1155CC"/>
            <w:sz w:val="20"/>
            <w:szCs w:val="20"/>
            <w:u w:val="single"/>
          </w:rPr>
          <w:t>enne-ouvre-une-enquete-sur-l-agression-d-un-journaliste-a-la-prison-d-abidjan_6039509_3212.html</w:t>
        </w:r>
      </w:hyperlink>
    </w:p>
  </w:footnote>
  <w:footnote w:id="149">
    <w:p w14:paraId="2DDCE9C7"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‘Côte d’Ivoire: le gouvernement suspend toutes manifestations sur la voie publique’, Abidjan.net, 20 août 2020,</w:t>
      </w:r>
      <w:hyperlink r:id="rId102">
        <w:r w:rsidRPr="0017525C">
          <w:rPr>
            <w:rFonts w:ascii="Times New Roman" w:eastAsia="Times New Roman" w:hAnsi="Times New Roman" w:cs="Times New Roman"/>
            <w:i/>
            <w:sz w:val="20"/>
            <w:szCs w:val="20"/>
          </w:rPr>
          <w:t xml:space="preserve"> </w:t>
        </w:r>
      </w:hyperlink>
      <w:hyperlink r:id="rId103">
        <w:r w:rsidRPr="0017525C">
          <w:rPr>
            <w:rFonts w:ascii="Times New Roman" w:eastAsia="Times New Roman" w:hAnsi="Times New Roman" w:cs="Times New Roman"/>
            <w:i/>
            <w:color w:val="1155CC"/>
            <w:sz w:val="20"/>
            <w:szCs w:val="20"/>
            <w:u w:val="single"/>
          </w:rPr>
          <w:t>https://news.abidjan.net/articles/678439/index</w:t>
        </w:r>
      </w:hyperlink>
    </w:p>
  </w:footnote>
  <w:footnote w:id="150">
    <w:p w14:paraId="0F013EDA"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Côte d’Ivoire’, Amnesty International 2020/21, Avril 2021,</w:t>
      </w:r>
      <w:hyperlink r:id="rId104">
        <w:r w:rsidRPr="0017525C">
          <w:rPr>
            <w:rFonts w:ascii="Times New Roman" w:eastAsia="Times New Roman" w:hAnsi="Times New Roman" w:cs="Times New Roman"/>
            <w:i/>
            <w:sz w:val="20"/>
            <w:szCs w:val="20"/>
          </w:rPr>
          <w:t xml:space="preserve"> </w:t>
        </w:r>
      </w:hyperlink>
      <w:hyperlink r:id="rId105">
        <w:r w:rsidRPr="0017525C">
          <w:rPr>
            <w:rFonts w:ascii="Times New Roman" w:eastAsia="Times New Roman" w:hAnsi="Times New Roman" w:cs="Times New Roman"/>
            <w:i/>
            <w:color w:val="1155CC"/>
            <w:sz w:val="20"/>
            <w:szCs w:val="20"/>
            <w:u w:val="single"/>
          </w:rPr>
          <w:t>https://www.amnesty.org/en/documents/pol10/3202/2021/en/</w:t>
        </w:r>
      </w:hyperlink>
    </w:p>
  </w:footnote>
  <w:footnote w:id="151">
    <w:p w14:paraId="3DD4F694" w14:textId="77777777" w:rsidR="003B4185" w:rsidRDefault="006803DD">
      <w:pPr>
        <w:rPr>
          <w:rFonts w:ascii="Times New Roman" w:eastAsia="Times New Roman" w:hAnsi="Times New Roman" w:cs="Times New Roman"/>
          <w:sz w:val="12"/>
          <w:szCs w:val="12"/>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‘Une manifestation de l’opposition dispersée par la police à Abidjan’, BBC, 21 août 2020,</w:t>
      </w:r>
      <w:hyperlink r:id="rId106">
        <w:r w:rsidRPr="0017525C">
          <w:rPr>
            <w:rFonts w:ascii="Times New Roman" w:eastAsia="Times New Roman" w:hAnsi="Times New Roman" w:cs="Times New Roman"/>
            <w:i/>
            <w:sz w:val="20"/>
            <w:szCs w:val="20"/>
          </w:rPr>
          <w:t xml:space="preserve"> </w:t>
        </w:r>
      </w:hyperlink>
      <w:hyperlink r:id="rId107">
        <w:r w:rsidRPr="0017525C">
          <w:rPr>
            <w:rFonts w:ascii="Times New Roman" w:eastAsia="Times New Roman" w:hAnsi="Times New Roman" w:cs="Times New Roman"/>
            <w:i/>
            <w:color w:val="1155CC"/>
            <w:sz w:val="20"/>
            <w:szCs w:val="20"/>
            <w:u w:val="single"/>
          </w:rPr>
          <w:t>https://www.bbc.com/afrique/region-53833102</w:t>
        </w:r>
      </w:hyperlink>
    </w:p>
  </w:footnote>
  <w:footnote w:id="152">
    <w:p w14:paraId="2E046D40"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‘Côte d’Ivoire: une trentaine de producteurs de café-cacao arrêtés au Plateau au cours d’une manifestation’, Afriksoir, 10 mai 2023,</w:t>
      </w:r>
      <w:hyperlink r:id="rId108">
        <w:r w:rsidRPr="0017525C">
          <w:rPr>
            <w:rFonts w:ascii="Times New Roman" w:eastAsia="Times New Roman" w:hAnsi="Times New Roman" w:cs="Times New Roman"/>
            <w:i/>
            <w:sz w:val="20"/>
            <w:szCs w:val="20"/>
          </w:rPr>
          <w:t xml:space="preserve"> </w:t>
        </w:r>
      </w:hyperlink>
      <w:hyperlink r:id="rId109">
        <w:r w:rsidRPr="0017525C">
          <w:rPr>
            <w:rFonts w:ascii="Times New Roman" w:eastAsia="Times New Roman" w:hAnsi="Times New Roman" w:cs="Times New Roman"/>
            <w:i/>
            <w:color w:val="1155CC"/>
            <w:sz w:val="20"/>
            <w:szCs w:val="20"/>
            <w:u w:val="single"/>
          </w:rPr>
          <w:t>https://afriksoir.net/cote-divoire-une-trentaine-de-produc</w:t>
        </w:r>
        <w:r w:rsidRPr="0017525C">
          <w:rPr>
            <w:rFonts w:ascii="Times New Roman" w:eastAsia="Times New Roman" w:hAnsi="Times New Roman" w:cs="Times New Roman"/>
            <w:i/>
            <w:color w:val="1155CC"/>
            <w:sz w:val="20"/>
            <w:szCs w:val="20"/>
            <w:u w:val="single"/>
          </w:rPr>
          <w:t>teurs-de-cafe-cacao-arretes-au-plateau-au-cours-dune-manifestation/</w:t>
        </w:r>
      </w:hyperlink>
    </w:p>
  </w:footnote>
  <w:footnote w:id="153">
    <w:p w14:paraId="7ADFEFC9"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‘Fonds COVID-19: 24 producteurs interpellés mercredi, libérés par la justice ivorienne’, Top News Africa, 12 mai 2023,</w:t>
      </w:r>
      <w:hyperlink r:id="rId110">
        <w:r w:rsidRPr="0017525C">
          <w:rPr>
            <w:rFonts w:ascii="Times New Roman" w:eastAsia="Times New Roman" w:hAnsi="Times New Roman" w:cs="Times New Roman"/>
            <w:i/>
            <w:sz w:val="20"/>
            <w:szCs w:val="20"/>
          </w:rPr>
          <w:t xml:space="preserve"> </w:t>
        </w:r>
      </w:hyperlink>
      <w:hyperlink r:id="rId111">
        <w:r w:rsidRPr="0017525C">
          <w:rPr>
            <w:rFonts w:ascii="Times New Roman" w:eastAsia="Times New Roman" w:hAnsi="Times New Roman" w:cs="Times New Roman"/>
            <w:i/>
            <w:color w:val="1155CC"/>
            <w:sz w:val="20"/>
            <w:szCs w:val="20"/>
            <w:u w:val="single"/>
          </w:rPr>
          <w:t>https://topnewsafrica.net/news/fonds-covid-19-24-producteurs-interpelles-mercredi-liberes-par-la-justice-ivoirienne</w:t>
        </w:r>
      </w:hyperlink>
    </w:p>
  </w:footnote>
  <w:footnote w:id="154">
    <w:p w14:paraId="7BFEF36B" w14:textId="77777777" w:rsidR="003B4185" w:rsidRPr="0017525C" w:rsidRDefault="006803DD">
      <w:pPr>
        <w:rPr>
          <w:rFonts w:ascii="Times New Roman" w:eastAsia="Times New Roman" w:hAnsi="Times New Roman" w:cs="Times New Roman"/>
          <w:sz w:val="20"/>
          <w:szCs w:val="20"/>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rPr>
        <w:t xml:space="preserve"> </w:t>
      </w:r>
      <w:r w:rsidRPr="0017525C">
        <w:rPr>
          <w:rFonts w:ascii="Times New Roman" w:eastAsia="Times New Roman" w:hAnsi="Times New Roman" w:cs="Times New Roman"/>
          <w:i/>
          <w:sz w:val="20"/>
          <w:szCs w:val="20"/>
        </w:rPr>
        <w:t>‘Côte d’Ivoire: 45 docteurs-chômeurs condamné à quatre mois de prison avec sursis’, Afri</w:t>
      </w:r>
      <w:r w:rsidRPr="0017525C">
        <w:rPr>
          <w:rFonts w:ascii="Times New Roman" w:eastAsia="Times New Roman" w:hAnsi="Times New Roman" w:cs="Times New Roman"/>
          <w:i/>
          <w:sz w:val="20"/>
          <w:szCs w:val="20"/>
        </w:rPr>
        <w:t>ksoir, 28 décembre 2022,</w:t>
      </w:r>
      <w:hyperlink r:id="rId112">
        <w:r w:rsidRPr="0017525C">
          <w:rPr>
            <w:rFonts w:ascii="Times New Roman" w:eastAsia="Times New Roman" w:hAnsi="Times New Roman" w:cs="Times New Roman"/>
            <w:i/>
            <w:sz w:val="20"/>
            <w:szCs w:val="20"/>
          </w:rPr>
          <w:t xml:space="preserve"> </w:t>
        </w:r>
      </w:hyperlink>
      <w:hyperlink r:id="rId113">
        <w:r w:rsidRPr="0017525C">
          <w:rPr>
            <w:rFonts w:ascii="Times New Roman" w:eastAsia="Times New Roman" w:hAnsi="Times New Roman" w:cs="Times New Roman"/>
            <w:i/>
            <w:color w:val="1155CC"/>
            <w:sz w:val="20"/>
            <w:szCs w:val="20"/>
            <w:u w:val="single"/>
          </w:rPr>
          <w:t>https://afriksoir.net/cote-divoire-45-docteurs-chomeurs-condamnes-a-4-mois-de-prison-avec-sursis/</w:t>
        </w:r>
      </w:hyperlink>
    </w:p>
  </w:footnote>
  <w:footnote w:id="155">
    <w:p w14:paraId="7ECD4462" w14:textId="77777777" w:rsidR="003B4185" w:rsidRPr="00891BEE" w:rsidRDefault="006803DD">
      <w:pPr>
        <w:rPr>
          <w:rFonts w:ascii="Times New Roman" w:eastAsia="Times New Roman" w:hAnsi="Times New Roman" w:cs="Times New Roman"/>
          <w:sz w:val="12"/>
          <w:szCs w:val="12"/>
          <w:lang w:val="en-US"/>
        </w:rPr>
      </w:pPr>
      <w:r w:rsidRPr="0017525C">
        <w:rPr>
          <w:rFonts w:ascii="Times New Roman" w:hAnsi="Times New Roman" w:cs="Times New Roman"/>
          <w:sz w:val="20"/>
          <w:szCs w:val="20"/>
          <w:vertAlign w:val="superscript"/>
        </w:rPr>
        <w:footnoteRef/>
      </w:r>
      <w:r w:rsidRPr="0017525C">
        <w:rPr>
          <w:rFonts w:ascii="Times New Roman" w:eastAsia="Times New Roman" w:hAnsi="Times New Roman" w:cs="Times New Roman"/>
          <w:sz w:val="20"/>
          <w:szCs w:val="20"/>
          <w:lang w:val="en-US"/>
        </w:rPr>
        <w:t xml:space="preserve"> </w:t>
      </w:r>
      <w:r w:rsidRPr="0017525C">
        <w:rPr>
          <w:rFonts w:ascii="Times New Roman" w:eastAsia="Times New Roman" w:hAnsi="Times New Roman" w:cs="Times New Roman"/>
          <w:i/>
          <w:sz w:val="20"/>
          <w:szCs w:val="20"/>
          <w:lang w:val="en-US"/>
        </w:rPr>
        <w:t>‘Arbitrary detention and arrest of four human rights defenders’, Front Line Defenders, 6 décembre 2022,</w:t>
      </w:r>
      <w:hyperlink r:id="rId114">
        <w:r w:rsidRPr="0017525C">
          <w:rPr>
            <w:rFonts w:ascii="Times New Roman" w:eastAsia="Times New Roman" w:hAnsi="Times New Roman" w:cs="Times New Roman"/>
            <w:i/>
            <w:sz w:val="20"/>
            <w:szCs w:val="20"/>
            <w:lang w:val="en-US"/>
          </w:rPr>
          <w:t xml:space="preserve"> </w:t>
        </w:r>
      </w:hyperlink>
      <w:hyperlink r:id="rId115">
        <w:r w:rsidRPr="0017525C">
          <w:rPr>
            <w:rFonts w:ascii="Times New Roman" w:eastAsia="Times New Roman" w:hAnsi="Times New Roman" w:cs="Times New Roman"/>
            <w:i/>
            <w:color w:val="1155CC"/>
            <w:sz w:val="20"/>
            <w:szCs w:val="20"/>
            <w:u w:val="single"/>
            <w:lang w:val="en-US"/>
          </w:rPr>
          <w:t>https://www.frontlinedefenders.org/en/case/arbitrary-arrest-and-detention-four-human-rights-defenders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74FD"/>
    <w:multiLevelType w:val="multilevel"/>
    <w:tmpl w:val="D74AE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C070DF"/>
    <w:multiLevelType w:val="multilevel"/>
    <w:tmpl w:val="E3F27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3F22F2"/>
    <w:multiLevelType w:val="multilevel"/>
    <w:tmpl w:val="9D2A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B96826"/>
    <w:multiLevelType w:val="hybridMultilevel"/>
    <w:tmpl w:val="7212BA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0B105B7"/>
    <w:multiLevelType w:val="multilevel"/>
    <w:tmpl w:val="CB3C7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531B8C"/>
    <w:multiLevelType w:val="hybridMultilevel"/>
    <w:tmpl w:val="73E6C92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71E0710"/>
    <w:multiLevelType w:val="multilevel"/>
    <w:tmpl w:val="469C2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544AB0"/>
    <w:multiLevelType w:val="multilevel"/>
    <w:tmpl w:val="0DACCC66"/>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F8A1A2D"/>
    <w:multiLevelType w:val="multilevel"/>
    <w:tmpl w:val="D6C6E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AE484A"/>
    <w:multiLevelType w:val="hybridMultilevel"/>
    <w:tmpl w:val="CBAC2B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79F311A"/>
    <w:multiLevelType w:val="multilevel"/>
    <w:tmpl w:val="D5443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D11355"/>
    <w:multiLevelType w:val="multilevel"/>
    <w:tmpl w:val="CBF06A9E"/>
    <w:lvl w:ilvl="0">
      <w:start w:val="1"/>
      <w:numFmt w:val="decimal"/>
      <w:lvlText w:val="%1."/>
      <w:lvlJc w:val="left"/>
      <w:pPr>
        <w:ind w:left="720" w:hanging="360"/>
      </w:pPr>
      <w:rPr>
        <w:rFonts w:ascii="Calibri" w:eastAsia="Calibri" w:hAnsi="Calibri" w:cs="Calibri"/>
        <w:b/>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A996356"/>
    <w:multiLevelType w:val="multilevel"/>
    <w:tmpl w:val="6F5813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BB56EB6"/>
    <w:multiLevelType w:val="multilevel"/>
    <w:tmpl w:val="2A767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016C12"/>
    <w:multiLevelType w:val="multilevel"/>
    <w:tmpl w:val="75664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F5331D9"/>
    <w:multiLevelType w:val="multilevel"/>
    <w:tmpl w:val="F9DCF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01A147C"/>
    <w:multiLevelType w:val="multilevel"/>
    <w:tmpl w:val="008C71CC"/>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64655DD"/>
    <w:multiLevelType w:val="multilevel"/>
    <w:tmpl w:val="9EA0F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E5340FB"/>
    <w:multiLevelType w:val="multilevel"/>
    <w:tmpl w:val="45FAE762"/>
    <w:lvl w:ilvl="0">
      <w:start w:val="1"/>
      <w:numFmt w:val="upperRoman"/>
      <w:lvlText w:val="%1."/>
      <w:lvlJc w:val="right"/>
      <w:pPr>
        <w:ind w:left="720" w:hanging="360"/>
      </w:pPr>
      <w:rPr>
        <w:rFonts w:ascii="Times New Roman" w:eastAsia="Times New Roman" w:hAnsi="Times New Roman" w:cs="Times New Roman"/>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0E959FC"/>
    <w:multiLevelType w:val="multilevel"/>
    <w:tmpl w:val="BFF24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A4E4570"/>
    <w:multiLevelType w:val="multilevel"/>
    <w:tmpl w:val="5180FD4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A5C0171"/>
    <w:multiLevelType w:val="multilevel"/>
    <w:tmpl w:val="FB98A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A8C1E6F"/>
    <w:multiLevelType w:val="hybridMultilevel"/>
    <w:tmpl w:val="9564BAB8"/>
    <w:lvl w:ilvl="0" w:tplc="7046B36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BBC3C27"/>
    <w:multiLevelType w:val="multilevel"/>
    <w:tmpl w:val="E5EC156A"/>
    <w:lvl w:ilvl="0">
      <w:start w:val="1"/>
      <w:numFmt w:val="bullet"/>
      <w:lvlText w:val="●"/>
      <w:lvlJc w:val="left"/>
      <w:pPr>
        <w:ind w:left="720" w:hanging="360"/>
      </w:pPr>
      <w:rPr>
        <w:rFonts w:ascii="Arial" w:eastAsia="Arial" w:hAnsi="Arial" w:cs="Arial"/>
        <w:color w:val="55555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BC91B33"/>
    <w:multiLevelType w:val="hybridMultilevel"/>
    <w:tmpl w:val="DBB438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ED87BD6"/>
    <w:multiLevelType w:val="multilevel"/>
    <w:tmpl w:val="43C66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0C390E"/>
    <w:multiLevelType w:val="multilevel"/>
    <w:tmpl w:val="222C3BD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F233513"/>
    <w:multiLevelType w:val="multilevel"/>
    <w:tmpl w:val="AC2456A2"/>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53827A8B"/>
    <w:multiLevelType w:val="multilevel"/>
    <w:tmpl w:val="F35ED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7103C9A"/>
    <w:multiLevelType w:val="hybridMultilevel"/>
    <w:tmpl w:val="28D26696"/>
    <w:lvl w:ilvl="0" w:tplc="3ED267EC">
      <w:start w:val="6"/>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170E23"/>
    <w:multiLevelType w:val="multilevel"/>
    <w:tmpl w:val="149C0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9543399"/>
    <w:multiLevelType w:val="multilevel"/>
    <w:tmpl w:val="4F8AD0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AE13A2F"/>
    <w:multiLevelType w:val="multilevel"/>
    <w:tmpl w:val="C9AC85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FBE5364"/>
    <w:multiLevelType w:val="multilevel"/>
    <w:tmpl w:val="F21A6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8BA02C5"/>
    <w:multiLevelType w:val="multilevel"/>
    <w:tmpl w:val="F202E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96104DB"/>
    <w:multiLevelType w:val="multilevel"/>
    <w:tmpl w:val="ECE8371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FCD6504"/>
    <w:multiLevelType w:val="multilevel"/>
    <w:tmpl w:val="0DF4B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2917BEC"/>
    <w:multiLevelType w:val="multilevel"/>
    <w:tmpl w:val="E3723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96A1A1F"/>
    <w:multiLevelType w:val="multilevel"/>
    <w:tmpl w:val="8D52E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9EA5A68"/>
    <w:multiLevelType w:val="hybridMultilevel"/>
    <w:tmpl w:val="0D86239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7B996DAE"/>
    <w:multiLevelType w:val="hybridMultilevel"/>
    <w:tmpl w:val="EE9C8F4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E821505"/>
    <w:multiLevelType w:val="multilevel"/>
    <w:tmpl w:val="3FD09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7089355">
    <w:abstractNumId w:val="41"/>
  </w:num>
  <w:num w:numId="2" w16cid:durableId="2063407236">
    <w:abstractNumId w:val="17"/>
  </w:num>
  <w:num w:numId="3" w16cid:durableId="1133597036">
    <w:abstractNumId w:val="7"/>
  </w:num>
  <w:num w:numId="4" w16cid:durableId="940575683">
    <w:abstractNumId w:val="16"/>
  </w:num>
  <w:num w:numId="5" w16cid:durableId="774401319">
    <w:abstractNumId w:val="34"/>
  </w:num>
  <w:num w:numId="6" w16cid:durableId="1819806902">
    <w:abstractNumId w:val="10"/>
  </w:num>
  <w:num w:numId="7" w16cid:durableId="21128184">
    <w:abstractNumId w:val="37"/>
  </w:num>
  <w:num w:numId="8" w16cid:durableId="814027094">
    <w:abstractNumId w:val="23"/>
  </w:num>
  <w:num w:numId="9" w16cid:durableId="533276307">
    <w:abstractNumId w:val="26"/>
  </w:num>
  <w:num w:numId="10" w16cid:durableId="1609387198">
    <w:abstractNumId w:val="36"/>
  </w:num>
  <w:num w:numId="11" w16cid:durableId="72775827">
    <w:abstractNumId w:val="6"/>
  </w:num>
  <w:num w:numId="12" w16cid:durableId="301888633">
    <w:abstractNumId w:val="11"/>
  </w:num>
  <w:num w:numId="13" w16cid:durableId="25640204">
    <w:abstractNumId w:val="38"/>
  </w:num>
  <w:num w:numId="14" w16cid:durableId="81295900">
    <w:abstractNumId w:val="15"/>
  </w:num>
  <w:num w:numId="15" w16cid:durableId="2039310462">
    <w:abstractNumId w:val="32"/>
  </w:num>
  <w:num w:numId="16" w16cid:durableId="1181774363">
    <w:abstractNumId w:val="4"/>
  </w:num>
  <w:num w:numId="17" w16cid:durableId="520555162">
    <w:abstractNumId w:val="25"/>
  </w:num>
  <w:num w:numId="18" w16cid:durableId="1589775522">
    <w:abstractNumId w:val="12"/>
  </w:num>
  <w:num w:numId="19" w16cid:durableId="1755470253">
    <w:abstractNumId w:val="33"/>
  </w:num>
  <w:num w:numId="20" w16cid:durableId="162202536">
    <w:abstractNumId w:val="20"/>
  </w:num>
  <w:num w:numId="21" w16cid:durableId="842167925">
    <w:abstractNumId w:val="31"/>
  </w:num>
  <w:num w:numId="22" w16cid:durableId="226453911">
    <w:abstractNumId w:val="14"/>
  </w:num>
  <w:num w:numId="23" w16cid:durableId="1845851298">
    <w:abstractNumId w:val="27"/>
  </w:num>
  <w:num w:numId="24" w16cid:durableId="823010144">
    <w:abstractNumId w:val="19"/>
  </w:num>
  <w:num w:numId="25" w16cid:durableId="801969876">
    <w:abstractNumId w:val="21"/>
  </w:num>
  <w:num w:numId="26" w16cid:durableId="894971369">
    <w:abstractNumId w:val="8"/>
  </w:num>
  <w:num w:numId="27" w16cid:durableId="1178690686">
    <w:abstractNumId w:val="18"/>
  </w:num>
  <w:num w:numId="28" w16cid:durableId="1779445784">
    <w:abstractNumId w:val="35"/>
  </w:num>
  <w:num w:numId="29" w16cid:durableId="1085416527">
    <w:abstractNumId w:val="1"/>
  </w:num>
  <w:num w:numId="30" w16cid:durableId="394932882">
    <w:abstractNumId w:val="0"/>
  </w:num>
  <w:num w:numId="31" w16cid:durableId="1072772261">
    <w:abstractNumId w:val="2"/>
  </w:num>
  <w:num w:numId="32" w16cid:durableId="1686051444">
    <w:abstractNumId w:val="30"/>
  </w:num>
  <w:num w:numId="33" w16cid:durableId="1746798348">
    <w:abstractNumId w:val="28"/>
  </w:num>
  <w:num w:numId="34" w16cid:durableId="315260440">
    <w:abstractNumId w:val="13"/>
  </w:num>
  <w:num w:numId="35" w16cid:durableId="1664308831">
    <w:abstractNumId w:val="22"/>
  </w:num>
  <w:num w:numId="36" w16cid:durableId="15040262">
    <w:abstractNumId w:val="24"/>
  </w:num>
  <w:num w:numId="37" w16cid:durableId="689917867">
    <w:abstractNumId w:val="39"/>
  </w:num>
  <w:num w:numId="38" w16cid:durableId="1793206348">
    <w:abstractNumId w:val="29"/>
  </w:num>
  <w:num w:numId="39" w16cid:durableId="743070939">
    <w:abstractNumId w:val="40"/>
  </w:num>
  <w:num w:numId="40" w16cid:durableId="884832505">
    <w:abstractNumId w:val="3"/>
  </w:num>
  <w:num w:numId="41" w16cid:durableId="422146691">
    <w:abstractNumId w:val="9"/>
  </w:num>
  <w:num w:numId="42" w16cid:durableId="656222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185"/>
    <w:rsid w:val="00035696"/>
    <w:rsid w:val="000356ED"/>
    <w:rsid w:val="0017525C"/>
    <w:rsid w:val="001C26D8"/>
    <w:rsid w:val="002D4890"/>
    <w:rsid w:val="00306A83"/>
    <w:rsid w:val="00321F83"/>
    <w:rsid w:val="003B4185"/>
    <w:rsid w:val="00586DB8"/>
    <w:rsid w:val="005C631A"/>
    <w:rsid w:val="006803DD"/>
    <w:rsid w:val="007C5C61"/>
    <w:rsid w:val="00891BEE"/>
    <w:rsid w:val="00947169"/>
    <w:rsid w:val="009C1366"/>
    <w:rsid w:val="00AC7B67"/>
    <w:rsid w:val="00AE205E"/>
    <w:rsid w:val="00B968BE"/>
    <w:rsid w:val="00C13B21"/>
    <w:rsid w:val="00D40091"/>
    <w:rsid w:val="00F40C8C"/>
    <w:rsid w:val="00FA3991"/>
    <w:rsid w:val="00FF3C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00E1B"/>
  <w15:docId w15:val="{8CA644BD-9177-ED4F-84C6-AE924B35D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40C8C"/>
    <w:pPr>
      <w:keepNext/>
      <w:keepLines/>
      <w:spacing w:before="480" w:after="120"/>
      <w:outlineLvl w:val="0"/>
    </w:pPr>
    <w:rPr>
      <w:rFonts w:ascii="Times New Roman" w:hAnsi="Times New Roman"/>
      <w:b/>
      <w:szCs w:val="48"/>
    </w:rPr>
  </w:style>
  <w:style w:type="paragraph" w:styleId="Heading2">
    <w:name w:val="heading 2"/>
    <w:basedOn w:val="Normal"/>
    <w:next w:val="Normal"/>
    <w:uiPriority w:val="9"/>
    <w:unhideWhenUsed/>
    <w:qFormat/>
    <w:rsid w:val="00F40C8C"/>
    <w:pPr>
      <w:keepNext/>
      <w:keepLines/>
      <w:spacing w:before="360" w:after="80"/>
      <w:outlineLvl w:val="1"/>
    </w:pPr>
    <w:rPr>
      <w:rFonts w:asciiTheme="majorBidi" w:hAnsiTheme="majorBidi"/>
      <w:b/>
      <w:szCs w:val="36"/>
    </w:rPr>
  </w:style>
  <w:style w:type="paragraph" w:styleId="Heading3">
    <w:name w:val="heading 3"/>
    <w:basedOn w:val="Normal"/>
    <w:next w:val="Normal"/>
    <w:uiPriority w:val="9"/>
    <w:unhideWhenUsed/>
    <w:qFormat/>
    <w:rsid w:val="00306A83"/>
    <w:pPr>
      <w:keepNext/>
      <w:keepLines/>
      <w:spacing w:before="280" w:after="80"/>
      <w:outlineLvl w:val="2"/>
    </w:pPr>
    <w:rPr>
      <w:rFonts w:asciiTheme="majorBidi" w:hAnsiTheme="majorBidi"/>
      <w:b/>
      <w:szCs w:val="28"/>
    </w:rPr>
  </w:style>
  <w:style w:type="paragraph" w:styleId="Heading4">
    <w:name w:val="heading 4"/>
    <w:basedOn w:val="Normal"/>
    <w:next w:val="Normal"/>
    <w:uiPriority w:val="9"/>
    <w:unhideWhenUsed/>
    <w:qFormat/>
    <w:rsid w:val="00FF3C17"/>
    <w:pPr>
      <w:keepNext/>
      <w:keepLines/>
      <w:spacing w:before="240" w:after="40"/>
      <w:outlineLvl w:val="3"/>
    </w:pPr>
    <w:rPr>
      <w:rFonts w:asciiTheme="majorBidi" w:hAnsiTheme="majorBidi"/>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List Paragraph (numbered (a)),Lapis Bulleted List,Medium Grid 1 - Accent 21,Paragraphe de liste 1,RM1,Paragraphe,Paragraphe  revu,List Paragraph nowy,Numbered paragraph,Dot pt,Bullets,References,lp1,Liste de points,KRA2,List Square"/>
    <w:basedOn w:val="Normal"/>
    <w:link w:val="ListParagraphChar"/>
    <w:uiPriority w:val="34"/>
    <w:qFormat/>
    <w:rsid w:val="008E353E"/>
    <w:pPr>
      <w:spacing w:after="160" w:line="259" w:lineRule="auto"/>
      <w:ind w:left="720"/>
      <w:contextualSpacing/>
    </w:pPr>
    <w:rPr>
      <w:rFonts w:cs="Times New Roman"/>
      <w:sz w:val="22"/>
      <w:szCs w:val="22"/>
      <w:lang w:val="x-none"/>
    </w:rPr>
  </w:style>
  <w:style w:type="character" w:customStyle="1" w:styleId="ListParagraphChar">
    <w:name w:val="List Paragraph Char"/>
    <w:aliases w:val="List Paragraph (numbered (a)) Char,Lapis Bulleted List Char,Medium Grid 1 - Accent 21 Char,Paragraphe de liste 1 Char,RM1 Char,Paragraphe Char,Paragraphe  revu Char,List Paragraph nowy Char,Numbered paragraph Char,Dot pt Char"/>
    <w:link w:val="ListParagraph"/>
    <w:uiPriority w:val="34"/>
    <w:rsid w:val="008E353E"/>
    <w:rPr>
      <w:rFonts w:ascii="Calibri" w:eastAsia="Calibri" w:hAnsi="Calibri" w:cs="Times New Roman"/>
      <w:sz w:val="22"/>
      <w:szCs w:val="22"/>
      <w:lang w:val="x-none"/>
    </w:rPr>
  </w:style>
  <w:style w:type="paragraph" w:styleId="NormalWeb">
    <w:name w:val="Normal (Web)"/>
    <w:basedOn w:val="Normal"/>
    <w:uiPriority w:val="99"/>
    <w:unhideWhenUsed/>
    <w:rsid w:val="009A50B5"/>
    <w:pPr>
      <w:spacing w:before="100" w:beforeAutospacing="1" w:after="100" w:afterAutospacing="1"/>
    </w:pPr>
    <w:rPr>
      <w:rFonts w:ascii="Times New Roman" w:eastAsia="Times New Roman" w:hAnsi="Times New Roman" w:cs="Times New Roman"/>
      <w:lang w:eastAsia="fr-FR"/>
    </w:rPr>
  </w:style>
  <w:style w:type="paragraph" w:styleId="FootnoteText">
    <w:name w:val="footnote text"/>
    <w:basedOn w:val="Normal"/>
    <w:link w:val="FootnoteTextChar"/>
    <w:uiPriority w:val="99"/>
    <w:semiHidden/>
    <w:unhideWhenUsed/>
    <w:rsid w:val="00BB7B9E"/>
    <w:rPr>
      <w:sz w:val="20"/>
      <w:szCs w:val="20"/>
    </w:rPr>
  </w:style>
  <w:style w:type="character" w:customStyle="1" w:styleId="FootnoteTextChar">
    <w:name w:val="Footnote Text Char"/>
    <w:basedOn w:val="DefaultParagraphFont"/>
    <w:link w:val="FootnoteText"/>
    <w:uiPriority w:val="99"/>
    <w:semiHidden/>
    <w:rsid w:val="00BB7B9E"/>
    <w:rPr>
      <w:sz w:val="20"/>
      <w:szCs w:val="20"/>
    </w:rPr>
  </w:style>
  <w:style w:type="character" w:styleId="FootnoteReference">
    <w:name w:val="footnote reference"/>
    <w:basedOn w:val="DefaultParagraphFont"/>
    <w:uiPriority w:val="99"/>
    <w:semiHidden/>
    <w:unhideWhenUsed/>
    <w:rsid w:val="00BB7B9E"/>
    <w:rPr>
      <w:vertAlign w:val="superscript"/>
    </w:rPr>
  </w:style>
  <w:style w:type="character" w:styleId="Hyperlink">
    <w:name w:val="Hyperlink"/>
    <w:basedOn w:val="DefaultParagraphFont"/>
    <w:uiPriority w:val="99"/>
    <w:unhideWhenUsed/>
    <w:rsid w:val="00BB7B9E"/>
    <w:rPr>
      <w:color w:val="0563C1" w:themeColor="hyperlink"/>
      <w:u w:val="single"/>
    </w:rPr>
  </w:style>
  <w:style w:type="character" w:customStyle="1" w:styleId="Mentionnonrsolue1">
    <w:name w:val="Mention non résolue1"/>
    <w:basedOn w:val="DefaultParagraphFont"/>
    <w:uiPriority w:val="99"/>
    <w:semiHidden/>
    <w:unhideWhenUsed/>
    <w:rsid w:val="00BB7B9E"/>
    <w:rPr>
      <w:color w:val="605E5C"/>
      <w:shd w:val="clear" w:color="auto" w:fill="E1DFDD"/>
    </w:rPr>
  </w:style>
  <w:style w:type="character" w:styleId="FollowedHyperlink">
    <w:name w:val="FollowedHyperlink"/>
    <w:basedOn w:val="DefaultParagraphFont"/>
    <w:uiPriority w:val="99"/>
    <w:semiHidden/>
    <w:unhideWhenUsed/>
    <w:rsid w:val="00BB7B9E"/>
    <w:rPr>
      <w:color w:val="954F72" w:themeColor="followedHyperlink"/>
      <w:u w:val="single"/>
    </w:rPr>
  </w:style>
  <w:style w:type="character" w:styleId="CommentReference">
    <w:name w:val="annotation reference"/>
    <w:basedOn w:val="DefaultParagraphFont"/>
    <w:uiPriority w:val="99"/>
    <w:semiHidden/>
    <w:unhideWhenUsed/>
    <w:rsid w:val="00BF4284"/>
    <w:rPr>
      <w:sz w:val="16"/>
      <w:szCs w:val="16"/>
    </w:rPr>
  </w:style>
  <w:style w:type="paragraph" w:styleId="CommentText">
    <w:name w:val="annotation text"/>
    <w:basedOn w:val="Normal"/>
    <w:link w:val="CommentTextChar"/>
    <w:uiPriority w:val="99"/>
    <w:semiHidden/>
    <w:unhideWhenUsed/>
    <w:rsid w:val="00BF4284"/>
    <w:rPr>
      <w:sz w:val="20"/>
      <w:szCs w:val="20"/>
    </w:rPr>
  </w:style>
  <w:style w:type="character" w:customStyle="1" w:styleId="CommentTextChar">
    <w:name w:val="Comment Text Char"/>
    <w:basedOn w:val="DefaultParagraphFont"/>
    <w:link w:val="CommentText"/>
    <w:uiPriority w:val="99"/>
    <w:semiHidden/>
    <w:rsid w:val="00BF4284"/>
    <w:rPr>
      <w:sz w:val="20"/>
      <w:szCs w:val="20"/>
    </w:rPr>
  </w:style>
  <w:style w:type="paragraph" w:styleId="CommentSubject">
    <w:name w:val="annotation subject"/>
    <w:basedOn w:val="CommentText"/>
    <w:next w:val="CommentText"/>
    <w:link w:val="CommentSubjectChar"/>
    <w:uiPriority w:val="99"/>
    <w:semiHidden/>
    <w:unhideWhenUsed/>
    <w:rsid w:val="00BF4284"/>
    <w:rPr>
      <w:b/>
      <w:bCs/>
    </w:rPr>
  </w:style>
  <w:style w:type="character" w:customStyle="1" w:styleId="CommentSubjectChar">
    <w:name w:val="Comment Subject Char"/>
    <w:basedOn w:val="CommentTextChar"/>
    <w:link w:val="CommentSubject"/>
    <w:uiPriority w:val="99"/>
    <w:semiHidden/>
    <w:rsid w:val="00BF4284"/>
    <w:rPr>
      <w:b/>
      <w:bCs/>
      <w:sz w:val="20"/>
      <w:szCs w:val="20"/>
    </w:rPr>
  </w:style>
  <w:style w:type="paragraph" w:styleId="Revision">
    <w:name w:val="Revision"/>
    <w:hidden/>
    <w:uiPriority w:val="99"/>
    <w:semiHidden/>
    <w:rsid w:val="002F7AB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40C8C"/>
    <w:pPr>
      <w:spacing w:after="0" w:line="276" w:lineRule="auto"/>
      <w:outlineLvl w:val="9"/>
    </w:pPr>
    <w:rPr>
      <w:rFonts w:asciiTheme="majorHAnsi" w:eastAsiaTheme="majorEastAsia" w:hAnsiTheme="majorHAnsi" w:cstheme="majorBidi"/>
      <w:bCs/>
      <w:color w:val="2F5496" w:themeColor="accent1" w:themeShade="BF"/>
      <w:sz w:val="28"/>
      <w:szCs w:val="28"/>
      <w:lang w:val="fr-CH"/>
    </w:rPr>
  </w:style>
  <w:style w:type="paragraph" w:styleId="TOC1">
    <w:name w:val="toc 1"/>
    <w:basedOn w:val="Normal"/>
    <w:next w:val="Normal"/>
    <w:autoRedefine/>
    <w:uiPriority w:val="39"/>
    <w:unhideWhenUsed/>
    <w:rsid w:val="00035696"/>
    <w:pPr>
      <w:tabs>
        <w:tab w:val="right" w:leader="dot" w:pos="9056"/>
      </w:tabs>
      <w:spacing w:before="120"/>
    </w:pPr>
    <w:rPr>
      <w:rFonts w:asciiTheme="majorBidi" w:hAnsiTheme="majorBidi" w:cstheme="majorBidi"/>
      <w:b/>
      <w:bCs/>
      <w:i/>
      <w:iCs/>
      <w:noProof/>
      <w:sz w:val="22"/>
      <w:szCs w:val="22"/>
    </w:rPr>
  </w:style>
  <w:style w:type="paragraph" w:styleId="TOC2">
    <w:name w:val="toc 2"/>
    <w:basedOn w:val="Normal"/>
    <w:next w:val="Normal"/>
    <w:autoRedefine/>
    <w:uiPriority w:val="39"/>
    <w:unhideWhenUsed/>
    <w:rsid w:val="00F40C8C"/>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F40C8C"/>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F40C8C"/>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F40C8C"/>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F40C8C"/>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F40C8C"/>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F40C8C"/>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F40C8C"/>
    <w:pPr>
      <w:ind w:left="1920"/>
    </w:pPr>
    <w:rPr>
      <w:rFonts w:asciiTheme="minorHAnsi" w:hAnsiTheme="minorHAnsi" w:cstheme="minorHAnsi"/>
      <w:sz w:val="20"/>
    </w:rPr>
  </w:style>
  <w:style w:type="character" w:styleId="UnresolvedMention">
    <w:name w:val="Unresolved Mention"/>
    <w:basedOn w:val="DefaultParagraphFont"/>
    <w:uiPriority w:val="99"/>
    <w:semiHidden/>
    <w:unhideWhenUsed/>
    <w:rsid w:val="0017525C"/>
    <w:rPr>
      <w:color w:val="605E5C"/>
      <w:shd w:val="clear" w:color="auto" w:fill="E1DFDD"/>
    </w:rPr>
  </w:style>
  <w:style w:type="paragraph" w:styleId="Header">
    <w:name w:val="header"/>
    <w:basedOn w:val="Normal"/>
    <w:link w:val="HeaderChar"/>
    <w:uiPriority w:val="99"/>
    <w:unhideWhenUsed/>
    <w:rsid w:val="00AE205E"/>
    <w:pPr>
      <w:tabs>
        <w:tab w:val="center" w:pos="4536"/>
        <w:tab w:val="right" w:pos="9072"/>
      </w:tabs>
    </w:pPr>
  </w:style>
  <w:style w:type="character" w:customStyle="1" w:styleId="HeaderChar">
    <w:name w:val="Header Char"/>
    <w:basedOn w:val="DefaultParagraphFont"/>
    <w:link w:val="Header"/>
    <w:uiPriority w:val="99"/>
    <w:rsid w:val="00AE205E"/>
  </w:style>
  <w:style w:type="paragraph" w:styleId="Footer">
    <w:name w:val="footer"/>
    <w:basedOn w:val="Normal"/>
    <w:link w:val="FooterChar"/>
    <w:uiPriority w:val="99"/>
    <w:unhideWhenUsed/>
    <w:rsid w:val="00AE205E"/>
    <w:pPr>
      <w:tabs>
        <w:tab w:val="center" w:pos="4536"/>
        <w:tab w:val="right" w:pos="9072"/>
      </w:tabs>
    </w:pPr>
  </w:style>
  <w:style w:type="character" w:customStyle="1" w:styleId="FooterChar">
    <w:name w:val="Footer Char"/>
    <w:basedOn w:val="DefaultParagraphFont"/>
    <w:link w:val="Footer"/>
    <w:uiPriority w:val="99"/>
    <w:rsid w:val="00AE205E"/>
  </w:style>
  <w:style w:type="table" w:styleId="TableGrid">
    <w:name w:val="Table Grid"/>
    <w:basedOn w:val="TableNormal"/>
    <w:uiPriority w:val="39"/>
    <w:rsid w:val="00C13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036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r.wikipedia.org/w/index.php?title=Inza_Tour%C3%A9&amp;action=edit&amp;redlink=1"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jeuneafrique.com/mag/782420/politique/cote-divoire-comment-hamed-bakayoko-a-resserre-les-rangs-de-larmee/"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euneafrique.com/mag/782420/politique/cote-divoire-comment-hamed-bakayoko-a-resserre-les-rangs-de-larmee/" TargetMode="External"/><Relationship Id="rId22" Type="http://schemas.openxmlformats.org/officeDocument/2006/relationships/customXml" Target="../customXml/item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6" Type="http://schemas.openxmlformats.org/officeDocument/2006/relationships/hyperlink" Target="https://www.facebook.com/share/p/PUrjncHyxJNADrTs/?mibextid=WC7FNe" TargetMode="External"/><Relationship Id="rId21" Type="http://schemas.openxmlformats.org/officeDocument/2006/relationships/hyperlink" Target="https://www.omct.org/fr/ressources/appels-urgents/arbitrary-detention-of-ms-pulch%C3%A9rie-gbalet-and-messrs-g%C3%A9d%C3%A9on-junior-gbaou-cyrille-djehi-bi-and-aim%C3%A9-c%C3%A9sar-kouakou-ngoran" TargetMode="External"/><Relationship Id="rId42" Type="http://schemas.openxmlformats.org/officeDocument/2006/relationships/hyperlink" Target="https://www.hrw.org/fr/news/2020/12/02/cote-divoire-violences-postelectorales-et-repression" TargetMode="External"/><Relationship Id="rId47" Type="http://schemas.openxmlformats.org/officeDocument/2006/relationships/hyperlink" Target="https://docstore.ohchr.org/SelfServices/FilesHandler.ashx?enc=6QkG1d%2FPPRiCAqhKb7yhssHwKY8fdRFym%2Bhdogi7mzKsPQb1anLFdzgB6sf6TRQJhJ42bNI0yIgZtbiSfCUA882bCUtdnN5BH9lCy54oe95YjY95DjpF1jQFzIYaYfwG" TargetMode="External"/><Relationship Id="rId63" Type="http://schemas.openxmlformats.org/officeDocument/2006/relationships/hyperlink" Target="https://www.fidh.org/fr/regions/afrique/cote-d-ivoire/cote-d-ivoire-le-conseil-d-etat-encourage-l-impunite" TargetMode="External"/><Relationship Id="rId68" Type="http://schemas.openxmlformats.org/officeDocument/2006/relationships/hyperlink" Target="https://www.ictj.org/sites/default/files/ICTJ-Report-CDI-Prosecutions-2016-French.pdf" TargetMode="External"/><Relationship Id="rId84" Type="http://schemas.openxmlformats.org/officeDocument/2006/relationships/hyperlink" Target="http://www.gouv.ci/_actualite-article.php?d=1&amp;recordID=9619&amp;p=9" TargetMode="External"/><Relationship Id="rId89" Type="http://schemas.openxmlformats.org/officeDocument/2006/relationships/hyperlink" Target="https://www.fgmcri.org/media/uploads/Country%20Research%20and%20Resources/Cote%20d%20Ivoire/cote_d'ivoire_short_report_v1_(march_2020)_french.pdf" TargetMode="External"/><Relationship Id="rId112" Type="http://schemas.openxmlformats.org/officeDocument/2006/relationships/hyperlink" Target="https://afriksoir.net/cote-divoire-45-docteurs-chomeurs-condamnes-a-4-mois-de-prison-avec-sursis/" TargetMode="External"/><Relationship Id="rId16" Type="http://schemas.openxmlformats.org/officeDocument/2006/relationships/hyperlink" Target="https://decfinex.tresor.gouv.ci/decfinex/textes/s-d_lutte-crim-finance/lois-reglements/loi-2015-493-du-7-juillet-2015-portant-repression-du-terrorisme.pdf" TargetMode="External"/><Relationship Id="rId107" Type="http://schemas.openxmlformats.org/officeDocument/2006/relationships/hyperlink" Target="https://www.bbc.com/afrique/region-53833102" TargetMode="External"/><Relationship Id="rId11" Type="http://schemas.openxmlformats.org/officeDocument/2006/relationships/hyperlink" Target="https://shs.hal.science/halshs-03199516v1/document" TargetMode="External"/><Relationship Id="rId32" Type="http://schemas.openxmlformats.org/officeDocument/2006/relationships/hyperlink" Target="https://docstore.ohchr.org/SelfServices/FilesHandler.ashx?enc=6QkG1d%2FPPRiCAqhKb7yhssHwKY8fdRFym%2Bhdogi7mzKsPQb1anLFdzgB6sf6TRQJhJ42bNI0yIgZtbiSfCUA882bCUtdnN5BH9lCy54oe95YjY95DjpF1jQFzIYaYfwG" TargetMode="External"/><Relationship Id="rId37" Type="http://schemas.openxmlformats.org/officeDocument/2006/relationships/hyperlink" Target="https://www.amnesty.org/fr/latest/press-release/2020/08/cote-d-ivoire-police-allow-machete-wielding-men-to-attack-protesters/" TargetMode="External"/><Relationship Id="rId53" Type="http://schemas.openxmlformats.org/officeDocument/2006/relationships/hyperlink" Target="https://www.fidh.org/IMG/pdf/rapport_co_te_d_ivoire_no796f_pdf_web_ok_ok_au_12_juillet_2022.pdf" TargetMode="External"/><Relationship Id="rId58" Type="http://schemas.openxmlformats.org/officeDocument/2006/relationships/hyperlink" Target="https://www.gouv.ci/rss_conseil_rss.php?recordID=274" TargetMode="External"/><Relationship Id="rId74" Type="http://schemas.openxmlformats.org/officeDocument/2006/relationships/hyperlink" Target="https://www.fidh.org/IMG/pdf/rapport_co_te_d_ivoire_no796f_pdf_web_ok_ok_au_12_juillet_2022.pdf%20%20https://www.jeuneafrique.com/1155680/politique/cote-divoire-massacre-de-duekoue-amade-oueremi-condamne-a-la-prison-a-vie/" TargetMode="External"/><Relationship Id="rId79" Type="http://schemas.openxmlformats.org/officeDocument/2006/relationships/hyperlink" Target="https://www.jeuneafrique.com/319997/societe/cote-divoire-commission-nationale-reconciliation-lindemnisation-a-remis-%20rapport" TargetMode="External"/><Relationship Id="rId102" Type="http://schemas.openxmlformats.org/officeDocument/2006/relationships/hyperlink" Target="https://news.abidjan.net/articles/678439/index" TargetMode="External"/><Relationship Id="rId5" Type="http://schemas.openxmlformats.org/officeDocument/2006/relationships/hyperlink" Target="https://docstore.ohchr.org/SelfServices/FilesHandler.ashx?enc=6QkG1d%2FPPRiCAqhKb7yhsqacFbo%2BB7LLxsF9zyDCZXF5ujIOMpksz3xExJ1KywAU2H3nwJSMnIzeIPJP3tUYmzqRYLLu3b%2BiuizSiKuM3R%2BJJ43DNn0O4aIhrWpASSIi" TargetMode="External"/><Relationship Id="rId90" Type="http://schemas.openxmlformats.org/officeDocument/2006/relationships/hyperlink" Target="https://tbinternet.ohchr.org/_layouts/15/treatybodyexternal/Download.aspx?symbolno=CEDAW%2FC%2FCIV%2FCO%2F4&amp;Lang=fr" TargetMode="External"/><Relationship Id="rId95" Type="http://schemas.openxmlformats.org/officeDocument/2006/relationships/hyperlink" Target="https://www.frontlinedefenders.org/en/case/human-rights-defender-konan-yao-hubert-trial" TargetMode="External"/><Relationship Id="rId22" Type="http://schemas.openxmlformats.org/officeDocument/2006/relationships/hyperlink" Target="https://www.despse.ci/directions-et-services-rattaches-au-cabinet/" TargetMode="External"/><Relationship Id="rId27" Type="http://schemas.openxmlformats.org/officeDocument/2006/relationships/hyperlink" Target="https://crocinfos.net/torture-par-electrocution-a-duekoue-un-jeune-accuse-de-vol-de-plaquettes-doeufs/amp/" TargetMode="External"/><Relationship Id="rId43" Type="http://schemas.openxmlformats.org/officeDocument/2006/relationships/hyperlink" Target="https://www.hrw.org/fr/news/2020/12/02/cote-divoire-violences-postelectorales-et-repression" TargetMode="External"/><Relationship Id="rId48" Type="http://schemas.openxmlformats.org/officeDocument/2006/relationships/hyperlink" Target="https://www.afrique-sur7.ci/478711-charnier-yopougon-rhdp-enquete" TargetMode="External"/><Relationship Id="rId64" Type="http://schemas.openxmlformats.org/officeDocument/2006/relationships/hyperlink" Target="https://news.un.org/fr/story/2021/03/1093092" TargetMode="External"/><Relationship Id="rId69" Type="http://schemas.openxmlformats.org/officeDocument/2006/relationships/hyperlink" Target="http://65.52.131.71/bndgtcp/opac_css/daril/2011-167-.pdf" TargetMode="External"/><Relationship Id="rId113" Type="http://schemas.openxmlformats.org/officeDocument/2006/relationships/hyperlink" Target="https://afriksoir.net/cote-divoire-45-docteurs-chomeurs-condamnes-a-4-mois-de-prison-avec-sursis/" TargetMode="External"/><Relationship Id="rId80" Type="http://schemas.openxmlformats.org/officeDocument/2006/relationships/hyperlink" Target="https://www.jeuneafrique.com/319997/societe/cote-divoire-commission-nationale-reconciliation-lindemnisation-a-remis-%20rapport" TargetMode="External"/><Relationship Id="rId85" Type="http://schemas.openxmlformats.org/officeDocument/2006/relationships/hyperlink" Target="https://www.caidp.ci/uploads/52782e1004ad2bbfd4d17dbf1c33384f.pdf" TargetMode="External"/><Relationship Id="rId12" Type="http://schemas.openxmlformats.org/officeDocument/2006/relationships/hyperlink" Target="http://www.courtecowas.org/wp-content/uploads/2023/12/JUDGMENT-TRAORE-MOUSSA-V-COTE-DIVOIRE-FRN.pdf" TargetMode="External"/><Relationship Id="rId17" Type="http://schemas.openxmlformats.org/officeDocument/2006/relationships/hyperlink" Target="https://documents.un.org/doc/undoc/gen/g19/347/78/pdf/g1934778.pdf?token=JS91jhCQ9bK9UUUQw2&amp;fe=true" TargetMode="External"/><Relationship Id="rId33" Type="http://schemas.openxmlformats.org/officeDocument/2006/relationships/hyperlink" Target="https://www.fidh.org/IMG/pdf/rapport_co_te_d_ivoire_no796f_pdf_web_ok_ok_au_12_juillet_2022.pdf" TargetMode="External"/><Relationship Id="rId38" Type="http://schemas.openxmlformats.org/officeDocument/2006/relationships/hyperlink" Target="https://www.lemonde.fr/afrique/article/2024/03/21/pulcherie-gbalet-militante-de-tous-les-combats-en-cote-d-ivoire_6223270_3212.html" TargetMode="External"/><Relationship Id="rId59" Type="http://schemas.openxmlformats.org/officeDocument/2006/relationships/hyperlink" Target="https://www.fidh.org/IMG/pdf/rapport_co_te_d_ivoire_no796f_pdf_web_ok_ok_au_12_juillet_2022.pdf" TargetMode="External"/><Relationship Id="rId103" Type="http://schemas.openxmlformats.org/officeDocument/2006/relationships/hyperlink" Target="https://news.abidjan.net/articles/678439/index" TargetMode="External"/><Relationship Id="rId108" Type="http://schemas.openxmlformats.org/officeDocument/2006/relationships/hyperlink" Target="https://afriksoir.net/cote-divoire-une-trentaine-de-producteurs-de-cafe-cacao-arretes-au-plateau-au-cours-dune-manifestation/" TargetMode="External"/><Relationship Id="rId54" Type="http://schemas.openxmlformats.org/officeDocument/2006/relationships/hyperlink" Target="https://www.hrw.org/fr/news/2017/03/29/cote-divoire-simone-gbagbo-acquittee-lissue-dun-proces-entache-dirregularites" TargetMode="External"/><Relationship Id="rId70" Type="http://schemas.openxmlformats.org/officeDocument/2006/relationships/hyperlink" Target="https://www.gouv.ci/doc/presse/1477497207RAPPORT%20FINAL_CDVR.pdf" TargetMode="External"/><Relationship Id="rId75" Type="http://schemas.openxmlformats.org/officeDocument/2006/relationships/hyperlink" Target="https://www.fidh.org/IMG/pdf/co_te_d_ivoire_652f_web.pdf" TargetMode="External"/><Relationship Id="rId91" Type="http://schemas.openxmlformats.org/officeDocument/2006/relationships/hyperlink" Target="https://ofpra.gouv.fr/sites/default/files/ofpra_flora/2303_civ_msf_158204_web.pdf" TargetMode="External"/><Relationship Id="rId96" Type="http://schemas.openxmlformats.org/officeDocument/2006/relationships/hyperlink" Target="https://www.laurore.net/droits-humains-la-ligue-ivoirienne-des-droits-des-femmes-apporte-son-soutien-a-sylvia-apata-apres-les-menaces-recues-communique/" TargetMode="External"/><Relationship Id="rId1" Type="http://schemas.openxmlformats.org/officeDocument/2006/relationships/hyperlink" Target="https://www.droit-afrique.com/uploads/RCI-Code-2019-penal.pdf" TargetMode="External"/><Relationship Id="rId6" Type="http://schemas.openxmlformats.org/officeDocument/2006/relationships/hyperlink" Target="https://www.pulse.ci/news/proces-sankara-letat-ivoirien-refuse-lextradition-de-blaise-compaore/4bdz7ty" TargetMode="External"/><Relationship Id="rId15" Type="http://schemas.openxmlformats.org/officeDocument/2006/relationships/hyperlink" Target="https://docstore.ohchr.org/SelfServices/FilesHandler.ashx?enc=6QkG1d%2FPPRiCAqhKb7yhssHwKY8fdRFym%2Bhdogi7mzKsPQb1anLFdzgB6sf6TRQJhJ42bNI0yIgZtbiSfCUA882bCUtdnN5BH9lCy54oe95YjY95DjpF1jQFzIYaYfwG" TargetMode="External"/><Relationship Id="rId23" Type="http://schemas.openxmlformats.org/officeDocument/2006/relationships/hyperlink" Target="https://uploads.mwp.mprod.getusinfo.com/uploads/sites/12/2023/06/FR-415610_COTE-DIVOIRE-2022-HUMAN-RIGHTS-REPORT.pdf" TargetMode="External"/><Relationship Id="rId28" Type="http://schemas.openxmlformats.org/officeDocument/2006/relationships/hyperlink" Target="https://cndh.ci/wp-content/uploads/2015/10/CNDH-RAP-IMPACT-DE-LA-SURPOP-DROITS-DES-DETENUS-A5-2.pdf" TargetMode="External"/><Relationship Id="rId36" Type="http://schemas.openxmlformats.org/officeDocument/2006/relationships/hyperlink" Target="https://www.amnesty.org/fr/latest/news/2021/03/cote-divoire-hundreds-arrested-still-languishing-in-detention/" TargetMode="External"/><Relationship Id="rId49" Type="http://schemas.openxmlformats.org/officeDocument/2006/relationships/hyperlink" Target="http://www.fidh.org/IMG/pdf/cotedivoirefr2013.pdf%20p.20" TargetMode="External"/><Relationship Id="rId57" Type="http://schemas.openxmlformats.org/officeDocument/2006/relationships/hyperlink" Target="https://www.ictj.org/sites/default/files/ICTJ-Report-CDI-Prosecutions-2016-French.pdf" TargetMode="External"/><Relationship Id="rId106" Type="http://schemas.openxmlformats.org/officeDocument/2006/relationships/hyperlink" Target="https://www.bbc.com/afrique/region-53833102" TargetMode="External"/><Relationship Id="rId114" Type="http://schemas.openxmlformats.org/officeDocument/2006/relationships/hyperlink" Target="https://www.frontlinedefenders.org/en/case/arbitrary-arrest-and-detention-four-human-rights-defenders" TargetMode="External"/><Relationship Id="rId10" Type="http://schemas.openxmlformats.org/officeDocument/2006/relationships/hyperlink" Target="https://www.aip.ci/36369/cote-divoire-aip-suite-a-la-mort-dun-instituteur-benevole-a-zeo-trois-personnes-placees-en-detention-preventive-parquet/" TargetMode="External"/><Relationship Id="rId31" Type="http://schemas.openxmlformats.org/officeDocument/2006/relationships/hyperlink" Target="https://psgouv.ci/welcome/details_sous_menu_gr3/point-synthetique-des-actions-menees884" TargetMode="External"/><Relationship Id="rId44" Type="http://schemas.openxmlformats.org/officeDocument/2006/relationships/hyperlink" Target="https://www.hrw.org/fr/news/2020/12/02/cote-divoire-violences-postelectorales-et-repression" TargetMode="External"/><Relationship Id="rId52" Type="http://schemas.openxmlformats.org/officeDocument/2006/relationships/hyperlink" Target="https://www.fidh.org/IMG/pdf/upload_decretprci_csei.pdf" TargetMode="External"/><Relationship Id="rId60" Type="http://schemas.openxmlformats.org/officeDocument/2006/relationships/hyperlink" Target="http://ekladata.com/TxC5zZfOUAFDYvBKDtc4GIfFouw.pdf" TargetMode="External"/><Relationship Id="rId65" Type="http://schemas.openxmlformats.org/officeDocument/2006/relationships/hyperlink" Target="https://www.icc-cpi.int/sites/default/files/CaseInformationSheets/gbagbo-goudeFra.pdf" TargetMode="External"/><Relationship Id="rId73" Type="http://schemas.openxmlformats.org/officeDocument/2006/relationships/hyperlink" Target="https://docstore.ohchr.org/SelfServices/FilesHandler.ashx?enc=6QkG1d%2FPPRiCAqhKb7yhssHwKY8fdRFym%2Bhdogi7mzKsPQb1anLFdzgB6sf6TRQJhJ42bNI0yIgZtbiSfCUA882bCUtdnN5BH9lCy54oe95YjY95DjpF1jQFzIYaYfwG" TargetMode="External"/><Relationship Id="rId78" Type="http://schemas.openxmlformats.org/officeDocument/2006/relationships/hyperlink" Target="https://www.jeuneafrique.com/319997/societe/cote-divoire-commission-nationale-reconciliation-lindemnisation-a-remis-%20rapport" TargetMode="External"/><Relationship Id="rId81" Type="http://schemas.openxmlformats.org/officeDocument/2006/relationships/hyperlink" Target="https://www.gouv.ci/_actualite-article.php?d=5&amp;recordID=8828&amp;p=545" TargetMode="External"/><Relationship Id="rId86" Type="http://schemas.openxmlformats.org/officeDocument/2006/relationships/hyperlink" Target="https://www.droit-afrique.com/uploads/RCI-Code-2019-penal.pdf" TargetMode="External"/><Relationship Id="rId94" Type="http://schemas.openxmlformats.org/officeDocument/2006/relationships/hyperlink" Target="https://www.frontlinedefenders.org/en/case/human-rights-defender-konan-yao-hubert-trial" TargetMode="External"/><Relationship Id="rId99" Type="http://schemas.openxmlformats.org/officeDocument/2006/relationships/hyperlink" Target="https://www.lemediacitoyen.com/libertes-publiques-no-vox-denonce-des-cas-de-harcelement-et-de-menaces-contre-sa-responsable/?fbclid=IwAR1RGrYmEVkFhGIYLzcI9CTeZlj5-Cjet25dAUaTXq_9zXe-LxSOkof2PM4" TargetMode="External"/><Relationship Id="rId101" Type="http://schemas.openxmlformats.org/officeDocument/2006/relationships/hyperlink" Target="https://www.lemonde.fr/afrique/article/2020/05/13/la-justice-ivoirienne-ouvre-une-enquete-sur-l-agression-d-un-journaliste-a-la-prison-d-abidjan_6039509_3212.html" TargetMode="External"/><Relationship Id="rId4" Type="http://schemas.openxmlformats.org/officeDocument/2006/relationships/hyperlink" Target="https://www.refworld.org/legal/legislation/natlegbod/2023/fr/147561" TargetMode="External"/><Relationship Id="rId9" Type="http://schemas.openxmlformats.org/officeDocument/2006/relationships/hyperlink" Target="https://www.facebook.com/share/p/PUrjncHyxJNADrTs/?mibextid=WC7FNe" TargetMode="External"/><Relationship Id="rId13" Type="http://schemas.openxmlformats.org/officeDocument/2006/relationships/hyperlink" Target="http://www.courtecowas.org/wp-content/uploads/2023/12/JUDGMENT-TRAORE-MOUSSA-V-COTE-DIVOIRE-FRN.pdf" TargetMode="External"/><Relationship Id="rId18" Type="http://schemas.openxmlformats.org/officeDocument/2006/relationships/hyperlink" Target="https://news.abidjan.net/articles/715305/cote-divoire-ouverture-du-proces-de-lattentat-terroriste-de-grand-bassam-au-tribunal-criminel-dabidjan" TargetMode="External"/><Relationship Id="rId39" Type="http://schemas.openxmlformats.org/officeDocument/2006/relationships/hyperlink" Target="https://www.frontlinedefenders.org/fr/case/ongoing-detention-woman-human-rights-defender-pulcherie-gbalet" TargetMode="External"/><Relationship Id="rId109" Type="http://schemas.openxmlformats.org/officeDocument/2006/relationships/hyperlink" Target="https://afriksoir.net/cote-divoire-une-trentaine-de-producteurs-de-cafe-cacao-arretes-au-plateau-au-cours-dune-manifestation/" TargetMode="External"/><Relationship Id="rId34" Type="http://schemas.openxmlformats.org/officeDocument/2006/relationships/hyperlink" Target="https://docstore.ohchr.org/SelfServices/FilesHandler.ashx?enc=6QkG1d%2FPPRiCAqhKb7yhssHwKY8fdRFym%2Bhdogi7mzKsPQb1anLFdzgB6sf6TRQJhJ42bNI0yIgZtbiSfCUA882bCUtdnN5BH9lCy54oe95YjY95DjpF1jQFzIYaYfwG" TargetMode="External"/><Relationship Id="rId50" Type="http://schemas.openxmlformats.org/officeDocument/2006/relationships/hyperlink" Target="https://www.fidh.org/IMG/pdf/cne_resume_rapport_d_enquete.pdf" TargetMode="External"/><Relationship Id="rId55" Type="http://schemas.openxmlformats.org/officeDocument/2006/relationships/hyperlink" Target="https://www.fidh.org/IMG/pdf/co_te_d_ivoire_652f_web.pdf" TargetMode="External"/><Relationship Id="rId76" Type="http://schemas.openxmlformats.org/officeDocument/2006/relationships/hyperlink" Target="https://www.gouv.ci/_communique-detail.php?recordID=293" TargetMode="External"/><Relationship Id="rId97" Type="http://schemas.openxmlformats.org/officeDocument/2006/relationships/hyperlink" Target="https://www.laurore.net/droits-humains-la-ligue-ivoirienne-des-droits-des-femmes-apporte-son-soutien-a-sylvia-apata-apres-les-menaces-recues-communique/" TargetMode="External"/><Relationship Id="rId104" Type="http://schemas.openxmlformats.org/officeDocument/2006/relationships/hyperlink" Target="https://www.amnesty.org/en/documents/pol10/3202/2021/en/" TargetMode="External"/><Relationship Id="rId7" Type="http://schemas.openxmlformats.org/officeDocument/2006/relationships/hyperlink" Target="https://www.bbc.com/afrique/region-61023340" TargetMode="External"/><Relationship Id="rId71" Type="http://schemas.openxmlformats.org/officeDocument/2006/relationships/hyperlink" Target="https://www.fidh.org/IMG/pdf/rapport_co_te_d_ivoire_no796f_pdf_web_ok_ok_au_12_juillet_2022.pdf%20%20https://www.jeuneafrique.com/1155680/politique/cote-divoire-massacre-de-duekoue-amade-oueremi-condamne-a-la-prison-a-vie/" TargetMode="External"/><Relationship Id="rId92" Type="http://schemas.openxmlformats.org/officeDocument/2006/relationships/hyperlink" Target="https://presseivoire.net/le-journaliste-konan-yao-hubert-condamne-5-ans-de-prison-ferme/" TargetMode="External"/><Relationship Id="rId2" Type="http://schemas.openxmlformats.org/officeDocument/2006/relationships/hyperlink" Target="https://ihl-databases.icrc.org/en/national-practice/prevention-and-prohibition-torture-act-2012-0" TargetMode="External"/><Relationship Id="rId29" Type="http://schemas.openxmlformats.org/officeDocument/2006/relationships/hyperlink" Target="https://www.fiacat.org/attachments/article/3088/Vivre%20l'Enfer%5Bmement%5D%20regard%20sur%20la%20condition%20des%20femmes%20et%20des%20mineur.es%20en%20d%C3%A9tention%20en%20RCI.pdf" TargetMode="External"/><Relationship Id="rId24" Type="http://schemas.openxmlformats.org/officeDocument/2006/relationships/hyperlink" Target="https://www.fiacat.org/images/pdf/Rapport_alternatif_RCI_59CADHP.pdf" TargetMode="External"/><Relationship Id="rId40" Type="http://schemas.openxmlformats.org/officeDocument/2006/relationships/hyperlink" Target="https://www.amnesty.org/fr/latest/press-release/2020/08/cote-d-ivoire-police-allow-machete-wielding-men-to-attack-protesters/" TargetMode="External"/><Relationship Id="rId45" Type="http://schemas.openxmlformats.org/officeDocument/2006/relationships/hyperlink" Target="https://www.amnesty.org/fr/latest/news/2023/03/cote-divoire-amnesty-international-exige-la-liberation-immediate-des-militants-du-ppa-ci-arbitrairement-detenus/?utm_source=annual_report&amp;utm_medium=pdf&amp;utm_campaign=2021" TargetMode="External"/><Relationship Id="rId66" Type="http://schemas.openxmlformats.org/officeDocument/2006/relationships/hyperlink" Target="https://web.ordredesavocats.ci/index.php/2023/11/09/rentree-judiciaire-2023-2024-de-la-cour-dappel-dabidjan/" TargetMode="External"/><Relationship Id="rId87" Type="http://schemas.openxmlformats.org/officeDocument/2006/relationships/hyperlink" Target="https://mics-surveys-prod.s3.amazonaws.com/MICS5/West%20and%20Central%20Africa/C%C3%B4te%20d%27Ivoire/2016/Final/Cote%20d%27Ivoire%202016%20MICS_French.pdf" TargetMode="External"/><Relationship Id="rId110" Type="http://schemas.openxmlformats.org/officeDocument/2006/relationships/hyperlink" Target="https://topnewsafrica.net/news/fonds-covid-19-24-producteurs-interpelles-mercredi-liberes-par-la-justice-ivoirienne" TargetMode="External"/><Relationship Id="rId115" Type="http://schemas.openxmlformats.org/officeDocument/2006/relationships/hyperlink" Target="https://www.frontlinedefenders.org/en/case/arbitrary-arrest-and-detention-four-human-rights-defenders" TargetMode="External"/><Relationship Id="rId61" Type="http://schemas.openxmlformats.org/officeDocument/2006/relationships/hyperlink" Target="https://www.jeuneafrique.com/613167/politique/cote-divoire-qui-sont-les-800-amnisties-de-ouattara/" TargetMode="External"/><Relationship Id="rId82" Type="http://schemas.openxmlformats.org/officeDocument/2006/relationships/hyperlink" Target="https://www.jeuneafrique.com/174134/archives-thematique/c-te-d-ivoire-ouattara-nomme-trois-anciens-chefs-de-guerre-de-la-r-bellion-la-t-te-de-r-gions-sensibles/" TargetMode="External"/><Relationship Id="rId19" Type="http://schemas.openxmlformats.org/officeDocument/2006/relationships/hyperlink" Target="https://www.linfodrome.com/politique/32642-fin-de-mission-de-l-onuci-voici-ceux-qui-ont-pris-possession-de-l-hotel-sebroko" TargetMode="External"/><Relationship Id="rId14" Type="http://schemas.openxmlformats.org/officeDocument/2006/relationships/hyperlink" Target="http://www.courtecowas.org/wp-content/uploads/2021/08/ARRET-ECW-CCJ-JUD-09-21-Kodjo-Alain-Victor-Claude-vs.-REP.-OF-COTE-DIVOIRE-26_04_21.pdf" TargetMode="External"/><Relationship Id="rId30" Type="http://schemas.openxmlformats.org/officeDocument/2006/relationships/hyperlink" Target="https://psgouv.ci/welcome/details_sous_menu_gr3/point-synthetique-des-actions-menees884" TargetMode="External"/><Relationship Id="rId35" Type="http://schemas.openxmlformats.org/officeDocument/2006/relationships/hyperlink" Target="https://www.amnesty.org/fr/latest/news/2019/02/cote-divoire-arbitrary-arrests-crackdown-on-dissent-and-torture/" TargetMode="External"/><Relationship Id="rId56" Type="http://schemas.openxmlformats.org/officeDocument/2006/relationships/hyperlink" Target="https://www.fidh.org/IMG/pdf/rapport_co_te_d_ivoire_no796f_pdf_web_ok_ok_au_12_juillet_2022.pdf%20%20https://www.jeuneafrique.com/1155680/politique/cote-divoire-massacre-de-duekoue-amade-oueremi-condamne-a-la-prison-a-vie/" TargetMode="External"/><Relationship Id="rId77" Type="http://schemas.openxmlformats.org/officeDocument/2006/relationships/hyperlink" Target="https://www.ictj.org/sites/default/files/ICTJ-Report-CDI-Prosecutions-2016-French.pdf" TargetMode="External"/><Relationship Id="rId100" Type="http://schemas.openxmlformats.org/officeDocument/2006/relationships/hyperlink" Target="https://www.lemonde.fr/afrique/article/2020/05/13/la-justice-ivoirienne-ouvre-une-enquete-sur-l-agression-d-un-journaliste-a-la-prison-d-abidjan_6039509_3212.html" TargetMode="External"/><Relationship Id="rId105" Type="http://schemas.openxmlformats.org/officeDocument/2006/relationships/hyperlink" Target="https://www.amnesty.org/en/documents/pol10/3202/2021/en/" TargetMode="External"/><Relationship Id="rId8" Type="http://schemas.openxmlformats.org/officeDocument/2006/relationships/hyperlink" Target="https://www.amnesty.org/fr/latest/news/2021/03/cote-divoire-hundreds-arrested-still-languishing-in-detention/" TargetMode="External"/><Relationship Id="rId51" Type="http://schemas.openxmlformats.org/officeDocument/2006/relationships/hyperlink" Target="https://www.ictj.org/sites/default/files/ICTJ-Report-CDI-Prosecutions-2016-French.pdf" TargetMode="External"/><Relationship Id="rId72" Type="http://schemas.openxmlformats.org/officeDocument/2006/relationships/hyperlink" Target="https://www.gouv.ci/_actualite-article.php?recordID=7048" TargetMode="External"/><Relationship Id="rId93" Type="http://schemas.openxmlformats.org/officeDocument/2006/relationships/hyperlink" Target="https://presseivoire.net/le-journaliste-konan-yao-hubert-condamne-5-ans-de-prison-ferme/" TargetMode="External"/><Relationship Id="rId98" Type="http://schemas.openxmlformats.org/officeDocument/2006/relationships/hyperlink" Target="https://www.lemediacitoyen.com/libertes-publiques-no-vox-denonce-des-cas-de-harcelement-et-de-menaces-contre-sa-responsable/?fbclid=IwAR1RGrYmEVkFhGIYLzcI9CTeZlj5-Cjet25dAUaTXq_9zXe-LxSOkof2PM4" TargetMode="External"/><Relationship Id="rId3" Type="http://schemas.openxmlformats.org/officeDocument/2006/relationships/hyperlink" Target="https://www.wipo.int/wipolex/en/text/283801" TargetMode="External"/><Relationship Id="rId25" Type="http://schemas.openxmlformats.org/officeDocument/2006/relationships/hyperlink" Target="https://www.ohchr.org/sites/default/files/2024-03/Istanbul-Protocol_Rev2_FR.pdf" TargetMode="External"/><Relationship Id="rId46" Type="http://schemas.openxmlformats.org/officeDocument/2006/relationships/hyperlink" Target="https://digitallibrary.un.org/record/469383?ln=fr&amp;v=pdf" TargetMode="External"/><Relationship Id="rId67" Type="http://schemas.openxmlformats.org/officeDocument/2006/relationships/hyperlink" Target="https://www.jeuneafrique.com/1268113/politique/en-cote-divoire-afle-nombre-de-magistrats-a-retreci-comme-peau-de-chagrinafaf/" TargetMode="External"/><Relationship Id="rId20" Type="http://schemas.openxmlformats.org/officeDocument/2006/relationships/hyperlink" Target="https://www.jeuneafrique.com/1483467/politique/racket-et-extorsion-de-fonds-en-cote-divoire-deux-unites-delite-sous-le-coup-dune-enquete/" TargetMode="External"/><Relationship Id="rId41" Type="http://schemas.openxmlformats.org/officeDocument/2006/relationships/hyperlink" Target="https://www.policinglaw.info/country/ivory-coast" TargetMode="External"/><Relationship Id="rId62" Type="http://schemas.openxmlformats.org/officeDocument/2006/relationships/hyperlink" Target="https://www.fidh.org/IMG/pdf/rapport_co_te_d_ivoire_no796f_pdf_web_ok_ok_au_12_juillet_2022.pdf" TargetMode="External"/><Relationship Id="rId83" Type="http://schemas.openxmlformats.org/officeDocument/2006/relationships/hyperlink" Target="http://www.gouv.ci/_actualite-article.php?d=1&amp;recordID=9619&amp;p=9" TargetMode="External"/><Relationship Id="rId88" Type="http://schemas.openxmlformats.org/officeDocument/2006/relationships/hyperlink" Target="https://www.fgmcri.org/media/uploads/Country%20Research%20and%20Resources/Cote%20d%20Ivoire/cote_d'ivoire_short_report_v1_(march_2020)_french.pdf" TargetMode="External"/><Relationship Id="rId111" Type="http://schemas.openxmlformats.org/officeDocument/2006/relationships/hyperlink" Target="https://topnewsafrica.net/news/fonds-covid-19-24-producteurs-interpelles-mercredi-liberes-par-la-justice-ivoirienn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QY7Eux1Sg9839JkApD/2zeUTTQ==">CgMxLjAaHwoBMBIaChgICVIUChJ0YWJsZS5kZTZ5OGhrbzM3ZGUaHwoBMRIaChgICVIUChJ0YWJsZS52MjA0NWw4Y21tZm8aHwoBMhIaChgICVIUChJ0YWJsZS50OW4ycm5lazJ2c3caHwoBMxIaChgICVIUChJ0YWJsZS45YTAzMmxsMDg5OWcaIwoBNBIeChwIB0IYCg9UaW1lcyBOZXcgUm9tYW4SBUNhcmRvGh8KATUSGgoYCAlSFAoSdGFibGUuYW1qbzFuYjFoMW9tGh8KATYSGgoYCAlSFAoSdGFibGUubjFiYXkyYjA3OGgxGh8KATcSGgoYCAlSFAoSdGFibGUuOHduaG56M2N6Z28wGh8KATgSGgoYCAlSFAoSdGFibGUuY3VqanZvYzFmeWV4Gh8KATkSGgoYCAlSFAoSdGFibGUubGVnMnlvYmlmeHEwGiAKAjEwEhoKGAgJUhQKEnRhYmxlLnR2cGNneHZrOGR0ZxofCgIxMRIZChcICVITChF0YWJsZS5tODh3amtiaTVzZRogCgIxMhIaChgICVIUChJ0YWJsZS5tZDRndG4xdDg1YjkaIAoCMTMSGgoYCAlSFAoSdGFibGUuMjZuaTBnczltb24wGiAKAjE0EhoKGAgJUhQKEnRhYmxlLmhscW0wdXZ6dHp2ciL2AgoLQUFBQlBNY0dhbzQSwAIKC0FBQUJQTWNHYW80EgtBQUFCUE1jR2FvNBoNCgl0ZXh0L2h0bWwSACIOCgp0ZXh0L3BsYWluEgAqGyIVMTAyODE3NzYyNTIxODM1NTI1Mzk1KAA4ADDtjJni/zE465KZ4v8xSp8BCiRhcHBsaWNhdGlvbi92bmQuZ29vZ2xlLWFwcHMuZG9jcy5tZHMad8LX2uQBcRJvCmsKZWNvbXBvc8OpIG1ham9yaXRhaXJlbWVudCBkZSBtaWxpdGFpcmVzLCBlc3QgY29tbWFuZMOpIHBhciBsZSBjb2xvbmVsIEluemEgRm9mYW5hLCBhbGlhcyDCqyBHcnVtYW4gwrsuEAEYABABWgxkZHlrNzh6MXVkanJyAiAAeACCARRzdWdnZXN0Lm9qNDgwbng4MWRuZZoBBggAEAAYALABALgBABjtjJni/zEg65KZ4v8xMABCFHN1Z2dlc3Qub2o0ODBueDgxZG5lIvUCCgtBQUFCUE1jR2FvOBK/AgoLQUFBQlBNY0dhbzgSC0FBQUJQTWNHYW84Gg0KCXRleHQvaHRtbBIAIg4KCnRleHQvcGxhaW4SACobIhUxMDI4MTc3NjI1MjE4MzU1MjUzOTUoADgAMPagmuL/MTjcp5ri/zFKngEKJGFwcGxpY2F0aW9uL3ZuZC5nb29nbGUtYXBwcy5kb2NzLm1kcxp2wtfa5AFwEm4KagpkaHR0cHM6Ly93d3cuamV1bmVhZnJpcXVlLmNvbS8xNDgzNDY3L3BvbGl0aXF1ZS9yYWNrZXQtZXQtZXh0b3JzaW9uLWRlLWZvbmRzLWVuLWNvdGUtZGl2b2lyZS1kZXV4LXVuaRABGAEQAVoMaGg1dnNhaWEwN3c3cgIgAHgAggEUc3VnZ2VzdC50c3liaDZhMG5qOHiaAQYIABAAGACwAQC4AQAY9qCa4v8xINynmuL/MTAAQhRzdWdnZXN0LnRzeWJoNmEwbmo4eDgAaicKFHN1Z2dlc3QuY3o0cHdlaWthemd0Eg90aMOpb2RvcmUgbidkcmlqJgoTc3VnZ2VzdC5hdG51NGVocXpnahIPdGjDqW9kb3JlIG4nZHJpaiIKFHN1Z2dlc3QuMW1naW95bmhncjdkEgpJc2lkb3JlIE4uaiEKE3N1Z2dlc3QuYTJ3Y3o4bmtnZWoSCklzaWRvcmUgTi5qJwoUc3VnZ2VzdC5lODQ3N2Y3anhoMjgSD3Row6lvZG9yZSBuJ2RyaWpZCjZzdWdnZXN0SWRJbXBvcnQ3NDE4ZjRjMC0xODZkLTQ2ZTUtODk5Yy04Zjg5M2U1MDY1ODJfMTQSH0lzaWRvcmUgQ29sbGlucyBOR1VFVUxFVSBESkVVR0FqKQoUc3VnZ2VzdC5ydjhwZmplbGEwdXYSEUNoYXJsb3R0ZSBNYW5jaW5palkKNnN1Z2dlc3RJZEltcG9ydDc0MThmNGMwLTE4NmQtNDZlNS04OTljLThmODkzZTUwNjU4Ml8xOBIfSXNpZG9yZSBDb2xsaW5zIE5HVUVVTEVVIERKRVVHQWonChRzdWdnZXN0LmhidzB4MXA2OTRxbhIPdGjDqW9kb3JlIG4nZHJpaksKNnN1Z2dlc3RJZEltcG9ydDc0MThmNGMwLTE4NmQtNDZlNS04OTljLThmODkzZTUwNjU4Ml85MxIRQ2hhcmxvdHRlIE1hbmNpbmlqIgoUc3VnZ2VzdC43NjBzZ2luYmNjcjkSCklzaWRvcmUgTi5qIgoUc3VnZ2VzdC5sNDMzY25xYTJxaG4SCklzaWRvcmUgTi5qTAo3c3VnZ2VzdElkSW1wb3J0NzQxOGY0YzAtMTg2ZC00NmU1LTg5OWMtOGY4OTNlNTA2NTgyXzEwMxIRQ2hhcmxvdHRlIE1hbmNpbmlqWQo2c3VnZ2VzdElkSW1wb3J0NzQxOGY0YzAtMTg2ZC00NmU1LTg5OWMtOGY4OTNlNTA2NTgyXzk4Eh9Jc2lkb3JlIENvbGxpbnMgTkdVRVVMRVUgREpFVUdBaiIKFHN1Z2dlc3QuYTd3OXZ4cjkxOTRhEgpJc2lkb3JlIE4ualkKNnN1Z2dlc3RJZEltcG9ydDc0MThmNGMwLTE4NmQtNDZlNS04OTljLThmODkzZTUwNjU4Ml81MBIfSXNpZG9yZSBDb2xsaW5zIE5HVUVVTEVVIERKRVVHQWoiChRzdWdnZXN0LmQ4eHAyMDF2YnFqbBIKSXNpZG9yZSBOLmpZCjZzdWdnZXN0SWRJbXBvcnQ3NDE4ZjRjMC0xODZkLTQ2ZTUtODk5Yy04Zjg5M2U1MDY1ODJfMTMSH0lzaWRvcmUgQ29sbGlucyBOR1VFVUxFVSBESkVVR0FqWgo3c3VnZ2VzdElkSW1wb3J0NzQxOGY0YzAtMTg2ZC00NmU1LTg5OWMtOGY4OTNlNTA2NTgyXzE1NhIfSXNpZG9yZSBDb2xsaW5zIE5HVUVVTEVVIERKRVVHQWpMCjdzdWdnZXN0SWRJbXBvcnQ3NDE4ZjRjMC0xODZkLTQ2ZTUtODk5Yy04Zjg5M2U1MDY1ODJfMTEzEhFDaGFybG90dGUgTWFuY2luaWpZCjZzdWdnZXN0SWRJbXBvcnQ3NDE4ZjRjMC0xODZkLTQ2ZTUtODk5Yy04Zjg5M2U1MDY1ODJfMjISH0lzaWRvcmUgQ29sbGlucyBOR1VFVUxFVSBESkVVR0FqIgoUc3VnZ2VzdC5hdjR1Nm05bXpzaGQSCklzaWRvcmUgTi5qIgoUc3VnZ2VzdC4yNDdueDBpNzdnN2MSCklzaWRvcmUgTi5qWAo1c3VnZ2VzdElkSW1wb3J0NzQxOGY0YzAtMTg2ZC00NmU1LTg5OWMtOGY4OTNlNTA2NTgyXzgSH0lzaWRvcmUgQ29sbGlucyBOR1VFVUxFVSBESkVVR0FqIgoUc3VnZ2VzdC5pbmM5dDA5bmR4Y20SCklzaWRvcmUgTi5qKQoUc3VnZ2VzdC50MmRwbXllamY3ajMSEUNoYXJsb3R0ZSBNYW5jaW5palkKNnN1Z2dlc3RJZEltcG9ydDc0MThmNGMwLTE4NmQtNDZlNS04OTljLThmODkzZTUwNjU4Ml8xNRIfSXNpZG9yZSBDb2xsaW5zIE5HVUVVTEVVIERKRVVHQWoiChRzdWdnZXN0LmxsbHAxZWE5NTBiaBIKSXNpZG9yZSBOLmpMCjdzdWdnZXN0SWRJbXBvcnQ3NDE4ZjRjMC0xODZkLTQ2ZTUtODk5Yy04Zjg5M2U1MDY1ODJfMTIwEhFDaGFybG90dGUgTWFuY2luaWoiChRzdWdnZXN0LjluM3FocnZuanBxNBIKSXNpZG9yZSBOLmoiChRzdWdnZXN0Lmt4Z2YwdHNzZjhjdxIKSXNpZG9yZSBOLmoiChRzdWdnZXN0LjNkbHA1ZHRwaWNwcRIKSXNpZG9yZSBOLmpLCjZzdWdnZXN0SWRJbXBvcnQ3NDE4ZjRjMC0xODZkLTQ2ZTUtODk5Yy04Zjg5M2U1MDY1ODJfMjkSEUNoYXJsb3R0ZSBNYW5jaW5paiIKFHN1Z2dlc3Qua2t3bzZ5d3ZmZDJhEgpJc2lkb3JlIE4uakoKNXN1Z2dlc3RJZEltcG9ydDc0MThmNGMwLTE4NmQtNDZlNS04OTljLThmODkzZTUwNjU4Ml8xEhFDaGFybG90dGUgTWFuY2luaWpMCjdzdWdnZXN0SWRJbXBvcnQ3NDE4ZjRjMC0xODZkLTQ2ZTUtODk5Yy04Zjg5M2U1MDY1ODJfMTQzEhFDaGFybG90dGUgTWFuY2luaWoiChRzdWdnZXN0LnFhZGdmcjJweDF3ZxIKSXNpZG9yZSBOLmpYCjVzdWdnZXN0SWRJbXBvcnQ3NDE4ZjRjMC0xODZkLTQ2ZTUtODk5Yy04Zjg5M2U1MDY1ODJfMhIfSXNpZG9yZSBDb2xsaW5zIE5HVUVVTEVVIERKRVVHQWpMCjdzdWdnZXN0SWRJbXBvcnQ3NDE4ZjRjMC0xODZkLTQ2ZTUtODk5Yy04Zjg5M2U1MDY1ODJfMTE0EhFDaGFybG90dGUgTWFuY2luaWpMCjdzdWdnZXN0SWRJbXBvcnQ3NDE4ZjRjMC0xODZkLTQ2ZTUtODk5Yy04Zjg5M2U1MDY1ODJfMTA5EhFDaGFybG90dGUgTWFuY2luaWpaCjdzdWdnZXN0SWRJbXBvcnQ3NDE4ZjRjMC0xODZkLTQ2ZTUtODk5Yy04Zjg5M2U1MDY1ODJfMTU3Eh9Jc2lkb3JlIENvbGxpbnMgTkdVRVVMRVUgREpFVUdBaiIKFHN1Z2dlc3QuMzR3aGpya2p2aXJ2EgpJc2lkb3JlIE4uaiIKFHN1Z2dlc3QuZm1zczltNDNja29pEgpJc2lkb3JlIE4uaiIKFHN1Z2dlc3QuemVjb3FlZjBvbmlmEgpJc2lkb3JlIE4ualkKNnN1Z2dlc3RJZEltcG9ydDc0MThmNGMwLTE4NmQtNDZlNS04OTljLThmODkzZTUwNjU4Ml8zMhIfSXNpZG9yZSBDb2xsaW5zIE5HVUVVTEVVIERKRVVHQWpLCjZzdWdnZXN0SWRJbXBvcnQ3NDE4ZjRjMC0xODZkLTQ2ZTUtODk5Yy04Zjg5M2U1MDY1ODJfMzASEUNoYXJsb3R0ZSBNYW5jaW5palkKNnN1Z2dlc3RJZEltcG9ydDc0MThmNGMwLTE4NmQtNDZlNS04OTljLThmODkzZTUwNjU4Ml84ORIfSXNpZG9yZSBDb2xsaW5zIE5HVUVVTEVVIERKRVVHQWoiChRzdWdnZXN0LmpwNnJ1NXNwYXBmNhIKSXNpZG9yZSBOLmpLCjZzdWdnZXN0SWRJbXBvcnQ3NDE4ZjRjMC0xODZkLTQ2ZTUtODk5Yy04Zjg5M2U1MDY1ODJfNDASEUNoYXJsb3R0ZSBNYW5jaW5palkKNnN1Z2dlc3RJZEltcG9ydDc0MThmNGMwLTE4NmQtNDZlNS04OTljLThmODkzZTUwNjU4Ml8xMBIfSXNpZG9yZSBDb2xsaW5zIE5HVUVVTEVVIERKRVVHQWopChRzdWdnZXN0Lmx4N3U1Y2FtenEyOBIRQ2hhcmxvdHRlIE1hbmNpbmlqWAo1c3VnZ2VzdElkSW1wb3J0NzQxOGY0YzAtMTg2ZC00NmU1LTg5OWMtOGY4OTNlNTA2NTgyXzYSH0lzaWRvcmUgQ29sbGlucyBOR1VFVUxFVSBESkVVR0FqWQo2c3VnZ2VzdElkSW1wb3J0NzQxOGY0YzAtMTg2ZC00NmU1LTg5OWMtOGY4OTNlNTA2NTgyXzY4Eh9Jc2lkb3JlIENvbGxpbnMgTkdVRVVMRVUgREpFVUdBalkKNnN1Z2dlc3RJZEltcG9ydDc0MThmNGMwLTE4NmQtNDZlNS04OTljLThmODkzZTUwNjU4Ml8yNBIfSXNpZG9yZSBDb2xsaW5zIE5HVUVVTEVVIERKRVVHQWpLCjZzdWdnZXN0SWRJbXBvcnQ3NDE4ZjRjMC0xODZkLTQ2ZTUtODk5Yy04Zjg5M2U1MDY1ODJfMzcSEUNoYXJsb3R0ZSBNYW5jaW5palkKNnN1Z2dlc3RJZEltcG9ydDc0MThmNGMwLTE4NmQtNDZlNS04OTljLThmODkzZTUwNjU4Ml82MRIfSXNpZG9yZSBDb2xsaW5zIE5HVUVVTEVVIERKRVVHQWpYCjVzdWdnZXN0SWRJbXBvcnQ3NDE4ZjRjMC0xODZkLTQ2ZTUtODk5Yy04Zjg5M2U1MDY1ODJfMxIfSXNpZG9yZSBDb2xsaW5zIE5HVUVVTEVVIERKRVVHQWpaCjdzdWdnZXN0SWRJbXBvcnQ3NDE4ZjRjMC0xODZkLTQ2ZTUtODk5Yy04Zjg5M2U1MDY1ODJfMTQ4Eh9Jc2lkb3JlIENvbGxpbnMgTkdVRVVMRVUgREpFVUdBaiIKFHN1Z2dlc3QucTIxbnpvZjdwY3lnEgpJc2lkb3JlIE4uakwKN3N1Z2dlc3RJZEltcG9ydDc0MThmNGMwLTE4NmQtNDZlNS04OTljLThmODkzZTUwNjU4Ml8xMjQSEUNoYXJsb3R0ZSBNYW5jaW5paiIKFHN1Z2dlc3Qub2o0ODBueDgxZG5lEgpJc2lkb3JlIE4uaksKNnN1Z2dlc3RJZEltcG9ydDc0MThmNGMwLTE4NmQtNDZlNS04OTljLThmODkzZTUwNjU4Ml8zNBIRQ2hhcmxvdHRlIE1hbmNpbmlqIgoUc3VnZ2VzdC50c3liaDZhMG5qOHgSCklzaWRvcmUgTi5qIgoUc3VnZ2VzdC50YmxwMTJ2bW9wcTQSCklzaWRvcmUgTi5qWQo2c3VnZ2VzdElkSW1wb3J0NzQxOGY0YzAtMTg2ZC00NmU1LTg5OWMtOGY4OTNlNTA2NTgyXzk0Eh9Jc2lkb3JlIENvbGxpbnMgTkdVRVVMRVUgREpFVUdBaioKFHN1Z2dlc3QudDQydHNrejY2czB1EhJzYWludCBwYXVsIGtvdWFkaW9qIgoUc3VnZ2VzdC5mZWU1MmVjYXZzZDgSCklzaWRvcmUgTi5qWQo2c3VnZ2VzdElkSW1wb3J0NzQxOGY0YzAtMTg2ZC00NmU1LTg5OWMtOGY4OTNlNTA2NTgyXzExEh9Jc2lkb3JlIENvbGxpbnMgTkdVRVVMRVUgREpFVUdBaiIKFHN1Z2dlc3QuMXdpd3Iwamp4bHUzEgpJc2lkb3JlIE4uaioKFHN1Z2dlc3QudGR2OHBnMmxlaWg0EhJzYWludCBwYXVsIGtvdWFkaW9qWQo2c3VnZ2VzdElkSW1wb3J0NzQxOGY0YzAtMTg2ZC00NmU1LTg5OWMtOGY4OTNlNTA2NTgyXzk2Eh9Jc2lkb3JlIENvbGxpbnMgTkdVRVVMRVUgREpFVUdBaiIKFHN1Z2dlc3QuM3J6aGRlYnhpaDRlEgpJc2lkb3JlIE4uaiIKFHN1Z2dlc3QuY3BzY2FidGwyN2pqEgpJc2lkb3JlIE4uaicKFHN1Z2dlc3QuYnhkMmVnNXkwN2MwEg90aMOpb2RvcmUgbidkcmlqIgoUc3VnZ2VzdC52a2hhOTdscmo5ZmESCklzaWRvcmUgTi5qIgoUc3VnZ2VzdC51aGV1am9jamZ4emoSCklzaWRvcmUgTi5qWgo3c3VnZ2VzdElkSW1wb3J0NzQxOGY0YzAtMTg2ZC00NmU1LTg5OWMtOGY4OTNlNTA2NTgyXzExNhIfSXNpZG9yZSBDb2xsaW5zIE5HVUVVTEVVIERKRVVHQXIhMWRBSGEyNG9aUnpqUTVMN0Vza0gtazJaLW81bGxpcz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2024-06-25T12:38:54+00:00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2024-06-25T12:38:54+00:00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2024-06-25T12:38:54+00:00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5ABD74-35DB-A241-86DF-CCF8386D4BF7}">
  <ds:schemaRefs>
    <ds:schemaRef ds:uri="http://schemas.openxmlformats.org/officeDocument/2006/bibliography"/>
  </ds:schemaRefs>
</ds:datastoreItem>
</file>

<file path=customXml/itemProps3.xml><?xml version="1.0" encoding="utf-8"?>
<ds:datastoreItem xmlns:ds="http://schemas.openxmlformats.org/officeDocument/2006/customXml" ds:itemID="{235BD656-6273-48EA-BBB8-A44C9DB95146}"/>
</file>

<file path=customXml/itemProps4.xml><?xml version="1.0" encoding="utf-8"?>
<ds:datastoreItem xmlns:ds="http://schemas.openxmlformats.org/officeDocument/2006/customXml" ds:itemID="{41023B2A-7043-491A-9818-5727AD5CD6B7}"/>
</file>

<file path=customXml/itemProps5.xml><?xml version="1.0" encoding="utf-8"?>
<ds:datastoreItem xmlns:ds="http://schemas.openxmlformats.org/officeDocument/2006/customXml" ds:itemID="{843144B3-DCF5-4B16-A8A5-CDF678CB87E1}"/>
</file>

<file path=docProps/app.xml><?xml version="1.0" encoding="utf-8"?>
<Properties xmlns="http://schemas.openxmlformats.org/officeDocument/2006/extended-properties" xmlns:vt="http://schemas.openxmlformats.org/officeDocument/2006/docPropsVTypes">
  <Template>Normal.dotm</Template>
  <TotalTime>1</TotalTime>
  <Pages>51</Pages>
  <Words>19978</Words>
  <Characters>113880</Characters>
  <Application>Microsoft Office Word</Application>
  <DocSecurity>4</DocSecurity>
  <Lines>949</Lines>
  <Paragraphs>267</Paragraphs>
  <ScaleCrop>false</ScaleCrop>
  <Company/>
  <LinksUpToDate>false</LinksUpToDate>
  <CharactersWithSpaces>133591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Youssef Hamdan</cp:lastModifiedBy>
  <cp:revision>2</cp:revision>
  <dcterms:created xsi:type="dcterms:W3CDTF">2024-06-12T10:39:00Z</dcterms:created>
  <dcterms:modified xsi:type="dcterms:W3CDTF">2024-06-12T10:39:00Z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