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B9E3A" w14:textId="0ABBF3A7" w:rsidR="00B575DE" w:rsidRPr="006439F7" w:rsidRDefault="00B575DE" w:rsidP="00972C50">
      <w:pPr>
        <w:spacing w:after="0" w:line="240" w:lineRule="auto"/>
        <w:rPr>
          <w:b/>
          <w:color w:val="000000" w:themeColor="text1"/>
          <w:sz w:val="24"/>
          <w:szCs w:val="24"/>
          <w:lang w:val="en-GB"/>
        </w:rPr>
      </w:pPr>
    </w:p>
    <w:p w14:paraId="09DC1197" w14:textId="77777777" w:rsidR="00B630F4" w:rsidRPr="006439F7" w:rsidRDefault="00B630F4" w:rsidP="00972C50">
      <w:pPr>
        <w:spacing w:after="0" w:line="240" w:lineRule="auto"/>
        <w:jc w:val="center"/>
        <w:rPr>
          <w:color w:val="000000" w:themeColor="text1"/>
          <w:sz w:val="24"/>
          <w:szCs w:val="24"/>
        </w:rPr>
      </w:pPr>
    </w:p>
    <w:p w14:paraId="5A9B8813" w14:textId="77777777" w:rsidR="00B630F4" w:rsidRPr="006439F7" w:rsidRDefault="00B630F4" w:rsidP="00972C50">
      <w:pPr>
        <w:spacing w:after="0" w:line="240" w:lineRule="auto"/>
        <w:jc w:val="center"/>
        <w:rPr>
          <w:color w:val="000000" w:themeColor="text1"/>
          <w:sz w:val="24"/>
          <w:szCs w:val="24"/>
        </w:rPr>
      </w:pPr>
    </w:p>
    <w:p w14:paraId="1BC01FEA" w14:textId="77777777" w:rsidR="00B630F4" w:rsidRPr="006439F7" w:rsidRDefault="00B630F4" w:rsidP="00972C50">
      <w:pPr>
        <w:spacing w:after="0" w:line="240" w:lineRule="auto"/>
        <w:jc w:val="center"/>
        <w:rPr>
          <w:color w:val="000000" w:themeColor="text1"/>
          <w:sz w:val="24"/>
          <w:szCs w:val="24"/>
        </w:rPr>
      </w:pPr>
    </w:p>
    <w:p w14:paraId="79885228" w14:textId="77777777" w:rsidR="00C66C0F" w:rsidRPr="006439F7" w:rsidRDefault="00C66C0F" w:rsidP="00972C50">
      <w:pPr>
        <w:spacing w:after="0" w:line="240" w:lineRule="auto"/>
        <w:jc w:val="center"/>
        <w:rPr>
          <w:color w:val="000000" w:themeColor="text1"/>
          <w:sz w:val="24"/>
          <w:szCs w:val="24"/>
        </w:rPr>
      </w:pPr>
      <w:r w:rsidRPr="006439F7">
        <w:rPr>
          <w:noProof/>
          <w:color w:val="000000" w:themeColor="text1"/>
          <w:sz w:val="24"/>
          <w:szCs w:val="24"/>
          <w:lang w:eastAsia="en-IE"/>
        </w:rPr>
        <w:drawing>
          <wp:inline distT="0" distB="0" distL="0" distR="0" wp14:anchorId="2CB9B91E" wp14:editId="6BFF8352">
            <wp:extent cx="2665730" cy="1216025"/>
            <wp:effectExtent l="19050" t="0" r="1270" b="0"/>
            <wp:docPr id="1" name="Picture 1" descr="iccl_cl hire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cl_cl hires CMYK"/>
                    <pic:cNvPicPr>
                      <a:picLocks noChangeAspect="1" noChangeArrowheads="1"/>
                    </pic:cNvPicPr>
                  </pic:nvPicPr>
                  <pic:blipFill>
                    <a:blip r:embed="rId8" cstate="print"/>
                    <a:srcRect/>
                    <a:stretch>
                      <a:fillRect/>
                    </a:stretch>
                  </pic:blipFill>
                  <pic:spPr bwMode="auto">
                    <a:xfrm>
                      <a:off x="0" y="0"/>
                      <a:ext cx="2665730" cy="1216025"/>
                    </a:xfrm>
                    <a:prstGeom prst="rect">
                      <a:avLst/>
                    </a:prstGeom>
                    <a:noFill/>
                    <a:ln w="9525">
                      <a:noFill/>
                      <a:miter lim="800000"/>
                      <a:headEnd/>
                      <a:tailEnd/>
                    </a:ln>
                  </pic:spPr>
                </pic:pic>
              </a:graphicData>
            </a:graphic>
          </wp:inline>
        </w:drawing>
      </w:r>
    </w:p>
    <w:p w14:paraId="7DC4BB3E" w14:textId="77777777" w:rsidR="00C66C0F" w:rsidRPr="006439F7" w:rsidRDefault="00C66C0F" w:rsidP="00972C50">
      <w:pPr>
        <w:spacing w:after="0" w:line="240" w:lineRule="auto"/>
        <w:rPr>
          <w:b/>
          <w:color w:val="000000" w:themeColor="text1"/>
          <w:sz w:val="24"/>
          <w:szCs w:val="24"/>
        </w:rPr>
      </w:pPr>
    </w:p>
    <w:p w14:paraId="349513C6" w14:textId="77777777" w:rsidR="00B630F4" w:rsidRPr="006439F7" w:rsidRDefault="00B630F4" w:rsidP="00972C50">
      <w:pPr>
        <w:spacing w:after="0" w:line="240" w:lineRule="auto"/>
        <w:ind w:hanging="142"/>
        <w:jc w:val="center"/>
        <w:rPr>
          <w:b/>
          <w:color w:val="000000" w:themeColor="text1"/>
          <w:sz w:val="24"/>
          <w:szCs w:val="24"/>
        </w:rPr>
      </w:pPr>
    </w:p>
    <w:p w14:paraId="7485673C" w14:textId="77777777" w:rsidR="0002795A" w:rsidRPr="006439F7" w:rsidRDefault="0002795A" w:rsidP="00972C50">
      <w:pPr>
        <w:spacing w:after="0" w:line="240" w:lineRule="auto"/>
        <w:ind w:hanging="142"/>
        <w:jc w:val="center"/>
        <w:rPr>
          <w:b/>
          <w:color w:val="000000" w:themeColor="text1"/>
          <w:sz w:val="32"/>
          <w:szCs w:val="32"/>
        </w:rPr>
      </w:pPr>
      <w:r w:rsidRPr="006439F7">
        <w:rPr>
          <w:b/>
          <w:color w:val="000000" w:themeColor="text1"/>
          <w:sz w:val="32"/>
          <w:szCs w:val="32"/>
        </w:rPr>
        <w:t>UN Convention A</w:t>
      </w:r>
      <w:r w:rsidR="00C66C0F" w:rsidRPr="006439F7">
        <w:rPr>
          <w:b/>
          <w:color w:val="000000" w:themeColor="text1"/>
          <w:sz w:val="32"/>
          <w:szCs w:val="32"/>
        </w:rPr>
        <w:t xml:space="preserve">gainst Torture </w:t>
      </w:r>
    </w:p>
    <w:p w14:paraId="7F503D52" w14:textId="43F25935" w:rsidR="00C66C0F" w:rsidRPr="006439F7" w:rsidRDefault="0002795A" w:rsidP="00972C50">
      <w:pPr>
        <w:spacing w:after="0" w:line="240" w:lineRule="auto"/>
        <w:ind w:hanging="142"/>
        <w:jc w:val="center"/>
        <w:rPr>
          <w:b/>
          <w:color w:val="000000" w:themeColor="text1"/>
          <w:sz w:val="32"/>
          <w:szCs w:val="32"/>
        </w:rPr>
      </w:pPr>
      <w:r w:rsidRPr="006439F7">
        <w:rPr>
          <w:b/>
          <w:color w:val="000000" w:themeColor="text1"/>
          <w:sz w:val="32"/>
          <w:szCs w:val="32"/>
        </w:rPr>
        <w:t>a</w:t>
      </w:r>
      <w:r w:rsidR="00C66C0F" w:rsidRPr="006439F7">
        <w:rPr>
          <w:b/>
          <w:color w:val="000000" w:themeColor="text1"/>
          <w:sz w:val="32"/>
          <w:szCs w:val="32"/>
        </w:rPr>
        <w:t>nd other Cruel, Inhuman or Degrading Treatment or Punishment</w:t>
      </w:r>
    </w:p>
    <w:p w14:paraId="444D601C" w14:textId="77777777" w:rsidR="00C66C0F" w:rsidRPr="006439F7" w:rsidRDefault="00C66C0F" w:rsidP="00972C50">
      <w:pPr>
        <w:spacing w:after="0" w:line="240" w:lineRule="auto"/>
        <w:ind w:hanging="142"/>
        <w:jc w:val="center"/>
        <w:rPr>
          <w:b/>
          <w:color w:val="000000" w:themeColor="text1"/>
          <w:sz w:val="32"/>
          <w:szCs w:val="32"/>
        </w:rPr>
      </w:pPr>
    </w:p>
    <w:p w14:paraId="7F8752AC" w14:textId="77777777" w:rsidR="0002795A" w:rsidRPr="006439F7" w:rsidRDefault="00C66C0F" w:rsidP="00972C50">
      <w:pPr>
        <w:spacing w:after="0" w:line="240" w:lineRule="auto"/>
        <w:ind w:hanging="142"/>
        <w:jc w:val="center"/>
        <w:rPr>
          <w:b/>
          <w:color w:val="000000" w:themeColor="text1"/>
          <w:sz w:val="32"/>
          <w:szCs w:val="32"/>
          <w:lang w:val="en-GB"/>
        </w:rPr>
      </w:pPr>
      <w:r w:rsidRPr="006439F7">
        <w:rPr>
          <w:b/>
          <w:color w:val="000000" w:themeColor="text1"/>
          <w:sz w:val="32"/>
          <w:szCs w:val="32"/>
          <w:lang w:val="en-GB"/>
        </w:rPr>
        <w:t xml:space="preserve">State Examination of </w:t>
      </w:r>
      <w:r w:rsidR="0002795A" w:rsidRPr="006439F7">
        <w:rPr>
          <w:b/>
          <w:color w:val="000000" w:themeColor="text1"/>
          <w:sz w:val="32"/>
          <w:szCs w:val="32"/>
          <w:lang w:val="en-GB"/>
        </w:rPr>
        <w:t xml:space="preserve">Ireland’s </w:t>
      </w:r>
    </w:p>
    <w:p w14:paraId="676CEC9C" w14:textId="565F5631" w:rsidR="00C66C0F" w:rsidRPr="006439F7" w:rsidRDefault="00C66C0F" w:rsidP="001C73EC">
      <w:pPr>
        <w:spacing w:after="0" w:line="240" w:lineRule="auto"/>
        <w:jc w:val="center"/>
        <w:rPr>
          <w:b/>
          <w:color w:val="000000" w:themeColor="text1"/>
          <w:sz w:val="32"/>
          <w:szCs w:val="32"/>
          <w:lang w:val="en-GB"/>
        </w:rPr>
      </w:pPr>
      <w:r w:rsidRPr="006439F7">
        <w:rPr>
          <w:b/>
          <w:color w:val="000000" w:themeColor="text1"/>
          <w:sz w:val="32"/>
          <w:szCs w:val="32"/>
          <w:lang w:val="en-GB"/>
        </w:rPr>
        <w:t xml:space="preserve">Second Periodic </w:t>
      </w:r>
      <w:r w:rsidR="005E68BC" w:rsidRPr="006439F7">
        <w:rPr>
          <w:b/>
          <w:color w:val="000000" w:themeColor="text1"/>
          <w:sz w:val="32"/>
          <w:szCs w:val="32"/>
          <w:lang w:val="en-GB"/>
        </w:rPr>
        <w:t>Report</w:t>
      </w:r>
      <w:r w:rsidR="001C73EC">
        <w:rPr>
          <w:b/>
          <w:color w:val="000000" w:themeColor="text1"/>
          <w:sz w:val="32"/>
          <w:szCs w:val="32"/>
          <w:lang w:val="en-GB"/>
        </w:rPr>
        <w:t xml:space="preserve"> </w:t>
      </w:r>
    </w:p>
    <w:p w14:paraId="58BDFFBA" w14:textId="77777777" w:rsidR="00C66C0F" w:rsidRPr="006439F7" w:rsidRDefault="00C66C0F" w:rsidP="00972C50">
      <w:pPr>
        <w:spacing w:after="0" w:line="240" w:lineRule="auto"/>
        <w:ind w:hanging="142"/>
        <w:jc w:val="center"/>
        <w:rPr>
          <w:b/>
          <w:color w:val="000000" w:themeColor="text1"/>
          <w:sz w:val="32"/>
          <w:szCs w:val="32"/>
        </w:rPr>
      </w:pPr>
    </w:p>
    <w:p w14:paraId="621CED19" w14:textId="77777777" w:rsidR="00C66C0F" w:rsidRPr="006439F7" w:rsidRDefault="00C66C0F" w:rsidP="00972C50">
      <w:pPr>
        <w:spacing w:after="0" w:line="240" w:lineRule="auto"/>
        <w:ind w:hanging="142"/>
        <w:jc w:val="center"/>
        <w:rPr>
          <w:b/>
          <w:color w:val="000000" w:themeColor="text1"/>
          <w:sz w:val="32"/>
          <w:szCs w:val="32"/>
        </w:rPr>
      </w:pPr>
      <w:r w:rsidRPr="006439F7">
        <w:rPr>
          <w:b/>
          <w:color w:val="000000" w:themeColor="text1"/>
          <w:sz w:val="32"/>
          <w:szCs w:val="32"/>
        </w:rPr>
        <w:t>Submission to the</w:t>
      </w:r>
    </w:p>
    <w:p w14:paraId="0AC0BF09" w14:textId="57661C87" w:rsidR="00C66C0F" w:rsidRPr="006439F7" w:rsidRDefault="0002795A" w:rsidP="00972C50">
      <w:pPr>
        <w:spacing w:after="0" w:line="240" w:lineRule="auto"/>
        <w:ind w:hanging="142"/>
        <w:jc w:val="center"/>
        <w:rPr>
          <w:b/>
          <w:color w:val="000000" w:themeColor="text1"/>
          <w:sz w:val="32"/>
          <w:szCs w:val="32"/>
        </w:rPr>
      </w:pPr>
      <w:r w:rsidRPr="006439F7">
        <w:rPr>
          <w:b/>
          <w:color w:val="000000" w:themeColor="text1"/>
          <w:sz w:val="32"/>
          <w:szCs w:val="32"/>
        </w:rPr>
        <w:t>UN Committee Against</w:t>
      </w:r>
      <w:r w:rsidR="00C66C0F" w:rsidRPr="006439F7">
        <w:rPr>
          <w:b/>
          <w:color w:val="000000" w:themeColor="text1"/>
          <w:sz w:val="32"/>
          <w:szCs w:val="32"/>
        </w:rPr>
        <w:t xml:space="preserve"> Torture</w:t>
      </w:r>
    </w:p>
    <w:p w14:paraId="1F6D85C7" w14:textId="77777777" w:rsidR="00C66C0F" w:rsidRPr="006439F7" w:rsidRDefault="00C66C0F" w:rsidP="00972C50">
      <w:pPr>
        <w:spacing w:after="0" w:line="240" w:lineRule="auto"/>
        <w:ind w:hanging="142"/>
        <w:jc w:val="center"/>
        <w:rPr>
          <w:b/>
          <w:color w:val="000000" w:themeColor="text1"/>
          <w:sz w:val="32"/>
          <w:szCs w:val="32"/>
        </w:rPr>
      </w:pPr>
    </w:p>
    <w:p w14:paraId="5845EB79" w14:textId="797F07B0" w:rsidR="00906ACB" w:rsidRPr="006439F7" w:rsidRDefault="006D330E" w:rsidP="00906ACB">
      <w:pPr>
        <w:spacing w:after="0" w:line="240" w:lineRule="auto"/>
        <w:ind w:hanging="142"/>
        <w:jc w:val="center"/>
        <w:rPr>
          <w:b/>
          <w:color w:val="000000" w:themeColor="text1"/>
          <w:sz w:val="32"/>
          <w:szCs w:val="32"/>
          <w:lang w:val="en-GB"/>
        </w:rPr>
      </w:pPr>
      <w:r>
        <w:rPr>
          <w:b/>
          <w:color w:val="000000" w:themeColor="text1"/>
          <w:sz w:val="32"/>
          <w:szCs w:val="32"/>
          <w:lang w:val="en-GB"/>
        </w:rPr>
        <w:t>26</w:t>
      </w:r>
      <w:r w:rsidR="005E68BC" w:rsidRPr="006439F7">
        <w:rPr>
          <w:b/>
          <w:color w:val="000000" w:themeColor="text1"/>
          <w:sz w:val="32"/>
          <w:szCs w:val="32"/>
          <w:lang w:val="en-GB"/>
        </w:rPr>
        <w:t xml:space="preserve"> June 2017</w:t>
      </w:r>
    </w:p>
    <w:p w14:paraId="5568A3DC" w14:textId="77777777" w:rsidR="00906ACB" w:rsidRPr="006439F7" w:rsidRDefault="00906ACB" w:rsidP="00906ACB">
      <w:pPr>
        <w:spacing w:after="0" w:line="240" w:lineRule="auto"/>
        <w:ind w:hanging="142"/>
        <w:jc w:val="center"/>
        <w:rPr>
          <w:b/>
          <w:color w:val="000000" w:themeColor="text1"/>
          <w:sz w:val="24"/>
          <w:szCs w:val="24"/>
          <w:lang w:val="en-GB"/>
        </w:rPr>
      </w:pPr>
    </w:p>
    <w:p w14:paraId="6D93A942" w14:textId="77777777" w:rsidR="001C73EC" w:rsidRDefault="001C73EC" w:rsidP="001C73EC">
      <w:pPr>
        <w:spacing w:after="0" w:line="240" w:lineRule="auto"/>
        <w:rPr>
          <w:rFonts w:cs="Arial"/>
          <w:b/>
          <w:color w:val="000000" w:themeColor="text1"/>
        </w:rPr>
      </w:pPr>
    </w:p>
    <w:p w14:paraId="00F462AC" w14:textId="77777777" w:rsidR="001C73EC" w:rsidRDefault="001C73EC">
      <w:pPr>
        <w:rPr>
          <w:rFonts w:cs="Arial"/>
          <w:b/>
          <w:color w:val="000000" w:themeColor="text1"/>
          <w:u w:val="single"/>
        </w:rPr>
      </w:pPr>
      <w:r>
        <w:rPr>
          <w:rFonts w:cs="Arial"/>
          <w:b/>
          <w:color w:val="000000" w:themeColor="text1"/>
          <w:u w:val="single"/>
        </w:rPr>
        <w:br w:type="page"/>
      </w:r>
    </w:p>
    <w:p w14:paraId="08F5F9BE" w14:textId="77777777" w:rsidR="001C73EC" w:rsidRDefault="001C73EC" w:rsidP="001C73EC">
      <w:pPr>
        <w:rPr>
          <w:b/>
          <w:color w:val="000000" w:themeColor="text1"/>
          <w:sz w:val="24"/>
          <w:szCs w:val="24"/>
          <w:lang w:val="en-GB"/>
        </w:rPr>
      </w:pPr>
    </w:p>
    <w:p w14:paraId="318C8374" w14:textId="3A7A19F4" w:rsidR="00B630F4" w:rsidRPr="006439F7" w:rsidRDefault="001C73EC" w:rsidP="001C73EC">
      <w:pPr>
        <w:rPr>
          <w:b/>
          <w:color w:val="000000" w:themeColor="text1"/>
          <w:sz w:val="24"/>
          <w:szCs w:val="24"/>
          <w:lang w:val="en-GB"/>
        </w:rPr>
      </w:pPr>
      <w:r>
        <w:rPr>
          <w:b/>
          <w:color w:val="000000" w:themeColor="text1"/>
          <w:sz w:val="24"/>
          <w:szCs w:val="24"/>
          <w:lang w:val="en-GB"/>
        </w:rPr>
        <w:t xml:space="preserve">TABLE </w:t>
      </w:r>
      <w:r w:rsidR="00B630F4" w:rsidRPr="006439F7">
        <w:rPr>
          <w:b/>
          <w:color w:val="000000" w:themeColor="text1"/>
          <w:sz w:val="24"/>
          <w:szCs w:val="24"/>
          <w:lang w:val="en-GB"/>
        </w:rPr>
        <w:t>OF CONTENTS:</w:t>
      </w:r>
    </w:p>
    <w:p w14:paraId="5488461F" w14:textId="62FBAC55" w:rsidR="00B630F4" w:rsidRPr="006439F7" w:rsidRDefault="00B630F4" w:rsidP="00972C50">
      <w:pPr>
        <w:spacing w:after="0" w:line="240" w:lineRule="auto"/>
        <w:rPr>
          <w:b/>
          <w:color w:val="000000" w:themeColor="text1"/>
          <w:sz w:val="24"/>
          <w:szCs w:val="24"/>
          <w:lang w:val="en-GB"/>
        </w:rPr>
      </w:pP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00F35927" w:rsidRPr="006439F7">
        <w:rPr>
          <w:b/>
          <w:color w:val="000000" w:themeColor="text1"/>
          <w:sz w:val="24"/>
          <w:szCs w:val="24"/>
          <w:lang w:val="en-GB"/>
        </w:rPr>
        <w:tab/>
      </w:r>
      <w:r w:rsidRPr="006439F7">
        <w:rPr>
          <w:b/>
          <w:color w:val="000000" w:themeColor="text1"/>
          <w:sz w:val="24"/>
          <w:szCs w:val="24"/>
          <w:lang w:val="en-GB"/>
        </w:rPr>
        <w:t>Page</w:t>
      </w:r>
    </w:p>
    <w:p w14:paraId="6A1CFFE7" w14:textId="77777777" w:rsidR="0031742E" w:rsidRDefault="0031742E" w:rsidP="00972C50">
      <w:pPr>
        <w:spacing w:after="0" w:line="240" w:lineRule="auto"/>
        <w:rPr>
          <w:b/>
          <w:color w:val="000000" w:themeColor="text1"/>
          <w:sz w:val="24"/>
          <w:szCs w:val="24"/>
          <w:lang w:val="en-GB"/>
        </w:rPr>
      </w:pPr>
    </w:p>
    <w:p w14:paraId="4F3F63CB" w14:textId="51E74195" w:rsidR="00B630F4" w:rsidRPr="006439F7" w:rsidRDefault="00B630F4" w:rsidP="002C2E11">
      <w:pPr>
        <w:spacing w:after="0" w:line="240" w:lineRule="auto"/>
        <w:jc w:val="both"/>
        <w:rPr>
          <w:b/>
          <w:color w:val="000000" w:themeColor="text1"/>
          <w:sz w:val="24"/>
          <w:szCs w:val="24"/>
          <w:lang w:val="en-GB"/>
        </w:rPr>
      </w:pPr>
      <w:r w:rsidRPr="006439F7">
        <w:rPr>
          <w:b/>
          <w:color w:val="000000" w:themeColor="text1"/>
          <w:sz w:val="24"/>
          <w:szCs w:val="24"/>
          <w:lang w:val="en-GB"/>
        </w:rPr>
        <w:t>INTRODUCTION</w:t>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r>
      <w:r w:rsidRPr="006439F7">
        <w:rPr>
          <w:b/>
          <w:color w:val="000000" w:themeColor="text1"/>
          <w:sz w:val="24"/>
          <w:szCs w:val="24"/>
          <w:lang w:val="en-GB"/>
        </w:rPr>
        <w:tab/>
        <w:t xml:space="preserve">  </w:t>
      </w:r>
      <w:r w:rsidRPr="006439F7">
        <w:rPr>
          <w:b/>
          <w:color w:val="000000" w:themeColor="text1"/>
          <w:sz w:val="24"/>
          <w:szCs w:val="24"/>
          <w:lang w:val="en-GB"/>
        </w:rPr>
        <w:tab/>
      </w:r>
      <w:r w:rsidRPr="006439F7">
        <w:rPr>
          <w:b/>
          <w:color w:val="000000" w:themeColor="text1"/>
          <w:sz w:val="24"/>
          <w:szCs w:val="24"/>
          <w:lang w:val="en-GB"/>
        </w:rPr>
        <w:tab/>
      </w:r>
      <w:r w:rsidR="002C2E11">
        <w:rPr>
          <w:b/>
          <w:color w:val="000000" w:themeColor="text1"/>
          <w:sz w:val="24"/>
          <w:szCs w:val="24"/>
          <w:lang w:val="en-GB"/>
        </w:rPr>
        <w:t xml:space="preserve">     1</w:t>
      </w:r>
      <w:r w:rsidRPr="006439F7">
        <w:rPr>
          <w:b/>
          <w:color w:val="000000" w:themeColor="text1"/>
          <w:sz w:val="24"/>
          <w:szCs w:val="24"/>
          <w:lang w:val="en-GB"/>
        </w:rPr>
        <w:tab/>
      </w:r>
    </w:p>
    <w:p w14:paraId="6EF4FC99" w14:textId="77777777" w:rsidR="00B630F4" w:rsidRPr="006439F7" w:rsidRDefault="00B630F4" w:rsidP="002C2E11">
      <w:pPr>
        <w:pStyle w:val="SingleTxtG"/>
        <w:spacing w:after="0" w:line="240" w:lineRule="auto"/>
        <w:ind w:left="0"/>
        <w:rPr>
          <w:rFonts w:asciiTheme="minorHAnsi" w:hAnsiTheme="minorHAnsi"/>
          <w:b/>
          <w:color w:val="000000" w:themeColor="text1"/>
          <w:sz w:val="24"/>
          <w:szCs w:val="24"/>
          <w:lang w:eastAsia="es-ES"/>
        </w:rPr>
      </w:pPr>
    </w:p>
    <w:p w14:paraId="30332D3A" w14:textId="2D8EC0B7" w:rsidR="002C2E11" w:rsidRDefault="00B630F4" w:rsidP="002C2E11">
      <w:pPr>
        <w:pStyle w:val="SingleTxtG"/>
        <w:spacing w:after="0" w:line="240" w:lineRule="auto"/>
        <w:ind w:left="0" w:righ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t xml:space="preserve">SECTION 1 – Ratification of </w:t>
      </w:r>
      <w:r w:rsidR="00F35927" w:rsidRPr="006439F7">
        <w:rPr>
          <w:rFonts w:asciiTheme="minorHAnsi" w:hAnsiTheme="minorHAnsi"/>
          <w:b/>
          <w:color w:val="000000" w:themeColor="text1"/>
          <w:sz w:val="24"/>
          <w:szCs w:val="24"/>
          <w:lang w:eastAsia="es-ES"/>
        </w:rPr>
        <w:t>OPCAT and I</w:t>
      </w:r>
      <w:r w:rsidR="002C2E11">
        <w:rPr>
          <w:rFonts w:asciiTheme="minorHAnsi" w:hAnsiTheme="minorHAnsi"/>
          <w:b/>
          <w:color w:val="000000" w:themeColor="text1"/>
          <w:sz w:val="24"/>
          <w:szCs w:val="24"/>
          <w:lang w:eastAsia="es-ES"/>
        </w:rPr>
        <w:t>nspection of Places of Detention</w:t>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t xml:space="preserve">     2</w:t>
      </w:r>
    </w:p>
    <w:p w14:paraId="478B74C4" w14:textId="365AC9AF" w:rsidR="00B630F4" w:rsidRPr="006439F7" w:rsidRDefault="002C2E11" w:rsidP="002C2E11">
      <w:pPr>
        <w:pStyle w:val="SingleTxtG"/>
        <w:spacing w:after="0" w:line="240" w:lineRule="auto"/>
        <w:ind w:left="0" w:right="0"/>
        <w:rPr>
          <w:rFonts w:asciiTheme="minorHAnsi" w:hAnsiTheme="minorHAnsi"/>
          <w:b/>
          <w:color w:val="000000" w:themeColor="text1"/>
          <w:sz w:val="24"/>
          <w:szCs w:val="24"/>
          <w:lang w:eastAsia="es-ES"/>
        </w:rPr>
      </w:pPr>
      <w:r>
        <w:rPr>
          <w:rFonts w:asciiTheme="minorHAnsi" w:hAnsiTheme="minorHAnsi"/>
          <w:b/>
          <w:color w:val="000000" w:themeColor="text1"/>
          <w:sz w:val="24"/>
          <w:szCs w:val="24"/>
          <w:lang w:eastAsia="es-ES"/>
        </w:rPr>
        <w:tab/>
      </w:r>
    </w:p>
    <w:p w14:paraId="222369C3" w14:textId="5BEF15A6" w:rsidR="00F7278F"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t xml:space="preserve">SECTION 2 </w:t>
      </w:r>
      <w:r w:rsidR="00F7278F" w:rsidRPr="006439F7">
        <w:rPr>
          <w:rFonts w:asciiTheme="minorHAnsi" w:hAnsiTheme="minorHAnsi"/>
          <w:b/>
          <w:color w:val="000000" w:themeColor="text1"/>
          <w:sz w:val="24"/>
          <w:szCs w:val="24"/>
          <w:lang w:eastAsia="es-ES"/>
        </w:rPr>
        <w:t xml:space="preserve">– </w:t>
      </w:r>
      <w:r w:rsidR="002C2E11">
        <w:rPr>
          <w:rFonts w:asciiTheme="minorHAnsi" w:hAnsiTheme="minorHAnsi"/>
          <w:b/>
          <w:color w:val="000000" w:themeColor="text1"/>
          <w:sz w:val="24"/>
          <w:szCs w:val="24"/>
          <w:lang w:eastAsia="es-ES"/>
        </w:rPr>
        <w:t>Access to a L</w:t>
      </w:r>
      <w:r w:rsidRPr="006439F7">
        <w:rPr>
          <w:rFonts w:asciiTheme="minorHAnsi" w:hAnsiTheme="minorHAnsi"/>
          <w:b/>
          <w:color w:val="000000" w:themeColor="text1"/>
          <w:sz w:val="24"/>
          <w:szCs w:val="24"/>
          <w:lang w:eastAsia="es-ES"/>
        </w:rPr>
        <w:t>awyer</w:t>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t xml:space="preserve">     4</w:t>
      </w:r>
    </w:p>
    <w:p w14:paraId="4C0B4E5B" w14:textId="77777777"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p>
    <w:p w14:paraId="50440FE4" w14:textId="37285BF0"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t>SECTION 3 –</w:t>
      </w:r>
      <w:r w:rsidR="00F7278F" w:rsidRPr="006439F7">
        <w:rPr>
          <w:rFonts w:asciiTheme="minorHAnsi" w:hAnsiTheme="minorHAnsi"/>
          <w:b/>
          <w:color w:val="000000" w:themeColor="text1"/>
          <w:sz w:val="24"/>
          <w:szCs w:val="24"/>
          <w:lang w:eastAsia="es-ES"/>
        </w:rPr>
        <w:t xml:space="preserve"> </w:t>
      </w:r>
      <w:r w:rsidRPr="006439F7">
        <w:rPr>
          <w:rFonts w:asciiTheme="minorHAnsi" w:hAnsiTheme="minorHAnsi"/>
          <w:b/>
          <w:color w:val="000000" w:themeColor="text1"/>
          <w:sz w:val="24"/>
          <w:szCs w:val="24"/>
          <w:lang w:eastAsia="es-ES"/>
        </w:rPr>
        <w:t>Reproductive Health</w:t>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t xml:space="preserve">     6</w:t>
      </w:r>
    </w:p>
    <w:p w14:paraId="68C9DA03" w14:textId="77777777"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p>
    <w:p w14:paraId="5E2276D7" w14:textId="2B23FD30"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t xml:space="preserve">SECTION 4 – Rendition </w:t>
      </w:r>
      <w:r w:rsidR="00F7278F" w:rsidRPr="006439F7">
        <w:rPr>
          <w:rFonts w:asciiTheme="minorHAnsi" w:hAnsiTheme="minorHAnsi"/>
          <w:b/>
          <w:color w:val="000000" w:themeColor="text1"/>
          <w:sz w:val="24"/>
          <w:szCs w:val="24"/>
          <w:lang w:eastAsia="es-ES"/>
        </w:rPr>
        <w:t>and Pre-Clearance at Irish Airports</w:t>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t xml:space="preserve">     9</w:t>
      </w:r>
    </w:p>
    <w:p w14:paraId="22BDA6F1" w14:textId="77777777"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p>
    <w:p w14:paraId="6B360E37" w14:textId="3524DB81"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t>SECTION 5 – Complaints of Police Ill-Treatment</w:t>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t xml:space="preserve">   10</w:t>
      </w:r>
    </w:p>
    <w:p w14:paraId="60BA3D12" w14:textId="77777777"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p>
    <w:p w14:paraId="13CC3457" w14:textId="434580C8" w:rsidR="00B630F4" w:rsidRPr="006439F7" w:rsidRDefault="00B630F4" w:rsidP="002C2E11">
      <w:pPr>
        <w:pStyle w:val="SingleTxtG"/>
        <w:spacing w:after="0" w:line="240" w:lineRule="auto"/>
        <w:ind w:left="0" w:righ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t>SECTION 6 – Historical Ill-Treatment</w:t>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r>
      <w:r w:rsidR="002C2E11">
        <w:rPr>
          <w:rFonts w:asciiTheme="minorHAnsi" w:hAnsiTheme="minorHAnsi"/>
          <w:b/>
          <w:color w:val="000000" w:themeColor="text1"/>
          <w:sz w:val="24"/>
          <w:szCs w:val="24"/>
          <w:lang w:eastAsia="es-ES"/>
        </w:rPr>
        <w:tab/>
        <w:t xml:space="preserve">   12</w:t>
      </w:r>
    </w:p>
    <w:p w14:paraId="1C00B7DD" w14:textId="77777777" w:rsidR="00B630F4" w:rsidRDefault="00B630F4" w:rsidP="002C2E11">
      <w:pPr>
        <w:pStyle w:val="SingleTxtG"/>
        <w:spacing w:after="0" w:line="240" w:lineRule="auto"/>
        <w:ind w:left="0" w:right="0"/>
        <w:rPr>
          <w:rFonts w:asciiTheme="minorHAnsi" w:hAnsiTheme="minorHAnsi"/>
          <w:color w:val="000000" w:themeColor="text1"/>
          <w:sz w:val="24"/>
          <w:szCs w:val="24"/>
          <w:lang w:eastAsia="es-ES"/>
        </w:rPr>
      </w:pPr>
    </w:p>
    <w:p w14:paraId="5724624A" w14:textId="450F71C8" w:rsidR="002C2E11" w:rsidRPr="002C2E11" w:rsidRDefault="002C2E11" w:rsidP="002C2E11">
      <w:pPr>
        <w:pStyle w:val="SingleTxtG"/>
        <w:spacing w:after="0" w:line="240" w:lineRule="auto"/>
        <w:ind w:left="0" w:right="0"/>
        <w:rPr>
          <w:rFonts w:asciiTheme="minorHAnsi" w:hAnsiTheme="minorHAnsi"/>
          <w:b/>
          <w:color w:val="000000" w:themeColor="text1"/>
          <w:sz w:val="24"/>
          <w:szCs w:val="24"/>
          <w:lang w:eastAsia="es-ES"/>
        </w:rPr>
      </w:pPr>
      <w:r w:rsidRPr="002C2E11">
        <w:rPr>
          <w:rFonts w:asciiTheme="minorHAnsi" w:hAnsiTheme="minorHAnsi"/>
          <w:b/>
          <w:color w:val="000000" w:themeColor="text1"/>
          <w:sz w:val="24"/>
          <w:szCs w:val="24"/>
          <w:lang w:eastAsia="es-ES"/>
        </w:rPr>
        <w:t xml:space="preserve">SECTION 7 </w:t>
      </w:r>
      <w:r>
        <w:rPr>
          <w:rFonts w:asciiTheme="minorHAnsi" w:hAnsiTheme="minorHAnsi"/>
          <w:b/>
          <w:color w:val="000000" w:themeColor="text1"/>
          <w:sz w:val="24"/>
          <w:szCs w:val="24"/>
          <w:lang w:eastAsia="es-ES"/>
        </w:rPr>
        <w:t>–</w:t>
      </w:r>
      <w:r w:rsidRPr="002C2E11">
        <w:rPr>
          <w:rFonts w:asciiTheme="minorHAnsi" w:hAnsiTheme="minorHAnsi"/>
          <w:b/>
          <w:color w:val="000000" w:themeColor="text1"/>
          <w:sz w:val="24"/>
          <w:szCs w:val="24"/>
          <w:lang w:eastAsia="es-ES"/>
        </w:rPr>
        <w:t xml:space="preserve"> </w:t>
      </w:r>
      <w:r w:rsidRPr="002C2E11">
        <w:rPr>
          <w:rFonts w:asciiTheme="minorHAnsi" w:hAnsiTheme="minorHAnsi"/>
          <w:b/>
          <w:sz w:val="24"/>
          <w:szCs w:val="24"/>
          <w:lang w:val="en-US"/>
        </w:rPr>
        <w:t>Mental Health and Psychosocial Disability</w:t>
      </w:r>
      <w:r>
        <w:rPr>
          <w:rFonts w:asciiTheme="minorHAnsi" w:hAnsiTheme="minorHAnsi"/>
          <w:b/>
          <w:sz w:val="24"/>
          <w:szCs w:val="24"/>
          <w:lang w:val="en-US"/>
        </w:rPr>
        <w:tab/>
      </w:r>
      <w:r>
        <w:rPr>
          <w:rFonts w:asciiTheme="minorHAnsi" w:hAnsiTheme="minorHAnsi"/>
          <w:b/>
          <w:sz w:val="24"/>
          <w:szCs w:val="24"/>
          <w:lang w:val="en-US"/>
        </w:rPr>
        <w:tab/>
      </w:r>
      <w:r>
        <w:rPr>
          <w:rFonts w:asciiTheme="minorHAnsi" w:hAnsiTheme="minorHAnsi"/>
          <w:b/>
          <w:sz w:val="24"/>
          <w:szCs w:val="24"/>
          <w:lang w:val="en-US"/>
        </w:rPr>
        <w:tab/>
      </w:r>
      <w:r>
        <w:rPr>
          <w:rFonts w:asciiTheme="minorHAnsi" w:hAnsiTheme="minorHAnsi"/>
          <w:b/>
          <w:sz w:val="24"/>
          <w:szCs w:val="24"/>
          <w:lang w:val="en-US"/>
        </w:rPr>
        <w:tab/>
        <w:t xml:space="preserve">   13</w:t>
      </w:r>
    </w:p>
    <w:p w14:paraId="6E49CF68" w14:textId="77777777" w:rsidR="001C73EC" w:rsidRDefault="001C73EC" w:rsidP="002C2E11">
      <w:pPr>
        <w:pStyle w:val="SingleTxtG"/>
        <w:spacing w:after="0" w:line="240" w:lineRule="auto"/>
        <w:ind w:left="0" w:right="0"/>
        <w:rPr>
          <w:rFonts w:asciiTheme="minorHAnsi" w:hAnsiTheme="minorHAnsi"/>
          <w:color w:val="000000" w:themeColor="text1"/>
          <w:sz w:val="24"/>
          <w:szCs w:val="24"/>
          <w:lang w:eastAsia="es-ES"/>
        </w:rPr>
      </w:pPr>
    </w:p>
    <w:p w14:paraId="20A6AB9D" w14:textId="77777777" w:rsidR="001C73EC" w:rsidRDefault="001C73EC" w:rsidP="00972C50">
      <w:pPr>
        <w:pStyle w:val="SingleTxtG"/>
        <w:spacing w:after="0" w:line="240" w:lineRule="auto"/>
        <w:ind w:left="0"/>
        <w:rPr>
          <w:rFonts w:asciiTheme="minorHAnsi" w:hAnsiTheme="minorHAnsi"/>
          <w:color w:val="000000" w:themeColor="text1"/>
          <w:sz w:val="24"/>
          <w:szCs w:val="24"/>
          <w:lang w:eastAsia="es-ES"/>
        </w:rPr>
      </w:pPr>
    </w:p>
    <w:p w14:paraId="7C8CDCA5" w14:textId="77777777" w:rsidR="002C2E11" w:rsidRDefault="002C2E11" w:rsidP="00972C50">
      <w:pPr>
        <w:pStyle w:val="SingleTxtG"/>
        <w:spacing w:after="0" w:line="240" w:lineRule="auto"/>
        <w:ind w:left="0"/>
        <w:rPr>
          <w:rFonts w:asciiTheme="minorHAnsi" w:hAnsiTheme="minorHAnsi"/>
          <w:color w:val="000000" w:themeColor="text1"/>
          <w:sz w:val="24"/>
          <w:szCs w:val="24"/>
          <w:lang w:eastAsia="es-ES"/>
        </w:rPr>
      </w:pPr>
    </w:p>
    <w:p w14:paraId="1F5F2177" w14:textId="77777777" w:rsidR="001C73EC" w:rsidRPr="001C73EC" w:rsidRDefault="001C73EC" w:rsidP="001C73EC">
      <w:pPr>
        <w:spacing w:after="0" w:line="240" w:lineRule="auto"/>
        <w:rPr>
          <w:rFonts w:cs="Arial"/>
          <w:b/>
          <w:color w:val="000000" w:themeColor="text1"/>
          <w:sz w:val="24"/>
          <w:szCs w:val="24"/>
          <w:u w:val="single"/>
        </w:rPr>
      </w:pPr>
      <w:r w:rsidRPr="001C73EC">
        <w:rPr>
          <w:rFonts w:cs="Arial"/>
          <w:b/>
          <w:color w:val="000000" w:themeColor="text1"/>
          <w:sz w:val="24"/>
          <w:szCs w:val="24"/>
          <w:u w:val="single"/>
        </w:rPr>
        <w:t>Submitting Stakeholder:</w:t>
      </w:r>
    </w:p>
    <w:p w14:paraId="1F93A2EE" w14:textId="77777777" w:rsidR="001C73EC" w:rsidRPr="001C73EC" w:rsidRDefault="001C73EC" w:rsidP="001C73EC">
      <w:pPr>
        <w:spacing w:after="0" w:line="240" w:lineRule="auto"/>
        <w:rPr>
          <w:rFonts w:cs="Arial"/>
          <w:color w:val="000000" w:themeColor="text1"/>
          <w:sz w:val="24"/>
          <w:szCs w:val="24"/>
        </w:rPr>
      </w:pPr>
      <w:r w:rsidRPr="001C73EC">
        <w:rPr>
          <w:rFonts w:cs="Arial"/>
          <w:color w:val="000000" w:themeColor="text1"/>
          <w:sz w:val="24"/>
          <w:szCs w:val="24"/>
        </w:rPr>
        <w:t xml:space="preserve">Founded in 1976, the Irish Council for Civil Liberties (ICCL) has tirelessly worked </w:t>
      </w:r>
      <w:r w:rsidRPr="001C73EC">
        <w:rPr>
          <w:rFonts w:cs="Arial"/>
          <w:color w:val="000000" w:themeColor="text1"/>
          <w:sz w:val="24"/>
          <w:szCs w:val="24"/>
          <w:lang w:val="en-GB"/>
        </w:rPr>
        <w:t xml:space="preserve">over 40 years </w:t>
      </w:r>
      <w:r w:rsidRPr="001C73EC">
        <w:rPr>
          <w:rFonts w:cs="Arial"/>
          <w:color w:val="000000" w:themeColor="text1"/>
          <w:sz w:val="24"/>
          <w:szCs w:val="24"/>
        </w:rPr>
        <w:t xml:space="preserve">to defend and strengthen constitutional rights protections and to ensure the full implementation of international human rights standards in Ireland. The ICCL draws on the tradition of civil liberties activism in many countries, including the civil rights movements in Northern Ireland, the United Kingdom and the United States. It has developed strong partnerships with </w:t>
      </w:r>
      <w:r w:rsidRPr="001C73EC">
        <w:rPr>
          <w:rFonts w:cs="Arial"/>
          <w:color w:val="000000" w:themeColor="text1"/>
          <w:sz w:val="24"/>
          <w:szCs w:val="24"/>
          <w:lang w:val="en-GB"/>
        </w:rPr>
        <w:t xml:space="preserve">a broad range of </w:t>
      </w:r>
      <w:r w:rsidRPr="001C73EC">
        <w:rPr>
          <w:rFonts w:cs="Arial"/>
          <w:color w:val="000000" w:themeColor="text1"/>
          <w:sz w:val="24"/>
          <w:szCs w:val="24"/>
        </w:rPr>
        <w:t xml:space="preserve">civil society organisations in Ireland and networks and alliances with similar organisations internationally. ICCL was a founder member of the International Network of Civil Liberties Organisations (INCLO) and a founder and coordinator of the JUSTICIA European Rights Network of 19 civil society organisations working in the area of procedural rights, defence rights, and victims’ rights. Domestically focused and internationally informed, ICCL has played a leading role in some of Ireland’s most important human rights campaigns. </w:t>
      </w:r>
    </w:p>
    <w:p w14:paraId="758BBC16" w14:textId="77777777" w:rsidR="001C73EC" w:rsidRDefault="001C73EC" w:rsidP="001C73EC">
      <w:pPr>
        <w:spacing w:after="0" w:line="240" w:lineRule="auto"/>
        <w:ind w:left="-567" w:firstLine="567"/>
        <w:jc w:val="both"/>
        <w:rPr>
          <w:b/>
          <w:sz w:val="24"/>
          <w:szCs w:val="24"/>
          <w:u w:val="single"/>
        </w:rPr>
      </w:pPr>
    </w:p>
    <w:p w14:paraId="54AF7A58" w14:textId="77777777" w:rsidR="001C73EC" w:rsidRPr="001C73EC" w:rsidRDefault="001C73EC" w:rsidP="001C73EC">
      <w:pPr>
        <w:spacing w:after="0" w:line="240" w:lineRule="auto"/>
        <w:ind w:left="-567" w:firstLine="567"/>
        <w:jc w:val="both"/>
        <w:rPr>
          <w:b/>
          <w:sz w:val="24"/>
          <w:szCs w:val="24"/>
          <w:u w:val="single"/>
        </w:rPr>
      </w:pPr>
      <w:r w:rsidRPr="001C73EC">
        <w:rPr>
          <w:b/>
          <w:sz w:val="24"/>
          <w:szCs w:val="24"/>
          <w:u w:val="single"/>
        </w:rPr>
        <w:t>Contact Details:</w:t>
      </w:r>
    </w:p>
    <w:p w14:paraId="6AF56F49" w14:textId="77777777" w:rsidR="001C73EC" w:rsidRPr="001C73EC" w:rsidRDefault="001C73EC" w:rsidP="001C73EC">
      <w:pPr>
        <w:spacing w:after="0" w:line="240" w:lineRule="auto"/>
        <w:ind w:left="-567" w:firstLine="567"/>
        <w:jc w:val="both"/>
        <w:rPr>
          <w:sz w:val="24"/>
          <w:szCs w:val="24"/>
        </w:rPr>
      </w:pPr>
      <w:r w:rsidRPr="001C73EC">
        <w:rPr>
          <w:b/>
          <w:sz w:val="24"/>
          <w:szCs w:val="24"/>
        </w:rPr>
        <w:t>Address:</w:t>
      </w:r>
      <w:r w:rsidRPr="001C73EC">
        <w:rPr>
          <w:sz w:val="24"/>
          <w:szCs w:val="24"/>
        </w:rPr>
        <w:t xml:space="preserve"> </w:t>
      </w:r>
      <w:r w:rsidRPr="001C73EC">
        <w:rPr>
          <w:sz w:val="24"/>
          <w:szCs w:val="24"/>
        </w:rPr>
        <w:tab/>
        <w:t>Irish Council for Civil Liberties (ICCL)</w:t>
      </w:r>
    </w:p>
    <w:p w14:paraId="64BB443F" w14:textId="77777777" w:rsidR="001C73EC" w:rsidRPr="001C73EC" w:rsidRDefault="001C73EC" w:rsidP="001C73EC">
      <w:pPr>
        <w:spacing w:after="0" w:line="240" w:lineRule="auto"/>
        <w:ind w:left="-567" w:firstLine="567"/>
        <w:jc w:val="both"/>
        <w:rPr>
          <w:sz w:val="24"/>
          <w:szCs w:val="24"/>
        </w:rPr>
      </w:pPr>
      <w:r w:rsidRPr="001C73EC">
        <w:rPr>
          <w:sz w:val="24"/>
          <w:szCs w:val="24"/>
        </w:rPr>
        <w:lastRenderedPageBreak/>
        <w:tab/>
      </w:r>
      <w:r w:rsidRPr="001C73EC">
        <w:rPr>
          <w:sz w:val="24"/>
          <w:szCs w:val="24"/>
        </w:rPr>
        <w:tab/>
        <w:t>9-13 Blackhall Place</w:t>
      </w:r>
    </w:p>
    <w:p w14:paraId="7F36011F" w14:textId="77777777" w:rsidR="001C73EC" w:rsidRPr="001C73EC" w:rsidRDefault="001C73EC" w:rsidP="001C73EC">
      <w:pPr>
        <w:spacing w:after="0" w:line="240" w:lineRule="auto"/>
        <w:ind w:left="-567" w:firstLine="567"/>
        <w:jc w:val="both"/>
        <w:rPr>
          <w:sz w:val="24"/>
          <w:szCs w:val="24"/>
        </w:rPr>
      </w:pPr>
      <w:r w:rsidRPr="001C73EC">
        <w:rPr>
          <w:sz w:val="24"/>
          <w:szCs w:val="24"/>
        </w:rPr>
        <w:tab/>
      </w:r>
      <w:r w:rsidRPr="001C73EC">
        <w:rPr>
          <w:sz w:val="24"/>
          <w:szCs w:val="24"/>
        </w:rPr>
        <w:tab/>
        <w:t>Dublin 7</w:t>
      </w:r>
    </w:p>
    <w:p w14:paraId="55D5F31A" w14:textId="77777777" w:rsidR="001C73EC" w:rsidRPr="001C73EC" w:rsidRDefault="001C73EC" w:rsidP="001C73EC">
      <w:pPr>
        <w:spacing w:after="0" w:line="240" w:lineRule="auto"/>
        <w:ind w:left="-567" w:firstLine="567"/>
        <w:jc w:val="both"/>
        <w:rPr>
          <w:sz w:val="24"/>
          <w:szCs w:val="24"/>
        </w:rPr>
      </w:pPr>
      <w:r w:rsidRPr="001C73EC">
        <w:rPr>
          <w:sz w:val="24"/>
          <w:szCs w:val="24"/>
        </w:rPr>
        <w:tab/>
      </w:r>
      <w:r w:rsidRPr="001C73EC">
        <w:rPr>
          <w:sz w:val="24"/>
          <w:szCs w:val="24"/>
        </w:rPr>
        <w:tab/>
        <w:t>Ireland</w:t>
      </w:r>
    </w:p>
    <w:p w14:paraId="0BDC1B91" w14:textId="77777777" w:rsidR="001C73EC" w:rsidRPr="001C73EC" w:rsidRDefault="001C73EC" w:rsidP="001C73EC">
      <w:pPr>
        <w:spacing w:after="0" w:line="240" w:lineRule="auto"/>
        <w:rPr>
          <w:b/>
          <w:color w:val="000000" w:themeColor="text1"/>
          <w:sz w:val="24"/>
          <w:szCs w:val="24"/>
          <w:lang w:val="en-GB"/>
        </w:rPr>
      </w:pPr>
      <w:r w:rsidRPr="001C73EC">
        <w:rPr>
          <w:b/>
          <w:color w:val="000000" w:themeColor="text1"/>
          <w:sz w:val="24"/>
          <w:szCs w:val="24"/>
          <w:lang w:val="en-GB"/>
        </w:rPr>
        <w:t>E-mail:</w:t>
      </w:r>
      <w:r w:rsidRPr="001C73EC">
        <w:rPr>
          <w:b/>
          <w:color w:val="000000" w:themeColor="text1"/>
          <w:sz w:val="24"/>
          <w:szCs w:val="24"/>
          <w:lang w:val="en-GB"/>
        </w:rPr>
        <w:tab/>
      </w:r>
      <w:r w:rsidRPr="001C73EC">
        <w:rPr>
          <w:b/>
          <w:color w:val="000000" w:themeColor="text1"/>
          <w:sz w:val="24"/>
          <w:szCs w:val="24"/>
          <w:lang w:val="en-GB"/>
        </w:rPr>
        <w:tab/>
      </w:r>
      <w:hyperlink r:id="rId9" w:history="1">
        <w:r w:rsidRPr="001C73EC">
          <w:rPr>
            <w:rStyle w:val="Hyperlink"/>
            <w:sz w:val="24"/>
            <w:szCs w:val="24"/>
            <w:lang w:val="en-GB"/>
          </w:rPr>
          <w:t>info@iccl.ie</w:t>
        </w:r>
      </w:hyperlink>
    </w:p>
    <w:p w14:paraId="161A4B77" w14:textId="77777777" w:rsidR="001C73EC" w:rsidRPr="001C73EC" w:rsidRDefault="001C73EC" w:rsidP="001C73EC">
      <w:pPr>
        <w:spacing w:after="0" w:line="240" w:lineRule="auto"/>
        <w:rPr>
          <w:b/>
          <w:color w:val="000000" w:themeColor="text1"/>
          <w:sz w:val="24"/>
          <w:szCs w:val="24"/>
          <w:lang w:val="en-GB"/>
        </w:rPr>
      </w:pPr>
      <w:r w:rsidRPr="001C73EC">
        <w:rPr>
          <w:b/>
          <w:color w:val="000000" w:themeColor="text1"/>
          <w:sz w:val="24"/>
          <w:szCs w:val="24"/>
          <w:lang w:val="en-GB"/>
        </w:rPr>
        <w:t>Website:</w:t>
      </w:r>
      <w:r w:rsidRPr="001C73EC">
        <w:rPr>
          <w:b/>
          <w:color w:val="000000" w:themeColor="text1"/>
          <w:sz w:val="24"/>
          <w:szCs w:val="24"/>
          <w:lang w:val="en-GB"/>
        </w:rPr>
        <w:tab/>
      </w:r>
      <w:hyperlink r:id="rId10" w:history="1">
        <w:r w:rsidRPr="001C73EC">
          <w:rPr>
            <w:rStyle w:val="Hyperlink"/>
            <w:sz w:val="24"/>
            <w:szCs w:val="24"/>
            <w:lang w:val="en-GB"/>
          </w:rPr>
          <w:t>www.iccl.ie</w:t>
        </w:r>
      </w:hyperlink>
    </w:p>
    <w:p w14:paraId="09CDDA24" w14:textId="4F9691C6" w:rsidR="001C73EC" w:rsidRPr="001C73EC" w:rsidRDefault="001C73EC" w:rsidP="001C73EC">
      <w:pPr>
        <w:rPr>
          <w:b/>
          <w:color w:val="000000" w:themeColor="text1"/>
          <w:sz w:val="24"/>
          <w:szCs w:val="24"/>
          <w:lang w:val="en-GB"/>
        </w:rPr>
      </w:pPr>
      <w:r w:rsidRPr="001C73EC">
        <w:rPr>
          <w:b/>
          <w:color w:val="000000" w:themeColor="text1"/>
          <w:sz w:val="24"/>
          <w:szCs w:val="24"/>
          <w:lang w:val="en-GB"/>
        </w:rPr>
        <w:t>Twitter:</w:t>
      </w:r>
      <w:r w:rsidRPr="001C73EC">
        <w:rPr>
          <w:b/>
          <w:color w:val="000000" w:themeColor="text1"/>
          <w:sz w:val="24"/>
          <w:szCs w:val="24"/>
          <w:lang w:val="en-GB"/>
        </w:rPr>
        <w:tab/>
      </w:r>
      <w:r w:rsidRPr="001C73EC">
        <w:rPr>
          <w:color w:val="000000" w:themeColor="text1"/>
          <w:sz w:val="24"/>
          <w:szCs w:val="24"/>
          <w:lang w:val="en-GB"/>
        </w:rPr>
        <w:t>@ICCL</w:t>
      </w:r>
      <w:r w:rsidR="004C7E62">
        <w:rPr>
          <w:color w:val="000000" w:themeColor="text1"/>
          <w:sz w:val="24"/>
          <w:szCs w:val="24"/>
          <w:lang w:val="en-GB"/>
        </w:rPr>
        <w:t>t</w:t>
      </w:r>
      <w:r w:rsidRPr="001C73EC">
        <w:rPr>
          <w:color w:val="000000" w:themeColor="text1"/>
          <w:sz w:val="24"/>
          <w:szCs w:val="24"/>
          <w:lang w:val="en-GB"/>
        </w:rPr>
        <w:t>weet</w:t>
      </w:r>
      <w:r w:rsidRPr="001C73EC">
        <w:rPr>
          <w:b/>
          <w:color w:val="000000" w:themeColor="text1"/>
          <w:sz w:val="24"/>
          <w:szCs w:val="24"/>
          <w:lang w:val="en-GB"/>
        </w:rPr>
        <w:t xml:space="preserve"> </w:t>
      </w:r>
    </w:p>
    <w:p w14:paraId="33DB97F9" w14:textId="1E6639ED" w:rsidR="0031742E" w:rsidRDefault="0031742E" w:rsidP="00972C50">
      <w:pPr>
        <w:spacing w:after="0" w:line="240" w:lineRule="auto"/>
        <w:rPr>
          <w:b/>
          <w:color w:val="000000" w:themeColor="text1"/>
          <w:sz w:val="24"/>
          <w:szCs w:val="24"/>
          <w:lang w:val="en-GB"/>
        </w:rPr>
        <w:sectPr w:rsidR="0031742E">
          <w:headerReference w:type="even" r:id="rId11"/>
          <w:headerReference w:type="default" r:id="rId12"/>
          <w:footerReference w:type="default" r:id="rId13"/>
          <w:headerReference w:type="first" r:id="rId14"/>
          <w:footerReference w:type="first" r:id="rId15"/>
          <w:pgSz w:w="11906" w:h="16838"/>
          <w:pgMar w:top="1440" w:right="1440" w:bottom="1440" w:left="1440" w:header="708" w:footer="708" w:gutter="0"/>
          <w:cols w:space="708"/>
          <w:docGrid w:linePitch="360"/>
        </w:sectPr>
      </w:pPr>
    </w:p>
    <w:p w14:paraId="7D1FAFB2" w14:textId="77777777" w:rsidR="002C2E11" w:rsidRDefault="002C2E11" w:rsidP="002C2E11">
      <w:pPr>
        <w:spacing w:after="0" w:line="240" w:lineRule="auto"/>
        <w:rPr>
          <w:b/>
          <w:color w:val="000000" w:themeColor="text1"/>
          <w:sz w:val="24"/>
          <w:szCs w:val="24"/>
          <w:lang w:val="en-GB"/>
        </w:rPr>
      </w:pPr>
      <w:r w:rsidRPr="002C2E11">
        <w:rPr>
          <w:b/>
          <w:color w:val="000000" w:themeColor="text1"/>
          <w:sz w:val="24"/>
          <w:szCs w:val="24"/>
          <w:lang w:val="en-GB"/>
        </w:rPr>
        <w:lastRenderedPageBreak/>
        <w:t>Introduction</w:t>
      </w:r>
    </w:p>
    <w:p w14:paraId="32DE7FFC" w14:textId="77777777" w:rsidR="006D330E" w:rsidRDefault="006D330E" w:rsidP="009B70BF">
      <w:pPr>
        <w:spacing w:after="0" w:line="240" w:lineRule="auto"/>
        <w:rPr>
          <w:rFonts w:cs="Arial"/>
          <w:color w:val="000000" w:themeColor="text1"/>
          <w:sz w:val="24"/>
          <w:szCs w:val="24"/>
        </w:rPr>
      </w:pPr>
    </w:p>
    <w:p w14:paraId="14AEE17F" w14:textId="2C4515B4" w:rsidR="0013514C" w:rsidRPr="00CC77A8" w:rsidRDefault="00C41191" w:rsidP="00CC77A8">
      <w:pPr>
        <w:spacing w:after="0" w:line="240" w:lineRule="auto"/>
        <w:jc w:val="both"/>
        <w:rPr>
          <w:color w:val="000000" w:themeColor="text1"/>
          <w:sz w:val="24"/>
          <w:szCs w:val="24"/>
        </w:rPr>
      </w:pPr>
      <w:r w:rsidRPr="009B70BF">
        <w:rPr>
          <w:rFonts w:cs="Arial"/>
          <w:color w:val="000000" w:themeColor="text1"/>
          <w:sz w:val="24"/>
          <w:szCs w:val="24"/>
        </w:rPr>
        <w:t>In May 2011</w:t>
      </w:r>
      <w:r w:rsidR="00124757" w:rsidRPr="009B70BF">
        <w:rPr>
          <w:rFonts w:cs="Arial"/>
          <w:color w:val="000000" w:themeColor="text1"/>
          <w:sz w:val="24"/>
          <w:szCs w:val="24"/>
          <w:lang w:val="en-GB"/>
        </w:rPr>
        <w:t>,</w:t>
      </w:r>
      <w:r w:rsidRPr="009B70BF">
        <w:rPr>
          <w:rFonts w:cs="Arial"/>
          <w:color w:val="000000" w:themeColor="text1"/>
          <w:sz w:val="24"/>
          <w:szCs w:val="24"/>
        </w:rPr>
        <w:t xml:space="preserve"> </w:t>
      </w:r>
      <w:r w:rsidR="0059018D" w:rsidRPr="009B70BF">
        <w:rPr>
          <w:color w:val="000000" w:themeColor="text1"/>
          <w:sz w:val="24"/>
          <w:szCs w:val="24"/>
          <w:lang w:val="en-GB"/>
        </w:rPr>
        <w:t xml:space="preserve">ICCL made a </w:t>
      </w:r>
      <w:r w:rsidRPr="009B70BF">
        <w:rPr>
          <w:color w:val="000000" w:themeColor="text1"/>
          <w:sz w:val="24"/>
          <w:szCs w:val="24"/>
          <w:lang w:val="en-GB"/>
        </w:rPr>
        <w:t xml:space="preserve">joint </w:t>
      </w:r>
      <w:r w:rsidR="0059018D" w:rsidRPr="009B70BF">
        <w:rPr>
          <w:color w:val="000000" w:themeColor="text1"/>
          <w:sz w:val="24"/>
          <w:szCs w:val="24"/>
          <w:lang w:val="en-GB"/>
        </w:rPr>
        <w:t xml:space="preserve">submission </w:t>
      </w:r>
      <w:r w:rsidRPr="009B70BF">
        <w:rPr>
          <w:color w:val="000000" w:themeColor="text1"/>
          <w:sz w:val="24"/>
          <w:szCs w:val="24"/>
          <w:lang w:val="en-GB"/>
        </w:rPr>
        <w:t xml:space="preserve">(with the Irish Penal Reform Trust) </w:t>
      </w:r>
      <w:r w:rsidR="00E514B3" w:rsidRPr="009B70BF">
        <w:rPr>
          <w:color w:val="000000" w:themeColor="text1"/>
          <w:sz w:val="24"/>
          <w:szCs w:val="24"/>
          <w:lang w:val="en-GB"/>
        </w:rPr>
        <w:t xml:space="preserve">to </w:t>
      </w:r>
      <w:r w:rsidRPr="009B70BF">
        <w:rPr>
          <w:color w:val="000000" w:themeColor="text1"/>
          <w:sz w:val="24"/>
          <w:szCs w:val="24"/>
          <w:lang w:val="en-GB"/>
        </w:rPr>
        <w:t xml:space="preserve">the </w:t>
      </w:r>
      <w:r w:rsidR="00E16682" w:rsidRPr="009B70BF">
        <w:rPr>
          <w:rFonts w:cs="Arial"/>
          <w:color w:val="000000" w:themeColor="text1"/>
          <w:sz w:val="24"/>
          <w:szCs w:val="24"/>
        </w:rPr>
        <w:t xml:space="preserve">UN Committee Against Torture (“the Committee”) </w:t>
      </w:r>
      <w:r w:rsidR="00E514B3" w:rsidRPr="009B70BF">
        <w:rPr>
          <w:color w:val="000000" w:themeColor="text1"/>
          <w:sz w:val="24"/>
          <w:szCs w:val="24"/>
          <w:lang w:val="en-GB"/>
        </w:rPr>
        <w:t xml:space="preserve">with respect to the </w:t>
      </w:r>
      <w:r w:rsidRPr="009B70BF">
        <w:rPr>
          <w:color w:val="000000" w:themeColor="text1"/>
          <w:sz w:val="24"/>
          <w:szCs w:val="24"/>
          <w:lang w:val="en-GB"/>
        </w:rPr>
        <w:t xml:space="preserve">first examination of Ireland under UNCAT. </w:t>
      </w:r>
      <w:r w:rsidR="00F35927" w:rsidRPr="009B70BF">
        <w:rPr>
          <w:color w:val="000000" w:themeColor="text1"/>
          <w:sz w:val="24"/>
          <w:szCs w:val="24"/>
        </w:rPr>
        <w:t xml:space="preserve">Following on from that examination, ICCL and other partner NGOs disseminated copies of the Concluding Observations to statutory bodies, civil society groups, lawyers, academics and media. </w:t>
      </w:r>
      <w:r w:rsidRPr="009B70BF">
        <w:rPr>
          <w:color w:val="000000" w:themeColor="text1"/>
          <w:sz w:val="24"/>
          <w:szCs w:val="24"/>
          <w:lang w:val="en-GB"/>
        </w:rPr>
        <w:t>In May 2012, I</w:t>
      </w:r>
      <w:r w:rsidR="00F35927" w:rsidRPr="009B70BF">
        <w:rPr>
          <w:color w:val="000000" w:themeColor="text1"/>
          <w:sz w:val="24"/>
          <w:szCs w:val="24"/>
          <w:lang w:val="en-GB"/>
        </w:rPr>
        <w:t>CCL had the honour of hosting (with Justice for Magdalenes) a follow-up</w:t>
      </w:r>
      <w:r w:rsidRPr="009B70BF">
        <w:rPr>
          <w:color w:val="000000" w:themeColor="text1"/>
          <w:sz w:val="24"/>
          <w:szCs w:val="24"/>
          <w:lang w:val="en-GB"/>
        </w:rPr>
        <w:t xml:space="preserve"> event in Dublin titled: “</w:t>
      </w:r>
      <w:r w:rsidRPr="009B70BF">
        <w:rPr>
          <w:rStyle w:val="Emphasis"/>
          <w:color w:val="000000" w:themeColor="text1"/>
          <w:sz w:val="24"/>
          <w:szCs w:val="24"/>
          <w:shd w:val="clear" w:color="auto" w:fill="FFFFFF"/>
        </w:rPr>
        <w:t>Preventing Ill-Treatment and Securing Accountability: The Impact in Ireland of the UN Convention Against Torture (UNCAT)</w:t>
      </w:r>
      <w:r w:rsidRPr="009B70BF">
        <w:rPr>
          <w:rStyle w:val="apple-converted-space"/>
          <w:color w:val="000000" w:themeColor="text1"/>
          <w:sz w:val="24"/>
          <w:szCs w:val="24"/>
          <w:shd w:val="clear" w:color="auto" w:fill="FFFFFF"/>
        </w:rPr>
        <w:t xml:space="preserve">”, which was addressed by Ms. Felice Gaer of the Committee, and which reflected on progress made by Ireland on foot of the concluding observations of the Committee in that first examination. </w:t>
      </w:r>
      <w:r w:rsidRPr="009B70BF">
        <w:rPr>
          <w:color w:val="000000" w:themeColor="text1"/>
          <w:sz w:val="24"/>
          <w:szCs w:val="24"/>
          <w:lang w:val="en-GB"/>
        </w:rPr>
        <w:t xml:space="preserve">In </w:t>
      </w:r>
      <w:r w:rsidR="00CE58BE" w:rsidRPr="009B70BF">
        <w:rPr>
          <w:color w:val="000000" w:themeColor="text1"/>
          <w:sz w:val="24"/>
          <w:szCs w:val="24"/>
          <w:lang w:val="en-GB"/>
        </w:rPr>
        <w:t xml:space="preserve">August 2013, </w:t>
      </w:r>
      <w:r w:rsidR="00E514B3" w:rsidRPr="009B70BF">
        <w:rPr>
          <w:color w:val="000000" w:themeColor="text1"/>
          <w:sz w:val="24"/>
          <w:szCs w:val="24"/>
          <w:lang w:val="en-GB"/>
        </w:rPr>
        <w:t xml:space="preserve">ICCL also made a </w:t>
      </w:r>
      <w:r w:rsidR="00CE58BE" w:rsidRPr="009B70BF">
        <w:rPr>
          <w:color w:val="000000" w:themeColor="text1"/>
          <w:sz w:val="24"/>
          <w:szCs w:val="24"/>
          <w:lang w:val="en-GB"/>
        </w:rPr>
        <w:t xml:space="preserve">comprehensive </w:t>
      </w:r>
      <w:r w:rsidR="00E514B3" w:rsidRPr="009B70BF">
        <w:rPr>
          <w:color w:val="000000" w:themeColor="text1"/>
          <w:sz w:val="24"/>
          <w:szCs w:val="24"/>
          <w:lang w:val="en-GB"/>
        </w:rPr>
        <w:t xml:space="preserve">submission to the Committee with </w:t>
      </w:r>
      <w:r w:rsidR="0073664E" w:rsidRPr="009B70BF">
        <w:rPr>
          <w:color w:val="000000" w:themeColor="text1"/>
          <w:sz w:val="24"/>
          <w:szCs w:val="24"/>
          <w:lang w:val="en-GB"/>
        </w:rPr>
        <w:t>respect to the List of Issues</w:t>
      </w:r>
      <w:r w:rsidR="00CE58BE" w:rsidRPr="009B70BF">
        <w:rPr>
          <w:color w:val="000000" w:themeColor="text1"/>
          <w:sz w:val="24"/>
          <w:szCs w:val="24"/>
          <w:lang w:val="en-GB"/>
        </w:rPr>
        <w:t xml:space="preserve"> for the Second Examination.  </w:t>
      </w:r>
    </w:p>
    <w:p w14:paraId="668511ED" w14:textId="77777777" w:rsidR="0013514C" w:rsidRPr="006439F7" w:rsidRDefault="0013514C" w:rsidP="00CC77A8">
      <w:pPr>
        <w:spacing w:after="0" w:line="240" w:lineRule="auto"/>
        <w:jc w:val="both"/>
        <w:rPr>
          <w:rFonts w:cs="Arial"/>
          <w:color w:val="000000" w:themeColor="text1"/>
          <w:sz w:val="24"/>
          <w:szCs w:val="24"/>
        </w:rPr>
      </w:pPr>
    </w:p>
    <w:p w14:paraId="3F6DF46B" w14:textId="27A98064" w:rsidR="00972C50" w:rsidRPr="00C30247" w:rsidRDefault="00C41191" w:rsidP="00CC77A8">
      <w:pPr>
        <w:spacing w:after="0" w:line="240" w:lineRule="auto"/>
        <w:jc w:val="both"/>
        <w:rPr>
          <w:rFonts w:cs="Arial"/>
          <w:color w:val="000000" w:themeColor="text1"/>
          <w:sz w:val="24"/>
          <w:szCs w:val="24"/>
        </w:rPr>
      </w:pPr>
      <w:r w:rsidRPr="00C30247">
        <w:rPr>
          <w:rFonts w:cs="Arial"/>
          <w:color w:val="000000" w:themeColor="text1"/>
          <w:sz w:val="24"/>
          <w:szCs w:val="24"/>
        </w:rPr>
        <w:t xml:space="preserve">The ICCL now welcomes the opportunity to make this submission to the </w:t>
      </w:r>
      <w:r w:rsidR="00E16682" w:rsidRPr="00C30247">
        <w:rPr>
          <w:rFonts w:cs="Arial"/>
          <w:color w:val="000000" w:themeColor="text1"/>
          <w:sz w:val="24"/>
          <w:szCs w:val="24"/>
        </w:rPr>
        <w:t>Committee</w:t>
      </w:r>
      <w:r w:rsidRPr="00C30247">
        <w:rPr>
          <w:rFonts w:cs="Arial"/>
          <w:color w:val="000000" w:themeColor="text1"/>
          <w:sz w:val="24"/>
          <w:szCs w:val="24"/>
        </w:rPr>
        <w:t xml:space="preserve"> with respect to the Second Examination of Ireland’s record under UNCAT.</w:t>
      </w:r>
      <w:r w:rsidR="0013514C" w:rsidRPr="00C30247">
        <w:rPr>
          <w:rFonts w:cs="Arial"/>
          <w:color w:val="000000" w:themeColor="text1"/>
          <w:sz w:val="24"/>
          <w:szCs w:val="24"/>
          <w:lang w:val="en-GB"/>
        </w:rPr>
        <w:t xml:space="preserve"> </w:t>
      </w:r>
      <w:r w:rsidR="0073664E" w:rsidRPr="00C30247">
        <w:rPr>
          <w:color w:val="000000" w:themeColor="text1"/>
          <w:sz w:val="24"/>
          <w:szCs w:val="24"/>
          <w:lang w:val="en-GB"/>
        </w:rPr>
        <w:t xml:space="preserve">We set out here </w:t>
      </w:r>
      <w:r w:rsidR="004C7E62" w:rsidRPr="00C30247">
        <w:rPr>
          <w:color w:val="000000" w:themeColor="text1"/>
          <w:sz w:val="24"/>
          <w:szCs w:val="24"/>
          <w:lang w:val="en-GB"/>
        </w:rPr>
        <w:t>updat</w:t>
      </w:r>
      <w:r w:rsidR="004C7E62">
        <w:rPr>
          <w:color w:val="000000" w:themeColor="text1"/>
          <w:sz w:val="24"/>
          <w:szCs w:val="24"/>
          <w:lang w:val="en-GB"/>
        </w:rPr>
        <w:t>ed</w:t>
      </w:r>
      <w:r w:rsidR="004C7E62" w:rsidRPr="00C30247">
        <w:rPr>
          <w:color w:val="000000" w:themeColor="text1"/>
          <w:sz w:val="24"/>
          <w:szCs w:val="24"/>
          <w:lang w:val="en-GB"/>
        </w:rPr>
        <w:t xml:space="preserve"> </w:t>
      </w:r>
      <w:r w:rsidR="0073664E" w:rsidRPr="00C30247">
        <w:rPr>
          <w:color w:val="000000" w:themeColor="text1"/>
          <w:sz w:val="24"/>
          <w:szCs w:val="24"/>
          <w:lang w:val="en-GB"/>
        </w:rPr>
        <w:t xml:space="preserve">information on the issues raised in that </w:t>
      </w:r>
      <w:r w:rsidR="00B630F4" w:rsidRPr="00C30247">
        <w:rPr>
          <w:color w:val="000000" w:themeColor="text1"/>
          <w:sz w:val="24"/>
          <w:szCs w:val="24"/>
          <w:lang w:val="en-GB"/>
        </w:rPr>
        <w:t xml:space="preserve">List of Issues </w:t>
      </w:r>
      <w:r w:rsidR="00522572" w:rsidRPr="00C30247">
        <w:rPr>
          <w:color w:val="000000" w:themeColor="text1"/>
          <w:sz w:val="24"/>
          <w:szCs w:val="24"/>
          <w:lang w:val="en-GB"/>
        </w:rPr>
        <w:t>submission</w:t>
      </w:r>
      <w:r w:rsidR="0073664E" w:rsidRPr="00C30247">
        <w:rPr>
          <w:color w:val="000000" w:themeColor="text1"/>
          <w:sz w:val="24"/>
          <w:szCs w:val="24"/>
          <w:lang w:val="en-GB"/>
        </w:rPr>
        <w:t xml:space="preserve">, </w:t>
      </w:r>
      <w:r w:rsidR="003B436A" w:rsidRPr="00C30247">
        <w:rPr>
          <w:color w:val="000000" w:themeColor="text1"/>
          <w:sz w:val="24"/>
          <w:szCs w:val="24"/>
          <w:lang w:val="en-GB"/>
        </w:rPr>
        <w:t xml:space="preserve">setting out </w:t>
      </w:r>
      <w:r w:rsidR="009B5B21" w:rsidRPr="00C30247">
        <w:rPr>
          <w:color w:val="000000" w:themeColor="text1"/>
          <w:sz w:val="24"/>
          <w:szCs w:val="24"/>
          <w:lang w:val="en-GB"/>
        </w:rPr>
        <w:t xml:space="preserve">key developments </w:t>
      </w:r>
      <w:r w:rsidR="00906ACB" w:rsidRPr="00C30247">
        <w:rPr>
          <w:color w:val="000000" w:themeColor="text1"/>
          <w:sz w:val="24"/>
          <w:szCs w:val="24"/>
          <w:lang w:val="en-GB"/>
        </w:rPr>
        <w:t>in the period since August 2013</w:t>
      </w:r>
      <w:r w:rsidR="0013514C" w:rsidRPr="00C30247">
        <w:rPr>
          <w:color w:val="000000" w:themeColor="text1"/>
          <w:sz w:val="24"/>
          <w:szCs w:val="24"/>
          <w:lang w:val="en-GB"/>
        </w:rPr>
        <w:t>,</w:t>
      </w:r>
      <w:r w:rsidR="009B5B21" w:rsidRPr="00C30247">
        <w:rPr>
          <w:color w:val="000000" w:themeColor="text1"/>
          <w:sz w:val="24"/>
          <w:szCs w:val="24"/>
          <w:lang w:val="en-GB"/>
        </w:rPr>
        <w:t xml:space="preserve"> </w:t>
      </w:r>
      <w:r w:rsidR="0073664E" w:rsidRPr="00C30247">
        <w:rPr>
          <w:color w:val="000000" w:themeColor="text1"/>
          <w:sz w:val="24"/>
          <w:szCs w:val="24"/>
          <w:lang w:val="en-GB"/>
        </w:rPr>
        <w:t xml:space="preserve">with a focus on those </w:t>
      </w:r>
      <w:r w:rsidR="00B630F4" w:rsidRPr="00C30247">
        <w:rPr>
          <w:color w:val="000000" w:themeColor="text1"/>
          <w:sz w:val="24"/>
          <w:szCs w:val="24"/>
          <w:lang w:val="en-GB"/>
        </w:rPr>
        <w:t>topics</w:t>
      </w:r>
      <w:r w:rsidR="0073664E" w:rsidRPr="00C30247">
        <w:rPr>
          <w:color w:val="000000" w:themeColor="text1"/>
          <w:sz w:val="24"/>
          <w:szCs w:val="24"/>
          <w:lang w:val="en-GB"/>
        </w:rPr>
        <w:t xml:space="preserve"> which </w:t>
      </w:r>
      <w:r w:rsidR="001223AA" w:rsidRPr="00C30247">
        <w:rPr>
          <w:color w:val="000000" w:themeColor="text1"/>
          <w:sz w:val="24"/>
          <w:szCs w:val="24"/>
          <w:lang w:val="en-GB"/>
        </w:rPr>
        <w:t xml:space="preserve">have been </w:t>
      </w:r>
      <w:r w:rsidR="00AB3641" w:rsidRPr="00C30247">
        <w:rPr>
          <w:color w:val="000000" w:themeColor="text1"/>
          <w:sz w:val="24"/>
          <w:szCs w:val="24"/>
          <w:lang w:val="en-GB"/>
        </w:rPr>
        <w:t xml:space="preserve">identified by the Committee in the List of Issues. </w:t>
      </w:r>
      <w:r w:rsidR="001C6A55" w:rsidRPr="00C30247">
        <w:rPr>
          <w:color w:val="000000" w:themeColor="text1"/>
          <w:sz w:val="24"/>
          <w:szCs w:val="24"/>
          <w:lang w:val="en-GB"/>
        </w:rPr>
        <w:t>ICCL has consulted with colleague NGOs who are engaging with the examination process</w:t>
      </w:r>
      <w:r w:rsidR="004C7E62">
        <w:rPr>
          <w:color w:val="000000" w:themeColor="text1"/>
          <w:sz w:val="24"/>
          <w:szCs w:val="24"/>
          <w:lang w:val="en-GB"/>
        </w:rPr>
        <w:t>,</w:t>
      </w:r>
      <w:r w:rsidR="001C6A55" w:rsidRPr="00C30247">
        <w:rPr>
          <w:color w:val="000000" w:themeColor="text1"/>
          <w:sz w:val="24"/>
          <w:szCs w:val="24"/>
          <w:lang w:val="en-GB"/>
        </w:rPr>
        <w:t xml:space="preserve"> we</w:t>
      </w:r>
      <w:r w:rsidR="00884BF8" w:rsidRPr="00C30247">
        <w:rPr>
          <w:color w:val="000000" w:themeColor="text1"/>
          <w:sz w:val="24"/>
          <w:szCs w:val="24"/>
          <w:lang w:val="en-GB"/>
        </w:rPr>
        <w:t xml:space="preserve"> also note the comprehensive submission of the Irish Human Rights and Equality Commission</w:t>
      </w:r>
      <w:r w:rsidR="0013514C" w:rsidRPr="00C30247">
        <w:rPr>
          <w:color w:val="000000" w:themeColor="text1"/>
          <w:sz w:val="24"/>
          <w:szCs w:val="24"/>
          <w:lang w:val="en-GB"/>
        </w:rPr>
        <w:t xml:space="preserve"> and we have sought to avoid dupli</w:t>
      </w:r>
      <w:r w:rsidR="00AE7436" w:rsidRPr="00C30247">
        <w:rPr>
          <w:color w:val="000000" w:themeColor="text1"/>
          <w:sz w:val="24"/>
          <w:szCs w:val="24"/>
          <w:lang w:val="en-GB"/>
        </w:rPr>
        <w:t>cation of colleague submissions</w:t>
      </w:r>
      <w:r w:rsidR="00884BF8" w:rsidRPr="00C30247">
        <w:rPr>
          <w:color w:val="000000" w:themeColor="text1"/>
          <w:sz w:val="24"/>
          <w:szCs w:val="24"/>
          <w:lang w:val="en-GB"/>
        </w:rPr>
        <w:t>. In this submission, we focus on</w:t>
      </w:r>
      <w:r w:rsidR="002C2E11" w:rsidRPr="00C30247">
        <w:rPr>
          <w:color w:val="000000" w:themeColor="text1"/>
          <w:sz w:val="24"/>
          <w:szCs w:val="24"/>
          <w:lang w:val="en-GB"/>
        </w:rPr>
        <w:t xml:space="preserve"> seven</w:t>
      </w:r>
      <w:r w:rsidR="00B630F4" w:rsidRPr="00C30247">
        <w:rPr>
          <w:color w:val="000000" w:themeColor="text1"/>
          <w:sz w:val="24"/>
          <w:szCs w:val="24"/>
          <w:lang w:val="en-GB"/>
        </w:rPr>
        <w:t xml:space="preserve"> key topics</w:t>
      </w:r>
      <w:r w:rsidR="00972C50" w:rsidRPr="00C30247">
        <w:rPr>
          <w:color w:val="000000" w:themeColor="text1"/>
          <w:sz w:val="24"/>
          <w:szCs w:val="24"/>
          <w:lang w:eastAsia="es-ES"/>
        </w:rPr>
        <w:t xml:space="preserve"> which are not intended to be a comprehensive analysis of all relevant issues under UNCAT at this time, but rather are identified as those issues where ICCL feels it can be of greatest assistance to the Committee. ICCL is happy to provide further information to the Committee with regard to these issues, or any other issues previously raised, at any time in advance of the examination or at the time of the examination.</w:t>
      </w:r>
    </w:p>
    <w:p w14:paraId="78468535" w14:textId="77777777" w:rsidR="00972C50" w:rsidRPr="006439F7" w:rsidRDefault="00972C50" w:rsidP="00972C50">
      <w:pPr>
        <w:pStyle w:val="SingleTxtG"/>
        <w:spacing w:after="0" w:line="240" w:lineRule="auto"/>
        <w:ind w:left="0"/>
        <w:rPr>
          <w:rFonts w:asciiTheme="minorHAnsi" w:hAnsiTheme="minorHAnsi"/>
          <w:color w:val="000000" w:themeColor="text1"/>
          <w:sz w:val="24"/>
          <w:szCs w:val="24"/>
          <w:lang w:eastAsia="es-ES"/>
        </w:rPr>
      </w:pPr>
    </w:p>
    <w:p w14:paraId="295F1A2D" w14:textId="669974C6" w:rsidR="00BD066D" w:rsidRPr="006439F7" w:rsidRDefault="00BD066D" w:rsidP="00972C50">
      <w:pPr>
        <w:spacing w:after="0" w:line="240" w:lineRule="auto"/>
        <w:rPr>
          <w:b/>
          <w:color w:val="000000" w:themeColor="text1"/>
          <w:sz w:val="24"/>
          <w:szCs w:val="24"/>
          <w:lang w:val="en-GB"/>
        </w:rPr>
      </w:pPr>
    </w:p>
    <w:p w14:paraId="32ADA9A7" w14:textId="77777777" w:rsidR="00056E1B" w:rsidRPr="006439F7" w:rsidRDefault="00056E1B" w:rsidP="00F35927">
      <w:pPr>
        <w:pStyle w:val="SingleTxtG"/>
        <w:spacing w:after="0" w:line="240" w:lineRule="auto"/>
        <w:ind w:left="1440" w:hanging="144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br w:type="page"/>
      </w:r>
    </w:p>
    <w:p w14:paraId="20C61905" w14:textId="7507434C" w:rsidR="00D9420C" w:rsidRPr="006439F7" w:rsidRDefault="00972C50" w:rsidP="00F35927">
      <w:pPr>
        <w:pStyle w:val="SingleTxtG"/>
        <w:spacing w:after="0" w:line="240" w:lineRule="auto"/>
        <w:ind w:left="1440" w:hanging="144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lastRenderedPageBreak/>
        <w:t xml:space="preserve">Section 1: </w:t>
      </w:r>
      <w:r w:rsidRPr="006439F7">
        <w:rPr>
          <w:rFonts w:asciiTheme="minorHAnsi" w:hAnsiTheme="minorHAnsi"/>
          <w:b/>
          <w:color w:val="000000" w:themeColor="text1"/>
          <w:sz w:val="24"/>
          <w:szCs w:val="24"/>
          <w:lang w:eastAsia="es-ES"/>
        </w:rPr>
        <w:tab/>
      </w:r>
      <w:r w:rsidR="00F35927" w:rsidRPr="006439F7">
        <w:rPr>
          <w:rFonts w:asciiTheme="minorHAnsi" w:hAnsiTheme="minorHAnsi"/>
          <w:b/>
          <w:color w:val="000000" w:themeColor="text1"/>
          <w:sz w:val="24"/>
          <w:szCs w:val="24"/>
          <w:lang w:eastAsia="es-ES"/>
        </w:rPr>
        <w:t>Ratification of t</w:t>
      </w:r>
      <w:r w:rsidRPr="006439F7">
        <w:rPr>
          <w:rFonts w:asciiTheme="minorHAnsi" w:hAnsiTheme="minorHAnsi"/>
          <w:b/>
          <w:color w:val="000000" w:themeColor="text1"/>
          <w:sz w:val="24"/>
          <w:szCs w:val="24"/>
          <w:lang w:eastAsia="es-ES"/>
        </w:rPr>
        <w:t>he Optional Protocol to the UN Convention Against Torture (</w:t>
      </w:r>
      <w:r w:rsidR="00446380" w:rsidRPr="006439F7">
        <w:rPr>
          <w:rFonts w:asciiTheme="minorHAnsi" w:hAnsiTheme="minorHAnsi"/>
          <w:b/>
          <w:color w:val="000000" w:themeColor="text1"/>
          <w:sz w:val="24"/>
          <w:szCs w:val="24"/>
          <w:lang w:eastAsia="es-ES"/>
        </w:rPr>
        <w:t>OPCAT</w:t>
      </w:r>
      <w:r w:rsidRPr="006439F7">
        <w:rPr>
          <w:rFonts w:asciiTheme="minorHAnsi" w:hAnsiTheme="minorHAnsi"/>
          <w:b/>
          <w:color w:val="000000" w:themeColor="text1"/>
          <w:sz w:val="24"/>
          <w:szCs w:val="24"/>
          <w:lang w:eastAsia="es-ES"/>
        </w:rPr>
        <w:t>)</w:t>
      </w:r>
      <w:r w:rsidR="00F35927" w:rsidRPr="006439F7">
        <w:rPr>
          <w:rFonts w:asciiTheme="minorHAnsi" w:hAnsiTheme="minorHAnsi"/>
          <w:b/>
          <w:color w:val="000000" w:themeColor="text1"/>
          <w:sz w:val="24"/>
          <w:szCs w:val="24"/>
          <w:lang w:eastAsia="es-ES"/>
        </w:rPr>
        <w:t xml:space="preserve"> and Inspection of Places of Detention</w:t>
      </w:r>
    </w:p>
    <w:p w14:paraId="2B323597" w14:textId="77777777" w:rsidR="00972C50" w:rsidRPr="006439F7" w:rsidRDefault="00972C50" w:rsidP="00972C50">
      <w:pPr>
        <w:pStyle w:val="SingleTxtG"/>
        <w:spacing w:after="0" w:line="240" w:lineRule="auto"/>
        <w:ind w:left="0"/>
        <w:rPr>
          <w:rFonts w:asciiTheme="minorHAnsi" w:hAnsiTheme="minorHAnsi"/>
          <w:b/>
          <w:color w:val="000000" w:themeColor="text1"/>
          <w:sz w:val="24"/>
          <w:szCs w:val="24"/>
          <w:lang w:eastAsia="es-ES"/>
        </w:rPr>
      </w:pPr>
    </w:p>
    <w:p w14:paraId="4D842CED" w14:textId="2784A3E8" w:rsidR="00B3330C" w:rsidRPr="006439F7" w:rsidRDefault="00217077" w:rsidP="00972C50">
      <w:pPr>
        <w:pStyle w:val="SingleTxtG"/>
        <w:spacing w:after="0" w:line="240" w:lineRule="auto"/>
        <w:ind w:left="720" w:firstLine="720"/>
        <w:rPr>
          <w:rFonts w:asciiTheme="minorHAnsi" w:hAnsiTheme="minorHAnsi"/>
          <w:color w:val="000000" w:themeColor="text1"/>
          <w:sz w:val="24"/>
          <w:szCs w:val="24"/>
          <w:lang w:eastAsia="es-ES"/>
        </w:rPr>
      </w:pPr>
      <w:r w:rsidRPr="006439F7">
        <w:rPr>
          <w:rFonts w:asciiTheme="minorHAnsi" w:hAnsiTheme="minorHAnsi"/>
          <w:color w:val="000000" w:themeColor="text1"/>
          <w:sz w:val="24"/>
          <w:szCs w:val="24"/>
          <w:lang w:eastAsia="es-ES"/>
        </w:rPr>
        <w:t>(</w:t>
      </w:r>
      <w:r w:rsidR="00D9420C" w:rsidRPr="006439F7">
        <w:rPr>
          <w:rFonts w:asciiTheme="minorHAnsi" w:hAnsiTheme="minorHAnsi"/>
          <w:color w:val="000000" w:themeColor="text1"/>
          <w:sz w:val="24"/>
          <w:szCs w:val="24"/>
          <w:lang w:eastAsia="es-ES"/>
        </w:rPr>
        <w:t xml:space="preserve">List of Issues </w:t>
      </w:r>
      <w:r w:rsidR="00972C50" w:rsidRPr="006439F7">
        <w:rPr>
          <w:rFonts w:asciiTheme="minorHAnsi" w:hAnsiTheme="minorHAnsi"/>
          <w:color w:val="000000" w:themeColor="text1"/>
          <w:sz w:val="24"/>
          <w:szCs w:val="24"/>
          <w:lang w:eastAsia="es-ES"/>
        </w:rPr>
        <w:t xml:space="preserve">– No. </w:t>
      </w:r>
      <w:r w:rsidR="00D9420C" w:rsidRPr="006439F7">
        <w:rPr>
          <w:rFonts w:asciiTheme="minorHAnsi" w:hAnsiTheme="minorHAnsi"/>
          <w:color w:val="000000" w:themeColor="text1"/>
          <w:sz w:val="24"/>
          <w:szCs w:val="24"/>
          <w:lang w:eastAsia="es-ES"/>
        </w:rPr>
        <w:t>27</w:t>
      </w:r>
      <w:r w:rsidR="00972C50" w:rsidRPr="006439F7">
        <w:rPr>
          <w:rFonts w:asciiTheme="minorHAnsi" w:hAnsiTheme="minorHAnsi"/>
          <w:color w:val="000000" w:themeColor="text1"/>
          <w:sz w:val="24"/>
          <w:szCs w:val="24"/>
          <w:lang w:eastAsia="es-ES"/>
        </w:rPr>
        <w:t>; UNCAT Article 2)</w:t>
      </w:r>
    </w:p>
    <w:p w14:paraId="546CBC63" w14:textId="77777777" w:rsidR="00C30247" w:rsidRPr="00C30247" w:rsidRDefault="00C30247" w:rsidP="00C30247">
      <w:pPr>
        <w:pStyle w:val="ListParagraph"/>
        <w:spacing w:after="0" w:line="240" w:lineRule="auto"/>
        <w:jc w:val="both"/>
        <w:rPr>
          <w:rFonts w:eastAsia="Times New Roman"/>
          <w:color w:val="000000" w:themeColor="text1"/>
          <w:sz w:val="24"/>
          <w:szCs w:val="24"/>
        </w:rPr>
      </w:pPr>
    </w:p>
    <w:p w14:paraId="3F80FD14" w14:textId="08EB4A08" w:rsidR="00F35927" w:rsidRPr="00C30247" w:rsidRDefault="00F35927" w:rsidP="00C30247">
      <w:pPr>
        <w:pStyle w:val="ListParagraph"/>
        <w:numPr>
          <w:ilvl w:val="0"/>
          <w:numId w:val="3"/>
        </w:numPr>
        <w:spacing w:after="0" w:line="240" w:lineRule="auto"/>
        <w:jc w:val="both"/>
        <w:rPr>
          <w:rFonts w:eastAsia="Times New Roman"/>
          <w:color w:val="000000" w:themeColor="text1"/>
          <w:sz w:val="24"/>
          <w:szCs w:val="24"/>
        </w:rPr>
      </w:pPr>
      <w:r w:rsidRPr="00C30247">
        <w:rPr>
          <w:rFonts w:eastAsia="Times New Roman" w:cs="Arial"/>
          <w:color w:val="000000" w:themeColor="text1"/>
          <w:sz w:val="24"/>
          <w:szCs w:val="24"/>
          <w:shd w:val="clear" w:color="auto" w:fill="FFFFFF"/>
        </w:rPr>
        <w:t xml:space="preserve">The right to freedom from torture as set out in Art 2.1 of the Convention is a non-derogable, fundamental right, violations of which cannot be justified under any circumstance without exception. </w:t>
      </w:r>
      <w:r w:rsidR="00524100" w:rsidRPr="00C30247">
        <w:rPr>
          <w:rFonts w:cs="Times"/>
          <w:color w:val="000000" w:themeColor="text1"/>
          <w:sz w:val="24"/>
          <w:szCs w:val="24"/>
        </w:rPr>
        <w:t>Torture is the most serious violation of the human right to personal integrity and dignity.</w:t>
      </w:r>
      <w:r w:rsidR="00524100" w:rsidRPr="006439F7">
        <w:rPr>
          <w:rStyle w:val="FootnoteReference"/>
          <w:rFonts w:cs="Times"/>
          <w:color w:val="000000" w:themeColor="text1"/>
          <w:sz w:val="24"/>
          <w:szCs w:val="24"/>
        </w:rPr>
        <w:footnoteReference w:id="1"/>
      </w:r>
      <w:r w:rsidR="00524100" w:rsidRPr="00C30247">
        <w:rPr>
          <w:rFonts w:cs="Times"/>
          <w:color w:val="000000" w:themeColor="text1"/>
          <w:sz w:val="24"/>
          <w:szCs w:val="24"/>
        </w:rPr>
        <w:t xml:space="preserve"> </w:t>
      </w:r>
      <w:r w:rsidRPr="00C30247">
        <w:rPr>
          <w:rFonts w:eastAsia="Times New Roman" w:cs="Arial"/>
          <w:color w:val="000000" w:themeColor="text1"/>
          <w:sz w:val="24"/>
          <w:szCs w:val="24"/>
          <w:shd w:val="clear" w:color="auto" w:fill="FFFFFF"/>
        </w:rPr>
        <w:t>Torture presupposes ‘a situation of powerlessness, whereby a victim is under the total control of another person.’</w:t>
      </w:r>
      <w:r w:rsidRPr="006439F7">
        <w:rPr>
          <w:rStyle w:val="FootnoteReference"/>
          <w:rFonts w:eastAsia="Times New Roman" w:cs="Arial"/>
          <w:color w:val="000000" w:themeColor="text1"/>
          <w:sz w:val="24"/>
          <w:szCs w:val="24"/>
          <w:shd w:val="clear" w:color="auto" w:fill="FFFFFF"/>
        </w:rPr>
        <w:footnoteReference w:id="2"/>
      </w:r>
      <w:r w:rsidRPr="00C30247">
        <w:rPr>
          <w:rFonts w:eastAsia="Times New Roman" w:cs="Arial"/>
          <w:color w:val="000000" w:themeColor="text1"/>
          <w:sz w:val="24"/>
          <w:szCs w:val="24"/>
          <w:shd w:val="clear" w:color="auto" w:fill="FFFFFF"/>
        </w:rPr>
        <w:t xml:space="preserve"> Deprivation of liberty in prisons and other places of detention has long been recognised as one such circumstance where persons may be particularly vulnerable to torture with the addition, more recently, of deprivation of capacity. </w:t>
      </w:r>
    </w:p>
    <w:p w14:paraId="17F97363" w14:textId="77777777" w:rsidR="00F35927" w:rsidRPr="006439F7" w:rsidRDefault="00F35927" w:rsidP="00F35927">
      <w:pPr>
        <w:pStyle w:val="ListParagraph"/>
        <w:spacing w:after="0" w:line="240" w:lineRule="auto"/>
        <w:jc w:val="both"/>
        <w:rPr>
          <w:rFonts w:eastAsia="Times New Roman"/>
          <w:color w:val="000000" w:themeColor="text1"/>
          <w:sz w:val="24"/>
          <w:szCs w:val="24"/>
        </w:rPr>
      </w:pPr>
    </w:p>
    <w:p w14:paraId="2A778A71" w14:textId="715E726E" w:rsidR="00184552" w:rsidRPr="00C30247" w:rsidRDefault="005D5761" w:rsidP="00C30247">
      <w:pPr>
        <w:pStyle w:val="ListParagraph"/>
        <w:numPr>
          <w:ilvl w:val="0"/>
          <w:numId w:val="3"/>
        </w:numPr>
        <w:spacing w:after="0" w:line="240" w:lineRule="auto"/>
        <w:jc w:val="both"/>
        <w:rPr>
          <w:rFonts w:eastAsia="Times New Roman"/>
          <w:color w:val="000000" w:themeColor="text1"/>
          <w:sz w:val="24"/>
          <w:szCs w:val="24"/>
        </w:rPr>
      </w:pPr>
      <w:r w:rsidRPr="006439F7">
        <w:rPr>
          <w:rFonts w:eastAsia="Times New Roman"/>
          <w:color w:val="000000" w:themeColor="text1"/>
          <w:sz w:val="24"/>
          <w:szCs w:val="24"/>
          <w:lang w:val="en-GB"/>
        </w:rPr>
        <w:t>I</w:t>
      </w:r>
      <w:r w:rsidR="00C30247">
        <w:rPr>
          <w:rFonts w:eastAsia="Times New Roman"/>
          <w:color w:val="000000" w:themeColor="text1"/>
          <w:sz w:val="24"/>
          <w:szCs w:val="24"/>
          <w:lang w:val="en-GB"/>
        </w:rPr>
        <w:t>n</w:t>
      </w:r>
      <w:r w:rsidR="001C6A55" w:rsidRPr="00C30247">
        <w:rPr>
          <w:rFonts w:eastAsia="Times New Roman"/>
          <w:color w:val="000000" w:themeColor="text1"/>
          <w:sz w:val="24"/>
          <w:szCs w:val="24"/>
        </w:rPr>
        <w:t xml:space="preserve">dependent inspection of all places of detention is fundamental to realising the protection afforded under Article 2.1 of the Convention against Torture. </w:t>
      </w:r>
      <w:r w:rsidR="00F35927" w:rsidRPr="00C30247">
        <w:rPr>
          <w:rFonts w:cs="Arial"/>
          <w:color w:val="000000" w:themeColor="text1"/>
          <w:sz w:val="24"/>
          <w:szCs w:val="24"/>
        </w:rPr>
        <w:t xml:space="preserve">Ratification of OPCAT and the creation of National Preventative Mechanisms </w:t>
      </w:r>
      <w:r w:rsidR="00184552" w:rsidRPr="00C30247">
        <w:rPr>
          <w:rFonts w:cs="Arial"/>
          <w:color w:val="000000" w:themeColor="text1"/>
          <w:sz w:val="24"/>
          <w:szCs w:val="24"/>
        </w:rPr>
        <w:t xml:space="preserve">(NPM) </w:t>
      </w:r>
      <w:r w:rsidR="00F35927" w:rsidRPr="00C30247">
        <w:rPr>
          <w:rFonts w:cs="Arial"/>
          <w:color w:val="000000" w:themeColor="text1"/>
          <w:sz w:val="24"/>
          <w:szCs w:val="24"/>
        </w:rPr>
        <w:t xml:space="preserve">on a statutory basis is </w:t>
      </w:r>
      <w:r w:rsidR="001C6A55" w:rsidRPr="00C30247">
        <w:rPr>
          <w:rFonts w:cs="Arial"/>
          <w:color w:val="000000" w:themeColor="text1"/>
          <w:sz w:val="24"/>
          <w:szCs w:val="24"/>
        </w:rPr>
        <w:t xml:space="preserve">recognised as </w:t>
      </w:r>
      <w:r w:rsidR="00F35927" w:rsidRPr="00C30247">
        <w:rPr>
          <w:rFonts w:cs="Arial"/>
          <w:color w:val="000000" w:themeColor="text1"/>
          <w:sz w:val="24"/>
          <w:szCs w:val="24"/>
        </w:rPr>
        <w:t xml:space="preserve">one of the most effective mechanisms to ensure </w:t>
      </w:r>
      <w:r w:rsidRPr="00C30247">
        <w:rPr>
          <w:rFonts w:cs="Arial"/>
          <w:color w:val="000000" w:themeColor="text1"/>
          <w:sz w:val="24"/>
          <w:szCs w:val="24"/>
          <w:lang w:val="en-GB"/>
        </w:rPr>
        <w:t xml:space="preserve">a state </w:t>
      </w:r>
      <w:r w:rsidR="00F35927" w:rsidRPr="00C30247">
        <w:rPr>
          <w:rFonts w:cs="Arial"/>
          <w:color w:val="000000" w:themeColor="text1"/>
          <w:sz w:val="24"/>
          <w:szCs w:val="24"/>
        </w:rPr>
        <w:t>meet</w:t>
      </w:r>
      <w:r w:rsidR="00EF20A2" w:rsidRPr="00C30247">
        <w:rPr>
          <w:rFonts w:cs="Arial"/>
          <w:color w:val="000000" w:themeColor="text1"/>
          <w:sz w:val="24"/>
          <w:szCs w:val="24"/>
          <w:lang w:val="en-GB"/>
        </w:rPr>
        <w:t>s</w:t>
      </w:r>
      <w:r w:rsidR="00F35927" w:rsidRPr="00C30247">
        <w:rPr>
          <w:rFonts w:cs="Arial"/>
          <w:color w:val="000000" w:themeColor="text1"/>
          <w:sz w:val="24"/>
          <w:szCs w:val="24"/>
        </w:rPr>
        <w:t xml:space="preserve"> its obligations to prevent torture under Article 2.1 of CAT.</w:t>
      </w:r>
      <w:r w:rsidR="00F35927" w:rsidRPr="006439F7">
        <w:rPr>
          <w:rStyle w:val="FootnoteReference"/>
          <w:rFonts w:cs="Arial"/>
          <w:color w:val="000000" w:themeColor="text1"/>
          <w:sz w:val="24"/>
          <w:szCs w:val="24"/>
        </w:rPr>
        <w:footnoteReference w:id="3"/>
      </w:r>
      <w:r w:rsidR="00F35927" w:rsidRPr="00C30247">
        <w:rPr>
          <w:rFonts w:cs="Arial"/>
          <w:color w:val="000000" w:themeColor="text1"/>
          <w:sz w:val="24"/>
          <w:szCs w:val="24"/>
        </w:rPr>
        <w:t xml:space="preserve"> </w:t>
      </w:r>
      <w:r w:rsidR="00F35927" w:rsidRPr="00C30247">
        <w:rPr>
          <w:rFonts w:eastAsia="Times New Roman" w:cs="Arial"/>
          <w:color w:val="000000" w:themeColor="text1"/>
          <w:sz w:val="24"/>
          <w:szCs w:val="24"/>
          <w:shd w:val="clear" w:color="auto" w:fill="FFFFFF"/>
        </w:rPr>
        <w:t xml:space="preserve">The Optional Protocol articulates </w:t>
      </w:r>
      <w:r w:rsidR="001C6A55" w:rsidRPr="00C30247">
        <w:rPr>
          <w:rFonts w:eastAsia="Times New Roman" w:cs="Arial"/>
          <w:color w:val="000000" w:themeColor="text1"/>
          <w:sz w:val="24"/>
          <w:szCs w:val="24"/>
          <w:shd w:val="clear" w:color="auto" w:fill="FFFFFF"/>
        </w:rPr>
        <w:t xml:space="preserve">and </w:t>
      </w:r>
      <w:r w:rsidR="00F35927" w:rsidRPr="00C30247">
        <w:rPr>
          <w:rFonts w:eastAsia="Times New Roman" w:cs="Arial"/>
          <w:color w:val="000000" w:themeColor="text1"/>
          <w:sz w:val="24"/>
          <w:szCs w:val="24"/>
          <w:shd w:val="clear" w:color="auto" w:fill="FFFFFF"/>
        </w:rPr>
        <w:t>highlights the need to strengthen pre</w:t>
      </w:r>
      <w:r w:rsidR="00CC77A8">
        <w:rPr>
          <w:rFonts w:eastAsia="Times New Roman" w:cs="Arial"/>
          <w:color w:val="000000" w:themeColor="text1"/>
          <w:sz w:val="24"/>
          <w:szCs w:val="24"/>
          <w:shd w:val="clear" w:color="auto" w:fill="FFFFFF"/>
        </w:rPr>
        <w:t>-</w:t>
      </w:r>
      <w:r w:rsidR="00F35927" w:rsidRPr="00C30247">
        <w:rPr>
          <w:rFonts w:eastAsia="Times New Roman" w:cs="Arial"/>
          <w:color w:val="000000" w:themeColor="text1"/>
          <w:sz w:val="24"/>
          <w:szCs w:val="24"/>
          <w:shd w:val="clear" w:color="auto" w:fill="FFFFFF"/>
        </w:rPr>
        <w:t xml:space="preserve">emptive protection for all detainees based on regular and independent inspection of all places of detention. As such, the clearly stated objective of the Optional Protocol as set out in Art 1 is </w:t>
      </w:r>
      <w:r w:rsidR="00F35927" w:rsidRPr="00C30247">
        <w:rPr>
          <w:rFonts w:eastAsia="Times New Roman"/>
          <w:color w:val="000000" w:themeColor="text1"/>
          <w:sz w:val="24"/>
          <w:szCs w:val="24"/>
        </w:rPr>
        <w:t xml:space="preserve">to ‘establish a system of regular visits undertaken by independent international and national bodies to places where people are deprived of their liberty, in order to prevent torture and other cruel, inhuman or degrading treatment or punishment.’ </w:t>
      </w:r>
      <w:r w:rsidR="00184552" w:rsidRPr="00C30247">
        <w:rPr>
          <w:rFonts w:eastAsia="Times New Roman"/>
          <w:color w:val="000000" w:themeColor="text1"/>
          <w:sz w:val="24"/>
          <w:szCs w:val="24"/>
        </w:rPr>
        <w:t xml:space="preserve">The ICCL wishes to emphasise that failure to ratify OPCAT or to </w:t>
      </w:r>
      <w:r w:rsidR="00EF20A2" w:rsidRPr="00C30247">
        <w:rPr>
          <w:rFonts w:eastAsia="Times New Roman"/>
          <w:color w:val="000000" w:themeColor="text1"/>
          <w:sz w:val="24"/>
          <w:szCs w:val="24"/>
        </w:rPr>
        <w:t>establish an</w:t>
      </w:r>
      <w:r w:rsidR="00184552" w:rsidRPr="00C30247">
        <w:rPr>
          <w:rFonts w:eastAsia="Times New Roman"/>
          <w:color w:val="000000" w:themeColor="text1"/>
          <w:sz w:val="24"/>
          <w:szCs w:val="24"/>
        </w:rPr>
        <w:t xml:space="preserve"> NPM constitutes a failure to implement the substantive provisions of UNCAT itself. By this continuing failure,</w:t>
      </w:r>
      <w:r w:rsidR="00B3330C" w:rsidRPr="00C30247">
        <w:rPr>
          <w:rFonts w:eastAsia="Times New Roman"/>
          <w:color w:val="000000" w:themeColor="text1"/>
          <w:sz w:val="24"/>
          <w:szCs w:val="24"/>
        </w:rPr>
        <w:t xml:space="preserve"> Ireland perpetuates a situation that increases the vulnerability of all persons currently in detention to torture and in practice denies them the full protection of the Convention.</w:t>
      </w:r>
      <w:r w:rsidR="00B3330C" w:rsidRPr="00C30247">
        <w:rPr>
          <w:rFonts w:eastAsia="Times New Roman"/>
          <w:b/>
          <w:color w:val="000000" w:themeColor="text1"/>
          <w:sz w:val="24"/>
          <w:szCs w:val="24"/>
        </w:rPr>
        <w:t xml:space="preserve"> </w:t>
      </w:r>
    </w:p>
    <w:p w14:paraId="6F797DFB" w14:textId="77777777" w:rsidR="00184552" w:rsidRPr="006439F7" w:rsidRDefault="00184552" w:rsidP="00184552">
      <w:pPr>
        <w:pStyle w:val="ListParagraph"/>
        <w:rPr>
          <w:rFonts w:cs="Arial"/>
          <w:color w:val="000000" w:themeColor="text1"/>
          <w:sz w:val="24"/>
          <w:szCs w:val="24"/>
        </w:rPr>
      </w:pPr>
    </w:p>
    <w:p w14:paraId="28812EC6" w14:textId="4F0FD839" w:rsidR="00184552" w:rsidRPr="00350F49" w:rsidRDefault="00B3330C" w:rsidP="0013274B">
      <w:pPr>
        <w:pStyle w:val="ListParagraph"/>
        <w:numPr>
          <w:ilvl w:val="0"/>
          <w:numId w:val="3"/>
        </w:numPr>
        <w:shd w:val="clear" w:color="auto" w:fill="FFFFFF"/>
        <w:spacing w:after="0" w:line="240" w:lineRule="auto"/>
        <w:jc w:val="both"/>
        <w:rPr>
          <w:rFonts w:cs="Arial"/>
          <w:color w:val="000000" w:themeColor="text1"/>
          <w:sz w:val="24"/>
          <w:szCs w:val="24"/>
        </w:rPr>
      </w:pPr>
      <w:r w:rsidRPr="00350F49">
        <w:rPr>
          <w:rFonts w:cs="Arial"/>
          <w:color w:val="000000" w:themeColor="text1"/>
          <w:sz w:val="24"/>
          <w:szCs w:val="24"/>
        </w:rPr>
        <w:t>Failure to ratify OPCAT now places Ireland as on</w:t>
      </w:r>
      <w:r w:rsidR="00EF20A2" w:rsidRPr="00350F49">
        <w:rPr>
          <w:rFonts w:cs="Arial"/>
          <w:color w:val="000000" w:themeColor="text1"/>
          <w:sz w:val="24"/>
          <w:szCs w:val="24"/>
        </w:rPr>
        <w:t>e of two outliers in Europe and</w:t>
      </w:r>
      <w:r w:rsidR="004C7E62" w:rsidRPr="00350F49">
        <w:rPr>
          <w:rFonts w:cs="Arial"/>
          <w:color w:val="000000" w:themeColor="text1"/>
          <w:sz w:val="24"/>
          <w:szCs w:val="24"/>
        </w:rPr>
        <w:t>,</w:t>
      </w:r>
      <w:r w:rsidR="00EF20A2" w:rsidRPr="00350F49">
        <w:rPr>
          <w:rFonts w:cs="Arial"/>
          <w:color w:val="000000" w:themeColor="text1"/>
          <w:sz w:val="24"/>
          <w:szCs w:val="24"/>
        </w:rPr>
        <w:t xml:space="preserve"> </w:t>
      </w:r>
      <w:r w:rsidRPr="00350F49">
        <w:rPr>
          <w:rFonts w:cs="Arial"/>
          <w:color w:val="000000" w:themeColor="text1"/>
          <w:sz w:val="24"/>
          <w:szCs w:val="24"/>
        </w:rPr>
        <w:t>at the same time</w:t>
      </w:r>
      <w:r w:rsidR="004C7E62" w:rsidRPr="00350F49">
        <w:rPr>
          <w:rFonts w:cs="Arial"/>
          <w:color w:val="000000" w:themeColor="text1"/>
          <w:sz w:val="24"/>
          <w:szCs w:val="24"/>
        </w:rPr>
        <w:t>,</w:t>
      </w:r>
      <w:r w:rsidRPr="00350F49">
        <w:rPr>
          <w:rFonts w:cs="Arial"/>
          <w:color w:val="000000" w:themeColor="text1"/>
          <w:sz w:val="24"/>
          <w:szCs w:val="24"/>
        </w:rPr>
        <w:t xml:space="preserve"> the absence of systematic inspection is a glaring gap in state practice. However, the lack of urgency with which the State regards the issue of ratification and establishment of a National Preventative Mechanism is made plain by the fact that they were not included in the most recent 2016 Programme for Government and no progress has been reported in this regard for several years. </w:t>
      </w:r>
      <w:r w:rsidR="00184552" w:rsidRPr="00350F49">
        <w:rPr>
          <w:color w:val="000000" w:themeColor="text1"/>
          <w:sz w:val="24"/>
          <w:szCs w:val="24"/>
        </w:rPr>
        <w:t xml:space="preserve">In our submission on the List of Issues, ICCL noted that the Irish Government had stated in February 2013 that the Government had “approved the drafting of a General Scheme of an Inspection </w:t>
      </w:r>
      <w:r w:rsidR="00184552" w:rsidRPr="00350F49">
        <w:rPr>
          <w:color w:val="000000" w:themeColor="text1"/>
          <w:sz w:val="24"/>
          <w:szCs w:val="24"/>
        </w:rPr>
        <w:lastRenderedPageBreak/>
        <w:t>of Places of Detention Bill, which will include provisio</w:t>
      </w:r>
      <w:r w:rsidR="003162F1" w:rsidRPr="00350F49">
        <w:rPr>
          <w:color w:val="000000" w:themeColor="text1"/>
          <w:sz w:val="24"/>
          <w:szCs w:val="24"/>
        </w:rPr>
        <w:t>ns to enable ratification of OP</w:t>
      </w:r>
      <w:r w:rsidR="00184552" w:rsidRPr="00350F49">
        <w:rPr>
          <w:color w:val="000000" w:themeColor="text1"/>
          <w:sz w:val="24"/>
          <w:szCs w:val="24"/>
        </w:rPr>
        <w:t>CAT… [which] will make provision for the designation of National Preventative Mechanisms”.</w:t>
      </w:r>
      <w:r w:rsidR="00184552" w:rsidRPr="006439F7">
        <w:rPr>
          <w:rStyle w:val="FootnoteReference"/>
          <w:color w:val="000000" w:themeColor="text1"/>
          <w:sz w:val="24"/>
          <w:szCs w:val="24"/>
        </w:rPr>
        <w:footnoteReference w:id="4"/>
      </w:r>
      <w:r w:rsidR="00184552" w:rsidRPr="00350F49">
        <w:rPr>
          <w:color w:val="000000" w:themeColor="text1"/>
          <w:sz w:val="24"/>
          <w:szCs w:val="24"/>
        </w:rPr>
        <w:t xml:space="preserve"> At that time it was expected that the General Scheme would be published in 2013. We are still awaiting publication of this legislation.</w:t>
      </w:r>
    </w:p>
    <w:p w14:paraId="57067D28" w14:textId="77777777" w:rsidR="00184552" w:rsidRPr="006439F7" w:rsidRDefault="00184552" w:rsidP="00184552">
      <w:pPr>
        <w:pStyle w:val="ListParagraph"/>
        <w:spacing w:after="0" w:line="240" w:lineRule="auto"/>
        <w:ind w:left="0"/>
        <w:rPr>
          <w:color w:val="000000" w:themeColor="text1"/>
          <w:sz w:val="24"/>
          <w:szCs w:val="24"/>
        </w:rPr>
      </w:pPr>
    </w:p>
    <w:p w14:paraId="3211D4AB" w14:textId="2B6BF634" w:rsidR="001C6A55" w:rsidRPr="006439F7" w:rsidRDefault="00184552" w:rsidP="00056111">
      <w:pPr>
        <w:pStyle w:val="ListParagraph"/>
        <w:numPr>
          <w:ilvl w:val="0"/>
          <w:numId w:val="3"/>
        </w:numPr>
        <w:shd w:val="clear" w:color="auto" w:fill="FFFFFF"/>
        <w:spacing w:after="0" w:line="240" w:lineRule="auto"/>
        <w:jc w:val="both"/>
        <w:rPr>
          <w:rFonts w:cs="Arial"/>
          <w:color w:val="000000" w:themeColor="text1"/>
          <w:sz w:val="24"/>
          <w:szCs w:val="24"/>
        </w:rPr>
      </w:pPr>
      <w:r w:rsidRPr="006439F7">
        <w:rPr>
          <w:rFonts w:cs="Arial"/>
          <w:color w:val="000000" w:themeColor="text1"/>
          <w:sz w:val="24"/>
          <w:szCs w:val="24"/>
        </w:rPr>
        <w:t xml:space="preserve">The ICCL also rejects the Irish Government’s position that it cannot ratify OPCAT in advance of having an adequate NPM in place. </w:t>
      </w:r>
      <w:r w:rsidR="00B3330C" w:rsidRPr="006439F7">
        <w:rPr>
          <w:rFonts w:cs="Arial"/>
          <w:color w:val="000000" w:themeColor="text1"/>
          <w:sz w:val="24"/>
          <w:szCs w:val="24"/>
        </w:rPr>
        <w:t>The precise wording of the Optional Protocol makes it clear that a</w:t>
      </w:r>
      <w:r w:rsidR="003162F1" w:rsidRPr="006439F7">
        <w:rPr>
          <w:rFonts w:cs="Arial"/>
          <w:color w:val="000000" w:themeColor="text1"/>
          <w:sz w:val="24"/>
          <w:szCs w:val="24"/>
          <w:lang w:val="en-GB"/>
        </w:rPr>
        <w:t>n NPM</w:t>
      </w:r>
      <w:r w:rsidR="00B3330C" w:rsidRPr="006439F7">
        <w:rPr>
          <w:rFonts w:cs="Arial"/>
          <w:color w:val="000000" w:themeColor="text1"/>
          <w:sz w:val="24"/>
          <w:szCs w:val="24"/>
        </w:rPr>
        <w:t xml:space="preserve"> does not need to be established in advance of ratification. Rather, Art 11.1(b) of </w:t>
      </w:r>
      <w:r w:rsidR="003162F1" w:rsidRPr="006439F7">
        <w:rPr>
          <w:rFonts w:cs="Arial"/>
          <w:color w:val="000000" w:themeColor="text1"/>
          <w:sz w:val="24"/>
          <w:szCs w:val="24"/>
          <w:lang w:val="en-GB"/>
        </w:rPr>
        <w:t>OPCAT</w:t>
      </w:r>
      <w:r w:rsidR="00B3330C" w:rsidRPr="006439F7">
        <w:rPr>
          <w:rFonts w:cs="Arial"/>
          <w:color w:val="000000" w:themeColor="text1"/>
          <w:sz w:val="24"/>
          <w:szCs w:val="24"/>
        </w:rPr>
        <w:t xml:space="preserve"> provides that the Subcommittee on Prevention shall: ‘Advise and assist States Parties, when necessary, in their establishment’ and Art 24 </w:t>
      </w:r>
      <w:r w:rsidR="00B3330C" w:rsidRPr="006439F7">
        <w:rPr>
          <w:rFonts w:cs="Calibri"/>
          <w:color w:val="000000" w:themeColor="text1"/>
          <w:sz w:val="24"/>
          <w:szCs w:val="24"/>
        </w:rPr>
        <w:t>affords the option to ‘make a declaration postponing the implementation of their obligations’ for up to five years in total.</w:t>
      </w:r>
      <w:r w:rsidR="00B3330C" w:rsidRPr="006439F7">
        <w:rPr>
          <w:rFonts w:cs="Times"/>
          <w:color w:val="000000" w:themeColor="text1"/>
          <w:sz w:val="24"/>
          <w:szCs w:val="24"/>
        </w:rPr>
        <w:t xml:space="preserve"> </w:t>
      </w:r>
      <w:r w:rsidR="00347123" w:rsidRPr="006439F7">
        <w:rPr>
          <w:rFonts w:cs="Arial"/>
          <w:color w:val="000000" w:themeColor="text1"/>
          <w:sz w:val="24"/>
          <w:szCs w:val="24"/>
        </w:rPr>
        <w:t>As such, a s</w:t>
      </w:r>
      <w:r w:rsidR="00B3330C" w:rsidRPr="006439F7">
        <w:rPr>
          <w:rFonts w:cs="Arial"/>
          <w:color w:val="000000" w:themeColor="text1"/>
          <w:sz w:val="24"/>
          <w:szCs w:val="24"/>
        </w:rPr>
        <w:t xml:space="preserve">tate may ratify and then begin the work of establishing a National Preventative Mechanism as has been the case in many instances including in the case of other EU member states such as Denmark, Germany, Hungary, Malta, Romania and Serbia. </w:t>
      </w:r>
    </w:p>
    <w:p w14:paraId="52072AA9" w14:textId="77777777" w:rsidR="001C6A55" w:rsidRPr="006439F7" w:rsidRDefault="001C6A55" w:rsidP="001C6A55">
      <w:pPr>
        <w:pStyle w:val="ListParagraph"/>
        <w:rPr>
          <w:rFonts w:cs="Arial"/>
          <w:color w:val="000000" w:themeColor="text1"/>
          <w:sz w:val="24"/>
          <w:szCs w:val="24"/>
        </w:rPr>
      </w:pPr>
    </w:p>
    <w:p w14:paraId="6B0AEB00" w14:textId="7F953C42" w:rsidR="001C6A55" w:rsidRPr="006439F7" w:rsidRDefault="00B3330C" w:rsidP="00056111">
      <w:pPr>
        <w:pStyle w:val="ListParagraph"/>
        <w:numPr>
          <w:ilvl w:val="0"/>
          <w:numId w:val="3"/>
        </w:numPr>
        <w:shd w:val="clear" w:color="auto" w:fill="FFFFFF"/>
        <w:spacing w:after="0" w:line="240" w:lineRule="auto"/>
        <w:jc w:val="both"/>
        <w:rPr>
          <w:rFonts w:cs="Arial"/>
          <w:color w:val="000000" w:themeColor="text1"/>
          <w:sz w:val="24"/>
          <w:szCs w:val="24"/>
        </w:rPr>
      </w:pPr>
      <w:r w:rsidRPr="006439F7">
        <w:rPr>
          <w:rFonts w:cs="Arial"/>
          <w:color w:val="000000" w:themeColor="text1"/>
          <w:sz w:val="24"/>
          <w:szCs w:val="24"/>
        </w:rPr>
        <w:t>Given the clearly stated objective of the Optional Protocol, the failure of the State to establish an effective, independent, systematic monitoring mechanism for all places of detention also defeats the objec</w:t>
      </w:r>
      <w:r w:rsidR="00347123" w:rsidRPr="006439F7">
        <w:rPr>
          <w:rFonts w:cs="Arial"/>
          <w:color w:val="000000" w:themeColor="text1"/>
          <w:sz w:val="24"/>
          <w:szCs w:val="24"/>
        </w:rPr>
        <w:t xml:space="preserve">t and purpose of the Protocol, </w:t>
      </w:r>
      <w:r w:rsidRPr="006439F7">
        <w:rPr>
          <w:rFonts w:cs="Arial"/>
          <w:color w:val="000000" w:themeColor="text1"/>
          <w:sz w:val="24"/>
          <w:szCs w:val="24"/>
        </w:rPr>
        <w:t>to whi</w:t>
      </w:r>
      <w:r w:rsidR="00347123" w:rsidRPr="006439F7">
        <w:rPr>
          <w:rFonts w:cs="Arial"/>
          <w:color w:val="000000" w:themeColor="text1"/>
          <w:sz w:val="24"/>
          <w:szCs w:val="24"/>
        </w:rPr>
        <w:t>ch Ireland is a signator</w:t>
      </w:r>
      <w:r w:rsidR="00347123" w:rsidRPr="006439F7">
        <w:rPr>
          <w:rFonts w:cs="Arial"/>
          <w:color w:val="000000" w:themeColor="text1"/>
          <w:sz w:val="24"/>
          <w:szCs w:val="24"/>
          <w:lang w:val="en-GB"/>
        </w:rPr>
        <w:t xml:space="preserve">y; and </w:t>
      </w:r>
      <w:r w:rsidR="00184552" w:rsidRPr="006439F7">
        <w:rPr>
          <w:rFonts w:cs="Arial"/>
          <w:color w:val="000000" w:themeColor="text1"/>
          <w:sz w:val="24"/>
          <w:szCs w:val="24"/>
        </w:rPr>
        <w:t xml:space="preserve">can </w:t>
      </w:r>
      <w:r w:rsidR="00347123" w:rsidRPr="006439F7">
        <w:rPr>
          <w:rFonts w:cs="Arial"/>
          <w:color w:val="000000" w:themeColor="text1"/>
          <w:sz w:val="24"/>
          <w:szCs w:val="24"/>
          <w:lang w:val="en-GB"/>
        </w:rPr>
        <w:t xml:space="preserve">thereby </w:t>
      </w:r>
      <w:r w:rsidR="00184552" w:rsidRPr="006439F7">
        <w:rPr>
          <w:rFonts w:cs="Arial"/>
          <w:color w:val="000000" w:themeColor="text1"/>
          <w:sz w:val="24"/>
          <w:szCs w:val="24"/>
        </w:rPr>
        <w:t xml:space="preserve">be seen as a contravention of </w:t>
      </w:r>
      <w:r w:rsidRPr="006439F7">
        <w:rPr>
          <w:rFonts w:cs="Arial"/>
          <w:color w:val="000000" w:themeColor="text1"/>
          <w:sz w:val="24"/>
          <w:szCs w:val="24"/>
        </w:rPr>
        <w:t xml:space="preserve">the Vienna Convention on the Law of Treaties (Art 18). Moreover, Ireland’s reliance on arguments </w:t>
      </w:r>
      <w:r w:rsidR="0063650B">
        <w:rPr>
          <w:rFonts w:cs="Arial"/>
          <w:color w:val="000000" w:themeColor="text1"/>
          <w:sz w:val="24"/>
          <w:szCs w:val="24"/>
        </w:rPr>
        <w:t>based</w:t>
      </w:r>
      <w:r w:rsidRPr="006439F7">
        <w:rPr>
          <w:rFonts w:cs="Arial"/>
          <w:color w:val="000000" w:themeColor="text1"/>
          <w:sz w:val="24"/>
          <w:szCs w:val="24"/>
        </w:rPr>
        <w:t xml:space="preserve"> on internal procedures for implementation can</w:t>
      </w:r>
      <w:r w:rsidR="00AA628B" w:rsidRPr="006439F7">
        <w:rPr>
          <w:rFonts w:cs="Arial"/>
          <w:color w:val="000000" w:themeColor="text1"/>
          <w:sz w:val="24"/>
          <w:szCs w:val="24"/>
        </w:rPr>
        <w:t xml:space="preserve"> also </w:t>
      </w:r>
      <w:r w:rsidRPr="006439F7">
        <w:rPr>
          <w:rFonts w:cs="Arial"/>
          <w:color w:val="000000" w:themeColor="text1"/>
          <w:sz w:val="24"/>
          <w:szCs w:val="24"/>
        </w:rPr>
        <w:t xml:space="preserve">not </w:t>
      </w:r>
      <w:r w:rsidR="00AA628B" w:rsidRPr="006439F7">
        <w:rPr>
          <w:rFonts w:cs="Arial"/>
          <w:color w:val="000000" w:themeColor="text1"/>
          <w:sz w:val="24"/>
          <w:szCs w:val="24"/>
        </w:rPr>
        <w:t>be considered as</w:t>
      </w:r>
      <w:r w:rsidRPr="006439F7">
        <w:rPr>
          <w:rFonts w:cs="Arial"/>
          <w:color w:val="000000" w:themeColor="text1"/>
          <w:sz w:val="24"/>
          <w:szCs w:val="24"/>
        </w:rPr>
        <w:t xml:space="preserve"> a justification for failing to meet its international obligations (Vienna Convention on the Law of Treaties Art 27</w:t>
      </w:r>
      <w:r w:rsidR="00AA628B" w:rsidRPr="006439F7">
        <w:rPr>
          <w:rFonts w:cs="Arial"/>
          <w:color w:val="000000" w:themeColor="text1"/>
          <w:sz w:val="24"/>
          <w:szCs w:val="24"/>
        </w:rPr>
        <w:t>)</w:t>
      </w:r>
      <w:r w:rsidRPr="006439F7">
        <w:rPr>
          <w:rFonts w:cs="Arial"/>
          <w:color w:val="000000" w:themeColor="text1"/>
          <w:sz w:val="24"/>
          <w:szCs w:val="24"/>
        </w:rPr>
        <w:t>.</w:t>
      </w:r>
    </w:p>
    <w:p w14:paraId="616CC4A2" w14:textId="77777777" w:rsidR="0017097A" w:rsidRPr="006439F7" w:rsidRDefault="0017097A" w:rsidP="00AA628B">
      <w:pPr>
        <w:rPr>
          <w:rFonts w:cs="Arial"/>
          <w:b/>
          <w:color w:val="000000" w:themeColor="text1"/>
          <w:sz w:val="24"/>
          <w:szCs w:val="24"/>
        </w:rPr>
      </w:pPr>
    </w:p>
    <w:p w14:paraId="4BC84C42" w14:textId="78FB5A4D" w:rsidR="001C6A55" w:rsidRPr="006439F7" w:rsidRDefault="00AA628B" w:rsidP="00AA628B">
      <w:pPr>
        <w:rPr>
          <w:rFonts w:cs="Arial"/>
          <w:b/>
          <w:color w:val="000000" w:themeColor="text1"/>
          <w:sz w:val="24"/>
          <w:szCs w:val="24"/>
        </w:rPr>
      </w:pPr>
      <w:r w:rsidRPr="006439F7">
        <w:rPr>
          <w:rFonts w:cs="Arial"/>
          <w:b/>
          <w:color w:val="000000" w:themeColor="text1"/>
          <w:sz w:val="24"/>
          <w:szCs w:val="24"/>
        </w:rPr>
        <w:t>Recommendations:</w:t>
      </w:r>
    </w:p>
    <w:p w14:paraId="7E635FB4" w14:textId="6655CB42" w:rsidR="00AA628B" w:rsidRPr="006439F7" w:rsidRDefault="00B3330C" w:rsidP="00056111">
      <w:pPr>
        <w:pStyle w:val="ListParagraph"/>
        <w:numPr>
          <w:ilvl w:val="0"/>
          <w:numId w:val="3"/>
        </w:numPr>
        <w:shd w:val="clear" w:color="auto" w:fill="FFFFFF"/>
        <w:spacing w:after="0" w:line="240" w:lineRule="auto"/>
        <w:jc w:val="both"/>
        <w:rPr>
          <w:rFonts w:cs="Arial"/>
          <w:b/>
          <w:color w:val="000000" w:themeColor="text1"/>
          <w:sz w:val="24"/>
          <w:szCs w:val="24"/>
        </w:rPr>
      </w:pPr>
      <w:r w:rsidRPr="006439F7">
        <w:rPr>
          <w:rFonts w:cs="Arial"/>
          <w:b/>
          <w:color w:val="000000" w:themeColor="text1"/>
          <w:sz w:val="24"/>
          <w:szCs w:val="24"/>
        </w:rPr>
        <w:t xml:space="preserve">In order to </w:t>
      </w:r>
      <w:r w:rsidR="00AA628B" w:rsidRPr="006439F7">
        <w:rPr>
          <w:rFonts w:cs="Arial"/>
          <w:b/>
          <w:color w:val="000000" w:themeColor="text1"/>
          <w:sz w:val="24"/>
          <w:szCs w:val="24"/>
        </w:rPr>
        <w:t>fulfil</w:t>
      </w:r>
      <w:r w:rsidRPr="006439F7">
        <w:rPr>
          <w:rFonts w:cs="Arial"/>
          <w:b/>
          <w:color w:val="000000" w:themeColor="text1"/>
          <w:sz w:val="24"/>
          <w:szCs w:val="24"/>
        </w:rPr>
        <w:t xml:space="preserve"> its international human rights obligations and enhance the protection from torture afforded to all persons in detention in Ireland, the </w:t>
      </w:r>
      <w:r w:rsidR="0068321B" w:rsidRPr="006439F7">
        <w:rPr>
          <w:rFonts w:cs="Arial"/>
          <w:b/>
          <w:color w:val="000000" w:themeColor="text1"/>
          <w:sz w:val="24"/>
          <w:szCs w:val="24"/>
          <w:lang w:val="en-GB"/>
        </w:rPr>
        <w:t>Irish Government</w:t>
      </w:r>
      <w:r w:rsidRPr="006439F7">
        <w:rPr>
          <w:rFonts w:cs="Arial"/>
          <w:b/>
          <w:color w:val="000000" w:themeColor="text1"/>
          <w:sz w:val="24"/>
          <w:szCs w:val="24"/>
        </w:rPr>
        <w:t xml:space="preserve"> must ratify the Optional</w:t>
      </w:r>
      <w:r w:rsidR="00AA628B" w:rsidRPr="006439F7">
        <w:rPr>
          <w:rFonts w:cs="Arial"/>
          <w:b/>
          <w:color w:val="000000" w:themeColor="text1"/>
          <w:sz w:val="24"/>
          <w:szCs w:val="24"/>
        </w:rPr>
        <w:t xml:space="preserve"> Protocol without further delay.</w:t>
      </w:r>
      <w:r w:rsidR="00416934">
        <w:rPr>
          <w:rFonts w:cs="Arial"/>
          <w:b/>
          <w:color w:val="000000" w:themeColor="text1"/>
          <w:sz w:val="24"/>
          <w:szCs w:val="24"/>
          <w:lang w:val="en-GB"/>
        </w:rPr>
        <w:t xml:space="preserve"> A firm </w:t>
      </w:r>
      <w:r w:rsidR="0068321B" w:rsidRPr="006439F7">
        <w:rPr>
          <w:rFonts w:cs="Arial"/>
          <w:b/>
          <w:color w:val="000000" w:themeColor="text1"/>
          <w:sz w:val="24"/>
          <w:szCs w:val="24"/>
          <w:lang w:val="en-GB"/>
        </w:rPr>
        <w:t>commitment to ratify by a specified date should be made.</w:t>
      </w:r>
    </w:p>
    <w:p w14:paraId="604C3609" w14:textId="77777777" w:rsidR="00AA628B" w:rsidRPr="006439F7" w:rsidRDefault="00AA628B" w:rsidP="00AA628B">
      <w:pPr>
        <w:pStyle w:val="ListParagraph"/>
        <w:rPr>
          <w:rFonts w:cs="Arial"/>
          <w:b/>
          <w:color w:val="000000" w:themeColor="text1"/>
          <w:sz w:val="24"/>
          <w:szCs w:val="24"/>
        </w:rPr>
      </w:pPr>
    </w:p>
    <w:p w14:paraId="611182AE" w14:textId="56F04A0F" w:rsidR="00AA628B" w:rsidRPr="006439F7" w:rsidRDefault="00AA628B" w:rsidP="00056111">
      <w:pPr>
        <w:pStyle w:val="ListParagraph"/>
        <w:numPr>
          <w:ilvl w:val="0"/>
          <w:numId w:val="3"/>
        </w:numPr>
        <w:shd w:val="clear" w:color="auto" w:fill="FFFFFF"/>
        <w:spacing w:after="0" w:line="240" w:lineRule="auto"/>
        <w:jc w:val="both"/>
        <w:rPr>
          <w:rFonts w:cs="Arial"/>
          <w:b/>
          <w:color w:val="000000" w:themeColor="text1"/>
          <w:sz w:val="24"/>
          <w:szCs w:val="24"/>
        </w:rPr>
      </w:pPr>
      <w:r w:rsidRPr="006439F7">
        <w:rPr>
          <w:rFonts w:cs="Arial"/>
          <w:b/>
          <w:color w:val="000000" w:themeColor="text1"/>
          <w:sz w:val="24"/>
          <w:szCs w:val="24"/>
        </w:rPr>
        <w:t xml:space="preserve">The State must immediately set out a timeframe for the development </w:t>
      </w:r>
      <w:r w:rsidR="00271814">
        <w:rPr>
          <w:rFonts w:cs="Arial"/>
          <w:b/>
          <w:color w:val="000000" w:themeColor="text1"/>
          <w:sz w:val="24"/>
          <w:szCs w:val="24"/>
        </w:rPr>
        <w:t xml:space="preserve">of </w:t>
      </w:r>
      <w:r w:rsidR="00B3330C" w:rsidRPr="006439F7">
        <w:rPr>
          <w:rFonts w:cs="Arial"/>
          <w:b/>
          <w:color w:val="000000" w:themeColor="text1"/>
          <w:sz w:val="24"/>
          <w:szCs w:val="24"/>
        </w:rPr>
        <w:t xml:space="preserve">a </w:t>
      </w:r>
      <w:r w:rsidRPr="006439F7">
        <w:rPr>
          <w:rFonts w:cs="Arial"/>
          <w:b/>
          <w:color w:val="000000" w:themeColor="text1"/>
          <w:sz w:val="24"/>
          <w:szCs w:val="24"/>
        </w:rPr>
        <w:t>National Preventative Mechanism, which should</w:t>
      </w:r>
    </w:p>
    <w:p w14:paraId="6BF0ACE4" w14:textId="3F1C930D" w:rsidR="00AA628B" w:rsidRPr="006439F7" w:rsidRDefault="00AA628B" w:rsidP="00056111">
      <w:pPr>
        <w:pStyle w:val="ListParagraph"/>
        <w:numPr>
          <w:ilvl w:val="1"/>
          <w:numId w:val="3"/>
        </w:numPr>
        <w:shd w:val="clear" w:color="auto" w:fill="FFFFFF"/>
        <w:spacing w:after="0" w:line="240" w:lineRule="auto"/>
        <w:jc w:val="both"/>
        <w:rPr>
          <w:rFonts w:cs="Arial"/>
          <w:b/>
          <w:color w:val="000000" w:themeColor="text1"/>
          <w:sz w:val="24"/>
          <w:szCs w:val="24"/>
        </w:rPr>
      </w:pPr>
      <w:r w:rsidRPr="006439F7">
        <w:rPr>
          <w:rFonts w:cs="Arial"/>
          <w:b/>
          <w:color w:val="000000" w:themeColor="text1"/>
          <w:sz w:val="24"/>
          <w:szCs w:val="24"/>
        </w:rPr>
        <w:t>Be informed by inclusive consultation with stakeholders and civil society,</w:t>
      </w:r>
    </w:p>
    <w:p w14:paraId="044316CD" w14:textId="118216A4" w:rsidR="00B3330C" w:rsidRPr="006439F7" w:rsidRDefault="00AA628B" w:rsidP="00056111">
      <w:pPr>
        <w:pStyle w:val="ListParagraph"/>
        <w:numPr>
          <w:ilvl w:val="1"/>
          <w:numId w:val="3"/>
        </w:numPr>
        <w:shd w:val="clear" w:color="auto" w:fill="FFFFFF"/>
        <w:spacing w:after="0" w:line="240" w:lineRule="auto"/>
        <w:jc w:val="both"/>
        <w:rPr>
          <w:rFonts w:cs="Arial"/>
          <w:b/>
          <w:color w:val="000000" w:themeColor="text1"/>
          <w:sz w:val="24"/>
          <w:szCs w:val="24"/>
        </w:rPr>
      </w:pPr>
      <w:r w:rsidRPr="006439F7">
        <w:rPr>
          <w:rFonts w:cs="Arial"/>
          <w:b/>
          <w:color w:val="000000" w:themeColor="text1"/>
          <w:sz w:val="24"/>
          <w:szCs w:val="24"/>
        </w:rPr>
        <w:t>Consider consultation with the UN Subcommittee</w:t>
      </w:r>
      <w:r w:rsidR="00271814">
        <w:rPr>
          <w:rFonts w:cs="Arial"/>
          <w:b/>
          <w:color w:val="000000" w:themeColor="text1"/>
          <w:sz w:val="24"/>
          <w:szCs w:val="24"/>
        </w:rPr>
        <w:t>,</w:t>
      </w:r>
      <w:r w:rsidRPr="006439F7">
        <w:rPr>
          <w:rFonts w:cs="Arial"/>
          <w:b/>
          <w:color w:val="000000" w:themeColor="text1"/>
          <w:sz w:val="24"/>
          <w:szCs w:val="24"/>
        </w:rPr>
        <w:t xml:space="preserve"> </w:t>
      </w:r>
    </w:p>
    <w:p w14:paraId="3BCE0EF3" w14:textId="46AB4C06" w:rsidR="00AA628B" w:rsidRPr="006439F7" w:rsidRDefault="00AA628B" w:rsidP="00056111">
      <w:pPr>
        <w:pStyle w:val="ListParagraph"/>
        <w:numPr>
          <w:ilvl w:val="1"/>
          <w:numId w:val="3"/>
        </w:numPr>
        <w:shd w:val="clear" w:color="auto" w:fill="FFFFFF"/>
        <w:spacing w:after="0" w:line="240" w:lineRule="auto"/>
        <w:jc w:val="both"/>
        <w:rPr>
          <w:rFonts w:cs="Arial"/>
          <w:b/>
          <w:color w:val="000000" w:themeColor="text1"/>
          <w:sz w:val="24"/>
          <w:szCs w:val="24"/>
        </w:rPr>
      </w:pPr>
      <w:r w:rsidRPr="006439F7">
        <w:rPr>
          <w:rFonts w:cs="Arial"/>
          <w:b/>
          <w:color w:val="000000" w:themeColor="text1"/>
          <w:sz w:val="24"/>
          <w:szCs w:val="24"/>
        </w:rPr>
        <w:lastRenderedPageBreak/>
        <w:t>Identi</w:t>
      </w:r>
      <w:r w:rsidR="00271814">
        <w:rPr>
          <w:rFonts w:cs="Arial"/>
          <w:b/>
          <w:color w:val="000000" w:themeColor="text1"/>
          <w:sz w:val="24"/>
          <w:szCs w:val="24"/>
        </w:rPr>
        <w:t>f</w:t>
      </w:r>
      <w:r w:rsidRPr="006439F7">
        <w:rPr>
          <w:rFonts w:cs="Arial"/>
          <w:b/>
          <w:color w:val="000000" w:themeColor="text1"/>
          <w:sz w:val="24"/>
          <w:szCs w:val="24"/>
        </w:rPr>
        <w:t>y legislative and administrative steps necessary to have an effective NPM in place</w:t>
      </w:r>
      <w:r w:rsidR="00271814">
        <w:rPr>
          <w:rFonts w:cs="Arial"/>
          <w:b/>
          <w:color w:val="000000" w:themeColor="text1"/>
          <w:sz w:val="24"/>
          <w:szCs w:val="24"/>
        </w:rPr>
        <w:t>.</w:t>
      </w:r>
      <w:r w:rsidRPr="006439F7">
        <w:rPr>
          <w:rStyle w:val="FootnoteReference"/>
          <w:rFonts w:cs="Arial"/>
          <w:b/>
          <w:color w:val="000000" w:themeColor="text1"/>
          <w:sz w:val="24"/>
          <w:szCs w:val="24"/>
        </w:rPr>
        <w:footnoteReference w:id="5"/>
      </w:r>
    </w:p>
    <w:p w14:paraId="1CCE6F45" w14:textId="66E32344" w:rsidR="00B3330C" w:rsidRPr="006439F7" w:rsidRDefault="00B3330C" w:rsidP="00791780">
      <w:pPr>
        <w:shd w:val="clear" w:color="auto" w:fill="FFFFFF"/>
        <w:spacing w:after="0" w:line="240" w:lineRule="auto"/>
        <w:ind w:firstLine="120"/>
        <w:jc w:val="both"/>
        <w:rPr>
          <w:rFonts w:cs="Arial"/>
          <w:color w:val="000000" w:themeColor="text1"/>
          <w:sz w:val="24"/>
          <w:szCs w:val="24"/>
        </w:rPr>
      </w:pPr>
    </w:p>
    <w:p w14:paraId="368F77C5" w14:textId="77777777" w:rsidR="00B3330C" w:rsidRPr="006439F7" w:rsidRDefault="00B3330C" w:rsidP="00972C50">
      <w:pPr>
        <w:spacing w:after="0" w:line="240" w:lineRule="auto"/>
        <w:jc w:val="both"/>
        <w:rPr>
          <w:rFonts w:eastAsia="Times New Roman"/>
          <w:color w:val="000000" w:themeColor="text1"/>
          <w:sz w:val="24"/>
          <w:szCs w:val="24"/>
        </w:rPr>
      </w:pPr>
    </w:p>
    <w:p w14:paraId="0F6D740E" w14:textId="77777777" w:rsidR="004351C5" w:rsidRPr="006439F7" w:rsidRDefault="004351C5" w:rsidP="00972C50">
      <w:pPr>
        <w:pStyle w:val="SingleTxtG"/>
        <w:spacing w:after="0" w:line="240" w:lineRule="auto"/>
        <w:ind w:left="0"/>
        <w:rPr>
          <w:rFonts w:asciiTheme="minorHAnsi" w:hAnsiTheme="minorHAnsi"/>
          <w:b/>
          <w:color w:val="000000" w:themeColor="text1"/>
          <w:sz w:val="24"/>
          <w:szCs w:val="24"/>
        </w:rPr>
      </w:pPr>
      <w:r w:rsidRPr="006439F7">
        <w:rPr>
          <w:rFonts w:asciiTheme="minorHAnsi" w:hAnsiTheme="minorHAnsi"/>
          <w:b/>
          <w:color w:val="000000" w:themeColor="text1"/>
          <w:sz w:val="24"/>
          <w:szCs w:val="24"/>
        </w:rPr>
        <w:br w:type="page"/>
      </w:r>
    </w:p>
    <w:p w14:paraId="74DD7CB8" w14:textId="024E4303" w:rsidR="00AA628B" w:rsidRPr="006439F7" w:rsidRDefault="00AA628B" w:rsidP="00972C50">
      <w:pPr>
        <w:pStyle w:val="SingleTxtG"/>
        <w:spacing w:after="0" w:line="240" w:lineRule="auto"/>
        <w:ind w:left="0"/>
        <w:rPr>
          <w:rFonts w:asciiTheme="minorHAnsi" w:hAnsiTheme="minorHAnsi"/>
          <w:b/>
          <w:color w:val="000000" w:themeColor="text1"/>
          <w:sz w:val="24"/>
          <w:szCs w:val="24"/>
        </w:rPr>
      </w:pPr>
      <w:r w:rsidRPr="006439F7">
        <w:rPr>
          <w:rFonts w:asciiTheme="minorHAnsi" w:hAnsiTheme="minorHAnsi"/>
          <w:b/>
          <w:color w:val="000000" w:themeColor="text1"/>
          <w:sz w:val="24"/>
          <w:szCs w:val="24"/>
        </w:rPr>
        <w:lastRenderedPageBreak/>
        <w:t>Section</w:t>
      </w:r>
      <w:r w:rsidR="00F7655D" w:rsidRPr="006439F7">
        <w:rPr>
          <w:rFonts w:asciiTheme="minorHAnsi" w:hAnsiTheme="minorHAnsi"/>
          <w:b/>
          <w:color w:val="000000" w:themeColor="text1"/>
          <w:sz w:val="24"/>
          <w:szCs w:val="24"/>
        </w:rPr>
        <w:t xml:space="preserve"> 2</w:t>
      </w:r>
      <w:r w:rsidRPr="006439F7">
        <w:rPr>
          <w:rFonts w:asciiTheme="minorHAnsi" w:hAnsiTheme="minorHAnsi"/>
          <w:b/>
          <w:color w:val="000000" w:themeColor="text1"/>
          <w:sz w:val="24"/>
          <w:szCs w:val="24"/>
        </w:rPr>
        <w:t>:</w:t>
      </w:r>
      <w:r w:rsidRPr="006439F7">
        <w:rPr>
          <w:rFonts w:asciiTheme="minorHAnsi" w:hAnsiTheme="minorHAnsi"/>
          <w:b/>
          <w:color w:val="000000" w:themeColor="text1"/>
          <w:sz w:val="24"/>
          <w:szCs w:val="24"/>
        </w:rPr>
        <w:tab/>
        <w:t>Access to a lawyer</w:t>
      </w:r>
    </w:p>
    <w:p w14:paraId="18D70BBA" w14:textId="77777777" w:rsidR="00791780" w:rsidRPr="006439F7" w:rsidRDefault="00791780" w:rsidP="00972C50">
      <w:pPr>
        <w:pStyle w:val="SingleTxtG"/>
        <w:spacing w:after="0" w:line="240" w:lineRule="auto"/>
        <w:ind w:left="0"/>
        <w:rPr>
          <w:rFonts w:asciiTheme="minorHAnsi" w:hAnsiTheme="minorHAnsi"/>
          <w:b/>
          <w:color w:val="000000" w:themeColor="text1"/>
          <w:sz w:val="24"/>
          <w:szCs w:val="24"/>
        </w:rPr>
      </w:pPr>
    </w:p>
    <w:p w14:paraId="0CE9A5FB" w14:textId="50A514F5" w:rsidR="00791780" w:rsidRPr="006439F7" w:rsidRDefault="00791780" w:rsidP="00972C50">
      <w:pPr>
        <w:pStyle w:val="SingleTxtG"/>
        <w:spacing w:after="0" w:line="240" w:lineRule="auto"/>
        <w:ind w:left="0"/>
        <w:rPr>
          <w:rFonts w:asciiTheme="minorHAnsi" w:hAnsiTheme="minorHAnsi"/>
          <w:b/>
          <w:color w:val="000000" w:themeColor="text1"/>
          <w:sz w:val="24"/>
          <w:szCs w:val="24"/>
        </w:rPr>
      </w:pPr>
      <w:r w:rsidRPr="006439F7">
        <w:rPr>
          <w:rFonts w:asciiTheme="minorHAnsi" w:hAnsiTheme="minorHAnsi"/>
          <w:b/>
          <w:color w:val="000000" w:themeColor="text1"/>
          <w:sz w:val="24"/>
          <w:szCs w:val="24"/>
        </w:rPr>
        <w:tab/>
      </w:r>
      <w:r w:rsidRPr="006439F7">
        <w:rPr>
          <w:rFonts w:asciiTheme="minorHAnsi" w:hAnsiTheme="minorHAnsi"/>
          <w:b/>
          <w:color w:val="000000" w:themeColor="text1"/>
          <w:sz w:val="24"/>
          <w:szCs w:val="24"/>
        </w:rPr>
        <w:tab/>
      </w:r>
      <w:r w:rsidRPr="006439F7">
        <w:rPr>
          <w:rFonts w:asciiTheme="minorHAnsi" w:hAnsiTheme="minorHAnsi"/>
          <w:color w:val="000000" w:themeColor="text1"/>
          <w:sz w:val="24"/>
          <w:szCs w:val="24"/>
          <w:lang w:eastAsia="es-ES"/>
        </w:rPr>
        <w:t>(List of Issues – No. 2, 19; UNCAT Article 2)</w:t>
      </w:r>
    </w:p>
    <w:p w14:paraId="0B9B4D80" w14:textId="77777777" w:rsidR="00AA628B" w:rsidRPr="006439F7" w:rsidRDefault="00AA628B" w:rsidP="00972C50">
      <w:pPr>
        <w:pStyle w:val="SingleTxtG"/>
        <w:spacing w:after="0" w:line="240" w:lineRule="auto"/>
        <w:ind w:left="0"/>
        <w:rPr>
          <w:rFonts w:asciiTheme="minorHAnsi" w:hAnsiTheme="minorHAnsi"/>
          <w:b/>
          <w:color w:val="000000" w:themeColor="text1"/>
          <w:sz w:val="24"/>
          <w:szCs w:val="24"/>
        </w:rPr>
      </w:pPr>
    </w:p>
    <w:p w14:paraId="2E35016F" w14:textId="52EA4215" w:rsidR="00D87E06" w:rsidRPr="006439F7" w:rsidRDefault="00D87E06" w:rsidP="00056111">
      <w:pPr>
        <w:pStyle w:val="ListParagraph"/>
        <w:numPr>
          <w:ilvl w:val="0"/>
          <w:numId w:val="3"/>
        </w:numPr>
        <w:autoSpaceDE w:val="0"/>
        <w:autoSpaceDN w:val="0"/>
        <w:adjustRightInd w:val="0"/>
        <w:spacing w:after="0" w:line="240" w:lineRule="auto"/>
        <w:ind w:right="-46"/>
        <w:jc w:val="both"/>
        <w:rPr>
          <w:rFonts w:cs="Graphik-Regular"/>
          <w:color w:val="000000" w:themeColor="text1"/>
          <w:sz w:val="24"/>
          <w:szCs w:val="24"/>
          <w:lang w:val="en-GB"/>
        </w:rPr>
      </w:pPr>
      <w:r w:rsidRPr="006439F7">
        <w:rPr>
          <w:rFonts w:cs="Graphik-Regular"/>
          <w:color w:val="000000" w:themeColor="text1"/>
          <w:sz w:val="24"/>
          <w:szCs w:val="24"/>
          <w:lang w:val="en-GB"/>
        </w:rPr>
        <w:t xml:space="preserve">People who are held in police custody in Ireland do not have the right to have a legal representative present while </w:t>
      </w:r>
      <w:r w:rsidRPr="006439F7">
        <w:rPr>
          <w:color w:val="000000" w:themeColor="text1"/>
          <w:sz w:val="24"/>
          <w:szCs w:val="24"/>
        </w:rPr>
        <w:t>being questioned by the Gardaí. Although the</w:t>
      </w:r>
      <w:r w:rsidRPr="006439F7">
        <w:rPr>
          <w:rFonts w:cs="Graphik-Regular"/>
          <w:color w:val="000000" w:themeColor="text1"/>
          <w:sz w:val="24"/>
          <w:szCs w:val="24"/>
          <w:lang w:val="en-GB"/>
        </w:rPr>
        <w:t xml:space="preserve"> </w:t>
      </w:r>
      <w:r w:rsidRPr="006439F7">
        <w:rPr>
          <w:color w:val="000000" w:themeColor="text1"/>
          <w:sz w:val="24"/>
          <w:szCs w:val="24"/>
        </w:rPr>
        <w:t>Government established a Standing Committee</w:t>
      </w:r>
      <w:r w:rsidRPr="006439F7">
        <w:rPr>
          <w:rFonts w:cs="Graphik-Regular"/>
          <w:color w:val="000000" w:themeColor="text1"/>
          <w:sz w:val="24"/>
          <w:szCs w:val="24"/>
          <w:lang w:val="en-GB"/>
        </w:rPr>
        <w:t xml:space="preserve"> </w:t>
      </w:r>
      <w:r w:rsidRPr="006439F7">
        <w:rPr>
          <w:color w:val="000000" w:themeColor="text1"/>
          <w:sz w:val="24"/>
          <w:szCs w:val="24"/>
        </w:rPr>
        <w:t>to advise on Garda interviewing of suspects</w:t>
      </w:r>
      <w:r w:rsidRPr="006439F7">
        <w:rPr>
          <w:rFonts w:cs="Graphik-Regular"/>
          <w:color w:val="000000" w:themeColor="text1"/>
          <w:sz w:val="24"/>
          <w:szCs w:val="24"/>
          <w:lang w:val="en-GB"/>
        </w:rPr>
        <w:t xml:space="preserve"> </w:t>
      </w:r>
      <w:r w:rsidRPr="006439F7">
        <w:rPr>
          <w:color w:val="000000" w:themeColor="text1"/>
          <w:sz w:val="24"/>
          <w:szCs w:val="24"/>
        </w:rPr>
        <w:t>in 2010, Ireland has not ‘opted into’ the EU</w:t>
      </w:r>
      <w:r w:rsidRPr="006439F7">
        <w:rPr>
          <w:rFonts w:cs="Graphik-Regular"/>
          <w:color w:val="000000" w:themeColor="text1"/>
          <w:sz w:val="24"/>
          <w:szCs w:val="24"/>
          <w:lang w:val="en-GB"/>
        </w:rPr>
        <w:t xml:space="preserve"> </w:t>
      </w:r>
      <w:r w:rsidRPr="006439F7">
        <w:rPr>
          <w:color w:val="000000" w:themeColor="text1"/>
          <w:sz w:val="24"/>
          <w:szCs w:val="24"/>
        </w:rPr>
        <w:t>Directive on the right of access to a lawyer</w:t>
      </w:r>
      <w:r w:rsidRPr="006439F7">
        <w:rPr>
          <w:rFonts w:cs="Graphik-Regular"/>
          <w:color w:val="000000" w:themeColor="text1"/>
          <w:sz w:val="24"/>
          <w:szCs w:val="24"/>
          <w:lang w:val="en-GB"/>
        </w:rPr>
        <w:t xml:space="preserve"> </w:t>
      </w:r>
      <w:r w:rsidRPr="006439F7">
        <w:rPr>
          <w:color w:val="000000" w:themeColor="text1"/>
          <w:sz w:val="24"/>
          <w:szCs w:val="24"/>
        </w:rPr>
        <w:t>in criminal proceedings and on the right to</w:t>
      </w:r>
      <w:r w:rsidRPr="006439F7">
        <w:rPr>
          <w:rFonts w:cs="Graphik-Regular"/>
          <w:color w:val="000000" w:themeColor="text1"/>
          <w:sz w:val="24"/>
          <w:szCs w:val="24"/>
          <w:lang w:val="en-GB"/>
        </w:rPr>
        <w:t xml:space="preserve"> </w:t>
      </w:r>
      <w:r w:rsidRPr="006439F7">
        <w:rPr>
          <w:color w:val="000000" w:themeColor="text1"/>
          <w:sz w:val="24"/>
          <w:szCs w:val="24"/>
        </w:rPr>
        <w:t>communicate upon arrest, the provisions</w:t>
      </w:r>
      <w:r w:rsidRPr="006439F7">
        <w:rPr>
          <w:rFonts w:cs="Graphik-Regular"/>
          <w:color w:val="000000" w:themeColor="text1"/>
          <w:sz w:val="24"/>
          <w:szCs w:val="24"/>
          <w:lang w:val="en-GB"/>
        </w:rPr>
        <w:t xml:space="preserve"> </w:t>
      </w:r>
      <w:r w:rsidRPr="006439F7">
        <w:rPr>
          <w:color w:val="000000" w:themeColor="text1"/>
          <w:sz w:val="24"/>
          <w:szCs w:val="24"/>
        </w:rPr>
        <w:t>of which would assist Ireland in addressing</w:t>
      </w:r>
      <w:r w:rsidRPr="006439F7">
        <w:rPr>
          <w:rFonts w:cs="Graphik-Regular"/>
          <w:color w:val="000000" w:themeColor="text1"/>
          <w:sz w:val="24"/>
          <w:szCs w:val="24"/>
          <w:lang w:val="en-GB"/>
        </w:rPr>
        <w:t xml:space="preserve"> </w:t>
      </w:r>
      <w:r w:rsidRPr="006439F7">
        <w:rPr>
          <w:color w:val="000000" w:themeColor="text1"/>
          <w:sz w:val="24"/>
          <w:szCs w:val="24"/>
        </w:rPr>
        <w:t>concerns regarding access to legal representation.</w:t>
      </w:r>
      <w:r w:rsidRPr="006439F7">
        <w:rPr>
          <w:rFonts w:cs="Graphik-Regular"/>
          <w:color w:val="000000" w:themeColor="text1"/>
          <w:sz w:val="24"/>
          <w:szCs w:val="24"/>
          <w:lang w:val="en-GB"/>
        </w:rPr>
        <w:t xml:space="preserve"> </w:t>
      </w:r>
      <w:r w:rsidRPr="006439F7">
        <w:rPr>
          <w:color w:val="000000" w:themeColor="text1"/>
          <w:sz w:val="24"/>
          <w:szCs w:val="24"/>
        </w:rPr>
        <w:t>The Directive was formally adopted by</w:t>
      </w:r>
      <w:r w:rsidRPr="006439F7">
        <w:rPr>
          <w:rFonts w:cs="Graphik-Regular"/>
          <w:color w:val="000000" w:themeColor="text1"/>
          <w:sz w:val="24"/>
          <w:szCs w:val="24"/>
          <w:lang w:val="en-GB"/>
        </w:rPr>
        <w:t xml:space="preserve"> </w:t>
      </w:r>
      <w:r w:rsidRPr="006439F7">
        <w:rPr>
          <w:color w:val="000000" w:themeColor="text1"/>
          <w:sz w:val="24"/>
          <w:szCs w:val="24"/>
        </w:rPr>
        <w:t>the European Parliament on 10 September</w:t>
      </w:r>
      <w:r w:rsidRPr="006439F7">
        <w:rPr>
          <w:rFonts w:cs="Graphik-Regular"/>
          <w:color w:val="000000" w:themeColor="text1"/>
          <w:sz w:val="24"/>
          <w:szCs w:val="24"/>
          <w:lang w:val="en-GB"/>
        </w:rPr>
        <w:t xml:space="preserve"> </w:t>
      </w:r>
      <w:r w:rsidRPr="006439F7">
        <w:rPr>
          <w:color w:val="000000" w:themeColor="text1"/>
          <w:sz w:val="24"/>
          <w:szCs w:val="24"/>
        </w:rPr>
        <w:t>2013.</w:t>
      </w:r>
    </w:p>
    <w:p w14:paraId="7FF5F618" w14:textId="77777777" w:rsidR="00F7278F" w:rsidRPr="006439F7" w:rsidRDefault="00F7278F" w:rsidP="00F7278F">
      <w:pPr>
        <w:pStyle w:val="ListParagraph"/>
        <w:autoSpaceDE w:val="0"/>
        <w:autoSpaceDN w:val="0"/>
        <w:adjustRightInd w:val="0"/>
        <w:spacing w:after="0" w:line="240" w:lineRule="auto"/>
        <w:ind w:right="-46"/>
        <w:jc w:val="both"/>
        <w:rPr>
          <w:rFonts w:cs="Graphik-Regular"/>
          <w:color w:val="000000" w:themeColor="text1"/>
          <w:sz w:val="24"/>
          <w:szCs w:val="24"/>
          <w:lang w:val="en-GB"/>
        </w:rPr>
      </w:pPr>
    </w:p>
    <w:p w14:paraId="2AB62F96" w14:textId="54B16FBF" w:rsidR="005C22C8" w:rsidRPr="006439F7" w:rsidRDefault="00DA7FC8" w:rsidP="00056111">
      <w:pPr>
        <w:pStyle w:val="ListParagraph"/>
        <w:numPr>
          <w:ilvl w:val="0"/>
          <w:numId w:val="3"/>
        </w:numPr>
        <w:spacing w:after="0" w:line="240" w:lineRule="auto"/>
        <w:ind w:right="-46"/>
        <w:jc w:val="both"/>
        <w:rPr>
          <w:color w:val="000000" w:themeColor="text1"/>
          <w:sz w:val="24"/>
          <w:szCs w:val="24"/>
        </w:rPr>
      </w:pPr>
      <w:r w:rsidRPr="006439F7">
        <w:rPr>
          <w:color w:val="000000" w:themeColor="text1"/>
          <w:sz w:val="24"/>
          <w:szCs w:val="24"/>
        </w:rPr>
        <w:t>In the</w:t>
      </w:r>
      <w:r w:rsidR="004A072B" w:rsidRPr="006439F7">
        <w:rPr>
          <w:color w:val="000000" w:themeColor="text1"/>
          <w:sz w:val="24"/>
          <w:szCs w:val="24"/>
        </w:rPr>
        <w:t xml:space="preserve"> course of the</w:t>
      </w:r>
      <w:r w:rsidR="00C44870" w:rsidRPr="006439F7">
        <w:rPr>
          <w:color w:val="000000" w:themeColor="text1"/>
          <w:sz w:val="24"/>
          <w:szCs w:val="24"/>
          <w:lang w:val="en-GB"/>
        </w:rPr>
        <w:t xml:space="preserve"> Council of Europe Committee for the Prevention of Torture</w:t>
      </w:r>
      <w:r w:rsidR="004A072B" w:rsidRPr="006439F7">
        <w:rPr>
          <w:color w:val="000000" w:themeColor="text1"/>
          <w:sz w:val="24"/>
          <w:szCs w:val="24"/>
        </w:rPr>
        <w:t xml:space="preserve"> </w:t>
      </w:r>
      <w:r w:rsidR="00C44870" w:rsidRPr="006439F7">
        <w:rPr>
          <w:color w:val="000000" w:themeColor="text1"/>
          <w:sz w:val="24"/>
          <w:szCs w:val="24"/>
          <w:lang w:val="en-GB"/>
        </w:rPr>
        <w:t>(</w:t>
      </w:r>
      <w:r w:rsidR="004A072B" w:rsidRPr="006439F7">
        <w:rPr>
          <w:color w:val="000000" w:themeColor="text1"/>
          <w:sz w:val="24"/>
          <w:szCs w:val="24"/>
        </w:rPr>
        <w:t>CPT</w:t>
      </w:r>
      <w:r w:rsidR="00C44870" w:rsidRPr="006439F7">
        <w:rPr>
          <w:color w:val="000000" w:themeColor="text1"/>
          <w:sz w:val="24"/>
          <w:szCs w:val="24"/>
          <w:lang w:val="en-GB"/>
        </w:rPr>
        <w:t>)</w:t>
      </w:r>
      <w:r w:rsidR="004A072B" w:rsidRPr="006439F7">
        <w:rPr>
          <w:color w:val="000000" w:themeColor="text1"/>
          <w:sz w:val="24"/>
          <w:szCs w:val="24"/>
        </w:rPr>
        <w:t xml:space="preserve"> visit </w:t>
      </w:r>
      <w:r w:rsidR="00C44870" w:rsidRPr="006439F7">
        <w:rPr>
          <w:color w:val="000000" w:themeColor="text1"/>
          <w:sz w:val="24"/>
          <w:szCs w:val="24"/>
          <w:lang w:val="en-GB"/>
        </w:rPr>
        <w:t xml:space="preserve">to Ireland </w:t>
      </w:r>
      <w:r w:rsidR="004A072B" w:rsidRPr="006439F7">
        <w:rPr>
          <w:color w:val="000000" w:themeColor="text1"/>
          <w:sz w:val="24"/>
          <w:szCs w:val="24"/>
        </w:rPr>
        <w:t>in 2014</w:t>
      </w:r>
      <w:r w:rsidRPr="006439F7">
        <w:rPr>
          <w:color w:val="000000" w:themeColor="text1"/>
          <w:sz w:val="24"/>
          <w:szCs w:val="24"/>
        </w:rPr>
        <w:t xml:space="preserve">, the Irish authorities confirmed by that all persons </w:t>
      </w:r>
      <w:r w:rsidR="006439F7" w:rsidRPr="006439F7">
        <w:rPr>
          <w:color w:val="000000" w:themeColor="text1"/>
          <w:sz w:val="24"/>
          <w:szCs w:val="24"/>
          <w:lang w:val="en-GB"/>
        </w:rPr>
        <w:t xml:space="preserve">detained by An Garda </w:t>
      </w:r>
      <w:r w:rsidR="006439F7" w:rsidRPr="006439F7">
        <w:rPr>
          <w:color w:val="000000" w:themeColor="text1"/>
          <w:sz w:val="24"/>
          <w:szCs w:val="24"/>
        </w:rPr>
        <w:t xml:space="preserve">Síochána </w:t>
      </w:r>
      <w:r w:rsidRPr="006439F7">
        <w:rPr>
          <w:color w:val="000000" w:themeColor="text1"/>
          <w:sz w:val="24"/>
          <w:szCs w:val="24"/>
        </w:rPr>
        <w:t>are specifically asked if they want to consult a solicitor and concludes that “the position now is that An Garda Síochána cannot question a detained person who has requested legal advice until such time as that advice has been obtained”. The CPT was also informed that solicitors are permitted to participate in police interviews and “to intervene where appropriate”, and that the practice of advising detained persons of their right to have legal representation present during an interview was being actively implemented.</w:t>
      </w:r>
      <w:r w:rsidR="004A072B" w:rsidRPr="006439F7">
        <w:rPr>
          <w:rStyle w:val="FootnoteReference"/>
          <w:color w:val="000000" w:themeColor="text1"/>
          <w:sz w:val="24"/>
          <w:szCs w:val="24"/>
        </w:rPr>
        <w:footnoteReference w:id="6"/>
      </w:r>
      <w:r w:rsidR="0063650B">
        <w:rPr>
          <w:color w:val="000000" w:themeColor="text1"/>
          <w:sz w:val="24"/>
          <w:szCs w:val="24"/>
        </w:rPr>
        <w:t xml:space="preserve"> ICCL understands that following the Supreme Court cases of </w:t>
      </w:r>
      <w:r w:rsidR="0063650B" w:rsidRPr="0063650B">
        <w:rPr>
          <w:i/>
          <w:color w:val="000000" w:themeColor="text1"/>
          <w:sz w:val="24"/>
          <w:szCs w:val="24"/>
        </w:rPr>
        <w:t>DPP v Gormley</w:t>
      </w:r>
      <w:r w:rsidR="0063650B" w:rsidRPr="0063650B">
        <w:rPr>
          <w:color w:val="000000" w:themeColor="text1"/>
          <w:sz w:val="24"/>
          <w:szCs w:val="24"/>
        </w:rPr>
        <w:t xml:space="preserve"> and </w:t>
      </w:r>
      <w:r w:rsidR="0063650B" w:rsidRPr="0063650B">
        <w:rPr>
          <w:i/>
          <w:sz w:val="24"/>
          <w:szCs w:val="24"/>
        </w:rPr>
        <w:t>DPP</w:t>
      </w:r>
      <w:r w:rsidR="0063650B" w:rsidRPr="0063650B">
        <w:rPr>
          <w:i/>
          <w:color w:val="000000" w:themeColor="text1"/>
          <w:sz w:val="24"/>
          <w:szCs w:val="24"/>
        </w:rPr>
        <w:t xml:space="preserve"> v White </w:t>
      </w:r>
      <w:r w:rsidR="0063650B">
        <w:rPr>
          <w:color w:val="000000" w:themeColor="text1"/>
          <w:sz w:val="24"/>
          <w:szCs w:val="24"/>
        </w:rPr>
        <w:t>in 2014, the Director of Public Prosecutions directed that where a detained person requests a solicitor to be present, no interview should proceed until the detainee has an opportunity to consult with a lawyer.</w:t>
      </w:r>
    </w:p>
    <w:p w14:paraId="4E562E5F" w14:textId="77777777" w:rsidR="005C22C8" w:rsidRPr="006439F7" w:rsidRDefault="005C22C8" w:rsidP="005C22C8">
      <w:pPr>
        <w:pStyle w:val="ListParagraph"/>
        <w:rPr>
          <w:color w:val="000000" w:themeColor="text1"/>
          <w:sz w:val="24"/>
          <w:szCs w:val="24"/>
        </w:rPr>
      </w:pPr>
    </w:p>
    <w:p w14:paraId="5B0619B8" w14:textId="2A1FB0EC" w:rsidR="005C22C8" w:rsidRPr="006439F7" w:rsidRDefault="005C22C8" w:rsidP="00056111">
      <w:pPr>
        <w:pStyle w:val="ListParagraph"/>
        <w:numPr>
          <w:ilvl w:val="0"/>
          <w:numId w:val="3"/>
        </w:numPr>
        <w:shd w:val="clear" w:color="auto" w:fill="FFFFFF"/>
        <w:spacing w:before="75" w:after="75" w:line="240" w:lineRule="auto"/>
        <w:ind w:right="-46"/>
        <w:jc w:val="both"/>
        <w:rPr>
          <w:color w:val="000000" w:themeColor="text1"/>
          <w:sz w:val="24"/>
          <w:szCs w:val="24"/>
        </w:rPr>
      </w:pPr>
      <w:r w:rsidRPr="006439F7">
        <w:rPr>
          <w:color w:val="000000" w:themeColor="text1"/>
          <w:sz w:val="24"/>
          <w:szCs w:val="24"/>
        </w:rPr>
        <w:t>H</w:t>
      </w:r>
      <w:r w:rsidR="00954971" w:rsidRPr="006439F7">
        <w:rPr>
          <w:color w:val="000000" w:themeColor="text1"/>
          <w:sz w:val="24"/>
          <w:szCs w:val="24"/>
        </w:rPr>
        <w:t xml:space="preserve">owever, the </w:t>
      </w:r>
      <w:r w:rsidR="0063650B">
        <w:rPr>
          <w:color w:val="000000" w:themeColor="text1"/>
          <w:sz w:val="24"/>
          <w:szCs w:val="24"/>
        </w:rPr>
        <w:t xml:space="preserve">more </w:t>
      </w:r>
      <w:r w:rsidR="00954971" w:rsidRPr="006439F7">
        <w:rPr>
          <w:color w:val="000000" w:themeColor="text1"/>
          <w:sz w:val="24"/>
          <w:szCs w:val="24"/>
        </w:rPr>
        <w:t xml:space="preserve">recent </w:t>
      </w:r>
      <w:r w:rsidR="00906ACB" w:rsidRPr="006439F7">
        <w:rPr>
          <w:color w:val="000000" w:themeColor="text1"/>
          <w:sz w:val="24"/>
          <w:szCs w:val="24"/>
        </w:rPr>
        <w:t xml:space="preserve">Irish Supreme Court </w:t>
      </w:r>
      <w:r w:rsidR="00954971" w:rsidRPr="006439F7">
        <w:rPr>
          <w:color w:val="000000" w:themeColor="text1"/>
          <w:sz w:val="24"/>
          <w:szCs w:val="24"/>
        </w:rPr>
        <w:t xml:space="preserve">decision in </w:t>
      </w:r>
      <w:r w:rsidRPr="006439F7">
        <w:rPr>
          <w:i/>
          <w:color w:val="000000" w:themeColor="text1"/>
          <w:sz w:val="24"/>
          <w:szCs w:val="24"/>
        </w:rPr>
        <w:t>DPP v Doyle</w:t>
      </w:r>
      <w:r w:rsidRPr="006439F7">
        <w:rPr>
          <w:color w:val="000000" w:themeColor="text1"/>
          <w:sz w:val="24"/>
          <w:szCs w:val="24"/>
        </w:rPr>
        <w:t>,</w:t>
      </w:r>
      <w:r w:rsidRPr="006439F7">
        <w:rPr>
          <w:rStyle w:val="FootnoteReference"/>
          <w:color w:val="000000" w:themeColor="text1"/>
          <w:sz w:val="24"/>
          <w:szCs w:val="24"/>
        </w:rPr>
        <w:footnoteReference w:id="7"/>
      </w:r>
      <w:r w:rsidRPr="006439F7">
        <w:rPr>
          <w:color w:val="000000" w:themeColor="text1"/>
          <w:sz w:val="24"/>
          <w:szCs w:val="24"/>
        </w:rPr>
        <w:t xml:space="preserve"> where</w:t>
      </w:r>
      <w:r w:rsidRPr="006439F7">
        <w:rPr>
          <w:i/>
          <w:color w:val="000000" w:themeColor="text1"/>
          <w:sz w:val="24"/>
          <w:szCs w:val="24"/>
        </w:rPr>
        <w:t xml:space="preserve"> </w:t>
      </w:r>
      <w:r w:rsidRPr="006439F7">
        <w:rPr>
          <w:color w:val="000000" w:themeColor="text1"/>
          <w:sz w:val="24"/>
          <w:szCs w:val="24"/>
        </w:rPr>
        <w:t xml:space="preserve">the Supreme Court ruled that suspects were not entitled to representation during interviews, </w:t>
      </w:r>
      <w:r w:rsidR="00954971" w:rsidRPr="006439F7">
        <w:rPr>
          <w:color w:val="000000" w:themeColor="text1"/>
          <w:sz w:val="24"/>
          <w:szCs w:val="24"/>
        </w:rPr>
        <w:t xml:space="preserve">is a stark reminder that </w:t>
      </w:r>
      <w:r w:rsidR="0063650B">
        <w:rPr>
          <w:color w:val="000000" w:themeColor="text1"/>
          <w:sz w:val="24"/>
          <w:szCs w:val="24"/>
        </w:rPr>
        <w:t xml:space="preserve">no such </w:t>
      </w:r>
      <w:r w:rsidR="00954971" w:rsidRPr="006439F7">
        <w:rPr>
          <w:color w:val="000000" w:themeColor="text1"/>
          <w:sz w:val="24"/>
          <w:szCs w:val="24"/>
        </w:rPr>
        <w:t>right exist</w:t>
      </w:r>
      <w:r w:rsidR="0063650B">
        <w:rPr>
          <w:color w:val="000000" w:themeColor="text1"/>
          <w:sz w:val="24"/>
          <w:szCs w:val="24"/>
        </w:rPr>
        <w:t>s</w:t>
      </w:r>
      <w:r w:rsidR="00954971" w:rsidRPr="006439F7">
        <w:rPr>
          <w:color w:val="000000" w:themeColor="text1"/>
          <w:sz w:val="24"/>
          <w:szCs w:val="24"/>
        </w:rPr>
        <w:t xml:space="preserve"> in Irish law, contrary to international and European legal standards. </w:t>
      </w:r>
      <w:r w:rsidRPr="006439F7">
        <w:rPr>
          <w:color w:val="000000" w:themeColor="text1"/>
          <w:sz w:val="24"/>
          <w:szCs w:val="24"/>
          <w:lang w:eastAsia="en-IE"/>
        </w:rPr>
        <w:t>The </w:t>
      </w:r>
      <w:r w:rsidRPr="006439F7">
        <w:rPr>
          <w:rFonts w:eastAsia="Times New Roman"/>
          <w:i/>
          <w:iCs/>
          <w:color w:val="000000" w:themeColor="text1"/>
          <w:sz w:val="24"/>
          <w:szCs w:val="24"/>
          <w:lang w:eastAsia="en-IE"/>
        </w:rPr>
        <w:t>Doyle</w:t>
      </w:r>
      <w:r w:rsidRPr="006439F7">
        <w:rPr>
          <w:color w:val="000000" w:themeColor="text1"/>
          <w:sz w:val="24"/>
          <w:szCs w:val="24"/>
          <w:lang w:eastAsia="en-IE"/>
        </w:rPr>
        <w:t> case was concerned with the right of acces</w:t>
      </w:r>
      <w:r w:rsidR="0006607D">
        <w:rPr>
          <w:color w:val="000000" w:themeColor="text1"/>
          <w:sz w:val="24"/>
          <w:szCs w:val="24"/>
          <w:lang w:eastAsia="en-IE"/>
        </w:rPr>
        <w:t>s to a lawyer during questioning</w:t>
      </w:r>
      <w:r w:rsidRPr="006439F7">
        <w:rPr>
          <w:color w:val="000000" w:themeColor="text1"/>
          <w:sz w:val="24"/>
          <w:szCs w:val="24"/>
          <w:lang w:eastAsia="en-IE"/>
        </w:rPr>
        <w:t>, and while the Supreme Court found that the accused person’s right of access to a lawyer was effectively vindic</w:t>
      </w:r>
      <w:r w:rsidR="0006607D">
        <w:rPr>
          <w:color w:val="000000" w:themeColor="text1"/>
          <w:sz w:val="24"/>
          <w:szCs w:val="24"/>
          <w:lang w:eastAsia="en-IE"/>
        </w:rPr>
        <w:t>ated in the</w:t>
      </w:r>
      <w:r w:rsidR="0006607D">
        <w:rPr>
          <w:color w:val="000000" w:themeColor="text1"/>
          <w:sz w:val="24"/>
          <w:szCs w:val="24"/>
          <w:lang w:val="en-GB" w:eastAsia="en-IE"/>
        </w:rPr>
        <w:t xml:space="preserve"> circumstances of that </w:t>
      </w:r>
      <w:r w:rsidR="0006607D">
        <w:rPr>
          <w:color w:val="000000" w:themeColor="text1"/>
          <w:sz w:val="24"/>
          <w:szCs w:val="24"/>
          <w:lang w:eastAsia="en-IE"/>
        </w:rPr>
        <w:t>case,</w:t>
      </w:r>
      <w:r w:rsidRPr="006439F7">
        <w:rPr>
          <w:color w:val="000000" w:themeColor="text1"/>
          <w:sz w:val="24"/>
          <w:szCs w:val="24"/>
          <w:lang w:eastAsia="en-IE"/>
        </w:rPr>
        <w:t xml:space="preserve"> it also found </w:t>
      </w:r>
      <w:r w:rsidRPr="006439F7">
        <w:rPr>
          <w:color w:val="000000" w:themeColor="text1"/>
          <w:sz w:val="24"/>
          <w:szCs w:val="24"/>
          <w:shd w:val="clear" w:color="auto" w:fill="FFFFFF"/>
        </w:rPr>
        <w:t>that the constitutional right to reasonable access to a lawyer did not extend to a right to have a solicitor present during Garda interviews</w:t>
      </w:r>
      <w:r w:rsidR="004A072B" w:rsidRPr="006439F7">
        <w:rPr>
          <w:color w:val="000000" w:themeColor="text1"/>
          <w:sz w:val="24"/>
          <w:szCs w:val="24"/>
          <w:shd w:val="clear" w:color="auto" w:fill="FFFFFF"/>
        </w:rPr>
        <w:t xml:space="preserve">. </w:t>
      </w:r>
      <w:r w:rsidRPr="006439F7">
        <w:rPr>
          <w:rFonts w:eastAsia="Times New Roman" w:cs="Times New Roman"/>
          <w:color w:val="000000" w:themeColor="text1"/>
          <w:sz w:val="24"/>
          <w:szCs w:val="24"/>
          <w:lang w:eastAsia="en-IE"/>
        </w:rPr>
        <w:t>This case draws attention to the continuing failure of the Irish Government and the Oireachtas to put in place effective regulations on the rights of accused persons to access legal advice and to access a so</w:t>
      </w:r>
      <w:r w:rsidR="00DA7FC8" w:rsidRPr="006439F7">
        <w:rPr>
          <w:rFonts w:eastAsia="Times New Roman" w:cs="Times New Roman"/>
          <w:color w:val="000000" w:themeColor="text1"/>
          <w:sz w:val="24"/>
          <w:szCs w:val="24"/>
          <w:lang w:eastAsia="en-IE"/>
        </w:rPr>
        <w:t xml:space="preserve">licitor while being questioned, as had been highlighted by ICCL in a previous case in 2014, where we noted that </w:t>
      </w:r>
      <w:r w:rsidRPr="006439F7">
        <w:rPr>
          <w:rFonts w:eastAsia="Times New Roman" w:cs="Times New Roman"/>
          <w:color w:val="000000" w:themeColor="text1"/>
          <w:sz w:val="24"/>
          <w:szCs w:val="24"/>
          <w:lang w:eastAsia="en-IE"/>
        </w:rPr>
        <w:t xml:space="preserve">Ireland has chosen not to incorporate </w:t>
      </w:r>
      <w:r w:rsidR="00796DC0">
        <w:rPr>
          <w:rFonts w:eastAsia="Times New Roman" w:cs="Times New Roman"/>
          <w:color w:val="000000" w:themeColor="text1"/>
          <w:sz w:val="24"/>
          <w:szCs w:val="24"/>
          <w:lang w:val="en-GB" w:eastAsia="en-IE"/>
        </w:rPr>
        <w:t>t</w:t>
      </w:r>
      <w:r w:rsidR="00DA7FC8" w:rsidRPr="006439F7">
        <w:rPr>
          <w:rFonts w:eastAsia="Times New Roman" w:cs="Times New Roman"/>
          <w:color w:val="000000" w:themeColor="text1"/>
          <w:sz w:val="24"/>
          <w:szCs w:val="24"/>
          <w:lang w:eastAsia="en-IE"/>
        </w:rPr>
        <w:t xml:space="preserve">he EU </w:t>
      </w:r>
      <w:r w:rsidRPr="006439F7">
        <w:rPr>
          <w:rFonts w:eastAsia="Times New Roman" w:cs="Times New Roman"/>
          <w:color w:val="000000" w:themeColor="text1"/>
          <w:sz w:val="24"/>
          <w:szCs w:val="24"/>
          <w:lang w:eastAsia="en-IE"/>
        </w:rPr>
        <w:t xml:space="preserve">Directive into law, despite playing a key role in the drafting of the Directive. </w:t>
      </w:r>
    </w:p>
    <w:p w14:paraId="394FEA1E" w14:textId="77777777" w:rsidR="00DA7FC8" w:rsidRPr="006439F7" w:rsidRDefault="00DA7FC8" w:rsidP="00DA7FC8">
      <w:pPr>
        <w:pStyle w:val="ListParagraph"/>
        <w:rPr>
          <w:color w:val="000000" w:themeColor="text1"/>
          <w:sz w:val="24"/>
          <w:szCs w:val="24"/>
        </w:rPr>
      </w:pPr>
    </w:p>
    <w:p w14:paraId="04EE1A3B" w14:textId="34904FBB" w:rsidR="00DA7FC8" w:rsidRPr="006439F7" w:rsidRDefault="00F7278F" w:rsidP="00056111">
      <w:pPr>
        <w:pStyle w:val="ListParagraph"/>
        <w:numPr>
          <w:ilvl w:val="0"/>
          <w:numId w:val="3"/>
        </w:numPr>
        <w:spacing w:after="0" w:line="240" w:lineRule="auto"/>
        <w:ind w:right="-46"/>
        <w:jc w:val="both"/>
        <w:rPr>
          <w:color w:val="000000" w:themeColor="text1"/>
          <w:sz w:val="24"/>
          <w:szCs w:val="24"/>
        </w:rPr>
      </w:pPr>
      <w:r w:rsidRPr="006439F7">
        <w:rPr>
          <w:color w:val="000000" w:themeColor="text1"/>
          <w:sz w:val="24"/>
          <w:szCs w:val="24"/>
        </w:rPr>
        <w:t xml:space="preserve">The </w:t>
      </w:r>
      <w:r w:rsidR="00DA7FC8" w:rsidRPr="006439F7">
        <w:rPr>
          <w:color w:val="000000" w:themeColor="text1"/>
          <w:sz w:val="24"/>
          <w:szCs w:val="24"/>
        </w:rPr>
        <w:t xml:space="preserve">Irish position would also appear to run counter to the jurisprudence of the </w:t>
      </w:r>
      <w:r w:rsidRPr="006439F7">
        <w:rPr>
          <w:color w:val="000000" w:themeColor="text1"/>
          <w:sz w:val="24"/>
          <w:szCs w:val="24"/>
        </w:rPr>
        <w:t>European Court of Human Rights</w:t>
      </w:r>
      <w:r w:rsidR="00DA7FC8" w:rsidRPr="006439F7">
        <w:rPr>
          <w:color w:val="000000" w:themeColor="text1"/>
          <w:sz w:val="24"/>
          <w:szCs w:val="24"/>
        </w:rPr>
        <w:t>, which</w:t>
      </w:r>
      <w:r w:rsidRPr="006439F7">
        <w:rPr>
          <w:color w:val="000000" w:themeColor="text1"/>
          <w:sz w:val="24"/>
          <w:szCs w:val="24"/>
        </w:rPr>
        <w:t xml:space="preserve"> in </w:t>
      </w:r>
      <w:r w:rsidR="00DA7FC8" w:rsidRPr="006439F7">
        <w:rPr>
          <w:color w:val="000000" w:themeColor="text1"/>
          <w:sz w:val="24"/>
          <w:szCs w:val="24"/>
        </w:rPr>
        <w:t xml:space="preserve">the case of </w:t>
      </w:r>
      <w:r w:rsidRPr="006439F7">
        <w:rPr>
          <w:i/>
          <w:color w:val="000000" w:themeColor="text1"/>
          <w:sz w:val="24"/>
          <w:szCs w:val="24"/>
        </w:rPr>
        <w:t>Salduz v Turkey</w:t>
      </w:r>
      <w:r w:rsidRPr="006439F7">
        <w:rPr>
          <w:color w:val="000000" w:themeColor="text1"/>
          <w:sz w:val="24"/>
          <w:szCs w:val="24"/>
        </w:rPr>
        <w:t xml:space="preserve"> (2008) established: “[I]n order for the right to a fair trial to remain sufficiently “practical and effective” … Article 6(1) requires that, as a rule, access to a lawyer should be provided as from the first interrogation of a suspect by the </w:t>
      </w:r>
      <w:r w:rsidRPr="006439F7">
        <w:rPr>
          <w:color w:val="000000" w:themeColor="text1"/>
          <w:sz w:val="24"/>
          <w:szCs w:val="24"/>
        </w:rPr>
        <w:lastRenderedPageBreak/>
        <w:t xml:space="preserve">police, unless it is demonstrated in the light of the particular circumstances of each case that there are compelling reasons to restrict this right.” </w:t>
      </w:r>
      <w:r w:rsidRPr="006439F7">
        <w:rPr>
          <w:i/>
          <w:color w:val="000000" w:themeColor="text1"/>
          <w:sz w:val="24"/>
          <w:szCs w:val="24"/>
        </w:rPr>
        <w:t>Salduz</w:t>
      </w:r>
      <w:r w:rsidRPr="006439F7">
        <w:rPr>
          <w:color w:val="000000" w:themeColor="text1"/>
          <w:sz w:val="24"/>
          <w:szCs w:val="24"/>
        </w:rPr>
        <w:t xml:space="preserve"> also establishe</w:t>
      </w:r>
      <w:r w:rsidR="00271814">
        <w:rPr>
          <w:color w:val="000000" w:themeColor="text1"/>
          <w:sz w:val="24"/>
          <w:szCs w:val="24"/>
        </w:rPr>
        <w:t>d</w:t>
      </w:r>
      <w:r w:rsidRPr="006439F7">
        <w:rPr>
          <w:color w:val="000000" w:themeColor="text1"/>
          <w:sz w:val="24"/>
          <w:szCs w:val="24"/>
        </w:rPr>
        <w:t xml:space="preserve"> that the “rights of the defence will in principle be irretrievably prejudiced when incriminating statements made during police interrogation without access to a lawyer are used for a conviction.” This principle is important as Ireland continues to allow inferences to be drawn from the silence </w:t>
      </w:r>
      <w:r w:rsidR="00DA7FC8" w:rsidRPr="006439F7">
        <w:rPr>
          <w:color w:val="000000" w:themeColor="text1"/>
          <w:sz w:val="24"/>
          <w:szCs w:val="24"/>
        </w:rPr>
        <w:t>of a suspect or accused person.</w:t>
      </w:r>
    </w:p>
    <w:p w14:paraId="30BA9E4E" w14:textId="77777777" w:rsidR="00DA7FC8" w:rsidRPr="006439F7" w:rsidRDefault="00DA7FC8" w:rsidP="00DA7FC8">
      <w:pPr>
        <w:pStyle w:val="ListParagraph"/>
        <w:rPr>
          <w:color w:val="000000" w:themeColor="text1"/>
          <w:sz w:val="24"/>
          <w:szCs w:val="24"/>
        </w:rPr>
      </w:pPr>
    </w:p>
    <w:p w14:paraId="564B05F3" w14:textId="77777777" w:rsidR="00CD0216" w:rsidRPr="006439F7" w:rsidRDefault="00F7278F" w:rsidP="00056111">
      <w:pPr>
        <w:pStyle w:val="ListParagraph"/>
        <w:numPr>
          <w:ilvl w:val="0"/>
          <w:numId w:val="3"/>
        </w:numPr>
        <w:spacing w:after="0" w:line="240" w:lineRule="auto"/>
        <w:ind w:right="-46"/>
        <w:jc w:val="both"/>
        <w:rPr>
          <w:color w:val="000000" w:themeColor="text1"/>
          <w:sz w:val="24"/>
          <w:szCs w:val="24"/>
        </w:rPr>
      </w:pPr>
      <w:r w:rsidRPr="006439F7">
        <w:rPr>
          <w:color w:val="000000" w:themeColor="text1"/>
          <w:sz w:val="24"/>
          <w:szCs w:val="24"/>
        </w:rPr>
        <w:t>The European Court has subsequently upheld this right in a number of cases (</w:t>
      </w:r>
      <w:r w:rsidRPr="006439F7">
        <w:rPr>
          <w:i/>
          <w:color w:val="000000" w:themeColor="text1"/>
          <w:sz w:val="24"/>
          <w:szCs w:val="24"/>
        </w:rPr>
        <w:t>Dayanan v Turkey</w:t>
      </w:r>
      <w:r w:rsidRPr="006439F7">
        <w:rPr>
          <w:color w:val="000000" w:themeColor="text1"/>
          <w:sz w:val="24"/>
          <w:szCs w:val="24"/>
        </w:rPr>
        <w:t xml:space="preserve">, 2009; </w:t>
      </w:r>
      <w:r w:rsidRPr="006439F7">
        <w:rPr>
          <w:i/>
          <w:color w:val="000000" w:themeColor="text1"/>
          <w:sz w:val="24"/>
          <w:szCs w:val="24"/>
        </w:rPr>
        <w:t>Borg v Malta</w:t>
      </w:r>
      <w:r w:rsidR="004A072B" w:rsidRPr="006439F7">
        <w:rPr>
          <w:color w:val="000000" w:themeColor="text1"/>
          <w:sz w:val="24"/>
          <w:szCs w:val="24"/>
        </w:rPr>
        <w:t>, 2016); and it</w:t>
      </w:r>
      <w:r w:rsidRPr="006439F7">
        <w:rPr>
          <w:color w:val="000000" w:themeColor="text1"/>
          <w:sz w:val="24"/>
          <w:szCs w:val="24"/>
        </w:rPr>
        <w:t xml:space="preserve"> was also established in the UK Supreme Court case of </w:t>
      </w:r>
      <w:r w:rsidRPr="006439F7">
        <w:rPr>
          <w:i/>
          <w:color w:val="000000" w:themeColor="text1"/>
          <w:sz w:val="24"/>
          <w:szCs w:val="24"/>
        </w:rPr>
        <w:t>Cadder</w:t>
      </w:r>
      <w:r w:rsidR="004A072B" w:rsidRPr="006439F7">
        <w:rPr>
          <w:i/>
          <w:color w:val="000000" w:themeColor="text1"/>
          <w:sz w:val="24"/>
          <w:szCs w:val="24"/>
        </w:rPr>
        <w:t xml:space="preserve"> </w:t>
      </w:r>
      <w:r w:rsidR="004A072B" w:rsidRPr="006439F7">
        <w:rPr>
          <w:color w:val="000000" w:themeColor="text1"/>
          <w:sz w:val="24"/>
          <w:szCs w:val="24"/>
        </w:rPr>
        <w:t>(2010)</w:t>
      </w:r>
      <w:r w:rsidRPr="006439F7">
        <w:rPr>
          <w:color w:val="000000" w:themeColor="text1"/>
          <w:sz w:val="24"/>
          <w:szCs w:val="24"/>
        </w:rPr>
        <w:t xml:space="preserve"> that a detained suspect must have access to legal advice before questioning. </w:t>
      </w:r>
      <w:r w:rsidR="005C22C8" w:rsidRPr="006439F7">
        <w:rPr>
          <w:color w:val="000000" w:themeColor="text1"/>
          <w:sz w:val="24"/>
          <w:szCs w:val="24"/>
        </w:rPr>
        <w:t xml:space="preserve">In 2015, the </w:t>
      </w:r>
      <w:r w:rsidR="00DA7FC8" w:rsidRPr="006439F7">
        <w:rPr>
          <w:color w:val="000000" w:themeColor="text1"/>
          <w:sz w:val="24"/>
          <w:szCs w:val="24"/>
        </w:rPr>
        <w:t>European Court</w:t>
      </w:r>
      <w:r w:rsidR="005C22C8" w:rsidRPr="006439F7">
        <w:rPr>
          <w:color w:val="000000" w:themeColor="text1"/>
          <w:sz w:val="24"/>
          <w:szCs w:val="24"/>
        </w:rPr>
        <w:t xml:space="preserve"> confirmed and extended this protection in </w:t>
      </w:r>
      <w:r w:rsidR="005C22C8" w:rsidRPr="006439F7">
        <w:rPr>
          <w:i/>
          <w:color w:val="000000" w:themeColor="text1"/>
          <w:sz w:val="24"/>
          <w:szCs w:val="24"/>
        </w:rPr>
        <w:t>AT v Luxembourg</w:t>
      </w:r>
      <w:r w:rsidR="005C22C8" w:rsidRPr="006439F7">
        <w:rPr>
          <w:color w:val="000000" w:themeColor="text1"/>
          <w:sz w:val="24"/>
          <w:szCs w:val="24"/>
        </w:rPr>
        <w:t xml:space="preserve"> (2015). </w:t>
      </w:r>
      <w:r w:rsidR="005C22C8" w:rsidRPr="006439F7">
        <w:rPr>
          <w:i/>
          <w:color w:val="000000" w:themeColor="text1"/>
          <w:sz w:val="24"/>
          <w:szCs w:val="24"/>
        </w:rPr>
        <w:t>AT v Luxembourg</w:t>
      </w:r>
      <w:r w:rsidR="005C22C8" w:rsidRPr="006439F7">
        <w:rPr>
          <w:color w:val="000000" w:themeColor="text1"/>
          <w:sz w:val="24"/>
          <w:szCs w:val="24"/>
        </w:rPr>
        <w:t xml:space="preserve"> drew on the EU Directive on Right of Access to a Lawyer and found that you cannot waive a right that you do not have, that the right to access a lawyer includes a right to prior consultation before questioning and if access to a lawyer is denied, a remedy may be needed even in the absence of a confession or incriminatin</w:t>
      </w:r>
      <w:r w:rsidR="004A072B" w:rsidRPr="006439F7">
        <w:rPr>
          <w:color w:val="000000" w:themeColor="text1"/>
          <w:sz w:val="24"/>
          <w:szCs w:val="24"/>
        </w:rPr>
        <w:t xml:space="preserve">g statement. </w:t>
      </w:r>
      <w:r w:rsidR="005C22C8" w:rsidRPr="006439F7">
        <w:rPr>
          <w:color w:val="000000" w:themeColor="text1"/>
          <w:sz w:val="24"/>
          <w:szCs w:val="24"/>
        </w:rPr>
        <w:t xml:space="preserve">Accordingly, the consultation between the lawyer and his client upstream of the interrogation must be unequivocally enshrined in legislation. </w:t>
      </w:r>
      <w:r w:rsidR="004A072B" w:rsidRPr="006439F7">
        <w:rPr>
          <w:color w:val="000000" w:themeColor="text1"/>
          <w:sz w:val="24"/>
          <w:szCs w:val="24"/>
        </w:rPr>
        <w:t xml:space="preserve"> ICCL notes that the importance of an effective legal right of access to a lawyer has also been the subject to</w:t>
      </w:r>
      <w:r w:rsidR="00CD0216" w:rsidRPr="006439F7">
        <w:rPr>
          <w:color w:val="000000" w:themeColor="text1"/>
          <w:sz w:val="24"/>
          <w:szCs w:val="24"/>
        </w:rPr>
        <w:t xml:space="preserve"> concluding observations of </w:t>
      </w:r>
      <w:r w:rsidR="004A072B" w:rsidRPr="006439F7">
        <w:rPr>
          <w:color w:val="000000" w:themeColor="text1"/>
          <w:sz w:val="24"/>
          <w:szCs w:val="24"/>
        </w:rPr>
        <w:t>this Committee in recent examinations of reports by Denmark, Slovakia and Portugal.</w:t>
      </w:r>
    </w:p>
    <w:p w14:paraId="515DA281" w14:textId="77777777" w:rsidR="00CD0216" w:rsidRPr="006439F7" w:rsidRDefault="00CD0216" w:rsidP="004A072B">
      <w:pPr>
        <w:rPr>
          <w:color w:val="000000" w:themeColor="text1"/>
          <w:sz w:val="24"/>
          <w:szCs w:val="24"/>
        </w:rPr>
      </w:pPr>
    </w:p>
    <w:p w14:paraId="5F830B8E" w14:textId="7999C532" w:rsidR="004A072B" w:rsidRPr="006439F7" w:rsidRDefault="004A072B" w:rsidP="004A072B">
      <w:pPr>
        <w:ind w:left="360"/>
        <w:rPr>
          <w:b/>
          <w:color w:val="000000" w:themeColor="text1"/>
          <w:sz w:val="24"/>
          <w:szCs w:val="24"/>
        </w:rPr>
      </w:pPr>
      <w:r w:rsidRPr="006439F7">
        <w:rPr>
          <w:b/>
          <w:color w:val="000000" w:themeColor="text1"/>
          <w:sz w:val="24"/>
          <w:szCs w:val="24"/>
        </w:rPr>
        <w:t>Recommendation:</w:t>
      </w:r>
    </w:p>
    <w:p w14:paraId="7AA86964" w14:textId="1D3870F9" w:rsidR="00954971" w:rsidRPr="006439F7" w:rsidRDefault="00CC77A8" w:rsidP="00056111">
      <w:pPr>
        <w:pStyle w:val="ListParagraph"/>
        <w:numPr>
          <w:ilvl w:val="0"/>
          <w:numId w:val="3"/>
        </w:numPr>
        <w:spacing w:after="0" w:line="240" w:lineRule="auto"/>
        <w:ind w:right="-46"/>
        <w:jc w:val="both"/>
        <w:rPr>
          <w:b/>
          <w:color w:val="000000" w:themeColor="text1"/>
          <w:sz w:val="24"/>
          <w:szCs w:val="24"/>
        </w:rPr>
      </w:pPr>
      <w:r>
        <w:rPr>
          <w:b/>
          <w:color w:val="000000" w:themeColor="text1"/>
          <w:sz w:val="24"/>
          <w:szCs w:val="24"/>
        </w:rPr>
        <w:t>The State</w:t>
      </w:r>
      <w:r w:rsidR="00F7278F" w:rsidRPr="006439F7">
        <w:rPr>
          <w:b/>
          <w:color w:val="000000" w:themeColor="text1"/>
          <w:sz w:val="24"/>
          <w:szCs w:val="24"/>
        </w:rPr>
        <w:t xml:space="preserve"> must urgently establish on a statutory basis the right of access to a lawyer from the very outset of deprivation</w:t>
      </w:r>
      <w:r w:rsidR="00796DC0">
        <w:rPr>
          <w:b/>
          <w:color w:val="000000" w:themeColor="text1"/>
          <w:sz w:val="24"/>
          <w:szCs w:val="24"/>
          <w:lang w:val="en-GB"/>
        </w:rPr>
        <w:t xml:space="preserve"> of liberty by An Garda S</w:t>
      </w:r>
      <w:r w:rsidR="00666693">
        <w:rPr>
          <w:b/>
          <w:color w:val="000000" w:themeColor="text1"/>
          <w:sz w:val="24"/>
          <w:szCs w:val="24"/>
          <w:lang w:val="en-GB"/>
        </w:rPr>
        <w:t>íochána</w:t>
      </w:r>
      <w:r w:rsidR="00F7278F" w:rsidRPr="006439F7">
        <w:rPr>
          <w:b/>
          <w:color w:val="000000" w:themeColor="text1"/>
          <w:sz w:val="24"/>
          <w:szCs w:val="24"/>
        </w:rPr>
        <w:t>, including during the initial interview or interrogation.</w:t>
      </w:r>
      <w:r w:rsidR="004A072B" w:rsidRPr="006439F7">
        <w:rPr>
          <w:b/>
          <w:color w:val="000000" w:themeColor="text1"/>
          <w:sz w:val="24"/>
          <w:szCs w:val="24"/>
        </w:rPr>
        <w:t xml:space="preserve"> This could be effected by implementation in Irish law of the EU Directive on the Rights of Access to a Lawyer.</w:t>
      </w:r>
    </w:p>
    <w:p w14:paraId="7D4A6716" w14:textId="77777777" w:rsidR="00F7278F" w:rsidRPr="006439F7" w:rsidRDefault="00F7278F" w:rsidP="00972C50">
      <w:pPr>
        <w:spacing w:after="0" w:line="240" w:lineRule="auto"/>
        <w:jc w:val="both"/>
        <w:rPr>
          <w:b/>
          <w:color w:val="000000" w:themeColor="text1"/>
          <w:sz w:val="24"/>
          <w:szCs w:val="24"/>
          <w:lang w:val="en-GB"/>
        </w:rPr>
      </w:pPr>
    </w:p>
    <w:p w14:paraId="705705D5" w14:textId="77777777" w:rsidR="0056065A" w:rsidRPr="006439F7" w:rsidRDefault="0056065A" w:rsidP="00972C50">
      <w:pPr>
        <w:spacing w:after="0" w:line="240" w:lineRule="auto"/>
        <w:jc w:val="both"/>
        <w:rPr>
          <w:b/>
          <w:color w:val="000000" w:themeColor="text1"/>
          <w:sz w:val="24"/>
          <w:szCs w:val="24"/>
          <w:lang w:val="en-GB"/>
        </w:rPr>
      </w:pPr>
    </w:p>
    <w:p w14:paraId="201AB96B" w14:textId="77777777" w:rsidR="002E2E8A" w:rsidRPr="006439F7" w:rsidRDefault="002E2E8A" w:rsidP="00972C50">
      <w:pPr>
        <w:pStyle w:val="SingleTxtG"/>
        <w:spacing w:after="0" w:line="240" w:lineRule="auto"/>
        <w:ind w:left="0"/>
        <w:rPr>
          <w:rFonts w:asciiTheme="minorHAnsi" w:hAnsiTheme="minorHAnsi"/>
          <w:color w:val="000000" w:themeColor="text1"/>
          <w:sz w:val="24"/>
          <w:szCs w:val="24"/>
          <w:lang w:eastAsia="es-ES"/>
        </w:rPr>
      </w:pPr>
    </w:p>
    <w:p w14:paraId="1BC2CEF8" w14:textId="77777777" w:rsidR="007D2013" w:rsidRPr="006439F7" w:rsidRDefault="007D2013" w:rsidP="00972C50">
      <w:pPr>
        <w:pStyle w:val="SingleTxtG"/>
        <w:spacing w:after="0" w:line="240" w:lineRule="auto"/>
        <w:ind w:left="0"/>
        <w:rPr>
          <w:rFonts w:asciiTheme="minorHAnsi" w:hAnsiTheme="minorHAnsi"/>
          <w:color w:val="000000" w:themeColor="text1"/>
          <w:sz w:val="24"/>
          <w:szCs w:val="24"/>
          <w:lang w:eastAsia="es-ES"/>
        </w:rPr>
      </w:pPr>
      <w:r w:rsidRPr="006439F7">
        <w:rPr>
          <w:rFonts w:asciiTheme="minorHAnsi" w:hAnsiTheme="minorHAnsi"/>
          <w:color w:val="000000" w:themeColor="text1"/>
          <w:sz w:val="24"/>
          <w:szCs w:val="24"/>
          <w:lang w:eastAsia="es-ES"/>
        </w:rPr>
        <w:br w:type="page"/>
      </w:r>
    </w:p>
    <w:p w14:paraId="3C48067A" w14:textId="1B1ACC6F" w:rsidR="002E2E8A" w:rsidRPr="006439F7" w:rsidRDefault="00D87E06" w:rsidP="00972C50">
      <w:pPr>
        <w:pStyle w:val="SingleTxtG"/>
        <w:spacing w:after="0" w:line="240" w:lineRule="auto"/>
        <w:ind w:lef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lastRenderedPageBreak/>
        <w:t>Section 3:</w:t>
      </w:r>
      <w:r w:rsidRPr="006439F7">
        <w:rPr>
          <w:rFonts w:asciiTheme="minorHAnsi" w:hAnsiTheme="minorHAnsi"/>
          <w:b/>
          <w:color w:val="000000" w:themeColor="text1"/>
          <w:sz w:val="24"/>
          <w:szCs w:val="24"/>
          <w:lang w:eastAsia="es-ES"/>
        </w:rPr>
        <w:tab/>
      </w:r>
      <w:r w:rsidR="00CD6F67" w:rsidRPr="006439F7">
        <w:rPr>
          <w:rFonts w:asciiTheme="minorHAnsi" w:hAnsiTheme="minorHAnsi"/>
          <w:b/>
          <w:color w:val="000000" w:themeColor="text1"/>
          <w:sz w:val="24"/>
          <w:szCs w:val="24"/>
          <w:lang w:eastAsia="es-ES"/>
        </w:rPr>
        <w:t>Reproductive health and a</w:t>
      </w:r>
      <w:r w:rsidR="002E2E8A" w:rsidRPr="006439F7">
        <w:rPr>
          <w:rFonts w:asciiTheme="minorHAnsi" w:hAnsiTheme="minorHAnsi"/>
          <w:b/>
          <w:color w:val="000000" w:themeColor="text1"/>
          <w:sz w:val="24"/>
          <w:szCs w:val="24"/>
          <w:lang w:eastAsia="es-ES"/>
        </w:rPr>
        <w:t xml:space="preserve">ccess </w:t>
      </w:r>
      <w:r w:rsidR="00CD6F67" w:rsidRPr="006439F7">
        <w:rPr>
          <w:rFonts w:asciiTheme="minorHAnsi" w:hAnsiTheme="minorHAnsi"/>
          <w:b/>
          <w:color w:val="000000" w:themeColor="text1"/>
          <w:sz w:val="24"/>
          <w:szCs w:val="24"/>
          <w:lang w:eastAsia="es-ES"/>
        </w:rPr>
        <w:t>to legal</w:t>
      </w:r>
      <w:r w:rsidR="002E2E8A" w:rsidRPr="006439F7">
        <w:rPr>
          <w:rFonts w:asciiTheme="minorHAnsi" w:hAnsiTheme="minorHAnsi"/>
          <w:b/>
          <w:color w:val="000000" w:themeColor="text1"/>
          <w:sz w:val="24"/>
          <w:szCs w:val="24"/>
          <w:lang w:eastAsia="es-ES"/>
        </w:rPr>
        <w:t xml:space="preserve"> termination of pregnancy </w:t>
      </w:r>
      <w:r w:rsidR="00CD6F67" w:rsidRPr="006439F7">
        <w:rPr>
          <w:rFonts w:asciiTheme="minorHAnsi" w:hAnsiTheme="minorHAnsi"/>
          <w:b/>
          <w:color w:val="000000" w:themeColor="text1"/>
          <w:sz w:val="24"/>
          <w:szCs w:val="24"/>
          <w:lang w:eastAsia="es-ES"/>
        </w:rPr>
        <w:t xml:space="preserve"> </w:t>
      </w:r>
    </w:p>
    <w:p w14:paraId="56308016" w14:textId="77777777" w:rsidR="00BD65E1" w:rsidRPr="006439F7" w:rsidRDefault="00BD65E1" w:rsidP="00972C50">
      <w:pPr>
        <w:pStyle w:val="SingleTxtG"/>
        <w:spacing w:after="0" w:line="240" w:lineRule="auto"/>
        <w:ind w:left="0"/>
        <w:rPr>
          <w:rFonts w:asciiTheme="minorHAnsi" w:hAnsiTheme="minorHAnsi"/>
          <w:b/>
          <w:color w:val="000000" w:themeColor="text1"/>
          <w:sz w:val="24"/>
          <w:szCs w:val="24"/>
          <w:lang w:eastAsia="es-ES"/>
        </w:rPr>
      </w:pPr>
    </w:p>
    <w:p w14:paraId="1DAEB5CB" w14:textId="794A98AA" w:rsidR="00BD65E1" w:rsidRPr="00666693" w:rsidRDefault="00BD65E1" w:rsidP="00972C50">
      <w:pPr>
        <w:pStyle w:val="SingleTxtG"/>
        <w:spacing w:after="0" w:line="240" w:lineRule="auto"/>
        <w:ind w:left="0"/>
        <w:rPr>
          <w:rFonts w:asciiTheme="minorHAnsi" w:hAnsiTheme="minorHAnsi"/>
          <w:color w:val="000000" w:themeColor="text1"/>
          <w:sz w:val="24"/>
          <w:szCs w:val="24"/>
          <w:lang w:eastAsia="es-ES"/>
        </w:rPr>
      </w:pPr>
      <w:r w:rsidRPr="006439F7">
        <w:rPr>
          <w:rFonts w:asciiTheme="minorHAnsi" w:hAnsiTheme="minorHAnsi"/>
          <w:b/>
          <w:color w:val="000000" w:themeColor="text1"/>
          <w:sz w:val="24"/>
          <w:szCs w:val="24"/>
          <w:lang w:eastAsia="es-ES"/>
        </w:rPr>
        <w:tab/>
      </w:r>
      <w:r w:rsidRPr="006439F7">
        <w:rPr>
          <w:rFonts w:asciiTheme="minorHAnsi" w:hAnsiTheme="minorHAnsi"/>
          <w:b/>
          <w:color w:val="000000" w:themeColor="text1"/>
          <w:sz w:val="24"/>
          <w:szCs w:val="24"/>
          <w:lang w:eastAsia="es-ES"/>
        </w:rPr>
        <w:tab/>
      </w:r>
      <w:r w:rsidR="00EE4D72">
        <w:rPr>
          <w:rFonts w:asciiTheme="minorHAnsi" w:hAnsiTheme="minorHAnsi"/>
          <w:color w:val="000000" w:themeColor="text1"/>
          <w:sz w:val="24"/>
          <w:szCs w:val="24"/>
          <w:lang w:eastAsia="es-ES"/>
        </w:rPr>
        <w:t>(List of Issues No. 4; Article 2)</w:t>
      </w:r>
    </w:p>
    <w:p w14:paraId="6E218308" w14:textId="77777777" w:rsidR="00D87E06" w:rsidRDefault="00D87E06" w:rsidP="00972C50">
      <w:pPr>
        <w:widowControl w:val="0"/>
        <w:autoSpaceDE w:val="0"/>
        <w:autoSpaceDN w:val="0"/>
        <w:adjustRightInd w:val="0"/>
        <w:spacing w:after="0" w:line="240" w:lineRule="auto"/>
        <w:jc w:val="both"/>
        <w:rPr>
          <w:rFonts w:cs="Arial"/>
          <w:color w:val="000000" w:themeColor="text1"/>
          <w:sz w:val="24"/>
          <w:szCs w:val="24"/>
          <w:lang w:eastAsia="es-ES"/>
        </w:rPr>
      </w:pPr>
    </w:p>
    <w:p w14:paraId="5D1C485D" w14:textId="3BAE8E6C" w:rsidR="00D87E06" w:rsidRPr="006439F7" w:rsidRDefault="005A66E2" w:rsidP="00056111">
      <w:pPr>
        <w:pStyle w:val="ListParagraph"/>
        <w:widowControl w:val="0"/>
        <w:numPr>
          <w:ilvl w:val="0"/>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cs="Arial"/>
          <w:color w:val="000000" w:themeColor="text1"/>
          <w:sz w:val="24"/>
          <w:szCs w:val="24"/>
          <w:lang w:eastAsia="es-ES"/>
        </w:rPr>
        <w:t xml:space="preserve">On two separate occasions </w:t>
      </w:r>
      <w:r w:rsidR="00EE4D72">
        <w:rPr>
          <w:rFonts w:cs="Arial"/>
          <w:color w:val="000000" w:themeColor="text1"/>
          <w:sz w:val="24"/>
          <w:szCs w:val="24"/>
          <w:lang w:val="en-GB" w:eastAsia="es-ES"/>
        </w:rPr>
        <w:t>over the past year</w:t>
      </w:r>
      <w:r w:rsidRPr="006439F7">
        <w:rPr>
          <w:rFonts w:cs="Arial"/>
          <w:color w:val="000000" w:themeColor="text1"/>
          <w:sz w:val="24"/>
          <w:szCs w:val="24"/>
          <w:lang w:eastAsia="es-ES"/>
        </w:rPr>
        <w:t>, the UN Human Rights Committee has found that</w:t>
      </w:r>
      <w:r w:rsidRPr="006439F7">
        <w:rPr>
          <w:rFonts w:eastAsia="Times New Roman" w:cs="Times New Roman"/>
          <w:color w:val="000000" w:themeColor="text1"/>
          <w:sz w:val="24"/>
          <w:szCs w:val="24"/>
          <w:shd w:val="clear" w:color="auto" w:fill="FFFFFF"/>
        </w:rPr>
        <w:t xml:space="preserve"> Ireland’s abortion laws have subjected a woman to cruel, inhuman and degrading treatment. The two cases in question, </w:t>
      </w:r>
      <w:r w:rsidRPr="006439F7">
        <w:rPr>
          <w:rFonts w:eastAsia="Times New Roman" w:cs="Times New Roman"/>
          <w:i/>
          <w:color w:val="000000" w:themeColor="text1"/>
          <w:sz w:val="24"/>
          <w:szCs w:val="24"/>
          <w:shd w:val="clear" w:color="auto" w:fill="FFFFFF"/>
        </w:rPr>
        <w:t>Mellet v. Ireland</w:t>
      </w:r>
      <w:r w:rsidRPr="006439F7">
        <w:rPr>
          <w:rFonts w:eastAsia="Times New Roman" w:cs="Times New Roman"/>
          <w:color w:val="000000" w:themeColor="text1"/>
          <w:sz w:val="24"/>
          <w:szCs w:val="24"/>
          <w:shd w:val="clear" w:color="auto" w:fill="FFFFFF"/>
        </w:rPr>
        <w:t xml:space="preserve"> and </w:t>
      </w:r>
      <w:r w:rsidRPr="006439F7">
        <w:rPr>
          <w:rFonts w:eastAsia="Times New Roman" w:cs="Times New Roman"/>
          <w:i/>
          <w:color w:val="000000" w:themeColor="text1"/>
          <w:sz w:val="24"/>
          <w:szCs w:val="24"/>
          <w:shd w:val="clear" w:color="auto" w:fill="FFFFFF"/>
        </w:rPr>
        <w:t>Whelan v. Ireland</w:t>
      </w:r>
      <w:r w:rsidRPr="006439F7">
        <w:rPr>
          <w:rFonts w:eastAsia="Times New Roman" w:cs="Times New Roman"/>
          <w:color w:val="000000" w:themeColor="text1"/>
          <w:sz w:val="24"/>
          <w:szCs w:val="24"/>
          <w:shd w:val="clear" w:color="auto" w:fill="FFFFFF"/>
        </w:rPr>
        <w:t xml:space="preserve">, </w:t>
      </w:r>
      <w:r w:rsidR="009B5E6A">
        <w:rPr>
          <w:rFonts w:eastAsia="Times New Roman" w:cs="Times New Roman"/>
          <w:color w:val="000000" w:themeColor="text1"/>
          <w:sz w:val="24"/>
          <w:szCs w:val="24"/>
          <w:shd w:val="clear" w:color="auto" w:fill="FFFFFF"/>
          <w:lang w:val="en-GB"/>
        </w:rPr>
        <w:t xml:space="preserve">both </w:t>
      </w:r>
      <w:r w:rsidRPr="006439F7">
        <w:rPr>
          <w:rFonts w:eastAsia="Times New Roman" w:cs="Times New Roman"/>
          <w:color w:val="000000" w:themeColor="text1"/>
          <w:sz w:val="24"/>
          <w:szCs w:val="24"/>
          <w:shd w:val="clear" w:color="auto" w:fill="FFFFFF"/>
        </w:rPr>
        <w:t>deal with the issue of terminations in cases of fatal foetal abnormalities.</w:t>
      </w:r>
      <w:r w:rsidRPr="006439F7">
        <w:rPr>
          <w:rStyle w:val="FootnoteReference"/>
          <w:rFonts w:eastAsia="Times New Roman" w:cs="Times New Roman"/>
          <w:color w:val="000000" w:themeColor="text1"/>
          <w:sz w:val="24"/>
          <w:szCs w:val="24"/>
          <w:shd w:val="clear" w:color="auto" w:fill="FFFFFF"/>
        </w:rPr>
        <w:footnoteReference w:id="8"/>
      </w:r>
      <w:r w:rsidRPr="006439F7">
        <w:rPr>
          <w:rFonts w:eastAsia="Times New Roman" w:cs="Times New Roman"/>
          <w:color w:val="000000" w:themeColor="text1"/>
          <w:sz w:val="24"/>
          <w:szCs w:val="24"/>
          <w:shd w:val="clear" w:color="auto" w:fill="FFFFFF"/>
        </w:rPr>
        <w:t xml:space="preserve"> In each case, the Committee found that </w:t>
      </w:r>
      <w:r w:rsidRPr="006439F7">
        <w:rPr>
          <w:rFonts w:cs="Arial"/>
          <w:color w:val="000000" w:themeColor="text1"/>
          <w:sz w:val="24"/>
          <w:szCs w:val="24"/>
        </w:rPr>
        <w:t>by prohibiting the women in question from accessing abortion services in Ireland, the State violated the prohibition on cruel, inhuman or degrading treatment (Art 7), as well as the right to privacy (Art 17)</w:t>
      </w:r>
      <w:r w:rsidR="00020FB2">
        <w:rPr>
          <w:rFonts w:cs="Arial"/>
          <w:color w:val="000000" w:themeColor="text1"/>
          <w:sz w:val="24"/>
          <w:szCs w:val="24"/>
        </w:rPr>
        <w:t xml:space="preserve"> of the Covenant on Civil and Political Rights (CCPR)</w:t>
      </w:r>
      <w:r w:rsidRPr="006439F7">
        <w:rPr>
          <w:rFonts w:cs="Arial"/>
          <w:color w:val="000000" w:themeColor="text1"/>
          <w:sz w:val="24"/>
          <w:szCs w:val="24"/>
        </w:rPr>
        <w:t xml:space="preserve">. In addition, the Committee held that the State discriminated against them by denying the bereavement counselling and medical care ordinarily available to women who miscarry. </w:t>
      </w:r>
      <w:r w:rsidRPr="006439F7">
        <w:rPr>
          <w:rFonts w:eastAsia="Times New Roman" w:cs="Times New Roman"/>
          <w:color w:val="000000" w:themeColor="text1"/>
          <w:sz w:val="24"/>
          <w:szCs w:val="24"/>
          <w:shd w:val="clear" w:color="auto" w:fill="FFFFFF"/>
        </w:rPr>
        <w:t>The Committee also concluded that the ‘balance that the State party has chosen to strike’ between protection of the foetus and the rights of the women concerned could not be justified in either case.</w:t>
      </w:r>
      <w:r w:rsidRPr="006439F7">
        <w:rPr>
          <w:rStyle w:val="FootnoteReference"/>
          <w:rFonts w:eastAsia="Times New Roman" w:cs="Times New Roman"/>
          <w:color w:val="000000" w:themeColor="text1"/>
          <w:sz w:val="24"/>
          <w:szCs w:val="24"/>
          <w:shd w:val="clear" w:color="auto" w:fill="FFFFFF"/>
        </w:rPr>
        <w:footnoteReference w:id="9"/>
      </w:r>
    </w:p>
    <w:p w14:paraId="25A18FCD" w14:textId="77777777" w:rsidR="00D87E06" w:rsidRPr="006439F7" w:rsidRDefault="00D87E06" w:rsidP="00D87E06">
      <w:pPr>
        <w:pStyle w:val="ListParagraph"/>
        <w:widowControl w:val="0"/>
        <w:autoSpaceDE w:val="0"/>
        <w:autoSpaceDN w:val="0"/>
        <w:adjustRightInd w:val="0"/>
        <w:spacing w:after="0" w:line="240" w:lineRule="auto"/>
        <w:jc w:val="both"/>
        <w:rPr>
          <w:rFonts w:eastAsia="Times New Roman" w:cs="Times New Roman"/>
          <w:color w:val="000000" w:themeColor="text1"/>
          <w:sz w:val="24"/>
          <w:szCs w:val="24"/>
          <w:shd w:val="clear" w:color="auto" w:fill="FFFFFF"/>
        </w:rPr>
      </w:pPr>
    </w:p>
    <w:p w14:paraId="2AA65560" w14:textId="6DC18057" w:rsidR="00D87E06" w:rsidRPr="006439F7" w:rsidRDefault="005A66E2" w:rsidP="00056111">
      <w:pPr>
        <w:pStyle w:val="ListParagraph"/>
        <w:widowControl w:val="0"/>
        <w:numPr>
          <w:ilvl w:val="0"/>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cs="Arial"/>
          <w:color w:val="000000" w:themeColor="text1"/>
          <w:sz w:val="24"/>
          <w:szCs w:val="24"/>
        </w:rPr>
        <w:t xml:space="preserve">These opinions add the weight of </w:t>
      </w:r>
      <w:r w:rsidRPr="006439F7">
        <w:rPr>
          <w:rFonts w:eastAsia="Times New Roman" w:cs="Times New Roman"/>
          <w:color w:val="000000" w:themeColor="text1"/>
          <w:sz w:val="24"/>
          <w:szCs w:val="24"/>
          <w:shd w:val="clear" w:color="auto" w:fill="FFFFFF"/>
        </w:rPr>
        <w:t xml:space="preserve">another leading UN body to the existing </w:t>
      </w:r>
      <w:r w:rsidRPr="006439F7">
        <w:rPr>
          <w:rFonts w:cs="Arial"/>
          <w:color w:val="000000" w:themeColor="text1"/>
          <w:sz w:val="24"/>
          <w:szCs w:val="24"/>
        </w:rPr>
        <w:t>authoritative international adjudication that demonstrates beyond question that current</w:t>
      </w:r>
      <w:r w:rsidRPr="006439F7">
        <w:rPr>
          <w:rFonts w:eastAsia="Times New Roman" w:cs="Times New Roman"/>
          <w:color w:val="000000" w:themeColor="text1"/>
          <w:sz w:val="24"/>
          <w:szCs w:val="24"/>
          <w:shd w:val="clear" w:color="auto" w:fill="FFFFFF"/>
        </w:rPr>
        <w:t xml:space="preserve"> Irish abortion law is incompatible with human rights standards including in particular </w:t>
      </w:r>
      <w:r w:rsidR="00915BAE">
        <w:rPr>
          <w:rFonts w:eastAsia="Times New Roman" w:cs="Times New Roman"/>
          <w:color w:val="000000" w:themeColor="text1"/>
          <w:sz w:val="24"/>
          <w:szCs w:val="24"/>
          <w:shd w:val="clear" w:color="auto" w:fill="FFFFFF"/>
          <w:lang w:val="en-GB"/>
        </w:rPr>
        <w:t>UNCAT</w:t>
      </w:r>
      <w:r w:rsidRPr="006439F7">
        <w:rPr>
          <w:rFonts w:eastAsia="Times New Roman" w:cs="Times New Roman"/>
          <w:color w:val="000000" w:themeColor="text1"/>
          <w:sz w:val="24"/>
          <w:szCs w:val="24"/>
          <w:shd w:val="clear" w:color="auto" w:fill="FFFFFF"/>
        </w:rPr>
        <w:t xml:space="preserve">. </w:t>
      </w:r>
      <w:r w:rsidR="00D87E06" w:rsidRPr="006439F7">
        <w:rPr>
          <w:rFonts w:eastAsia="Times New Roman" w:cs="Times New Roman"/>
          <w:color w:val="000000" w:themeColor="text1"/>
          <w:sz w:val="24"/>
          <w:szCs w:val="24"/>
          <w:shd w:val="clear" w:color="auto" w:fill="FFFFFF"/>
        </w:rPr>
        <w:t>The position of Irish abortion law with respect to the full range of international human rights standards is considered by ICCL in detail in its submission to the Citizens’ Assembly.</w:t>
      </w:r>
      <w:r w:rsidR="00D87E06" w:rsidRPr="006439F7">
        <w:rPr>
          <w:rStyle w:val="FootnoteReference"/>
          <w:rFonts w:eastAsia="Times New Roman" w:cs="Times New Roman"/>
          <w:color w:val="000000" w:themeColor="text1"/>
          <w:sz w:val="24"/>
          <w:szCs w:val="24"/>
          <w:shd w:val="clear" w:color="auto" w:fill="FFFFFF"/>
        </w:rPr>
        <w:footnoteReference w:id="10"/>
      </w:r>
      <w:r w:rsidR="00D87E06" w:rsidRPr="006439F7">
        <w:rPr>
          <w:rFonts w:eastAsia="Times New Roman" w:cs="Times New Roman"/>
          <w:color w:val="000000" w:themeColor="text1"/>
          <w:sz w:val="24"/>
          <w:szCs w:val="24"/>
          <w:shd w:val="clear" w:color="auto" w:fill="FFFFFF"/>
        </w:rPr>
        <w:t xml:space="preserve"> </w:t>
      </w:r>
    </w:p>
    <w:p w14:paraId="3243732E" w14:textId="77777777" w:rsidR="00D87E06" w:rsidRPr="006439F7" w:rsidRDefault="00D87E06" w:rsidP="00D87E06">
      <w:pPr>
        <w:pStyle w:val="ListParagraph"/>
        <w:rPr>
          <w:rFonts w:cs="Arial"/>
          <w:color w:val="000000" w:themeColor="text1"/>
          <w:sz w:val="24"/>
          <w:szCs w:val="24"/>
          <w:lang w:eastAsia="es-ES"/>
        </w:rPr>
      </w:pPr>
    </w:p>
    <w:p w14:paraId="41CA7A53" w14:textId="77777777" w:rsidR="00437BA1" w:rsidRPr="00437BA1" w:rsidRDefault="005A66E2" w:rsidP="00056111">
      <w:pPr>
        <w:pStyle w:val="ListParagraph"/>
        <w:widowControl w:val="0"/>
        <w:numPr>
          <w:ilvl w:val="0"/>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cs="Arial"/>
          <w:color w:val="000000" w:themeColor="text1"/>
          <w:sz w:val="24"/>
          <w:szCs w:val="24"/>
          <w:lang w:eastAsia="es-ES"/>
        </w:rPr>
        <w:t xml:space="preserve">According to the supplementary State report submitted to the Committee in 2015, </w:t>
      </w:r>
      <w:r w:rsidRPr="006439F7">
        <w:rPr>
          <w:rFonts w:cs="Arial"/>
          <w:bCs/>
          <w:color w:val="000000" w:themeColor="text1"/>
          <w:sz w:val="24"/>
          <w:szCs w:val="24"/>
        </w:rPr>
        <w:t xml:space="preserve">the Protection of Life During Pregnancy Act 2013 clarifies the scope of legal abortion in Ireland by regulating access to lawful termination of </w:t>
      </w:r>
      <w:r w:rsidRPr="006439F7">
        <w:rPr>
          <w:rFonts w:cs="Arial"/>
          <w:color w:val="000000" w:themeColor="text1"/>
          <w:sz w:val="24"/>
          <w:szCs w:val="24"/>
        </w:rPr>
        <w:t xml:space="preserve">pregnancy in line with the </w:t>
      </w:r>
      <w:r w:rsidRPr="006439F7">
        <w:rPr>
          <w:rFonts w:cs="Arial"/>
          <w:i/>
          <w:color w:val="000000" w:themeColor="text1"/>
          <w:sz w:val="24"/>
          <w:szCs w:val="24"/>
        </w:rPr>
        <w:t xml:space="preserve">X </w:t>
      </w:r>
      <w:r w:rsidRPr="006439F7">
        <w:rPr>
          <w:rFonts w:cs="Arial"/>
          <w:color w:val="000000" w:themeColor="text1"/>
          <w:sz w:val="24"/>
          <w:szCs w:val="24"/>
        </w:rPr>
        <w:t xml:space="preserve">case and the judgment of the European Court of Human Rights in the </w:t>
      </w:r>
      <w:r w:rsidRPr="006439F7">
        <w:rPr>
          <w:rFonts w:cs="Arial"/>
          <w:i/>
          <w:color w:val="000000" w:themeColor="text1"/>
          <w:sz w:val="24"/>
          <w:szCs w:val="24"/>
        </w:rPr>
        <w:t xml:space="preserve">A, B and C v. Ireland </w:t>
      </w:r>
      <w:r w:rsidRPr="006439F7">
        <w:rPr>
          <w:rFonts w:cs="Arial"/>
          <w:color w:val="000000" w:themeColor="text1"/>
          <w:sz w:val="24"/>
          <w:szCs w:val="24"/>
        </w:rPr>
        <w:t>case. In addition, the State report claims that the Act provides certainty as to whether an abortion is required or not by conferring procedural rights on a woman who believes she has a life-threatening condition.</w:t>
      </w:r>
      <w:r w:rsidRPr="006439F7">
        <w:rPr>
          <w:rStyle w:val="FootnoteReference"/>
          <w:rFonts w:cs="Arial"/>
          <w:color w:val="000000" w:themeColor="text1"/>
          <w:sz w:val="24"/>
          <w:szCs w:val="24"/>
        </w:rPr>
        <w:footnoteReference w:id="11"/>
      </w:r>
      <w:r w:rsidRPr="006439F7">
        <w:rPr>
          <w:rFonts w:cs="Arial"/>
          <w:color w:val="000000" w:themeColor="text1"/>
          <w:sz w:val="24"/>
          <w:szCs w:val="24"/>
        </w:rPr>
        <w:t xml:space="preserve"> </w:t>
      </w:r>
      <w:r w:rsidR="00BD65E1" w:rsidRPr="006439F7">
        <w:rPr>
          <w:rFonts w:cs="Arial"/>
          <w:color w:val="000000" w:themeColor="text1"/>
          <w:sz w:val="24"/>
          <w:szCs w:val="24"/>
        </w:rPr>
        <w:t xml:space="preserve"> </w:t>
      </w:r>
    </w:p>
    <w:p w14:paraId="5E1BF2C1" w14:textId="77777777" w:rsidR="00437BA1" w:rsidRPr="00437BA1" w:rsidRDefault="00437BA1" w:rsidP="00437BA1">
      <w:pPr>
        <w:widowControl w:val="0"/>
        <w:autoSpaceDE w:val="0"/>
        <w:autoSpaceDN w:val="0"/>
        <w:adjustRightInd w:val="0"/>
        <w:spacing w:after="0" w:line="240" w:lineRule="auto"/>
        <w:jc w:val="both"/>
        <w:rPr>
          <w:rFonts w:cs="Arial"/>
          <w:color w:val="000000" w:themeColor="text1"/>
          <w:sz w:val="24"/>
          <w:szCs w:val="24"/>
        </w:rPr>
      </w:pPr>
    </w:p>
    <w:p w14:paraId="5C364ADB" w14:textId="0FC39AF2" w:rsidR="00BD65E1" w:rsidRPr="006439F7" w:rsidRDefault="005A66E2" w:rsidP="00056111">
      <w:pPr>
        <w:pStyle w:val="ListParagraph"/>
        <w:widowControl w:val="0"/>
        <w:numPr>
          <w:ilvl w:val="0"/>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cs="Arial"/>
          <w:color w:val="000000" w:themeColor="text1"/>
          <w:sz w:val="24"/>
          <w:szCs w:val="24"/>
        </w:rPr>
        <w:t xml:space="preserve">Under the Act, it is possible to obtain a legal abortion in the State on the following three grounds only: 1) risk of loss of life from physical illness in emergency; 2) risk of loss of life from physical illness; and 3) risk of loss of life from suicide. </w:t>
      </w:r>
    </w:p>
    <w:p w14:paraId="748DC5C2" w14:textId="77777777" w:rsidR="00BD65E1" w:rsidRPr="006439F7" w:rsidRDefault="00BD65E1" w:rsidP="00BD65E1">
      <w:pPr>
        <w:pStyle w:val="ListParagraph"/>
        <w:rPr>
          <w:rFonts w:cs="Arial"/>
          <w:color w:val="000000" w:themeColor="text1"/>
          <w:sz w:val="24"/>
          <w:szCs w:val="24"/>
        </w:rPr>
      </w:pPr>
    </w:p>
    <w:p w14:paraId="70B25C1D" w14:textId="77777777" w:rsidR="00BD65E1" w:rsidRPr="006439F7" w:rsidRDefault="005A66E2"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cs="Arial"/>
          <w:color w:val="000000" w:themeColor="text1"/>
          <w:sz w:val="24"/>
          <w:szCs w:val="24"/>
        </w:rPr>
        <w:lastRenderedPageBreak/>
        <w:t xml:space="preserve">According to the Act, for an abortion to be legal in the first instance, it must be carried out by a medical practitioner who has examined the pregnant woman or girl and ‘believes in good faith’ that there is an immediate risk of loss of maternal life that can only be averted by a medical procedure ‘in the course of which’ or ‘as a result of which’ ‘unborn human life’ is ended. </w:t>
      </w:r>
    </w:p>
    <w:p w14:paraId="4E127FB9" w14:textId="77777777" w:rsidR="00BD65E1" w:rsidRPr="006439F7" w:rsidRDefault="00BD65E1" w:rsidP="00BD65E1">
      <w:pPr>
        <w:pStyle w:val="ListParagraph"/>
        <w:widowControl w:val="0"/>
        <w:autoSpaceDE w:val="0"/>
        <w:autoSpaceDN w:val="0"/>
        <w:adjustRightInd w:val="0"/>
        <w:spacing w:after="0" w:line="240" w:lineRule="auto"/>
        <w:ind w:left="1440"/>
        <w:jc w:val="both"/>
        <w:rPr>
          <w:rFonts w:eastAsia="Times New Roman" w:cs="Times New Roman"/>
          <w:color w:val="000000" w:themeColor="text1"/>
          <w:sz w:val="24"/>
          <w:szCs w:val="24"/>
          <w:shd w:val="clear" w:color="auto" w:fill="FFFFFF"/>
        </w:rPr>
      </w:pPr>
    </w:p>
    <w:p w14:paraId="36BAAF61" w14:textId="77777777" w:rsidR="00BD65E1" w:rsidRPr="006439F7" w:rsidRDefault="005A66E2"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cs="Arial"/>
          <w:color w:val="000000" w:themeColor="text1"/>
          <w:sz w:val="24"/>
          <w:szCs w:val="24"/>
        </w:rPr>
        <w:t xml:space="preserve">For an abortion to be legal in the second instance, a pregnant woman or girl with a potentially life threatening condition must be examined by two medical practitioners </w:t>
      </w:r>
      <w:r w:rsidRPr="006439F7">
        <w:rPr>
          <w:rFonts w:eastAsia="Times New Roman" w:cs="Arial"/>
          <w:color w:val="000000" w:themeColor="text1"/>
          <w:sz w:val="24"/>
          <w:szCs w:val="24"/>
          <w:shd w:val="clear" w:color="auto" w:fill="FFFFFF"/>
        </w:rPr>
        <w:t xml:space="preserve">who must have ‘jointly certified in good faith’ that there is a real and substantial risk to the life of the pregnant woman or girl from physical illness and that this risk can only be averted by </w:t>
      </w:r>
      <w:r w:rsidRPr="006439F7">
        <w:rPr>
          <w:rFonts w:cs="Arial"/>
          <w:color w:val="000000" w:themeColor="text1"/>
          <w:sz w:val="24"/>
          <w:szCs w:val="24"/>
        </w:rPr>
        <w:t>a medical procedure ‘in the course of which’ or ‘as a result of which’ the ‘unborn human life’ is ended</w:t>
      </w:r>
      <w:r w:rsidRPr="006439F7">
        <w:rPr>
          <w:rFonts w:eastAsia="Times New Roman" w:cs="Arial"/>
          <w:color w:val="000000" w:themeColor="text1"/>
          <w:sz w:val="24"/>
          <w:szCs w:val="24"/>
          <w:shd w:val="clear" w:color="auto" w:fill="FFFFFF"/>
        </w:rPr>
        <w:t xml:space="preserve">.  </w:t>
      </w:r>
    </w:p>
    <w:p w14:paraId="5F4D8806" w14:textId="77777777" w:rsidR="00BD65E1" w:rsidRPr="006439F7" w:rsidRDefault="00BD65E1" w:rsidP="00BD65E1">
      <w:pPr>
        <w:pStyle w:val="ListParagraph"/>
        <w:rPr>
          <w:rFonts w:eastAsia="Times New Roman" w:cs="Arial"/>
          <w:color w:val="000000" w:themeColor="text1"/>
          <w:sz w:val="24"/>
          <w:szCs w:val="24"/>
          <w:shd w:val="clear" w:color="auto" w:fill="FFFFFF"/>
        </w:rPr>
      </w:pPr>
    </w:p>
    <w:p w14:paraId="2DD27AF9" w14:textId="32E6E78B" w:rsidR="00BD65E1" w:rsidRPr="006439F7" w:rsidRDefault="005A66E2"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Arial"/>
          <w:color w:val="000000" w:themeColor="text1"/>
          <w:sz w:val="24"/>
          <w:szCs w:val="24"/>
          <w:shd w:val="clear" w:color="auto" w:fill="FFFFFF"/>
        </w:rPr>
        <w:t xml:space="preserve">For an abortion to be legal in the third instance, </w:t>
      </w:r>
      <w:r w:rsidRPr="006439F7">
        <w:rPr>
          <w:rFonts w:cs="Arial"/>
          <w:color w:val="000000" w:themeColor="text1"/>
          <w:sz w:val="24"/>
          <w:szCs w:val="24"/>
        </w:rPr>
        <w:t>a pregnant woman or girl at risk of loss of life from suicide must be examined by three medical practitioners</w:t>
      </w:r>
      <w:r w:rsidRPr="006439F7">
        <w:rPr>
          <w:rFonts w:eastAsia="Times New Roman" w:cs="Arial"/>
          <w:color w:val="000000" w:themeColor="text1"/>
          <w:sz w:val="24"/>
          <w:szCs w:val="24"/>
          <w:shd w:val="clear" w:color="auto" w:fill="FFFFFF"/>
        </w:rPr>
        <w:t xml:space="preserve">, including two psychiatrists who must have ‘jointly certified in good faith’ that there is a real and substantial risk to her life from suicide and that this risk can only be averted by </w:t>
      </w:r>
      <w:r w:rsidRPr="006439F7">
        <w:rPr>
          <w:rFonts w:cs="Arial"/>
          <w:color w:val="000000" w:themeColor="text1"/>
          <w:sz w:val="24"/>
          <w:szCs w:val="24"/>
        </w:rPr>
        <w:t>a medical procedure ‘in the course of which’ or ‘as a result of which’ ‘unborn human life’ is ended</w:t>
      </w:r>
      <w:r w:rsidRPr="006439F7">
        <w:rPr>
          <w:rFonts w:eastAsia="Times New Roman" w:cs="Arial"/>
          <w:color w:val="000000" w:themeColor="text1"/>
          <w:sz w:val="24"/>
          <w:szCs w:val="24"/>
          <w:shd w:val="clear" w:color="auto" w:fill="FFFFFF"/>
        </w:rPr>
        <w:t xml:space="preserve">. Where certification is refused, a pregnant woman or girl or a person acting on her behalf can apply to have the decision reviewed by a panel of up to three medical practitioners in the case of risk of loss of life from suicide and either two medical practitioners or one medical practitioner in the case of risk of loss of life from physical illness and from physical illness in emergency respectively. </w:t>
      </w:r>
    </w:p>
    <w:p w14:paraId="53097F78" w14:textId="77777777" w:rsidR="00BD65E1" w:rsidRPr="006439F7" w:rsidRDefault="00BD65E1" w:rsidP="00BD65E1">
      <w:pPr>
        <w:pStyle w:val="ListParagraph"/>
        <w:widowControl w:val="0"/>
        <w:autoSpaceDE w:val="0"/>
        <w:autoSpaceDN w:val="0"/>
        <w:adjustRightInd w:val="0"/>
        <w:spacing w:after="0" w:line="240" w:lineRule="auto"/>
        <w:jc w:val="both"/>
        <w:rPr>
          <w:rFonts w:eastAsia="Times New Roman" w:cs="Times New Roman"/>
          <w:color w:val="000000" w:themeColor="text1"/>
          <w:sz w:val="24"/>
          <w:szCs w:val="24"/>
          <w:shd w:val="clear" w:color="auto" w:fill="FFFFFF"/>
        </w:rPr>
      </w:pPr>
    </w:p>
    <w:p w14:paraId="74F4F52C" w14:textId="4ABBA7BB" w:rsidR="00F7278F" w:rsidRPr="006439F7" w:rsidRDefault="00F7278F" w:rsidP="00056111">
      <w:pPr>
        <w:pStyle w:val="ListParagraph"/>
        <w:widowControl w:val="0"/>
        <w:numPr>
          <w:ilvl w:val="0"/>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Arial"/>
          <w:color w:val="000000" w:themeColor="text1"/>
          <w:sz w:val="24"/>
          <w:szCs w:val="24"/>
          <w:shd w:val="clear" w:color="auto" w:fill="FFFFFF"/>
        </w:rPr>
        <w:t>These</w:t>
      </w:r>
      <w:r w:rsidR="005A66E2" w:rsidRPr="006439F7">
        <w:rPr>
          <w:rFonts w:eastAsia="Times New Roman" w:cs="Arial"/>
          <w:color w:val="000000" w:themeColor="text1"/>
          <w:sz w:val="24"/>
          <w:szCs w:val="24"/>
          <w:shd w:val="clear" w:color="auto" w:fill="FFFFFF"/>
        </w:rPr>
        <w:t xml:space="preserve"> burdensome procedure</w:t>
      </w:r>
      <w:r w:rsidRPr="006439F7">
        <w:rPr>
          <w:rFonts w:eastAsia="Times New Roman" w:cs="Arial"/>
          <w:color w:val="000000" w:themeColor="text1"/>
          <w:sz w:val="24"/>
          <w:szCs w:val="24"/>
          <w:shd w:val="clear" w:color="auto" w:fill="FFFFFF"/>
        </w:rPr>
        <w:t>s</w:t>
      </w:r>
      <w:r w:rsidR="005A66E2" w:rsidRPr="006439F7">
        <w:rPr>
          <w:rFonts w:eastAsia="Times New Roman" w:cs="Arial"/>
          <w:color w:val="000000" w:themeColor="text1"/>
          <w:sz w:val="24"/>
          <w:szCs w:val="24"/>
          <w:shd w:val="clear" w:color="auto" w:fill="FFFFFF"/>
        </w:rPr>
        <w:t xml:space="preserve"> run the risk of increasing the mental anguish and suffering of women and girls in vulnerable situations. It is particularly intrusive with respect to women and girls at risk of suicide, requiring examination by up to six medical practitioners, including three during the initial assessment and, when called for, three during review. Moreover, the outcome of the process is not guaranteed nor is access to</w:t>
      </w:r>
      <w:r w:rsidR="00062251">
        <w:rPr>
          <w:rFonts w:eastAsia="Times New Roman" w:cs="Arial"/>
          <w:color w:val="000000" w:themeColor="text1"/>
          <w:sz w:val="24"/>
          <w:szCs w:val="24"/>
          <w:shd w:val="clear" w:color="auto" w:fill="FFFFFF"/>
          <w:lang w:val="en-GB"/>
        </w:rPr>
        <w:t xml:space="preserve"> this pr</w:t>
      </w:r>
      <w:r w:rsidR="00A969A0">
        <w:rPr>
          <w:rFonts w:eastAsia="Times New Roman" w:cs="Arial"/>
          <w:color w:val="000000" w:themeColor="text1"/>
          <w:sz w:val="24"/>
          <w:szCs w:val="24"/>
          <w:shd w:val="clear" w:color="auto" w:fill="FFFFFF"/>
          <w:lang w:val="en-GB"/>
        </w:rPr>
        <w:t>oc</w:t>
      </w:r>
      <w:r w:rsidR="00062251">
        <w:rPr>
          <w:rFonts w:eastAsia="Times New Roman" w:cs="Arial"/>
          <w:color w:val="000000" w:themeColor="text1"/>
          <w:sz w:val="24"/>
          <w:szCs w:val="24"/>
          <w:shd w:val="clear" w:color="auto" w:fill="FFFFFF"/>
          <w:lang w:val="en-GB"/>
        </w:rPr>
        <w:t>ess,</w:t>
      </w:r>
      <w:r w:rsidR="00062251">
        <w:rPr>
          <w:rFonts w:eastAsia="Times New Roman" w:cs="Arial"/>
          <w:color w:val="000000" w:themeColor="text1"/>
          <w:sz w:val="24"/>
          <w:szCs w:val="24"/>
          <w:shd w:val="clear" w:color="auto" w:fill="FFFFFF"/>
        </w:rPr>
        <w:t xml:space="preserve"> </w:t>
      </w:r>
      <w:r w:rsidR="005A66E2" w:rsidRPr="006439F7">
        <w:rPr>
          <w:rFonts w:eastAsia="Times New Roman" w:cs="Arial"/>
          <w:color w:val="000000" w:themeColor="text1"/>
          <w:sz w:val="24"/>
          <w:szCs w:val="24"/>
          <w:shd w:val="clear" w:color="auto" w:fill="FFFFFF"/>
        </w:rPr>
        <w:t>as demonstrated in a recent case involving a child at risk of suicide seeking a legal abortion.</w:t>
      </w:r>
      <w:r w:rsidR="005A66E2" w:rsidRPr="006439F7">
        <w:rPr>
          <w:rStyle w:val="FootnoteReference"/>
          <w:rFonts w:eastAsia="Times New Roman" w:cs="Arial"/>
          <w:color w:val="000000" w:themeColor="text1"/>
          <w:sz w:val="24"/>
          <w:szCs w:val="24"/>
          <w:shd w:val="clear" w:color="auto" w:fill="FFFFFF"/>
        </w:rPr>
        <w:footnoteReference w:id="12"/>
      </w:r>
      <w:r w:rsidR="005A66E2" w:rsidRPr="006439F7">
        <w:rPr>
          <w:rFonts w:eastAsia="Times New Roman" w:cs="Arial"/>
          <w:color w:val="000000" w:themeColor="text1"/>
          <w:sz w:val="24"/>
          <w:szCs w:val="24"/>
          <w:shd w:val="clear" w:color="auto" w:fill="FFFFFF"/>
        </w:rPr>
        <w:t xml:space="preserve"> The child in question was involuntarily committed to a psychiatric unit under the Mental Health Act following examination by a psychiatrist on the basis that ‘</w:t>
      </w:r>
      <w:r w:rsidR="005A66E2" w:rsidRPr="006439F7">
        <w:rPr>
          <w:rFonts w:cs="Arial"/>
          <w:color w:val="000000" w:themeColor="text1"/>
          <w:sz w:val="24"/>
          <w:szCs w:val="24"/>
        </w:rPr>
        <w:t xml:space="preserve">while she was at risk of self-harm and suicide’ as a result of her pregnancy, ‘this could be managed by treatment and that termination of pregnancy was not the solution for all the child’s problems at this stage.’ </w:t>
      </w:r>
      <w:r w:rsidR="005A66E2" w:rsidRPr="006439F7">
        <w:rPr>
          <w:rFonts w:eastAsia="Times New Roman" w:cs="Arial"/>
          <w:color w:val="000000" w:themeColor="text1"/>
          <w:sz w:val="24"/>
          <w:szCs w:val="24"/>
          <w:shd w:val="clear" w:color="auto" w:fill="FFFFFF"/>
        </w:rPr>
        <w:t xml:space="preserve">Subsequently, this decision came before the District Court and was overturned. </w:t>
      </w:r>
    </w:p>
    <w:p w14:paraId="51EEF87F" w14:textId="77777777" w:rsidR="00F7278F" w:rsidRPr="006439F7" w:rsidRDefault="00F7278F" w:rsidP="00F7278F">
      <w:pPr>
        <w:pStyle w:val="ListParagraph"/>
        <w:widowControl w:val="0"/>
        <w:autoSpaceDE w:val="0"/>
        <w:autoSpaceDN w:val="0"/>
        <w:adjustRightInd w:val="0"/>
        <w:spacing w:after="0" w:line="240" w:lineRule="auto"/>
        <w:jc w:val="both"/>
        <w:rPr>
          <w:rFonts w:eastAsia="Times New Roman" w:cs="Times New Roman"/>
          <w:color w:val="000000" w:themeColor="text1"/>
          <w:sz w:val="24"/>
          <w:szCs w:val="24"/>
          <w:shd w:val="clear" w:color="auto" w:fill="FFFFFF"/>
        </w:rPr>
      </w:pPr>
    </w:p>
    <w:p w14:paraId="3FD3FA93" w14:textId="77777777" w:rsidR="00F7278F" w:rsidRPr="006439F7" w:rsidRDefault="00F7278F" w:rsidP="00056111">
      <w:pPr>
        <w:pStyle w:val="ListParagraph"/>
        <w:widowControl w:val="0"/>
        <w:numPr>
          <w:ilvl w:val="0"/>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Arial"/>
          <w:color w:val="000000" w:themeColor="text1"/>
          <w:sz w:val="24"/>
          <w:szCs w:val="24"/>
          <w:shd w:val="clear" w:color="auto" w:fill="FFFFFF"/>
        </w:rPr>
        <w:lastRenderedPageBreak/>
        <w:t xml:space="preserve">Contrary to the jurisprudence of international human rights bodies including the Committee Against Torture, the Committee for the Elimination of All Discrimination against Women and the UN Human Rights Committee, the Protection of Life During Pregnancy Act criminalises abortion on any other grounds, imposing a maximum penalty of 14 years imprisonment. </w:t>
      </w:r>
      <w:r w:rsidR="005A66E2" w:rsidRPr="006439F7">
        <w:rPr>
          <w:rFonts w:eastAsia="Times New Roman" w:cs="Arial"/>
          <w:color w:val="000000" w:themeColor="text1"/>
          <w:sz w:val="24"/>
          <w:szCs w:val="24"/>
          <w:shd w:val="clear" w:color="auto" w:fill="FFFFFF"/>
        </w:rPr>
        <w:t>There is currently no provision in Irish law for abortion in any of the following circumstances:</w:t>
      </w:r>
    </w:p>
    <w:p w14:paraId="4911CD36" w14:textId="77777777" w:rsidR="00F7278F" w:rsidRPr="006439F7" w:rsidRDefault="00F7278F" w:rsidP="00F7278F">
      <w:pPr>
        <w:pStyle w:val="ListParagraph"/>
        <w:rPr>
          <w:rFonts w:eastAsia="Times New Roman" w:cs="Arial"/>
          <w:color w:val="000000" w:themeColor="text1"/>
          <w:sz w:val="24"/>
          <w:szCs w:val="24"/>
          <w:shd w:val="clear" w:color="auto" w:fill="FFFFFF"/>
        </w:rPr>
      </w:pPr>
    </w:p>
    <w:p w14:paraId="7EC2AF0B" w14:textId="77777777" w:rsidR="00F7278F" w:rsidRPr="006439F7" w:rsidRDefault="005A66E2"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Arial"/>
          <w:color w:val="000000" w:themeColor="text1"/>
          <w:sz w:val="24"/>
          <w:szCs w:val="24"/>
          <w:shd w:val="clear" w:color="auto" w:fill="FFFFFF"/>
        </w:rPr>
        <w:t>Risk to the health as distinct from the life of the pregnant woman or girl</w:t>
      </w:r>
    </w:p>
    <w:p w14:paraId="16EC219C" w14:textId="77777777" w:rsidR="00F7278F" w:rsidRPr="006439F7" w:rsidRDefault="005A66E2"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Arial"/>
          <w:color w:val="000000" w:themeColor="text1"/>
          <w:sz w:val="24"/>
          <w:szCs w:val="24"/>
          <w:shd w:val="clear" w:color="auto" w:fill="FFFFFF"/>
        </w:rPr>
        <w:t>Rape or sexual assault</w:t>
      </w:r>
    </w:p>
    <w:p w14:paraId="1D57D000" w14:textId="77777777" w:rsidR="00F7278F" w:rsidRPr="006439F7" w:rsidRDefault="005A66E2"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Arial"/>
          <w:color w:val="000000" w:themeColor="text1"/>
          <w:sz w:val="24"/>
          <w:szCs w:val="24"/>
          <w:shd w:val="clear" w:color="auto" w:fill="FFFFFF"/>
        </w:rPr>
        <w:t>Incest</w:t>
      </w:r>
    </w:p>
    <w:p w14:paraId="5AB6F263" w14:textId="3CE7BE65" w:rsidR="005A66E2" w:rsidRPr="006439F7" w:rsidRDefault="00F7278F" w:rsidP="00056111">
      <w:pPr>
        <w:pStyle w:val="ListParagraph"/>
        <w:widowControl w:val="0"/>
        <w:numPr>
          <w:ilvl w:val="1"/>
          <w:numId w:val="3"/>
        </w:numPr>
        <w:autoSpaceDE w:val="0"/>
        <w:autoSpaceDN w:val="0"/>
        <w:adjustRightInd w:val="0"/>
        <w:spacing w:after="0" w:line="240" w:lineRule="auto"/>
        <w:jc w:val="both"/>
        <w:rPr>
          <w:rFonts w:eastAsia="Times New Roman" w:cs="Times New Roman"/>
          <w:color w:val="000000" w:themeColor="text1"/>
          <w:sz w:val="24"/>
          <w:szCs w:val="24"/>
          <w:shd w:val="clear" w:color="auto" w:fill="FFFFFF"/>
        </w:rPr>
      </w:pPr>
      <w:r w:rsidRPr="006439F7">
        <w:rPr>
          <w:rFonts w:eastAsia="Times New Roman" w:cs="Times New Roman"/>
          <w:color w:val="000000" w:themeColor="text1"/>
          <w:sz w:val="24"/>
          <w:szCs w:val="24"/>
          <w:shd w:val="clear" w:color="auto" w:fill="FFFFFF"/>
        </w:rPr>
        <w:t>F</w:t>
      </w:r>
      <w:r w:rsidRPr="006439F7">
        <w:rPr>
          <w:rFonts w:eastAsia="Times New Roman" w:cs="Arial"/>
          <w:color w:val="000000" w:themeColor="text1"/>
          <w:sz w:val="24"/>
          <w:szCs w:val="24"/>
          <w:shd w:val="clear" w:color="auto" w:fill="FFFFFF"/>
        </w:rPr>
        <w:t>oetal anomal</w:t>
      </w:r>
      <w:r w:rsidR="005A66E2" w:rsidRPr="006439F7">
        <w:rPr>
          <w:rFonts w:eastAsia="Times New Roman" w:cs="Arial"/>
          <w:color w:val="000000" w:themeColor="text1"/>
          <w:sz w:val="24"/>
          <w:szCs w:val="24"/>
          <w:shd w:val="clear" w:color="auto" w:fill="FFFFFF"/>
        </w:rPr>
        <w:t>y</w:t>
      </w:r>
      <w:r w:rsidRPr="006439F7">
        <w:rPr>
          <w:rFonts w:cs="Calibri"/>
          <w:color w:val="000000" w:themeColor="text1"/>
          <w:sz w:val="24"/>
          <w:szCs w:val="24"/>
        </w:rPr>
        <w:t>, including fatal foetal anomaly</w:t>
      </w:r>
    </w:p>
    <w:p w14:paraId="377DAD96" w14:textId="77777777" w:rsidR="005A66E2" w:rsidRPr="006439F7" w:rsidRDefault="005A66E2" w:rsidP="00972C50">
      <w:pPr>
        <w:spacing w:after="0" w:line="240" w:lineRule="auto"/>
        <w:jc w:val="both"/>
        <w:rPr>
          <w:rFonts w:eastAsia="Times New Roman" w:cs="Arial"/>
          <w:color w:val="000000" w:themeColor="text1"/>
          <w:sz w:val="24"/>
          <w:szCs w:val="24"/>
          <w:shd w:val="clear" w:color="auto" w:fill="FFFFFF"/>
        </w:rPr>
      </w:pPr>
    </w:p>
    <w:p w14:paraId="44A0C02D" w14:textId="77777777" w:rsidR="00F7278F" w:rsidRPr="006439F7" w:rsidRDefault="005A66E2" w:rsidP="00056111">
      <w:pPr>
        <w:pStyle w:val="ListParagraph"/>
        <w:widowControl w:val="0"/>
        <w:numPr>
          <w:ilvl w:val="0"/>
          <w:numId w:val="3"/>
        </w:numPr>
        <w:autoSpaceDE w:val="0"/>
        <w:autoSpaceDN w:val="0"/>
        <w:adjustRightInd w:val="0"/>
        <w:spacing w:after="0" w:line="240" w:lineRule="auto"/>
        <w:jc w:val="both"/>
        <w:rPr>
          <w:rFonts w:cs="Arial"/>
          <w:color w:val="000000" w:themeColor="text1"/>
          <w:sz w:val="24"/>
          <w:szCs w:val="24"/>
        </w:rPr>
      </w:pPr>
      <w:r w:rsidRPr="006439F7">
        <w:rPr>
          <w:rFonts w:eastAsia="Times New Roman" w:cs="Arial"/>
          <w:color w:val="000000" w:themeColor="text1"/>
          <w:sz w:val="24"/>
          <w:szCs w:val="24"/>
          <w:shd w:val="clear" w:color="auto" w:fill="FFFFFF"/>
        </w:rPr>
        <w:t>The question of whether or not to legislate for abortion in these and a range of other circumstances - including for reasons of socioeconomic preference, to protect the mental health of the pregnant woman or girl, in cases of non-fatal abnormality and for no stated reason - was deliberated upon by the Citizens Assembly in 2017.</w:t>
      </w:r>
      <w:r w:rsidRPr="006439F7">
        <w:rPr>
          <w:rStyle w:val="FootnoteReference"/>
          <w:rFonts w:eastAsia="Times New Roman" w:cs="Arial"/>
          <w:color w:val="000000" w:themeColor="text1"/>
          <w:sz w:val="24"/>
          <w:szCs w:val="24"/>
          <w:shd w:val="clear" w:color="auto" w:fill="FFFFFF"/>
        </w:rPr>
        <w:footnoteReference w:id="13"/>
      </w:r>
      <w:r w:rsidRPr="006439F7">
        <w:rPr>
          <w:rFonts w:eastAsia="Times New Roman" w:cs="Arial"/>
          <w:color w:val="000000" w:themeColor="text1"/>
          <w:sz w:val="24"/>
          <w:szCs w:val="24"/>
          <w:shd w:val="clear" w:color="auto" w:fill="FFFFFF"/>
        </w:rPr>
        <w:t xml:space="preserve"> </w:t>
      </w:r>
      <w:r w:rsidRPr="006439F7">
        <w:rPr>
          <w:color w:val="000000" w:themeColor="text1"/>
          <w:sz w:val="24"/>
          <w:szCs w:val="24"/>
        </w:rPr>
        <w:t>The Assembly voted in favour of legalising abortion in each case by a majority of between 52% and 82% depending on the question.</w:t>
      </w:r>
      <w:r w:rsidRPr="006439F7">
        <w:rPr>
          <w:rFonts w:cs="Arial"/>
          <w:color w:val="000000" w:themeColor="text1"/>
          <w:sz w:val="24"/>
          <w:szCs w:val="24"/>
        </w:rPr>
        <w:t xml:space="preserve"> The </w:t>
      </w:r>
      <w:r w:rsidRPr="006439F7">
        <w:rPr>
          <w:rFonts w:cs="Times New Roman"/>
          <w:color w:val="000000" w:themeColor="text1"/>
          <w:sz w:val="24"/>
          <w:szCs w:val="24"/>
        </w:rPr>
        <w:t>Assembly also concluded that the Oireachtas should be given exclusive powers to legislate on abortion laws.</w:t>
      </w:r>
      <w:r w:rsidR="00F7278F" w:rsidRPr="006439F7">
        <w:rPr>
          <w:rFonts w:cs="Times New Roman"/>
          <w:color w:val="000000" w:themeColor="text1"/>
          <w:sz w:val="24"/>
          <w:szCs w:val="24"/>
        </w:rPr>
        <w:t xml:space="preserve"> </w:t>
      </w:r>
      <w:r w:rsidRPr="006439F7">
        <w:rPr>
          <w:color w:val="000000" w:themeColor="text1"/>
          <w:sz w:val="24"/>
          <w:szCs w:val="24"/>
        </w:rPr>
        <w:t xml:space="preserve">These developments highlight the </w:t>
      </w:r>
      <w:r w:rsidR="00F7278F" w:rsidRPr="006439F7">
        <w:rPr>
          <w:color w:val="000000" w:themeColor="text1"/>
          <w:sz w:val="24"/>
          <w:szCs w:val="24"/>
        </w:rPr>
        <w:t xml:space="preserve">gap between public opinion and the legislative position. </w:t>
      </w:r>
    </w:p>
    <w:p w14:paraId="2B54089E" w14:textId="77777777" w:rsidR="00F7278F" w:rsidRPr="006439F7" w:rsidRDefault="00F7278F" w:rsidP="004A072B">
      <w:pPr>
        <w:widowControl w:val="0"/>
        <w:autoSpaceDE w:val="0"/>
        <w:autoSpaceDN w:val="0"/>
        <w:adjustRightInd w:val="0"/>
        <w:spacing w:after="0" w:line="240" w:lineRule="auto"/>
        <w:jc w:val="both"/>
        <w:rPr>
          <w:rFonts w:cs="Arial"/>
          <w:color w:val="000000" w:themeColor="text1"/>
          <w:sz w:val="24"/>
          <w:szCs w:val="24"/>
        </w:rPr>
      </w:pPr>
    </w:p>
    <w:p w14:paraId="74DB1F7C" w14:textId="491269A9" w:rsidR="004A072B" w:rsidRPr="006439F7" w:rsidRDefault="004A072B" w:rsidP="004A072B">
      <w:pPr>
        <w:widowControl w:val="0"/>
        <w:autoSpaceDE w:val="0"/>
        <w:autoSpaceDN w:val="0"/>
        <w:adjustRightInd w:val="0"/>
        <w:spacing w:after="0" w:line="240" w:lineRule="auto"/>
        <w:jc w:val="both"/>
        <w:rPr>
          <w:rFonts w:cs="Arial"/>
          <w:b/>
          <w:color w:val="000000" w:themeColor="text1"/>
          <w:sz w:val="24"/>
          <w:szCs w:val="24"/>
        </w:rPr>
      </w:pPr>
      <w:r w:rsidRPr="006439F7">
        <w:rPr>
          <w:rFonts w:cs="Arial"/>
          <w:b/>
          <w:color w:val="000000" w:themeColor="text1"/>
          <w:sz w:val="24"/>
          <w:szCs w:val="24"/>
        </w:rPr>
        <w:t>Recommendation:</w:t>
      </w:r>
    </w:p>
    <w:p w14:paraId="1553C0A6" w14:textId="77777777" w:rsidR="004A072B" w:rsidRPr="006439F7" w:rsidRDefault="004A072B" w:rsidP="004A072B">
      <w:pPr>
        <w:widowControl w:val="0"/>
        <w:autoSpaceDE w:val="0"/>
        <w:autoSpaceDN w:val="0"/>
        <w:adjustRightInd w:val="0"/>
        <w:spacing w:after="0" w:line="240" w:lineRule="auto"/>
        <w:jc w:val="both"/>
        <w:rPr>
          <w:rFonts w:cs="Arial"/>
          <w:b/>
          <w:color w:val="000000" w:themeColor="text1"/>
          <w:sz w:val="24"/>
          <w:szCs w:val="24"/>
        </w:rPr>
      </w:pPr>
    </w:p>
    <w:p w14:paraId="214E98C1" w14:textId="198D92CB" w:rsidR="005A66E2" w:rsidRPr="006439F7" w:rsidRDefault="00F7278F" w:rsidP="00056111">
      <w:pPr>
        <w:pStyle w:val="ListParagraph"/>
        <w:widowControl w:val="0"/>
        <w:numPr>
          <w:ilvl w:val="0"/>
          <w:numId w:val="3"/>
        </w:numPr>
        <w:autoSpaceDE w:val="0"/>
        <w:autoSpaceDN w:val="0"/>
        <w:adjustRightInd w:val="0"/>
        <w:spacing w:after="0" w:line="240" w:lineRule="auto"/>
        <w:jc w:val="both"/>
        <w:rPr>
          <w:rFonts w:cs="Arial"/>
          <w:b/>
          <w:color w:val="000000" w:themeColor="text1"/>
          <w:sz w:val="24"/>
          <w:szCs w:val="24"/>
        </w:rPr>
      </w:pPr>
      <w:r w:rsidRPr="006439F7">
        <w:rPr>
          <w:b/>
          <w:color w:val="000000" w:themeColor="text1"/>
          <w:sz w:val="24"/>
          <w:szCs w:val="24"/>
        </w:rPr>
        <w:t>There is an</w:t>
      </w:r>
      <w:r w:rsidR="005A66E2" w:rsidRPr="006439F7">
        <w:rPr>
          <w:b/>
          <w:color w:val="000000" w:themeColor="text1"/>
          <w:sz w:val="24"/>
          <w:szCs w:val="24"/>
        </w:rPr>
        <w:t xml:space="preserve"> urgent need for </w:t>
      </w:r>
      <w:r w:rsidR="005A66E2" w:rsidRPr="006439F7">
        <w:rPr>
          <w:rFonts w:cs="Calibri"/>
          <w:b/>
          <w:color w:val="000000" w:themeColor="text1"/>
          <w:sz w:val="24"/>
          <w:szCs w:val="24"/>
        </w:rPr>
        <w:t xml:space="preserve">Irish law, policy and practice to be amended to provide access to abortion services according to international human rights law on grounds of rape/sexual assault, incest, diagnosis of foetal anomaly and protection of health as well as for the provision of abortion in Ireland without reasons. </w:t>
      </w:r>
      <w:r w:rsidR="004A072B" w:rsidRPr="006439F7">
        <w:rPr>
          <w:rFonts w:cs="Calibri"/>
          <w:b/>
          <w:color w:val="000000" w:themeColor="text1"/>
          <w:sz w:val="24"/>
          <w:szCs w:val="24"/>
        </w:rPr>
        <w:t xml:space="preserve">For this to be possible, the </w:t>
      </w:r>
      <w:r w:rsidR="00CC77A8">
        <w:rPr>
          <w:rFonts w:cs="Calibri"/>
          <w:b/>
          <w:color w:val="000000" w:themeColor="text1"/>
          <w:sz w:val="24"/>
          <w:szCs w:val="24"/>
        </w:rPr>
        <w:t>State</w:t>
      </w:r>
      <w:r w:rsidR="004A072B" w:rsidRPr="006439F7">
        <w:rPr>
          <w:rFonts w:cs="Calibri"/>
          <w:b/>
          <w:color w:val="000000" w:themeColor="text1"/>
          <w:sz w:val="24"/>
          <w:szCs w:val="24"/>
        </w:rPr>
        <w:t xml:space="preserve"> must first move forward with a referendum to remove Article 40.3.3 from the Constitution, and on passing of such a referendum, should commit to moving quickly to put in place a legal framework for access to abortion which complies with international human rights standards.</w:t>
      </w:r>
    </w:p>
    <w:p w14:paraId="5F46E23A" w14:textId="77777777" w:rsidR="005A66E2" w:rsidRPr="006439F7" w:rsidRDefault="005A66E2" w:rsidP="00972C50">
      <w:pPr>
        <w:spacing w:after="0" w:line="240" w:lineRule="auto"/>
        <w:jc w:val="both"/>
        <w:rPr>
          <w:color w:val="000000" w:themeColor="text1"/>
          <w:sz w:val="24"/>
          <w:szCs w:val="24"/>
        </w:rPr>
      </w:pPr>
    </w:p>
    <w:p w14:paraId="7931E431" w14:textId="77777777" w:rsidR="005A66E2" w:rsidRPr="006439F7" w:rsidRDefault="005A66E2" w:rsidP="00972C50">
      <w:pPr>
        <w:pStyle w:val="SingleTxtG"/>
        <w:spacing w:after="0" w:line="240" w:lineRule="auto"/>
        <w:ind w:left="0"/>
        <w:rPr>
          <w:rFonts w:asciiTheme="minorHAnsi" w:hAnsiTheme="minorHAnsi"/>
          <w:color w:val="000000" w:themeColor="text1"/>
          <w:sz w:val="24"/>
          <w:szCs w:val="24"/>
          <w:lang w:eastAsia="es-ES"/>
        </w:rPr>
      </w:pPr>
    </w:p>
    <w:p w14:paraId="66AA240B" w14:textId="77777777" w:rsidR="00C65089" w:rsidRPr="006439F7" w:rsidRDefault="00C65089" w:rsidP="00972C50">
      <w:pPr>
        <w:pStyle w:val="SingleTxtG"/>
        <w:spacing w:after="0" w:line="240" w:lineRule="auto"/>
        <w:ind w:left="0"/>
        <w:rPr>
          <w:rFonts w:asciiTheme="minorHAnsi" w:hAnsiTheme="minorHAnsi"/>
          <w:color w:val="000000" w:themeColor="text1"/>
          <w:sz w:val="24"/>
          <w:szCs w:val="24"/>
          <w:lang w:eastAsia="es-ES"/>
        </w:rPr>
      </w:pPr>
    </w:p>
    <w:p w14:paraId="2B66BF8D" w14:textId="77777777" w:rsidR="00C65089" w:rsidRPr="006439F7" w:rsidRDefault="00C65089">
      <w:pPr>
        <w:rPr>
          <w:rFonts w:eastAsia="Times New Roman" w:cs="Times New Roman"/>
          <w:color w:val="000000" w:themeColor="text1"/>
          <w:sz w:val="24"/>
          <w:szCs w:val="24"/>
          <w:lang w:val="en-GB" w:eastAsia="es-ES"/>
        </w:rPr>
      </w:pPr>
      <w:r w:rsidRPr="006439F7">
        <w:rPr>
          <w:color w:val="000000" w:themeColor="text1"/>
          <w:sz w:val="24"/>
          <w:szCs w:val="24"/>
          <w:lang w:eastAsia="es-ES"/>
        </w:rPr>
        <w:br w:type="page"/>
      </w:r>
    </w:p>
    <w:p w14:paraId="7571BB48" w14:textId="1FCF5CB7" w:rsidR="000102AE" w:rsidRDefault="00C65089" w:rsidP="00972C50">
      <w:pPr>
        <w:pStyle w:val="SingleTxtG"/>
        <w:spacing w:after="0" w:line="240" w:lineRule="auto"/>
        <w:ind w:left="0"/>
        <w:rPr>
          <w:rFonts w:asciiTheme="minorHAnsi" w:hAnsiTheme="minorHAnsi"/>
          <w:b/>
          <w:color w:val="000000" w:themeColor="text1"/>
          <w:sz w:val="24"/>
          <w:szCs w:val="24"/>
          <w:lang w:eastAsia="es-ES"/>
        </w:rPr>
      </w:pPr>
      <w:r w:rsidRPr="006439F7">
        <w:rPr>
          <w:rFonts w:asciiTheme="minorHAnsi" w:hAnsiTheme="minorHAnsi"/>
          <w:b/>
          <w:color w:val="000000" w:themeColor="text1"/>
          <w:sz w:val="24"/>
          <w:szCs w:val="24"/>
          <w:lang w:eastAsia="es-ES"/>
        </w:rPr>
        <w:lastRenderedPageBreak/>
        <w:t>Section 4:</w:t>
      </w:r>
      <w:r w:rsidRPr="006439F7">
        <w:rPr>
          <w:rFonts w:asciiTheme="minorHAnsi" w:hAnsiTheme="minorHAnsi"/>
          <w:b/>
          <w:color w:val="000000" w:themeColor="text1"/>
          <w:sz w:val="24"/>
          <w:szCs w:val="24"/>
          <w:lang w:eastAsia="es-ES"/>
        </w:rPr>
        <w:tab/>
        <w:t>Rendition and Pre-Clearance at Irish Airports</w:t>
      </w:r>
    </w:p>
    <w:p w14:paraId="04CD6B38" w14:textId="77777777" w:rsidR="00AF6206" w:rsidRPr="006439F7" w:rsidRDefault="00AF6206" w:rsidP="00972C50">
      <w:pPr>
        <w:pStyle w:val="SingleTxtG"/>
        <w:spacing w:after="0" w:line="240" w:lineRule="auto"/>
        <w:ind w:left="0"/>
        <w:rPr>
          <w:rFonts w:asciiTheme="minorHAnsi" w:hAnsiTheme="minorHAnsi"/>
          <w:color w:val="000000" w:themeColor="text1"/>
          <w:sz w:val="24"/>
          <w:szCs w:val="24"/>
          <w:lang w:eastAsia="es-ES"/>
        </w:rPr>
      </w:pPr>
    </w:p>
    <w:p w14:paraId="3380F820" w14:textId="4FAB9705" w:rsidR="000A08B0" w:rsidRPr="006439F7" w:rsidRDefault="00AF6206" w:rsidP="004351C5">
      <w:pPr>
        <w:pStyle w:val="SingleTxtG"/>
        <w:spacing w:after="0" w:line="240" w:lineRule="auto"/>
        <w:ind w:left="1440"/>
        <w:rPr>
          <w:rFonts w:asciiTheme="minorHAnsi" w:hAnsiTheme="minorHAnsi"/>
          <w:color w:val="000000" w:themeColor="text1"/>
          <w:sz w:val="24"/>
          <w:szCs w:val="24"/>
          <w:lang w:eastAsia="es-ES"/>
        </w:rPr>
      </w:pPr>
      <w:r>
        <w:rPr>
          <w:rFonts w:asciiTheme="minorHAnsi" w:hAnsiTheme="minorHAnsi"/>
          <w:color w:val="000000" w:themeColor="text1"/>
          <w:sz w:val="24"/>
          <w:szCs w:val="24"/>
          <w:lang w:eastAsia="es-ES"/>
        </w:rPr>
        <w:t>(List of Issues – No. 6; Article 3)</w:t>
      </w:r>
    </w:p>
    <w:p w14:paraId="3F602465" w14:textId="77777777" w:rsidR="000A08B0" w:rsidRDefault="000A08B0" w:rsidP="000A08B0">
      <w:pPr>
        <w:pStyle w:val="SingleTxtG"/>
        <w:spacing w:after="0" w:line="240" w:lineRule="auto"/>
        <w:ind w:left="0"/>
        <w:rPr>
          <w:rFonts w:asciiTheme="minorHAnsi" w:hAnsiTheme="minorHAnsi"/>
          <w:color w:val="000000" w:themeColor="text1"/>
          <w:sz w:val="24"/>
          <w:szCs w:val="24"/>
          <w:lang w:eastAsia="es-ES"/>
        </w:rPr>
      </w:pPr>
    </w:p>
    <w:p w14:paraId="24C4E8C5" w14:textId="0A87686D" w:rsidR="009B70BF" w:rsidRPr="009B70BF" w:rsidRDefault="009B70BF" w:rsidP="000A08B0">
      <w:pPr>
        <w:pStyle w:val="SingleTxtG"/>
        <w:spacing w:after="0" w:line="240" w:lineRule="auto"/>
        <w:ind w:left="0"/>
        <w:rPr>
          <w:rFonts w:asciiTheme="minorHAnsi" w:hAnsiTheme="minorHAnsi"/>
          <w:b/>
          <w:color w:val="000000" w:themeColor="text1"/>
          <w:sz w:val="24"/>
          <w:szCs w:val="24"/>
          <w:lang w:eastAsia="es-ES"/>
        </w:rPr>
      </w:pPr>
      <w:r>
        <w:rPr>
          <w:rFonts w:asciiTheme="minorHAnsi" w:hAnsiTheme="minorHAnsi"/>
          <w:color w:val="000000" w:themeColor="text1"/>
          <w:sz w:val="24"/>
          <w:szCs w:val="24"/>
          <w:lang w:eastAsia="es-ES"/>
        </w:rPr>
        <w:tab/>
      </w:r>
      <w:r>
        <w:rPr>
          <w:rFonts w:asciiTheme="minorHAnsi" w:hAnsiTheme="minorHAnsi"/>
          <w:b/>
          <w:color w:val="000000" w:themeColor="text1"/>
          <w:sz w:val="24"/>
          <w:szCs w:val="24"/>
          <w:lang w:eastAsia="es-ES"/>
        </w:rPr>
        <w:t>Rendition and Diplomatic Assurances</w:t>
      </w:r>
    </w:p>
    <w:p w14:paraId="3D11CD58" w14:textId="10F6D807" w:rsidR="004351C5" w:rsidRPr="006439F7" w:rsidRDefault="00BE3FDF" w:rsidP="00056111">
      <w:pPr>
        <w:pStyle w:val="SingleTxtG"/>
        <w:numPr>
          <w:ilvl w:val="0"/>
          <w:numId w:val="3"/>
        </w:numPr>
        <w:spacing w:after="0" w:line="240" w:lineRule="auto"/>
        <w:ind w:right="0"/>
        <w:rPr>
          <w:rFonts w:asciiTheme="minorHAnsi" w:hAnsiTheme="minorHAnsi"/>
          <w:bCs/>
          <w:color w:val="000000" w:themeColor="text1"/>
          <w:sz w:val="24"/>
          <w:szCs w:val="24"/>
        </w:rPr>
      </w:pPr>
      <w:r w:rsidRPr="006439F7">
        <w:rPr>
          <w:rFonts w:asciiTheme="minorHAnsi" w:hAnsiTheme="minorHAnsi"/>
          <w:bCs/>
          <w:color w:val="000000" w:themeColor="text1"/>
          <w:sz w:val="24"/>
          <w:szCs w:val="24"/>
        </w:rPr>
        <w:t xml:space="preserve">In </w:t>
      </w:r>
      <w:r w:rsidR="000A08B0" w:rsidRPr="006439F7">
        <w:rPr>
          <w:rFonts w:asciiTheme="minorHAnsi" w:hAnsiTheme="minorHAnsi"/>
          <w:bCs/>
          <w:color w:val="000000" w:themeColor="text1"/>
          <w:sz w:val="24"/>
          <w:szCs w:val="24"/>
        </w:rPr>
        <w:t>ICCL’s submission to the List of Issues, we made reference to the continuing position of the</w:t>
      </w:r>
      <w:r w:rsidR="00C92AEE">
        <w:rPr>
          <w:rFonts w:asciiTheme="minorHAnsi" w:hAnsiTheme="minorHAnsi"/>
          <w:bCs/>
          <w:color w:val="000000" w:themeColor="text1"/>
          <w:sz w:val="24"/>
          <w:szCs w:val="24"/>
        </w:rPr>
        <w:t xml:space="preserve"> Irish Government that it relies</w:t>
      </w:r>
      <w:r w:rsidR="000A08B0" w:rsidRPr="006439F7">
        <w:rPr>
          <w:rFonts w:asciiTheme="minorHAnsi" w:hAnsiTheme="minorHAnsi"/>
          <w:bCs/>
          <w:color w:val="000000" w:themeColor="text1"/>
          <w:sz w:val="24"/>
          <w:szCs w:val="24"/>
        </w:rPr>
        <w:t xml:space="preserve"> on diplomatic assurances from the United States Government with regard to the possible transporting of prisoners or detainees through Irish airspace. </w:t>
      </w:r>
      <w:r w:rsidRPr="006439F7">
        <w:rPr>
          <w:rFonts w:asciiTheme="minorHAnsi" w:hAnsiTheme="minorHAnsi"/>
          <w:bCs/>
          <w:color w:val="000000" w:themeColor="text1"/>
          <w:sz w:val="24"/>
          <w:szCs w:val="24"/>
        </w:rPr>
        <w:t xml:space="preserve">It is submitted </w:t>
      </w:r>
      <w:r w:rsidR="00C92AEE">
        <w:rPr>
          <w:rFonts w:asciiTheme="minorHAnsi" w:hAnsiTheme="minorHAnsi"/>
          <w:bCs/>
          <w:color w:val="000000" w:themeColor="text1"/>
          <w:sz w:val="24"/>
          <w:szCs w:val="24"/>
        </w:rPr>
        <w:t>here</w:t>
      </w:r>
      <w:r w:rsidR="000A08B0" w:rsidRPr="006439F7">
        <w:rPr>
          <w:rFonts w:asciiTheme="minorHAnsi" w:hAnsiTheme="minorHAnsi"/>
          <w:bCs/>
          <w:color w:val="000000" w:themeColor="text1"/>
          <w:sz w:val="24"/>
          <w:szCs w:val="24"/>
        </w:rPr>
        <w:t xml:space="preserve"> again that such an approach is </w:t>
      </w:r>
      <w:r w:rsidRPr="006439F7">
        <w:rPr>
          <w:rFonts w:asciiTheme="minorHAnsi" w:hAnsiTheme="minorHAnsi"/>
          <w:bCs/>
          <w:color w:val="000000" w:themeColor="text1"/>
          <w:sz w:val="24"/>
          <w:szCs w:val="24"/>
        </w:rPr>
        <w:t xml:space="preserve">insufficient to discharge Ireland’s obligations under </w:t>
      </w:r>
      <w:r w:rsidR="004420DA" w:rsidRPr="006439F7">
        <w:rPr>
          <w:rFonts w:asciiTheme="minorHAnsi" w:hAnsiTheme="minorHAnsi"/>
          <w:bCs/>
          <w:color w:val="000000" w:themeColor="text1"/>
          <w:sz w:val="24"/>
          <w:szCs w:val="24"/>
        </w:rPr>
        <w:t>UNCAT, and</w:t>
      </w:r>
      <w:r w:rsidR="000A08B0" w:rsidRPr="006439F7">
        <w:rPr>
          <w:rFonts w:asciiTheme="minorHAnsi" w:hAnsiTheme="minorHAnsi"/>
          <w:bCs/>
          <w:color w:val="000000" w:themeColor="text1"/>
          <w:sz w:val="24"/>
          <w:szCs w:val="24"/>
        </w:rPr>
        <w:t xml:space="preserve"> that an effective inspection system of planes tr</w:t>
      </w:r>
      <w:r w:rsidR="00955644" w:rsidRPr="006439F7">
        <w:rPr>
          <w:rFonts w:asciiTheme="minorHAnsi" w:hAnsiTheme="minorHAnsi"/>
          <w:bCs/>
          <w:color w:val="000000" w:themeColor="text1"/>
          <w:sz w:val="24"/>
          <w:szCs w:val="24"/>
        </w:rPr>
        <w:t>avelling through Irish airport</w:t>
      </w:r>
      <w:r w:rsidR="001413F5">
        <w:rPr>
          <w:rFonts w:asciiTheme="minorHAnsi" w:hAnsiTheme="minorHAnsi"/>
          <w:bCs/>
          <w:color w:val="000000" w:themeColor="text1"/>
          <w:sz w:val="24"/>
          <w:szCs w:val="24"/>
        </w:rPr>
        <w:t>s</w:t>
      </w:r>
      <w:r w:rsidR="004420DA" w:rsidRPr="006439F7">
        <w:rPr>
          <w:rFonts w:asciiTheme="minorHAnsi" w:hAnsiTheme="minorHAnsi"/>
          <w:bCs/>
          <w:color w:val="000000" w:themeColor="text1"/>
          <w:sz w:val="24"/>
          <w:szCs w:val="24"/>
        </w:rPr>
        <w:t xml:space="preserve"> </w:t>
      </w:r>
      <w:r w:rsidR="000A08B0" w:rsidRPr="006439F7">
        <w:rPr>
          <w:rFonts w:asciiTheme="minorHAnsi" w:hAnsiTheme="minorHAnsi"/>
          <w:bCs/>
          <w:color w:val="000000" w:themeColor="text1"/>
          <w:sz w:val="24"/>
          <w:szCs w:val="24"/>
        </w:rPr>
        <w:t xml:space="preserve">should be in </w:t>
      </w:r>
      <w:r w:rsidR="004420DA" w:rsidRPr="006439F7">
        <w:rPr>
          <w:rFonts w:asciiTheme="minorHAnsi" w:hAnsiTheme="minorHAnsi"/>
          <w:bCs/>
          <w:color w:val="000000" w:themeColor="text1"/>
          <w:sz w:val="24"/>
          <w:szCs w:val="24"/>
        </w:rPr>
        <w:t>place as a preventative measure. This issue should also be considered in developing the Irish NPM under OPCAT.</w:t>
      </w:r>
    </w:p>
    <w:p w14:paraId="5BDCAA46" w14:textId="77777777" w:rsidR="004351C5" w:rsidRDefault="004351C5" w:rsidP="004351C5">
      <w:pPr>
        <w:pStyle w:val="SingleTxtG"/>
        <w:spacing w:after="0" w:line="240" w:lineRule="auto"/>
        <w:ind w:left="720" w:right="0"/>
        <w:rPr>
          <w:rFonts w:asciiTheme="minorHAnsi" w:hAnsiTheme="minorHAnsi"/>
          <w:bCs/>
          <w:color w:val="000000" w:themeColor="text1"/>
          <w:sz w:val="24"/>
          <w:szCs w:val="24"/>
        </w:rPr>
      </w:pPr>
    </w:p>
    <w:p w14:paraId="58D18466" w14:textId="78D1250D" w:rsidR="009B70BF" w:rsidRPr="009B70BF" w:rsidRDefault="009B70BF" w:rsidP="004351C5">
      <w:pPr>
        <w:pStyle w:val="SingleTxtG"/>
        <w:spacing w:after="0" w:line="240" w:lineRule="auto"/>
        <w:ind w:left="720" w:right="0"/>
        <w:rPr>
          <w:rFonts w:asciiTheme="minorHAnsi" w:hAnsiTheme="minorHAnsi"/>
          <w:b/>
          <w:bCs/>
          <w:color w:val="000000" w:themeColor="text1"/>
          <w:sz w:val="24"/>
          <w:szCs w:val="24"/>
        </w:rPr>
      </w:pPr>
      <w:r>
        <w:rPr>
          <w:rFonts w:asciiTheme="minorHAnsi" w:hAnsiTheme="minorHAnsi"/>
          <w:b/>
          <w:bCs/>
          <w:color w:val="000000" w:themeColor="text1"/>
          <w:sz w:val="24"/>
          <w:szCs w:val="24"/>
        </w:rPr>
        <w:t>Pre-Clearance Agreements</w:t>
      </w:r>
    </w:p>
    <w:p w14:paraId="53844502" w14:textId="1C1E8E72" w:rsidR="003175B7" w:rsidRPr="006439F7" w:rsidRDefault="003175B7" w:rsidP="00056111">
      <w:pPr>
        <w:pStyle w:val="SingleTxtG"/>
        <w:numPr>
          <w:ilvl w:val="0"/>
          <w:numId w:val="3"/>
        </w:numPr>
        <w:spacing w:after="0" w:line="240" w:lineRule="auto"/>
        <w:ind w:right="0"/>
        <w:rPr>
          <w:rFonts w:asciiTheme="minorHAnsi" w:hAnsiTheme="minorHAnsi"/>
          <w:bCs/>
          <w:color w:val="000000" w:themeColor="text1"/>
          <w:sz w:val="24"/>
          <w:szCs w:val="24"/>
        </w:rPr>
      </w:pPr>
      <w:r w:rsidRPr="006439F7">
        <w:rPr>
          <w:rFonts w:asciiTheme="minorHAnsi" w:hAnsiTheme="minorHAnsi"/>
          <w:bCs/>
          <w:color w:val="000000" w:themeColor="text1"/>
          <w:sz w:val="24"/>
          <w:szCs w:val="24"/>
        </w:rPr>
        <w:t>In January 2017, ICCL and other Irish and international civil society organisations expressed serious concerns in relation to the Executive Order issued by the US Government relating to the exclusion from travel to the United States of refugees and nationals from named countries (referred to as the “Muslim Ban”). Of particular concern to Irish human rights bodies was the application of the Executive Order in Ireland, as one of a small number of countries which operates a “pre-clearance” agreement with the United States.</w:t>
      </w:r>
      <w:r w:rsidR="0017097A" w:rsidRPr="006439F7">
        <w:rPr>
          <w:rStyle w:val="FootnoteReference"/>
          <w:rFonts w:asciiTheme="minorHAnsi" w:hAnsiTheme="minorHAnsi"/>
          <w:bCs/>
          <w:color w:val="000000" w:themeColor="text1"/>
          <w:sz w:val="24"/>
          <w:szCs w:val="24"/>
        </w:rPr>
        <w:footnoteReference w:id="14"/>
      </w:r>
      <w:r w:rsidRPr="006439F7">
        <w:rPr>
          <w:rFonts w:asciiTheme="minorHAnsi" w:hAnsiTheme="minorHAnsi"/>
          <w:bCs/>
          <w:color w:val="000000" w:themeColor="text1"/>
          <w:sz w:val="24"/>
          <w:szCs w:val="24"/>
        </w:rPr>
        <w:t xml:space="preserve"> Under this agreement, air passengers travelling through Dublin or Shannon airports can be processed by US immigration controls prior to travel to the United States. Our concern was that the cooperation and facilitation of this system by Irish officials could involve Ireland or its officials in applying a law which might precipitate violations of international law, including the prohibition on </w:t>
      </w:r>
      <w:r w:rsidRPr="006439F7">
        <w:rPr>
          <w:rFonts w:asciiTheme="minorHAnsi" w:hAnsiTheme="minorHAnsi"/>
          <w:bCs/>
          <w:i/>
          <w:color w:val="000000" w:themeColor="text1"/>
          <w:sz w:val="24"/>
          <w:szCs w:val="24"/>
        </w:rPr>
        <w:t>non-refoulement.</w:t>
      </w:r>
      <w:r w:rsidR="0017097A" w:rsidRPr="006439F7">
        <w:rPr>
          <w:rFonts w:asciiTheme="minorHAnsi" w:hAnsiTheme="minorHAnsi"/>
          <w:bCs/>
          <w:color w:val="000000" w:themeColor="text1"/>
          <w:sz w:val="24"/>
          <w:szCs w:val="24"/>
        </w:rPr>
        <w:t xml:space="preserve"> The Irish Government responded by commissioning a “complete review” of the operation of the pre-clearance system. Th</w:t>
      </w:r>
      <w:r w:rsidR="001413F5">
        <w:rPr>
          <w:rFonts w:asciiTheme="minorHAnsi" w:hAnsiTheme="minorHAnsi"/>
          <w:bCs/>
          <w:color w:val="000000" w:themeColor="text1"/>
          <w:sz w:val="24"/>
          <w:szCs w:val="24"/>
        </w:rPr>
        <w:t>e</w:t>
      </w:r>
      <w:r w:rsidR="0017097A" w:rsidRPr="006439F7">
        <w:rPr>
          <w:rFonts w:asciiTheme="minorHAnsi" w:hAnsiTheme="minorHAnsi"/>
          <w:bCs/>
          <w:color w:val="000000" w:themeColor="text1"/>
          <w:sz w:val="24"/>
          <w:szCs w:val="24"/>
        </w:rPr>
        <w:t xml:space="preserve"> results of this review have not been made public.</w:t>
      </w:r>
    </w:p>
    <w:p w14:paraId="2EF7D1B9" w14:textId="77777777" w:rsidR="00BE3FDF" w:rsidRPr="006439F7" w:rsidRDefault="00BE3FDF" w:rsidP="00BE3FDF">
      <w:pPr>
        <w:pStyle w:val="SingleTxtG"/>
        <w:tabs>
          <w:tab w:val="left" w:pos="9356"/>
        </w:tabs>
        <w:spacing w:after="0" w:line="240" w:lineRule="auto"/>
        <w:ind w:left="0" w:right="4"/>
        <w:rPr>
          <w:rFonts w:asciiTheme="minorHAnsi" w:hAnsiTheme="minorHAnsi"/>
          <w:bCs/>
          <w:color w:val="000000" w:themeColor="text1"/>
          <w:sz w:val="24"/>
          <w:szCs w:val="24"/>
        </w:rPr>
      </w:pPr>
    </w:p>
    <w:p w14:paraId="74356EBC" w14:textId="1A60A46F" w:rsidR="00BE3FDF" w:rsidRPr="006439F7" w:rsidRDefault="003175B7" w:rsidP="00BE3FDF">
      <w:pPr>
        <w:pStyle w:val="SingleTxtG"/>
        <w:tabs>
          <w:tab w:val="left" w:pos="9356"/>
        </w:tabs>
        <w:spacing w:after="0" w:line="240" w:lineRule="auto"/>
        <w:ind w:left="0" w:right="4"/>
        <w:rPr>
          <w:rFonts w:asciiTheme="minorHAnsi" w:hAnsiTheme="minorHAnsi"/>
          <w:b/>
          <w:bCs/>
          <w:color w:val="000000" w:themeColor="text1"/>
          <w:sz w:val="24"/>
          <w:szCs w:val="24"/>
        </w:rPr>
      </w:pPr>
      <w:r w:rsidRPr="006439F7">
        <w:rPr>
          <w:rFonts w:asciiTheme="minorHAnsi" w:hAnsiTheme="minorHAnsi"/>
          <w:b/>
          <w:bCs/>
          <w:color w:val="000000" w:themeColor="text1"/>
          <w:sz w:val="24"/>
          <w:szCs w:val="24"/>
        </w:rPr>
        <w:t>Recommendation:</w:t>
      </w:r>
    </w:p>
    <w:p w14:paraId="40E61BE8" w14:textId="77777777" w:rsidR="00BE3FDF" w:rsidRPr="006439F7" w:rsidRDefault="00BE3FDF" w:rsidP="00BE3FDF">
      <w:pPr>
        <w:pStyle w:val="SingleTxtG"/>
        <w:tabs>
          <w:tab w:val="left" w:pos="9356"/>
        </w:tabs>
        <w:spacing w:after="0" w:line="240" w:lineRule="auto"/>
        <w:ind w:left="0" w:right="4"/>
        <w:rPr>
          <w:rFonts w:asciiTheme="minorHAnsi" w:hAnsiTheme="minorHAnsi"/>
          <w:b/>
          <w:bCs/>
          <w:color w:val="000000" w:themeColor="text1"/>
          <w:sz w:val="24"/>
          <w:szCs w:val="24"/>
        </w:rPr>
      </w:pPr>
      <w:r w:rsidRPr="006439F7">
        <w:rPr>
          <w:rFonts w:asciiTheme="minorHAnsi" w:hAnsiTheme="minorHAnsi"/>
          <w:b/>
          <w:bCs/>
          <w:color w:val="000000" w:themeColor="text1"/>
          <w:sz w:val="24"/>
          <w:szCs w:val="24"/>
        </w:rPr>
        <w:t xml:space="preserve"> </w:t>
      </w:r>
    </w:p>
    <w:p w14:paraId="56C965A0" w14:textId="0F858F23" w:rsidR="00BE3FDF" w:rsidRPr="006439F7" w:rsidRDefault="00416934" w:rsidP="00056111">
      <w:pPr>
        <w:pStyle w:val="SingleTxtG"/>
        <w:numPr>
          <w:ilvl w:val="0"/>
          <w:numId w:val="3"/>
        </w:numPr>
        <w:tabs>
          <w:tab w:val="left" w:pos="9356"/>
        </w:tabs>
        <w:spacing w:after="0" w:line="240" w:lineRule="auto"/>
        <w:ind w:right="4"/>
        <w:rPr>
          <w:rFonts w:asciiTheme="minorHAnsi" w:hAnsiTheme="minorHAnsi"/>
          <w:b/>
          <w:bCs/>
          <w:color w:val="000000" w:themeColor="text1"/>
          <w:sz w:val="24"/>
          <w:szCs w:val="24"/>
        </w:rPr>
      </w:pPr>
      <w:r>
        <w:rPr>
          <w:rFonts w:asciiTheme="minorHAnsi" w:hAnsiTheme="minorHAnsi"/>
          <w:b/>
          <w:bCs/>
          <w:color w:val="000000" w:themeColor="text1"/>
          <w:sz w:val="24"/>
          <w:szCs w:val="24"/>
        </w:rPr>
        <w:t>A</w:t>
      </w:r>
      <w:r w:rsidR="003175B7" w:rsidRPr="006439F7">
        <w:rPr>
          <w:rFonts w:asciiTheme="minorHAnsi" w:hAnsiTheme="minorHAnsi"/>
          <w:b/>
          <w:bCs/>
          <w:color w:val="000000" w:themeColor="text1"/>
          <w:sz w:val="24"/>
          <w:szCs w:val="24"/>
        </w:rPr>
        <w:t>n effective system for inspecting all aircraft</w:t>
      </w:r>
      <w:r w:rsidR="001413F5">
        <w:rPr>
          <w:rFonts w:asciiTheme="minorHAnsi" w:hAnsiTheme="minorHAnsi"/>
          <w:b/>
          <w:bCs/>
          <w:color w:val="000000" w:themeColor="text1"/>
          <w:sz w:val="24"/>
          <w:szCs w:val="24"/>
        </w:rPr>
        <w:t>s</w:t>
      </w:r>
      <w:r w:rsidR="003175B7" w:rsidRPr="006439F7">
        <w:rPr>
          <w:rFonts w:asciiTheme="minorHAnsi" w:hAnsiTheme="minorHAnsi"/>
          <w:b/>
          <w:bCs/>
          <w:color w:val="000000" w:themeColor="text1"/>
          <w:sz w:val="24"/>
          <w:szCs w:val="24"/>
        </w:rPr>
        <w:t xml:space="preserve"> that pass through Irish airports</w:t>
      </w:r>
      <w:r>
        <w:rPr>
          <w:rFonts w:asciiTheme="minorHAnsi" w:hAnsiTheme="minorHAnsi"/>
          <w:b/>
          <w:bCs/>
          <w:color w:val="000000" w:themeColor="text1"/>
          <w:sz w:val="24"/>
          <w:szCs w:val="24"/>
        </w:rPr>
        <w:t xml:space="preserve"> must be put in place;</w:t>
      </w:r>
      <w:r w:rsidR="003175B7" w:rsidRPr="006439F7">
        <w:rPr>
          <w:rFonts w:asciiTheme="minorHAnsi" w:hAnsiTheme="minorHAnsi"/>
          <w:b/>
          <w:bCs/>
          <w:color w:val="000000" w:themeColor="text1"/>
          <w:sz w:val="24"/>
          <w:szCs w:val="24"/>
        </w:rPr>
        <w:t xml:space="preserve"> and </w:t>
      </w:r>
      <w:r w:rsidR="00BE3FDF" w:rsidRPr="006439F7">
        <w:rPr>
          <w:rFonts w:asciiTheme="minorHAnsi" w:hAnsiTheme="minorHAnsi"/>
          <w:b/>
          <w:bCs/>
          <w:color w:val="000000" w:themeColor="text1"/>
          <w:sz w:val="24"/>
          <w:szCs w:val="24"/>
        </w:rPr>
        <w:t>details</w:t>
      </w:r>
      <w:r w:rsidRPr="00416934">
        <w:rPr>
          <w:rFonts w:asciiTheme="minorHAnsi" w:hAnsiTheme="minorHAnsi"/>
          <w:b/>
          <w:bCs/>
          <w:color w:val="000000" w:themeColor="text1"/>
          <w:sz w:val="24"/>
          <w:szCs w:val="24"/>
        </w:rPr>
        <w:t xml:space="preserve"> </w:t>
      </w:r>
      <w:r>
        <w:rPr>
          <w:rFonts w:asciiTheme="minorHAnsi" w:hAnsiTheme="minorHAnsi"/>
          <w:b/>
          <w:bCs/>
          <w:color w:val="000000" w:themeColor="text1"/>
          <w:sz w:val="24"/>
          <w:szCs w:val="24"/>
        </w:rPr>
        <w:t>should be provided</w:t>
      </w:r>
      <w:r w:rsidR="00BE3FDF" w:rsidRPr="006439F7">
        <w:rPr>
          <w:rFonts w:asciiTheme="minorHAnsi" w:hAnsiTheme="minorHAnsi"/>
          <w:b/>
          <w:bCs/>
          <w:color w:val="000000" w:themeColor="text1"/>
          <w:sz w:val="24"/>
          <w:szCs w:val="24"/>
        </w:rPr>
        <w:t xml:space="preserve">, including the procedural format, of </w:t>
      </w:r>
      <w:r>
        <w:rPr>
          <w:rFonts w:asciiTheme="minorHAnsi" w:hAnsiTheme="minorHAnsi"/>
          <w:b/>
          <w:bCs/>
          <w:color w:val="000000" w:themeColor="text1"/>
          <w:sz w:val="24"/>
          <w:szCs w:val="24"/>
        </w:rPr>
        <w:t xml:space="preserve">any </w:t>
      </w:r>
      <w:r w:rsidR="003A6A24">
        <w:rPr>
          <w:rFonts w:asciiTheme="minorHAnsi" w:hAnsiTheme="minorHAnsi"/>
          <w:b/>
          <w:bCs/>
          <w:color w:val="000000" w:themeColor="text1"/>
          <w:sz w:val="24"/>
          <w:szCs w:val="24"/>
        </w:rPr>
        <w:t>inspections</w:t>
      </w:r>
      <w:r w:rsidR="00BE3FDF" w:rsidRPr="006439F7">
        <w:rPr>
          <w:rFonts w:asciiTheme="minorHAnsi" w:hAnsiTheme="minorHAnsi"/>
          <w:b/>
          <w:bCs/>
          <w:color w:val="000000" w:themeColor="text1"/>
          <w:sz w:val="24"/>
          <w:szCs w:val="24"/>
        </w:rPr>
        <w:t xml:space="preserve"> </w:t>
      </w:r>
      <w:r>
        <w:rPr>
          <w:rFonts w:asciiTheme="minorHAnsi" w:hAnsiTheme="minorHAnsi"/>
          <w:b/>
          <w:bCs/>
          <w:color w:val="000000" w:themeColor="text1"/>
          <w:sz w:val="24"/>
          <w:szCs w:val="24"/>
        </w:rPr>
        <w:t xml:space="preserve">carried out </w:t>
      </w:r>
      <w:r w:rsidR="00BE3FDF" w:rsidRPr="006439F7">
        <w:rPr>
          <w:rFonts w:asciiTheme="minorHAnsi" w:hAnsiTheme="minorHAnsi"/>
          <w:b/>
          <w:bCs/>
          <w:color w:val="000000" w:themeColor="text1"/>
          <w:sz w:val="24"/>
          <w:szCs w:val="24"/>
        </w:rPr>
        <w:t xml:space="preserve">to ensure prisoners who are subject to rendition are not passing through Irish territory. </w:t>
      </w:r>
      <w:r w:rsidR="003A6A24">
        <w:rPr>
          <w:rFonts w:asciiTheme="minorHAnsi" w:hAnsiTheme="minorHAnsi"/>
          <w:b/>
          <w:bCs/>
          <w:color w:val="000000" w:themeColor="text1"/>
          <w:sz w:val="24"/>
          <w:szCs w:val="24"/>
        </w:rPr>
        <w:t>An effective regime of inspections should include unannounced inspections.</w:t>
      </w:r>
    </w:p>
    <w:p w14:paraId="7277C3CC" w14:textId="77777777" w:rsidR="003175B7" w:rsidRPr="006439F7" w:rsidRDefault="003175B7" w:rsidP="004420DA">
      <w:pPr>
        <w:pStyle w:val="SingleTxtG"/>
        <w:tabs>
          <w:tab w:val="left" w:pos="9356"/>
        </w:tabs>
        <w:spacing w:after="0" w:line="240" w:lineRule="auto"/>
        <w:ind w:left="0" w:right="4"/>
        <w:rPr>
          <w:rFonts w:asciiTheme="minorHAnsi" w:hAnsiTheme="minorHAnsi"/>
          <w:b/>
          <w:bCs/>
          <w:color w:val="000000" w:themeColor="text1"/>
          <w:sz w:val="24"/>
          <w:szCs w:val="24"/>
        </w:rPr>
      </w:pPr>
    </w:p>
    <w:p w14:paraId="779F5D9F" w14:textId="6672FD09" w:rsidR="003175B7" w:rsidRPr="006439F7" w:rsidRDefault="00416934" w:rsidP="00056111">
      <w:pPr>
        <w:pStyle w:val="SingleTxtG"/>
        <w:numPr>
          <w:ilvl w:val="0"/>
          <w:numId w:val="3"/>
        </w:numPr>
        <w:tabs>
          <w:tab w:val="left" w:pos="9356"/>
        </w:tabs>
        <w:spacing w:after="0" w:line="240" w:lineRule="auto"/>
        <w:ind w:right="4"/>
        <w:rPr>
          <w:rFonts w:asciiTheme="minorHAnsi" w:hAnsiTheme="minorHAnsi"/>
          <w:b/>
          <w:color w:val="000000" w:themeColor="text1"/>
          <w:sz w:val="24"/>
          <w:szCs w:val="24"/>
        </w:rPr>
      </w:pPr>
      <w:r>
        <w:rPr>
          <w:rFonts w:asciiTheme="minorHAnsi" w:hAnsiTheme="minorHAnsi"/>
          <w:b/>
          <w:bCs/>
          <w:color w:val="000000" w:themeColor="text1"/>
          <w:sz w:val="24"/>
          <w:szCs w:val="24"/>
        </w:rPr>
        <w:t>The</w:t>
      </w:r>
      <w:r w:rsidR="003946C7">
        <w:rPr>
          <w:rFonts w:asciiTheme="minorHAnsi" w:hAnsiTheme="minorHAnsi"/>
          <w:b/>
          <w:bCs/>
          <w:color w:val="000000" w:themeColor="text1"/>
          <w:sz w:val="24"/>
          <w:szCs w:val="24"/>
        </w:rPr>
        <w:t xml:space="preserve"> </w:t>
      </w:r>
      <w:r w:rsidR="00CC77A8">
        <w:rPr>
          <w:rFonts w:asciiTheme="minorHAnsi" w:hAnsiTheme="minorHAnsi"/>
          <w:b/>
          <w:bCs/>
          <w:color w:val="000000" w:themeColor="text1"/>
          <w:sz w:val="24"/>
          <w:szCs w:val="24"/>
        </w:rPr>
        <w:t>State</w:t>
      </w:r>
      <w:r>
        <w:rPr>
          <w:rFonts w:asciiTheme="minorHAnsi" w:hAnsiTheme="minorHAnsi"/>
          <w:b/>
          <w:bCs/>
          <w:color w:val="000000" w:themeColor="text1"/>
          <w:sz w:val="24"/>
          <w:szCs w:val="24"/>
        </w:rPr>
        <w:t xml:space="preserve"> should</w:t>
      </w:r>
      <w:r w:rsidR="003175B7" w:rsidRPr="006439F7">
        <w:rPr>
          <w:rFonts w:asciiTheme="minorHAnsi" w:hAnsiTheme="minorHAnsi"/>
          <w:b/>
          <w:bCs/>
          <w:color w:val="000000" w:themeColor="text1"/>
          <w:sz w:val="24"/>
          <w:szCs w:val="24"/>
        </w:rPr>
        <w:t xml:space="preserve"> make public the report into the operat</w:t>
      </w:r>
      <w:r w:rsidR="0017097A" w:rsidRPr="006439F7">
        <w:rPr>
          <w:rFonts w:asciiTheme="minorHAnsi" w:hAnsiTheme="minorHAnsi"/>
          <w:b/>
          <w:bCs/>
          <w:color w:val="000000" w:themeColor="text1"/>
          <w:sz w:val="24"/>
          <w:szCs w:val="24"/>
        </w:rPr>
        <w:t>ion of the pre-clearance system</w:t>
      </w:r>
      <w:r w:rsidR="008E536A">
        <w:rPr>
          <w:rFonts w:asciiTheme="minorHAnsi" w:hAnsiTheme="minorHAnsi"/>
          <w:b/>
          <w:bCs/>
          <w:color w:val="000000" w:themeColor="text1"/>
          <w:sz w:val="24"/>
          <w:szCs w:val="24"/>
        </w:rPr>
        <w:t xml:space="preserve"> of US immigration control at Dublin and Shannon airports</w:t>
      </w:r>
      <w:r w:rsidR="0017097A" w:rsidRPr="006439F7">
        <w:rPr>
          <w:rFonts w:asciiTheme="minorHAnsi" w:hAnsiTheme="minorHAnsi"/>
          <w:b/>
          <w:bCs/>
          <w:color w:val="000000" w:themeColor="text1"/>
          <w:sz w:val="24"/>
          <w:szCs w:val="24"/>
        </w:rPr>
        <w:t xml:space="preserve">, and to make clear whether </w:t>
      </w:r>
      <w:r w:rsidR="00CD0216" w:rsidRPr="006439F7">
        <w:rPr>
          <w:rFonts w:asciiTheme="minorHAnsi" w:hAnsiTheme="minorHAnsi"/>
          <w:b/>
          <w:bCs/>
          <w:color w:val="000000" w:themeColor="text1"/>
          <w:sz w:val="24"/>
          <w:szCs w:val="24"/>
        </w:rPr>
        <w:t xml:space="preserve">the operation of the pre-clearance system is fully consistent with Ireland’s human rights obligations taking into account recent US policy on travel and migration. </w:t>
      </w:r>
    </w:p>
    <w:p w14:paraId="074C9CDF" w14:textId="77777777" w:rsidR="00BE3FDF" w:rsidRPr="006439F7" w:rsidRDefault="00BE3FDF" w:rsidP="00BE3FDF">
      <w:pPr>
        <w:pStyle w:val="Heading1"/>
        <w:spacing w:before="0" w:beforeAutospacing="0" w:after="0" w:afterAutospacing="0"/>
        <w:rPr>
          <w:rFonts w:asciiTheme="minorHAnsi" w:hAnsiTheme="minorHAnsi"/>
          <w:color w:val="000000" w:themeColor="text1"/>
          <w:sz w:val="24"/>
          <w:szCs w:val="24"/>
        </w:rPr>
      </w:pPr>
      <w:bookmarkStart w:id="0" w:name="_Toc364260898"/>
    </w:p>
    <w:bookmarkEnd w:id="0"/>
    <w:p w14:paraId="45609996" w14:textId="5B4B7943" w:rsidR="00787128" w:rsidRPr="006439F7" w:rsidRDefault="00787128" w:rsidP="00972C50">
      <w:pPr>
        <w:pStyle w:val="SingleTxtG"/>
        <w:spacing w:after="0" w:line="240" w:lineRule="auto"/>
        <w:ind w:left="0"/>
        <w:rPr>
          <w:rFonts w:asciiTheme="minorHAnsi" w:hAnsiTheme="minorHAnsi"/>
          <w:color w:val="000000" w:themeColor="text1"/>
          <w:sz w:val="24"/>
          <w:szCs w:val="24"/>
          <w:lang w:eastAsia="es-ES"/>
        </w:rPr>
      </w:pPr>
      <w:r w:rsidRPr="006439F7">
        <w:rPr>
          <w:rFonts w:asciiTheme="minorHAnsi" w:hAnsiTheme="minorHAnsi"/>
          <w:color w:val="000000" w:themeColor="text1"/>
          <w:sz w:val="24"/>
          <w:szCs w:val="24"/>
          <w:lang w:eastAsia="es-ES"/>
        </w:rPr>
        <w:br w:type="page"/>
      </w:r>
    </w:p>
    <w:p w14:paraId="2D81012F" w14:textId="77777777" w:rsidR="00C65089" w:rsidRPr="008E536A" w:rsidRDefault="00C65089" w:rsidP="00972C50">
      <w:pPr>
        <w:pStyle w:val="SingleTxtG"/>
        <w:spacing w:after="0" w:line="240" w:lineRule="auto"/>
        <w:ind w:left="0"/>
        <w:rPr>
          <w:rFonts w:asciiTheme="minorHAnsi" w:hAnsiTheme="minorHAnsi"/>
          <w:b/>
          <w:color w:val="000000" w:themeColor="text1"/>
          <w:sz w:val="24"/>
          <w:szCs w:val="24"/>
          <w:lang w:eastAsia="es-ES"/>
        </w:rPr>
      </w:pPr>
      <w:r w:rsidRPr="008E536A">
        <w:rPr>
          <w:rFonts w:asciiTheme="minorHAnsi" w:hAnsiTheme="minorHAnsi"/>
          <w:b/>
          <w:color w:val="000000" w:themeColor="text1"/>
          <w:sz w:val="24"/>
          <w:szCs w:val="24"/>
          <w:lang w:eastAsia="es-ES"/>
        </w:rPr>
        <w:lastRenderedPageBreak/>
        <w:t>Section 5:</w:t>
      </w:r>
      <w:r w:rsidRPr="008E536A">
        <w:rPr>
          <w:rFonts w:asciiTheme="minorHAnsi" w:hAnsiTheme="minorHAnsi"/>
          <w:b/>
          <w:color w:val="000000" w:themeColor="text1"/>
          <w:sz w:val="24"/>
          <w:szCs w:val="24"/>
          <w:lang w:eastAsia="es-ES"/>
        </w:rPr>
        <w:tab/>
        <w:t>Complaints of I</w:t>
      </w:r>
      <w:r w:rsidR="00EA5E7C" w:rsidRPr="008E536A">
        <w:rPr>
          <w:rFonts w:asciiTheme="minorHAnsi" w:hAnsiTheme="minorHAnsi"/>
          <w:b/>
          <w:color w:val="000000" w:themeColor="text1"/>
          <w:sz w:val="24"/>
          <w:szCs w:val="24"/>
          <w:lang w:eastAsia="es-ES"/>
        </w:rPr>
        <w:t>ll-treatment by members of An Garda Síochána</w:t>
      </w:r>
    </w:p>
    <w:p w14:paraId="6B15FBBF" w14:textId="3172677E" w:rsidR="000B1071" w:rsidRPr="008E536A" w:rsidRDefault="00C65089" w:rsidP="00C65089">
      <w:pPr>
        <w:pStyle w:val="SingleTxtG"/>
        <w:spacing w:after="0" w:line="240" w:lineRule="auto"/>
        <w:ind w:left="1440"/>
        <w:rPr>
          <w:rFonts w:asciiTheme="minorHAnsi" w:hAnsiTheme="minorHAnsi"/>
          <w:b/>
          <w:color w:val="000000" w:themeColor="text1"/>
          <w:sz w:val="24"/>
          <w:szCs w:val="24"/>
          <w:lang w:eastAsia="es-ES"/>
        </w:rPr>
      </w:pPr>
      <w:r w:rsidRPr="008E536A">
        <w:rPr>
          <w:rFonts w:asciiTheme="minorHAnsi" w:hAnsiTheme="minorHAnsi"/>
          <w:b/>
          <w:color w:val="000000" w:themeColor="text1"/>
          <w:sz w:val="24"/>
          <w:szCs w:val="24"/>
          <w:lang w:eastAsia="es-ES"/>
        </w:rPr>
        <w:t>In</w:t>
      </w:r>
      <w:r w:rsidR="00974BB3" w:rsidRPr="008E536A">
        <w:rPr>
          <w:rFonts w:asciiTheme="minorHAnsi" w:hAnsiTheme="minorHAnsi"/>
          <w:b/>
          <w:color w:val="000000" w:themeColor="text1"/>
          <w:sz w:val="24"/>
          <w:szCs w:val="24"/>
          <w:lang w:eastAsia="es-ES"/>
        </w:rPr>
        <w:t xml:space="preserve">vestigation </w:t>
      </w:r>
      <w:r w:rsidRPr="008E536A">
        <w:rPr>
          <w:rFonts w:asciiTheme="minorHAnsi" w:hAnsiTheme="minorHAnsi"/>
          <w:b/>
          <w:color w:val="000000" w:themeColor="text1"/>
          <w:sz w:val="24"/>
          <w:szCs w:val="24"/>
          <w:lang w:eastAsia="es-ES"/>
        </w:rPr>
        <w:t>by</w:t>
      </w:r>
      <w:r w:rsidR="00974BB3" w:rsidRPr="008E536A">
        <w:rPr>
          <w:rFonts w:asciiTheme="minorHAnsi" w:hAnsiTheme="minorHAnsi"/>
          <w:b/>
          <w:color w:val="000000" w:themeColor="text1"/>
          <w:sz w:val="24"/>
          <w:szCs w:val="24"/>
          <w:lang w:eastAsia="es-ES"/>
        </w:rPr>
        <w:t xml:space="preserve"> Garda Síochána Ombudsman Commission </w:t>
      </w:r>
    </w:p>
    <w:p w14:paraId="0CF925B7" w14:textId="77777777" w:rsidR="00C65089" w:rsidRPr="006439F7" w:rsidRDefault="00C65089" w:rsidP="00972C50">
      <w:pPr>
        <w:pStyle w:val="SingleTxtG"/>
        <w:spacing w:after="0" w:line="240" w:lineRule="auto"/>
        <w:ind w:left="0"/>
        <w:rPr>
          <w:rFonts w:asciiTheme="minorHAnsi" w:hAnsiTheme="minorHAnsi"/>
          <w:color w:val="000000" w:themeColor="text1"/>
          <w:sz w:val="24"/>
          <w:szCs w:val="24"/>
          <w:lang w:eastAsia="es-ES"/>
        </w:rPr>
      </w:pPr>
    </w:p>
    <w:p w14:paraId="10D42B84" w14:textId="47F65412" w:rsidR="004723E4" w:rsidRPr="006439F7" w:rsidRDefault="00CA44FC" w:rsidP="00C65089">
      <w:pPr>
        <w:pStyle w:val="SingleTxtG"/>
        <w:spacing w:after="0" w:line="240" w:lineRule="auto"/>
        <w:ind w:left="720" w:firstLine="720"/>
        <w:rPr>
          <w:rFonts w:asciiTheme="minorHAnsi" w:hAnsiTheme="minorHAnsi"/>
          <w:color w:val="000000" w:themeColor="text1"/>
          <w:sz w:val="24"/>
          <w:szCs w:val="24"/>
          <w:lang w:eastAsia="es-ES"/>
        </w:rPr>
      </w:pPr>
      <w:r>
        <w:rPr>
          <w:rFonts w:asciiTheme="minorHAnsi" w:hAnsiTheme="minorHAnsi"/>
          <w:color w:val="000000" w:themeColor="text1"/>
          <w:sz w:val="24"/>
          <w:szCs w:val="24"/>
          <w:lang w:eastAsia="es-ES"/>
        </w:rPr>
        <w:t xml:space="preserve">(List of Issues No. 19; </w:t>
      </w:r>
      <w:r w:rsidR="007B7123" w:rsidRPr="006439F7">
        <w:rPr>
          <w:rFonts w:asciiTheme="minorHAnsi" w:hAnsiTheme="minorHAnsi"/>
          <w:color w:val="000000" w:themeColor="text1"/>
          <w:sz w:val="24"/>
          <w:szCs w:val="24"/>
        </w:rPr>
        <w:t>Articles 7, 10, 11, 12, 13)</w:t>
      </w:r>
    </w:p>
    <w:p w14:paraId="21EC641E" w14:textId="77777777" w:rsidR="0028731E" w:rsidRDefault="0028731E" w:rsidP="00972C50">
      <w:pPr>
        <w:pStyle w:val="SingleTxtG"/>
        <w:spacing w:after="0" w:line="240" w:lineRule="auto"/>
        <w:ind w:left="0"/>
        <w:rPr>
          <w:rFonts w:asciiTheme="minorHAnsi" w:hAnsiTheme="minorHAnsi"/>
          <w:color w:val="000000" w:themeColor="text1"/>
          <w:sz w:val="24"/>
          <w:szCs w:val="24"/>
          <w:lang w:eastAsia="es-ES"/>
        </w:rPr>
      </w:pPr>
    </w:p>
    <w:p w14:paraId="16E5BE0B" w14:textId="6D2A547C" w:rsidR="009B70BF" w:rsidRPr="009B70BF" w:rsidRDefault="009B70BF" w:rsidP="00972C50">
      <w:pPr>
        <w:pStyle w:val="SingleTxtG"/>
        <w:spacing w:after="0" w:line="240" w:lineRule="auto"/>
        <w:ind w:left="0"/>
        <w:rPr>
          <w:rFonts w:asciiTheme="minorHAnsi" w:hAnsiTheme="minorHAnsi"/>
          <w:b/>
          <w:color w:val="000000" w:themeColor="text1"/>
          <w:sz w:val="24"/>
          <w:szCs w:val="24"/>
          <w:lang w:eastAsia="es-ES"/>
        </w:rPr>
      </w:pPr>
      <w:r>
        <w:rPr>
          <w:rFonts w:asciiTheme="minorHAnsi" w:hAnsiTheme="minorHAnsi"/>
          <w:color w:val="000000" w:themeColor="text1"/>
          <w:sz w:val="24"/>
          <w:szCs w:val="24"/>
          <w:lang w:eastAsia="es-ES"/>
        </w:rPr>
        <w:tab/>
      </w:r>
      <w:r>
        <w:rPr>
          <w:rFonts w:asciiTheme="minorHAnsi" w:hAnsiTheme="minorHAnsi"/>
          <w:b/>
          <w:color w:val="000000" w:themeColor="text1"/>
          <w:sz w:val="24"/>
          <w:szCs w:val="24"/>
          <w:lang w:eastAsia="es-ES"/>
        </w:rPr>
        <w:t>Data Quality</w:t>
      </w:r>
    </w:p>
    <w:p w14:paraId="7A6862AD" w14:textId="09FDFB68" w:rsidR="00897BEF" w:rsidRPr="00F744A1" w:rsidRDefault="00CA0368" w:rsidP="00F744A1">
      <w:pPr>
        <w:pStyle w:val="ListParagraph"/>
        <w:numPr>
          <w:ilvl w:val="0"/>
          <w:numId w:val="3"/>
        </w:numPr>
        <w:spacing w:after="0" w:line="240" w:lineRule="auto"/>
        <w:rPr>
          <w:color w:val="000000" w:themeColor="text1"/>
          <w:sz w:val="24"/>
          <w:szCs w:val="24"/>
          <w:lang w:val="en-GB"/>
        </w:rPr>
      </w:pPr>
      <w:r>
        <w:rPr>
          <w:rFonts w:eastAsia="SimSun"/>
          <w:color w:val="000000" w:themeColor="text1"/>
          <w:sz w:val="24"/>
          <w:szCs w:val="24"/>
          <w:lang w:val="en-GB" w:eastAsia="zh-CN"/>
        </w:rPr>
        <w:t xml:space="preserve">The ICCL shares the concerns of the Committee in relation to the statistical data recorded, retained, and made available concerning the number of allegations of torture or </w:t>
      </w:r>
      <w:r w:rsidR="00FD4A05">
        <w:rPr>
          <w:rFonts w:eastAsia="SimSun"/>
          <w:color w:val="000000" w:themeColor="text1"/>
          <w:sz w:val="24"/>
          <w:szCs w:val="24"/>
          <w:lang w:val="en-GB" w:eastAsia="zh-CN"/>
        </w:rPr>
        <w:t>ill</w:t>
      </w:r>
      <w:r>
        <w:rPr>
          <w:rFonts w:eastAsia="SimSun"/>
          <w:color w:val="000000" w:themeColor="text1"/>
          <w:sz w:val="24"/>
          <w:szCs w:val="24"/>
          <w:lang w:val="en-GB" w:eastAsia="zh-CN"/>
        </w:rPr>
        <w:t>-treatment and how such allegations are dealt with.</w:t>
      </w:r>
      <w:r w:rsidR="00F7116C">
        <w:rPr>
          <w:rFonts w:eastAsia="SimSun"/>
          <w:color w:val="000000" w:themeColor="text1"/>
          <w:sz w:val="24"/>
          <w:szCs w:val="24"/>
          <w:lang w:val="en-GB" w:eastAsia="zh-CN"/>
        </w:rPr>
        <w:t xml:space="preserve"> At the time of writing, the Irish Government </w:t>
      </w:r>
      <w:r w:rsidR="00BD4026">
        <w:rPr>
          <w:rFonts w:eastAsia="SimSun"/>
          <w:color w:val="000000" w:themeColor="text1"/>
          <w:sz w:val="24"/>
          <w:szCs w:val="24"/>
          <w:lang w:val="en-GB" w:eastAsia="zh-CN"/>
        </w:rPr>
        <w:t xml:space="preserve">had not disclosed statistics on the number of allegations </w:t>
      </w:r>
      <w:r w:rsidR="001D0BF5">
        <w:rPr>
          <w:rFonts w:eastAsia="SimSun"/>
          <w:color w:val="000000" w:themeColor="text1"/>
          <w:sz w:val="24"/>
          <w:szCs w:val="24"/>
          <w:lang w:val="en-GB" w:eastAsia="zh-CN"/>
        </w:rPr>
        <w:t xml:space="preserve">of </w:t>
      </w:r>
      <w:r w:rsidR="00BD4026">
        <w:rPr>
          <w:rFonts w:eastAsia="SimSun"/>
          <w:color w:val="000000" w:themeColor="text1"/>
          <w:sz w:val="24"/>
          <w:szCs w:val="24"/>
          <w:lang w:val="en-GB" w:eastAsia="zh-CN"/>
        </w:rPr>
        <w:t>tortur</w:t>
      </w:r>
      <w:r w:rsidR="001552E6">
        <w:rPr>
          <w:rFonts w:eastAsia="SimSun"/>
          <w:color w:val="000000" w:themeColor="text1"/>
          <w:sz w:val="24"/>
          <w:szCs w:val="24"/>
          <w:lang w:val="en-GB" w:eastAsia="zh-CN"/>
        </w:rPr>
        <w:t>e</w:t>
      </w:r>
      <w:r w:rsidR="00BD4026">
        <w:rPr>
          <w:rFonts w:eastAsia="SimSun"/>
          <w:color w:val="000000" w:themeColor="text1"/>
          <w:sz w:val="24"/>
          <w:szCs w:val="24"/>
          <w:lang w:val="en-GB" w:eastAsia="zh-CN"/>
        </w:rPr>
        <w:t xml:space="preserve"> or </w:t>
      </w:r>
      <w:r w:rsidR="001552E6">
        <w:rPr>
          <w:rFonts w:eastAsia="SimSun"/>
          <w:color w:val="000000" w:themeColor="text1"/>
          <w:sz w:val="24"/>
          <w:szCs w:val="24"/>
          <w:lang w:val="en-GB" w:eastAsia="zh-CN"/>
        </w:rPr>
        <w:t>ill</w:t>
      </w:r>
      <w:r w:rsidR="00BD4026">
        <w:rPr>
          <w:rFonts w:eastAsia="SimSun"/>
          <w:color w:val="000000" w:themeColor="text1"/>
          <w:sz w:val="24"/>
          <w:szCs w:val="24"/>
          <w:lang w:val="en-GB" w:eastAsia="zh-CN"/>
        </w:rPr>
        <w:t xml:space="preserve">-treatment </w:t>
      </w:r>
      <w:r w:rsidR="001552E6">
        <w:rPr>
          <w:rFonts w:eastAsia="SimSun"/>
          <w:color w:val="000000" w:themeColor="text1"/>
          <w:sz w:val="24"/>
          <w:szCs w:val="24"/>
          <w:lang w:val="en-GB" w:eastAsia="zh-CN"/>
        </w:rPr>
        <w:t xml:space="preserve">against members of the Garda. This failing can be viewed in the context of wider concerns about the quality of data </w:t>
      </w:r>
      <w:r w:rsidR="00AC0D0D">
        <w:rPr>
          <w:rFonts w:eastAsia="SimSun"/>
          <w:color w:val="000000" w:themeColor="text1"/>
          <w:sz w:val="24"/>
          <w:szCs w:val="24"/>
          <w:lang w:val="en-GB" w:eastAsia="zh-CN"/>
        </w:rPr>
        <w:t>within the control of the Garda.</w:t>
      </w:r>
      <w:r w:rsidR="000B7928">
        <w:rPr>
          <w:rFonts w:eastAsia="SimSun"/>
          <w:color w:val="000000" w:themeColor="text1"/>
          <w:sz w:val="24"/>
          <w:szCs w:val="24"/>
          <w:lang w:val="en-GB" w:eastAsia="zh-CN"/>
        </w:rPr>
        <w:t xml:space="preserve"> In recent months, doubts have been expressed about the integrity of homicide data controlled by the Garda,</w:t>
      </w:r>
      <w:r w:rsidR="00333452">
        <w:rPr>
          <w:rStyle w:val="FootnoteReference"/>
          <w:rFonts w:eastAsia="SimSun"/>
          <w:color w:val="000000" w:themeColor="text1"/>
          <w:sz w:val="24"/>
          <w:szCs w:val="24"/>
          <w:lang w:val="en-GB" w:eastAsia="zh-CN"/>
        </w:rPr>
        <w:footnoteReference w:id="15"/>
      </w:r>
      <w:r w:rsidR="00041509">
        <w:rPr>
          <w:rFonts w:eastAsia="SimSun"/>
          <w:color w:val="000000" w:themeColor="text1"/>
          <w:sz w:val="24"/>
          <w:szCs w:val="24"/>
          <w:lang w:val="en-GB" w:eastAsia="zh-CN"/>
        </w:rPr>
        <w:t xml:space="preserve"> raising doubts about the whole Garda </w:t>
      </w:r>
      <w:r w:rsidR="00BE4D6A">
        <w:rPr>
          <w:rFonts w:eastAsia="SimSun"/>
          <w:color w:val="000000" w:themeColor="text1"/>
          <w:sz w:val="24"/>
          <w:szCs w:val="24"/>
          <w:lang w:val="en-GB" w:eastAsia="zh-CN"/>
        </w:rPr>
        <w:t>crime recording system.</w:t>
      </w:r>
      <w:r w:rsidR="00F744A1">
        <w:rPr>
          <w:rFonts w:eastAsia="SimSun"/>
          <w:color w:val="000000" w:themeColor="text1"/>
          <w:sz w:val="24"/>
          <w:szCs w:val="24"/>
          <w:lang w:val="en-GB" w:eastAsia="zh-CN"/>
        </w:rPr>
        <w:t xml:space="preserve"> </w:t>
      </w:r>
      <w:r w:rsidR="00897BEF" w:rsidRPr="00F744A1">
        <w:rPr>
          <w:color w:val="000000" w:themeColor="text1"/>
          <w:sz w:val="24"/>
          <w:szCs w:val="24"/>
          <w:lang w:val="en-GB"/>
        </w:rPr>
        <w:t xml:space="preserve">Notwithstanding the </w:t>
      </w:r>
      <w:r w:rsidR="000433F1" w:rsidRPr="00F744A1">
        <w:rPr>
          <w:color w:val="000000" w:themeColor="text1"/>
          <w:sz w:val="24"/>
          <w:szCs w:val="24"/>
          <w:lang w:val="en-GB"/>
        </w:rPr>
        <w:t>doubts about the accuracy of</w:t>
      </w:r>
      <w:r w:rsidR="00897BEF" w:rsidRPr="00F744A1">
        <w:rPr>
          <w:color w:val="000000" w:themeColor="text1"/>
          <w:sz w:val="24"/>
          <w:szCs w:val="24"/>
          <w:lang w:val="en-GB"/>
        </w:rPr>
        <w:t xml:space="preserve"> Garda statistic</w:t>
      </w:r>
      <w:r w:rsidR="000433F1" w:rsidRPr="00F744A1">
        <w:rPr>
          <w:color w:val="000000" w:themeColor="text1"/>
          <w:sz w:val="24"/>
          <w:szCs w:val="24"/>
          <w:lang w:val="en-GB"/>
        </w:rPr>
        <w:t xml:space="preserve">s, previously available data suggests that the number of prosecutions initiated against members of An Garda </w:t>
      </w:r>
      <w:r w:rsidR="000433F1" w:rsidRPr="00F744A1">
        <w:rPr>
          <w:rFonts w:eastAsia="SimSun"/>
          <w:color w:val="000000" w:themeColor="text1"/>
          <w:sz w:val="24"/>
          <w:szCs w:val="24"/>
          <w:lang w:eastAsia="zh-CN"/>
        </w:rPr>
        <w:t>Síochána</w:t>
      </w:r>
      <w:r w:rsidR="000433F1" w:rsidRPr="00F744A1">
        <w:rPr>
          <w:rFonts w:eastAsia="SimSun"/>
          <w:color w:val="000000" w:themeColor="text1"/>
          <w:sz w:val="24"/>
          <w:szCs w:val="24"/>
          <w:lang w:val="en-GB" w:eastAsia="zh-CN"/>
        </w:rPr>
        <w:t xml:space="preserve"> is notably low. </w:t>
      </w:r>
    </w:p>
    <w:p w14:paraId="01A40623" w14:textId="77777777" w:rsidR="00CA0368" w:rsidRDefault="00CA0368" w:rsidP="00CA0368">
      <w:pPr>
        <w:pStyle w:val="ListParagraph"/>
        <w:spacing w:after="0" w:line="240" w:lineRule="auto"/>
        <w:rPr>
          <w:color w:val="000000" w:themeColor="text1"/>
          <w:sz w:val="24"/>
          <w:szCs w:val="24"/>
          <w:lang w:val="en-GB"/>
        </w:rPr>
      </w:pPr>
    </w:p>
    <w:p w14:paraId="0BF80B04" w14:textId="45CB5692" w:rsidR="009B70BF" w:rsidRPr="009B70BF" w:rsidRDefault="009B70BF" w:rsidP="00CA0368">
      <w:pPr>
        <w:pStyle w:val="ListParagraph"/>
        <w:spacing w:after="0" w:line="240" w:lineRule="auto"/>
        <w:rPr>
          <w:b/>
          <w:color w:val="000000" w:themeColor="text1"/>
          <w:sz w:val="24"/>
          <w:szCs w:val="24"/>
          <w:lang w:val="en-GB"/>
        </w:rPr>
      </w:pPr>
      <w:r>
        <w:rPr>
          <w:b/>
          <w:color w:val="000000" w:themeColor="text1"/>
          <w:sz w:val="24"/>
          <w:szCs w:val="24"/>
          <w:lang w:val="en-GB"/>
        </w:rPr>
        <w:t>Capacity and Resources of GSOC</w:t>
      </w:r>
    </w:p>
    <w:p w14:paraId="71A3DC1B" w14:textId="4B95EE69" w:rsidR="00541742" w:rsidRPr="00541742" w:rsidRDefault="00140E18" w:rsidP="00541742">
      <w:pPr>
        <w:pStyle w:val="ListParagraph"/>
        <w:numPr>
          <w:ilvl w:val="0"/>
          <w:numId w:val="3"/>
        </w:numPr>
        <w:spacing w:after="0" w:line="240" w:lineRule="auto"/>
        <w:rPr>
          <w:color w:val="000000" w:themeColor="text1"/>
          <w:sz w:val="24"/>
          <w:szCs w:val="24"/>
        </w:rPr>
      </w:pPr>
      <w:r>
        <w:rPr>
          <w:color w:val="000000" w:themeColor="text1"/>
          <w:sz w:val="24"/>
          <w:szCs w:val="24"/>
          <w:lang w:val="en-GB"/>
        </w:rPr>
        <w:t>In our submission to the List of Issues</w:t>
      </w:r>
      <w:r w:rsidR="00D70BE3">
        <w:rPr>
          <w:color w:val="000000" w:themeColor="text1"/>
          <w:sz w:val="24"/>
          <w:szCs w:val="24"/>
          <w:lang w:val="en-GB"/>
        </w:rPr>
        <w:t xml:space="preserve">, ICCL </w:t>
      </w:r>
      <w:r w:rsidR="00FD4A05">
        <w:rPr>
          <w:color w:val="000000" w:themeColor="text1"/>
          <w:sz w:val="24"/>
          <w:szCs w:val="24"/>
          <w:lang w:val="en-GB"/>
        </w:rPr>
        <w:t xml:space="preserve">also </w:t>
      </w:r>
      <w:r w:rsidR="00D70BE3">
        <w:rPr>
          <w:color w:val="000000" w:themeColor="text1"/>
          <w:sz w:val="24"/>
          <w:szCs w:val="24"/>
          <w:lang w:val="en-GB"/>
        </w:rPr>
        <w:t>raised conc</w:t>
      </w:r>
      <w:r>
        <w:rPr>
          <w:color w:val="000000" w:themeColor="text1"/>
          <w:sz w:val="24"/>
          <w:szCs w:val="24"/>
          <w:lang w:val="en-GB"/>
        </w:rPr>
        <w:t xml:space="preserve">erns about the </w:t>
      </w:r>
      <w:r w:rsidR="00D70BE3">
        <w:rPr>
          <w:color w:val="000000" w:themeColor="text1"/>
          <w:sz w:val="24"/>
          <w:szCs w:val="24"/>
          <w:lang w:val="en-GB"/>
        </w:rPr>
        <w:t xml:space="preserve">capacity of the </w:t>
      </w:r>
      <w:r w:rsidR="00D70BE3" w:rsidRPr="006439F7">
        <w:rPr>
          <w:rFonts w:eastAsia="SimSun"/>
          <w:color w:val="000000" w:themeColor="text1"/>
          <w:sz w:val="24"/>
          <w:szCs w:val="24"/>
          <w:lang w:eastAsia="zh-CN"/>
        </w:rPr>
        <w:t>Garda Síochána Ombudsman Commission (GSOC)</w:t>
      </w:r>
      <w:r w:rsidR="000112D1">
        <w:rPr>
          <w:rFonts w:eastAsia="SimSun"/>
          <w:color w:val="000000" w:themeColor="text1"/>
          <w:sz w:val="24"/>
          <w:szCs w:val="24"/>
          <w:lang w:val="en-GB" w:eastAsia="zh-CN"/>
        </w:rPr>
        <w:t xml:space="preserve">, </w:t>
      </w:r>
      <w:r w:rsidR="000112D1" w:rsidRPr="006439F7">
        <w:rPr>
          <w:rFonts w:eastAsia="SimSun"/>
          <w:color w:val="000000" w:themeColor="text1"/>
          <w:sz w:val="24"/>
          <w:szCs w:val="24"/>
          <w:lang w:eastAsia="zh-CN"/>
        </w:rPr>
        <w:t>Ireland’s inde</w:t>
      </w:r>
      <w:r w:rsidR="000112D1">
        <w:rPr>
          <w:rFonts w:eastAsia="SimSun"/>
          <w:color w:val="000000" w:themeColor="text1"/>
          <w:sz w:val="24"/>
          <w:szCs w:val="24"/>
          <w:lang w:eastAsia="zh-CN"/>
        </w:rPr>
        <w:t>pendent police complaints body, to investigat</w:t>
      </w:r>
      <w:r w:rsidR="004A7813">
        <w:rPr>
          <w:rFonts w:eastAsia="SimSun"/>
          <w:color w:val="000000" w:themeColor="text1"/>
          <w:sz w:val="24"/>
          <w:szCs w:val="24"/>
          <w:lang w:eastAsia="zh-CN"/>
        </w:rPr>
        <w:t xml:space="preserve">e </w:t>
      </w:r>
      <w:r w:rsidR="00992D64">
        <w:rPr>
          <w:rFonts w:eastAsia="SimSun"/>
          <w:color w:val="000000" w:themeColor="text1"/>
          <w:sz w:val="24"/>
          <w:szCs w:val="24"/>
          <w:lang w:eastAsia="zh-CN"/>
        </w:rPr>
        <w:t>allegations of torture or il</w:t>
      </w:r>
      <w:r w:rsidR="000112D1">
        <w:rPr>
          <w:rFonts w:eastAsia="SimSun"/>
          <w:color w:val="000000" w:themeColor="text1"/>
          <w:sz w:val="24"/>
          <w:szCs w:val="24"/>
          <w:lang w:eastAsia="zh-CN"/>
        </w:rPr>
        <w:t>l</w:t>
      </w:r>
      <w:r w:rsidR="000112D1">
        <w:rPr>
          <w:rFonts w:eastAsia="SimSun"/>
          <w:color w:val="000000" w:themeColor="text1"/>
          <w:sz w:val="24"/>
          <w:szCs w:val="24"/>
          <w:lang w:val="en-GB" w:eastAsia="zh-CN"/>
        </w:rPr>
        <w:t>-</w:t>
      </w:r>
      <w:r w:rsidR="00AF23CB">
        <w:rPr>
          <w:rFonts w:eastAsia="SimSun"/>
          <w:color w:val="000000" w:themeColor="text1"/>
          <w:sz w:val="24"/>
          <w:szCs w:val="24"/>
          <w:lang w:val="en-GB" w:eastAsia="zh-CN"/>
        </w:rPr>
        <w:t xml:space="preserve">treatment. </w:t>
      </w:r>
      <w:r w:rsidR="00831FDC" w:rsidRPr="00831FDC">
        <w:rPr>
          <w:color w:val="000000" w:themeColor="text1"/>
          <w:sz w:val="24"/>
          <w:szCs w:val="24"/>
        </w:rPr>
        <w:t xml:space="preserve">In </w:t>
      </w:r>
      <w:r w:rsidR="00831FDC">
        <w:rPr>
          <w:color w:val="000000" w:themeColor="text1"/>
          <w:sz w:val="24"/>
          <w:szCs w:val="24"/>
          <w:lang w:val="en-GB"/>
        </w:rPr>
        <w:t xml:space="preserve">that submission, we referred to the </w:t>
      </w:r>
      <w:r w:rsidR="00831FDC">
        <w:rPr>
          <w:color w:val="000000" w:themeColor="text1"/>
          <w:sz w:val="24"/>
          <w:szCs w:val="24"/>
        </w:rPr>
        <w:t xml:space="preserve">2013 Report </w:t>
      </w:r>
      <w:r w:rsidR="001D0BF5">
        <w:rPr>
          <w:color w:val="000000" w:themeColor="text1"/>
          <w:sz w:val="24"/>
          <w:szCs w:val="24"/>
        </w:rPr>
        <w:t>i</w:t>
      </w:r>
      <w:r w:rsidR="00831FDC">
        <w:rPr>
          <w:color w:val="000000" w:themeColor="text1"/>
          <w:sz w:val="24"/>
          <w:szCs w:val="24"/>
        </w:rPr>
        <w:t xml:space="preserve">n Ireland of </w:t>
      </w:r>
      <w:r w:rsidR="00831FDC" w:rsidRPr="00831FDC">
        <w:rPr>
          <w:color w:val="000000" w:themeColor="text1"/>
          <w:sz w:val="24"/>
          <w:szCs w:val="24"/>
        </w:rPr>
        <w:t xml:space="preserve">the UN Special Rapporteur on </w:t>
      </w:r>
      <w:r w:rsidR="001D0BF5">
        <w:rPr>
          <w:color w:val="000000" w:themeColor="text1"/>
          <w:sz w:val="24"/>
          <w:szCs w:val="24"/>
        </w:rPr>
        <w:t>H</w:t>
      </w:r>
      <w:r w:rsidR="00831FDC" w:rsidRPr="00831FDC">
        <w:rPr>
          <w:color w:val="000000" w:themeColor="text1"/>
          <w:sz w:val="24"/>
          <w:szCs w:val="24"/>
        </w:rPr>
        <w:t xml:space="preserve">uman </w:t>
      </w:r>
      <w:r w:rsidR="001D0BF5">
        <w:rPr>
          <w:color w:val="000000" w:themeColor="text1"/>
          <w:sz w:val="24"/>
          <w:szCs w:val="24"/>
        </w:rPr>
        <w:t>R</w:t>
      </w:r>
      <w:r w:rsidR="00831FDC" w:rsidRPr="00831FDC">
        <w:rPr>
          <w:color w:val="000000" w:themeColor="text1"/>
          <w:sz w:val="24"/>
          <w:szCs w:val="24"/>
        </w:rPr>
        <w:t xml:space="preserve">ights </w:t>
      </w:r>
      <w:r w:rsidR="001D0BF5">
        <w:rPr>
          <w:color w:val="000000" w:themeColor="text1"/>
          <w:sz w:val="24"/>
          <w:szCs w:val="24"/>
        </w:rPr>
        <w:t>D</w:t>
      </w:r>
      <w:r w:rsidR="00831FDC" w:rsidRPr="00831FDC">
        <w:rPr>
          <w:color w:val="000000" w:themeColor="text1"/>
          <w:sz w:val="24"/>
          <w:szCs w:val="24"/>
        </w:rPr>
        <w:t xml:space="preserve">efenders, </w:t>
      </w:r>
      <w:r w:rsidR="00162E5D">
        <w:rPr>
          <w:color w:val="000000" w:themeColor="text1"/>
          <w:sz w:val="24"/>
          <w:szCs w:val="24"/>
          <w:lang w:val="en-GB"/>
        </w:rPr>
        <w:t xml:space="preserve">where she </w:t>
      </w:r>
      <w:r w:rsidR="00831FDC" w:rsidRPr="00831FDC">
        <w:rPr>
          <w:color w:val="000000" w:themeColor="text1"/>
          <w:sz w:val="24"/>
          <w:szCs w:val="24"/>
        </w:rPr>
        <w:t>expressed concern at the “serious constraints” faced by GSOC, including financial and resource limitations, and the reported limited public awareness of its activities and responsibilities.</w:t>
      </w:r>
      <w:r w:rsidR="00831FDC" w:rsidRPr="006439F7">
        <w:rPr>
          <w:rStyle w:val="FootnoteReference"/>
          <w:color w:val="000000" w:themeColor="text1"/>
          <w:sz w:val="24"/>
          <w:szCs w:val="24"/>
        </w:rPr>
        <w:footnoteReference w:id="16"/>
      </w:r>
      <w:r w:rsidR="00831FDC" w:rsidRPr="00831FDC">
        <w:rPr>
          <w:color w:val="000000" w:themeColor="text1"/>
          <w:sz w:val="24"/>
          <w:szCs w:val="24"/>
        </w:rPr>
        <w:t xml:space="preserve"> </w:t>
      </w:r>
    </w:p>
    <w:p w14:paraId="4CDE567F" w14:textId="77777777" w:rsidR="00541742" w:rsidRPr="00541742" w:rsidRDefault="00541742" w:rsidP="00541742">
      <w:pPr>
        <w:spacing w:after="0" w:line="240" w:lineRule="auto"/>
        <w:rPr>
          <w:color w:val="000000" w:themeColor="text1"/>
          <w:sz w:val="24"/>
          <w:szCs w:val="24"/>
          <w:lang w:val="en-GB"/>
        </w:rPr>
      </w:pPr>
    </w:p>
    <w:p w14:paraId="630A8CA3" w14:textId="6B69F698" w:rsidR="00FD4A05" w:rsidRPr="00F7116C" w:rsidRDefault="004C578D" w:rsidP="00F7116C">
      <w:pPr>
        <w:pStyle w:val="ListParagraph"/>
        <w:numPr>
          <w:ilvl w:val="0"/>
          <w:numId w:val="3"/>
        </w:numPr>
        <w:spacing w:after="0" w:line="240" w:lineRule="auto"/>
        <w:rPr>
          <w:color w:val="000000" w:themeColor="text1"/>
          <w:sz w:val="24"/>
          <w:szCs w:val="24"/>
          <w:lang w:val="en-GB"/>
        </w:rPr>
      </w:pPr>
      <w:r w:rsidRPr="00F830CF">
        <w:rPr>
          <w:color w:val="000000" w:themeColor="text1"/>
          <w:sz w:val="24"/>
          <w:szCs w:val="24"/>
          <w:lang w:val="en-GB"/>
        </w:rPr>
        <w:t xml:space="preserve">The most </w:t>
      </w:r>
      <w:r w:rsidR="004A7813" w:rsidRPr="00F830CF">
        <w:rPr>
          <w:color w:val="000000" w:themeColor="text1"/>
          <w:sz w:val="24"/>
          <w:szCs w:val="24"/>
          <w:lang w:val="en-GB"/>
        </w:rPr>
        <w:t>recent comprehensive information in relation to the operation of GSOC is containe</w:t>
      </w:r>
      <w:r w:rsidR="008F55DC" w:rsidRPr="00F830CF">
        <w:rPr>
          <w:color w:val="000000" w:themeColor="text1"/>
          <w:sz w:val="24"/>
          <w:szCs w:val="24"/>
          <w:lang w:val="en-GB"/>
        </w:rPr>
        <w:t>d in its Annual Report for 2016.</w:t>
      </w:r>
      <w:r w:rsidR="008F55DC" w:rsidRPr="00F830CF">
        <w:rPr>
          <w:rStyle w:val="FootnoteReference"/>
          <w:color w:val="000000" w:themeColor="text1"/>
          <w:sz w:val="24"/>
          <w:szCs w:val="24"/>
          <w:lang w:val="en-GB"/>
        </w:rPr>
        <w:footnoteReference w:id="17"/>
      </w:r>
      <w:r w:rsidR="00271694" w:rsidRPr="00F830CF">
        <w:rPr>
          <w:color w:val="000000" w:themeColor="text1"/>
          <w:sz w:val="24"/>
          <w:szCs w:val="24"/>
          <w:lang w:val="en-GB"/>
        </w:rPr>
        <w:t xml:space="preserve"> This report discloses that </w:t>
      </w:r>
      <w:r w:rsidR="006A46FE" w:rsidRPr="00F830CF">
        <w:rPr>
          <w:color w:val="000000" w:themeColor="text1"/>
          <w:sz w:val="24"/>
          <w:szCs w:val="24"/>
          <w:lang w:val="en-GB"/>
        </w:rPr>
        <w:t xml:space="preserve">GSOC still presides over </w:t>
      </w:r>
      <w:r w:rsidR="00271694" w:rsidRPr="00F830CF">
        <w:rPr>
          <w:color w:val="000000" w:themeColor="text1"/>
          <w:sz w:val="24"/>
          <w:szCs w:val="24"/>
          <w:lang w:val="en-GB"/>
        </w:rPr>
        <w:t xml:space="preserve">significant delays </w:t>
      </w:r>
      <w:r w:rsidR="006A46FE" w:rsidRPr="00F830CF">
        <w:rPr>
          <w:color w:val="000000" w:themeColor="text1"/>
          <w:sz w:val="24"/>
          <w:szCs w:val="24"/>
          <w:lang w:val="en-GB"/>
        </w:rPr>
        <w:t>in completing investigations, although some improvements have been made.</w:t>
      </w:r>
      <w:r w:rsidR="004D054F" w:rsidRPr="00F830CF">
        <w:rPr>
          <w:rStyle w:val="FootnoteReference"/>
          <w:color w:val="000000" w:themeColor="text1"/>
          <w:sz w:val="24"/>
          <w:szCs w:val="24"/>
          <w:lang w:val="en-GB"/>
        </w:rPr>
        <w:footnoteReference w:id="18"/>
      </w:r>
      <w:r w:rsidR="000C4BE9" w:rsidRPr="00F830CF">
        <w:rPr>
          <w:color w:val="000000" w:themeColor="text1"/>
          <w:sz w:val="24"/>
          <w:szCs w:val="24"/>
          <w:lang w:val="en-GB"/>
        </w:rPr>
        <w:t xml:space="preserve"> GSOC has itself </w:t>
      </w:r>
      <w:r w:rsidR="002B5EFB" w:rsidRPr="00F830CF">
        <w:rPr>
          <w:color w:val="000000" w:themeColor="text1"/>
          <w:sz w:val="24"/>
          <w:szCs w:val="24"/>
          <w:lang w:val="en-GB"/>
        </w:rPr>
        <w:t xml:space="preserve">identified steps that might be taken to improve the timeliness of its investigations in a submission </w:t>
      </w:r>
      <w:r w:rsidR="00285172" w:rsidRPr="00F830CF">
        <w:rPr>
          <w:color w:val="000000" w:themeColor="text1"/>
          <w:sz w:val="24"/>
          <w:szCs w:val="24"/>
          <w:lang w:val="en-GB"/>
        </w:rPr>
        <w:t xml:space="preserve">to the </w:t>
      </w:r>
      <w:r w:rsidR="004927E4" w:rsidRPr="00F830CF">
        <w:rPr>
          <w:rFonts w:ascii="Calibri" w:hAnsi="Calibri"/>
          <w:sz w:val="24"/>
          <w:szCs w:val="24"/>
          <w:lang w:val="en-GB" w:eastAsia="en-GB"/>
        </w:rPr>
        <w:t xml:space="preserve">Joint Oireachtas Committee on Justice &amp; Equality </w:t>
      </w:r>
      <w:r w:rsidR="00285172" w:rsidRPr="00F830CF">
        <w:rPr>
          <w:color w:val="000000" w:themeColor="text1"/>
          <w:sz w:val="24"/>
          <w:szCs w:val="24"/>
          <w:lang w:val="en-GB"/>
        </w:rPr>
        <w:t>in September 2016.</w:t>
      </w:r>
      <w:r w:rsidR="00F7116C">
        <w:rPr>
          <w:color w:val="000000" w:themeColor="text1"/>
          <w:sz w:val="24"/>
          <w:szCs w:val="24"/>
          <w:lang w:val="en-GB"/>
        </w:rPr>
        <w:t xml:space="preserve"> </w:t>
      </w:r>
      <w:r w:rsidR="00F7116C" w:rsidRPr="00F7116C">
        <w:rPr>
          <w:color w:val="000000" w:themeColor="text1"/>
          <w:sz w:val="24"/>
          <w:szCs w:val="24"/>
          <w:lang w:val="en-GB"/>
        </w:rPr>
        <w:t>On</w:t>
      </w:r>
      <w:r w:rsidR="00FD4A05" w:rsidRPr="00F7116C">
        <w:rPr>
          <w:color w:val="000000" w:themeColor="text1"/>
          <w:sz w:val="24"/>
          <w:szCs w:val="24"/>
          <w:lang w:val="en-GB"/>
        </w:rPr>
        <w:t xml:space="preserve"> the specific issue of “leaseback”, the practice whereby </w:t>
      </w:r>
      <w:r w:rsidR="0061621E" w:rsidRPr="00F7116C">
        <w:rPr>
          <w:color w:val="000000" w:themeColor="text1"/>
          <w:sz w:val="24"/>
          <w:szCs w:val="24"/>
          <w:lang w:val="en-GB"/>
        </w:rPr>
        <w:t>complaints referred to GSOC are referred back to the Garda for investigation</w:t>
      </w:r>
      <w:r w:rsidR="00762680">
        <w:rPr>
          <w:color w:val="000000" w:themeColor="text1"/>
          <w:sz w:val="24"/>
          <w:szCs w:val="24"/>
          <w:lang w:val="en-GB"/>
        </w:rPr>
        <w:t>,</w:t>
      </w:r>
      <w:r w:rsidR="00396D7F" w:rsidRPr="00F7116C">
        <w:rPr>
          <w:color w:val="000000" w:themeColor="text1"/>
          <w:sz w:val="24"/>
          <w:szCs w:val="24"/>
          <w:lang w:val="en-GB"/>
        </w:rPr>
        <w:t xml:space="preserve"> </w:t>
      </w:r>
      <w:r w:rsidR="000842FF">
        <w:rPr>
          <w:color w:val="000000" w:themeColor="text1"/>
          <w:sz w:val="24"/>
          <w:szCs w:val="24"/>
          <w:lang w:val="en-GB"/>
        </w:rPr>
        <w:t>i</w:t>
      </w:r>
      <w:r w:rsidR="00396D7F" w:rsidRPr="00F7116C">
        <w:rPr>
          <w:color w:val="000000" w:themeColor="text1"/>
          <w:sz w:val="24"/>
          <w:szCs w:val="24"/>
          <w:lang w:val="en-GB"/>
        </w:rPr>
        <w:t xml:space="preserve">t would now appear that </w:t>
      </w:r>
      <w:r w:rsidR="006A53CB" w:rsidRPr="00F7116C">
        <w:rPr>
          <w:color w:val="000000" w:themeColor="text1"/>
          <w:sz w:val="24"/>
          <w:szCs w:val="24"/>
          <w:lang w:val="en-GB"/>
        </w:rPr>
        <w:t xml:space="preserve">the practice of GSOC is that leaseback will </w:t>
      </w:r>
      <w:r w:rsidR="006A53CB" w:rsidRPr="00F7116C">
        <w:rPr>
          <w:color w:val="000000" w:themeColor="text1"/>
          <w:sz w:val="24"/>
          <w:szCs w:val="24"/>
          <w:lang w:val="en-GB"/>
        </w:rPr>
        <w:lastRenderedPageBreak/>
        <w:t>only be employed for service level complaints and not in cases where a criminal offence has been alleged</w:t>
      </w:r>
      <w:r w:rsidR="00F7116C" w:rsidRPr="00F7116C">
        <w:rPr>
          <w:color w:val="000000" w:themeColor="text1"/>
          <w:sz w:val="24"/>
          <w:szCs w:val="24"/>
          <w:lang w:val="en-GB"/>
        </w:rPr>
        <w:t>.</w:t>
      </w:r>
    </w:p>
    <w:p w14:paraId="4218ACA3" w14:textId="77777777" w:rsidR="00280E7F" w:rsidRDefault="00280E7F" w:rsidP="00280E7F">
      <w:pPr>
        <w:pStyle w:val="ListParagraph"/>
        <w:spacing w:after="0" w:line="240" w:lineRule="auto"/>
        <w:rPr>
          <w:color w:val="000000" w:themeColor="text1"/>
          <w:sz w:val="24"/>
          <w:szCs w:val="24"/>
          <w:lang w:val="en-GB"/>
        </w:rPr>
      </w:pPr>
    </w:p>
    <w:p w14:paraId="0DA6F4C2" w14:textId="77777777" w:rsidR="00762680" w:rsidRPr="00280E7F" w:rsidRDefault="00762680" w:rsidP="00280E7F">
      <w:pPr>
        <w:pStyle w:val="ListParagraph"/>
        <w:spacing w:after="0" w:line="240" w:lineRule="auto"/>
        <w:rPr>
          <w:color w:val="000000" w:themeColor="text1"/>
          <w:sz w:val="24"/>
          <w:szCs w:val="24"/>
          <w:lang w:val="en-GB"/>
        </w:rPr>
      </w:pPr>
    </w:p>
    <w:p w14:paraId="48C2E106" w14:textId="77777777" w:rsidR="00814D4A" w:rsidRPr="003F1EA2" w:rsidRDefault="00F744A1" w:rsidP="00814D4A">
      <w:pPr>
        <w:pStyle w:val="Default"/>
        <w:jc w:val="both"/>
        <w:rPr>
          <w:rFonts w:asciiTheme="minorHAnsi" w:hAnsiTheme="minorHAnsi"/>
          <w:b/>
          <w:bCs/>
          <w:color w:val="000000" w:themeColor="text1"/>
          <w:lang w:val="en-GB"/>
        </w:rPr>
      </w:pPr>
      <w:r w:rsidRPr="003F1EA2">
        <w:rPr>
          <w:rFonts w:asciiTheme="minorHAnsi" w:hAnsiTheme="minorHAnsi"/>
          <w:b/>
          <w:bCs/>
          <w:color w:val="000000" w:themeColor="text1"/>
          <w:lang w:val="en-GB"/>
        </w:rPr>
        <w:t>Recommendations:</w:t>
      </w:r>
    </w:p>
    <w:p w14:paraId="58E88348" w14:textId="77777777" w:rsidR="00814D4A" w:rsidRPr="003F1EA2" w:rsidRDefault="00814D4A" w:rsidP="00814D4A">
      <w:pPr>
        <w:pStyle w:val="Default"/>
        <w:jc w:val="both"/>
        <w:rPr>
          <w:rFonts w:asciiTheme="minorHAnsi" w:hAnsiTheme="minorHAnsi"/>
          <w:b/>
          <w:bCs/>
          <w:color w:val="000000" w:themeColor="text1"/>
          <w:lang w:val="en-GB"/>
        </w:rPr>
      </w:pPr>
    </w:p>
    <w:p w14:paraId="3EFAE40C" w14:textId="277A9AB1" w:rsidR="00643A32" w:rsidRPr="00643A32" w:rsidRDefault="00416934" w:rsidP="00643A32">
      <w:pPr>
        <w:pStyle w:val="Default"/>
        <w:numPr>
          <w:ilvl w:val="0"/>
          <w:numId w:val="3"/>
        </w:numPr>
        <w:jc w:val="both"/>
        <w:rPr>
          <w:rFonts w:asciiTheme="minorHAnsi" w:hAnsiTheme="minorHAnsi"/>
          <w:b/>
          <w:color w:val="000000" w:themeColor="text1"/>
        </w:rPr>
      </w:pPr>
      <w:r>
        <w:rPr>
          <w:rFonts w:asciiTheme="minorHAnsi" w:hAnsiTheme="minorHAnsi"/>
          <w:b/>
          <w:color w:val="000000" w:themeColor="text1"/>
          <w:lang w:val="en-GB"/>
        </w:rPr>
        <w:t>The</w:t>
      </w:r>
      <w:r w:rsidR="00F305E9" w:rsidRPr="00E626BC">
        <w:rPr>
          <w:rFonts w:asciiTheme="minorHAnsi" w:hAnsiTheme="minorHAnsi"/>
          <w:b/>
          <w:color w:val="000000" w:themeColor="text1"/>
          <w:lang w:val="en-GB"/>
        </w:rPr>
        <w:t xml:space="preserve"> </w:t>
      </w:r>
      <w:r w:rsidR="00CC77A8">
        <w:rPr>
          <w:rFonts w:asciiTheme="minorHAnsi" w:hAnsiTheme="minorHAnsi"/>
          <w:b/>
          <w:color w:val="000000" w:themeColor="text1"/>
          <w:lang w:val="en-GB"/>
        </w:rPr>
        <w:t>State</w:t>
      </w:r>
      <w:r w:rsidR="003946C7" w:rsidRPr="00E626BC">
        <w:rPr>
          <w:rFonts w:asciiTheme="minorHAnsi" w:hAnsiTheme="minorHAnsi"/>
          <w:b/>
          <w:color w:val="000000" w:themeColor="text1"/>
          <w:lang w:val="en-GB"/>
        </w:rPr>
        <w:t xml:space="preserve"> </w:t>
      </w:r>
      <w:r>
        <w:rPr>
          <w:rFonts w:asciiTheme="minorHAnsi" w:hAnsiTheme="minorHAnsi"/>
          <w:b/>
          <w:color w:val="000000" w:themeColor="text1"/>
          <w:lang w:val="en-GB"/>
        </w:rPr>
        <w:t>should</w:t>
      </w:r>
      <w:r w:rsidR="003946C7" w:rsidRPr="00E626BC">
        <w:rPr>
          <w:rFonts w:asciiTheme="minorHAnsi" w:hAnsiTheme="minorHAnsi"/>
          <w:b/>
          <w:color w:val="000000" w:themeColor="text1"/>
          <w:lang w:val="en-GB"/>
        </w:rPr>
        <w:t xml:space="preserve"> </w:t>
      </w:r>
      <w:r w:rsidR="003F1EA2" w:rsidRPr="00E626BC">
        <w:rPr>
          <w:rFonts w:asciiTheme="minorHAnsi" w:hAnsiTheme="minorHAnsi"/>
          <w:b/>
          <w:color w:val="000000" w:themeColor="text1"/>
        </w:rPr>
        <w:t xml:space="preserve">provide detailed information </w:t>
      </w:r>
      <w:r>
        <w:rPr>
          <w:rFonts w:asciiTheme="minorHAnsi" w:hAnsiTheme="minorHAnsi"/>
          <w:b/>
          <w:color w:val="000000" w:themeColor="text1"/>
          <w:lang w:val="en-GB"/>
        </w:rPr>
        <w:t>of</w:t>
      </w:r>
      <w:r w:rsidR="000045E5" w:rsidRPr="00E626BC">
        <w:rPr>
          <w:rFonts w:asciiTheme="minorHAnsi" w:hAnsiTheme="minorHAnsi"/>
          <w:b/>
          <w:color w:val="000000" w:themeColor="text1"/>
          <w:lang w:val="en-GB"/>
        </w:rPr>
        <w:t xml:space="preserve"> all</w:t>
      </w:r>
      <w:r w:rsidR="00CA78D5" w:rsidRPr="00E626BC">
        <w:rPr>
          <w:rFonts w:asciiTheme="minorHAnsi" w:hAnsiTheme="minorHAnsi"/>
          <w:b/>
          <w:color w:val="000000" w:themeColor="text1"/>
        </w:rPr>
        <w:t xml:space="preserve"> complaints filed with GSOC which may relate to ill-treatment</w:t>
      </w:r>
      <w:r w:rsidR="00CA78D5" w:rsidRPr="00E626BC">
        <w:rPr>
          <w:rFonts w:asciiTheme="minorHAnsi" w:hAnsiTheme="minorHAnsi"/>
          <w:b/>
          <w:color w:val="000000" w:themeColor="text1"/>
          <w:lang w:val="en-GB"/>
        </w:rPr>
        <w:t>,</w:t>
      </w:r>
      <w:r w:rsidR="003F1EA2" w:rsidRPr="00E626BC">
        <w:rPr>
          <w:rFonts w:asciiTheme="minorHAnsi" w:hAnsiTheme="minorHAnsi"/>
          <w:b/>
          <w:color w:val="000000" w:themeColor="text1"/>
        </w:rPr>
        <w:t xml:space="preserve"> including in relation to non-fatal offences (which effectively translate as </w:t>
      </w:r>
      <w:r w:rsidR="00CA78D5" w:rsidRPr="00E626BC">
        <w:rPr>
          <w:rFonts w:asciiTheme="minorHAnsi" w:hAnsiTheme="minorHAnsi"/>
          <w:b/>
          <w:color w:val="000000" w:themeColor="text1"/>
        </w:rPr>
        <w:t xml:space="preserve">allegations of assault) and </w:t>
      </w:r>
      <w:r w:rsidR="003F1EA2" w:rsidRPr="00E626BC">
        <w:rPr>
          <w:rFonts w:asciiTheme="minorHAnsi" w:hAnsiTheme="minorHAnsi"/>
          <w:b/>
          <w:color w:val="000000" w:themeColor="text1"/>
        </w:rPr>
        <w:t xml:space="preserve">on the final outcome of </w:t>
      </w:r>
      <w:r w:rsidR="00F305E9" w:rsidRPr="00E626BC">
        <w:rPr>
          <w:rFonts w:asciiTheme="minorHAnsi" w:hAnsiTheme="minorHAnsi"/>
          <w:b/>
          <w:color w:val="000000" w:themeColor="text1"/>
          <w:lang w:val="en-GB"/>
        </w:rPr>
        <w:t xml:space="preserve">such </w:t>
      </w:r>
      <w:r w:rsidR="003F1EA2" w:rsidRPr="00E626BC">
        <w:rPr>
          <w:rFonts w:asciiTheme="minorHAnsi" w:hAnsiTheme="minorHAnsi"/>
          <w:b/>
          <w:color w:val="000000" w:themeColor="text1"/>
        </w:rPr>
        <w:t>complaints processed by GSOC.</w:t>
      </w:r>
      <w:r w:rsidR="00CF516E" w:rsidRPr="00E626BC">
        <w:rPr>
          <w:rFonts w:asciiTheme="minorHAnsi" w:hAnsiTheme="minorHAnsi"/>
          <w:b/>
          <w:bCs/>
          <w:color w:val="000000" w:themeColor="text1"/>
          <w:lang w:val="en-GB"/>
        </w:rPr>
        <w:t xml:space="preserve"> </w:t>
      </w:r>
      <w:r w:rsidR="00F305E9" w:rsidRPr="00E626BC">
        <w:rPr>
          <w:rFonts w:asciiTheme="minorHAnsi" w:hAnsiTheme="minorHAnsi"/>
          <w:b/>
          <w:color w:val="000000" w:themeColor="text1"/>
          <w:lang w:val="en-GB"/>
        </w:rPr>
        <w:t xml:space="preserve">The </w:t>
      </w:r>
      <w:r w:rsidR="00552943" w:rsidRPr="00E626BC">
        <w:rPr>
          <w:rFonts w:asciiTheme="minorHAnsi" w:hAnsiTheme="minorHAnsi"/>
          <w:b/>
          <w:color w:val="000000" w:themeColor="text1"/>
          <w:lang w:val="en-GB"/>
        </w:rPr>
        <w:t>Government</w:t>
      </w:r>
      <w:r w:rsidR="00F305E9" w:rsidRPr="00E626BC">
        <w:rPr>
          <w:rFonts w:asciiTheme="minorHAnsi" w:hAnsiTheme="minorHAnsi"/>
          <w:b/>
          <w:color w:val="000000" w:themeColor="text1"/>
          <w:lang w:val="en-GB"/>
        </w:rPr>
        <w:t xml:space="preserve"> should</w:t>
      </w:r>
      <w:r w:rsidR="00552943" w:rsidRPr="00E626BC">
        <w:rPr>
          <w:rFonts w:asciiTheme="minorHAnsi" w:hAnsiTheme="minorHAnsi"/>
          <w:b/>
          <w:color w:val="000000" w:themeColor="text1"/>
          <w:lang w:val="en-GB"/>
        </w:rPr>
        <w:t xml:space="preserve"> also</w:t>
      </w:r>
      <w:r w:rsidR="00F305E9" w:rsidRPr="00E626BC">
        <w:rPr>
          <w:rFonts w:asciiTheme="minorHAnsi" w:hAnsiTheme="minorHAnsi"/>
          <w:b/>
          <w:color w:val="000000" w:themeColor="text1"/>
          <w:lang w:val="en-GB"/>
        </w:rPr>
        <w:t xml:space="preserve"> </w:t>
      </w:r>
      <w:r w:rsidR="00CF65B3" w:rsidRPr="00E626BC">
        <w:rPr>
          <w:rFonts w:asciiTheme="minorHAnsi" w:hAnsiTheme="minorHAnsi"/>
          <w:b/>
          <w:color w:val="000000" w:themeColor="text1"/>
          <w:lang w:val="en-GB"/>
        </w:rPr>
        <w:t xml:space="preserve">provide information about the systems in place to record such statistics, including </w:t>
      </w:r>
      <w:r w:rsidR="00F305E9" w:rsidRPr="00E626BC">
        <w:rPr>
          <w:rFonts w:asciiTheme="minorHAnsi" w:hAnsiTheme="minorHAnsi"/>
          <w:b/>
          <w:color w:val="000000" w:themeColor="text1"/>
          <w:lang w:val="en-GB"/>
        </w:rPr>
        <w:t>address</w:t>
      </w:r>
      <w:r w:rsidR="00CF65B3" w:rsidRPr="00E626BC">
        <w:rPr>
          <w:rFonts w:asciiTheme="minorHAnsi" w:hAnsiTheme="minorHAnsi"/>
          <w:b/>
          <w:color w:val="000000" w:themeColor="text1"/>
          <w:lang w:val="en-GB"/>
        </w:rPr>
        <w:t>ing</w:t>
      </w:r>
      <w:r w:rsidR="00F305E9" w:rsidRPr="00E626BC">
        <w:rPr>
          <w:rFonts w:asciiTheme="minorHAnsi" w:hAnsiTheme="minorHAnsi"/>
          <w:b/>
          <w:color w:val="000000" w:themeColor="text1"/>
          <w:lang w:val="en-GB"/>
        </w:rPr>
        <w:t xml:space="preserve"> recent </w:t>
      </w:r>
      <w:r w:rsidR="00552943" w:rsidRPr="00E626BC">
        <w:rPr>
          <w:rFonts w:asciiTheme="minorHAnsi" w:hAnsiTheme="minorHAnsi"/>
          <w:b/>
          <w:color w:val="000000" w:themeColor="text1"/>
          <w:lang w:val="en-GB"/>
        </w:rPr>
        <w:t xml:space="preserve">concerns about the integrity of its systems </w:t>
      </w:r>
      <w:r w:rsidR="00E626BC">
        <w:rPr>
          <w:rFonts w:asciiTheme="minorHAnsi" w:hAnsiTheme="minorHAnsi"/>
          <w:b/>
          <w:color w:val="000000" w:themeColor="text1"/>
          <w:lang w:val="en-GB"/>
        </w:rPr>
        <w:t>for recording crime statistics.</w:t>
      </w:r>
    </w:p>
    <w:p w14:paraId="3A0B83DD" w14:textId="77777777" w:rsidR="00643A32" w:rsidRDefault="00643A32" w:rsidP="00643A32">
      <w:pPr>
        <w:pStyle w:val="Default"/>
        <w:jc w:val="both"/>
        <w:rPr>
          <w:rFonts w:asciiTheme="minorHAnsi" w:hAnsiTheme="minorHAnsi"/>
          <w:b/>
          <w:color w:val="000000" w:themeColor="text1"/>
          <w:lang w:val="en-GB"/>
        </w:rPr>
      </w:pPr>
    </w:p>
    <w:p w14:paraId="36C40F9F" w14:textId="38A66B7C" w:rsidR="00CD0216" w:rsidRPr="003F1EA2" w:rsidRDefault="00D3726F" w:rsidP="003F1EA2">
      <w:pPr>
        <w:pStyle w:val="Default"/>
        <w:numPr>
          <w:ilvl w:val="0"/>
          <w:numId w:val="3"/>
        </w:numPr>
        <w:jc w:val="both"/>
        <w:rPr>
          <w:rFonts w:asciiTheme="minorHAnsi" w:hAnsiTheme="minorHAnsi"/>
          <w:b/>
          <w:bCs/>
          <w:color w:val="000000" w:themeColor="text1"/>
          <w:lang w:val="en-GB"/>
        </w:rPr>
      </w:pPr>
      <w:r>
        <w:rPr>
          <w:rFonts w:asciiTheme="minorHAnsi" w:hAnsiTheme="minorHAnsi"/>
          <w:b/>
          <w:color w:val="000000" w:themeColor="text1"/>
          <w:lang w:val="en-GB"/>
        </w:rPr>
        <w:t xml:space="preserve">The </w:t>
      </w:r>
      <w:r w:rsidR="00CC77A8">
        <w:rPr>
          <w:rFonts w:asciiTheme="minorHAnsi" w:hAnsiTheme="minorHAnsi"/>
          <w:b/>
          <w:color w:val="000000" w:themeColor="text1"/>
          <w:lang w:val="en-GB"/>
        </w:rPr>
        <w:t>State</w:t>
      </w:r>
      <w:r>
        <w:rPr>
          <w:rFonts w:asciiTheme="minorHAnsi" w:hAnsiTheme="minorHAnsi"/>
          <w:b/>
          <w:color w:val="000000" w:themeColor="text1"/>
          <w:lang w:val="en-GB"/>
        </w:rPr>
        <w:t xml:space="preserve"> should provide </w:t>
      </w:r>
      <w:r>
        <w:rPr>
          <w:rFonts w:asciiTheme="minorHAnsi" w:hAnsiTheme="minorHAnsi"/>
          <w:b/>
          <w:color w:val="000000" w:themeColor="text1"/>
        </w:rPr>
        <w:t>i</w:t>
      </w:r>
      <w:r w:rsidR="00CD0216" w:rsidRPr="003F1EA2">
        <w:rPr>
          <w:rFonts w:asciiTheme="minorHAnsi" w:hAnsiTheme="minorHAnsi"/>
          <w:b/>
          <w:color w:val="000000" w:themeColor="text1"/>
        </w:rPr>
        <w:t xml:space="preserve">nformation on </w:t>
      </w:r>
      <w:r>
        <w:rPr>
          <w:rFonts w:asciiTheme="minorHAnsi" w:hAnsiTheme="minorHAnsi"/>
          <w:b/>
          <w:color w:val="000000" w:themeColor="text1"/>
          <w:lang w:val="en-GB"/>
        </w:rPr>
        <w:t xml:space="preserve">what </w:t>
      </w:r>
      <w:r w:rsidR="00CD0216" w:rsidRPr="003F1EA2">
        <w:rPr>
          <w:rFonts w:asciiTheme="minorHAnsi" w:hAnsiTheme="minorHAnsi"/>
          <w:b/>
          <w:color w:val="000000" w:themeColor="text1"/>
        </w:rPr>
        <w:t xml:space="preserve">efforts </w:t>
      </w:r>
      <w:r>
        <w:rPr>
          <w:rFonts w:asciiTheme="minorHAnsi" w:hAnsiTheme="minorHAnsi"/>
          <w:b/>
          <w:color w:val="000000" w:themeColor="text1"/>
          <w:lang w:val="en-GB"/>
        </w:rPr>
        <w:t xml:space="preserve">and initiatives are contemplated </w:t>
      </w:r>
      <w:r w:rsidR="00CD0216" w:rsidRPr="003F1EA2">
        <w:rPr>
          <w:rFonts w:asciiTheme="minorHAnsi" w:hAnsiTheme="minorHAnsi"/>
          <w:b/>
          <w:color w:val="000000" w:themeColor="text1"/>
        </w:rPr>
        <w:t xml:space="preserve">to reduce delays in the discharge of </w:t>
      </w:r>
      <w:r w:rsidR="00416934">
        <w:rPr>
          <w:rFonts w:asciiTheme="minorHAnsi" w:hAnsiTheme="minorHAnsi"/>
          <w:b/>
          <w:color w:val="000000" w:themeColor="text1"/>
        </w:rPr>
        <w:t>GSOC’s</w:t>
      </w:r>
      <w:r w:rsidR="00CD0216" w:rsidRPr="003F1EA2">
        <w:rPr>
          <w:rFonts w:asciiTheme="minorHAnsi" w:hAnsiTheme="minorHAnsi"/>
          <w:b/>
          <w:color w:val="000000" w:themeColor="text1"/>
        </w:rPr>
        <w:t xml:space="preserve"> functions. </w:t>
      </w:r>
    </w:p>
    <w:p w14:paraId="4D39BE87" w14:textId="77777777" w:rsidR="00C65089" w:rsidRPr="003F1EA2" w:rsidRDefault="00C65089">
      <w:pPr>
        <w:rPr>
          <w:rFonts w:eastAsia="Times New Roman" w:cs="Times New Roman"/>
          <w:color w:val="000000" w:themeColor="text1"/>
          <w:sz w:val="24"/>
          <w:szCs w:val="24"/>
          <w:lang w:val="en-GB" w:eastAsia="es-ES"/>
        </w:rPr>
      </w:pPr>
      <w:r w:rsidRPr="003F1EA2">
        <w:rPr>
          <w:color w:val="000000" w:themeColor="text1"/>
          <w:sz w:val="24"/>
          <w:szCs w:val="24"/>
          <w:lang w:eastAsia="es-ES"/>
        </w:rPr>
        <w:br w:type="page"/>
      </w:r>
    </w:p>
    <w:p w14:paraId="04C9955D" w14:textId="03606E4C" w:rsidR="0028731E" w:rsidRPr="000E7104" w:rsidRDefault="00C65089" w:rsidP="00972C50">
      <w:pPr>
        <w:pStyle w:val="SingleTxtG"/>
        <w:spacing w:after="0" w:line="240" w:lineRule="auto"/>
        <w:ind w:left="0"/>
        <w:rPr>
          <w:rFonts w:asciiTheme="minorHAnsi" w:hAnsiTheme="minorHAnsi"/>
          <w:b/>
          <w:color w:val="000000" w:themeColor="text1"/>
          <w:sz w:val="24"/>
          <w:szCs w:val="24"/>
          <w:lang w:eastAsia="es-ES"/>
        </w:rPr>
      </w:pPr>
      <w:r w:rsidRPr="000E7104">
        <w:rPr>
          <w:rFonts w:asciiTheme="minorHAnsi" w:hAnsiTheme="minorHAnsi"/>
          <w:b/>
          <w:color w:val="000000" w:themeColor="text1"/>
          <w:sz w:val="24"/>
          <w:szCs w:val="24"/>
          <w:lang w:eastAsia="es-ES"/>
        </w:rPr>
        <w:lastRenderedPageBreak/>
        <w:t>Section 6:</w:t>
      </w:r>
      <w:r w:rsidRPr="000E7104">
        <w:rPr>
          <w:rFonts w:asciiTheme="minorHAnsi" w:hAnsiTheme="minorHAnsi"/>
          <w:b/>
          <w:color w:val="000000" w:themeColor="text1"/>
          <w:sz w:val="24"/>
          <w:szCs w:val="24"/>
          <w:lang w:eastAsia="es-ES"/>
        </w:rPr>
        <w:tab/>
      </w:r>
      <w:r w:rsidR="00664469" w:rsidRPr="000E7104">
        <w:rPr>
          <w:rFonts w:asciiTheme="minorHAnsi" w:hAnsiTheme="minorHAnsi"/>
          <w:b/>
          <w:color w:val="000000" w:themeColor="text1"/>
          <w:sz w:val="24"/>
          <w:szCs w:val="24"/>
          <w:lang w:eastAsia="es-ES"/>
        </w:rPr>
        <w:t>Historical ill treatment</w:t>
      </w:r>
      <w:r w:rsidR="00876D34" w:rsidRPr="000E7104">
        <w:rPr>
          <w:rFonts w:asciiTheme="minorHAnsi" w:hAnsiTheme="minorHAnsi"/>
          <w:b/>
          <w:color w:val="000000" w:themeColor="text1"/>
          <w:sz w:val="24"/>
          <w:szCs w:val="24"/>
          <w:lang w:eastAsia="es-ES"/>
        </w:rPr>
        <w:t xml:space="preserve"> - Symphysiotomy</w:t>
      </w:r>
    </w:p>
    <w:p w14:paraId="08E66945" w14:textId="77777777" w:rsidR="00C65089" w:rsidRPr="000E7104" w:rsidRDefault="00C65089" w:rsidP="00972C50">
      <w:pPr>
        <w:pStyle w:val="SingleTxtG"/>
        <w:spacing w:after="0" w:line="240" w:lineRule="auto"/>
        <w:ind w:left="0"/>
        <w:rPr>
          <w:rFonts w:asciiTheme="minorHAnsi" w:hAnsiTheme="minorHAnsi"/>
          <w:color w:val="000000" w:themeColor="text1"/>
          <w:sz w:val="24"/>
          <w:szCs w:val="24"/>
          <w:lang w:eastAsia="es-ES"/>
        </w:rPr>
      </w:pPr>
    </w:p>
    <w:p w14:paraId="0A613278" w14:textId="4DA64E64" w:rsidR="00C65089" w:rsidRPr="000E7104" w:rsidRDefault="003846E1" w:rsidP="00972C50">
      <w:pPr>
        <w:pStyle w:val="SingleTxtG"/>
        <w:spacing w:after="0" w:line="240" w:lineRule="auto"/>
        <w:ind w:left="0"/>
        <w:rPr>
          <w:rFonts w:asciiTheme="minorHAnsi" w:hAnsiTheme="minorHAnsi"/>
          <w:color w:val="000000" w:themeColor="text1"/>
          <w:sz w:val="24"/>
          <w:szCs w:val="24"/>
          <w:lang w:eastAsia="es-ES"/>
        </w:rPr>
      </w:pPr>
      <w:r w:rsidRPr="000E7104">
        <w:rPr>
          <w:rFonts w:asciiTheme="minorHAnsi" w:hAnsiTheme="minorHAnsi"/>
          <w:color w:val="000000" w:themeColor="text1"/>
          <w:sz w:val="24"/>
          <w:szCs w:val="24"/>
          <w:lang w:eastAsia="es-ES"/>
        </w:rPr>
        <w:tab/>
      </w:r>
      <w:r w:rsidRPr="000E7104">
        <w:rPr>
          <w:rFonts w:asciiTheme="minorHAnsi" w:hAnsiTheme="minorHAnsi"/>
          <w:color w:val="000000" w:themeColor="text1"/>
          <w:sz w:val="24"/>
          <w:szCs w:val="24"/>
          <w:lang w:eastAsia="es-ES"/>
        </w:rPr>
        <w:tab/>
        <w:t>(List of Issues No. 20, 21</w:t>
      </w:r>
      <w:r w:rsidR="007F4178" w:rsidRPr="000E7104">
        <w:rPr>
          <w:rFonts w:asciiTheme="minorHAnsi" w:hAnsiTheme="minorHAnsi"/>
          <w:color w:val="000000" w:themeColor="text1"/>
          <w:sz w:val="24"/>
          <w:szCs w:val="24"/>
          <w:lang w:eastAsia="es-ES"/>
        </w:rPr>
        <w:t>; Articles 12, 13, 14, 16)</w:t>
      </w:r>
    </w:p>
    <w:p w14:paraId="2B68F939" w14:textId="77777777" w:rsidR="00C65089" w:rsidRPr="000E7104" w:rsidRDefault="00C65089" w:rsidP="00972C50">
      <w:pPr>
        <w:pStyle w:val="SingleTxtG"/>
        <w:spacing w:after="0" w:line="240" w:lineRule="auto"/>
        <w:ind w:left="0"/>
        <w:rPr>
          <w:rFonts w:asciiTheme="minorHAnsi" w:hAnsiTheme="minorHAnsi"/>
          <w:color w:val="000000" w:themeColor="text1"/>
          <w:sz w:val="24"/>
          <w:szCs w:val="24"/>
          <w:lang w:eastAsia="es-ES"/>
        </w:rPr>
      </w:pPr>
    </w:p>
    <w:p w14:paraId="0F34C042" w14:textId="0BACEB79" w:rsidR="003B39B4" w:rsidRPr="002A1DEE" w:rsidRDefault="00623D0A" w:rsidP="002A1DEE">
      <w:pPr>
        <w:pStyle w:val="SingleTxtG"/>
        <w:numPr>
          <w:ilvl w:val="0"/>
          <w:numId w:val="3"/>
        </w:numPr>
        <w:spacing w:after="0" w:line="240" w:lineRule="auto"/>
        <w:ind w:right="0"/>
        <w:rPr>
          <w:rFonts w:asciiTheme="minorHAnsi" w:hAnsiTheme="minorHAnsi"/>
          <w:color w:val="000000" w:themeColor="text1"/>
          <w:sz w:val="24"/>
          <w:szCs w:val="24"/>
          <w:lang w:eastAsia="es-ES"/>
        </w:rPr>
      </w:pPr>
      <w:r w:rsidRPr="000E7104">
        <w:rPr>
          <w:rFonts w:asciiTheme="minorHAnsi" w:hAnsiTheme="minorHAnsi"/>
          <w:color w:val="000000" w:themeColor="text1"/>
          <w:sz w:val="24"/>
          <w:szCs w:val="24"/>
          <w:lang w:eastAsia="es-ES"/>
        </w:rPr>
        <w:t xml:space="preserve">While the list of issues makes specific reference to outstanding issues relating to </w:t>
      </w:r>
      <w:r w:rsidR="00763490" w:rsidRPr="000E7104">
        <w:rPr>
          <w:rFonts w:asciiTheme="minorHAnsi" w:hAnsiTheme="minorHAnsi"/>
          <w:color w:val="000000" w:themeColor="text1"/>
          <w:sz w:val="24"/>
          <w:szCs w:val="24"/>
          <w:lang w:eastAsia="es-ES"/>
        </w:rPr>
        <w:t>redr</w:t>
      </w:r>
      <w:r w:rsidRPr="000E7104">
        <w:rPr>
          <w:rFonts w:asciiTheme="minorHAnsi" w:hAnsiTheme="minorHAnsi"/>
          <w:color w:val="000000" w:themeColor="text1"/>
          <w:sz w:val="24"/>
          <w:szCs w:val="24"/>
          <w:lang w:eastAsia="es-ES"/>
        </w:rPr>
        <w:t xml:space="preserve">ess </w:t>
      </w:r>
      <w:r w:rsidR="00763490" w:rsidRPr="000E7104">
        <w:rPr>
          <w:rFonts w:asciiTheme="minorHAnsi" w:hAnsiTheme="minorHAnsi"/>
          <w:color w:val="000000" w:themeColor="text1"/>
          <w:sz w:val="24"/>
          <w:szCs w:val="24"/>
          <w:lang w:eastAsia="es-ES"/>
        </w:rPr>
        <w:t>arising</w:t>
      </w:r>
      <w:r w:rsidR="006C4826" w:rsidRPr="000E7104">
        <w:rPr>
          <w:rFonts w:asciiTheme="minorHAnsi" w:hAnsiTheme="minorHAnsi"/>
          <w:color w:val="000000" w:themeColor="text1"/>
          <w:sz w:val="24"/>
          <w:szCs w:val="24"/>
          <w:lang w:eastAsia="es-ES"/>
        </w:rPr>
        <w:t xml:space="preserve"> from the from Ryan Commission and in relation to </w:t>
      </w:r>
      <w:r w:rsidR="00664469" w:rsidRPr="000E7104">
        <w:rPr>
          <w:rFonts w:asciiTheme="minorHAnsi" w:hAnsiTheme="minorHAnsi"/>
          <w:color w:val="000000" w:themeColor="text1"/>
          <w:sz w:val="24"/>
          <w:szCs w:val="24"/>
          <w:lang w:eastAsia="es-ES"/>
        </w:rPr>
        <w:t>Magdalene</w:t>
      </w:r>
      <w:r w:rsidR="006C4826" w:rsidRPr="000E7104">
        <w:rPr>
          <w:rFonts w:asciiTheme="minorHAnsi" w:hAnsiTheme="minorHAnsi"/>
          <w:color w:val="000000" w:themeColor="text1"/>
          <w:sz w:val="24"/>
          <w:szCs w:val="24"/>
          <w:lang w:eastAsia="es-ES"/>
        </w:rPr>
        <w:t xml:space="preserve"> Laundries, </w:t>
      </w:r>
      <w:r w:rsidR="00763490" w:rsidRPr="000E7104">
        <w:rPr>
          <w:rFonts w:asciiTheme="minorHAnsi" w:hAnsiTheme="minorHAnsi"/>
          <w:color w:val="000000" w:themeColor="text1"/>
          <w:sz w:val="24"/>
          <w:szCs w:val="24"/>
          <w:lang w:eastAsia="es-ES"/>
        </w:rPr>
        <w:t xml:space="preserve">ICCL also wishes to make reference here to </w:t>
      </w:r>
      <w:r w:rsidR="00F43C8F" w:rsidRPr="000E7104">
        <w:rPr>
          <w:rFonts w:asciiTheme="minorHAnsi" w:hAnsiTheme="minorHAnsi"/>
          <w:color w:val="000000" w:themeColor="text1"/>
          <w:sz w:val="24"/>
          <w:szCs w:val="24"/>
          <w:lang w:eastAsia="es-ES"/>
        </w:rPr>
        <w:t xml:space="preserve">issues relating to </w:t>
      </w:r>
      <w:r w:rsidR="00C65089" w:rsidRPr="000E7104">
        <w:rPr>
          <w:rFonts w:asciiTheme="minorHAnsi" w:hAnsiTheme="minorHAnsi"/>
          <w:color w:val="000000" w:themeColor="text1"/>
          <w:sz w:val="24"/>
          <w:szCs w:val="24"/>
          <w:lang w:eastAsia="es-ES"/>
        </w:rPr>
        <w:t xml:space="preserve">women subjected to the medical procedure of </w:t>
      </w:r>
      <w:r w:rsidR="00F43C8F" w:rsidRPr="000E7104">
        <w:rPr>
          <w:rFonts w:asciiTheme="minorHAnsi" w:hAnsiTheme="minorHAnsi"/>
          <w:color w:val="000000" w:themeColor="text1"/>
          <w:sz w:val="24"/>
          <w:szCs w:val="24"/>
          <w:lang w:eastAsia="es-ES"/>
        </w:rPr>
        <w:t>symph</w:t>
      </w:r>
      <w:r w:rsidR="00763490" w:rsidRPr="000E7104">
        <w:rPr>
          <w:rFonts w:asciiTheme="minorHAnsi" w:hAnsiTheme="minorHAnsi"/>
          <w:color w:val="000000" w:themeColor="text1"/>
          <w:sz w:val="24"/>
          <w:szCs w:val="24"/>
          <w:lang w:eastAsia="es-ES"/>
        </w:rPr>
        <w:t>ysiotomy.</w:t>
      </w:r>
      <w:r w:rsidR="00AB2451" w:rsidRPr="000E7104">
        <w:rPr>
          <w:rFonts w:asciiTheme="minorHAnsi" w:hAnsiTheme="minorHAnsi"/>
          <w:color w:val="000000" w:themeColor="text1"/>
          <w:sz w:val="24"/>
          <w:szCs w:val="24"/>
          <w:lang w:eastAsia="es-ES"/>
        </w:rPr>
        <w:t xml:space="preserve">  </w:t>
      </w:r>
      <w:r w:rsidR="00C65089" w:rsidRPr="002A1DEE">
        <w:rPr>
          <w:rFonts w:asciiTheme="minorHAnsi" w:hAnsiTheme="minorHAnsi"/>
          <w:color w:val="000000" w:themeColor="text1"/>
          <w:sz w:val="24"/>
          <w:szCs w:val="24"/>
        </w:rPr>
        <w:t xml:space="preserve">The State's failure to provide an effective remedy </w:t>
      </w:r>
      <w:r w:rsidR="00CD0216" w:rsidRPr="002A1DEE">
        <w:rPr>
          <w:rFonts w:asciiTheme="minorHAnsi" w:hAnsiTheme="minorHAnsi"/>
          <w:color w:val="000000" w:themeColor="text1"/>
          <w:sz w:val="24"/>
          <w:szCs w:val="24"/>
        </w:rPr>
        <w:t xml:space="preserve">to this category of victims </w:t>
      </w:r>
      <w:r w:rsidR="00C65089" w:rsidRPr="002A1DEE">
        <w:rPr>
          <w:rFonts w:asciiTheme="minorHAnsi" w:hAnsiTheme="minorHAnsi"/>
          <w:color w:val="000000" w:themeColor="text1"/>
          <w:sz w:val="24"/>
          <w:szCs w:val="24"/>
        </w:rPr>
        <w:t xml:space="preserve">by means of an effective investigation or adequate redress has attracted international censure from a number of treaty bodies. </w:t>
      </w:r>
      <w:r w:rsidR="00084286" w:rsidRPr="002A1DEE">
        <w:rPr>
          <w:rFonts w:asciiTheme="minorHAnsi" w:hAnsiTheme="minorHAnsi"/>
          <w:color w:val="000000" w:themeColor="text1"/>
          <w:sz w:val="24"/>
          <w:szCs w:val="24"/>
        </w:rPr>
        <w:t>In its most recent examination of Ireland</w:t>
      </w:r>
      <w:r w:rsidR="00FD2C60" w:rsidRPr="002A1DEE">
        <w:rPr>
          <w:rFonts w:asciiTheme="minorHAnsi" w:hAnsiTheme="minorHAnsi"/>
          <w:color w:val="000000" w:themeColor="text1"/>
          <w:sz w:val="24"/>
          <w:szCs w:val="24"/>
        </w:rPr>
        <w:t xml:space="preserve"> in July 2014</w:t>
      </w:r>
      <w:r w:rsidR="00084286" w:rsidRPr="002A1DEE">
        <w:rPr>
          <w:rFonts w:asciiTheme="minorHAnsi" w:hAnsiTheme="minorHAnsi"/>
          <w:color w:val="000000" w:themeColor="text1"/>
          <w:sz w:val="24"/>
          <w:szCs w:val="24"/>
        </w:rPr>
        <w:t>, t</w:t>
      </w:r>
      <w:r w:rsidR="00CD0216" w:rsidRPr="002A1DEE">
        <w:rPr>
          <w:rFonts w:asciiTheme="minorHAnsi" w:hAnsiTheme="minorHAnsi"/>
          <w:color w:val="000000" w:themeColor="text1"/>
          <w:sz w:val="24"/>
          <w:szCs w:val="24"/>
        </w:rPr>
        <w:t>he</w:t>
      </w:r>
      <w:r w:rsidR="00C65089" w:rsidRPr="002A1DEE">
        <w:rPr>
          <w:rFonts w:asciiTheme="minorHAnsi" w:hAnsiTheme="minorHAnsi"/>
          <w:color w:val="000000" w:themeColor="text1"/>
          <w:sz w:val="24"/>
          <w:szCs w:val="24"/>
        </w:rPr>
        <w:t xml:space="preserve"> UN Human Rights Committee, citing Arts 2 and 7 of the ICCPR, recommended that the State, having failed to do so, should underta</w:t>
      </w:r>
      <w:r w:rsidR="00876D34" w:rsidRPr="002A1DEE">
        <w:rPr>
          <w:rFonts w:asciiTheme="minorHAnsi" w:hAnsiTheme="minorHAnsi"/>
          <w:color w:val="000000" w:themeColor="text1"/>
          <w:sz w:val="24"/>
          <w:szCs w:val="24"/>
        </w:rPr>
        <w:t>ke an effective investigation, “</w:t>
      </w:r>
      <w:r w:rsidR="00C65089" w:rsidRPr="002A1DEE">
        <w:rPr>
          <w:rFonts w:asciiTheme="minorHAnsi" w:hAnsiTheme="minorHAnsi"/>
          <w:color w:val="000000" w:themeColor="text1"/>
          <w:sz w:val="24"/>
          <w:szCs w:val="24"/>
        </w:rPr>
        <w:t>prosecute and punish the perpetrators, including medical personnel … an</w:t>
      </w:r>
      <w:r w:rsidR="00876D34" w:rsidRPr="002A1DEE">
        <w:rPr>
          <w:rFonts w:asciiTheme="minorHAnsi" w:hAnsiTheme="minorHAnsi"/>
          <w:color w:val="000000" w:themeColor="text1"/>
          <w:sz w:val="24"/>
          <w:szCs w:val="24"/>
        </w:rPr>
        <w:t>d provide an effective remedy”</w:t>
      </w:r>
      <w:r w:rsidR="00981AE2" w:rsidRPr="002A1DEE">
        <w:rPr>
          <w:rFonts w:asciiTheme="minorHAnsi" w:hAnsiTheme="minorHAnsi"/>
          <w:color w:val="000000" w:themeColor="text1"/>
          <w:sz w:val="24"/>
          <w:szCs w:val="24"/>
        </w:rPr>
        <w:t>.</w:t>
      </w:r>
      <w:r w:rsidR="00FD2C60" w:rsidRPr="000E7104">
        <w:rPr>
          <w:rStyle w:val="FootnoteReference"/>
          <w:rFonts w:asciiTheme="minorHAnsi" w:hAnsiTheme="minorHAnsi"/>
          <w:color w:val="000000" w:themeColor="text1"/>
          <w:sz w:val="24"/>
          <w:szCs w:val="24"/>
        </w:rPr>
        <w:footnoteReference w:id="19"/>
      </w:r>
      <w:r w:rsidR="00981AE2" w:rsidRPr="002A1DEE">
        <w:rPr>
          <w:rFonts w:asciiTheme="minorHAnsi" w:hAnsiTheme="minorHAnsi"/>
          <w:color w:val="000000" w:themeColor="text1"/>
          <w:sz w:val="24"/>
          <w:szCs w:val="24"/>
        </w:rPr>
        <w:t xml:space="preserve"> </w:t>
      </w:r>
      <w:r w:rsidR="00C65089" w:rsidRPr="002A1DEE">
        <w:rPr>
          <w:rFonts w:asciiTheme="minorHAnsi" w:hAnsiTheme="minorHAnsi"/>
          <w:color w:val="000000" w:themeColor="text1"/>
          <w:sz w:val="24"/>
          <w:szCs w:val="24"/>
        </w:rPr>
        <w:t xml:space="preserve">Similar findings and recommendations were made by the CEDAW Committee on 9 March 2017, </w:t>
      </w:r>
      <w:r w:rsidR="00981AE2" w:rsidRPr="002A1DEE">
        <w:rPr>
          <w:rFonts w:asciiTheme="minorHAnsi" w:hAnsiTheme="minorHAnsi"/>
          <w:color w:val="000000" w:themeColor="text1"/>
          <w:sz w:val="24"/>
          <w:szCs w:val="24"/>
        </w:rPr>
        <w:t>who</w:t>
      </w:r>
      <w:r w:rsidR="00C65089" w:rsidRPr="002A1DEE">
        <w:rPr>
          <w:rFonts w:asciiTheme="minorHAnsi" w:hAnsiTheme="minorHAnsi"/>
          <w:bCs/>
          <w:color w:val="000000" w:themeColor="text1"/>
          <w:sz w:val="24"/>
          <w:szCs w:val="24"/>
        </w:rPr>
        <w:t xml:space="preserve"> concluded that the State had failed to implement the </w:t>
      </w:r>
      <w:r w:rsidR="00CD0216" w:rsidRPr="002A1DEE">
        <w:rPr>
          <w:rFonts w:asciiTheme="minorHAnsi" w:hAnsiTheme="minorHAnsi"/>
          <w:bCs/>
          <w:color w:val="000000" w:themeColor="text1"/>
          <w:sz w:val="24"/>
          <w:szCs w:val="24"/>
        </w:rPr>
        <w:t xml:space="preserve">Human Rights Committee </w:t>
      </w:r>
      <w:r w:rsidR="00C65089" w:rsidRPr="002A1DEE">
        <w:rPr>
          <w:rFonts w:asciiTheme="minorHAnsi" w:hAnsiTheme="minorHAnsi"/>
          <w:bCs/>
          <w:color w:val="000000" w:themeColor="text1"/>
          <w:sz w:val="24"/>
          <w:szCs w:val="24"/>
        </w:rPr>
        <w:t>recommendations, and that ‘the practice [of s</w:t>
      </w:r>
      <w:r w:rsidR="00812FE4" w:rsidRPr="002A1DEE">
        <w:rPr>
          <w:rFonts w:asciiTheme="minorHAnsi" w:hAnsiTheme="minorHAnsi"/>
          <w:bCs/>
          <w:color w:val="000000" w:themeColor="text1"/>
          <w:sz w:val="24"/>
          <w:szCs w:val="24"/>
        </w:rPr>
        <w:t>ymphysiotomy] had given rise to “</w:t>
      </w:r>
      <w:r w:rsidR="00C65089" w:rsidRPr="002A1DEE">
        <w:rPr>
          <w:rFonts w:asciiTheme="minorHAnsi" w:hAnsiTheme="minorHAnsi"/>
          <w:bCs/>
          <w:color w:val="000000" w:themeColor="text1"/>
          <w:sz w:val="24"/>
          <w:szCs w:val="24"/>
        </w:rPr>
        <w:t>serious violations that have a continuing effec</w:t>
      </w:r>
      <w:r w:rsidR="00812FE4" w:rsidRPr="002A1DEE">
        <w:rPr>
          <w:rFonts w:asciiTheme="minorHAnsi" w:hAnsiTheme="minorHAnsi"/>
          <w:bCs/>
          <w:color w:val="000000" w:themeColor="text1"/>
          <w:sz w:val="24"/>
          <w:szCs w:val="24"/>
        </w:rPr>
        <w:t>t on the rights of victim</w:t>
      </w:r>
      <w:r w:rsidR="00DF24CA">
        <w:rPr>
          <w:rFonts w:asciiTheme="minorHAnsi" w:hAnsiTheme="minorHAnsi"/>
          <w:bCs/>
          <w:color w:val="000000" w:themeColor="text1"/>
          <w:sz w:val="24"/>
          <w:szCs w:val="24"/>
        </w:rPr>
        <w:t>s/survivors of those violations</w:t>
      </w:r>
      <w:r w:rsidR="00812FE4" w:rsidRPr="002A1DEE">
        <w:rPr>
          <w:rFonts w:asciiTheme="minorHAnsi" w:hAnsiTheme="minorHAnsi"/>
          <w:bCs/>
          <w:color w:val="000000" w:themeColor="text1"/>
          <w:sz w:val="24"/>
          <w:szCs w:val="24"/>
        </w:rPr>
        <w:t>”</w:t>
      </w:r>
      <w:r w:rsidR="00367841" w:rsidRPr="002A1DEE">
        <w:rPr>
          <w:rFonts w:asciiTheme="minorHAnsi" w:hAnsiTheme="minorHAnsi"/>
          <w:bCs/>
          <w:color w:val="000000" w:themeColor="text1"/>
          <w:sz w:val="24"/>
          <w:szCs w:val="24"/>
        </w:rPr>
        <w:t>’. That</w:t>
      </w:r>
      <w:r w:rsidR="00C65089" w:rsidRPr="002A1DEE">
        <w:rPr>
          <w:rFonts w:asciiTheme="minorHAnsi" w:hAnsiTheme="minorHAnsi"/>
          <w:bCs/>
          <w:color w:val="000000" w:themeColor="text1"/>
          <w:sz w:val="24"/>
          <w:szCs w:val="24"/>
        </w:rPr>
        <w:t xml:space="preserve"> Committee called for an effective inquiry, stating that ‘no effort has been made to establish an independent investigation’</w:t>
      </w:r>
      <w:r w:rsidR="00FD2C60" w:rsidRPr="002A1DEE">
        <w:rPr>
          <w:rFonts w:asciiTheme="minorHAnsi" w:hAnsiTheme="minorHAnsi"/>
          <w:bCs/>
          <w:color w:val="000000" w:themeColor="text1"/>
          <w:sz w:val="24"/>
          <w:szCs w:val="24"/>
        </w:rPr>
        <w:t>.</w:t>
      </w:r>
      <w:r w:rsidR="00AB2451" w:rsidRPr="000E7104">
        <w:rPr>
          <w:rStyle w:val="FootnoteReference"/>
          <w:rFonts w:asciiTheme="minorHAnsi" w:hAnsiTheme="minorHAnsi"/>
          <w:bCs/>
          <w:color w:val="000000" w:themeColor="text1"/>
          <w:sz w:val="24"/>
          <w:szCs w:val="24"/>
        </w:rPr>
        <w:footnoteReference w:id="20"/>
      </w:r>
      <w:r w:rsidR="00812FE4" w:rsidRPr="002A1DEE">
        <w:rPr>
          <w:rFonts w:asciiTheme="minorHAnsi" w:hAnsiTheme="minorHAnsi"/>
          <w:bCs/>
          <w:color w:val="000000" w:themeColor="text1"/>
          <w:sz w:val="24"/>
          <w:szCs w:val="24"/>
        </w:rPr>
        <w:t xml:space="preserve"> </w:t>
      </w:r>
      <w:r w:rsidR="00C65089" w:rsidRPr="002A1DEE">
        <w:rPr>
          <w:rFonts w:asciiTheme="minorHAnsi" w:hAnsiTheme="minorHAnsi"/>
          <w:color w:val="000000" w:themeColor="text1"/>
          <w:sz w:val="24"/>
          <w:szCs w:val="24"/>
        </w:rPr>
        <w:t xml:space="preserve">The </w:t>
      </w:r>
      <w:r w:rsidR="00CD0216" w:rsidRPr="002A1DEE">
        <w:rPr>
          <w:rFonts w:asciiTheme="minorHAnsi" w:hAnsiTheme="minorHAnsi"/>
          <w:color w:val="000000" w:themeColor="text1"/>
          <w:sz w:val="24"/>
          <w:szCs w:val="24"/>
        </w:rPr>
        <w:t xml:space="preserve">Council of Europe Commissioner for </w:t>
      </w:r>
      <w:r w:rsidR="00C65089" w:rsidRPr="002A1DEE">
        <w:rPr>
          <w:rFonts w:asciiTheme="minorHAnsi" w:hAnsiTheme="minorHAnsi"/>
          <w:color w:val="000000" w:themeColor="text1"/>
          <w:sz w:val="24"/>
          <w:szCs w:val="24"/>
        </w:rPr>
        <w:t>Human Rights</w:t>
      </w:r>
      <w:r w:rsidR="005C2FED" w:rsidRPr="002A1DEE">
        <w:rPr>
          <w:rFonts w:asciiTheme="minorHAnsi" w:hAnsiTheme="minorHAnsi"/>
          <w:color w:val="000000" w:themeColor="text1"/>
          <w:sz w:val="24"/>
          <w:szCs w:val="24"/>
        </w:rPr>
        <w:t>,</w:t>
      </w:r>
      <w:r w:rsidR="00C65089" w:rsidRPr="002A1DEE">
        <w:rPr>
          <w:rFonts w:asciiTheme="minorHAnsi" w:hAnsiTheme="minorHAnsi"/>
          <w:color w:val="000000" w:themeColor="text1"/>
          <w:sz w:val="24"/>
          <w:szCs w:val="24"/>
        </w:rPr>
        <w:t xml:space="preserve"> </w:t>
      </w:r>
      <w:r w:rsidR="005C2FED" w:rsidRPr="002A1DEE">
        <w:rPr>
          <w:rFonts w:asciiTheme="minorHAnsi" w:hAnsiTheme="minorHAnsi"/>
          <w:color w:val="000000" w:themeColor="text1"/>
          <w:sz w:val="24"/>
          <w:szCs w:val="24"/>
        </w:rPr>
        <w:t>i</w:t>
      </w:r>
      <w:r w:rsidR="00C65089" w:rsidRPr="002A1DEE">
        <w:rPr>
          <w:rFonts w:asciiTheme="minorHAnsi" w:hAnsiTheme="minorHAnsi"/>
          <w:color w:val="000000" w:themeColor="text1"/>
          <w:sz w:val="24"/>
          <w:szCs w:val="24"/>
        </w:rPr>
        <w:t xml:space="preserve">n his </w:t>
      </w:r>
      <w:r w:rsidR="00FD2C60" w:rsidRPr="002A1DEE">
        <w:rPr>
          <w:rFonts w:asciiTheme="minorHAnsi" w:hAnsiTheme="minorHAnsi"/>
          <w:color w:val="000000" w:themeColor="text1"/>
          <w:sz w:val="24"/>
          <w:szCs w:val="24"/>
        </w:rPr>
        <w:t xml:space="preserve">most recent </w:t>
      </w:r>
      <w:r w:rsidR="00C65089" w:rsidRPr="002A1DEE">
        <w:rPr>
          <w:rFonts w:asciiTheme="minorHAnsi" w:hAnsiTheme="minorHAnsi"/>
          <w:color w:val="000000" w:themeColor="text1"/>
          <w:sz w:val="24"/>
          <w:szCs w:val="24"/>
        </w:rPr>
        <w:t>rep</w:t>
      </w:r>
      <w:r w:rsidR="00812FE4" w:rsidRPr="002A1DEE">
        <w:rPr>
          <w:rFonts w:asciiTheme="minorHAnsi" w:hAnsiTheme="minorHAnsi"/>
          <w:color w:val="000000" w:themeColor="text1"/>
          <w:sz w:val="24"/>
          <w:szCs w:val="24"/>
        </w:rPr>
        <w:t xml:space="preserve">ort </w:t>
      </w:r>
      <w:r w:rsidR="00FD2C60" w:rsidRPr="002A1DEE">
        <w:rPr>
          <w:rFonts w:asciiTheme="minorHAnsi" w:hAnsiTheme="minorHAnsi"/>
          <w:color w:val="000000" w:themeColor="text1"/>
          <w:sz w:val="24"/>
          <w:szCs w:val="24"/>
        </w:rPr>
        <w:t xml:space="preserve">on Ireland </w:t>
      </w:r>
      <w:r w:rsidR="00812FE4" w:rsidRPr="002A1DEE">
        <w:rPr>
          <w:rFonts w:asciiTheme="minorHAnsi" w:hAnsiTheme="minorHAnsi"/>
          <w:color w:val="000000" w:themeColor="text1"/>
          <w:sz w:val="24"/>
          <w:szCs w:val="24"/>
        </w:rPr>
        <w:t>of 29</w:t>
      </w:r>
      <w:r w:rsidR="00AC386A" w:rsidRPr="002A1DEE">
        <w:rPr>
          <w:rFonts w:asciiTheme="minorHAnsi" w:hAnsiTheme="minorHAnsi"/>
          <w:color w:val="000000" w:themeColor="text1"/>
          <w:sz w:val="24"/>
          <w:szCs w:val="24"/>
          <w:vertAlign w:val="superscript"/>
        </w:rPr>
        <w:t>th</w:t>
      </w:r>
      <w:r w:rsidR="00812FE4" w:rsidRPr="002A1DEE">
        <w:rPr>
          <w:rFonts w:asciiTheme="minorHAnsi" w:hAnsiTheme="minorHAnsi"/>
          <w:color w:val="000000" w:themeColor="text1"/>
          <w:sz w:val="24"/>
          <w:szCs w:val="24"/>
        </w:rPr>
        <w:t xml:space="preserve"> March 2017, referred </w:t>
      </w:r>
      <w:r w:rsidR="00C65089" w:rsidRPr="002A1DEE">
        <w:rPr>
          <w:rFonts w:asciiTheme="minorHAnsi" w:hAnsiTheme="minorHAnsi"/>
          <w:color w:val="000000" w:themeColor="text1"/>
          <w:sz w:val="24"/>
          <w:szCs w:val="24"/>
        </w:rPr>
        <w:t xml:space="preserve">to three State-commissioned reports on symphysiotomy, </w:t>
      </w:r>
      <w:r w:rsidR="00584A34" w:rsidRPr="002A1DEE">
        <w:rPr>
          <w:rFonts w:asciiTheme="minorHAnsi" w:hAnsiTheme="minorHAnsi"/>
          <w:bCs/>
          <w:color w:val="000000" w:themeColor="text1"/>
          <w:sz w:val="24"/>
          <w:szCs w:val="24"/>
        </w:rPr>
        <w:t>and</w:t>
      </w:r>
      <w:r w:rsidR="00C65089" w:rsidRPr="002A1DEE">
        <w:rPr>
          <w:rFonts w:asciiTheme="minorHAnsi" w:hAnsiTheme="minorHAnsi"/>
          <w:bCs/>
          <w:color w:val="000000" w:themeColor="text1"/>
          <w:sz w:val="24"/>
          <w:szCs w:val="24"/>
        </w:rPr>
        <w:t xml:space="preserve"> </w:t>
      </w:r>
      <w:r w:rsidR="00584A34" w:rsidRPr="002A1DEE">
        <w:rPr>
          <w:rFonts w:asciiTheme="minorHAnsi" w:hAnsiTheme="minorHAnsi"/>
          <w:bCs/>
          <w:color w:val="000000" w:themeColor="text1"/>
          <w:sz w:val="24"/>
          <w:szCs w:val="24"/>
        </w:rPr>
        <w:t>stated that “</w:t>
      </w:r>
      <w:r w:rsidR="00C65089" w:rsidRPr="002A1DEE">
        <w:rPr>
          <w:rFonts w:asciiTheme="minorHAnsi" w:hAnsiTheme="minorHAnsi"/>
          <w:bCs/>
          <w:color w:val="000000" w:themeColor="text1"/>
          <w:sz w:val="24"/>
          <w:szCs w:val="24"/>
        </w:rPr>
        <w:t xml:space="preserve">the first report could not be considered as independent, an important shortcoming given that the two ensuing reports </w:t>
      </w:r>
      <w:r w:rsidR="00584A34" w:rsidRPr="002A1DEE">
        <w:rPr>
          <w:rFonts w:asciiTheme="minorHAnsi" w:hAnsiTheme="minorHAnsi"/>
          <w:bCs/>
          <w:color w:val="000000" w:themeColor="text1"/>
          <w:sz w:val="24"/>
          <w:szCs w:val="24"/>
        </w:rPr>
        <w:t>relied heavily on its findings”</w:t>
      </w:r>
      <w:r w:rsidR="00AC386A" w:rsidRPr="002A1DEE">
        <w:rPr>
          <w:rFonts w:asciiTheme="minorHAnsi" w:hAnsiTheme="minorHAnsi"/>
          <w:bCs/>
          <w:color w:val="000000" w:themeColor="text1"/>
          <w:sz w:val="24"/>
          <w:szCs w:val="24"/>
        </w:rPr>
        <w:t>.</w:t>
      </w:r>
      <w:r w:rsidR="00FD2C60" w:rsidRPr="000E7104">
        <w:rPr>
          <w:rStyle w:val="FootnoteReference"/>
          <w:rFonts w:asciiTheme="minorHAnsi" w:hAnsiTheme="minorHAnsi"/>
          <w:bCs/>
          <w:color w:val="000000" w:themeColor="text1"/>
          <w:sz w:val="24"/>
          <w:szCs w:val="24"/>
        </w:rPr>
        <w:footnoteReference w:id="21"/>
      </w:r>
      <w:r w:rsidR="00C65089" w:rsidRPr="002A1DEE">
        <w:rPr>
          <w:rFonts w:asciiTheme="minorHAnsi" w:hAnsiTheme="minorHAnsi"/>
          <w:color w:val="000000" w:themeColor="text1"/>
          <w:sz w:val="24"/>
          <w:szCs w:val="24"/>
        </w:rPr>
        <w:t xml:space="preserve"> </w:t>
      </w:r>
    </w:p>
    <w:p w14:paraId="6E805377" w14:textId="77777777" w:rsidR="003B39B4" w:rsidRPr="000E7104" w:rsidRDefault="003B39B4" w:rsidP="003B39B4">
      <w:pPr>
        <w:pStyle w:val="SingleTxtG"/>
        <w:spacing w:after="0" w:line="240" w:lineRule="auto"/>
        <w:ind w:left="720" w:right="0"/>
        <w:rPr>
          <w:rFonts w:asciiTheme="minorHAnsi" w:hAnsiTheme="minorHAnsi"/>
          <w:color w:val="000000" w:themeColor="text1"/>
          <w:sz w:val="24"/>
          <w:szCs w:val="24"/>
          <w:lang w:eastAsia="es-ES"/>
        </w:rPr>
      </w:pPr>
    </w:p>
    <w:p w14:paraId="73DDD7F2" w14:textId="76578712" w:rsidR="00CD0216" w:rsidRPr="000E7104" w:rsidRDefault="003B39B4" w:rsidP="00411783">
      <w:pPr>
        <w:pStyle w:val="SingleTxtG"/>
        <w:numPr>
          <w:ilvl w:val="0"/>
          <w:numId w:val="3"/>
        </w:numPr>
        <w:spacing w:after="0" w:line="240" w:lineRule="auto"/>
        <w:ind w:right="0"/>
        <w:rPr>
          <w:rFonts w:asciiTheme="minorHAnsi" w:hAnsiTheme="minorHAnsi"/>
          <w:color w:val="000000" w:themeColor="text1"/>
          <w:sz w:val="24"/>
          <w:szCs w:val="24"/>
          <w:lang w:eastAsia="es-ES"/>
        </w:rPr>
      </w:pPr>
      <w:r w:rsidRPr="000E7104">
        <w:rPr>
          <w:rFonts w:asciiTheme="minorHAnsi" w:hAnsiTheme="minorHAnsi"/>
          <w:color w:val="000000" w:themeColor="text1"/>
          <w:sz w:val="24"/>
          <w:szCs w:val="24"/>
        </w:rPr>
        <w:t xml:space="preserve">It has been recognised by academic commentators </w:t>
      </w:r>
      <w:r w:rsidR="000E7104">
        <w:rPr>
          <w:rFonts w:asciiTheme="minorHAnsi" w:hAnsiTheme="minorHAnsi"/>
          <w:color w:val="000000" w:themeColor="text1"/>
          <w:sz w:val="24"/>
          <w:szCs w:val="24"/>
        </w:rPr>
        <w:t xml:space="preserve">and civil society organisations </w:t>
      </w:r>
      <w:r w:rsidRPr="000E7104">
        <w:rPr>
          <w:rFonts w:asciiTheme="minorHAnsi" w:hAnsiTheme="minorHAnsi"/>
          <w:color w:val="000000" w:themeColor="text1"/>
          <w:sz w:val="24"/>
          <w:szCs w:val="24"/>
        </w:rPr>
        <w:t>that n</w:t>
      </w:r>
      <w:r w:rsidR="00C65089" w:rsidRPr="000E7104">
        <w:rPr>
          <w:rFonts w:asciiTheme="minorHAnsi" w:hAnsiTheme="minorHAnsi"/>
          <w:color w:val="000000" w:themeColor="text1"/>
          <w:sz w:val="24"/>
          <w:szCs w:val="24"/>
        </w:rPr>
        <w:t>ational court proceedings may not offer an effective remedy</w:t>
      </w:r>
      <w:r w:rsidRPr="000E7104">
        <w:rPr>
          <w:rFonts w:asciiTheme="minorHAnsi" w:hAnsiTheme="minorHAnsi"/>
          <w:color w:val="000000" w:themeColor="text1"/>
          <w:sz w:val="24"/>
          <w:szCs w:val="24"/>
        </w:rPr>
        <w:t xml:space="preserve"> for victims</w:t>
      </w:r>
      <w:r w:rsidR="000E7104">
        <w:rPr>
          <w:rFonts w:asciiTheme="minorHAnsi" w:hAnsiTheme="minorHAnsi"/>
          <w:color w:val="000000" w:themeColor="text1"/>
          <w:sz w:val="24"/>
          <w:szCs w:val="24"/>
        </w:rPr>
        <w:t>.</w:t>
      </w:r>
      <w:r w:rsidR="009B70BF">
        <w:rPr>
          <w:rStyle w:val="FootnoteReference"/>
          <w:rFonts w:asciiTheme="minorHAnsi" w:hAnsiTheme="minorHAnsi"/>
          <w:color w:val="000000" w:themeColor="text1"/>
          <w:sz w:val="24"/>
          <w:szCs w:val="24"/>
        </w:rPr>
        <w:footnoteReference w:id="22"/>
      </w:r>
      <w:r w:rsidR="000E7104">
        <w:rPr>
          <w:rFonts w:asciiTheme="minorHAnsi" w:hAnsiTheme="minorHAnsi"/>
          <w:color w:val="000000" w:themeColor="text1"/>
          <w:sz w:val="24"/>
          <w:szCs w:val="24"/>
        </w:rPr>
        <w:t xml:space="preserve"> In particular, </w:t>
      </w:r>
      <w:r w:rsidR="00C65089" w:rsidRPr="000E7104">
        <w:rPr>
          <w:rFonts w:asciiTheme="minorHAnsi" w:hAnsiTheme="minorHAnsi"/>
          <w:color w:val="000000" w:themeColor="text1"/>
          <w:sz w:val="24"/>
          <w:szCs w:val="24"/>
        </w:rPr>
        <w:t xml:space="preserve">plaintiffs face significant </w:t>
      </w:r>
      <w:r w:rsidR="00C65089" w:rsidRPr="000E7104">
        <w:rPr>
          <w:rFonts w:asciiTheme="minorHAnsi" w:hAnsiTheme="minorHAnsi"/>
          <w:bCs/>
          <w:color w:val="000000" w:themeColor="text1"/>
          <w:sz w:val="24"/>
          <w:szCs w:val="24"/>
        </w:rPr>
        <w:t xml:space="preserve">evidential barriers </w:t>
      </w:r>
      <w:r w:rsidR="00C65089" w:rsidRPr="000E7104">
        <w:rPr>
          <w:rFonts w:asciiTheme="minorHAnsi" w:hAnsiTheme="minorHAnsi"/>
          <w:color w:val="000000" w:themeColor="text1"/>
          <w:sz w:val="24"/>
          <w:szCs w:val="24"/>
        </w:rPr>
        <w:t>as they must show that the symphysiotomy performed on them could not have been justified under any circumstances</w:t>
      </w:r>
      <w:r w:rsidR="009B70BF">
        <w:rPr>
          <w:rFonts w:asciiTheme="minorHAnsi" w:hAnsiTheme="minorHAnsi"/>
          <w:color w:val="000000" w:themeColor="text1"/>
          <w:sz w:val="24"/>
          <w:szCs w:val="24"/>
        </w:rPr>
        <w:t xml:space="preserve"> and in one recent case</w:t>
      </w:r>
      <w:r w:rsidR="00C65089" w:rsidRPr="000E7104">
        <w:rPr>
          <w:rFonts w:asciiTheme="minorHAnsi" w:hAnsiTheme="minorHAnsi"/>
          <w:color w:val="000000" w:themeColor="text1"/>
          <w:sz w:val="24"/>
          <w:szCs w:val="24"/>
        </w:rPr>
        <w:t xml:space="preserve"> </w:t>
      </w:r>
      <w:r w:rsidR="00C65089" w:rsidRPr="000E7104">
        <w:rPr>
          <w:rFonts w:asciiTheme="minorHAnsi" w:hAnsiTheme="minorHAnsi"/>
          <w:bCs/>
          <w:color w:val="000000" w:themeColor="text1"/>
          <w:sz w:val="24"/>
          <w:szCs w:val="24"/>
        </w:rPr>
        <w:t xml:space="preserve">costs were awarded against </w:t>
      </w:r>
      <w:r w:rsidR="009B70BF">
        <w:rPr>
          <w:rFonts w:asciiTheme="minorHAnsi" w:hAnsiTheme="minorHAnsi"/>
          <w:bCs/>
          <w:color w:val="000000" w:themeColor="text1"/>
          <w:sz w:val="24"/>
          <w:szCs w:val="24"/>
        </w:rPr>
        <w:t>an unsuccessful</w:t>
      </w:r>
      <w:r w:rsidR="00C65089" w:rsidRPr="000E7104">
        <w:rPr>
          <w:rFonts w:asciiTheme="minorHAnsi" w:hAnsiTheme="minorHAnsi"/>
          <w:bCs/>
          <w:color w:val="000000" w:themeColor="text1"/>
          <w:sz w:val="24"/>
          <w:szCs w:val="24"/>
        </w:rPr>
        <w:t xml:space="preserve"> plaintiff</w:t>
      </w:r>
      <w:r w:rsidR="009B70BF">
        <w:rPr>
          <w:rFonts w:asciiTheme="minorHAnsi" w:hAnsiTheme="minorHAnsi"/>
          <w:color w:val="000000" w:themeColor="text1"/>
          <w:sz w:val="24"/>
          <w:szCs w:val="24"/>
        </w:rPr>
        <w:t>, a septuagenarian pensioner. Thi</w:t>
      </w:r>
      <w:r w:rsidRPr="000E7104">
        <w:rPr>
          <w:rFonts w:asciiTheme="minorHAnsi" w:hAnsiTheme="minorHAnsi"/>
          <w:color w:val="000000" w:themeColor="text1"/>
          <w:sz w:val="24"/>
          <w:szCs w:val="24"/>
        </w:rPr>
        <w:t>s</w:t>
      </w:r>
      <w:r w:rsidR="00C65089" w:rsidRPr="000E7104">
        <w:rPr>
          <w:rFonts w:asciiTheme="minorHAnsi" w:hAnsiTheme="minorHAnsi"/>
          <w:color w:val="000000" w:themeColor="text1"/>
          <w:sz w:val="24"/>
          <w:szCs w:val="24"/>
        </w:rPr>
        <w:t xml:space="preserve"> decision is expected to have a chilling effect on other litigants, many of whom are in their 70s and 80s. </w:t>
      </w:r>
    </w:p>
    <w:p w14:paraId="20B24D49" w14:textId="16B86148" w:rsidR="00CD0216" w:rsidRPr="000E7104" w:rsidRDefault="00CD0216" w:rsidP="00C65089">
      <w:pPr>
        <w:spacing w:before="100" w:beforeAutospacing="1" w:after="100" w:afterAutospacing="1"/>
        <w:jc w:val="both"/>
        <w:rPr>
          <w:b/>
          <w:color w:val="000000" w:themeColor="text1"/>
          <w:sz w:val="24"/>
          <w:szCs w:val="24"/>
          <w:lang w:val="en-GB"/>
        </w:rPr>
      </w:pPr>
      <w:r w:rsidRPr="000E7104">
        <w:rPr>
          <w:b/>
          <w:color w:val="000000" w:themeColor="text1"/>
          <w:sz w:val="24"/>
          <w:szCs w:val="24"/>
        </w:rPr>
        <w:t>Recommendation</w:t>
      </w:r>
      <w:r w:rsidR="00B12248" w:rsidRPr="000E7104">
        <w:rPr>
          <w:b/>
          <w:color w:val="000000" w:themeColor="text1"/>
          <w:sz w:val="24"/>
          <w:szCs w:val="24"/>
          <w:lang w:val="en-GB"/>
        </w:rPr>
        <w:t>:</w:t>
      </w:r>
    </w:p>
    <w:p w14:paraId="1191D521" w14:textId="4C09F579" w:rsidR="00B630F4" w:rsidRPr="000E7104" w:rsidRDefault="00B12248" w:rsidP="00972C50">
      <w:pPr>
        <w:pStyle w:val="ListParagraph"/>
        <w:numPr>
          <w:ilvl w:val="0"/>
          <w:numId w:val="3"/>
        </w:numPr>
        <w:spacing w:after="0" w:line="240" w:lineRule="auto"/>
        <w:rPr>
          <w:b/>
          <w:color w:val="000000" w:themeColor="text1"/>
          <w:sz w:val="24"/>
          <w:szCs w:val="24"/>
          <w:lang w:val="en-GB"/>
        </w:rPr>
      </w:pPr>
      <w:r w:rsidRPr="000E7104">
        <w:rPr>
          <w:b/>
          <w:color w:val="000000" w:themeColor="text1"/>
          <w:sz w:val="24"/>
          <w:szCs w:val="24"/>
          <w:lang w:val="en-GB"/>
        </w:rPr>
        <w:t xml:space="preserve">The </w:t>
      </w:r>
      <w:r w:rsidR="00CC77A8">
        <w:rPr>
          <w:b/>
          <w:color w:val="000000" w:themeColor="text1"/>
          <w:sz w:val="24"/>
          <w:szCs w:val="24"/>
          <w:lang w:val="en-GB"/>
        </w:rPr>
        <w:t>State</w:t>
      </w:r>
      <w:r w:rsidRPr="000E7104">
        <w:rPr>
          <w:b/>
          <w:color w:val="000000" w:themeColor="text1"/>
          <w:sz w:val="24"/>
          <w:szCs w:val="24"/>
          <w:lang w:val="en-GB"/>
        </w:rPr>
        <w:t xml:space="preserve"> </w:t>
      </w:r>
      <w:r w:rsidR="00416934">
        <w:rPr>
          <w:b/>
          <w:color w:val="000000" w:themeColor="text1"/>
          <w:sz w:val="24"/>
          <w:szCs w:val="24"/>
          <w:lang w:val="en-GB"/>
        </w:rPr>
        <w:t>should</w:t>
      </w:r>
      <w:r w:rsidRPr="000E7104">
        <w:rPr>
          <w:b/>
          <w:color w:val="000000" w:themeColor="text1"/>
          <w:sz w:val="24"/>
          <w:szCs w:val="24"/>
          <w:lang w:val="en-GB"/>
        </w:rPr>
        <w:t xml:space="preserve"> establish </w:t>
      </w:r>
      <w:r w:rsidR="009F4BE3" w:rsidRPr="000E7104">
        <w:rPr>
          <w:b/>
          <w:color w:val="000000" w:themeColor="text1"/>
          <w:sz w:val="24"/>
          <w:szCs w:val="24"/>
          <w:lang w:val="en-GB"/>
        </w:rPr>
        <w:t xml:space="preserve">an independent statutory inquiry into cases of, and the policies </w:t>
      </w:r>
      <w:r w:rsidR="00AB2451" w:rsidRPr="000E7104">
        <w:rPr>
          <w:b/>
          <w:color w:val="000000" w:themeColor="text1"/>
          <w:sz w:val="24"/>
          <w:szCs w:val="24"/>
          <w:lang w:val="en-GB"/>
        </w:rPr>
        <w:t>and</w:t>
      </w:r>
      <w:r w:rsidR="009F4BE3" w:rsidRPr="000E7104">
        <w:rPr>
          <w:b/>
          <w:color w:val="000000" w:themeColor="text1"/>
          <w:sz w:val="24"/>
          <w:szCs w:val="24"/>
          <w:lang w:val="en-GB"/>
        </w:rPr>
        <w:t xml:space="preserve"> prac</w:t>
      </w:r>
      <w:r w:rsidR="00AB2451" w:rsidRPr="000E7104">
        <w:rPr>
          <w:b/>
          <w:color w:val="000000" w:themeColor="text1"/>
          <w:sz w:val="24"/>
          <w:szCs w:val="24"/>
          <w:lang w:val="en-GB"/>
        </w:rPr>
        <w:t xml:space="preserve">tices relating to </w:t>
      </w:r>
      <w:r w:rsidR="00DF24CA">
        <w:rPr>
          <w:b/>
          <w:color w:val="000000" w:themeColor="text1"/>
          <w:sz w:val="24"/>
          <w:szCs w:val="24"/>
          <w:lang w:val="en-GB"/>
        </w:rPr>
        <w:t>s</w:t>
      </w:r>
      <w:r w:rsidR="00AB2451" w:rsidRPr="000E7104">
        <w:rPr>
          <w:b/>
          <w:color w:val="000000" w:themeColor="text1"/>
          <w:sz w:val="24"/>
          <w:szCs w:val="24"/>
          <w:lang w:val="en-GB"/>
        </w:rPr>
        <w:t xml:space="preserve">ymphysiotomy, </w:t>
      </w:r>
      <w:r w:rsidR="00AB2451" w:rsidRPr="000E7104">
        <w:rPr>
          <w:b/>
          <w:color w:val="000000" w:themeColor="text1"/>
          <w:sz w:val="24"/>
          <w:szCs w:val="24"/>
          <w:lang w:val="en-GB"/>
        </w:rPr>
        <w:lastRenderedPageBreak/>
        <w:t>which is empowered and capable of making effective redress to victims, including the payment of adequate compensation.</w:t>
      </w:r>
      <w:r w:rsidR="003142DE">
        <w:rPr>
          <w:b/>
          <w:color w:val="000000" w:themeColor="text1"/>
          <w:sz w:val="24"/>
          <w:szCs w:val="24"/>
          <w:lang w:val="en-GB"/>
        </w:rPr>
        <w:br/>
      </w:r>
    </w:p>
    <w:p w14:paraId="4D410C2E" w14:textId="7AFB84BE" w:rsidR="000E7104" w:rsidRDefault="003142DE" w:rsidP="002A1DEE">
      <w:pPr>
        <w:tabs>
          <w:tab w:val="left" w:pos="720"/>
          <w:tab w:val="left" w:pos="1440"/>
          <w:tab w:val="left" w:pos="2160"/>
          <w:tab w:val="left" w:pos="2880"/>
          <w:tab w:val="left" w:pos="3600"/>
          <w:tab w:val="left" w:pos="4320"/>
          <w:tab w:val="left" w:pos="5040"/>
        </w:tabs>
        <w:rPr>
          <w:rFonts w:cs="Times New Roman"/>
          <w:b/>
          <w:sz w:val="24"/>
          <w:szCs w:val="24"/>
          <w:lang w:val="en-US"/>
        </w:rPr>
      </w:pPr>
      <w:r>
        <w:rPr>
          <w:rFonts w:cs="Times New Roman"/>
          <w:b/>
          <w:sz w:val="24"/>
          <w:szCs w:val="24"/>
          <w:lang w:val="en-US"/>
        </w:rPr>
        <w:br w:type="page"/>
      </w:r>
      <w:r w:rsidR="000E7104" w:rsidRPr="000E7104">
        <w:rPr>
          <w:rFonts w:cs="Times New Roman"/>
          <w:b/>
          <w:sz w:val="24"/>
          <w:szCs w:val="24"/>
          <w:lang w:val="en-US"/>
        </w:rPr>
        <w:lastRenderedPageBreak/>
        <w:t>Section 7:</w:t>
      </w:r>
      <w:r w:rsidR="000E7104" w:rsidRPr="000E7104">
        <w:rPr>
          <w:rFonts w:cs="Times New Roman"/>
          <w:b/>
          <w:sz w:val="24"/>
          <w:szCs w:val="24"/>
          <w:lang w:val="en-US"/>
        </w:rPr>
        <w:tab/>
        <w:t>Mental Health and Psychosocial Disability</w:t>
      </w:r>
      <w:r w:rsidR="002A1DEE">
        <w:rPr>
          <w:rFonts w:cs="Times New Roman"/>
          <w:b/>
          <w:sz w:val="24"/>
          <w:szCs w:val="24"/>
          <w:lang w:val="en-US"/>
        </w:rPr>
        <w:tab/>
      </w:r>
    </w:p>
    <w:p w14:paraId="7FCF97A5" w14:textId="77777777" w:rsidR="000E7104" w:rsidRDefault="000E7104" w:rsidP="000E7104">
      <w:p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ab/>
      </w:r>
      <w:r w:rsidRPr="000E7104">
        <w:rPr>
          <w:rFonts w:cs="Times New Roman"/>
          <w:sz w:val="24"/>
          <w:szCs w:val="24"/>
          <w:lang w:val="en-US"/>
        </w:rPr>
        <w:tab/>
        <w:t>(List of Issues No. 24; Article 2)</w:t>
      </w:r>
      <w:r w:rsidRPr="000E7104" w:rsidDel="00AC453A">
        <w:rPr>
          <w:rFonts w:cs="Times New Roman"/>
          <w:sz w:val="24"/>
          <w:szCs w:val="24"/>
          <w:lang w:val="en-US"/>
        </w:rPr>
        <w:t xml:space="preserve"> </w:t>
      </w:r>
    </w:p>
    <w:p w14:paraId="74C33A72" w14:textId="77777777" w:rsidR="000E7104" w:rsidRPr="000E7104" w:rsidRDefault="000E7104" w:rsidP="000E7104">
      <w:pPr>
        <w:shd w:val="clear" w:color="auto" w:fill="FFFFFF"/>
        <w:spacing w:after="0" w:line="240" w:lineRule="auto"/>
        <w:jc w:val="both"/>
        <w:textAlignment w:val="baseline"/>
        <w:rPr>
          <w:rFonts w:cs="Times New Roman"/>
          <w:sz w:val="24"/>
          <w:szCs w:val="24"/>
          <w:lang w:val="en-US"/>
        </w:rPr>
      </w:pPr>
    </w:p>
    <w:p w14:paraId="545A7AF4" w14:textId="52686053"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In our submission to the List of Issues, ICCL identified a number of key issues relating to mental health services in Ireland. These concerned:</w:t>
      </w:r>
    </w:p>
    <w:p w14:paraId="2E2BBA4F" w14:textId="77777777" w:rsidR="000E7104" w:rsidRPr="000E7104" w:rsidRDefault="000E7104" w:rsidP="000E7104">
      <w:pPr>
        <w:pStyle w:val="ListParagraph"/>
        <w:numPr>
          <w:ilvl w:val="1"/>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The position of persons with a primary diagnosis of intellectual disability who are accommodated in psychiatric care settings</w:t>
      </w:r>
    </w:p>
    <w:p w14:paraId="5E97301B" w14:textId="350A423F" w:rsidR="000E7104" w:rsidRPr="000E7104" w:rsidRDefault="000E7104" w:rsidP="000E7104">
      <w:pPr>
        <w:pStyle w:val="ListParagraph"/>
        <w:numPr>
          <w:ilvl w:val="1"/>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 xml:space="preserve">The position of </w:t>
      </w:r>
      <w:r w:rsidR="006D330E">
        <w:rPr>
          <w:rFonts w:cs="Times New Roman"/>
          <w:sz w:val="24"/>
          <w:szCs w:val="24"/>
          <w:lang w:val="en-US"/>
        </w:rPr>
        <w:t>‘</w:t>
      </w:r>
      <w:r w:rsidRPr="000E7104">
        <w:rPr>
          <w:rFonts w:cs="Times New Roman"/>
          <w:sz w:val="24"/>
          <w:szCs w:val="24"/>
          <w:lang w:val="en-US"/>
        </w:rPr>
        <w:t>voluntary</w:t>
      </w:r>
      <w:r w:rsidR="006D330E">
        <w:rPr>
          <w:rFonts w:cs="Times New Roman"/>
          <w:sz w:val="24"/>
          <w:szCs w:val="24"/>
          <w:lang w:val="en-US"/>
        </w:rPr>
        <w:t>’</w:t>
      </w:r>
      <w:r w:rsidRPr="000E7104">
        <w:rPr>
          <w:rFonts w:cs="Times New Roman"/>
          <w:sz w:val="24"/>
          <w:szCs w:val="24"/>
          <w:lang w:val="en-US"/>
        </w:rPr>
        <w:t xml:space="preserve"> patients who subsequently are detained on an involuntary basis</w:t>
      </w:r>
    </w:p>
    <w:p w14:paraId="691D599E" w14:textId="481F6985" w:rsidR="000E7104" w:rsidRPr="000E7104" w:rsidRDefault="000E7104" w:rsidP="000E7104">
      <w:pPr>
        <w:pStyle w:val="ListParagraph"/>
        <w:numPr>
          <w:ilvl w:val="1"/>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 xml:space="preserve">The use of ECT in relation to both </w:t>
      </w:r>
      <w:r w:rsidR="006D330E">
        <w:rPr>
          <w:rFonts w:cs="Times New Roman"/>
          <w:sz w:val="24"/>
          <w:szCs w:val="24"/>
          <w:lang w:val="en-US"/>
        </w:rPr>
        <w:t>‘</w:t>
      </w:r>
      <w:r w:rsidRPr="000E7104">
        <w:rPr>
          <w:rFonts w:cs="Times New Roman"/>
          <w:sz w:val="24"/>
          <w:szCs w:val="24"/>
          <w:lang w:val="en-US"/>
        </w:rPr>
        <w:t>voluntary</w:t>
      </w:r>
      <w:r w:rsidR="006D330E">
        <w:rPr>
          <w:rFonts w:cs="Times New Roman"/>
          <w:sz w:val="24"/>
          <w:szCs w:val="24"/>
          <w:lang w:val="en-US"/>
        </w:rPr>
        <w:t>’</w:t>
      </w:r>
      <w:r w:rsidRPr="000E7104">
        <w:rPr>
          <w:rFonts w:cs="Times New Roman"/>
          <w:sz w:val="24"/>
          <w:szCs w:val="24"/>
          <w:lang w:val="en-US"/>
        </w:rPr>
        <w:t xml:space="preserve"> and </w:t>
      </w:r>
      <w:r w:rsidR="006D330E">
        <w:rPr>
          <w:rFonts w:cs="Times New Roman"/>
          <w:sz w:val="24"/>
          <w:szCs w:val="24"/>
          <w:lang w:val="en-US"/>
        </w:rPr>
        <w:t>‘</w:t>
      </w:r>
      <w:r w:rsidRPr="000E7104">
        <w:rPr>
          <w:rFonts w:cs="Times New Roman"/>
          <w:sz w:val="24"/>
          <w:szCs w:val="24"/>
          <w:lang w:val="en-US"/>
        </w:rPr>
        <w:t>involuntary</w:t>
      </w:r>
      <w:r w:rsidR="006D330E">
        <w:rPr>
          <w:rFonts w:cs="Times New Roman"/>
          <w:sz w:val="24"/>
          <w:szCs w:val="24"/>
          <w:lang w:val="en-US"/>
        </w:rPr>
        <w:t>’</w:t>
      </w:r>
      <w:r w:rsidRPr="000E7104">
        <w:rPr>
          <w:rFonts w:cs="Times New Roman"/>
          <w:sz w:val="24"/>
          <w:szCs w:val="24"/>
          <w:lang w:val="en-US"/>
        </w:rPr>
        <w:t xml:space="preserve"> patients</w:t>
      </w:r>
    </w:p>
    <w:p w14:paraId="2603EC20" w14:textId="77777777" w:rsidR="000E7104" w:rsidRPr="000E7104" w:rsidRDefault="000E7104" w:rsidP="000E7104">
      <w:pPr>
        <w:pStyle w:val="ListParagraph"/>
        <w:numPr>
          <w:ilvl w:val="1"/>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The use of force and restraint in approved mental health centres</w:t>
      </w:r>
    </w:p>
    <w:p w14:paraId="5D483296" w14:textId="77777777" w:rsidR="000E7104" w:rsidRPr="000E7104" w:rsidRDefault="000E7104" w:rsidP="000E7104">
      <w:pPr>
        <w:shd w:val="clear" w:color="auto" w:fill="FFFFFF"/>
        <w:spacing w:after="0" w:line="240" w:lineRule="auto"/>
        <w:ind w:left="720"/>
        <w:jc w:val="both"/>
        <w:textAlignment w:val="baseline"/>
        <w:rPr>
          <w:rFonts w:cs="Times New Roman"/>
          <w:sz w:val="24"/>
          <w:szCs w:val="24"/>
          <w:lang w:val="en-US"/>
        </w:rPr>
      </w:pPr>
      <w:r w:rsidRPr="000E7104">
        <w:rPr>
          <w:rFonts w:cs="Times New Roman"/>
          <w:sz w:val="24"/>
          <w:szCs w:val="24"/>
          <w:lang w:val="en-US"/>
        </w:rPr>
        <w:t>In this submission, we set out further information on the relevance of the Convention on the Rights of Persons with Disabilities (CRPD) to how Ireland’s UNCAT obligations should be understood in relation to Irish mental health laws, with reference to the views of the Expert Group on the Review of the Mental Health Act.</w:t>
      </w:r>
    </w:p>
    <w:p w14:paraId="35C99BDB" w14:textId="77777777" w:rsidR="000E7104" w:rsidRPr="000E7104" w:rsidRDefault="000E7104" w:rsidP="000E7104">
      <w:pPr>
        <w:shd w:val="clear" w:color="auto" w:fill="FFFFFF"/>
        <w:spacing w:after="0" w:line="240" w:lineRule="auto"/>
        <w:jc w:val="both"/>
        <w:textAlignment w:val="baseline"/>
        <w:rPr>
          <w:rFonts w:cs="Times New Roman"/>
          <w:sz w:val="24"/>
          <w:szCs w:val="24"/>
          <w:lang w:val="en-US"/>
        </w:rPr>
      </w:pPr>
    </w:p>
    <w:p w14:paraId="126CE199" w14:textId="77777777" w:rsidR="000E7104" w:rsidRPr="000E7104" w:rsidRDefault="000E7104" w:rsidP="000E7104">
      <w:pPr>
        <w:shd w:val="clear" w:color="auto" w:fill="FFFFFF"/>
        <w:spacing w:after="0" w:line="240" w:lineRule="auto"/>
        <w:jc w:val="both"/>
        <w:textAlignment w:val="baseline"/>
        <w:rPr>
          <w:rFonts w:cs="Times New Roman"/>
          <w:b/>
          <w:sz w:val="24"/>
          <w:szCs w:val="24"/>
          <w:lang w:val="en-US"/>
        </w:rPr>
      </w:pPr>
      <w:r w:rsidRPr="000E7104">
        <w:rPr>
          <w:rFonts w:cs="Times New Roman"/>
          <w:sz w:val="24"/>
          <w:szCs w:val="24"/>
          <w:lang w:val="en-US"/>
        </w:rPr>
        <w:tab/>
      </w:r>
      <w:r w:rsidRPr="000E7104">
        <w:rPr>
          <w:rFonts w:cs="Times New Roman"/>
          <w:b/>
          <w:sz w:val="24"/>
          <w:szCs w:val="24"/>
          <w:lang w:val="en-US"/>
        </w:rPr>
        <w:t>Relevance of CRPD to consent and involuntary detention</w:t>
      </w:r>
    </w:p>
    <w:p w14:paraId="76177788" w14:textId="77777777"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Ireland became a signatory to the CRPD in 2007 and the intention to ratify has long been signaled subject to completion of a programme of legislative reform that, it has been argued by the State, is necessary to allow immediate compliance upon ratification.</w:t>
      </w:r>
      <w:r w:rsidRPr="000E7104">
        <w:rPr>
          <w:rStyle w:val="FootnoteReference"/>
          <w:rFonts w:cs="Times New Roman"/>
          <w:sz w:val="24"/>
          <w:szCs w:val="24"/>
          <w:lang w:val="en-US"/>
        </w:rPr>
        <w:footnoteReference w:id="23"/>
      </w:r>
      <w:r w:rsidRPr="000E7104">
        <w:rPr>
          <w:rFonts w:cs="Times New Roman"/>
          <w:sz w:val="24"/>
          <w:szCs w:val="24"/>
          <w:lang w:val="en-US"/>
        </w:rPr>
        <w:t xml:space="preserve"> Article 14 of the CRPD reiterates the general right to liberty, which cannot be removed unlawfully or arbitrarily adding to the existing body of international human rights law that “disability shall in no case justify a deprivation of liberty”.   Article 15 of the CRPD provides for freedom from torture or cruel, inhuman or degrading treatment or punishment of persons with disabilities and Article 17 of the CRPD provides for the right to physical and mental integrity of persons with a disability and requires that this right must be respected “on an equal basis with others”.</w:t>
      </w:r>
    </w:p>
    <w:p w14:paraId="7D518B26" w14:textId="77777777" w:rsidR="000E7104" w:rsidRPr="000E7104" w:rsidRDefault="000E7104" w:rsidP="000E7104">
      <w:pPr>
        <w:shd w:val="clear" w:color="auto" w:fill="FFFFFF"/>
        <w:spacing w:after="0" w:line="240" w:lineRule="auto"/>
        <w:jc w:val="both"/>
        <w:textAlignment w:val="baseline"/>
        <w:rPr>
          <w:rFonts w:cs="Times New Roman"/>
          <w:sz w:val="24"/>
          <w:szCs w:val="24"/>
          <w:lang w:val="en-US"/>
        </w:rPr>
      </w:pPr>
    </w:p>
    <w:p w14:paraId="3C541CA1" w14:textId="7AB1D685"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The Special Rapporteur on Torture recognised the importance of taking the CRPD into account when considering the evolving nature of the definition of torture in his 2013 Report on Torture in Healthcare.</w:t>
      </w:r>
      <w:r w:rsidRPr="000E7104">
        <w:rPr>
          <w:rStyle w:val="FootnoteReference"/>
          <w:rFonts w:cs="Times New Roman"/>
          <w:sz w:val="24"/>
          <w:szCs w:val="24"/>
          <w:lang w:val="en-US"/>
        </w:rPr>
        <w:footnoteReference w:id="24"/>
      </w:r>
      <w:r w:rsidRPr="000E7104">
        <w:rPr>
          <w:rFonts w:cs="Times New Roman"/>
          <w:sz w:val="24"/>
          <w:szCs w:val="24"/>
          <w:lang w:val="en-US"/>
        </w:rPr>
        <w:t xml:space="preserve"> Specifically, the report demonstrated that treatment without consent can be viewed as inhuman or degrading treatment and, in some circumstances, torture. However, in spite of Ireland’s obligations under international law and the recommendations of the Special Rapporteur regarding the need for all States to </w:t>
      </w:r>
      <w:r w:rsidRPr="000E7104">
        <w:rPr>
          <w:rFonts w:eastAsiaTheme="minorEastAsia" w:cs="Times"/>
          <w:bCs/>
          <w:sz w:val="24"/>
          <w:szCs w:val="24"/>
          <w:lang w:val="en-US"/>
        </w:rPr>
        <w:t xml:space="preserve">review their anti-torture frameworks in line with the CRPD, </w:t>
      </w:r>
      <w:r w:rsidRPr="000E7104">
        <w:rPr>
          <w:rFonts w:cs="Times New Roman"/>
          <w:sz w:val="24"/>
          <w:szCs w:val="24"/>
          <w:lang w:val="en-US"/>
        </w:rPr>
        <w:t xml:space="preserve">existing mental health laws in Ireland continue to legitimise the involuntary admission and nonconsensual </w:t>
      </w:r>
      <w:r w:rsidRPr="000E7104">
        <w:rPr>
          <w:rFonts w:cs="Times New Roman"/>
          <w:sz w:val="24"/>
          <w:szCs w:val="24"/>
          <w:lang w:val="en-US"/>
        </w:rPr>
        <w:lastRenderedPageBreak/>
        <w:t xml:space="preserve">treatment of persons with psychosocial disabilities and this situation is unlikely to change following the 2015 completion of an expert review of the </w:t>
      </w:r>
      <w:r w:rsidRPr="000E7104">
        <w:rPr>
          <w:rFonts w:cs="Times New Roman"/>
          <w:i/>
          <w:sz w:val="24"/>
          <w:szCs w:val="24"/>
          <w:lang w:val="en-US"/>
        </w:rPr>
        <w:t>Mental Health Law 2001</w:t>
      </w:r>
      <w:r w:rsidRPr="000E7104">
        <w:rPr>
          <w:rFonts w:cs="Times New Roman"/>
          <w:sz w:val="24"/>
          <w:szCs w:val="24"/>
          <w:lang w:val="en-US"/>
        </w:rPr>
        <w:t xml:space="preserve"> initiated by the Department of Health.</w:t>
      </w:r>
      <w:r w:rsidR="006D330E">
        <w:rPr>
          <w:rStyle w:val="FootnoteReference"/>
          <w:rFonts w:cs="Times New Roman"/>
          <w:sz w:val="24"/>
          <w:szCs w:val="24"/>
          <w:lang w:val="en-US"/>
        </w:rPr>
        <w:footnoteReference w:id="25"/>
      </w:r>
      <w:r w:rsidRPr="000E7104">
        <w:rPr>
          <w:rFonts w:cs="Times New Roman"/>
          <w:sz w:val="24"/>
          <w:szCs w:val="24"/>
          <w:lang w:val="en-US"/>
        </w:rPr>
        <w:t xml:space="preserve"> </w:t>
      </w:r>
    </w:p>
    <w:p w14:paraId="01DB0EA7" w14:textId="77777777" w:rsidR="000E7104" w:rsidRPr="000E7104" w:rsidRDefault="000E7104" w:rsidP="000E7104">
      <w:pPr>
        <w:shd w:val="clear" w:color="auto" w:fill="FFFFFF"/>
        <w:spacing w:after="0" w:line="240" w:lineRule="auto"/>
        <w:jc w:val="both"/>
        <w:textAlignment w:val="baseline"/>
        <w:rPr>
          <w:rFonts w:cs="Times New Roman"/>
          <w:sz w:val="24"/>
          <w:szCs w:val="24"/>
          <w:lang w:val="en-US"/>
        </w:rPr>
      </w:pPr>
    </w:p>
    <w:p w14:paraId="7748D885" w14:textId="77777777" w:rsidR="00CC77A8" w:rsidRPr="000E7104" w:rsidRDefault="00CC77A8" w:rsidP="00CC77A8">
      <w:pPr>
        <w:pStyle w:val="ListParagraph"/>
        <w:spacing w:after="0" w:line="240" w:lineRule="auto"/>
        <w:rPr>
          <w:rFonts w:cs="Times New Roman"/>
          <w:b/>
          <w:sz w:val="24"/>
          <w:szCs w:val="24"/>
          <w:lang w:val="en-US"/>
        </w:rPr>
      </w:pPr>
      <w:r w:rsidRPr="000E7104">
        <w:rPr>
          <w:rFonts w:cs="Times New Roman"/>
          <w:b/>
          <w:sz w:val="24"/>
          <w:szCs w:val="24"/>
          <w:lang w:val="en-US"/>
        </w:rPr>
        <w:t xml:space="preserve">The position of persons </w:t>
      </w:r>
      <w:r>
        <w:rPr>
          <w:rFonts w:cs="Times New Roman"/>
          <w:b/>
          <w:sz w:val="24"/>
          <w:szCs w:val="24"/>
          <w:lang w:val="en-US"/>
        </w:rPr>
        <w:t>with</w:t>
      </w:r>
      <w:r w:rsidRPr="000E7104">
        <w:rPr>
          <w:rFonts w:cs="Times New Roman"/>
          <w:b/>
          <w:sz w:val="24"/>
          <w:szCs w:val="24"/>
          <w:lang w:val="en-US"/>
        </w:rPr>
        <w:t xml:space="preserve"> psychosocial disabilities</w:t>
      </w:r>
    </w:p>
    <w:p w14:paraId="4BCDDF0E" w14:textId="4E5CF181"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 xml:space="preserve">Currently, the criteria for involuntary admission on the basis of psychosocial disability in Ireland </w:t>
      </w:r>
      <w:r w:rsidR="00EB571A">
        <w:rPr>
          <w:rFonts w:cs="Times New Roman"/>
          <w:sz w:val="24"/>
          <w:szCs w:val="24"/>
          <w:lang w:val="en-US"/>
        </w:rPr>
        <w:t>is</w:t>
      </w:r>
      <w:r w:rsidR="00EB571A" w:rsidRPr="000E7104">
        <w:rPr>
          <w:rFonts w:cs="Times New Roman"/>
          <w:sz w:val="24"/>
          <w:szCs w:val="24"/>
          <w:lang w:val="en-US"/>
        </w:rPr>
        <w:t xml:space="preserve"> </w:t>
      </w:r>
      <w:r w:rsidRPr="000E7104">
        <w:rPr>
          <w:rFonts w:cs="Times New Roman"/>
          <w:sz w:val="24"/>
          <w:szCs w:val="24"/>
          <w:lang w:val="en-US"/>
        </w:rPr>
        <w:t xml:space="preserve">set out in Section 3 of the </w:t>
      </w:r>
      <w:r w:rsidRPr="000E7104">
        <w:rPr>
          <w:rFonts w:cs="Times New Roman"/>
          <w:i/>
          <w:iCs/>
          <w:sz w:val="24"/>
          <w:szCs w:val="24"/>
          <w:bdr w:val="none" w:sz="0" w:space="0" w:color="auto" w:frame="1"/>
          <w:lang w:val="en-US"/>
        </w:rPr>
        <w:t>Mental Health Act 2001</w:t>
      </w:r>
      <w:r w:rsidRPr="000E7104">
        <w:rPr>
          <w:rFonts w:cs="Times New Roman"/>
          <w:iCs/>
          <w:sz w:val="24"/>
          <w:szCs w:val="24"/>
          <w:bdr w:val="none" w:sz="0" w:space="0" w:color="auto" w:frame="1"/>
          <w:lang w:val="en-US"/>
        </w:rPr>
        <w:t>,</w:t>
      </w:r>
      <w:r w:rsidRPr="000E7104">
        <w:rPr>
          <w:rFonts w:cs="Times New Roman"/>
          <w:sz w:val="24"/>
          <w:szCs w:val="24"/>
          <w:lang w:val="en-US"/>
        </w:rPr>
        <w:t xml:space="preserve"> which provides for the involuntary committal on two grounds: risk and benefit. In the first instance, involuntary committal is permitted where there is a ‘serious likelihood’ that the person concerned will cause ‘immediate and serious harm’ to </w:t>
      </w:r>
      <w:r w:rsidR="009252B0">
        <w:rPr>
          <w:rFonts w:cs="Times New Roman"/>
          <w:sz w:val="24"/>
          <w:szCs w:val="24"/>
          <w:lang w:val="en-US"/>
        </w:rPr>
        <w:t>himself/</w:t>
      </w:r>
      <w:r w:rsidRPr="000E7104">
        <w:rPr>
          <w:rFonts w:cs="Times New Roman"/>
          <w:sz w:val="24"/>
          <w:szCs w:val="24"/>
          <w:lang w:val="en-US"/>
        </w:rPr>
        <w:t xml:space="preserve">herself or others. In the second instance, involuntary committal is permitted where the judgment of the person concerned is impaired to the extent that failure to admit would ‘likely lead to a serious deterioration’ in his condition </w:t>
      </w:r>
      <w:r w:rsidRPr="000E7104">
        <w:rPr>
          <w:rFonts w:cs="Times New Roman"/>
          <w:sz w:val="24"/>
          <w:szCs w:val="24"/>
          <w:u w:val="single"/>
          <w:lang w:val="en-US"/>
        </w:rPr>
        <w:t>or</w:t>
      </w:r>
      <w:r w:rsidRPr="000E7104">
        <w:rPr>
          <w:rFonts w:cs="Times New Roman"/>
          <w:sz w:val="24"/>
          <w:szCs w:val="24"/>
          <w:lang w:val="en-US"/>
        </w:rPr>
        <w:t xml:space="preserve"> would ‘prevent the administration of appropriate treatment that could only by given by such admission’ </w:t>
      </w:r>
      <w:r w:rsidRPr="000E7104">
        <w:rPr>
          <w:rFonts w:cs="Times New Roman"/>
          <w:sz w:val="24"/>
          <w:szCs w:val="24"/>
          <w:u w:val="single"/>
          <w:lang w:val="en-US"/>
        </w:rPr>
        <w:t>and</w:t>
      </w:r>
      <w:r w:rsidRPr="000E7104">
        <w:rPr>
          <w:rFonts w:cs="Times New Roman"/>
          <w:sz w:val="24"/>
          <w:szCs w:val="24"/>
          <w:lang w:val="en-US"/>
        </w:rPr>
        <w:t xml:space="preserve"> ‘the reception, detention and treatment’ is judged ‘likely to benefit or alleviate’ their condition ‘to a material extent’.  </w:t>
      </w:r>
    </w:p>
    <w:p w14:paraId="33F2F361" w14:textId="77777777" w:rsidR="000E7104" w:rsidRPr="000E7104" w:rsidRDefault="000E7104" w:rsidP="000E7104">
      <w:pPr>
        <w:pStyle w:val="ListParagraph"/>
        <w:spacing w:after="0" w:line="240" w:lineRule="auto"/>
        <w:rPr>
          <w:rFonts w:cs="Times New Roman"/>
          <w:sz w:val="24"/>
          <w:szCs w:val="24"/>
          <w:lang w:val="en-US"/>
        </w:rPr>
      </w:pPr>
    </w:p>
    <w:p w14:paraId="0A6FB22C" w14:textId="77777777"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 xml:space="preserve">Section 4.1 of the Act provides that ‘the best interests of the person shall be the principal consideration with due regard being given to the interests of other persons who may be at risk.’  Section 4.3 of the Act also states that ‘due regard’ will be given to ‘the need to respect the rights of the person to dignity, bodily integrity, privacy and autonomy.’ However, the extent to which these rights will be considered is made clear in the preceding subsection 4.2, which states that the person concerned has a right to be informed of the decision to admit or administer treatment and to ‘make representations’ only ‘in so far as practicable’. </w:t>
      </w:r>
    </w:p>
    <w:p w14:paraId="7A1304F8" w14:textId="77777777" w:rsidR="000E7104" w:rsidRPr="000E7104" w:rsidRDefault="000E7104" w:rsidP="000E7104">
      <w:pPr>
        <w:pStyle w:val="ListParagraph"/>
        <w:spacing w:after="0" w:line="240" w:lineRule="auto"/>
        <w:rPr>
          <w:rFonts w:cs="Times New Roman"/>
          <w:sz w:val="24"/>
          <w:szCs w:val="24"/>
          <w:lang w:val="en-US"/>
        </w:rPr>
      </w:pPr>
    </w:p>
    <w:p w14:paraId="73CAB15B" w14:textId="6FB05E19" w:rsidR="006D330E" w:rsidRPr="000E7104" w:rsidRDefault="006D330E" w:rsidP="006D330E">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With regard to consent, Section 57.1 of the Act states that consent shall be required for all treatment except where in the opinion of the treating consultant psychiatrist treatment is necessary to ‘restore his or her health, to alleviate his o</w:t>
      </w:r>
      <w:r w:rsidR="00CC77A8">
        <w:rPr>
          <w:rFonts w:cs="Times New Roman"/>
          <w:sz w:val="24"/>
          <w:szCs w:val="24"/>
          <w:lang w:val="en-US"/>
        </w:rPr>
        <w:t>r</w:t>
      </w:r>
      <w:r w:rsidRPr="000E7104">
        <w:rPr>
          <w:rFonts w:cs="Times New Roman"/>
          <w:sz w:val="24"/>
          <w:szCs w:val="24"/>
          <w:lang w:val="en-US"/>
        </w:rPr>
        <w:t xml:space="preserve"> her suffering’ and where ‘by reason of his or her mental disorder the patient concerned is incapable of giving such consent’. </w:t>
      </w:r>
      <w:r w:rsidRPr="000E7104">
        <w:rPr>
          <w:sz w:val="24"/>
          <w:szCs w:val="24"/>
        </w:rPr>
        <w:t xml:space="preserve">Contrary to Art 12 CRPD and General Comment No 1 on Equal </w:t>
      </w:r>
      <w:r w:rsidRPr="000E7104">
        <w:rPr>
          <w:sz w:val="24"/>
          <w:szCs w:val="24"/>
        </w:rPr>
        <w:t>Recognition</w:t>
      </w:r>
      <w:r w:rsidRPr="000E7104">
        <w:rPr>
          <w:sz w:val="24"/>
          <w:szCs w:val="24"/>
        </w:rPr>
        <w:t xml:space="preserve"> Before the Law,</w:t>
      </w:r>
      <w:r w:rsidRPr="000E7104">
        <w:rPr>
          <w:rStyle w:val="FootnoteReference"/>
          <w:sz w:val="24"/>
          <w:szCs w:val="24"/>
        </w:rPr>
        <w:footnoteReference w:id="26"/>
      </w:r>
      <w:r w:rsidRPr="000E7104">
        <w:rPr>
          <w:sz w:val="24"/>
          <w:szCs w:val="24"/>
        </w:rPr>
        <w:t xml:space="preserve"> discrimination on the basis of disability also underpins the exclusions set out in the Assisted Decision-Making Capacity Act 2015.</w:t>
      </w:r>
      <w:r w:rsidRPr="000E7104">
        <w:rPr>
          <w:rStyle w:val="FootnoteReference"/>
          <w:sz w:val="24"/>
          <w:szCs w:val="24"/>
        </w:rPr>
        <w:footnoteReference w:id="27"/>
      </w:r>
      <w:r w:rsidRPr="000E7104">
        <w:rPr>
          <w:sz w:val="24"/>
          <w:szCs w:val="24"/>
        </w:rPr>
        <w:t xml:space="preserve"> The</w:t>
      </w:r>
      <w:r>
        <w:rPr>
          <w:sz w:val="24"/>
          <w:szCs w:val="24"/>
        </w:rPr>
        <w:t xml:space="preserve"> 2015</w:t>
      </w:r>
      <w:r w:rsidRPr="000E7104">
        <w:rPr>
          <w:sz w:val="24"/>
          <w:szCs w:val="24"/>
        </w:rPr>
        <w:t xml:space="preserve"> Act - the commencement of which is the main impediment to ratification of the CRPD - excludes the obligation to comply with an advance healthcare directive where the treatment is regulated under the Mental Health Act 2001 or the Criminal Law (Insanity) Act 2006 thereby greatly increasing the vulnerability of persons with psychosocial disabilities to coercive treatment.</w:t>
      </w:r>
      <w:r>
        <w:rPr>
          <w:sz w:val="24"/>
          <w:szCs w:val="24"/>
        </w:rPr>
        <w:t xml:space="preserve">  This restriction on the application of advance healthcare directives discriminates against persons with </w:t>
      </w:r>
      <w:r>
        <w:rPr>
          <w:sz w:val="24"/>
          <w:szCs w:val="24"/>
        </w:rPr>
        <w:t>psychosocial</w:t>
      </w:r>
      <w:r>
        <w:rPr>
          <w:sz w:val="24"/>
          <w:szCs w:val="24"/>
        </w:rPr>
        <w:t xml:space="preserve"> disability who are </w:t>
      </w:r>
      <w:r>
        <w:rPr>
          <w:sz w:val="24"/>
          <w:szCs w:val="24"/>
        </w:rPr>
        <w:t>involuntarily</w:t>
      </w:r>
      <w:r>
        <w:rPr>
          <w:sz w:val="24"/>
          <w:szCs w:val="24"/>
        </w:rPr>
        <w:t xml:space="preserve"> detained, who are unable to refuse treatment on an equal basis with others. </w:t>
      </w:r>
    </w:p>
    <w:p w14:paraId="0B49F0C0" w14:textId="77777777" w:rsidR="000E7104" w:rsidRPr="000E7104" w:rsidRDefault="000E7104" w:rsidP="000E7104">
      <w:pPr>
        <w:pStyle w:val="ListParagraph"/>
        <w:spacing w:after="0" w:line="240" w:lineRule="auto"/>
        <w:rPr>
          <w:rFonts w:cs="Times New Roman"/>
          <w:sz w:val="24"/>
          <w:szCs w:val="24"/>
          <w:lang w:val="en-US"/>
        </w:rPr>
      </w:pPr>
    </w:p>
    <w:p w14:paraId="2EA5BD4F" w14:textId="77777777"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 xml:space="preserve">These provisions enable the involuntary committal and nonconsensual treatment of persons with psychosocial disabilities who pose no risk to themselves </w:t>
      </w:r>
      <w:r w:rsidRPr="000E7104">
        <w:rPr>
          <w:rFonts w:cs="Times New Roman"/>
          <w:sz w:val="24"/>
          <w:szCs w:val="24"/>
          <w:lang w:val="en-US"/>
        </w:rPr>
        <w:lastRenderedPageBreak/>
        <w:t>or others on the basis of the assumed likelihood of deterioration and the assumed benefit of treatment. This is the case in spite of the fact that the likelihood of deterioration is exceptionally difficult if not impossible to ascertain and the fact that serious doubt as to the benefit of involuntary committal and forced treatment has been raised by the high rate of readmission in Ireland (66% of all admissions in 2015 were readmissions)</w:t>
      </w:r>
      <w:r w:rsidRPr="000E7104">
        <w:rPr>
          <w:rStyle w:val="FootnoteReference"/>
          <w:rFonts w:cs="Times New Roman"/>
          <w:sz w:val="24"/>
          <w:szCs w:val="24"/>
          <w:lang w:val="en-US"/>
        </w:rPr>
        <w:footnoteReference w:id="28"/>
      </w:r>
      <w:r w:rsidRPr="000E7104">
        <w:rPr>
          <w:rFonts w:cs="Times New Roman"/>
          <w:sz w:val="24"/>
          <w:szCs w:val="24"/>
          <w:lang w:val="en-US"/>
        </w:rPr>
        <w:t xml:space="preserve"> and a growing body of evidence that demonstrates the trauma caused by involuntary committal and nonconsensual treatment and the prevalence of patient strategies of compliance with treatment while hospitalised, in particular compliance with medication, only in order to secure release.</w:t>
      </w:r>
      <w:r w:rsidRPr="000E7104">
        <w:rPr>
          <w:rStyle w:val="FootnoteReference"/>
          <w:rFonts w:cs="Times New Roman"/>
          <w:sz w:val="24"/>
          <w:szCs w:val="24"/>
          <w:lang w:val="en-US"/>
        </w:rPr>
        <w:footnoteReference w:id="29"/>
      </w:r>
      <w:r w:rsidRPr="000E7104">
        <w:rPr>
          <w:rFonts w:cs="Times New Roman"/>
          <w:sz w:val="24"/>
          <w:szCs w:val="24"/>
          <w:lang w:val="en-US"/>
        </w:rPr>
        <w:t xml:space="preserve"> </w:t>
      </w:r>
    </w:p>
    <w:p w14:paraId="275C4516" w14:textId="77777777" w:rsidR="000E7104" w:rsidRPr="000E7104" w:rsidRDefault="000E7104" w:rsidP="000E7104">
      <w:pPr>
        <w:pStyle w:val="ListParagraph"/>
        <w:spacing w:after="0" w:line="240" w:lineRule="auto"/>
        <w:rPr>
          <w:rFonts w:cs="Times New Roman"/>
          <w:sz w:val="24"/>
          <w:szCs w:val="24"/>
          <w:lang w:val="en-US"/>
        </w:rPr>
      </w:pPr>
    </w:p>
    <w:p w14:paraId="19D3181D" w14:textId="77777777"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Although the procedural rights of patients are strengthened somewhat by the proposals put forward by the Expert Group on the Review of the Mental Health Act, by allowing involuntary committal and nonconsensual treatment of patients with psychosocial disabilities to persist – including on grounds of an ‘imminent threat to health’ - they are also blatantly discriminatory and fail to enhance the protection of substantive rights afforded to persons with psychosocial disabilities. Current Government policy with regard to psychiatric treatment is set out in the 2005 document ‘A Vision for Change’, which proposes a shift away from the medical model in favour of care in the community and the use of involuntary committal and forced treatment only as a last resort. According to the 2015 Annual Report form the Mental Health Commission however, the number of psychiatric admissions, both voluntary and involuntary in Ireland is not diminishing but increasing (from 12,980 in 2014 to 13,096 in 2015). Moreover, involuntary admissions are increasing at the highest rate with a total of 2,363 patients admitted involuntarily in 2015, representing a 9% increase on the previous year.</w:t>
      </w:r>
      <w:r w:rsidRPr="000E7104">
        <w:rPr>
          <w:rStyle w:val="FootnoteReference"/>
          <w:rFonts w:cs="Times New Roman"/>
          <w:sz w:val="24"/>
          <w:szCs w:val="24"/>
          <w:lang w:val="en-US"/>
        </w:rPr>
        <w:footnoteReference w:id="30"/>
      </w:r>
      <w:r w:rsidRPr="000E7104">
        <w:rPr>
          <w:rFonts w:cs="Times New Roman"/>
          <w:sz w:val="24"/>
          <w:szCs w:val="24"/>
          <w:lang w:val="en-US"/>
        </w:rPr>
        <w:t xml:space="preserve"> </w:t>
      </w:r>
    </w:p>
    <w:p w14:paraId="5250D013" w14:textId="77777777" w:rsidR="000E7104" w:rsidRPr="000E7104" w:rsidRDefault="000E7104" w:rsidP="000E7104">
      <w:pPr>
        <w:shd w:val="clear" w:color="auto" w:fill="FFFFFF"/>
        <w:spacing w:after="0" w:line="240" w:lineRule="auto"/>
        <w:ind w:left="360"/>
        <w:jc w:val="both"/>
        <w:textAlignment w:val="baseline"/>
        <w:rPr>
          <w:rFonts w:cs="Times New Roman"/>
          <w:b/>
          <w:sz w:val="24"/>
          <w:szCs w:val="24"/>
          <w:lang w:val="en-US"/>
        </w:rPr>
      </w:pPr>
    </w:p>
    <w:p w14:paraId="014B43F2" w14:textId="77777777" w:rsidR="000E7104" w:rsidRPr="000E7104" w:rsidRDefault="000E7104" w:rsidP="000E7104">
      <w:pPr>
        <w:pStyle w:val="ListParagraph"/>
        <w:shd w:val="clear" w:color="auto" w:fill="FFFFFF"/>
        <w:spacing w:after="0" w:line="240" w:lineRule="auto"/>
        <w:jc w:val="both"/>
        <w:textAlignment w:val="baseline"/>
        <w:rPr>
          <w:rFonts w:cs="Times New Roman"/>
          <w:b/>
          <w:sz w:val="24"/>
          <w:szCs w:val="24"/>
          <w:lang w:val="en-US"/>
        </w:rPr>
      </w:pPr>
      <w:r w:rsidRPr="000E7104">
        <w:rPr>
          <w:rFonts w:cs="Times New Roman"/>
          <w:b/>
          <w:sz w:val="24"/>
          <w:szCs w:val="24"/>
          <w:lang w:val="en-US"/>
        </w:rPr>
        <w:t>Position of Voluntary Patients</w:t>
      </w:r>
    </w:p>
    <w:p w14:paraId="3F7A42A0" w14:textId="6F6EAA97" w:rsidR="000E7104" w:rsidRPr="00CC77A8" w:rsidRDefault="000E7104" w:rsidP="006D330E">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eastAsiaTheme="minorEastAsia" w:cs="Calibri"/>
          <w:sz w:val="24"/>
          <w:szCs w:val="24"/>
          <w:lang w:val="en-US"/>
        </w:rPr>
        <w:t xml:space="preserve">In 2011, this Committee expressed concern that the definition of a voluntary patient under Article 2.7 is not sufficient to protect the right to liberty of a person who might be admitted to an approved mental health centre. The Expert Group has recommended that “a voluntary patient be defined as a person who has capacity to make his or her own decisions (with support if required) regarding admission and treatment and who gives informed consent to that admission and treatment”. However, no law reform that would address the concerns of the Committee in this regard has been introduced in the intervening period. </w:t>
      </w:r>
      <w:r w:rsidR="006D330E" w:rsidRPr="001669F1">
        <w:rPr>
          <w:rFonts w:ascii="Avenir Next Regular" w:hAnsi="Avenir Next Regular"/>
          <w:sz w:val="24"/>
          <w:szCs w:val="24"/>
          <w:lang w:val="en-US"/>
        </w:rPr>
        <w:t xml:space="preserve">As discussed above the Mental Health Act 2001 provides protections and safeguards for persons involuntary detained.  However, the provisions relating to </w:t>
      </w:r>
      <w:r w:rsidR="006D330E">
        <w:rPr>
          <w:rFonts w:ascii="Avenir Next Regular" w:hAnsi="Avenir Next Regular"/>
          <w:sz w:val="24"/>
          <w:szCs w:val="24"/>
          <w:lang w:val="en-US"/>
        </w:rPr>
        <w:t>‘</w:t>
      </w:r>
      <w:r w:rsidR="006D330E" w:rsidRPr="001669F1">
        <w:rPr>
          <w:rFonts w:ascii="Avenir Next Regular" w:hAnsi="Avenir Next Regular"/>
          <w:sz w:val="24"/>
          <w:szCs w:val="24"/>
          <w:lang w:val="en-US"/>
        </w:rPr>
        <w:t>voluntary patients</w:t>
      </w:r>
      <w:r w:rsidR="006D330E">
        <w:rPr>
          <w:rFonts w:ascii="Avenir Next Regular" w:hAnsi="Avenir Next Regular"/>
          <w:sz w:val="24"/>
          <w:szCs w:val="24"/>
          <w:lang w:val="en-US"/>
        </w:rPr>
        <w:t>’</w:t>
      </w:r>
      <w:r w:rsidR="006D330E" w:rsidRPr="001669F1">
        <w:rPr>
          <w:rFonts w:ascii="Avenir Next Regular" w:hAnsi="Avenir Next Regular"/>
          <w:sz w:val="24"/>
          <w:szCs w:val="24"/>
          <w:lang w:val="en-US"/>
        </w:rPr>
        <w:t xml:space="preserve"> are recognised as being unclear and insufficient to protect the human rights of persons admitted in this way.</w:t>
      </w:r>
      <w:r w:rsidR="006D330E" w:rsidRPr="001669F1">
        <w:rPr>
          <w:rStyle w:val="FootnoteReference"/>
          <w:rFonts w:ascii="Avenir Next Regular" w:hAnsi="Avenir Next Regular"/>
          <w:sz w:val="24"/>
          <w:szCs w:val="24"/>
          <w:lang w:val="en-US"/>
        </w:rPr>
        <w:footnoteReference w:id="31"/>
      </w:r>
      <w:r w:rsidR="006D330E" w:rsidRPr="001669F1">
        <w:rPr>
          <w:rFonts w:ascii="Avenir Next Regular" w:hAnsi="Avenir Next Regular"/>
          <w:sz w:val="24"/>
          <w:szCs w:val="24"/>
          <w:lang w:val="en-US"/>
        </w:rPr>
        <w:t xml:space="preserve"> The 2001 Act does not sufficiently protect the rights of </w:t>
      </w:r>
      <w:r w:rsidR="006D330E">
        <w:rPr>
          <w:rFonts w:ascii="Avenir Next Regular" w:hAnsi="Avenir Next Regular"/>
          <w:sz w:val="24"/>
          <w:szCs w:val="24"/>
          <w:lang w:val="en-US"/>
        </w:rPr>
        <w:t>‘</w:t>
      </w:r>
      <w:r w:rsidR="006D330E" w:rsidRPr="001669F1">
        <w:rPr>
          <w:rFonts w:ascii="Avenir Next Regular" w:hAnsi="Avenir Next Regular"/>
          <w:sz w:val="24"/>
          <w:szCs w:val="24"/>
          <w:lang w:val="en-US"/>
        </w:rPr>
        <w:t>voluntary patients</w:t>
      </w:r>
      <w:r w:rsidR="006D330E">
        <w:rPr>
          <w:rFonts w:ascii="Avenir Next Regular" w:hAnsi="Avenir Next Regular"/>
          <w:sz w:val="24"/>
          <w:szCs w:val="24"/>
          <w:lang w:val="en-US"/>
        </w:rPr>
        <w:t>’</w:t>
      </w:r>
      <w:r w:rsidR="006D330E" w:rsidRPr="001669F1">
        <w:rPr>
          <w:rFonts w:ascii="Avenir Next Regular" w:hAnsi="Avenir Next Regular"/>
          <w:sz w:val="24"/>
          <w:szCs w:val="24"/>
          <w:lang w:val="en-US"/>
        </w:rPr>
        <w:t xml:space="preserve"> who are deemed to lack capacity to consent to admission or treatment.  As such there are inadequate safeguards and supports for persons to object to admission as a </w:t>
      </w:r>
      <w:r w:rsidR="006D330E">
        <w:rPr>
          <w:rFonts w:ascii="Avenir Next Regular" w:hAnsi="Avenir Next Regular"/>
          <w:sz w:val="24"/>
          <w:szCs w:val="24"/>
          <w:lang w:val="en-US"/>
        </w:rPr>
        <w:t>‘</w:t>
      </w:r>
      <w:r w:rsidR="006D330E" w:rsidRPr="001669F1">
        <w:rPr>
          <w:rFonts w:ascii="Avenir Next Regular" w:hAnsi="Avenir Next Regular"/>
          <w:sz w:val="24"/>
          <w:szCs w:val="24"/>
          <w:lang w:val="en-US"/>
        </w:rPr>
        <w:t>voluntary patient</w:t>
      </w:r>
      <w:r w:rsidR="006D330E">
        <w:rPr>
          <w:rFonts w:ascii="Avenir Next Regular" w:hAnsi="Avenir Next Regular"/>
          <w:sz w:val="24"/>
          <w:szCs w:val="24"/>
          <w:lang w:val="en-US"/>
        </w:rPr>
        <w:t>’</w:t>
      </w:r>
      <w:r w:rsidR="006D330E" w:rsidRPr="001669F1">
        <w:rPr>
          <w:rFonts w:ascii="Avenir Next Regular" w:hAnsi="Avenir Next Regular"/>
          <w:sz w:val="24"/>
          <w:szCs w:val="24"/>
          <w:lang w:val="en-US"/>
        </w:rPr>
        <w:t xml:space="preserve"> or to refuse treatment.</w:t>
      </w:r>
    </w:p>
    <w:p w14:paraId="5C16D1BA" w14:textId="77777777" w:rsidR="00CC77A8" w:rsidRPr="006D330E" w:rsidRDefault="00CC77A8" w:rsidP="00CC77A8">
      <w:pPr>
        <w:pStyle w:val="ListParagraph"/>
        <w:shd w:val="clear" w:color="auto" w:fill="FFFFFF"/>
        <w:spacing w:after="0" w:line="240" w:lineRule="auto"/>
        <w:jc w:val="both"/>
        <w:textAlignment w:val="baseline"/>
        <w:rPr>
          <w:rFonts w:cs="Times New Roman"/>
          <w:sz w:val="24"/>
          <w:szCs w:val="24"/>
          <w:lang w:val="en-US"/>
        </w:rPr>
      </w:pPr>
    </w:p>
    <w:p w14:paraId="5EA9BEAD" w14:textId="77777777" w:rsidR="000E7104" w:rsidRPr="000E7104" w:rsidRDefault="000E7104" w:rsidP="000E7104">
      <w:pPr>
        <w:shd w:val="clear" w:color="auto" w:fill="FFFFFF"/>
        <w:spacing w:after="0" w:line="240" w:lineRule="auto"/>
        <w:ind w:left="360" w:firstLine="360"/>
        <w:jc w:val="both"/>
        <w:textAlignment w:val="baseline"/>
        <w:rPr>
          <w:rFonts w:cs="Times New Roman"/>
          <w:b/>
          <w:sz w:val="24"/>
          <w:szCs w:val="24"/>
          <w:lang w:val="en-US"/>
        </w:rPr>
      </w:pPr>
      <w:r w:rsidRPr="000E7104">
        <w:rPr>
          <w:rFonts w:cs="Times New Roman"/>
          <w:b/>
          <w:sz w:val="24"/>
          <w:szCs w:val="24"/>
          <w:lang w:val="en-US"/>
        </w:rPr>
        <w:t>Use of Electro Convulsive Therapy</w:t>
      </w:r>
    </w:p>
    <w:p w14:paraId="2E9AB405" w14:textId="77777777" w:rsidR="006D330E" w:rsidRPr="000E7104" w:rsidRDefault="000E7104" w:rsidP="006D330E">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 xml:space="preserve">The use of Electro Convulsive Therapy (ECT) is currently legislated for under Section 57 of the Mental Health Act. The Act provides for nonconsensual ECT where the patient is ‘unable to give consent’ subject to the approval of the treating consultant and the authorisation of a second consultant psychiatrist. The proposals put forward by the Expert Group define the circumstances under which ECT can be administered non-consensually as those in which it is required as a </w:t>
      </w:r>
      <w:r w:rsidR="00C67BA0" w:rsidRPr="000E7104">
        <w:rPr>
          <w:rFonts w:cs="Times New Roman"/>
          <w:sz w:val="24"/>
          <w:szCs w:val="24"/>
          <w:lang w:val="en-US"/>
        </w:rPr>
        <w:t>lifesaving</w:t>
      </w:r>
      <w:r w:rsidRPr="000E7104">
        <w:rPr>
          <w:rFonts w:cs="Times New Roman"/>
          <w:sz w:val="24"/>
          <w:szCs w:val="24"/>
          <w:lang w:val="en-US"/>
        </w:rPr>
        <w:t xml:space="preserve"> treatment, to protect the life of the patient or others and where patients are otherwise treatment resistant. Under such circumstances, the Expert Group proposes that ECT may proceed even where consent is denied by a patient’s court approved Decision Making Representative.</w:t>
      </w:r>
      <w:r w:rsidRPr="000E7104">
        <w:rPr>
          <w:rStyle w:val="FootnoteReference"/>
          <w:rFonts w:cs="Times New Roman"/>
          <w:sz w:val="24"/>
          <w:szCs w:val="24"/>
          <w:lang w:val="en-US"/>
        </w:rPr>
        <w:footnoteReference w:id="32"/>
      </w:r>
      <w:r w:rsidRPr="000E7104">
        <w:rPr>
          <w:rFonts w:cs="Times New Roman"/>
          <w:sz w:val="24"/>
          <w:szCs w:val="24"/>
          <w:lang w:val="en-US"/>
        </w:rPr>
        <w:t xml:space="preserve"> This is in spite of the fact that the Group itself recognises ‘diverging views on the necessity and efficacy of ECT both within and outside the psychiatric profession’ as well as the possibility that ECT is both high risk and low-benefit.</w:t>
      </w:r>
      <w:r w:rsidRPr="000E7104">
        <w:rPr>
          <w:rStyle w:val="FootnoteReference"/>
          <w:rFonts w:cs="Times New Roman"/>
          <w:sz w:val="24"/>
          <w:szCs w:val="24"/>
          <w:lang w:val="en-US"/>
        </w:rPr>
        <w:footnoteReference w:id="33"/>
      </w:r>
      <w:r w:rsidR="006D330E">
        <w:rPr>
          <w:rFonts w:cs="Times New Roman"/>
          <w:sz w:val="24"/>
          <w:szCs w:val="24"/>
          <w:lang w:val="en-US"/>
        </w:rPr>
        <w:t xml:space="preserve"> </w:t>
      </w:r>
      <w:r w:rsidR="006D330E">
        <w:rPr>
          <w:rFonts w:cs="Times New Roman"/>
          <w:sz w:val="24"/>
          <w:szCs w:val="24"/>
          <w:lang w:val="en-US"/>
        </w:rPr>
        <w:t>T</w:t>
      </w:r>
      <w:r w:rsidR="006D330E" w:rsidRPr="000A3B61">
        <w:rPr>
          <w:rFonts w:cs="Times New Roman"/>
          <w:sz w:val="24"/>
          <w:szCs w:val="24"/>
          <w:lang w:val="en-US"/>
        </w:rPr>
        <w:t xml:space="preserve">he term “unwilling” to consent to the administration of ECT was deleted from </w:t>
      </w:r>
      <w:r w:rsidR="006D330E">
        <w:rPr>
          <w:rFonts w:cs="Times New Roman"/>
          <w:sz w:val="24"/>
          <w:szCs w:val="24"/>
          <w:lang w:val="en-US"/>
        </w:rPr>
        <w:t>the Mental Health Act 2001.</w:t>
      </w:r>
      <w:r w:rsidR="006D330E">
        <w:rPr>
          <w:rStyle w:val="FootnoteReference"/>
          <w:rFonts w:cs="Times New Roman"/>
          <w:sz w:val="24"/>
          <w:szCs w:val="24"/>
          <w:lang w:val="en-US"/>
        </w:rPr>
        <w:footnoteReference w:id="34"/>
      </w:r>
      <w:r w:rsidR="006D330E">
        <w:rPr>
          <w:rFonts w:cs="Times New Roman"/>
          <w:sz w:val="24"/>
          <w:szCs w:val="24"/>
          <w:lang w:val="en-US"/>
        </w:rPr>
        <w:t xml:space="preserve">  However, under the 2001 Act</w:t>
      </w:r>
      <w:r w:rsidR="006D330E" w:rsidRPr="000A3B61">
        <w:rPr>
          <w:rFonts w:cs="Times New Roman"/>
          <w:sz w:val="24"/>
          <w:szCs w:val="24"/>
          <w:lang w:val="en-US"/>
        </w:rPr>
        <w:t xml:space="preserve"> people can still be</w:t>
      </w:r>
      <w:r w:rsidR="006D330E">
        <w:rPr>
          <w:rFonts w:cs="Times New Roman"/>
          <w:sz w:val="24"/>
          <w:szCs w:val="24"/>
          <w:lang w:val="en-US"/>
        </w:rPr>
        <w:t xml:space="preserve"> forcibly</w:t>
      </w:r>
      <w:r w:rsidR="006D330E" w:rsidRPr="000A3B61">
        <w:rPr>
          <w:rFonts w:cs="Times New Roman"/>
          <w:sz w:val="24"/>
          <w:szCs w:val="24"/>
          <w:lang w:val="en-US"/>
        </w:rPr>
        <w:t xml:space="preserve"> administered ECT without their </w:t>
      </w:r>
      <w:r w:rsidR="006D330E">
        <w:rPr>
          <w:rFonts w:cs="Times New Roman"/>
          <w:sz w:val="24"/>
          <w:szCs w:val="24"/>
          <w:lang w:val="en-US"/>
        </w:rPr>
        <w:t>consent provided the</w:t>
      </w:r>
      <w:r w:rsidR="006D330E" w:rsidRPr="000A3B61">
        <w:rPr>
          <w:rFonts w:cs="Times New Roman"/>
          <w:sz w:val="24"/>
          <w:szCs w:val="24"/>
          <w:lang w:val="en-US"/>
        </w:rPr>
        <w:t xml:space="preserve"> treating psychiatrist and another psychiatrist deem they are “unable” to consent.</w:t>
      </w:r>
      <w:r w:rsidR="006D330E">
        <w:rPr>
          <w:rFonts w:cs="Times New Roman"/>
          <w:sz w:val="24"/>
          <w:szCs w:val="24"/>
          <w:lang w:val="en-US"/>
        </w:rPr>
        <w:t xml:space="preserve"> A</w:t>
      </w:r>
      <w:r w:rsidR="006D330E" w:rsidRPr="000A3B61">
        <w:rPr>
          <w:rFonts w:cs="Times New Roman"/>
          <w:sz w:val="24"/>
          <w:szCs w:val="24"/>
          <w:lang w:val="en-US"/>
        </w:rPr>
        <w:t xml:space="preserve">dvance </w:t>
      </w:r>
      <w:r w:rsidR="006D330E">
        <w:rPr>
          <w:rFonts w:cs="Times New Roman"/>
          <w:sz w:val="24"/>
          <w:szCs w:val="24"/>
          <w:lang w:val="en-US"/>
        </w:rPr>
        <w:t xml:space="preserve">healthcare </w:t>
      </w:r>
      <w:r w:rsidR="006D330E" w:rsidRPr="000A3B61">
        <w:rPr>
          <w:rFonts w:cs="Times New Roman"/>
          <w:sz w:val="24"/>
          <w:szCs w:val="24"/>
          <w:lang w:val="en-US"/>
        </w:rPr>
        <w:t>decision</w:t>
      </w:r>
      <w:r w:rsidR="006D330E">
        <w:rPr>
          <w:rFonts w:cs="Times New Roman"/>
          <w:sz w:val="24"/>
          <w:szCs w:val="24"/>
          <w:lang w:val="en-US"/>
        </w:rPr>
        <w:t>s made while the person was considered to have capacity can be overridden (</w:t>
      </w:r>
      <w:r w:rsidR="006D330E" w:rsidRPr="000A3B61">
        <w:rPr>
          <w:rFonts w:cs="Times New Roman"/>
          <w:sz w:val="24"/>
          <w:szCs w:val="24"/>
          <w:lang w:val="en-US"/>
        </w:rPr>
        <w:t>non-legally binding</w:t>
      </w:r>
      <w:r w:rsidR="006D330E">
        <w:rPr>
          <w:rFonts w:cs="Times New Roman"/>
          <w:sz w:val="24"/>
          <w:szCs w:val="24"/>
          <w:lang w:val="en-US"/>
        </w:rPr>
        <w:t>)</w:t>
      </w:r>
      <w:r w:rsidR="006D330E" w:rsidRPr="000A3B61">
        <w:rPr>
          <w:rFonts w:cs="Times New Roman"/>
          <w:sz w:val="24"/>
          <w:szCs w:val="24"/>
          <w:lang w:val="en-US"/>
        </w:rPr>
        <w:t xml:space="preserve"> under </w:t>
      </w:r>
      <w:r w:rsidR="006D330E">
        <w:rPr>
          <w:rFonts w:cs="Times New Roman"/>
          <w:sz w:val="24"/>
          <w:szCs w:val="24"/>
          <w:lang w:val="en-US"/>
        </w:rPr>
        <w:t xml:space="preserve">the </w:t>
      </w:r>
      <w:r w:rsidR="006D330E" w:rsidRPr="000E7104">
        <w:rPr>
          <w:sz w:val="24"/>
          <w:szCs w:val="24"/>
        </w:rPr>
        <w:t>Assisted Decision-Making Capacity Act 2015</w:t>
      </w:r>
      <w:r w:rsidR="006D330E">
        <w:rPr>
          <w:sz w:val="24"/>
          <w:szCs w:val="24"/>
        </w:rPr>
        <w:t xml:space="preserve">. </w:t>
      </w:r>
    </w:p>
    <w:p w14:paraId="22D0CF38" w14:textId="77777777" w:rsidR="000E7104" w:rsidRPr="000E7104" w:rsidRDefault="000E7104" w:rsidP="000E7104">
      <w:pPr>
        <w:pStyle w:val="ListParagraph"/>
        <w:shd w:val="clear" w:color="auto" w:fill="FFFFFF"/>
        <w:spacing w:after="0" w:line="240" w:lineRule="auto"/>
        <w:jc w:val="both"/>
        <w:textAlignment w:val="baseline"/>
        <w:rPr>
          <w:rFonts w:cs="Times New Roman"/>
          <w:sz w:val="24"/>
          <w:szCs w:val="24"/>
          <w:lang w:val="en-US"/>
        </w:rPr>
      </w:pPr>
    </w:p>
    <w:p w14:paraId="3FAA675E" w14:textId="77777777" w:rsidR="000E7104" w:rsidRPr="000E7104" w:rsidRDefault="000E7104" w:rsidP="000E7104">
      <w:pPr>
        <w:pStyle w:val="ListParagraph"/>
        <w:shd w:val="clear" w:color="auto" w:fill="FFFFFF"/>
        <w:spacing w:after="0" w:line="240" w:lineRule="auto"/>
        <w:jc w:val="both"/>
        <w:textAlignment w:val="baseline"/>
        <w:rPr>
          <w:rFonts w:cs="Times New Roman"/>
          <w:b/>
          <w:sz w:val="24"/>
          <w:szCs w:val="24"/>
          <w:lang w:val="en-US"/>
        </w:rPr>
      </w:pPr>
      <w:r w:rsidRPr="000E7104">
        <w:rPr>
          <w:rFonts w:cs="Times New Roman"/>
          <w:b/>
          <w:sz w:val="24"/>
          <w:szCs w:val="24"/>
          <w:lang w:val="en-US"/>
        </w:rPr>
        <w:t>Use of Restraint</w:t>
      </w:r>
    </w:p>
    <w:p w14:paraId="074C5AB1" w14:textId="77777777" w:rsidR="000E7104" w:rsidRPr="000E7104" w:rsidRDefault="000E7104" w:rsidP="000E7104">
      <w:pPr>
        <w:pStyle w:val="ListParagraph"/>
        <w:numPr>
          <w:ilvl w:val="0"/>
          <w:numId w:val="3"/>
        </w:numPr>
        <w:shd w:val="clear" w:color="auto" w:fill="FFFFFF"/>
        <w:spacing w:after="0" w:line="240" w:lineRule="auto"/>
        <w:jc w:val="both"/>
        <w:textAlignment w:val="baseline"/>
        <w:rPr>
          <w:rFonts w:cs="Times New Roman"/>
          <w:sz w:val="24"/>
          <w:szCs w:val="24"/>
          <w:lang w:val="en-US"/>
        </w:rPr>
      </w:pPr>
      <w:r w:rsidRPr="000E7104">
        <w:rPr>
          <w:rFonts w:cs="Times New Roman"/>
          <w:sz w:val="24"/>
          <w:szCs w:val="24"/>
          <w:lang w:val="en-US"/>
        </w:rPr>
        <w:t>The use of seclusion and mechanical restraint is permitted under Art 69 of the Act. The application of these measures is regulated by the 2009 rules drawn up by the Mental Health Commission. These rules allow for the use of seclusion and restraint only in ‘</w:t>
      </w:r>
      <w:r w:rsidRPr="000E7104">
        <w:rPr>
          <w:rFonts w:eastAsiaTheme="minorEastAsia" w:cs="Times"/>
          <w:sz w:val="24"/>
          <w:szCs w:val="24"/>
          <w:lang w:val="en-US"/>
        </w:rPr>
        <w:t xml:space="preserve">rare and exceptional circumstances’ and only in ‘the best interests of the patient when he or she poses an immediate threat of serious harm to himself or others.’ </w:t>
      </w:r>
      <w:r w:rsidRPr="000E7104">
        <w:rPr>
          <w:rFonts w:ascii="MS Gothic" w:eastAsia="MS Gothic" w:hAnsi="MS Gothic" w:cs="MS Gothic" w:hint="eastAsia"/>
          <w:sz w:val="24"/>
          <w:szCs w:val="24"/>
          <w:lang w:val="en-US"/>
        </w:rPr>
        <w:t> </w:t>
      </w:r>
      <w:r w:rsidRPr="000E7104">
        <w:rPr>
          <w:rFonts w:cs="Times New Roman"/>
          <w:sz w:val="24"/>
          <w:szCs w:val="24"/>
          <w:lang w:val="en-US"/>
        </w:rPr>
        <w:t>However, according to the 2015 Annual Report form the Mental Health Commission, of the 61 approved centres inspected in 2015, only 6 were in full compliance with all regulations. In particular, 43% of approved centres breached regulations on the use of seclusion, 42% on the use of physical restraint and over one quarter on the use of mechanical restraint.</w:t>
      </w:r>
    </w:p>
    <w:p w14:paraId="173FEE1A" w14:textId="77777777" w:rsidR="000E7104" w:rsidRPr="000E7104" w:rsidRDefault="000E7104" w:rsidP="000E7104">
      <w:pPr>
        <w:pStyle w:val="ListParagraph"/>
        <w:shd w:val="clear" w:color="auto" w:fill="FFFFFF"/>
        <w:spacing w:after="0" w:line="240" w:lineRule="auto"/>
        <w:jc w:val="both"/>
        <w:textAlignment w:val="baseline"/>
        <w:rPr>
          <w:rFonts w:cs="Times New Roman"/>
          <w:sz w:val="24"/>
          <w:szCs w:val="24"/>
          <w:lang w:val="en-US"/>
        </w:rPr>
      </w:pPr>
    </w:p>
    <w:p w14:paraId="0A9E1EF6" w14:textId="77777777" w:rsidR="000E7104" w:rsidRPr="000E7104" w:rsidRDefault="000E7104" w:rsidP="000E7104">
      <w:pPr>
        <w:shd w:val="clear" w:color="auto" w:fill="FFFFFF"/>
        <w:spacing w:after="0" w:line="240" w:lineRule="auto"/>
        <w:jc w:val="both"/>
        <w:textAlignment w:val="baseline"/>
        <w:rPr>
          <w:rFonts w:cs="Times New Roman"/>
          <w:b/>
          <w:sz w:val="24"/>
          <w:szCs w:val="24"/>
          <w:lang w:val="en-US"/>
        </w:rPr>
      </w:pPr>
      <w:r w:rsidRPr="000E7104">
        <w:rPr>
          <w:rFonts w:cs="Times New Roman"/>
          <w:b/>
          <w:sz w:val="24"/>
          <w:szCs w:val="24"/>
          <w:lang w:val="en-US"/>
        </w:rPr>
        <w:t>Recommendations:</w:t>
      </w:r>
    </w:p>
    <w:p w14:paraId="6F1669BA" w14:textId="77777777" w:rsidR="000E7104" w:rsidRPr="000E7104" w:rsidRDefault="000E7104" w:rsidP="000E7104">
      <w:pPr>
        <w:shd w:val="clear" w:color="auto" w:fill="FFFFFF"/>
        <w:spacing w:after="0" w:line="240" w:lineRule="auto"/>
        <w:jc w:val="both"/>
        <w:textAlignment w:val="baseline"/>
        <w:rPr>
          <w:rFonts w:cs="Times New Roman"/>
          <w:sz w:val="24"/>
          <w:szCs w:val="24"/>
          <w:lang w:val="en-US"/>
        </w:rPr>
      </w:pPr>
    </w:p>
    <w:p w14:paraId="61565A34" w14:textId="78F3E77C" w:rsidR="000E7104" w:rsidRPr="002A1DEE" w:rsidRDefault="00416934" w:rsidP="00C114B6">
      <w:pPr>
        <w:pStyle w:val="ListParagraph"/>
        <w:numPr>
          <w:ilvl w:val="0"/>
          <w:numId w:val="3"/>
        </w:numPr>
        <w:shd w:val="clear" w:color="auto" w:fill="FFFFFF"/>
        <w:spacing w:after="0" w:line="240" w:lineRule="auto"/>
        <w:jc w:val="both"/>
        <w:textAlignment w:val="baseline"/>
        <w:rPr>
          <w:rFonts w:cs="Times New Roman"/>
          <w:b/>
          <w:sz w:val="24"/>
          <w:szCs w:val="24"/>
          <w:lang w:val="en-US"/>
        </w:rPr>
      </w:pPr>
      <w:r>
        <w:rPr>
          <w:rFonts w:cs="Times New Roman"/>
          <w:b/>
          <w:sz w:val="24"/>
          <w:szCs w:val="24"/>
          <w:lang w:val="en-US"/>
        </w:rPr>
        <w:t>Ireland</w:t>
      </w:r>
      <w:r w:rsidR="000E7104" w:rsidRPr="002A1DEE">
        <w:rPr>
          <w:rFonts w:cs="Times New Roman"/>
          <w:b/>
          <w:sz w:val="24"/>
          <w:szCs w:val="24"/>
          <w:lang w:val="en-US"/>
        </w:rPr>
        <w:t xml:space="preserve"> </w:t>
      </w:r>
      <w:r>
        <w:rPr>
          <w:rFonts w:cs="Times New Roman"/>
          <w:b/>
          <w:sz w:val="24"/>
          <w:szCs w:val="24"/>
          <w:lang w:val="en-US"/>
        </w:rPr>
        <w:t>should</w:t>
      </w:r>
      <w:r w:rsidR="000E7104" w:rsidRPr="002A1DEE">
        <w:rPr>
          <w:rFonts w:cs="Times New Roman"/>
          <w:b/>
          <w:sz w:val="24"/>
          <w:szCs w:val="24"/>
          <w:lang w:val="en-US"/>
        </w:rPr>
        <w:t xml:space="preserve"> ratify the CRPD with immediate effect, and to set out a timetable for achieving full compliance with CRPD in Irish law.  The Government should also review Ireland’s anti torture framework to ensure compliance with the CRPD.</w:t>
      </w:r>
      <w:r w:rsidR="002A1DEE" w:rsidRPr="002A1DEE">
        <w:rPr>
          <w:rFonts w:cs="Times New Roman"/>
          <w:b/>
          <w:sz w:val="24"/>
          <w:szCs w:val="24"/>
          <w:lang w:val="en-US"/>
        </w:rPr>
        <w:t xml:space="preserve"> In particular, </w:t>
      </w:r>
      <w:r w:rsidR="000E7104" w:rsidRPr="002A1DEE">
        <w:rPr>
          <w:rFonts w:cs="Times New Roman"/>
          <w:b/>
          <w:sz w:val="24"/>
          <w:szCs w:val="24"/>
          <w:lang w:val="en-US"/>
        </w:rPr>
        <w:t>ICCL calls on the Government to commence the Assisted Decision Making Capacity Act immediately, and to amend the provisions within the Act allowing exclusion of Advance Healthcare Directives on the basis of psychosocial disability.</w:t>
      </w:r>
    </w:p>
    <w:p w14:paraId="48CF6D5C" w14:textId="77777777" w:rsidR="000E7104" w:rsidRPr="000E7104" w:rsidRDefault="000E7104" w:rsidP="000E7104">
      <w:pPr>
        <w:pStyle w:val="ListParagraph"/>
        <w:spacing w:after="0" w:line="240" w:lineRule="auto"/>
        <w:rPr>
          <w:rFonts w:cs="Times New Roman"/>
          <w:b/>
          <w:sz w:val="24"/>
          <w:szCs w:val="24"/>
          <w:lang w:val="en-US"/>
        </w:rPr>
      </w:pPr>
    </w:p>
    <w:p w14:paraId="6223A27C" w14:textId="6F88AB22" w:rsidR="000E7104" w:rsidRPr="005C78DD" w:rsidRDefault="00416934" w:rsidP="005A6E4A">
      <w:pPr>
        <w:pStyle w:val="ListParagraph"/>
        <w:numPr>
          <w:ilvl w:val="0"/>
          <w:numId w:val="3"/>
        </w:numPr>
        <w:shd w:val="clear" w:color="auto" w:fill="FFFFFF"/>
        <w:spacing w:after="0" w:line="240" w:lineRule="auto"/>
        <w:jc w:val="both"/>
        <w:textAlignment w:val="baseline"/>
        <w:rPr>
          <w:rFonts w:cs="Times New Roman"/>
          <w:b/>
          <w:sz w:val="24"/>
          <w:szCs w:val="24"/>
          <w:lang w:val="en-US"/>
        </w:rPr>
      </w:pPr>
      <w:r w:rsidRPr="005C78DD">
        <w:rPr>
          <w:rFonts w:cs="Times New Roman"/>
          <w:b/>
          <w:sz w:val="24"/>
          <w:szCs w:val="24"/>
          <w:lang w:val="en-US"/>
        </w:rPr>
        <w:t>The Government should take steps to</w:t>
      </w:r>
      <w:r w:rsidR="000E7104" w:rsidRPr="005C78DD">
        <w:rPr>
          <w:rFonts w:cs="Times New Roman"/>
          <w:b/>
          <w:sz w:val="24"/>
          <w:szCs w:val="24"/>
          <w:lang w:val="en-US"/>
        </w:rPr>
        <w:t xml:space="preserve"> restrict the use of involuntary commitment to circumstances in which a patient is a danger </w:t>
      </w:r>
      <w:r w:rsidR="006D330E">
        <w:rPr>
          <w:rFonts w:cs="Times New Roman"/>
          <w:b/>
          <w:sz w:val="24"/>
          <w:szCs w:val="24"/>
          <w:lang w:val="en-US"/>
        </w:rPr>
        <w:t>to themselves</w:t>
      </w:r>
      <w:r w:rsidR="000E7104" w:rsidRPr="005C78DD">
        <w:rPr>
          <w:rFonts w:cs="Times New Roman"/>
          <w:b/>
          <w:sz w:val="24"/>
          <w:szCs w:val="24"/>
          <w:lang w:val="en-US"/>
        </w:rPr>
        <w:t xml:space="preserve"> or</w:t>
      </w:r>
      <w:r w:rsidR="006D330E">
        <w:rPr>
          <w:rFonts w:cs="Times New Roman"/>
          <w:b/>
          <w:sz w:val="24"/>
          <w:szCs w:val="24"/>
          <w:lang w:val="en-US"/>
        </w:rPr>
        <w:t xml:space="preserve"> to</w:t>
      </w:r>
      <w:r w:rsidR="000E7104" w:rsidRPr="005C78DD">
        <w:rPr>
          <w:rFonts w:cs="Times New Roman"/>
          <w:b/>
          <w:sz w:val="24"/>
          <w:szCs w:val="24"/>
          <w:lang w:val="en-US"/>
        </w:rPr>
        <w:t xml:space="preserve"> </w:t>
      </w:r>
      <w:r w:rsidR="000E7104" w:rsidRPr="005C78DD">
        <w:rPr>
          <w:rFonts w:cs="Times New Roman"/>
          <w:b/>
          <w:sz w:val="24"/>
          <w:szCs w:val="24"/>
          <w:lang w:val="en-US"/>
        </w:rPr>
        <w:lastRenderedPageBreak/>
        <w:t xml:space="preserve">others, </w:t>
      </w:r>
      <w:r w:rsidR="00CC77A8">
        <w:rPr>
          <w:rFonts w:cs="Times New Roman"/>
          <w:b/>
          <w:sz w:val="24"/>
          <w:szCs w:val="24"/>
          <w:lang w:val="en-US"/>
        </w:rPr>
        <w:t xml:space="preserve">and </w:t>
      </w:r>
      <w:r w:rsidR="000E7104" w:rsidRPr="005C78DD">
        <w:rPr>
          <w:rFonts w:cs="Times New Roman"/>
          <w:b/>
          <w:sz w:val="24"/>
          <w:szCs w:val="24"/>
          <w:lang w:val="en-US"/>
        </w:rPr>
        <w:t xml:space="preserve">for a limited time </w:t>
      </w:r>
      <w:r w:rsidR="00CC77A8">
        <w:rPr>
          <w:rFonts w:cs="Times New Roman"/>
          <w:b/>
          <w:sz w:val="24"/>
          <w:szCs w:val="24"/>
          <w:lang w:val="en-US"/>
        </w:rPr>
        <w:t xml:space="preserve">necessary </w:t>
      </w:r>
      <w:bookmarkStart w:id="1" w:name="_GoBack"/>
      <w:bookmarkEnd w:id="1"/>
      <w:r w:rsidR="000E7104" w:rsidRPr="005C78DD">
        <w:rPr>
          <w:rFonts w:cs="Times New Roman"/>
          <w:b/>
          <w:sz w:val="24"/>
          <w:szCs w:val="24"/>
          <w:lang w:val="en-US"/>
        </w:rPr>
        <w:t>to prevent major harm</w:t>
      </w:r>
      <w:r w:rsidR="005C78DD" w:rsidRPr="005C78DD">
        <w:rPr>
          <w:rFonts w:cs="Times New Roman"/>
          <w:b/>
          <w:sz w:val="24"/>
          <w:szCs w:val="24"/>
          <w:lang w:val="en-US"/>
        </w:rPr>
        <w:t>.</w:t>
      </w:r>
      <w:r w:rsidR="002A1DEE" w:rsidRPr="005C78DD">
        <w:rPr>
          <w:rFonts w:cs="Times New Roman"/>
          <w:b/>
          <w:sz w:val="24"/>
          <w:szCs w:val="24"/>
          <w:lang w:val="en-US"/>
        </w:rPr>
        <w:t xml:space="preserve"> </w:t>
      </w:r>
      <w:r w:rsidR="005C78DD" w:rsidRPr="005C78DD">
        <w:rPr>
          <w:rFonts w:eastAsiaTheme="minorEastAsia" w:cs="Times"/>
          <w:b/>
          <w:bCs/>
          <w:sz w:val="24"/>
          <w:szCs w:val="24"/>
          <w:lang w:val="en-US"/>
        </w:rPr>
        <w:t xml:space="preserve">The Government should </w:t>
      </w:r>
      <w:r w:rsidR="000E7104" w:rsidRPr="005C78DD">
        <w:rPr>
          <w:rFonts w:eastAsiaTheme="minorEastAsia" w:cs="Times"/>
          <w:b/>
          <w:bCs/>
          <w:sz w:val="24"/>
          <w:szCs w:val="24"/>
          <w:lang w:val="en-US"/>
        </w:rPr>
        <w:t xml:space="preserve">clarify the definition of a </w:t>
      </w:r>
      <w:r w:rsidR="006D330E">
        <w:rPr>
          <w:rFonts w:eastAsiaTheme="minorEastAsia" w:cs="Times"/>
          <w:b/>
          <w:bCs/>
          <w:sz w:val="24"/>
          <w:szCs w:val="24"/>
          <w:lang w:val="en-US"/>
        </w:rPr>
        <w:t>‘</w:t>
      </w:r>
      <w:r w:rsidR="000E7104" w:rsidRPr="005C78DD">
        <w:rPr>
          <w:rFonts w:eastAsiaTheme="minorEastAsia" w:cs="Times"/>
          <w:b/>
          <w:bCs/>
          <w:sz w:val="24"/>
          <w:szCs w:val="24"/>
          <w:lang w:val="en-US"/>
        </w:rPr>
        <w:t>voluntary</w:t>
      </w:r>
      <w:r w:rsidR="006D330E">
        <w:rPr>
          <w:rFonts w:eastAsiaTheme="minorEastAsia" w:cs="Times"/>
          <w:b/>
          <w:bCs/>
          <w:sz w:val="24"/>
          <w:szCs w:val="24"/>
          <w:lang w:val="en-US"/>
        </w:rPr>
        <w:t>’</w:t>
      </w:r>
      <w:r w:rsidR="000E7104" w:rsidRPr="005C78DD">
        <w:rPr>
          <w:rFonts w:eastAsiaTheme="minorEastAsia" w:cs="Times"/>
          <w:b/>
          <w:bCs/>
          <w:sz w:val="24"/>
          <w:szCs w:val="24"/>
          <w:lang w:val="en-US"/>
        </w:rPr>
        <w:t xml:space="preserve"> patient.</w:t>
      </w:r>
    </w:p>
    <w:p w14:paraId="0C1D6BCE" w14:textId="77777777" w:rsidR="000E7104" w:rsidRPr="000E7104" w:rsidRDefault="000E7104" w:rsidP="000E7104">
      <w:pPr>
        <w:pStyle w:val="ListParagraph"/>
        <w:shd w:val="clear" w:color="auto" w:fill="FFFFFF"/>
        <w:spacing w:after="0" w:line="240" w:lineRule="auto"/>
        <w:jc w:val="both"/>
        <w:textAlignment w:val="baseline"/>
        <w:rPr>
          <w:rFonts w:cs="Times New Roman"/>
          <w:b/>
          <w:sz w:val="24"/>
          <w:szCs w:val="24"/>
          <w:lang w:val="en-US"/>
        </w:rPr>
      </w:pPr>
    </w:p>
    <w:p w14:paraId="31A711E9" w14:textId="77777777" w:rsidR="005C78DD" w:rsidRPr="005C78DD" w:rsidRDefault="00416934" w:rsidP="00B15B0C">
      <w:pPr>
        <w:pStyle w:val="ListParagraph"/>
        <w:numPr>
          <w:ilvl w:val="0"/>
          <w:numId w:val="3"/>
        </w:numPr>
        <w:shd w:val="clear" w:color="auto" w:fill="FFFFFF"/>
        <w:spacing w:after="0" w:line="240" w:lineRule="auto"/>
        <w:jc w:val="both"/>
        <w:textAlignment w:val="baseline"/>
        <w:rPr>
          <w:b/>
          <w:color w:val="000000" w:themeColor="text1"/>
          <w:sz w:val="24"/>
          <w:szCs w:val="24"/>
          <w:lang w:val="en-GB"/>
        </w:rPr>
      </w:pPr>
      <w:r>
        <w:rPr>
          <w:rFonts w:cs="Times New Roman"/>
          <w:b/>
          <w:sz w:val="24"/>
          <w:szCs w:val="24"/>
          <w:lang w:val="en-US"/>
        </w:rPr>
        <w:t>T</w:t>
      </w:r>
      <w:r w:rsidR="000E7104" w:rsidRPr="002A1DEE">
        <w:rPr>
          <w:rFonts w:cs="Times New Roman"/>
          <w:b/>
          <w:sz w:val="24"/>
          <w:szCs w:val="24"/>
          <w:lang w:val="en-US"/>
        </w:rPr>
        <w:t xml:space="preserve">he </w:t>
      </w:r>
      <w:r w:rsidR="005C78DD">
        <w:rPr>
          <w:rFonts w:cs="Times New Roman"/>
          <w:b/>
          <w:sz w:val="24"/>
          <w:szCs w:val="24"/>
          <w:lang w:val="en-US"/>
        </w:rPr>
        <w:t>Mental Health Act should be amended to comply with the CRPD, including providing for the elimination of</w:t>
      </w:r>
      <w:r w:rsidR="000E7104" w:rsidRPr="002A1DEE">
        <w:rPr>
          <w:rFonts w:eastAsiaTheme="minorEastAsia" w:cs="Times"/>
          <w:b/>
          <w:bCs/>
          <w:sz w:val="24"/>
          <w:szCs w:val="24"/>
          <w:lang w:val="en-US"/>
        </w:rPr>
        <w:t xml:space="preserve"> all forced and non-consensual medical interventions, including the non-consensual administration of ECT and mind-altering drugs such as neuroleptics</w:t>
      </w:r>
      <w:r w:rsidR="005C78DD">
        <w:rPr>
          <w:rFonts w:eastAsiaTheme="minorEastAsia" w:cs="Times"/>
          <w:b/>
          <w:bCs/>
          <w:sz w:val="24"/>
          <w:szCs w:val="24"/>
          <w:lang w:val="en-US"/>
        </w:rPr>
        <w:t>, and the elimination of</w:t>
      </w:r>
      <w:r w:rsidR="000E7104" w:rsidRPr="002A1DEE">
        <w:rPr>
          <w:rFonts w:eastAsiaTheme="minorEastAsia" w:cs="Times"/>
          <w:b/>
          <w:bCs/>
          <w:sz w:val="24"/>
          <w:szCs w:val="24"/>
          <w:lang w:val="en-US"/>
        </w:rPr>
        <w:t xml:space="preserve"> the use of restraint and seclusion</w:t>
      </w:r>
      <w:r w:rsidR="005C78DD">
        <w:rPr>
          <w:rFonts w:eastAsiaTheme="minorEastAsia" w:cs="Times"/>
          <w:b/>
          <w:bCs/>
          <w:sz w:val="24"/>
          <w:szCs w:val="24"/>
          <w:lang w:val="en-US"/>
        </w:rPr>
        <w:t>.</w:t>
      </w:r>
    </w:p>
    <w:p w14:paraId="15DD8D20" w14:textId="77777777" w:rsidR="005C78DD" w:rsidRPr="005C78DD" w:rsidRDefault="005C78DD" w:rsidP="005C78DD">
      <w:pPr>
        <w:pStyle w:val="ListParagraph"/>
        <w:rPr>
          <w:rFonts w:eastAsiaTheme="minorEastAsia" w:cs="Times"/>
          <w:b/>
          <w:bCs/>
          <w:sz w:val="24"/>
          <w:szCs w:val="24"/>
          <w:lang w:val="en-US"/>
        </w:rPr>
      </w:pPr>
    </w:p>
    <w:p w14:paraId="1FC7AEF5" w14:textId="73D84814" w:rsidR="000E7104" w:rsidRPr="002A1DEE" w:rsidRDefault="000E7104" w:rsidP="00B15B0C">
      <w:pPr>
        <w:pStyle w:val="ListParagraph"/>
        <w:numPr>
          <w:ilvl w:val="0"/>
          <w:numId w:val="3"/>
        </w:numPr>
        <w:shd w:val="clear" w:color="auto" w:fill="FFFFFF"/>
        <w:spacing w:after="0" w:line="240" w:lineRule="auto"/>
        <w:jc w:val="both"/>
        <w:textAlignment w:val="baseline"/>
        <w:rPr>
          <w:b/>
          <w:color w:val="000000" w:themeColor="text1"/>
          <w:sz w:val="24"/>
          <w:szCs w:val="24"/>
          <w:lang w:val="en-GB"/>
        </w:rPr>
      </w:pPr>
      <w:r w:rsidRPr="002A1DEE">
        <w:rPr>
          <w:rFonts w:eastAsiaTheme="minorEastAsia" w:cs="Times"/>
          <w:b/>
          <w:bCs/>
          <w:sz w:val="24"/>
          <w:szCs w:val="24"/>
          <w:lang w:val="en-US"/>
        </w:rPr>
        <w:t xml:space="preserve">The information available from the Mental Health Commission suggests that many service providers are not in compliance with existing regulations in </w:t>
      </w:r>
      <w:r w:rsidR="005C78DD">
        <w:rPr>
          <w:rFonts w:eastAsiaTheme="minorEastAsia" w:cs="Times"/>
          <w:b/>
          <w:bCs/>
          <w:sz w:val="24"/>
          <w:szCs w:val="24"/>
          <w:lang w:val="en-US"/>
        </w:rPr>
        <w:t>relation to the use of restraint and seclusion</w:t>
      </w:r>
      <w:r w:rsidRPr="002A1DEE">
        <w:rPr>
          <w:rFonts w:eastAsiaTheme="minorEastAsia" w:cs="Times"/>
          <w:b/>
          <w:bCs/>
          <w:sz w:val="24"/>
          <w:szCs w:val="24"/>
          <w:lang w:val="en-US"/>
        </w:rPr>
        <w:t>. ICCL calls on the Government to provide information on the accountability mechanisms in place to prevent the use of restraint or seclu</w:t>
      </w:r>
      <w:r w:rsidR="006D330E">
        <w:rPr>
          <w:rFonts w:eastAsiaTheme="minorEastAsia" w:cs="Times"/>
          <w:b/>
          <w:bCs/>
          <w:sz w:val="24"/>
          <w:szCs w:val="24"/>
          <w:lang w:val="en-US"/>
        </w:rPr>
        <w:t>sion, up to and including criminal sanctions</w:t>
      </w:r>
      <w:r w:rsidRPr="002A1DEE">
        <w:rPr>
          <w:rFonts w:eastAsiaTheme="minorEastAsia" w:cs="Times"/>
          <w:b/>
          <w:bCs/>
          <w:sz w:val="24"/>
          <w:szCs w:val="24"/>
          <w:lang w:val="en-US"/>
        </w:rPr>
        <w:t>.</w:t>
      </w:r>
    </w:p>
    <w:sectPr w:rsidR="000E7104" w:rsidRPr="002A1DEE" w:rsidSect="0031742E">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BBA26" w14:textId="77777777" w:rsidR="0083140D" w:rsidRDefault="0083140D" w:rsidP="00946E13">
      <w:pPr>
        <w:spacing w:after="0" w:line="240" w:lineRule="auto"/>
      </w:pPr>
      <w:r>
        <w:separator/>
      </w:r>
    </w:p>
  </w:endnote>
  <w:endnote w:type="continuationSeparator" w:id="0">
    <w:p w14:paraId="5D46AACD" w14:textId="77777777" w:rsidR="0083140D" w:rsidRDefault="0083140D" w:rsidP="00946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E0002AEF" w:usb1="C0007841" w:usb2="00000009" w:usb3="00000000" w:csb0="000001FF" w:csb1="00000000"/>
  </w:font>
  <w:font w:name="Graphik-Regular">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é˜ø« Ó">
    <w:altName w:val="Cambria"/>
    <w:panose1 w:val="00000000000000000000"/>
    <w:charset w:val="4D"/>
    <w:family w:val="auto"/>
    <w:notTrueType/>
    <w:pitch w:val="default"/>
    <w:sig w:usb0="00000003" w:usb1="00000000" w:usb2="00000000" w:usb3="00000000" w:csb0="00000001" w:csb1="00000000"/>
  </w:font>
  <w:font w:name="Avenir Next Regular">
    <w:altName w:val="Corbel"/>
    <w:charset w:val="00"/>
    <w:family w:val="auto"/>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3AF0E" w14:textId="14660C92" w:rsidR="0031742E" w:rsidRDefault="0031742E" w:rsidP="002C2E11">
    <w:pPr>
      <w:pStyle w:val="Footer"/>
    </w:pPr>
  </w:p>
  <w:p w14:paraId="0FF676F0" w14:textId="77777777" w:rsidR="0031742E" w:rsidRDefault="00317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B47E6" w14:textId="56E70DC9" w:rsidR="0002795A" w:rsidRDefault="0002795A">
    <w:pPr>
      <w:pStyle w:val="Footer"/>
      <w:jc w:val="center"/>
    </w:pPr>
  </w:p>
  <w:p w14:paraId="76022083" w14:textId="77777777" w:rsidR="0002795A" w:rsidRDefault="0002795A">
    <w:pPr>
      <w:pStyle w:val="Footer"/>
    </w:pPr>
  </w:p>
  <w:p w14:paraId="4AA63940" w14:textId="77777777" w:rsidR="0002795A" w:rsidRDefault="0002795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6916123"/>
      <w:docPartObj>
        <w:docPartGallery w:val="Page Numbers (Bottom of Page)"/>
        <w:docPartUnique/>
      </w:docPartObj>
    </w:sdtPr>
    <w:sdtEndPr>
      <w:rPr>
        <w:noProof/>
      </w:rPr>
    </w:sdtEndPr>
    <w:sdtContent>
      <w:p w14:paraId="2D4B8160" w14:textId="77777777" w:rsidR="0031742E" w:rsidRDefault="0031742E">
        <w:pPr>
          <w:pStyle w:val="Footer"/>
          <w:jc w:val="center"/>
        </w:pPr>
        <w:r>
          <w:fldChar w:fldCharType="begin"/>
        </w:r>
        <w:r>
          <w:instrText xml:space="preserve"> PAGE   \* MERGEFORMAT </w:instrText>
        </w:r>
        <w:r>
          <w:fldChar w:fldCharType="separate"/>
        </w:r>
        <w:r w:rsidR="00CC77A8">
          <w:rPr>
            <w:noProof/>
          </w:rPr>
          <w:t>17</w:t>
        </w:r>
        <w:r>
          <w:rPr>
            <w:noProof/>
          </w:rPr>
          <w:fldChar w:fldCharType="end"/>
        </w:r>
      </w:p>
    </w:sdtContent>
  </w:sdt>
  <w:p w14:paraId="44AF1BD0" w14:textId="77777777" w:rsidR="0031742E" w:rsidRDefault="00317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98E09" w14:textId="77777777" w:rsidR="0083140D" w:rsidRDefault="0083140D" w:rsidP="00946E13">
      <w:pPr>
        <w:spacing w:after="0" w:line="240" w:lineRule="auto"/>
      </w:pPr>
      <w:r>
        <w:separator/>
      </w:r>
    </w:p>
  </w:footnote>
  <w:footnote w:type="continuationSeparator" w:id="0">
    <w:p w14:paraId="04330C28" w14:textId="77777777" w:rsidR="0083140D" w:rsidRDefault="0083140D" w:rsidP="00946E13">
      <w:pPr>
        <w:spacing w:after="0" w:line="240" w:lineRule="auto"/>
      </w:pPr>
      <w:r>
        <w:continuationSeparator/>
      </w:r>
    </w:p>
  </w:footnote>
  <w:footnote w:id="1">
    <w:p w14:paraId="2B77B898" w14:textId="71CC5AEC" w:rsidR="00524100" w:rsidRPr="002A1DEE" w:rsidRDefault="00524100"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w:t>
      </w:r>
      <w:r w:rsidRPr="002A1DEE">
        <w:rPr>
          <w:rFonts w:asciiTheme="majorHAnsi" w:hAnsiTheme="majorHAnsi" w:cs="Times"/>
        </w:rPr>
        <w:t>A/63/175, para. 50</w:t>
      </w:r>
      <w:r w:rsidR="00271814" w:rsidRPr="002A1DEE">
        <w:rPr>
          <w:rFonts w:asciiTheme="majorHAnsi" w:hAnsiTheme="majorHAnsi" w:cs="Times"/>
        </w:rPr>
        <w:t>.</w:t>
      </w:r>
    </w:p>
  </w:footnote>
  <w:footnote w:id="2">
    <w:p w14:paraId="40668193" w14:textId="47C91422" w:rsidR="00F35927" w:rsidRPr="002A1DEE" w:rsidRDefault="00F35927"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Ibid</w:t>
      </w:r>
      <w:r w:rsidR="00271814" w:rsidRPr="002A1DEE">
        <w:rPr>
          <w:rFonts w:asciiTheme="majorHAnsi" w:hAnsiTheme="majorHAnsi"/>
        </w:rPr>
        <w:t>.</w:t>
      </w:r>
    </w:p>
  </w:footnote>
  <w:footnote w:id="3">
    <w:p w14:paraId="4968BA13" w14:textId="081634B2" w:rsidR="00F35927" w:rsidRPr="00035DBB" w:rsidRDefault="00F35927" w:rsidP="002A1DEE">
      <w:pPr>
        <w:pStyle w:val="FootnoteText"/>
        <w:spacing w:after="0" w:line="240" w:lineRule="auto"/>
      </w:pPr>
      <w:r w:rsidRPr="002A1DEE">
        <w:rPr>
          <w:rStyle w:val="FootnoteReference"/>
          <w:rFonts w:asciiTheme="majorHAnsi" w:hAnsiTheme="majorHAnsi"/>
        </w:rPr>
        <w:footnoteRef/>
      </w:r>
      <w:r w:rsidRPr="002A1DEE">
        <w:rPr>
          <w:rFonts w:asciiTheme="majorHAnsi" w:hAnsiTheme="majorHAnsi"/>
        </w:rPr>
        <w:t xml:space="preserve"> </w:t>
      </w:r>
      <w:r w:rsidRPr="002A1DEE">
        <w:rPr>
          <w:rFonts w:asciiTheme="majorHAnsi" w:hAnsiTheme="majorHAnsi" w:cs="Arial"/>
          <w:color w:val="222222"/>
        </w:rPr>
        <w:t xml:space="preserve">See: M. Novak and E. McArthur (2008) </w:t>
      </w:r>
      <w:r w:rsidRPr="002A1DEE">
        <w:rPr>
          <w:rFonts w:asciiTheme="majorHAnsi" w:hAnsiTheme="majorHAnsi" w:cs="Arial"/>
          <w:i/>
          <w:color w:val="222222"/>
        </w:rPr>
        <w:t>The United Nations Committee Against Torture: A Commentary</w:t>
      </w:r>
      <w:r w:rsidRPr="002A1DEE">
        <w:rPr>
          <w:rFonts w:asciiTheme="majorHAnsi" w:hAnsiTheme="majorHAnsi" w:cs="Arial"/>
          <w:color w:val="222222"/>
        </w:rPr>
        <w:t xml:space="preserve"> (Oxford University Press), pg 115</w:t>
      </w:r>
      <w:r w:rsidR="00271814" w:rsidRPr="002A1DEE">
        <w:rPr>
          <w:rFonts w:asciiTheme="majorHAnsi" w:hAnsiTheme="majorHAnsi" w:cs="Arial"/>
          <w:color w:val="222222"/>
        </w:rPr>
        <w:t>.</w:t>
      </w:r>
    </w:p>
  </w:footnote>
  <w:footnote w:id="4">
    <w:p w14:paraId="2EFC5C6C" w14:textId="5F10BD8E" w:rsidR="00184552" w:rsidRPr="002A1DEE" w:rsidRDefault="00184552"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Written Answers, (6 February 2013), available at </w:t>
      </w:r>
      <w:hyperlink r:id="rId1" w:anchor="g111.q" w:history="1">
        <w:r w:rsidRPr="002A1DEE">
          <w:rPr>
            <w:rStyle w:val="Hyperlink"/>
            <w:rFonts w:asciiTheme="majorHAnsi" w:hAnsiTheme="majorHAnsi"/>
          </w:rPr>
          <w:t>http://www.kildarestreet.com/wrans/?id=2013-02-06a.110&amp;s=optional+protocol+to+the+convention+against+torture#g111.q</w:t>
        </w:r>
      </w:hyperlink>
      <w:r w:rsidRPr="002A1DEE">
        <w:rPr>
          <w:rFonts w:asciiTheme="majorHAnsi" w:hAnsiTheme="majorHAnsi"/>
        </w:rPr>
        <w:t xml:space="preserve"> (accessed </w:t>
      </w:r>
      <w:r w:rsidR="00350F49">
        <w:rPr>
          <w:rFonts w:asciiTheme="majorHAnsi" w:hAnsiTheme="majorHAnsi"/>
        </w:rPr>
        <w:t>23/06/2017</w:t>
      </w:r>
      <w:r w:rsidRPr="002A1DEE">
        <w:rPr>
          <w:rFonts w:asciiTheme="majorHAnsi" w:hAnsiTheme="majorHAnsi"/>
        </w:rPr>
        <w:t xml:space="preserve">).  </w:t>
      </w:r>
      <w:r w:rsidR="0040330B" w:rsidRPr="002A1DEE">
        <w:rPr>
          <w:rFonts w:asciiTheme="majorHAnsi" w:hAnsiTheme="majorHAnsi"/>
        </w:rPr>
        <w:br/>
      </w:r>
    </w:p>
  </w:footnote>
  <w:footnote w:id="5">
    <w:p w14:paraId="58D94847" w14:textId="6F5AE44E" w:rsidR="00AA628B" w:rsidRDefault="00AA628B" w:rsidP="002A1DEE">
      <w:pPr>
        <w:pStyle w:val="FootnoteText"/>
        <w:spacing w:after="0" w:line="240" w:lineRule="auto"/>
      </w:pPr>
      <w:r w:rsidRPr="002A1DEE">
        <w:rPr>
          <w:rStyle w:val="FootnoteReference"/>
          <w:rFonts w:asciiTheme="majorHAnsi" w:hAnsiTheme="majorHAnsi"/>
        </w:rPr>
        <w:footnoteRef/>
      </w:r>
      <w:r w:rsidRPr="002A1DEE">
        <w:rPr>
          <w:rFonts w:asciiTheme="majorHAnsi" w:hAnsiTheme="majorHAnsi"/>
        </w:rPr>
        <w:t xml:space="preserve"> The ICCL notes the detailed submission of the IHREC with regard to the existing inspection bodies in Ireland, and the identified ‘gaps’ in inspection mandate, most notably with regard to the inspection of Garda stations.</w:t>
      </w:r>
    </w:p>
  </w:footnote>
  <w:footnote w:id="6">
    <w:p w14:paraId="41A1B766" w14:textId="27FCF6F2" w:rsidR="004A072B" w:rsidRPr="002A1DEE" w:rsidRDefault="004A072B" w:rsidP="002A1DEE">
      <w:pPr>
        <w:pStyle w:val="FootnoteText"/>
        <w:spacing w:after="0" w:line="240" w:lineRule="auto"/>
        <w:rPr>
          <w:rFonts w:asciiTheme="majorHAnsi" w:hAnsiTheme="majorHAnsi"/>
        </w:rPr>
      </w:pPr>
      <w:r>
        <w:rPr>
          <w:rStyle w:val="FootnoteReference"/>
        </w:rPr>
        <w:footnoteRef/>
      </w:r>
      <w:r>
        <w:t xml:space="preserve"> </w:t>
      </w:r>
      <w:r w:rsidRPr="002A1DEE">
        <w:rPr>
          <w:rFonts w:asciiTheme="majorHAnsi" w:hAnsiTheme="majorHAnsi"/>
        </w:rPr>
        <w:t>Report of CPT visit to Ireland 16 to 26 September 2014, at para 14.</w:t>
      </w:r>
    </w:p>
  </w:footnote>
  <w:footnote w:id="7">
    <w:p w14:paraId="332D6638" w14:textId="7606B591" w:rsidR="005C22C8" w:rsidRDefault="005C22C8" w:rsidP="002A1DEE">
      <w:pPr>
        <w:pStyle w:val="FootnoteText"/>
        <w:spacing w:after="0" w:line="240" w:lineRule="auto"/>
      </w:pPr>
      <w:r w:rsidRPr="002A1DEE">
        <w:rPr>
          <w:rStyle w:val="FootnoteReference"/>
          <w:rFonts w:asciiTheme="majorHAnsi" w:hAnsiTheme="majorHAnsi"/>
        </w:rPr>
        <w:footnoteRef/>
      </w:r>
      <w:r w:rsidRPr="002A1DEE">
        <w:rPr>
          <w:rFonts w:asciiTheme="majorHAnsi" w:hAnsiTheme="majorHAnsi"/>
        </w:rPr>
        <w:t xml:space="preserve"> Decision of 18</w:t>
      </w:r>
      <w:r w:rsidRPr="002A1DEE">
        <w:rPr>
          <w:rFonts w:asciiTheme="majorHAnsi" w:hAnsiTheme="majorHAnsi"/>
          <w:vertAlign w:val="superscript"/>
        </w:rPr>
        <w:t>th</w:t>
      </w:r>
      <w:r w:rsidRPr="002A1DEE">
        <w:rPr>
          <w:rFonts w:asciiTheme="majorHAnsi" w:hAnsiTheme="majorHAnsi"/>
        </w:rPr>
        <w:t xml:space="preserve"> January 2017.</w:t>
      </w:r>
    </w:p>
  </w:footnote>
  <w:footnote w:id="8">
    <w:p w14:paraId="3D61BB2A" w14:textId="57D8B719" w:rsidR="0002795A" w:rsidRPr="002A1DEE" w:rsidRDefault="0002795A" w:rsidP="002A1DEE">
      <w:pPr>
        <w:pStyle w:val="FootnoteText"/>
        <w:spacing w:after="0" w:line="240" w:lineRule="auto"/>
        <w:rPr>
          <w:rFonts w:asciiTheme="majorHAnsi" w:hAnsiTheme="majorHAnsi"/>
        </w:rPr>
      </w:pPr>
      <w:r w:rsidRPr="00AB74DE">
        <w:rPr>
          <w:rStyle w:val="FootnoteReference"/>
          <w:rFonts w:asciiTheme="minorHAnsi" w:hAnsiTheme="minorHAnsi"/>
        </w:rPr>
        <w:footnoteRef/>
      </w:r>
      <w:r w:rsidRPr="00AB74DE">
        <w:rPr>
          <w:rFonts w:asciiTheme="minorHAnsi" w:hAnsiTheme="minorHAnsi"/>
        </w:rPr>
        <w:t xml:space="preserve"> </w:t>
      </w:r>
      <w:r w:rsidRPr="002A1DEE">
        <w:rPr>
          <w:rFonts w:asciiTheme="majorHAnsi" w:hAnsiTheme="majorHAnsi"/>
        </w:rPr>
        <w:t>CCPR/C/116/D/2324/2013; CCPR/2/119/D/2425/2014</w:t>
      </w:r>
      <w:r w:rsidR="001413F5" w:rsidRPr="002A1DEE">
        <w:rPr>
          <w:rFonts w:asciiTheme="majorHAnsi" w:hAnsiTheme="majorHAnsi"/>
        </w:rPr>
        <w:t>.</w:t>
      </w:r>
      <w:r w:rsidRPr="002A1DEE">
        <w:rPr>
          <w:rFonts w:asciiTheme="majorHAnsi" w:hAnsiTheme="majorHAnsi"/>
        </w:rPr>
        <w:t xml:space="preserve"> </w:t>
      </w:r>
    </w:p>
  </w:footnote>
  <w:footnote w:id="9">
    <w:p w14:paraId="695609E8" w14:textId="2FF51C77" w:rsidR="0002795A" w:rsidRPr="002A1DEE" w:rsidRDefault="0002795A"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CCPR/C/116/D/2324/2013, papa 7.8; CCPR/2/119/D/2425/2014, para 7.9</w:t>
      </w:r>
      <w:r w:rsidR="001413F5" w:rsidRPr="002A1DEE">
        <w:rPr>
          <w:rFonts w:asciiTheme="majorHAnsi" w:hAnsiTheme="majorHAnsi"/>
        </w:rPr>
        <w:t>.</w:t>
      </w:r>
    </w:p>
  </w:footnote>
  <w:footnote w:id="10">
    <w:p w14:paraId="1CD7A63B" w14:textId="31D96754" w:rsidR="00D87E06" w:rsidRPr="002A1DEE" w:rsidRDefault="00D87E06"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ICCL’s Submission to the Citizens’ Assembly, 16 December 2016, available at </w:t>
      </w:r>
      <w:hyperlink r:id="rId2" w:history="1">
        <w:r w:rsidRPr="002A1DEE">
          <w:rPr>
            <w:rStyle w:val="Hyperlink"/>
            <w:rFonts w:asciiTheme="majorHAnsi" w:hAnsiTheme="majorHAnsi"/>
          </w:rPr>
          <w:t>http://www.iccl.ie/ccl-submission-to-the-citizens-assembly-on-the-eighth-amendment-to-the-constitution.html</w:t>
        </w:r>
      </w:hyperlink>
      <w:r w:rsidRPr="002A1DEE">
        <w:rPr>
          <w:rFonts w:asciiTheme="majorHAnsi" w:hAnsiTheme="majorHAnsi"/>
        </w:rPr>
        <w:t xml:space="preserve"> (last accessed 24</w:t>
      </w:r>
      <w:r w:rsidR="00BD65E1" w:rsidRPr="002A1DEE">
        <w:rPr>
          <w:rFonts w:asciiTheme="majorHAnsi" w:hAnsiTheme="majorHAnsi"/>
        </w:rPr>
        <w:t>/06/2017).</w:t>
      </w:r>
    </w:p>
  </w:footnote>
  <w:footnote w:id="11">
    <w:p w14:paraId="24C6E658" w14:textId="6E3A6427" w:rsidR="0002795A" w:rsidRPr="00AB74DE" w:rsidRDefault="0002795A" w:rsidP="002A1DEE">
      <w:pPr>
        <w:pStyle w:val="FootnoteText"/>
        <w:spacing w:after="0" w:line="240" w:lineRule="auto"/>
        <w:rPr>
          <w:rFonts w:asciiTheme="minorHAnsi" w:hAnsiTheme="minorHAnsi"/>
        </w:rPr>
      </w:pPr>
      <w:r w:rsidRPr="002A1DEE">
        <w:rPr>
          <w:rStyle w:val="FootnoteReference"/>
          <w:rFonts w:asciiTheme="majorHAnsi" w:hAnsiTheme="majorHAnsi"/>
        </w:rPr>
        <w:footnoteRef/>
      </w:r>
      <w:r w:rsidRPr="002A1DEE">
        <w:rPr>
          <w:rFonts w:asciiTheme="majorHAnsi" w:hAnsiTheme="majorHAnsi"/>
        </w:rPr>
        <w:t xml:space="preserve"> CAT/C/IRL2, paras 34-37</w:t>
      </w:r>
      <w:r w:rsidR="001413F5" w:rsidRPr="002A1DEE">
        <w:rPr>
          <w:rFonts w:asciiTheme="majorHAnsi" w:hAnsiTheme="majorHAnsi"/>
        </w:rPr>
        <w:t>.</w:t>
      </w:r>
    </w:p>
  </w:footnote>
  <w:footnote w:id="12">
    <w:p w14:paraId="7D7F885E" w14:textId="51212CF8" w:rsidR="0002795A" w:rsidRPr="00AB74DE" w:rsidRDefault="0002795A" w:rsidP="002A1DEE">
      <w:pPr>
        <w:pStyle w:val="FootnoteText"/>
        <w:spacing w:after="0" w:line="240" w:lineRule="auto"/>
        <w:rPr>
          <w:rFonts w:asciiTheme="minorHAnsi" w:hAnsiTheme="minorHAnsi"/>
        </w:rPr>
      </w:pPr>
      <w:r w:rsidRPr="00AB74DE">
        <w:rPr>
          <w:rStyle w:val="FootnoteReference"/>
          <w:rFonts w:asciiTheme="minorHAnsi" w:hAnsiTheme="minorHAnsi"/>
        </w:rPr>
        <w:footnoteRef/>
      </w:r>
      <w:r w:rsidRPr="00AB74DE">
        <w:rPr>
          <w:rFonts w:asciiTheme="minorHAnsi" w:hAnsiTheme="minorHAnsi"/>
        </w:rPr>
        <w:t xml:space="preserve"> </w:t>
      </w:r>
      <w:r w:rsidRPr="002A1DEE">
        <w:rPr>
          <w:rFonts w:asciiTheme="majorHAnsi" w:hAnsiTheme="majorHAnsi"/>
        </w:rPr>
        <w:t xml:space="preserve">Kitty Holland, ‘Girl Sectioned after psychiatrist ruled out abortion’ Irish Times, 12 June 2017. Available at </w:t>
      </w:r>
      <w:hyperlink r:id="rId3" w:history="1">
        <w:r w:rsidRPr="002A1DEE">
          <w:rPr>
            <w:rStyle w:val="Hyperlink"/>
            <w:rFonts w:asciiTheme="majorHAnsi" w:hAnsiTheme="majorHAnsi"/>
          </w:rPr>
          <w:t>https://www.irishtimes.com/news/social-affairs/girl-sectioned-after-psychiatrist-ruled-out-abortion-1.3116111</w:t>
        </w:r>
      </w:hyperlink>
      <w:r w:rsidRPr="002A1DEE">
        <w:rPr>
          <w:rFonts w:asciiTheme="majorHAnsi" w:hAnsiTheme="majorHAnsi"/>
        </w:rPr>
        <w:t xml:space="preserve"> (accessed 20 June 2017)</w:t>
      </w:r>
      <w:r w:rsidR="001413F5" w:rsidRPr="002A1DEE">
        <w:rPr>
          <w:rFonts w:asciiTheme="majorHAnsi" w:hAnsiTheme="majorHAnsi"/>
        </w:rPr>
        <w:t>.</w:t>
      </w:r>
    </w:p>
  </w:footnote>
  <w:footnote w:id="13">
    <w:p w14:paraId="209F8C84" w14:textId="00C7093A" w:rsidR="0002795A" w:rsidRPr="002A1DEE" w:rsidRDefault="0002795A"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w:t>
      </w:r>
      <w:r w:rsidRPr="002A1DEE">
        <w:rPr>
          <w:rFonts w:asciiTheme="majorHAnsi" w:hAnsiTheme="majorHAnsi"/>
          <w:color w:val="333333"/>
        </w:rPr>
        <w:t>The Citizens Assembly is a body comprising a Chairperson and 99 citizens randomly selected to be broadly representative of the Irish electorate. The Assembly is established by a resolution of the Dail to deliberate important issues and report back to the Houses of the Oireachtas for further debate on their conclusions. The first issue referred to the Assembly was the Eighth Amendment to the Constitution which places the life of a foetus on an equal footing to that of a pregnant woman or girl. See www.citizensassebly.ie</w:t>
      </w:r>
      <w:r w:rsidR="001413F5" w:rsidRPr="002A1DEE">
        <w:rPr>
          <w:rFonts w:asciiTheme="majorHAnsi" w:hAnsiTheme="majorHAnsi"/>
          <w:color w:val="333333"/>
        </w:rPr>
        <w:t>.</w:t>
      </w:r>
    </w:p>
  </w:footnote>
  <w:footnote w:id="14">
    <w:p w14:paraId="1BF7471D" w14:textId="570D813E" w:rsidR="0017097A" w:rsidRPr="002A1DEE" w:rsidRDefault="0017097A" w:rsidP="002A1DEE">
      <w:pPr>
        <w:pStyle w:val="FootnoteText"/>
        <w:spacing w:after="0" w:line="240" w:lineRule="auto"/>
        <w:rPr>
          <w:rFonts w:asciiTheme="majorHAnsi" w:hAnsiTheme="majorHAnsi"/>
        </w:rPr>
      </w:pPr>
      <w:r>
        <w:rPr>
          <w:rStyle w:val="FootnoteReference"/>
        </w:rPr>
        <w:footnoteRef/>
      </w:r>
      <w:r>
        <w:t xml:space="preserve"> </w:t>
      </w:r>
      <w:r w:rsidRPr="002A1DEE">
        <w:rPr>
          <w:rFonts w:asciiTheme="majorHAnsi" w:hAnsiTheme="majorHAnsi"/>
        </w:rPr>
        <w:t xml:space="preserve">See joint Irish NGO statement at </w:t>
      </w:r>
      <w:hyperlink r:id="rId4" w:history="1">
        <w:r w:rsidRPr="002A1DEE">
          <w:rPr>
            <w:rStyle w:val="Hyperlink"/>
            <w:rFonts w:asciiTheme="majorHAnsi" w:hAnsiTheme="majorHAnsi"/>
          </w:rPr>
          <w:t>http://www.iccl.ie/news/2017/01/30/permitting-pre-clearance-to-operate-in-ireland-may-violate-human-rights.html</w:t>
        </w:r>
      </w:hyperlink>
      <w:r w:rsidRPr="002A1DEE">
        <w:rPr>
          <w:rFonts w:asciiTheme="majorHAnsi" w:hAnsiTheme="majorHAnsi"/>
        </w:rPr>
        <w:t xml:space="preserve"> (last accessed 25th June 2017).</w:t>
      </w:r>
    </w:p>
  </w:footnote>
  <w:footnote w:id="15">
    <w:p w14:paraId="76A0C6FD" w14:textId="6951C7A9" w:rsidR="00333452" w:rsidRPr="002A1DEE" w:rsidRDefault="00333452" w:rsidP="002A1DEE">
      <w:pPr>
        <w:pStyle w:val="FootnoteText"/>
        <w:spacing w:after="0" w:line="240" w:lineRule="auto"/>
        <w:rPr>
          <w:rFonts w:asciiTheme="majorHAnsi" w:hAnsiTheme="majorHAnsi"/>
          <w:lang w:val="en-GB"/>
        </w:rPr>
      </w:pPr>
      <w:r w:rsidRPr="002A1DEE">
        <w:rPr>
          <w:rStyle w:val="FootnoteReference"/>
          <w:rFonts w:asciiTheme="majorHAnsi" w:hAnsiTheme="majorHAnsi"/>
        </w:rPr>
        <w:footnoteRef/>
      </w:r>
      <w:r w:rsidRPr="002A1DEE">
        <w:rPr>
          <w:rFonts w:asciiTheme="majorHAnsi" w:hAnsiTheme="majorHAnsi"/>
          <w:lang w:val="en-GB"/>
        </w:rPr>
        <w:t xml:space="preserve"> “</w:t>
      </w:r>
      <w:r w:rsidR="002F25C9" w:rsidRPr="002A1DEE">
        <w:rPr>
          <w:rFonts w:asciiTheme="majorHAnsi" w:hAnsiTheme="majorHAnsi"/>
          <w:lang w:val="en-GB"/>
        </w:rPr>
        <w:t>Policing</w:t>
      </w:r>
      <w:r w:rsidRPr="002A1DEE">
        <w:rPr>
          <w:rFonts w:asciiTheme="majorHAnsi" w:hAnsiTheme="majorHAnsi"/>
          <w:lang w:val="en-GB"/>
        </w:rPr>
        <w:t xml:space="preserve"> Authority</w:t>
      </w:r>
      <w:r w:rsidR="002F25C9" w:rsidRPr="002A1DEE">
        <w:rPr>
          <w:rFonts w:asciiTheme="majorHAnsi" w:hAnsiTheme="majorHAnsi"/>
          <w:lang w:val="en-GB"/>
        </w:rPr>
        <w:t xml:space="preserve"> criticises Garda homicide material”</w:t>
      </w:r>
      <w:r w:rsidR="00041509" w:rsidRPr="002A1DEE">
        <w:rPr>
          <w:rFonts w:asciiTheme="majorHAnsi" w:hAnsiTheme="majorHAnsi"/>
          <w:lang w:val="en-GB"/>
        </w:rPr>
        <w:t>, Irish Examiner, 6</w:t>
      </w:r>
      <w:r w:rsidR="00041509" w:rsidRPr="002A1DEE">
        <w:rPr>
          <w:rFonts w:asciiTheme="majorHAnsi" w:hAnsiTheme="majorHAnsi"/>
          <w:vertAlign w:val="superscript"/>
          <w:lang w:val="en-GB"/>
        </w:rPr>
        <w:t>th</w:t>
      </w:r>
      <w:r w:rsidR="00041509" w:rsidRPr="002A1DEE">
        <w:rPr>
          <w:rFonts w:asciiTheme="majorHAnsi" w:hAnsiTheme="majorHAnsi"/>
          <w:lang w:val="en-GB"/>
        </w:rPr>
        <w:t xml:space="preserve"> June 2017. </w:t>
      </w:r>
      <w:hyperlink r:id="rId5" w:history="1">
        <w:r w:rsidRPr="002A1DEE">
          <w:rPr>
            <w:rStyle w:val="Hyperlink"/>
            <w:rFonts w:asciiTheme="majorHAnsi" w:hAnsiTheme="majorHAnsi"/>
          </w:rPr>
          <w:t>http://www.irishexaminer.com/ireland/policing-authority-criticises-garda-homicide-material-451788.html</w:t>
        </w:r>
      </w:hyperlink>
      <w:r w:rsidRPr="002A1DEE">
        <w:rPr>
          <w:rFonts w:asciiTheme="majorHAnsi" w:hAnsiTheme="majorHAnsi"/>
          <w:lang w:val="en-GB"/>
        </w:rPr>
        <w:t xml:space="preserve"> (last accessed 24/06/2017)</w:t>
      </w:r>
      <w:r w:rsidR="001D0BF5" w:rsidRPr="002A1DEE">
        <w:rPr>
          <w:rFonts w:asciiTheme="majorHAnsi" w:hAnsiTheme="majorHAnsi"/>
          <w:lang w:val="en-GB"/>
        </w:rPr>
        <w:t>.</w:t>
      </w:r>
    </w:p>
  </w:footnote>
  <w:footnote w:id="16">
    <w:p w14:paraId="79BF8E85" w14:textId="684378B1" w:rsidR="00831FDC" w:rsidRPr="002A1DEE" w:rsidRDefault="00831FDC"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Report of the Special Rapporteur on the situation of human rights defenders, Margaret Sekaggya, (26 February 2013), </w:t>
      </w:r>
      <w:r w:rsidRPr="002A1DEE">
        <w:rPr>
          <w:rFonts w:asciiTheme="majorHAnsi" w:hAnsiTheme="majorHAnsi"/>
          <w:i/>
        </w:rPr>
        <w:t>Mission to Ireland (19 – 23 November 2012)</w:t>
      </w:r>
      <w:r w:rsidRPr="002A1DEE">
        <w:rPr>
          <w:rFonts w:asciiTheme="majorHAnsi" w:hAnsiTheme="majorHAnsi"/>
        </w:rPr>
        <w:t xml:space="preserve">, A/HRC/22/47/Add.3. </w:t>
      </w:r>
    </w:p>
  </w:footnote>
  <w:footnote w:id="17">
    <w:p w14:paraId="7F35C831" w14:textId="34A91A1F" w:rsidR="008F55DC" w:rsidRPr="002A1DEE" w:rsidRDefault="008F55DC" w:rsidP="002A1DEE">
      <w:pPr>
        <w:pStyle w:val="FootnoteText"/>
        <w:spacing w:after="0" w:line="240" w:lineRule="auto"/>
        <w:rPr>
          <w:rFonts w:asciiTheme="majorHAnsi" w:hAnsiTheme="majorHAnsi"/>
          <w:lang w:val="en-GB"/>
        </w:rPr>
      </w:pPr>
      <w:r w:rsidRPr="002A1DEE">
        <w:rPr>
          <w:rStyle w:val="FootnoteReference"/>
          <w:rFonts w:asciiTheme="majorHAnsi" w:hAnsiTheme="majorHAnsi"/>
        </w:rPr>
        <w:footnoteRef/>
      </w:r>
      <w:r w:rsidRPr="002A1DEE">
        <w:rPr>
          <w:rFonts w:asciiTheme="majorHAnsi" w:hAnsiTheme="majorHAnsi"/>
        </w:rPr>
        <w:t xml:space="preserve"> </w:t>
      </w:r>
      <w:r w:rsidRPr="002A1DEE">
        <w:rPr>
          <w:rFonts w:asciiTheme="majorHAnsi" w:hAnsiTheme="majorHAnsi"/>
          <w:lang w:val="en-GB"/>
        </w:rPr>
        <w:t xml:space="preserve">Garda Síochána Ombudsman Commission Annual Report 2016, </w:t>
      </w:r>
      <w:r w:rsidR="00FD287A" w:rsidRPr="002A1DEE">
        <w:rPr>
          <w:rFonts w:asciiTheme="majorHAnsi" w:hAnsiTheme="majorHAnsi"/>
          <w:lang w:val="en-GB"/>
        </w:rPr>
        <w:t xml:space="preserve">available at </w:t>
      </w:r>
      <w:hyperlink r:id="rId6" w:history="1">
        <w:r w:rsidR="00FD287A" w:rsidRPr="002A1DEE">
          <w:rPr>
            <w:rStyle w:val="Hyperlink"/>
            <w:rFonts w:asciiTheme="majorHAnsi" w:hAnsiTheme="majorHAnsi"/>
            <w:lang w:val="en-GB"/>
          </w:rPr>
          <w:t>https://www.gardaombudsman.ie/docs/publications/AnnualReports/GSOC_AR16.pdf</w:t>
        </w:r>
      </w:hyperlink>
      <w:r w:rsidR="00FD287A" w:rsidRPr="002A1DEE">
        <w:rPr>
          <w:rFonts w:asciiTheme="majorHAnsi" w:hAnsiTheme="majorHAnsi"/>
          <w:lang w:val="en-GB"/>
        </w:rPr>
        <w:t xml:space="preserve"> (last accessed 25/06/2017)</w:t>
      </w:r>
      <w:r w:rsidR="001D0BF5" w:rsidRPr="002A1DEE">
        <w:rPr>
          <w:rFonts w:asciiTheme="majorHAnsi" w:hAnsiTheme="majorHAnsi"/>
          <w:lang w:val="en-GB"/>
        </w:rPr>
        <w:t>.</w:t>
      </w:r>
    </w:p>
  </w:footnote>
  <w:footnote w:id="18">
    <w:p w14:paraId="24E07760" w14:textId="016594B6" w:rsidR="004D054F" w:rsidRPr="002A1DEE" w:rsidRDefault="004D054F" w:rsidP="002A1DEE">
      <w:pPr>
        <w:pStyle w:val="FootnoteText"/>
        <w:spacing w:after="0" w:line="240" w:lineRule="auto"/>
        <w:rPr>
          <w:rFonts w:asciiTheme="majorHAnsi" w:hAnsiTheme="majorHAnsi"/>
          <w:lang w:val="en-GB"/>
        </w:rPr>
      </w:pPr>
      <w:r w:rsidRPr="002A1DEE">
        <w:rPr>
          <w:rStyle w:val="FootnoteReference"/>
          <w:rFonts w:asciiTheme="majorHAnsi" w:hAnsiTheme="majorHAnsi"/>
        </w:rPr>
        <w:footnoteRef/>
      </w:r>
      <w:r w:rsidRPr="002A1DEE">
        <w:rPr>
          <w:rFonts w:asciiTheme="majorHAnsi" w:hAnsiTheme="majorHAnsi"/>
        </w:rPr>
        <w:t xml:space="preserve"> </w:t>
      </w:r>
      <w:r w:rsidR="001D0BF5" w:rsidRPr="002A1DEE">
        <w:rPr>
          <w:rFonts w:asciiTheme="majorHAnsi" w:hAnsiTheme="majorHAnsi"/>
        </w:rPr>
        <w:t xml:space="preserve">Ibid </w:t>
      </w:r>
      <w:r w:rsidR="001D0BF5" w:rsidRPr="002A1DEE">
        <w:rPr>
          <w:rFonts w:asciiTheme="majorHAnsi" w:hAnsiTheme="majorHAnsi"/>
          <w:lang w:val="en-GB"/>
        </w:rPr>
        <w:t>a</w:t>
      </w:r>
      <w:r w:rsidRPr="002A1DEE">
        <w:rPr>
          <w:rFonts w:asciiTheme="majorHAnsi" w:hAnsiTheme="majorHAnsi"/>
          <w:lang w:val="en-GB"/>
        </w:rPr>
        <w:t>t page 36.</w:t>
      </w:r>
    </w:p>
  </w:footnote>
  <w:footnote w:id="19">
    <w:p w14:paraId="1E9F4516" w14:textId="22FC48E3" w:rsidR="00FD2C60" w:rsidRPr="002A1DEE" w:rsidRDefault="00FD2C60" w:rsidP="002A1DEE">
      <w:pPr>
        <w:pStyle w:val="FootnoteText"/>
        <w:spacing w:after="0" w:line="240" w:lineRule="auto"/>
        <w:rPr>
          <w:rFonts w:asciiTheme="majorHAnsi" w:hAnsiTheme="majorHAnsi"/>
        </w:rPr>
      </w:pPr>
      <w:r w:rsidRPr="003B39B4">
        <w:rPr>
          <w:rStyle w:val="FootnoteReference"/>
          <w:rFonts w:asciiTheme="minorHAnsi" w:hAnsiTheme="minorHAnsi"/>
        </w:rPr>
        <w:footnoteRef/>
      </w:r>
      <w:r w:rsidRPr="003B39B4">
        <w:rPr>
          <w:rFonts w:asciiTheme="minorHAnsi" w:hAnsiTheme="minorHAnsi"/>
        </w:rPr>
        <w:t xml:space="preserve"> </w:t>
      </w:r>
      <w:r w:rsidRPr="002A1DEE">
        <w:rPr>
          <w:rFonts w:asciiTheme="majorHAnsi" w:hAnsiTheme="majorHAnsi"/>
        </w:rPr>
        <w:t>CCPR/C/IRL/CO/4, at paras 11-12.</w:t>
      </w:r>
    </w:p>
  </w:footnote>
  <w:footnote w:id="20">
    <w:p w14:paraId="0B7C6D03" w14:textId="4384ED34" w:rsidR="00AB2451" w:rsidRPr="002A1DEE" w:rsidRDefault="00AB2451"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w:t>
      </w:r>
      <w:r w:rsidR="00FD2C60" w:rsidRPr="002A1DEE">
        <w:rPr>
          <w:rFonts w:asciiTheme="majorHAnsi" w:hAnsiTheme="majorHAnsi"/>
          <w:position w:val="-4"/>
        </w:rPr>
        <w:t>CEDAW/C/IRL/CO/6-7</w:t>
      </w:r>
      <w:r w:rsidRPr="002A1DEE">
        <w:rPr>
          <w:rFonts w:asciiTheme="majorHAnsi" w:hAnsiTheme="majorHAnsi"/>
          <w:bCs/>
          <w:color w:val="000000" w:themeColor="text1"/>
        </w:rPr>
        <w:t xml:space="preserve">, </w:t>
      </w:r>
      <w:r w:rsidR="00FD2C60" w:rsidRPr="002A1DEE">
        <w:rPr>
          <w:rFonts w:asciiTheme="majorHAnsi" w:hAnsiTheme="majorHAnsi"/>
          <w:bCs/>
          <w:color w:val="000000" w:themeColor="text1"/>
        </w:rPr>
        <w:t>para</w:t>
      </w:r>
      <w:r w:rsidRPr="002A1DEE">
        <w:rPr>
          <w:rFonts w:asciiTheme="majorHAnsi" w:hAnsiTheme="majorHAnsi"/>
          <w:bCs/>
          <w:color w:val="000000" w:themeColor="text1"/>
        </w:rPr>
        <w:t xml:space="preserve"> 14 (b)</w:t>
      </w:r>
      <w:r w:rsidR="00FD2C60" w:rsidRPr="002A1DEE">
        <w:rPr>
          <w:rFonts w:asciiTheme="majorHAnsi" w:hAnsiTheme="majorHAnsi"/>
          <w:bCs/>
          <w:color w:val="000000" w:themeColor="text1"/>
        </w:rPr>
        <w:t>.</w:t>
      </w:r>
    </w:p>
  </w:footnote>
  <w:footnote w:id="21">
    <w:p w14:paraId="2A17019B" w14:textId="5D8CBB55" w:rsidR="00FD2C60" w:rsidRPr="002A1DEE" w:rsidRDefault="00FD2C60" w:rsidP="002A1DEE">
      <w:pPr>
        <w:spacing w:after="0" w:line="240" w:lineRule="auto"/>
        <w:rPr>
          <w:rFonts w:asciiTheme="majorHAnsi" w:hAnsiTheme="majorHAnsi"/>
          <w:color w:val="000000" w:themeColor="text1"/>
          <w:sz w:val="20"/>
          <w:szCs w:val="20"/>
          <w:lang w:eastAsia="es-ES"/>
        </w:rPr>
      </w:pPr>
      <w:r w:rsidRPr="002A1DEE">
        <w:rPr>
          <w:rStyle w:val="FootnoteReference"/>
          <w:rFonts w:asciiTheme="majorHAnsi" w:hAnsiTheme="majorHAnsi"/>
          <w:sz w:val="20"/>
          <w:szCs w:val="20"/>
        </w:rPr>
        <w:footnoteRef/>
      </w:r>
      <w:r w:rsidRPr="002A1DEE">
        <w:rPr>
          <w:rFonts w:asciiTheme="majorHAnsi" w:hAnsiTheme="majorHAnsi"/>
          <w:sz w:val="20"/>
          <w:szCs w:val="20"/>
        </w:rPr>
        <w:t xml:space="preserve"> </w:t>
      </w:r>
      <w:r w:rsidR="003B39B4" w:rsidRPr="002A1DEE">
        <w:rPr>
          <w:rFonts w:asciiTheme="majorHAnsi" w:hAnsiTheme="majorHAnsi"/>
          <w:sz w:val="20"/>
          <w:szCs w:val="20"/>
        </w:rPr>
        <w:t xml:space="preserve"> </w:t>
      </w:r>
      <w:r w:rsidR="003B39B4" w:rsidRPr="002A1DEE">
        <w:rPr>
          <w:rFonts w:asciiTheme="majorHAnsi" w:eastAsia="Times New Roman" w:hAnsiTheme="majorHAnsi" w:cs="Times New Roman"/>
          <w:bCs/>
          <w:color w:val="000000"/>
          <w:sz w:val="20"/>
          <w:szCs w:val="20"/>
          <w:lang w:eastAsia="en-IE"/>
        </w:rPr>
        <w:t xml:space="preserve">Report by Nils Muižnieks, Council of Europe Commissioner for Human Rights, following his visit to Ireland, from 22 to 25 November 2016; CommDH (2017) 8, published on </w:t>
      </w:r>
      <w:r w:rsidR="003B39B4" w:rsidRPr="002A1DEE">
        <w:rPr>
          <w:rFonts w:asciiTheme="majorHAnsi" w:eastAsia="Times New Roman" w:hAnsiTheme="majorHAnsi" w:cs="Times New Roman"/>
          <w:color w:val="000000"/>
          <w:sz w:val="20"/>
          <w:szCs w:val="20"/>
          <w:shd w:val="clear" w:color="auto" w:fill="FFFFFF"/>
          <w:lang w:eastAsia="en-IE"/>
        </w:rPr>
        <w:t xml:space="preserve">29 March 2017; at </w:t>
      </w:r>
      <w:r w:rsidR="003B39B4" w:rsidRPr="002A1DEE">
        <w:rPr>
          <w:rFonts w:asciiTheme="majorHAnsi" w:hAnsiTheme="majorHAnsi"/>
          <w:color w:val="000000" w:themeColor="text1"/>
          <w:sz w:val="20"/>
          <w:szCs w:val="20"/>
        </w:rPr>
        <w:t xml:space="preserve">para 172. </w:t>
      </w:r>
    </w:p>
  </w:footnote>
  <w:footnote w:id="22">
    <w:p w14:paraId="79CBE957" w14:textId="3770B6BA" w:rsidR="009B70BF" w:rsidRPr="002A1DEE" w:rsidRDefault="009B70BF" w:rsidP="002A1DEE">
      <w:pPr>
        <w:pStyle w:val="FootnoteText"/>
        <w:spacing w:after="0" w:line="240" w:lineRule="auto"/>
        <w:rPr>
          <w:rFonts w:asciiTheme="majorHAnsi" w:hAnsiTheme="majorHAnsi"/>
        </w:rPr>
      </w:pPr>
      <w:r w:rsidRPr="002A1DEE">
        <w:rPr>
          <w:rStyle w:val="FootnoteReference"/>
          <w:rFonts w:asciiTheme="majorHAnsi" w:hAnsiTheme="majorHAnsi"/>
        </w:rPr>
        <w:footnoteRef/>
      </w:r>
      <w:r w:rsidRPr="002A1DEE">
        <w:rPr>
          <w:rFonts w:asciiTheme="majorHAnsi" w:hAnsiTheme="majorHAnsi"/>
        </w:rPr>
        <w:t xml:space="preserve"> See analysis by Máiréad Enright at </w:t>
      </w:r>
      <w:hyperlink r:id="rId7" w:history="1">
        <w:r w:rsidRPr="002A1DEE">
          <w:rPr>
            <w:rStyle w:val="Hyperlink"/>
            <w:rFonts w:asciiTheme="majorHAnsi" w:hAnsiTheme="majorHAnsi"/>
          </w:rPr>
          <w:t>http://humanrights.ie/law-culture-and-religion/notes-on-judge-harding-clarks-report-on-the-symphysiotomy-payment-scheme/</w:t>
        </w:r>
      </w:hyperlink>
      <w:r w:rsidRPr="002A1DEE">
        <w:rPr>
          <w:rFonts w:asciiTheme="majorHAnsi" w:hAnsiTheme="majorHAnsi"/>
          <w:color w:val="000000" w:themeColor="text1"/>
        </w:rPr>
        <w:t xml:space="preserve"> (last accessed 26/06/2017)</w:t>
      </w:r>
      <w:r w:rsidR="00AC386A" w:rsidRPr="002A1DEE">
        <w:rPr>
          <w:rFonts w:asciiTheme="majorHAnsi" w:hAnsiTheme="majorHAnsi"/>
          <w:color w:val="000000" w:themeColor="text1"/>
        </w:rPr>
        <w:t>.</w:t>
      </w:r>
    </w:p>
  </w:footnote>
  <w:footnote w:id="23">
    <w:p w14:paraId="33382EFA" w14:textId="77777777" w:rsidR="000E7104" w:rsidRPr="00670879" w:rsidRDefault="000E7104" w:rsidP="002A1DEE">
      <w:pPr>
        <w:pStyle w:val="CommentText"/>
        <w:spacing w:after="0" w:line="240" w:lineRule="auto"/>
        <w:rPr>
          <w:lang w:val="en-US"/>
        </w:rPr>
      </w:pPr>
      <w:r w:rsidRPr="00670879">
        <w:rPr>
          <w:rStyle w:val="FootnoteReference"/>
          <w:rFonts w:asciiTheme="majorHAnsi" w:hAnsiTheme="majorHAnsi"/>
        </w:rPr>
        <w:footnoteRef/>
      </w:r>
      <w:r w:rsidRPr="00670879">
        <w:rPr>
          <w:rFonts w:asciiTheme="majorHAnsi" w:hAnsiTheme="majorHAnsi"/>
        </w:rPr>
        <w:t xml:space="preserve"> </w:t>
      </w:r>
      <w:r w:rsidRPr="00670879">
        <w:rPr>
          <w:rFonts w:asciiTheme="majorHAnsi" w:hAnsiTheme="majorHAnsi" w:cs="Pé˜ø« Ó"/>
          <w:bCs/>
          <w:i/>
          <w:lang w:val="en-US"/>
        </w:rPr>
        <w:t>Roadmap to Ratification of the United Nations Convention on Persons with Disabilities</w:t>
      </w:r>
      <w:r w:rsidRPr="00670879">
        <w:rPr>
          <w:rFonts w:asciiTheme="majorHAnsi" w:hAnsiTheme="majorHAnsi" w:cs="Pé˜ø« Ó"/>
          <w:bCs/>
          <w:lang w:val="en-US"/>
        </w:rPr>
        <w:t xml:space="preserve"> (Dublin: Department of Justice and Equality, October 2015).</w:t>
      </w:r>
      <w:r>
        <w:rPr>
          <w:rFonts w:asciiTheme="majorHAnsi" w:hAnsiTheme="majorHAnsi" w:cs="Pé˜ø« Ó"/>
          <w:bCs/>
          <w:lang w:val="en-US"/>
        </w:rPr>
        <w:t xml:space="preserve"> ICCL and other civil society organisations do not accept that ratification must be deferred in this way, see also comments on ratification of OPCAT in section 1 above.</w:t>
      </w:r>
    </w:p>
  </w:footnote>
  <w:footnote w:id="24">
    <w:p w14:paraId="0D6EED90" w14:textId="7288B6B3" w:rsidR="000E7104" w:rsidRPr="00D10BF5" w:rsidRDefault="000E7104" w:rsidP="002A1DEE">
      <w:pPr>
        <w:pStyle w:val="FootnoteText"/>
        <w:spacing w:after="0" w:line="240" w:lineRule="auto"/>
        <w:rPr>
          <w:rFonts w:asciiTheme="majorHAnsi" w:hAnsiTheme="majorHAnsi"/>
          <w:lang w:val="en-US"/>
        </w:rPr>
      </w:pPr>
      <w:r w:rsidRPr="00001923">
        <w:rPr>
          <w:rStyle w:val="FootnoteReference"/>
          <w:rFonts w:asciiTheme="majorHAnsi" w:hAnsiTheme="majorHAnsi"/>
        </w:rPr>
        <w:footnoteRef/>
      </w:r>
      <w:r w:rsidRPr="00001923">
        <w:rPr>
          <w:rFonts w:asciiTheme="majorHAnsi" w:hAnsiTheme="majorHAnsi"/>
        </w:rPr>
        <w:t xml:space="preserve"> A/</w:t>
      </w:r>
      <w:r w:rsidRPr="00D10BF5">
        <w:rPr>
          <w:rFonts w:asciiTheme="majorHAnsi" w:hAnsiTheme="majorHAnsi"/>
        </w:rPr>
        <w:t>HRC/22/53, para 89</w:t>
      </w:r>
      <w:r w:rsidR="00EB571A">
        <w:rPr>
          <w:rFonts w:asciiTheme="majorHAnsi" w:hAnsiTheme="majorHAnsi"/>
        </w:rPr>
        <w:t>.</w:t>
      </w:r>
    </w:p>
  </w:footnote>
  <w:footnote w:id="25">
    <w:p w14:paraId="137FAE9F" w14:textId="2EB1B1C4" w:rsidR="006D330E" w:rsidRDefault="006D330E" w:rsidP="006D330E">
      <w:pPr>
        <w:pStyle w:val="FootnoteText"/>
        <w:spacing w:after="0" w:line="240" w:lineRule="auto"/>
      </w:pPr>
      <w:r>
        <w:rPr>
          <w:rStyle w:val="FootnoteReference"/>
        </w:rPr>
        <w:footnoteRef/>
      </w:r>
      <w:r>
        <w:t xml:space="preserve"> </w:t>
      </w:r>
      <w:r w:rsidRPr="001669F1">
        <w:rPr>
          <w:rFonts w:ascii="Avenir Next Regular" w:hAnsi="Avenir Next Regular"/>
          <w:i/>
        </w:rPr>
        <w:t>Report of the Expert Group on the Review of the Mental Health Act 2001</w:t>
      </w:r>
      <w:r w:rsidRPr="001669F1">
        <w:rPr>
          <w:rFonts w:ascii="Avenir Next Regular" w:hAnsi="Avenir Next Regular"/>
        </w:rPr>
        <w:t xml:space="preserve"> (Dublin: Department of Health, 2015).</w:t>
      </w:r>
    </w:p>
  </w:footnote>
  <w:footnote w:id="26">
    <w:p w14:paraId="4202D476" w14:textId="77777777" w:rsidR="006D330E" w:rsidRPr="00D10BF5" w:rsidRDefault="006D330E" w:rsidP="006D330E">
      <w:pPr>
        <w:pStyle w:val="FootnoteText"/>
        <w:spacing w:after="0" w:line="240" w:lineRule="auto"/>
        <w:rPr>
          <w:rFonts w:asciiTheme="majorHAnsi" w:hAnsiTheme="majorHAnsi"/>
          <w:lang w:val="en-US"/>
        </w:rPr>
      </w:pPr>
      <w:r w:rsidRPr="00D10BF5">
        <w:rPr>
          <w:rStyle w:val="FootnoteReference"/>
          <w:rFonts w:asciiTheme="majorHAnsi" w:hAnsiTheme="majorHAnsi"/>
        </w:rPr>
        <w:footnoteRef/>
      </w:r>
      <w:r w:rsidRPr="00D10BF5">
        <w:rPr>
          <w:rFonts w:asciiTheme="majorHAnsi" w:hAnsiTheme="majorHAnsi"/>
        </w:rPr>
        <w:t xml:space="preserve"> </w:t>
      </w:r>
      <w:r w:rsidRPr="00D10BF5">
        <w:rPr>
          <w:rFonts w:asciiTheme="majorHAnsi" w:hAnsiTheme="majorHAnsi"/>
          <w:lang w:val="en-US"/>
        </w:rPr>
        <w:t>CRPD/C/GC/1</w:t>
      </w:r>
    </w:p>
  </w:footnote>
  <w:footnote w:id="27">
    <w:p w14:paraId="019D9BFF" w14:textId="77777777" w:rsidR="006D330E" w:rsidRPr="007340CA" w:rsidRDefault="006D330E" w:rsidP="006D330E">
      <w:pPr>
        <w:pStyle w:val="FootnoteText"/>
        <w:spacing w:after="0" w:line="240" w:lineRule="auto"/>
        <w:rPr>
          <w:rFonts w:asciiTheme="majorHAnsi" w:hAnsiTheme="majorHAnsi"/>
          <w:lang w:val="en-US"/>
        </w:rPr>
      </w:pPr>
      <w:r w:rsidRPr="00D10BF5">
        <w:rPr>
          <w:rStyle w:val="FootnoteReference"/>
          <w:rFonts w:asciiTheme="majorHAnsi" w:hAnsiTheme="majorHAnsi"/>
        </w:rPr>
        <w:footnoteRef/>
      </w:r>
      <w:r w:rsidRPr="00D10BF5">
        <w:rPr>
          <w:rFonts w:asciiTheme="majorHAnsi" w:hAnsiTheme="majorHAnsi"/>
        </w:rPr>
        <w:t xml:space="preserve"> </w:t>
      </w:r>
      <w:r>
        <w:rPr>
          <w:rFonts w:asciiTheme="majorHAnsi" w:hAnsiTheme="majorHAnsi"/>
        </w:rPr>
        <w:t xml:space="preserve">Mary </w:t>
      </w:r>
      <w:r w:rsidRPr="00AF5BC5">
        <w:rPr>
          <w:rFonts w:ascii="Avenir Next Regular" w:hAnsi="Avenir Next Regular" w:cs="Times"/>
          <w:bCs/>
          <w:color w:val="000000"/>
          <w:lang w:val="en-US"/>
        </w:rPr>
        <w:t>Donnelly</w:t>
      </w:r>
      <w:r>
        <w:rPr>
          <w:rFonts w:ascii="Avenir Next Regular" w:hAnsi="Avenir Next Regular" w:cs="Times"/>
          <w:bCs/>
          <w:color w:val="000000"/>
          <w:lang w:val="en-US"/>
        </w:rPr>
        <w:t>,</w:t>
      </w:r>
      <w:r w:rsidRPr="00AF5BC5">
        <w:rPr>
          <w:rFonts w:ascii="Avenir Next Regular" w:hAnsi="Avenir Next Regular" w:cs="Times"/>
          <w:bCs/>
          <w:color w:val="000000"/>
          <w:lang w:val="en-US"/>
        </w:rPr>
        <w:t xml:space="preserve"> </w:t>
      </w:r>
      <w:r>
        <w:rPr>
          <w:rFonts w:ascii="Avenir Next Regular" w:hAnsi="Avenir Next Regular" w:cs="Times"/>
          <w:bCs/>
          <w:color w:val="000000"/>
          <w:lang w:val="en-US"/>
        </w:rPr>
        <w:t>“</w:t>
      </w:r>
      <w:r w:rsidRPr="00AF5BC5">
        <w:rPr>
          <w:rFonts w:ascii="Avenir Next Regular" w:hAnsi="Avenir Next Regular" w:cs="Times"/>
          <w:bCs/>
          <w:color w:val="000000"/>
          <w:lang w:val="en-US"/>
        </w:rPr>
        <w:t>The Assisted Decision-Making (Capacity) Act 2015: Implications for Healthcare Decision-Making</w:t>
      </w:r>
      <w:r>
        <w:rPr>
          <w:rFonts w:ascii="Avenir Next Regular" w:hAnsi="Avenir Next Regular" w:cs="Times"/>
          <w:bCs/>
          <w:color w:val="000000"/>
          <w:lang w:val="en-US"/>
        </w:rPr>
        <w:t>”</w:t>
      </w:r>
      <w:r w:rsidRPr="00AF5BC5">
        <w:rPr>
          <w:rFonts w:ascii="Avenir Next Regular" w:hAnsi="Avenir Next Regular" w:cs="Times"/>
          <w:bCs/>
          <w:color w:val="000000"/>
          <w:lang w:val="en-US"/>
        </w:rPr>
        <w:t xml:space="preserve"> </w:t>
      </w:r>
      <w:r>
        <w:rPr>
          <w:rFonts w:ascii="Avenir Next Regular" w:hAnsi="Avenir Next Regular" w:cs="Times"/>
          <w:bCs/>
          <w:color w:val="000000"/>
          <w:lang w:val="en-US"/>
        </w:rPr>
        <w:t xml:space="preserve">(2016) 22(2) </w:t>
      </w:r>
      <w:r w:rsidRPr="006306B1">
        <w:rPr>
          <w:rFonts w:ascii="Avenir Next Regular" w:hAnsi="Avenir Next Regular" w:cs="Times"/>
          <w:bCs/>
          <w:i/>
          <w:color w:val="000000"/>
          <w:lang w:val="en-US"/>
        </w:rPr>
        <w:t>Medico-Legal Journal of Ireland</w:t>
      </w:r>
      <w:r w:rsidRPr="00AF5BC5">
        <w:rPr>
          <w:rFonts w:ascii="Avenir Next Regular" w:hAnsi="Avenir Next Regular" w:cs="Times"/>
          <w:bCs/>
          <w:color w:val="000000"/>
          <w:lang w:val="en-US"/>
        </w:rPr>
        <w:t xml:space="preserve"> 65</w:t>
      </w:r>
      <w:r>
        <w:rPr>
          <w:rFonts w:ascii="Avenir Next Regular" w:hAnsi="Avenir Next Regular" w:cs="Times"/>
          <w:bCs/>
          <w:color w:val="000000"/>
          <w:lang w:val="en-US"/>
        </w:rPr>
        <w:t>.</w:t>
      </w:r>
    </w:p>
  </w:footnote>
  <w:footnote w:id="28">
    <w:p w14:paraId="6EFA711F" w14:textId="1CC8CC3F" w:rsidR="000E7104" w:rsidRPr="00001923" w:rsidRDefault="000E7104" w:rsidP="002A1DEE">
      <w:pPr>
        <w:pStyle w:val="FootnoteText"/>
        <w:spacing w:after="0" w:line="240" w:lineRule="auto"/>
        <w:rPr>
          <w:rFonts w:asciiTheme="majorHAnsi" w:hAnsiTheme="majorHAnsi"/>
          <w:lang w:val="en-US"/>
        </w:rPr>
      </w:pPr>
      <w:r w:rsidRPr="00001923">
        <w:rPr>
          <w:rStyle w:val="FootnoteReference"/>
          <w:rFonts w:asciiTheme="majorHAnsi" w:hAnsiTheme="majorHAnsi"/>
        </w:rPr>
        <w:footnoteRef/>
      </w:r>
      <w:r w:rsidRPr="00001923">
        <w:rPr>
          <w:rFonts w:asciiTheme="majorHAnsi" w:hAnsiTheme="majorHAnsi"/>
        </w:rPr>
        <w:t xml:space="preserve"> HSE Mental Health Division (2016) </w:t>
      </w:r>
      <w:r w:rsidRPr="00001923">
        <w:rPr>
          <w:rFonts w:asciiTheme="majorHAnsi" w:hAnsiTheme="majorHAnsi"/>
          <w:i/>
        </w:rPr>
        <w:t xml:space="preserve">Delivering Specialist Mental Health Services 2014-2015, </w:t>
      </w:r>
      <w:r w:rsidRPr="00001923">
        <w:rPr>
          <w:rFonts w:asciiTheme="majorHAnsi" w:hAnsiTheme="majorHAnsi"/>
          <w:lang w:val="en-US"/>
        </w:rPr>
        <w:t>delivering specialist p. 59</w:t>
      </w:r>
      <w:r w:rsidR="00C67BA0">
        <w:rPr>
          <w:rFonts w:asciiTheme="majorHAnsi" w:hAnsiTheme="majorHAnsi"/>
          <w:lang w:val="en-US"/>
        </w:rPr>
        <w:t>.</w:t>
      </w:r>
    </w:p>
  </w:footnote>
  <w:footnote w:id="29">
    <w:p w14:paraId="18D2A8CD" w14:textId="00FA0BEF" w:rsidR="000E7104" w:rsidRPr="00772999" w:rsidRDefault="000E7104" w:rsidP="002A1DEE">
      <w:pPr>
        <w:pStyle w:val="FootnoteText"/>
        <w:spacing w:after="0" w:line="240" w:lineRule="auto"/>
        <w:rPr>
          <w:lang w:val="en-US"/>
        </w:rPr>
      </w:pPr>
      <w:r w:rsidRPr="00001923">
        <w:rPr>
          <w:rStyle w:val="FootnoteReference"/>
          <w:rFonts w:asciiTheme="majorHAnsi" w:hAnsiTheme="majorHAnsi"/>
        </w:rPr>
        <w:footnoteRef/>
      </w:r>
      <w:r w:rsidRPr="00001923">
        <w:rPr>
          <w:rFonts w:asciiTheme="majorHAnsi" w:hAnsiTheme="majorHAnsi"/>
        </w:rPr>
        <w:t xml:space="preserve"> Colm McDonald et al (2015) </w:t>
      </w:r>
      <w:r w:rsidRPr="00001923">
        <w:rPr>
          <w:rFonts w:asciiTheme="majorHAnsi" w:hAnsiTheme="majorHAnsi"/>
          <w:i/>
        </w:rPr>
        <w:t>A pe</w:t>
      </w:r>
      <w:r w:rsidR="002A1DEE">
        <w:rPr>
          <w:rFonts w:asciiTheme="majorHAnsi" w:hAnsiTheme="majorHAnsi"/>
          <w:i/>
        </w:rPr>
        <w:t>r</w:t>
      </w:r>
      <w:r w:rsidRPr="00001923">
        <w:rPr>
          <w:rFonts w:asciiTheme="majorHAnsi" w:hAnsiTheme="majorHAnsi"/>
          <w:i/>
        </w:rPr>
        <w:t xml:space="preserve">spective evaluation of the operation and effects of the Mental </w:t>
      </w:r>
      <w:r w:rsidR="002A1DEE">
        <w:rPr>
          <w:rFonts w:asciiTheme="majorHAnsi" w:hAnsiTheme="majorHAnsi"/>
          <w:i/>
        </w:rPr>
        <w:t>Health</w:t>
      </w:r>
      <w:r w:rsidRPr="00001923">
        <w:rPr>
          <w:rFonts w:asciiTheme="majorHAnsi" w:hAnsiTheme="majorHAnsi"/>
          <w:i/>
        </w:rPr>
        <w:t xml:space="preserve"> Act 20</w:t>
      </w:r>
      <w:r w:rsidR="00C67BA0">
        <w:rPr>
          <w:rFonts w:asciiTheme="majorHAnsi" w:hAnsiTheme="majorHAnsi"/>
          <w:i/>
        </w:rPr>
        <w:t>0</w:t>
      </w:r>
      <w:r w:rsidRPr="00001923">
        <w:rPr>
          <w:rFonts w:asciiTheme="majorHAnsi" w:hAnsiTheme="majorHAnsi"/>
          <w:i/>
        </w:rPr>
        <w:t>1 from the viewpoints of service users and hea</w:t>
      </w:r>
      <w:r w:rsidR="00C67BA0">
        <w:rPr>
          <w:rFonts w:asciiTheme="majorHAnsi" w:hAnsiTheme="majorHAnsi"/>
          <w:i/>
        </w:rPr>
        <w:t>l</w:t>
      </w:r>
      <w:r w:rsidRPr="00001923">
        <w:rPr>
          <w:rFonts w:asciiTheme="majorHAnsi" w:hAnsiTheme="majorHAnsi"/>
          <w:i/>
        </w:rPr>
        <w:t xml:space="preserve">th professionals, </w:t>
      </w:r>
      <w:r w:rsidRPr="00001923">
        <w:rPr>
          <w:rFonts w:asciiTheme="majorHAnsi" w:hAnsiTheme="majorHAnsi"/>
        </w:rPr>
        <w:t>(College of Medicine, Nursing and Health Sciences, NUI Galway), pp. 120-123</w:t>
      </w:r>
      <w:r w:rsidR="00C67BA0">
        <w:rPr>
          <w:rFonts w:asciiTheme="majorHAnsi" w:hAnsiTheme="majorHAnsi"/>
        </w:rPr>
        <w:t>.</w:t>
      </w:r>
    </w:p>
  </w:footnote>
  <w:footnote w:id="30">
    <w:p w14:paraId="64A281BC" w14:textId="1F833ED1" w:rsidR="000E7104" w:rsidRPr="00001923" w:rsidRDefault="000E7104" w:rsidP="002A1DEE">
      <w:pPr>
        <w:pStyle w:val="FootnoteText"/>
        <w:spacing w:after="0" w:line="240" w:lineRule="auto"/>
        <w:rPr>
          <w:rFonts w:asciiTheme="majorHAnsi" w:hAnsiTheme="majorHAnsi"/>
          <w:lang w:val="en-US"/>
        </w:rPr>
      </w:pPr>
      <w:r w:rsidRPr="00001923">
        <w:rPr>
          <w:rStyle w:val="FootnoteReference"/>
          <w:rFonts w:asciiTheme="majorHAnsi" w:hAnsiTheme="majorHAnsi"/>
        </w:rPr>
        <w:footnoteRef/>
      </w:r>
      <w:r w:rsidRPr="00001923">
        <w:rPr>
          <w:rFonts w:asciiTheme="majorHAnsi" w:hAnsiTheme="majorHAnsi"/>
        </w:rPr>
        <w:t xml:space="preserve"> HSE Mental Health Division (2016) </w:t>
      </w:r>
      <w:r w:rsidRPr="00001923">
        <w:rPr>
          <w:rFonts w:asciiTheme="majorHAnsi" w:hAnsiTheme="majorHAnsi"/>
          <w:i/>
        </w:rPr>
        <w:t xml:space="preserve">Delivering Specialist Mental Health Services 2014-2015, </w:t>
      </w:r>
      <w:r w:rsidRPr="00001923">
        <w:rPr>
          <w:rFonts w:asciiTheme="majorHAnsi" w:hAnsiTheme="majorHAnsi"/>
          <w:lang w:val="en-US"/>
        </w:rPr>
        <w:t>delivering specialist p. 58</w:t>
      </w:r>
      <w:r w:rsidR="00C67BA0">
        <w:rPr>
          <w:rFonts w:asciiTheme="majorHAnsi" w:hAnsiTheme="majorHAnsi"/>
          <w:lang w:val="en-US"/>
        </w:rPr>
        <w:t>.</w:t>
      </w:r>
    </w:p>
  </w:footnote>
  <w:footnote w:id="31">
    <w:p w14:paraId="2E8EDC21" w14:textId="4B0E47D7" w:rsidR="006D330E" w:rsidRPr="006D330E" w:rsidRDefault="006D330E" w:rsidP="006D330E">
      <w:pPr>
        <w:widowControl w:val="0"/>
        <w:autoSpaceDE w:val="0"/>
        <w:autoSpaceDN w:val="0"/>
        <w:adjustRightInd w:val="0"/>
        <w:spacing w:after="0" w:line="240" w:lineRule="auto"/>
        <w:jc w:val="both"/>
        <w:rPr>
          <w:rFonts w:ascii="Avenir Next Regular" w:hAnsi="Avenir Next Regular"/>
          <w:sz w:val="24"/>
          <w:szCs w:val="24"/>
          <w:lang w:val="en-US"/>
        </w:rPr>
      </w:pPr>
      <w:r>
        <w:rPr>
          <w:rStyle w:val="FootnoteReference"/>
        </w:rPr>
        <w:footnoteRef/>
      </w:r>
      <w:r>
        <w:t xml:space="preserve"> </w:t>
      </w:r>
      <w:r w:rsidRPr="006D330E">
        <w:rPr>
          <w:i/>
          <w:sz w:val="20"/>
          <w:szCs w:val="20"/>
        </w:rPr>
        <w:t>Report of the Expert Group on the Review of the Mental Health Act 2001</w:t>
      </w:r>
      <w:r w:rsidRPr="006D330E">
        <w:rPr>
          <w:sz w:val="20"/>
          <w:szCs w:val="20"/>
        </w:rPr>
        <w:t xml:space="preserve"> (Dublin: Department of Health, 2015) p. 28.</w:t>
      </w:r>
    </w:p>
  </w:footnote>
  <w:footnote w:id="32">
    <w:p w14:paraId="4957EB27" w14:textId="77777777" w:rsidR="000E7104" w:rsidRPr="00AB6F24" w:rsidRDefault="000E7104" w:rsidP="002A1DEE">
      <w:pPr>
        <w:spacing w:after="0" w:line="240" w:lineRule="auto"/>
        <w:rPr>
          <w:rFonts w:asciiTheme="majorHAnsi" w:hAnsiTheme="majorHAnsi"/>
          <w:sz w:val="20"/>
          <w:szCs w:val="20"/>
        </w:rPr>
      </w:pPr>
      <w:r w:rsidRPr="00670879">
        <w:rPr>
          <w:rStyle w:val="FootnoteReference"/>
          <w:rFonts w:asciiTheme="majorHAnsi" w:hAnsiTheme="majorHAnsi"/>
          <w:sz w:val="20"/>
          <w:szCs w:val="20"/>
        </w:rPr>
        <w:footnoteRef/>
      </w:r>
      <w:r w:rsidRPr="00670879">
        <w:rPr>
          <w:rFonts w:asciiTheme="majorHAnsi" w:hAnsiTheme="majorHAnsi"/>
          <w:sz w:val="20"/>
          <w:szCs w:val="20"/>
        </w:rPr>
        <w:t xml:space="preserve"> The Assisted Decision Making Capacity Act provides for substitute decision making in the form of a court appointed Decision Making Representative </w:t>
      </w:r>
      <w:r w:rsidRPr="00670879">
        <w:rPr>
          <w:rFonts w:asciiTheme="majorHAnsi" w:eastAsia="Times New Roman" w:hAnsiTheme="majorHAnsi" w:cs="Times New Roman"/>
          <w:sz w:val="20"/>
          <w:szCs w:val="20"/>
        </w:rPr>
        <w:t>where it is believed a person lacks capacity to such an extent that they require decisions to be made on their behalf entirely by someone else.</w:t>
      </w:r>
    </w:p>
  </w:footnote>
  <w:footnote w:id="33">
    <w:p w14:paraId="4CE5198C" w14:textId="7FE6F031" w:rsidR="000E7104" w:rsidRPr="00772999" w:rsidRDefault="000E7104" w:rsidP="002A1DEE">
      <w:pPr>
        <w:pStyle w:val="FootnoteText"/>
        <w:spacing w:after="0" w:line="240" w:lineRule="auto"/>
        <w:rPr>
          <w:lang w:val="en-US"/>
        </w:rPr>
      </w:pPr>
      <w:r w:rsidRPr="00001923">
        <w:rPr>
          <w:rStyle w:val="FootnoteReference"/>
          <w:rFonts w:asciiTheme="majorHAnsi" w:hAnsiTheme="majorHAnsi"/>
        </w:rPr>
        <w:footnoteRef/>
      </w:r>
      <w:r w:rsidRPr="00001923">
        <w:rPr>
          <w:rFonts w:asciiTheme="majorHAnsi" w:hAnsiTheme="majorHAnsi"/>
        </w:rPr>
        <w:t xml:space="preserve"> </w:t>
      </w:r>
      <w:r>
        <w:rPr>
          <w:rFonts w:asciiTheme="majorHAnsi" w:hAnsiTheme="majorHAnsi"/>
        </w:rPr>
        <w:t xml:space="preserve">Mental Health Commission, </w:t>
      </w:r>
      <w:r>
        <w:rPr>
          <w:rFonts w:asciiTheme="majorHAnsi" w:hAnsiTheme="majorHAnsi"/>
          <w:i/>
        </w:rPr>
        <w:t xml:space="preserve">Annual Report 2015, </w:t>
      </w:r>
      <w:r w:rsidRPr="00001923">
        <w:rPr>
          <w:rFonts w:asciiTheme="majorHAnsi" w:hAnsiTheme="majorHAnsi"/>
          <w:lang w:val="en-US"/>
        </w:rPr>
        <w:t>P. 61</w:t>
      </w:r>
      <w:r w:rsidR="00C67BA0">
        <w:rPr>
          <w:rFonts w:asciiTheme="majorHAnsi" w:hAnsiTheme="majorHAnsi"/>
          <w:lang w:val="en-US"/>
        </w:rPr>
        <w:t>.</w:t>
      </w:r>
    </w:p>
  </w:footnote>
  <w:footnote w:id="34">
    <w:p w14:paraId="7FF8EDFE" w14:textId="77777777" w:rsidR="006D330E" w:rsidRPr="001669F1" w:rsidRDefault="006D330E" w:rsidP="006D330E">
      <w:pPr>
        <w:pStyle w:val="FootnoteText"/>
        <w:rPr>
          <w:lang w:val="en-US"/>
        </w:rPr>
      </w:pPr>
      <w:r>
        <w:rPr>
          <w:rStyle w:val="FootnoteReference"/>
        </w:rPr>
        <w:footnoteRef/>
      </w:r>
      <w:r>
        <w:t xml:space="preserve"> </w:t>
      </w:r>
      <w:r w:rsidRPr="008532FA">
        <w:t>Mental Health (Amendment) Act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24486" w14:textId="77777777" w:rsidR="0002795A" w:rsidRDefault="0002795A">
    <w:pPr>
      <w:pStyle w:val="Header"/>
    </w:pPr>
  </w:p>
  <w:p w14:paraId="7E3B97F3" w14:textId="77777777" w:rsidR="0002795A" w:rsidRDefault="0002795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605CB" w14:textId="77777777" w:rsidR="0002795A" w:rsidRDefault="0002795A">
    <w:pPr>
      <w:pStyle w:val="Header"/>
    </w:pPr>
  </w:p>
  <w:p w14:paraId="42E9037B" w14:textId="77777777" w:rsidR="0002795A" w:rsidRDefault="0002795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A8C87" w14:textId="77777777" w:rsidR="0002795A" w:rsidRDefault="0002795A">
    <w:pPr>
      <w:pStyle w:val="Header"/>
    </w:pPr>
  </w:p>
  <w:p w14:paraId="1AFDF8D4" w14:textId="77777777" w:rsidR="0002795A" w:rsidRDefault="0002795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13319"/>
    <w:multiLevelType w:val="hybridMultilevel"/>
    <w:tmpl w:val="F2CE68C8"/>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230B0921"/>
    <w:multiLevelType w:val="hybridMultilevel"/>
    <w:tmpl w:val="D63C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612A04"/>
    <w:multiLevelType w:val="hybridMultilevel"/>
    <w:tmpl w:val="8DB4D17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5C934C04"/>
    <w:multiLevelType w:val="hybridMultilevel"/>
    <w:tmpl w:val="E3A272E2"/>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5F173A41"/>
    <w:multiLevelType w:val="hybridMultilevel"/>
    <w:tmpl w:val="E3A272E2"/>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6E9920E0"/>
    <w:multiLevelType w:val="hybridMultilevel"/>
    <w:tmpl w:val="B990556C"/>
    <w:lvl w:ilvl="0" w:tplc="80B40160">
      <w:start w:val="1"/>
      <w:numFmt w:val="decimal"/>
      <w:lvlText w:val="5.%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2"/>
  </w:num>
  <w:num w:numId="5">
    <w:abstractNumId w:val="3"/>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E13"/>
    <w:rsid w:val="000045E5"/>
    <w:rsid w:val="0001013C"/>
    <w:rsid w:val="000102AE"/>
    <w:rsid w:val="000112D1"/>
    <w:rsid w:val="00020FB2"/>
    <w:rsid w:val="0002795A"/>
    <w:rsid w:val="000314D4"/>
    <w:rsid w:val="00037B56"/>
    <w:rsid w:val="00041509"/>
    <w:rsid w:val="000433F1"/>
    <w:rsid w:val="000516A4"/>
    <w:rsid w:val="00056111"/>
    <w:rsid w:val="00056E1B"/>
    <w:rsid w:val="00061B0B"/>
    <w:rsid w:val="000620F3"/>
    <w:rsid w:val="00062251"/>
    <w:rsid w:val="0006607D"/>
    <w:rsid w:val="0007066D"/>
    <w:rsid w:val="000734B0"/>
    <w:rsid w:val="0008044A"/>
    <w:rsid w:val="00084286"/>
    <w:rsid w:val="000842FF"/>
    <w:rsid w:val="000A08B0"/>
    <w:rsid w:val="000A4296"/>
    <w:rsid w:val="000B1071"/>
    <w:rsid w:val="000B7928"/>
    <w:rsid w:val="000C4BE9"/>
    <w:rsid w:val="000C78B1"/>
    <w:rsid w:val="000E7104"/>
    <w:rsid w:val="00107CBD"/>
    <w:rsid w:val="001223AA"/>
    <w:rsid w:val="00124757"/>
    <w:rsid w:val="00125B69"/>
    <w:rsid w:val="00133753"/>
    <w:rsid w:val="0013514C"/>
    <w:rsid w:val="00140E18"/>
    <w:rsid w:val="001413F5"/>
    <w:rsid w:val="00147116"/>
    <w:rsid w:val="00154B0F"/>
    <w:rsid w:val="001552E6"/>
    <w:rsid w:val="00162E5D"/>
    <w:rsid w:val="0017097A"/>
    <w:rsid w:val="00184552"/>
    <w:rsid w:val="001A083A"/>
    <w:rsid w:val="001C6A55"/>
    <w:rsid w:val="001C73EC"/>
    <w:rsid w:val="001D0BF5"/>
    <w:rsid w:val="001D4BE1"/>
    <w:rsid w:val="001E6F7F"/>
    <w:rsid w:val="001E7614"/>
    <w:rsid w:val="00200007"/>
    <w:rsid w:val="00217077"/>
    <w:rsid w:val="00227F6A"/>
    <w:rsid w:val="00250B06"/>
    <w:rsid w:val="00271694"/>
    <w:rsid w:val="00271814"/>
    <w:rsid w:val="00280E7F"/>
    <w:rsid w:val="0028218C"/>
    <w:rsid w:val="00285172"/>
    <w:rsid w:val="00285FDF"/>
    <w:rsid w:val="0028731E"/>
    <w:rsid w:val="002A1DEE"/>
    <w:rsid w:val="002B5EFB"/>
    <w:rsid w:val="002C2E11"/>
    <w:rsid w:val="002C55D6"/>
    <w:rsid w:val="002E2E8A"/>
    <w:rsid w:val="002F25C9"/>
    <w:rsid w:val="00304FEB"/>
    <w:rsid w:val="003142DE"/>
    <w:rsid w:val="003162F1"/>
    <w:rsid w:val="0031742E"/>
    <w:rsid w:val="003175B7"/>
    <w:rsid w:val="00330786"/>
    <w:rsid w:val="00333452"/>
    <w:rsid w:val="003470B1"/>
    <w:rsid w:val="00347123"/>
    <w:rsid w:val="003507A9"/>
    <w:rsid w:val="00350F49"/>
    <w:rsid w:val="00367841"/>
    <w:rsid w:val="003826BA"/>
    <w:rsid w:val="003846E1"/>
    <w:rsid w:val="003946C7"/>
    <w:rsid w:val="00396D7F"/>
    <w:rsid w:val="003A6A24"/>
    <w:rsid w:val="003B1C92"/>
    <w:rsid w:val="003B39B4"/>
    <w:rsid w:val="003B436A"/>
    <w:rsid w:val="003E14F3"/>
    <w:rsid w:val="003F1EA2"/>
    <w:rsid w:val="003F43F4"/>
    <w:rsid w:val="0040330B"/>
    <w:rsid w:val="00416934"/>
    <w:rsid w:val="004351C5"/>
    <w:rsid w:val="00437BA1"/>
    <w:rsid w:val="0044038C"/>
    <w:rsid w:val="004420DA"/>
    <w:rsid w:val="00444F37"/>
    <w:rsid w:val="00446380"/>
    <w:rsid w:val="00463353"/>
    <w:rsid w:val="004723E4"/>
    <w:rsid w:val="00473F0B"/>
    <w:rsid w:val="004766E9"/>
    <w:rsid w:val="004811C4"/>
    <w:rsid w:val="00485B6D"/>
    <w:rsid w:val="004927E4"/>
    <w:rsid w:val="00492ECC"/>
    <w:rsid w:val="004A072B"/>
    <w:rsid w:val="004A7813"/>
    <w:rsid w:val="004A7E1A"/>
    <w:rsid w:val="004C578D"/>
    <w:rsid w:val="004C7E62"/>
    <w:rsid w:val="004D054F"/>
    <w:rsid w:val="004E6EB6"/>
    <w:rsid w:val="00520AEB"/>
    <w:rsid w:val="00522572"/>
    <w:rsid w:val="00524100"/>
    <w:rsid w:val="00541742"/>
    <w:rsid w:val="00552943"/>
    <w:rsid w:val="00553088"/>
    <w:rsid w:val="0056065A"/>
    <w:rsid w:val="00564B7E"/>
    <w:rsid w:val="00584A34"/>
    <w:rsid w:val="0059018D"/>
    <w:rsid w:val="005A66E2"/>
    <w:rsid w:val="005B3A19"/>
    <w:rsid w:val="005C22C8"/>
    <w:rsid w:val="005C2FED"/>
    <w:rsid w:val="005C78DD"/>
    <w:rsid w:val="005D5761"/>
    <w:rsid w:val="005E68BC"/>
    <w:rsid w:val="0061621E"/>
    <w:rsid w:val="00623D0A"/>
    <w:rsid w:val="0063650B"/>
    <w:rsid w:val="00640904"/>
    <w:rsid w:val="006439F7"/>
    <w:rsid w:val="00643A32"/>
    <w:rsid w:val="006520C4"/>
    <w:rsid w:val="00657499"/>
    <w:rsid w:val="00660008"/>
    <w:rsid w:val="00663FE5"/>
    <w:rsid w:val="00664469"/>
    <w:rsid w:val="006651E2"/>
    <w:rsid w:val="00666693"/>
    <w:rsid w:val="0068321B"/>
    <w:rsid w:val="00697036"/>
    <w:rsid w:val="006A46FE"/>
    <w:rsid w:val="006A53CB"/>
    <w:rsid w:val="006B1824"/>
    <w:rsid w:val="006C4826"/>
    <w:rsid w:val="006D330E"/>
    <w:rsid w:val="007030BE"/>
    <w:rsid w:val="00705E35"/>
    <w:rsid w:val="0073664E"/>
    <w:rsid w:val="00757FBB"/>
    <w:rsid w:val="0076240E"/>
    <w:rsid w:val="00762680"/>
    <w:rsid w:val="00763490"/>
    <w:rsid w:val="007666EC"/>
    <w:rsid w:val="00774B47"/>
    <w:rsid w:val="0077633C"/>
    <w:rsid w:val="00784751"/>
    <w:rsid w:val="00787128"/>
    <w:rsid w:val="00791780"/>
    <w:rsid w:val="00796DC0"/>
    <w:rsid w:val="00797F8B"/>
    <w:rsid w:val="007B7123"/>
    <w:rsid w:val="007D2013"/>
    <w:rsid w:val="007E717D"/>
    <w:rsid w:val="007F4178"/>
    <w:rsid w:val="00812FE4"/>
    <w:rsid w:val="00814D4A"/>
    <w:rsid w:val="0083140D"/>
    <w:rsid w:val="00831FDC"/>
    <w:rsid w:val="00861A41"/>
    <w:rsid w:val="00876D34"/>
    <w:rsid w:val="00884BF8"/>
    <w:rsid w:val="00894407"/>
    <w:rsid w:val="00897BEF"/>
    <w:rsid w:val="008A2906"/>
    <w:rsid w:val="008B0CF7"/>
    <w:rsid w:val="008C36E6"/>
    <w:rsid w:val="008E536A"/>
    <w:rsid w:val="008F182E"/>
    <w:rsid w:val="008F55DC"/>
    <w:rsid w:val="00906ACB"/>
    <w:rsid w:val="00915BAE"/>
    <w:rsid w:val="009252B0"/>
    <w:rsid w:val="00935EDC"/>
    <w:rsid w:val="00946E13"/>
    <w:rsid w:val="00954971"/>
    <w:rsid w:val="00955644"/>
    <w:rsid w:val="00972C50"/>
    <w:rsid w:val="00974BB3"/>
    <w:rsid w:val="00975427"/>
    <w:rsid w:val="00980348"/>
    <w:rsid w:val="0098041B"/>
    <w:rsid w:val="00981AE2"/>
    <w:rsid w:val="00992D64"/>
    <w:rsid w:val="009B2E41"/>
    <w:rsid w:val="009B5B21"/>
    <w:rsid w:val="009B5E6A"/>
    <w:rsid w:val="009B70BF"/>
    <w:rsid w:val="009E47F3"/>
    <w:rsid w:val="009F43AA"/>
    <w:rsid w:val="009F4BE3"/>
    <w:rsid w:val="00A00525"/>
    <w:rsid w:val="00A05ED7"/>
    <w:rsid w:val="00A3115E"/>
    <w:rsid w:val="00A367F6"/>
    <w:rsid w:val="00A45B52"/>
    <w:rsid w:val="00A5300B"/>
    <w:rsid w:val="00A67EEB"/>
    <w:rsid w:val="00A969A0"/>
    <w:rsid w:val="00AA628B"/>
    <w:rsid w:val="00AB2451"/>
    <w:rsid w:val="00AB3641"/>
    <w:rsid w:val="00AC0D0D"/>
    <w:rsid w:val="00AC386A"/>
    <w:rsid w:val="00AD4978"/>
    <w:rsid w:val="00AE7436"/>
    <w:rsid w:val="00AF23CB"/>
    <w:rsid w:val="00AF6206"/>
    <w:rsid w:val="00B12248"/>
    <w:rsid w:val="00B1285F"/>
    <w:rsid w:val="00B22FB2"/>
    <w:rsid w:val="00B32496"/>
    <w:rsid w:val="00B3330C"/>
    <w:rsid w:val="00B348A2"/>
    <w:rsid w:val="00B37FD8"/>
    <w:rsid w:val="00B50411"/>
    <w:rsid w:val="00B575DE"/>
    <w:rsid w:val="00B630F4"/>
    <w:rsid w:val="00B9187B"/>
    <w:rsid w:val="00BA57DB"/>
    <w:rsid w:val="00BD066D"/>
    <w:rsid w:val="00BD2C6D"/>
    <w:rsid w:val="00BD4026"/>
    <w:rsid w:val="00BD65E1"/>
    <w:rsid w:val="00BE3FDF"/>
    <w:rsid w:val="00BE4D6A"/>
    <w:rsid w:val="00C30247"/>
    <w:rsid w:val="00C41191"/>
    <w:rsid w:val="00C42EDA"/>
    <w:rsid w:val="00C44870"/>
    <w:rsid w:val="00C60E56"/>
    <w:rsid w:val="00C65089"/>
    <w:rsid w:val="00C66C0F"/>
    <w:rsid w:val="00C67BA0"/>
    <w:rsid w:val="00C92AEE"/>
    <w:rsid w:val="00C934C3"/>
    <w:rsid w:val="00C94671"/>
    <w:rsid w:val="00CA0368"/>
    <w:rsid w:val="00CA44FC"/>
    <w:rsid w:val="00CA78D5"/>
    <w:rsid w:val="00CC77A8"/>
    <w:rsid w:val="00CD0216"/>
    <w:rsid w:val="00CD6F67"/>
    <w:rsid w:val="00CE58BE"/>
    <w:rsid w:val="00CF516E"/>
    <w:rsid w:val="00CF65B3"/>
    <w:rsid w:val="00D208A3"/>
    <w:rsid w:val="00D235CB"/>
    <w:rsid w:val="00D25945"/>
    <w:rsid w:val="00D359BA"/>
    <w:rsid w:val="00D3726F"/>
    <w:rsid w:val="00D70BE3"/>
    <w:rsid w:val="00D87E06"/>
    <w:rsid w:val="00D9420C"/>
    <w:rsid w:val="00DA5594"/>
    <w:rsid w:val="00DA7FC8"/>
    <w:rsid w:val="00DC0DD8"/>
    <w:rsid w:val="00DC658B"/>
    <w:rsid w:val="00DE2F44"/>
    <w:rsid w:val="00DE3241"/>
    <w:rsid w:val="00DF24CA"/>
    <w:rsid w:val="00DF77AF"/>
    <w:rsid w:val="00E16682"/>
    <w:rsid w:val="00E21CA1"/>
    <w:rsid w:val="00E3440F"/>
    <w:rsid w:val="00E50861"/>
    <w:rsid w:val="00E514B3"/>
    <w:rsid w:val="00E626BC"/>
    <w:rsid w:val="00E920B2"/>
    <w:rsid w:val="00EA5E7C"/>
    <w:rsid w:val="00EB571A"/>
    <w:rsid w:val="00ED3C45"/>
    <w:rsid w:val="00EE4D72"/>
    <w:rsid w:val="00EF20A2"/>
    <w:rsid w:val="00EF557E"/>
    <w:rsid w:val="00F20062"/>
    <w:rsid w:val="00F305E9"/>
    <w:rsid w:val="00F35927"/>
    <w:rsid w:val="00F43C8F"/>
    <w:rsid w:val="00F7116C"/>
    <w:rsid w:val="00F7278F"/>
    <w:rsid w:val="00F73055"/>
    <w:rsid w:val="00F744A1"/>
    <w:rsid w:val="00F7655D"/>
    <w:rsid w:val="00F830CF"/>
    <w:rsid w:val="00F84E1C"/>
    <w:rsid w:val="00F9547E"/>
    <w:rsid w:val="00FD287A"/>
    <w:rsid w:val="00FD2C60"/>
    <w:rsid w:val="00FD3C33"/>
    <w:rsid w:val="00FD4A05"/>
    <w:rsid w:val="00FF314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196069"/>
  <w15:chartTrackingRefBased/>
  <w15:docId w15:val="{DDDC240F-41A2-499E-AB39-E073927C4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46E13"/>
    <w:pPr>
      <w:spacing w:before="100" w:beforeAutospacing="1" w:after="100" w:afterAutospacing="1" w:line="240" w:lineRule="auto"/>
      <w:outlineLvl w:val="0"/>
    </w:pPr>
    <w:rPr>
      <w:rFonts w:ascii="Times New Roman" w:eastAsia="Times New Roman" w:hAnsi="Times New Roman" w:cs="Times New Roman"/>
      <w:b/>
      <w:bCs/>
      <w:color w:val="0087A5"/>
      <w:kern w:val="36"/>
      <w:lang w:val="en-US"/>
    </w:rPr>
  </w:style>
  <w:style w:type="paragraph" w:styleId="Heading2">
    <w:name w:val="heading 2"/>
    <w:basedOn w:val="Normal"/>
    <w:next w:val="Normal"/>
    <w:link w:val="Heading2Char"/>
    <w:uiPriority w:val="9"/>
    <w:unhideWhenUsed/>
    <w:qFormat/>
    <w:rsid w:val="00946E13"/>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946E13"/>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E13"/>
    <w:rPr>
      <w:rFonts w:ascii="Times New Roman" w:eastAsia="Times New Roman" w:hAnsi="Times New Roman" w:cs="Times New Roman"/>
      <w:b/>
      <w:bCs/>
      <w:color w:val="0087A5"/>
      <w:kern w:val="36"/>
      <w:lang w:val="en-US"/>
    </w:rPr>
  </w:style>
  <w:style w:type="character" w:customStyle="1" w:styleId="Heading2Char">
    <w:name w:val="Heading 2 Char"/>
    <w:basedOn w:val="DefaultParagraphFont"/>
    <w:link w:val="Heading2"/>
    <w:uiPriority w:val="9"/>
    <w:rsid w:val="00946E13"/>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946E13"/>
    <w:rPr>
      <w:rFonts w:asciiTheme="majorHAnsi" w:eastAsiaTheme="majorEastAsia" w:hAnsiTheme="majorHAnsi" w:cstheme="majorBidi"/>
      <w:b/>
      <w:bCs/>
      <w:color w:val="5B9BD5" w:themeColor="accent1"/>
    </w:rPr>
  </w:style>
  <w:style w:type="paragraph" w:styleId="ListParagraph">
    <w:name w:val="List Paragraph"/>
    <w:basedOn w:val="Normal"/>
    <w:uiPriority w:val="34"/>
    <w:qFormat/>
    <w:rsid w:val="00946E13"/>
    <w:pPr>
      <w:ind w:left="720"/>
      <w:contextualSpacing/>
    </w:pPr>
  </w:style>
  <w:style w:type="character" w:customStyle="1" w:styleId="BalloonTextChar">
    <w:name w:val="Balloon Text Char"/>
    <w:basedOn w:val="DefaultParagraphFont"/>
    <w:link w:val="BalloonText"/>
    <w:uiPriority w:val="99"/>
    <w:semiHidden/>
    <w:rsid w:val="00946E13"/>
    <w:rPr>
      <w:rFonts w:ascii="Tahoma" w:eastAsia="Calibri" w:hAnsi="Tahoma" w:cs="Tahoma"/>
      <w:sz w:val="16"/>
      <w:szCs w:val="16"/>
    </w:rPr>
  </w:style>
  <w:style w:type="paragraph" w:styleId="BalloonText">
    <w:name w:val="Balloon Text"/>
    <w:basedOn w:val="Normal"/>
    <w:link w:val="BalloonTextChar"/>
    <w:uiPriority w:val="99"/>
    <w:semiHidden/>
    <w:unhideWhenUsed/>
    <w:rsid w:val="00946E13"/>
    <w:pPr>
      <w:spacing w:after="0" w:line="240" w:lineRule="auto"/>
    </w:pPr>
    <w:rPr>
      <w:rFonts w:ascii="Tahoma" w:eastAsia="Calibri" w:hAnsi="Tahoma" w:cs="Tahoma"/>
      <w:sz w:val="16"/>
      <w:szCs w:val="16"/>
    </w:rPr>
  </w:style>
  <w:style w:type="paragraph" w:styleId="Header">
    <w:name w:val="header"/>
    <w:basedOn w:val="Normal"/>
    <w:link w:val="HeaderChar"/>
    <w:uiPriority w:val="99"/>
    <w:unhideWhenUsed/>
    <w:rsid w:val="00946E13"/>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946E13"/>
    <w:rPr>
      <w:rFonts w:ascii="Calibri" w:eastAsia="Calibri" w:hAnsi="Calibri" w:cs="Times New Roman"/>
    </w:rPr>
  </w:style>
  <w:style w:type="paragraph" w:styleId="Footer">
    <w:name w:val="footer"/>
    <w:basedOn w:val="Normal"/>
    <w:link w:val="FooterChar"/>
    <w:uiPriority w:val="99"/>
    <w:unhideWhenUsed/>
    <w:rsid w:val="00946E13"/>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946E13"/>
    <w:rPr>
      <w:rFonts w:ascii="Calibri" w:eastAsia="Calibri" w:hAnsi="Calibri" w:cs="Times New Roman"/>
    </w:rPr>
  </w:style>
  <w:style w:type="paragraph" w:styleId="FootnoteText">
    <w:name w:val="footnote text"/>
    <w:aliases w:val="Footnote Text Char1,Footnote Text Char Char,Footnote Text Char1 Char Char,Footnote Text Char Char Char Char,Footnote Text Char1 Char Char Char Char,Footnote Text Char Char Char Char Char Char,Footnote Text Char Char1 Char Char,Char,Cha,5_G"/>
    <w:basedOn w:val="Normal"/>
    <w:link w:val="FootnoteTextChar"/>
    <w:uiPriority w:val="99"/>
    <w:unhideWhenUsed/>
    <w:qFormat/>
    <w:rsid w:val="00946E13"/>
    <w:pPr>
      <w:spacing w:after="200" w:line="276" w:lineRule="auto"/>
    </w:pPr>
    <w:rPr>
      <w:rFonts w:ascii="Calibri" w:eastAsia="Calibri" w:hAnsi="Calibri" w:cs="Times New Roman"/>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Text Char Char Char Char Char Char Char,Char Char"/>
    <w:basedOn w:val="DefaultParagraphFont"/>
    <w:link w:val="FootnoteText"/>
    <w:uiPriority w:val="99"/>
    <w:rsid w:val="00946E13"/>
    <w:rPr>
      <w:rFonts w:ascii="Calibri" w:eastAsia="Calibri" w:hAnsi="Calibri" w:cs="Times New Roman"/>
      <w:sz w:val="20"/>
      <w:szCs w:val="20"/>
    </w:rPr>
  </w:style>
  <w:style w:type="character" w:styleId="FootnoteReference">
    <w:name w:val="footnote reference"/>
    <w:aliases w:val="Footnote Refernece,Fußnotenzeichen_Raxen,4_G,Footnote"/>
    <w:basedOn w:val="DefaultParagraphFont"/>
    <w:uiPriority w:val="99"/>
    <w:unhideWhenUsed/>
    <w:qFormat/>
    <w:rsid w:val="00946E13"/>
    <w:rPr>
      <w:vertAlign w:val="superscript"/>
    </w:rPr>
  </w:style>
  <w:style w:type="character" w:styleId="Hyperlink">
    <w:name w:val="Hyperlink"/>
    <w:basedOn w:val="DefaultParagraphFont"/>
    <w:uiPriority w:val="99"/>
    <w:unhideWhenUsed/>
    <w:rsid w:val="00946E13"/>
    <w:rPr>
      <w:color w:val="0000FF"/>
      <w:u w:val="single"/>
    </w:rPr>
  </w:style>
  <w:style w:type="paragraph" w:customStyle="1" w:styleId="Default">
    <w:name w:val="Default"/>
    <w:rsid w:val="00946E13"/>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styleId="Strong">
    <w:name w:val="Strong"/>
    <w:basedOn w:val="DefaultParagraphFont"/>
    <w:uiPriority w:val="22"/>
    <w:qFormat/>
    <w:rsid w:val="00946E13"/>
    <w:rPr>
      <w:b/>
      <w:bCs/>
    </w:rPr>
  </w:style>
  <w:style w:type="paragraph" w:customStyle="1" w:styleId="ZnakChar">
    <w:name w:val="Znak Char"/>
    <w:basedOn w:val="Normal"/>
    <w:rsid w:val="00946E13"/>
    <w:pPr>
      <w:spacing w:after="0" w:line="240" w:lineRule="auto"/>
    </w:pPr>
    <w:rPr>
      <w:rFonts w:ascii="Times New Roman" w:eastAsia="MS Mincho" w:hAnsi="Times New Roman" w:cs="Times New Roman"/>
      <w:sz w:val="24"/>
      <w:szCs w:val="24"/>
      <w:lang w:val="pl-PL" w:eastAsia="pl-PL"/>
    </w:rPr>
  </w:style>
  <w:style w:type="paragraph" w:styleId="NormalWeb">
    <w:name w:val="Normal (Web)"/>
    <w:basedOn w:val="Normal"/>
    <w:uiPriority w:val="99"/>
    <w:unhideWhenUsed/>
    <w:rsid w:val="00946E13"/>
    <w:pPr>
      <w:spacing w:before="100" w:beforeAutospacing="1" w:after="100" w:afterAutospacing="1" w:line="360" w:lineRule="atLeast"/>
    </w:pPr>
    <w:rPr>
      <w:rFonts w:ascii="Times New Roman" w:eastAsia="Times New Roman" w:hAnsi="Times New Roman" w:cs="Times New Roman"/>
      <w:sz w:val="16"/>
      <w:szCs w:val="16"/>
      <w:lang w:val="en-US"/>
    </w:rPr>
  </w:style>
  <w:style w:type="character" w:customStyle="1" w:styleId="PlainTextChar">
    <w:name w:val="Plain Text Char"/>
    <w:basedOn w:val="DefaultParagraphFont"/>
    <w:link w:val="PlainText"/>
    <w:uiPriority w:val="99"/>
    <w:semiHidden/>
    <w:rsid w:val="00946E13"/>
    <w:rPr>
      <w:rFonts w:ascii="Courier New" w:eastAsia="Calibri" w:hAnsi="Courier New" w:cs="Courier New"/>
      <w:sz w:val="20"/>
      <w:szCs w:val="20"/>
      <w:lang w:val="en-US"/>
    </w:rPr>
  </w:style>
  <w:style w:type="paragraph" w:styleId="PlainText">
    <w:name w:val="Plain Text"/>
    <w:basedOn w:val="Normal"/>
    <w:link w:val="PlainTextChar"/>
    <w:uiPriority w:val="99"/>
    <w:semiHidden/>
    <w:unhideWhenUsed/>
    <w:rsid w:val="00946E13"/>
    <w:pPr>
      <w:spacing w:after="0" w:line="240" w:lineRule="auto"/>
    </w:pPr>
    <w:rPr>
      <w:rFonts w:ascii="Courier New" w:eastAsia="Calibri" w:hAnsi="Courier New" w:cs="Courier New"/>
      <w:sz w:val="20"/>
      <w:szCs w:val="20"/>
      <w:lang w:val="en-US"/>
    </w:rPr>
  </w:style>
  <w:style w:type="character" w:customStyle="1" w:styleId="googqs-tidbit1">
    <w:name w:val="goog_qs-tidbit1"/>
    <w:basedOn w:val="DefaultParagraphFont"/>
    <w:rsid w:val="00946E13"/>
    <w:rPr>
      <w:vanish w:val="0"/>
      <w:webHidden w:val="0"/>
      <w:specVanish w:val="0"/>
    </w:rPr>
  </w:style>
  <w:style w:type="character" w:customStyle="1" w:styleId="CommentTextChar">
    <w:name w:val="Comment Text Char"/>
    <w:basedOn w:val="DefaultParagraphFont"/>
    <w:link w:val="CommentText"/>
    <w:uiPriority w:val="99"/>
    <w:rsid w:val="00946E13"/>
    <w:rPr>
      <w:rFonts w:ascii="Calibri" w:eastAsia="Calibri" w:hAnsi="Calibri" w:cs="Times New Roman"/>
      <w:sz w:val="20"/>
      <w:szCs w:val="20"/>
    </w:rPr>
  </w:style>
  <w:style w:type="paragraph" w:styleId="CommentText">
    <w:name w:val="annotation text"/>
    <w:basedOn w:val="Normal"/>
    <w:link w:val="CommentTextChar"/>
    <w:uiPriority w:val="99"/>
    <w:unhideWhenUsed/>
    <w:rsid w:val="00946E13"/>
    <w:pPr>
      <w:spacing w:after="200" w:line="276" w:lineRule="auto"/>
    </w:pPr>
    <w:rPr>
      <w:rFonts w:ascii="Calibri" w:eastAsia="Calibri" w:hAnsi="Calibri" w:cs="Times New Roman"/>
      <w:sz w:val="20"/>
      <w:szCs w:val="20"/>
    </w:rPr>
  </w:style>
  <w:style w:type="character" w:customStyle="1" w:styleId="CommentSubjectChar">
    <w:name w:val="Comment Subject Char"/>
    <w:basedOn w:val="CommentTextChar"/>
    <w:link w:val="CommentSubject"/>
    <w:uiPriority w:val="99"/>
    <w:semiHidden/>
    <w:rsid w:val="00946E13"/>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946E13"/>
    <w:rPr>
      <w:b/>
      <w:bCs/>
    </w:rPr>
  </w:style>
  <w:style w:type="paragraph" w:customStyle="1" w:styleId="container">
    <w:name w:val="container"/>
    <w:basedOn w:val="Normal"/>
    <w:rsid w:val="00946E1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ate1">
    <w:name w:val="Date1"/>
    <w:basedOn w:val="DefaultParagraphFont"/>
    <w:rsid w:val="00946E13"/>
  </w:style>
  <w:style w:type="paragraph" w:customStyle="1" w:styleId="SingleTxtG">
    <w:name w:val="_ Single Txt_G"/>
    <w:basedOn w:val="Normal"/>
    <w:link w:val="SingleTxtGChar1"/>
    <w:qFormat/>
    <w:rsid w:val="00946E13"/>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1">
    <w:name w:val="_ Single Txt_G Char1"/>
    <w:link w:val="SingleTxtG"/>
    <w:rsid w:val="00946E13"/>
    <w:rPr>
      <w:rFonts w:ascii="Times New Roman" w:eastAsia="Times New Roman" w:hAnsi="Times New Roman" w:cs="Times New Roman"/>
      <w:sz w:val="20"/>
      <w:szCs w:val="20"/>
      <w:lang w:val="en-GB"/>
    </w:rPr>
  </w:style>
  <w:style w:type="paragraph" w:customStyle="1" w:styleId="H23G">
    <w:name w:val="_ H_2/3_G"/>
    <w:basedOn w:val="Normal"/>
    <w:next w:val="Normal"/>
    <w:rsid w:val="00946E1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LG">
    <w:name w:val="__S_L_G"/>
    <w:basedOn w:val="Normal"/>
    <w:next w:val="Normal"/>
    <w:rsid w:val="00946E13"/>
    <w:pPr>
      <w:keepNext/>
      <w:keepLines/>
      <w:suppressAutoHyphens/>
      <w:spacing w:before="240" w:after="240" w:line="580" w:lineRule="exact"/>
      <w:ind w:left="1134" w:right="1134"/>
    </w:pPr>
    <w:rPr>
      <w:rFonts w:ascii="Times New Roman" w:eastAsia="Times New Roman" w:hAnsi="Times New Roman" w:cs="Times New Roman"/>
      <w:b/>
      <w:sz w:val="56"/>
      <w:szCs w:val="20"/>
      <w:lang w:val="en-GB"/>
    </w:rPr>
  </w:style>
  <w:style w:type="character" w:customStyle="1" w:styleId="apple-converted-space">
    <w:name w:val="apple-converted-space"/>
    <w:basedOn w:val="DefaultParagraphFont"/>
    <w:rsid w:val="00946E13"/>
  </w:style>
  <w:style w:type="character" w:customStyle="1" w:styleId="hi">
    <w:name w:val="hi"/>
    <w:basedOn w:val="DefaultParagraphFont"/>
    <w:rsid w:val="00946E13"/>
  </w:style>
  <w:style w:type="paragraph" w:styleId="NoSpacing">
    <w:name w:val="No Spacing"/>
    <w:link w:val="NoSpacingChar"/>
    <w:uiPriority w:val="1"/>
    <w:qFormat/>
    <w:rsid w:val="00946E13"/>
    <w:pPr>
      <w:spacing w:after="0" w:line="240" w:lineRule="auto"/>
    </w:pPr>
    <w:rPr>
      <w:rFonts w:ascii="Calibri" w:hAnsi="Calibri" w:cs="Times New Roman"/>
    </w:rPr>
  </w:style>
  <w:style w:type="character" w:customStyle="1" w:styleId="NoSpacingChar">
    <w:name w:val="No Spacing Char"/>
    <w:basedOn w:val="DefaultParagraphFont"/>
    <w:link w:val="NoSpacing"/>
    <w:uiPriority w:val="1"/>
    <w:rsid w:val="00946E13"/>
    <w:rPr>
      <w:rFonts w:ascii="Calibri" w:hAnsi="Calibri" w:cs="Times New Roman"/>
    </w:rPr>
  </w:style>
  <w:style w:type="character" w:customStyle="1" w:styleId="EndnoteTextChar">
    <w:name w:val="Endnote Text Char"/>
    <w:basedOn w:val="DefaultParagraphFont"/>
    <w:link w:val="EndnoteText"/>
    <w:uiPriority w:val="99"/>
    <w:semiHidden/>
    <w:rsid w:val="00946E13"/>
    <w:rPr>
      <w:rFonts w:ascii="Calibri" w:hAnsi="Calibri" w:cs="Times New Roman"/>
      <w:sz w:val="20"/>
      <w:szCs w:val="20"/>
    </w:rPr>
  </w:style>
  <w:style w:type="paragraph" w:styleId="EndnoteText">
    <w:name w:val="endnote text"/>
    <w:basedOn w:val="Normal"/>
    <w:link w:val="EndnoteTextChar"/>
    <w:uiPriority w:val="99"/>
    <w:semiHidden/>
    <w:unhideWhenUsed/>
    <w:rsid w:val="00946E13"/>
    <w:pPr>
      <w:spacing w:after="0" w:line="240" w:lineRule="auto"/>
    </w:pPr>
    <w:rPr>
      <w:rFonts w:ascii="Calibri" w:hAnsi="Calibri" w:cs="Times New Roman"/>
      <w:sz w:val="20"/>
      <w:szCs w:val="20"/>
    </w:rPr>
  </w:style>
  <w:style w:type="paragraph" w:styleId="Caption">
    <w:name w:val="caption"/>
    <w:basedOn w:val="Normal"/>
    <w:next w:val="Normal"/>
    <w:uiPriority w:val="35"/>
    <w:unhideWhenUsed/>
    <w:qFormat/>
    <w:rsid w:val="00946E13"/>
    <w:pPr>
      <w:spacing w:after="200" w:line="240" w:lineRule="auto"/>
    </w:pPr>
    <w:rPr>
      <w:rFonts w:ascii="Calibri" w:hAnsi="Calibri" w:cs="Calibri"/>
      <w:b/>
      <w:bCs/>
      <w:color w:val="5B9BD5" w:themeColor="accent1"/>
      <w:sz w:val="18"/>
      <w:szCs w:val="18"/>
    </w:rPr>
  </w:style>
  <w:style w:type="paragraph" w:customStyle="1" w:styleId="speaker">
    <w:name w:val="speaker"/>
    <w:basedOn w:val="Normal"/>
    <w:rsid w:val="00946E1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946E13"/>
    <w:pPr>
      <w:spacing w:before="360" w:after="0" w:line="276" w:lineRule="auto"/>
    </w:pPr>
    <w:rPr>
      <w:rFonts w:asciiTheme="majorHAnsi" w:eastAsia="Calibri" w:hAnsiTheme="majorHAnsi" w:cs="Times New Roman"/>
      <w:b/>
      <w:bCs/>
      <w:caps/>
      <w:sz w:val="24"/>
      <w:szCs w:val="24"/>
    </w:rPr>
  </w:style>
  <w:style w:type="paragraph" w:styleId="TOC2">
    <w:name w:val="toc 2"/>
    <w:basedOn w:val="Normal"/>
    <w:next w:val="Normal"/>
    <w:autoRedefine/>
    <w:uiPriority w:val="39"/>
    <w:unhideWhenUsed/>
    <w:rsid w:val="00946E13"/>
    <w:pPr>
      <w:spacing w:before="240" w:after="0" w:line="276" w:lineRule="auto"/>
    </w:pPr>
    <w:rPr>
      <w:rFonts w:eastAsia="Calibri" w:cs="Times New Roman"/>
      <w:b/>
      <w:bCs/>
      <w:sz w:val="20"/>
      <w:szCs w:val="20"/>
    </w:rPr>
  </w:style>
  <w:style w:type="paragraph" w:styleId="TOC3">
    <w:name w:val="toc 3"/>
    <w:basedOn w:val="Normal"/>
    <w:next w:val="Normal"/>
    <w:autoRedefine/>
    <w:uiPriority w:val="39"/>
    <w:unhideWhenUsed/>
    <w:rsid w:val="00946E13"/>
    <w:pPr>
      <w:spacing w:after="0" w:line="276" w:lineRule="auto"/>
      <w:ind w:left="220"/>
    </w:pPr>
    <w:rPr>
      <w:rFonts w:eastAsia="Calibri" w:cs="Times New Roman"/>
      <w:sz w:val="20"/>
      <w:szCs w:val="20"/>
    </w:rPr>
  </w:style>
  <w:style w:type="paragraph" w:styleId="TOC4">
    <w:name w:val="toc 4"/>
    <w:basedOn w:val="Normal"/>
    <w:next w:val="Normal"/>
    <w:autoRedefine/>
    <w:uiPriority w:val="39"/>
    <w:unhideWhenUsed/>
    <w:rsid w:val="00946E13"/>
    <w:pPr>
      <w:spacing w:after="0" w:line="276" w:lineRule="auto"/>
      <w:ind w:left="440"/>
    </w:pPr>
    <w:rPr>
      <w:rFonts w:eastAsia="Calibri" w:cs="Times New Roman"/>
      <w:sz w:val="20"/>
      <w:szCs w:val="20"/>
    </w:rPr>
  </w:style>
  <w:style w:type="paragraph" w:styleId="TOC5">
    <w:name w:val="toc 5"/>
    <w:basedOn w:val="Normal"/>
    <w:next w:val="Normal"/>
    <w:autoRedefine/>
    <w:uiPriority w:val="39"/>
    <w:unhideWhenUsed/>
    <w:rsid w:val="00946E13"/>
    <w:pPr>
      <w:spacing w:after="0" w:line="276" w:lineRule="auto"/>
      <w:ind w:left="660"/>
    </w:pPr>
    <w:rPr>
      <w:rFonts w:eastAsia="Calibri" w:cs="Times New Roman"/>
      <w:sz w:val="20"/>
      <w:szCs w:val="20"/>
    </w:rPr>
  </w:style>
  <w:style w:type="paragraph" w:styleId="TOC6">
    <w:name w:val="toc 6"/>
    <w:basedOn w:val="Normal"/>
    <w:next w:val="Normal"/>
    <w:autoRedefine/>
    <w:uiPriority w:val="39"/>
    <w:unhideWhenUsed/>
    <w:rsid w:val="00946E13"/>
    <w:pPr>
      <w:spacing w:after="0" w:line="276" w:lineRule="auto"/>
      <w:ind w:left="880"/>
    </w:pPr>
    <w:rPr>
      <w:rFonts w:eastAsia="Calibri" w:cs="Times New Roman"/>
      <w:sz w:val="20"/>
      <w:szCs w:val="20"/>
    </w:rPr>
  </w:style>
  <w:style w:type="paragraph" w:styleId="TOC7">
    <w:name w:val="toc 7"/>
    <w:basedOn w:val="Normal"/>
    <w:next w:val="Normal"/>
    <w:autoRedefine/>
    <w:uiPriority w:val="39"/>
    <w:unhideWhenUsed/>
    <w:rsid w:val="00946E13"/>
    <w:pPr>
      <w:spacing w:after="0" w:line="276" w:lineRule="auto"/>
      <w:ind w:left="1100"/>
    </w:pPr>
    <w:rPr>
      <w:rFonts w:eastAsia="Calibri" w:cs="Times New Roman"/>
      <w:sz w:val="20"/>
      <w:szCs w:val="20"/>
    </w:rPr>
  </w:style>
  <w:style w:type="paragraph" w:styleId="TOC8">
    <w:name w:val="toc 8"/>
    <w:basedOn w:val="Normal"/>
    <w:next w:val="Normal"/>
    <w:autoRedefine/>
    <w:uiPriority w:val="39"/>
    <w:unhideWhenUsed/>
    <w:rsid w:val="00946E13"/>
    <w:pPr>
      <w:spacing w:after="0" w:line="276" w:lineRule="auto"/>
      <w:ind w:left="1320"/>
    </w:pPr>
    <w:rPr>
      <w:rFonts w:eastAsia="Calibri" w:cs="Times New Roman"/>
      <w:sz w:val="20"/>
      <w:szCs w:val="20"/>
    </w:rPr>
  </w:style>
  <w:style w:type="paragraph" w:styleId="TOC9">
    <w:name w:val="toc 9"/>
    <w:basedOn w:val="Normal"/>
    <w:next w:val="Normal"/>
    <w:autoRedefine/>
    <w:uiPriority w:val="39"/>
    <w:unhideWhenUsed/>
    <w:rsid w:val="00946E13"/>
    <w:pPr>
      <w:spacing w:after="0" w:line="276" w:lineRule="auto"/>
      <w:ind w:left="1540"/>
    </w:pPr>
    <w:rPr>
      <w:rFonts w:eastAsia="Calibri" w:cs="Times New Roman"/>
      <w:sz w:val="20"/>
      <w:szCs w:val="20"/>
    </w:rPr>
  </w:style>
  <w:style w:type="paragraph" w:styleId="Title">
    <w:name w:val="Title"/>
    <w:basedOn w:val="Normal"/>
    <w:next w:val="Normal"/>
    <w:link w:val="TitleChar"/>
    <w:uiPriority w:val="10"/>
    <w:qFormat/>
    <w:rsid w:val="00946E13"/>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46E13"/>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46E13"/>
    <w:pPr>
      <w:numPr>
        <w:ilvl w:val="1"/>
      </w:numPr>
      <w:spacing w:after="200" w:line="276" w:lineRule="auto"/>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946E13"/>
    <w:rPr>
      <w:rFonts w:asciiTheme="majorHAnsi" w:eastAsiaTheme="majorEastAsia" w:hAnsiTheme="majorHAnsi" w:cstheme="majorBidi"/>
      <w:i/>
      <w:iCs/>
      <w:color w:val="5B9BD5" w:themeColor="accent1"/>
      <w:spacing w:val="15"/>
      <w:sz w:val="24"/>
      <w:szCs w:val="24"/>
    </w:rPr>
  </w:style>
  <w:style w:type="character" w:customStyle="1" w:styleId="FootnoteCharacters">
    <w:name w:val="Footnote Characters"/>
    <w:rsid w:val="00946E13"/>
    <w:rPr>
      <w:vertAlign w:val="superscript"/>
    </w:rPr>
  </w:style>
  <w:style w:type="character" w:styleId="Emphasis">
    <w:name w:val="Emphasis"/>
    <w:basedOn w:val="DefaultParagraphFont"/>
    <w:uiPriority w:val="20"/>
    <w:qFormat/>
    <w:rsid w:val="00946E13"/>
    <w:rPr>
      <w:i/>
      <w:iCs/>
    </w:rPr>
  </w:style>
  <w:style w:type="paragraph" w:styleId="TOCHeading">
    <w:name w:val="TOC Heading"/>
    <w:basedOn w:val="Heading1"/>
    <w:next w:val="Normal"/>
    <w:uiPriority w:val="39"/>
    <w:unhideWhenUsed/>
    <w:qFormat/>
    <w:rsid w:val="00946E13"/>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rPr>
  </w:style>
  <w:style w:type="paragraph" w:customStyle="1" w:styleId="noname">
    <w:name w:val="no_name"/>
    <w:basedOn w:val="Normal"/>
    <w:rsid w:val="00946E1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HChG">
    <w:name w:val="_ H _Ch_G"/>
    <w:basedOn w:val="Normal"/>
    <w:next w:val="Normal"/>
    <w:rsid w:val="001E761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character" w:customStyle="1" w:styleId="SingleTxtGChar">
    <w:name w:val="_ Single Txt_G Char"/>
    <w:rsid w:val="001E7614"/>
    <w:rPr>
      <w:lang w:val="en-GB" w:eastAsia="en-US" w:bidi="ar-SA"/>
    </w:rPr>
  </w:style>
  <w:style w:type="character" w:customStyle="1" w:styleId="5GChar1">
    <w:name w:val="5_G Char1"/>
    <w:aliases w:val="Footnote Text Char Char1 Char1,Footnote Text Char1 Char Char1 Char1,Footnote Text Char Char1 Char Char Char1,Footnote Text Char1 Char Char1 Char Char Char1,ft Char Char Char Char Char Char1"/>
    <w:locked/>
    <w:rsid w:val="001E7614"/>
    <w:rPr>
      <w:sz w:val="18"/>
      <w:lang w:val="en-GB" w:eastAsia="en-US" w:bidi="ar-SA"/>
    </w:rPr>
  </w:style>
  <w:style w:type="character" w:customStyle="1" w:styleId="wcdrendtitre">
    <w:name w:val="wcdrend_titre"/>
    <w:basedOn w:val="DefaultParagraphFont"/>
    <w:rsid w:val="003B39B4"/>
  </w:style>
  <w:style w:type="character" w:styleId="FollowedHyperlink">
    <w:name w:val="FollowedHyperlink"/>
    <w:basedOn w:val="DefaultParagraphFont"/>
    <w:uiPriority w:val="99"/>
    <w:semiHidden/>
    <w:unhideWhenUsed/>
    <w:rsid w:val="00350F49"/>
    <w:rPr>
      <w:color w:val="954F72" w:themeColor="followedHyperlink"/>
      <w:u w:val="single"/>
    </w:rPr>
  </w:style>
  <w:style w:type="character" w:styleId="CommentReference">
    <w:name w:val="annotation reference"/>
    <w:basedOn w:val="DefaultParagraphFont"/>
    <w:uiPriority w:val="99"/>
    <w:semiHidden/>
    <w:unhideWhenUsed/>
    <w:rsid w:val="00020FB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7044">
      <w:bodyDiv w:val="1"/>
      <w:marLeft w:val="0"/>
      <w:marRight w:val="0"/>
      <w:marTop w:val="0"/>
      <w:marBottom w:val="0"/>
      <w:divBdr>
        <w:top w:val="none" w:sz="0" w:space="0" w:color="auto"/>
        <w:left w:val="none" w:sz="0" w:space="0" w:color="auto"/>
        <w:bottom w:val="none" w:sz="0" w:space="0" w:color="auto"/>
        <w:right w:val="none" w:sz="0" w:space="0" w:color="auto"/>
      </w:divBdr>
    </w:div>
    <w:div w:id="114911279">
      <w:bodyDiv w:val="1"/>
      <w:marLeft w:val="0"/>
      <w:marRight w:val="0"/>
      <w:marTop w:val="0"/>
      <w:marBottom w:val="0"/>
      <w:divBdr>
        <w:top w:val="none" w:sz="0" w:space="0" w:color="auto"/>
        <w:left w:val="none" w:sz="0" w:space="0" w:color="auto"/>
        <w:bottom w:val="none" w:sz="0" w:space="0" w:color="auto"/>
        <w:right w:val="none" w:sz="0" w:space="0" w:color="auto"/>
      </w:divBdr>
      <w:divsChild>
        <w:div w:id="938559293">
          <w:marLeft w:val="0"/>
          <w:marRight w:val="0"/>
          <w:marTop w:val="0"/>
          <w:marBottom w:val="0"/>
          <w:divBdr>
            <w:top w:val="none" w:sz="0" w:space="0" w:color="auto"/>
            <w:left w:val="none" w:sz="0" w:space="0" w:color="auto"/>
            <w:bottom w:val="none" w:sz="0" w:space="0" w:color="auto"/>
            <w:right w:val="none" w:sz="0" w:space="0" w:color="auto"/>
          </w:divBdr>
        </w:div>
      </w:divsChild>
    </w:div>
    <w:div w:id="698313752">
      <w:bodyDiv w:val="1"/>
      <w:marLeft w:val="0"/>
      <w:marRight w:val="0"/>
      <w:marTop w:val="0"/>
      <w:marBottom w:val="0"/>
      <w:divBdr>
        <w:top w:val="none" w:sz="0" w:space="0" w:color="auto"/>
        <w:left w:val="none" w:sz="0" w:space="0" w:color="auto"/>
        <w:bottom w:val="none" w:sz="0" w:space="0" w:color="auto"/>
        <w:right w:val="none" w:sz="0" w:space="0" w:color="auto"/>
      </w:divBdr>
    </w:div>
    <w:div w:id="831216242">
      <w:bodyDiv w:val="1"/>
      <w:marLeft w:val="0"/>
      <w:marRight w:val="0"/>
      <w:marTop w:val="0"/>
      <w:marBottom w:val="0"/>
      <w:divBdr>
        <w:top w:val="none" w:sz="0" w:space="0" w:color="auto"/>
        <w:left w:val="none" w:sz="0" w:space="0" w:color="auto"/>
        <w:bottom w:val="none" w:sz="0" w:space="0" w:color="auto"/>
        <w:right w:val="none" w:sz="0" w:space="0" w:color="auto"/>
      </w:divBdr>
      <w:divsChild>
        <w:div w:id="1413162995">
          <w:marLeft w:val="0"/>
          <w:marRight w:val="0"/>
          <w:marTop w:val="0"/>
          <w:marBottom w:val="0"/>
          <w:divBdr>
            <w:top w:val="none" w:sz="0" w:space="0" w:color="auto"/>
            <w:left w:val="none" w:sz="0" w:space="0" w:color="auto"/>
            <w:bottom w:val="none" w:sz="0" w:space="0" w:color="auto"/>
            <w:right w:val="none" w:sz="0" w:space="0" w:color="auto"/>
          </w:divBdr>
          <w:divsChild>
            <w:div w:id="952518703">
              <w:marLeft w:val="0"/>
              <w:marRight w:val="0"/>
              <w:marTop w:val="0"/>
              <w:marBottom w:val="0"/>
              <w:divBdr>
                <w:top w:val="none" w:sz="0" w:space="0" w:color="auto"/>
                <w:left w:val="none" w:sz="0" w:space="0" w:color="auto"/>
                <w:bottom w:val="none" w:sz="0" w:space="0" w:color="auto"/>
                <w:right w:val="none" w:sz="0" w:space="0" w:color="auto"/>
              </w:divBdr>
              <w:divsChild>
                <w:div w:id="117395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985842">
      <w:bodyDiv w:val="1"/>
      <w:marLeft w:val="0"/>
      <w:marRight w:val="0"/>
      <w:marTop w:val="0"/>
      <w:marBottom w:val="0"/>
      <w:divBdr>
        <w:top w:val="none" w:sz="0" w:space="0" w:color="auto"/>
        <w:left w:val="none" w:sz="0" w:space="0" w:color="auto"/>
        <w:bottom w:val="none" w:sz="0" w:space="0" w:color="auto"/>
        <w:right w:val="none" w:sz="0" w:space="0" w:color="auto"/>
      </w:divBdr>
    </w:div>
    <w:div w:id="179570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ccl.ie"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info@iccl.ie"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irishtimes.com/news/social-affairs/girl-sectioned-after-psychiatrist-ruled-out-abortion-1.3116111" TargetMode="External"/><Relationship Id="rId7" Type="http://schemas.openxmlformats.org/officeDocument/2006/relationships/hyperlink" Target="http://humanrights.ie/law-culture-and-religion/notes-on-judge-harding-clarks-report-on-the-symphysiotomy-payment-scheme/" TargetMode="External"/><Relationship Id="rId2" Type="http://schemas.openxmlformats.org/officeDocument/2006/relationships/hyperlink" Target="http://www.iccl.ie/ccl-submission-to-the-citizens-assembly-on-the-eighth-amendment-to-the-constitution.html" TargetMode="External"/><Relationship Id="rId1" Type="http://schemas.openxmlformats.org/officeDocument/2006/relationships/hyperlink" Target="http://www.kildarestreet.com/wrans/?id=2013-02-06a.110&amp;s=optional+protocol+to+the+convention+against+torture" TargetMode="External"/><Relationship Id="rId6" Type="http://schemas.openxmlformats.org/officeDocument/2006/relationships/hyperlink" Target="https://www.gardaombudsman.ie/docs/publications/AnnualReports/GSOC_AR16.pdf" TargetMode="External"/><Relationship Id="rId5" Type="http://schemas.openxmlformats.org/officeDocument/2006/relationships/hyperlink" Target="http://www.irishexaminer.com/ireland/policing-authority-criticises-garda-homicide-material-451788.html" TargetMode="External"/><Relationship Id="rId4" Type="http://schemas.openxmlformats.org/officeDocument/2006/relationships/hyperlink" Target="http://www.iccl.ie/news/2017/01/30/permitting-pre-clearance-to-operate-in-ireland-may-violate-human-righ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D80BBF-8730-405A-A0D9-196E31DAD684}"/>
</file>

<file path=customXml/itemProps2.xml><?xml version="1.0" encoding="utf-8"?>
<ds:datastoreItem xmlns:ds="http://schemas.openxmlformats.org/officeDocument/2006/customXml" ds:itemID="{9ED40878-FF96-43DC-851B-281B388EB19F}"/>
</file>

<file path=customXml/itemProps3.xml><?xml version="1.0" encoding="utf-8"?>
<ds:datastoreItem xmlns:ds="http://schemas.openxmlformats.org/officeDocument/2006/customXml" ds:itemID="{36C975CF-C9B2-49DA-B81F-E3DA0A21D3F7}"/>
</file>

<file path=customXml/itemProps4.xml><?xml version="1.0" encoding="utf-8"?>
<ds:datastoreItem xmlns:ds="http://schemas.openxmlformats.org/officeDocument/2006/customXml" ds:itemID="{D52C9E94-6475-41C0-8987-357ADE6ACFB4}"/>
</file>

<file path=docProps/app.xml><?xml version="1.0" encoding="utf-8"?>
<Properties xmlns="http://schemas.openxmlformats.org/officeDocument/2006/extended-properties" xmlns:vt="http://schemas.openxmlformats.org/officeDocument/2006/docPropsVTypes">
  <Template>Normal</Template>
  <TotalTime>0</TotalTime>
  <Pages>19</Pages>
  <Words>6297</Words>
  <Characters>35899</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Herrick</dc:creator>
  <cp:keywords/>
  <dc:description/>
  <cp:lastModifiedBy>Liam Herrick</cp:lastModifiedBy>
  <cp:revision>2</cp:revision>
  <dcterms:created xsi:type="dcterms:W3CDTF">2017-06-26T15:40:00Z</dcterms:created>
  <dcterms:modified xsi:type="dcterms:W3CDTF">2017-06-26T15:40:00Z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