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2419710E" w:rsidR="00FE2DFA" w:rsidRPr="00062A9A" w:rsidRDefault="00AC008A" w:rsidP="00062A9A">
      <w:pPr>
        <w:shd w:val="clear" w:color="auto" w:fill="227ACB"/>
        <w:jc w:val="center"/>
        <w:rPr>
          <w:rFonts w:eastAsia="Dubai"/>
          <w:bCs/>
          <w:color w:val="FFFFFF"/>
          <w:rtl/>
          <w:lang w:bidi="ar-EG"/>
        </w:rPr>
      </w:pPr>
      <w:bookmarkStart w:id="0" w:name="_GoBack"/>
      <w:bookmarkEnd w:id="0"/>
      <w:r w:rsidRPr="00062A9A">
        <w:rPr>
          <w:rFonts w:eastAsia="Dubai"/>
          <w:bCs/>
          <w:color w:val="FFFFFF"/>
          <w:rtl/>
        </w:rPr>
        <w:t>تقرير الهيئة المستقلة لحقوق الإنسان في شمال إفريقي</w:t>
      </w:r>
      <w:r w:rsidR="00062A9A" w:rsidRPr="00062A9A">
        <w:rPr>
          <w:rFonts w:eastAsia="Dubai"/>
          <w:bCs/>
          <w:color w:val="FFFFFF"/>
          <w:rtl/>
          <w14:textFill>
            <w14:solidFill>
              <w14:srgbClr w14:val="FFFFFF">
                <w14:lumMod w14:val="60000"/>
                <w14:lumOff w14:val="40000"/>
              </w14:srgbClr>
            </w14:solidFill>
          </w14:textFill>
        </w:rPr>
        <w:t>ا بخصوص المملكة المغربية</w:t>
      </w:r>
    </w:p>
    <w:p w14:paraId="00000002" w14:textId="7A797514" w:rsidR="00FE2DFA" w:rsidRPr="00062A9A" w:rsidRDefault="00AC008A" w:rsidP="00062A9A">
      <w:pPr>
        <w:shd w:val="clear" w:color="auto" w:fill="FFFF99"/>
        <w:jc w:val="center"/>
        <w:rPr>
          <w:rFonts w:eastAsia="Dubai"/>
          <w:bCs/>
          <w:color w:val="0077B4"/>
        </w:rPr>
      </w:pPr>
      <w:r w:rsidRPr="00062A9A">
        <w:rPr>
          <w:rFonts w:eastAsia="Dubai"/>
          <w:bCs/>
          <w:color w:val="0077B4"/>
          <w:rtl/>
        </w:rPr>
        <w:t>لجنة</w:t>
      </w:r>
      <w:r w:rsidR="00062A9A" w:rsidRPr="00062A9A">
        <w:rPr>
          <w:rFonts w:eastAsia="Dubai"/>
          <w:bCs/>
          <w:color w:val="0077B4"/>
          <w:rtl/>
        </w:rPr>
        <w:t xml:space="preserve"> الأمم المتحدة لل</w:t>
      </w:r>
      <w:r w:rsidRPr="00062A9A">
        <w:rPr>
          <w:rFonts w:eastAsia="Dubai"/>
          <w:bCs/>
          <w:color w:val="0077B4"/>
          <w:rtl/>
        </w:rPr>
        <w:t>اختفاء القسري</w:t>
      </w:r>
    </w:p>
    <w:p w14:paraId="00000003" w14:textId="5CFD15BD" w:rsidR="00FE2DFA" w:rsidRPr="00062A9A" w:rsidRDefault="00AC008A" w:rsidP="00062A9A">
      <w:pPr>
        <w:jc w:val="both"/>
        <w:rPr>
          <w:rFonts w:eastAsia="Dubai"/>
        </w:rPr>
      </w:pPr>
      <w:r w:rsidRPr="00062A9A">
        <w:rPr>
          <w:rFonts w:eastAsia="Dubai"/>
          <w:rtl/>
        </w:rPr>
        <w:t>وقعت المملكة المغربية على الاتفاقية الدولية لحماية جميع الأشخاص من الاختفاء القسري (يشار إليها خلال التقرير بالاتفاقية) في فبراير 2007 وصادقت عليها في مايو 2013. ومنذ ذلك الحين باتت ملزمة بالوفاء بالأحكام الواردة بالاتفاقية وموائمة سياساتها وقوانينها الداخ</w:t>
      </w:r>
      <w:r w:rsidRPr="00062A9A">
        <w:rPr>
          <w:rFonts w:eastAsia="Dubai"/>
          <w:rtl/>
        </w:rPr>
        <w:t xml:space="preserve">لية لها. كما تقدمت المغرب بتقريرها الوطني الأوّلي بشأن تنفيذ الاتفاقية في سبتمبر 2021 إلى اللجنة المعنية بحالات الاختفاء القسري التابعة للأمم المتحدة (اللجنة). وبرغم ذلك لا تزال ممارسات الاختفاء القسري تأتي ضمن السياسيات </w:t>
      </w:r>
      <w:r w:rsidR="00062A9A" w:rsidRPr="00062A9A">
        <w:rPr>
          <w:rFonts w:eastAsia="Dubai" w:hint="cs"/>
          <w:rtl/>
        </w:rPr>
        <w:t>الممنهجة للجماعة</w:t>
      </w:r>
      <w:r w:rsidRPr="00062A9A">
        <w:rPr>
          <w:rFonts w:eastAsia="Dubai"/>
          <w:rtl/>
        </w:rPr>
        <w:t xml:space="preserve"> المسلحة للجبهة الش</w:t>
      </w:r>
      <w:r w:rsidRPr="00062A9A">
        <w:rPr>
          <w:rFonts w:eastAsia="Dubai"/>
          <w:rtl/>
        </w:rPr>
        <w:t xml:space="preserve">عبية لتحرير الساقية الحمراء ووادي الذهب </w:t>
      </w:r>
      <w:r w:rsidRPr="00062A9A">
        <w:rPr>
          <w:rFonts w:eastAsia="Dubai"/>
          <w:b/>
          <w:rtl/>
        </w:rPr>
        <w:t>"البوليساريو</w:t>
      </w:r>
      <w:r w:rsidR="00062A9A" w:rsidRPr="00062A9A">
        <w:rPr>
          <w:rFonts w:eastAsia="Dubai" w:hint="cs"/>
          <w:b/>
          <w:rtl/>
        </w:rPr>
        <w:t>"</w:t>
      </w:r>
      <w:r w:rsidR="00062A9A" w:rsidRPr="00062A9A">
        <w:rPr>
          <w:rFonts w:eastAsia="Dubai" w:hint="cs"/>
          <w:rtl/>
        </w:rPr>
        <w:t xml:space="preserve"> والساعية</w:t>
      </w:r>
      <w:r w:rsidRPr="00062A9A">
        <w:rPr>
          <w:rFonts w:eastAsia="Dubai"/>
          <w:rtl/>
        </w:rPr>
        <w:t xml:space="preserve"> لاستقلالها عن المغرب منذ انسحاب إسبانيا من المنطقة في عام 1975، في ظل اعتبار المغرب أن الصحراء جزء لا يتجزأ عن المملكة المغربية.</w:t>
      </w:r>
    </w:p>
    <w:p w14:paraId="00000004" w14:textId="77777777" w:rsidR="00FE2DFA" w:rsidRPr="00062A9A" w:rsidRDefault="00AC008A" w:rsidP="00062A9A">
      <w:pPr>
        <w:jc w:val="both"/>
        <w:rPr>
          <w:rFonts w:eastAsia="Dubai"/>
        </w:rPr>
      </w:pPr>
      <w:bookmarkStart w:id="1" w:name="_gjdgxs" w:colFirst="0" w:colLast="0"/>
      <w:bookmarkEnd w:id="1"/>
      <w:r w:rsidRPr="00062A9A">
        <w:rPr>
          <w:rFonts w:eastAsia="Dubai"/>
          <w:rtl/>
        </w:rPr>
        <w:t>وبمناسبة انعقاد الدورة السابعة والعشرين للجنة في الفترة من 23 سب</w:t>
      </w:r>
      <w:r w:rsidRPr="00062A9A">
        <w:rPr>
          <w:rFonts w:eastAsia="Dubai"/>
          <w:rtl/>
        </w:rPr>
        <w:t>تمبر حتى 4 أكتوبر 2024، تقدم الهيئة المستقلة لحقوق الإنسان في شمال إفريقيا التقرير التالي لتقييم مدى وفاء المملكة المغربية بالتزاماتها المنصوص عليها بالاتفاقية بصورة موضوعية، وكذلك لبيان أوجه القصور وتقديم التوصيات اللازمة للسلطات المغربية للوفاء بأحكام ال</w:t>
      </w:r>
      <w:r w:rsidRPr="00062A9A">
        <w:rPr>
          <w:rFonts w:eastAsia="Dubai"/>
          <w:rtl/>
        </w:rPr>
        <w:t xml:space="preserve">اتفاقية على الوجه الأمثل. </w:t>
      </w:r>
    </w:p>
    <w:p w14:paraId="00000005" w14:textId="5A522EAA" w:rsidR="00FE2DFA" w:rsidRPr="00062A9A" w:rsidRDefault="00AC008A" w:rsidP="00062A9A">
      <w:pPr>
        <w:shd w:val="clear" w:color="auto" w:fill="227ACB"/>
        <w:jc w:val="both"/>
        <w:rPr>
          <w:rFonts w:eastAsia="Dubai"/>
          <w:b/>
          <w:bCs/>
          <w:color w:val="FFFFFF"/>
        </w:rPr>
      </w:pPr>
      <w:r w:rsidRPr="00062A9A">
        <w:rPr>
          <w:rFonts w:eastAsia="Dubai"/>
          <w:b/>
          <w:bCs/>
          <w:color w:val="FFFFFF"/>
          <w:rtl/>
        </w:rPr>
        <w:t>تعريف الاختفاء القسري (المادة الثانية)</w:t>
      </w:r>
    </w:p>
    <w:p w14:paraId="00000006" w14:textId="77777777" w:rsidR="00FE2DFA" w:rsidRPr="00062A9A" w:rsidRDefault="00AC008A" w:rsidP="00062A9A">
      <w:pPr>
        <w:jc w:val="both"/>
        <w:rPr>
          <w:rFonts w:eastAsia="Dubai"/>
        </w:rPr>
      </w:pPr>
      <w:r w:rsidRPr="00062A9A">
        <w:rPr>
          <w:rFonts w:eastAsia="Dubai"/>
          <w:rtl/>
        </w:rPr>
        <w:t xml:space="preserve">بعد استطلاع الهيئة للقوانين المغربية بشكل عام، تبين لنا أن القانون الجنائي المغربي لم يتناول الاختفاء القسري كجريمة مستقلة بذاتها وفقاً للتعريف الوارد بالمادة الثانية من الاتفاقية حتى كتابة </w:t>
      </w:r>
      <w:r w:rsidRPr="00062A9A">
        <w:rPr>
          <w:rFonts w:eastAsia="Dubai"/>
          <w:rtl/>
        </w:rPr>
        <w:t>هذه السطور بل تتم الإشارة إليه في سياقات أخرى كالاختطاف والاعتقال التعسفي، وتستند السلطات المغربية في هذا الأمر إلى تنصيص الفصل 23 من الدستور المغربي لعام 2011 على أن "الاعتقال التعسفي أو السري والاختفاء القسري من أخطر الجرائم وتعرض مقترفيها لأقسى العقوبات</w:t>
      </w:r>
      <w:r w:rsidRPr="00062A9A">
        <w:rPr>
          <w:rFonts w:eastAsia="Dubai"/>
          <w:rtl/>
        </w:rPr>
        <w:t>".</w:t>
      </w:r>
      <w:r w:rsidRPr="00062A9A">
        <w:rPr>
          <w:rFonts w:eastAsia="Dubai"/>
          <w:vertAlign w:val="superscript"/>
        </w:rPr>
        <w:footnoteReference w:id="1"/>
      </w:r>
      <w:r w:rsidRPr="00062A9A">
        <w:rPr>
          <w:rFonts w:eastAsia="Dubai"/>
          <w:rtl/>
        </w:rPr>
        <w:t xml:space="preserve"> بالإضافة إلى أنه وفقاً للدستور فإن الاتفاقيات الدولية التي صادقت عليها المغرب وقامت بنشرها، تسمو على كافة القوانين الوطنية ويتم ترجيح كفتها حين التعارض </w:t>
      </w:r>
      <w:r w:rsidRPr="00062A9A">
        <w:rPr>
          <w:rFonts w:eastAsia="Dubai"/>
          <w:rtl/>
        </w:rPr>
        <w:lastRenderedPageBreak/>
        <w:t>مع القوانين الداخلية في المغرب، مما يعني أنها تتبنى ضمنياً تعريف لاختفاء القسري المنصوص عليه بالاتفا</w:t>
      </w:r>
      <w:r w:rsidRPr="00062A9A">
        <w:rPr>
          <w:rFonts w:eastAsia="Dubai"/>
          <w:rtl/>
        </w:rPr>
        <w:t>قية دون النص عليه صراحة في قانونها الجنائي.</w:t>
      </w:r>
      <w:r w:rsidRPr="00062A9A">
        <w:rPr>
          <w:rFonts w:eastAsia="Dubai"/>
          <w:vertAlign w:val="superscript"/>
        </w:rPr>
        <w:footnoteReference w:id="2"/>
      </w:r>
      <w:r w:rsidRPr="00062A9A">
        <w:rPr>
          <w:rFonts w:eastAsia="Dubai"/>
        </w:rPr>
        <w:t xml:space="preserve">  </w:t>
      </w:r>
    </w:p>
    <w:p w14:paraId="00000007" w14:textId="63F98991" w:rsidR="00FE2DFA" w:rsidRPr="00062A9A" w:rsidRDefault="00AC008A" w:rsidP="00062A9A">
      <w:pPr>
        <w:jc w:val="both"/>
        <w:rPr>
          <w:rFonts w:eastAsia="Dubai"/>
        </w:rPr>
      </w:pPr>
      <w:r w:rsidRPr="00062A9A">
        <w:rPr>
          <w:rFonts w:eastAsia="Dubai"/>
          <w:rtl/>
        </w:rPr>
        <w:t xml:space="preserve">على الجانب الآخر ونظراً لعدم اعتراف الأمم المتحدة بالصحراء كدولة مستقلة، فإن جبهة البوليساريو لا تلتزم بالاتفاقيات الدولية لحقوق الإنسان ولا تدرج أحكامها بالقوانين الداخلية التي تصدرها على الإطلاق، ولا يتناول </w:t>
      </w:r>
      <w:r w:rsidRPr="00062A9A">
        <w:rPr>
          <w:rFonts w:eastAsia="Dubai"/>
          <w:rtl/>
        </w:rPr>
        <w:t xml:space="preserve"> القانون المعمول به في مخيمات تندوف سوى أحكام عامة للحق في الحياة والحماية من التعذيب، كما تخلو التشريعات  من الأحكام الخاصة بتنظيم عمل وكالات انفاذ القانون.</w:t>
      </w:r>
      <w:r w:rsidRPr="00062A9A">
        <w:rPr>
          <w:rFonts w:eastAsia="Dubai"/>
          <w:vertAlign w:val="superscript"/>
        </w:rPr>
        <w:footnoteReference w:id="3"/>
      </w:r>
      <w:r w:rsidRPr="00062A9A">
        <w:rPr>
          <w:rFonts w:eastAsia="Dubai"/>
          <w:rtl/>
        </w:rPr>
        <w:t xml:space="preserve"> وفي هذا الصدد تعبر الهيئة عن مخاوفها من استمرار البوليساريو في ممارساتها الغير مشروعة تحت ذريعة أ</w:t>
      </w:r>
      <w:r w:rsidRPr="00062A9A">
        <w:rPr>
          <w:rFonts w:eastAsia="Dubai"/>
          <w:rtl/>
        </w:rPr>
        <w:t xml:space="preserve">نها غير مخاطبة بأحكام القانون الدولي الخاصة بحقوق الإنسان، وتماديها في انتهاك حقوق الأفراد المقيمين بمنطقة تندوف وعلى رأسها الاختفاء القسري، مما يتسبب </w:t>
      </w:r>
      <w:r w:rsidR="00062A9A" w:rsidRPr="00062A9A">
        <w:rPr>
          <w:rFonts w:eastAsia="Dubai" w:hint="cs"/>
          <w:rtl/>
        </w:rPr>
        <w:t>في</w:t>
      </w:r>
      <w:r w:rsidRPr="00062A9A">
        <w:rPr>
          <w:rFonts w:eastAsia="Dubai"/>
          <w:rtl/>
        </w:rPr>
        <w:t xml:space="preserve"> انتهاكات جسيمة لحقوق الانسان كان ضحيتها العديد من الصحراويين </w:t>
      </w:r>
      <w:proofErr w:type="spellStart"/>
      <w:r w:rsidRPr="00062A9A">
        <w:rPr>
          <w:rFonts w:eastAsia="Dubai"/>
          <w:rtl/>
        </w:rPr>
        <w:t>فى</w:t>
      </w:r>
      <w:proofErr w:type="spellEnd"/>
      <w:r w:rsidRPr="00062A9A">
        <w:rPr>
          <w:rFonts w:eastAsia="Dubai"/>
          <w:rtl/>
        </w:rPr>
        <w:t xml:space="preserve"> السجون السرية </w:t>
      </w:r>
      <w:r w:rsidR="00062A9A" w:rsidRPr="00062A9A">
        <w:rPr>
          <w:rFonts w:eastAsia="Dubai" w:hint="cs"/>
          <w:rtl/>
        </w:rPr>
        <w:t>في</w:t>
      </w:r>
      <w:r w:rsidRPr="00062A9A">
        <w:rPr>
          <w:rFonts w:eastAsia="Dubai"/>
          <w:rtl/>
        </w:rPr>
        <w:t xml:space="preserve"> سجن  الرشيد السيئ الذ</w:t>
      </w:r>
      <w:r w:rsidRPr="00062A9A">
        <w:rPr>
          <w:rFonts w:eastAsia="Dubai"/>
          <w:rtl/>
        </w:rPr>
        <w:t xml:space="preserve">كر </w:t>
      </w:r>
      <w:r w:rsidR="00062A9A" w:rsidRPr="00062A9A">
        <w:rPr>
          <w:rFonts w:eastAsia="Dubai" w:hint="cs"/>
          <w:rtl/>
        </w:rPr>
        <w:t>في</w:t>
      </w:r>
      <w:r w:rsidRPr="00062A9A">
        <w:rPr>
          <w:rFonts w:eastAsia="Dubai"/>
          <w:rtl/>
        </w:rPr>
        <w:t xml:space="preserve"> مخيمات تندوف.</w:t>
      </w:r>
    </w:p>
    <w:p w14:paraId="00000008" w14:textId="10B00654" w:rsidR="00FE2DFA" w:rsidRPr="00062A9A" w:rsidRDefault="00AC008A" w:rsidP="00062A9A">
      <w:pPr>
        <w:shd w:val="clear" w:color="auto" w:fill="227ACB"/>
        <w:jc w:val="both"/>
        <w:rPr>
          <w:rFonts w:eastAsia="Dubai"/>
          <w:b/>
          <w:bCs/>
          <w:color w:val="FFFFFF"/>
        </w:rPr>
      </w:pPr>
      <w:r w:rsidRPr="00062A9A">
        <w:rPr>
          <w:rFonts w:eastAsia="Dubai"/>
          <w:b/>
          <w:bCs/>
          <w:color w:val="FFFFFF"/>
        </w:rPr>
        <w:t xml:space="preserve"> </w:t>
      </w:r>
      <w:r w:rsidRPr="00062A9A">
        <w:rPr>
          <w:rFonts w:eastAsia="Dubai"/>
          <w:b/>
          <w:bCs/>
          <w:color w:val="FFFFFF"/>
          <w:rtl/>
        </w:rPr>
        <w:t xml:space="preserve">التحقيق في </w:t>
      </w:r>
      <w:r w:rsidR="00062A9A" w:rsidRPr="00062A9A">
        <w:rPr>
          <w:rFonts w:eastAsia="Dubai" w:hint="cs"/>
          <w:b/>
          <w:bCs/>
          <w:color w:val="FFFFFF"/>
          <w:rtl/>
        </w:rPr>
        <w:t>ادعاءات</w:t>
      </w:r>
      <w:r w:rsidRPr="00062A9A">
        <w:rPr>
          <w:rFonts w:eastAsia="Dubai"/>
          <w:b/>
          <w:bCs/>
          <w:color w:val="FFFFFF"/>
          <w:rtl/>
        </w:rPr>
        <w:t xml:space="preserve"> الاختفاء القسري (المادة الثالثة)</w:t>
      </w:r>
    </w:p>
    <w:p w14:paraId="00000009" w14:textId="77777777" w:rsidR="00FE2DFA" w:rsidRPr="00062A9A" w:rsidRDefault="00AC008A" w:rsidP="00062A9A">
      <w:pPr>
        <w:jc w:val="both"/>
        <w:rPr>
          <w:rFonts w:eastAsia="Dubai"/>
        </w:rPr>
      </w:pPr>
      <w:r w:rsidRPr="00062A9A">
        <w:rPr>
          <w:rFonts w:eastAsia="Dubai"/>
          <w:rtl/>
        </w:rPr>
        <w:t>تلزم المادة الثالثة من الاتفاقية الدول الأطراف باتخاذ التدابير اللازمة للتحقيق مع المتهمين بجرائم الاختفاء القسري ومحاكمتهم. وتوفر المادة (82-5) من قانون الإجراءات الجنائية المغربي ال</w:t>
      </w:r>
      <w:r w:rsidRPr="00062A9A">
        <w:rPr>
          <w:rFonts w:eastAsia="Dubai"/>
          <w:rtl/>
        </w:rPr>
        <w:t>حماية القانونية للمجني عليهم، وتسمح لهم بتقديم شكاواهم إلى الجهات القضائية، كما يلزم القانون السلطات القضائية بالتحقيق الجاد في تلك الشكاوى، واتخاذ التدابير اللازمة لحماية الشاكين وممثليهم والشهود والأشخاص المشاركين في عمليتي التحقيق والمحاكمة.</w:t>
      </w:r>
      <w:r w:rsidRPr="00062A9A">
        <w:rPr>
          <w:rFonts w:eastAsia="Dubai"/>
          <w:vertAlign w:val="superscript"/>
        </w:rPr>
        <w:footnoteReference w:id="4"/>
      </w:r>
    </w:p>
    <w:p w14:paraId="0000000A" w14:textId="77777777" w:rsidR="00FE2DFA" w:rsidRPr="00062A9A" w:rsidRDefault="00AC008A" w:rsidP="00062A9A">
      <w:pPr>
        <w:jc w:val="both"/>
        <w:rPr>
          <w:rFonts w:eastAsia="Dubai"/>
        </w:rPr>
      </w:pPr>
      <w:r w:rsidRPr="00062A9A">
        <w:rPr>
          <w:rFonts w:eastAsia="Dubai"/>
          <w:rtl/>
        </w:rPr>
        <w:t>وفي هذا ال</w:t>
      </w:r>
      <w:r w:rsidRPr="00062A9A">
        <w:rPr>
          <w:rFonts w:eastAsia="Dubai"/>
          <w:rtl/>
        </w:rPr>
        <w:t xml:space="preserve">صدد، تشير تقديرات اطلعت عليها الهيئة أن السلطات المغربية نجحت في إتمام تحقيقات وتسوية جُل قضايا الاختفاء القسري التي وقعت خلال العقود الأخيرة، دون عدد قليل من القضايا لم يتم البت فيه </w:t>
      </w:r>
      <w:r w:rsidRPr="00062A9A">
        <w:rPr>
          <w:rFonts w:eastAsia="Dubai"/>
          <w:rtl/>
        </w:rPr>
        <w:lastRenderedPageBreak/>
        <w:t xml:space="preserve">بعد؛ حيث قامت السلطات المغربية في عام 2004 بإنشاء </w:t>
      </w:r>
      <w:r w:rsidRPr="00062A9A">
        <w:rPr>
          <w:rFonts w:eastAsia="Dubai"/>
          <w:b/>
          <w:rtl/>
        </w:rPr>
        <w:t>هيئة الإنصاف والمصالحة</w:t>
      </w:r>
      <w:r w:rsidRPr="00062A9A">
        <w:rPr>
          <w:rFonts w:eastAsia="Dubai"/>
          <w:rtl/>
        </w:rPr>
        <w:t xml:space="preserve"> </w:t>
      </w:r>
      <w:r w:rsidRPr="00062A9A">
        <w:rPr>
          <w:rFonts w:eastAsia="Dubai"/>
          <w:rtl/>
        </w:rPr>
        <w:t xml:space="preserve">لتولي التحقيق في انتهاكات حقوق الإنسان ومن بينها الاختفاء القسري التي وقعت في الفترة بين 1956 و1999 والتي يطلق عليها اسم </w:t>
      </w:r>
      <w:r w:rsidRPr="00062A9A">
        <w:rPr>
          <w:rFonts w:eastAsia="Dubai"/>
          <w:b/>
          <w:rtl/>
        </w:rPr>
        <w:t>"سنوات الرصاص</w:t>
      </w:r>
      <w:r w:rsidRPr="00062A9A">
        <w:rPr>
          <w:rFonts w:eastAsia="Dubai"/>
          <w:rtl/>
        </w:rPr>
        <w:t>"، وبالفعل أسفرت جهود الهيئة عن كشف عدد من مواقع الدفن السرية وحددت هوية بعض المختفين كما قدمت تعويضات لعائلات عدد من الضح</w:t>
      </w:r>
      <w:r w:rsidRPr="00062A9A">
        <w:rPr>
          <w:rFonts w:eastAsia="Dubai"/>
          <w:rtl/>
        </w:rPr>
        <w:t xml:space="preserve">ايا، إلا أن التحقيقات توقفت قبل أن تشمل كافة المختفين مثل عبد اللطيف زروال، أمين التهاني، الحسين </w:t>
      </w:r>
      <w:proofErr w:type="spellStart"/>
      <w:r w:rsidRPr="00062A9A">
        <w:rPr>
          <w:rFonts w:eastAsia="Dubai"/>
          <w:rtl/>
        </w:rPr>
        <w:t>المانوزي</w:t>
      </w:r>
      <w:proofErr w:type="spellEnd"/>
      <w:r w:rsidRPr="00062A9A">
        <w:rPr>
          <w:rFonts w:eastAsia="Dubai"/>
          <w:rtl/>
        </w:rPr>
        <w:t xml:space="preserve">، عبدالحق </w:t>
      </w:r>
      <w:proofErr w:type="spellStart"/>
      <w:r w:rsidRPr="00062A9A">
        <w:rPr>
          <w:rFonts w:eastAsia="Dubai"/>
          <w:rtl/>
        </w:rPr>
        <w:t>الرويسي</w:t>
      </w:r>
      <w:proofErr w:type="spellEnd"/>
      <w:r w:rsidRPr="00062A9A">
        <w:rPr>
          <w:rFonts w:eastAsia="Dubai"/>
          <w:rtl/>
        </w:rPr>
        <w:t xml:space="preserve"> و وزان بلقاسم.</w:t>
      </w:r>
      <w:r w:rsidRPr="00062A9A">
        <w:rPr>
          <w:rFonts w:eastAsia="Dubai"/>
          <w:vertAlign w:val="superscript"/>
        </w:rPr>
        <w:t xml:space="preserve"> </w:t>
      </w:r>
      <w:r w:rsidRPr="00062A9A">
        <w:rPr>
          <w:rFonts w:eastAsia="Dubai"/>
          <w:vertAlign w:val="superscript"/>
        </w:rPr>
        <w:footnoteReference w:id="5"/>
      </w:r>
      <w:r w:rsidRPr="00062A9A">
        <w:rPr>
          <w:rFonts w:eastAsia="Dubai"/>
        </w:rPr>
        <w:t xml:space="preserve"> </w:t>
      </w:r>
    </w:p>
    <w:p w14:paraId="0000000B" w14:textId="77777777" w:rsidR="00FE2DFA" w:rsidRPr="00062A9A" w:rsidRDefault="00AC008A" w:rsidP="00062A9A">
      <w:pPr>
        <w:jc w:val="both"/>
        <w:rPr>
          <w:rFonts w:eastAsia="Dubai"/>
        </w:rPr>
      </w:pPr>
      <w:r w:rsidRPr="00062A9A">
        <w:rPr>
          <w:rFonts w:eastAsia="Dubai"/>
          <w:rtl/>
        </w:rPr>
        <w:t>على الجانب الآخر، تشير التقديرات إلى انتهاج البوليساريو سياسة الاخفاء القسري منذ عقود في مواجهة المعارضين لتوجهاتها</w:t>
      </w:r>
      <w:r w:rsidRPr="00062A9A">
        <w:rPr>
          <w:rFonts w:eastAsia="Dubai"/>
          <w:rtl/>
        </w:rPr>
        <w:t xml:space="preserve"> أو الرافضين لانفصالها عن المغرب، لا سيما بالمخيمات القريبة من مدينة تندوف الجزائرية مع غيرها من الانتهاكات كتجنيد الأطفال واستعباد النساء جنسياً والتعذيب المفضي إلى الموت في بعض الأحيان.</w:t>
      </w:r>
      <w:r w:rsidRPr="00062A9A">
        <w:rPr>
          <w:rFonts w:eastAsia="Dubai"/>
          <w:vertAlign w:val="superscript"/>
        </w:rPr>
        <w:footnoteReference w:id="6"/>
      </w:r>
      <w:r w:rsidRPr="00062A9A">
        <w:rPr>
          <w:rFonts w:eastAsia="Dubai"/>
          <w:rtl/>
        </w:rPr>
        <w:t xml:space="preserve"> وذلك دون فتح تحقيقات بشأنها من الأساس؛ نظراً لكون المتورطين بتلك ال</w:t>
      </w:r>
      <w:r w:rsidRPr="00062A9A">
        <w:rPr>
          <w:rFonts w:eastAsia="Dubai"/>
          <w:rtl/>
        </w:rPr>
        <w:t xml:space="preserve">جرائم هم قوات إنفاذ القانون غالباً.  من بين تلك الوقائع اختفاء المدافع المغربي عن حقوق الإنسان </w:t>
      </w:r>
      <w:r w:rsidRPr="00062A9A">
        <w:rPr>
          <w:rFonts w:eastAsia="Dubai"/>
          <w:b/>
          <w:rtl/>
        </w:rPr>
        <w:t>الخليل إبراهيم أحمد</w:t>
      </w:r>
      <w:r w:rsidRPr="00062A9A">
        <w:rPr>
          <w:rFonts w:eastAsia="Dubai"/>
          <w:rtl/>
        </w:rPr>
        <w:t xml:space="preserve"> والذي اعتقلته السلطات الجزائرية وأفراد من البوليساريو من مخيمات تندوف الواقعة بجنوب غرب الجزائر عام 2009 لاختلافه مع سياسات البوليساريو وأخفت</w:t>
      </w:r>
      <w:r w:rsidRPr="00062A9A">
        <w:rPr>
          <w:rFonts w:eastAsia="Dubai"/>
          <w:rtl/>
        </w:rPr>
        <w:t>ه قسرياً منذ ذلك الحين وحتى الآن دون الكشف عن مصيره أو فتح تحقيق جاد في ملابسات اختفائه.</w:t>
      </w:r>
      <w:r w:rsidRPr="00062A9A">
        <w:rPr>
          <w:rFonts w:eastAsia="Dubai"/>
          <w:vertAlign w:val="superscript"/>
        </w:rPr>
        <w:footnoteReference w:id="7"/>
      </w:r>
      <w:r w:rsidRPr="00062A9A">
        <w:rPr>
          <w:rFonts w:eastAsia="Dubai"/>
          <w:rtl/>
        </w:rPr>
        <w:t xml:space="preserve"> وفي إبريل 2023 اختفى أحد الشباب الصحراويين يدعى </w:t>
      </w:r>
      <w:r w:rsidRPr="00062A9A">
        <w:rPr>
          <w:rFonts w:eastAsia="Dubai"/>
          <w:b/>
          <w:rtl/>
        </w:rPr>
        <w:t>(</w:t>
      </w:r>
      <w:proofErr w:type="spellStart"/>
      <w:r w:rsidRPr="00062A9A">
        <w:rPr>
          <w:rFonts w:eastAsia="Dubai"/>
          <w:b/>
          <w:rtl/>
        </w:rPr>
        <w:t>م.س</w:t>
      </w:r>
      <w:proofErr w:type="spellEnd"/>
      <w:r w:rsidRPr="00062A9A">
        <w:rPr>
          <w:rFonts w:eastAsia="Dubai"/>
          <w:b/>
          <w:rtl/>
        </w:rPr>
        <w:t>)</w:t>
      </w:r>
      <w:r w:rsidRPr="00062A9A">
        <w:rPr>
          <w:rFonts w:eastAsia="Dubai"/>
          <w:rtl/>
        </w:rPr>
        <w:t xml:space="preserve"> قسرياً لمدة ثلاثة أشهر على يد قوات البوليساريو تعرض خلالها للتعذيب نتيجة تداوله منشورات عبر مواقع التواصل الاجتم</w:t>
      </w:r>
      <w:r w:rsidRPr="00062A9A">
        <w:rPr>
          <w:rFonts w:eastAsia="Dubai"/>
          <w:rtl/>
        </w:rPr>
        <w:t xml:space="preserve">اعي تكشف الفساد وسوء الأوضاع المعيشية في مخيمات تندوف، إلى أن تم الإفراج عنه بعد ضغط شعبي واسع من الصحراويين. وترفض المحاكم والسلطات العسكرية الجزائرية بشكل معتاد نظر شكاوى الصحراويين أمامها في الانتهاكات التي تمارسها البوليساريو ضدهم بداعي أن الجزائر غير </w:t>
      </w:r>
      <w:r w:rsidRPr="00062A9A">
        <w:rPr>
          <w:rFonts w:eastAsia="Dubai"/>
          <w:rtl/>
        </w:rPr>
        <w:t xml:space="preserve">مسؤولة عن </w:t>
      </w:r>
      <w:r w:rsidRPr="00062A9A">
        <w:rPr>
          <w:rFonts w:eastAsia="Dubai"/>
          <w:rtl/>
        </w:rPr>
        <w:lastRenderedPageBreak/>
        <w:t>إدارة شؤونهم، رغم وقوع بعض تلك المخيمات داخل الأراضي الجزائرية، واعتقال (</w:t>
      </w:r>
      <w:proofErr w:type="spellStart"/>
      <w:r w:rsidRPr="00062A9A">
        <w:rPr>
          <w:rFonts w:eastAsia="Dubai"/>
          <w:rtl/>
        </w:rPr>
        <w:t>م.س</w:t>
      </w:r>
      <w:proofErr w:type="spellEnd"/>
      <w:r w:rsidRPr="00062A9A">
        <w:rPr>
          <w:rFonts w:eastAsia="Dubai"/>
          <w:rtl/>
        </w:rPr>
        <w:t>) من أمام إحدى نقاط التفتيش التابعة للجيش الجزائري.</w:t>
      </w:r>
      <w:r w:rsidRPr="00062A9A">
        <w:rPr>
          <w:rFonts w:eastAsia="Dubai"/>
          <w:vertAlign w:val="superscript"/>
        </w:rPr>
        <w:footnoteReference w:id="8"/>
      </w:r>
    </w:p>
    <w:p w14:paraId="0000000C" w14:textId="0CAAF832" w:rsidR="00FE2DFA" w:rsidRPr="00062A9A" w:rsidRDefault="00AC008A" w:rsidP="00062A9A">
      <w:pPr>
        <w:pBdr>
          <w:top w:val="nil"/>
          <w:left w:val="nil"/>
          <w:bottom w:val="nil"/>
          <w:right w:val="nil"/>
          <w:between w:val="nil"/>
        </w:pBdr>
        <w:spacing w:line="240" w:lineRule="auto"/>
        <w:jc w:val="both"/>
        <w:rPr>
          <w:rFonts w:eastAsia="Dubai"/>
          <w:color w:val="C00000"/>
        </w:rPr>
      </w:pPr>
      <w:r w:rsidRPr="00062A9A">
        <w:rPr>
          <w:rFonts w:eastAsia="Dubai"/>
          <w:color w:val="000000"/>
          <w:rtl/>
        </w:rPr>
        <w:t xml:space="preserve">كما كشفت بعض التقارير الحقوقية عن حالات اختفاء قسري في </w:t>
      </w:r>
      <w:r w:rsidR="00062A9A" w:rsidRPr="00062A9A">
        <w:rPr>
          <w:rFonts w:eastAsia="Dubai" w:hint="cs"/>
          <w:color w:val="000000"/>
          <w:rtl/>
        </w:rPr>
        <w:t>مخيمات</w:t>
      </w:r>
      <w:r w:rsidRPr="00062A9A">
        <w:rPr>
          <w:rFonts w:eastAsia="Dubai"/>
          <w:color w:val="000000"/>
          <w:rtl/>
        </w:rPr>
        <w:t xml:space="preserve"> تندوف والتي ترتكبها جبهة البوليساريو منها الطفلة القاصرة صفية كأحد أبشع حالات الخطف التي تم ارتكابها على يد الجبهة في ٢٠٢٠، وصفية هي فتاة صحراوية تبلغ ١٢ عامًا، تم اختطافها مع والدها الحسن، وقد أخذهم المختطفون إلى مخيم </w:t>
      </w:r>
      <w:proofErr w:type="spellStart"/>
      <w:r w:rsidRPr="00062A9A">
        <w:rPr>
          <w:rFonts w:eastAsia="Dubai"/>
          <w:color w:val="000000"/>
          <w:rtl/>
        </w:rPr>
        <w:t>الرابوني</w:t>
      </w:r>
      <w:proofErr w:type="spellEnd"/>
      <w:r w:rsidRPr="00062A9A">
        <w:rPr>
          <w:rFonts w:eastAsia="Dubai"/>
          <w:color w:val="000000"/>
          <w:rtl/>
        </w:rPr>
        <w:t xml:space="preserve"> وتم حبس والد الطفلة في مركز</w:t>
      </w:r>
      <w:r w:rsidRPr="00062A9A">
        <w:rPr>
          <w:rFonts w:eastAsia="Dubai"/>
          <w:color w:val="000000"/>
          <w:rtl/>
        </w:rPr>
        <w:t xml:space="preserve"> الاحتجاز السري المعروف بالرشيد حيث تعرض لأبشع أنواع التعذيب لأنه أختار البقاء في المغرب بدلًا من الانضمام في مخيمات تندوف.</w:t>
      </w:r>
      <w:r w:rsidRPr="00062A9A">
        <w:rPr>
          <w:rFonts w:eastAsia="Dubai"/>
          <w:color w:val="000000"/>
          <w:vertAlign w:val="superscript"/>
        </w:rPr>
        <w:footnoteReference w:id="9"/>
      </w:r>
    </w:p>
    <w:p w14:paraId="0000000D" w14:textId="3B2BF058" w:rsidR="00FE2DFA" w:rsidRPr="00062A9A" w:rsidRDefault="00AC008A" w:rsidP="00062A9A">
      <w:pPr>
        <w:shd w:val="clear" w:color="auto" w:fill="227ACB"/>
        <w:jc w:val="both"/>
        <w:rPr>
          <w:rFonts w:eastAsia="Dubai"/>
          <w:b/>
          <w:bCs/>
          <w:color w:val="FFFFFF"/>
        </w:rPr>
      </w:pPr>
      <w:r w:rsidRPr="00062A9A">
        <w:rPr>
          <w:rFonts w:eastAsia="Dubai"/>
          <w:b/>
          <w:bCs/>
          <w:color w:val="FFFFFF"/>
          <w:rtl/>
        </w:rPr>
        <w:t>الولاية القضائية في جريمة الاختفاء القسري (المادة التاسعة)</w:t>
      </w:r>
    </w:p>
    <w:p w14:paraId="0000000E" w14:textId="1FB03DB5" w:rsidR="00FE2DFA" w:rsidRPr="00062A9A" w:rsidRDefault="00AC008A" w:rsidP="00062A9A">
      <w:pPr>
        <w:jc w:val="both"/>
        <w:rPr>
          <w:rFonts w:eastAsia="Dubai"/>
        </w:rPr>
      </w:pPr>
      <w:r w:rsidRPr="00062A9A">
        <w:rPr>
          <w:rFonts w:eastAsia="Dubai"/>
          <w:rtl/>
        </w:rPr>
        <w:t>تلتزم المغرب وفقاً للمادة التاسعة من الاتفاقية بالبت في جرائم الاختفاء ا</w:t>
      </w:r>
      <w:r w:rsidRPr="00062A9A">
        <w:rPr>
          <w:rFonts w:eastAsia="Dubai"/>
          <w:rtl/>
        </w:rPr>
        <w:t>لقسري الواقعة داخل حدودها أو أي إقليم خاضع لولايتها وكذلك عندما يكون الجاني أو الضحية من رعاياها. وخروجاً على تلك الأحكام يخضع سكان مخيم تندوف لدستور ما يسمى الجمهورية الوهمية العربية الصحراوية (الغير معترف بها) وقوانينها الداخلية، كما تتولى جبهة البوليسار</w:t>
      </w:r>
      <w:r w:rsidRPr="00062A9A">
        <w:rPr>
          <w:rFonts w:eastAsia="Dubai"/>
          <w:rtl/>
        </w:rPr>
        <w:t xml:space="preserve">يو وحدها إدارة السجون والمحاكم والمخيمات بإرادتها المنفردة وخروجاً على القوانين المغربية. </w:t>
      </w:r>
    </w:p>
    <w:p w14:paraId="0000000F" w14:textId="77777777" w:rsidR="00FE2DFA" w:rsidRPr="00062A9A" w:rsidRDefault="00AC008A" w:rsidP="00062A9A">
      <w:pPr>
        <w:jc w:val="both"/>
        <w:rPr>
          <w:rFonts w:eastAsia="Dubai"/>
        </w:rPr>
      </w:pPr>
      <w:r w:rsidRPr="00062A9A">
        <w:rPr>
          <w:rFonts w:eastAsia="Dubai"/>
          <w:rtl/>
        </w:rPr>
        <w:t>وبالحديث عن الولاية القضائية الخاصة بجرائم الاختفاء القسري التي تتم بالصحراء ومخيمات تندوف على وجه التحديد، لاحظت الهيئة أنه نتيجة لامتداد النزاع بين السلطات المغربي</w:t>
      </w:r>
      <w:r w:rsidRPr="00062A9A">
        <w:rPr>
          <w:rFonts w:eastAsia="Dubai"/>
          <w:rtl/>
        </w:rPr>
        <w:t>ة وجبهة البوليساريو، لم تتمكن المغرب من فرض ولايتها القضائية على منطقة الجدار العازل بالصحراء على الوجه الموافق لالتزاماتها بموجب المادة التاسعة من الاتفاقية، كما تتنصل جبهة البوليساريو من التزاماتها في هذا الشأن بدعوى أن مخيمات تندوف تقع تحت الولاية القان</w:t>
      </w:r>
      <w:r w:rsidRPr="00062A9A">
        <w:rPr>
          <w:rFonts w:eastAsia="Dubai"/>
          <w:rtl/>
        </w:rPr>
        <w:t xml:space="preserve">ونية للجزائر، ومن جانبها أفادت السلطات الجزائرية في أكثر من مناسبة أنها </w:t>
      </w:r>
      <w:r w:rsidRPr="00062A9A">
        <w:rPr>
          <w:rFonts w:eastAsia="Dubai"/>
          <w:rtl/>
        </w:rPr>
        <w:lastRenderedPageBreak/>
        <w:t>قامت بتسليم إدارة مخيمات تندوف إلى جبهة البوليساريو</w:t>
      </w:r>
      <w:r w:rsidRPr="00062A9A">
        <w:rPr>
          <w:rFonts w:eastAsia="Dubai"/>
          <w:vertAlign w:val="superscript"/>
        </w:rPr>
        <w:footnoteReference w:id="10"/>
      </w:r>
      <w:r w:rsidRPr="00062A9A">
        <w:rPr>
          <w:rFonts w:eastAsia="Dubai"/>
          <w:rtl/>
        </w:rPr>
        <w:t xml:space="preserve">، مما يخلق حالة من الفراغ القانوني والقضائي التي تعيق تنفيذ المادة التاسعة من الاتفاقية على وجهها الصحيح ويساهم في تصاعد الانتهاكات </w:t>
      </w:r>
      <w:r w:rsidRPr="00062A9A">
        <w:rPr>
          <w:rFonts w:eastAsia="Dubai"/>
          <w:rtl/>
        </w:rPr>
        <w:t>الحقوقية بتلك المنطقة دون رادع.</w:t>
      </w:r>
    </w:p>
    <w:p w14:paraId="00000010" w14:textId="26E55F30" w:rsidR="00FE2DFA" w:rsidRPr="00062A9A" w:rsidRDefault="00AC008A" w:rsidP="00062A9A">
      <w:pPr>
        <w:shd w:val="clear" w:color="auto" w:fill="227ACB"/>
        <w:jc w:val="both"/>
        <w:rPr>
          <w:rFonts w:eastAsia="Dubai"/>
          <w:bCs/>
          <w:color w:val="FFFFFF"/>
        </w:rPr>
      </w:pPr>
      <w:r w:rsidRPr="00062A9A">
        <w:rPr>
          <w:rFonts w:eastAsia="Dubai"/>
          <w:bCs/>
          <w:color w:val="FFFFFF"/>
          <w:rtl/>
        </w:rPr>
        <w:t>توصيات</w:t>
      </w:r>
    </w:p>
    <w:p w14:paraId="00000011" w14:textId="6A9D062D" w:rsidR="00FE2DFA" w:rsidRPr="00062A9A" w:rsidRDefault="00AC008A" w:rsidP="00062A9A">
      <w:pPr>
        <w:numPr>
          <w:ilvl w:val="0"/>
          <w:numId w:val="1"/>
        </w:numPr>
        <w:pBdr>
          <w:top w:val="nil"/>
          <w:left w:val="nil"/>
          <w:bottom w:val="nil"/>
          <w:right w:val="nil"/>
          <w:between w:val="nil"/>
        </w:pBdr>
        <w:spacing w:after="0"/>
        <w:jc w:val="both"/>
        <w:rPr>
          <w:color w:val="000000"/>
        </w:rPr>
      </w:pPr>
      <w:r w:rsidRPr="00062A9A">
        <w:rPr>
          <w:rFonts w:eastAsia="Dubai"/>
          <w:color w:val="000000"/>
          <w:rtl/>
        </w:rPr>
        <w:t xml:space="preserve">فتح تحقيقات مستقلة جادة وعاجلة في حالات الاختفاء القسري التي وقعت بمنطقة </w:t>
      </w:r>
      <w:r w:rsidRPr="00062A9A">
        <w:rPr>
          <w:rFonts w:eastAsia="Dubai"/>
          <w:rtl/>
        </w:rPr>
        <w:t xml:space="preserve">تندوف جنوب الجزائر </w:t>
      </w:r>
      <w:r w:rsidRPr="00062A9A">
        <w:rPr>
          <w:rFonts w:eastAsia="Dubai"/>
          <w:color w:val="000000"/>
          <w:rtl/>
        </w:rPr>
        <w:t xml:space="preserve">خلال العقود الخمسة الأخيرة، وإحالة المتورطين </w:t>
      </w:r>
      <w:r w:rsidR="00062A9A" w:rsidRPr="00062A9A">
        <w:rPr>
          <w:rFonts w:eastAsia="Dubai" w:hint="cs"/>
          <w:color w:val="000000"/>
          <w:rtl/>
        </w:rPr>
        <w:t>بها وخصوصا</w:t>
      </w:r>
      <w:r w:rsidRPr="00062A9A">
        <w:rPr>
          <w:rFonts w:eastAsia="Dubai"/>
          <w:color w:val="000000"/>
          <w:rtl/>
        </w:rPr>
        <w:t xml:space="preserve"> </w:t>
      </w:r>
      <w:r w:rsidR="00062A9A" w:rsidRPr="00062A9A">
        <w:rPr>
          <w:rFonts w:eastAsia="Dubai" w:hint="cs"/>
          <w:rtl/>
        </w:rPr>
        <w:t>أعضاء جبهة</w:t>
      </w:r>
      <w:r w:rsidRPr="00062A9A">
        <w:rPr>
          <w:rFonts w:eastAsia="Dubai"/>
          <w:rtl/>
        </w:rPr>
        <w:t xml:space="preserve"> البوليساريو </w:t>
      </w:r>
      <w:r w:rsidRPr="00062A9A">
        <w:rPr>
          <w:rFonts w:eastAsia="Dubai"/>
          <w:color w:val="000000"/>
          <w:rtl/>
        </w:rPr>
        <w:t>إلى الأجهزة القضائية سواء الوطنية أو الدولية ا</w:t>
      </w:r>
      <w:r w:rsidRPr="00062A9A">
        <w:rPr>
          <w:rFonts w:eastAsia="Dubai"/>
          <w:color w:val="000000"/>
          <w:rtl/>
        </w:rPr>
        <w:t>لقادرة على إجراء المحاكمة وفقا للقانون، باعتبارها جرائم لا تسقط بالتقادم.</w:t>
      </w:r>
    </w:p>
    <w:p w14:paraId="00000012" w14:textId="3CE78140" w:rsidR="00FE2DFA" w:rsidRPr="00062A9A" w:rsidRDefault="00062A9A" w:rsidP="00062A9A">
      <w:pPr>
        <w:numPr>
          <w:ilvl w:val="0"/>
          <w:numId w:val="1"/>
        </w:numPr>
        <w:pBdr>
          <w:top w:val="nil"/>
          <w:left w:val="nil"/>
          <w:bottom w:val="nil"/>
          <w:right w:val="nil"/>
          <w:between w:val="nil"/>
        </w:pBdr>
        <w:spacing w:after="0"/>
        <w:jc w:val="both"/>
        <w:rPr>
          <w:color w:val="000000"/>
        </w:rPr>
      </w:pPr>
      <w:r w:rsidRPr="00062A9A">
        <w:rPr>
          <w:rFonts w:eastAsia="Dubai" w:hint="cs"/>
          <w:color w:val="000000"/>
          <w:rtl/>
        </w:rPr>
        <w:t>إلزام</w:t>
      </w:r>
      <w:r w:rsidRPr="00062A9A">
        <w:rPr>
          <w:rFonts w:eastAsia="Dubai"/>
          <w:color w:val="000000"/>
          <w:rtl/>
        </w:rPr>
        <w:t xml:space="preserve"> الدول والكيانات الغير منضمة للاتفاقيات الدولية لحقوق الإنسان بالخضوع لأحكام تلك الاتفاقيات كأعراف دولية حتى لو لم تصادق عليها.</w:t>
      </w:r>
    </w:p>
    <w:p w14:paraId="00000013" w14:textId="799D7BE6" w:rsidR="00FE2DFA" w:rsidRPr="00062A9A" w:rsidRDefault="00AC008A" w:rsidP="00062A9A">
      <w:pPr>
        <w:numPr>
          <w:ilvl w:val="0"/>
          <w:numId w:val="1"/>
        </w:numPr>
        <w:pBdr>
          <w:top w:val="nil"/>
          <w:left w:val="nil"/>
          <w:bottom w:val="nil"/>
          <w:right w:val="nil"/>
          <w:between w:val="nil"/>
        </w:pBdr>
        <w:spacing w:after="0"/>
        <w:jc w:val="both"/>
        <w:rPr>
          <w:color w:val="000000"/>
        </w:rPr>
      </w:pPr>
      <w:r w:rsidRPr="00062A9A">
        <w:rPr>
          <w:rFonts w:eastAsia="Dubai"/>
          <w:color w:val="000000"/>
          <w:rtl/>
        </w:rPr>
        <w:t>السعي نحو تسوية النزاع السياسي القائم بين الحكومة</w:t>
      </w:r>
      <w:r w:rsidRPr="00062A9A">
        <w:rPr>
          <w:rFonts w:eastAsia="Dubai"/>
          <w:color w:val="000000"/>
          <w:rtl/>
        </w:rPr>
        <w:t xml:space="preserve"> المغربية وجبهة البوليساريو من خلال المفاوضات والحوار السلمي، وتبنى</w:t>
      </w:r>
      <w:r w:rsidRPr="00062A9A">
        <w:rPr>
          <w:rFonts w:eastAsia="Dubai"/>
          <w:rtl/>
        </w:rPr>
        <w:t xml:space="preserve"> الحكم الذاتي كحل </w:t>
      </w:r>
      <w:r w:rsidR="00062A9A" w:rsidRPr="00062A9A">
        <w:rPr>
          <w:rFonts w:eastAsia="Dubai" w:hint="cs"/>
          <w:rtl/>
        </w:rPr>
        <w:t>واقعي</w:t>
      </w:r>
      <w:r w:rsidRPr="00062A9A">
        <w:rPr>
          <w:rFonts w:eastAsia="Dubai"/>
          <w:rtl/>
        </w:rPr>
        <w:t xml:space="preserve"> يضمن الحقوق الاقتصادية والاجتماعية والسياسية للصحراويين </w:t>
      </w:r>
      <w:r w:rsidRPr="00062A9A">
        <w:rPr>
          <w:rFonts w:eastAsia="Dubai"/>
          <w:color w:val="000000"/>
          <w:rtl/>
        </w:rPr>
        <w:t>حيث تسهم حالة النزاع المستمر في تدهور حالة حقوق الإنسان وزيادة حالات الانتهاكات</w:t>
      </w:r>
      <w:r w:rsidRPr="00062A9A">
        <w:rPr>
          <w:rFonts w:eastAsia="Dubai"/>
          <w:rtl/>
        </w:rPr>
        <w:t xml:space="preserve"> خصوصا </w:t>
      </w:r>
      <w:r w:rsidR="00062A9A" w:rsidRPr="00062A9A">
        <w:rPr>
          <w:rFonts w:eastAsia="Dubai" w:hint="cs"/>
          <w:rtl/>
        </w:rPr>
        <w:t>في</w:t>
      </w:r>
      <w:r w:rsidRPr="00062A9A">
        <w:rPr>
          <w:rFonts w:eastAsia="Dubai"/>
          <w:rtl/>
        </w:rPr>
        <w:t xml:space="preserve"> مخيمات اللاجئين تندو</w:t>
      </w:r>
      <w:r w:rsidRPr="00062A9A">
        <w:rPr>
          <w:rFonts w:eastAsia="Dubai"/>
          <w:rtl/>
        </w:rPr>
        <w:t>ف.</w:t>
      </w:r>
    </w:p>
    <w:p w14:paraId="00000014" w14:textId="77777777" w:rsidR="00FE2DFA" w:rsidRPr="00062A9A" w:rsidRDefault="00AC008A" w:rsidP="00062A9A">
      <w:pPr>
        <w:numPr>
          <w:ilvl w:val="0"/>
          <w:numId w:val="1"/>
        </w:numPr>
        <w:pBdr>
          <w:top w:val="nil"/>
          <w:left w:val="nil"/>
          <w:bottom w:val="nil"/>
          <w:right w:val="nil"/>
          <w:between w:val="nil"/>
        </w:pBdr>
        <w:spacing w:after="0"/>
        <w:jc w:val="both"/>
        <w:rPr>
          <w:color w:val="000000"/>
        </w:rPr>
      </w:pPr>
      <w:r w:rsidRPr="00062A9A">
        <w:rPr>
          <w:rFonts w:eastAsia="Dubai"/>
          <w:color w:val="000000"/>
          <w:rtl/>
        </w:rPr>
        <w:t>تقديم تعويضات مادية ومعنوية مناسبة للضحايا وأسرهم، وتقديم الدعم النفسي والاجتماعي المناسب لهم وإعادة إدماجهم داخل مجتمعاتهم.</w:t>
      </w:r>
    </w:p>
    <w:p w14:paraId="00000015" w14:textId="77777777" w:rsidR="00FE2DFA" w:rsidRPr="00062A9A" w:rsidRDefault="00AC008A" w:rsidP="00062A9A">
      <w:pPr>
        <w:numPr>
          <w:ilvl w:val="0"/>
          <w:numId w:val="1"/>
        </w:numPr>
        <w:pBdr>
          <w:top w:val="nil"/>
          <w:left w:val="nil"/>
          <w:bottom w:val="nil"/>
          <w:right w:val="nil"/>
          <w:between w:val="nil"/>
        </w:pBdr>
        <w:jc w:val="both"/>
        <w:rPr>
          <w:color w:val="000000"/>
        </w:rPr>
      </w:pPr>
      <w:r w:rsidRPr="00062A9A">
        <w:rPr>
          <w:rFonts w:eastAsia="Dubai"/>
          <w:color w:val="000000"/>
          <w:rtl/>
        </w:rPr>
        <w:t xml:space="preserve">فتح السجون ومراكز الاحتجاز الجزائرية والتابعة لجبهة البوليساريو أمام الهيئات الحقوقية ومنظمات المجتمع المدني لإجراء عمليات تفتيش دورية وضمان الإفراج عن المحتجزين دون توجيه تهم إليهم أو عرضهم على القضاء. </w:t>
      </w:r>
    </w:p>
    <w:p w14:paraId="00000016" w14:textId="77777777" w:rsidR="00FE2DFA" w:rsidRPr="00062A9A" w:rsidRDefault="00FE2DFA" w:rsidP="00062A9A">
      <w:pPr>
        <w:jc w:val="both"/>
        <w:rPr>
          <w:rFonts w:eastAsia="Dubai"/>
        </w:rPr>
      </w:pPr>
    </w:p>
    <w:sectPr w:rsidR="00FE2DFA" w:rsidRPr="00062A9A">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7476F6" w14:textId="77777777" w:rsidR="00AC008A" w:rsidRDefault="00AC008A">
      <w:pPr>
        <w:spacing w:after="0" w:line="240" w:lineRule="auto"/>
      </w:pPr>
      <w:r>
        <w:separator/>
      </w:r>
    </w:p>
  </w:endnote>
  <w:endnote w:type="continuationSeparator" w:id="0">
    <w:p w14:paraId="0275BF9B" w14:textId="77777777" w:rsidR="00AC008A" w:rsidRDefault="00AC00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Dubai">
    <w:charset w:val="00"/>
    <w:family w:val="swiss"/>
    <w:pitch w:val="variable"/>
    <w:sig w:usb0="80002067"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0E38E5" w14:textId="77777777" w:rsidR="00AC008A" w:rsidRDefault="00AC008A">
      <w:pPr>
        <w:spacing w:after="0" w:line="240" w:lineRule="auto"/>
      </w:pPr>
      <w:r>
        <w:separator/>
      </w:r>
    </w:p>
  </w:footnote>
  <w:footnote w:type="continuationSeparator" w:id="0">
    <w:p w14:paraId="69AC5225" w14:textId="77777777" w:rsidR="00AC008A" w:rsidRDefault="00AC008A">
      <w:pPr>
        <w:spacing w:after="0" w:line="240" w:lineRule="auto"/>
      </w:pPr>
      <w:r>
        <w:continuationSeparator/>
      </w:r>
    </w:p>
  </w:footnote>
  <w:footnote w:id="1">
    <w:p w14:paraId="00000017" w14:textId="77777777" w:rsidR="00FE2DFA" w:rsidRDefault="00AC008A">
      <w:pPr>
        <w:spacing w:after="0" w:line="240" w:lineRule="auto"/>
        <w:rPr>
          <w:sz w:val="20"/>
          <w:szCs w:val="20"/>
        </w:rPr>
      </w:pPr>
      <w:r>
        <w:rPr>
          <w:vertAlign w:val="superscript"/>
        </w:rPr>
        <w:footnoteRef/>
      </w:r>
      <w:r>
        <w:rPr>
          <w:sz w:val="20"/>
          <w:szCs w:val="20"/>
          <w:rtl/>
        </w:rPr>
        <w:t xml:space="preserve"> بيان الجمعية المغربية لحقوق الانسان بمناسبة</w:t>
      </w:r>
      <w:r>
        <w:rPr>
          <w:sz w:val="20"/>
          <w:szCs w:val="20"/>
          <w:rtl/>
        </w:rPr>
        <w:t xml:space="preserve"> اليوم الدولي لضحايا الاختفاء القسري 30 غشت، الجمعية المغربية لحقوق الإنسان، </w:t>
      </w:r>
      <w:hyperlink r:id="rId1">
        <w:r>
          <w:rPr>
            <w:color w:val="1155CC"/>
            <w:sz w:val="20"/>
            <w:szCs w:val="20"/>
            <w:u w:val="single"/>
          </w:rPr>
          <w:t>https://2h.ae/xdRq</w:t>
        </w:r>
      </w:hyperlink>
      <w:r>
        <w:rPr>
          <w:sz w:val="20"/>
          <w:szCs w:val="20"/>
        </w:rPr>
        <w:t xml:space="preserve"> </w:t>
      </w:r>
    </w:p>
  </w:footnote>
  <w:footnote w:id="2">
    <w:p w14:paraId="00000018" w14:textId="33ED6A01" w:rsidR="00FE2DFA" w:rsidRDefault="00AC008A">
      <w:pPr>
        <w:spacing w:after="0" w:line="240" w:lineRule="auto"/>
        <w:rPr>
          <w:sz w:val="20"/>
          <w:szCs w:val="20"/>
        </w:rPr>
      </w:pPr>
      <w:r>
        <w:rPr>
          <w:vertAlign w:val="superscript"/>
        </w:rPr>
        <w:footnoteRef/>
      </w:r>
      <w:r>
        <w:rPr>
          <w:sz w:val="20"/>
          <w:szCs w:val="20"/>
          <w:rtl/>
        </w:rPr>
        <w:t xml:space="preserve"> الرد على قائمة المسائل، المغرب - سبتمبر 2023،</w:t>
      </w:r>
    </w:p>
  </w:footnote>
  <w:footnote w:id="3">
    <w:p w14:paraId="0000001A" w14:textId="77777777" w:rsidR="00FE2DFA" w:rsidRDefault="00AC008A">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Sahrawi Arab Democratic Republic, policing law, </w:t>
      </w:r>
      <w:hyperlink r:id="rId2">
        <w:r>
          <w:rPr>
            <w:color w:val="0563C1"/>
            <w:sz w:val="20"/>
            <w:szCs w:val="20"/>
            <w:u w:val="single"/>
          </w:rPr>
          <w:t>https://2h.ae/XwdE</w:t>
        </w:r>
      </w:hyperlink>
      <w:r>
        <w:rPr>
          <w:color w:val="000000"/>
          <w:sz w:val="20"/>
          <w:szCs w:val="20"/>
        </w:rPr>
        <w:t xml:space="preserve"> </w:t>
      </w:r>
    </w:p>
  </w:footnote>
  <w:footnote w:id="4">
    <w:p w14:paraId="0000001B" w14:textId="77777777" w:rsidR="00FE2DFA" w:rsidRDefault="00AC008A">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tl/>
        </w:rPr>
        <w:t xml:space="preserve"> قانون المسطرة الجنائية، المملكة المغربية – وزارة العدل، </w:t>
      </w:r>
      <w:hyperlink r:id="rId3">
        <w:r>
          <w:rPr>
            <w:color w:val="0563C1"/>
            <w:sz w:val="20"/>
            <w:szCs w:val="20"/>
            <w:u w:val="single"/>
          </w:rPr>
          <w:t>https://2h.ae/DShJ</w:t>
        </w:r>
      </w:hyperlink>
      <w:r>
        <w:rPr>
          <w:color w:val="000000"/>
          <w:sz w:val="20"/>
          <w:szCs w:val="20"/>
        </w:rPr>
        <w:t xml:space="preserve"> </w:t>
      </w:r>
    </w:p>
  </w:footnote>
  <w:footnote w:id="5">
    <w:p w14:paraId="0000001C" w14:textId="77777777" w:rsidR="00FE2DFA" w:rsidRDefault="00AC008A">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tl/>
        </w:rPr>
        <w:t xml:space="preserve"> منذ "سنوات الرصاص".. عائلات الضحايا تطالب المغرب بالكشف عن "الحقيقة"، الحرة، </w:t>
      </w:r>
      <w:hyperlink r:id="rId4">
        <w:r>
          <w:rPr>
            <w:color w:val="0563C1"/>
            <w:sz w:val="20"/>
            <w:szCs w:val="20"/>
            <w:u w:val="single"/>
          </w:rPr>
          <w:t>https://2h.ae/kSDo</w:t>
        </w:r>
      </w:hyperlink>
      <w:r>
        <w:rPr>
          <w:color w:val="000000"/>
          <w:sz w:val="20"/>
          <w:szCs w:val="20"/>
        </w:rPr>
        <w:t xml:space="preserve"> </w:t>
      </w:r>
    </w:p>
  </w:footnote>
  <w:footnote w:id="6">
    <w:p w14:paraId="0000001D" w14:textId="77777777" w:rsidR="00FE2DFA" w:rsidRDefault="00AC008A">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tl/>
        </w:rPr>
        <w:t xml:space="preserve"> الأمم المتحدة: إدانة الانتهاكات الصارخة لحقوق الإنسان في مخيمات تندوف، </w:t>
      </w:r>
      <w:r>
        <w:rPr>
          <w:color w:val="000000"/>
          <w:sz w:val="20"/>
          <w:szCs w:val="20"/>
        </w:rPr>
        <w:t xml:space="preserve">le360 </w:t>
      </w:r>
      <w:r>
        <w:rPr>
          <w:color w:val="000000"/>
          <w:sz w:val="20"/>
          <w:szCs w:val="20"/>
          <w:rtl/>
        </w:rPr>
        <w:t>،</w:t>
      </w:r>
      <w:r>
        <w:rPr>
          <w:color w:val="000000"/>
          <w:sz w:val="20"/>
          <w:szCs w:val="20"/>
        </w:rPr>
        <w:t xml:space="preserve"> </w:t>
      </w:r>
      <w:hyperlink r:id="rId5">
        <w:r>
          <w:rPr>
            <w:color w:val="0563C1"/>
            <w:sz w:val="20"/>
            <w:szCs w:val="20"/>
            <w:u w:val="single"/>
          </w:rPr>
          <w:t>https://2h.ae/NuiQ</w:t>
        </w:r>
      </w:hyperlink>
      <w:r>
        <w:rPr>
          <w:color w:val="000000"/>
          <w:sz w:val="20"/>
          <w:szCs w:val="20"/>
        </w:rPr>
        <w:t xml:space="preserve"> </w:t>
      </w:r>
    </w:p>
  </w:footnote>
  <w:footnote w:id="7">
    <w:p w14:paraId="0000001E" w14:textId="0DE43323" w:rsidR="00FE2DFA" w:rsidRDefault="00AC008A">
      <w:pPr>
        <w:rPr>
          <w:sz w:val="20"/>
          <w:szCs w:val="20"/>
        </w:rPr>
      </w:pPr>
      <w:r>
        <w:rPr>
          <w:vertAlign w:val="superscript"/>
        </w:rPr>
        <w:footnoteRef/>
      </w:r>
      <w:r>
        <w:t xml:space="preserve"> </w:t>
      </w:r>
      <w:r>
        <w:rPr>
          <w:sz w:val="20"/>
          <w:szCs w:val="20"/>
        </w:rPr>
        <w:t xml:space="preserve">The family of El Khalil and Sahrawis in the camp are determined to continue their fight against Polisario’s silence on the disappearance of Ahmed El Khalil, </w:t>
      </w:r>
      <w:r w:rsidR="00062A9A">
        <w:rPr>
          <w:sz w:val="20"/>
          <w:szCs w:val="20"/>
        </w:rPr>
        <w:t>Morocco</w:t>
      </w:r>
      <w:r>
        <w:rPr>
          <w:sz w:val="20"/>
          <w:szCs w:val="20"/>
        </w:rPr>
        <w:t xml:space="preserve"> world news, </w:t>
      </w:r>
      <w:hyperlink r:id="rId6">
        <w:r>
          <w:rPr>
            <w:color w:val="0563C1"/>
            <w:sz w:val="20"/>
            <w:szCs w:val="20"/>
            <w:u w:val="single"/>
          </w:rPr>
          <w:t>https://2u.pw/fb1SJgag</w:t>
        </w:r>
      </w:hyperlink>
      <w:r>
        <w:rPr>
          <w:sz w:val="20"/>
          <w:szCs w:val="20"/>
        </w:rPr>
        <w:t xml:space="preserve"> </w:t>
      </w:r>
    </w:p>
  </w:footnote>
  <w:footnote w:id="8">
    <w:p w14:paraId="0000001F" w14:textId="77777777" w:rsidR="00FE2DFA" w:rsidRDefault="00AC008A">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ALGERIA / P</w:t>
      </w:r>
      <w:r>
        <w:rPr>
          <w:color w:val="000000"/>
          <w:sz w:val="20"/>
          <w:szCs w:val="20"/>
        </w:rPr>
        <w:t xml:space="preserve">OLISARIO: WITH THE ENFORCED DISAPPEARANCE OF A YOUNG SAHRAWI ACTIVIST BY THE POLISARIO, THE ISSUE OF THE LACK OF PROTECTION OF REFUGEE RIGHTS IN TINDOUF ONCE AGAIN BEFORE THE HUMAN RIGHTS COMMITTEE, </w:t>
      </w:r>
      <w:proofErr w:type="spellStart"/>
      <w:r>
        <w:rPr>
          <w:color w:val="000000"/>
          <w:sz w:val="20"/>
          <w:szCs w:val="20"/>
        </w:rPr>
        <w:t>alkarama</w:t>
      </w:r>
      <w:proofErr w:type="spellEnd"/>
      <w:r>
        <w:rPr>
          <w:color w:val="000000"/>
          <w:sz w:val="20"/>
          <w:szCs w:val="20"/>
        </w:rPr>
        <w:t xml:space="preserve">, </w:t>
      </w:r>
      <w:hyperlink r:id="rId7">
        <w:r>
          <w:rPr>
            <w:color w:val="0563C1"/>
            <w:sz w:val="20"/>
            <w:szCs w:val="20"/>
            <w:u w:val="single"/>
          </w:rPr>
          <w:t>https</w:t>
        </w:r>
        <w:r>
          <w:rPr>
            <w:color w:val="0563C1"/>
            <w:sz w:val="20"/>
            <w:szCs w:val="20"/>
            <w:u w:val="single"/>
          </w:rPr>
          <w:t>://2u.pw/6PmmHzP9</w:t>
        </w:r>
      </w:hyperlink>
      <w:r>
        <w:rPr>
          <w:color w:val="000000"/>
          <w:sz w:val="20"/>
          <w:szCs w:val="20"/>
        </w:rPr>
        <w:t xml:space="preserve"> </w:t>
      </w:r>
    </w:p>
  </w:footnote>
  <w:footnote w:id="9">
    <w:p w14:paraId="00000020" w14:textId="649E45B7" w:rsidR="00FE2DFA" w:rsidRDefault="00AC008A">
      <w:pPr>
        <w:pBdr>
          <w:top w:val="nil"/>
          <w:left w:val="nil"/>
          <w:bottom w:val="nil"/>
          <w:right w:val="nil"/>
          <w:between w:val="nil"/>
        </w:pBdr>
        <w:spacing w:after="0" w:line="240" w:lineRule="auto"/>
        <w:rPr>
          <w:rFonts w:ascii="Traditional Arabic" w:eastAsia="Traditional Arabic" w:hAnsi="Traditional Arabic" w:cs="Traditional Arabic"/>
          <w:color w:val="000000"/>
          <w:sz w:val="20"/>
          <w:szCs w:val="20"/>
        </w:rPr>
      </w:pPr>
      <w:r>
        <w:rPr>
          <w:vertAlign w:val="superscript"/>
        </w:rPr>
        <w:footnoteRef/>
      </w:r>
      <w:r>
        <w:rPr>
          <w:rFonts w:ascii="Traditional Arabic" w:eastAsia="Traditional Arabic" w:hAnsi="Traditional Arabic" w:cs="Traditional Arabic"/>
          <w:color w:val="000000"/>
          <w:sz w:val="20"/>
          <w:szCs w:val="20"/>
          <w:rtl/>
        </w:rPr>
        <w:t xml:space="preserve"> تقرير صادم من الجمعية الصحراوية لمكافحة الإفلات من العقاب في </w:t>
      </w:r>
      <w:r w:rsidR="00062A9A">
        <w:rPr>
          <w:rFonts w:ascii="Traditional Arabic" w:eastAsia="Traditional Arabic" w:hAnsi="Traditional Arabic" w:cs="Traditional Arabic" w:hint="cs"/>
          <w:color w:val="000000"/>
          <w:sz w:val="20"/>
          <w:szCs w:val="20"/>
          <w:rtl/>
        </w:rPr>
        <w:t>مخيمات</w:t>
      </w:r>
      <w:r>
        <w:rPr>
          <w:rFonts w:ascii="Traditional Arabic" w:eastAsia="Traditional Arabic" w:hAnsi="Traditional Arabic" w:cs="Traditional Arabic"/>
          <w:color w:val="000000"/>
          <w:sz w:val="20"/>
          <w:szCs w:val="20"/>
          <w:rtl/>
        </w:rPr>
        <w:t xml:space="preserve"> تندوف يوثق ويفضح ضحايا الاختفاء القسري، </w:t>
      </w:r>
      <w:r>
        <w:rPr>
          <w:rFonts w:ascii="Traditional Arabic" w:eastAsia="Traditional Arabic" w:hAnsi="Traditional Arabic" w:cs="Traditional Arabic"/>
          <w:b/>
          <w:color w:val="000000"/>
          <w:sz w:val="20"/>
          <w:szCs w:val="20"/>
          <w:rtl/>
        </w:rPr>
        <w:t xml:space="preserve">أورو مغرب، </w:t>
      </w:r>
      <w:r>
        <w:rPr>
          <w:rFonts w:ascii="Traditional Arabic" w:eastAsia="Traditional Arabic" w:hAnsi="Traditional Arabic" w:cs="Traditional Arabic"/>
          <w:color w:val="000000"/>
          <w:sz w:val="20"/>
          <w:szCs w:val="20"/>
          <w:rtl/>
        </w:rPr>
        <w:t xml:space="preserve">تاريخ النشر: ٣١ أغسطس ٢٠٢٠، متاح على الرابط التالي: </w:t>
      </w:r>
      <w:hyperlink r:id="rId8">
        <w:r>
          <w:rPr>
            <w:rFonts w:ascii="Traditional Arabic" w:eastAsia="Traditional Arabic" w:hAnsi="Traditional Arabic" w:cs="Traditional Arabic"/>
            <w:color w:val="0563C1"/>
            <w:sz w:val="20"/>
            <w:szCs w:val="20"/>
            <w:u w:val="single"/>
          </w:rPr>
          <w:t>https://linksshortcut.com/pTTkt</w:t>
        </w:r>
      </w:hyperlink>
    </w:p>
  </w:footnote>
  <w:footnote w:id="10">
    <w:p w14:paraId="00000021" w14:textId="77777777" w:rsidR="00FE2DFA" w:rsidRDefault="00AC008A">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tl/>
        </w:rPr>
        <w:t xml:space="preserve"> تقرير يفضح ديكتاتورية وجرائم "البوليساريو" ويتهم الجزائر بالتواطؤ، </w:t>
      </w:r>
      <w:proofErr w:type="spellStart"/>
      <w:r>
        <w:rPr>
          <w:color w:val="000000"/>
          <w:sz w:val="20"/>
          <w:szCs w:val="20"/>
          <w:rtl/>
        </w:rPr>
        <w:t>هسبريس</w:t>
      </w:r>
      <w:proofErr w:type="spellEnd"/>
      <w:r>
        <w:rPr>
          <w:color w:val="000000"/>
          <w:sz w:val="20"/>
          <w:szCs w:val="20"/>
          <w:rtl/>
        </w:rPr>
        <w:t xml:space="preserve">، </w:t>
      </w:r>
      <w:hyperlink r:id="rId9">
        <w:r>
          <w:rPr>
            <w:color w:val="0563C1"/>
            <w:sz w:val="20"/>
            <w:szCs w:val="20"/>
            <w:u w:val="single"/>
          </w:rPr>
          <w:t>https://2h.ae/goTN</w:t>
        </w:r>
      </w:hyperlink>
      <w:r>
        <w:rPr>
          <w:color w:val="000000"/>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BE4356" w14:textId="1C93A22D" w:rsidR="00062A9A" w:rsidRDefault="00062A9A" w:rsidP="00BC326E">
    <w:pPr>
      <w:pStyle w:val="En-tte"/>
    </w:pPr>
    <w:r>
      <w:rPr>
        <w:noProof/>
        <w:lang w:val="fr-FR" w:eastAsia="fr-FR"/>
      </w:rPr>
      <w:drawing>
        <wp:inline distT="0" distB="0" distL="0" distR="0" wp14:anchorId="54330399" wp14:editId="0089A27E">
          <wp:extent cx="1407795" cy="1394952"/>
          <wp:effectExtent l="0" t="0" r="1905" b="0"/>
          <wp:docPr id="1224016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21283" t="6100" r="20106" b="6741"/>
                  <a:stretch/>
                </pic:blipFill>
                <pic:spPr bwMode="auto">
                  <a:xfrm>
                    <a:off x="0" y="0"/>
                    <a:ext cx="1423640" cy="1410653"/>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0E6F75"/>
    <w:multiLevelType w:val="multilevel"/>
    <w:tmpl w:val="737CC80C"/>
    <w:lvl w:ilvl="0">
      <w:numFmt w:val="bullet"/>
      <w:lvlText w:val="-"/>
      <w:lvlJc w:val="left"/>
      <w:pPr>
        <w:ind w:left="720" w:hanging="360"/>
      </w:pPr>
      <w:rPr>
        <w:rFonts w:ascii="Sakkal Majalla" w:eastAsia="Sakkal Majalla" w:hAnsi="Sakkal Majalla" w:cs="Sakkal Majall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DFA"/>
    <w:rsid w:val="00062A9A"/>
    <w:rsid w:val="00323436"/>
    <w:rsid w:val="005F74B1"/>
    <w:rsid w:val="006D0F6F"/>
    <w:rsid w:val="00811D6B"/>
    <w:rsid w:val="00AC008A"/>
    <w:rsid w:val="00BC326E"/>
    <w:rsid w:val="00F11F4F"/>
    <w:rsid w:val="00FE2DFA"/>
    <w:rsid w:val="00FF19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FC1E1E"/>
  <w15:docId w15:val="{E3CF6EE9-1CF2-463F-B40E-E2C2E12EC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akkal Majalla" w:eastAsia="Sakkal Majalla" w:hAnsi="Sakkal Majalla" w:cs="Sakkal Majalla"/>
        <w:sz w:val="32"/>
        <w:szCs w:val="32"/>
        <w:lang w:val="en-US" w:eastAsia="en-US" w:bidi="ar-SA"/>
      </w:rPr>
    </w:rPrDefault>
    <w:pPrDefault>
      <w:pPr>
        <w:bidi/>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uiPriority w:val="9"/>
    <w:qFormat/>
    <w:pPr>
      <w:keepNext/>
      <w:keepLines/>
      <w:spacing w:before="480" w:after="120"/>
      <w:outlineLvl w:val="0"/>
    </w:pPr>
    <w:rPr>
      <w:b/>
      <w:sz w:val="48"/>
      <w:szCs w:val="48"/>
    </w:rPr>
  </w:style>
  <w:style w:type="paragraph" w:styleId="Titre2">
    <w:name w:val="heading 2"/>
    <w:basedOn w:val="Normal"/>
    <w:next w:val="Normal"/>
    <w:uiPriority w:val="9"/>
    <w:semiHidden/>
    <w:unhideWhenUsed/>
    <w:qFormat/>
    <w:pPr>
      <w:keepNext/>
      <w:keepLines/>
      <w:spacing w:before="360" w:after="80"/>
      <w:outlineLvl w:val="1"/>
    </w:pPr>
    <w:rPr>
      <w:b/>
      <w:sz w:val="36"/>
      <w:szCs w:val="36"/>
    </w:rPr>
  </w:style>
  <w:style w:type="paragraph" w:styleId="Titre3">
    <w:name w:val="heading 3"/>
    <w:basedOn w:val="Normal"/>
    <w:next w:val="Normal"/>
    <w:uiPriority w:val="9"/>
    <w:semiHidden/>
    <w:unhideWhenUsed/>
    <w:qFormat/>
    <w:pPr>
      <w:keepNext/>
      <w:keepLines/>
      <w:spacing w:before="280" w:after="80"/>
      <w:outlineLvl w:val="2"/>
    </w:pPr>
    <w:rPr>
      <w:b/>
      <w:sz w:val="28"/>
      <w:szCs w:val="28"/>
    </w:rPr>
  </w:style>
  <w:style w:type="paragraph" w:styleId="Titre4">
    <w:name w:val="heading 4"/>
    <w:basedOn w:val="Normal"/>
    <w:next w:val="Normal"/>
    <w:uiPriority w:val="9"/>
    <w:semiHidden/>
    <w:unhideWhenUsed/>
    <w:qFormat/>
    <w:pPr>
      <w:keepNext/>
      <w:keepLines/>
      <w:spacing w:before="240" w:after="40"/>
      <w:outlineLvl w:val="3"/>
    </w:pPr>
    <w:rPr>
      <w:b/>
      <w:sz w:val="24"/>
      <w:szCs w:val="24"/>
    </w:rPr>
  </w:style>
  <w:style w:type="paragraph" w:styleId="Titre5">
    <w:name w:val="heading 5"/>
    <w:basedOn w:val="Normal"/>
    <w:next w:val="Normal"/>
    <w:uiPriority w:val="9"/>
    <w:semiHidden/>
    <w:unhideWhenUsed/>
    <w:qFormat/>
    <w:pPr>
      <w:keepNext/>
      <w:keepLines/>
      <w:spacing w:before="220" w:after="40"/>
      <w:outlineLvl w:val="4"/>
    </w:pPr>
    <w:rPr>
      <w:b/>
      <w:sz w:val="22"/>
      <w:szCs w:val="22"/>
    </w:rPr>
  </w:style>
  <w:style w:type="paragraph" w:styleId="Titre6">
    <w:name w:val="heading 6"/>
    <w:basedOn w:val="Normal"/>
    <w:next w:val="Normal"/>
    <w:uiPriority w:val="9"/>
    <w:semiHidden/>
    <w:unhideWhenUsed/>
    <w:qFormat/>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uiPriority w:val="10"/>
    <w:qFormat/>
    <w:pPr>
      <w:keepNext/>
      <w:keepLines/>
      <w:spacing w:before="480" w:after="120"/>
    </w:pPr>
    <w:rPr>
      <w:b/>
      <w:sz w:val="72"/>
      <w:szCs w:val="72"/>
    </w:rPr>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tte">
    <w:name w:val="header"/>
    <w:basedOn w:val="Normal"/>
    <w:link w:val="En-tteCar"/>
    <w:uiPriority w:val="99"/>
    <w:unhideWhenUsed/>
    <w:rsid w:val="00062A9A"/>
    <w:pPr>
      <w:tabs>
        <w:tab w:val="center" w:pos="4513"/>
        <w:tab w:val="right" w:pos="9026"/>
      </w:tabs>
      <w:spacing w:after="0" w:line="240" w:lineRule="auto"/>
    </w:pPr>
  </w:style>
  <w:style w:type="character" w:customStyle="1" w:styleId="En-tteCar">
    <w:name w:val="En-tête Car"/>
    <w:basedOn w:val="Policepardfaut"/>
    <w:link w:val="En-tte"/>
    <w:uiPriority w:val="99"/>
    <w:rsid w:val="00062A9A"/>
  </w:style>
  <w:style w:type="paragraph" w:styleId="Pieddepage">
    <w:name w:val="footer"/>
    <w:basedOn w:val="Normal"/>
    <w:link w:val="PieddepageCar"/>
    <w:uiPriority w:val="99"/>
    <w:unhideWhenUsed/>
    <w:rsid w:val="00062A9A"/>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062A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linksshortcut.com/pTTkt" TargetMode="External"/><Relationship Id="rId3" Type="http://schemas.openxmlformats.org/officeDocument/2006/relationships/hyperlink" Target="https://2h.ae/DShJ" TargetMode="External"/><Relationship Id="rId7" Type="http://schemas.openxmlformats.org/officeDocument/2006/relationships/hyperlink" Target="https://2u.pw/6PmmHzP9" TargetMode="External"/><Relationship Id="rId2" Type="http://schemas.openxmlformats.org/officeDocument/2006/relationships/hyperlink" Target="https://2h.ae/XwdE" TargetMode="External"/><Relationship Id="rId1" Type="http://schemas.openxmlformats.org/officeDocument/2006/relationships/hyperlink" Target="https://2h.ae/xdRq" TargetMode="External"/><Relationship Id="rId6" Type="http://schemas.openxmlformats.org/officeDocument/2006/relationships/hyperlink" Target="https://2u.pw/fb1SJgag" TargetMode="External"/><Relationship Id="rId5" Type="http://schemas.openxmlformats.org/officeDocument/2006/relationships/hyperlink" Target="https://2h.ae/NuiQ" TargetMode="External"/><Relationship Id="rId4" Type="http://schemas.openxmlformats.org/officeDocument/2006/relationships/hyperlink" Target="https://2h.ae/kSDo" TargetMode="External"/><Relationship Id="rId9" Type="http://schemas.openxmlformats.org/officeDocument/2006/relationships/hyperlink" Target="https://2h.ae/goT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A63B9A-B613-44AC-AE9D-E09A8BDEF3BF}"/>
</file>

<file path=customXml/itemProps2.xml><?xml version="1.0" encoding="utf-8"?>
<ds:datastoreItem xmlns:ds="http://schemas.openxmlformats.org/officeDocument/2006/customXml" ds:itemID="{17F76743-64EE-4504-9A26-5CF70620306B}"/>
</file>

<file path=docProps/app.xml><?xml version="1.0" encoding="utf-8"?>
<Properties xmlns="http://schemas.openxmlformats.org/officeDocument/2006/extended-properties" xmlns:vt="http://schemas.openxmlformats.org/officeDocument/2006/docPropsVTypes">
  <Template>Normal</Template>
  <TotalTime>1</TotalTime>
  <Pages>5</Pages>
  <Words>1201</Words>
  <Characters>6610</Characters>
  <Application>Microsoft Office Word</Application>
  <DocSecurity>0</DocSecurity>
  <Lines>55</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2024-08-21T08:56:00Z</dcterms:created>
  <dcterms:modified xsi:type="dcterms:W3CDTF">2024-08-21T08:56:00Z</dcterms:modified>
</cp:coreProperties>
</file>