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8C8C71" w14:textId="60F4A616" w:rsidR="00CA5D43" w:rsidRDefault="00CA5D43" w:rsidP="00CA5D43">
      <w:pPr>
        <w:jc w:val="center"/>
        <w:rPr>
          <w:rFonts w:ascii="Calibri Light" w:hAnsi="Calibri Light" w:cs="Calibri Light"/>
          <w:b/>
          <w:bCs/>
          <w:sz w:val="26"/>
          <w:szCs w:val="26"/>
          <w:u w:val="single"/>
        </w:rPr>
      </w:pPr>
      <w:bookmarkStart w:id="0" w:name="_GoBack"/>
      <w:bookmarkEnd w:id="0"/>
      <w:r w:rsidRPr="00CA5D43">
        <w:rPr>
          <w:rFonts w:ascii="Calibri Light" w:hAnsi="Calibri Light" w:cs="Calibri Light"/>
          <w:b/>
          <w:bCs/>
          <w:sz w:val="26"/>
          <w:szCs w:val="26"/>
          <w:u w:val="single"/>
        </w:rPr>
        <w:t>Submission to the Committee on Economic, Social and Cultural Rights</w:t>
      </w:r>
      <w:r>
        <w:rPr>
          <w:rFonts w:ascii="Calibri Light" w:hAnsi="Calibri Light" w:cs="Calibri Light"/>
          <w:b/>
          <w:bCs/>
          <w:sz w:val="26"/>
          <w:szCs w:val="26"/>
          <w:u w:val="single"/>
        </w:rPr>
        <w:t xml:space="preserve"> ahead of the periodic review of the Philippines (adoption of List of Issues)</w:t>
      </w:r>
    </w:p>
    <w:p w14:paraId="24948E6F" w14:textId="77777777" w:rsidR="00CA5D43" w:rsidRDefault="00CA5D43" w:rsidP="00CA5D43">
      <w:pPr>
        <w:jc w:val="center"/>
        <w:rPr>
          <w:rFonts w:ascii="Calibri Light" w:hAnsi="Calibri Light" w:cs="Calibri Light"/>
          <w:b/>
          <w:bCs/>
          <w:sz w:val="26"/>
          <w:szCs w:val="26"/>
          <w:u w:val="single"/>
        </w:rPr>
      </w:pPr>
    </w:p>
    <w:p w14:paraId="00000002" w14:textId="79398412" w:rsidR="006724DF" w:rsidRPr="00CA5D43" w:rsidRDefault="00CA5D43" w:rsidP="00CA5D43">
      <w:pPr>
        <w:jc w:val="center"/>
        <w:rPr>
          <w:rFonts w:ascii="Calibri Light" w:hAnsi="Calibri Light" w:cs="Calibri Light"/>
          <w:i/>
          <w:szCs w:val="26"/>
        </w:rPr>
      </w:pPr>
      <w:r w:rsidRPr="00CA5D43">
        <w:rPr>
          <w:rFonts w:ascii="Calibri Light" w:hAnsi="Calibri Light" w:cs="Calibri Light"/>
          <w:b/>
          <w:bCs/>
          <w:i/>
          <w:szCs w:val="26"/>
        </w:rPr>
        <w:t>71</w:t>
      </w:r>
      <w:r w:rsidRPr="00CA5D43">
        <w:rPr>
          <w:rFonts w:ascii="Calibri Light" w:hAnsi="Calibri Light" w:cs="Calibri Light"/>
          <w:b/>
          <w:bCs/>
          <w:i/>
          <w:szCs w:val="26"/>
          <w:vertAlign w:val="superscript"/>
        </w:rPr>
        <w:t>st</w:t>
      </w:r>
      <w:r w:rsidRPr="00CA5D43">
        <w:rPr>
          <w:rFonts w:ascii="Calibri Light" w:hAnsi="Calibri Light" w:cs="Calibri Light"/>
          <w:b/>
          <w:bCs/>
          <w:i/>
          <w:szCs w:val="26"/>
        </w:rPr>
        <w:t xml:space="preserve"> Pre-Sessional Working Group (17 October – 21 October 2022)</w:t>
      </w:r>
    </w:p>
    <w:p w14:paraId="249322EA" w14:textId="3017C853" w:rsidR="00CA5D43" w:rsidRDefault="00CA5D43" w:rsidP="00CA5D43">
      <w:pPr>
        <w:jc w:val="center"/>
        <w:rPr>
          <w:rFonts w:asciiTheme="majorHAnsi" w:hAnsiTheme="majorHAnsi" w:cstheme="majorHAnsi"/>
          <w:color w:val="666666"/>
          <w:sz w:val="30"/>
          <w:szCs w:val="30"/>
        </w:rPr>
      </w:pPr>
      <w:bookmarkStart w:id="1" w:name="_cupsv8ppkjnb" w:colFirst="0" w:colLast="0"/>
      <w:bookmarkEnd w:id="1"/>
    </w:p>
    <w:p w14:paraId="1B6CD346" w14:textId="593C91A2" w:rsidR="00CA5D43" w:rsidRPr="00CA5D43" w:rsidRDefault="00CA5D43" w:rsidP="00CA5D43">
      <w:pPr>
        <w:jc w:val="center"/>
        <w:rPr>
          <w:rFonts w:ascii="Calibri Light" w:hAnsi="Calibri Light" w:cs="Calibri Light"/>
        </w:rPr>
      </w:pPr>
      <w:r w:rsidRPr="00CA5D43">
        <w:rPr>
          <w:rFonts w:ascii="Calibri Light" w:hAnsi="Calibri Light" w:cs="Calibri Light"/>
          <w:color w:val="666666"/>
        </w:rPr>
        <w:t>8 August 2022</w:t>
      </w:r>
    </w:p>
    <w:p w14:paraId="59574665" w14:textId="77777777" w:rsidR="00CA5D43" w:rsidRDefault="00CA5D43">
      <w:pPr>
        <w:rPr>
          <w:rFonts w:asciiTheme="majorHAnsi" w:hAnsiTheme="majorHAnsi" w:cstheme="majorHAnsi"/>
          <w:color w:val="666666"/>
          <w:sz w:val="30"/>
          <w:szCs w:val="30"/>
        </w:rPr>
      </w:pPr>
    </w:p>
    <w:p w14:paraId="00000004" w14:textId="6B774319" w:rsidR="006724DF" w:rsidRPr="00CA5D43" w:rsidRDefault="00CA5D43">
      <w:pPr>
        <w:rPr>
          <w:rFonts w:ascii="Calibri Light" w:hAnsi="Calibri Light" w:cs="Calibri Light"/>
          <w:b/>
          <w:sz w:val="24"/>
          <w:szCs w:val="24"/>
        </w:rPr>
      </w:pPr>
      <w:r w:rsidRPr="00CA5D43">
        <w:rPr>
          <w:rFonts w:ascii="Calibri Light" w:hAnsi="Calibri Light" w:cs="Calibri Light"/>
          <w:b/>
          <w:sz w:val="24"/>
          <w:szCs w:val="24"/>
        </w:rPr>
        <w:t>Reporting organisations:</w:t>
      </w:r>
    </w:p>
    <w:p w14:paraId="4B01DC3F" w14:textId="78860BAD" w:rsidR="00310BE8" w:rsidRPr="00310BE8" w:rsidRDefault="00570A77" w:rsidP="00310BE8">
      <w:pPr>
        <w:rPr>
          <w:rFonts w:ascii="Calibri" w:hAnsi="Calibri" w:cs="Calibri"/>
        </w:rPr>
      </w:pPr>
      <w:r w:rsidRPr="00310BE8">
        <w:rPr>
          <w:rFonts w:ascii="Calibri" w:hAnsi="Calibri" w:cs="Calibri"/>
          <w:noProof/>
          <w:color w:val="0000FF"/>
          <w:lang w:val="en-GB"/>
        </w:rPr>
        <w:drawing>
          <wp:anchor distT="0" distB="0" distL="114300" distR="114300" simplePos="0" relativeHeight="251661312" behindDoc="1" locked="0" layoutInCell="1" allowOverlap="1" wp14:anchorId="61998DCE" wp14:editId="3854F006">
            <wp:simplePos x="0" y="0"/>
            <wp:positionH relativeFrom="margin">
              <wp:align>left</wp:align>
            </wp:positionH>
            <wp:positionV relativeFrom="paragraph">
              <wp:posOffset>199390</wp:posOffset>
            </wp:positionV>
            <wp:extent cx="1333500" cy="432435"/>
            <wp:effectExtent l="0" t="0" r="0" b="5715"/>
            <wp:wrapTight wrapText="bothSides">
              <wp:wrapPolygon edited="0">
                <wp:start x="4629" y="0"/>
                <wp:lineTo x="0" y="3806"/>
                <wp:lineTo x="0" y="18079"/>
                <wp:lineTo x="1543" y="20934"/>
                <wp:lineTo x="9566" y="20934"/>
                <wp:lineTo x="21291" y="17128"/>
                <wp:lineTo x="21291" y="6661"/>
                <wp:lineTo x="6480" y="0"/>
                <wp:lineTo x="4629" y="0"/>
              </wp:wrapPolygon>
            </wp:wrapTight>
            <wp:docPr id="9" name="Picture 9" descr="https://i.imgur.com/CmkzD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imgur.com/CmkzDht.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33500" cy="4324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8D1FC4" w14:textId="10E42374" w:rsidR="00310BE8" w:rsidRPr="00310BE8" w:rsidRDefault="00310BE8" w:rsidP="00310BE8">
      <w:pPr>
        <w:pStyle w:val="BodyText1"/>
        <w:spacing w:after="240" w:line="240" w:lineRule="auto"/>
        <w:contextualSpacing/>
        <w:jc w:val="both"/>
        <w:rPr>
          <w:rFonts w:ascii="Calibri" w:hAnsi="Calibri" w:cs="Calibri"/>
          <w:szCs w:val="22"/>
        </w:rPr>
      </w:pPr>
      <w:r w:rsidRPr="00310BE8">
        <w:rPr>
          <w:rFonts w:ascii="Calibri" w:hAnsi="Calibri" w:cs="Calibri"/>
          <w:b/>
          <w:bCs/>
          <w:szCs w:val="22"/>
        </w:rPr>
        <w:t>NoBox Transitions Foundation</w:t>
      </w:r>
      <w:r w:rsidRPr="00310BE8">
        <w:rPr>
          <w:rFonts w:ascii="Calibri" w:hAnsi="Calibri" w:cs="Calibri"/>
          <w:szCs w:val="22"/>
        </w:rPr>
        <w:t xml:space="preserve"> (NoBox Philippines) is a non-profit organization which advocates for harm reduction in the Philippines. The organization envisions a society which upholds the value and dignity of each person regardless of involvement with drugs by espousing harm reduction as a way of life. NoBox Philippines leads honest conversations, conducts research, advocates for just laws and policies, provides harm reduction services, and mobilizes communities towards a more supportive and humane society for people involved with drugs.</w:t>
      </w:r>
    </w:p>
    <w:p w14:paraId="0AE09588" w14:textId="4A068943" w:rsidR="00310BE8" w:rsidRDefault="00310BE8" w:rsidP="00310BE8">
      <w:pPr>
        <w:pStyle w:val="BodyText1"/>
        <w:spacing w:after="240" w:line="240" w:lineRule="auto"/>
        <w:contextualSpacing/>
        <w:jc w:val="both"/>
        <w:rPr>
          <w:rFonts w:ascii="Calibri" w:hAnsi="Calibri" w:cs="Calibri"/>
          <w:b/>
          <w:color w:val="auto"/>
          <w:szCs w:val="22"/>
        </w:rPr>
      </w:pPr>
      <w:r w:rsidRPr="00310BE8">
        <w:rPr>
          <w:rFonts w:ascii="Calibri" w:hAnsi="Calibri" w:cs="Calibri"/>
          <w:i/>
          <w:iCs/>
          <w:szCs w:val="22"/>
          <w:u w:val="single"/>
        </w:rPr>
        <w:t>Contacts</w:t>
      </w:r>
      <w:r w:rsidRPr="00310BE8">
        <w:rPr>
          <w:rFonts w:ascii="Calibri" w:hAnsi="Calibri" w:cs="Calibri"/>
          <w:i/>
          <w:iCs/>
          <w:szCs w:val="22"/>
        </w:rPr>
        <w:t xml:space="preserve">: </w:t>
      </w:r>
      <w:r w:rsidRPr="00310BE8">
        <w:rPr>
          <w:rFonts w:ascii="Calibri" w:hAnsi="Calibri" w:cs="Calibri"/>
          <w:szCs w:val="22"/>
        </w:rPr>
        <w:t xml:space="preserve">701A Regis Center, 327 Katipunan Ave., Loyola Heights, Quezon City, 1108 Philippines | </w:t>
      </w:r>
      <w:hyperlink r:id="rId8" w:history="1">
        <w:r w:rsidR="00663617" w:rsidRPr="00B35197">
          <w:rPr>
            <w:rStyle w:val="Hyperlink"/>
            <w:rFonts w:ascii="Calibri" w:hAnsi="Calibri" w:cs="Calibri"/>
            <w:szCs w:val="22"/>
          </w:rPr>
          <w:t>sayhello@nobox.ph</w:t>
        </w:r>
      </w:hyperlink>
      <w:r w:rsidR="00663617">
        <w:rPr>
          <w:rFonts w:ascii="Calibri" w:hAnsi="Calibri" w:cs="Calibri"/>
          <w:szCs w:val="22"/>
        </w:rPr>
        <w:t xml:space="preserve"> </w:t>
      </w:r>
      <w:r w:rsidRPr="00310BE8">
        <w:rPr>
          <w:rFonts w:ascii="Calibri" w:hAnsi="Calibri" w:cs="Calibri"/>
          <w:b/>
          <w:color w:val="auto"/>
          <w:szCs w:val="22"/>
        </w:rPr>
        <w:t xml:space="preserve"> </w:t>
      </w:r>
    </w:p>
    <w:p w14:paraId="59B7DC14" w14:textId="24CD0CE9" w:rsidR="003219BB" w:rsidRDefault="003219BB" w:rsidP="00310BE8">
      <w:pPr>
        <w:pStyle w:val="BodyText1"/>
        <w:spacing w:after="240" w:line="240" w:lineRule="auto"/>
        <w:contextualSpacing/>
        <w:jc w:val="both"/>
        <w:rPr>
          <w:rFonts w:ascii="Calibri" w:hAnsi="Calibri" w:cs="Calibri"/>
          <w:b/>
          <w:color w:val="auto"/>
          <w:szCs w:val="22"/>
        </w:rPr>
      </w:pPr>
    </w:p>
    <w:p w14:paraId="4ED73DA9" w14:textId="77777777" w:rsidR="003219BB" w:rsidRDefault="003219BB" w:rsidP="003219BB">
      <w:pPr>
        <w:pStyle w:val="BodyText1"/>
        <w:spacing w:after="240" w:line="240" w:lineRule="auto"/>
        <w:contextualSpacing/>
        <w:rPr>
          <w:rFonts w:ascii="Calibri" w:hAnsi="Calibri" w:cs="Calibri"/>
          <w:color w:val="auto"/>
          <w:szCs w:val="22"/>
        </w:rPr>
      </w:pPr>
      <w:r w:rsidRPr="003219BB">
        <w:rPr>
          <w:rFonts w:ascii="Calibri" w:hAnsi="Calibri" w:cs="Calibri"/>
          <w:b/>
          <w:noProof/>
          <w:color w:val="auto"/>
          <w:szCs w:val="22"/>
        </w:rPr>
        <w:drawing>
          <wp:anchor distT="0" distB="0" distL="114300" distR="114300" simplePos="0" relativeHeight="251663360" behindDoc="1" locked="0" layoutInCell="1" allowOverlap="1" wp14:anchorId="3F1B6D56" wp14:editId="056CC6E3">
            <wp:simplePos x="721453" y="4848837"/>
            <wp:positionH relativeFrom="column">
              <wp:align>left</wp:align>
            </wp:positionH>
            <wp:positionV relativeFrom="paragraph">
              <wp:align>top</wp:align>
            </wp:positionV>
            <wp:extent cx="1098119" cy="713064"/>
            <wp:effectExtent l="0" t="0" r="6985" b="0"/>
            <wp:wrapTight wrapText="bothSides">
              <wp:wrapPolygon edited="0">
                <wp:start x="0" y="0"/>
                <wp:lineTo x="0" y="20791"/>
                <wp:lineTo x="21363" y="20791"/>
                <wp:lineTo x="21363" y="0"/>
                <wp:lineTo x="0" y="0"/>
              </wp:wrapPolygon>
            </wp:wrapTight>
            <wp:docPr id="7" name="Picture 7" descr="C:\Users\Giada-HRI\AppData\Local\Microsoft\Windows\INetCache\Content.Outlook\7XOVCFJ1\StreetLawPH Square Logo Opaq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iada-HRI\AppData\Local\Microsoft\Windows\INetCache\Content.Outlook\7XOVCFJ1\StreetLawPH Square Logo Opaque.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6037" b="19028"/>
                    <a:stretch/>
                  </pic:blipFill>
                  <pic:spPr bwMode="auto">
                    <a:xfrm>
                      <a:off x="0" y="0"/>
                      <a:ext cx="1098119" cy="713064"/>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Calibri" w:hAnsi="Calibri" w:cs="Calibri"/>
          <w:b/>
          <w:color w:val="auto"/>
          <w:szCs w:val="22"/>
        </w:rPr>
        <w:t xml:space="preserve">StreetLawPH </w:t>
      </w:r>
      <w:r>
        <w:rPr>
          <w:rFonts w:ascii="Calibri" w:hAnsi="Calibri" w:cs="Calibri"/>
          <w:color w:val="auto"/>
          <w:szCs w:val="22"/>
        </w:rPr>
        <w:t>is an organisation of lawyers and advocates working for access to justice and protection of human rights. StreetLawPH advocates for a drug policy that protects the rights of people who use drugs and other marginalised groups.</w:t>
      </w:r>
    </w:p>
    <w:p w14:paraId="126BFD3E" w14:textId="514C55DB" w:rsidR="00613E4A" w:rsidRDefault="003219BB" w:rsidP="00663617">
      <w:pPr>
        <w:pStyle w:val="BodyText1"/>
        <w:spacing w:after="240" w:line="240" w:lineRule="auto"/>
        <w:contextualSpacing/>
        <w:rPr>
          <w:rFonts w:ascii="Calibri" w:hAnsi="Calibri" w:cs="Calibri"/>
          <w:b/>
          <w:color w:val="auto"/>
          <w:szCs w:val="22"/>
        </w:rPr>
      </w:pPr>
      <w:r>
        <w:rPr>
          <w:rFonts w:ascii="Calibri" w:hAnsi="Calibri" w:cs="Calibri"/>
          <w:i/>
          <w:color w:val="auto"/>
          <w:szCs w:val="22"/>
          <w:u w:val="single"/>
        </w:rPr>
        <w:t>Contacts</w:t>
      </w:r>
      <w:r w:rsidR="00663617">
        <w:rPr>
          <w:rFonts w:ascii="Calibri" w:hAnsi="Calibri" w:cs="Calibri"/>
          <w:i/>
          <w:color w:val="auto"/>
          <w:szCs w:val="22"/>
          <w:u w:val="single"/>
        </w:rPr>
        <w:t>:</w:t>
      </w:r>
      <w:r w:rsidR="00663617">
        <w:t xml:space="preserve"> </w:t>
      </w:r>
      <w:hyperlink r:id="rId10" w:history="1">
        <w:r w:rsidR="00663617" w:rsidRPr="00663617">
          <w:rPr>
            <w:rStyle w:val="Hyperlink"/>
            <w:rFonts w:asciiTheme="majorHAnsi" w:hAnsiTheme="majorHAnsi" w:cstheme="majorHAnsi"/>
          </w:rPr>
          <w:t>eyakapcebph@gmail.com</w:t>
        </w:r>
      </w:hyperlink>
      <w:r w:rsidR="00663617" w:rsidRPr="00663617">
        <w:rPr>
          <w:rFonts w:asciiTheme="majorHAnsi" w:hAnsiTheme="majorHAnsi" w:cstheme="majorHAnsi"/>
        </w:rPr>
        <w:tab/>
      </w:r>
    </w:p>
    <w:p w14:paraId="78868DD1" w14:textId="77777777" w:rsidR="00663617" w:rsidRPr="00310BE8" w:rsidRDefault="00663617" w:rsidP="00663617">
      <w:pPr>
        <w:pStyle w:val="BodyText1"/>
        <w:spacing w:after="240" w:line="240" w:lineRule="auto"/>
        <w:contextualSpacing/>
        <w:rPr>
          <w:rFonts w:ascii="Calibri" w:hAnsi="Calibri" w:cs="Calibri"/>
          <w:b/>
          <w:color w:val="auto"/>
          <w:szCs w:val="22"/>
        </w:rPr>
      </w:pPr>
    </w:p>
    <w:p w14:paraId="610581D8" w14:textId="3A4E06C9" w:rsidR="00310BE8" w:rsidRPr="00310BE8" w:rsidRDefault="00570A77" w:rsidP="00310BE8">
      <w:pPr>
        <w:pStyle w:val="BodyText1"/>
        <w:spacing w:after="240" w:line="240" w:lineRule="auto"/>
        <w:contextualSpacing/>
        <w:jc w:val="both"/>
        <w:rPr>
          <w:rFonts w:ascii="Calibri" w:hAnsi="Calibri" w:cs="Calibri"/>
          <w:b/>
          <w:color w:val="auto"/>
          <w:szCs w:val="22"/>
        </w:rPr>
      </w:pPr>
      <w:r>
        <w:rPr>
          <w:rFonts w:ascii="Calibri" w:hAnsi="Calibri" w:cs="Calibri"/>
          <w:b/>
          <w:noProof/>
          <w:color w:val="auto"/>
          <w:szCs w:val="22"/>
        </w:rPr>
        <w:drawing>
          <wp:anchor distT="0" distB="0" distL="114300" distR="114300" simplePos="0" relativeHeight="251662336" behindDoc="0" locked="0" layoutInCell="1" allowOverlap="1" wp14:anchorId="555B316F" wp14:editId="5E672B81">
            <wp:simplePos x="0" y="0"/>
            <wp:positionH relativeFrom="margin">
              <wp:align>left</wp:align>
            </wp:positionH>
            <wp:positionV relativeFrom="paragraph">
              <wp:posOffset>172085</wp:posOffset>
            </wp:positionV>
            <wp:extent cx="1048385" cy="594995"/>
            <wp:effectExtent l="0" t="0" r="0" b="0"/>
            <wp:wrapThrough wrapText="bothSides">
              <wp:wrapPolygon edited="0">
                <wp:start x="0" y="0"/>
                <wp:lineTo x="0" y="20747"/>
                <wp:lineTo x="21194" y="20747"/>
                <wp:lineTo x="21194" y="0"/>
                <wp:lineTo x="0" y="0"/>
              </wp:wrapPolygon>
            </wp:wrapThrough>
            <wp:docPr id="1" name="HRI_logo copy.jpg"/>
            <wp:cNvGraphicFramePr/>
            <a:graphic xmlns:a="http://schemas.openxmlformats.org/drawingml/2006/main">
              <a:graphicData uri="http://schemas.openxmlformats.org/drawingml/2006/picture">
                <pic:pic xmlns:pic="http://schemas.openxmlformats.org/drawingml/2006/picture">
                  <pic:nvPicPr>
                    <pic:cNvPr id="1" name="HRI_logo copy.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48385" cy="594995"/>
                    </a:xfrm>
                    <a:prstGeom prst="rect">
                      <a:avLst/>
                    </a:prstGeom>
                  </pic:spPr>
                </pic:pic>
              </a:graphicData>
            </a:graphic>
            <wp14:sizeRelH relativeFrom="margin">
              <wp14:pctWidth>0</wp14:pctWidth>
            </wp14:sizeRelH>
            <wp14:sizeRelV relativeFrom="margin">
              <wp14:pctHeight>0</wp14:pctHeight>
            </wp14:sizeRelV>
          </wp:anchor>
        </w:drawing>
      </w:r>
    </w:p>
    <w:p w14:paraId="24BB672A" w14:textId="20E2DD3C" w:rsidR="00310BE8" w:rsidRPr="00310BE8" w:rsidRDefault="00310BE8" w:rsidP="00310BE8">
      <w:pPr>
        <w:pStyle w:val="BodyText1"/>
        <w:spacing w:after="240" w:line="240" w:lineRule="auto"/>
        <w:contextualSpacing/>
        <w:jc w:val="both"/>
        <w:rPr>
          <w:rFonts w:ascii="Calibri" w:hAnsi="Calibri" w:cs="Calibri"/>
          <w:color w:val="auto"/>
          <w:szCs w:val="22"/>
          <w:shd w:val="clear" w:color="auto" w:fill="FFFFFF"/>
        </w:rPr>
      </w:pPr>
      <w:r w:rsidRPr="00310BE8">
        <w:rPr>
          <w:rFonts w:ascii="Calibri" w:hAnsi="Calibri" w:cs="Calibri"/>
          <w:b/>
          <w:color w:val="auto"/>
          <w:szCs w:val="22"/>
        </w:rPr>
        <w:t xml:space="preserve">Harm Reduction International (HRI) </w:t>
      </w:r>
      <w:r w:rsidRPr="00310BE8">
        <w:rPr>
          <w:rFonts w:ascii="Calibri" w:hAnsi="Calibri" w:cs="Calibri"/>
          <w:color w:val="auto"/>
          <w:szCs w:val="22"/>
        </w:rPr>
        <w:t>is a le</w:t>
      </w:r>
      <w:r w:rsidRPr="00310BE8">
        <w:rPr>
          <w:rFonts w:ascii="Calibri" w:hAnsi="Calibri" w:cs="Calibri"/>
          <w:color w:val="auto"/>
          <w:szCs w:val="22"/>
          <w:shd w:val="clear" w:color="auto" w:fill="FFFFFF"/>
        </w:rPr>
        <w:t>ading NGO dedicated to reducing the negative health, social and legal impacts of drug use and drug policy. HRI promotes the rights of people who use drugs and their communities through research and advocacy to help achieve a world where drug policies and laws contribute to healthier, safer societies.</w:t>
      </w:r>
    </w:p>
    <w:p w14:paraId="447185D5" w14:textId="77777777" w:rsidR="00310BE8" w:rsidRPr="00310BE8" w:rsidRDefault="00310BE8" w:rsidP="00310BE8">
      <w:pPr>
        <w:pStyle w:val="BodyText1"/>
        <w:spacing w:after="240" w:line="240" w:lineRule="auto"/>
        <w:contextualSpacing/>
        <w:jc w:val="both"/>
        <w:rPr>
          <w:rFonts w:ascii="Calibri" w:hAnsi="Calibri" w:cs="Calibri"/>
          <w:color w:val="222222"/>
          <w:szCs w:val="22"/>
          <w:shd w:val="clear" w:color="auto" w:fill="FFFFFF"/>
        </w:rPr>
      </w:pPr>
      <w:r w:rsidRPr="00310BE8">
        <w:rPr>
          <w:rFonts w:ascii="Calibri" w:hAnsi="Calibri" w:cs="Calibri"/>
          <w:color w:val="222222"/>
          <w:szCs w:val="22"/>
          <w:shd w:val="clear" w:color="auto" w:fill="FFFFFF"/>
        </w:rPr>
        <w:t>HRI is an NGO in Special Consultative Status with the Economic and Social Council of the United Nations.</w:t>
      </w:r>
    </w:p>
    <w:p w14:paraId="1450F006" w14:textId="617EE966" w:rsidR="00CA5D43" w:rsidRPr="00663617" w:rsidRDefault="00310BE8" w:rsidP="00663617">
      <w:pPr>
        <w:pStyle w:val="BodyText1"/>
        <w:spacing w:after="240" w:line="240" w:lineRule="auto"/>
        <w:jc w:val="both"/>
        <w:rPr>
          <w:rFonts w:ascii="Calibri" w:hAnsi="Calibri" w:cs="Calibri"/>
          <w:color w:val="0000FF" w:themeColor="hyperlink"/>
          <w:szCs w:val="22"/>
          <w:u w:val="single"/>
          <w:shd w:val="clear" w:color="auto" w:fill="FFFFFF"/>
        </w:rPr>
      </w:pPr>
      <w:r w:rsidRPr="00310BE8">
        <w:rPr>
          <w:rFonts w:ascii="Calibri" w:hAnsi="Calibri" w:cs="Calibri"/>
          <w:i/>
          <w:iCs/>
          <w:color w:val="222222"/>
          <w:szCs w:val="22"/>
          <w:u w:val="single"/>
          <w:shd w:val="clear" w:color="auto" w:fill="FFFFFF"/>
        </w:rPr>
        <w:t>Contacts</w:t>
      </w:r>
      <w:r w:rsidRPr="00310BE8">
        <w:rPr>
          <w:rFonts w:ascii="Calibri" w:hAnsi="Calibri" w:cs="Calibri"/>
          <w:i/>
          <w:iCs/>
          <w:color w:val="222222"/>
          <w:szCs w:val="22"/>
          <w:shd w:val="clear" w:color="auto" w:fill="FFFFFF"/>
        </w:rPr>
        <w:t xml:space="preserve">: </w:t>
      </w:r>
      <w:r w:rsidRPr="00310BE8">
        <w:rPr>
          <w:rFonts w:ascii="Calibri" w:hAnsi="Calibri" w:cs="Calibri"/>
          <w:color w:val="222222"/>
          <w:szCs w:val="22"/>
          <w:shd w:val="clear" w:color="auto" w:fill="FFFFFF"/>
        </w:rPr>
        <w:t xml:space="preserve">61 Mansell Street, London (UK) | </w:t>
      </w:r>
      <w:hyperlink r:id="rId12" w:history="1">
        <w:r w:rsidRPr="00310BE8">
          <w:rPr>
            <w:rStyle w:val="Hyperlink"/>
            <w:rFonts w:ascii="Calibri" w:hAnsi="Calibri" w:cs="Calibri"/>
            <w:szCs w:val="22"/>
            <w:shd w:val="clear" w:color="auto" w:fill="FFFFFF"/>
          </w:rPr>
          <w:t>giada.girelli@hri.global</w:t>
        </w:r>
      </w:hyperlink>
    </w:p>
    <w:p w14:paraId="089D577F" w14:textId="68B27038" w:rsidR="00CA5D43" w:rsidRPr="00310BE8" w:rsidRDefault="00310BE8">
      <w:pPr>
        <w:rPr>
          <w:rFonts w:ascii="Calibri" w:hAnsi="Calibri" w:cs="Calibri"/>
          <w:b/>
          <w:lang w:val="en-GB"/>
        </w:rPr>
      </w:pPr>
      <w:r w:rsidRPr="00310BE8">
        <w:rPr>
          <w:rFonts w:ascii="Calibri" w:hAnsi="Calibri" w:cs="Calibri"/>
          <w:noProof/>
          <w:lang w:val="en-GB"/>
        </w:rPr>
        <w:drawing>
          <wp:anchor distT="0" distB="0" distL="114300" distR="114300" simplePos="0" relativeHeight="251660288" behindDoc="1" locked="0" layoutInCell="1" allowOverlap="1" wp14:anchorId="523B074A" wp14:editId="32B8C7AA">
            <wp:simplePos x="0" y="0"/>
            <wp:positionH relativeFrom="margin">
              <wp:align>left</wp:align>
            </wp:positionH>
            <wp:positionV relativeFrom="paragraph">
              <wp:posOffset>147436</wp:posOffset>
            </wp:positionV>
            <wp:extent cx="879475" cy="570230"/>
            <wp:effectExtent l="0" t="0" r="0" b="1270"/>
            <wp:wrapTight wrapText="bothSides">
              <wp:wrapPolygon edited="0">
                <wp:start x="0" y="0"/>
                <wp:lineTo x="0" y="20927"/>
                <wp:lineTo x="21054" y="20927"/>
                <wp:lineTo x="2105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79780" cy="57045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FC1B8D" w14:textId="77777777" w:rsidR="00310BE8" w:rsidRPr="00310BE8" w:rsidRDefault="00310BE8" w:rsidP="00310BE8">
      <w:pPr>
        <w:pStyle w:val="BodyText1"/>
        <w:spacing w:after="240" w:line="240" w:lineRule="auto"/>
        <w:contextualSpacing/>
        <w:jc w:val="both"/>
        <w:rPr>
          <w:rFonts w:ascii="Calibri" w:hAnsi="Calibri" w:cs="Calibri"/>
          <w:bCs/>
          <w:color w:val="auto"/>
          <w:szCs w:val="22"/>
        </w:rPr>
      </w:pPr>
      <w:r w:rsidRPr="00310BE8">
        <w:rPr>
          <w:rFonts w:ascii="Calibri" w:hAnsi="Calibri" w:cs="Calibri"/>
          <w:color w:val="auto"/>
          <w:szCs w:val="22"/>
        </w:rPr>
        <w:t xml:space="preserve">The </w:t>
      </w:r>
      <w:r w:rsidRPr="00310BE8">
        <w:rPr>
          <w:rFonts w:ascii="Calibri" w:hAnsi="Calibri" w:cs="Calibri"/>
          <w:b/>
          <w:bCs/>
          <w:color w:val="auto"/>
          <w:szCs w:val="22"/>
        </w:rPr>
        <w:t>International Drug Policy Consortium (IDPC Consortium)</w:t>
      </w:r>
      <w:r w:rsidRPr="00310BE8">
        <w:rPr>
          <w:rFonts w:ascii="Calibri" w:hAnsi="Calibri" w:cs="Calibri"/>
          <w:color w:val="auto"/>
          <w:szCs w:val="22"/>
        </w:rPr>
        <w:t xml:space="preserve"> is </w:t>
      </w:r>
      <w:r w:rsidRPr="00310BE8">
        <w:rPr>
          <w:rFonts w:ascii="Calibri" w:hAnsi="Calibri" w:cs="Calibri"/>
          <w:bCs/>
          <w:color w:val="auto"/>
          <w:szCs w:val="22"/>
        </w:rPr>
        <w:t>a global network of non-government organisations that aims to promote objective and open debate on the effectiveness, direction and content of drug policies at national and international level and supports evidence-based policies that are effective in reducing drug-related harm. It produces briefing papers, disseminates the reports of its member organisations, and offers expert advice to policy makers and officials around the world.</w:t>
      </w:r>
    </w:p>
    <w:p w14:paraId="18B9C412" w14:textId="77777777" w:rsidR="00310BE8" w:rsidRPr="00310BE8" w:rsidRDefault="00310BE8" w:rsidP="00310BE8">
      <w:pPr>
        <w:pStyle w:val="BodyText1"/>
        <w:spacing w:after="240" w:line="240" w:lineRule="auto"/>
        <w:contextualSpacing/>
        <w:jc w:val="both"/>
        <w:rPr>
          <w:rFonts w:ascii="Calibri" w:hAnsi="Calibri" w:cs="Calibri"/>
          <w:bCs/>
          <w:color w:val="auto"/>
          <w:szCs w:val="22"/>
        </w:rPr>
      </w:pPr>
      <w:r w:rsidRPr="00310BE8">
        <w:rPr>
          <w:rFonts w:ascii="Calibri" w:hAnsi="Calibri" w:cs="Calibri"/>
          <w:bCs/>
          <w:color w:val="auto"/>
          <w:szCs w:val="22"/>
        </w:rPr>
        <w:t>The IDPC Consortium is an NGO in Special Consultative Status with the Economic and Social Council of the United Nations.</w:t>
      </w:r>
    </w:p>
    <w:p w14:paraId="29A3A3D5" w14:textId="05D0EC30" w:rsidR="00310BE8" w:rsidRPr="00310BE8" w:rsidRDefault="00310BE8" w:rsidP="00310BE8">
      <w:pPr>
        <w:pStyle w:val="BodyText1"/>
        <w:spacing w:after="240" w:line="240" w:lineRule="auto"/>
        <w:jc w:val="both"/>
        <w:rPr>
          <w:rFonts w:ascii="Calibri" w:hAnsi="Calibri" w:cs="Calibri"/>
          <w:color w:val="auto"/>
          <w:szCs w:val="22"/>
        </w:rPr>
      </w:pPr>
      <w:r w:rsidRPr="00310BE8">
        <w:rPr>
          <w:rFonts w:ascii="Calibri" w:hAnsi="Calibri" w:cs="Calibri"/>
          <w:bCs/>
          <w:i/>
          <w:iCs/>
          <w:color w:val="auto"/>
          <w:szCs w:val="22"/>
          <w:u w:val="single"/>
        </w:rPr>
        <w:t>Contacts</w:t>
      </w:r>
      <w:r w:rsidRPr="00310BE8">
        <w:rPr>
          <w:rFonts w:ascii="Calibri" w:hAnsi="Calibri" w:cs="Calibri"/>
          <w:bCs/>
          <w:color w:val="auto"/>
          <w:szCs w:val="22"/>
        </w:rPr>
        <w:t xml:space="preserve">: </w:t>
      </w:r>
      <w:hyperlink r:id="rId14" w:history="1">
        <w:r w:rsidRPr="00310BE8">
          <w:rPr>
            <w:rStyle w:val="Hyperlink"/>
            <w:rFonts w:ascii="Calibri" w:hAnsi="Calibri" w:cs="Calibri"/>
            <w:bCs/>
            <w:szCs w:val="22"/>
          </w:rPr>
          <w:t>contact@idpc.net</w:t>
        </w:r>
      </w:hyperlink>
      <w:r w:rsidRPr="00310BE8">
        <w:rPr>
          <w:rFonts w:ascii="Calibri" w:hAnsi="Calibri" w:cs="Calibri"/>
          <w:bCs/>
          <w:color w:val="auto"/>
          <w:szCs w:val="22"/>
        </w:rPr>
        <w:t xml:space="preserve"> </w:t>
      </w:r>
    </w:p>
    <w:p w14:paraId="7EF2B092" w14:textId="3F6CBD03" w:rsidR="00CA5D43" w:rsidRDefault="00CA5D43">
      <w:pPr>
        <w:rPr>
          <w:rFonts w:asciiTheme="majorHAnsi" w:hAnsiTheme="majorHAnsi" w:cstheme="majorHAnsi"/>
          <w:b/>
        </w:rPr>
      </w:pPr>
    </w:p>
    <w:p w14:paraId="6CCBE5B5" w14:textId="194619B2" w:rsidR="00CA5D43" w:rsidRDefault="00CA5D43">
      <w:pPr>
        <w:rPr>
          <w:rFonts w:asciiTheme="majorHAnsi" w:hAnsiTheme="majorHAnsi" w:cstheme="majorHAnsi"/>
          <w:b/>
        </w:rPr>
      </w:pPr>
      <w:r>
        <w:rPr>
          <w:rFonts w:asciiTheme="majorHAnsi" w:hAnsiTheme="majorHAnsi" w:cstheme="majorHAnsi"/>
          <w:b/>
        </w:rPr>
        <w:br w:type="page"/>
      </w:r>
    </w:p>
    <w:p w14:paraId="3BE87FCA" w14:textId="0A79EE23" w:rsidR="00CA5D43" w:rsidRPr="00CA5D43" w:rsidRDefault="00CA5D43">
      <w:pPr>
        <w:rPr>
          <w:rFonts w:ascii="Calibri Light" w:hAnsi="Calibri Light" w:cs="Calibri Light"/>
          <w:b/>
          <w:sz w:val="24"/>
          <w:szCs w:val="24"/>
        </w:rPr>
      </w:pPr>
      <w:r w:rsidRPr="00CA5D43">
        <w:rPr>
          <w:rFonts w:ascii="Calibri Light" w:hAnsi="Calibri Light" w:cs="Calibri Light"/>
          <w:b/>
          <w:sz w:val="24"/>
          <w:szCs w:val="24"/>
        </w:rPr>
        <w:lastRenderedPageBreak/>
        <w:t>Background and introduction</w:t>
      </w:r>
    </w:p>
    <w:p w14:paraId="4FD277DD" w14:textId="77777777" w:rsidR="007077CA" w:rsidRDefault="007077CA" w:rsidP="007077CA">
      <w:pPr>
        <w:jc w:val="both"/>
        <w:rPr>
          <w:rFonts w:asciiTheme="majorHAnsi" w:hAnsiTheme="majorHAnsi" w:cstheme="majorHAnsi"/>
          <w:b/>
        </w:rPr>
      </w:pPr>
    </w:p>
    <w:p w14:paraId="2E9233E6" w14:textId="21138C31" w:rsidR="003219BB" w:rsidRPr="003219BB" w:rsidRDefault="003219BB" w:rsidP="008428DB">
      <w:pPr>
        <w:pStyle w:val="CommentText1"/>
        <w:numPr>
          <w:ilvl w:val="0"/>
          <w:numId w:val="6"/>
        </w:numPr>
        <w:rPr>
          <w:rFonts w:asciiTheme="majorHAnsi" w:hAnsiTheme="majorHAnsi" w:cstheme="majorHAnsi"/>
        </w:rPr>
      </w:pPr>
      <w:r w:rsidRPr="003219BB">
        <w:rPr>
          <w:rFonts w:asciiTheme="majorHAnsi" w:hAnsiTheme="majorHAnsi" w:cstheme="majorHAnsi"/>
        </w:rPr>
        <w:t>The reporting organisations welcome the opportunity to submit information to the Committee on Economic, Social and Cultural Rights ahead of the adoption of the List of Issues for the periodic review of the Philippines. This submission provides information on violations of economic, social and cultural rights in the context of drug control</w:t>
      </w:r>
      <w:r>
        <w:rPr>
          <w:rFonts w:asciiTheme="majorHAnsi" w:hAnsiTheme="majorHAnsi" w:cstheme="majorHAnsi"/>
        </w:rPr>
        <w:t>, with a focus on Articles 2, 3, 6, 9, 11, 12, 13, and 15;</w:t>
      </w:r>
      <w:r w:rsidRPr="003219BB">
        <w:rPr>
          <w:rFonts w:asciiTheme="majorHAnsi" w:hAnsiTheme="majorHAnsi" w:cstheme="majorHAnsi"/>
        </w:rPr>
        <w:t xml:space="preserve"> in particular: </w:t>
      </w:r>
    </w:p>
    <w:p w14:paraId="19E7A325" w14:textId="10037554" w:rsidR="003219BB" w:rsidRPr="003219BB" w:rsidRDefault="003219BB" w:rsidP="003219BB">
      <w:pPr>
        <w:pStyle w:val="CommentText1"/>
        <w:numPr>
          <w:ilvl w:val="0"/>
          <w:numId w:val="7"/>
        </w:numPr>
        <w:spacing w:line="240" w:lineRule="auto"/>
        <w:ind w:left="714" w:hanging="357"/>
        <w:contextualSpacing/>
        <w:rPr>
          <w:rFonts w:asciiTheme="majorHAnsi" w:hAnsiTheme="majorHAnsi" w:cstheme="majorHAnsi"/>
        </w:rPr>
      </w:pPr>
      <w:r w:rsidRPr="003219BB">
        <w:rPr>
          <w:rFonts w:asciiTheme="majorHAnsi" w:hAnsiTheme="majorHAnsi" w:cstheme="majorHAnsi"/>
        </w:rPr>
        <w:t>Criminalisation of drugs, surveillance and their impact on the right to health;</w:t>
      </w:r>
    </w:p>
    <w:p w14:paraId="6FB8D494" w14:textId="570144F5" w:rsidR="003219BB" w:rsidRPr="003219BB" w:rsidRDefault="003219BB" w:rsidP="003219BB">
      <w:pPr>
        <w:pStyle w:val="CommentText1"/>
        <w:numPr>
          <w:ilvl w:val="0"/>
          <w:numId w:val="7"/>
        </w:numPr>
        <w:spacing w:line="240" w:lineRule="auto"/>
        <w:ind w:left="714" w:hanging="357"/>
        <w:contextualSpacing/>
        <w:rPr>
          <w:rFonts w:asciiTheme="majorHAnsi" w:hAnsiTheme="majorHAnsi" w:cstheme="majorHAnsi"/>
        </w:rPr>
      </w:pPr>
      <w:r w:rsidRPr="003219BB">
        <w:rPr>
          <w:rFonts w:asciiTheme="majorHAnsi" w:hAnsiTheme="majorHAnsi" w:cstheme="majorHAnsi"/>
        </w:rPr>
        <w:t>Drug testing in schools, and the impact on the right to education;</w:t>
      </w:r>
    </w:p>
    <w:p w14:paraId="66BF504E" w14:textId="094EE58F" w:rsidR="003219BB" w:rsidRPr="003219BB" w:rsidRDefault="003219BB" w:rsidP="003219BB">
      <w:pPr>
        <w:pStyle w:val="CommentText1"/>
        <w:numPr>
          <w:ilvl w:val="0"/>
          <w:numId w:val="7"/>
        </w:numPr>
        <w:spacing w:line="240" w:lineRule="auto"/>
        <w:ind w:left="714" w:hanging="357"/>
        <w:contextualSpacing/>
        <w:rPr>
          <w:rFonts w:asciiTheme="majorHAnsi" w:hAnsiTheme="majorHAnsi" w:cstheme="majorHAnsi"/>
        </w:rPr>
      </w:pPr>
      <w:r w:rsidRPr="003219BB">
        <w:rPr>
          <w:rFonts w:asciiTheme="majorHAnsi" w:hAnsiTheme="majorHAnsi" w:cstheme="majorHAnsi"/>
        </w:rPr>
        <w:t>Violence in the context of anti-drug operations;</w:t>
      </w:r>
    </w:p>
    <w:p w14:paraId="32C95CFE" w14:textId="0CF50EA3" w:rsidR="003219BB" w:rsidRPr="003219BB" w:rsidRDefault="003219BB" w:rsidP="003219BB">
      <w:pPr>
        <w:pStyle w:val="CommentText1"/>
        <w:numPr>
          <w:ilvl w:val="0"/>
          <w:numId w:val="7"/>
        </w:numPr>
        <w:spacing w:line="240" w:lineRule="auto"/>
        <w:ind w:left="714" w:hanging="357"/>
        <w:contextualSpacing/>
        <w:rPr>
          <w:rFonts w:asciiTheme="majorHAnsi" w:hAnsiTheme="majorHAnsi" w:cstheme="majorHAnsi"/>
        </w:rPr>
      </w:pPr>
      <w:r w:rsidRPr="003219BB">
        <w:rPr>
          <w:rFonts w:asciiTheme="majorHAnsi" w:hAnsiTheme="majorHAnsi" w:cstheme="majorHAnsi"/>
        </w:rPr>
        <w:t>Availability of harm reduction services;</w:t>
      </w:r>
    </w:p>
    <w:p w14:paraId="5B67B5FB" w14:textId="223625A6" w:rsidR="003219BB" w:rsidRPr="003219BB" w:rsidRDefault="003219BB" w:rsidP="003219BB">
      <w:pPr>
        <w:pStyle w:val="CommentText1"/>
        <w:numPr>
          <w:ilvl w:val="0"/>
          <w:numId w:val="7"/>
        </w:numPr>
        <w:spacing w:line="240" w:lineRule="auto"/>
        <w:ind w:left="714" w:hanging="357"/>
        <w:contextualSpacing/>
        <w:rPr>
          <w:rFonts w:asciiTheme="majorHAnsi" w:hAnsiTheme="majorHAnsi" w:cstheme="majorHAnsi"/>
        </w:rPr>
      </w:pPr>
      <w:r w:rsidRPr="003219BB">
        <w:rPr>
          <w:rFonts w:asciiTheme="majorHAnsi" w:hAnsiTheme="majorHAnsi" w:cstheme="majorHAnsi"/>
        </w:rPr>
        <w:t>Incarceration and conditions of detention;</w:t>
      </w:r>
    </w:p>
    <w:p w14:paraId="124F0B9A" w14:textId="330A90B2" w:rsidR="003219BB" w:rsidRPr="003219BB" w:rsidRDefault="003219BB" w:rsidP="003219BB">
      <w:pPr>
        <w:pStyle w:val="CommentText1"/>
        <w:numPr>
          <w:ilvl w:val="0"/>
          <w:numId w:val="7"/>
        </w:numPr>
        <w:spacing w:line="240" w:lineRule="auto"/>
        <w:ind w:left="714" w:hanging="357"/>
        <w:contextualSpacing/>
        <w:rPr>
          <w:rFonts w:asciiTheme="majorHAnsi" w:hAnsiTheme="majorHAnsi" w:cstheme="majorHAnsi"/>
        </w:rPr>
      </w:pPr>
      <w:r w:rsidRPr="003219BB">
        <w:rPr>
          <w:rFonts w:asciiTheme="majorHAnsi" w:hAnsiTheme="majorHAnsi" w:cstheme="majorHAnsi"/>
        </w:rPr>
        <w:t>Compulsory drug detention and treatment of people who use drugs; and</w:t>
      </w:r>
    </w:p>
    <w:p w14:paraId="7125BAF7" w14:textId="297B0029" w:rsidR="003219BB" w:rsidRPr="003219BB" w:rsidRDefault="003219BB" w:rsidP="003219BB">
      <w:pPr>
        <w:pStyle w:val="CommentText1"/>
        <w:numPr>
          <w:ilvl w:val="0"/>
          <w:numId w:val="7"/>
        </w:numPr>
        <w:spacing w:line="240" w:lineRule="auto"/>
        <w:ind w:left="714" w:hanging="357"/>
        <w:contextualSpacing/>
        <w:rPr>
          <w:rFonts w:asciiTheme="majorHAnsi" w:hAnsiTheme="majorHAnsi" w:cstheme="majorHAnsi"/>
        </w:rPr>
      </w:pPr>
      <w:r w:rsidRPr="003219BB">
        <w:rPr>
          <w:rFonts w:asciiTheme="majorHAnsi" w:hAnsiTheme="majorHAnsi" w:cstheme="majorHAnsi"/>
        </w:rPr>
        <w:t>Impact of COVID-19 and related policies on people who use drugs.</w:t>
      </w:r>
    </w:p>
    <w:p w14:paraId="74EDD397" w14:textId="45F90B12" w:rsidR="003219BB" w:rsidRPr="003219BB" w:rsidRDefault="003219BB" w:rsidP="003219BB">
      <w:pPr>
        <w:jc w:val="both"/>
        <w:rPr>
          <w:rFonts w:asciiTheme="majorHAnsi" w:hAnsiTheme="majorHAnsi" w:cstheme="majorHAnsi"/>
          <w:b/>
        </w:rPr>
      </w:pPr>
      <w:r w:rsidRPr="003219BB">
        <w:rPr>
          <w:rFonts w:asciiTheme="majorHAnsi" w:hAnsiTheme="majorHAnsi" w:cstheme="majorHAnsi"/>
        </w:rPr>
        <w:t>Further, information is included on the UN Joint Programme on human rights in the Philippines and its relevance for the issues raised in this submission.</w:t>
      </w:r>
    </w:p>
    <w:p w14:paraId="1EE0861E" w14:textId="2E28D404" w:rsidR="003219BB" w:rsidRPr="003219BB" w:rsidRDefault="003219BB" w:rsidP="003219BB">
      <w:pPr>
        <w:jc w:val="both"/>
        <w:rPr>
          <w:rFonts w:asciiTheme="majorHAnsi" w:hAnsiTheme="majorHAnsi" w:cstheme="majorHAnsi"/>
        </w:rPr>
      </w:pPr>
    </w:p>
    <w:p w14:paraId="71FEBC0D" w14:textId="42CF1EE1" w:rsidR="008C46E9" w:rsidRPr="008C46E9" w:rsidRDefault="000B549B" w:rsidP="00CA5D43">
      <w:pPr>
        <w:pStyle w:val="ListParagraph"/>
        <w:numPr>
          <w:ilvl w:val="0"/>
          <w:numId w:val="6"/>
        </w:numPr>
        <w:jc w:val="both"/>
        <w:rPr>
          <w:rFonts w:asciiTheme="majorHAnsi" w:hAnsiTheme="majorHAnsi" w:cstheme="majorHAnsi"/>
        </w:rPr>
      </w:pPr>
      <w:r w:rsidRPr="008C46E9">
        <w:rPr>
          <w:rFonts w:asciiTheme="majorHAnsi" w:hAnsiTheme="majorHAnsi" w:cstheme="majorHAnsi"/>
        </w:rPr>
        <w:t>The reporting period for this periodic review (October 2016 - October 2022) almost exactly coincides with th</w:t>
      </w:r>
      <w:r w:rsidR="00570A77">
        <w:rPr>
          <w:rFonts w:asciiTheme="majorHAnsi" w:hAnsiTheme="majorHAnsi" w:cstheme="majorHAnsi"/>
        </w:rPr>
        <w:t>e administration of President Ro</w:t>
      </w:r>
      <w:r w:rsidRPr="008C46E9">
        <w:rPr>
          <w:rFonts w:asciiTheme="majorHAnsi" w:hAnsiTheme="majorHAnsi" w:cstheme="majorHAnsi"/>
        </w:rPr>
        <w:t>drigo Duterte (30 June 2016 - 30 June 2022); which was character</w:t>
      </w:r>
      <w:r w:rsidR="00A57628" w:rsidRPr="008C46E9">
        <w:rPr>
          <w:rFonts w:asciiTheme="majorHAnsi" w:hAnsiTheme="majorHAnsi" w:cstheme="majorHAnsi"/>
        </w:rPr>
        <w:t>ised by a violent, repressive “war on d</w:t>
      </w:r>
      <w:r w:rsidRPr="008C46E9">
        <w:rPr>
          <w:rFonts w:asciiTheme="majorHAnsi" w:hAnsiTheme="majorHAnsi" w:cstheme="majorHAnsi"/>
        </w:rPr>
        <w:t>rugs”, followed by a similarly abusive “war on Covid”, deterioration of the rule of law, progressive militarisation, and harassment and targeting of human rights defenders, journalists</w:t>
      </w:r>
      <w:r w:rsidR="00A57628" w:rsidRPr="008C46E9">
        <w:rPr>
          <w:rFonts w:asciiTheme="majorHAnsi" w:hAnsiTheme="majorHAnsi" w:cstheme="majorHAnsi"/>
        </w:rPr>
        <w:t>,</w:t>
      </w:r>
      <w:r w:rsidRPr="008C46E9">
        <w:rPr>
          <w:rFonts w:asciiTheme="majorHAnsi" w:hAnsiTheme="majorHAnsi" w:cstheme="majorHAnsi"/>
        </w:rPr>
        <w:t xml:space="preserve"> and activists. As background, we refer to the 2020 Report of the UN High Commissioner for Human Rights on the Situation of human rights in the Philippines (</w:t>
      </w:r>
      <w:r w:rsidRPr="008C46E9">
        <w:rPr>
          <w:rFonts w:asciiTheme="majorHAnsi" w:hAnsiTheme="majorHAnsi" w:cstheme="majorHAnsi"/>
          <w:i/>
        </w:rPr>
        <w:t>hereinafter: 2020 OHCHR report).</w:t>
      </w:r>
      <w:r w:rsidR="00A57628" w:rsidRPr="008C46E9">
        <w:rPr>
          <w:vertAlign w:val="superscript"/>
        </w:rPr>
        <w:footnoteReference w:id="1"/>
      </w:r>
      <w:r w:rsidR="00A57628" w:rsidRPr="008C46E9">
        <w:rPr>
          <w:rFonts w:asciiTheme="majorHAnsi" w:hAnsiTheme="majorHAnsi" w:cstheme="majorHAnsi"/>
        </w:rPr>
        <w:t xml:space="preserve"> </w:t>
      </w:r>
      <w:r w:rsidRPr="008C46E9">
        <w:rPr>
          <w:rFonts w:asciiTheme="majorHAnsi" w:hAnsiTheme="majorHAnsi" w:cstheme="majorHAnsi"/>
          <w:i/>
        </w:rPr>
        <w:t xml:space="preserve"> </w:t>
      </w:r>
    </w:p>
    <w:p w14:paraId="3A444631" w14:textId="77777777" w:rsidR="008C46E9" w:rsidRPr="008C46E9" w:rsidRDefault="008C46E9" w:rsidP="008C46E9">
      <w:pPr>
        <w:pStyle w:val="ListParagraph"/>
        <w:ind w:left="360"/>
        <w:jc w:val="both"/>
        <w:rPr>
          <w:rFonts w:asciiTheme="majorHAnsi" w:hAnsiTheme="majorHAnsi" w:cstheme="majorHAnsi"/>
        </w:rPr>
      </w:pPr>
    </w:p>
    <w:p w14:paraId="00000007" w14:textId="5B6CABD5" w:rsidR="006724DF" w:rsidRPr="008C46E9" w:rsidRDefault="000B549B" w:rsidP="008C46E9">
      <w:pPr>
        <w:pStyle w:val="ListParagraph"/>
        <w:numPr>
          <w:ilvl w:val="0"/>
          <w:numId w:val="6"/>
        </w:numPr>
        <w:jc w:val="both"/>
        <w:rPr>
          <w:rFonts w:asciiTheme="majorHAnsi" w:hAnsiTheme="majorHAnsi" w:cstheme="majorHAnsi"/>
        </w:rPr>
      </w:pPr>
      <w:r w:rsidRPr="008C46E9">
        <w:rPr>
          <w:rFonts w:asciiTheme="majorHAnsi" w:hAnsiTheme="majorHAnsi" w:cstheme="majorHAnsi"/>
        </w:rPr>
        <w:t>There are an estimated 25,000 people who inject drugs in the Philippines, with an estimated HIV prevalence at 29%, and Hepatitis C prevalence at 35.2%.</w:t>
      </w:r>
      <w:r w:rsidRPr="008C46E9">
        <w:rPr>
          <w:vertAlign w:val="superscript"/>
        </w:rPr>
        <w:footnoteReference w:id="2"/>
      </w:r>
      <w:r w:rsidRPr="008C46E9">
        <w:rPr>
          <w:rFonts w:asciiTheme="majorHAnsi" w:hAnsiTheme="majorHAnsi" w:cstheme="majorHAnsi"/>
        </w:rPr>
        <w:t xml:space="preserve"> According to the latest </w:t>
      </w:r>
      <w:r w:rsidR="00A57628" w:rsidRPr="008C46E9">
        <w:rPr>
          <w:rFonts w:asciiTheme="majorHAnsi" w:hAnsiTheme="majorHAnsi" w:cstheme="majorHAnsi"/>
        </w:rPr>
        <w:t xml:space="preserve">government </w:t>
      </w:r>
      <w:r w:rsidRPr="008C46E9">
        <w:rPr>
          <w:rFonts w:asciiTheme="majorHAnsi" w:hAnsiTheme="majorHAnsi" w:cstheme="majorHAnsi"/>
        </w:rPr>
        <w:t>data, in 2016 an estimated 1.64% of the population aged 10-69 had used cannabis in the prior year, and 1.10% had used methamphetamine.</w:t>
      </w:r>
      <w:r w:rsidRPr="00CA5D43">
        <w:rPr>
          <w:vertAlign w:val="superscript"/>
        </w:rPr>
        <w:footnoteReference w:id="3"/>
      </w:r>
      <w:r w:rsidR="00A57628" w:rsidRPr="008C46E9">
        <w:rPr>
          <w:rFonts w:asciiTheme="majorHAnsi" w:hAnsiTheme="majorHAnsi" w:cstheme="majorHAnsi"/>
        </w:rPr>
        <w:t xml:space="preserve"> </w:t>
      </w:r>
      <w:r w:rsidRPr="008C46E9">
        <w:rPr>
          <w:rFonts w:asciiTheme="majorHAnsi" w:hAnsiTheme="majorHAnsi" w:cstheme="majorHAnsi"/>
        </w:rPr>
        <w:t>The Philippines is among the countries with rising epidemics among key populations: it is one of the top 20 high tuberculosis burden countries identified by WHO,</w:t>
      </w:r>
      <w:r w:rsidRPr="00CA5D43">
        <w:rPr>
          <w:vertAlign w:val="superscript"/>
        </w:rPr>
        <w:footnoteReference w:id="4"/>
      </w:r>
      <w:r w:rsidRPr="008C46E9">
        <w:rPr>
          <w:rFonts w:asciiTheme="majorHAnsi" w:hAnsiTheme="majorHAnsi" w:cstheme="majorHAnsi"/>
        </w:rPr>
        <w:t xml:space="preserve"> and has the fastest growing HIV epidemic in the Asia-Pacific region - and potentially in the world. UNAIDS has recorded a 237% increase in new HIV infections between 2010 and 2020, with a 351% increase in AIDS-related deaths in the same period. At this pace, the number of people living with HIV is estimated to triple by 2030.</w:t>
      </w:r>
      <w:r w:rsidRPr="00CA5D43">
        <w:rPr>
          <w:vertAlign w:val="superscript"/>
        </w:rPr>
        <w:footnoteReference w:id="5"/>
      </w:r>
      <w:r w:rsidR="00A57628" w:rsidRPr="008C46E9">
        <w:rPr>
          <w:rFonts w:asciiTheme="majorHAnsi" w:hAnsiTheme="majorHAnsi" w:cstheme="majorHAnsi"/>
        </w:rPr>
        <w:t xml:space="preserve"> </w:t>
      </w:r>
      <w:r w:rsidRPr="008C46E9">
        <w:rPr>
          <w:rFonts w:asciiTheme="majorHAnsi" w:hAnsiTheme="majorHAnsi" w:cstheme="majorHAnsi"/>
        </w:rPr>
        <w:t>As evidenced in this submission, the government’s punitive approach to drugs, and its failure to provide life-saving health services, plays a central role in perpetuating and worsening these epidemics.</w:t>
      </w:r>
    </w:p>
    <w:p w14:paraId="00000009" w14:textId="46419D1F" w:rsidR="006724DF" w:rsidRPr="00CA5D43" w:rsidRDefault="006724DF">
      <w:pPr>
        <w:rPr>
          <w:rFonts w:asciiTheme="majorHAnsi" w:hAnsiTheme="majorHAnsi" w:cstheme="majorHAnsi"/>
        </w:rPr>
      </w:pPr>
    </w:p>
    <w:p w14:paraId="39912586" w14:textId="72FEBBF2" w:rsidR="00663617" w:rsidRDefault="00663617">
      <w:pPr>
        <w:rPr>
          <w:rFonts w:ascii="Calibri Light" w:hAnsi="Calibri Light" w:cs="Calibri Light"/>
          <w:b/>
          <w:sz w:val="24"/>
          <w:szCs w:val="24"/>
        </w:rPr>
      </w:pPr>
    </w:p>
    <w:p w14:paraId="317D1EF6" w14:textId="2F705DFA" w:rsidR="00663617" w:rsidRDefault="00663617">
      <w:pPr>
        <w:rPr>
          <w:rFonts w:ascii="Calibri Light" w:hAnsi="Calibri Light" w:cs="Calibri Light"/>
          <w:b/>
          <w:sz w:val="24"/>
          <w:szCs w:val="24"/>
        </w:rPr>
      </w:pPr>
    </w:p>
    <w:p w14:paraId="04D214DE" w14:textId="77777777" w:rsidR="00663617" w:rsidRDefault="00663617">
      <w:pPr>
        <w:rPr>
          <w:rFonts w:ascii="Calibri Light" w:hAnsi="Calibri Light" w:cs="Calibri Light"/>
          <w:b/>
          <w:sz w:val="24"/>
          <w:szCs w:val="24"/>
        </w:rPr>
      </w:pPr>
    </w:p>
    <w:p w14:paraId="6C1B9044" w14:textId="005E37D9" w:rsidR="00CA5D43" w:rsidRDefault="000B549B">
      <w:pPr>
        <w:rPr>
          <w:rFonts w:ascii="Calibri Light" w:hAnsi="Calibri Light" w:cs="Calibri Light"/>
          <w:b/>
          <w:sz w:val="24"/>
          <w:szCs w:val="24"/>
        </w:rPr>
      </w:pPr>
      <w:r w:rsidRPr="00CA5D43">
        <w:rPr>
          <w:rFonts w:ascii="Calibri Light" w:hAnsi="Calibri Light" w:cs="Calibri Light"/>
          <w:b/>
          <w:sz w:val="24"/>
          <w:szCs w:val="24"/>
        </w:rPr>
        <w:lastRenderedPageBreak/>
        <w:t>Criminalisation of drugs, surveillance, and the right to health</w:t>
      </w:r>
    </w:p>
    <w:p w14:paraId="3F481966" w14:textId="77777777" w:rsidR="00A57628" w:rsidRPr="00A57628" w:rsidRDefault="00A57628">
      <w:pPr>
        <w:rPr>
          <w:rFonts w:ascii="Calibri Light" w:hAnsi="Calibri Light" w:cs="Calibri Light"/>
          <w:b/>
          <w:sz w:val="12"/>
          <w:szCs w:val="24"/>
        </w:rPr>
      </w:pPr>
    </w:p>
    <w:p w14:paraId="4F70156D" w14:textId="6F62C555" w:rsidR="007B1CCA" w:rsidRPr="008C46E9" w:rsidRDefault="000B549B" w:rsidP="008C46E9">
      <w:pPr>
        <w:pStyle w:val="ListParagraph"/>
        <w:numPr>
          <w:ilvl w:val="0"/>
          <w:numId w:val="6"/>
        </w:numPr>
        <w:jc w:val="both"/>
        <w:rPr>
          <w:rFonts w:asciiTheme="majorHAnsi" w:hAnsiTheme="majorHAnsi" w:cstheme="majorHAnsi"/>
        </w:rPr>
      </w:pPr>
      <w:r w:rsidRPr="008C46E9">
        <w:rPr>
          <w:rFonts w:asciiTheme="majorHAnsi" w:hAnsiTheme="majorHAnsi" w:cstheme="majorHAnsi"/>
        </w:rPr>
        <w:t xml:space="preserve">Decriminalisation of drug use and possession for personal use </w:t>
      </w:r>
      <w:r w:rsidR="00544B2A">
        <w:rPr>
          <w:rFonts w:asciiTheme="majorHAnsi" w:hAnsiTheme="majorHAnsi" w:cstheme="majorHAnsi"/>
        </w:rPr>
        <w:t xml:space="preserve">is </w:t>
      </w:r>
      <w:r w:rsidRPr="008C46E9">
        <w:rPr>
          <w:rFonts w:asciiTheme="majorHAnsi" w:hAnsiTheme="majorHAnsi" w:cstheme="majorHAnsi"/>
        </w:rPr>
        <w:t>recommended as key to achieve a human-rights based approach to drugs by a number of UN actors, including the High Commissioner for Human Rights,</w:t>
      </w:r>
      <w:r w:rsidRPr="00CA5D43">
        <w:rPr>
          <w:vertAlign w:val="superscript"/>
        </w:rPr>
        <w:footnoteReference w:id="6"/>
      </w:r>
      <w:r w:rsidRPr="008C46E9">
        <w:rPr>
          <w:rFonts w:asciiTheme="majorHAnsi" w:hAnsiTheme="majorHAnsi" w:cstheme="majorHAnsi"/>
        </w:rPr>
        <w:t xml:space="preserve"> WHO, UNAIDS, the Working Group on Arbitrary Detention,</w:t>
      </w:r>
      <w:r w:rsidRPr="00CA5D43">
        <w:rPr>
          <w:vertAlign w:val="superscript"/>
        </w:rPr>
        <w:footnoteReference w:id="7"/>
      </w:r>
      <w:r w:rsidRPr="008C46E9">
        <w:rPr>
          <w:rFonts w:asciiTheme="majorHAnsi" w:hAnsiTheme="majorHAnsi" w:cstheme="majorHAnsi"/>
        </w:rPr>
        <w:t xml:space="preserve"> the Special Rapporteur on the Right to health, the UN System ‘Common Position on drug policy’</w:t>
      </w:r>
      <w:r w:rsidR="00A57628" w:rsidRPr="008C46E9">
        <w:rPr>
          <w:rFonts w:asciiTheme="majorHAnsi" w:hAnsiTheme="majorHAnsi" w:cstheme="majorHAnsi"/>
        </w:rPr>
        <w:t>,</w:t>
      </w:r>
      <w:r w:rsidRPr="00CA5D43">
        <w:rPr>
          <w:vertAlign w:val="superscript"/>
        </w:rPr>
        <w:footnoteReference w:id="8"/>
      </w:r>
      <w:r w:rsidRPr="008C46E9">
        <w:rPr>
          <w:rFonts w:asciiTheme="majorHAnsi" w:hAnsiTheme="majorHAnsi" w:cstheme="majorHAnsi"/>
        </w:rPr>
        <w:t xml:space="preserve"> and this Committee. In its last Concluding Observations on the Philippines, this Committee recommended that the government “reconsider the criminalization of the possession and use of drugs.”</w:t>
      </w:r>
      <w:r w:rsidRPr="00CA5D43">
        <w:rPr>
          <w:vertAlign w:val="superscript"/>
        </w:rPr>
        <w:footnoteReference w:id="9"/>
      </w:r>
      <w:r w:rsidRPr="008C46E9">
        <w:rPr>
          <w:rFonts w:asciiTheme="majorHAnsi" w:hAnsiTheme="majorHAnsi" w:cstheme="majorHAnsi"/>
        </w:rPr>
        <w:t xml:space="preserve"> </w:t>
      </w:r>
    </w:p>
    <w:p w14:paraId="15834FB9" w14:textId="77777777" w:rsidR="007B1CCA" w:rsidRDefault="007B1CCA" w:rsidP="00CA5D43">
      <w:pPr>
        <w:jc w:val="both"/>
        <w:rPr>
          <w:rFonts w:asciiTheme="majorHAnsi" w:hAnsiTheme="majorHAnsi" w:cstheme="majorHAnsi"/>
        </w:rPr>
      </w:pPr>
    </w:p>
    <w:p w14:paraId="0000000B" w14:textId="18BC2F1A" w:rsidR="006724DF" w:rsidRPr="008C46E9" w:rsidRDefault="000B549B" w:rsidP="008C46E9">
      <w:pPr>
        <w:pStyle w:val="ListParagraph"/>
        <w:numPr>
          <w:ilvl w:val="0"/>
          <w:numId w:val="6"/>
        </w:numPr>
        <w:jc w:val="both"/>
        <w:rPr>
          <w:rFonts w:asciiTheme="majorHAnsi" w:hAnsiTheme="majorHAnsi" w:cstheme="majorHAnsi"/>
        </w:rPr>
      </w:pPr>
      <w:r w:rsidRPr="008C46E9">
        <w:rPr>
          <w:rFonts w:asciiTheme="majorHAnsi" w:hAnsiTheme="majorHAnsi" w:cstheme="majorHAnsi"/>
        </w:rPr>
        <w:t>In the reporting period, the Philippines retained and intensified a punitive approach to drugs, marred by violence, overuse of arrest and incarceration, the demonisation of people involved with drugs</w:t>
      </w:r>
      <w:r w:rsidR="00A57628" w:rsidRPr="008C46E9">
        <w:rPr>
          <w:rFonts w:asciiTheme="majorHAnsi" w:hAnsiTheme="majorHAnsi" w:cstheme="majorHAnsi"/>
        </w:rPr>
        <w:t>,</w:t>
      </w:r>
      <w:r w:rsidRPr="008C46E9">
        <w:rPr>
          <w:rFonts w:asciiTheme="majorHAnsi" w:hAnsiTheme="majorHAnsi" w:cstheme="majorHAnsi"/>
        </w:rPr>
        <w:t xml:space="preserve"> the le</w:t>
      </w:r>
      <w:r w:rsidR="007B1CCA" w:rsidRPr="008C46E9">
        <w:rPr>
          <w:rFonts w:asciiTheme="majorHAnsi" w:hAnsiTheme="majorHAnsi" w:cstheme="majorHAnsi"/>
        </w:rPr>
        <w:t xml:space="preserve">gitimisation of violence </w:t>
      </w:r>
      <w:r w:rsidRPr="008C46E9">
        <w:rPr>
          <w:rFonts w:asciiTheme="majorHAnsi" w:hAnsiTheme="majorHAnsi" w:cstheme="majorHAnsi"/>
        </w:rPr>
        <w:t xml:space="preserve">in discourses by high-ranking officials, and a systematic attack on people who use or engage with drugs (or are suspected to), and human rights defenders working on drug policy. </w:t>
      </w:r>
    </w:p>
    <w:p w14:paraId="0000000C" w14:textId="77777777" w:rsidR="006724DF" w:rsidRPr="00CA5D43" w:rsidRDefault="006724DF" w:rsidP="00CA5D43">
      <w:pPr>
        <w:jc w:val="both"/>
        <w:rPr>
          <w:rFonts w:asciiTheme="majorHAnsi" w:hAnsiTheme="majorHAnsi" w:cstheme="majorHAnsi"/>
        </w:rPr>
      </w:pPr>
    </w:p>
    <w:p w14:paraId="0000000F" w14:textId="7A953619" w:rsidR="006724DF" w:rsidRDefault="000B549B" w:rsidP="008C46E9">
      <w:pPr>
        <w:pStyle w:val="ListParagraph"/>
        <w:numPr>
          <w:ilvl w:val="0"/>
          <w:numId w:val="6"/>
        </w:numPr>
        <w:jc w:val="both"/>
        <w:rPr>
          <w:rFonts w:asciiTheme="majorHAnsi" w:hAnsiTheme="majorHAnsi" w:cstheme="majorHAnsi"/>
        </w:rPr>
      </w:pPr>
      <w:r w:rsidRPr="008C46E9">
        <w:rPr>
          <w:rFonts w:asciiTheme="majorHAnsi" w:hAnsiTheme="majorHAnsi" w:cstheme="majorHAnsi"/>
        </w:rPr>
        <w:t>The Comprehensive Dangerous Drugs Act 2002 (CDDA) prescribes a limited range of punishments which are grossly disproportionate to the offences. Depending on the amount of substances, drug possession is punished with incarceration between 12 years’ and life, and a fine.</w:t>
      </w:r>
      <w:r w:rsidRPr="00CA5D43">
        <w:rPr>
          <w:vertAlign w:val="superscript"/>
        </w:rPr>
        <w:footnoteReference w:id="10"/>
      </w:r>
      <w:r w:rsidRPr="008C46E9">
        <w:rPr>
          <w:rFonts w:asciiTheme="majorHAnsi" w:hAnsiTheme="majorHAnsi" w:cstheme="majorHAnsi"/>
        </w:rPr>
        <w:t xml:space="preserve"> Drug use is punished with six months’ mandatory rehabilitation as a first offence, and six to 12 years’ imprisonment and a fine as a repeat offence.</w:t>
      </w:r>
      <w:r w:rsidRPr="00CA5D43">
        <w:rPr>
          <w:rFonts w:eastAsia="Times New Roman"/>
          <w:vertAlign w:val="superscript"/>
        </w:rPr>
        <w:footnoteReference w:id="11"/>
      </w:r>
      <w:r w:rsidR="007B1CCA" w:rsidRPr="008C46E9">
        <w:rPr>
          <w:rFonts w:asciiTheme="majorHAnsi" w:hAnsiTheme="majorHAnsi" w:cstheme="majorHAnsi"/>
        </w:rPr>
        <w:t xml:space="preserve"> </w:t>
      </w:r>
      <w:r w:rsidRPr="008C46E9">
        <w:rPr>
          <w:rFonts w:asciiTheme="majorHAnsi" w:hAnsiTheme="majorHAnsi" w:cstheme="majorHAnsi"/>
        </w:rPr>
        <w:t xml:space="preserve">The end-result is a system of disproportionately harsh penalties, with </w:t>
      </w:r>
      <w:r w:rsidR="00663617">
        <w:rPr>
          <w:rFonts w:asciiTheme="majorHAnsi" w:hAnsiTheme="majorHAnsi" w:cstheme="majorHAnsi"/>
        </w:rPr>
        <w:t>d</w:t>
      </w:r>
      <w:r w:rsidRPr="008C46E9">
        <w:rPr>
          <w:rFonts w:asciiTheme="majorHAnsi" w:hAnsiTheme="majorHAnsi" w:cstheme="majorHAnsi"/>
        </w:rPr>
        <w:t>rug offences often punished more harshly than violent crimes.</w:t>
      </w:r>
      <w:r w:rsidRPr="00CA5D43">
        <w:rPr>
          <w:rFonts w:eastAsia="Times New Roman"/>
          <w:vertAlign w:val="superscript"/>
        </w:rPr>
        <w:footnoteReference w:id="12"/>
      </w:r>
      <w:r w:rsidRPr="008C46E9">
        <w:rPr>
          <w:rFonts w:asciiTheme="majorHAnsi" w:hAnsiTheme="majorHAnsi" w:cstheme="majorHAnsi"/>
        </w:rPr>
        <w:t xml:space="preserve"> Further, the mandatory character of many penalties impairs judicial discretion in: tailoring sentences to the specificity of the crim</w:t>
      </w:r>
      <w:r w:rsidR="00663617">
        <w:rPr>
          <w:rFonts w:asciiTheme="majorHAnsi" w:hAnsiTheme="majorHAnsi" w:cstheme="majorHAnsi"/>
        </w:rPr>
        <w:t xml:space="preserve">e and the offender, and </w:t>
      </w:r>
      <w:r w:rsidRPr="008C46E9">
        <w:rPr>
          <w:rFonts w:asciiTheme="majorHAnsi" w:hAnsiTheme="majorHAnsi" w:cstheme="majorHAnsi"/>
        </w:rPr>
        <w:t xml:space="preserve"> evaluating the very necessity of depriving the defendant of liberty in favour of alternative measures</w:t>
      </w:r>
      <w:r w:rsidR="00663617">
        <w:rPr>
          <w:rFonts w:asciiTheme="majorHAnsi" w:hAnsiTheme="majorHAnsi" w:cstheme="majorHAnsi"/>
        </w:rPr>
        <w:t xml:space="preserve"> (among others)</w:t>
      </w:r>
      <w:r w:rsidRPr="008C46E9">
        <w:rPr>
          <w:rFonts w:asciiTheme="majorHAnsi" w:hAnsiTheme="majorHAnsi" w:cstheme="majorHAnsi"/>
        </w:rPr>
        <w:t>.</w:t>
      </w:r>
      <w:r w:rsidR="007B1CCA" w:rsidRPr="008C46E9">
        <w:rPr>
          <w:rFonts w:asciiTheme="majorHAnsi" w:hAnsiTheme="majorHAnsi" w:cstheme="majorHAnsi"/>
        </w:rPr>
        <w:t xml:space="preserve"> </w:t>
      </w:r>
      <w:r w:rsidRPr="008C46E9">
        <w:rPr>
          <w:rFonts w:asciiTheme="majorHAnsi" w:hAnsiTheme="majorHAnsi" w:cstheme="majorHAnsi"/>
        </w:rPr>
        <w:t xml:space="preserve">As a result, hundreds of thousands of people are arrested and incarcerated every year for often minor drug offences, leading to one of the most overcrowded prison systems in the world (more details </w:t>
      </w:r>
      <w:r w:rsidR="007B1CCA" w:rsidRPr="008C46E9">
        <w:rPr>
          <w:rFonts w:asciiTheme="majorHAnsi" w:hAnsiTheme="majorHAnsi" w:cstheme="majorHAnsi"/>
        </w:rPr>
        <w:t>below</w:t>
      </w:r>
      <w:r w:rsidRPr="008C46E9">
        <w:rPr>
          <w:rFonts w:asciiTheme="majorHAnsi" w:hAnsiTheme="majorHAnsi" w:cstheme="majorHAnsi"/>
        </w:rPr>
        <w:t>); as also documented by the</w:t>
      </w:r>
      <w:r w:rsidRPr="008C46E9">
        <w:rPr>
          <w:rFonts w:asciiTheme="majorHAnsi" w:hAnsiTheme="majorHAnsi" w:cstheme="majorHAnsi"/>
          <w:i/>
        </w:rPr>
        <w:t xml:space="preserve"> </w:t>
      </w:r>
      <w:r w:rsidRPr="008C46E9">
        <w:rPr>
          <w:rFonts w:asciiTheme="majorHAnsi" w:hAnsiTheme="majorHAnsi" w:cstheme="majorHAnsi"/>
        </w:rPr>
        <w:t>2020 OHCHR report.</w:t>
      </w:r>
    </w:p>
    <w:p w14:paraId="7744C758" w14:textId="77777777" w:rsidR="008C46E9" w:rsidRPr="008C46E9" w:rsidRDefault="008C46E9" w:rsidP="008C46E9">
      <w:pPr>
        <w:pStyle w:val="ListParagraph"/>
        <w:ind w:left="360"/>
        <w:jc w:val="both"/>
        <w:rPr>
          <w:rFonts w:asciiTheme="majorHAnsi" w:hAnsiTheme="majorHAnsi" w:cstheme="majorHAnsi"/>
        </w:rPr>
      </w:pPr>
    </w:p>
    <w:p w14:paraId="1859AE44" w14:textId="6180A7B4" w:rsidR="008C46E9" w:rsidRDefault="007B1CCA" w:rsidP="008C46E9">
      <w:pPr>
        <w:pStyle w:val="ListParagraph"/>
        <w:numPr>
          <w:ilvl w:val="0"/>
          <w:numId w:val="6"/>
        </w:numPr>
        <w:spacing w:before="240" w:after="240"/>
        <w:jc w:val="both"/>
        <w:rPr>
          <w:rFonts w:asciiTheme="majorHAnsi" w:hAnsiTheme="majorHAnsi" w:cstheme="majorHAnsi"/>
        </w:rPr>
      </w:pPr>
      <w:r w:rsidRPr="008C46E9">
        <w:rPr>
          <w:rFonts w:asciiTheme="majorHAnsi" w:hAnsiTheme="majorHAnsi" w:cstheme="majorHAnsi"/>
          <w:highlight w:val="white"/>
        </w:rPr>
        <w:t>T</w:t>
      </w:r>
      <w:r w:rsidR="000B549B" w:rsidRPr="008C46E9">
        <w:rPr>
          <w:rFonts w:asciiTheme="majorHAnsi" w:hAnsiTheme="majorHAnsi" w:cstheme="majorHAnsi"/>
          <w:highlight w:val="white"/>
        </w:rPr>
        <w:t>a</w:t>
      </w:r>
      <w:r w:rsidR="00663617">
        <w:rPr>
          <w:rFonts w:asciiTheme="majorHAnsi" w:hAnsiTheme="majorHAnsi" w:cstheme="majorHAnsi"/>
          <w:highlight w:val="white"/>
        </w:rPr>
        <w:t>rgeting of people who use drugs and drug policy activists</w:t>
      </w:r>
      <w:r w:rsidR="000B549B" w:rsidRPr="008C46E9">
        <w:rPr>
          <w:rFonts w:asciiTheme="majorHAnsi" w:hAnsiTheme="majorHAnsi" w:cstheme="majorHAnsi"/>
          <w:highlight w:val="white"/>
        </w:rPr>
        <w:t>, and the stigma associated with drugs, have resulted in: people who use drugs avoiding accessing healthcare services and seeking support or evidence-based treatment when needed; further marginalising people who use drugs, pushing them towards higher-risk drug use-behaviours; preventing</w:t>
      </w:r>
      <w:r w:rsidRPr="008C46E9">
        <w:rPr>
          <w:rFonts w:asciiTheme="majorHAnsi" w:hAnsiTheme="majorHAnsi" w:cstheme="majorHAnsi"/>
          <w:highlight w:val="white"/>
        </w:rPr>
        <w:t xml:space="preserve"> </w:t>
      </w:r>
      <w:r w:rsidR="000B549B" w:rsidRPr="008C46E9">
        <w:rPr>
          <w:rFonts w:asciiTheme="majorHAnsi" w:hAnsiTheme="majorHAnsi" w:cstheme="majorHAnsi"/>
          <w:highlight w:val="white"/>
        </w:rPr>
        <w:t>education and awareness-raising rela</w:t>
      </w:r>
      <w:r w:rsidR="00663617">
        <w:rPr>
          <w:rFonts w:asciiTheme="majorHAnsi" w:hAnsiTheme="majorHAnsi" w:cstheme="majorHAnsi"/>
          <w:highlight w:val="white"/>
        </w:rPr>
        <w:t>ted to drug-related harms</w:t>
      </w:r>
      <w:r w:rsidR="000B549B" w:rsidRPr="008C46E9">
        <w:rPr>
          <w:rFonts w:asciiTheme="majorHAnsi" w:hAnsiTheme="majorHAnsi" w:cstheme="majorHAnsi"/>
          <w:highlight w:val="white"/>
        </w:rPr>
        <w:t xml:space="preserve">; and, reluctance from HIV services to </w:t>
      </w:r>
      <w:r w:rsidR="000B549B" w:rsidRPr="008C46E9">
        <w:rPr>
          <w:rFonts w:asciiTheme="majorHAnsi" w:hAnsiTheme="majorHAnsi" w:cstheme="majorHAnsi"/>
        </w:rPr>
        <w:t>provide services to people who use drugs, because of stigma and a fear that providing services to people who use drugs may put other clients at risk.</w:t>
      </w:r>
      <w:r w:rsidR="000B549B" w:rsidRPr="00CA5D43">
        <w:rPr>
          <w:rFonts w:eastAsia="Calibri"/>
          <w:vertAlign w:val="superscript"/>
        </w:rPr>
        <w:footnoteReference w:id="13"/>
      </w:r>
    </w:p>
    <w:p w14:paraId="7C9B5C7E" w14:textId="77777777" w:rsidR="008C46E9" w:rsidRPr="008C46E9" w:rsidRDefault="008C46E9" w:rsidP="008C46E9">
      <w:pPr>
        <w:pStyle w:val="ListParagraph"/>
        <w:rPr>
          <w:rFonts w:asciiTheme="majorHAnsi" w:hAnsiTheme="majorHAnsi" w:cstheme="majorHAnsi"/>
        </w:rPr>
      </w:pPr>
    </w:p>
    <w:p w14:paraId="7FFD1EC3" w14:textId="28B52C46" w:rsidR="007B1CCA" w:rsidRPr="008C46E9" w:rsidRDefault="000B549B" w:rsidP="008C46E9">
      <w:pPr>
        <w:pStyle w:val="ListParagraph"/>
        <w:numPr>
          <w:ilvl w:val="0"/>
          <w:numId w:val="6"/>
        </w:numPr>
        <w:jc w:val="both"/>
        <w:rPr>
          <w:rFonts w:asciiTheme="majorHAnsi" w:hAnsiTheme="majorHAnsi" w:cstheme="majorHAnsi"/>
        </w:rPr>
      </w:pPr>
      <w:r w:rsidRPr="008C46E9">
        <w:rPr>
          <w:rFonts w:asciiTheme="majorHAnsi" w:hAnsiTheme="majorHAnsi" w:cstheme="majorHAnsi"/>
        </w:rPr>
        <w:t xml:space="preserve">The domestic drug legislation also envisages </w:t>
      </w:r>
      <w:r w:rsidRPr="008C46E9">
        <w:rPr>
          <w:rFonts w:asciiTheme="majorHAnsi" w:hAnsiTheme="majorHAnsi" w:cstheme="majorHAnsi"/>
          <w:u w:val="single"/>
        </w:rPr>
        <w:t xml:space="preserve">mandatory reporting </w:t>
      </w:r>
      <w:r w:rsidRPr="008C46E9">
        <w:rPr>
          <w:rFonts w:asciiTheme="majorHAnsi" w:hAnsiTheme="majorHAnsi" w:cstheme="majorHAnsi"/>
        </w:rPr>
        <w:t>of people who use drugs, creating a system of ‘societal control’ and widespread stigma, discrimination and mistrust which ultimately hinders positive health outcomes. Notably, the CDDA prescribes that teachers or school employees report to the authorities any person found in violation of the Act in a school or its immediate vicinity.</w:t>
      </w:r>
      <w:r w:rsidRPr="00CA5D43">
        <w:rPr>
          <w:vertAlign w:val="superscript"/>
        </w:rPr>
        <w:footnoteReference w:id="14"/>
      </w:r>
      <w:r w:rsidRPr="008C46E9">
        <w:rPr>
          <w:rFonts w:asciiTheme="majorHAnsi" w:hAnsiTheme="majorHAnsi" w:cstheme="majorHAnsi"/>
        </w:rPr>
        <w:t xml:space="preserve"> Similar requirements are in place for law enforcement personnel and civil servants.</w:t>
      </w:r>
      <w:r w:rsidRPr="00CA5D43">
        <w:rPr>
          <w:vertAlign w:val="superscript"/>
        </w:rPr>
        <w:footnoteReference w:id="15"/>
      </w:r>
      <w:r w:rsidR="007B1CCA" w:rsidRPr="008C46E9">
        <w:rPr>
          <w:rFonts w:asciiTheme="majorHAnsi" w:hAnsiTheme="majorHAnsi" w:cstheme="majorHAnsi"/>
        </w:rPr>
        <w:t xml:space="preserve"> </w:t>
      </w:r>
    </w:p>
    <w:p w14:paraId="7BACA6F3" w14:textId="77777777" w:rsidR="007B1CCA" w:rsidRDefault="007B1CCA" w:rsidP="00CA5D43">
      <w:pPr>
        <w:jc w:val="both"/>
        <w:rPr>
          <w:rFonts w:asciiTheme="majorHAnsi" w:hAnsiTheme="majorHAnsi" w:cstheme="majorHAnsi"/>
        </w:rPr>
      </w:pPr>
    </w:p>
    <w:p w14:paraId="4B2E3E36" w14:textId="485FECA7" w:rsidR="007B1CCA" w:rsidRDefault="000B549B" w:rsidP="008C46E9">
      <w:pPr>
        <w:pStyle w:val="ListParagraph"/>
        <w:numPr>
          <w:ilvl w:val="0"/>
          <w:numId w:val="6"/>
        </w:numPr>
        <w:jc w:val="both"/>
        <w:rPr>
          <w:rFonts w:asciiTheme="majorHAnsi" w:hAnsiTheme="majorHAnsi" w:cstheme="majorHAnsi"/>
        </w:rPr>
      </w:pPr>
      <w:r w:rsidRPr="008C46E9">
        <w:rPr>
          <w:rFonts w:asciiTheme="majorHAnsi" w:hAnsiTheme="majorHAnsi" w:cstheme="majorHAnsi"/>
        </w:rPr>
        <w:t xml:space="preserve">Since 2016 this practice has become systematic and generalised. Central to the anti-drug campaign is </w:t>
      </w:r>
      <w:r w:rsidRPr="008C46E9">
        <w:rPr>
          <w:rFonts w:asciiTheme="majorHAnsi" w:hAnsiTheme="majorHAnsi" w:cstheme="majorHAnsi"/>
          <w:i/>
        </w:rPr>
        <w:t>Oplan Tokhang</w:t>
      </w:r>
      <w:r w:rsidRPr="008C46E9">
        <w:rPr>
          <w:rFonts w:asciiTheme="majorHAnsi" w:hAnsiTheme="majorHAnsi" w:cstheme="majorHAnsi"/>
        </w:rPr>
        <w:t>, an operation whereby police officers knock on the doors of people suspected of engaging with drugs and ‘encourage’ their ‘voluntary’ surrender to the authorities. The operation is carried out on the basis of “drug-watch lists” compiled by barangay</w:t>
      </w:r>
      <w:r w:rsidRPr="00CA5D43">
        <w:rPr>
          <w:vertAlign w:val="superscript"/>
        </w:rPr>
        <w:footnoteReference w:id="16"/>
      </w:r>
      <w:r w:rsidRPr="008C46E9">
        <w:rPr>
          <w:rFonts w:asciiTheme="majorHAnsi" w:hAnsiTheme="majorHAnsi" w:cstheme="majorHAnsi"/>
        </w:rPr>
        <w:t xml:space="preserve"> officials and communicated to law enforcement, listing people suspected of using or engaging with drugs. The lists</w:t>
      </w:r>
      <w:r w:rsidR="007B1CCA" w:rsidRPr="008C46E9">
        <w:rPr>
          <w:rFonts w:asciiTheme="majorHAnsi" w:hAnsiTheme="majorHAnsi" w:cstheme="majorHAnsi"/>
        </w:rPr>
        <w:t xml:space="preserve"> are problematic on many levels: t</w:t>
      </w:r>
      <w:r w:rsidRPr="008C46E9">
        <w:rPr>
          <w:rFonts w:asciiTheme="majorHAnsi" w:hAnsiTheme="majorHAnsi" w:cstheme="majorHAnsi"/>
        </w:rPr>
        <w:t>here are no clear criteria for including names on the lists, with registration often following unsubstantiated reports;</w:t>
      </w:r>
      <w:r w:rsidRPr="00CA5D43">
        <w:rPr>
          <w:rFonts w:eastAsia="Calibri"/>
          <w:vertAlign w:val="superscript"/>
        </w:rPr>
        <w:footnoteReference w:id="17"/>
      </w:r>
      <w:r w:rsidR="007B1CCA" w:rsidRPr="008C46E9">
        <w:rPr>
          <w:rFonts w:asciiTheme="majorHAnsi" w:hAnsiTheme="majorHAnsi" w:cstheme="majorHAnsi"/>
        </w:rPr>
        <w:t xml:space="preserve"> t</w:t>
      </w:r>
      <w:r w:rsidRPr="008C46E9">
        <w:rPr>
          <w:rFonts w:asciiTheme="majorHAnsi" w:hAnsiTheme="majorHAnsi" w:cstheme="majorHAnsi"/>
        </w:rPr>
        <w:t>he lists are not accessible by the public; those who are on the lists do not have access to any written documentation;</w:t>
      </w:r>
      <w:r w:rsidR="007B1CCA" w:rsidRPr="008C46E9">
        <w:rPr>
          <w:rFonts w:asciiTheme="majorHAnsi" w:hAnsiTheme="majorHAnsi" w:cstheme="majorHAnsi"/>
        </w:rPr>
        <w:t xml:space="preserve"> t</w:t>
      </w:r>
      <w:r w:rsidRPr="008C46E9">
        <w:rPr>
          <w:rFonts w:asciiTheme="majorHAnsi" w:hAnsiTheme="majorHAnsi" w:cstheme="majorHAnsi"/>
        </w:rPr>
        <w:t xml:space="preserve">here is no judicial oversight, and no avenue to challenge one’s inclusion. Registered people have no control over what information is included and how it is used; </w:t>
      </w:r>
      <w:r w:rsidR="007B1CCA" w:rsidRPr="008C46E9">
        <w:rPr>
          <w:rFonts w:asciiTheme="majorHAnsi" w:hAnsiTheme="majorHAnsi" w:cstheme="majorHAnsi"/>
        </w:rPr>
        <w:t>i</w:t>
      </w:r>
      <w:r w:rsidRPr="008C46E9">
        <w:rPr>
          <w:rFonts w:asciiTheme="majorHAnsi" w:hAnsiTheme="majorHAnsi" w:cstheme="majorHAnsi"/>
        </w:rPr>
        <w:t>t is unclear whether and how information can be removed. Some authorities report being able to remove people from local lists after they ‘graduate’ from drug treatment programmes, however such reports are inconsistent, and do not clarify whether information can be also removed from central databases – creating a “system of perpetual surveillance”.</w:t>
      </w:r>
      <w:r w:rsidRPr="00CA5D43">
        <w:rPr>
          <w:rFonts w:eastAsia="Calibri"/>
          <w:vertAlign w:val="superscript"/>
        </w:rPr>
        <w:footnoteReference w:id="18"/>
      </w:r>
    </w:p>
    <w:p w14:paraId="2306A81F" w14:textId="77777777" w:rsidR="008C46E9" w:rsidRPr="008C46E9" w:rsidRDefault="008C46E9" w:rsidP="008C46E9">
      <w:pPr>
        <w:pStyle w:val="ListParagraph"/>
        <w:ind w:left="360"/>
        <w:jc w:val="both"/>
        <w:rPr>
          <w:rFonts w:asciiTheme="majorHAnsi" w:hAnsiTheme="majorHAnsi" w:cstheme="majorHAnsi"/>
        </w:rPr>
      </w:pPr>
    </w:p>
    <w:p w14:paraId="2EA9C3F5" w14:textId="758CDFBF" w:rsidR="008C46E9" w:rsidRDefault="000B549B" w:rsidP="008C46E9">
      <w:pPr>
        <w:pStyle w:val="ListParagraph"/>
        <w:numPr>
          <w:ilvl w:val="0"/>
          <w:numId w:val="6"/>
        </w:numPr>
        <w:spacing w:before="240" w:after="240"/>
        <w:jc w:val="both"/>
        <w:rPr>
          <w:rFonts w:asciiTheme="majorHAnsi" w:hAnsiTheme="majorHAnsi" w:cstheme="majorHAnsi"/>
          <w:highlight w:val="white"/>
        </w:rPr>
      </w:pPr>
      <w:r w:rsidRPr="008C46E9">
        <w:rPr>
          <w:rFonts w:asciiTheme="majorHAnsi" w:hAnsiTheme="majorHAnsi" w:cstheme="majorHAnsi"/>
        </w:rPr>
        <w:t>Among others, most of those contacted by the police ‘surrender’, have to commit to urine testing and non-specified</w:t>
      </w:r>
      <w:r w:rsidR="00544B2A">
        <w:rPr>
          <w:rFonts w:asciiTheme="majorHAnsi" w:hAnsiTheme="majorHAnsi" w:cstheme="majorHAnsi"/>
        </w:rPr>
        <w:t xml:space="preserve"> medical examinations, and </w:t>
      </w:r>
      <w:r w:rsidRPr="008C46E9">
        <w:rPr>
          <w:rFonts w:asciiTheme="majorHAnsi" w:hAnsiTheme="majorHAnsi" w:cstheme="majorHAnsi"/>
        </w:rPr>
        <w:t xml:space="preserve">are mandated to undergo non evidence-based treatment in government-run centres (more details </w:t>
      </w:r>
      <w:r w:rsidR="007B1CCA" w:rsidRPr="008C46E9">
        <w:rPr>
          <w:rFonts w:asciiTheme="majorHAnsi" w:hAnsiTheme="majorHAnsi" w:cstheme="majorHAnsi"/>
        </w:rPr>
        <w:t>below</w:t>
      </w:r>
      <w:r w:rsidRPr="008C46E9">
        <w:rPr>
          <w:rFonts w:asciiTheme="majorHAnsi" w:hAnsiTheme="majorHAnsi" w:cstheme="majorHAnsi"/>
        </w:rPr>
        <w:t>). According to informal reports from July 2019, over 1.5 million people surrendered to the authorities; no information is available on the number of people included</w:t>
      </w:r>
      <w:r w:rsidRPr="008C46E9">
        <w:rPr>
          <w:rFonts w:asciiTheme="majorHAnsi" w:eastAsia="Calibri" w:hAnsiTheme="majorHAnsi" w:cstheme="majorHAnsi"/>
        </w:rPr>
        <w:t xml:space="preserve"> </w:t>
      </w:r>
      <w:r w:rsidRPr="008C46E9">
        <w:rPr>
          <w:rFonts w:asciiTheme="majorHAnsi" w:hAnsiTheme="majorHAnsi" w:cstheme="majorHAnsi"/>
        </w:rPr>
        <w:t>in the lists, but as of July 2022</w:t>
      </w:r>
      <w:r w:rsidR="00544B2A">
        <w:rPr>
          <w:rFonts w:asciiTheme="majorHAnsi" w:hAnsiTheme="majorHAnsi" w:cstheme="majorHAnsi"/>
        </w:rPr>
        <w:t xml:space="preserve"> names continue to be </w:t>
      </w:r>
      <w:r w:rsidRPr="008C46E9">
        <w:rPr>
          <w:rFonts w:asciiTheme="majorHAnsi" w:hAnsiTheme="majorHAnsi" w:cstheme="majorHAnsi"/>
        </w:rPr>
        <w:t>added</w:t>
      </w:r>
      <w:r w:rsidR="007B1CCA" w:rsidRPr="008C46E9">
        <w:rPr>
          <w:rFonts w:asciiTheme="majorHAnsi" w:hAnsiTheme="majorHAnsi" w:cstheme="majorHAnsi"/>
        </w:rPr>
        <w:t>.</w:t>
      </w:r>
      <w:r w:rsidRPr="008C46E9">
        <w:rPr>
          <w:rFonts w:asciiTheme="majorHAnsi" w:eastAsia="Times New Roman" w:hAnsiTheme="majorHAnsi" w:cstheme="majorHAnsi"/>
          <w:sz w:val="20"/>
          <w:szCs w:val="20"/>
        </w:rPr>
        <w:t xml:space="preserve"> </w:t>
      </w:r>
      <w:r w:rsidRPr="008C46E9">
        <w:rPr>
          <w:rFonts w:asciiTheme="majorHAnsi" w:hAnsiTheme="majorHAnsi" w:cstheme="majorHAnsi"/>
        </w:rPr>
        <w:t>Although framed as voluntary, the decision to surrender is often based on intimidation and fear, thus cannot be considered free. Indeed, there is a well-substantiated link between appearing in the lists and suffering human rights violations including violence, arbitrary arrest and detention, and even homicide.</w:t>
      </w:r>
      <w:r w:rsidRPr="00CA5D43">
        <w:rPr>
          <w:rFonts w:eastAsia="Times New Roman"/>
          <w:sz w:val="20"/>
          <w:szCs w:val="20"/>
          <w:vertAlign w:val="superscript"/>
        </w:rPr>
        <w:footnoteReference w:id="19"/>
      </w:r>
      <w:r w:rsidRPr="008C46E9">
        <w:rPr>
          <w:rFonts w:asciiTheme="majorHAnsi" w:eastAsia="Times New Roman" w:hAnsiTheme="majorHAnsi" w:cstheme="majorHAnsi"/>
          <w:sz w:val="20"/>
          <w:szCs w:val="20"/>
        </w:rPr>
        <w:t xml:space="preserve"> </w:t>
      </w:r>
      <w:r w:rsidRPr="008C46E9">
        <w:rPr>
          <w:rFonts w:asciiTheme="majorHAnsi" w:hAnsiTheme="majorHAnsi" w:cstheme="majorHAnsi"/>
        </w:rPr>
        <w:t xml:space="preserve">These connections were also evidenced in the </w:t>
      </w:r>
      <w:r w:rsidRPr="008C46E9">
        <w:rPr>
          <w:rFonts w:asciiTheme="majorHAnsi" w:hAnsiTheme="majorHAnsi" w:cstheme="majorHAnsi"/>
          <w:highlight w:val="white"/>
        </w:rPr>
        <w:t>2020 OHCHR report.</w:t>
      </w:r>
      <w:r w:rsidRPr="00CA5D43">
        <w:rPr>
          <w:highlight w:val="white"/>
          <w:vertAlign w:val="superscript"/>
        </w:rPr>
        <w:footnoteReference w:id="20"/>
      </w:r>
    </w:p>
    <w:p w14:paraId="1003F3F7" w14:textId="77777777" w:rsidR="008C46E9" w:rsidRPr="008C46E9" w:rsidRDefault="008C46E9" w:rsidP="008C46E9">
      <w:pPr>
        <w:pStyle w:val="ListParagraph"/>
        <w:rPr>
          <w:rFonts w:asciiTheme="majorHAnsi" w:hAnsiTheme="majorHAnsi" w:cstheme="majorHAnsi"/>
          <w:highlight w:val="white"/>
        </w:rPr>
      </w:pPr>
    </w:p>
    <w:p w14:paraId="6CCDC377" w14:textId="7ABA8192" w:rsidR="008C46E9" w:rsidRDefault="000B549B" w:rsidP="008C46E9">
      <w:pPr>
        <w:pStyle w:val="ListParagraph"/>
        <w:numPr>
          <w:ilvl w:val="0"/>
          <w:numId w:val="6"/>
        </w:numPr>
        <w:spacing w:before="240" w:after="240"/>
        <w:jc w:val="both"/>
        <w:rPr>
          <w:rFonts w:asciiTheme="majorHAnsi" w:hAnsiTheme="majorHAnsi" w:cstheme="majorHAnsi"/>
        </w:rPr>
      </w:pPr>
      <w:r w:rsidRPr="008C46E9">
        <w:rPr>
          <w:rFonts w:asciiTheme="majorHAnsi" w:hAnsiTheme="majorHAnsi" w:cstheme="majorHAnsi"/>
        </w:rPr>
        <w:t xml:space="preserve">The very existence of the lists and the consequences of being registered create an environment of suspicion and mistrusts, increase stigma and discrimination against people who use drugs, and ultimately expose them to violence and even loss of life. This policy promotes unsafe and risky drug use behaviours, and deters individuals from seeking evidence-based drug-dependence or other health treatment when needed. A further consequence is the systemic underreporting and underestimation of phenomena such </w:t>
      </w:r>
      <w:r w:rsidRPr="008C46E9">
        <w:rPr>
          <w:rFonts w:asciiTheme="majorHAnsi" w:hAnsiTheme="majorHAnsi" w:cstheme="majorHAnsi"/>
        </w:rPr>
        <w:lastRenderedPageBreak/>
        <w:t>as drug use, drug dependence, and transmission of communicable diseases, impinging on the ability of the state to design and implement adequate and effective responses.</w:t>
      </w:r>
    </w:p>
    <w:p w14:paraId="6F97F07E" w14:textId="77777777" w:rsidR="008C46E9" w:rsidRPr="008C46E9" w:rsidRDefault="008C46E9" w:rsidP="008C46E9">
      <w:pPr>
        <w:pStyle w:val="ListParagraph"/>
        <w:rPr>
          <w:rFonts w:asciiTheme="majorHAnsi" w:hAnsiTheme="majorHAnsi" w:cstheme="majorHAnsi"/>
        </w:rPr>
      </w:pPr>
    </w:p>
    <w:p w14:paraId="63588CDD" w14:textId="1D2D2E89" w:rsidR="007077CA" w:rsidRPr="00544B2A" w:rsidRDefault="000B549B" w:rsidP="00544B2A">
      <w:pPr>
        <w:pStyle w:val="ListParagraph"/>
        <w:numPr>
          <w:ilvl w:val="0"/>
          <w:numId w:val="6"/>
        </w:numPr>
        <w:spacing w:before="240" w:after="240"/>
        <w:jc w:val="both"/>
        <w:rPr>
          <w:rFonts w:asciiTheme="majorHAnsi" w:hAnsiTheme="majorHAnsi" w:cstheme="majorHAnsi"/>
        </w:rPr>
      </w:pPr>
      <w:r w:rsidRPr="008C46E9">
        <w:rPr>
          <w:rFonts w:asciiTheme="majorHAnsi" w:hAnsiTheme="majorHAnsi" w:cstheme="majorHAnsi"/>
        </w:rPr>
        <w:t xml:space="preserve">Similarly problematic is </w:t>
      </w:r>
      <w:r w:rsidRPr="00544B2A">
        <w:rPr>
          <w:rFonts w:asciiTheme="majorHAnsi" w:hAnsiTheme="majorHAnsi" w:cstheme="majorHAnsi"/>
          <w:u w:val="single"/>
        </w:rPr>
        <w:t>mandatory drug</w:t>
      </w:r>
      <w:r w:rsidRPr="008C46E9">
        <w:rPr>
          <w:rFonts w:asciiTheme="majorHAnsi" w:hAnsiTheme="majorHAnsi" w:cstheme="majorHAnsi"/>
          <w:u w:val="single"/>
        </w:rPr>
        <w:t xml:space="preserve"> testing,</w:t>
      </w:r>
      <w:r w:rsidRPr="008C46E9">
        <w:rPr>
          <w:rFonts w:asciiTheme="majorHAnsi" w:hAnsiTheme="majorHAnsi" w:cstheme="majorHAnsi"/>
        </w:rPr>
        <w:t xml:space="preserve"> which the CDDA mandates as a requirement to access certain professions, particularly to be a public officer/form part of law enforcement. Drug testing is also prescribed in the context of </w:t>
      </w:r>
      <w:r w:rsidRPr="008C46E9">
        <w:rPr>
          <w:rFonts w:asciiTheme="majorHAnsi" w:hAnsiTheme="majorHAnsi" w:cstheme="majorHAnsi"/>
          <w:i/>
        </w:rPr>
        <w:t>Oplan Tokhang</w:t>
      </w:r>
      <w:r w:rsidRPr="008C46E9">
        <w:rPr>
          <w:rFonts w:asciiTheme="majorHAnsi" w:hAnsiTheme="majorHAnsi" w:cstheme="majorHAnsi"/>
        </w:rPr>
        <w:t>:</w:t>
      </w:r>
      <w:r w:rsidR="007077CA" w:rsidRPr="008C46E9">
        <w:rPr>
          <w:rFonts w:asciiTheme="majorHAnsi" w:eastAsia="Roboto" w:hAnsiTheme="majorHAnsi" w:cstheme="majorHAnsi"/>
          <w:highlight w:val="white"/>
        </w:rPr>
        <w:t xml:space="preserve"> under DDB Board Reg 4, s.2021 </w:t>
      </w:r>
      <w:r w:rsidRPr="008C46E9">
        <w:rPr>
          <w:rFonts w:asciiTheme="majorHAnsi" w:eastAsia="Roboto" w:hAnsiTheme="majorHAnsi" w:cstheme="majorHAnsi"/>
          <w:highlight w:val="white"/>
        </w:rPr>
        <w:t>(Barangay Drug Clearing Program) individuals included in the ‘watchlists’ are under continuous monitoring and subject to "undergo surveillance drug test</w:t>
      </w:r>
      <w:r w:rsidR="00544B2A">
        <w:rPr>
          <w:rFonts w:asciiTheme="majorHAnsi" w:eastAsia="Roboto" w:hAnsiTheme="majorHAnsi" w:cstheme="majorHAnsi"/>
          <w:highlight w:val="white"/>
        </w:rPr>
        <w:t>s</w:t>
      </w:r>
      <w:r w:rsidRPr="008C46E9">
        <w:rPr>
          <w:rFonts w:asciiTheme="majorHAnsi" w:eastAsia="Roboto" w:hAnsiTheme="majorHAnsi" w:cstheme="majorHAnsi"/>
          <w:highlight w:val="white"/>
        </w:rPr>
        <w:t>." This includes those who have undergone and completed the imposed intervention programs. According to reports to local civil society, community</w:t>
      </w:r>
      <w:r w:rsidR="00544B2A">
        <w:rPr>
          <w:rFonts w:asciiTheme="majorHAnsi" w:eastAsia="Roboto" w:hAnsiTheme="majorHAnsi" w:cstheme="majorHAnsi"/>
          <w:highlight w:val="white"/>
        </w:rPr>
        <w:t xml:space="preserve"> members are regularly ‘visited’ </w:t>
      </w:r>
      <w:r w:rsidRPr="008C46E9">
        <w:rPr>
          <w:rFonts w:asciiTheme="majorHAnsi" w:eastAsia="Roboto" w:hAnsiTheme="majorHAnsi" w:cstheme="majorHAnsi"/>
          <w:highlight w:val="white"/>
        </w:rPr>
        <w:t>by law enforcement and asked to s</w:t>
      </w:r>
      <w:r w:rsidR="00544B2A">
        <w:rPr>
          <w:rFonts w:asciiTheme="majorHAnsi" w:eastAsia="Roboto" w:hAnsiTheme="majorHAnsi" w:cstheme="majorHAnsi"/>
          <w:highlight w:val="white"/>
        </w:rPr>
        <w:t>ubmit a urine specimen, or are ‘invited’</w:t>
      </w:r>
      <w:r w:rsidRPr="008C46E9">
        <w:rPr>
          <w:rFonts w:asciiTheme="majorHAnsi" w:eastAsia="Roboto" w:hAnsiTheme="majorHAnsi" w:cstheme="majorHAnsi"/>
          <w:highlight w:val="white"/>
        </w:rPr>
        <w:t xml:space="preserve"> to the barangay, then made to submit a specimen.</w:t>
      </w:r>
      <w:r w:rsidRPr="008C46E9">
        <w:rPr>
          <w:rFonts w:asciiTheme="majorHAnsi" w:hAnsiTheme="majorHAnsi" w:cstheme="majorHAnsi"/>
        </w:rPr>
        <w:t xml:space="preserve"> Drug testing is an unreliable indicator of drug use, inadequate to identify drug dependence;</w:t>
      </w:r>
      <w:r w:rsidRPr="00CA5D43">
        <w:rPr>
          <w:vertAlign w:val="superscript"/>
        </w:rPr>
        <w:footnoteReference w:id="21"/>
      </w:r>
      <w:r w:rsidRPr="008C46E9">
        <w:rPr>
          <w:rFonts w:asciiTheme="majorHAnsi" w:hAnsiTheme="majorHAnsi" w:cstheme="majorHAnsi"/>
        </w:rPr>
        <w:t xml:space="preserve"> especially when mandatory, it can push people who use drugs towards consuming potentially more dangerous but less detectable substances, and prevent them from seeking support or treatment when needed; as also acknowledged by this Committee.</w:t>
      </w:r>
      <w:r w:rsidRPr="00CA5D43">
        <w:rPr>
          <w:vertAlign w:val="superscript"/>
        </w:rPr>
        <w:footnoteReference w:id="22"/>
      </w:r>
      <w:r w:rsidRPr="008C46E9">
        <w:rPr>
          <w:rFonts w:asciiTheme="majorHAnsi" w:hAnsiTheme="majorHAnsi" w:cstheme="majorHAnsi"/>
        </w:rPr>
        <w:t xml:space="preserve"> Finally, drug testing worsens stigma and discrimination, and can negatively impact on one’s private and family life, as well as health. </w:t>
      </w:r>
    </w:p>
    <w:p w14:paraId="0000001D" w14:textId="4756ADDB" w:rsidR="006724DF" w:rsidRPr="00CA5D43" w:rsidRDefault="000B549B">
      <w:pPr>
        <w:rPr>
          <w:rFonts w:ascii="Calibri Light" w:hAnsi="Calibri Light" w:cs="Calibri Light"/>
          <w:sz w:val="24"/>
          <w:szCs w:val="24"/>
        </w:rPr>
      </w:pPr>
      <w:r w:rsidRPr="00CA5D43">
        <w:rPr>
          <w:rFonts w:ascii="Calibri Light" w:hAnsi="Calibri Light" w:cs="Calibri Light"/>
          <w:b/>
          <w:sz w:val="24"/>
          <w:szCs w:val="24"/>
        </w:rPr>
        <w:t>Drug testing in schools, and the impact on the right to education</w:t>
      </w:r>
    </w:p>
    <w:p w14:paraId="5B3D98DA" w14:textId="2FCA70A0" w:rsidR="007077CA" w:rsidRPr="00663617" w:rsidRDefault="000B549B" w:rsidP="00CA5D43">
      <w:pPr>
        <w:pStyle w:val="ListParagraph"/>
        <w:numPr>
          <w:ilvl w:val="0"/>
          <w:numId w:val="6"/>
        </w:numPr>
        <w:spacing w:before="240" w:after="240"/>
        <w:jc w:val="both"/>
        <w:rPr>
          <w:rFonts w:asciiTheme="majorHAnsi" w:hAnsiTheme="majorHAnsi" w:cstheme="majorHAnsi"/>
        </w:rPr>
      </w:pPr>
      <w:r w:rsidRPr="008C46E9">
        <w:rPr>
          <w:rFonts w:asciiTheme="majorHAnsi" w:hAnsiTheme="majorHAnsi" w:cstheme="majorHAnsi"/>
        </w:rPr>
        <w:t>Drug testing in schools is equally ineffective and can constitute an obstacle to fulfilling the right to education. The UNODC prevention standards, endorsed by the UN Commission on Narcotic Drugs</w:t>
      </w:r>
      <w:r>
        <w:rPr>
          <w:rFonts w:asciiTheme="majorHAnsi" w:hAnsiTheme="majorHAnsi" w:cstheme="majorHAnsi"/>
        </w:rPr>
        <w:t xml:space="preserve"> (CND)</w:t>
      </w:r>
      <w:r w:rsidRPr="008C46E9">
        <w:rPr>
          <w:rFonts w:asciiTheme="majorHAnsi" w:hAnsiTheme="majorHAnsi" w:cstheme="majorHAnsi"/>
        </w:rPr>
        <w:t>, recommend that random drug testing in schools be avoided.</w:t>
      </w:r>
      <w:r w:rsidRPr="00CA5D43">
        <w:rPr>
          <w:vertAlign w:val="superscript"/>
        </w:rPr>
        <w:footnoteReference w:id="23"/>
      </w:r>
      <w:r w:rsidR="007077CA" w:rsidRPr="008C46E9">
        <w:rPr>
          <w:rFonts w:asciiTheme="majorHAnsi" w:hAnsiTheme="majorHAnsi" w:cstheme="majorHAnsi"/>
        </w:rPr>
        <w:t xml:space="preserve"> Pursuant </w:t>
      </w:r>
      <w:r w:rsidRPr="008C46E9">
        <w:rPr>
          <w:rFonts w:asciiTheme="majorHAnsi" w:hAnsiTheme="majorHAnsi" w:cstheme="majorHAnsi"/>
        </w:rPr>
        <w:t>to CDDA,</w:t>
      </w:r>
      <w:r w:rsidRPr="00CA5D43">
        <w:rPr>
          <w:vertAlign w:val="superscript"/>
        </w:rPr>
        <w:footnoteReference w:id="24"/>
      </w:r>
      <w:r w:rsidRPr="008C46E9">
        <w:rPr>
          <w:rFonts w:asciiTheme="majorHAnsi" w:hAnsiTheme="majorHAnsi" w:cstheme="majorHAnsi"/>
        </w:rPr>
        <w:t xml:space="preserve"> the Department of Educat</w:t>
      </w:r>
      <w:r>
        <w:rPr>
          <w:rFonts w:asciiTheme="majorHAnsi" w:hAnsiTheme="majorHAnsi" w:cstheme="majorHAnsi"/>
        </w:rPr>
        <w:t xml:space="preserve">ion released guidelines for </w:t>
      </w:r>
      <w:r w:rsidRPr="008C46E9">
        <w:rPr>
          <w:rFonts w:asciiTheme="majorHAnsi" w:hAnsiTheme="majorHAnsi" w:cstheme="majorHAnsi"/>
        </w:rPr>
        <w:t>conduct</w:t>
      </w:r>
      <w:r>
        <w:rPr>
          <w:rFonts w:asciiTheme="majorHAnsi" w:hAnsiTheme="majorHAnsi" w:cstheme="majorHAnsi"/>
        </w:rPr>
        <w:t>ing</w:t>
      </w:r>
      <w:r w:rsidRPr="008C46E9">
        <w:rPr>
          <w:rFonts w:asciiTheme="majorHAnsi" w:hAnsiTheme="majorHAnsi" w:cstheme="majorHAnsi"/>
        </w:rPr>
        <w:t xml:space="preserve"> of random drug testing in public and private secondary schools.</w:t>
      </w:r>
      <w:r w:rsidRPr="00CA5D43">
        <w:rPr>
          <w:vertAlign w:val="superscript"/>
        </w:rPr>
        <w:footnoteReference w:id="25"/>
      </w:r>
      <w:r w:rsidRPr="008C46E9">
        <w:rPr>
          <w:rFonts w:asciiTheme="majorHAnsi" w:hAnsiTheme="majorHAnsi" w:cstheme="majorHAnsi"/>
        </w:rPr>
        <w:t xml:space="preserve"> Although presented as voluntary, refusal to undergo the test can be grounds for “appropriate action” or “intervention” by the school. Human Rights Watch concluded that “taking a child’s bodily fluids, whether blood or urine, without their consent may violate the right to bodily integrity and constitute arbitrary interference </w:t>
      </w:r>
      <w:r>
        <w:rPr>
          <w:rFonts w:asciiTheme="majorHAnsi" w:hAnsiTheme="majorHAnsi" w:cstheme="majorHAnsi"/>
        </w:rPr>
        <w:t>with their privacy and dignity,”</w:t>
      </w:r>
      <w:r w:rsidRPr="008C46E9">
        <w:rPr>
          <w:rFonts w:asciiTheme="majorHAnsi" w:hAnsiTheme="majorHAnsi" w:cstheme="majorHAnsi"/>
        </w:rPr>
        <w:t xml:space="preserve"> and “could also constitute degrading treatment, and may deter children from attending school or college […] depriving them of their right to an education”.</w:t>
      </w:r>
      <w:r w:rsidRPr="00CA5D43">
        <w:rPr>
          <w:vertAlign w:val="superscript"/>
        </w:rPr>
        <w:footnoteReference w:id="26"/>
      </w:r>
      <w:r w:rsidRPr="008C46E9">
        <w:rPr>
          <w:rFonts w:asciiTheme="majorHAnsi" w:hAnsiTheme="majorHAnsi" w:cstheme="majorHAnsi"/>
        </w:rPr>
        <w:t xml:space="preserve"> OHCHR has reached similar conclusions.</w:t>
      </w:r>
      <w:r w:rsidRPr="00CA5D43">
        <w:rPr>
          <w:vertAlign w:val="superscript"/>
        </w:rPr>
        <w:footnoteReference w:id="27"/>
      </w:r>
      <w:r w:rsidRPr="008C46E9">
        <w:rPr>
          <w:rFonts w:asciiTheme="majorHAnsi" w:hAnsiTheme="majorHAnsi" w:cstheme="majorHAnsi"/>
        </w:rPr>
        <w:t xml:space="preserve"> A large random study provided evidence that it can be detrimental to effective prevention methods based on building trust between students and teachers,</w:t>
      </w:r>
      <w:r w:rsidRPr="00CA5D43">
        <w:rPr>
          <w:vertAlign w:val="superscript"/>
        </w:rPr>
        <w:footnoteReference w:id="28"/>
      </w:r>
      <w:r w:rsidRPr="008C46E9">
        <w:rPr>
          <w:rFonts w:asciiTheme="majorHAnsi" w:hAnsiTheme="majorHAnsi" w:cstheme="majorHAnsi"/>
        </w:rPr>
        <w:t xml:space="preserve"> and the UNODC has noted that there is no evidence that drug testing is an effective prevention strategy.</w:t>
      </w:r>
      <w:r w:rsidRPr="00CA5D43">
        <w:rPr>
          <w:vertAlign w:val="superscript"/>
        </w:rPr>
        <w:footnoteReference w:id="29"/>
      </w:r>
      <w:r w:rsidRPr="008C46E9">
        <w:rPr>
          <w:rFonts w:asciiTheme="majorHAnsi" w:hAnsiTheme="majorHAnsi" w:cstheme="majorHAnsi"/>
        </w:rPr>
        <w:t xml:space="preserve"> In addition to a potentially arbitrary restriction on the right to education, exclusion from schools can also be a barrier to employment and to other opportunities later in life  </w:t>
      </w:r>
    </w:p>
    <w:p w14:paraId="00000023" w14:textId="40123DA4" w:rsidR="006724DF" w:rsidRPr="007077CA" w:rsidRDefault="000B549B" w:rsidP="00CA5D43">
      <w:pPr>
        <w:jc w:val="both"/>
        <w:rPr>
          <w:rFonts w:ascii="Calibri Light" w:hAnsi="Calibri Light" w:cs="Calibri Light"/>
          <w:sz w:val="24"/>
          <w:szCs w:val="24"/>
        </w:rPr>
      </w:pPr>
      <w:r w:rsidRPr="007077CA">
        <w:rPr>
          <w:rFonts w:ascii="Calibri Light" w:hAnsi="Calibri Light" w:cs="Calibri Light"/>
          <w:b/>
          <w:sz w:val="24"/>
          <w:szCs w:val="24"/>
        </w:rPr>
        <w:lastRenderedPageBreak/>
        <w:t xml:space="preserve">Violence in the context of anti-drug operations </w:t>
      </w:r>
    </w:p>
    <w:p w14:paraId="00000024" w14:textId="11FDAD11" w:rsidR="006724DF" w:rsidRDefault="000B549B" w:rsidP="008C46E9">
      <w:pPr>
        <w:pStyle w:val="ListParagraph"/>
        <w:numPr>
          <w:ilvl w:val="0"/>
          <w:numId w:val="6"/>
        </w:numPr>
        <w:spacing w:before="240" w:after="240"/>
        <w:jc w:val="both"/>
        <w:rPr>
          <w:rFonts w:asciiTheme="majorHAnsi" w:hAnsiTheme="majorHAnsi" w:cstheme="majorHAnsi"/>
        </w:rPr>
      </w:pPr>
      <w:r w:rsidRPr="008C46E9">
        <w:rPr>
          <w:rFonts w:asciiTheme="majorHAnsi" w:hAnsiTheme="majorHAnsi" w:cstheme="majorHAnsi"/>
        </w:rPr>
        <w:t>In its periodic report</w:t>
      </w:r>
      <w:r w:rsidR="007077CA" w:rsidRPr="008C46E9">
        <w:rPr>
          <w:rFonts w:asciiTheme="majorHAnsi" w:hAnsiTheme="majorHAnsi" w:cstheme="majorHAnsi"/>
        </w:rPr>
        <w:t>,</w:t>
      </w:r>
      <w:r w:rsidRPr="00CA5D43">
        <w:rPr>
          <w:vertAlign w:val="superscript"/>
        </w:rPr>
        <w:footnoteReference w:id="30"/>
      </w:r>
      <w:r w:rsidR="007077CA" w:rsidRPr="008C46E9">
        <w:rPr>
          <w:rFonts w:asciiTheme="majorHAnsi" w:hAnsiTheme="majorHAnsi" w:cstheme="majorHAnsi"/>
        </w:rPr>
        <w:t xml:space="preserve"> </w:t>
      </w:r>
      <w:r>
        <w:rPr>
          <w:rFonts w:asciiTheme="majorHAnsi" w:hAnsiTheme="majorHAnsi" w:cstheme="majorHAnsi"/>
        </w:rPr>
        <w:t xml:space="preserve">the government </w:t>
      </w:r>
      <w:r w:rsidR="007077CA" w:rsidRPr="008C46E9">
        <w:rPr>
          <w:rFonts w:asciiTheme="majorHAnsi" w:hAnsiTheme="majorHAnsi" w:cstheme="majorHAnsi"/>
        </w:rPr>
        <w:t>states that “</w:t>
      </w:r>
      <w:r w:rsidRPr="008C46E9">
        <w:rPr>
          <w:rFonts w:asciiTheme="majorHAnsi" w:hAnsiTheme="majorHAnsi" w:cstheme="majorHAnsi"/>
        </w:rPr>
        <w:t>the State is firmly against extrajudicial killings and all forms of violence against drug users and upholds the rule of law and human rights in anti-drug operations.” A longstanding pattern of extrajudicial executions, state-sponsored violence and harassment contradicts this statement.</w:t>
      </w:r>
    </w:p>
    <w:p w14:paraId="293E0F85" w14:textId="77777777" w:rsidR="008C46E9" w:rsidRPr="008C46E9" w:rsidRDefault="008C46E9" w:rsidP="008C46E9">
      <w:pPr>
        <w:pStyle w:val="ListParagraph"/>
        <w:spacing w:before="240" w:after="240"/>
        <w:ind w:left="360"/>
        <w:jc w:val="both"/>
        <w:rPr>
          <w:rFonts w:asciiTheme="majorHAnsi" w:hAnsiTheme="majorHAnsi" w:cstheme="majorHAnsi"/>
        </w:rPr>
      </w:pPr>
    </w:p>
    <w:p w14:paraId="00000026" w14:textId="4073547D" w:rsidR="006724DF" w:rsidRPr="008C46E9" w:rsidRDefault="000B549B" w:rsidP="008C46E9">
      <w:pPr>
        <w:pStyle w:val="ListParagraph"/>
        <w:numPr>
          <w:ilvl w:val="0"/>
          <w:numId w:val="6"/>
        </w:numPr>
        <w:spacing w:before="240" w:after="240"/>
        <w:jc w:val="both"/>
        <w:rPr>
          <w:rFonts w:asciiTheme="majorHAnsi" w:eastAsia="Times New Roman" w:hAnsiTheme="majorHAnsi" w:cstheme="majorHAnsi"/>
        </w:rPr>
      </w:pPr>
      <w:r w:rsidRPr="008C46E9">
        <w:rPr>
          <w:rFonts w:asciiTheme="majorHAnsi" w:hAnsiTheme="majorHAnsi" w:cstheme="majorHAnsi"/>
        </w:rPr>
        <w:t>Starting on 30 June 2016 - the day Rodrigo Duterte was sworn in as president - and for months thereafter, violent anti-drug operations were reported around the country</w:t>
      </w:r>
      <w:r w:rsidRPr="008C46E9">
        <w:rPr>
          <w:rFonts w:asciiTheme="majorHAnsi" w:hAnsiTheme="majorHAnsi" w:cstheme="majorHAnsi"/>
          <w:i/>
        </w:rPr>
        <w:t xml:space="preserve"> </w:t>
      </w:r>
      <w:r w:rsidRPr="008C46E9">
        <w:rPr>
          <w:rFonts w:asciiTheme="majorHAnsi" w:hAnsiTheme="majorHAnsi" w:cstheme="majorHAnsi"/>
        </w:rPr>
        <w:t>culminating in</w:t>
      </w:r>
      <w:r>
        <w:rPr>
          <w:rFonts w:asciiTheme="majorHAnsi" w:hAnsiTheme="majorHAnsi" w:cstheme="majorHAnsi"/>
        </w:rPr>
        <w:t xml:space="preserve"> the killing of “drug suspects.”</w:t>
      </w:r>
      <w:r w:rsidRPr="008C46E9">
        <w:rPr>
          <w:rFonts w:asciiTheme="majorHAnsi" w:hAnsiTheme="majorHAnsi" w:cstheme="majorHAnsi"/>
        </w:rPr>
        <w:t xml:space="preserve"> This followed a spike in drug-related police killings since Duterte’</w:t>
      </w:r>
      <w:r>
        <w:rPr>
          <w:rFonts w:asciiTheme="majorHAnsi" w:hAnsiTheme="majorHAnsi" w:cstheme="majorHAnsi"/>
        </w:rPr>
        <w:t>s electoral victory in May 2016</w:t>
      </w:r>
      <w:r w:rsidRPr="008C46E9">
        <w:rPr>
          <w:rFonts w:asciiTheme="majorHAnsi" w:hAnsiTheme="majorHAnsi" w:cstheme="majorHAnsi"/>
        </w:rPr>
        <w:t>.</w:t>
      </w:r>
      <w:r w:rsidRPr="00CA5D43">
        <w:rPr>
          <w:rFonts w:eastAsia="Times New Roman"/>
          <w:vertAlign w:val="superscript"/>
        </w:rPr>
        <w:footnoteReference w:id="31"/>
      </w:r>
      <w:r w:rsidR="007077CA" w:rsidRPr="008C46E9">
        <w:rPr>
          <w:rFonts w:asciiTheme="majorHAnsi" w:eastAsia="Times New Roman" w:hAnsiTheme="majorHAnsi" w:cstheme="majorHAnsi"/>
        </w:rPr>
        <w:t xml:space="preserve"> </w:t>
      </w:r>
      <w:r w:rsidRPr="008C46E9">
        <w:rPr>
          <w:rFonts w:asciiTheme="majorHAnsi" w:hAnsiTheme="majorHAnsi" w:cstheme="majorHAnsi"/>
        </w:rPr>
        <w:t>Initially justified as killings in self-defense, a clear pattern soon emerged which is still ongoing, although with some fluctuations:</w:t>
      </w:r>
      <w:r w:rsidRPr="00CA5D43">
        <w:rPr>
          <w:vertAlign w:val="superscript"/>
        </w:rPr>
        <w:footnoteReference w:id="32"/>
      </w:r>
      <w:r w:rsidRPr="008C46E9">
        <w:rPr>
          <w:rFonts w:asciiTheme="majorHAnsi" w:hAnsiTheme="majorHAnsi" w:cstheme="majorHAnsi"/>
        </w:rPr>
        <w:t xml:space="preserve"> police officers or unidentified “vigilantes” (in many cases suspected to be disguised officers or k</w:t>
      </w:r>
      <w:r>
        <w:rPr>
          <w:rFonts w:asciiTheme="majorHAnsi" w:hAnsiTheme="majorHAnsi" w:cstheme="majorHAnsi"/>
        </w:rPr>
        <w:t>illers paid by police) employ excessive force and kill people reportedly using or suspected of using</w:t>
      </w:r>
      <w:r w:rsidRPr="008C46E9">
        <w:rPr>
          <w:rFonts w:asciiTheme="majorHAnsi" w:hAnsiTheme="majorHAnsi" w:cstheme="majorHAnsi"/>
        </w:rPr>
        <w:t xml:space="preserve"> or dealing drugs.</w:t>
      </w:r>
      <w:r w:rsidRPr="00CA5D43">
        <w:rPr>
          <w:vertAlign w:val="superscript"/>
        </w:rPr>
        <w:footnoteReference w:id="33"/>
      </w:r>
      <w:r w:rsidRPr="008C46E9">
        <w:rPr>
          <w:rFonts w:asciiTheme="majorHAnsi" w:hAnsiTheme="majorHAnsi" w:cstheme="majorHAnsi"/>
        </w:rPr>
        <w:t xml:space="preserve"> The killin</w:t>
      </w:r>
      <w:r>
        <w:rPr>
          <w:rFonts w:asciiTheme="majorHAnsi" w:hAnsiTheme="majorHAnsi" w:cstheme="majorHAnsi"/>
        </w:rPr>
        <w:t>gs disproportionately occur</w:t>
      </w:r>
      <w:r w:rsidRPr="008C46E9">
        <w:rPr>
          <w:rFonts w:asciiTheme="majorHAnsi" w:hAnsiTheme="majorHAnsi" w:cstheme="majorHAnsi"/>
        </w:rPr>
        <w:t xml:space="preserve"> in impoverished areas and are almost invariably met with impunity. Accordingly, they are denounced as extrajudicial killings.</w:t>
      </w:r>
    </w:p>
    <w:p w14:paraId="24907DDB" w14:textId="77777777" w:rsidR="008C46E9" w:rsidRPr="008C46E9" w:rsidRDefault="008C46E9" w:rsidP="008C46E9">
      <w:pPr>
        <w:pStyle w:val="ListParagraph"/>
        <w:rPr>
          <w:rFonts w:asciiTheme="majorHAnsi" w:eastAsia="Times New Roman" w:hAnsiTheme="majorHAnsi" w:cstheme="majorHAnsi"/>
        </w:rPr>
      </w:pPr>
    </w:p>
    <w:p w14:paraId="3B9395AD" w14:textId="6F889F5F" w:rsidR="008C46E9" w:rsidRDefault="000B549B" w:rsidP="008C46E9">
      <w:pPr>
        <w:pStyle w:val="ListParagraph"/>
        <w:numPr>
          <w:ilvl w:val="0"/>
          <w:numId w:val="6"/>
        </w:numPr>
        <w:spacing w:before="240" w:after="240"/>
        <w:jc w:val="both"/>
        <w:rPr>
          <w:rFonts w:asciiTheme="majorHAnsi" w:hAnsiTheme="majorHAnsi" w:cstheme="majorHAnsi"/>
          <w:highlight w:val="white"/>
        </w:rPr>
      </w:pPr>
      <w:r w:rsidRPr="008C46E9">
        <w:rPr>
          <w:rFonts w:asciiTheme="majorHAnsi" w:hAnsiTheme="majorHAnsi" w:cstheme="majorHAnsi"/>
        </w:rPr>
        <w:t xml:space="preserve">Because of systemic lack of transparency, inconsistencies in </w:t>
      </w:r>
      <w:r>
        <w:rPr>
          <w:rFonts w:asciiTheme="majorHAnsi" w:hAnsiTheme="majorHAnsi" w:cstheme="majorHAnsi"/>
        </w:rPr>
        <w:t>official</w:t>
      </w:r>
      <w:r w:rsidRPr="008C46E9">
        <w:rPr>
          <w:rFonts w:asciiTheme="majorHAnsi" w:hAnsiTheme="majorHAnsi" w:cstheme="majorHAnsi"/>
        </w:rPr>
        <w:t xml:space="preserve"> fi</w:t>
      </w:r>
      <w:r w:rsidR="008C46E9">
        <w:rPr>
          <w:rFonts w:asciiTheme="majorHAnsi" w:hAnsiTheme="majorHAnsi" w:cstheme="majorHAnsi"/>
        </w:rPr>
        <w:t xml:space="preserve">gures, and a climate of terror, </w:t>
      </w:r>
      <w:r w:rsidRPr="008C46E9">
        <w:rPr>
          <w:rFonts w:asciiTheme="majorHAnsi" w:hAnsiTheme="majorHAnsi" w:cstheme="majorHAnsi"/>
        </w:rPr>
        <w:t>it is impossible to determine exactly how many people have been killed, and the state responsibility for each killing. Nevertheless, the 2020 OHCHR report concluded that “the most conservative figure, based on government data, suggests that since July 2016, 8,663 people have been killed – with other estimates of up to triple that number.”</w:t>
      </w:r>
      <w:r w:rsidRPr="00CA5D43">
        <w:rPr>
          <w:vertAlign w:val="superscript"/>
        </w:rPr>
        <w:footnoteReference w:id="34"/>
      </w:r>
      <w:r w:rsidRPr="008C46E9">
        <w:rPr>
          <w:rFonts w:asciiTheme="majorHAnsi" w:hAnsiTheme="majorHAnsi" w:cstheme="majorHAnsi"/>
        </w:rPr>
        <w:t xml:space="preserve"> Journalists, NGOs, and academics report that, by March 2019, up to 30,000 people had been killed.</w:t>
      </w:r>
      <w:r w:rsidRPr="00CA5D43">
        <w:rPr>
          <w:rFonts w:eastAsia="Calibri"/>
          <w:highlight w:val="white"/>
          <w:vertAlign w:val="superscript"/>
        </w:rPr>
        <w:footnoteReference w:id="35"/>
      </w:r>
      <w:r w:rsidRPr="008C46E9">
        <w:rPr>
          <w:rFonts w:asciiTheme="majorHAnsi" w:hAnsiTheme="majorHAnsi" w:cstheme="majorHAnsi"/>
          <w:highlight w:val="white"/>
        </w:rPr>
        <w:t xml:space="preserve"> </w:t>
      </w:r>
    </w:p>
    <w:p w14:paraId="2B12614F" w14:textId="77777777" w:rsidR="008C46E9" w:rsidRPr="008C46E9" w:rsidRDefault="008C46E9" w:rsidP="008C46E9">
      <w:pPr>
        <w:pStyle w:val="ListParagraph"/>
        <w:rPr>
          <w:rFonts w:asciiTheme="majorHAnsi" w:hAnsiTheme="majorHAnsi" w:cstheme="majorHAnsi"/>
          <w:highlight w:val="white"/>
        </w:rPr>
      </w:pPr>
    </w:p>
    <w:p w14:paraId="00000028" w14:textId="20DED900" w:rsidR="006724DF" w:rsidRPr="008C46E9" w:rsidRDefault="000B549B" w:rsidP="008C46E9">
      <w:pPr>
        <w:pStyle w:val="ListParagraph"/>
        <w:numPr>
          <w:ilvl w:val="0"/>
          <w:numId w:val="6"/>
        </w:numPr>
        <w:spacing w:before="240" w:after="240"/>
        <w:jc w:val="both"/>
        <w:rPr>
          <w:rFonts w:asciiTheme="majorHAnsi" w:eastAsia="Calibri" w:hAnsiTheme="majorHAnsi" w:cstheme="majorHAnsi"/>
        </w:rPr>
      </w:pPr>
      <w:r w:rsidRPr="008C46E9">
        <w:rPr>
          <w:rFonts w:asciiTheme="majorHAnsi" w:hAnsiTheme="majorHAnsi" w:cstheme="majorHAnsi"/>
        </w:rPr>
        <w:t>The scale of the phenomenon, the similarities in the incidents,</w:t>
      </w:r>
      <w:r w:rsidRPr="00CA5D43">
        <w:rPr>
          <w:rFonts w:eastAsia="Calibri"/>
          <w:vertAlign w:val="superscript"/>
        </w:rPr>
        <w:footnoteReference w:id="36"/>
      </w:r>
      <w:r w:rsidRPr="008C46E9">
        <w:rPr>
          <w:rFonts w:asciiTheme="majorHAnsi" w:hAnsiTheme="majorHAnsi" w:cstheme="majorHAnsi"/>
        </w:rPr>
        <w:t xml:space="preserve"> and an abundance of </w:t>
      </w:r>
      <w:r>
        <w:rPr>
          <w:rFonts w:asciiTheme="majorHAnsi" w:hAnsiTheme="majorHAnsi" w:cstheme="majorHAnsi"/>
        </w:rPr>
        <w:t>testimonies and independent</w:t>
      </w:r>
      <w:r w:rsidRPr="008C46E9">
        <w:rPr>
          <w:rFonts w:asciiTheme="majorHAnsi" w:hAnsiTheme="majorHAnsi" w:cstheme="majorHAnsi"/>
        </w:rPr>
        <w:t xml:space="preserve"> investigations ind</w:t>
      </w:r>
      <w:r>
        <w:rPr>
          <w:rFonts w:asciiTheme="majorHAnsi" w:hAnsiTheme="majorHAnsi" w:cstheme="majorHAnsi"/>
        </w:rPr>
        <w:t xml:space="preserve">icate </w:t>
      </w:r>
      <w:r w:rsidRPr="008C46E9">
        <w:rPr>
          <w:rFonts w:asciiTheme="majorHAnsi" w:hAnsiTheme="majorHAnsi" w:cstheme="majorHAnsi"/>
        </w:rPr>
        <w:t>these killings are not unintended consequences or isolated incidents in the course of police operations; they are an integral element of a systematic effort organised and pursued by the state</w:t>
      </w:r>
      <w:r>
        <w:rPr>
          <w:rFonts w:asciiTheme="majorHAnsi" w:hAnsiTheme="majorHAnsi" w:cstheme="majorHAnsi"/>
        </w:rPr>
        <w:t xml:space="preserve"> in the context of its war on drugs</w:t>
      </w:r>
      <w:r w:rsidRPr="008C46E9">
        <w:rPr>
          <w:rFonts w:asciiTheme="majorHAnsi" w:hAnsiTheme="majorHAnsi" w:cstheme="majorHAnsi"/>
        </w:rPr>
        <w:t>, with the highest levels of government and law enforcement condoning, tolerating, supporting and incentivising the k</w:t>
      </w:r>
      <w:r>
        <w:rPr>
          <w:rFonts w:asciiTheme="majorHAnsi" w:hAnsiTheme="majorHAnsi" w:cstheme="majorHAnsi"/>
        </w:rPr>
        <w:t xml:space="preserve">illings, when not </w:t>
      </w:r>
      <w:r w:rsidRPr="008C46E9">
        <w:rPr>
          <w:rFonts w:asciiTheme="majorHAnsi" w:hAnsiTheme="majorHAnsi" w:cstheme="majorHAnsi"/>
        </w:rPr>
        <w:t>ordering them.</w:t>
      </w:r>
      <w:r w:rsidRPr="00CA5D43">
        <w:rPr>
          <w:rFonts w:eastAsia="Calibri"/>
          <w:vertAlign w:val="superscript"/>
        </w:rPr>
        <w:footnoteReference w:id="37"/>
      </w:r>
    </w:p>
    <w:p w14:paraId="39F5CA5F" w14:textId="77777777" w:rsidR="008C46E9" w:rsidRPr="008C46E9" w:rsidRDefault="008C46E9" w:rsidP="008C46E9">
      <w:pPr>
        <w:pStyle w:val="ListParagraph"/>
        <w:rPr>
          <w:rFonts w:asciiTheme="majorHAnsi" w:eastAsia="Calibri" w:hAnsiTheme="majorHAnsi" w:cstheme="majorHAnsi"/>
        </w:rPr>
      </w:pPr>
    </w:p>
    <w:p w14:paraId="0000002B" w14:textId="6AEB126B" w:rsidR="006724DF" w:rsidRPr="008C46E9" w:rsidRDefault="000B549B" w:rsidP="008C46E9">
      <w:pPr>
        <w:pStyle w:val="ListParagraph"/>
        <w:numPr>
          <w:ilvl w:val="0"/>
          <w:numId w:val="6"/>
        </w:numPr>
        <w:jc w:val="both"/>
        <w:rPr>
          <w:rFonts w:asciiTheme="majorHAnsi" w:hAnsiTheme="majorHAnsi" w:cstheme="majorHAnsi"/>
        </w:rPr>
      </w:pPr>
      <w:r w:rsidRPr="008C46E9">
        <w:rPr>
          <w:rFonts w:asciiTheme="majorHAnsi" w:hAnsiTheme="majorHAnsi" w:cstheme="majorHAnsi"/>
        </w:rPr>
        <w:lastRenderedPageBreak/>
        <w:t>Extrajudicial killings in the context of the anti-drug campaign continued after the 2020 OHCHR report: during the first six months of 2021, ABS-CBN's Investigative and Research Group</w:t>
      </w:r>
      <w:r w:rsidRPr="00CA5D43">
        <w:rPr>
          <w:vertAlign w:val="superscript"/>
        </w:rPr>
        <w:footnoteReference w:id="38"/>
      </w:r>
      <w:r w:rsidRPr="008C46E9">
        <w:rPr>
          <w:rFonts w:asciiTheme="majorHAnsi" w:hAnsiTheme="majorHAnsi" w:cstheme="majorHAnsi"/>
        </w:rPr>
        <w:t xml:space="preserve"> documented 175 deaths connected to drug control, including people killed in drug law enforcement operations, people killed by unidentified assailants, and bodies found in pu</w:t>
      </w:r>
      <w:r>
        <w:rPr>
          <w:rFonts w:asciiTheme="majorHAnsi" w:hAnsiTheme="majorHAnsi" w:cstheme="majorHAnsi"/>
        </w:rPr>
        <w:t>blic spaces. This represented a 78.5</w:t>
      </w:r>
      <w:r w:rsidRPr="008C46E9">
        <w:rPr>
          <w:rFonts w:asciiTheme="majorHAnsi" w:hAnsiTheme="majorHAnsi" w:cstheme="majorHAnsi"/>
        </w:rPr>
        <w:t xml:space="preserve">% </w:t>
      </w:r>
      <w:r>
        <w:rPr>
          <w:rFonts w:asciiTheme="majorHAnsi" w:hAnsiTheme="majorHAnsi" w:cstheme="majorHAnsi"/>
        </w:rPr>
        <w:t>increase</w:t>
      </w:r>
      <w:r w:rsidRPr="008C46E9">
        <w:rPr>
          <w:rFonts w:asciiTheme="majorHAnsi" w:hAnsiTheme="majorHAnsi" w:cstheme="majorHAnsi"/>
        </w:rPr>
        <w:t xml:space="preserve"> in com</w:t>
      </w:r>
      <w:r>
        <w:rPr>
          <w:rFonts w:asciiTheme="majorHAnsi" w:hAnsiTheme="majorHAnsi" w:cstheme="majorHAnsi"/>
        </w:rPr>
        <w:t>parison to the prior six months</w:t>
      </w:r>
      <w:r w:rsidRPr="008C46E9">
        <w:rPr>
          <w:rFonts w:asciiTheme="majorHAnsi" w:hAnsiTheme="majorHAnsi" w:cstheme="majorHAnsi"/>
        </w:rPr>
        <w:t>. The Dahas project</w:t>
      </w:r>
      <w:r w:rsidRPr="00CA5D43">
        <w:rPr>
          <w:vertAlign w:val="superscript"/>
        </w:rPr>
        <w:footnoteReference w:id="39"/>
      </w:r>
      <w:r w:rsidRPr="008C46E9">
        <w:rPr>
          <w:rFonts w:asciiTheme="majorHAnsi" w:hAnsiTheme="majorHAnsi" w:cstheme="majorHAnsi"/>
        </w:rPr>
        <w:t xml:space="preserve"> documented 186 killings durin</w:t>
      </w:r>
      <w:r>
        <w:rPr>
          <w:rFonts w:asciiTheme="majorHAnsi" w:hAnsiTheme="majorHAnsi" w:cstheme="majorHAnsi"/>
        </w:rPr>
        <w:t>g the first quarter of 2021 alone</w:t>
      </w:r>
      <w:r w:rsidRPr="008C46E9">
        <w:rPr>
          <w:rFonts w:asciiTheme="majorHAnsi" w:hAnsiTheme="majorHAnsi" w:cstheme="majorHAnsi"/>
        </w:rPr>
        <w:t xml:space="preserve"> - a 44% increase in comparison to the last quarter of 2020. </w:t>
      </w:r>
      <w:r w:rsidR="007077CA" w:rsidRPr="008C46E9">
        <w:rPr>
          <w:rFonts w:asciiTheme="majorHAnsi" w:hAnsiTheme="majorHAnsi" w:cstheme="majorHAnsi"/>
        </w:rPr>
        <w:t xml:space="preserve"> </w:t>
      </w:r>
      <w:r w:rsidRPr="008C46E9">
        <w:rPr>
          <w:rFonts w:asciiTheme="majorHAnsi" w:hAnsiTheme="majorHAnsi" w:cstheme="majorHAnsi"/>
        </w:rPr>
        <w:t>Killings continued being reported throughout 2022, and regardless of the change in government. The Dahas Project reported 187 drug-related killings between January and July 2022.</w:t>
      </w:r>
      <w:r w:rsidRPr="00CA5D43">
        <w:rPr>
          <w:vertAlign w:val="superscript"/>
        </w:rPr>
        <w:footnoteReference w:id="40"/>
      </w:r>
      <w:r w:rsidRPr="008C46E9">
        <w:rPr>
          <w:rFonts w:asciiTheme="majorHAnsi" w:hAnsiTheme="majorHAnsi" w:cstheme="majorHAnsi"/>
        </w:rPr>
        <w:t xml:space="preserve"> Between 1 and 31 July 2022, the first four weeks of </w:t>
      </w:r>
      <w:r>
        <w:rPr>
          <w:rFonts w:asciiTheme="majorHAnsi" w:hAnsiTheme="majorHAnsi" w:cstheme="majorHAnsi"/>
        </w:rPr>
        <w:t>Ferdinand Marcos Jr presidency,</w:t>
      </w:r>
      <w:r w:rsidRPr="008C46E9">
        <w:rPr>
          <w:rFonts w:asciiTheme="majorHAnsi" w:hAnsiTheme="majorHAnsi" w:cstheme="majorHAnsi"/>
        </w:rPr>
        <w:t xml:space="preserve"> 38 drug-related killings were reported, including two children aged six and 15.</w:t>
      </w:r>
      <w:r w:rsidRPr="00CA5D43">
        <w:rPr>
          <w:vertAlign w:val="superscript"/>
        </w:rPr>
        <w:footnoteReference w:id="41"/>
      </w:r>
    </w:p>
    <w:p w14:paraId="0000002C" w14:textId="77777777" w:rsidR="006724DF" w:rsidRPr="00CA5D43" w:rsidRDefault="006724DF" w:rsidP="00CA5D43">
      <w:pPr>
        <w:jc w:val="both"/>
        <w:rPr>
          <w:rFonts w:asciiTheme="majorHAnsi" w:hAnsiTheme="majorHAnsi" w:cstheme="majorHAnsi"/>
        </w:rPr>
      </w:pPr>
    </w:p>
    <w:p w14:paraId="0000002E" w14:textId="79E9AA5B" w:rsidR="006724DF" w:rsidRPr="008C46E9" w:rsidRDefault="000B549B" w:rsidP="008C46E9">
      <w:pPr>
        <w:pStyle w:val="ListParagraph"/>
        <w:numPr>
          <w:ilvl w:val="0"/>
          <w:numId w:val="6"/>
        </w:numPr>
        <w:jc w:val="both"/>
        <w:rPr>
          <w:rFonts w:asciiTheme="majorHAnsi" w:hAnsiTheme="majorHAnsi" w:cstheme="majorHAnsi"/>
        </w:rPr>
      </w:pPr>
      <w:r w:rsidRPr="008C46E9">
        <w:rPr>
          <w:rFonts w:asciiTheme="majorHAnsi" w:hAnsiTheme="majorHAnsi" w:cstheme="majorHAnsi"/>
        </w:rPr>
        <w:t>In its periodic report, the government mentioned that:</w:t>
      </w:r>
    </w:p>
    <w:p w14:paraId="0000002F" w14:textId="7B007A01" w:rsidR="006724DF" w:rsidRDefault="000B549B" w:rsidP="00CA5D43">
      <w:pPr>
        <w:ind w:left="720"/>
        <w:jc w:val="both"/>
        <w:rPr>
          <w:rFonts w:asciiTheme="majorHAnsi" w:hAnsiTheme="majorHAnsi" w:cstheme="majorHAnsi"/>
        </w:rPr>
      </w:pPr>
      <w:r w:rsidRPr="00CA5D43">
        <w:rPr>
          <w:rFonts w:asciiTheme="majorHAnsi" w:hAnsiTheme="majorHAnsi" w:cstheme="majorHAnsi"/>
        </w:rPr>
        <w:t>“To mitigate the risk for drug-related violence, the Dangerous Drugs Board (DDB) issued the following regulations after holding consultative meetings and public hearings with NGOs, civil society, the religious sector, and other concerned stakeholders: Board Regulation Nos. 3 and 4, s. 2016 on the guidelines and protocols in handling drug-related offenses; Board Reg. 6, s. 2019 on the guidelines and procedures to safeguard the handling of children involved in dangerous drugs; and Board Reg. 7, s. 2019 consolidating and updating existing policies and procedures in handling persons who use drugs (PWUDs).”</w:t>
      </w:r>
    </w:p>
    <w:p w14:paraId="5C556CCD" w14:textId="77777777" w:rsidR="00F57C11" w:rsidRPr="00CA5D43" w:rsidRDefault="00F57C11" w:rsidP="00CA5D43">
      <w:pPr>
        <w:ind w:left="720"/>
        <w:jc w:val="both"/>
        <w:rPr>
          <w:rFonts w:asciiTheme="majorHAnsi" w:hAnsiTheme="majorHAnsi" w:cstheme="majorHAnsi"/>
        </w:rPr>
      </w:pPr>
    </w:p>
    <w:p w14:paraId="00000031" w14:textId="09EED97C" w:rsidR="006724DF" w:rsidRPr="000B549B" w:rsidRDefault="000B549B" w:rsidP="000B549B">
      <w:pPr>
        <w:ind w:left="360"/>
        <w:jc w:val="both"/>
        <w:rPr>
          <w:rFonts w:asciiTheme="majorHAnsi" w:hAnsiTheme="majorHAnsi" w:cstheme="majorHAnsi"/>
        </w:rPr>
      </w:pPr>
      <w:r w:rsidRPr="000B549B">
        <w:rPr>
          <w:rFonts w:asciiTheme="majorHAnsi" w:hAnsiTheme="majorHAnsi" w:cstheme="majorHAnsi"/>
        </w:rPr>
        <w:t xml:space="preserve">Local civil society reports that as of 2021, </w:t>
      </w:r>
      <w:r w:rsidRPr="000B549B">
        <w:rPr>
          <w:rFonts w:asciiTheme="majorHAnsi" w:eastAsia="Roboto" w:hAnsiTheme="majorHAnsi" w:cstheme="majorHAnsi"/>
          <w:highlight w:val="white"/>
        </w:rPr>
        <w:t>Board Reg. 6, s.2019 (children) was being reviewed for amendments, but no amendment has been issued yet, and the government has not reached out to relevant CSOs, particularly those focusing on drug policy reform.</w:t>
      </w:r>
      <w:r w:rsidR="00663617">
        <w:rPr>
          <w:rFonts w:asciiTheme="majorHAnsi" w:eastAsia="Roboto" w:hAnsiTheme="majorHAnsi" w:cstheme="majorHAnsi"/>
          <w:highlight w:val="white"/>
        </w:rPr>
        <w:t xml:space="preserve"> N</w:t>
      </w:r>
      <w:r w:rsidRPr="000B549B">
        <w:rPr>
          <w:rFonts w:asciiTheme="majorHAnsi" w:eastAsia="Roboto" w:hAnsiTheme="majorHAnsi" w:cstheme="majorHAnsi"/>
          <w:highlight w:val="white"/>
        </w:rPr>
        <w:t>o consultations were announced and no invitations sent pertaining to the guidelines for community-based programs (e.g. BReg 4, s.2020), or on the Barangay Drug Clearing Program (BReg 4, s.2021), both of which have problematic sections.</w:t>
      </w:r>
    </w:p>
    <w:p w14:paraId="00000032" w14:textId="77777777" w:rsidR="006724DF" w:rsidRPr="00CA5D43" w:rsidRDefault="000B549B" w:rsidP="00CA5D43">
      <w:pPr>
        <w:ind w:left="720"/>
        <w:jc w:val="both"/>
        <w:rPr>
          <w:rFonts w:asciiTheme="majorHAnsi" w:hAnsiTheme="majorHAnsi" w:cstheme="majorHAnsi"/>
        </w:rPr>
      </w:pPr>
      <w:r w:rsidRPr="00CA5D43">
        <w:rPr>
          <w:rFonts w:asciiTheme="majorHAnsi" w:hAnsiTheme="majorHAnsi" w:cstheme="majorHAnsi"/>
        </w:rPr>
        <w:t xml:space="preserve"> </w:t>
      </w:r>
    </w:p>
    <w:p w14:paraId="01BE5A9E" w14:textId="73F88A0A" w:rsidR="00CA5D43" w:rsidRPr="00663617" w:rsidRDefault="000B549B" w:rsidP="00663617">
      <w:pPr>
        <w:pStyle w:val="ListParagraph"/>
        <w:numPr>
          <w:ilvl w:val="0"/>
          <w:numId w:val="6"/>
        </w:numPr>
        <w:jc w:val="both"/>
        <w:rPr>
          <w:rFonts w:asciiTheme="majorHAnsi" w:hAnsiTheme="majorHAnsi" w:cstheme="majorHAnsi"/>
        </w:rPr>
      </w:pPr>
      <w:r w:rsidRPr="008C46E9">
        <w:rPr>
          <w:rFonts w:asciiTheme="majorHAnsi" w:hAnsiTheme="majorHAnsi" w:cstheme="majorHAnsi"/>
        </w:rPr>
        <w:t>In the last review, the Co</w:t>
      </w:r>
      <w:r>
        <w:rPr>
          <w:rFonts w:asciiTheme="majorHAnsi" w:hAnsiTheme="majorHAnsi" w:cstheme="majorHAnsi"/>
        </w:rPr>
        <w:t>mmittee expressed concern that “</w:t>
      </w:r>
      <w:r w:rsidRPr="008C46E9">
        <w:rPr>
          <w:rFonts w:asciiTheme="majorHAnsi" w:hAnsiTheme="majorHAnsi" w:cstheme="majorHAnsi"/>
        </w:rPr>
        <w:t>declarations made by high-ranking officials i</w:t>
      </w:r>
      <w:r>
        <w:rPr>
          <w:rFonts w:asciiTheme="majorHAnsi" w:hAnsiTheme="majorHAnsi" w:cstheme="majorHAnsi"/>
        </w:rPr>
        <w:t>n the context of the so-called ‘war on drugs’</w:t>
      </w:r>
      <w:r w:rsidRPr="008C46E9">
        <w:rPr>
          <w:rFonts w:asciiTheme="majorHAnsi" w:hAnsiTheme="majorHAnsi" w:cstheme="majorHAnsi"/>
        </w:rPr>
        <w:t xml:space="preserve"> may be seen as encouraging and legitimiz</w:t>
      </w:r>
      <w:r>
        <w:rPr>
          <w:rFonts w:asciiTheme="majorHAnsi" w:hAnsiTheme="majorHAnsi" w:cstheme="majorHAnsi"/>
        </w:rPr>
        <w:t>ing violence against drug users</w:t>
      </w:r>
      <w:r w:rsidRPr="008C46E9">
        <w:rPr>
          <w:rFonts w:asciiTheme="majorHAnsi" w:hAnsiTheme="majorHAnsi" w:cstheme="majorHAnsi"/>
        </w:rPr>
        <w:t>.</w:t>
      </w:r>
      <w:r>
        <w:rPr>
          <w:rFonts w:asciiTheme="majorHAnsi" w:hAnsiTheme="majorHAnsi" w:cstheme="majorHAnsi"/>
        </w:rPr>
        <w:t>”</w:t>
      </w:r>
      <w:r w:rsidRPr="008C46E9">
        <w:rPr>
          <w:rFonts w:asciiTheme="majorHAnsi" w:hAnsiTheme="majorHAnsi" w:cstheme="majorHAnsi"/>
        </w:rPr>
        <w:t xml:space="preserve"> These declarations continued and intensified throughout the reporting period, with the 2020 OHCHR report noting that Pr</w:t>
      </w:r>
      <w:r>
        <w:rPr>
          <w:rFonts w:asciiTheme="majorHAnsi" w:hAnsiTheme="majorHAnsi" w:cstheme="majorHAnsi"/>
        </w:rPr>
        <w:t>esident Duterte’s frequent incites</w:t>
      </w:r>
      <w:r w:rsidRPr="008C46E9">
        <w:rPr>
          <w:rFonts w:asciiTheme="majorHAnsi" w:hAnsiTheme="majorHAnsi" w:cstheme="majorHAnsi"/>
        </w:rPr>
        <w:t xml:space="preserve"> kill</w:t>
      </w:r>
      <w:r>
        <w:rPr>
          <w:rFonts w:asciiTheme="majorHAnsi" w:hAnsiTheme="majorHAnsi" w:cstheme="majorHAnsi"/>
        </w:rPr>
        <w:t>ing people involved with drugs.</w:t>
      </w:r>
      <w:r w:rsidRPr="00CA5D43">
        <w:rPr>
          <w:vertAlign w:val="superscript"/>
        </w:rPr>
        <w:footnoteReference w:id="42"/>
      </w:r>
      <w:r>
        <w:rPr>
          <w:rFonts w:asciiTheme="majorHAnsi" w:hAnsiTheme="majorHAnsi" w:cstheme="majorHAnsi"/>
        </w:rPr>
        <w:t xml:space="preserve"> </w:t>
      </w:r>
      <w:r w:rsidRPr="008C46E9">
        <w:rPr>
          <w:rFonts w:asciiTheme="majorHAnsi" w:hAnsiTheme="majorHAnsi" w:cstheme="majorHAnsi"/>
        </w:rPr>
        <w:t>As late as July 20</w:t>
      </w:r>
      <w:r>
        <w:rPr>
          <w:rFonts w:asciiTheme="majorHAnsi" w:hAnsiTheme="majorHAnsi" w:cstheme="majorHAnsi"/>
        </w:rPr>
        <w:t>21, President Duterte declared “</w:t>
      </w:r>
      <w:r w:rsidRPr="008C46E9">
        <w:rPr>
          <w:rFonts w:asciiTheme="majorHAnsi" w:hAnsiTheme="majorHAnsi" w:cstheme="majorHAnsi"/>
        </w:rPr>
        <w:t>I never denied – and the ICC can record it – those who dest</w:t>
      </w:r>
      <w:r>
        <w:rPr>
          <w:rFonts w:asciiTheme="majorHAnsi" w:hAnsiTheme="majorHAnsi" w:cstheme="majorHAnsi"/>
        </w:rPr>
        <w:t>roy my country, I will kill you”</w:t>
      </w:r>
      <w:r w:rsidRPr="00CA5D43">
        <w:rPr>
          <w:vertAlign w:val="superscript"/>
        </w:rPr>
        <w:footnoteReference w:id="43"/>
      </w:r>
      <w:r w:rsidRPr="008C46E9">
        <w:rPr>
          <w:rFonts w:asciiTheme="majorHAnsi" w:hAnsiTheme="majorHAnsi" w:cstheme="majorHAnsi"/>
        </w:rPr>
        <w:t>; in August 2021, Duterte’s Interior Secretary announced that “the campaign against illegal drugs will continue until they [drug dealers] are all gone.”</w:t>
      </w:r>
      <w:r w:rsidRPr="00CA5D43">
        <w:rPr>
          <w:vertAlign w:val="superscript"/>
        </w:rPr>
        <w:footnoteReference w:id="44"/>
      </w:r>
      <w:r w:rsidRPr="008C46E9">
        <w:rPr>
          <w:rFonts w:asciiTheme="majorHAnsi" w:hAnsiTheme="majorHAnsi" w:cstheme="majorHAnsi"/>
        </w:rPr>
        <w:t xml:space="preserve"> The new Interior Secretary appointed by President Marcos, who came into power in June 2022, has declared that “The war against drugs will be as intensive as before.”</w:t>
      </w:r>
      <w:r w:rsidRPr="00CA5D43">
        <w:rPr>
          <w:vertAlign w:val="superscript"/>
        </w:rPr>
        <w:footnoteReference w:id="45"/>
      </w:r>
    </w:p>
    <w:p w14:paraId="2C671FBE" w14:textId="6850E06B" w:rsidR="00CA5D43" w:rsidRPr="00CA5D43" w:rsidRDefault="000B549B">
      <w:pPr>
        <w:rPr>
          <w:rFonts w:ascii="Calibri Light" w:hAnsi="Calibri Light" w:cs="Calibri Light"/>
          <w:b/>
          <w:sz w:val="24"/>
          <w:szCs w:val="24"/>
        </w:rPr>
      </w:pPr>
      <w:r w:rsidRPr="00CA5D43">
        <w:rPr>
          <w:rFonts w:ascii="Calibri Light" w:hAnsi="Calibri Light" w:cs="Calibri Light"/>
          <w:b/>
          <w:sz w:val="24"/>
          <w:szCs w:val="24"/>
        </w:rPr>
        <w:lastRenderedPageBreak/>
        <w:t>Availability of harm reduction services</w:t>
      </w:r>
    </w:p>
    <w:p w14:paraId="00000036" w14:textId="77777777" w:rsidR="006724DF" w:rsidRPr="00CA5D43" w:rsidRDefault="006724DF">
      <w:pPr>
        <w:rPr>
          <w:rFonts w:asciiTheme="majorHAnsi" w:hAnsiTheme="majorHAnsi" w:cstheme="majorHAnsi"/>
        </w:rPr>
      </w:pPr>
    </w:p>
    <w:p w14:paraId="4310498E" w14:textId="231C416F" w:rsidR="000B549B" w:rsidRPr="00200739" w:rsidRDefault="000B549B" w:rsidP="000B549B">
      <w:pPr>
        <w:pStyle w:val="ListParagraph"/>
        <w:numPr>
          <w:ilvl w:val="0"/>
          <w:numId w:val="6"/>
        </w:numPr>
        <w:jc w:val="both"/>
        <w:rPr>
          <w:rFonts w:asciiTheme="majorHAnsi" w:hAnsiTheme="majorHAnsi" w:cstheme="majorHAnsi"/>
          <w:b/>
        </w:rPr>
      </w:pPr>
      <w:r w:rsidRPr="008C46E9">
        <w:rPr>
          <w:rFonts w:asciiTheme="majorHAnsi" w:hAnsiTheme="majorHAnsi" w:cstheme="majorHAnsi"/>
        </w:rPr>
        <w:t>In its latest Concluding Observations on the Philippines, this Committee expressed regret at the “shortage of treatment centres that provide evidence-based health services, such as opioi</w:t>
      </w:r>
      <w:r w:rsidR="00F57C11">
        <w:rPr>
          <w:rFonts w:asciiTheme="majorHAnsi" w:hAnsiTheme="majorHAnsi" w:cstheme="majorHAnsi"/>
        </w:rPr>
        <w:t xml:space="preserve">d substitution therapies” </w:t>
      </w:r>
      <w:r w:rsidRPr="008C46E9">
        <w:rPr>
          <w:rFonts w:asciiTheme="majorHAnsi" w:hAnsiTheme="majorHAnsi" w:cstheme="majorHAnsi"/>
        </w:rPr>
        <w:t>, and concern at “the high prevalence of HIV/AIDS and hepatitis C among people who inject drugs”; and recommended that the Philippines “adopt a right-to-health approach to drug abuse with harm reduction strategies, such as syringe exchange programmes.”</w:t>
      </w:r>
      <w:r w:rsidRPr="00CA5D43">
        <w:rPr>
          <w:vertAlign w:val="superscript"/>
        </w:rPr>
        <w:footnoteReference w:id="46"/>
      </w:r>
    </w:p>
    <w:p w14:paraId="33386FE7" w14:textId="77777777" w:rsidR="00200739" w:rsidRPr="008C46E9" w:rsidRDefault="00200739" w:rsidP="00200739">
      <w:pPr>
        <w:pStyle w:val="ListParagraph"/>
        <w:ind w:left="360"/>
        <w:jc w:val="both"/>
        <w:rPr>
          <w:rFonts w:asciiTheme="majorHAnsi" w:hAnsiTheme="majorHAnsi" w:cstheme="majorHAnsi"/>
          <w:b/>
        </w:rPr>
      </w:pPr>
    </w:p>
    <w:p w14:paraId="5FE152EC" w14:textId="082611B0" w:rsidR="008C46E9" w:rsidRDefault="000B549B" w:rsidP="000B549B">
      <w:pPr>
        <w:pStyle w:val="ListParagraph"/>
        <w:numPr>
          <w:ilvl w:val="0"/>
          <w:numId w:val="6"/>
        </w:numPr>
        <w:jc w:val="both"/>
        <w:rPr>
          <w:rFonts w:asciiTheme="majorHAnsi" w:hAnsiTheme="majorHAnsi" w:cstheme="majorHAnsi"/>
        </w:rPr>
      </w:pPr>
      <w:r w:rsidRPr="008C46E9">
        <w:rPr>
          <w:rFonts w:asciiTheme="majorHAnsi" w:hAnsiTheme="majorHAnsi" w:cstheme="majorHAnsi"/>
        </w:rPr>
        <w:t xml:space="preserve">Harm reduction is recognised as a fundamental component of the right to health, </w:t>
      </w:r>
      <w:r w:rsidR="00F57C11">
        <w:rPr>
          <w:rFonts w:asciiTheme="majorHAnsi" w:hAnsiTheme="majorHAnsi" w:cstheme="majorHAnsi"/>
        </w:rPr>
        <w:t>and</w:t>
      </w:r>
      <w:r w:rsidRPr="008C46E9">
        <w:rPr>
          <w:rFonts w:asciiTheme="majorHAnsi" w:hAnsiTheme="majorHAnsi" w:cstheme="majorHAnsi"/>
        </w:rPr>
        <w:t xml:space="preserve"> of the right to enjoy the benefits of scientific progress,</w:t>
      </w:r>
      <w:r w:rsidRPr="00CA5D43">
        <w:rPr>
          <w:vertAlign w:val="superscript"/>
        </w:rPr>
        <w:footnoteReference w:id="47"/>
      </w:r>
      <w:r w:rsidRPr="008C46E9">
        <w:rPr>
          <w:rFonts w:asciiTheme="majorHAnsi" w:hAnsiTheme="majorHAnsi" w:cstheme="majorHAnsi"/>
        </w:rPr>
        <w:t xml:space="preserve"> to be guaranteed both in the community and in dete</w:t>
      </w:r>
      <w:r w:rsidR="00F57C11">
        <w:rPr>
          <w:rFonts w:asciiTheme="majorHAnsi" w:hAnsiTheme="majorHAnsi" w:cstheme="majorHAnsi"/>
        </w:rPr>
        <w:t>ntion. Harm reduction is</w:t>
      </w:r>
      <w:r w:rsidRPr="008C46E9">
        <w:rPr>
          <w:rFonts w:asciiTheme="majorHAnsi" w:hAnsiTheme="majorHAnsi" w:cstheme="majorHAnsi"/>
        </w:rPr>
        <w:t xml:space="preserve"> endorsed as an essential measure for people who use drugs on numerous occasions by this Committee,</w:t>
      </w:r>
      <w:r w:rsidRPr="00CA5D43">
        <w:rPr>
          <w:vertAlign w:val="superscript"/>
        </w:rPr>
        <w:footnoteReference w:id="48"/>
      </w:r>
      <w:r w:rsidRPr="008C46E9">
        <w:rPr>
          <w:rFonts w:asciiTheme="majorHAnsi" w:hAnsiTheme="majorHAnsi" w:cstheme="majorHAnsi"/>
        </w:rPr>
        <w:t xml:space="preserve"> as well as by the General Assembly,</w:t>
      </w:r>
      <w:r w:rsidRPr="00CA5D43">
        <w:rPr>
          <w:vertAlign w:val="superscript"/>
        </w:rPr>
        <w:footnoteReference w:id="49"/>
      </w:r>
      <w:r w:rsidRPr="008C46E9">
        <w:rPr>
          <w:rFonts w:asciiTheme="majorHAnsi" w:hAnsiTheme="majorHAnsi" w:cstheme="majorHAnsi"/>
        </w:rPr>
        <w:t xml:space="preserve"> the Human Rights Council,</w:t>
      </w:r>
      <w:r w:rsidRPr="00CA5D43">
        <w:rPr>
          <w:vertAlign w:val="superscript"/>
        </w:rPr>
        <w:footnoteReference w:id="50"/>
      </w:r>
      <w:r w:rsidRPr="008C46E9">
        <w:rPr>
          <w:rFonts w:asciiTheme="majorHAnsi" w:hAnsiTheme="majorHAnsi" w:cstheme="majorHAnsi"/>
        </w:rPr>
        <w:t xml:space="preserve"> </w:t>
      </w:r>
      <w:r w:rsidR="00F57C11">
        <w:rPr>
          <w:rFonts w:asciiTheme="majorHAnsi" w:hAnsiTheme="majorHAnsi" w:cstheme="majorHAnsi"/>
        </w:rPr>
        <w:t>CtRC</w:t>
      </w:r>
      <w:r w:rsidRPr="008C46E9">
        <w:rPr>
          <w:rFonts w:asciiTheme="majorHAnsi" w:hAnsiTheme="majorHAnsi" w:cstheme="majorHAnsi"/>
        </w:rPr>
        <w:t>,</w:t>
      </w:r>
      <w:r w:rsidRPr="00CA5D43">
        <w:rPr>
          <w:vertAlign w:val="superscript"/>
        </w:rPr>
        <w:footnoteReference w:id="51"/>
      </w:r>
      <w:r w:rsidR="00F57C11">
        <w:rPr>
          <w:rFonts w:asciiTheme="majorHAnsi" w:hAnsiTheme="majorHAnsi" w:cstheme="majorHAnsi"/>
        </w:rPr>
        <w:t xml:space="preserve"> CtEDAW</w:t>
      </w:r>
      <w:r w:rsidRPr="008C46E9">
        <w:rPr>
          <w:rFonts w:asciiTheme="majorHAnsi" w:hAnsiTheme="majorHAnsi" w:cstheme="majorHAnsi"/>
        </w:rPr>
        <w:t>,</w:t>
      </w:r>
      <w:r w:rsidRPr="00CA5D43">
        <w:rPr>
          <w:vertAlign w:val="superscript"/>
        </w:rPr>
        <w:footnoteReference w:id="52"/>
      </w:r>
      <w:r w:rsidRPr="008C46E9">
        <w:rPr>
          <w:rFonts w:asciiTheme="majorHAnsi" w:hAnsiTheme="majorHAnsi" w:cstheme="majorHAnsi"/>
        </w:rPr>
        <w:t xml:space="preserve"> the Special Rapporteur on the right</w:t>
      </w:r>
      <w:r w:rsidR="00F57C11">
        <w:rPr>
          <w:rFonts w:asciiTheme="majorHAnsi" w:hAnsiTheme="majorHAnsi" w:cstheme="majorHAnsi"/>
        </w:rPr>
        <w:t xml:space="preserve"> to h</w:t>
      </w:r>
      <w:r w:rsidRPr="008C46E9">
        <w:rPr>
          <w:rFonts w:asciiTheme="majorHAnsi" w:hAnsiTheme="majorHAnsi" w:cstheme="majorHAnsi"/>
        </w:rPr>
        <w:t>ealth</w:t>
      </w:r>
      <w:r w:rsidRPr="00CA5D43">
        <w:rPr>
          <w:vertAlign w:val="superscript"/>
        </w:rPr>
        <w:footnoteReference w:id="53"/>
      </w:r>
      <w:r w:rsidRPr="008C46E9">
        <w:rPr>
          <w:rFonts w:asciiTheme="majorHAnsi" w:hAnsiTheme="majorHAnsi" w:cstheme="majorHAnsi"/>
        </w:rPr>
        <w:t xml:space="preserve"> and the Special Rapporteur on torture.</w:t>
      </w:r>
      <w:r w:rsidRPr="00CA5D43">
        <w:rPr>
          <w:vertAlign w:val="superscript"/>
        </w:rPr>
        <w:footnoteReference w:id="54"/>
      </w:r>
      <w:r w:rsidRPr="008C46E9">
        <w:rPr>
          <w:rFonts w:asciiTheme="majorHAnsi" w:hAnsiTheme="majorHAnsi" w:cstheme="majorHAnsi"/>
        </w:rPr>
        <w:t xml:space="preserve"> </w:t>
      </w:r>
      <w:r w:rsidR="007077CA" w:rsidRPr="008C46E9">
        <w:rPr>
          <w:rFonts w:asciiTheme="majorHAnsi" w:hAnsiTheme="majorHAnsi" w:cstheme="majorHAnsi"/>
        </w:rPr>
        <w:t>WHO</w:t>
      </w:r>
      <w:r w:rsidRPr="008C46E9">
        <w:rPr>
          <w:rFonts w:asciiTheme="majorHAnsi" w:hAnsiTheme="majorHAnsi" w:cstheme="majorHAnsi"/>
        </w:rPr>
        <w:t>, UNAIDS and UNODC recognise Needle and Syringe Programs (NSPs) and Opioid Agonist</w:t>
      </w:r>
      <w:r w:rsidR="007077CA" w:rsidRPr="008C46E9">
        <w:rPr>
          <w:rFonts w:asciiTheme="majorHAnsi" w:hAnsiTheme="majorHAnsi" w:cstheme="majorHAnsi"/>
        </w:rPr>
        <w:t xml:space="preserve"> </w:t>
      </w:r>
      <w:r w:rsidRPr="008C46E9">
        <w:rPr>
          <w:rFonts w:asciiTheme="majorHAnsi" w:hAnsiTheme="majorHAnsi" w:cstheme="majorHAnsi"/>
        </w:rPr>
        <w:t>Therapy (OAT) as key components of an effective HIV and viral hepatitis response for injecting drug use;</w:t>
      </w:r>
      <w:r w:rsidRPr="00CA5D43">
        <w:rPr>
          <w:vertAlign w:val="superscript"/>
        </w:rPr>
        <w:footnoteReference w:id="55"/>
      </w:r>
      <w:r w:rsidRPr="008C46E9">
        <w:rPr>
          <w:rFonts w:asciiTheme="majorHAnsi" w:hAnsiTheme="majorHAnsi" w:cstheme="majorHAnsi"/>
        </w:rPr>
        <w:t xml:space="preserve"> while </w:t>
      </w:r>
      <w:r>
        <w:rPr>
          <w:rFonts w:asciiTheme="majorHAnsi" w:hAnsiTheme="majorHAnsi" w:cstheme="majorHAnsi"/>
        </w:rPr>
        <w:t>CND</w:t>
      </w:r>
      <w:r w:rsidRPr="008C46E9">
        <w:rPr>
          <w:rFonts w:asciiTheme="majorHAnsi" w:hAnsiTheme="majorHAnsi" w:cstheme="majorHAnsi"/>
        </w:rPr>
        <w:t xml:space="preserve"> has highlighted the importance of these interventions to meet SDG targets to end AIDS and tuberculosis, and combat hepatitis by 2030.</w:t>
      </w:r>
      <w:r w:rsidRPr="00CA5D43">
        <w:rPr>
          <w:vertAlign w:val="superscript"/>
        </w:rPr>
        <w:footnoteReference w:id="56"/>
      </w:r>
      <w:r w:rsidRPr="008C46E9">
        <w:rPr>
          <w:rFonts w:asciiTheme="majorHAnsi" w:hAnsiTheme="majorHAnsi" w:cstheme="majorHAnsi"/>
        </w:rPr>
        <w:t xml:space="preserve"> Particularly important in a country with high stimulant use such as the Philippines are harm reduction servic</w:t>
      </w:r>
      <w:r>
        <w:rPr>
          <w:rFonts w:asciiTheme="majorHAnsi" w:hAnsiTheme="majorHAnsi" w:cstheme="majorHAnsi"/>
        </w:rPr>
        <w:t>es tailored to the needs of people who use these substances</w:t>
      </w:r>
      <w:r w:rsidRPr="008C46E9">
        <w:rPr>
          <w:rFonts w:asciiTheme="majorHAnsi" w:hAnsiTheme="majorHAnsi" w:cstheme="majorHAnsi"/>
        </w:rPr>
        <w:t>.</w:t>
      </w:r>
      <w:r w:rsidRPr="00CA5D43">
        <w:rPr>
          <w:vertAlign w:val="superscript"/>
        </w:rPr>
        <w:footnoteReference w:id="57"/>
      </w:r>
    </w:p>
    <w:p w14:paraId="2CD00303" w14:textId="77777777" w:rsidR="000B549B" w:rsidRPr="000B549B" w:rsidRDefault="000B549B" w:rsidP="000B549B">
      <w:pPr>
        <w:pStyle w:val="ListParagraph"/>
        <w:spacing w:before="240" w:after="240"/>
        <w:ind w:left="360"/>
        <w:jc w:val="both"/>
        <w:rPr>
          <w:rFonts w:asciiTheme="majorHAnsi" w:hAnsiTheme="majorHAnsi" w:cstheme="majorHAnsi"/>
          <w:b/>
        </w:rPr>
      </w:pPr>
    </w:p>
    <w:p w14:paraId="0000003B" w14:textId="44CA82B3" w:rsidR="006724DF" w:rsidRPr="000B549B" w:rsidRDefault="000B549B" w:rsidP="000B549B">
      <w:pPr>
        <w:pStyle w:val="ListParagraph"/>
        <w:numPr>
          <w:ilvl w:val="0"/>
          <w:numId w:val="6"/>
        </w:numPr>
        <w:spacing w:before="240" w:after="240"/>
        <w:jc w:val="both"/>
        <w:rPr>
          <w:rFonts w:asciiTheme="majorHAnsi" w:hAnsiTheme="majorHAnsi" w:cstheme="majorHAnsi"/>
          <w:b/>
        </w:rPr>
      </w:pPr>
      <w:r w:rsidRPr="008C46E9">
        <w:rPr>
          <w:rFonts w:asciiTheme="majorHAnsi" w:hAnsiTheme="majorHAnsi" w:cstheme="majorHAnsi"/>
        </w:rPr>
        <w:t>Harm reduction services are neither supported nor provided or funded by the government, and the possession of drug paraphernalia is criminalised.</w:t>
      </w:r>
      <w:r w:rsidRPr="00CA5D43">
        <w:rPr>
          <w:vertAlign w:val="superscript"/>
        </w:rPr>
        <w:footnoteReference w:id="58"/>
      </w:r>
      <w:r w:rsidRPr="008C46E9">
        <w:rPr>
          <w:rFonts w:asciiTheme="majorHAnsi" w:hAnsiTheme="majorHAnsi" w:cstheme="majorHAnsi"/>
          <w:highlight w:val="white"/>
        </w:rPr>
        <w:t xml:space="preserve"> </w:t>
      </w:r>
      <w:r w:rsidRPr="008C46E9">
        <w:rPr>
          <w:rFonts w:asciiTheme="majorHAnsi" w:hAnsiTheme="majorHAnsi" w:cstheme="majorHAnsi"/>
        </w:rPr>
        <w:t xml:space="preserve">OAT is not available, as medicines which could be used for substitution are classified as dangerous drugs. Given </w:t>
      </w:r>
      <w:r w:rsidR="00F57C11">
        <w:rPr>
          <w:rFonts w:asciiTheme="majorHAnsi" w:hAnsiTheme="majorHAnsi" w:cstheme="majorHAnsi"/>
        </w:rPr>
        <w:t>its</w:t>
      </w:r>
      <w:r w:rsidRPr="008C46E9">
        <w:rPr>
          <w:rFonts w:asciiTheme="majorHAnsi" w:hAnsiTheme="majorHAnsi" w:cstheme="majorHAnsi"/>
        </w:rPr>
        <w:t xml:space="preserve"> classification, naloxone </w:t>
      </w:r>
      <w:r w:rsidRPr="008C46E9">
        <w:rPr>
          <w:rFonts w:asciiTheme="majorHAnsi" w:hAnsiTheme="majorHAnsi" w:cstheme="majorHAnsi"/>
          <w:i/>
        </w:rPr>
        <w:t>[an opioid reversal medication]</w:t>
      </w:r>
      <w:r w:rsidRPr="008C46E9">
        <w:rPr>
          <w:rFonts w:asciiTheme="majorHAnsi" w:hAnsiTheme="majorHAnsi" w:cstheme="majorHAnsi"/>
        </w:rPr>
        <w:t xml:space="preserve"> is also not available in communities.</w:t>
      </w:r>
      <w:r w:rsidRPr="00CA5D43">
        <w:rPr>
          <w:vertAlign w:val="superscript"/>
        </w:rPr>
        <w:footnoteReference w:id="59"/>
      </w:r>
      <w:r w:rsidRPr="008C46E9">
        <w:rPr>
          <w:rFonts w:asciiTheme="majorHAnsi" w:hAnsiTheme="majorHAnsi" w:cstheme="majorHAnsi"/>
        </w:rPr>
        <w:t xml:space="preserve"> </w:t>
      </w:r>
      <w:r w:rsidRPr="008C46E9">
        <w:rPr>
          <w:rFonts w:asciiTheme="majorHAnsi" w:hAnsiTheme="majorHAnsi" w:cstheme="majorHAnsi"/>
          <w:highlight w:val="white"/>
        </w:rPr>
        <w:t>As a result, providing harm reduction services is essentially a criminal activity in the Philippines.</w:t>
      </w:r>
    </w:p>
    <w:p w14:paraId="422A2506" w14:textId="77777777" w:rsidR="00663617" w:rsidRDefault="00663617">
      <w:pPr>
        <w:rPr>
          <w:rFonts w:ascii="Calibri Light" w:hAnsi="Calibri Light" w:cs="Calibri Light"/>
          <w:b/>
          <w:sz w:val="24"/>
          <w:szCs w:val="24"/>
        </w:rPr>
      </w:pPr>
    </w:p>
    <w:p w14:paraId="67EE2558" w14:textId="77777777" w:rsidR="00663617" w:rsidRDefault="00663617">
      <w:pPr>
        <w:rPr>
          <w:rFonts w:ascii="Calibri Light" w:hAnsi="Calibri Light" w:cs="Calibri Light"/>
          <w:b/>
          <w:sz w:val="24"/>
          <w:szCs w:val="24"/>
        </w:rPr>
      </w:pPr>
    </w:p>
    <w:p w14:paraId="0000003C" w14:textId="4C1BF761" w:rsidR="006724DF" w:rsidRPr="00CA5D43" w:rsidRDefault="000B549B">
      <w:pPr>
        <w:rPr>
          <w:rFonts w:ascii="Calibri Light" w:hAnsi="Calibri Light" w:cs="Calibri Light"/>
          <w:b/>
          <w:sz w:val="24"/>
          <w:szCs w:val="24"/>
        </w:rPr>
      </w:pPr>
      <w:r w:rsidRPr="00CA5D43">
        <w:rPr>
          <w:rFonts w:ascii="Calibri Light" w:hAnsi="Calibri Light" w:cs="Calibri Light"/>
          <w:b/>
          <w:sz w:val="24"/>
          <w:szCs w:val="24"/>
        </w:rPr>
        <w:lastRenderedPageBreak/>
        <w:t>Incarceration and conditions of detention</w:t>
      </w:r>
    </w:p>
    <w:p w14:paraId="0000003D" w14:textId="4250B9C6" w:rsidR="006724DF" w:rsidRPr="008C46E9" w:rsidRDefault="000B549B" w:rsidP="008C46E9">
      <w:pPr>
        <w:pStyle w:val="ListParagraph"/>
        <w:numPr>
          <w:ilvl w:val="0"/>
          <w:numId w:val="6"/>
        </w:numPr>
        <w:spacing w:before="240" w:after="240"/>
        <w:jc w:val="both"/>
        <w:rPr>
          <w:rFonts w:asciiTheme="majorHAnsi" w:hAnsiTheme="majorHAnsi" w:cstheme="majorHAnsi"/>
          <w:i/>
        </w:rPr>
      </w:pPr>
      <w:r w:rsidRPr="008C46E9">
        <w:rPr>
          <w:rFonts w:asciiTheme="majorHAnsi" w:eastAsia="Calibri" w:hAnsiTheme="majorHAnsi" w:cstheme="majorHAnsi"/>
        </w:rPr>
        <w:t>Prisoners retain their right to health, which includes the right to harm reduction and preventive health services. Denial of these services in prison settings has also been found to contribute to, or even constitute, conditions that meet the threshold of ill-treatment.</w:t>
      </w:r>
      <w:r w:rsidR="004F6326">
        <w:rPr>
          <w:rStyle w:val="FootnoteReference"/>
          <w:rFonts w:asciiTheme="majorHAnsi" w:eastAsia="Calibri" w:hAnsiTheme="majorHAnsi" w:cstheme="majorHAnsi"/>
        </w:rPr>
        <w:footnoteReference w:id="60"/>
      </w:r>
      <w:r w:rsidRPr="008C46E9">
        <w:rPr>
          <w:rFonts w:asciiTheme="majorHAnsi" w:eastAsia="Times New Roman" w:hAnsiTheme="majorHAnsi" w:cstheme="majorHAnsi"/>
        </w:rPr>
        <w:t xml:space="preserve"> </w:t>
      </w:r>
      <w:r w:rsidRPr="008C46E9">
        <w:rPr>
          <w:rFonts w:asciiTheme="majorHAnsi" w:hAnsiTheme="majorHAnsi" w:cstheme="majorHAnsi"/>
        </w:rPr>
        <w:t>This Committee has urged States on several occasions to expand harm reduction programmes in custody, pretrial detention, and prisons.</w:t>
      </w:r>
      <w:r w:rsidRPr="00CA5D43">
        <w:rPr>
          <w:vertAlign w:val="superscript"/>
        </w:rPr>
        <w:footnoteReference w:id="61"/>
      </w:r>
      <w:r w:rsidRPr="008C46E9">
        <w:rPr>
          <w:rFonts w:asciiTheme="majorHAnsi" w:hAnsiTheme="majorHAnsi" w:cstheme="majorHAnsi"/>
        </w:rPr>
        <w:t xml:space="preserve"> </w:t>
      </w:r>
    </w:p>
    <w:p w14:paraId="143281FF" w14:textId="77777777" w:rsidR="008C46E9" w:rsidRPr="008C46E9" w:rsidRDefault="008C46E9" w:rsidP="008C46E9">
      <w:pPr>
        <w:pStyle w:val="ListParagraph"/>
        <w:spacing w:before="240" w:after="240"/>
        <w:ind w:left="360"/>
        <w:jc w:val="both"/>
        <w:rPr>
          <w:rFonts w:asciiTheme="majorHAnsi" w:hAnsiTheme="majorHAnsi" w:cstheme="majorHAnsi"/>
          <w:i/>
        </w:rPr>
      </w:pPr>
    </w:p>
    <w:p w14:paraId="0000003E" w14:textId="5079257A" w:rsidR="006724DF" w:rsidRPr="008C46E9" w:rsidRDefault="000B549B" w:rsidP="008C46E9">
      <w:pPr>
        <w:pStyle w:val="ListParagraph"/>
        <w:numPr>
          <w:ilvl w:val="0"/>
          <w:numId w:val="6"/>
        </w:numPr>
        <w:jc w:val="both"/>
        <w:rPr>
          <w:rFonts w:asciiTheme="majorHAnsi" w:hAnsiTheme="majorHAnsi" w:cstheme="majorHAnsi"/>
        </w:rPr>
      </w:pPr>
      <w:r w:rsidRPr="008C46E9">
        <w:rPr>
          <w:rFonts w:asciiTheme="majorHAnsi" w:hAnsiTheme="majorHAnsi" w:cstheme="majorHAnsi"/>
        </w:rPr>
        <w:t xml:space="preserve">As of May 2021, over 165,000 people </w:t>
      </w:r>
      <w:r w:rsidR="00F57C11">
        <w:rPr>
          <w:rFonts w:asciiTheme="majorHAnsi" w:hAnsiTheme="majorHAnsi" w:cstheme="majorHAnsi"/>
        </w:rPr>
        <w:t>were detained in Filipino jails</w:t>
      </w:r>
      <w:r w:rsidRPr="008C46E9">
        <w:rPr>
          <w:rFonts w:asciiTheme="majorHAnsi" w:hAnsiTheme="majorHAnsi" w:cstheme="majorHAnsi"/>
        </w:rPr>
        <w:t>; resu</w:t>
      </w:r>
      <w:r w:rsidR="004F6326">
        <w:rPr>
          <w:rFonts w:asciiTheme="majorHAnsi" w:hAnsiTheme="majorHAnsi" w:cstheme="majorHAnsi"/>
        </w:rPr>
        <w:t>lting in a 362% occupancy level</w:t>
      </w:r>
      <w:r w:rsidRPr="00CA5D43">
        <w:rPr>
          <w:vertAlign w:val="superscript"/>
        </w:rPr>
        <w:footnoteReference w:id="62"/>
      </w:r>
      <w:r w:rsidR="004F6326">
        <w:rPr>
          <w:rFonts w:asciiTheme="majorHAnsi" w:hAnsiTheme="majorHAnsi" w:cstheme="majorHAnsi"/>
        </w:rPr>
        <w:t xml:space="preserve"> which</w:t>
      </w:r>
      <w:r w:rsidRPr="008C46E9">
        <w:rPr>
          <w:rFonts w:asciiTheme="majorHAnsi" w:hAnsiTheme="majorHAnsi" w:cstheme="majorHAnsi"/>
        </w:rPr>
        <w:t xml:space="preserve"> rough</w:t>
      </w:r>
      <w:r w:rsidR="00F57C11">
        <w:rPr>
          <w:rFonts w:asciiTheme="majorHAnsi" w:hAnsiTheme="majorHAnsi" w:cstheme="majorHAnsi"/>
        </w:rPr>
        <w:t xml:space="preserve">ly equals an allotted space </w:t>
      </w:r>
      <w:r w:rsidRPr="008C46E9">
        <w:rPr>
          <w:rFonts w:asciiTheme="majorHAnsi" w:hAnsiTheme="majorHAnsi" w:cstheme="majorHAnsi"/>
        </w:rPr>
        <w:t>of 2x5ft</w:t>
      </w:r>
      <w:r w:rsidR="00F57C11">
        <w:rPr>
          <w:rFonts w:asciiTheme="majorHAnsi" w:hAnsiTheme="majorHAnsi" w:cstheme="majorHAnsi"/>
        </w:rPr>
        <w:t>/person</w:t>
      </w:r>
      <w:r w:rsidRPr="008C46E9">
        <w:rPr>
          <w:rFonts w:asciiTheme="majorHAnsi" w:hAnsiTheme="majorHAnsi" w:cstheme="majorHAnsi"/>
        </w:rPr>
        <w:t xml:space="preserve">. The government’s punitive approach to drugs has exacerbated the congestion of jails and prisons, precipitating an ongoing crisis. Between 2016 and 2018, people deprived of liberty increased from 96,000 to 160,000 (+64%), resulting in the country </w:t>
      </w:r>
      <w:r w:rsidR="00F57C11">
        <w:rPr>
          <w:rFonts w:asciiTheme="majorHAnsi" w:hAnsiTheme="majorHAnsi" w:cstheme="majorHAnsi"/>
        </w:rPr>
        <w:t>having</w:t>
      </w:r>
      <w:r w:rsidRPr="008C46E9">
        <w:rPr>
          <w:rFonts w:asciiTheme="majorHAnsi" w:hAnsiTheme="majorHAnsi" w:cstheme="majorHAnsi"/>
        </w:rPr>
        <w:t xml:space="preserve"> (one of) the world’s most overcrowded prison system</w:t>
      </w:r>
      <w:r w:rsidR="004F6326">
        <w:rPr>
          <w:rFonts w:asciiTheme="majorHAnsi" w:hAnsiTheme="majorHAnsi" w:cstheme="majorHAnsi"/>
        </w:rPr>
        <w:t>(</w:t>
      </w:r>
      <w:r w:rsidRPr="008C46E9">
        <w:rPr>
          <w:rFonts w:asciiTheme="majorHAnsi" w:hAnsiTheme="majorHAnsi" w:cstheme="majorHAnsi"/>
        </w:rPr>
        <w:t>s</w:t>
      </w:r>
      <w:r w:rsidR="004F6326">
        <w:rPr>
          <w:rFonts w:asciiTheme="majorHAnsi" w:hAnsiTheme="majorHAnsi" w:cstheme="majorHAnsi"/>
        </w:rPr>
        <w:t>)</w:t>
      </w:r>
      <w:r w:rsidRPr="008C46E9">
        <w:rPr>
          <w:rFonts w:asciiTheme="majorHAnsi" w:hAnsiTheme="majorHAnsi" w:cstheme="majorHAnsi"/>
        </w:rPr>
        <w:t>.</w:t>
      </w:r>
      <w:r w:rsidRPr="00CA5D43">
        <w:rPr>
          <w:vertAlign w:val="superscript"/>
        </w:rPr>
        <w:footnoteReference w:id="63"/>
      </w:r>
      <w:r w:rsidRPr="008C46E9">
        <w:rPr>
          <w:rFonts w:asciiTheme="majorHAnsi" w:hAnsiTheme="majorHAnsi" w:cstheme="majorHAnsi"/>
        </w:rPr>
        <w:t xml:space="preserve"> As of 30 June 2022, jails managed by Bureau of Jail Management and Penology (BJMP) (</w:t>
      </w:r>
      <w:r w:rsidR="00F57C11">
        <w:rPr>
          <w:rFonts w:asciiTheme="majorHAnsi" w:hAnsiTheme="majorHAnsi" w:cstheme="majorHAnsi"/>
        </w:rPr>
        <w:t>where people in pretrial detention,</w:t>
      </w:r>
      <w:r w:rsidRPr="008C46E9">
        <w:rPr>
          <w:rFonts w:asciiTheme="majorHAnsi" w:hAnsiTheme="majorHAnsi" w:cstheme="majorHAnsi"/>
        </w:rPr>
        <w:t xml:space="preserve"> facing trial, or sentenced to </w:t>
      </w:r>
      <w:r w:rsidR="00F57C11">
        <w:rPr>
          <w:rFonts w:asciiTheme="majorHAnsi" w:hAnsiTheme="majorHAnsi" w:cstheme="majorHAnsi"/>
        </w:rPr>
        <w:t>max. three years are detained</w:t>
      </w:r>
      <w:r w:rsidRPr="008C46E9">
        <w:rPr>
          <w:rFonts w:asciiTheme="majorHAnsi" w:hAnsiTheme="majorHAnsi" w:cstheme="majorHAnsi"/>
        </w:rPr>
        <w:t>), hosted 131,193</w:t>
      </w:r>
      <w:r w:rsidR="00F57C11">
        <w:rPr>
          <w:rFonts w:asciiTheme="majorHAnsi" w:hAnsiTheme="majorHAnsi" w:cstheme="majorHAnsi"/>
        </w:rPr>
        <w:t xml:space="preserve"> prisoners, of which 90% in pre</w:t>
      </w:r>
      <w:r w:rsidRPr="008C46E9">
        <w:rPr>
          <w:rFonts w:asciiTheme="majorHAnsi" w:hAnsiTheme="majorHAnsi" w:cstheme="majorHAnsi"/>
        </w:rPr>
        <w:t>trial detenti</w:t>
      </w:r>
      <w:r w:rsidR="00F57C11">
        <w:rPr>
          <w:rFonts w:asciiTheme="majorHAnsi" w:hAnsiTheme="majorHAnsi" w:cstheme="majorHAnsi"/>
        </w:rPr>
        <w:t>on or awaiting</w:t>
      </w:r>
      <w:r w:rsidR="004F6326">
        <w:rPr>
          <w:rFonts w:asciiTheme="majorHAnsi" w:hAnsiTheme="majorHAnsi" w:cstheme="majorHAnsi"/>
        </w:rPr>
        <w:t xml:space="preserve"> judgment; </w:t>
      </w:r>
      <w:r w:rsidRPr="008C46E9">
        <w:rPr>
          <w:rFonts w:asciiTheme="majorHAnsi" w:hAnsiTheme="majorHAnsi" w:cstheme="majorHAnsi"/>
        </w:rPr>
        <w:t>6</w:t>
      </w:r>
      <w:r w:rsidR="00F57C11">
        <w:rPr>
          <w:rFonts w:asciiTheme="majorHAnsi" w:hAnsiTheme="majorHAnsi" w:cstheme="majorHAnsi"/>
        </w:rPr>
        <w:t>8.6% of pe</w:t>
      </w:r>
      <w:r w:rsidR="004F6326">
        <w:rPr>
          <w:rFonts w:asciiTheme="majorHAnsi" w:hAnsiTheme="majorHAnsi" w:cstheme="majorHAnsi"/>
        </w:rPr>
        <w:t xml:space="preserve"> detained in BMJP facilities </w:t>
      </w:r>
      <w:r w:rsidRPr="008C46E9">
        <w:rPr>
          <w:rFonts w:asciiTheme="majorHAnsi" w:hAnsiTheme="majorHAnsi" w:cstheme="majorHAnsi"/>
        </w:rPr>
        <w:t>were incarcerated for drug offences alone.</w:t>
      </w:r>
      <w:r w:rsidRPr="00CA5D43">
        <w:rPr>
          <w:vertAlign w:val="superscript"/>
        </w:rPr>
        <w:footnoteReference w:id="64"/>
      </w:r>
      <w:r w:rsidRPr="008C46E9">
        <w:rPr>
          <w:rFonts w:asciiTheme="majorHAnsi" w:hAnsiTheme="majorHAnsi" w:cstheme="majorHAnsi"/>
        </w:rPr>
        <w:t xml:space="preserve"> </w:t>
      </w:r>
    </w:p>
    <w:p w14:paraId="0000003F" w14:textId="77777777" w:rsidR="006724DF" w:rsidRPr="00CA5D43" w:rsidRDefault="006724DF" w:rsidP="00CA5D43">
      <w:pPr>
        <w:jc w:val="both"/>
        <w:rPr>
          <w:rFonts w:asciiTheme="majorHAnsi" w:hAnsiTheme="majorHAnsi" w:cstheme="majorHAnsi"/>
        </w:rPr>
      </w:pPr>
    </w:p>
    <w:p w14:paraId="00000040" w14:textId="016D4C5C" w:rsidR="006724DF" w:rsidRPr="008C46E9" w:rsidRDefault="000B549B" w:rsidP="008C46E9">
      <w:pPr>
        <w:pStyle w:val="ListParagraph"/>
        <w:numPr>
          <w:ilvl w:val="0"/>
          <w:numId w:val="6"/>
        </w:numPr>
        <w:spacing w:after="200"/>
        <w:jc w:val="both"/>
        <w:rPr>
          <w:rFonts w:asciiTheme="majorHAnsi" w:hAnsiTheme="majorHAnsi" w:cstheme="majorHAnsi"/>
          <w:b/>
        </w:rPr>
      </w:pPr>
      <w:r w:rsidRPr="008C46E9">
        <w:rPr>
          <w:rFonts w:asciiTheme="majorHAnsi" w:hAnsiTheme="majorHAnsi" w:cstheme="majorHAnsi"/>
        </w:rPr>
        <w:t>Authorities continue to arrest a high number of people on drug charges, including for drug use and possession for personal use. While the OHCHR 2020 report noted that 223,780 ‘drug personalities’ - an ill-defined and deeply stigmatising term - had been arrested between July 2016 and December 2020</w:t>
      </w:r>
      <w:r w:rsidR="004F6326">
        <w:rPr>
          <w:rFonts w:asciiTheme="majorHAnsi" w:hAnsiTheme="majorHAnsi" w:cstheme="majorHAnsi"/>
        </w:rPr>
        <w:t>,</w:t>
      </w:r>
      <w:r w:rsidRPr="00CA5D43">
        <w:rPr>
          <w:vertAlign w:val="superscript"/>
        </w:rPr>
        <w:footnoteReference w:id="65"/>
      </w:r>
      <w:r w:rsidRPr="008C46E9">
        <w:rPr>
          <w:rFonts w:asciiTheme="majorHAnsi" w:hAnsiTheme="majorHAnsi" w:cstheme="majorHAnsi"/>
        </w:rPr>
        <w:t xml:space="preserve"> the government</w:t>
      </w:r>
      <w:hyperlink r:id="rId15">
        <w:r w:rsidRPr="008C46E9">
          <w:rPr>
            <w:rFonts w:asciiTheme="majorHAnsi" w:hAnsiTheme="majorHAnsi" w:cstheme="majorHAnsi"/>
          </w:rPr>
          <w:t xml:space="preserve"> </w:t>
        </w:r>
      </w:hyperlink>
      <w:hyperlink r:id="rId16">
        <w:r w:rsidRPr="008C46E9">
          <w:rPr>
            <w:rFonts w:asciiTheme="majorHAnsi" w:hAnsiTheme="majorHAnsi" w:cstheme="majorHAnsi"/>
          </w:rPr>
          <w:t>estimates</w:t>
        </w:r>
      </w:hyperlink>
      <w:r w:rsidRPr="008C46E9">
        <w:rPr>
          <w:rFonts w:asciiTheme="majorHAnsi" w:hAnsiTheme="majorHAnsi" w:cstheme="majorHAnsi"/>
        </w:rPr>
        <w:t xml:space="preserve"> that by 31 May 2022 that number had risen to 345,216 - a 5</w:t>
      </w:r>
      <w:r w:rsidR="004F6326">
        <w:rPr>
          <w:rFonts w:asciiTheme="majorHAnsi" w:hAnsiTheme="majorHAnsi" w:cstheme="majorHAnsi"/>
        </w:rPr>
        <w:t>4% increase</w:t>
      </w:r>
      <w:r w:rsidRPr="008C46E9">
        <w:rPr>
          <w:rFonts w:asciiTheme="majorHAnsi" w:hAnsiTheme="majorHAnsi" w:cstheme="majorHAnsi"/>
        </w:rPr>
        <w:t>.</w:t>
      </w:r>
    </w:p>
    <w:p w14:paraId="30DC2F92" w14:textId="77777777" w:rsidR="008C46E9" w:rsidRPr="008C46E9" w:rsidRDefault="008C46E9" w:rsidP="008C46E9">
      <w:pPr>
        <w:pStyle w:val="ListParagraph"/>
        <w:rPr>
          <w:rFonts w:asciiTheme="majorHAnsi" w:hAnsiTheme="majorHAnsi" w:cstheme="majorHAnsi"/>
          <w:b/>
        </w:rPr>
      </w:pPr>
    </w:p>
    <w:p w14:paraId="7A37C62A" w14:textId="0E389D38" w:rsidR="007077CA" w:rsidRPr="008C46E9" w:rsidRDefault="000B549B" w:rsidP="004F6326">
      <w:pPr>
        <w:pStyle w:val="ListParagraph"/>
        <w:numPr>
          <w:ilvl w:val="0"/>
          <w:numId w:val="6"/>
        </w:numPr>
        <w:spacing w:before="240" w:after="240"/>
        <w:jc w:val="both"/>
        <w:rPr>
          <w:rFonts w:asciiTheme="majorHAnsi" w:hAnsiTheme="majorHAnsi" w:cstheme="majorHAnsi"/>
        </w:rPr>
      </w:pPr>
      <w:r w:rsidRPr="008C46E9">
        <w:rPr>
          <w:rFonts w:asciiTheme="majorHAnsi" w:hAnsiTheme="majorHAnsi" w:cstheme="majorHAnsi"/>
        </w:rPr>
        <w:t>Detainees live in inhumane conditions, with little to no space, no privacy, poor lighting and ventilation, no access to adequate food, water and sanitation, and no adequate healthcare.</w:t>
      </w:r>
      <w:r w:rsidRPr="00CA5D43">
        <w:rPr>
          <w:vertAlign w:val="superscript"/>
        </w:rPr>
        <w:footnoteReference w:id="66"/>
      </w:r>
      <w:r w:rsidRPr="008C46E9">
        <w:rPr>
          <w:rFonts w:asciiTheme="majorHAnsi" w:hAnsiTheme="majorHAnsi" w:cstheme="majorHAnsi"/>
        </w:rPr>
        <w:t xml:space="preserve"> In June 2016, the Committee Against Torture expressed concern at the “appalling conditions of detention” prevailing in the Philippines which could amount to ill-treatment or torture, including: “Dilapidated and small cells, in some of which detainees are forced to sleep while sitting or standing, unsanitary conditions, inadequate amounts of food, poor nutrition, insufficient natural and artificial lighting and poor ventilation, which cause inter-prisoner violence and the spread of infectious diseases such as tuberculosis”.</w:t>
      </w:r>
      <w:r w:rsidRPr="00CA5D43">
        <w:rPr>
          <w:rFonts w:eastAsia="Calibri"/>
          <w:vertAlign w:val="superscript"/>
        </w:rPr>
        <w:footnoteReference w:id="67"/>
      </w:r>
      <w:r w:rsidRPr="008C46E9">
        <w:rPr>
          <w:rFonts w:asciiTheme="majorHAnsi" w:eastAsia="Calibri" w:hAnsiTheme="majorHAnsi" w:cstheme="majorHAnsi"/>
        </w:rPr>
        <w:t xml:space="preserve"> Similarly, </w:t>
      </w:r>
      <w:r w:rsidRPr="008C46E9">
        <w:rPr>
          <w:rFonts w:asciiTheme="majorHAnsi" w:hAnsiTheme="majorHAnsi" w:cstheme="majorHAnsi"/>
        </w:rPr>
        <w:t>a January 2019 report describes:</w:t>
      </w:r>
    </w:p>
    <w:p w14:paraId="00000042" w14:textId="641AFBB9" w:rsidR="006724DF" w:rsidRPr="00CA5D43" w:rsidRDefault="000B549B" w:rsidP="004F6326">
      <w:pPr>
        <w:spacing w:before="240" w:after="240"/>
        <w:ind w:left="720"/>
        <w:contextualSpacing/>
        <w:jc w:val="both"/>
        <w:rPr>
          <w:rFonts w:asciiTheme="majorHAnsi" w:hAnsiTheme="majorHAnsi" w:cstheme="majorHAnsi"/>
        </w:rPr>
      </w:pPr>
      <w:r w:rsidRPr="00CA5D43">
        <w:rPr>
          <w:rFonts w:asciiTheme="majorHAnsi" w:hAnsiTheme="majorHAnsi" w:cstheme="majorHAnsi"/>
        </w:rPr>
        <w:t xml:space="preserve">“On one recent night at the jail, in Dorm 5, the air was thick and putrid with the sweat of 518 men crowded into a space meant for 170. The inmates were cupped into each other, limbs draped over a </w:t>
      </w:r>
      <w:r w:rsidRPr="00CA5D43">
        <w:rPr>
          <w:rFonts w:asciiTheme="majorHAnsi" w:hAnsiTheme="majorHAnsi" w:cstheme="majorHAnsi"/>
        </w:rPr>
        <w:lastRenderedPageBreak/>
        <w:t>neighbor’s waist or knee, feet tucked against someone else’s head, too tightly packed to toss and turn in the sweltering heat”.</w:t>
      </w:r>
      <w:r w:rsidRPr="00CA5D43">
        <w:rPr>
          <w:rFonts w:asciiTheme="majorHAnsi" w:hAnsiTheme="majorHAnsi" w:cstheme="majorHAnsi"/>
          <w:vertAlign w:val="superscript"/>
        </w:rPr>
        <w:footnoteReference w:id="68"/>
      </w:r>
    </w:p>
    <w:p w14:paraId="00000043" w14:textId="066819D1" w:rsidR="006724DF" w:rsidRDefault="000B549B" w:rsidP="008C46E9">
      <w:pPr>
        <w:pStyle w:val="ListParagraph"/>
        <w:numPr>
          <w:ilvl w:val="0"/>
          <w:numId w:val="6"/>
        </w:numPr>
        <w:jc w:val="both"/>
        <w:rPr>
          <w:rFonts w:asciiTheme="majorHAnsi" w:hAnsiTheme="majorHAnsi" w:cstheme="majorHAnsi"/>
        </w:rPr>
      </w:pPr>
      <w:r w:rsidRPr="008C46E9">
        <w:rPr>
          <w:rFonts w:asciiTheme="majorHAnsi" w:hAnsiTheme="majorHAnsi" w:cstheme="majorHAnsi"/>
        </w:rPr>
        <w:t>Prison overcrowding, coupled with the lack of essential health services, has a grave impact on the health of people in prison: in 2018, public officials admitted that over 5,000 prisoners die at the New Bilibid Prison in Metro Manila each year (20% of prisoners) because of violence and disease, ultimately due to overcrowding which accelerates the spread of infectious diseases.</w:t>
      </w:r>
      <w:r w:rsidRPr="00CA5D43">
        <w:rPr>
          <w:vertAlign w:val="superscript"/>
        </w:rPr>
        <w:footnoteReference w:id="69"/>
      </w:r>
      <w:r w:rsidRPr="008C46E9">
        <w:rPr>
          <w:rFonts w:asciiTheme="majorHAnsi" w:hAnsiTheme="majorHAnsi" w:cstheme="majorHAnsi"/>
        </w:rPr>
        <w:t xml:space="preserve"> In 2016, the Chief of the Public Attorney Office admitted that up to “o</w:t>
      </w:r>
      <w:r w:rsidRPr="008C46E9">
        <w:rPr>
          <w:rFonts w:asciiTheme="majorHAnsi" w:hAnsiTheme="majorHAnsi" w:cstheme="majorHAnsi"/>
          <w:highlight w:val="white"/>
        </w:rPr>
        <w:t>ne to three inmates in every jail cell are affected by HIV-AIDS.”</w:t>
      </w:r>
      <w:r w:rsidRPr="00CA5D43">
        <w:rPr>
          <w:highlight w:val="white"/>
          <w:vertAlign w:val="superscript"/>
        </w:rPr>
        <w:footnoteReference w:id="70"/>
      </w:r>
      <w:r w:rsidRPr="008C46E9">
        <w:rPr>
          <w:rFonts w:asciiTheme="majorHAnsi" w:hAnsiTheme="majorHAnsi" w:cstheme="majorHAnsi"/>
          <w:highlight w:val="white"/>
        </w:rPr>
        <w:t xml:space="preserve"> Despite that, t</w:t>
      </w:r>
      <w:r w:rsidRPr="008C46E9">
        <w:rPr>
          <w:rFonts w:asciiTheme="majorHAnsi" w:hAnsiTheme="majorHAnsi" w:cstheme="majorHAnsi"/>
        </w:rPr>
        <w:t>he government is refusing to implement key public health interventions recognised as essential for HIV prevention, treatment and care in prison, such as HIV testing and treatment, condom programmes, harm reduction services.</w:t>
      </w:r>
      <w:r w:rsidRPr="00CA5D43">
        <w:rPr>
          <w:vertAlign w:val="superscript"/>
        </w:rPr>
        <w:footnoteReference w:id="71"/>
      </w:r>
      <w:r w:rsidRPr="008C46E9">
        <w:rPr>
          <w:rFonts w:asciiTheme="majorHAnsi" w:hAnsiTheme="majorHAnsi" w:cstheme="majorHAnsi"/>
        </w:rPr>
        <w:t xml:space="preserve"> The latter are particularly critical, considering the high percentage of prisoners incarcerated for drug offences and clear evidence of drug use in prison.</w:t>
      </w:r>
    </w:p>
    <w:p w14:paraId="62B322A4" w14:textId="2B036E79" w:rsidR="008C46E9" w:rsidRDefault="008C46E9" w:rsidP="008C46E9">
      <w:pPr>
        <w:pStyle w:val="ListParagraph"/>
        <w:ind w:left="360"/>
        <w:jc w:val="both"/>
        <w:rPr>
          <w:rFonts w:asciiTheme="majorHAnsi" w:hAnsiTheme="majorHAnsi" w:cstheme="majorHAnsi"/>
        </w:rPr>
      </w:pPr>
    </w:p>
    <w:p w14:paraId="00000044" w14:textId="7F1ED91E" w:rsidR="006724DF" w:rsidRDefault="004F6326" w:rsidP="008C46E9">
      <w:pPr>
        <w:pStyle w:val="ListParagraph"/>
        <w:numPr>
          <w:ilvl w:val="0"/>
          <w:numId w:val="6"/>
        </w:numPr>
        <w:spacing w:before="240" w:after="240"/>
        <w:jc w:val="both"/>
        <w:rPr>
          <w:rFonts w:asciiTheme="majorHAnsi" w:hAnsiTheme="majorHAnsi" w:cstheme="majorHAnsi"/>
        </w:rPr>
      </w:pPr>
      <w:r>
        <w:rPr>
          <w:rFonts w:asciiTheme="majorHAnsi" w:hAnsiTheme="majorHAnsi" w:cstheme="majorHAnsi"/>
          <w:highlight w:val="white"/>
        </w:rPr>
        <w:t>Through the anti-drug campaign</w:t>
      </w:r>
      <w:r w:rsidR="000B549B" w:rsidRPr="008C46E9">
        <w:rPr>
          <w:rFonts w:asciiTheme="majorHAnsi" w:hAnsiTheme="majorHAnsi" w:cstheme="majorHAnsi"/>
          <w:highlight w:val="white"/>
        </w:rPr>
        <w:t>, the government is exacerbating the very conditions that facilitate the spread of communicable diseases, including HIV and since 2020 COVID-19, thus failing to protect the right to health but also the right to life of people in prison.</w:t>
      </w:r>
      <w:r w:rsidR="000B549B" w:rsidRPr="00CA5D43">
        <w:rPr>
          <w:highlight w:val="white"/>
          <w:vertAlign w:val="superscript"/>
        </w:rPr>
        <w:footnoteReference w:id="72"/>
      </w:r>
      <w:r w:rsidR="000B549B" w:rsidRPr="008C46E9">
        <w:rPr>
          <w:rFonts w:asciiTheme="majorHAnsi" w:hAnsiTheme="majorHAnsi" w:cstheme="majorHAnsi"/>
          <w:highlight w:val="white"/>
        </w:rPr>
        <w:t xml:space="preserve"> Notably, d</w:t>
      </w:r>
      <w:r w:rsidR="000B549B" w:rsidRPr="008C46E9">
        <w:rPr>
          <w:rFonts w:asciiTheme="majorHAnsi" w:hAnsiTheme="majorHAnsi" w:cstheme="majorHAnsi"/>
        </w:rPr>
        <w:t>isproportionately targeting, arresting, detaining people who use drugs (who are at higher risk of contracting and living with HIV and Hepatitis C)</w:t>
      </w:r>
      <w:r w:rsidR="000B549B" w:rsidRPr="00CA5D43">
        <w:rPr>
          <w:vertAlign w:val="superscript"/>
        </w:rPr>
        <w:footnoteReference w:id="73"/>
      </w:r>
      <w:r w:rsidR="000B549B" w:rsidRPr="008C46E9">
        <w:rPr>
          <w:rFonts w:asciiTheme="majorHAnsi" w:hAnsiTheme="majorHAnsi" w:cstheme="majorHAnsi"/>
        </w:rPr>
        <w:t xml:space="preserve"> causes an increase in the number of people living with HIV and/or Hepatitis C who are incarcerated; in turn, an ever-increasing number of prisoners are locked in settings where they face a higher risk of contracting infectious diseases.</w:t>
      </w:r>
    </w:p>
    <w:p w14:paraId="03C020CA" w14:textId="77777777" w:rsidR="008C46E9" w:rsidRPr="008C46E9" w:rsidRDefault="008C46E9" w:rsidP="008C46E9">
      <w:pPr>
        <w:pStyle w:val="ListParagraph"/>
        <w:rPr>
          <w:rFonts w:asciiTheme="majorHAnsi" w:hAnsiTheme="majorHAnsi" w:cstheme="majorHAnsi"/>
        </w:rPr>
      </w:pPr>
    </w:p>
    <w:p w14:paraId="03A385D7" w14:textId="204CDBB0" w:rsidR="008C46E9" w:rsidRPr="00F57C11" w:rsidRDefault="000B549B" w:rsidP="00F57C11">
      <w:pPr>
        <w:pStyle w:val="ListParagraph"/>
        <w:numPr>
          <w:ilvl w:val="0"/>
          <w:numId w:val="6"/>
        </w:numPr>
        <w:spacing w:before="240" w:after="240"/>
        <w:jc w:val="both"/>
        <w:rPr>
          <w:rFonts w:asciiTheme="majorHAnsi" w:eastAsia="Times New Roman" w:hAnsiTheme="majorHAnsi" w:cstheme="majorHAnsi"/>
        </w:rPr>
      </w:pPr>
      <w:r w:rsidRPr="008C46E9">
        <w:rPr>
          <w:rFonts w:asciiTheme="majorHAnsi" w:hAnsiTheme="majorHAnsi" w:cstheme="majorHAnsi"/>
        </w:rPr>
        <w:t>Finally</w:t>
      </w:r>
      <w:r w:rsidRPr="008C46E9">
        <w:rPr>
          <w:rFonts w:asciiTheme="majorHAnsi" w:eastAsia="Calibri" w:hAnsiTheme="majorHAnsi" w:cstheme="majorHAnsi"/>
        </w:rPr>
        <w:t xml:space="preserve">, </w:t>
      </w:r>
      <w:r w:rsidRPr="008C46E9">
        <w:rPr>
          <w:rFonts w:asciiTheme="majorHAnsi" w:hAnsiTheme="majorHAnsi" w:cstheme="majorHAnsi"/>
        </w:rPr>
        <w:t xml:space="preserve">prison overcrowding increases insecurity and exposure to violence, both from other prisoners </w:t>
      </w:r>
      <w:r w:rsidR="004F6326">
        <w:rPr>
          <w:rFonts w:asciiTheme="majorHAnsi" w:hAnsiTheme="majorHAnsi" w:cstheme="majorHAnsi"/>
        </w:rPr>
        <w:t>and prison staff. Abuses are inescapable</w:t>
      </w:r>
      <w:r w:rsidRPr="008C46E9">
        <w:rPr>
          <w:rFonts w:asciiTheme="majorHAnsi" w:hAnsiTheme="majorHAnsi" w:cstheme="majorHAnsi"/>
        </w:rPr>
        <w:t>, in some cases with extreme consequences: two deaths were reported in October 2019 alone as a result of riots at the Manila City Jail, and more are routinely denounced by non-governmental organisations.</w:t>
      </w:r>
      <w:r w:rsidRPr="00CA5D43">
        <w:rPr>
          <w:rFonts w:eastAsia="Calibri"/>
          <w:vertAlign w:val="superscript"/>
        </w:rPr>
        <w:footnoteReference w:id="74"/>
      </w:r>
      <w:r w:rsidRPr="008C46E9">
        <w:rPr>
          <w:rFonts w:asciiTheme="majorHAnsi" w:eastAsia="Calibri" w:hAnsiTheme="majorHAnsi" w:cstheme="majorHAnsi"/>
        </w:rPr>
        <w:t xml:space="preserve"> </w:t>
      </w:r>
      <w:r w:rsidRPr="008C46E9">
        <w:rPr>
          <w:rFonts w:asciiTheme="majorHAnsi" w:hAnsiTheme="majorHAnsi" w:cstheme="majorHAnsi"/>
        </w:rPr>
        <w:t>Another report denounced people suspected (not yet charged) of drug offences being held in a secret cell with barely any space to move, and being tortured by the police for bribes.</w:t>
      </w:r>
      <w:r w:rsidRPr="00CA5D43">
        <w:rPr>
          <w:vertAlign w:val="superscript"/>
        </w:rPr>
        <w:footnoteReference w:id="75"/>
      </w:r>
    </w:p>
    <w:p w14:paraId="00000046" w14:textId="1DF44632" w:rsidR="006724DF" w:rsidRPr="008C46E9" w:rsidRDefault="000B549B" w:rsidP="008C46E9">
      <w:pPr>
        <w:pStyle w:val="ListParagraph"/>
        <w:numPr>
          <w:ilvl w:val="0"/>
          <w:numId w:val="6"/>
        </w:numPr>
        <w:spacing w:before="240" w:after="240"/>
        <w:jc w:val="both"/>
        <w:rPr>
          <w:rFonts w:asciiTheme="majorHAnsi" w:hAnsiTheme="majorHAnsi" w:cstheme="majorHAnsi"/>
        </w:rPr>
      </w:pPr>
      <w:r w:rsidRPr="008C46E9">
        <w:rPr>
          <w:rFonts w:asciiTheme="majorHAnsi" w:hAnsiTheme="majorHAnsi" w:cstheme="majorHAnsi"/>
        </w:rPr>
        <w:lastRenderedPageBreak/>
        <w:t>The situation is particularly dire for women in detention, around 50% of which are incarcerated for drug offences:</w:t>
      </w:r>
      <w:r w:rsidRPr="00CA5D43">
        <w:rPr>
          <w:vertAlign w:val="superscript"/>
        </w:rPr>
        <w:footnoteReference w:id="76"/>
      </w:r>
      <w:r w:rsidR="004F6326">
        <w:rPr>
          <w:rFonts w:asciiTheme="majorHAnsi" w:hAnsiTheme="majorHAnsi" w:cstheme="majorHAnsi"/>
        </w:rPr>
        <w:t xml:space="preserve"> a</w:t>
      </w:r>
      <w:r w:rsidRPr="008C46E9">
        <w:rPr>
          <w:rFonts w:asciiTheme="majorHAnsi" w:hAnsiTheme="majorHAnsi" w:cstheme="majorHAnsi"/>
        </w:rPr>
        <w:t xml:space="preserve"> 2018 report by NoBox and IDPC documented inhuman and unsanitary conditions of detention in BMJP facilities, as well as violence at the ends of both other prisoners and jail personnel.</w:t>
      </w:r>
      <w:r w:rsidRPr="00CA5D43">
        <w:rPr>
          <w:vertAlign w:val="superscript"/>
        </w:rPr>
        <w:footnoteReference w:id="77"/>
      </w:r>
    </w:p>
    <w:p w14:paraId="00000047" w14:textId="77777777" w:rsidR="006724DF" w:rsidRPr="00CA5D43" w:rsidRDefault="000B549B" w:rsidP="00CA5D43">
      <w:pPr>
        <w:spacing w:before="240" w:after="240"/>
        <w:jc w:val="both"/>
        <w:rPr>
          <w:rFonts w:asciiTheme="majorHAnsi" w:hAnsiTheme="majorHAnsi" w:cstheme="majorHAnsi"/>
          <w:u w:val="single"/>
        </w:rPr>
      </w:pPr>
      <w:r w:rsidRPr="00CA5D43">
        <w:rPr>
          <w:rFonts w:asciiTheme="majorHAnsi" w:hAnsiTheme="majorHAnsi" w:cstheme="majorHAnsi"/>
          <w:u w:val="single"/>
        </w:rPr>
        <w:t xml:space="preserve">Response to COVID-19 in detention </w:t>
      </w:r>
    </w:p>
    <w:p w14:paraId="00000048" w14:textId="3F359C45" w:rsidR="006724DF" w:rsidRPr="008C46E9" w:rsidRDefault="000B549B" w:rsidP="008C46E9">
      <w:pPr>
        <w:pStyle w:val="ListParagraph"/>
        <w:numPr>
          <w:ilvl w:val="0"/>
          <w:numId w:val="6"/>
        </w:numPr>
        <w:jc w:val="both"/>
        <w:rPr>
          <w:rFonts w:asciiTheme="majorHAnsi" w:hAnsiTheme="majorHAnsi" w:cstheme="majorHAnsi"/>
        </w:rPr>
      </w:pPr>
      <w:r w:rsidRPr="008C46E9">
        <w:rPr>
          <w:rFonts w:asciiTheme="majorHAnsi" w:hAnsiTheme="majorHAnsi" w:cstheme="majorHAnsi"/>
        </w:rPr>
        <w:t>Early on in the COVID-19 outbreak</w:t>
      </w:r>
      <w:r w:rsidR="004F6326">
        <w:rPr>
          <w:rFonts w:asciiTheme="majorHAnsi" w:hAnsiTheme="majorHAnsi" w:cstheme="majorHAnsi"/>
        </w:rPr>
        <w:t>,</w:t>
      </w:r>
      <w:r w:rsidRPr="008C46E9">
        <w:rPr>
          <w:rFonts w:asciiTheme="majorHAnsi" w:hAnsiTheme="majorHAnsi" w:cstheme="majorHAnsi"/>
        </w:rPr>
        <w:t xml:space="preserve"> prisons were identified as high-risk environments for the spread of COVID-19, and calls multiplied for the protection of people in detention, the decongestion of detention settings (particularly overcrowded ones) and the vaccination of prisoners and prison staff as a matter of priority. Among others, the Special Rapporteur on the right to health in April 2020 recommended that States “consider the early release of prisoners with health vulnerabilities (including those with HIV, hepatitis C, TB or drug dependence), prisoners with dependents, and those charged for minor and non-violent drug and other offences, while adequately planning to care for the health of those released.”</w:t>
      </w:r>
      <w:r w:rsidRPr="00CA5D43">
        <w:rPr>
          <w:vertAlign w:val="superscript"/>
        </w:rPr>
        <w:footnoteReference w:id="78"/>
      </w:r>
    </w:p>
    <w:p w14:paraId="00000049" w14:textId="77777777" w:rsidR="006724DF" w:rsidRPr="00CA5D43" w:rsidRDefault="006724DF" w:rsidP="00CA5D43">
      <w:pPr>
        <w:jc w:val="both"/>
        <w:rPr>
          <w:rFonts w:asciiTheme="majorHAnsi" w:hAnsiTheme="majorHAnsi" w:cstheme="majorHAnsi"/>
          <w:i/>
        </w:rPr>
      </w:pPr>
    </w:p>
    <w:p w14:paraId="0000004A" w14:textId="55998233" w:rsidR="006724DF" w:rsidRPr="008C46E9" w:rsidRDefault="000B549B" w:rsidP="008C46E9">
      <w:pPr>
        <w:pStyle w:val="ListParagraph"/>
        <w:numPr>
          <w:ilvl w:val="0"/>
          <w:numId w:val="6"/>
        </w:numPr>
        <w:jc w:val="both"/>
        <w:rPr>
          <w:rFonts w:asciiTheme="majorHAnsi" w:hAnsiTheme="majorHAnsi" w:cstheme="majorHAnsi"/>
        </w:rPr>
      </w:pPr>
      <w:r w:rsidRPr="008C46E9">
        <w:rPr>
          <w:rFonts w:asciiTheme="majorHAnsi" w:hAnsiTheme="majorHAnsi" w:cstheme="majorHAnsi"/>
        </w:rPr>
        <w:t>Filipino authorities took some steps to reduce the prison population in response to COVID-19, as a result of which over 80,000 people were released in the first months of the pandemic.</w:t>
      </w:r>
      <w:r w:rsidRPr="00CA5D43">
        <w:rPr>
          <w:vertAlign w:val="superscript"/>
        </w:rPr>
        <w:footnoteReference w:id="79"/>
      </w:r>
      <w:r w:rsidRPr="008C46E9">
        <w:rPr>
          <w:rFonts w:asciiTheme="majorHAnsi" w:hAnsiTheme="majorHAnsi" w:cstheme="majorHAnsi"/>
        </w:rPr>
        <w:t xml:space="preserve"> However, measures were vastly insufficient to address the scale of the risk, and arrests continued - including for newly-introd</w:t>
      </w:r>
      <w:r w:rsidR="004F6326">
        <w:rPr>
          <w:rFonts w:asciiTheme="majorHAnsi" w:hAnsiTheme="majorHAnsi" w:cstheme="majorHAnsi"/>
        </w:rPr>
        <w:t xml:space="preserve">uced COVID-19-related offences - </w:t>
      </w:r>
      <w:r w:rsidRPr="008C46E9">
        <w:rPr>
          <w:rFonts w:asciiTheme="majorHAnsi" w:hAnsiTheme="majorHAnsi" w:cstheme="majorHAnsi"/>
        </w:rPr>
        <w:t>impeding a substantial reduction in prison population.</w:t>
      </w:r>
      <w:r w:rsidRPr="00CA5D43">
        <w:rPr>
          <w:vertAlign w:val="superscript"/>
        </w:rPr>
        <w:footnoteReference w:id="80"/>
      </w:r>
      <w:r w:rsidRPr="008C46E9">
        <w:rPr>
          <w:rFonts w:asciiTheme="majorHAnsi" w:hAnsiTheme="majorHAnsi" w:cstheme="majorHAnsi"/>
        </w:rPr>
        <w:t xml:space="preserve"> Further, some of the policies introduced excluded, in a discriminatory manner, people detained for certain drug offences from eligibility for early release.</w:t>
      </w:r>
    </w:p>
    <w:p w14:paraId="0000004B" w14:textId="77777777" w:rsidR="006724DF" w:rsidRPr="00CA5D43" w:rsidRDefault="006724DF" w:rsidP="00CA5D43">
      <w:pPr>
        <w:jc w:val="both"/>
        <w:rPr>
          <w:rFonts w:asciiTheme="majorHAnsi" w:hAnsiTheme="majorHAnsi" w:cstheme="majorHAnsi"/>
        </w:rPr>
      </w:pPr>
    </w:p>
    <w:p w14:paraId="52C4D7CD" w14:textId="575CABD3" w:rsidR="00F57C11" w:rsidRPr="00663617" w:rsidRDefault="000B549B" w:rsidP="00663617">
      <w:pPr>
        <w:pStyle w:val="ListParagraph"/>
        <w:numPr>
          <w:ilvl w:val="0"/>
          <w:numId w:val="6"/>
        </w:numPr>
        <w:jc w:val="both"/>
        <w:rPr>
          <w:rFonts w:asciiTheme="majorHAnsi" w:hAnsiTheme="majorHAnsi" w:cstheme="majorHAnsi"/>
        </w:rPr>
      </w:pPr>
      <w:r w:rsidRPr="008C46E9">
        <w:rPr>
          <w:rFonts w:asciiTheme="majorHAnsi" w:hAnsiTheme="majorHAnsi" w:cstheme="majorHAnsi"/>
        </w:rPr>
        <w:t>As a result, COVID-19 quickly spread among prisoners and prison staff, with over 700 cases confirmed in Filipino jails by June 2020,</w:t>
      </w:r>
      <w:r w:rsidRPr="00CA5D43">
        <w:rPr>
          <w:vertAlign w:val="superscript"/>
        </w:rPr>
        <w:footnoteReference w:id="81"/>
      </w:r>
      <w:r w:rsidRPr="008C46E9">
        <w:rPr>
          <w:rFonts w:asciiTheme="majorHAnsi" w:hAnsiTheme="majorHAnsi" w:cstheme="majorHAnsi"/>
        </w:rPr>
        <w:t xml:space="preserve"> and dozens of suspicious deaths</w:t>
      </w:r>
      <w:r w:rsidRPr="00CA5D43">
        <w:rPr>
          <w:vertAlign w:val="superscript"/>
        </w:rPr>
        <w:footnoteReference w:id="82"/>
      </w:r>
      <w:r w:rsidR="004F6326">
        <w:rPr>
          <w:rFonts w:asciiTheme="majorHAnsi" w:hAnsiTheme="majorHAnsi" w:cstheme="majorHAnsi"/>
        </w:rPr>
        <w:t xml:space="preserve"> (n</w:t>
      </w:r>
      <w:r w:rsidRPr="008C46E9">
        <w:rPr>
          <w:rFonts w:asciiTheme="majorHAnsi" w:hAnsiTheme="majorHAnsi" w:cstheme="majorHAnsi"/>
        </w:rPr>
        <w:t>o official figures could be found of deaths among people detained and prison staff). Despite that, people deprived of liberty were not prioritised for COVID-19 vaccination, with only 10% of people in prison</w:t>
      </w:r>
      <w:r w:rsidR="004F6326">
        <w:rPr>
          <w:rFonts w:asciiTheme="majorHAnsi" w:hAnsiTheme="majorHAnsi" w:cstheme="majorHAnsi"/>
        </w:rPr>
        <w:t xml:space="preserve"> vaccinated as of October 2021.</w:t>
      </w:r>
      <w:r w:rsidRPr="00CA5D43">
        <w:rPr>
          <w:vertAlign w:val="superscript"/>
        </w:rPr>
        <w:footnoteReference w:id="83"/>
      </w:r>
    </w:p>
    <w:p w14:paraId="1DA24148" w14:textId="77777777" w:rsidR="00F57C11" w:rsidRDefault="00F57C11">
      <w:pPr>
        <w:rPr>
          <w:rFonts w:ascii="Calibri Light" w:hAnsi="Calibri Light" w:cs="Calibri Light"/>
          <w:b/>
          <w:sz w:val="24"/>
          <w:szCs w:val="24"/>
        </w:rPr>
      </w:pPr>
    </w:p>
    <w:p w14:paraId="00000050" w14:textId="0BE65046" w:rsidR="006724DF" w:rsidRPr="00CA5D43" w:rsidRDefault="000B549B">
      <w:pPr>
        <w:rPr>
          <w:rFonts w:ascii="Calibri Light" w:hAnsi="Calibri Light" w:cs="Calibri Light"/>
          <w:b/>
          <w:sz w:val="24"/>
          <w:szCs w:val="24"/>
        </w:rPr>
      </w:pPr>
      <w:r w:rsidRPr="00CA5D43">
        <w:rPr>
          <w:rFonts w:ascii="Calibri Light" w:hAnsi="Calibri Light" w:cs="Calibri Light"/>
          <w:b/>
          <w:sz w:val="24"/>
          <w:szCs w:val="24"/>
        </w:rPr>
        <w:t>Compulsory drug detention and treatment of people who use drugs</w:t>
      </w:r>
    </w:p>
    <w:p w14:paraId="4232D28E" w14:textId="203D9FF4" w:rsidR="008C46E9" w:rsidRPr="008C46E9" w:rsidRDefault="000B549B" w:rsidP="008C46E9">
      <w:pPr>
        <w:pStyle w:val="ListParagraph"/>
        <w:numPr>
          <w:ilvl w:val="0"/>
          <w:numId w:val="6"/>
        </w:numPr>
        <w:spacing w:before="240" w:after="240"/>
        <w:jc w:val="both"/>
        <w:rPr>
          <w:rFonts w:asciiTheme="majorHAnsi" w:eastAsia="Times New Roman" w:hAnsiTheme="majorHAnsi" w:cstheme="majorHAnsi"/>
        </w:rPr>
      </w:pPr>
      <w:r w:rsidRPr="008C46E9">
        <w:rPr>
          <w:rFonts w:asciiTheme="majorHAnsi" w:hAnsiTheme="majorHAnsi" w:cstheme="majorHAnsi"/>
        </w:rPr>
        <w:t>Compulsory drug detention, treatment and rehabilitation contravene the right to health, as well as the prohibition against inhuman and degrading treatment and the prohibition of arbitrary detention.</w:t>
      </w:r>
      <w:r w:rsidRPr="00CA5D43">
        <w:rPr>
          <w:vertAlign w:val="superscript"/>
        </w:rPr>
        <w:footnoteReference w:id="84"/>
      </w:r>
      <w:r w:rsidR="004F6326">
        <w:rPr>
          <w:rFonts w:asciiTheme="majorHAnsi" w:hAnsiTheme="majorHAnsi" w:cstheme="majorHAnsi"/>
        </w:rPr>
        <w:t xml:space="preserve"> The </w:t>
      </w:r>
      <w:r w:rsidR="004F6326">
        <w:rPr>
          <w:rFonts w:asciiTheme="majorHAnsi" w:hAnsiTheme="majorHAnsi" w:cstheme="majorHAnsi"/>
        </w:rPr>
        <w:lastRenderedPageBreak/>
        <w:t>former</w:t>
      </w:r>
      <w:r w:rsidRPr="008C46E9">
        <w:rPr>
          <w:rFonts w:asciiTheme="majorHAnsi" w:hAnsiTheme="majorHAnsi" w:cstheme="majorHAnsi"/>
        </w:rPr>
        <w:t xml:space="preserve"> sanctions the principle of free and informed consent as one fundamental component. In General Comment no.14, this Committee also clarified that states shall provide accessible, adequate, and non-discriminatory health services, which are safe, effective, people-centred, and evidence-based.</w:t>
      </w:r>
      <w:r w:rsidRPr="00CA5D43">
        <w:rPr>
          <w:rFonts w:eastAsia="Times New Roman"/>
          <w:vertAlign w:val="superscript"/>
        </w:rPr>
        <w:footnoteReference w:id="85"/>
      </w:r>
      <w:r w:rsidR="004F6326">
        <w:rPr>
          <w:rFonts w:asciiTheme="majorHAnsi" w:hAnsiTheme="majorHAnsi" w:cstheme="majorHAnsi"/>
        </w:rPr>
        <w:t xml:space="preserve"> Several UN sources unequivocally identify compulsory drug detention centres as incompatible with human rights, and urge their closure.</w:t>
      </w:r>
      <w:r w:rsidR="004F6326">
        <w:rPr>
          <w:rStyle w:val="FootnoteReference"/>
          <w:rFonts w:asciiTheme="majorHAnsi" w:hAnsiTheme="majorHAnsi" w:cstheme="majorHAnsi"/>
        </w:rPr>
        <w:footnoteReference w:id="86"/>
      </w:r>
    </w:p>
    <w:p w14:paraId="3262FCE7" w14:textId="77777777" w:rsidR="008C46E9" w:rsidRPr="008C46E9" w:rsidRDefault="008C46E9" w:rsidP="008C46E9">
      <w:pPr>
        <w:pStyle w:val="ListParagraph"/>
        <w:spacing w:before="240" w:after="240"/>
        <w:ind w:left="360"/>
        <w:jc w:val="both"/>
        <w:rPr>
          <w:rFonts w:asciiTheme="majorHAnsi" w:eastAsia="Times New Roman" w:hAnsiTheme="majorHAnsi" w:cstheme="majorHAnsi"/>
          <w:sz w:val="20"/>
          <w:szCs w:val="20"/>
        </w:rPr>
      </w:pPr>
    </w:p>
    <w:p w14:paraId="00000053" w14:textId="33C94294" w:rsidR="006724DF" w:rsidRPr="008C46E9" w:rsidRDefault="008C46E9" w:rsidP="008C46E9">
      <w:pPr>
        <w:pStyle w:val="ListParagraph"/>
        <w:numPr>
          <w:ilvl w:val="0"/>
          <w:numId w:val="6"/>
        </w:numPr>
        <w:spacing w:before="240" w:after="240"/>
        <w:jc w:val="both"/>
        <w:rPr>
          <w:rFonts w:asciiTheme="majorHAnsi" w:eastAsia="Times New Roman" w:hAnsiTheme="majorHAnsi" w:cstheme="majorHAnsi"/>
          <w:sz w:val="20"/>
          <w:szCs w:val="20"/>
        </w:rPr>
      </w:pPr>
      <w:r>
        <w:rPr>
          <w:rFonts w:asciiTheme="majorHAnsi" w:hAnsiTheme="majorHAnsi" w:cstheme="majorHAnsi"/>
        </w:rPr>
        <w:t>Un</w:t>
      </w:r>
      <w:r w:rsidR="004F6326">
        <w:rPr>
          <w:rFonts w:asciiTheme="majorHAnsi" w:hAnsiTheme="majorHAnsi" w:cstheme="majorHAnsi"/>
        </w:rPr>
        <w:t xml:space="preserve">der the CDDA, people </w:t>
      </w:r>
      <w:r w:rsidR="000B549B" w:rsidRPr="008C46E9">
        <w:rPr>
          <w:rFonts w:asciiTheme="majorHAnsi" w:hAnsiTheme="majorHAnsi" w:cstheme="majorHAnsi"/>
        </w:rPr>
        <w:t>caught using drugs for the first time are sentenced to minimum six months rehabilitation in a government-operated center. The same applies</w:t>
      </w:r>
      <w:r w:rsidR="004F6326">
        <w:rPr>
          <w:rFonts w:asciiTheme="majorHAnsi" w:hAnsiTheme="majorHAnsi" w:cstheme="majorHAnsi"/>
        </w:rPr>
        <w:t xml:space="preserve"> to those who ‘surrender’</w:t>
      </w:r>
      <w:r w:rsidR="000B549B" w:rsidRPr="008C46E9">
        <w:rPr>
          <w:rFonts w:asciiTheme="majorHAnsi" w:hAnsiTheme="majorHAnsi" w:cstheme="majorHAnsi"/>
        </w:rPr>
        <w:t xml:space="preserve"> in the context of </w:t>
      </w:r>
      <w:r w:rsidR="000B549B" w:rsidRPr="008C46E9">
        <w:rPr>
          <w:rFonts w:asciiTheme="majorHAnsi" w:hAnsiTheme="majorHAnsi" w:cstheme="majorHAnsi"/>
          <w:i/>
        </w:rPr>
        <w:t xml:space="preserve">Oplan Tokhang: </w:t>
      </w:r>
      <w:r w:rsidR="000B549B" w:rsidRPr="008C46E9">
        <w:rPr>
          <w:rFonts w:asciiTheme="majorHAnsi" w:hAnsiTheme="majorHAnsi" w:cstheme="majorHAnsi"/>
        </w:rPr>
        <w:t>credible accounts narrate how the barangay</w:t>
      </w:r>
      <w:r w:rsidR="000B549B" w:rsidRPr="008C46E9">
        <w:rPr>
          <w:rFonts w:asciiTheme="majorHAnsi" w:hAnsiTheme="majorHAnsi" w:cstheme="majorHAnsi"/>
          <w:i/>
        </w:rPr>
        <w:t xml:space="preserve"> </w:t>
      </w:r>
      <w:r w:rsidR="004F6326">
        <w:rPr>
          <w:rFonts w:asciiTheme="majorHAnsi" w:hAnsiTheme="majorHAnsi" w:cstheme="majorHAnsi"/>
        </w:rPr>
        <w:t>captain would tell surrenderees</w:t>
      </w:r>
      <w:r w:rsidR="000B549B" w:rsidRPr="008C46E9">
        <w:rPr>
          <w:rFonts w:asciiTheme="majorHAnsi" w:hAnsiTheme="majorHAnsi" w:cstheme="majorHAnsi"/>
        </w:rPr>
        <w:t xml:space="preserve"> that the only other options are incarceration or risk of physical harm (alluding to extrajudicial killings), thus confinement or enrolment in a treatment program would be ‘safer’. Some people who underwent treatment report being abducted (“by a team in a white van”) or drugged and forcibly taken to a rehabilitation facility, waking up restrained to a bed or detained in small cells.</w:t>
      </w:r>
      <w:r w:rsidR="000B549B" w:rsidRPr="00CA5D43">
        <w:rPr>
          <w:rFonts w:eastAsia="Times New Roman"/>
          <w:sz w:val="20"/>
          <w:szCs w:val="20"/>
          <w:vertAlign w:val="superscript"/>
        </w:rPr>
        <w:footnoteReference w:id="87"/>
      </w:r>
    </w:p>
    <w:p w14:paraId="205355B7" w14:textId="77777777" w:rsidR="008C46E9" w:rsidRPr="008C46E9" w:rsidRDefault="008C46E9" w:rsidP="008C46E9">
      <w:pPr>
        <w:pStyle w:val="ListParagraph"/>
        <w:rPr>
          <w:rFonts w:asciiTheme="majorHAnsi" w:eastAsia="Times New Roman" w:hAnsiTheme="majorHAnsi" w:cstheme="majorHAnsi"/>
          <w:sz w:val="20"/>
          <w:szCs w:val="20"/>
        </w:rPr>
      </w:pPr>
    </w:p>
    <w:p w14:paraId="00000055" w14:textId="033DA320" w:rsidR="006724DF" w:rsidRDefault="008C46E9" w:rsidP="008C46E9">
      <w:pPr>
        <w:pStyle w:val="ListParagraph"/>
        <w:numPr>
          <w:ilvl w:val="0"/>
          <w:numId w:val="6"/>
        </w:numPr>
        <w:spacing w:before="240" w:after="240"/>
        <w:jc w:val="both"/>
        <w:rPr>
          <w:rFonts w:asciiTheme="majorHAnsi" w:hAnsiTheme="majorHAnsi" w:cstheme="majorHAnsi"/>
        </w:rPr>
      </w:pPr>
      <w:r>
        <w:rPr>
          <w:rFonts w:asciiTheme="majorHAnsi" w:hAnsiTheme="majorHAnsi" w:cstheme="majorHAnsi"/>
        </w:rPr>
        <w:t>M</w:t>
      </w:r>
      <w:r w:rsidR="000B549B" w:rsidRPr="008C46E9">
        <w:rPr>
          <w:rFonts w:asciiTheme="majorHAnsi" w:hAnsiTheme="majorHAnsi" w:cstheme="majorHAnsi"/>
        </w:rPr>
        <w:t>andatory rehabilitation is undergone either in residential treatment centres or in the community. Both systems are gravely problematic: they violate the principle of voluntariness that underpins the right to health, and revolve around non evidence-based treatment in many cases amounting to ill-treatment.</w:t>
      </w:r>
      <w:r w:rsidR="007077CA" w:rsidRPr="008C46E9">
        <w:rPr>
          <w:rFonts w:asciiTheme="majorHAnsi" w:hAnsiTheme="majorHAnsi" w:cstheme="majorHAnsi"/>
        </w:rPr>
        <w:t xml:space="preserve"> </w:t>
      </w:r>
      <w:r w:rsidR="000B549B" w:rsidRPr="008C46E9">
        <w:rPr>
          <w:rFonts w:asciiTheme="majorHAnsi" w:hAnsiTheme="majorHAnsi" w:cstheme="majorHAnsi"/>
        </w:rPr>
        <w:t>Residential centers suffer from poor treatment standards, with accreditation primarily determined by physical space rather than treatment quality. Based on victims’ accounts, local civil society denounced ill-treatment in the form of detention in isolation, forced labor, physical and psychological viol</w:t>
      </w:r>
      <w:r w:rsidR="004F6326">
        <w:rPr>
          <w:rFonts w:asciiTheme="majorHAnsi" w:hAnsiTheme="majorHAnsi" w:cstheme="majorHAnsi"/>
        </w:rPr>
        <w:t>ence in the name of treatment.</w:t>
      </w:r>
      <w:r w:rsidR="000B549B" w:rsidRPr="008C46E9">
        <w:rPr>
          <w:rFonts w:asciiTheme="majorHAnsi" w:hAnsiTheme="majorHAnsi" w:cstheme="majorHAnsi"/>
        </w:rPr>
        <w:t xml:space="preserve"> Conditions of detention are </w:t>
      </w:r>
      <w:r w:rsidR="004F6326">
        <w:rPr>
          <w:rFonts w:asciiTheme="majorHAnsi" w:hAnsiTheme="majorHAnsi" w:cstheme="majorHAnsi"/>
        </w:rPr>
        <w:t>substandard</w:t>
      </w:r>
      <w:r w:rsidR="000B549B" w:rsidRPr="008C46E9">
        <w:rPr>
          <w:rFonts w:asciiTheme="majorHAnsi" w:hAnsiTheme="majorHAnsi" w:cstheme="majorHAnsi"/>
        </w:rPr>
        <w:t>, and are worsening as a result of overcrowding; this is in turn caused by the intensification of the anti-drug campaign and related policies, such as a new plea-bargaining framework introduced in 2018. Finally, there reportedly is no public oversight on these centers, and no recourse for people who suffer abuses under this sy</w:t>
      </w:r>
      <w:r w:rsidR="004F6326">
        <w:rPr>
          <w:rFonts w:asciiTheme="majorHAnsi" w:hAnsiTheme="majorHAnsi" w:cstheme="majorHAnsi"/>
        </w:rPr>
        <w:t>stem, as violence is framed as ‘</w:t>
      </w:r>
      <w:r w:rsidR="000B549B" w:rsidRPr="008C46E9">
        <w:rPr>
          <w:rFonts w:asciiTheme="majorHAnsi" w:hAnsiTheme="majorHAnsi" w:cstheme="majorHAnsi"/>
        </w:rPr>
        <w:t>penalty</w:t>
      </w:r>
      <w:r w:rsidR="004F6326">
        <w:rPr>
          <w:rFonts w:asciiTheme="majorHAnsi" w:hAnsiTheme="majorHAnsi" w:cstheme="majorHAnsi"/>
        </w:rPr>
        <w:t>’</w:t>
      </w:r>
      <w:r w:rsidR="000B549B" w:rsidRPr="008C46E9">
        <w:rPr>
          <w:rFonts w:asciiTheme="majorHAnsi" w:hAnsiTheme="majorHAnsi" w:cstheme="majorHAnsi"/>
        </w:rPr>
        <w:t xml:space="preserve"> for disobedience while in treatment.</w:t>
      </w:r>
    </w:p>
    <w:p w14:paraId="0346265F" w14:textId="77777777" w:rsidR="008C46E9" w:rsidRPr="008C46E9" w:rsidRDefault="008C46E9" w:rsidP="008C46E9">
      <w:pPr>
        <w:pStyle w:val="ListParagraph"/>
        <w:rPr>
          <w:rFonts w:asciiTheme="majorHAnsi" w:hAnsiTheme="majorHAnsi" w:cstheme="majorHAnsi"/>
        </w:rPr>
      </w:pPr>
    </w:p>
    <w:p w14:paraId="3210A4AA" w14:textId="3CDD9370" w:rsidR="008C46E9" w:rsidRDefault="008C46E9" w:rsidP="008C46E9">
      <w:pPr>
        <w:pStyle w:val="ListParagraph"/>
        <w:numPr>
          <w:ilvl w:val="0"/>
          <w:numId w:val="6"/>
        </w:numPr>
        <w:spacing w:before="240" w:after="240"/>
        <w:jc w:val="both"/>
        <w:rPr>
          <w:rFonts w:asciiTheme="majorHAnsi" w:hAnsiTheme="majorHAnsi" w:cstheme="majorHAnsi"/>
        </w:rPr>
      </w:pPr>
      <w:r>
        <w:rPr>
          <w:rFonts w:asciiTheme="majorHAnsi" w:hAnsiTheme="majorHAnsi" w:cstheme="majorHAnsi"/>
        </w:rPr>
        <w:t>C</w:t>
      </w:r>
      <w:r w:rsidR="000B549B" w:rsidRPr="008C46E9">
        <w:rPr>
          <w:rFonts w:asciiTheme="majorHAnsi" w:hAnsiTheme="majorHAnsi" w:cstheme="majorHAnsi"/>
        </w:rPr>
        <w:t>ommunity-based programs suffer from a similar lack of oversight and standards. Some are made to go through treatment programmes while under police supervision and forced to take dru</w:t>
      </w:r>
      <w:r w:rsidR="004F6326">
        <w:rPr>
          <w:rFonts w:asciiTheme="majorHAnsi" w:hAnsiTheme="majorHAnsi" w:cstheme="majorHAnsi"/>
        </w:rPr>
        <w:t>g tests, sometimes even during ‘counseling</w:t>
      </w:r>
      <w:r w:rsidR="000B549B" w:rsidRPr="008C46E9">
        <w:rPr>
          <w:rFonts w:asciiTheme="majorHAnsi" w:hAnsiTheme="majorHAnsi" w:cstheme="majorHAnsi"/>
        </w:rPr>
        <w:t xml:space="preserve"> sessions</w:t>
      </w:r>
      <w:r w:rsidR="004F6326">
        <w:rPr>
          <w:rFonts w:asciiTheme="majorHAnsi" w:hAnsiTheme="majorHAnsi" w:cstheme="majorHAnsi"/>
        </w:rPr>
        <w:t xml:space="preserve">’. People </w:t>
      </w:r>
      <w:r w:rsidR="000B549B" w:rsidRPr="008C46E9">
        <w:rPr>
          <w:rFonts w:asciiTheme="majorHAnsi" w:hAnsiTheme="majorHAnsi" w:cstheme="majorHAnsi"/>
        </w:rPr>
        <w:t>sent to community-based programmes</w:t>
      </w:r>
      <w:r w:rsidR="004F6326">
        <w:rPr>
          <w:rFonts w:asciiTheme="majorHAnsi" w:hAnsiTheme="majorHAnsi" w:cstheme="majorHAnsi"/>
        </w:rPr>
        <w:t xml:space="preserve"> while in jail go through the modules in handcuffs</w:t>
      </w:r>
      <w:r w:rsidR="000B549B" w:rsidRPr="008C46E9">
        <w:rPr>
          <w:rFonts w:asciiTheme="majorHAnsi" w:hAnsiTheme="majorHAnsi" w:cstheme="majorHAnsi"/>
        </w:rPr>
        <w:t>.</w:t>
      </w:r>
      <w:r w:rsidR="007077CA" w:rsidRPr="008C46E9">
        <w:rPr>
          <w:rFonts w:asciiTheme="majorHAnsi" w:hAnsiTheme="majorHAnsi" w:cstheme="majorHAnsi"/>
        </w:rPr>
        <w:t xml:space="preserve"> </w:t>
      </w:r>
      <w:r w:rsidR="000B549B" w:rsidRPr="008C46E9">
        <w:rPr>
          <w:rFonts w:asciiTheme="majorHAnsi" w:hAnsiTheme="majorHAnsi" w:cstheme="majorHAnsi"/>
        </w:rPr>
        <w:t>The treatment period is pre-determined and there is no option to leave, as this would expose the person once aga</w:t>
      </w:r>
      <w:r w:rsidR="004F6326">
        <w:rPr>
          <w:rFonts w:asciiTheme="majorHAnsi" w:hAnsiTheme="majorHAnsi" w:cstheme="majorHAnsi"/>
        </w:rPr>
        <w:t>in to incarceration. Those who ‘escape’</w:t>
      </w:r>
      <w:r w:rsidR="000B549B" w:rsidRPr="008C46E9">
        <w:rPr>
          <w:rFonts w:asciiTheme="majorHAnsi" w:hAnsiTheme="majorHAnsi" w:cstheme="majorHAnsi"/>
        </w:rPr>
        <w:t xml:space="preserve"> treatment can be further charged under the CDDA.</w:t>
      </w:r>
    </w:p>
    <w:p w14:paraId="7ACBBF7D" w14:textId="77777777" w:rsidR="00663617" w:rsidRPr="00663617" w:rsidRDefault="00663617" w:rsidP="00663617">
      <w:pPr>
        <w:pStyle w:val="ListParagraph"/>
        <w:spacing w:before="240" w:after="240"/>
        <w:ind w:left="360"/>
        <w:jc w:val="both"/>
        <w:rPr>
          <w:rFonts w:asciiTheme="majorHAnsi" w:eastAsia="Times New Roman" w:hAnsiTheme="majorHAnsi" w:cstheme="majorHAnsi"/>
          <w:sz w:val="20"/>
          <w:szCs w:val="20"/>
        </w:rPr>
      </w:pPr>
    </w:p>
    <w:p w14:paraId="37C7DF86" w14:textId="1395F459" w:rsidR="00A57628" w:rsidRPr="004F6326" w:rsidRDefault="000B549B" w:rsidP="004F6326">
      <w:pPr>
        <w:pStyle w:val="ListParagraph"/>
        <w:numPr>
          <w:ilvl w:val="0"/>
          <w:numId w:val="6"/>
        </w:numPr>
        <w:spacing w:before="240" w:after="240"/>
        <w:jc w:val="both"/>
        <w:rPr>
          <w:rFonts w:asciiTheme="majorHAnsi" w:eastAsia="Times New Roman" w:hAnsiTheme="majorHAnsi" w:cstheme="majorHAnsi"/>
          <w:sz w:val="20"/>
          <w:szCs w:val="20"/>
        </w:rPr>
      </w:pPr>
      <w:r w:rsidRPr="008C46E9">
        <w:rPr>
          <w:rFonts w:asciiTheme="majorHAnsi" w:hAnsiTheme="majorHAnsi" w:cstheme="majorHAnsi"/>
        </w:rPr>
        <w:t>Human rights law mandates the Philippines to move away from this system. Nevertheless, the government has taken steps to scale this up.</w:t>
      </w:r>
      <w:r w:rsidRPr="00CA5D43">
        <w:rPr>
          <w:rFonts w:eastAsia="Calibri"/>
          <w:sz w:val="20"/>
          <w:szCs w:val="20"/>
          <w:vertAlign w:val="superscript"/>
        </w:rPr>
        <w:footnoteReference w:id="88"/>
      </w:r>
      <w:r w:rsidRPr="008C46E9">
        <w:rPr>
          <w:rFonts w:asciiTheme="majorHAnsi" w:hAnsiTheme="majorHAnsi" w:cstheme="majorHAnsi"/>
        </w:rPr>
        <w:t xml:space="preserve"> Between 2012 and 2022 the number of compulsor</w:t>
      </w:r>
      <w:r w:rsidR="004F6326">
        <w:rPr>
          <w:rFonts w:asciiTheme="majorHAnsi" w:hAnsiTheme="majorHAnsi" w:cstheme="majorHAnsi"/>
        </w:rPr>
        <w:t xml:space="preserve">y drug detention centres </w:t>
      </w:r>
      <w:r w:rsidRPr="008C46E9">
        <w:rPr>
          <w:rFonts w:asciiTheme="majorHAnsi" w:hAnsiTheme="majorHAnsi" w:cstheme="majorHAnsi"/>
        </w:rPr>
        <w:t>increased from 37 to 63</w:t>
      </w:r>
      <w:r w:rsidRPr="00CA5D43">
        <w:rPr>
          <w:vertAlign w:val="superscript"/>
        </w:rPr>
        <w:footnoteReference w:id="89"/>
      </w:r>
      <w:r w:rsidRPr="008C46E9">
        <w:rPr>
          <w:rFonts w:asciiTheme="majorHAnsi" w:hAnsiTheme="majorHAnsi" w:cstheme="majorHAnsi"/>
        </w:rPr>
        <w:t xml:space="preserve"> (although the DDB Director identified a total of 73 facilities, </w:t>
      </w:r>
      <w:r w:rsidRPr="008C46E9">
        <w:rPr>
          <w:rFonts w:asciiTheme="majorHAnsi" w:hAnsiTheme="majorHAnsi" w:cstheme="majorHAnsi"/>
        </w:rPr>
        <w:lastRenderedPageBreak/>
        <w:t>between inpatient and outpatient)</w:t>
      </w:r>
      <w:r w:rsidRPr="00CA5D43">
        <w:rPr>
          <w:vertAlign w:val="superscript"/>
        </w:rPr>
        <w:footnoteReference w:id="90"/>
      </w:r>
      <w:r w:rsidRPr="008C46E9">
        <w:rPr>
          <w:rFonts w:asciiTheme="majorHAnsi" w:hAnsiTheme="majorHAnsi" w:cstheme="majorHAnsi"/>
        </w:rPr>
        <w:t xml:space="preserve"> and the number of people of people deta</w:t>
      </w:r>
      <w:r w:rsidR="004F6326">
        <w:rPr>
          <w:rFonts w:asciiTheme="majorHAnsi" w:hAnsiTheme="majorHAnsi" w:cstheme="majorHAnsi"/>
        </w:rPr>
        <w:t>ined in them has</w:t>
      </w:r>
      <w:r w:rsidRPr="008C46E9">
        <w:rPr>
          <w:rFonts w:asciiTheme="majorHAnsi" w:hAnsiTheme="majorHAnsi" w:cstheme="majorHAnsi"/>
        </w:rPr>
        <w:t xml:space="preserve"> risen in the </w:t>
      </w:r>
      <w:r w:rsidR="004F6326">
        <w:rPr>
          <w:rFonts w:asciiTheme="majorHAnsi" w:hAnsiTheme="majorHAnsi" w:cstheme="majorHAnsi"/>
        </w:rPr>
        <w:t>same period from 2,744 to 5,447. The DDB reports</w:t>
      </w:r>
      <w:r w:rsidRPr="008C46E9">
        <w:rPr>
          <w:rFonts w:asciiTheme="majorHAnsi" w:hAnsiTheme="majorHAnsi" w:cstheme="majorHAnsi"/>
        </w:rPr>
        <w:t xml:space="preserve"> 2708 admissions in 2021</w:t>
      </w:r>
      <w:r w:rsidR="004F6326">
        <w:rPr>
          <w:rFonts w:asciiTheme="majorHAnsi" w:hAnsiTheme="majorHAnsi" w:cstheme="majorHAnsi"/>
        </w:rPr>
        <w:t>. DDB</w:t>
      </w:r>
      <w:r w:rsidRPr="008C46E9">
        <w:rPr>
          <w:rFonts w:asciiTheme="majorHAnsi" w:hAnsiTheme="majorHAnsi" w:cstheme="majorHAnsi"/>
        </w:rPr>
        <w:t xml:space="preserve"> Regulation no. 2 of 2018 also envisages the construction of drug reformation centres providing “reformatory rehabilitation” to surrenderees involved in drug-related activities, but who do not use drugs. Those who enter the centres are not free to leave and undergo an arbitrarily-defined list of activities with the aim of “rectifying or modifying negative attitude and behavior.”</w:t>
      </w:r>
      <w:r w:rsidRPr="00CA5D43">
        <w:rPr>
          <w:vertAlign w:val="superscript"/>
        </w:rPr>
        <w:footnoteReference w:id="91"/>
      </w:r>
      <w:r w:rsidRPr="008C46E9">
        <w:rPr>
          <w:rFonts w:asciiTheme="majorHAnsi" w:hAnsiTheme="majorHAnsi" w:cstheme="majorHAnsi"/>
        </w:rPr>
        <w:t xml:space="preserve"> As of 2021, 107 of these centres have already be</w:t>
      </w:r>
      <w:r w:rsidR="004F6326">
        <w:rPr>
          <w:rFonts w:asciiTheme="majorHAnsi" w:hAnsiTheme="majorHAnsi" w:cstheme="majorHAnsi"/>
        </w:rPr>
        <w:t>en established, referred to as “</w:t>
      </w:r>
      <w:r w:rsidRPr="008C46E9">
        <w:rPr>
          <w:rFonts w:asciiTheme="majorHAnsi" w:hAnsiTheme="majorHAnsi" w:cstheme="majorHAnsi"/>
        </w:rPr>
        <w:t>Bal</w:t>
      </w:r>
      <w:r w:rsidR="004F6326">
        <w:rPr>
          <w:rFonts w:asciiTheme="majorHAnsi" w:hAnsiTheme="majorHAnsi" w:cstheme="majorHAnsi"/>
        </w:rPr>
        <w:t>ay Silangan Reformation Centres”</w:t>
      </w:r>
      <w:r w:rsidRPr="008C46E9">
        <w:rPr>
          <w:rFonts w:asciiTheme="majorHAnsi" w:hAnsiTheme="majorHAnsi" w:cstheme="majorHAnsi"/>
        </w:rPr>
        <w:t>.</w:t>
      </w:r>
      <w:r w:rsidRPr="00CA5D43">
        <w:rPr>
          <w:vertAlign w:val="superscript"/>
        </w:rPr>
        <w:footnoteReference w:id="92"/>
      </w:r>
      <w:r w:rsidRPr="008C46E9">
        <w:rPr>
          <w:rFonts w:asciiTheme="majorHAnsi" w:hAnsiTheme="majorHAnsi" w:cstheme="majorHAnsi"/>
        </w:rPr>
        <w:t xml:space="preserve"> It is particularly concerning that these centres (as other drug treatment facilities) are to be located in police or military camps/bases,</w:t>
      </w:r>
      <w:r w:rsidRPr="00CA5D43">
        <w:rPr>
          <w:vertAlign w:val="superscript"/>
        </w:rPr>
        <w:footnoteReference w:id="93"/>
      </w:r>
      <w:r w:rsidRPr="008C46E9">
        <w:rPr>
          <w:rFonts w:asciiTheme="majorHAnsi" w:hAnsiTheme="majorHAnsi" w:cstheme="majorHAnsi"/>
        </w:rPr>
        <w:t xml:space="preserve"> and that PNP already runs “treatment programmes” called “PNP Wellness and Recovery Programs”</w:t>
      </w:r>
      <w:r w:rsidRPr="00CA5D43">
        <w:rPr>
          <w:vertAlign w:val="superscript"/>
        </w:rPr>
        <w:footnoteReference w:id="94"/>
      </w:r>
      <w:r w:rsidRPr="008C46E9">
        <w:rPr>
          <w:rFonts w:asciiTheme="majorHAnsi" w:hAnsiTheme="majorHAnsi" w:cstheme="majorHAnsi"/>
        </w:rPr>
        <w:t xml:space="preserve"> and, more recently, as part of “Project Adore.”</w:t>
      </w:r>
      <w:r w:rsidRPr="00CA5D43">
        <w:rPr>
          <w:vertAlign w:val="superscript"/>
        </w:rPr>
        <w:footnoteReference w:id="95"/>
      </w:r>
      <w:r w:rsidRPr="008C46E9">
        <w:rPr>
          <w:rFonts w:asciiTheme="majorHAnsi" w:hAnsiTheme="majorHAnsi" w:cstheme="majorHAnsi"/>
        </w:rPr>
        <w:t xml:space="preserve"> As highlighted by Amnesty International, “the implications of placing a rehabilitation centre inside a law enforcement facility are that treatment is then seen as a form of punishment, thus deterring people who may require medical care to seek it and reinforcing a stereotype that people who use </w:t>
      </w:r>
      <w:r w:rsidR="008C46E9">
        <w:rPr>
          <w:rFonts w:asciiTheme="majorHAnsi" w:hAnsiTheme="majorHAnsi" w:cstheme="majorHAnsi"/>
        </w:rPr>
        <w:t>drugs are criminals.”</w:t>
      </w:r>
      <w:r w:rsidRPr="00CA5D43">
        <w:rPr>
          <w:rFonts w:eastAsia="Times New Roman"/>
          <w:sz w:val="20"/>
          <w:szCs w:val="20"/>
          <w:vertAlign w:val="superscript"/>
        </w:rPr>
        <w:footnoteReference w:id="96"/>
      </w:r>
    </w:p>
    <w:p w14:paraId="0000005C" w14:textId="02CB8E81" w:rsidR="006724DF" w:rsidRPr="00A57628" w:rsidRDefault="003219BB">
      <w:pPr>
        <w:rPr>
          <w:rFonts w:ascii="Calibri Light" w:hAnsi="Calibri Light" w:cs="Calibri Light"/>
          <w:b/>
          <w:sz w:val="24"/>
        </w:rPr>
      </w:pPr>
      <w:r>
        <w:rPr>
          <w:rFonts w:ascii="Calibri Light" w:hAnsi="Calibri Light" w:cs="Calibri Light"/>
          <w:b/>
          <w:sz w:val="24"/>
        </w:rPr>
        <w:t xml:space="preserve">Impact of </w:t>
      </w:r>
      <w:r w:rsidR="00CA5D43" w:rsidRPr="00A57628">
        <w:rPr>
          <w:rFonts w:ascii="Calibri Light" w:hAnsi="Calibri Light" w:cs="Calibri Light"/>
          <w:b/>
          <w:sz w:val="24"/>
        </w:rPr>
        <w:t>C</w:t>
      </w:r>
      <w:r w:rsidR="000B549B" w:rsidRPr="00A57628">
        <w:rPr>
          <w:rFonts w:ascii="Calibri Light" w:hAnsi="Calibri Light" w:cs="Calibri Light"/>
          <w:b/>
          <w:sz w:val="24"/>
        </w:rPr>
        <w:t>OVID-19 and</w:t>
      </w:r>
      <w:r>
        <w:rPr>
          <w:rFonts w:ascii="Calibri Light" w:hAnsi="Calibri Light" w:cs="Calibri Light"/>
          <w:b/>
          <w:sz w:val="24"/>
        </w:rPr>
        <w:t xml:space="preserve"> related policies on</w:t>
      </w:r>
      <w:r w:rsidR="000B549B" w:rsidRPr="00A57628">
        <w:rPr>
          <w:rFonts w:ascii="Calibri Light" w:hAnsi="Calibri Light" w:cs="Calibri Light"/>
          <w:b/>
          <w:sz w:val="24"/>
        </w:rPr>
        <w:t xml:space="preserve"> people who use drugs</w:t>
      </w:r>
    </w:p>
    <w:p w14:paraId="0000005E" w14:textId="77777777" w:rsidR="006724DF" w:rsidRPr="00CA5D43" w:rsidRDefault="006724DF">
      <w:pPr>
        <w:rPr>
          <w:rFonts w:asciiTheme="majorHAnsi" w:hAnsiTheme="majorHAnsi" w:cstheme="majorHAnsi"/>
          <w:i/>
        </w:rPr>
      </w:pPr>
    </w:p>
    <w:p w14:paraId="0000005F" w14:textId="29598ABF" w:rsidR="006724DF" w:rsidRPr="008C46E9" w:rsidRDefault="000B549B" w:rsidP="008C46E9">
      <w:pPr>
        <w:pStyle w:val="ListParagraph"/>
        <w:numPr>
          <w:ilvl w:val="0"/>
          <w:numId w:val="6"/>
        </w:numPr>
        <w:jc w:val="both"/>
        <w:rPr>
          <w:rFonts w:asciiTheme="majorHAnsi" w:hAnsiTheme="majorHAnsi" w:cstheme="majorHAnsi"/>
        </w:rPr>
      </w:pPr>
      <w:r w:rsidRPr="008C46E9">
        <w:rPr>
          <w:rFonts w:asciiTheme="majorHAnsi" w:hAnsiTheme="majorHAnsi" w:cstheme="majorHAnsi"/>
        </w:rPr>
        <w:t>The Duterte government adopted a highly militarised and punitive approach to COVID-19 control, which closely resembles its drug control strategy.</w:t>
      </w:r>
      <w:r w:rsidRPr="00CA5D43">
        <w:rPr>
          <w:vertAlign w:val="superscript"/>
        </w:rPr>
        <w:footnoteReference w:id="97"/>
      </w:r>
      <w:r w:rsidRPr="008C46E9">
        <w:rPr>
          <w:rFonts w:asciiTheme="majorHAnsi" w:hAnsiTheme="majorHAnsi" w:cstheme="majorHAnsi"/>
        </w:rPr>
        <w:t xml:space="preserve"> President Duterte publi</w:t>
      </w:r>
      <w:r w:rsidR="004F6326">
        <w:rPr>
          <w:rFonts w:asciiTheme="majorHAnsi" w:hAnsiTheme="majorHAnsi" w:cstheme="majorHAnsi"/>
        </w:rPr>
        <w:t xml:space="preserve">cly incited law enforcement to “shoot them dead” </w:t>
      </w:r>
      <w:r w:rsidRPr="008C46E9">
        <w:rPr>
          <w:rFonts w:asciiTheme="majorHAnsi" w:hAnsiTheme="majorHAnsi" w:cstheme="majorHAnsi"/>
        </w:rPr>
        <w:t>referring to individuals who are found in violation of COVID-19 protocols,</w:t>
      </w:r>
      <w:r w:rsidRPr="00CA5D43">
        <w:rPr>
          <w:vertAlign w:val="superscript"/>
        </w:rPr>
        <w:footnoteReference w:id="98"/>
      </w:r>
      <w:r w:rsidRPr="008C46E9">
        <w:rPr>
          <w:rFonts w:asciiTheme="majorHAnsi" w:hAnsiTheme="majorHAnsi" w:cstheme="majorHAnsi"/>
        </w:rPr>
        <w:t xml:space="preserve"> and at least f</w:t>
      </w:r>
      <w:r w:rsidR="004F6326">
        <w:rPr>
          <w:rFonts w:asciiTheme="majorHAnsi" w:hAnsiTheme="majorHAnsi" w:cstheme="majorHAnsi"/>
        </w:rPr>
        <w:t xml:space="preserve">our deaths were reported as </w:t>
      </w:r>
      <w:r w:rsidRPr="008C46E9">
        <w:rPr>
          <w:rFonts w:asciiTheme="majorHAnsi" w:hAnsiTheme="majorHAnsi" w:cstheme="majorHAnsi"/>
        </w:rPr>
        <w:t xml:space="preserve">result of </w:t>
      </w:r>
      <w:r w:rsidR="004F6326">
        <w:rPr>
          <w:rFonts w:asciiTheme="majorHAnsi" w:hAnsiTheme="majorHAnsi" w:cstheme="majorHAnsi"/>
        </w:rPr>
        <w:t>ill-treatment or abuse of</w:t>
      </w:r>
      <w:r w:rsidRPr="008C46E9">
        <w:rPr>
          <w:rFonts w:asciiTheme="majorHAnsi" w:hAnsiTheme="majorHAnsi" w:cstheme="majorHAnsi"/>
        </w:rPr>
        <w:t xml:space="preserve"> force in lockdown enforcement.</w:t>
      </w:r>
      <w:r w:rsidRPr="00CA5D43">
        <w:rPr>
          <w:vertAlign w:val="superscript"/>
        </w:rPr>
        <w:footnoteReference w:id="99"/>
      </w:r>
    </w:p>
    <w:p w14:paraId="00000060" w14:textId="77777777" w:rsidR="006724DF" w:rsidRPr="00CA5D43" w:rsidRDefault="006724DF" w:rsidP="00A57628">
      <w:pPr>
        <w:jc w:val="both"/>
        <w:rPr>
          <w:rFonts w:asciiTheme="majorHAnsi" w:hAnsiTheme="majorHAnsi" w:cstheme="majorHAnsi"/>
          <w:i/>
        </w:rPr>
      </w:pPr>
    </w:p>
    <w:p w14:paraId="00000062" w14:textId="0CF83577" w:rsidR="006724DF" w:rsidRPr="008C46E9" w:rsidRDefault="000B549B" w:rsidP="008C46E9">
      <w:pPr>
        <w:pStyle w:val="ListParagraph"/>
        <w:numPr>
          <w:ilvl w:val="0"/>
          <w:numId w:val="6"/>
        </w:numPr>
        <w:jc w:val="both"/>
        <w:rPr>
          <w:rFonts w:asciiTheme="majorHAnsi" w:hAnsiTheme="majorHAnsi" w:cstheme="majorHAnsi"/>
        </w:rPr>
      </w:pPr>
      <w:r w:rsidRPr="008C46E9">
        <w:rPr>
          <w:rFonts w:asciiTheme="majorHAnsi" w:hAnsiTheme="majorHAnsi" w:cstheme="majorHAnsi"/>
        </w:rPr>
        <w:t>Research by Harm Reduction International and IDUCare, based on interviews with a sample of people who use drugs in the Philippines, found an increase in criminalisation and targeting of people who use or are suspected of using drugs during the pandemic, exposing them and their communities to a heightened risk of discrimination, harassment, violence, as well as COVID-19 transmission. In particular:</w:t>
      </w:r>
    </w:p>
    <w:p w14:paraId="013CC4A7" w14:textId="618AE638" w:rsidR="007077CA" w:rsidRDefault="000B549B" w:rsidP="007077CA">
      <w:pPr>
        <w:numPr>
          <w:ilvl w:val="0"/>
          <w:numId w:val="2"/>
        </w:numPr>
        <w:shd w:val="clear" w:color="auto" w:fill="FFFFFF"/>
        <w:spacing w:before="240"/>
        <w:ind w:left="714" w:hanging="357"/>
        <w:jc w:val="both"/>
        <w:rPr>
          <w:rFonts w:asciiTheme="majorHAnsi" w:hAnsiTheme="majorHAnsi" w:cstheme="majorHAnsi"/>
        </w:rPr>
      </w:pPr>
      <w:r w:rsidRPr="00CA5D43">
        <w:rPr>
          <w:rFonts w:asciiTheme="majorHAnsi" w:hAnsiTheme="majorHAnsi" w:cstheme="majorHAnsi"/>
        </w:rPr>
        <w:t xml:space="preserve">On impact on livelihoods: 86% (26) of respondents said that their income was reduced as a consequence of the pandemic, mostly because of the lockdown (with the closure of businesses and the halting of daily activities - as the main reason). 26% of respondents declared they had received no support from public authorities, 18 reported some limited support, mostly in the form of cash and/or food and highly insufficient to meet their needs. Of the 21 respondents who admitted to </w:t>
      </w:r>
      <w:r w:rsidRPr="00CA5D43">
        <w:rPr>
          <w:rFonts w:asciiTheme="majorHAnsi" w:hAnsiTheme="majorHAnsi" w:cstheme="majorHAnsi"/>
        </w:rPr>
        <w:lastRenderedPageBreak/>
        <w:t xml:space="preserve">failing to comply with lockdown regulations, at least nine cited needing essential items (mostly food) or money as the reason. Other two indicated </w:t>
      </w:r>
      <w:r w:rsidRPr="007077CA">
        <w:rPr>
          <w:rFonts w:asciiTheme="majorHAnsi" w:hAnsiTheme="majorHAnsi" w:cstheme="majorHAnsi"/>
        </w:rPr>
        <w:t xml:space="preserve">family-related reasons. </w:t>
      </w:r>
    </w:p>
    <w:p w14:paraId="726F648E" w14:textId="77777777" w:rsidR="008A5AC1" w:rsidRPr="008A5AC1" w:rsidRDefault="008A5AC1" w:rsidP="008A5AC1">
      <w:pPr>
        <w:shd w:val="clear" w:color="auto" w:fill="FFFFFF"/>
        <w:ind w:left="714"/>
        <w:jc w:val="both"/>
        <w:rPr>
          <w:rFonts w:asciiTheme="majorHAnsi" w:eastAsia="Times New Roman" w:hAnsiTheme="majorHAnsi" w:cstheme="majorHAnsi"/>
        </w:rPr>
      </w:pPr>
    </w:p>
    <w:p w14:paraId="00000064" w14:textId="29C042AE" w:rsidR="006724DF" w:rsidRPr="008A5AC1" w:rsidRDefault="000B549B" w:rsidP="007077CA">
      <w:pPr>
        <w:numPr>
          <w:ilvl w:val="0"/>
          <w:numId w:val="2"/>
        </w:numPr>
        <w:shd w:val="clear" w:color="auto" w:fill="FFFFFF"/>
        <w:ind w:left="714" w:hanging="357"/>
        <w:jc w:val="both"/>
        <w:rPr>
          <w:rFonts w:asciiTheme="majorHAnsi" w:eastAsia="Times New Roman" w:hAnsiTheme="majorHAnsi" w:cstheme="majorHAnsi"/>
        </w:rPr>
      </w:pPr>
      <w:r w:rsidRPr="007077CA">
        <w:rPr>
          <w:rFonts w:asciiTheme="majorHAnsi" w:hAnsiTheme="majorHAnsi" w:cstheme="majorHAnsi"/>
        </w:rPr>
        <w:t>On criminalisation, policing and detention: The majority of responden</w:t>
      </w:r>
      <w:r w:rsidRPr="00CA5D43">
        <w:rPr>
          <w:rFonts w:asciiTheme="majorHAnsi" w:hAnsiTheme="majorHAnsi" w:cstheme="majorHAnsi"/>
        </w:rPr>
        <w:t>ts reported an increase in surveillance and abuse by authorities, and 90% reported being stopped by law enforcement during</w:t>
      </w:r>
      <w:r w:rsidR="008A5AC1">
        <w:rPr>
          <w:rFonts w:asciiTheme="majorHAnsi" w:hAnsiTheme="majorHAnsi" w:cstheme="majorHAnsi"/>
        </w:rPr>
        <w:t xml:space="preserve"> the pandemic; </w:t>
      </w:r>
      <w:r w:rsidRPr="00CA5D43">
        <w:rPr>
          <w:rFonts w:asciiTheme="majorHAnsi" w:hAnsiTheme="majorHAnsi" w:cstheme="majorHAnsi"/>
        </w:rPr>
        <w:t>For 11 respondents, encounters with law enforcement led to detention (one of them was det</w:t>
      </w:r>
      <w:r w:rsidR="008A5AC1">
        <w:rPr>
          <w:rFonts w:asciiTheme="majorHAnsi" w:hAnsiTheme="majorHAnsi" w:cstheme="majorHAnsi"/>
        </w:rPr>
        <w:t>ained for five hours in a car);</w:t>
      </w:r>
      <w:r w:rsidRPr="00CA5D43">
        <w:rPr>
          <w:rFonts w:asciiTheme="majorHAnsi" w:hAnsiTheme="majorHAnsi" w:cstheme="majorHAnsi"/>
        </w:rPr>
        <w:t xml:space="preserve"> one documented being detained for 12 hours and then mandated to undertake community service despite not having violated any protocol; one was frisked; and one reported the police officer pointing a gun towards him during the stop.  Fourteen participants denounced having experienced some form of abuse by law enforcement, ranging from verbal abuse to physical violence and ill-treatment, including unlawful searches, pointing of guns towards the person, and invasions of privacy.</w:t>
      </w:r>
    </w:p>
    <w:p w14:paraId="34C9DE02" w14:textId="77777777" w:rsidR="008A5AC1" w:rsidRDefault="008A5AC1" w:rsidP="008A5AC1">
      <w:pPr>
        <w:pStyle w:val="ListParagraph"/>
        <w:rPr>
          <w:rFonts w:asciiTheme="majorHAnsi" w:eastAsia="Times New Roman" w:hAnsiTheme="majorHAnsi" w:cstheme="majorHAnsi"/>
        </w:rPr>
      </w:pPr>
    </w:p>
    <w:p w14:paraId="00000065" w14:textId="2093DF9E" w:rsidR="006724DF" w:rsidRDefault="000B549B" w:rsidP="007077CA">
      <w:pPr>
        <w:numPr>
          <w:ilvl w:val="0"/>
          <w:numId w:val="2"/>
        </w:numPr>
        <w:shd w:val="clear" w:color="auto" w:fill="FFFFFF"/>
        <w:ind w:left="714" w:hanging="357"/>
        <w:jc w:val="both"/>
        <w:rPr>
          <w:rFonts w:asciiTheme="majorHAnsi" w:hAnsiTheme="majorHAnsi" w:cstheme="majorHAnsi"/>
        </w:rPr>
      </w:pPr>
      <w:r w:rsidRPr="00CA5D43">
        <w:rPr>
          <w:rFonts w:asciiTheme="majorHAnsi" w:hAnsiTheme="majorHAnsi" w:cstheme="majorHAnsi"/>
        </w:rPr>
        <w:t xml:space="preserve">On COVID-19 response measures: 25 out of 30 respondents divulged that they had never been tested for </w:t>
      </w:r>
      <w:r w:rsidR="008A5AC1">
        <w:rPr>
          <w:rFonts w:asciiTheme="majorHAnsi" w:hAnsiTheme="majorHAnsi" w:cstheme="majorHAnsi"/>
        </w:rPr>
        <w:t>COVID-19; while the remaining f</w:t>
      </w:r>
      <w:r w:rsidRPr="00CA5D43">
        <w:rPr>
          <w:rFonts w:asciiTheme="majorHAnsi" w:hAnsiTheme="majorHAnsi" w:cstheme="majorHAnsi"/>
        </w:rPr>
        <w:t>ive underwent mandatory testing in jails (once upon arrest, and once upon release - indicating some compliance with health protocols in detention settings), hospitals, and hotels. Ten participants experienced quarantine detention of between five hours and a month; four of them reported facilities being crammed, hot, and lacking adequate ventilation.</w:t>
      </w:r>
    </w:p>
    <w:p w14:paraId="7E300C4E" w14:textId="77777777" w:rsidR="008A5AC1" w:rsidRDefault="008A5AC1" w:rsidP="008A5AC1">
      <w:pPr>
        <w:pStyle w:val="ListParagraph"/>
        <w:rPr>
          <w:rFonts w:asciiTheme="majorHAnsi" w:hAnsiTheme="majorHAnsi" w:cstheme="majorHAnsi"/>
        </w:rPr>
      </w:pPr>
    </w:p>
    <w:p w14:paraId="14500043" w14:textId="7749E766" w:rsidR="00A57628" w:rsidRDefault="000B549B" w:rsidP="008A5AC1">
      <w:pPr>
        <w:numPr>
          <w:ilvl w:val="0"/>
          <w:numId w:val="2"/>
        </w:numPr>
        <w:shd w:val="clear" w:color="auto" w:fill="FFFFFF"/>
        <w:spacing w:after="240"/>
        <w:ind w:left="714" w:hanging="357"/>
        <w:jc w:val="both"/>
        <w:rPr>
          <w:rFonts w:asciiTheme="majorHAnsi" w:hAnsiTheme="majorHAnsi" w:cstheme="majorHAnsi"/>
        </w:rPr>
      </w:pPr>
      <w:r w:rsidRPr="00CA5D43">
        <w:rPr>
          <w:rFonts w:asciiTheme="majorHAnsi" w:hAnsiTheme="majorHAnsi" w:cstheme="majorHAnsi"/>
        </w:rPr>
        <w:t xml:space="preserve">On other health services: </w:t>
      </w:r>
      <w:r w:rsidR="008A5AC1">
        <w:rPr>
          <w:rFonts w:asciiTheme="majorHAnsi" w:hAnsiTheme="majorHAnsi" w:cstheme="majorHAnsi"/>
        </w:rPr>
        <w:t>43%</w:t>
      </w:r>
      <w:r w:rsidRPr="00CA5D43">
        <w:rPr>
          <w:rFonts w:asciiTheme="majorHAnsi" w:hAnsiTheme="majorHAnsi" w:cstheme="majorHAnsi"/>
        </w:rPr>
        <w:t xml:space="preserve"> of participants indicated that their access to health services and medicines, including dentists, ARV, and birth control, was disrupted during the pandemic. The majority of respondents also reportedly decided not to travel to or access health services not for fear of COVID-19, but rather for fear of punishment or other negative repercussions.</w:t>
      </w:r>
    </w:p>
    <w:p w14:paraId="36F8AE6B" w14:textId="77777777" w:rsidR="008A5AC1" w:rsidRDefault="008A5AC1" w:rsidP="008A5AC1">
      <w:pPr>
        <w:pStyle w:val="ListParagraph"/>
        <w:rPr>
          <w:rFonts w:asciiTheme="majorHAnsi" w:hAnsiTheme="majorHAnsi" w:cstheme="majorHAnsi"/>
        </w:rPr>
      </w:pPr>
    </w:p>
    <w:p w14:paraId="00000068" w14:textId="09D6E65C" w:rsidR="006724DF" w:rsidRPr="00A57628" w:rsidRDefault="000B549B" w:rsidP="007077CA">
      <w:pPr>
        <w:jc w:val="both"/>
        <w:rPr>
          <w:rFonts w:ascii="Calibri Light" w:hAnsi="Calibri Light" w:cs="Calibri Light"/>
          <w:b/>
          <w:sz w:val="24"/>
          <w:szCs w:val="24"/>
        </w:rPr>
      </w:pPr>
      <w:r w:rsidRPr="00A57628">
        <w:rPr>
          <w:rFonts w:ascii="Calibri Light" w:hAnsi="Calibri Light" w:cs="Calibri Light"/>
          <w:b/>
          <w:sz w:val="24"/>
          <w:szCs w:val="24"/>
        </w:rPr>
        <w:t>The UN Joint Programme on human rights in the Philippines and its relevance for the issues raised in this submission</w:t>
      </w:r>
    </w:p>
    <w:p w14:paraId="00000069" w14:textId="77777777" w:rsidR="006724DF" w:rsidRPr="00CA5D43" w:rsidRDefault="006724DF">
      <w:pPr>
        <w:rPr>
          <w:rFonts w:asciiTheme="majorHAnsi" w:hAnsiTheme="majorHAnsi" w:cstheme="majorHAnsi"/>
        </w:rPr>
      </w:pPr>
    </w:p>
    <w:p w14:paraId="0000006A" w14:textId="472F556B" w:rsidR="006724DF" w:rsidRPr="008C46E9" w:rsidRDefault="000B549B" w:rsidP="008C46E9">
      <w:pPr>
        <w:pStyle w:val="ListParagraph"/>
        <w:numPr>
          <w:ilvl w:val="0"/>
          <w:numId w:val="6"/>
        </w:numPr>
        <w:jc w:val="both"/>
        <w:rPr>
          <w:rFonts w:asciiTheme="majorHAnsi" w:hAnsiTheme="majorHAnsi" w:cstheme="majorHAnsi"/>
        </w:rPr>
      </w:pPr>
      <w:r w:rsidRPr="008C46E9">
        <w:rPr>
          <w:rFonts w:asciiTheme="majorHAnsi" w:hAnsiTheme="majorHAnsi" w:cstheme="majorHAnsi"/>
        </w:rPr>
        <w:t>In r</w:t>
      </w:r>
      <w:r w:rsidR="008A5AC1">
        <w:rPr>
          <w:rFonts w:asciiTheme="majorHAnsi" w:hAnsiTheme="majorHAnsi" w:cstheme="majorHAnsi"/>
        </w:rPr>
        <w:t xml:space="preserve">esponse to the widespread </w:t>
      </w:r>
      <w:r w:rsidRPr="008C46E9">
        <w:rPr>
          <w:rFonts w:asciiTheme="majorHAnsi" w:hAnsiTheme="majorHAnsi" w:cstheme="majorHAnsi"/>
        </w:rPr>
        <w:t>violations documented in the OHCHR 2020 report, in September 2020 the UN Human Rights Council directed</w:t>
      </w:r>
      <w:r w:rsidRPr="00CA5D43">
        <w:rPr>
          <w:vertAlign w:val="superscript"/>
        </w:rPr>
        <w:footnoteReference w:id="100"/>
      </w:r>
      <w:r w:rsidRPr="008C46E9">
        <w:rPr>
          <w:rFonts w:asciiTheme="majorHAnsi" w:hAnsiTheme="majorHAnsi" w:cstheme="majorHAnsi"/>
        </w:rPr>
        <w:t xml:space="preserve"> OHCHR to establish a cross-UN joint programme of cooperation and capacity-building on human rights in the Philippines, much to the criticism of civil society organisations that had called for an international and independent  probe</w:t>
      </w:r>
      <w:r w:rsidR="008A5AC1">
        <w:rPr>
          <w:rFonts w:asciiTheme="majorHAnsi" w:hAnsiTheme="majorHAnsi" w:cstheme="majorHAnsi"/>
        </w:rPr>
        <w:t>.</w:t>
      </w:r>
      <w:r w:rsidRPr="00CA5D43">
        <w:rPr>
          <w:vertAlign w:val="superscript"/>
        </w:rPr>
        <w:footnoteReference w:id="101"/>
      </w:r>
      <w:r w:rsidRPr="008C46E9">
        <w:rPr>
          <w:rFonts w:asciiTheme="majorHAnsi" w:hAnsiTheme="majorHAnsi" w:cstheme="majorHAnsi"/>
        </w:rPr>
        <w:t xml:space="preserve"> A programme agreement between several UN entities led by OHCHR and the Philippines government was signed in July2021</w:t>
      </w:r>
      <w:r w:rsidR="008A5AC1">
        <w:rPr>
          <w:rFonts w:asciiTheme="majorHAnsi" w:hAnsiTheme="majorHAnsi" w:cstheme="majorHAnsi"/>
        </w:rPr>
        <w:t>,</w:t>
      </w:r>
      <w:r w:rsidRPr="00CA5D43">
        <w:rPr>
          <w:vertAlign w:val="superscript"/>
        </w:rPr>
        <w:footnoteReference w:id="102"/>
      </w:r>
      <w:r w:rsidRPr="008C46E9">
        <w:rPr>
          <w:rFonts w:asciiTheme="majorHAnsi" w:hAnsiTheme="majorHAnsi" w:cstheme="majorHAnsi"/>
        </w:rPr>
        <w:t xml:space="preserve"> and activities are meant to be delivered during the following three years, until July 2024.</w:t>
      </w:r>
    </w:p>
    <w:p w14:paraId="0000006B" w14:textId="77777777" w:rsidR="006724DF" w:rsidRPr="00CA5D43" w:rsidRDefault="006724DF" w:rsidP="00A57628">
      <w:pPr>
        <w:jc w:val="both"/>
        <w:rPr>
          <w:rFonts w:asciiTheme="majorHAnsi" w:hAnsiTheme="majorHAnsi" w:cstheme="majorHAnsi"/>
        </w:rPr>
      </w:pPr>
    </w:p>
    <w:p w14:paraId="0000006C" w14:textId="594D5307" w:rsidR="006724DF" w:rsidRPr="008C46E9" w:rsidRDefault="008A5AC1" w:rsidP="008C46E9">
      <w:pPr>
        <w:pStyle w:val="ListParagraph"/>
        <w:numPr>
          <w:ilvl w:val="0"/>
          <w:numId w:val="6"/>
        </w:numPr>
        <w:jc w:val="both"/>
        <w:rPr>
          <w:rFonts w:asciiTheme="majorHAnsi" w:hAnsiTheme="majorHAnsi" w:cstheme="majorHAnsi"/>
        </w:rPr>
      </w:pPr>
      <w:r>
        <w:rPr>
          <w:rFonts w:asciiTheme="majorHAnsi" w:hAnsiTheme="majorHAnsi" w:cstheme="majorHAnsi"/>
        </w:rPr>
        <w:t xml:space="preserve">The </w:t>
      </w:r>
      <w:r w:rsidR="000B549B" w:rsidRPr="008C46E9">
        <w:rPr>
          <w:rFonts w:asciiTheme="majorHAnsi" w:hAnsiTheme="majorHAnsi" w:cstheme="majorHAnsi"/>
        </w:rPr>
        <w:t>Programme is structured around six key areas of</w:t>
      </w:r>
      <w:r>
        <w:rPr>
          <w:rFonts w:asciiTheme="majorHAnsi" w:hAnsiTheme="majorHAnsi" w:cstheme="majorHAnsi"/>
        </w:rPr>
        <w:t xml:space="preserve"> work, one of which concerns a “</w:t>
      </w:r>
      <w:r w:rsidR="000B549B" w:rsidRPr="008C46E9">
        <w:rPr>
          <w:rFonts w:asciiTheme="majorHAnsi" w:hAnsiTheme="majorHAnsi" w:cstheme="majorHAnsi"/>
        </w:rPr>
        <w:t>human rights-</w:t>
      </w:r>
      <w:r>
        <w:rPr>
          <w:rFonts w:asciiTheme="majorHAnsi" w:hAnsiTheme="majorHAnsi" w:cstheme="majorHAnsi"/>
        </w:rPr>
        <w:t xml:space="preserve">based approach to drug control.” This area </w:t>
      </w:r>
      <w:r w:rsidR="000B549B" w:rsidRPr="008C46E9">
        <w:rPr>
          <w:rFonts w:asciiTheme="majorHAnsi" w:hAnsiTheme="majorHAnsi" w:cstheme="majorHAnsi"/>
        </w:rPr>
        <w:t>has two over</w:t>
      </w:r>
      <w:r w:rsidR="007077CA" w:rsidRPr="008C46E9">
        <w:rPr>
          <w:rFonts w:asciiTheme="majorHAnsi" w:hAnsiTheme="majorHAnsi" w:cstheme="majorHAnsi"/>
        </w:rPr>
        <w:t>arching goals:</w:t>
      </w:r>
      <w:r w:rsidR="000B549B" w:rsidRPr="008C46E9">
        <w:rPr>
          <w:rFonts w:asciiTheme="majorHAnsi" w:hAnsiTheme="majorHAnsi" w:cstheme="majorHAnsi"/>
        </w:rPr>
        <w:t xml:space="preserve"> to align criminal just</w:t>
      </w:r>
      <w:r w:rsidR="007077CA" w:rsidRPr="008C46E9">
        <w:rPr>
          <w:rFonts w:asciiTheme="majorHAnsi" w:hAnsiTheme="majorHAnsi" w:cstheme="majorHAnsi"/>
        </w:rPr>
        <w:t>ice responses with human rights;</w:t>
      </w:r>
      <w:r w:rsidR="000B549B" w:rsidRPr="008C46E9">
        <w:rPr>
          <w:rFonts w:asciiTheme="majorHAnsi" w:hAnsiTheme="majorHAnsi" w:cstheme="majorHAnsi"/>
        </w:rPr>
        <w:t xml:space="preserve"> and</w:t>
      </w:r>
      <w:r w:rsidR="007077CA" w:rsidRPr="008C46E9">
        <w:rPr>
          <w:rFonts w:asciiTheme="majorHAnsi" w:hAnsiTheme="majorHAnsi" w:cstheme="majorHAnsi"/>
        </w:rPr>
        <w:t>,</w:t>
      </w:r>
      <w:r w:rsidR="000B549B" w:rsidRPr="008C46E9">
        <w:rPr>
          <w:rFonts w:asciiTheme="majorHAnsi" w:hAnsiTheme="majorHAnsi" w:cstheme="majorHAnsi"/>
        </w:rPr>
        <w:t xml:space="preserve"> to strengthen demand reduction programmes, including prevention and treatment. </w:t>
      </w:r>
    </w:p>
    <w:p w14:paraId="0000006E" w14:textId="413668CC" w:rsidR="006724DF" w:rsidRPr="008C46E9" w:rsidRDefault="000B549B" w:rsidP="008C46E9">
      <w:pPr>
        <w:pStyle w:val="ListParagraph"/>
        <w:numPr>
          <w:ilvl w:val="0"/>
          <w:numId w:val="6"/>
        </w:numPr>
        <w:jc w:val="both"/>
        <w:rPr>
          <w:rFonts w:asciiTheme="majorHAnsi" w:hAnsiTheme="majorHAnsi" w:cstheme="majorHAnsi"/>
        </w:rPr>
      </w:pPr>
      <w:r w:rsidRPr="008C46E9">
        <w:rPr>
          <w:rFonts w:asciiTheme="majorHAnsi" w:hAnsiTheme="majorHAnsi" w:cstheme="majorHAnsi"/>
        </w:rPr>
        <w:lastRenderedPageBreak/>
        <w:t xml:space="preserve">Civil society has expressed concern at the </w:t>
      </w:r>
      <w:r w:rsidRPr="008A5AC1">
        <w:rPr>
          <w:rFonts w:asciiTheme="majorHAnsi" w:hAnsiTheme="majorHAnsi" w:cstheme="majorHAnsi"/>
        </w:rPr>
        <w:t>limited involvement of civil society and community organisations with a specialised knowledge of health and human rights-based approaches to drugs in the design of the programme, and the definition of its indicators of success.</w:t>
      </w:r>
      <w:r w:rsidR="008A5AC1" w:rsidRPr="008A5AC1">
        <w:rPr>
          <w:rFonts w:asciiTheme="majorHAnsi" w:hAnsiTheme="majorHAnsi" w:cstheme="majorHAnsi"/>
          <w:vertAlign w:val="superscript"/>
        </w:rPr>
        <w:footnoteReference w:id="103"/>
      </w:r>
      <w:r w:rsidRPr="008A5AC1">
        <w:rPr>
          <w:rFonts w:asciiTheme="majorHAnsi" w:hAnsiTheme="majorHAnsi" w:cstheme="majorHAnsi"/>
        </w:rPr>
        <w:t xml:space="preserve"> Furthermore, the involvement of such organisations in the implementation of the activities is still unclear. </w:t>
      </w:r>
      <w:r w:rsidRPr="008A5AC1">
        <w:rPr>
          <w:rFonts w:asciiTheme="majorHAnsi" w:eastAsia="Roboto" w:hAnsiTheme="majorHAnsi" w:cstheme="majorHAnsi"/>
          <w:highlight w:val="white"/>
        </w:rPr>
        <w:t xml:space="preserve">As of August 2022, the Technical Working Group on drugs has not been formally </w:t>
      </w:r>
      <w:r w:rsidR="008A5AC1">
        <w:rPr>
          <w:rFonts w:asciiTheme="majorHAnsi" w:eastAsia="Roboto" w:hAnsiTheme="majorHAnsi" w:cstheme="majorHAnsi"/>
          <w:highlight w:val="white"/>
        </w:rPr>
        <w:t>estabished, and an</w:t>
      </w:r>
      <w:r w:rsidRPr="008A5AC1">
        <w:rPr>
          <w:rFonts w:asciiTheme="majorHAnsi" w:eastAsia="Roboto" w:hAnsiTheme="majorHAnsi" w:cstheme="majorHAnsi"/>
          <w:highlight w:val="white"/>
        </w:rPr>
        <w:t xml:space="preserve"> informal group seldom meets.</w:t>
      </w:r>
      <w:r w:rsidRPr="008A5AC1">
        <w:rPr>
          <w:rFonts w:asciiTheme="majorHAnsi" w:hAnsiTheme="majorHAnsi" w:cstheme="majorHAnsi"/>
        </w:rPr>
        <w:t xml:space="preserve"> People who use drugs are </w:t>
      </w:r>
      <w:r w:rsidR="008A5AC1">
        <w:rPr>
          <w:rFonts w:asciiTheme="majorHAnsi" w:hAnsiTheme="majorHAnsi" w:cstheme="majorHAnsi"/>
        </w:rPr>
        <w:t>not explicitly recognised among</w:t>
      </w:r>
      <w:r w:rsidRPr="008A5AC1">
        <w:rPr>
          <w:rFonts w:asciiTheme="majorHAnsi" w:hAnsiTheme="majorHAnsi" w:cstheme="majorHAnsi"/>
        </w:rPr>
        <w:t xml:space="preserve"> the stakeholders of t</w:t>
      </w:r>
      <w:r w:rsidR="008A5AC1">
        <w:rPr>
          <w:rFonts w:asciiTheme="majorHAnsi" w:hAnsiTheme="majorHAnsi" w:cstheme="majorHAnsi"/>
        </w:rPr>
        <w:t xml:space="preserve">he programme, and the </w:t>
      </w:r>
      <w:r w:rsidRPr="008A5AC1">
        <w:rPr>
          <w:rFonts w:asciiTheme="majorHAnsi" w:hAnsiTheme="majorHAnsi" w:cstheme="majorHAnsi"/>
        </w:rPr>
        <w:t>agreement does not include mechanisms to involve them in a meaningful and safe manner</w:t>
      </w:r>
      <w:r w:rsidRPr="008C46E9">
        <w:rPr>
          <w:rFonts w:asciiTheme="majorHAnsi" w:hAnsiTheme="majorHAnsi" w:cstheme="majorHAnsi"/>
        </w:rPr>
        <w:t xml:space="preserve">. </w:t>
      </w:r>
    </w:p>
    <w:p w14:paraId="0000006F" w14:textId="77777777" w:rsidR="006724DF" w:rsidRPr="00CA5D43" w:rsidRDefault="006724DF" w:rsidP="00A57628">
      <w:pPr>
        <w:jc w:val="both"/>
        <w:rPr>
          <w:rFonts w:asciiTheme="majorHAnsi" w:hAnsiTheme="majorHAnsi" w:cstheme="majorHAnsi"/>
        </w:rPr>
      </w:pPr>
    </w:p>
    <w:p w14:paraId="00000071" w14:textId="786A4F8A" w:rsidR="006724DF" w:rsidRPr="008A5AC1" w:rsidRDefault="000B549B" w:rsidP="00A57628">
      <w:pPr>
        <w:pStyle w:val="ListParagraph"/>
        <w:numPr>
          <w:ilvl w:val="0"/>
          <w:numId w:val="6"/>
        </w:numPr>
        <w:jc w:val="both"/>
        <w:rPr>
          <w:rFonts w:asciiTheme="majorHAnsi" w:eastAsia="Calibri" w:hAnsiTheme="majorHAnsi" w:cstheme="majorHAnsi"/>
          <w:sz w:val="17"/>
          <w:szCs w:val="17"/>
        </w:rPr>
      </w:pPr>
      <w:r w:rsidRPr="008C46E9">
        <w:rPr>
          <w:rFonts w:asciiTheme="majorHAnsi" w:hAnsiTheme="majorHAnsi" w:cstheme="majorHAnsi"/>
        </w:rPr>
        <w:t xml:space="preserve">Equally concerning, the introduction and expansion of harm reduction is not explicitly mentioned as one of the expected outcomes of the Joint Programme - and it remains unclear whether it will be addressed within the context of the programme; with no concrete plans nor clear signals by the government of </w:t>
      </w:r>
      <w:r w:rsidR="008A5AC1">
        <w:rPr>
          <w:rFonts w:asciiTheme="majorHAnsi" w:hAnsiTheme="majorHAnsi" w:cstheme="majorHAnsi"/>
        </w:rPr>
        <w:t>its intention to move in this direction.</w:t>
      </w:r>
    </w:p>
    <w:p w14:paraId="6F39EEE2" w14:textId="77777777" w:rsidR="008A5AC1" w:rsidRPr="008A5AC1" w:rsidRDefault="008A5AC1" w:rsidP="008A5AC1">
      <w:pPr>
        <w:pStyle w:val="ListParagraph"/>
        <w:rPr>
          <w:rFonts w:asciiTheme="majorHAnsi" w:eastAsia="Calibri" w:hAnsiTheme="majorHAnsi" w:cstheme="majorHAnsi"/>
          <w:sz w:val="17"/>
          <w:szCs w:val="17"/>
        </w:rPr>
      </w:pPr>
    </w:p>
    <w:p w14:paraId="00000072" w14:textId="5FD25881" w:rsidR="006724DF" w:rsidRPr="008C46E9" w:rsidRDefault="000B549B" w:rsidP="008C46E9">
      <w:pPr>
        <w:pStyle w:val="ListParagraph"/>
        <w:numPr>
          <w:ilvl w:val="0"/>
          <w:numId w:val="6"/>
        </w:numPr>
        <w:jc w:val="both"/>
        <w:rPr>
          <w:rFonts w:asciiTheme="majorHAnsi" w:hAnsiTheme="majorHAnsi" w:cstheme="majorHAnsi"/>
        </w:rPr>
      </w:pPr>
      <w:r w:rsidRPr="008C46E9">
        <w:rPr>
          <w:rFonts w:asciiTheme="majorHAnsi" w:hAnsiTheme="majorHAnsi" w:cstheme="majorHAnsi"/>
        </w:rPr>
        <w:t>While the programme agreement aims to increase voluntary access to prevention and treatment, it fails to mention the need to reform laws and policies that criminalise and stigmatise people who use drugs,</w:t>
      </w:r>
      <w:r w:rsidR="008A5AC1">
        <w:rPr>
          <w:rFonts w:asciiTheme="majorHAnsi" w:hAnsiTheme="majorHAnsi" w:cstheme="majorHAnsi"/>
        </w:rPr>
        <w:t xml:space="preserve"> </w:t>
      </w:r>
      <w:r w:rsidRPr="008C46E9">
        <w:rPr>
          <w:rFonts w:asciiTheme="majorHAnsi" w:hAnsiTheme="majorHAnsi" w:cstheme="majorHAnsi"/>
        </w:rPr>
        <w:t>and that operate as barriers to their access to harm reduction and other support services, including the criminalisation of drug use and possession for personal use, disproportionate punishment for drug offences, mandatory pretrial detention for drug offences, and mandatory reporting of people who use drugs. There are also concerns about how successes in the area of prevention and treatment may be measured and reported (e.g. whether the introduction of ‘Recovery Clinics’ may be mentioned as one).</w:t>
      </w:r>
    </w:p>
    <w:p w14:paraId="00000073" w14:textId="77777777" w:rsidR="006724DF" w:rsidRPr="00CA5D43" w:rsidRDefault="006724DF" w:rsidP="00A57628">
      <w:pPr>
        <w:jc w:val="both"/>
        <w:rPr>
          <w:rFonts w:asciiTheme="majorHAnsi" w:hAnsiTheme="majorHAnsi" w:cstheme="majorHAnsi"/>
        </w:rPr>
      </w:pPr>
    </w:p>
    <w:p w14:paraId="00000074" w14:textId="43CDAAFF" w:rsidR="006724DF" w:rsidRPr="008C46E9" w:rsidRDefault="000B549B" w:rsidP="008C46E9">
      <w:pPr>
        <w:pStyle w:val="ListParagraph"/>
        <w:numPr>
          <w:ilvl w:val="0"/>
          <w:numId w:val="6"/>
        </w:numPr>
        <w:jc w:val="both"/>
        <w:rPr>
          <w:rFonts w:asciiTheme="majorHAnsi" w:hAnsiTheme="majorHAnsi" w:cstheme="majorHAnsi"/>
        </w:rPr>
      </w:pPr>
      <w:r w:rsidRPr="008C46E9">
        <w:rPr>
          <w:rFonts w:asciiTheme="majorHAnsi" w:hAnsiTheme="majorHAnsi" w:cstheme="majorHAnsi"/>
        </w:rPr>
        <w:t>Lastly, the indicators for success provided in the programme are inadequate to measure tangible progress. These indicators include a yearly 10% reduction</w:t>
      </w:r>
      <w:r w:rsidRPr="00CA5D43">
        <w:rPr>
          <w:vertAlign w:val="superscript"/>
        </w:rPr>
        <w:footnoteReference w:id="104"/>
      </w:r>
      <w:r w:rsidRPr="008C46E9">
        <w:rPr>
          <w:rFonts w:asciiTheme="majorHAnsi" w:hAnsiTheme="majorHAnsi" w:cstheme="majorHAnsi"/>
        </w:rPr>
        <w:t xml:space="preserve"> in the number of deaths resulting from drug related operation (a shockingly timid figure that also excludes killings by vigilantes and other non-police actors), as well as a yearly 1% reduction in the percentage of people in pretrial detention over the total prison population</w:t>
      </w:r>
      <w:r w:rsidRPr="00CA5D43">
        <w:rPr>
          <w:vertAlign w:val="superscript"/>
        </w:rPr>
        <w:footnoteReference w:id="105"/>
      </w:r>
      <w:r w:rsidRPr="008C46E9">
        <w:rPr>
          <w:rFonts w:asciiTheme="majorHAnsi" w:hAnsiTheme="majorHAnsi" w:cstheme="majorHAnsi"/>
        </w:rPr>
        <w:t xml:space="preserve"> and a yearly 3% reduction in the overcrowding rate in pretrial detention facilities</w:t>
      </w:r>
      <w:r w:rsidR="008A5AC1">
        <w:rPr>
          <w:rFonts w:asciiTheme="majorHAnsi" w:hAnsiTheme="majorHAnsi" w:cstheme="majorHAnsi"/>
        </w:rPr>
        <w:t>.</w:t>
      </w:r>
      <w:r w:rsidRPr="00CA5D43">
        <w:rPr>
          <w:vertAlign w:val="superscript"/>
        </w:rPr>
        <w:footnoteReference w:id="106"/>
      </w:r>
      <w:r w:rsidRPr="008C46E9">
        <w:rPr>
          <w:rFonts w:asciiTheme="majorHAnsi" w:hAnsiTheme="majorHAnsi" w:cstheme="majorHAnsi"/>
        </w:rPr>
        <w:t xml:space="preserve"> From a health perspective, relevant indicators include the objective to have 100% of people who use drugs assessed for risk and drug dependence</w:t>
      </w:r>
      <w:r w:rsidRPr="00CA5D43">
        <w:rPr>
          <w:vertAlign w:val="superscript"/>
        </w:rPr>
        <w:footnoteReference w:id="107"/>
      </w:r>
      <w:r w:rsidRPr="008C46E9">
        <w:rPr>
          <w:rFonts w:asciiTheme="majorHAnsi" w:hAnsiTheme="majorHAnsi" w:cstheme="majorHAnsi"/>
        </w:rPr>
        <w:t xml:space="preserve"> (which would be extremely concerning if ever achieved, considering the systemic rights violations faced by people who use drugs), sharp increases in the number of people who use drugs who have access to voluntary treatment</w:t>
      </w:r>
      <w:r w:rsidRPr="00CA5D43">
        <w:rPr>
          <w:vertAlign w:val="superscript"/>
        </w:rPr>
        <w:footnoteReference w:id="108"/>
      </w:r>
      <w:r w:rsidRPr="008C46E9">
        <w:rPr>
          <w:rFonts w:asciiTheme="majorHAnsi" w:hAnsiTheme="majorHAnsi" w:cstheme="majorHAnsi"/>
        </w:rPr>
        <w:t xml:space="preserve"> (which is problematic considering the government’s definition of voluntariness)</w:t>
      </w:r>
      <w:r w:rsidR="008A5AC1">
        <w:rPr>
          <w:rFonts w:asciiTheme="majorHAnsi" w:hAnsiTheme="majorHAnsi" w:cstheme="majorHAnsi"/>
        </w:rPr>
        <w:t>,</w:t>
      </w:r>
      <w:r w:rsidRPr="008C46E9">
        <w:rPr>
          <w:rFonts w:asciiTheme="majorHAnsi" w:hAnsiTheme="majorHAnsi" w:cstheme="majorHAnsi"/>
        </w:rPr>
        <w:t xml:space="preserve">  and the absence of indicators concerning expanded access to harm reduction services, instead focusing on an increase in the number of people who use drugs receiving prevention messages, and of families completing prevention programmes</w:t>
      </w:r>
      <w:r w:rsidR="007077CA" w:rsidRPr="008C46E9">
        <w:rPr>
          <w:rFonts w:asciiTheme="majorHAnsi" w:hAnsiTheme="majorHAnsi" w:cstheme="majorHAnsi"/>
        </w:rPr>
        <w:t>.</w:t>
      </w:r>
      <w:r w:rsidRPr="00CA5D43">
        <w:rPr>
          <w:vertAlign w:val="superscript"/>
        </w:rPr>
        <w:footnoteReference w:id="109"/>
      </w:r>
    </w:p>
    <w:p w14:paraId="00000075" w14:textId="77777777" w:rsidR="006724DF" w:rsidRPr="00CA5D43" w:rsidRDefault="006724DF" w:rsidP="00A57628">
      <w:pPr>
        <w:jc w:val="both"/>
        <w:rPr>
          <w:rFonts w:asciiTheme="majorHAnsi" w:hAnsiTheme="majorHAnsi" w:cstheme="majorHAnsi"/>
        </w:rPr>
      </w:pPr>
    </w:p>
    <w:p w14:paraId="00000076" w14:textId="44C571B2" w:rsidR="006724DF" w:rsidRPr="008C46E9" w:rsidRDefault="000B549B" w:rsidP="008C46E9">
      <w:pPr>
        <w:pStyle w:val="ListParagraph"/>
        <w:numPr>
          <w:ilvl w:val="0"/>
          <w:numId w:val="6"/>
        </w:numPr>
        <w:jc w:val="both"/>
        <w:rPr>
          <w:rFonts w:asciiTheme="majorHAnsi" w:hAnsiTheme="majorHAnsi" w:cstheme="majorHAnsi"/>
        </w:rPr>
      </w:pPr>
      <w:r w:rsidRPr="008C46E9">
        <w:rPr>
          <w:rFonts w:asciiTheme="majorHAnsi" w:hAnsiTheme="majorHAnsi" w:cstheme="majorHAnsi"/>
        </w:rPr>
        <w:t xml:space="preserve">In light of this, the review of the Philippines by this Committee </w:t>
      </w:r>
      <w:r w:rsidR="008A5AC1">
        <w:rPr>
          <w:rFonts w:asciiTheme="majorHAnsi" w:hAnsiTheme="majorHAnsi" w:cstheme="majorHAnsi"/>
        </w:rPr>
        <w:t>is an important</w:t>
      </w:r>
      <w:r w:rsidRPr="008C46E9">
        <w:rPr>
          <w:rFonts w:asciiTheme="majorHAnsi" w:hAnsiTheme="majorHAnsi" w:cstheme="majorHAnsi"/>
        </w:rPr>
        <w:t xml:space="preserve"> opportunity to provide more transparency to the operations of the Joint Programme, and to ensure that it meaningfully</w:t>
      </w:r>
      <w:r w:rsidR="008A5AC1">
        <w:rPr>
          <w:rFonts w:asciiTheme="majorHAnsi" w:hAnsiTheme="majorHAnsi" w:cstheme="majorHAnsi"/>
        </w:rPr>
        <w:t xml:space="preserve"> engages </w:t>
      </w:r>
      <w:r w:rsidR="008A5AC1">
        <w:rPr>
          <w:rFonts w:asciiTheme="majorHAnsi" w:hAnsiTheme="majorHAnsi" w:cstheme="majorHAnsi"/>
        </w:rPr>
        <w:lastRenderedPageBreak/>
        <w:t>all relevant stakeholders, and</w:t>
      </w:r>
      <w:r w:rsidRPr="008C46E9">
        <w:rPr>
          <w:rFonts w:asciiTheme="majorHAnsi" w:hAnsiTheme="majorHAnsi" w:cstheme="majorHAnsi"/>
        </w:rPr>
        <w:t xml:space="preserve"> addresses the serious implications of the current drug policies for the economic, social and cultural rights of people who use or are engaged with drugs.</w:t>
      </w:r>
    </w:p>
    <w:p w14:paraId="55442CFC" w14:textId="78179420" w:rsidR="00A57628" w:rsidRDefault="00A57628">
      <w:pPr>
        <w:spacing w:line="240" w:lineRule="auto"/>
        <w:rPr>
          <w:rFonts w:asciiTheme="majorHAnsi" w:hAnsiTheme="majorHAnsi" w:cstheme="majorHAnsi"/>
          <w:b/>
        </w:rPr>
      </w:pPr>
    </w:p>
    <w:p w14:paraId="00000079" w14:textId="5C26BD97" w:rsidR="006724DF" w:rsidRPr="00A57628" w:rsidRDefault="000B549B">
      <w:pPr>
        <w:spacing w:line="240" w:lineRule="auto"/>
        <w:rPr>
          <w:rFonts w:ascii="Calibri Light" w:hAnsi="Calibri Light" w:cs="Calibri Light"/>
          <w:b/>
          <w:sz w:val="24"/>
          <w:szCs w:val="24"/>
        </w:rPr>
      </w:pPr>
      <w:r w:rsidRPr="00A57628">
        <w:rPr>
          <w:rFonts w:ascii="Calibri Light" w:hAnsi="Calibri Light" w:cs="Calibri Light"/>
          <w:b/>
          <w:sz w:val="24"/>
          <w:szCs w:val="24"/>
        </w:rPr>
        <w:t>Recommendations for the list of issues</w:t>
      </w:r>
    </w:p>
    <w:p w14:paraId="0000007B" w14:textId="5FF51F83" w:rsidR="006724DF" w:rsidRDefault="000B549B" w:rsidP="00CA5D43">
      <w:pPr>
        <w:spacing w:line="240" w:lineRule="auto"/>
        <w:rPr>
          <w:rFonts w:asciiTheme="majorHAnsi" w:hAnsiTheme="majorHAnsi" w:cstheme="majorHAnsi"/>
        </w:rPr>
      </w:pPr>
      <w:r w:rsidRPr="00CA5D43">
        <w:rPr>
          <w:rFonts w:asciiTheme="majorHAnsi" w:hAnsiTheme="majorHAnsi" w:cstheme="majorHAnsi"/>
        </w:rPr>
        <w:t xml:space="preserve"> </w:t>
      </w:r>
    </w:p>
    <w:p w14:paraId="59C6CF83" w14:textId="1C333F87" w:rsidR="008C46E9" w:rsidRPr="008C46E9" w:rsidRDefault="008C46E9" w:rsidP="008C46E9">
      <w:pPr>
        <w:pStyle w:val="ListParagraph"/>
        <w:numPr>
          <w:ilvl w:val="0"/>
          <w:numId w:val="6"/>
        </w:numPr>
        <w:spacing w:line="240" w:lineRule="auto"/>
        <w:rPr>
          <w:rFonts w:asciiTheme="majorHAnsi" w:hAnsiTheme="majorHAnsi" w:cstheme="majorHAnsi"/>
        </w:rPr>
      </w:pPr>
      <w:r w:rsidRPr="008C46E9">
        <w:rPr>
          <w:rFonts w:asciiTheme="majorHAnsi" w:hAnsiTheme="majorHAnsi" w:cstheme="majorHAnsi"/>
        </w:rPr>
        <w:t xml:space="preserve">In light of the above, we suggest that the Committee raises the following issues with the government of the Philippines: </w:t>
      </w:r>
    </w:p>
    <w:p w14:paraId="6C224505" w14:textId="77777777" w:rsidR="008C46E9" w:rsidRPr="00CA5D43" w:rsidRDefault="008C46E9" w:rsidP="00CA5D43">
      <w:pPr>
        <w:spacing w:line="240" w:lineRule="auto"/>
        <w:rPr>
          <w:rFonts w:asciiTheme="majorHAnsi" w:hAnsiTheme="majorHAnsi" w:cstheme="majorHAnsi"/>
        </w:rPr>
      </w:pPr>
    </w:p>
    <w:p w14:paraId="0000007C" w14:textId="6719A101" w:rsidR="006724DF" w:rsidRPr="00A57628" w:rsidRDefault="000B549B" w:rsidP="007077CA">
      <w:pPr>
        <w:numPr>
          <w:ilvl w:val="0"/>
          <w:numId w:val="3"/>
        </w:numPr>
        <w:spacing w:line="240" w:lineRule="auto"/>
        <w:jc w:val="both"/>
        <w:rPr>
          <w:rFonts w:asciiTheme="majorHAnsi" w:hAnsiTheme="majorHAnsi" w:cstheme="majorHAnsi"/>
        </w:rPr>
      </w:pPr>
      <w:r w:rsidRPr="00A57628">
        <w:rPr>
          <w:rFonts w:asciiTheme="majorHAnsi" w:hAnsiTheme="majorHAnsi" w:cstheme="majorHAnsi"/>
        </w:rPr>
        <w:t>Please provide information on the measures taken to</w:t>
      </w:r>
      <w:r w:rsidR="008A5AC1">
        <w:rPr>
          <w:rFonts w:asciiTheme="majorHAnsi" w:hAnsiTheme="majorHAnsi" w:cstheme="majorHAnsi"/>
        </w:rPr>
        <w:t xml:space="preserve"> implements the recommendations provided by this Committee on people who use drugs in 2016; and in particulat, to</w:t>
      </w:r>
      <w:r w:rsidRPr="00A57628">
        <w:rPr>
          <w:rFonts w:asciiTheme="majorHAnsi" w:hAnsiTheme="majorHAnsi" w:cstheme="majorHAnsi"/>
        </w:rPr>
        <w:t xml:space="preserve"> ensure that criminal justice responses to drugs respect and reinforce human rights- and health-based approaches, particularly with regards to the criminalisation of drug use and possession for personal use, disproportionate sentencing, compulsory detention and treatment for drug use, compulsory reporting and urine testing; implementation of recommendations 2016</w:t>
      </w:r>
    </w:p>
    <w:p w14:paraId="0000007D" w14:textId="77777777" w:rsidR="006724DF" w:rsidRPr="00A57628" w:rsidRDefault="006724DF" w:rsidP="007077CA">
      <w:pPr>
        <w:spacing w:line="240" w:lineRule="auto"/>
        <w:ind w:left="720"/>
        <w:jc w:val="both"/>
        <w:rPr>
          <w:rFonts w:asciiTheme="majorHAnsi" w:hAnsiTheme="majorHAnsi" w:cstheme="majorHAnsi"/>
        </w:rPr>
      </w:pPr>
    </w:p>
    <w:p w14:paraId="0000007E" w14:textId="5E837400" w:rsidR="006724DF" w:rsidRPr="00A57628" w:rsidRDefault="008A5AC1" w:rsidP="007077CA">
      <w:pPr>
        <w:numPr>
          <w:ilvl w:val="0"/>
          <w:numId w:val="3"/>
        </w:numPr>
        <w:spacing w:line="240" w:lineRule="auto"/>
        <w:jc w:val="both"/>
        <w:rPr>
          <w:rFonts w:asciiTheme="majorHAnsi" w:hAnsiTheme="majorHAnsi" w:cstheme="majorHAnsi"/>
        </w:rPr>
      </w:pPr>
      <w:r w:rsidRPr="00A57628">
        <w:rPr>
          <w:rFonts w:asciiTheme="majorHAnsi" w:hAnsiTheme="majorHAnsi" w:cstheme="majorHAnsi"/>
        </w:rPr>
        <w:t xml:space="preserve">Please provide information on the measures </w:t>
      </w:r>
      <w:r>
        <w:rPr>
          <w:rFonts w:asciiTheme="majorHAnsi" w:hAnsiTheme="majorHAnsi" w:cstheme="majorHAnsi"/>
        </w:rPr>
        <w:t>taken to address s</w:t>
      </w:r>
      <w:r w:rsidR="000B549B" w:rsidRPr="00A57628">
        <w:rPr>
          <w:rFonts w:asciiTheme="majorHAnsi" w:hAnsiTheme="majorHAnsi" w:cstheme="majorHAnsi"/>
        </w:rPr>
        <w:t xml:space="preserve">tigma and discrimination against people who use drugs </w:t>
      </w:r>
      <w:r>
        <w:rPr>
          <w:rFonts w:asciiTheme="majorHAnsi" w:hAnsiTheme="majorHAnsi" w:cstheme="majorHAnsi"/>
        </w:rPr>
        <w:t>both by authorities and in society, as key determinants of abuses and violations endured by people who use drugs, their families, and their communities.</w:t>
      </w:r>
    </w:p>
    <w:p w14:paraId="0000007F" w14:textId="77777777" w:rsidR="006724DF" w:rsidRPr="00A57628" w:rsidRDefault="006724DF" w:rsidP="007077CA">
      <w:pPr>
        <w:spacing w:line="240" w:lineRule="auto"/>
        <w:ind w:left="720"/>
        <w:jc w:val="both"/>
        <w:rPr>
          <w:rFonts w:asciiTheme="majorHAnsi" w:hAnsiTheme="majorHAnsi" w:cstheme="majorHAnsi"/>
        </w:rPr>
      </w:pPr>
    </w:p>
    <w:p w14:paraId="00000080" w14:textId="77777777" w:rsidR="006724DF" w:rsidRPr="00A57628" w:rsidRDefault="000B549B" w:rsidP="007077CA">
      <w:pPr>
        <w:numPr>
          <w:ilvl w:val="0"/>
          <w:numId w:val="3"/>
        </w:numPr>
        <w:spacing w:line="240" w:lineRule="auto"/>
        <w:jc w:val="both"/>
        <w:rPr>
          <w:rFonts w:asciiTheme="majorHAnsi" w:hAnsiTheme="majorHAnsi" w:cstheme="majorHAnsi"/>
        </w:rPr>
      </w:pPr>
      <w:r w:rsidRPr="00A57628">
        <w:rPr>
          <w:rFonts w:asciiTheme="majorHAnsi" w:hAnsiTheme="majorHAnsi" w:cstheme="majorHAnsi"/>
        </w:rPr>
        <w:t>Please provide information on measures taken to ensure that no extrajudicial killings or other forms of violence are perpetrated against people who use or are otherwise involved with drugs, and steps taken towards ensuring accountability for perpetrators of past violence, and remedy for its survivors.</w:t>
      </w:r>
    </w:p>
    <w:p w14:paraId="00000081" w14:textId="77777777" w:rsidR="006724DF" w:rsidRPr="00A57628" w:rsidRDefault="006724DF" w:rsidP="007077CA">
      <w:pPr>
        <w:spacing w:line="240" w:lineRule="auto"/>
        <w:ind w:left="720"/>
        <w:jc w:val="both"/>
        <w:rPr>
          <w:rFonts w:asciiTheme="majorHAnsi" w:hAnsiTheme="majorHAnsi" w:cstheme="majorHAnsi"/>
        </w:rPr>
      </w:pPr>
    </w:p>
    <w:p w14:paraId="00000082" w14:textId="0ABD8AA8" w:rsidR="006724DF" w:rsidRPr="00A57628" w:rsidRDefault="000B549B" w:rsidP="007077CA">
      <w:pPr>
        <w:numPr>
          <w:ilvl w:val="0"/>
          <w:numId w:val="3"/>
        </w:numPr>
        <w:spacing w:line="240" w:lineRule="auto"/>
        <w:jc w:val="both"/>
        <w:rPr>
          <w:rFonts w:asciiTheme="majorHAnsi" w:hAnsiTheme="majorHAnsi" w:cstheme="majorHAnsi"/>
        </w:rPr>
      </w:pPr>
      <w:r w:rsidRPr="00A57628">
        <w:rPr>
          <w:rFonts w:asciiTheme="majorHAnsi" w:hAnsiTheme="majorHAnsi" w:cstheme="majorHAnsi"/>
        </w:rPr>
        <w:t>Please provide information on measures taken to ensure access to harm reduction services,</w:t>
      </w:r>
      <w:r w:rsidR="008A5AC1">
        <w:rPr>
          <w:rFonts w:asciiTheme="majorHAnsi" w:hAnsiTheme="majorHAnsi" w:cstheme="majorHAnsi"/>
        </w:rPr>
        <w:t xml:space="preserve"> included for people who use stimulant drugs,</w:t>
      </w:r>
      <w:r w:rsidRPr="00A57628">
        <w:rPr>
          <w:rFonts w:asciiTheme="majorHAnsi" w:hAnsiTheme="majorHAnsi" w:cstheme="majorHAnsi"/>
        </w:rPr>
        <w:t xml:space="preserve"> both within the community and in custodial settings.</w:t>
      </w:r>
    </w:p>
    <w:p w14:paraId="00000083" w14:textId="77777777" w:rsidR="006724DF" w:rsidRPr="00A57628" w:rsidRDefault="006724DF" w:rsidP="007077CA">
      <w:pPr>
        <w:spacing w:line="240" w:lineRule="auto"/>
        <w:ind w:left="720"/>
        <w:jc w:val="both"/>
        <w:rPr>
          <w:rFonts w:asciiTheme="majorHAnsi" w:hAnsiTheme="majorHAnsi" w:cstheme="majorHAnsi"/>
        </w:rPr>
      </w:pPr>
    </w:p>
    <w:p w14:paraId="00000084" w14:textId="662F4BAD" w:rsidR="006724DF" w:rsidRPr="00A57628" w:rsidRDefault="008A5AC1" w:rsidP="007077CA">
      <w:pPr>
        <w:numPr>
          <w:ilvl w:val="0"/>
          <w:numId w:val="3"/>
        </w:numPr>
        <w:spacing w:line="240" w:lineRule="auto"/>
        <w:jc w:val="both"/>
        <w:rPr>
          <w:rFonts w:asciiTheme="majorHAnsi" w:hAnsiTheme="majorHAnsi" w:cstheme="majorHAnsi"/>
        </w:rPr>
      </w:pPr>
      <w:r>
        <w:rPr>
          <w:rFonts w:asciiTheme="majorHAnsi" w:hAnsiTheme="majorHAnsi" w:cstheme="majorHAnsi"/>
        </w:rPr>
        <w:t>Ple</w:t>
      </w:r>
      <w:r w:rsidRPr="00A57628">
        <w:rPr>
          <w:rFonts w:asciiTheme="majorHAnsi" w:hAnsiTheme="majorHAnsi" w:cstheme="majorHAnsi"/>
        </w:rPr>
        <w:t xml:space="preserve">ase provide information on measures </w:t>
      </w:r>
      <w:r>
        <w:rPr>
          <w:rFonts w:asciiTheme="majorHAnsi" w:hAnsiTheme="majorHAnsi" w:cstheme="majorHAnsi"/>
        </w:rPr>
        <w:t>and</w:t>
      </w:r>
      <w:r w:rsidR="000B549B" w:rsidRPr="00A57628">
        <w:rPr>
          <w:rFonts w:asciiTheme="majorHAnsi" w:eastAsia="Roboto" w:hAnsiTheme="majorHAnsi" w:cstheme="majorHAnsi"/>
          <w:highlight w:val="white"/>
        </w:rPr>
        <w:t xml:space="preserve"> safeguards </w:t>
      </w:r>
      <w:r>
        <w:rPr>
          <w:rFonts w:asciiTheme="majorHAnsi" w:eastAsia="Roboto" w:hAnsiTheme="majorHAnsi" w:cstheme="majorHAnsi"/>
          <w:highlight w:val="white"/>
        </w:rPr>
        <w:t xml:space="preserve">introduced </w:t>
      </w:r>
      <w:r w:rsidR="000B549B" w:rsidRPr="00A57628">
        <w:rPr>
          <w:rFonts w:asciiTheme="majorHAnsi" w:eastAsia="Roboto" w:hAnsiTheme="majorHAnsi" w:cstheme="majorHAnsi"/>
          <w:highlight w:val="white"/>
        </w:rPr>
        <w:t xml:space="preserve">to ensure that access to treatment and support </w:t>
      </w:r>
      <w:r>
        <w:rPr>
          <w:rFonts w:asciiTheme="majorHAnsi" w:eastAsia="Roboto" w:hAnsiTheme="majorHAnsi" w:cstheme="majorHAnsi"/>
          <w:highlight w:val="white"/>
        </w:rPr>
        <w:t>when needed is</w:t>
      </w:r>
      <w:r w:rsidR="000B549B" w:rsidRPr="00A57628">
        <w:rPr>
          <w:rFonts w:asciiTheme="majorHAnsi" w:eastAsia="Roboto" w:hAnsiTheme="majorHAnsi" w:cstheme="majorHAnsi"/>
          <w:highlight w:val="white"/>
        </w:rPr>
        <w:t xml:space="preserve"> genuinely voluntary, respects confidentiality</w:t>
      </w:r>
      <w:r>
        <w:rPr>
          <w:rFonts w:asciiTheme="majorHAnsi" w:eastAsia="Roboto" w:hAnsiTheme="majorHAnsi" w:cstheme="majorHAnsi"/>
          <w:highlight w:val="white"/>
        </w:rPr>
        <w:t>, ensures informed consent, and is otherwise in line with international human rights and health standards.</w:t>
      </w:r>
    </w:p>
    <w:p w14:paraId="00000088" w14:textId="584992C2" w:rsidR="006724DF" w:rsidRPr="00A57628" w:rsidRDefault="006724DF" w:rsidP="008A5AC1">
      <w:pPr>
        <w:spacing w:line="240" w:lineRule="auto"/>
        <w:jc w:val="both"/>
        <w:rPr>
          <w:rFonts w:asciiTheme="majorHAnsi" w:hAnsiTheme="majorHAnsi" w:cstheme="majorHAnsi"/>
        </w:rPr>
      </w:pPr>
    </w:p>
    <w:p w14:paraId="00000089" w14:textId="77777777" w:rsidR="006724DF" w:rsidRPr="00A57628" w:rsidRDefault="000B549B" w:rsidP="007077CA">
      <w:pPr>
        <w:numPr>
          <w:ilvl w:val="0"/>
          <w:numId w:val="3"/>
        </w:numPr>
        <w:spacing w:line="240" w:lineRule="auto"/>
        <w:jc w:val="both"/>
        <w:rPr>
          <w:rFonts w:asciiTheme="majorHAnsi" w:hAnsiTheme="majorHAnsi" w:cstheme="majorHAnsi"/>
        </w:rPr>
      </w:pPr>
      <w:r w:rsidRPr="00A57628">
        <w:rPr>
          <w:rFonts w:asciiTheme="majorHAnsi" w:hAnsiTheme="majorHAnsi" w:cstheme="majorHAnsi"/>
        </w:rPr>
        <w:t>Please provide information on measures taken to ensure that the UN Joint Programme on the Philippines is designed and implemented with the meaningful involvement of civil society and community organisations, and expands access to harm reduction services for people who use drugs in the Philippines.</w:t>
      </w:r>
    </w:p>
    <w:p w14:paraId="0000008D" w14:textId="6E12563D" w:rsidR="006724DF" w:rsidRPr="00CA5D43" w:rsidRDefault="006724DF">
      <w:pPr>
        <w:rPr>
          <w:rFonts w:asciiTheme="majorHAnsi" w:hAnsiTheme="majorHAnsi" w:cstheme="majorHAnsi"/>
        </w:rPr>
      </w:pPr>
    </w:p>
    <w:sectPr w:rsidR="006724DF" w:rsidRPr="00CA5D43" w:rsidSect="00570A77">
      <w:headerReference w:type="default" r:id="rId17"/>
      <w:footerReference w:type="default" r:id="rId18"/>
      <w:pgSz w:w="12240" w:h="15840"/>
      <w:pgMar w:top="1440" w:right="1440" w:bottom="1440" w:left="1134"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3381A9" w14:textId="77777777" w:rsidR="006F6E21" w:rsidRDefault="006F6E21">
      <w:pPr>
        <w:spacing w:line="240" w:lineRule="auto"/>
      </w:pPr>
      <w:r>
        <w:separator/>
      </w:r>
    </w:p>
  </w:endnote>
  <w:endnote w:type="continuationSeparator" w:id="0">
    <w:p w14:paraId="71F5D2F2" w14:textId="77777777" w:rsidR="006F6E21" w:rsidRDefault="006F6E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Grande">
    <w:altName w:val="Arial"/>
    <w:charset w:val="00"/>
    <w:family w:val="swiss"/>
    <w:pitch w:val="variable"/>
    <w:sig w:usb0="E1000AEF" w:usb1="5000A1FF" w:usb2="00000000" w:usb3="00000000" w:csb0="000001BF" w:csb1="00000000"/>
  </w:font>
  <w:font w:name="ヒラギノ角ゴ Pro W3">
    <w:charset w:val="80"/>
    <w:family w:val="swiss"/>
    <w:pitch w:val="variable"/>
    <w:sig w:usb0="E00002FF" w:usb1="7AC7FFFF" w:usb2="00000012" w:usb3="00000000" w:csb0="0002000D"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 w:name="Roboto">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932684"/>
      <w:docPartObj>
        <w:docPartGallery w:val="Page Numbers (Bottom of Page)"/>
        <w:docPartUnique/>
      </w:docPartObj>
    </w:sdtPr>
    <w:sdtEndPr>
      <w:rPr>
        <w:noProof/>
      </w:rPr>
    </w:sdtEndPr>
    <w:sdtContent>
      <w:p w14:paraId="4868E202" w14:textId="041938B6" w:rsidR="00902C79" w:rsidRDefault="00902C79">
        <w:pPr>
          <w:pStyle w:val="Footer"/>
          <w:jc w:val="right"/>
        </w:pPr>
        <w:r>
          <w:fldChar w:fldCharType="begin"/>
        </w:r>
        <w:r>
          <w:instrText xml:space="preserve"> PAGE   \* MERGEFORMAT </w:instrText>
        </w:r>
        <w:r>
          <w:fldChar w:fldCharType="separate"/>
        </w:r>
        <w:r w:rsidR="00B75551">
          <w:rPr>
            <w:noProof/>
          </w:rPr>
          <w:t>16</w:t>
        </w:r>
        <w:r>
          <w:rPr>
            <w:noProof/>
          </w:rPr>
          <w:fldChar w:fldCharType="end"/>
        </w:r>
      </w:p>
    </w:sdtContent>
  </w:sdt>
  <w:p w14:paraId="00000090" w14:textId="77777777" w:rsidR="00902C79" w:rsidRDefault="00902C79"/>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47B31B" w14:textId="77777777" w:rsidR="006F6E21" w:rsidRDefault="006F6E21">
      <w:pPr>
        <w:spacing w:line="240" w:lineRule="auto"/>
      </w:pPr>
      <w:r>
        <w:separator/>
      </w:r>
    </w:p>
  </w:footnote>
  <w:footnote w:type="continuationSeparator" w:id="0">
    <w:p w14:paraId="6A3AF3AA" w14:textId="77777777" w:rsidR="006F6E21" w:rsidRDefault="006F6E21">
      <w:pPr>
        <w:spacing w:line="240" w:lineRule="auto"/>
      </w:pPr>
      <w:r>
        <w:continuationSeparator/>
      </w:r>
    </w:p>
  </w:footnote>
  <w:footnote w:id="1">
    <w:p w14:paraId="203C5DBC" w14:textId="06ADE39D" w:rsidR="00902C79" w:rsidRPr="00663617" w:rsidRDefault="00902C79" w:rsidP="00A57628">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A/HRC/44/22.</w:t>
      </w:r>
    </w:p>
  </w:footnote>
  <w:footnote w:id="2">
    <w:p w14:paraId="000000B4" w14:textId="647A8D6F"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The Global State of Harm Reduction 2020 (London: Harm Reduction International, 2020), 64. https://www.hri.global/global-state-of-harm-reduction-2020.</w:t>
      </w:r>
    </w:p>
  </w:footnote>
  <w:footnote w:id="3">
    <w:p w14:paraId="000000DF" w14:textId="61D1D4AC"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https://dataunodc.un.org/dp-drug-use-prevalence.</w:t>
      </w:r>
    </w:p>
  </w:footnote>
  <w:footnote w:id="4">
    <w:p w14:paraId="000000B3" w14:textId="291C924D"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WHO global lists of high burden countries for tuberculosis (TB), TB/HIV and multidrug/rifampicin-resistant TB (MDR/RR-TB), 2021–2025 (Geneva:WHO, 2021). </w:t>
      </w:r>
      <w:hyperlink r:id="rId1" w:history="1">
        <w:r w:rsidRPr="00663617">
          <w:rPr>
            <w:rStyle w:val="Hyperlink"/>
            <w:rFonts w:asciiTheme="majorHAnsi" w:hAnsiTheme="majorHAnsi" w:cstheme="majorHAnsi"/>
            <w:sz w:val="14"/>
            <w:szCs w:val="14"/>
          </w:rPr>
          <w:t>https://cdn.who.int/media/docs/default-source/hq-tuberculosis/who_globalhbcliststb_2021-2025_backgrounddocument.pdf?sfvrsn=f6b854c2_9</w:t>
        </w:r>
      </w:hyperlink>
      <w:r w:rsidRPr="00663617">
        <w:rPr>
          <w:rFonts w:asciiTheme="majorHAnsi" w:hAnsiTheme="majorHAnsi" w:cstheme="majorHAnsi"/>
          <w:sz w:val="14"/>
          <w:szCs w:val="14"/>
        </w:rPr>
        <w:t xml:space="preserve">. </w:t>
      </w:r>
    </w:p>
  </w:footnote>
  <w:footnote w:id="5">
    <w:p w14:paraId="000000B5" w14:textId="0F05C86D"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A Briefer on the Philippines HIV Estimates 2020 (Manila: Philippines Department of Health, 2020) https://doh.gov.ph/sites/default/files/publications/A%20Briefer%20on%20the%20PH%20Estimates%202020_08232021.pdf.</w:t>
      </w:r>
    </w:p>
  </w:footnote>
  <w:footnote w:id="6">
    <w:p w14:paraId="000000BC" w14:textId="36E47BE6"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eastAsia="Times New Roman" w:hAnsiTheme="majorHAnsi" w:cstheme="majorHAnsi"/>
          <w:sz w:val="14"/>
          <w:szCs w:val="14"/>
        </w:rPr>
        <w:t>Among others, see Human Rights Council, “Report of the Office of the United Nations High Commissioner for Human Rights: Implementation of the Joint Commitment to Effectively Addressing and Countering the World Drug Problem with Regard to Human Rights,” September 14, 2019, UN Doc. A/HRC/39/39.;</w:t>
      </w:r>
      <w:hyperlink r:id="rId2">
        <w:r w:rsidRPr="00663617">
          <w:rPr>
            <w:rFonts w:asciiTheme="majorHAnsi" w:eastAsia="Times New Roman" w:hAnsiTheme="majorHAnsi" w:cstheme="majorHAnsi"/>
            <w:sz w:val="14"/>
            <w:szCs w:val="14"/>
          </w:rPr>
          <w:t xml:space="preserve"> </w:t>
        </w:r>
      </w:hyperlink>
      <w:hyperlink r:id="rId3">
        <w:r w:rsidRPr="00663617">
          <w:rPr>
            <w:rFonts w:asciiTheme="majorHAnsi" w:eastAsia="Times New Roman" w:hAnsiTheme="majorHAnsi" w:cstheme="majorHAnsi"/>
            <w:color w:val="1155CC"/>
            <w:sz w:val="14"/>
            <w:szCs w:val="14"/>
            <w:u w:val="single"/>
          </w:rPr>
          <w:t>https://www.undp.org/content/dam/undp/library/HIV-AIDS/Discussion-Paper--Addressing-the-Development-Dimensions-of-Drug-Policy.pdf</w:t>
        </w:r>
      </w:hyperlink>
      <w:r w:rsidRPr="00663617">
        <w:rPr>
          <w:rFonts w:asciiTheme="majorHAnsi" w:eastAsia="Times New Roman" w:hAnsiTheme="majorHAnsi" w:cstheme="majorHAnsi"/>
          <w:sz w:val="14"/>
          <w:szCs w:val="14"/>
        </w:rPr>
        <w:t>; For a full list of UN bodies who called for decriminalisation of drug use and possession for personal use see: International Drug Policy Consortium [IDPC], “Taking Stock: A Decade of Drug Policy,” October 21, 2018, http://fileserver.idpc.net/library/Shadow%20Report_FINAL_ENGLISH.pdf., 49, endnotes 309 – 316.</w:t>
      </w:r>
    </w:p>
  </w:footnote>
  <w:footnote w:id="7">
    <w:p w14:paraId="000000BD" w14:textId="737F833B"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A/HRC/47/40.</w:t>
      </w:r>
    </w:p>
  </w:footnote>
  <w:footnote w:id="8">
    <w:p w14:paraId="000000BE" w14:textId="46C1F83A"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eastAsia="Times New Roman" w:hAnsiTheme="majorHAnsi" w:cstheme="majorHAnsi"/>
          <w:sz w:val="14"/>
          <w:szCs w:val="14"/>
        </w:rPr>
        <w:t>United Nations Chief Executives Board for Co-ordination</w:t>
      </w:r>
      <w:hyperlink r:id="rId4">
        <w:r w:rsidRPr="00663617">
          <w:rPr>
            <w:rFonts w:asciiTheme="majorHAnsi" w:eastAsia="Times New Roman" w:hAnsiTheme="majorHAnsi" w:cstheme="majorHAnsi"/>
            <w:sz w:val="14"/>
            <w:szCs w:val="14"/>
          </w:rPr>
          <w:t xml:space="preserve"> </w:t>
        </w:r>
      </w:hyperlink>
      <w:hyperlink r:id="rId5">
        <w:r w:rsidRPr="00663617">
          <w:rPr>
            <w:rFonts w:asciiTheme="majorHAnsi" w:eastAsia="Times New Roman" w:hAnsiTheme="majorHAnsi" w:cstheme="majorHAnsi"/>
            <w:color w:val="1155CC"/>
            <w:sz w:val="14"/>
            <w:szCs w:val="14"/>
            <w:u w:val="single"/>
          </w:rPr>
          <w:t>Summary of deliberations: Second regular session</w:t>
        </w:r>
      </w:hyperlink>
      <w:r w:rsidRPr="00663617">
        <w:rPr>
          <w:rFonts w:asciiTheme="majorHAnsi" w:eastAsia="Times New Roman" w:hAnsiTheme="majorHAnsi" w:cstheme="majorHAnsi"/>
          <w:color w:val="1155CC"/>
          <w:sz w:val="14"/>
          <w:szCs w:val="14"/>
          <w:u w:val="single"/>
        </w:rPr>
        <w:t xml:space="preserve"> </w:t>
      </w:r>
      <w:r w:rsidRPr="00663617">
        <w:rPr>
          <w:rFonts w:asciiTheme="majorHAnsi" w:eastAsia="Times New Roman" w:hAnsiTheme="majorHAnsi" w:cstheme="majorHAnsi"/>
          <w:sz w:val="14"/>
          <w:szCs w:val="14"/>
        </w:rPr>
        <w:t>(2018), UN doc. CEB/2018/2, p.14.</w:t>
      </w:r>
    </w:p>
  </w:footnote>
  <w:footnote w:id="9">
    <w:p w14:paraId="000000DC" w14:textId="3558806A"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hAnsiTheme="majorHAnsi" w:cstheme="majorHAnsi"/>
          <w:color w:val="3F3F3F"/>
          <w:sz w:val="14"/>
          <w:szCs w:val="14"/>
        </w:rPr>
        <w:t>E/C.12/PHL/CO/5-6</w:t>
      </w:r>
      <w:r w:rsidRPr="00663617">
        <w:rPr>
          <w:rFonts w:asciiTheme="majorHAnsi" w:hAnsiTheme="majorHAnsi" w:cstheme="majorHAnsi"/>
          <w:sz w:val="14"/>
          <w:szCs w:val="14"/>
        </w:rPr>
        <w:t>, para. 54.</w:t>
      </w:r>
    </w:p>
  </w:footnote>
  <w:footnote w:id="10">
    <w:p w14:paraId="000000B9" w14:textId="177A747C"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eastAsia="Times New Roman" w:hAnsiTheme="majorHAnsi" w:cstheme="majorHAnsi"/>
          <w:sz w:val="14"/>
          <w:szCs w:val="14"/>
        </w:rPr>
        <w:t>“An Act Instituting The Comprehensive Dangerous Drugs Act Of 2002, Repealing Republic Act No. 6425, Otherwise Known As The Dangerous Drugs Act Of 1972, As Amended, Providing Funds Therefor, And For Other Purposes,” Pub. L. No. Republic Act 9165 (2002), https://www.lawphil.net/statutes/repacts/ra2002/ra_9165_2002.html., Section 12 [</w:t>
      </w:r>
      <w:r w:rsidRPr="00663617">
        <w:rPr>
          <w:rFonts w:asciiTheme="majorHAnsi" w:eastAsia="Times New Roman" w:hAnsiTheme="majorHAnsi" w:cstheme="majorHAnsi"/>
          <w:i/>
          <w:sz w:val="14"/>
          <w:szCs w:val="14"/>
        </w:rPr>
        <w:t xml:space="preserve">hereinafter: CDDA], </w:t>
      </w:r>
      <w:r w:rsidRPr="00663617">
        <w:rPr>
          <w:rFonts w:asciiTheme="majorHAnsi" w:hAnsiTheme="majorHAnsi" w:cstheme="majorHAnsi"/>
          <w:sz w:val="14"/>
          <w:szCs w:val="14"/>
        </w:rPr>
        <w:t>Section 11.</w:t>
      </w:r>
    </w:p>
  </w:footnote>
  <w:footnote w:id="11">
    <w:p w14:paraId="000000BA" w14:textId="26DB4915"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Section 15.</w:t>
      </w:r>
    </w:p>
  </w:footnote>
  <w:footnote w:id="12">
    <w:p w14:paraId="000000BB" w14:textId="1C9C528D"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eastAsia="Times New Roman" w:hAnsiTheme="majorHAnsi" w:cstheme="majorHAnsi"/>
          <w:sz w:val="14"/>
          <w:szCs w:val="14"/>
        </w:rPr>
        <w:t xml:space="preserve">For context, the minimum penalty for homicide is twelve years. Alvarez, Women, Incarceration and Drug Policies in the Philippines: Promoting Human and Effective Responses, (IDPC: London, 2018), 9. </w:t>
      </w:r>
    </w:p>
  </w:footnote>
  <w:footnote w:id="13">
    <w:p w14:paraId="000000D3" w14:textId="2C5F33BD" w:rsidR="00902C79" w:rsidRPr="00663617" w:rsidRDefault="00902C79" w:rsidP="005A5D3F">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eastAsia="Times New Roman" w:hAnsiTheme="majorHAnsi" w:cstheme="majorHAnsi"/>
          <w:sz w:val="14"/>
          <w:szCs w:val="14"/>
        </w:rPr>
        <w:t xml:space="preserve"> Investment Into Harm Reduction In The Philippines (Manila: NoBox Transitions Foundations, 2018). Unpublished and available with Harm Reduction International upon request. </w:t>
      </w:r>
    </w:p>
  </w:footnote>
  <w:footnote w:id="14">
    <w:p w14:paraId="000000FA" w14:textId="019DA394"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eastAsia="Roboto" w:hAnsiTheme="majorHAnsi" w:cstheme="majorHAnsi"/>
          <w:sz w:val="14"/>
          <w:szCs w:val="14"/>
          <w:highlight w:val="white"/>
        </w:rPr>
        <w:t>R.A. 9165 Section 44</w:t>
      </w:r>
      <w:r w:rsidRPr="00663617">
        <w:rPr>
          <w:rFonts w:asciiTheme="majorHAnsi" w:eastAsia="Roboto" w:hAnsiTheme="majorHAnsi" w:cstheme="majorHAnsi"/>
          <w:sz w:val="14"/>
          <w:szCs w:val="14"/>
        </w:rPr>
        <w:t>.</w:t>
      </w:r>
    </w:p>
  </w:footnote>
  <w:footnote w:id="15">
    <w:p w14:paraId="000000A1" w14:textId="3F4EAB5D"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eastAsia="Times New Roman" w:hAnsiTheme="majorHAnsi" w:cstheme="majorHAnsi"/>
          <w:sz w:val="14"/>
          <w:szCs w:val="14"/>
        </w:rPr>
        <w:t>Comprehensive Dangerous Drugs Act (2002), Section 36.</w:t>
      </w:r>
    </w:p>
  </w:footnote>
  <w:footnote w:id="16">
    <w:p w14:paraId="000000A2" w14:textId="702D8F84"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eastAsia="Times New Roman" w:hAnsiTheme="majorHAnsi" w:cstheme="majorHAnsi"/>
          <w:sz w:val="14"/>
          <w:szCs w:val="14"/>
        </w:rPr>
        <w:t xml:space="preserve">A barangay is the smallest administrative division/unit in the Philippines. </w:t>
      </w:r>
    </w:p>
  </w:footnote>
  <w:footnote w:id="17">
    <w:p w14:paraId="000000A3" w14:textId="4AE54CA5"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eastAsia="Times New Roman" w:hAnsiTheme="majorHAnsi" w:cstheme="majorHAnsi"/>
          <w:sz w:val="14"/>
          <w:szCs w:val="14"/>
        </w:rPr>
        <w:t>If You Are Poor, You Are Killed’: Extrajudicial Executions in the Philippines’ ‘War On Drugs (London: Amnesty International, 2017), 20; ‘They Just Kill’: Ongoing Extrajudicial Executions and Other Violations in the Philippines’ ‘War On Drugs.’ (London: Amnesty International, 2019), 27.</w:t>
      </w:r>
    </w:p>
  </w:footnote>
  <w:footnote w:id="18">
    <w:p w14:paraId="000000A4" w14:textId="77777777"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eastAsia="Times New Roman" w:hAnsiTheme="majorHAnsi" w:cstheme="majorHAnsi"/>
          <w:sz w:val="14"/>
          <w:szCs w:val="14"/>
        </w:rPr>
        <w:t>“‘They Just Kill’: Ongoing Extrajudicial Executions and Other Violations in the Philippines’ ‘War On Drugs.’”</w:t>
      </w:r>
    </w:p>
  </w:footnote>
  <w:footnote w:id="19">
    <w:p w14:paraId="000000A5" w14:textId="77777777"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eastAsia="Times New Roman" w:hAnsiTheme="majorHAnsi" w:cstheme="majorHAnsi"/>
          <w:sz w:val="14"/>
          <w:szCs w:val="14"/>
        </w:rPr>
        <w:t>Among others, see “‘They Just Kill’: Ongoing Extrajudicial Executions and Other Violations in the Philippines’ ‘War On Drugs.’”, 26</w:t>
      </w:r>
    </w:p>
  </w:footnote>
  <w:footnote w:id="20">
    <w:p w14:paraId="000000A6" w14:textId="4E02D71E"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Para. 23, among others. </w:t>
      </w:r>
    </w:p>
  </w:footnote>
  <w:footnote w:id="21">
    <w:p w14:paraId="000000F1" w14:textId="77777777"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eastAsia="Times New Roman" w:hAnsiTheme="majorHAnsi" w:cstheme="majorHAnsi"/>
          <w:b/>
          <w:sz w:val="14"/>
          <w:szCs w:val="14"/>
        </w:rPr>
        <w:t xml:space="preserve"> </w:t>
      </w:r>
      <w:r w:rsidRPr="00663617">
        <w:rPr>
          <w:rFonts w:asciiTheme="majorHAnsi" w:eastAsia="Times New Roman" w:hAnsiTheme="majorHAnsi" w:cstheme="majorHAnsi"/>
          <w:sz w:val="14"/>
          <w:szCs w:val="14"/>
        </w:rPr>
        <w:t>As opposed to non-problematic drug use. See “Urine Testing” (ANPUD, Robert Carr Fund, International HIV/AIDS Alliance, PITCH, 2018), https://drive.google.com/file/d/1DBGu24ggfDEzv57QEqeSf1YZ8ZYvnwuC/view.</w:t>
      </w:r>
    </w:p>
  </w:footnote>
  <w:footnote w:id="22">
    <w:p w14:paraId="000000F2" w14:textId="100613E7"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lang w:val="it-IT"/>
        </w:rPr>
        <w:t xml:space="preserve"> E/C.12/AUS/CO/5, para. </w:t>
      </w:r>
      <w:r w:rsidRPr="00663617">
        <w:rPr>
          <w:rFonts w:asciiTheme="majorHAnsi" w:hAnsiTheme="majorHAnsi" w:cstheme="majorHAnsi"/>
          <w:sz w:val="14"/>
          <w:szCs w:val="14"/>
        </w:rPr>
        <w:t>43.</w:t>
      </w:r>
    </w:p>
  </w:footnote>
  <w:footnote w:id="23">
    <w:p w14:paraId="000000F3" w14:textId="07AE419A"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UNODC and WHO, International standards on Drug Use Prevention</w:t>
      </w:r>
      <w:r w:rsidRPr="00663617">
        <w:rPr>
          <w:rFonts w:asciiTheme="majorHAnsi" w:hAnsiTheme="majorHAnsi" w:cstheme="majorHAnsi"/>
          <w:i/>
          <w:sz w:val="14"/>
          <w:szCs w:val="14"/>
        </w:rPr>
        <w:t>,</w:t>
      </w:r>
      <w:r w:rsidRPr="00663617">
        <w:rPr>
          <w:rFonts w:asciiTheme="majorHAnsi" w:hAnsiTheme="majorHAnsi" w:cstheme="majorHAnsi"/>
          <w:sz w:val="14"/>
          <w:szCs w:val="14"/>
        </w:rPr>
        <w:t xml:space="preserve"> Second Updated Edition (Vienna: UNODC, 2018), p. 29.</w:t>
      </w:r>
    </w:p>
  </w:footnote>
  <w:footnote w:id="24">
    <w:p w14:paraId="000000F4" w14:textId="1651D7F9"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Section 36.</w:t>
      </w:r>
    </w:p>
  </w:footnote>
  <w:footnote w:id="25">
    <w:p w14:paraId="000000F5" w14:textId="4FDCCCC3"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Republic of the Philippines Department of Education, Order 40 of 2017: Guidelines for the Conduct of Random Drug Testing in Public and Private Secondary Schools (8 August 2017)</w:t>
      </w:r>
      <w:hyperlink r:id="rId6">
        <w:r w:rsidRPr="00663617">
          <w:rPr>
            <w:rFonts w:asciiTheme="majorHAnsi" w:hAnsiTheme="majorHAnsi" w:cstheme="majorHAnsi"/>
            <w:sz w:val="14"/>
            <w:szCs w:val="14"/>
          </w:rPr>
          <w:t xml:space="preserve"> </w:t>
        </w:r>
      </w:hyperlink>
      <w:hyperlink r:id="rId7">
        <w:r w:rsidRPr="00663617">
          <w:rPr>
            <w:rFonts w:asciiTheme="majorHAnsi" w:hAnsiTheme="majorHAnsi" w:cstheme="majorHAnsi"/>
            <w:color w:val="1155CC"/>
            <w:sz w:val="14"/>
            <w:szCs w:val="14"/>
            <w:u w:val="single"/>
          </w:rPr>
          <w:t>https://www.deped.gov.ph/wp-content/uploads/2017/08/DO_s2017_040.pdf</w:t>
        </w:r>
      </w:hyperlink>
      <w:r w:rsidRPr="00663617">
        <w:rPr>
          <w:rFonts w:asciiTheme="majorHAnsi" w:hAnsiTheme="majorHAnsi" w:cstheme="majorHAnsi"/>
          <w:color w:val="1155CC"/>
          <w:sz w:val="14"/>
          <w:szCs w:val="14"/>
          <w:u w:val="single"/>
        </w:rPr>
        <w:t>.</w:t>
      </w:r>
    </w:p>
  </w:footnote>
  <w:footnote w:id="26">
    <w:p w14:paraId="000000F6" w14:textId="1AFE51B5"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Phelim Kine (22 June 2018), ‘Philippine School Kids may Face Mandatory Drug Tests, </w:t>
      </w:r>
      <w:r w:rsidRPr="00663617">
        <w:rPr>
          <w:rFonts w:asciiTheme="majorHAnsi" w:hAnsiTheme="majorHAnsi" w:cstheme="majorHAnsi"/>
          <w:i/>
          <w:sz w:val="14"/>
          <w:szCs w:val="14"/>
        </w:rPr>
        <w:t>Human Rights Watch,</w:t>
      </w:r>
      <w:r w:rsidRPr="00663617">
        <w:rPr>
          <w:rFonts w:asciiTheme="majorHAnsi" w:hAnsiTheme="majorHAnsi" w:cstheme="majorHAnsi"/>
          <w:sz w:val="14"/>
          <w:szCs w:val="14"/>
        </w:rPr>
        <w:t xml:space="preserve"> </w:t>
      </w:r>
      <w:hyperlink r:id="rId8">
        <w:r w:rsidRPr="00663617">
          <w:rPr>
            <w:rFonts w:asciiTheme="majorHAnsi" w:eastAsia="Times New Roman" w:hAnsiTheme="majorHAnsi" w:cstheme="majorHAnsi"/>
            <w:color w:val="1155CC"/>
            <w:sz w:val="14"/>
            <w:szCs w:val="14"/>
            <w:u w:val="single"/>
          </w:rPr>
          <w:t>https://www.hrw.org/news/2018/06/22/philippine-school-kids-may-face-mandatory-drug-tests</w:t>
        </w:r>
      </w:hyperlink>
      <w:r w:rsidRPr="00663617">
        <w:rPr>
          <w:rFonts w:asciiTheme="majorHAnsi" w:eastAsia="Times New Roman" w:hAnsiTheme="majorHAnsi" w:cstheme="majorHAnsi"/>
          <w:color w:val="1155CC"/>
          <w:sz w:val="14"/>
          <w:szCs w:val="14"/>
          <w:u w:val="single"/>
        </w:rPr>
        <w:t>.</w:t>
      </w:r>
    </w:p>
  </w:footnote>
  <w:footnote w:id="27">
    <w:p w14:paraId="00000102" w14:textId="2E51F460"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A/HRC/39/39</w:t>
      </w:r>
      <w:r w:rsidRPr="00663617">
        <w:rPr>
          <w:rFonts w:asciiTheme="majorHAnsi" w:hAnsiTheme="majorHAnsi" w:cstheme="majorHAnsi"/>
          <w:sz w:val="14"/>
          <w:szCs w:val="14"/>
          <w:lang w:val="it-IT"/>
        </w:rPr>
        <w:t xml:space="preserve">, para. </w:t>
      </w:r>
      <w:r w:rsidRPr="00663617">
        <w:rPr>
          <w:rFonts w:asciiTheme="majorHAnsi" w:hAnsiTheme="majorHAnsi" w:cstheme="majorHAnsi"/>
          <w:sz w:val="14"/>
          <w:szCs w:val="14"/>
        </w:rPr>
        <w:t xml:space="preserve">8. </w:t>
      </w:r>
    </w:p>
  </w:footnote>
  <w:footnote w:id="28">
    <w:p w14:paraId="00000103" w14:textId="19D6034A"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Damon Barrett, The impact of drug policies on children and young people (New York: Open Society Foundations, 2015)), p. 9,</w:t>
      </w:r>
      <w:hyperlink r:id="rId9" w:history="1">
        <w:r w:rsidRPr="00663617">
          <w:rPr>
            <w:rFonts w:asciiTheme="majorHAnsi" w:hAnsiTheme="majorHAnsi" w:cstheme="majorHAnsi"/>
            <w:sz w:val="14"/>
            <w:szCs w:val="14"/>
          </w:rPr>
          <w:t xml:space="preserve"> </w:t>
        </w:r>
      </w:hyperlink>
      <w:hyperlink r:id="rId10" w:history="1">
        <w:r w:rsidRPr="00663617">
          <w:rPr>
            <w:rFonts w:asciiTheme="majorHAnsi" w:hAnsiTheme="majorHAnsi" w:cstheme="majorHAnsi"/>
            <w:sz w:val="14"/>
            <w:szCs w:val="14"/>
          </w:rPr>
          <w:t>https://www.opensocietyfoundations.org/publications/impact-drug-policies-children-and-young-people</w:t>
        </w:r>
      </w:hyperlink>
      <w:r w:rsidRPr="00663617">
        <w:rPr>
          <w:rFonts w:asciiTheme="majorHAnsi" w:hAnsiTheme="majorHAnsi" w:cstheme="majorHAnsi"/>
          <w:sz w:val="14"/>
          <w:szCs w:val="14"/>
        </w:rPr>
        <w:t>.</w:t>
      </w:r>
    </w:p>
  </w:footnote>
  <w:footnote w:id="29">
    <w:p w14:paraId="00000104" w14:textId="43C78664"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UNODC and WHO, International standards on Drug Use Prevention</w:t>
      </w:r>
      <w:r w:rsidRPr="00663617">
        <w:rPr>
          <w:rFonts w:asciiTheme="majorHAnsi" w:hAnsiTheme="majorHAnsi" w:cstheme="majorHAnsi"/>
          <w:i/>
          <w:sz w:val="14"/>
          <w:szCs w:val="14"/>
        </w:rPr>
        <w:t xml:space="preserve"> </w:t>
      </w:r>
      <w:r w:rsidRPr="00663617">
        <w:rPr>
          <w:rFonts w:asciiTheme="majorHAnsi" w:hAnsiTheme="majorHAnsi" w:cstheme="majorHAnsi"/>
          <w:sz w:val="14"/>
          <w:szCs w:val="14"/>
        </w:rPr>
        <w:t>(Vienna: UNODC, 2015), p. 21,</w:t>
      </w:r>
      <w:hyperlink r:id="rId11" w:history="1">
        <w:r w:rsidRPr="00663617">
          <w:rPr>
            <w:rFonts w:asciiTheme="majorHAnsi" w:hAnsiTheme="majorHAnsi" w:cstheme="majorHAnsi"/>
            <w:sz w:val="14"/>
            <w:szCs w:val="14"/>
          </w:rPr>
          <w:t xml:space="preserve"> </w:t>
        </w:r>
      </w:hyperlink>
      <w:hyperlink r:id="rId12" w:history="1">
        <w:r w:rsidRPr="00663617">
          <w:rPr>
            <w:rFonts w:asciiTheme="majorHAnsi" w:hAnsiTheme="majorHAnsi" w:cstheme="majorHAnsi"/>
            <w:sz w:val="14"/>
            <w:szCs w:val="14"/>
          </w:rPr>
          <w:t>https://www.unodc.org/documents/prevention/UNODC_2013_2015_international_standards_on_drug_use_prevention_E.pdf</w:t>
        </w:r>
      </w:hyperlink>
      <w:r w:rsidRPr="00663617">
        <w:rPr>
          <w:rFonts w:asciiTheme="majorHAnsi" w:hAnsiTheme="majorHAnsi" w:cstheme="majorHAnsi"/>
          <w:sz w:val="14"/>
          <w:szCs w:val="14"/>
        </w:rPr>
        <w:t>.</w:t>
      </w:r>
    </w:p>
  </w:footnote>
  <w:footnote w:id="30">
    <w:p w14:paraId="000000F9" w14:textId="2F872C0B"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Para. 195.</w:t>
      </w:r>
    </w:p>
  </w:footnote>
  <w:footnote w:id="31">
    <w:p w14:paraId="000000A7" w14:textId="3E33196F"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eastAsia="Times New Roman" w:hAnsiTheme="majorHAnsi" w:cstheme="majorHAnsi"/>
          <w:sz w:val="14"/>
          <w:szCs w:val="14"/>
        </w:rPr>
        <w:t xml:space="preserve"> Human Rights Watch (2 August 2016), “Philippines: Condemn surge in killings of criminal suspects”</w:t>
      </w:r>
      <w:hyperlink r:id="rId13">
        <w:r w:rsidRPr="00663617">
          <w:rPr>
            <w:rFonts w:asciiTheme="majorHAnsi" w:eastAsia="Times New Roman" w:hAnsiTheme="majorHAnsi" w:cstheme="majorHAnsi"/>
            <w:sz w:val="14"/>
            <w:szCs w:val="14"/>
          </w:rPr>
          <w:t xml:space="preserve"> </w:t>
        </w:r>
      </w:hyperlink>
      <w:hyperlink r:id="rId14">
        <w:r w:rsidRPr="00663617">
          <w:rPr>
            <w:rFonts w:asciiTheme="majorHAnsi" w:eastAsia="Times New Roman" w:hAnsiTheme="majorHAnsi" w:cstheme="majorHAnsi"/>
            <w:color w:val="1155CC"/>
            <w:sz w:val="14"/>
            <w:szCs w:val="14"/>
            <w:u w:val="single"/>
          </w:rPr>
          <w:t>https://www.hrw.org/news/2016/08/02/philippines-condemn-surge-killings-criminal-suspects</w:t>
        </w:r>
      </w:hyperlink>
      <w:r w:rsidRPr="00663617">
        <w:rPr>
          <w:rFonts w:asciiTheme="majorHAnsi" w:eastAsia="Times New Roman" w:hAnsiTheme="majorHAnsi" w:cstheme="majorHAnsi"/>
          <w:color w:val="1155CC"/>
          <w:sz w:val="14"/>
          <w:szCs w:val="14"/>
          <w:u w:val="single"/>
        </w:rPr>
        <w:t>.</w:t>
      </w:r>
    </w:p>
  </w:footnote>
  <w:footnote w:id="32">
    <w:p w14:paraId="000000A9" w14:textId="77777777"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eastAsia="Times New Roman" w:hAnsiTheme="majorHAnsi" w:cstheme="majorHAnsi"/>
          <w:sz w:val="14"/>
          <w:szCs w:val="14"/>
        </w:rPr>
        <w:t xml:space="preserve">Clare Baldwin, Andrew R.C. Marshall, and Damir Sagolj, “Police Rack up an Almost Perfectly Deadly Record in Philippine Drug War,” </w:t>
      </w:r>
      <w:r w:rsidRPr="00663617">
        <w:rPr>
          <w:rFonts w:asciiTheme="majorHAnsi" w:eastAsia="Times New Roman" w:hAnsiTheme="majorHAnsi" w:cstheme="majorHAnsi"/>
          <w:i/>
          <w:sz w:val="14"/>
          <w:szCs w:val="14"/>
        </w:rPr>
        <w:t>Reuters</w:t>
      </w:r>
      <w:r w:rsidRPr="00663617">
        <w:rPr>
          <w:rFonts w:asciiTheme="majorHAnsi" w:eastAsia="Times New Roman" w:hAnsiTheme="majorHAnsi" w:cstheme="majorHAnsi"/>
          <w:sz w:val="14"/>
          <w:szCs w:val="14"/>
        </w:rPr>
        <w:t xml:space="preserve">, 5 December, 2016, https://www.reuters.com/investigates/special-report/philippines-duterte-police/.; “Looking Back: Day One, Year One of the Antidrug Campaign,” </w:t>
      </w:r>
      <w:r w:rsidRPr="00663617">
        <w:rPr>
          <w:rFonts w:asciiTheme="majorHAnsi" w:eastAsia="Times New Roman" w:hAnsiTheme="majorHAnsi" w:cstheme="majorHAnsi"/>
          <w:i/>
          <w:sz w:val="14"/>
          <w:szCs w:val="14"/>
        </w:rPr>
        <w:t>The Drug Archive</w:t>
      </w:r>
      <w:r w:rsidRPr="00663617">
        <w:rPr>
          <w:rFonts w:asciiTheme="majorHAnsi" w:eastAsia="Times New Roman" w:hAnsiTheme="majorHAnsi" w:cstheme="majorHAnsi"/>
          <w:sz w:val="14"/>
          <w:szCs w:val="14"/>
        </w:rPr>
        <w:t xml:space="preserve"> (blog), accessed 08 January, 2020, https://drugarchive.ph/post/174-day-one-year-one-of-the-antidrug-campaign.</w:t>
      </w:r>
    </w:p>
  </w:footnote>
  <w:footnote w:id="33">
    <w:p w14:paraId="000000AA" w14:textId="77777777"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eastAsia="Times New Roman" w:hAnsiTheme="majorHAnsi" w:cstheme="majorHAnsi"/>
          <w:sz w:val="14"/>
          <w:szCs w:val="14"/>
        </w:rPr>
        <w:t xml:space="preserve">Manuel Mogato and Clare Baldwin, “Special Report: Police Describe Kill Rewards, Staged Crime Scenes in Duterte’s Drug War,” </w:t>
      </w:r>
      <w:r w:rsidRPr="00663617">
        <w:rPr>
          <w:rFonts w:asciiTheme="majorHAnsi" w:eastAsia="Times New Roman" w:hAnsiTheme="majorHAnsi" w:cstheme="majorHAnsi"/>
          <w:i/>
          <w:sz w:val="14"/>
          <w:szCs w:val="14"/>
        </w:rPr>
        <w:t>Reuters</w:t>
      </w:r>
      <w:r w:rsidRPr="00663617">
        <w:rPr>
          <w:rFonts w:asciiTheme="majorHAnsi" w:eastAsia="Times New Roman" w:hAnsiTheme="majorHAnsi" w:cstheme="majorHAnsi"/>
          <w:sz w:val="14"/>
          <w:szCs w:val="14"/>
        </w:rPr>
        <w:t>, April 18, 2017, https://www.reuters.com/article/us-philippines-duterte-police-specialrep-idUSKBN17K1F4; “‘If You Are Poor, You Are Killed’: Extrajudicial Executions in the Philippines’ ‘War On Drugs’” (Amnesty International, January 2017), https://www.amnesty.org/download/Documents/ASA3555172017ENGLISH.PDF.</w:t>
      </w:r>
    </w:p>
  </w:footnote>
  <w:footnote w:id="34">
    <w:p w14:paraId="000000AB" w14:textId="39B8941B"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A/HRC/44/22, para. 22.</w:t>
      </w:r>
    </w:p>
  </w:footnote>
  <w:footnote w:id="35">
    <w:p w14:paraId="000000AC" w14:textId="77777777"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eastAsia="Times New Roman" w:hAnsiTheme="majorHAnsi" w:cstheme="majorHAnsi"/>
          <w:sz w:val="14"/>
          <w:szCs w:val="14"/>
        </w:rPr>
        <w:t>Drug Archive, “The Drug Killings: Who, What, Where, When, How?,” accessed January 8th, 2020, https://drugarchive.ph/post/26-the-drug-killings-who-what-where-when-how-master.</w:t>
      </w:r>
    </w:p>
  </w:footnote>
  <w:footnote w:id="36">
    <w:p w14:paraId="000000AD" w14:textId="4774287A"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eastAsia="Times New Roman" w:hAnsiTheme="majorHAnsi" w:cstheme="majorHAnsi"/>
          <w:sz w:val="14"/>
          <w:szCs w:val="14"/>
        </w:rPr>
        <w:t>A/HRC/44/22. Also “‘They Just Kill’: Ongoing Extrajudicial Executions and Other Violations in the Philippines’ ‘War On Drugs.’”, 15.</w:t>
      </w:r>
    </w:p>
  </w:footnote>
  <w:footnote w:id="37">
    <w:p w14:paraId="000000AE" w14:textId="0E54E568" w:rsidR="00902C79" w:rsidRPr="00663617" w:rsidRDefault="00902C79">
      <w:pPr>
        <w:spacing w:line="240" w:lineRule="auto"/>
        <w:rPr>
          <w:rFonts w:asciiTheme="majorHAnsi" w:eastAsia="Times New Roman"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Evi</w:t>
      </w:r>
      <w:r w:rsidRPr="00663617">
        <w:rPr>
          <w:rFonts w:asciiTheme="majorHAnsi" w:eastAsia="Times New Roman" w:hAnsiTheme="majorHAnsi" w:cstheme="majorHAnsi"/>
          <w:sz w:val="14"/>
          <w:szCs w:val="14"/>
        </w:rPr>
        <w:t xml:space="preserve">idence of this is provided in numerous sources, the review of which exceeds the space of this report. Among others, see: A/HRC/44/22; </w:t>
      </w:r>
      <w:hyperlink r:id="rId15" w:history="1">
        <w:r w:rsidRPr="00663617">
          <w:rPr>
            <w:rStyle w:val="Hyperlink"/>
            <w:rFonts w:asciiTheme="majorHAnsi" w:eastAsia="Times New Roman" w:hAnsiTheme="majorHAnsi" w:cstheme="majorHAnsi"/>
            <w:sz w:val="14"/>
            <w:szCs w:val="14"/>
          </w:rPr>
          <w:t>https://www.icc-cpi.int/philippines</w:t>
        </w:r>
      </w:hyperlink>
      <w:r w:rsidRPr="00663617">
        <w:rPr>
          <w:rFonts w:asciiTheme="majorHAnsi" w:eastAsia="Times New Roman" w:hAnsiTheme="majorHAnsi" w:cstheme="majorHAnsi"/>
          <w:sz w:val="14"/>
          <w:szCs w:val="14"/>
        </w:rPr>
        <w:t xml:space="preserve">. </w:t>
      </w:r>
    </w:p>
    <w:p w14:paraId="000000B0" w14:textId="6A73EFD4" w:rsidR="00902C79" w:rsidRPr="00663617" w:rsidRDefault="00902C79">
      <w:pPr>
        <w:spacing w:line="240" w:lineRule="auto"/>
        <w:rPr>
          <w:rFonts w:asciiTheme="majorHAnsi" w:eastAsia="Times New Roman" w:hAnsiTheme="majorHAnsi" w:cstheme="majorHAnsi"/>
          <w:sz w:val="14"/>
          <w:szCs w:val="14"/>
        </w:rPr>
      </w:pPr>
      <w:r w:rsidRPr="00663617">
        <w:rPr>
          <w:rFonts w:asciiTheme="majorHAnsi" w:eastAsia="Times New Roman" w:hAnsiTheme="majorHAnsi" w:cstheme="majorHAnsi"/>
          <w:sz w:val="14"/>
          <w:szCs w:val="14"/>
        </w:rPr>
        <w:t xml:space="preserve"> “‘If You Are Poor, You Are Killed’: Extrajudicial Executions in the Philippines’ ‘War On Drugs.’”; “‘They Just Kill’: Ongoing Extrajudicial Executions and Other Violations in the Philippines’ ‘War On Drugs.’”; “License to Kill: Philippines Police Killings in Duterte’s ‘War on Drugs’” (Human Rights Watch, 2017), https://www.refworld.org/docid/58b941f24.html.; David T Johnson and Jon Fernquest, “Governing through Killing: The War on Drugs in the Philippines,” </w:t>
      </w:r>
      <w:r w:rsidRPr="00663617">
        <w:rPr>
          <w:rFonts w:asciiTheme="majorHAnsi" w:eastAsia="Times New Roman" w:hAnsiTheme="majorHAnsi" w:cstheme="majorHAnsi"/>
          <w:i/>
          <w:sz w:val="14"/>
          <w:szCs w:val="14"/>
        </w:rPr>
        <w:t>Asian Journal of Law and Society</w:t>
      </w:r>
      <w:r w:rsidRPr="00663617">
        <w:rPr>
          <w:rFonts w:asciiTheme="majorHAnsi" w:eastAsia="Times New Roman" w:hAnsiTheme="majorHAnsi" w:cstheme="majorHAnsi"/>
          <w:sz w:val="14"/>
          <w:szCs w:val="14"/>
        </w:rPr>
        <w:t xml:space="preserve"> 5, no. 2 (November 2018), https://www.cambridge.org/core/journals/asian-journal-of-law-and-society/article/governing-through-killing-the-war-on-drugs-in-the-philippines/878BFFB53E2705BEFD2373CDAC3E84F4/core-reader.; “Philippine Drug War Casualties: Dataset by Stabile Center for Investigative Journalism,” n.d., https://data.world/stabile-center/ph-drug-war.</w:t>
      </w:r>
    </w:p>
  </w:footnote>
  <w:footnote w:id="38">
    <w:p w14:paraId="000000B2" w14:textId="066494F2"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https://news.abs-cbn.com/specials/map-charts-the-death-toll-of-the-war-on-drugs.</w:t>
      </w:r>
    </w:p>
  </w:footnote>
  <w:footnote w:id="39">
    <w:p w14:paraId="000000B1" w14:textId="1B0BDFAF"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The timeline of drug-related killings compiled by Dahas can be found here: https://dahas.upd.edu.ph/database/timeline-of-drug-related-deaths/.</w:t>
      </w:r>
    </w:p>
  </w:footnote>
  <w:footnote w:id="40">
    <w:p w14:paraId="000000DD" w14:textId="2E530CFD"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https://twitter.com/DahasPH/status/1554824506006720512/photo/2.</w:t>
      </w:r>
    </w:p>
  </w:footnote>
  <w:footnote w:id="41">
    <w:p w14:paraId="000000DE" w14:textId="2988F663" w:rsidR="00902C79" w:rsidRPr="00663617" w:rsidRDefault="00902C79">
      <w:pPr>
        <w:spacing w:line="240" w:lineRule="auto"/>
        <w:rPr>
          <w:rFonts w:asciiTheme="majorHAnsi" w:hAnsiTheme="majorHAnsi" w:cstheme="majorHAnsi"/>
          <w:sz w:val="14"/>
          <w:szCs w:val="14"/>
          <w:lang w:val="it-IT"/>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lang w:val="it-IT"/>
        </w:rPr>
        <w:t xml:space="preserve"> https://twitter.com/DahasPH.</w:t>
      </w:r>
    </w:p>
  </w:footnote>
  <w:footnote w:id="42">
    <w:p w14:paraId="000000E0" w14:textId="3E780559" w:rsidR="00902C79" w:rsidRPr="00663617" w:rsidRDefault="00902C79">
      <w:pPr>
        <w:spacing w:line="240" w:lineRule="auto"/>
        <w:rPr>
          <w:rFonts w:asciiTheme="majorHAnsi" w:hAnsiTheme="majorHAnsi" w:cstheme="majorHAnsi"/>
          <w:sz w:val="14"/>
          <w:szCs w:val="14"/>
          <w:lang w:val="it-IT"/>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lang w:val="it-IT"/>
        </w:rPr>
        <w:t xml:space="preserve"> </w:t>
      </w:r>
      <w:hyperlink r:id="rId16">
        <w:r w:rsidRPr="00663617">
          <w:rPr>
            <w:rFonts w:asciiTheme="majorHAnsi" w:hAnsiTheme="majorHAnsi" w:cstheme="majorHAnsi"/>
            <w:sz w:val="14"/>
            <w:szCs w:val="14"/>
            <w:lang w:val="it-IT"/>
          </w:rPr>
          <w:t>A/HRC/44/22</w:t>
        </w:r>
      </w:hyperlink>
      <w:r w:rsidRPr="00663617">
        <w:rPr>
          <w:rFonts w:asciiTheme="majorHAnsi" w:hAnsiTheme="majorHAnsi" w:cstheme="majorHAnsi"/>
          <w:sz w:val="14"/>
          <w:szCs w:val="14"/>
          <w:lang w:val="it-IT"/>
        </w:rPr>
        <w:t>, para. 80</w:t>
      </w:r>
    </w:p>
  </w:footnote>
  <w:footnote w:id="43">
    <w:p w14:paraId="000000E1" w14:textId="157FD526" w:rsidR="00902C79" w:rsidRPr="00663617" w:rsidRDefault="00902C79">
      <w:pPr>
        <w:spacing w:line="240" w:lineRule="auto"/>
        <w:rPr>
          <w:rFonts w:asciiTheme="majorHAnsi" w:hAnsiTheme="majorHAnsi" w:cstheme="majorHAnsi"/>
          <w:sz w:val="14"/>
          <w:szCs w:val="14"/>
          <w:lang w:val="en-GB"/>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lang w:val="en-GB"/>
        </w:rPr>
        <w:t xml:space="preserve"> Sofia Tomacruz (26 July 2021), Duterte taunts ICC in SONA 2021: I never denied ‘I will kill’ in war vs drugs, </w:t>
      </w:r>
      <w:r w:rsidRPr="00663617">
        <w:rPr>
          <w:rFonts w:asciiTheme="majorHAnsi" w:hAnsiTheme="majorHAnsi" w:cstheme="majorHAnsi"/>
          <w:i/>
          <w:sz w:val="14"/>
          <w:szCs w:val="14"/>
          <w:lang w:val="en-GB"/>
        </w:rPr>
        <w:t xml:space="preserve">Rappler, </w:t>
      </w:r>
      <w:r w:rsidRPr="00663617">
        <w:rPr>
          <w:rFonts w:asciiTheme="majorHAnsi" w:hAnsiTheme="majorHAnsi" w:cstheme="majorHAnsi"/>
          <w:sz w:val="14"/>
          <w:szCs w:val="14"/>
          <w:lang w:val="en-GB"/>
        </w:rPr>
        <w:t>https://www.rappler.com/nation/duterte-taunts-international-criminal-court-sona-2021.</w:t>
      </w:r>
    </w:p>
  </w:footnote>
  <w:footnote w:id="44">
    <w:p w14:paraId="000000E2" w14:textId="5D625C7B" w:rsidR="00902C79" w:rsidRPr="00663617" w:rsidRDefault="00902C79">
      <w:pPr>
        <w:spacing w:line="240" w:lineRule="auto"/>
        <w:rPr>
          <w:rFonts w:asciiTheme="majorHAnsi" w:hAnsiTheme="majorHAnsi" w:cstheme="majorHAnsi"/>
          <w:sz w:val="14"/>
          <w:szCs w:val="14"/>
          <w:lang w:val="en-GB"/>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lang w:val="en-GB"/>
        </w:rPr>
        <w:t xml:space="preserve"> Zacarian Sarao (3 August 2021), Drug war to continue through NCR Plus lockdown period, </w:t>
      </w:r>
      <w:r w:rsidRPr="00663617">
        <w:rPr>
          <w:rFonts w:asciiTheme="majorHAnsi" w:hAnsiTheme="majorHAnsi" w:cstheme="majorHAnsi"/>
          <w:i/>
          <w:sz w:val="14"/>
          <w:szCs w:val="14"/>
          <w:lang w:val="en-GB"/>
        </w:rPr>
        <w:t>Inquirer,net,</w:t>
      </w:r>
      <w:r w:rsidRPr="00663617">
        <w:rPr>
          <w:rFonts w:asciiTheme="majorHAnsi" w:hAnsiTheme="majorHAnsi" w:cstheme="majorHAnsi"/>
          <w:sz w:val="14"/>
          <w:szCs w:val="14"/>
          <w:lang w:val="en-GB"/>
        </w:rPr>
        <w:t xml:space="preserve"> https://newsinfo.inquirer.net/1468077/war-on-drugs-campaign-to-continue-despite-lockdown-in-ncr-plus-dilg.</w:t>
      </w:r>
    </w:p>
  </w:footnote>
  <w:footnote w:id="45">
    <w:p w14:paraId="000000E3" w14:textId="416D8405" w:rsidR="00902C79" w:rsidRPr="00663617" w:rsidRDefault="00902C79">
      <w:pPr>
        <w:spacing w:line="240" w:lineRule="auto"/>
        <w:rPr>
          <w:rFonts w:asciiTheme="majorHAnsi" w:hAnsiTheme="majorHAnsi" w:cstheme="majorHAnsi"/>
          <w:sz w:val="14"/>
          <w:szCs w:val="14"/>
          <w:lang w:val="en-GB"/>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lang w:val="en-GB"/>
        </w:rPr>
        <w:t xml:space="preserve"> Dwight de Leon (4 July 2022), Drug war under Marcos: What it will look like, in Benhur Abalos’ words, </w:t>
      </w:r>
      <w:r w:rsidRPr="00663617">
        <w:rPr>
          <w:rFonts w:asciiTheme="majorHAnsi" w:hAnsiTheme="majorHAnsi" w:cstheme="majorHAnsi"/>
          <w:i/>
          <w:sz w:val="14"/>
          <w:szCs w:val="14"/>
          <w:lang w:val="en-GB"/>
        </w:rPr>
        <w:t xml:space="preserve">Rappler, </w:t>
      </w:r>
      <w:hyperlink r:id="rId17">
        <w:r w:rsidRPr="00663617">
          <w:rPr>
            <w:rFonts w:asciiTheme="majorHAnsi" w:hAnsiTheme="majorHAnsi" w:cstheme="majorHAnsi"/>
            <w:sz w:val="14"/>
            <w:szCs w:val="14"/>
            <w:lang w:val="en-GB"/>
          </w:rPr>
          <w:t>https://www.rappler.com/nation/what-drug-war-under-marcos-jr-will-look-like-according-benhur-abalos-dilg/</w:t>
        </w:r>
      </w:hyperlink>
      <w:r w:rsidRPr="00663617">
        <w:rPr>
          <w:rFonts w:asciiTheme="majorHAnsi" w:hAnsiTheme="majorHAnsi" w:cstheme="majorHAnsi"/>
          <w:sz w:val="14"/>
          <w:szCs w:val="14"/>
          <w:lang w:val="en-GB"/>
        </w:rPr>
        <w:t xml:space="preserve">. </w:t>
      </w:r>
    </w:p>
  </w:footnote>
  <w:footnote w:id="46">
    <w:p w14:paraId="62E2A0A7" w14:textId="421FE40D" w:rsidR="00902C79" w:rsidRPr="00663617" w:rsidRDefault="00902C79" w:rsidP="000B549B">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Para. 54.</w:t>
      </w:r>
    </w:p>
  </w:footnote>
  <w:footnote w:id="47">
    <w:p w14:paraId="00000092" w14:textId="6A529DE6"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Among others, see: Paul Hunt, ‘Human rights, health, and harm reduction’, 8; Report of the Special Rapporteur on the right of everyone to the enjoyment of the highest attainable standard of physical and mental health, Anand Grover(2010) A/65/255, para. 55; CESCR, Concluding Observations on the combined initial and second periodic reports of Thailand, UN Doc. E//C.12/THA/CO/1-2; CEDAW, Concluding Observations on the combined fourth and fifth periodic reports of Georgia (2014), UN Doc. CEDAW/C/GEO/CO/4-5, para. 31(e); Report of the Special Rapporteur on the right of everyone to the enjoyment of the highest attainable standard of physical and mental health, Anand Grover, Mission to Poland (2010) A/HRC/14/20/Add.3, para. 86; CESCR, 2016, Concluding Observations on the sixth periodic report of Sweden. UN Doc. E/C.12/SWE/CO/6. For more information, see: International Centre on Human Rights and Drug Policy/UNDP, International Guidelines on Human Rights and Drug Policy [xxx]</w:t>
      </w:r>
    </w:p>
  </w:footnote>
  <w:footnote w:id="48">
    <w:p w14:paraId="00000093" w14:textId="77777777"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In E/C.12/RUS/CO/5, E/C.12/LTU/CO/2, E/C.12/EST/CO/2 and E/C.12/UKR/CO/5.</w:t>
      </w:r>
    </w:p>
  </w:footnote>
  <w:footnote w:id="49">
    <w:p w14:paraId="00000094" w14:textId="725837CB"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Resolution 65/27; Outcome Document of the 2016 United Nations General Assembly Special Session on the World Drug Problem (Vienna: UNODC, 2016), </w:t>
      </w:r>
      <w:hyperlink r:id="rId18" w:history="1">
        <w:r w:rsidRPr="00663617">
          <w:rPr>
            <w:rStyle w:val="Hyperlink"/>
            <w:rFonts w:asciiTheme="majorHAnsi" w:hAnsiTheme="majorHAnsi" w:cstheme="majorHAnsi"/>
            <w:sz w:val="14"/>
            <w:szCs w:val="14"/>
          </w:rPr>
          <w:t>https://www.unodc.org/documents/postungass2016/outcome/V1603301-E.pdf</w:t>
        </w:r>
      </w:hyperlink>
      <w:r w:rsidRPr="00663617">
        <w:rPr>
          <w:rFonts w:asciiTheme="majorHAnsi" w:hAnsiTheme="majorHAnsi" w:cstheme="majorHAnsi"/>
          <w:sz w:val="14"/>
          <w:szCs w:val="14"/>
        </w:rPr>
        <w:t xml:space="preserve">. </w:t>
      </w:r>
    </w:p>
  </w:footnote>
  <w:footnote w:id="50">
    <w:p w14:paraId="00000095" w14:textId="2A20D0A4"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Resolution 12/27.</w:t>
      </w:r>
    </w:p>
  </w:footnote>
  <w:footnote w:id="51">
    <w:p w14:paraId="00000096" w14:textId="5A823212"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General Comment No. 15 (2013) on the right of the child to the enjoyment of the highest attainable standard of health.</w:t>
      </w:r>
    </w:p>
  </w:footnote>
  <w:footnote w:id="52">
    <w:p w14:paraId="00000097" w14:textId="77777777"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CEDAW/C/GEO/CO/4-5 and CEDAW/C/CAN/CO/8-9.</w:t>
      </w:r>
    </w:p>
  </w:footnote>
  <w:footnote w:id="53">
    <w:p w14:paraId="00000098" w14:textId="00685CD1"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A/65/255, among others.</w:t>
      </w:r>
    </w:p>
  </w:footnote>
  <w:footnote w:id="54">
    <w:p w14:paraId="00000099" w14:textId="7D901627"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A/HRC/22/53.</w:t>
      </w:r>
    </w:p>
  </w:footnote>
  <w:footnote w:id="55">
    <w:p w14:paraId="0000009A" w14:textId="29617242" w:rsidR="00902C79" w:rsidRPr="00663617" w:rsidRDefault="00902C79">
      <w:pPr>
        <w:spacing w:line="240" w:lineRule="auto"/>
        <w:rPr>
          <w:rFonts w:asciiTheme="majorHAnsi" w:hAnsiTheme="majorHAnsi" w:cstheme="majorHAnsi"/>
          <w:sz w:val="14"/>
          <w:szCs w:val="14"/>
          <w:highlight w:val="yellow"/>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WHO, UNODC and UNAIDS, WHO, UNODC, UNAIDS Technical Guide for Countries to Set Targets for Universal Access to HIV Prevention, Treatment and Care for Injecting Drug Users: 2012 Revision (Geneva, WHO, 2012). </w:t>
      </w:r>
    </w:p>
  </w:footnote>
  <w:footnote w:id="56">
    <w:p w14:paraId="0000009B" w14:textId="5B77DDA8"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CND Resolution 60/8; Promoting measures to prevent HIV and other blood-borne diseases associated with the use of drugs, and increasing financing for the global HIV/AIDS response and for drug use prevention and other drug demand reduction measures (2017).</w:t>
      </w:r>
    </w:p>
  </w:footnote>
  <w:footnote w:id="57">
    <w:p w14:paraId="000000FB" w14:textId="3A5ADE8A"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UNODC, WHO, UNAIDS, HIV Prevention, Treatment, Care and Support for People who Use Stimulant Drugs: Technical Guide (Vienna: UNODC, 2019). </w:t>
      </w:r>
    </w:p>
  </w:footnote>
  <w:footnote w:id="58">
    <w:p w14:paraId="000000D1" w14:textId="313F2D92"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eastAsia="Times New Roman" w:hAnsiTheme="majorHAnsi" w:cstheme="majorHAnsi"/>
          <w:sz w:val="14"/>
          <w:szCs w:val="14"/>
        </w:rPr>
        <w:t>Section 12.</w:t>
      </w:r>
    </w:p>
  </w:footnote>
  <w:footnote w:id="59">
    <w:p w14:paraId="000000D2" w14:textId="31E5FB6C" w:rsidR="00902C79" w:rsidRPr="00663617" w:rsidRDefault="00902C79" w:rsidP="0020073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eastAsia="Times New Roman" w:hAnsiTheme="majorHAnsi" w:cstheme="majorHAnsi"/>
          <w:sz w:val="14"/>
          <w:szCs w:val="14"/>
        </w:rPr>
        <w:t>Investment Into Harm Reduction In The Philippines (Manila: NoBox Transitions Foundations, 2018). Unpublished and available with Harm Reduction International upon request.</w:t>
      </w:r>
    </w:p>
  </w:footnote>
  <w:footnote w:id="60">
    <w:p w14:paraId="60887926" w14:textId="02A8A42A" w:rsidR="00902C79" w:rsidRPr="00663617" w:rsidRDefault="00902C79">
      <w:pPr>
        <w:pStyle w:val="FootnoteText"/>
        <w:rPr>
          <w:rFonts w:asciiTheme="majorHAnsi" w:hAnsiTheme="majorHAnsi" w:cstheme="majorHAnsi"/>
          <w:sz w:val="14"/>
          <w:szCs w:val="14"/>
        </w:rPr>
      </w:pPr>
      <w:r w:rsidRPr="00663617">
        <w:rPr>
          <w:rStyle w:val="FootnoteReference"/>
          <w:rFonts w:asciiTheme="majorHAnsi" w:hAnsiTheme="majorHAnsi" w:cstheme="majorHAnsi"/>
          <w:sz w:val="14"/>
          <w:szCs w:val="14"/>
        </w:rPr>
        <w:footnoteRef/>
      </w:r>
      <w:r w:rsidRPr="00663617">
        <w:rPr>
          <w:rFonts w:asciiTheme="majorHAnsi" w:hAnsiTheme="majorHAnsi" w:cstheme="majorHAnsi"/>
          <w:sz w:val="14"/>
          <w:szCs w:val="14"/>
        </w:rPr>
        <w:t xml:space="preserve"> </w:t>
      </w:r>
      <w:r w:rsidRPr="00663617">
        <w:rPr>
          <w:rFonts w:asciiTheme="majorHAnsi" w:eastAsia="Times New Roman" w:hAnsiTheme="majorHAnsi" w:cstheme="majorHAnsi"/>
          <w:sz w:val="14"/>
          <w:szCs w:val="14"/>
        </w:rPr>
        <w:t>Sander G, Lines R, “HIV, Hepatitis C, TB, Harm Reduction and Persons Deprived of Liberty: What Standards Does International Human Rights Law Establish?”</w:t>
      </w:r>
      <w:r w:rsidRPr="00663617">
        <w:rPr>
          <w:rFonts w:asciiTheme="majorHAnsi" w:eastAsia="Times New Roman" w:hAnsiTheme="majorHAnsi" w:cstheme="majorHAnsi"/>
          <w:i/>
          <w:sz w:val="14"/>
          <w:szCs w:val="14"/>
        </w:rPr>
        <w:t xml:space="preserve"> The International Journal of Health and Human Rights</w:t>
      </w:r>
      <w:r w:rsidRPr="00663617">
        <w:rPr>
          <w:rFonts w:asciiTheme="majorHAnsi" w:eastAsia="Times New Roman" w:hAnsiTheme="majorHAnsi" w:cstheme="majorHAnsi"/>
          <w:sz w:val="14"/>
          <w:szCs w:val="14"/>
        </w:rPr>
        <w:t xml:space="preserve"> (2017).</w:t>
      </w:r>
    </w:p>
  </w:footnote>
  <w:footnote w:id="61">
    <w:p w14:paraId="000000E4" w14:textId="77777777"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Amongst others E.C/12/BLR/CO/7 (2022), E.C/12/AZE/CO/4 (2022).</w:t>
      </w:r>
    </w:p>
  </w:footnote>
  <w:footnote w:id="62">
    <w:p w14:paraId="000000B6" w14:textId="3306CEB5"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https://www.prisonstudies.org/country/philippines.</w:t>
      </w:r>
    </w:p>
  </w:footnote>
  <w:footnote w:id="63">
    <w:p w14:paraId="000000B7" w14:textId="7E773C5D"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The Global State of Harm Reduction 2020 (London: Harm Reduction International, 2020), 64.</w:t>
      </w:r>
    </w:p>
  </w:footnote>
  <w:footnote w:id="64">
    <w:p w14:paraId="000000B8" w14:textId="36DBD433"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https://www.bjmp.gov.ph/index.php/data-and-statistics.</w:t>
      </w:r>
    </w:p>
  </w:footnote>
  <w:footnote w:id="65">
    <w:p w14:paraId="000000E5" w14:textId="183F9EF7"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A/HRC/44/22, para. 32.</w:t>
      </w:r>
    </w:p>
  </w:footnote>
  <w:footnote w:id="66">
    <w:p w14:paraId="000000BF" w14:textId="6C39E94F" w:rsidR="00902C79" w:rsidRPr="00663617" w:rsidRDefault="00902C79">
      <w:pPr>
        <w:spacing w:line="240" w:lineRule="auto"/>
        <w:rPr>
          <w:rFonts w:asciiTheme="majorHAnsi" w:eastAsia="Times New Roman"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A</w:t>
      </w:r>
      <w:r w:rsidRPr="00663617">
        <w:rPr>
          <w:rFonts w:asciiTheme="majorHAnsi" w:eastAsia="Times New Roman" w:hAnsiTheme="majorHAnsi" w:cstheme="majorHAnsi"/>
          <w:sz w:val="14"/>
          <w:szCs w:val="14"/>
        </w:rPr>
        <w:t xml:space="preserve">mong others, see: Mary Catherine A. Alvarez, “Women, Incarceration and Drug Policies in the Philippines: Promoting Human and Effective Responses,” 2018, http://fileserver.idpc.net/library/Philippines_Policy_Guide_Women.pdf.; Phila Siu, “Worlds Apart: Inside Two of the Philippines’ Most Notorious Jails,” </w:t>
      </w:r>
      <w:r w:rsidRPr="00663617">
        <w:rPr>
          <w:rFonts w:asciiTheme="majorHAnsi" w:eastAsia="Times New Roman" w:hAnsiTheme="majorHAnsi" w:cstheme="majorHAnsi"/>
          <w:i/>
          <w:sz w:val="14"/>
          <w:szCs w:val="14"/>
        </w:rPr>
        <w:t>South China Morning Post</w:t>
      </w:r>
      <w:r w:rsidRPr="00663617">
        <w:rPr>
          <w:rFonts w:asciiTheme="majorHAnsi" w:eastAsia="Times New Roman" w:hAnsiTheme="majorHAnsi" w:cstheme="majorHAnsi"/>
          <w:sz w:val="14"/>
          <w:szCs w:val="14"/>
        </w:rPr>
        <w:t xml:space="preserve">, November 23, 2016, https://www.scmp.com/week-asia/society/article/2039072/worlds-apart-inside-two-philippines-most-notorious-jails.; “Cruel, Inhumane and Degrading’: Mass Strip Search at Philippine Prison Causes Uproar,” </w:t>
      </w:r>
      <w:r w:rsidRPr="00663617">
        <w:rPr>
          <w:rFonts w:asciiTheme="majorHAnsi" w:eastAsia="Times New Roman" w:hAnsiTheme="majorHAnsi" w:cstheme="majorHAnsi"/>
          <w:i/>
          <w:sz w:val="14"/>
          <w:szCs w:val="14"/>
        </w:rPr>
        <w:t>South China Morning Post</w:t>
      </w:r>
      <w:r w:rsidRPr="00663617">
        <w:rPr>
          <w:rFonts w:asciiTheme="majorHAnsi" w:eastAsia="Times New Roman" w:hAnsiTheme="majorHAnsi" w:cstheme="majorHAnsi"/>
          <w:sz w:val="14"/>
          <w:szCs w:val="14"/>
        </w:rPr>
        <w:t xml:space="preserve">, March 2, 2017, https://www.scmp.com/news/asia/southeast-asia/article/2075501/cruel-inhumane-and-degrading-mass-strip-search-philippine.; Jamie Fullerton, “We Don’t Need the Death Penalty’: 20% of Inmates Die Each Year in Philippines Jail,” </w:t>
      </w:r>
      <w:r w:rsidRPr="00663617">
        <w:rPr>
          <w:rFonts w:asciiTheme="majorHAnsi" w:eastAsia="Times New Roman" w:hAnsiTheme="majorHAnsi" w:cstheme="majorHAnsi"/>
          <w:i/>
          <w:sz w:val="14"/>
          <w:szCs w:val="14"/>
        </w:rPr>
        <w:t>The Guardian</w:t>
      </w:r>
      <w:r w:rsidRPr="00663617">
        <w:rPr>
          <w:rFonts w:asciiTheme="majorHAnsi" w:eastAsia="Times New Roman" w:hAnsiTheme="majorHAnsi" w:cstheme="majorHAnsi"/>
          <w:sz w:val="14"/>
          <w:szCs w:val="14"/>
        </w:rPr>
        <w:t>, October 4, 2019, https://www.theguardian.com/world/2019/oct/04/we-dont-need-the-death-penalty-20-of-inmates-die-each-year-in-philippines-jail.</w:t>
      </w:r>
    </w:p>
    <w:p w14:paraId="000000C0" w14:textId="77777777" w:rsidR="00902C79" w:rsidRPr="00663617" w:rsidRDefault="00902C79">
      <w:pPr>
        <w:spacing w:line="240" w:lineRule="auto"/>
        <w:rPr>
          <w:rFonts w:asciiTheme="majorHAnsi" w:hAnsiTheme="majorHAnsi" w:cstheme="majorHAnsi"/>
          <w:sz w:val="14"/>
          <w:szCs w:val="14"/>
        </w:rPr>
      </w:pPr>
    </w:p>
  </w:footnote>
  <w:footnote w:id="67">
    <w:p w14:paraId="000000C1" w14:textId="4E754105"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eastAsia="Times New Roman" w:hAnsiTheme="majorHAnsi" w:cstheme="majorHAnsi"/>
          <w:sz w:val="14"/>
          <w:szCs w:val="14"/>
        </w:rPr>
        <w:t>Committee Against Torture, “Concluding Observations on the third periodic report of the Philippines”. UN Doc. CAT/C/PHL/CO/3 (2 June 2016), Para 27/28.</w:t>
      </w:r>
    </w:p>
  </w:footnote>
  <w:footnote w:id="68">
    <w:p w14:paraId="000000C2" w14:textId="6597700A"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eastAsia="Times New Roman" w:hAnsiTheme="majorHAnsi" w:cstheme="majorHAnsi"/>
          <w:sz w:val="14"/>
          <w:szCs w:val="14"/>
        </w:rPr>
        <w:t xml:space="preserve"> Aurora Almendral (7 January 2019), “Where 518 Inmates Sleep in Space for 170, and Gangs Hold It Together,” </w:t>
      </w:r>
      <w:r w:rsidRPr="00663617">
        <w:rPr>
          <w:rFonts w:asciiTheme="majorHAnsi" w:eastAsia="Times New Roman" w:hAnsiTheme="majorHAnsi" w:cstheme="majorHAnsi"/>
          <w:i/>
          <w:sz w:val="14"/>
          <w:szCs w:val="14"/>
        </w:rPr>
        <w:t>The New York Times</w:t>
      </w:r>
      <w:r w:rsidRPr="00663617">
        <w:rPr>
          <w:rFonts w:asciiTheme="majorHAnsi" w:eastAsia="Times New Roman" w:hAnsiTheme="majorHAnsi" w:cstheme="majorHAnsi"/>
          <w:sz w:val="14"/>
          <w:szCs w:val="14"/>
        </w:rPr>
        <w:t>, https://www.nytimes.com/2019/01/07/world/asia/philippines-manila-jail-overcrowding.html.</w:t>
      </w:r>
    </w:p>
  </w:footnote>
  <w:footnote w:id="69">
    <w:p w14:paraId="000000C4" w14:textId="5872B1C9" w:rsidR="00902C79" w:rsidRPr="00663617" w:rsidRDefault="00902C79">
      <w:pPr>
        <w:spacing w:line="240" w:lineRule="auto"/>
        <w:rPr>
          <w:rFonts w:asciiTheme="majorHAnsi" w:hAnsiTheme="majorHAnsi" w:cstheme="majorHAnsi"/>
          <w: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eastAsia="Times New Roman" w:hAnsiTheme="majorHAnsi" w:cstheme="majorHAnsi"/>
          <w:sz w:val="14"/>
          <w:szCs w:val="14"/>
        </w:rPr>
        <w:t xml:space="preserve">Among others, see: Jessie Yeung (18 October 2019), “More than 5,000 Inmates Die at This Prison Every Year,” </w:t>
      </w:r>
      <w:r w:rsidRPr="00663617">
        <w:rPr>
          <w:rFonts w:asciiTheme="majorHAnsi" w:eastAsia="Times New Roman" w:hAnsiTheme="majorHAnsi" w:cstheme="majorHAnsi"/>
          <w:i/>
          <w:sz w:val="14"/>
          <w:szCs w:val="14"/>
        </w:rPr>
        <w:t>CNN</w:t>
      </w:r>
      <w:r w:rsidRPr="00663617">
        <w:rPr>
          <w:rFonts w:asciiTheme="majorHAnsi" w:eastAsia="Times New Roman" w:hAnsiTheme="majorHAnsi" w:cstheme="majorHAnsi"/>
          <w:sz w:val="14"/>
          <w:szCs w:val="14"/>
        </w:rPr>
        <w:t xml:space="preserve">, https://edition.cnn.com/2019/10/04/asia/philippines-inmate-deaths-intl-hnk-scli/index.html.; Jamie Fullerton (4 October 2019), ‘We Don’t Need the Death Penalty’: 20% of Inmates Die Each Year in Philippines Jail. </w:t>
      </w:r>
      <w:r w:rsidRPr="00663617">
        <w:rPr>
          <w:rFonts w:asciiTheme="majorHAnsi" w:eastAsia="Times New Roman" w:hAnsiTheme="majorHAnsi" w:cstheme="majorHAnsi"/>
          <w:i/>
          <w:sz w:val="14"/>
          <w:szCs w:val="14"/>
        </w:rPr>
        <w:t xml:space="preserve">The Guardian, </w:t>
      </w:r>
      <w:r w:rsidRPr="00663617">
        <w:rPr>
          <w:rFonts w:asciiTheme="majorHAnsi" w:eastAsia="Times New Roman" w:hAnsiTheme="majorHAnsi" w:cstheme="majorHAnsi"/>
          <w:sz w:val="14"/>
          <w:szCs w:val="14"/>
        </w:rPr>
        <w:t>https://www.theguardian.com/world/2019/oct/04/we-dont-need-the-death-penalty-20-of-inmates-die-each-year-in-philippines-jail.</w:t>
      </w:r>
    </w:p>
  </w:footnote>
  <w:footnote w:id="70">
    <w:p w14:paraId="000000C5" w14:textId="4704C0D4"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eastAsia="Times New Roman" w:hAnsiTheme="majorHAnsi" w:cstheme="majorHAnsi"/>
          <w:sz w:val="14"/>
          <w:szCs w:val="14"/>
        </w:rPr>
        <w:t xml:space="preserve"> Joseph Tristan Roxas (24 August 2016), “1 to 3 Inmates in a Jail Cell Affected by HIV-AIDS —PAO Chief,” </w:t>
      </w:r>
      <w:r w:rsidRPr="00663617">
        <w:rPr>
          <w:rFonts w:asciiTheme="majorHAnsi" w:eastAsia="Times New Roman" w:hAnsiTheme="majorHAnsi" w:cstheme="majorHAnsi"/>
          <w:i/>
          <w:sz w:val="14"/>
          <w:szCs w:val="14"/>
        </w:rPr>
        <w:t>GMA News Online</w:t>
      </w:r>
      <w:r w:rsidRPr="00663617">
        <w:rPr>
          <w:rFonts w:asciiTheme="majorHAnsi" w:eastAsia="Times New Roman" w:hAnsiTheme="majorHAnsi" w:cstheme="majorHAnsi"/>
          <w:sz w:val="14"/>
          <w:szCs w:val="14"/>
        </w:rPr>
        <w:t>, https://www.gmanetwork.com/news/news/nation/578774/1-to-3-inmates-in-a-jail-cell-affected-by-hiv-aids-pao-chief/story/.</w:t>
      </w:r>
    </w:p>
  </w:footnote>
  <w:footnote w:id="71">
    <w:p w14:paraId="000000C9" w14:textId="6D247CE1" w:rsidR="00902C79" w:rsidRPr="00663617" w:rsidRDefault="00902C79">
      <w:pPr>
        <w:spacing w:line="240" w:lineRule="auto"/>
        <w:rPr>
          <w:rFonts w:asciiTheme="majorHAnsi" w:eastAsia="Times New Roman"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eastAsia="Times New Roman" w:hAnsiTheme="majorHAnsi" w:cstheme="majorHAnsi"/>
          <w:sz w:val="14"/>
          <w:szCs w:val="14"/>
        </w:rPr>
        <w:t>For more details se: UNODC, “Policy Brief: HIV Prevention, Treatment and Care in Prisons and Other Closed Settings: A Comprehensive Package of Interventions” (Vienna: UNODC, 2013), https://www.unodc.org/documents/hiv-aids/HIV_comprehensive_package_prison_2013_eBook.pdf.</w:t>
      </w:r>
    </w:p>
  </w:footnote>
  <w:footnote w:id="72">
    <w:p w14:paraId="000000C6" w14:textId="5BF8D490"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eastAsia="Times New Roman" w:hAnsiTheme="majorHAnsi" w:cstheme="majorHAnsi"/>
          <w:sz w:val="14"/>
          <w:szCs w:val="14"/>
        </w:rPr>
        <w:t>Also see Human Rights Committee, General Comment No. 36 (2018) on Article 6 of the International Covenant on Civil and Political Rights, UN Doc. CCPR/C/GC/36 (30 October 2018), para. 26.</w:t>
      </w:r>
    </w:p>
  </w:footnote>
  <w:footnote w:id="73">
    <w:p w14:paraId="000000C7" w14:textId="5B0FE6FA"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eastAsia="Times New Roman" w:hAnsiTheme="majorHAnsi" w:cstheme="majorHAnsi"/>
          <w:sz w:val="14"/>
          <w:szCs w:val="14"/>
        </w:rPr>
        <w:t>UNAIDS, Communities at the Centre: The Response to HIV in Asia and the Pacific (Geneva: UNAIDS, 2019), 27.</w:t>
      </w:r>
    </w:p>
  </w:footnote>
  <w:footnote w:id="74">
    <w:p w14:paraId="000000CA" w14:textId="6197D16B"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eastAsia="Times New Roman" w:hAnsiTheme="majorHAnsi" w:cstheme="majorHAnsi"/>
          <w:sz w:val="14"/>
          <w:szCs w:val="14"/>
        </w:rPr>
        <w:t xml:space="preserve"> Al Jazeera (30 September 2019), Gang Riot in Overcrowded Prison in the Philippines Turns Deadly, </w:t>
      </w:r>
      <w:r w:rsidRPr="00663617">
        <w:rPr>
          <w:rFonts w:asciiTheme="majorHAnsi" w:eastAsia="Times New Roman" w:hAnsiTheme="majorHAnsi" w:cstheme="majorHAnsi"/>
          <w:i/>
          <w:sz w:val="14"/>
          <w:szCs w:val="14"/>
        </w:rPr>
        <w:t>Al Jazeera</w:t>
      </w:r>
      <w:r w:rsidRPr="00663617">
        <w:rPr>
          <w:rFonts w:asciiTheme="majorHAnsi" w:eastAsia="Times New Roman" w:hAnsiTheme="majorHAnsi" w:cstheme="majorHAnsi"/>
          <w:sz w:val="14"/>
          <w:szCs w:val="14"/>
        </w:rPr>
        <w:t xml:space="preserve">, , https://www.aljazeera.com/news/2019/09/gang-riot-overcrowded-prison-philippines-turns-deadly-190930045152121.html.; Michael Mudoon (23 October 2019), 5,200 Deaths This Year in Overcrowded Philippines National Penitentiary, </w:t>
      </w:r>
      <w:r w:rsidRPr="00663617">
        <w:rPr>
          <w:rFonts w:asciiTheme="majorHAnsi" w:eastAsia="Times New Roman" w:hAnsiTheme="majorHAnsi" w:cstheme="majorHAnsi"/>
          <w:i/>
          <w:sz w:val="14"/>
          <w:szCs w:val="14"/>
        </w:rPr>
        <w:t>Addiction Center</w:t>
      </w:r>
      <w:r w:rsidRPr="00663617">
        <w:rPr>
          <w:rFonts w:asciiTheme="majorHAnsi" w:eastAsia="Times New Roman" w:hAnsiTheme="majorHAnsi" w:cstheme="majorHAnsi"/>
          <w:sz w:val="14"/>
          <w:szCs w:val="14"/>
        </w:rPr>
        <w:t>,  https://www.addictioncenter.com/news/2019/10/deaths-philippines-national-penitentiary/.</w:t>
      </w:r>
    </w:p>
  </w:footnote>
  <w:footnote w:id="75">
    <w:p w14:paraId="000000CB" w14:textId="3F554CFA"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South China Morning Post (28 April 2017), </w:t>
      </w:r>
      <w:r w:rsidRPr="00663617">
        <w:rPr>
          <w:rFonts w:asciiTheme="majorHAnsi" w:eastAsia="Times New Roman" w:hAnsiTheme="majorHAnsi" w:cstheme="majorHAnsi"/>
          <w:sz w:val="14"/>
          <w:szCs w:val="14"/>
        </w:rPr>
        <w:t xml:space="preserve">‘Here We Are, Here We Are’: Dozens of Detainees Found Stuffed inside Secret Philippine Jail Linked to Drug War,” </w:t>
      </w:r>
      <w:r w:rsidRPr="00663617">
        <w:rPr>
          <w:rFonts w:asciiTheme="majorHAnsi" w:eastAsia="Times New Roman" w:hAnsiTheme="majorHAnsi" w:cstheme="majorHAnsi"/>
          <w:i/>
          <w:sz w:val="14"/>
          <w:szCs w:val="14"/>
        </w:rPr>
        <w:t>SCMP</w:t>
      </w:r>
      <w:r w:rsidRPr="00663617">
        <w:rPr>
          <w:rFonts w:asciiTheme="majorHAnsi" w:eastAsia="Times New Roman" w:hAnsiTheme="majorHAnsi" w:cstheme="majorHAnsi"/>
          <w:sz w:val="14"/>
          <w:szCs w:val="14"/>
        </w:rPr>
        <w:t>, https://www.scmp.com/news/asia/southeast-asia/article/2091461/here-we-are-here-we-are-dozens-detainees-found-stuffed.</w:t>
      </w:r>
    </w:p>
  </w:footnote>
  <w:footnote w:id="76">
    <w:p w14:paraId="000000DB" w14:textId="4CC028C3"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A/HRC/47/40.</w:t>
      </w:r>
    </w:p>
  </w:footnote>
  <w:footnote w:id="77">
    <w:p w14:paraId="000000CD" w14:textId="7CB3DF2A" w:rsidR="00902C79" w:rsidRPr="00663617" w:rsidRDefault="00902C79">
      <w:pPr>
        <w:spacing w:line="240" w:lineRule="auto"/>
        <w:rPr>
          <w:rFonts w:asciiTheme="majorHAnsi" w:eastAsia="Times New Roman"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eastAsia="Times New Roman" w:hAnsiTheme="majorHAnsi" w:cstheme="majorHAnsi"/>
          <w:sz w:val="14"/>
          <w:szCs w:val="14"/>
        </w:rPr>
        <w:t>Alvarez, “Women, Incarceration and Drug Policies in the Philippines: Promoting Human and Effective Responses.”, p.12.</w:t>
      </w:r>
    </w:p>
  </w:footnote>
  <w:footnote w:id="78">
    <w:p w14:paraId="000000CE" w14:textId="71987A6D"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Statement by the UN expert on the right to health* on the protection of people who use drugs during the COVID-19 pandemic (16 April 2020), OHCHR, </w:t>
      </w:r>
      <w:hyperlink r:id="rId19" w:history="1">
        <w:r w:rsidRPr="00663617">
          <w:rPr>
            <w:rStyle w:val="Hyperlink"/>
            <w:rFonts w:asciiTheme="majorHAnsi" w:hAnsiTheme="majorHAnsi" w:cstheme="majorHAnsi"/>
            <w:sz w:val="14"/>
            <w:szCs w:val="14"/>
          </w:rPr>
          <w:t>https://www.ohchr.org/en/statements/2020/04/statement-un-expert-right-health-protection-people-who-use-drugs-during-covid-19</w:t>
        </w:r>
      </w:hyperlink>
      <w:r w:rsidRPr="00663617">
        <w:rPr>
          <w:rFonts w:asciiTheme="majorHAnsi" w:hAnsiTheme="majorHAnsi" w:cstheme="majorHAnsi"/>
          <w:sz w:val="14"/>
          <w:szCs w:val="14"/>
        </w:rPr>
        <w:t xml:space="preserve">.  </w:t>
      </w:r>
    </w:p>
  </w:footnote>
  <w:footnote w:id="79">
    <w:p w14:paraId="000000CF" w14:textId="48FB9C1E"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Xinhua Net (23 October 2016), Over 81,000 detainees freed in the Philippines to decongest jails amid COVID-19, </w:t>
      </w:r>
      <w:r w:rsidRPr="00663617">
        <w:rPr>
          <w:rFonts w:asciiTheme="majorHAnsi" w:hAnsiTheme="majorHAnsi" w:cstheme="majorHAnsi"/>
          <w:i/>
          <w:sz w:val="14"/>
          <w:szCs w:val="14"/>
        </w:rPr>
        <w:t>XinhuaNet,</w:t>
      </w:r>
      <w:r w:rsidRPr="00663617">
        <w:rPr>
          <w:rFonts w:asciiTheme="majorHAnsi" w:hAnsiTheme="majorHAnsi" w:cstheme="majorHAnsi"/>
          <w:sz w:val="14"/>
          <w:szCs w:val="14"/>
        </w:rPr>
        <w:t xml:space="preserve"> http://www.xinhuanet.com/english/2020-10/23/c_139462218.htm.</w:t>
      </w:r>
    </w:p>
  </w:footnote>
  <w:footnote w:id="80">
    <w:p w14:paraId="000000D0" w14:textId="51B9518F"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Among others: James Pasley (31 July 2020), Philippines’ police have arrested 76,000 people for breaching lockdown as Duterte wages war on Covid-19 just like his war on drugs, </w:t>
      </w:r>
      <w:r w:rsidRPr="00663617">
        <w:rPr>
          <w:rFonts w:asciiTheme="majorHAnsi" w:hAnsiTheme="majorHAnsi" w:cstheme="majorHAnsi"/>
          <w:i/>
          <w:sz w:val="14"/>
          <w:szCs w:val="14"/>
        </w:rPr>
        <w:t xml:space="preserve">Business Insider, </w:t>
      </w:r>
      <w:r w:rsidRPr="00663617">
        <w:rPr>
          <w:rFonts w:asciiTheme="majorHAnsi" w:hAnsiTheme="majorHAnsi" w:cstheme="majorHAnsi"/>
          <w:sz w:val="14"/>
          <w:szCs w:val="14"/>
        </w:rPr>
        <w:t xml:space="preserve"> </w:t>
      </w:r>
      <w:hyperlink r:id="rId20">
        <w:r w:rsidRPr="00663617">
          <w:rPr>
            <w:rFonts w:asciiTheme="majorHAnsi" w:hAnsiTheme="majorHAnsi" w:cstheme="majorHAnsi"/>
            <w:color w:val="1155CC"/>
            <w:sz w:val="14"/>
            <w:szCs w:val="14"/>
            <w:u w:val="single"/>
          </w:rPr>
          <w:t>https://www.businessinsider.com/philippines-police-arrested-people-for-breaching-lockdown-2020-7?r=US&amp;IR=T</w:t>
        </w:r>
      </w:hyperlink>
      <w:r w:rsidRPr="00663617">
        <w:rPr>
          <w:rFonts w:asciiTheme="majorHAnsi" w:hAnsiTheme="majorHAnsi" w:cstheme="majorHAnsi"/>
          <w:sz w:val="14"/>
          <w:szCs w:val="14"/>
        </w:rPr>
        <w:t>; Harm Reduction International, COVID-19, Prisons and Drug Policy: Global Scan March-June 2020,  https://www.hri.global/covid-19-prison-diversion-measures.</w:t>
      </w:r>
    </w:p>
  </w:footnote>
  <w:footnote w:id="81">
    <w:p w14:paraId="000000F7" w14:textId="32DA0A0A" w:rsidR="00902C79" w:rsidRPr="00663617" w:rsidRDefault="00902C79">
      <w:pPr>
        <w:spacing w:line="240" w:lineRule="auto"/>
        <w:rPr>
          <w:rFonts w:asciiTheme="majorHAnsi" w:hAnsiTheme="majorHAnsi" w:cstheme="majorHAnsi"/>
          <w:sz w:val="14"/>
          <w:szCs w:val="14"/>
          <w:lang w:val="en-GB"/>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lang w:val="en-GB"/>
        </w:rPr>
        <w:t xml:space="preserve"> Rappler (22 June 2020), Hidden victims of the pandemic: The old man, the jail aide, and the convict, </w:t>
      </w:r>
      <w:r w:rsidRPr="00663617">
        <w:rPr>
          <w:rFonts w:asciiTheme="majorHAnsi" w:hAnsiTheme="majorHAnsi" w:cstheme="majorHAnsi"/>
          <w:i/>
          <w:sz w:val="14"/>
          <w:szCs w:val="14"/>
          <w:lang w:val="en-GB"/>
        </w:rPr>
        <w:t>Rappler,</w:t>
      </w:r>
      <w:r w:rsidRPr="00663617">
        <w:rPr>
          <w:rFonts w:asciiTheme="majorHAnsi" w:hAnsiTheme="majorHAnsi" w:cstheme="majorHAnsi"/>
          <w:sz w:val="14"/>
          <w:szCs w:val="14"/>
          <w:lang w:val="en-GB"/>
        </w:rPr>
        <w:t xml:space="preserve"> </w:t>
      </w:r>
      <w:hyperlink r:id="rId21" w:history="1">
        <w:r w:rsidRPr="00663617">
          <w:rPr>
            <w:rStyle w:val="Hyperlink"/>
            <w:rFonts w:asciiTheme="majorHAnsi" w:hAnsiTheme="majorHAnsi" w:cstheme="majorHAnsi"/>
            <w:sz w:val="14"/>
            <w:szCs w:val="14"/>
            <w:lang w:val="en-GB"/>
          </w:rPr>
          <w:t>https://www.rappler.com/newsbreak/in-depth/264492-hidden-victims-coronavirus-pandemic-philippines-prisoners-jail-aide-convict/</w:t>
        </w:r>
      </w:hyperlink>
      <w:r w:rsidRPr="00663617">
        <w:rPr>
          <w:rFonts w:asciiTheme="majorHAnsi" w:hAnsiTheme="majorHAnsi" w:cstheme="majorHAnsi"/>
          <w:sz w:val="14"/>
          <w:szCs w:val="14"/>
          <w:lang w:val="en-GB"/>
        </w:rPr>
        <w:t xml:space="preserve">. </w:t>
      </w:r>
    </w:p>
  </w:footnote>
  <w:footnote w:id="82">
    <w:p w14:paraId="000000F8" w14:textId="4D2C89C8"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Lian Buan (22 May 2020), In Bilibid, dozens die of unclear causes without being tested for coronavirus, </w:t>
      </w:r>
      <w:r w:rsidRPr="00663617">
        <w:rPr>
          <w:rFonts w:asciiTheme="majorHAnsi" w:hAnsiTheme="majorHAnsi" w:cstheme="majorHAnsi"/>
          <w:i/>
          <w:sz w:val="14"/>
          <w:szCs w:val="14"/>
        </w:rPr>
        <w:t>Rappler,</w:t>
      </w:r>
      <w:r w:rsidRPr="00663617">
        <w:rPr>
          <w:rFonts w:asciiTheme="majorHAnsi" w:hAnsiTheme="majorHAnsi" w:cstheme="majorHAnsi"/>
          <w:sz w:val="14"/>
          <w:szCs w:val="14"/>
        </w:rPr>
        <w:t xml:space="preserve"> </w:t>
      </w:r>
      <w:hyperlink r:id="rId22">
        <w:r w:rsidRPr="00663617">
          <w:rPr>
            <w:rFonts w:asciiTheme="majorHAnsi" w:hAnsiTheme="majorHAnsi" w:cstheme="majorHAnsi"/>
            <w:color w:val="1155CC"/>
            <w:sz w:val="14"/>
            <w:szCs w:val="14"/>
            <w:u w:val="single"/>
          </w:rPr>
          <w:t>https://www.rappler.com/newsbreak/investigative/261509-bilibid-dozens-die-unclear-causes-not-tested-coronavirus/</w:t>
        </w:r>
      </w:hyperlink>
      <w:r w:rsidRPr="00663617">
        <w:rPr>
          <w:rFonts w:asciiTheme="majorHAnsi" w:hAnsiTheme="majorHAnsi" w:cstheme="majorHAnsi"/>
          <w:sz w:val="14"/>
          <w:szCs w:val="14"/>
        </w:rPr>
        <w:t xml:space="preserve">; Peoples Dispatch (12 May 2021), In Philippines, death of COVID-19 infected political detainee reveals plight of prisoners, </w:t>
      </w:r>
      <w:r w:rsidRPr="00663617">
        <w:rPr>
          <w:rFonts w:asciiTheme="majorHAnsi" w:hAnsiTheme="majorHAnsi" w:cstheme="majorHAnsi"/>
          <w:i/>
          <w:sz w:val="14"/>
          <w:szCs w:val="14"/>
        </w:rPr>
        <w:t xml:space="preserve">Peoples Dispatch, </w:t>
      </w:r>
      <w:hyperlink r:id="rId23">
        <w:r w:rsidRPr="00663617">
          <w:rPr>
            <w:rFonts w:asciiTheme="majorHAnsi" w:hAnsiTheme="majorHAnsi" w:cstheme="majorHAnsi"/>
            <w:color w:val="1155CC"/>
            <w:sz w:val="14"/>
            <w:szCs w:val="14"/>
            <w:u w:val="single"/>
          </w:rPr>
          <w:t>https://peoplesdispatch.org/2021/05/12/in-philippines-death-of-covid-19-infected-political-detainee-reveals-plight-of-prisoners/</w:t>
        </w:r>
      </w:hyperlink>
      <w:r w:rsidRPr="00663617">
        <w:rPr>
          <w:rFonts w:asciiTheme="majorHAnsi" w:hAnsiTheme="majorHAnsi" w:cstheme="majorHAnsi"/>
          <w:color w:val="1155CC"/>
          <w:sz w:val="14"/>
          <w:szCs w:val="14"/>
          <w:u w:val="single"/>
        </w:rPr>
        <w:t>.</w:t>
      </w:r>
      <w:r w:rsidRPr="00663617">
        <w:rPr>
          <w:rFonts w:asciiTheme="majorHAnsi" w:hAnsiTheme="majorHAnsi" w:cstheme="majorHAnsi"/>
          <w:sz w:val="14"/>
          <w:szCs w:val="14"/>
        </w:rPr>
        <w:t xml:space="preserve"> </w:t>
      </w:r>
    </w:p>
  </w:footnote>
  <w:footnote w:id="83">
    <w:p w14:paraId="000000FC" w14:textId="008182CA"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COVID-19 vaccination for prison populations and staff: Report on global scan (London: Harm Reduction International and Penal Reform Intrernational, 2021), </w:t>
      </w:r>
      <w:hyperlink r:id="rId24">
        <w:r w:rsidRPr="00663617">
          <w:rPr>
            <w:rFonts w:asciiTheme="majorHAnsi" w:hAnsiTheme="majorHAnsi" w:cstheme="majorHAnsi"/>
            <w:color w:val="1155CC"/>
            <w:sz w:val="14"/>
            <w:szCs w:val="14"/>
            <w:u w:val="single"/>
          </w:rPr>
          <w:t>https://www.hri.global/files/2021/12/13/HRI_PRI_Covid_vaccine_report_FINAL_0612.pdf</w:t>
        </w:r>
      </w:hyperlink>
      <w:r w:rsidRPr="00663617">
        <w:rPr>
          <w:rFonts w:asciiTheme="majorHAnsi" w:hAnsiTheme="majorHAnsi" w:cstheme="majorHAnsi"/>
          <w:sz w:val="14"/>
          <w:szCs w:val="14"/>
        </w:rPr>
        <w:t>, p.21.</w:t>
      </w:r>
    </w:p>
  </w:footnote>
  <w:footnote w:id="84">
    <w:p w14:paraId="000000D4" w14:textId="74075562"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eastAsia="Times New Roman" w:hAnsiTheme="majorHAnsi" w:cstheme="majorHAnsi"/>
          <w:sz w:val="14"/>
          <w:szCs w:val="14"/>
        </w:rPr>
        <w:t>Among others, see: Human Rights Council, Report of the United Nations High Commissioner for Human Rights: Study on the impact of the world drug problem on the enjoyment of human rights (4 September 2015), para. 46-49. UN Doc. A/HRC/30/65; ILO, UNDP, UNESCO, UNFPA, UNHCR, UNICEF, UNODC, UN WOMEN, WFP, WHO, and UNAIDS, Joint Statement: Compulsory drug detention and rehabilitation centres (March 2012), WGAD report.</w:t>
      </w:r>
    </w:p>
  </w:footnote>
  <w:footnote w:id="85">
    <w:p w14:paraId="000000D5" w14:textId="08836FAC"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eastAsia="Times New Roman" w:hAnsiTheme="majorHAnsi" w:cstheme="majorHAnsi"/>
          <w:sz w:val="14"/>
          <w:szCs w:val="14"/>
        </w:rPr>
        <w:t>UN Committee on Economic, Social and Cultural Rights, General Comment No. 14: The Right to the Highest Attainable Standard of Health (Art. 12 of the Covenant)  (11 August 2000), para. 12. UN Doc. E/C.12/2000/4.</w:t>
      </w:r>
    </w:p>
  </w:footnote>
  <w:footnote w:id="86">
    <w:p w14:paraId="772E0D1C" w14:textId="4CC11F08" w:rsidR="00902C79" w:rsidRPr="00663617" w:rsidRDefault="00902C79">
      <w:pPr>
        <w:pStyle w:val="FootnoteText"/>
        <w:rPr>
          <w:rFonts w:asciiTheme="majorHAnsi" w:hAnsiTheme="majorHAnsi" w:cstheme="majorHAnsi"/>
          <w:sz w:val="14"/>
          <w:szCs w:val="14"/>
        </w:rPr>
      </w:pPr>
      <w:r w:rsidRPr="00663617">
        <w:rPr>
          <w:rStyle w:val="FootnoteReference"/>
          <w:rFonts w:asciiTheme="majorHAnsi" w:hAnsiTheme="majorHAnsi" w:cstheme="majorHAnsi"/>
          <w:sz w:val="14"/>
          <w:szCs w:val="14"/>
        </w:rPr>
        <w:footnoteRef/>
      </w:r>
      <w:r w:rsidRPr="00663617">
        <w:rPr>
          <w:rFonts w:asciiTheme="majorHAnsi" w:hAnsiTheme="majorHAnsi" w:cstheme="majorHAnsi"/>
          <w:sz w:val="14"/>
          <w:szCs w:val="14"/>
        </w:rPr>
        <w:t xml:space="preserve"> Among others, see A/HRC/47/40. </w:t>
      </w:r>
    </w:p>
  </w:footnote>
  <w:footnote w:id="87">
    <w:p w14:paraId="000000D6" w14:textId="77777777"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eastAsia="Times New Roman" w:hAnsiTheme="majorHAnsi" w:cstheme="majorHAnsi"/>
          <w:sz w:val="14"/>
          <w:szCs w:val="14"/>
        </w:rPr>
        <w:t>Evidence supporting this and the other issues reported in this paragraph is with the submitting organisations and available upon request.</w:t>
      </w:r>
    </w:p>
  </w:footnote>
  <w:footnote w:id="88">
    <w:p w14:paraId="000000D7" w14:textId="3369FD2C"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SunStar PH (29 November 2016), </w:t>
      </w:r>
      <w:r w:rsidRPr="00663617">
        <w:rPr>
          <w:rFonts w:asciiTheme="majorHAnsi" w:eastAsia="Times New Roman" w:hAnsiTheme="majorHAnsi" w:cstheme="majorHAnsi"/>
          <w:sz w:val="14"/>
          <w:szCs w:val="14"/>
        </w:rPr>
        <w:t xml:space="preserve">“Duterte Inaugurates Mega Drug Rehab Center in Nueva Ecija,” </w:t>
      </w:r>
      <w:r w:rsidRPr="00663617">
        <w:rPr>
          <w:rFonts w:asciiTheme="majorHAnsi" w:eastAsia="Times New Roman" w:hAnsiTheme="majorHAnsi" w:cstheme="majorHAnsi"/>
          <w:i/>
          <w:sz w:val="14"/>
          <w:szCs w:val="14"/>
        </w:rPr>
        <w:t>SunStar Philippines</w:t>
      </w:r>
      <w:r w:rsidRPr="00663617">
        <w:rPr>
          <w:rFonts w:asciiTheme="majorHAnsi" w:eastAsia="Times New Roman" w:hAnsiTheme="majorHAnsi" w:cstheme="majorHAnsi"/>
          <w:sz w:val="14"/>
          <w:szCs w:val="14"/>
        </w:rPr>
        <w:t>, https://www.sunstar.com.ph/article/112694/Duterte-inaugurates-mega-drug-rehab-center-in-Nueva-Ecija-.</w:t>
      </w:r>
      <w:hyperlink r:id="rId25">
        <w:r w:rsidRPr="00663617">
          <w:rPr>
            <w:rFonts w:asciiTheme="majorHAnsi" w:eastAsia="Times New Roman" w:hAnsiTheme="majorHAnsi" w:cstheme="majorHAnsi"/>
            <w:sz w:val="14"/>
            <w:szCs w:val="14"/>
          </w:rPr>
          <w:t xml:space="preserve"> </w:t>
        </w:r>
      </w:hyperlink>
      <w:r w:rsidRPr="00663617">
        <w:rPr>
          <w:rFonts w:asciiTheme="majorHAnsi" w:hAnsiTheme="majorHAnsi" w:cstheme="majorHAnsi"/>
          <w:sz w:val="14"/>
          <w:szCs w:val="14"/>
        </w:rPr>
        <w:t xml:space="preserve"> </w:t>
      </w:r>
    </w:p>
  </w:footnote>
  <w:footnote w:id="89">
    <w:p w14:paraId="000000FF" w14:textId="114FCC56"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hyperlink r:id="rId26">
        <w:r w:rsidRPr="00663617">
          <w:rPr>
            <w:rFonts w:asciiTheme="majorHAnsi" w:eastAsia="Roboto" w:hAnsiTheme="majorHAnsi" w:cstheme="majorHAnsi"/>
            <w:color w:val="1A73E8"/>
            <w:sz w:val="14"/>
            <w:szCs w:val="14"/>
            <w:highlight w:val="white"/>
            <w:u w:val="single"/>
          </w:rPr>
          <w:t>https://www.ddb.gov.ph/research-statistics/statistics/45-research-and-statistics/586-2021-statistics</w:t>
        </w:r>
      </w:hyperlink>
      <w:r w:rsidRPr="00663617">
        <w:rPr>
          <w:rFonts w:asciiTheme="majorHAnsi" w:eastAsia="Roboto" w:hAnsiTheme="majorHAnsi" w:cstheme="majorHAnsi"/>
          <w:color w:val="1A73E8"/>
          <w:sz w:val="14"/>
          <w:szCs w:val="14"/>
          <w:u w:val="single"/>
        </w:rPr>
        <w:t>.</w:t>
      </w:r>
    </w:p>
  </w:footnote>
  <w:footnote w:id="90">
    <w:p w14:paraId="00000100" w14:textId="3096CE64"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hyperlink r:id="rId27">
        <w:r w:rsidRPr="00663617">
          <w:rPr>
            <w:rFonts w:asciiTheme="majorHAnsi" w:eastAsia="Roboto" w:hAnsiTheme="majorHAnsi" w:cstheme="majorHAnsi"/>
            <w:color w:val="1A73E8"/>
            <w:sz w:val="14"/>
            <w:szCs w:val="14"/>
            <w:highlight w:val="white"/>
          </w:rPr>
          <w:t>https://www.youtube.com/watch?v=2Q216CkEuwY</w:t>
        </w:r>
      </w:hyperlink>
      <w:r w:rsidRPr="00663617">
        <w:rPr>
          <w:rFonts w:asciiTheme="majorHAnsi" w:hAnsiTheme="majorHAnsi" w:cstheme="majorHAnsi"/>
          <w:sz w:val="14"/>
          <w:szCs w:val="14"/>
        </w:rPr>
        <w:t xml:space="preserve"> 1:10:33.</w:t>
      </w:r>
    </w:p>
  </w:footnote>
  <w:footnote w:id="91">
    <w:p w14:paraId="000000D8" w14:textId="2C3017D7"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eastAsia="Times New Roman" w:hAnsiTheme="majorHAnsi" w:cstheme="majorHAnsi"/>
          <w:sz w:val="14"/>
          <w:szCs w:val="14"/>
        </w:rPr>
        <w:t>Dangerous Drugs Board, Board Regulation no. 2 (Series of 2018), Section 1.</w:t>
      </w:r>
    </w:p>
  </w:footnote>
  <w:footnote w:id="92">
    <w:p w14:paraId="00000101" w14:textId="77777777"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https://www.google.com/url?q=https://drive.google.com/file/d/1oFA2C-f-zflWTII3R8P4YIFfHvS009HD/view&amp;sa=D&amp;source=docs&amp;ust=1659946552643191&amp;usg=AOvVaw0tNCT3dl4l04jEMApgOrGi</w:t>
      </w:r>
    </w:p>
  </w:footnote>
  <w:footnote w:id="93">
    <w:p w14:paraId="000000D9" w14:textId="1DA79985"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eastAsia="Times New Roman" w:hAnsiTheme="majorHAnsi" w:cstheme="majorHAnsi"/>
          <w:sz w:val="14"/>
          <w:szCs w:val="14"/>
        </w:rPr>
        <w:t>Dangerous Drugs Board, Board Regulation no. 2 (Series of 2018)., Section 10.</w:t>
      </w:r>
    </w:p>
  </w:footnote>
  <w:footnote w:id="94">
    <w:p w14:paraId="000000FE" w14:textId="0A59D1DF"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hyperlink r:id="rId28">
        <w:r w:rsidRPr="00663617">
          <w:rPr>
            <w:rFonts w:asciiTheme="majorHAnsi" w:hAnsiTheme="majorHAnsi" w:cstheme="majorHAnsi"/>
            <w:color w:val="1155CC"/>
            <w:sz w:val="14"/>
            <w:szCs w:val="14"/>
            <w:u w:val="single"/>
          </w:rPr>
          <w:t>https://www.facebook.com/PNPRecoveryAndWellnessProgram/l</w:t>
        </w:r>
      </w:hyperlink>
      <w:r w:rsidRPr="00663617">
        <w:rPr>
          <w:rFonts w:asciiTheme="majorHAnsi" w:hAnsiTheme="majorHAnsi" w:cstheme="majorHAnsi"/>
          <w:sz w:val="14"/>
          <w:szCs w:val="14"/>
        </w:rPr>
        <w:t>.</w:t>
      </w:r>
    </w:p>
  </w:footnote>
  <w:footnote w:id="95">
    <w:p w14:paraId="000000FD" w14:textId="565DAAD8"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Francis Earl Cueto (15 March 2022), PNP rolls out drug rehab program, </w:t>
      </w:r>
      <w:r w:rsidRPr="00663617">
        <w:rPr>
          <w:rFonts w:asciiTheme="majorHAnsi" w:hAnsiTheme="majorHAnsi" w:cstheme="majorHAnsi"/>
          <w:i/>
          <w:sz w:val="14"/>
          <w:szCs w:val="14"/>
        </w:rPr>
        <w:t>The Manila Times,</w:t>
      </w:r>
      <w:r w:rsidRPr="00663617">
        <w:rPr>
          <w:rFonts w:asciiTheme="majorHAnsi" w:hAnsiTheme="majorHAnsi" w:cstheme="majorHAnsi"/>
          <w:sz w:val="14"/>
          <w:szCs w:val="14"/>
        </w:rPr>
        <w:t xml:space="preserve"> https://www.manilatimes.net/2022/03/15/news/national/pnp-rolls-out-drug-rehab-campaign/1836330.</w:t>
      </w:r>
    </w:p>
  </w:footnote>
  <w:footnote w:id="96">
    <w:p w14:paraId="000000DA" w14:textId="6A4E82D3"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Pr="00663617">
        <w:rPr>
          <w:rFonts w:asciiTheme="majorHAnsi" w:eastAsia="Times New Roman" w:hAnsiTheme="majorHAnsi" w:cstheme="majorHAnsi"/>
          <w:sz w:val="14"/>
          <w:szCs w:val="14"/>
        </w:rPr>
        <w:t>They Just Kill’: Ongoing Extrajudicial Executions and Other Violations in the Philippines’ ‘War On Drugs.’”, 40.</w:t>
      </w:r>
    </w:p>
  </w:footnote>
  <w:footnote w:id="97">
    <w:p w14:paraId="0000009C" w14:textId="5557F3C7"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For more details, see: Harm Reduction International and Asia Centre (2021), ‘Waging War against COVID-19: The Securitisation of Health Responses in Five Asian Countries’: https://www.hri.global/files/2021/06/17/HRI_Briefing_Emergency_Powers_Law_Enforcement.pdf.</w:t>
      </w:r>
    </w:p>
  </w:footnote>
  <w:footnote w:id="98">
    <w:p w14:paraId="0000009D" w14:textId="490C2FE6"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Christina Capatides (2 April 2020), “Shoot them dead”: Philippines President Rodrigo Duterte orders police and military to kill citizens who defy coronavirus lockdown, </w:t>
      </w:r>
      <w:r w:rsidRPr="00663617">
        <w:rPr>
          <w:rFonts w:asciiTheme="majorHAnsi" w:hAnsiTheme="majorHAnsi" w:cstheme="majorHAnsi"/>
          <w:i/>
          <w:sz w:val="14"/>
          <w:szCs w:val="14"/>
        </w:rPr>
        <w:t xml:space="preserve">CBS News, </w:t>
      </w:r>
      <w:r w:rsidRPr="00663617">
        <w:rPr>
          <w:rFonts w:asciiTheme="majorHAnsi" w:hAnsiTheme="majorHAnsi" w:cstheme="majorHAnsi"/>
          <w:sz w:val="14"/>
          <w:szCs w:val="14"/>
        </w:rPr>
        <w:t>https://www.cbsnews.com/news/rodrigo-duterte-philippines-president-coronavirus-lockdown-shoot-people-dead/.</w:t>
      </w:r>
    </w:p>
  </w:footnote>
  <w:footnote w:id="99">
    <w:p w14:paraId="0000009E" w14:textId="4E067B6E"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BBC News (5 April 2021), Covid rule-breaker ‘dies after exercise punishment’; Rappler (6 April 2020); Police shoot dead farmer who attacks them at Agusan del Norte checkpoint; CNN Philippines (22 April 2020), Retired soldier shot dead by police at checkpoint in Quezon City;  https://www.rappler.com/nation/barangay-tanod-kills-curfew-violator-mental-illness-tondo-manila/.</w:t>
      </w:r>
    </w:p>
    <w:p w14:paraId="0000009F" w14:textId="77777777" w:rsidR="00902C79" w:rsidRPr="00663617" w:rsidRDefault="00902C79">
      <w:pPr>
        <w:spacing w:line="240" w:lineRule="auto"/>
        <w:rPr>
          <w:rFonts w:asciiTheme="majorHAnsi" w:hAnsiTheme="majorHAnsi" w:cstheme="majorHAnsi"/>
          <w:sz w:val="14"/>
          <w:szCs w:val="14"/>
        </w:rPr>
      </w:pPr>
    </w:p>
  </w:footnote>
  <w:footnote w:id="100">
    <w:p w14:paraId="000000E7" w14:textId="764FD0AD"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Text available at: </w:t>
      </w:r>
      <w:hyperlink r:id="rId29">
        <w:r w:rsidRPr="00663617">
          <w:rPr>
            <w:rFonts w:asciiTheme="majorHAnsi" w:hAnsiTheme="majorHAnsi" w:cstheme="majorHAnsi"/>
            <w:sz w:val="14"/>
            <w:szCs w:val="14"/>
          </w:rPr>
          <w:t>https://documents-dds-ny.un.org/doc/UNDOC/GEN/G20/264/91/PDF/G2026491.pdf?OpenElement</w:t>
        </w:r>
      </w:hyperlink>
      <w:r w:rsidR="00F57C11" w:rsidRPr="00663617">
        <w:rPr>
          <w:rFonts w:asciiTheme="majorHAnsi" w:hAnsiTheme="majorHAnsi" w:cstheme="majorHAnsi"/>
          <w:sz w:val="14"/>
          <w:szCs w:val="14"/>
        </w:rPr>
        <w:t>.</w:t>
      </w:r>
      <w:r w:rsidRPr="00663617">
        <w:rPr>
          <w:rFonts w:asciiTheme="majorHAnsi" w:hAnsiTheme="majorHAnsi" w:cstheme="majorHAnsi"/>
          <w:sz w:val="14"/>
          <w:szCs w:val="14"/>
        </w:rPr>
        <w:t xml:space="preserve"> </w:t>
      </w:r>
    </w:p>
  </w:footnote>
  <w:footnote w:id="101">
    <w:p w14:paraId="000000E6" w14:textId="0F906227"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00F57C11" w:rsidRPr="00663617">
        <w:rPr>
          <w:rFonts w:asciiTheme="majorHAnsi" w:hAnsiTheme="majorHAnsi" w:cstheme="majorHAnsi"/>
          <w:sz w:val="14"/>
          <w:szCs w:val="14"/>
        </w:rPr>
        <w:t>Among others, see</w:t>
      </w:r>
      <w:r w:rsidRPr="00663617">
        <w:rPr>
          <w:rFonts w:asciiTheme="majorHAnsi" w:hAnsiTheme="majorHAnsi" w:cstheme="majorHAnsi"/>
          <w:sz w:val="14"/>
          <w:szCs w:val="14"/>
        </w:rPr>
        <w:t xml:space="preserve">: Joint Statement: UN Fails to Respond to Human Rights Violations in the Philippines (HRI, IDPC, INPUD, NoBox Philippines), </w:t>
      </w:r>
      <w:hyperlink r:id="rId30">
        <w:r w:rsidRPr="00663617">
          <w:rPr>
            <w:rFonts w:asciiTheme="majorHAnsi" w:hAnsiTheme="majorHAnsi" w:cstheme="majorHAnsi"/>
            <w:sz w:val="14"/>
            <w:szCs w:val="14"/>
          </w:rPr>
          <w:t>https://www.hri.global/contents/2060</w:t>
        </w:r>
      </w:hyperlink>
      <w:r w:rsidR="00F57C11" w:rsidRPr="00663617">
        <w:rPr>
          <w:rFonts w:asciiTheme="majorHAnsi" w:hAnsiTheme="majorHAnsi" w:cstheme="majorHAnsi"/>
          <w:sz w:val="14"/>
          <w:szCs w:val="14"/>
        </w:rPr>
        <w:t>.</w:t>
      </w:r>
    </w:p>
  </w:footnote>
  <w:footnote w:id="102">
    <w:p w14:paraId="000000EF" w14:textId="1C6514B4"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The programme document can be found here: https://drive.google.com/file/d/1DC4CMzmytG8bGQ3k3jX79iK2PWCwJtd3/view</w:t>
      </w:r>
      <w:r w:rsidR="00F57C11" w:rsidRPr="00663617">
        <w:rPr>
          <w:rFonts w:asciiTheme="majorHAnsi" w:hAnsiTheme="majorHAnsi" w:cstheme="majorHAnsi"/>
          <w:sz w:val="14"/>
          <w:szCs w:val="14"/>
        </w:rPr>
        <w:t>.</w:t>
      </w:r>
    </w:p>
  </w:footnote>
  <w:footnote w:id="103">
    <w:p w14:paraId="7B66C227" w14:textId="2280B88C" w:rsidR="00902C79" w:rsidRPr="00663617" w:rsidRDefault="00902C79" w:rsidP="008A5AC1">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00F57C11" w:rsidRPr="00663617">
        <w:rPr>
          <w:rFonts w:asciiTheme="majorHAnsi" w:hAnsiTheme="majorHAnsi" w:cstheme="majorHAnsi"/>
          <w:sz w:val="14"/>
          <w:szCs w:val="14"/>
        </w:rPr>
        <w:t xml:space="preserve"> Harm Reduction International and International Drug Policy Consortium (7 October 2021), Oral Statement on the human rights situation in the Philippines - Human Rights Council 48</w:t>
      </w:r>
      <w:r w:rsidR="00F57C11" w:rsidRPr="00663617">
        <w:rPr>
          <w:rFonts w:asciiTheme="majorHAnsi" w:hAnsiTheme="majorHAnsi" w:cstheme="majorHAnsi"/>
          <w:sz w:val="14"/>
          <w:szCs w:val="14"/>
          <w:vertAlign w:val="superscript"/>
        </w:rPr>
        <w:t>th</w:t>
      </w:r>
      <w:r w:rsidR="00F57C11" w:rsidRPr="00663617">
        <w:rPr>
          <w:rFonts w:asciiTheme="majorHAnsi" w:hAnsiTheme="majorHAnsi" w:cstheme="majorHAnsi"/>
          <w:sz w:val="14"/>
          <w:szCs w:val="14"/>
        </w:rPr>
        <w:t>,</w:t>
      </w:r>
      <w:r w:rsidRPr="00663617">
        <w:rPr>
          <w:rFonts w:asciiTheme="majorHAnsi" w:hAnsiTheme="majorHAnsi" w:cstheme="majorHAnsi"/>
          <w:sz w:val="14"/>
          <w:szCs w:val="14"/>
        </w:rPr>
        <w:t xml:space="preserve"> </w:t>
      </w:r>
      <w:hyperlink r:id="rId31" w:history="1">
        <w:r w:rsidR="00F57C11" w:rsidRPr="00663617">
          <w:rPr>
            <w:rStyle w:val="Hyperlink"/>
            <w:rFonts w:asciiTheme="majorHAnsi" w:hAnsiTheme="majorHAnsi" w:cstheme="majorHAnsi"/>
            <w:sz w:val="14"/>
            <w:szCs w:val="14"/>
          </w:rPr>
          <w:t>https://idpc.net/alerts/2021/10/statement-on-the-human-rights-situation-in-the-philippines-human-rights-council-48th-session</w:t>
        </w:r>
      </w:hyperlink>
      <w:r w:rsidR="00F57C11" w:rsidRPr="00663617">
        <w:rPr>
          <w:rFonts w:asciiTheme="majorHAnsi" w:hAnsiTheme="majorHAnsi" w:cstheme="majorHAnsi"/>
          <w:sz w:val="14"/>
          <w:szCs w:val="14"/>
        </w:rPr>
        <w:t xml:space="preserve">. </w:t>
      </w:r>
    </w:p>
  </w:footnote>
  <w:footnote w:id="104">
    <w:p w14:paraId="000000E9" w14:textId="77777777"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hyperlink r:id="rId32">
        <w:r w:rsidRPr="00663617">
          <w:rPr>
            <w:rFonts w:asciiTheme="majorHAnsi" w:hAnsiTheme="majorHAnsi" w:cstheme="majorHAnsi"/>
            <w:color w:val="1155CC"/>
            <w:sz w:val="14"/>
            <w:szCs w:val="14"/>
            <w:u w:val="single"/>
          </w:rPr>
          <w:t>https://drive.google.com/file/d/1DC4CMzmytG8bGQ3k3jX79iK2PWCwJtd3/view</w:t>
        </w:r>
      </w:hyperlink>
      <w:r w:rsidRPr="00663617">
        <w:rPr>
          <w:rFonts w:asciiTheme="majorHAnsi" w:hAnsiTheme="majorHAnsi" w:cstheme="majorHAnsi"/>
          <w:sz w:val="14"/>
          <w:szCs w:val="14"/>
        </w:rPr>
        <w:t>, p. 29, Indicator 1A.</w:t>
      </w:r>
    </w:p>
  </w:footnote>
  <w:footnote w:id="105">
    <w:p w14:paraId="000000EA" w14:textId="776DDBE2"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00F57C11" w:rsidRPr="00663617">
        <w:rPr>
          <w:rFonts w:asciiTheme="majorHAnsi" w:hAnsiTheme="majorHAnsi" w:cstheme="majorHAnsi"/>
          <w:sz w:val="14"/>
          <w:szCs w:val="14"/>
        </w:rPr>
        <w:t>Ibid.</w:t>
      </w:r>
      <w:r w:rsidRPr="00663617">
        <w:rPr>
          <w:rFonts w:asciiTheme="majorHAnsi" w:hAnsiTheme="majorHAnsi" w:cstheme="majorHAnsi"/>
          <w:sz w:val="14"/>
          <w:szCs w:val="14"/>
        </w:rPr>
        <w:t xml:space="preserve"> p. 32, Indicator 1.3.E.</w:t>
      </w:r>
    </w:p>
  </w:footnote>
  <w:footnote w:id="106">
    <w:p w14:paraId="000000EB" w14:textId="5E1E4909" w:rsidR="00902C79" w:rsidRPr="00663617" w:rsidRDefault="00902C79">
      <w:pPr>
        <w:spacing w:line="240" w:lineRule="auto"/>
        <w:rPr>
          <w:rFonts w:asciiTheme="majorHAnsi" w:hAnsiTheme="majorHAnsi" w:cstheme="majorHAnsi"/>
          <w:sz w:val="14"/>
          <w:szCs w:val="14"/>
          <w:lang w:val="en-GB"/>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00F57C11" w:rsidRPr="00663617">
        <w:rPr>
          <w:rFonts w:asciiTheme="majorHAnsi" w:hAnsiTheme="majorHAnsi" w:cstheme="majorHAnsi"/>
          <w:sz w:val="14"/>
          <w:szCs w:val="14"/>
        </w:rPr>
        <w:t xml:space="preserve">Ibid. </w:t>
      </w:r>
      <w:r w:rsidRPr="00663617">
        <w:rPr>
          <w:rFonts w:asciiTheme="majorHAnsi" w:hAnsiTheme="majorHAnsi" w:cstheme="majorHAnsi"/>
          <w:sz w:val="14"/>
          <w:szCs w:val="14"/>
          <w:lang w:val="en-GB"/>
        </w:rPr>
        <w:t>p. 32, Indicator 1.3.F.</w:t>
      </w:r>
    </w:p>
  </w:footnote>
  <w:footnote w:id="107">
    <w:p w14:paraId="000000EC" w14:textId="05DDD406" w:rsidR="00902C79" w:rsidRPr="00663617" w:rsidRDefault="00902C79">
      <w:pPr>
        <w:spacing w:line="240" w:lineRule="auto"/>
        <w:rPr>
          <w:rFonts w:asciiTheme="majorHAnsi" w:hAnsiTheme="majorHAnsi" w:cstheme="majorHAnsi"/>
          <w:sz w:val="14"/>
          <w:szCs w:val="14"/>
          <w:lang w:val="en-GB"/>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lang w:val="en-GB"/>
        </w:rPr>
        <w:t xml:space="preserve">  </w:t>
      </w:r>
      <w:r w:rsidR="00F57C11" w:rsidRPr="00663617">
        <w:rPr>
          <w:rFonts w:asciiTheme="majorHAnsi" w:hAnsiTheme="majorHAnsi" w:cstheme="majorHAnsi"/>
          <w:sz w:val="14"/>
          <w:szCs w:val="14"/>
        </w:rPr>
        <w:t>Ibid.</w:t>
      </w:r>
      <w:r w:rsidRPr="00663617">
        <w:rPr>
          <w:rFonts w:asciiTheme="majorHAnsi" w:hAnsiTheme="majorHAnsi" w:cstheme="majorHAnsi"/>
          <w:sz w:val="14"/>
          <w:szCs w:val="14"/>
          <w:lang w:val="en-GB"/>
        </w:rPr>
        <w:t>, p. 31, Indicator 1.3.A</w:t>
      </w:r>
    </w:p>
  </w:footnote>
  <w:footnote w:id="108">
    <w:p w14:paraId="000000ED" w14:textId="77777777"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Ibid.</w:t>
      </w:r>
    </w:p>
  </w:footnote>
  <w:footnote w:id="109">
    <w:p w14:paraId="000000EE" w14:textId="263D0B87" w:rsidR="00902C79" w:rsidRPr="00663617" w:rsidRDefault="00902C79">
      <w:pPr>
        <w:spacing w:line="240" w:lineRule="auto"/>
        <w:rPr>
          <w:rFonts w:asciiTheme="majorHAnsi" w:hAnsiTheme="majorHAnsi" w:cstheme="majorHAnsi"/>
          <w:sz w:val="14"/>
          <w:szCs w:val="14"/>
        </w:rPr>
      </w:pPr>
      <w:r w:rsidRPr="00663617">
        <w:rPr>
          <w:rFonts w:asciiTheme="majorHAnsi" w:hAnsiTheme="majorHAnsi" w:cstheme="majorHAnsi"/>
          <w:sz w:val="14"/>
          <w:szCs w:val="14"/>
          <w:vertAlign w:val="superscript"/>
        </w:rPr>
        <w:footnoteRef/>
      </w:r>
      <w:r w:rsidRPr="00663617">
        <w:rPr>
          <w:rFonts w:asciiTheme="majorHAnsi" w:hAnsiTheme="majorHAnsi" w:cstheme="majorHAnsi"/>
          <w:sz w:val="14"/>
          <w:szCs w:val="14"/>
        </w:rPr>
        <w:t xml:space="preserve">  </w:t>
      </w:r>
      <w:r w:rsidR="00F57C11" w:rsidRPr="00663617">
        <w:rPr>
          <w:rFonts w:asciiTheme="majorHAnsi" w:hAnsiTheme="majorHAnsi" w:cstheme="majorHAnsi"/>
          <w:sz w:val="14"/>
          <w:szCs w:val="14"/>
        </w:rPr>
        <w:t xml:space="preserve">Ibid. </w:t>
      </w:r>
      <w:r w:rsidRPr="00663617">
        <w:rPr>
          <w:rFonts w:asciiTheme="majorHAnsi" w:hAnsiTheme="majorHAnsi" w:cstheme="majorHAnsi"/>
          <w:sz w:val="14"/>
          <w:szCs w:val="14"/>
        </w:rPr>
        <w:t>p. 31, Indicators 1.3.B and 1.3.C</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8E" w14:textId="07EBE1CC" w:rsidR="00902C79" w:rsidRDefault="00663617">
    <w:r w:rsidRPr="003219BB">
      <w:rPr>
        <w:rFonts w:ascii="Calibri" w:hAnsi="Calibri" w:cs="Calibri"/>
        <w:b/>
        <w:noProof/>
        <w:lang w:val="en-GB"/>
      </w:rPr>
      <w:drawing>
        <wp:anchor distT="0" distB="0" distL="114300" distR="114300" simplePos="0" relativeHeight="251665408" behindDoc="1" locked="0" layoutInCell="1" allowOverlap="1" wp14:anchorId="7F41F864" wp14:editId="411A0FF5">
          <wp:simplePos x="0" y="0"/>
          <wp:positionH relativeFrom="column">
            <wp:posOffset>1730043</wp:posOffset>
          </wp:positionH>
          <wp:positionV relativeFrom="paragraph">
            <wp:posOffset>-402327</wp:posOffset>
          </wp:positionV>
          <wp:extent cx="1098119" cy="713064"/>
          <wp:effectExtent l="0" t="0" r="6985" b="0"/>
          <wp:wrapTight wrapText="bothSides">
            <wp:wrapPolygon edited="0">
              <wp:start x="0" y="0"/>
              <wp:lineTo x="0" y="20791"/>
              <wp:lineTo x="21363" y="20791"/>
              <wp:lineTo x="21363" y="0"/>
              <wp:lineTo x="0" y="0"/>
            </wp:wrapPolygon>
          </wp:wrapTight>
          <wp:docPr id="8" name="Picture 8" descr="C:\Users\Giada-HRI\AppData\Local\Microsoft\Windows\INetCache\Content.Outlook\7XOVCFJ1\StreetLawPH Square Logo Opaq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iada-HRI\AppData\Local\Microsoft\Windows\INetCache\Content.Outlook\7XOVCFJ1\StreetLawPH Square Logo Opaque.pn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16037" b="19028"/>
                  <a:stretch/>
                </pic:blipFill>
                <pic:spPr bwMode="auto">
                  <a:xfrm>
                    <a:off x="0" y="0"/>
                    <a:ext cx="1098119" cy="713064"/>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Calibri" w:hAnsi="Calibri" w:cs="Calibri"/>
        <w:b/>
        <w:noProof/>
        <w:lang w:val="en-GB"/>
      </w:rPr>
      <w:drawing>
        <wp:anchor distT="0" distB="0" distL="114300" distR="114300" simplePos="0" relativeHeight="251661312" behindDoc="0" locked="0" layoutInCell="1" allowOverlap="1" wp14:anchorId="560A1B28" wp14:editId="0148AE6C">
          <wp:simplePos x="0" y="0"/>
          <wp:positionH relativeFrom="page">
            <wp:posOffset>4168938</wp:posOffset>
          </wp:positionH>
          <wp:positionV relativeFrom="paragraph">
            <wp:posOffset>-339725</wp:posOffset>
          </wp:positionV>
          <wp:extent cx="1098550" cy="594995"/>
          <wp:effectExtent l="0" t="0" r="6350" b="0"/>
          <wp:wrapThrough wrapText="bothSides">
            <wp:wrapPolygon edited="0">
              <wp:start x="0" y="0"/>
              <wp:lineTo x="0" y="20747"/>
              <wp:lineTo x="21350" y="20747"/>
              <wp:lineTo x="21350" y="0"/>
              <wp:lineTo x="0" y="0"/>
            </wp:wrapPolygon>
          </wp:wrapThrough>
          <wp:docPr id="5" name="HRI_logo copy.jpg"/>
          <wp:cNvGraphicFramePr/>
          <a:graphic xmlns:a="http://schemas.openxmlformats.org/drawingml/2006/main">
            <a:graphicData uri="http://schemas.openxmlformats.org/drawingml/2006/picture">
              <pic:pic xmlns:pic="http://schemas.openxmlformats.org/drawingml/2006/picture">
                <pic:nvPicPr>
                  <pic:cNvPr id="1" name="HRI_logo copy.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98550" cy="594995"/>
                  </a:xfrm>
                  <a:prstGeom prst="rect">
                    <a:avLst/>
                  </a:prstGeom>
                </pic:spPr>
              </pic:pic>
            </a:graphicData>
          </a:graphic>
          <wp14:sizeRelH relativeFrom="margin">
            <wp14:pctWidth>0</wp14:pctWidth>
          </wp14:sizeRelH>
          <wp14:sizeRelV relativeFrom="margin">
            <wp14:pctHeight>0</wp14:pctHeight>
          </wp14:sizeRelV>
        </wp:anchor>
      </w:drawing>
    </w:r>
    <w:r w:rsidR="00902C79" w:rsidRPr="00310BE8">
      <w:rPr>
        <w:rFonts w:ascii="Calibri" w:hAnsi="Calibri" w:cs="Calibri"/>
        <w:noProof/>
        <w:color w:val="0000FF"/>
        <w:lang w:val="en-GB"/>
      </w:rPr>
      <w:drawing>
        <wp:anchor distT="0" distB="0" distL="114300" distR="114300" simplePos="0" relativeHeight="251659264" behindDoc="1" locked="0" layoutInCell="1" allowOverlap="1" wp14:anchorId="703371B5" wp14:editId="1685CD8F">
          <wp:simplePos x="0" y="0"/>
          <wp:positionH relativeFrom="margin">
            <wp:align>left</wp:align>
          </wp:positionH>
          <wp:positionV relativeFrom="paragraph">
            <wp:posOffset>-251629</wp:posOffset>
          </wp:positionV>
          <wp:extent cx="1333500" cy="432435"/>
          <wp:effectExtent l="0" t="0" r="0" b="5715"/>
          <wp:wrapTight wrapText="bothSides">
            <wp:wrapPolygon edited="0">
              <wp:start x="4629" y="0"/>
              <wp:lineTo x="0" y="3806"/>
              <wp:lineTo x="0" y="18079"/>
              <wp:lineTo x="1543" y="20934"/>
              <wp:lineTo x="9566" y="20934"/>
              <wp:lineTo x="21291" y="17128"/>
              <wp:lineTo x="21291" y="6661"/>
              <wp:lineTo x="6480" y="0"/>
              <wp:lineTo x="4629" y="0"/>
            </wp:wrapPolygon>
          </wp:wrapTight>
          <wp:docPr id="4" name="Picture 4" descr="https://i.imgur.com/CmkzD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imgur.com/CmkzDht.pn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333500"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02C79" w:rsidRPr="00310BE8">
      <w:rPr>
        <w:rFonts w:ascii="Calibri" w:hAnsi="Calibri" w:cs="Calibri"/>
        <w:noProof/>
        <w:lang w:val="en-GB"/>
      </w:rPr>
      <w:drawing>
        <wp:anchor distT="0" distB="0" distL="114300" distR="114300" simplePos="0" relativeHeight="251663360" behindDoc="1" locked="0" layoutInCell="1" allowOverlap="1" wp14:anchorId="0F2027D2" wp14:editId="60AC6B8D">
          <wp:simplePos x="0" y="0"/>
          <wp:positionH relativeFrom="margin">
            <wp:align>right</wp:align>
          </wp:positionH>
          <wp:positionV relativeFrom="paragraph">
            <wp:posOffset>-329582</wp:posOffset>
          </wp:positionV>
          <wp:extent cx="879475" cy="570230"/>
          <wp:effectExtent l="0" t="0" r="0" b="1270"/>
          <wp:wrapTight wrapText="bothSides">
            <wp:wrapPolygon edited="0">
              <wp:start x="0" y="0"/>
              <wp:lineTo x="0" y="20927"/>
              <wp:lineTo x="21054" y="20927"/>
              <wp:lineTo x="2105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79475" cy="57023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F5124"/>
    <w:multiLevelType w:val="hybridMultilevel"/>
    <w:tmpl w:val="55A638D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6A03CB0"/>
    <w:multiLevelType w:val="multilevel"/>
    <w:tmpl w:val="C34CD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60F54AD"/>
    <w:multiLevelType w:val="hybridMultilevel"/>
    <w:tmpl w:val="D180A51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A400BC6"/>
    <w:multiLevelType w:val="multilevel"/>
    <w:tmpl w:val="C76C08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F01133C"/>
    <w:multiLevelType w:val="hybridMultilevel"/>
    <w:tmpl w:val="48FECD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7B3508"/>
    <w:multiLevelType w:val="multilevel"/>
    <w:tmpl w:val="736A16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1B502B5"/>
    <w:multiLevelType w:val="hybridMultilevel"/>
    <w:tmpl w:val="C68C841E"/>
    <w:lvl w:ilvl="0" w:tplc="03CC0FC4">
      <w:start w:val="1"/>
      <w:numFmt w:val="decimal"/>
      <w:lvlText w:val="%1."/>
      <w:lvlJc w:val="left"/>
      <w:pPr>
        <w:ind w:left="360" w:hanging="360"/>
      </w:pPr>
      <w:rPr>
        <w:rFonts w:hint="default"/>
        <w:b w:val="0"/>
        <w:i w:val="0"/>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5"/>
  </w:num>
  <w:num w:numId="3">
    <w:abstractNumId w:val="3"/>
  </w:num>
  <w:num w:numId="4">
    <w:abstractNumId w:val="2"/>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24DF"/>
    <w:rsid w:val="000B549B"/>
    <w:rsid w:val="00200739"/>
    <w:rsid w:val="002C0179"/>
    <w:rsid w:val="00310BE8"/>
    <w:rsid w:val="003219BB"/>
    <w:rsid w:val="004F1AF4"/>
    <w:rsid w:val="004F6326"/>
    <w:rsid w:val="00544B2A"/>
    <w:rsid w:val="00570A77"/>
    <w:rsid w:val="005A5D3F"/>
    <w:rsid w:val="00613E4A"/>
    <w:rsid w:val="00663617"/>
    <w:rsid w:val="006724DF"/>
    <w:rsid w:val="006F6E21"/>
    <w:rsid w:val="007077CA"/>
    <w:rsid w:val="007B1CCA"/>
    <w:rsid w:val="008A5AC1"/>
    <w:rsid w:val="008C46E9"/>
    <w:rsid w:val="00902C79"/>
    <w:rsid w:val="00A25D82"/>
    <w:rsid w:val="00A57628"/>
    <w:rsid w:val="00B75551"/>
    <w:rsid w:val="00CA5D43"/>
    <w:rsid w:val="00CA612D"/>
    <w:rsid w:val="00F57C11"/>
    <w:rsid w:val="00FD7E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C03AD"/>
  <w15:docId w15:val="{7616AD8C-D38E-4D5E-8485-6B6E50B2D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CA5D4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5D43"/>
    <w:rPr>
      <w:rFonts w:ascii="Segoe UI" w:hAnsi="Segoe UI" w:cs="Segoe UI"/>
      <w:sz w:val="18"/>
      <w:szCs w:val="18"/>
    </w:rPr>
  </w:style>
  <w:style w:type="paragraph" w:customStyle="1" w:styleId="Default">
    <w:name w:val="Default"/>
    <w:rsid w:val="00CA5D43"/>
    <w:pPr>
      <w:autoSpaceDE w:val="0"/>
      <w:autoSpaceDN w:val="0"/>
      <w:adjustRightInd w:val="0"/>
      <w:spacing w:line="240" w:lineRule="auto"/>
    </w:pPr>
    <w:rPr>
      <w:rFonts w:ascii="Times New Roman" w:hAnsi="Times New Roman" w:cs="Times New Roman"/>
      <w:color w:val="000000"/>
      <w:sz w:val="24"/>
      <w:szCs w:val="24"/>
      <w:lang w:val="en-GB"/>
    </w:rPr>
  </w:style>
  <w:style w:type="paragraph" w:styleId="ListParagraph">
    <w:name w:val="List Paragraph"/>
    <w:basedOn w:val="Normal"/>
    <w:uiPriority w:val="34"/>
    <w:qFormat/>
    <w:rsid w:val="007077CA"/>
    <w:pPr>
      <w:ind w:left="720"/>
      <w:contextualSpacing/>
    </w:pPr>
  </w:style>
  <w:style w:type="paragraph" w:styleId="FootnoteText">
    <w:name w:val="footnote text"/>
    <w:basedOn w:val="Normal"/>
    <w:link w:val="FootnoteTextChar"/>
    <w:uiPriority w:val="99"/>
    <w:semiHidden/>
    <w:unhideWhenUsed/>
    <w:rsid w:val="004F6326"/>
    <w:pPr>
      <w:spacing w:line="240" w:lineRule="auto"/>
    </w:pPr>
    <w:rPr>
      <w:sz w:val="20"/>
      <w:szCs w:val="20"/>
    </w:rPr>
  </w:style>
  <w:style w:type="character" w:customStyle="1" w:styleId="FootnoteTextChar">
    <w:name w:val="Footnote Text Char"/>
    <w:basedOn w:val="DefaultParagraphFont"/>
    <w:link w:val="FootnoteText"/>
    <w:uiPriority w:val="99"/>
    <w:semiHidden/>
    <w:rsid w:val="004F6326"/>
    <w:rPr>
      <w:sz w:val="20"/>
      <w:szCs w:val="20"/>
    </w:rPr>
  </w:style>
  <w:style w:type="character" w:styleId="FootnoteReference">
    <w:name w:val="footnote reference"/>
    <w:basedOn w:val="DefaultParagraphFont"/>
    <w:uiPriority w:val="99"/>
    <w:semiHidden/>
    <w:unhideWhenUsed/>
    <w:rsid w:val="004F6326"/>
    <w:rPr>
      <w:vertAlign w:val="superscript"/>
    </w:rPr>
  </w:style>
  <w:style w:type="paragraph" w:styleId="CommentSubject">
    <w:name w:val="annotation subject"/>
    <w:basedOn w:val="CommentText"/>
    <w:next w:val="CommentText"/>
    <w:link w:val="CommentSubjectChar"/>
    <w:uiPriority w:val="99"/>
    <w:semiHidden/>
    <w:unhideWhenUsed/>
    <w:rsid w:val="004F6326"/>
    <w:rPr>
      <w:b/>
      <w:bCs/>
    </w:rPr>
  </w:style>
  <w:style w:type="character" w:customStyle="1" w:styleId="CommentSubjectChar">
    <w:name w:val="Comment Subject Char"/>
    <w:basedOn w:val="CommentTextChar"/>
    <w:link w:val="CommentSubject"/>
    <w:uiPriority w:val="99"/>
    <w:semiHidden/>
    <w:rsid w:val="004F6326"/>
    <w:rPr>
      <w:b/>
      <w:bCs/>
      <w:sz w:val="20"/>
      <w:szCs w:val="20"/>
    </w:rPr>
  </w:style>
  <w:style w:type="character" w:styleId="Hyperlink">
    <w:name w:val="Hyperlink"/>
    <w:basedOn w:val="DefaultParagraphFont"/>
    <w:uiPriority w:val="99"/>
    <w:unhideWhenUsed/>
    <w:rsid w:val="00310BE8"/>
    <w:rPr>
      <w:color w:val="0000FF" w:themeColor="hyperlink"/>
      <w:u w:val="single"/>
    </w:rPr>
  </w:style>
  <w:style w:type="paragraph" w:customStyle="1" w:styleId="BodyText1">
    <w:name w:val="Body Text1"/>
    <w:rsid w:val="00310BE8"/>
    <w:pPr>
      <w:spacing w:after="120" w:line="256" w:lineRule="auto"/>
    </w:pPr>
    <w:rPr>
      <w:rFonts w:ascii="Lucida Grande" w:eastAsia="ヒラギノ角ゴ Pro W3" w:hAnsi="Lucida Grande" w:cs="Times New Roman"/>
      <w:color w:val="000000"/>
      <w:szCs w:val="20"/>
      <w:lang w:val="en-GB"/>
    </w:rPr>
  </w:style>
  <w:style w:type="character" w:styleId="Strong">
    <w:name w:val="Strong"/>
    <w:basedOn w:val="DefaultParagraphFont"/>
    <w:uiPriority w:val="22"/>
    <w:qFormat/>
    <w:rsid w:val="00310BE8"/>
    <w:rPr>
      <w:b/>
      <w:bCs/>
    </w:rPr>
  </w:style>
  <w:style w:type="paragraph" w:styleId="Header">
    <w:name w:val="header"/>
    <w:basedOn w:val="Normal"/>
    <w:link w:val="HeaderChar"/>
    <w:uiPriority w:val="99"/>
    <w:unhideWhenUsed/>
    <w:rsid w:val="00570A77"/>
    <w:pPr>
      <w:tabs>
        <w:tab w:val="center" w:pos="4513"/>
        <w:tab w:val="right" w:pos="9026"/>
      </w:tabs>
      <w:spacing w:line="240" w:lineRule="auto"/>
    </w:pPr>
  </w:style>
  <w:style w:type="character" w:customStyle="1" w:styleId="HeaderChar">
    <w:name w:val="Header Char"/>
    <w:basedOn w:val="DefaultParagraphFont"/>
    <w:link w:val="Header"/>
    <w:uiPriority w:val="99"/>
    <w:rsid w:val="00570A77"/>
  </w:style>
  <w:style w:type="paragraph" w:styleId="Footer">
    <w:name w:val="footer"/>
    <w:basedOn w:val="Normal"/>
    <w:link w:val="FooterChar"/>
    <w:uiPriority w:val="99"/>
    <w:unhideWhenUsed/>
    <w:rsid w:val="00570A77"/>
    <w:pPr>
      <w:tabs>
        <w:tab w:val="center" w:pos="4513"/>
        <w:tab w:val="right" w:pos="9026"/>
      </w:tabs>
      <w:spacing w:line="240" w:lineRule="auto"/>
    </w:pPr>
  </w:style>
  <w:style w:type="character" w:customStyle="1" w:styleId="FooterChar">
    <w:name w:val="Footer Char"/>
    <w:basedOn w:val="DefaultParagraphFont"/>
    <w:link w:val="Footer"/>
    <w:uiPriority w:val="99"/>
    <w:rsid w:val="00570A77"/>
  </w:style>
  <w:style w:type="paragraph" w:customStyle="1" w:styleId="CommentText1">
    <w:name w:val="Comment Text1"/>
    <w:autoRedefine/>
    <w:rsid w:val="003219BB"/>
    <w:pPr>
      <w:spacing w:after="120" w:line="252" w:lineRule="auto"/>
      <w:jc w:val="both"/>
    </w:pPr>
    <w:rPr>
      <w:rFonts w:ascii="Times New Roman" w:eastAsia="ヒラギノ角ゴ Pro W3" w:hAnsi="Times New Roman" w:cs="Times New Roman"/>
      <w:bCs/>
      <w:color w:val="00000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71207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ayhello@nobox.ph" TargetMode="External"/><Relationship Id="rId13" Type="http://schemas.openxmlformats.org/officeDocument/2006/relationships/image" Target="media/image4.jpe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customXml" Target="../customXml/item1.xml"/><Relationship Id="rId7" Type="http://schemas.openxmlformats.org/officeDocument/2006/relationships/image" Target="media/image1.png"/><Relationship Id="rId12" Type="http://schemas.openxmlformats.org/officeDocument/2006/relationships/hyperlink" Target="mailto:giada.girelli@hri.globa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facebook.com/realnumbersph/photos/pcb.1960222687492593/1960222577492604"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yperlink" Target="https://www.facebook.com/realnumbersph/photos/pcb.1960222687492593/1960222577492604" TargetMode="External"/><Relationship Id="rId23" Type="http://schemas.openxmlformats.org/officeDocument/2006/relationships/customXml" Target="../customXml/item3.xml"/><Relationship Id="rId10" Type="http://schemas.openxmlformats.org/officeDocument/2006/relationships/hyperlink" Target="mailto:eyakapcebph@gmail.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mailto:contact@idpc.net" TargetMode="External"/><Relationship Id="rId22"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news/2018/06/22/philippine-school-kids-may-face-mandatory-drug-tests" TargetMode="External"/><Relationship Id="rId13" Type="http://schemas.openxmlformats.org/officeDocument/2006/relationships/hyperlink" Target="https://www.hrw.org/news/2016/08/02/philippines-condemn-surge-killings-criminal-suspects" TargetMode="External"/><Relationship Id="rId18" Type="http://schemas.openxmlformats.org/officeDocument/2006/relationships/hyperlink" Target="https://www.unodc.org/documents/postungass2016/outcome/V1603301-E.pdf" TargetMode="External"/><Relationship Id="rId26" Type="http://schemas.openxmlformats.org/officeDocument/2006/relationships/hyperlink" Target="https://www.ddb.gov.ph/research-statistics/statistics/45-research-and-statistics/586-2021-statistics" TargetMode="External"/><Relationship Id="rId3" Type="http://schemas.openxmlformats.org/officeDocument/2006/relationships/hyperlink" Target="https://www.undp.org/content/dam/undp/library/HIV-AIDS/Discussion-Paper--Addressing-the-Development-Dimensions-of-Drug-Policy.pdf" TargetMode="External"/><Relationship Id="rId21" Type="http://schemas.openxmlformats.org/officeDocument/2006/relationships/hyperlink" Target="https://www.rappler.com/newsbreak/in-depth/264492-hidden-victims-coronavirus-pandemic-philippines-prisoners-jail-aide-convict/" TargetMode="External"/><Relationship Id="rId7" Type="http://schemas.openxmlformats.org/officeDocument/2006/relationships/hyperlink" Target="https://www.deped.gov.ph/wp-content/uploads/2017/08/DO_s2017_040.pdf" TargetMode="External"/><Relationship Id="rId12" Type="http://schemas.openxmlformats.org/officeDocument/2006/relationships/hyperlink" Target="https://www.unodc.org/documents/prevention/UNODC_2013_2015_international_standards_on_drug_use_prevention_E.pdf" TargetMode="External"/><Relationship Id="rId17" Type="http://schemas.openxmlformats.org/officeDocument/2006/relationships/hyperlink" Target="https://www.rappler.com/nation/what-drug-war-under-marcos-jr-will-look-like-according-benhur-abalos-dilg/" TargetMode="External"/><Relationship Id="rId25" Type="http://schemas.openxmlformats.org/officeDocument/2006/relationships/hyperlink" Target="https://www.sunstar.com.ph/article/112694/Duterte-inaugurates-mega-drug-rehab-center-in-Nueva-Ecija-" TargetMode="External"/><Relationship Id="rId2" Type="http://schemas.openxmlformats.org/officeDocument/2006/relationships/hyperlink" Target="https://www.undp.org/content/dam/undp/library/HIV-AIDS/Discussion-Paper--Addressing-the-Development-Dimensions-of-Drug-Policy.pdf" TargetMode="External"/><Relationship Id="rId16" Type="http://schemas.openxmlformats.org/officeDocument/2006/relationships/hyperlink" Target="https://www.ohchr.org/sites/default/files/Documents/Countries/PH/Philippines-HRC44-AEV.pdf" TargetMode="External"/><Relationship Id="rId20" Type="http://schemas.openxmlformats.org/officeDocument/2006/relationships/hyperlink" Target="https://www.businessinsider.com/philippines-police-arrested-people-for-breaching-lockdown-2020-7?r=US&amp;IR=T" TargetMode="External"/><Relationship Id="rId29" Type="http://schemas.openxmlformats.org/officeDocument/2006/relationships/hyperlink" Target="https://documents-dds-ny.un.org/doc/UNDOC/GEN/G20/264/91/PDF/G2026491.pdf?OpenElement" TargetMode="External"/><Relationship Id="rId1" Type="http://schemas.openxmlformats.org/officeDocument/2006/relationships/hyperlink" Target="https://cdn.who.int/media/docs/default-source/hq-tuberculosis/who_globalhbcliststb_2021-2025_backgrounddocument.pdf?sfvrsn=f6b854c2_9" TargetMode="External"/><Relationship Id="rId6" Type="http://schemas.openxmlformats.org/officeDocument/2006/relationships/hyperlink" Target="https://www.deped.gov.ph/wp-content/uploads/2017/08/DO_s2017_040.pdf" TargetMode="External"/><Relationship Id="rId11" Type="http://schemas.openxmlformats.org/officeDocument/2006/relationships/hyperlink" Target="https://www.unodc.org/documents/prevention/UNODC_2013_2015_international_standards_on_drug_use_prevention_E.pdf" TargetMode="External"/><Relationship Id="rId24" Type="http://schemas.openxmlformats.org/officeDocument/2006/relationships/hyperlink" Target="https://www.hri.global/files/2021/12/13/HRI_PRI_Covid_vaccine_report_FINAL_0612.pdf" TargetMode="External"/><Relationship Id="rId32" Type="http://schemas.openxmlformats.org/officeDocument/2006/relationships/hyperlink" Target="https://drive.google.com/file/d/1DC4CMzmytG8bGQ3k3jX79iK2PWCwJtd3/view" TargetMode="External"/><Relationship Id="rId5" Type="http://schemas.openxmlformats.org/officeDocument/2006/relationships/hyperlink" Target="https://www.unsceb.org/CEBPublicFiles/CEB-2018-2-SoD.pdf" TargetMode="External"/><Relationship Id="rId15" Type="http://schemas.openxmlformats.org/officeDocument/2006/relationships/hyperlink" Target="https://www.icc-cpi.int/philippines" TargetMode="External"/><Relationship Id="rId23" Type="http://schemas.openxmlformats.org/officeDocument/2006/relationships/hyperlink" Target="https://peoplesdispatch.org/2021/05/12/in-philippines-death-of-covid-19-infected-political-detainee-reveals-plight-of-prisoners/" TargetMode="External"/><Relationship Id="rId28" Type="http://schemas.openxmlformats.org/officeDocument/2006/relationships/hyperlink" Target="https://www.facebook.com/PNPRecoveryAndWellnessProgram/l" TargetMode="External"/><Relationship Id="rId10" Type="http://schemas.openxmlformats.org/officeDocument/2006/relationships/hyperlink" Target="https://www.opensocietyfoundations.org/publications/impact-drug-policies-children-and-young-people" TargetMode="External"/><Relationship Id="rId19" Type="http://schemas.openxmlformats.org/officeDocument/2006/relationships/hyperlink" Target="https://www.ohchr.org/en/statements/2020/04/statement-un-expert-right-health-protection-people-who-use-drugs-during-covid-19" TargetMode="External"/><Relationship Id="rId31" Type="http://schemas.openxmlformats.org/officeDocument/2006/relationships/hyperlink" Target="https://idpc.net/alerts/2021/10/statement-on-the-human-rights-situation-in-the-philippines-human-rights-council-48th-session" TargetMode="External"/><Relationship Id="rId4" Type="http://schemas.openxmlformats.org/officeDocument/2006/relationships/hyperlink" Target="https://www.unsceb.org/CEBPublicFiles/CEB-2018-2-SoD.pdf" TargetMode="External"/><Relationship Id="rId9" Type="http://schemas.openxmlformats.org/officeDocument/2006/relationships/hyperlink" Target="https://www.opensocietyfoundations.org/publications/impact-drug-policies-children-and-young-people" TargetMode="External"/><Relationship Id="rId14" Type="http://schemas.openxmlformats.org/officeDocument/2006/relationships/hyperlink" Target="https://www.hrw.org/news/2016/08/02/philippines-condemn-surge-killings-criminal-suspects" TargetMode="External"/><Relationship Id="rId22" Type="http://schemas.openxmlformats.org/officeDocument/2006/relationships/hyperlink" Target="https://www.rappler.com/newsbreak/investigative/261509-bilibid-dozens-die-unclear-causes-not-tested-coronavirus/" TargetMode="External"/><Relationship Id="rId27" Type="http://schemas.openxmlformats.org/officeDocument/2006/relationships/hyperlink" Target="https://www.youtube.com/watch?v=2Q216CkEuwY" TargetMode="External"/><Relationship Id="rId30" Type="http://schemas.openxmlformats.org/officeDocument/2006/relationships/hyperlink" Target="https://www.hri.global/contents/2060"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eg"/><Relationship Id="rId1"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88B434-0959-4D05-AB93-2E7661810B13}"/>
</file>

<file path=customXml/itemProps2.xml><?xml version="1.0" encoding="utf-8"?>
<ds:datastoreItem xmlns:ds="http://schemas.openxmlformats.org/officeDocument/2006/customXml" ds:itemID="{81C89E6B-56EB-415B-89EF-155FBC2CD730}"/>
</file>

<file path=customXml/itemProps3.xml><?xml version="1.0" encoding="utf-8"?>
<ds:datastoreItem xmlns:ds="http://schemas.openxmlformats.org/officeDocument/2006/customXml" ds:itemID="{9D776898-ED0B-4398-A225-27C99963556E}"/>
</file>

<file path=docProps/app.xml><?xml version="1.0" encoding="utf-8"?>
<Properties xmlns="http://schemas.openxmlformats.org/officeDocument/2006/extended-properties" xmlns:vt="http://schemas.openxmlformats.org/officeDocument/2006/docPropsVTypes">
  <Template>Normal.dotm</Template>
  <TotalTime>0</TotalTime>
  <Pages>16</Pages>
  <Words>6323</Words>
  <Characters>36044</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HRI</Company>
  <LinksUpToDate>false</LinksUpToDate>
  <CharactersWithSpaces>42283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Giada-HRI</dc:creator>
  <cp:lastModifiedBy>REYNAUD Céline</cp:lastModifiedBy>
  <cp:revision>2</cp:revision>
  <cp:lastPrinted>2022-08-08T14:35:00Z</cp:lastPrinted>
  <dcterms:created xsi:type="dcterms:W3CDTF">2022-08-09T14:56:00Z</dcterms:created>
  <dcterms:modified xsi:type="dcterms:W3CDTF">2022-08-09T14:56:00Z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