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c107586830" w:displacedByCustomXml="next"/>
    <w:sdt>
      <w:sdtPr>
        <w:id w:val="-985700315"/>
        <w:docPartObj>
          <w:docPartGallery w:val="Cover Pages"/>
          <w:docPartUnique/>
        </w:docPartObj>
      </w:sdtPr>
      <w:sdtEndPr>
        <w:rPr>
          <w:highlight w:val="yellow"/>
        </w:rPr>
      </w:sdtEndPr>
      <w:sdtContent>
        <w:p w14:paraId="698C22BB" w14:textId="4DF59D4B" w:rsidR="00961763" w:rsidRDefault="00961763">
          <w:r>
            <w:rPr>
              <w:noProof/>
              <w:lang w:eastAsia="en-GB"/>
            </w:rPr>
            <mc:AlternateContent>
              <mc:Choice Requires="wpg">
                <w:drawing>
                  <wp:anchor distT="0" distB="0" distL="114300" distR="114300" simplePos="0" relativeHeight="251659264" behindDoc="1" locked="0" layoutInCell="1" allowOverlap="1" wp14:anchorId="401D4802" wp14:editId="46137ACB">
                    <wp:simplePos x="0" y="0"/>
                    <wp:positionH relativeFrom="page">
                      <wp:posOffset>440675</wp:posOffset>
                    </wp:positionH>
                    <wp:positionV relativeFrom="page">
                      <wp:posOffset>484742</wp:posOffset>
                    </wp:positionV>
                    <wp:extent cx="6858000" cy="9271750"/>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5"/>
                                <a:ext cx="6858000" cy="4571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6"/>
                              </a:solidFill>
                              <a:ln>
                                <a:noFill/>
                              </a:ln>
                            </wps:spPr>
                            <wps:style>
                              <a:lnRef idx="0">
                                <a:scrgbClr r="0" g="0" b="0"/>
                              </a:lnRef>
                              <a:fillRef idx="0">
                                <a:scrgbClr r="0" g="0" b="0"/>
                              </a:fillRef>
                              <a:effectRef idx="0">
                                <a:scrgbClr r="0" g="0" b="0"/>
                              </a:effectRef>
                              <a:fontRef idx="minor">
                                <a:schemeClr val="lt1"/>
                              </a:fontRef>
                            </wps:style>
                            <wps:txbx>
                              <w:txbxContent>
                                <w:p w14:paraId="3920AD0C" w14:textId="04744D50" w:rsidR="00961763" w:rsidRDefault="0093275D" w:rsidP="0093275D">
                                  <w:pPr>
                                    <w:pStyle w:val="NoSpacing"/>
                                    <w:jc w:val="right"/>
                                    <w:rPr>
                                      <w:caps/>
                                      <w:color w:val="FFFFFF" w:themeColor="background1"/>
                                    </w:rPr>
                                  </w:pPr>
                                  <w:r>
                                    <w:rPr>
                                      <w:caps/>
                                      <w:noProof/>
                                      <w:color w:val="FFFFFF" w:themeColor="background1"/>
                                      <w:lang w:val="en-GB" w:eastAsia="en-GB"/>
                                    </w:rPr>
                                    <w:drawing>
                                      <wp:inline distT="0" distB="0" distL="0" distR="0" wp14:anchorId="7CC6B9A5" wp14:editId="3FF87C0F">
                                        <wp:extent cx="2291306" cy="1176204"/>
                                        <wp:effectExtent l="0" t="0" r="0" b="5080"/>
                                        <wp:docPr id="4" name="Picture 4" descr="A picture containing text,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ark&#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301788" cy="1181585"/>
                                                </a:xfrm>
                                                <a:prstGeom prst="rect">
                                                  <a:avLst/>
                                                </a:prstGeom>
                                              </pic:spPr>
                                            </pic:pic>
                                          </a:graphicData>
                                        </a:graphic>
                                      </wp:inline>
                                    </w:drawing>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B03C6D6" w14:textId="5296951E" w:rsidR="00961763" w:rsidRDefault="00EA2943">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Submission to the Committee on the Rights of the child</w:t>
                                      </w:r>
                                    </w:p>
                                  </w:sdtContent>
                                </w:sdt>
                                <w:p w14:paraId="53F3CB2F" w14:textId="77777777" w:rsidR="00EA2943" w:rsidRDefault="00E1414A">
                                  <w:pPr>
                                    <w:pStyle w:val="NoSpacing"/>
                                    <w:spacing w:before="240"/>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EA2943">
                                        <w:rPr>
                                          <w:caps/>
                                          <w:color w:val="44546A" w:themeColor="text2"/>
                                          <w:sz w:val="36"/>
                                          <w:szCs w:val="36"/>
                                        </w:rPr>
                                        <w:t>AKIDWA</w:t>
                                      </w:r>
                                    </w:sdtContent>
                                  </w:sdt>
                                  <w:r w:rsidR="00EA2943">
                                    <w:rPr>
                                      <w:caps/>
                                      <w:color w:val="44546A" w:themeColor="text2"/>
                                      <w:sz w:val="36"/>
                                      <w:szCs w:val="36"/>
                                    </w:rPr>
                                    <w:t xml:space="preserve">  </w:t>
                                  </w:r>
                                </w:p>
                                <w:p w14:paraId="4AEFCF64" w14:textId="498104EA" w:rsidR="00961763" w:rsidRDefault="007C4EFD">
                                  <w:pPr>
                                    <w:pStyle w:val="NoSpacing"/>
                                    <w:spacing w:before="240"/>
                                    <w:rPr>
                                      <w:caps/>
                                      <w:color w:val="44546A" w:themeColor="text2"/>
                                      <w:sz w:val="36"/>
                                      <w:szCs w:val="36"/>
                                    </w:rPr>
                                  </w:pPr>
                                  <w:r>
                                    <w:rPr>
                                      <w:caps/>
                                      <w:color w:val="44546A" w:themeColor="text2"/>
                                      <w:sz w:val="36"/>
                                      <w:szCs w:val="36"/>
                                    </w:rPr>
                                    <w:t xml:space="preserve">August </w:t>
                                  </w:r>
                                  <w:r w:rsidR="00EA2943">
                                    <w:rPr>
                                      <w:caps/>
                                      <w:color w:val="44546A" w:themeColor="text2"/>
                                      <w:sz w:val="36"/>
                                      <w:szCs w:val="36"/>
                                    </w:rPr>
                                    <w:t>2022</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01D4802" id="Group 119" o:spid="_x0000_s1026" style="position:absolute;margin-left:34.7pt;margin-top:38.15pt;width:540pt;height:730.05pt;z-index:-251657216;mso-position-horizontal-relative:page;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">
                    <v:rect id="Rectangle 120" o:spid="_x0000_s1027" style="position:absolute;top:73152;width:68580;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" fillcolor="#70ad47 [3209]" stroked="f">
                      <v:textbox inset="36pt,14.4pt,36pt,36pt">
                        <w:txbxContent>
                          <w:p w14:paraId="3920AD0C" w14:textId="04744D50" w:rsidR="00961763" w:rsidRDefault="0093275D" w:rsidP="0093275D">
                            <w:pPr>
                              <w:pStyle w:val="NoSpacing"/>
                              <w:jc w:val="right"/>
                              <w:rPr>
                                <w:caps/>
                                <w:color w:val="FFFFFF" w:themeColor="background1"/>
                              </w:rPr>
                            </w:pPr>
                            <w:r>
                              <w:rPr>
                                <w:caps/>
                                <w:noProof/>
                                <w:color w:val="FFFFFF" w:themeColor="background1"/>
                              </w:rPr>
                              <w:drawing>
                                <wp:inline distT="0" distB="0" distL="0" distR="0" wp14:anchorId="7CC6B9A5" wp14:editId="3FF87C0F">
                                  <wp:extent cx="2291306" cy="1176204"/>
                                  <wp:effectExtent l="0" t="0" r="0" b="5080"/>
                                  <wp:docPr id="4" name="Picture 4" descr="A picture containing text,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ar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01788" cy="1181585"/>
                                          </a:xfrm>
                                          <a:prstGeom prst="rect">
                                            <a:avLst/>
                                          </a:prstGeom>
                                        </pic:spPr>
                                      </pic:pic>
                                    </a:graphicData>
                                  </a:graphic>
                                </wp:inline>
                              </w:drawing>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B03C6D6" w14:textId="5296951E" w:rsidR="00961763" w:rsidRDefault="00EA2943">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Submission to the Committee on the Rights of the child</w:t>
                                </w:r>
                              </w:p>
                            </w:sdtContent>
                          </w:sdt>
                          <w:p w14:paraId="53F3CB2F" w14:textId="77777777" w:rsidR="00EA2943" w:rsidRDefault="00961763">
                            <w:pPr>
                              <w:pStyle w:val="NoSpacing"/>
                              <w:spacing w:before="240"/>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EA2943">
                                  <w:rPr>
                                    <w:caps/>
                                    <w:color w:val="44546A" w:themeColor="text2"/>
                                    <w:sz w:val="36"/>
                                    <w:szCs w:val="36"/>
                                  </w:rPr>
                                  <w:t>AKIDWA</w:t>
                                </w:r>
                              </w:sdtContent>
                            </w:sdt>
                            <w:r w:rsidR="00EA2943">
                              <w:rPr>
                                <w:caps/>
                                <w:color w:val="44546A" w:themeColor="text2"/>
                                <w:sz w:val="36"/>
                                <w:szCs w:val="36"/>
                              </w:rPr>
                              <w:t xml:space="preserve">  </w:t>
                            </w:r>
                          </w:p>
                          <w:p w14:paraId="4AEFCF64" w14:textId="498104EA" w:rsidR="00961763" w:rsidRDefault="007C4EFD">
                            <w:pPr>
                              <w:pStyle w:val="NoSpacing"/>
                              <w:spacing w:before="240"/>
                              <w:rPr>
                                <w:caps/>
                                <w:color w:val="44546A" w:themeColor="text2"/>
                                <w:sz w:val="36"/>
                                <w:szCs w:val="36"/>
                              </w:rPr>
                            </w:pPr>
                            <w:r>
                              <w:rPr>
                                <w:caps/>
                                <w:color w:val="44546A" w:themeColor="text2"/>
                                <w:sz w:val="36"/>
                                <w:szCs w:val="36"/>
                              </w:rPr>
                              <w:t xml:space="preserve">August </w:t>
                            </w:r>
                            <w:r w:rsidR="00EA2943">
                              <w:rPr>
                                <w:caps/>
                                <w:color w:val="44546A" w:themeColor="text2"/>
                                <w:sz w:val="36"/>
                                <w:szCs w:val="36"/>
                              </w:rPr>
                              <w:t>2022</w:t>
                            </w:r>
                          </w:p>
                        </w:txbxContent>
                      </v:textbox>
                    </v:shape>
                    <w10:wrap anchorx="page" anchory="page"/>
                  </v:group>
                </w:pict>
              </mc:Fallback>
            </mc:AlternateContent>
          </w:r>
        </w:p>
        <w:p w14:paraId="58A82671" w14:textId="7D735E4D" w:rsidR="00961763" w:rsidRDefault="00961763">
          <w:pPr>
            <w:spacing w:after="0" w:line="240" w:lineRule="auto"/>
            <w:rPr>
              <w:highlight w:val="yellow"/>
            </w:rPr>
          </w:pPr>
          <w:r>
            <w:rPr>
              <w:highlight w:val="yellow"/>
            </w:rPr>
            <w:br w:type="page"/>
          </w:r>
        </w:p>
      </w:sdtContent>
    </w:sdt>
    <w:p w14:paraId="7461A243" w14:textId="77777777" w:rsidR="00961763" w:rsidRDefault="00961763" w:rsidP="003E1327">
      <w:pPr>
        <w:rPr>
          <w:highlight w:val="yellow"/>
        </w:rPr>
      </w:pPr>
    </w:p>
    <w:p w14:paraId="7CA1A507" w14:textId="1C3E805B" w:rsidR="007C4EFD" w:rsidRDefault="007C4EFD">
      <w:pPr>
        <w:spacing w:after="0" w:line="240" w:lineRule="auto"/>
        <w:rPr>
          <w:highlight w:val="yellow"/>
        </w:rPr>
      </w:pPr>
      <w:r>
        <w:rPr>
          <w:highlight w:val="yellow"/>
        </w:rPr>
        <w:t>TABLE OF CONTENT</w:t>
      </w:r>
      <w:r>
        <w:rPr>
          <w:highlight w:val="yellow"/>
        </w:rPr>
        <w:br/>
      </w:r>
    </w:p>
    <w:p w14:paraId="24CEE8AB" w14:textId="77777777" w:rsidR="007C4EFD" w:rsidRDefault="007C4EFD">
      <w:pPr>
        <w:spacing w:after="0" w:line="240" w:lineRule="auto"/>
        <w:rPr>
          <w:highlight w:val="yellow"/>
        </w:rPr>
      </w:pPr>
      <w:r>
        <w:rPr>
          <w:highlight w:val="yellow"/>
        </w:rPr>
        <w:br w:type="page"/>
      </w:r>
    </w:p>
    <w:p w14:paraId="09E7CA09" w14:textId="77777777" w:rsidR="00961763" w:rsidRDefault="00961763">
      <w:pPr>
        <w:spacing w:after="0" w:line="240" w:lineRule="auto"/>
        <w:rPr>
          <w:highlight w:val="yellow"/>
        </w:rPr>
      </w:pPr>
    </w:p>
    <w:p w14:paraId="015F8EAF" w14:textId="6F35F6AA" w:rsidR="003319F6" w:rsidRPr="00871643" w:rsidRDefault="003319F6" w:rsidP="000022A5">
      <w:pPr>
        <w:pStyle w:val="Heading1"/>
      </w:pPr>
      <w:r w:rsidRPr="00FF59AB">
        <w:t>Introduction</w:t>
      </w:r>
      <w:bookmarkEnd w:id="1"/>
    </w:p>
    <w:p w14:paraId="49F1922F" w14:textId="64EA8CDA" w:rsidR="003319F6" w:rsidRPr="005E4CED" w:rsidRDefault="003319F6" w:rsidP="003319F6">
      <w:pPr>
        <w:spacing w:line="360" w:lineRule="auto"/>
        <w:jc w:val="both"/>
        <w:rPr>
          <w:rFonts w:cstheme="minorHAnsi"/>
          <w:sz w:val="24"/>
          <w:szCs w:val="24"/>
        </w:rPr>
      </w:pPr>
      <w:r w:rsidRPr="005E4CED">
        <w:rPr>
          <w:rFonts w:cstheme="minorHAnsi"/>
          <w:sz w:val="24"/>
          <w:szCs w:val="24"/>
        </w:rPr>
        <w:t xml:space="preserve">Akina Dada Wa Africa-AkiDwA (Swahili for sisterhood), also known as AkiDwA is a registered charity organisation which forms a national network of African women living in Ireland. Since its inception in 2001, the organisation has worked earnestly to promote equality and justice for migrant women particularly African women to realise its vision for a fair and just Ireland with equal access to resources in all aspects of society: social, cultural, economic, civic and political. AkiDwA </w:t>
      </w:r>
      <w:r w:rsidR="008D5489">
        <w:rPr>
          <w:rFonts w:cstheme="minorHAnsi"/>
          <w:sz w:val="24"/>
          <w:szCs w:val="24"/>
        </w:rPr>
        <w:t xml:space="preserve">supports </w:t>
      </w:r>
      <w:r w:rsidRPr="005E4CED">
        <w:rPr>
          <w:rFonts w:cstheme="minorHAnsi"/>
          <w:sz w:val="24"/>
          <w:szCs w:val="24"/>
        </w:rPr>
        <w:t xml:space="preserve">the integration of African women into </w:t>
      </w:r>
      <w:r w:rsidR="008D5489">
        <w:rPr>
          <w:rFonts w:cstheme="minorHAnsi"/>
          <w:sz w:val="24"/>
          <w:szCs w:val="24"/>
        </w:rPr>
        <w:t>Ireland</w:t>
      </w:r>
      <w:r w:rsidRPr="005E4CED">
        <w:rPr>
          <w:rFonts w:cstheme="minorHAnsi"/>
          <w:sz w:val="24"/>
          <w:szCs w:val="24"/>
        </w:rPr>
        <w:t xml:space="preserve"> and</w:t>
      </w:r>
      <w:r w:rsidR="008D5489">
        <w:rPr>
          <w:rFonts w:cstheme="minorHAnsi"/>
          <w:sz w:val="24"/>
          <w:szCs w:val="24"/>
        </w:rPr>
        <w:t xml:space="preserve"> advocates</w:t>
      </w:r>
      <w:r w:rsidRPr="005E4CED">
        <w:rPr>
          <w:rFonts w:cstheme="minorHAnsi"/>
          <w:sz w:val="24"/>
          <w:szCs w:val="24"/>
        </w:rPr>
        <w:t xml:space="preserve"> that migrant women live a life free of gender and racial discrimination and the </w:t>
      </w:r>
      <w:r w:rsidR="009A31BA">
        <w:rPr>
          <w:rFonts w:cstheme="minorHAnsi"/>
          <w:sz w:val="24"/>
          <w:szCs w:val="24"/>
        </w:rPr>
        <w:t xml:space="preserve">through the lens of gender equality and international human rights. </w:t>
      </w:r>
      <w:r w:rsidRPr="005E4CED">
        <w:rPr>
          <w:rFonts w:cstheme="minorHAnsi"/>
          <w:sz w:val="24"/>
          <w:szCs w:val="24"/>
        </w:rPr>
        <w:t xml:space="preserve">AkiDwA’s credibility is legitimised by decades long co-operative inter-organisational work and </w:t>
      </w:r>
      <w:r w:rsidR="009A31BA">
        <w:rPr>
          <w:rFonts w:cstheme="minorHAnsi"/>
          <w:sz w:val="24"/>
          <w:szCs w:val="24"/>
        </w:rPr>
        <w:t xml:space="preserve">grass </w:t>
      </w:r>
      <w:proofErr w:type="gramStart"/>
      <w:r w:rsidR="009A31BA">
        <w:rPr>
          <w:rFonts w:cstheme="minorHAnsi"/>
          <w:sz w:val="24"/>
          <w:szCs w:val="24"/>
        </w:rPr>
        <w:t>roots  engagement</w:t>
      </w:r>
      <w:proofErr w:type="gramEnd"/>
      <w:r w:rsidR="009A31BA">
        <w:rPr>
          <w:rFonts w:cstheme="minorHAnsi"/>
          <w:sz w:val="24"/>
          <w:szCs w:val="24"/>
        </w:rPr>
        <w:t xml:space="preserve"> with marginalised communities of migrant </w:t>
      </w:r>
      <w:r w:rsidR="00A62A23">
        <w:rPr>
          <w:rFonts w:cstheme="minorHAnsi"/>
          <w:sz w:val="24"/>
          <w:szCs w:val="24"/>
        </w:rPr>
        <w:t>and advocacy through</w:t>
      </w:r>
      <w:r w:rsidRPr="005E4CED">
        <w:rPr>
          <w:rFonts w:cstheme="minorHAnsi"/>
          <w:sz w:val="24"/>
          <w:szCs w:val="24"/>
        </w:rPr>
        <w:t xml:space="preserve"> evidence-based </w:t>
      </w:r>
      <w:r w:rsidR="00A62A23">
        <w:rPr>
          <w:rFonts w:cstheme="minorHAnsi"/>
          <w:sz w:val="24"/>
          <w:szCs w:val="24"/>
        </w:rPr>
        <w:t>research and s</w:t>
      </w:r>
      <w:r w:rsidRPr="005E4CED">
        <w:rPr>
          <w:rFonts w:cstheme="minorHAnsi"/>
          <w:sz w:val="24"/>
          <w:szCs w:val="24"/>
        </w:rPr>
        <w:t>ubmissions to government departments.</w:t>
      </w:r>
    </w:p>
    <w:p w14:paraId="53820145" w14:textId="11451666" w:rsidR="003319F6" w:rsidRPr="005E4CED" w:rsidRDefault="003319F6" w:rsidP="003319F6">
      <w:pPr>
        <w:spacing w:line="360" w:lineRule="auto"/>
        <w:jc w:val="both"/>
        <w:rPr>
          <w:rFonts w:cstheme="minorHAnsi"/>
          <w:sz w:val="24"/>
          <w:szCs w:val="24"/>
        </w:rPr>
      </w:pPr>
      <w:r w:rsidRPr="005E4CED">
        <w:rPr>
          <w:rFonts w:cstheme="minorHAnsi"/>
          <w:sz w:val="24"/>
          <w:szCs w:val="24"/>
        </w:rPr>
        <w:t>One major manifestation of the discrimination faced by women of African descent in Ireland is the fact that a disproportionate share of children of African descent is taken away from their mothers and placed into state care. In 2013 the interim report on the Child Law Reporting Project indicated that African families are 20 times more likely to end up in the child care courts.</w:t>
      </w:r>
      <w:r w:rsidRPr="005E4CED">
        <w:rPr>
          <w:rStyle w:val="FootnoteReference"/>
          <w:rFonts w:cstheme="minorHAnsi"/>
          <w:sz w:val="24"/>
          <w:szCs w:val="24"/>
        </w:rPr>
        <w:footnoteReference w:id="1"/>
      </w:r>
      <w:r w:rsidRPr="005E4CED">
        <w:rPr>
          <w:rFonts w:cstheme="minorHAnsi"/>
          <w:sz w:val="24"/>
          <w:szCs w:val="24"/>
        </w:rPr>
        <w:t xml:space="preserve"> </w:t>
      </w:r>
      <w:r w:rsidR="00A62A23">
        <w:rPr>
          <w:rFonts w:cstheme="minorHAnsi"/>
          <w:sz w:val="24"/>
          <w:szCs w:val="24"/>
        </w:rPr>
        <w:t>In</w:t>
      </w:r>
      <w:r w:rsidR="00A62A23" w:rsidRPr="005E4CED">
        <w:rPr>
          <w:rFonts w:cstheme="minorHAnsi"/>
          <w:sz w:val="24"/>
          <w:szCs w:val="24"/>
        </w:rPr>
        <w:t xml:space="preserve"> the course of its work with the African community,</w:t>
      </w:r>
      <w:r w:rsidR="00A62A23">
        <w:rPr>
          <w:rFonts w:cstheme="minorHAnsi"/>
          <w:sz w:val="24"/>
          <w:szCs w:val="24"/>
        </w:rPr>
        <w:t xml:space="preserve"> AkiDwA</w:t>
      </w:r>
      <w:r w:rsidR="00A62A23" w:rsidRPr="005E4CED">
        <w:rPr>
          <w:rFonts w:cstheme="minorHAnsi"/>
          <w:sz w:val="24"/>
          <w:szCs w:val="24"/>
        </w:rPr>
        <w:t xml:space="preserve"> has come across several instances of African families being torn apart and African youth becoming violent or engaging in anti-social behaviour. </w:t>
      </w:r>
      <w:r w:rsidR="00A62A23">
        <w:rPr>
          <w:rFonts w:cstheme="minorHAnsi"/>
          <w:sz w:val="24"/>
          <w:szCs w:val="24"/>
        </w:rPr>
        <w:t xml:space="preserve">Thus, </w:t>
      </w:r>
      <w:r w:rsidRPr="005E4CED">
        <w:rPr>
          <w:rFonts w:cstheme="minorHAnsi"/>
          <w:sz w:val="24"/>
          <w:szCs w:val="24"/>
        </w:rPr>
        <w:t>AkiDwA engaged with th</w:t>
      </w:r>
      <w:r w:rsidR="00A62A23">
        <w:rPr>
          <w:rFonts w:cstheme="minorHAnsi"/>
          <w:sz w:val="24"/>
          <w:szCs w:val="24"/>
        </w:rPr>
        <w:t>is</w:t>
      </w:r>
      <w:r w:rsidRPr="005E4CED">
        <w:rPr>
          <w:rFonts w:cstheme="minorHAnsi"/>
          <w:sz w:val="24"/>
          <w:szCs w:val="24"/>
        </w:rPr>
        <w:t xml:space="preserve"> 2013 report </w:t>
      </w:r>
      <w:r w:rsidR="00A62A23">
        <w:rPr>
          <w:rFonts w:cstheme="minorHAnsi"/>
          <w:sz w:val="24"/>
          <w:szCs w:val="24"/>
        </w:rPr>
        <w:t xml:space="preserve">by </w:t>
      </w:r>
      <w:r w:rsidR="00A62A23" w:rsidRPr="005E4CED">
        <w:rPr>
          <w:rFonts w:cstheme="minorHAnsi"/>
          <w:sz w:val="24"/>
          <w:szCs w:val="24"/>
        </w:rPr>
        <w:t>called for state engagement with the structural and societal issues that manifest in the ongoing challenging issues of children being taken into State care through dialogue with the community of African families especially African women who are often the primary child car</w:t>
      </w:r>
      <w:r w:rsidR="00A62A23">
        <w:rPr>
          <w:rFonts w:cstheme="minorHAnsi"/>
          <w:sz w:val="24"/>
          <w:szCs w:val="24"/>
        </w:rPr>
        <w:t>ers.</w:t>
      </w:r>
      <w:r w:rsidRPr="005E4CED">
        <w:rPr>
          <w:rStyle w:val="FootnoteReference"/>
          <w:rFonts w:cstheme="minorHAnsi"/>
          <w:sz w:val="24"/>
          <w:szCs w:val="24"/>
        </w:rPr>
        <w:footnoteReference w:id="2"/>
      </w:r>
      <w:r w:rsidRPr="005E4CED">
        <w:rPr>
          <w:rFonts w:cstheme="minorHAnsi"/>
          <w:sz w:val="24"/>
          <w:szCs w:val="24"/>
        </w:rPr>
        <w:t xml:space="preserve"> </w:t>
      </w:r>
    </w:p>
    <w:p w14:paraId="3D77A476" w14:textId="5D6C7D94" w:rsidR="003319F6" w:rsidRDefault="0093275D" w:rsidP="003319F6">
      <w:pPr>
        <w:spacing w:after="160" w:line="360" w:lineRule="auto"/>
        <w:jc w:val="both"/>
        <w:rPr>
          <w:rFonts w:cstheme="minorHAnsi"/>
          <w:sz w:val="24"/>
          <w:szCs w:val="24"/>
        </w:rPr>
      </w:pPr>
      <w:r>
        <w:rPr>
          <w:rFonts w:cstheme="minorHAnsi"/>
          <w:sz w:val="24"/>
          <w:szCs w:val="24"/>
        </w:rPr>
        <w:t>In 2021 to 2022,</w:t>
      </w:r>
      <w:r w:rsidR="003319F6" w:rsidRPr="005E4CED">
        <w:rPr>
          <w:rFonts w:cstheme="minorHAnsi"/>
          <w:sz w:val="24"/>
          <w:szCs w:val="24"/>
        </w:rPr>
        <w:t xml:space="preserve"> AkiDwA has </w:t>
      </w:r>
      <w:r w:rsidR="00A23FE2">
        <w:rPr>
          <w:rFonts w:cstheme="minorHAnsi"/>
          <w:sz w:val="24"/>
          <w:szCs w:val="24"/>
        </w:rPr>
        <w:t>ran a</w:t>
      </w:r>
      <w:r w:rsidR="003319F6" w:rsidRPr="005E4CED">
        <w:rPr>
          <w:rFonts w:cstheme="minorHAnsi"/>
          <w:sz w:val="24"/>
          <w:szCs w:val="24"/>
        </w:rPr>
        <w:t xml:space="preserve"> project titled “</w:t>
      </w:r>
      <w:r w:rsidR="003319F6" w:rsidRPr="005E4CED">
        <w:rPr>
          <w:rFonts w:cstheme="minorHAnsi"/>
          <w:i/>
          <w:iCs/>
          <w:sz w:val="24"/>
          <w:szCs w:val="24"/>
        </w:rPr>
        <w:t xml:space="preserve">It Takes </w:t>
      </w:r>
      <w:proofErr w:type="gramStart"/>
      <w:r w:rsidR="003319F6" w:rsidRPr="005E4CED">
        <w:rPr>
          <w:rFonts w:cstheme="minorHAnsi"/>
          <w:i/>
          <w:iCs/>
          <w:sz w:val="24"/>
          <w:szCs w:val="24"/>
        </w:rPr>
        <w:t>A</w:t>
      </w:r>
      <w:proofErr w:type="gramEnd"/>
      <w:r w:rsidR="003319F6" w:rsidRPr="005E4CED">
        <w:rPr>
          <w:rFonts w:cstheme="minorHAnsi"/>
          <w:i/>
          <w:iCs/>
          <w:sz w:val="24"/>
          <w:szCs w:val="24"/>
        </w:rPr>
        <w:t xml:space="preserve"> Village to raise A Child</w:t>
      </w:r>
      <w:r w:rsidR="003319F6" w:rsidRPr="005E4CED">
        <w:rPr>
          <w:rFonts w:cstheme="minorHAnsi"/>
          <w:sz w:val="24"/>
          <w:szCs w:val="24"/>
        </w:rPr>
        <w:t xml:space="preserve">” </w:t>
      </w:r>
      <w:r w:rsidR="00A23FE2">
        <w:rPr>
          <w:rFonts w:cstheme="minorHAnsi"/>
          <w:sz w:val="24"/>
          <w:szCs w:val="24"/>
        </w:rPr>
        <w:t>which is</w:t>
      </w:r>
      <w:r w:rsidR="003319F6" w:rsidRPr="005E4CED">
        <w:rPr>
          <w:rFonts w:cstheme="minorHAnsi"/>
          <w:sz w:val="24"/>
          <w:szCs w:val="24"/>
        </w:rPr>
        <w:t xml:space="preserve"> an African proverb</w:t>
      </w:r>
      <w:r w:rsidR="00A23FE2">
        <w:rPr>
          <w:rFonts w:cstheme="minorHAnsi"/>
          <w:sz w:val="24"/>
          <w:szCs w:val="24"/>
        </w:rPr>
        <w:t xml:space="preserve"> that means </w:t>
      </w:r>
      <w:r w:rsidR="003319F6" w:rsidRPr="005E4CED">
        <w:rPr>
          <w:rFonts w:cstheme="minorHAnsi"/>
          <w:sz w:val="24"/>
          <w:szCs w:val="24"/>
        </w:rPr>
        <w:t>that child upbringing is a communal effort</w:t>
      </w:r>
      <w:r w:rsidR="00A23FE2">
        <w:rPr>
          <w:rFonts w:cstheme="minorHAnsi"/>
          <w:sz w:val="24"/>
          <w:szCs w:val="24"/>
        </w:rPr>
        <w:t>.</w:t>
      </w:r>
      <w:r w:rsidR="003319F6" w:rsidRPr="005E4CED">
        <w:rPr>
          <w:rFonts w:cstheme="minorHAnsi"/>
          <w:sz w:val="24"/>
          <w:szCs w:val="24"/>
        </w:rPr>
        <w:t xml:space="preserve"> </w:t>
      </w:r>
      <w:r w:rsidR="00A23FE2">
        <w:rPr>
          <w:rFonts w:cstheme="minorHAnsi"/>
          <w:sz w:val="24"/>
          <w:szCs w:val="24"/>
        </w:rPr>
        <w:t xml:space="preserve">With </w:t>
      </w:r>
      <w:r w:rsidR="008D5489">
        <w:rPr>
          <w:rFonts w:cstheme="minorHAnsi"/>
          <w:sz w:val="24"/>
          <w:szCs w:val="24"/>
        </w:rPr>
        <w:t xml:space="preserve">the </w:t>
      </w:r>
      <w:r w:rsidR="008D5489" w:rsidRPr="005E4CED">
        <w:rPr>
          <w:rFonts w:cstheme="minorHAnsi"/>
          <w:sz w:val="24"/>
          <w:szCs w:val="24"/>
        </w:rPr>
        <w:t>funding</w:t>
      </w:r>
      <w:r w:rsidR="003319F6" w:rsidRPr="005E4CED">
        <w:rPr>
          <w:rFonts w:cstheme="minorHAnsi"/>
          <w:sz w:val="24"/>
          <w:szCs w:val="24"/>
        </w:rPr>
        <w:t xml:space="preserve"> and support of the United Nations High Commissioner for Human Rights (OHCHR)</w:t>
      </w:r>
      <w:r w:rsidR="00A23FE2">
        <w:rPr>
          <w:rFonts w:cstheme="minorHAnsi"/>
          <w:sz w:val="24"/>
          <w:szCs w:val="24"/>
        </w:rPr>
        <w:t xml:space="preserve">, AkiDwA </w:t>
      </w:r>
      <w:r w:rsidR="00A23FE2">
        <w:rPr>
          <w:rFonts w:cstheme="minorHAnsi"/>
          <w:sz w:val="24"/>
          <w:szCs w:val="24"/>
        </w:rPr>
        <w:lastRenderedPageBreak/>
        <w:t>was able to address through community consultations and roundtable discussion with frontline services and other relevant bodies and organisations, the</w:t>
      </w:r>
      <w:r w:rsidR="003319F6" w:rsidRPr="005E4CED">
        <w:rPr>
          <w:rFonts w:cstheme="minorHAnsi"/>
          <w:sz w:val="24"/>
          <w:szCs w:val="24"/>
        </w:rPr>
        <w:t xml:space="preserve"> </w:t>
      </w:r>
      <w:r w:rsidR="00A23FE2">
        <w:rPr>
          <w:rFonts w:cstheme="minorHAnsi"/>
          <w:sz w:val="24"/>
          <w:szCs w:val="24"/>
        </w:rPr>
        <w:t xml:space="preserve">root causes of </w:t>
      </w:r>
      <w:r w:rsidR="003319F6" w:rsidRPr="005E4CED">
        <w:rPr>
          <w:rFonts w:cstheme="minorHAnsi"/>
          <w:sz w:val="24"/>
          <w:szCs w:val="24"/>
        </w:rPr>
        <w:t xml:space="preserve">African children being taken into care of the State, causing the breakup and subsequent dysfunction of families. </w:t>
      </w:r>
      <w:r w:rsidR="00A23FE2">
        <w:rPr>
          <w:rFonts w:cstheme="minorHAnsi"/>
          <w:sz w:val="24"/>
          <w:szCs w:val="24"/>
        </w:rPr>
        <w:t>A key output of this project</w:t>
      </w:r>
      <w:r w:rsidR="003319F6" w:rsidRPr="005E4CED">
        <w:rPr>
          <w:rFonts w:cstheme="minorHAnsi"/>
          <w:sz w:val="24"/>
          <w:szCs w:val="24"/>
        </w:rPr>
        <w:t xml:space="preserve"> cultural differences and challenges in child upbringing of children of African descent by migrant parents in Ireland among service providers, frontline services and decision makers in a bid to realise change and policy reform for a more equal, fair and just Ireland.</w:t>
      </w:r>
      <w:r w:rsidR="00961763" w:rsidRPr="00961763">
        <w:rPr>
          <w:rFonts w:cstheme="minorHAnsi"/>
          <w:sz w:val="24"/>
          <w:szCs w:val="24"/>
        </w:rPr>
        <w:t xml:space="preserve"> </w:t>
      </w:r>
      <w:r w:rsidR="00961763" w:rsidRPr="005E4CED">
        <w:rPr>
          <w:rFonts w:cstheme="minorHAnsi"/>
          <w:sz w:val="24"/>
          <w:szCs w:val="24"/>
        </w:rPr>
        <w:t xml:space="preserve">AkiDwA is therefore uniquely positioned to </w:t>
      </w:r>
      <w:r w:rsidR="00A23FE2">
        <w:rPr>
          <w:rFonts w:cstheme="minorHAnsi"/>
          <w:sz w:val="24"/>
          <w:szCs w:val="24"/>
        </w:rPr>
        <w:t xml:space="preserve">make submissions to the Committee on the Rights of the child </w:t>
      </w:r>
      <w:r w:rsidR="008D5489">
        <w:rPr>
          <w:rFonts w:cstheme="minorHAnsi"/>
          <w:sz w:val="24"/>
          <w:szCs w:val="24"/>
        </w:rPr>
        <w:t>due to its work on children in state care and young migrant girls at risk of female genital mutilation (hereafter, FGM).</w:t>
      </w:r>
    </w:p>
    <w:p w14:paraId="1EBF06F5" w14:textId="6E3304A0" w:rsidR="00961763" w:rsidRDefault="00961763">
      <w:pPr>
        <w:spacing w:after="0" w:line="240" w:lineRule="auto"/>
        <w:rPr>
          <w:rFonts w:cstheme="minorHAnsi"/>
          <w:sz w:val="24"/>
          <w:szCs w:val="24"/>
        </w:rPr>
      </w:pPr>
      <w:r>
        <w:rPr>
          <w:rFonts w:cstheme="minorHAnsi"/>
          <w:sz w:val="24"/>
          <w:szCs w:val="24"/>
        </w:rPr>
        <w:br w:type="page"/>
      </w:r>
    </w:p>
    <w:p w14:paraId="364556F3" w14:textId="77777777" w:rsidR="00E86F05" w:rsidRDefault="00E86F05" w:rsidP="003319F6">
      <w:pPr>
        <w:spacing w:line="360" w:lineRule="auto"/>
        <w:jc w:val="both"/>
        <w:rPr>
          <w:rFonts w:cstheme="minorHAnsi"/>
          <w:sz w:val="24"/>
          <w:szCs w:val="24"/>
        </w:rPr>
      </w:pPr>
    </w:p>
    <w:p w14:paraId="6570DFB3" w14:textId="77777777" w:rsidR="00492944" w:rsidRDefault="00492944" w:rsidP="000022A5">
      <w:pPr>
        <w:pStyle w:val="Heading1"/>
      </w:pPr>
      <w:r>
        <w:t>Article 19 – Protection from Abuse and Harm</w:t>
      </w:r>
    </w:p>
    <w:p w14:paraId="1266A7CE" w14:textId="7551FD57" w:rsidR="00564A7B" w:rsidRPr="00564A7B" w:rsidRDefault="00564A7B" w:rsidP="000022A5">
      <w:pPr>
        <w:pStyle w:val="Heading1"/>
      </w:pPr>
      <w:r w:rsidRPr="00564A7B">
        <w:t>Disproportionate Representation of children from ethnic minorities</w:t>
      </w:r>
    </w:p>
    <w:p w14:paraId="18672D37" w14:textId="2B2DCF32" w:rsidR="00564A7B" w:rsidRDefault="00492944" w:rsidP="00564A7B">
      <w:pPr>
        <w:spacing w:after="160" w:line="360" w:lineRule="auto"/>
        <w:jc w:val="both"/>
        <w:rPr>
          <w:rFonts w:cstheme="minorHAnsi"/>
          <w:sz w:val="24"/>
          <w:szCs w:val="24"/>
        </w:rPr>
      </w:pPr>
      <w:r>
        <w:rPr>
          <w:rFonts w:cstheme="minorHAnsi"/>
          <w:sz w:val="24"/>
          <w:szCs w:val="24"/>
        </w:rPr>
        <w:t>Regardless of the Childcare law Report recommendations in this regard, t</w:t>
      </w:r>
      <w:r w:rsidR="00A62A23">
        <w:rPr>
          <w:rFonts w:cstheme="minorHAnsi"/>
          <w:sz w:val="24"/>
          <w:szCs w:val="24"/>
        </w:rPr>
        <w:t xml:space="preserve">here does not appear to be any migrant specific approach to tackling </w:t>
      </w:r>
      <w:r>
        <w:rPr>
          <w:rFonts w:cstheme="minorHAnsi"/>
          <w:sz w:val="24"/>
          <w:szCs w:val="24"/>
        </w:rPr>
        <w:t>the</w:t>
      </w:r>
      <w:r w:rsidR="00564A7B" w:rsidRPr="005E4CED">
        <w:rPr>
          <w:rFonts w:cstheme="minorHAnsi"/>
          <w:sz w:val="24"/>
          <w:szCs w:val="24"/>
        </w:rPr>
        <w:t xml:space="preserve"> risk factors that put migrant </w:t>
      </w:r>
      <w:r>
        <w:rPr>
          <w:rFonts w:cstheme="minorHAnsi"/>
          <w:sz w:val="24"/>
          <w:szCs w:val="24"/>
        </w:rPr>
        <w:t>children at risk of being removed from their families</w:t>
      </w:r>
      <w:r w:rsidR="00564A7B" w:rsidRPr="005E4CED">
        <w:rPr>
          <w:rFonts w:cstheme="minorHAnsi"/>
          <w:sz w:val="24"/>
          <w:szCs w:val="24"/>
        </w:rPr>
        <w:t>. The 2021 report by Childcare law reform highlighted that Ethnic minority parents – migrants, Travellers and Roma – were disproportionately represented in childcare proceedings.</w:t>
      </w:r>
      <w:r w:rsidR="00564A7B">
        <w:rPr>
          <w:rStyle w:val="FootnoteReference"/>
          <w:rFonts w:cstheme="minorHAnsi"/>
          <w:sz w:val="24"/>
          <w:szCs w:val="24"/>
        </w:rPr>
        <w:footnoteReference w:id="3"/>
      </w:r>
      <w:r w:rsidR="00564A7B" w:rsidRPr="005E4CED">
        <w:rPr>
          <w:rFonts w:cstheme="minorHAnsi"/>
          <w:sz w:val="24"/>
          <w:szCs w:val="24"/>
        </w:rPr>
        <w:t xml:space="preserve"> The issues posed in such cases included trans-national or trans-ethnic placements, children being left behind by a parent, language barriers, and cultural sensitivity. Some cases involved engagement with cultural and traditional practices like early marriage and strict parenting styles, the report recommend on the importance of Commissioning research on the reasons for and implications of a disproportionate number of children subject to care proceedings being from Traveller and ethnic minority backgrounds.</w:t>
      </w:r>
      <w:r w:rsidR="00564A7B" w:rsidRPr="005E4CED">
        <w:rPr>
          <w:rStyle w:val="FootnoteReference"/>
          <w:rFonts w:cstheme="minorHAnsi"/>
          <w:sz w:val="24"/>
          <w:szCs w:val="24"/>
        </w:rPr>
        <w:footnoteReference w:id="4"/>
      </w:r>
      <w:r w:rsidR="00564A7B">
        <w:rPr>
          <w:rFonts w:cstheme="minorHAnsi"/>
          <w:sz w:val="24"/>
          <w:szCs w:val="24"/>
        </w:rPr>
        <w:t xml:space="preserve"> </w:t>
      </w:r>
      <w:r w:rsidR="00564A7B" w:rsidRPr="005E4CED">
        <w:rPr>
          <w:rFonts w:cstheme="minorHAnsi"/>
          <w:sz w:val="24"/>
          <w:szCs w:val="24"/>
        </w:rPr>
        <w:t>Certainly, cultural disparities in parenting is a significant reason why migrant women are parenting in conflict with Irish parenting norms and law.</w:t>
      </w:r>
      <w:r w:rsidR="00564A7B" w:rsidRPr="00564A7B">
        <w:rPr>
          <w:rFonts w:cstheme="minorHAnsi"/>
          <w:sz w:val="24"/>
          <w:szCs w:val="24"/>
        </w:rPr>
        <w:t xml:space="preserve"> </w:t>
      </w:r>
      <w:r w:rsidR="00564A7B">
        <w:rPr>
          <w:rFonts w:cstheme="minorHAnsi"/>
          <w:sz w:val="24"/>
          <w:szCs w:val="24"/>
        </w:rPr>
        <w:t>There is an absence of cultural mediators to speak to the cultural difference between African and Irish culture in the law courts and present this perspective. Indeed the 2021 CCLRP Report highlighted the need for cultural sensitivities to effectively address the complexities of various cultural and traditional practices</w:t>
      </w:r>
      <w:r>
        <w:rPr>
          <w:rFonts w:cstheme="minorHAnsi"/>
          <w:sz w:val="24"/>
          <w:szCs w:val="24"/>
        </w:rPr>
        <w:t>.</w:t>
      </w:r>
    </w:p>
    <w:p w14:paraId="488075E7" w14:textId="69F29BED" w:rsidR="00142DE5" w:rsidRDefault="00142DE5" w:rsidP="00142DE5">
      <w:pPr>
        <w:spacing w:after="160" w:line="360" w:lineRule="auto"/>
        <w:jc w:val="both"/>
        <w:rPr>
          <w:rFonts w:cstheme="minorHAnsi"/>
          <w:sz w:val="24"/>
          <w:szCs w:val="24"/>
        </w:rPr>
      </w:pPr>
      <w:r>
        <w:rPr>
          <w:rFonts w:cstheme="minorHAnsi"/>
          <w:sz w:val="24"/>
          <w:szCs w:val="24"/>
        </w:rPr>
        <w:t>Article 3 and Article</w:t>
      </w:r>
    </w:p>
    <w:p w14:paraId="033806FF" w14:textId="77777777" w:rsidR="00142DE5" w:rsidRDefault="00142DE5" w:rsidP="00142DE5">
      <w:pPr>
        <w:spacing w:line="360" w:lineRule="auto"/>
        <w:jc w:val="both"/>
        <w:rPr>
          <w:rFonts w:cstheme="minorHAnsi"/>
          <w:sz w:val="24"/>
          <w:szCs w:val="24"/>
        </w:rPr>
      </w:pPr>
      <w:r w:rsidRPr="005E4CED">
        <w:rPr>
          <w:rFonts w:cstheme="minorHAnsi"/>
          <w:sz w:val="24"/>
          <w:szCs w:val="24"/>
        </w:rPr>
        <w:t xml:space="preserve">the United Nation Convention on the Rights of the Child (UNCRC) to provide the family with the necessary protection and assistance to assume its responsibility as “the fundamental group of society and the natural environment for the growth and well-being of all its members and particularly children”.  It is essential that this obligation be effectively balanced with the </w:t>
      </w:r>
      <w:r w:rsidRPr="005E4CED">
        <w:rPr>
          <w:rFonts w:cstheme="minorHAnsi"/>
          <w:sz w:val="24"/>
          <w:szCs w:val="24"/>
        </w:rPr>
        <w:lastRenderedPageBreak/>
        <w:t>UNCRC’s requirement that all actions concerning children by any institution, body or authority in the state be done with the best interests of the child shall be a primary consideration.”.</w:t>
      </w:r>
      <w:r w:rsidRPr="005E4CED">
        <w:rPr>
          <w:rStyle w:val="FootnoteReference"/>
          <w:rFonts w:cstheme="minorHAnsi"/>
          <w:sz w:val="24"/>
          <w:szCs w:val="24"/>
        </w:rPr>
        <w:footnoteReference w:id="5"/>
      </w:r>
    </w:p>
    <w:p w14:paraId="76EBEE77" w14:textId="538D1900" w:rsidR="00564A7B" w:rsidRDefault="000022A5" w:rsidP="000022A5">
      <w:pPr>
        <w:pStyle w:val="Heading2"/>
        <w:numPr>
          <w:ilvl w:val="0"/>
          <w:numId w:val="2"/>
        </w:numPr>
      </w:pPr>
      <w:r>
        <w:t>Mistrust between migrant families and state institutions</w:t>
      </w:r>
    </w:p>
    <w:p w14:paraId="18002B59" w14:textId="006941F6" w:rsidR="00564A7B" w:rsidRDefault="00564A7B" w:rsidP="00564A7B">
      <w:pPr>
        <w:spacing w:after="160" w:line="360" w:lineRule="auto"/>
        <w:jc w:val="both"/>
        <w:rPr>
          <w:rFonts w:cstheme="minorHAnsi"/>
          <w:sz w:val="24"/>
          <w:szCs w:val="24"/>
        </w:rPr>
      </w:pPr>
      <w:r w:rsidRPr="00564A7B">
        <w:rPr>
          <w:rFonts w:cstheme="minorHAnsi"/>
          <w:sz w:val="24"/>
          <w:szCs w:val="24"/>
        </w:rPr>
        <w:t xml:space="preserve">In situations where there were care orders in place, it was imperative that the parents took steps to show that they were setting infrastructures in place to make the home a harm free environment for the child. </w:t>
      </w:r>
      <w:r w:rsidRPr="005E4CED">
        <w:rPr>
          <w:sz w:val="24"/>
          <w:szCs w:val="24"/>
        </w:rPr>
        <w:t xml:space="preserve">A lot of African parents expressed mistrust in the state, the court, the childcare system in total and particularly, social workers. For them, social workers were the face of the state which was taking away their beloved children for raising them the </w:t>
      </w:r>
      <w:r w:rsidRPr="005E4CED">
        <w:rPr>
          <w:i/>
          <w:iCs/>
          <w:sz w:val="24"/>
          <w:szCs w:val="24"/>
        </w:rPr>
        <w:t>African way</w:t>
      </w:r>
      <w:r w:rsidRPr="005E4CED">
        <w:rPr>
          <w:sz w:val="24"/>
          <w:szCs w:val="24"/>
        </w:rPr>
        <w:t>.</w:t>
      </w:r>
      <w:r>
        <w:rPr>
          <w:sz w:val="24"/>
          <w:szCs w:val="24"/>
        </w:rPr>
        <w:t xml:space="preserve"> </w:t>
      </w:r>
      <w:r>
        <w:rPr>
          <w:rFonts w:cstheme="minorHAnsi"/>
          <w:sz w:val="24"/>
          <w:szCs w:val="24"/>
        </w:rPr>
        <w:t>This</w:t>
      </w:r>
      <w:r w:rsidRPr="00564A7B">
        <w:rPr>
          <w:rFonts w:cstheme="minorHAnsi"/>
          <w:sz w:val="24"/>
          <w:szCs w:val="24"/>
        </w:rPr>
        <w:t xml:space="preserve"> lack of trust coupled with language barrier often made it difficult for social workers to work with families in setting up such infrastructures. Thus, interim care orders were often renewed, and children were kept away from their parents longer because the parents failed to meet the required standard of childcare. In essence, the door of the courthouse became a revolving door for families who for reasons such as mistrust could not work well with the social workers and comply with the childcare standards.</w:t>
      </w:r>
    </w:p>
    <w:p w14:paraId="1545777E" w14:textId="77777777" w:rsidR="00142DE5" w:rsidRDefault="00142DE5" w:rsidP="00142DE5">
      <w:pPr>
        <w:spacing w:after="0" w:line="360" w:lineRule="auto"/>
        <w:jc w:val="both"/>
        <w:rPr>
          <w:rFonts w:cstheme="minorHAnsi"/>
          <w:sz w:val="24"/>
          <w:szCs w:val="24"/>
        </w:rPr>
      </w:pPr>
    </w:p>
    <w:p w14:paraId="5DE7DDD6" w14:textId="4CB17605" w:rsidR="00142DE5" w:rsidRDefault="00142DE5" w:rsidP="00142DE5">
      <w:pPr>
        <w:spacing w:after="0" w:line="360" w:lineRule="auto"/>
        <w:jc w:val="both"/>
        <w:rPr>
          <w:rFonts w:cstheme="minorHAnsi"/>
          <w:b/>
          <w:bCs/>
          <w:sz w:val="24"/>
          <w:szCs w:val="24"/>
        </w:rPr>
      </w:pPr>
      <w:r w:rsidRPr="000022A5">
        <w:rPr>
          <w:rFonts w:cstheme="minorHAnsi"/>
          <w:b/>
          <w:bCs/>
          <w:sz w:val="24"/>
          <w:szCs w:val="24"/>
        </w:rPr>
        <w:t>It is recommended that the state supports an organisation that can provide cultural mediation between state institutions and African communities.</w:t>
      </w:r>
    </w:p>
    <w:p w14:paraId="17EC58F1" w14:textId="77777777" w:rsidR="000022A5" w:rsidRDefault="000022A5" w:rsidP="00142DE5">
      <w:pPr>
        <w:spacing w:after="0" w:line="360" w:lineRule="auto"/>
        <w:jc w:val="both"/>
        <w:rPr>
          <w:rFonts w:cstheme="minorHAnsi"/>
          <w:b/>
          <w:bCs/>
          <w:sz w:val="24"/>
          <w:szCs w:val="24"/>
        </w:rPr>
      </w:pPr>
    </w:p>
    <w:p w14:paraId="4F097E8C" w14:textId="1C58DB93" w:rsidR="000022A5" w:rsidRPr="000022A5" w:rsidRDefault="000022A5" w:rsidP="00142DE5">
      <w:pPr>
        <w:spacing w:after="0" w:line="360" w:lineRule="auto"/>
        <w:jc w:val="both"/>
        <w:rPr>
          <w:rFonts w:cstheme="minorHAnsi"/>
          <w:b/>
          <w:bCs/>
          <w:sz w:val="24"/>
          <w:szCs w:val="24"/>
        </w:rPr>
      </w:pPr>
      <w:r w:rsidRPr="000022A5">
        <w:rPr>
          <w:rFonts w:cstheme="minorHAnsi"/>
          <w:b/>
          <w:bCs/>
          <w:sz w:val="24"/>
          <w:szCs w:val="24"/>
        </w:rPr>
        <w:t>The Law on care orders should be reformed, in particular, section 17 of the Childcare Act 1991 be amended to provide a maximum period of care orders as family reunionification, after an interim care order is awarded is particularly difficult in the present system in reality.</w:t>
      </w:r>
    </w:p>
    <w:p w14:paraId="2F040072" w14:textId="77777777" w:rsidR="00E86F05" w:rsidRDefault="00E86F05" w:rsidP="003319F6">
      <w:pPr>
        <w:spacing w:line="360" w:lineRule="auto"/>
        <w:jc w:val="both"/>
        <w:rPr>
          <w:rFonts w:cstheme="minorHAnsi"/>
          <w:sz w:val="24"/>
          <w:szCs w:val="24"/>
        </w:rPr>
      </w:pPr>
    </w:p>
    <w:p w14:paraId="751DB06D" w14:textId="08D0E9BB" w:rsidR="003319F6" w:rsidRDefault="003319F6" w:rsidP="000022A5">
      <w:pPr>
        <w:pStyle w:val="Heading2"/>
        <w:numPr>
          <w:ilvl w:val="0"/>
          <w:numId w:val="2"/>
        </w:numPr>
      </w:pPr>
      <w:r>
        <w:t>Familial Support:</w:t>
      </w:r>
    </w:p>
    <w:p w14:paraId="42737933" w14:textId="536836A5" w:rsidR="003319F6" w:rsidRDefault="003319F6" w:rsidP="003319F6">
      <w:pPr>
        <w:spacing w:line="360" w:lineRule="auto"/>
        <w:jc w:val="both"/>
        <w:rPr>
          <w:rFonts w:cstheme="minorHAnsi"/>
          <w:sz w:val="24"/>
          <w:szCs w:val="24"/>
        </w:rPr>
      </w:pPr>
      <w:r w:rsidRPr="005E4CED">
        <w:rPr>
          <w:rFonts w:cstheme="minorHAnsi"/>
          <w:sz w:val="24"/>
          <w:szCs w:val="24"/>
        </w:rPr>
        <w:t>The Irish demographic has changed significantly, albeit gradual, over the last 30 decades. There is a significant proportion of children of African descent in the polity. While some children entered into Ireland as unaccompanied minors, a good number travelled to Ireland with their parents whilst others were born in Ireland by the influx of adult migrants, popularly migrant women who have settled in Ireland</w:t>
      </w:r>
      <w:r>
        <w:rPr>
          <w:rFonts w:cstheme="minorHAnsi"/>
          <w:sz w:val="24"/>
          <w:szCs w:val="24"/>
        </w:rPr>
        <w:t xml:space="preserve">. </w:t>
      </w:r>
      <w:r w:rsidRPr="005E4CED">
        <w:rPr>
          <w:rFonts w:cstheme="minorHAnsi"/>
          <w:sz w:val="24"/>
          <w:szCs w:val="24"/>
        </w:rPr>
        <w:t>When immigrants migrate into their destination country, they lose their social capital and social network which they had in their country of origin on which they could rely on for support on several issues particularly childcare.</w:t>
      </w:r>
      <w:r w:rsidRPr="005E4CED">
        <w:rPr>
          <w:rStyle w:val="FootnoteReference"/>
          <w:rFonts w:cstheme="minorHAnsi"/>
          <w:sz w:val="24"/>
          <w:szCs w:val="24"/>
        </w:rPr>
        <w:footnoteReference w:id="6"/>
      </w:r>
      <w:r w:rsidRPr="005E4CED">
        <w:rPr>
          <w:rFonts w:cstheme="minorHAnsi"/>
          <w:sz w:val="24"/>
          <w:szCs w:val="24"/>
        </w:rPr>
        <w:t xml:space="preserve"> Thus there is a need for the state to support immigrant families to ensure that immigrant children in Ireland receive adequate care in the ideal familial environment.  </w:t>
      </w:r>
    </w:p>
    <w:p w14:paraId="7717E1A4" w14:textId="77777777" w:rsidR="00142DE5" w:rsidRPr="000022A5" w:rsidRDefault="00142DE5" w:rsidP="003319F6">
      <w:pPr>
        <w:spacing w:line="360" w:lineRule="auto"/>
        <w:jc w:val="both"/>
        <w:rPr>
          <w:rFonts w:cstheme="minorHAnsi"/>
          <w:b/>
          <w:bCs/>
          <w:sz w:val="24"/>
          <w:szCs w:val="24"/>
        </w:rPr>
      </w:pPr>
      <w:r w:rsidRPr="000022A5">
        <w:rPr>
          <w:rFonts w:cstheme="minorHAnsi"/>
          <w:b/>
          <w:bCs/>
          <w:sz w:val="24"/>
          <w:szCs w:val="24"/>
        </w:rPr>
        <w:t>Recommendation</w:t>
      </w:r>
    </w:p>
    <w:p w14:paraId="6FA2CF26" w14:textId="5BD78BB7" w:rsidR="00142DE5" w:rsidRPr="000022A5" w:rsidRDefault="00142DE5" w:rsidP="003319F6">
      <w:pPr>
        <w:spacing w:line="360" w:lineRule="auto"/>
        <w:jc w:val="both"/>
        <w:rPr>
          <w:b/>
          <w:bCs/>
        </w:rPr>
      </w:pPr>
      <w:r w:rsidRPr="000022A5">
        <w:rPr>
          <w:rFonts w:cstheme="minorHAnsi"/>
          <w:b/>
          <w:bCs/>
          <w:sz w:val="24"/>
          <w:szCs w:val="24"/>
        </w:rPr>
        <w:t>Provision of country wide parental support services has proven to be an essential development that support African mothers, African parents and African families.</w:t>
      </w:r>
      <w:r w:rsidRPr="000022A5">
        <w:rPr>
          <w:b/>
          <w:bCs/>
        </w:rPr>
        <w:t xml:space="preserve"> </w:t>
      </w:r>
    </w:p>
    <w:p w14:paraId="7FC08881" w14:textId="3BFBC858" w:rsidR="00142DE5" w:rsidRDefault="000022A5" w:rsidP="000022A5">
      <w:pPr>
        <w:pStyle w:val="Heading2"/>
        <w:numPr>
          <w:ilvl w:val="0"/>
          <w:numId w:val="2"/>
        </w:numPr>
      </w:pPr>
      <w:r>
        <w:t>Barriers to Access to Justice</w:t>
      </w:r>
    </w:p>
    <w:p w14:paraId="1841C04A" w14:textId="77777777" w:rsidR="00142DE5" w:rsidRDefault="00142DE5" w:rsidP="00142DE5">
      <w:pPr>
        <w:spacing w:after="160" w:line="360" w:lineRule="auto"/>
        <w:jc w:val="both"/>
        <w:rPr>
          <w:rFonts w:cstheme="minorHAnsi"/>
          <w:sz w:val="24"/>
          <w:szCs w:val="24"/>
        </w:rPr>
      </w:pPr>
      <w:r w:rsidRPr="00564A7B">
        <w:rPr>
          <w:rFonts w:cstheme="minorHAnsi"/>
          <w:sz w:val="24"/>
          <w:szCs w:val="24"/>
        </w:rPr>
        <w:t xml:space="preserve">African parents do not appear to get sufficiently orientated on the law on Childcare when they come into Ireland. While some parents attested to receiving a leafless telling advising that it is not acceptable to hit their children in Ireland, others said they received no such information. It seems to be case that a good number of African parents are learning about the law when they are already in conflict with the law from a social worker at their door. </w:t>
      </w:r>
      <w:r>
        <w:rPr>
          <w:rFonts w:cstheme="minorHAnsi"/>
          <w:sz w:val="24"/>
          <w:szCs w:val="24"/>
        </w:rPr>
        <w:t xml:space="preserve">Whilst ignorance of the law is no excuse, this ignorance is resulting in familial breakdown which ultimately affects the wellbeing of the child and the protection of the right of the child to </w:t>
      </w:r>
      <w:proofErr w:type="gramStart"/>
      <w:r>
        <w:rPr>
          <w:rFonts w:cstheme="minorHAnsi"/>
          <w:sz w:val="24"/>
          <w:szCs w:val="24"/>
        </w:rPr>
        <w:t>…..</w:t>
      </w:r>
      <w:proofErr w:type="gramEnd"/>
    </w:p>
    <w:p w14:paraId="57414703" w14:textId="77777777" w:rsidR="000022A5" w:rsidRDefault="00142DE5" w:rsidP="003319F6">
      <w:pPr>
        <w:spacing w:line="360" w:lineRule="auto"/>
        <w:jc w:val="both"/>
        <w:rPr>
          <w:rFonts w:cstheme="minorHAnsi"/>
          <w:b/>
          <w:bCs/>
          <w:sz w:val="24"/>
          <w:szCs w:val="24"/>
        </w:rPr>
      </w:pPr>
      <w:r w:rsidRPr="000022A5">
        <w:rPr>
          <w:rFonts w:cstheme="minorHAnsi"/>
          <w:b/>
          <w:bCs/>
          <w:sz w:val="24"/>
          <w:szCs w:val="24"/>
        </w:rPr>
        <w:t>Recommendation</w:t>
      </w:r>
    </w:p>
    <w:p w14:paraId="0818D297" w14:textId="05603797" w:rsidR="00142DE5" w:rsidRPr="000022A5" w:rsidRDefault="00142DE5" w:rsidP="003319F6">
      <w:pPr>
        <w:spacing w:line="360" w:lineRule="auto"/>
        <w:jc w:val="both"/>
        <w:rPr>
          <w:rFonts w:cstheme="minorHAnsi"/>
          <w:b/>
          <w:bCs/>
          <w:sz w:val="24"/>
          <w:szCs w:val="24"/>
        </w:rPr>
      </w:pPr>
      <w:r w:rsidRPr="000022A5">
        <w:rPr>
          <w:rFonts w:cstheme="minorHAnsi"/>
          <w:b/>
          <w:bCs/>
          <w:sz w:val="24"/>
          <w:szCs w:val="24"/>
        </w:rPr>
        <w:t>Preparation and distribution of the Children First Act Leaflet to serve as a blueprint for new migrant parents coming into Ireland, especially mothers, coming into Ireland would be necessary proactive steps to aid integration of migrant families.</w:t>
      </w:r>
    </w:p>
    <w:p w14:paraId="47FD55CD" w14:textId="7D511AC8" w:rsidR="003319F6" w:rsidRPr="005E4CED" w:rsidRDefault="003319F6" w:rsidP="000022A5">
      <w:pPr>
        <w:pStyle w:val="Heading2"/>
        <w:numPr>
          <w:ilvl w:val="0"/>
          <w:numId w:val="2"/>
        </w:numPr>
      </w:pPr>
      <w:r>
        <w:t>Childcare Services</w:t>
      </w:r>
    </w:p>
    <w:p w14:paraId="38BECE32" w14:textId="7404C505" w:rsidR="0061487F" w:rsidRDefault="003319F6" w:rsidP="0061487F">
      <w:pPr>
        <w:spacing w:after="0" w:line="360" w:lineRule="auto"/>
        <w:jc w:val="both"/>
        <w:rPr>
          <w:rFonts w:cstheme="minorHAnsi"/>
          <w:sz w:val="24"/>
          <w:szCs w:val="24"/>
        </w:rPr>
      </w:pPr>
      <w:r w:rsidRPr="005E4CED">
        <w:rPr>
          <w:rFonts w:cstheme="minorHAnsi"/>
          <w:sz w:val="24"/>
          <w:szCs w:val="24"/>
        </w:rPr>
        <w:t xml:space="preserve">Since childcare is essential to the development of children, it is essential that childcare services adopt culturally sensitive and appropriate techniques in order to effectively cater to families of ethnic minorities and immigrants especially those in the complicated situation of seeking asylum. </w:t>
      </w:r>
      <w:r w:rsidRPr="005E4CED">
        <w:rPr>
          <w:rStyle w:val="FootnoteReference"/>
          <w:rFonts w:cstheme="minorHAnsi"/>
          <w:sz w:val="24"/>
          <w:szCs w:val="24"/>
        </w:rPr>
        <w:footnoteReference w:id="7"/>
      </w:r>
      <w:r w:rsidR="0061487F" w:rsidRPr="0061487F">
        <w:rPr>
          <w:rFonts w:cstheme="minorHAnsi"/>
          <w:sz w:val="24"/>
          <w:szCs w:val="24"/>
        </w:rPr>
        <w:t xml:space="preserve"> </w:t>
      </w:r>
      <w:r w:rsidR="0061487F">
        <w:rPr>
          <w:rFonts w:cstheme="minorHAnsi"/>
          <w:sz w:val="24"/>
          <w:szCs w:val="24"/>
        </w:rPr>
        <w:t xml:space="preserve">However, the importance of African children accessing the appropriate placements was repeatedly highlighted. Taking a child from an African household often meant uprooting the child from the African community and African culture as there was a lack of African foster parents. Indeed, African mothers present at the meeting emphasised that it would be important for foster parents who take in African children to make effort to ensure the child remains in touch with the African community and African culture as much as possible by involvement in sports with African children or attending African religious institutions at least once a week. Complete removal of African children from the African community because of foster placement could lead to identity crisis within such children and other mental health challengers that come from potential othering in non-African settings. </w:t>
      </w:r>
    </w:p>
    <w:p w14:paraId="76075835" w14:textId="12CFF227" w:rsidR="00142DE5" w:rsidRDefault="00142DE5" w:rsidP="0061487F">
      <w:pPr>
        <w:spacing w:after="0" w:line="360" w:lineRule="auto"/>
        <w:jc w:val="both"/>
        <w:rPr>
          <w:rFonts w:cstheme="minorHAnsi"/>
          <w:sz w:val="24"/>
          <w:szCs w:val="24"/>
        </w:rPr>
      </w:pPr>
    </w:p>
    <w:p w14:paraId="4E897040" w14:textId="2B3273AB" w:rsidR="00142DE5" w:rsidRPr="000022A5" w:rsidRDefault="00142DE5" w:rsidP="0061487F">
      <w:pPr>
        <w:spacing w:after="0" w:line="360" w:lineRule="auto"/>
        <w:jc w:val="both"/>
        <w:rPr>
          <w:rFonts w:cstheme="minorHAnsi"/>
          <w:b/>
          <w:bCs/>
          <w:sz w:val="24"/>
          <w:szCs w:val="24"/>
        </w:rPr>
      </w:pPr>
      <w:r w:rsidRPr="000022A5">
        <w:rPr>
          <w:rFonts w:cstheme="minorHAnsi"/>
          <w:b/>
          <w:bCs/>
          <w:sz w:val="24"/>
          <w:szCs w:val="24"/>
        </w:rPr>
        <w:t>Recommendation</w:t>
      </w:r>
    </w:p>
    <w:p w14:paraId="2437B3F5" w14:textId="77777777" w:rsidR="00142DE5" w:rsidRPr="000022A5" w:rsidRDefault="00142DE5" w:rsidP="00142DE5">
      <w:pPr>
        <w:spacing w:line="360" w:lineRule="auto"/>
        <w:jc w:val="both"/>
        <w:rPr>
          <w:rFonts w:cstheme="minorHAnsi"/>
          <w:b/>
          <w:bCs/>
          <w:sz w:val="24"/>
          <w:szCs w:val="24"/>
        </w:rPr>
      </w:pPr>
      <w:r w:rsidRPr="000022A5">
        <w:rPr>
          <w:rFonts w:cstheme="minorHAnsi"/>
          <w:b/>
          <w:bCs/>
          <w:sz w:val="24"/>
          <w:szCs w:val="24"/>
        </w:rPr>
        <w:t>It is recommended that the government attend to the cultural piece in foster care by keeping children in contact with the African community through activities that involve engaging with community gathering in community spaces such as churches or mosques.</w:t>
      </w:r>
    </w:p>
    <w:p w14:paraId="498C3E1D" w14:textId="1D25869D" w:rsidR="00142DE5" w:rsidRPr="00961763" w:rsidRDefault="00142DE5" w:rsidP="00961763">
      <w:pPr>
        <w:spacing w:line="360" w:lineRule="auto"/>
        <w:jc w:val="both"/>
        <w:rPr>
          <w:rFonts w:cstheme="minorHAnsi"/>
          <w:b/>
          <w:bCs/>
          <w:sz w:val="24"/>
          <w:szCs w:val="24"/>
        </w:rPr>
      </w:pPr>
      <w:r w:rsidRPr="000022A5">
        <w:rPr>
          <w:rFonts w:cstheme="minorHAnsi"/>
          <w:b/>
          <w:bCs/>
          <w:sz w:val="24"/>
          <w:szCs w:val="24"/>
        </w:rPr>
        <w:t>It is recommended that the state organise a campaign for the mobilisation for people to understand about fostering and to have more registered parents from ethnic minority communities particularly, the African parents.</w:t>
      </w:r>
    </w:p>
    <w:p w14:paraId="31D2BF73" w14:textId="0AF9246A" w:rsidR="009B3DD8" w:rsidRDefault="009B3DD8">
      <w:pPr>
        <w:rPr>
          <w:rFonts w:cstheme="minorHAnsi"/>
          <w:sz w:val="24"/>
          <w:szCs w:val="24"/>
        </w:rPr>
      </w:pPr>
    </w:p>
    <w:p w14:paraId="7444BEFC" w14:textId="289068C3" w:rsidR="003319F6" w:rsidRDefault="003319F6" w:rsidP="000022A5">
      <w:pPr>
        <w:pStyle w:val="Heading2"/>
        <w:numPr>
          <w:ilvl w:val="0"/>
          <w:numId w:val="2"/>
        </w:numPr>
      </w:pPr>
      <w:r>
        <w:t xml:space="preserve">Data Collection </w:t>
      </w:r>
    </w:p>
    <w:p w14:paraId="162C5158" w14:textId="60E0E034" w:rsidR="003319F6" w:rsidRDefault="003319F6" w:rsidP="003319F6">
      <w:pPr>
        <w:spacing w:after="0" w:line="360" w:lineRule="auto"/>
        <w:jc w:val="both"/>
        <w:rPr>
          <w:rFonts w:cstheme="minorHAnsi"/>
          <w:sz w:val="24"/>
          <w:szCs w:val="24"/>
        </w:rPr>
      </w:pPr>
      <w:r>
        <w:rPr>
          <w:rFonts w:cstheme="minorHAnsi"/>
          <w:sz w:val="24"/>
          <w:szCs w:val="24"/>
        </w:rPr>
        <w:t xml:space="preserve">No state data collection split into ethnicity </w:t>
      </w:r>
    </w:p>
    <w:p w14:paraId="4214E71F" w14:textId="6E496961" w:rsidR="003319F6" w:rsidRDefault="003319F6" w:rsidP="003319F6">
      <w:pPr>
        <w:spacing w:after="0" w:line="360" w:lineRule="auto"/>
        <w:jc w:val="both"/>
        <w:rPr>
          <w:rFonts w:cstheme="minorHAnsi"/>
          <w:sz w:val="24"/>
          <w:szCs w:val="24"/>
        </w:rPr>
      </w:pPr>
      <w:r w:rsidRPr="005E4CED">
        <w:rPr>
          <w:rFonts w:cstheme="minorHAnsi"/>
          <w:sz w:val="24"/>
          <w:szCs w:val="24"/>
        </w:rPr>
        <w:t>the Child Care (Amendment) Act 2007 changed the law by allowing access to childcare proceedings which was limited to only legal professionals or authorised personnel and reporting of childcare proceedings under the condition that the identification of the child or children remains concealed.</w:t>
      </w:r>
      <w:r>
        <w:rPr>
          <w:rStyle w:val="FootnoteReference"/>
          <w:rFonts w:cstheme="minorHAnsi"/>
          <w:sz w:val="24"/>
          <w:szCs w:val="24"/>
        </w:rPr>
        <w:footnoteReference w:id="8"/>
      </w:r>
      <w:r w:rsidRPr="005E4CED">
        <w:rPr>
          <w:rFonts w:cstheme="minorHAnsi"/>
          <w:sz w:val="24"/>
          <w:szCs w:val="24"/>
        </w:rPr>
        <w:t xml:space="preserve">  The first ever Child care report was published in 2013 wherein, it was reported that African families were 20 times more likely to be involved in the child care proceedings.</w:t>
      </w:r>
      <w:r w:rsidRPr="005E4CED">
        <w:rPr>
          <w:rStyle w:val="FootnoteReference"/>
          <w:rFonts w:cstheme="minorHAnsi"/>
          <w:sz w:val="24"/>
          <w:szCs w:val="24"/>
        </w:rPr>
        <w:footnoteReference w:id="9"/>
      </w:r>
      <w:r w:rsidRPr="005E4CED">
        <w:rPr>
          <w:rFonts w:cstheme="minorHAnsi"/>
          <w:sz w:val="24"/>
          <w:szCs w:val="24"/>
        </w:rPr>
        <w:t xml:space="preserve"> According to the 2014 Childcare Law report, cultural differences involving members of ethnic minorities, neglect, physical chastisement were among the main reasons featured in state cases for which children were taken into state care.</w:t>
      </w:r>
      <w:r>
        <w:rPr>
          <w:rStyle w:val="FootnoteReference"/>
          <w:rFonts w:cstheme="minorHAnsi"/>
          <w:sz w:val="24"/>
          <w:szCs w:val="24"/>
        </w:rPr>
        <w:footnoteReference w:id="10"/>
      </w:r>
      <w:r w:rsidRPr="005E4CED">
        <w:rPr>
          <w:rFonts w:cstheme="minorHAnsi"/>
          <w:sz w:val="24"/>
          <w:szCs w:val="24"/>
        </w:rPr>
        <w:t xml:space="preserve"> </w:t>
      </w:r>
      <w:r>
        <w:rPr>
          <w:rFonts w:cstheme="minorHAnsi"/>
          <w:sz w:val="24"/>
          <w:szCs w:val="24"/>
        </w:rPr>
        <w:t xml:space="preserve">– </w:t>
      </w:r>
      <w:r w:rsidR="000022A5">
        <w:rPr>
          <w:rFonts w:cstheme="minorHAnsi"/>
          <w:sz w:val="24"/>
          <w:szCs w:val="24"/>
        </w:rPr>
        <w:t>Handicap</w:t>
      </w:r>
      <w:r>
        <w:rPr>
          <w:rFonts w:cstheme="minorHAnsi"/>
          <w:sz w:val="24"/>
          <w:szCs w:val="24"/>
        </w:rPr>
        <w:t xml:space="preserve"> of CLRP to collate minority data – only cases they attend. Not always documenting it. Report not always stating it.</w:t>
      </w:r>
    </w:p>
    <w:p w14:paraId="115C9232" w14:textId="276147A1" w:rsidR="00961763" w:rsidRDefault="00961763" w:rsidP="003319F6">
      <w:pPr>
        <w:spacing w:after="0" w:line="360" w:lineRule="auto"/>
        <w:jc w:val="both"/>
        <w:rPr>
          <w:rFonts w:cstheme="minorHAnsi"/>
          <w:sz w:val="24"/>
          <w:szCs w:val="24"/>
        </w:rPr>
      </w:pPr>
    </w:p>
    <w:p w14:paraId="5A05BF8E" w14:textId="4DE75C09" w:rsidR="00961763" w:rsidRDefault="00961763" w:rsidP="00961763">
      <w:pPr>
        <w:pStyle w:val="Heading1"/>
      </w:pPr>
      <w:r>
        <w:t>Concerns around Female Genital Mutilation</w:t>
      </w:r>
    </w:p>
    <w:p w14:paraId="3FC2ABEC" w14:textId="77777777" w:rsidR="00961763" w:rsidRPr="00961763" w:rsidRDefault="00961763" w:rsidP="00961763"/>
    <w:p w14:paraId="1F0848A9" w14:textId="2A4A50BB" w:rsidR="00961763" w:rsidRDefault="00961763" w:rsidP="00961763">
      <w:pPr>
        <w:pStyle w:val="Heading1"/>
      </w:pPr>
      <w:r>
        <w:t>Racism and Discrimination</w:t>
      </w:r>
    </w:p>
    <w:p w14:paraId="0007E12A" w14:textId="77777777" w:rsidR="00961763" w:rsidRPr="00961763" w:rsidRDefault="00961763" w:rsidP="00961763"/>
    <w:p w14:paraId="470FBEBB" w14:textId="41C05B58" w:rsidR="003319F6" w:rsidRDefault="000022A5" w:rsidP="000022A5">
      <w:pPr>
        <w:pStyle w:val="Heading1"/>
      </w:pPr>
      <w:r>
        <w:t>Summary of Recommendations</w:t>
      </w:r>
    </w:p>
    <w:p w14:paraId="08B3A111" w14:textId="77777777" w:rsidR="000022A5" w:rsidRDefault="000022A5" w:rsidP="000022A5">
      <w:pPr>
        <w:pStyle w:val="ListParagraph"/>
        <w:numPr>
          <w:ilvl w:val="0"/>
          <w:numId w:val="1"/>
        </w:numPr>
        <w:spacing w:after="0" w:line="360" w:lineRule="auto"/>
        <w:jc w:val="both"/>
        <w:rPr>
          <w:rFonts w:cstheme="minorHAnsi"/>
          <w:sz w:val="24"/>
          <w:szCs w:val="24"/>
        </w:rPr>
      </w:pPr>
      <w:r>
        <w:rPr>
          <w:rFonts w:cstheme="minorHAnsi"/>
          <w:sz w:val="24"/>
          <w:szCs w:val="24"/>
        </w:rPr>
        <w:t>Provision of country wide parental support services has proven to be an essential development that support African mothers, African parents and African families.</w:t>
      </w:r>
    </w:p>
    <w:p w14:paraId="6E36BC46" w14:textId="77777777" w:rsidR="000022A5" w:rsidRPr="00624D14" w:rsidRDefault="000022A5" w:rsidP="000022A5">
      <w:pPr>
        <w:pStyle w:val="ListParagraph"/>
        <w:numPr>
          <w:ilvl w:val="0"/>
          <w:numId w:val="1"/>
        </w:numPr>
        <w:spacing w:line="360" w:lineRule="auto"/>
        <w:jc w:val="both"/>
        <w:rPr>
          <w:rFonts w:cstheme="minorHAnsi"/>
          <w:sz w:val="24"/>
          <w:szCs w:val="24"/>
        </w:rPr>
      </w:pPr>
      <w:r w:rsidRPr="00624D14">
        <w:rPr>
          <w:rFonts w:cstheme="minorHAnsi"/>
          <w:sz w:val="24"/>
          <w:szCs w:val="24"/>
        </w:rPr>
        <w:t xml:space="preserve">Preparation </w:t>
      </w:r>
      <w:r>
        <w:rPr>
          <w:rFonts w:cstheme="minorHAnsi"/>
          <w:sz w:val="24"/>
          <w:szCs w:val="24"/>
        </w:rPr>
        <w:t xml:space="preserve">and distribution of the </w:t>
      </w:r>
      <w:r w:rsidRPr="00624D14">
        <w:rPr>
          <w:rFonts w:cstheme="minorHAnsi"/>
          <w:sz w:val="24"/>
          <w:szCs w:val="24"/>
        </w:rPr>
        <w:t xml:space="preserve">Children First Act Leaflet </w:t>
      </w:r>
      <w:r>
        <w:rPr>
          <w:rFonts w:cstheme="minorHAnsi"/>
          <w:sz w:val="24"/>
          <w:szCs w:val="24"/>
        </w:rPr>
        <w:t xml:space="preserve">to serve as a </w:t>
      </w:r>
      <w:r w:rsidRPr="00624D14">
        <w:rPr>
          <w:rFonts w:cstheme="minorHAnsi"/>
          <w:sz w:val="24"/>
          <w:szCs w:val="24"/>
        </w:rPr>
        <w:t xml:space="preserve">blueprint for new </w:t>
      </w:r>
      <w:r>
        <w:rPr>
          <w:rFonts w:cstheme="minorHAnsi"/>
          <w:sz w:val="24"/>
          <w:szCs w:val="24"/>
        </w:rPr>
        <w:t xml:space="preserve">migrant </w:t>
      </w:r>
      <w:r w:rsidRPr="00624D14">
        <w:rPr>
          <w:rFonts w:cstheme="minorHAnsi"/>
          <w:sz w:val="24"/>
          <w:szCs w:val="24"/>
        </w:rPr>
        <w:t>parents</w:t>
      </w:r>
      <w:r>
        <w:rPr>
          <w:rFonts w:cstheme="minorHAnsi"/>
          <w:sz w:val="24"/>
          <w:szCs w:val="24"/>
        </w:rPr>
        <w:t xml:space="preserve"> coming into Ireland, especially </w:t>
      </w:r>
      <w:r w:rsidRPr="00624D14">
        <w:rPr>
          <w:rFonts w:cstheme="minorHAnsi"/>
          <w:sz w:val="24"/>
          <w:szCs w:val="24"/>
        </w:rPr>
        <w:t>mothers</w:t>
      </w:r>
      <w:r>
        <w:rPr>
          <w:rFonts w:cstheme="minorHAnsi"/>
          <w:sz w:val="24"/>
          <w:szCs w:val="24"/>
        </w:rPr>
        <w:t xml:space="preserve">, </w:t>
      </w:r>
      <w:r w:rsidRPr="00624D14">
        <w:rPr>
          <w:rFonts w:cstheme="minorHAnsi"/>
          <w:sz w:val="24"/>
          <w:szCs w:val="24"/>
        </w:rPr>
        <w:t>coming into Ireland</w:t>
      </w:r>
      <w:r>
        <w:rPr>
          <w:rFonts w:cstheme="minorHAnsi"/>
          <w:sz w:val="24"/>
          <w:szCs w:val="24"/>
        </w:rPr>
        <w:t xml:space="preserve"> would be necessary proactive steps to aid integration of migrant families.</w:t>
      </w:r>
    </w:p>
    <w:p w14:paraId="44E1C4FD" w14:textId="77777777" w:rsidR="000022A5" w:rsidRPr="00624D14" w:rsidRDefault="000022A5" w:rsidP="000022A5">
      <w:pPr>
        <w:pStyle w:val="ListParagraph"/>
        <w:numPr>
          <w:ilvl w:val="0"/>
          <w:numId w:val="1"/>
        </w:numPr>
        <w:spacing w:line="360" w:lineRule="auto"/>
        <w:jc w:val="both"/>
        <w:rPr>
          <w:rFonts w:cstheme="minorHAnsi"/>
          <w:sz w:val="24"/>
          <w:szCs w:val="24"/>
        </w:rPr>
      </w:pPr>
      <w:r>
        <w:rPr>
          <w:rFonts w:cstheme="minorHAnsi"/>
          <w:sz w:val="24"/>
          <w:szCs w:val="24"/>
        </w:rPr>
        <w:t>It is recommended that the government</w:t>
      </w:r>
      <w:r w:rsidRPr="00624D14">
        <w:rPr>
          <w:rFonts w:cstheme="minorHAnsi"/>
          <w:sz w:val="24"/>
          <w:szCs w:val="24"/>
        </w:rPr>
        <w:t xml:space="preserve"> attend to the cultural piece in foster care by keeping children in contact with the African community through activities that involve engaging with community gathering in community spaces such as churches or mosques.</w:t>
      </w:r>
    </w:p>
    <w:p w14:paraId="244EE59E" w14:textId="77777777" w:rsidR="000022A5" w:rsidRPr="00624D14" w:rsidRDefault="000022A5" w:rsidP="000022A5">
      <w:pPr>
        <w:pStyle w:val="ListParagraph"/>
        <w:numPr>
          <w:ilvl w:val="0"/>
          <w:numId w:val="1"/>
        </w:numPr>
        <w:spacing w:line="360" w:lineRule="auto"/>
        <w:jc w:val="both"/>
        <w:rPr>
          <w:rFonts w:cstheme="minorHAnsi"/>
          <w:sz w:val="24"/>
          <w:szCs w:val="24"/>
        </w:rPr>
      </w:pPr>
      <w:r>
        <w:rPr>
          <w:rFonts w:cstheme="minorHAnsi"/>
          <w:sz w:val="24"/>
          <w:szCs w:val="24"/>
        </w:rPr>
        <w:t>It is recommended that the state organise a</w:t>
      </w:r>
      <w:r w:rsidRPr="00624D14">
        <w:rPr>
          <w:rFonts w:cstheme="minorHAnsi"/>
          <w:sz w:val="24"/>
          <w:szCs w:val="24"/>
        </w:rPr>
        <w:t xml:space="preserve"> campaign </w:t>
      </w:r>
      <w:r>
        <w:rPr>
          <w:rFonts w:cstheme="minorHAnsi"/>
          <w:sz w:val="24"/>
          <w:szCs w:val="24"/>
        </w:rPr>
        <w:t xml:space="preserve">for the </w:t>
      </w:r>
      <w:r w:rsidRPr="00624D14">
        <w:rPr>
          <w:rFonts w:cstheme="minorHAnsi"/>
          <w:sz w:val="24"/>
          <w:szCs w:val="24"/>
        </w:rPr>
        <w:t>mobilisation for people to understand about fostering</w:t>
      </w:r>
      <w:r>
        <w:rPr>
          <w:rFonts w:cstheme="minorHAnsi"/>
          <w:sz w:val="24"/>
          <w:szCs w:val="24"/>
        </w:rPr>
        <w:t xml:space="preserve"> and to have more registered parents from ethnic minority communities particularly, the African parents.</w:t>
      </w:r>
    </w:p>
    <w:p w14:paraId="01CBB1B9" w14:textId="77777777" w:rsidR="000022A5" w:rsidRDefault="000022A5" w:rsidP="000022A5">
      <w:pPr>
        <w:pStyle w:val="ListParagraph"/>
        <w:numPr>
          <w:ilvl w:val="0"/>
          <w:numId w:val="1"/>
        </w:numPr>
        <w:spacing w:after="0" w:line="360" w:lineRule="auto"/>
        <w:jc w:val="both"/>
        <w:rPr>
          <w:rFonts w:cstheme="minorHAnsi"/>
          <w:sz w:val="24"/>
          <w:szCs w:val="24"/>
        </w:rPr>
      </w:pPr>
      <w:r>
        <w:rPr>
          <w:rFonts w:cstheme="minorHAnsi"/>
          <w:sz w:val="24"/>
          <w:szCs w:val="24"/>
        </w:rPr>
        <w:t>It is recommended that the state supports an organisation that can provide cultural mediation between state institutions and African communities.</w:t>
      </w:r>
    </w:p>
    <w:p w14:paraId="7E6DB914" w14:textId="77777777" w:rsidR="000022A5" w:rsidRDefault="000022A5" w:rsidP="000022A5">
      <w:pPr>
        <w:pStyle w:val="ListParagraph"/>
        <w:numPr>
          <w:ilvl w:val="0"/>
          <w:numId w:val="1"/>
        </w:numPr>
        <w:spacing w:after="0" w:line="360" w:lineRule="auto"/>
        <w:jc w:val="both"/>
        <w:rPr>
          <w:rFonts w:cstheme="minorHAnsi"/>
          <w:sz w:val="24"/>
          <w:szCs w:val="24"/>
        </w:rPr>
      </w:pPr>
      <w:r>
        <w:rPr>
          <w:rFonts w:cstheme="minorHAnsi"/>
          <w:sz w:val="24"/>
          <w:szCs w:val="24"/>
        </w:rPr>
        <w:t xml:space="preserve">The Law on care orders should be reformed, in particular, </w:t>
      </w:r>
      <w:r w:rsidRPr="005E4CED">
        <w:rPr>
          <w:rFonts w:cstheme="minorHAnsi"/>
          <w:sz w:val="24"/>
          <w:szCs w:val="24"/>
        </w:rPr>
        <w:t xml:space="preserve">section 17 of the Childcare Act 1991 be amended to provide a maximum period of </w:t>
      </w:r>
      <w:r>
        <w:rPr>
          <w:rFonts w:cstheme="minorHAnsi"/>
          <w:sz w:val="24"/>
          <w:szCs w:val="24"/>
        </w:rPr>
        <w:t>care orders</w:t>
      </w:r>
      <w:r w:rsidRPr="002745AE">
        <w:rPr>
          <w:rFonts w:cstheme="minorHAnsi"/>
          <w:sz w:val="24"/>
          <w:szCs w:val="24"/>
        </w:rPr>
        <w:t xml:space="preserve"> </w:t>
      </w:r>
      <w:r>
        <w:rPr>
          <w:rFonts w:cstheme="minorHAnsi"/>
          <w:sz w:val="24"/>
          <w:szCs w:val="24"/>
        </w:rPr>
        <w:t xml:space="preserve">as </w:t>
      </w:r>
      <w:r w:rsidRPr="005E4CED">
        <w:rPr>
          <w:rFonts w:cstheme="minorHAnsi"/>
          <w:sz w:val="24"/>
          <w:szCs w:val="24"/>
        </w:rPr>
        <w:t>family reunionification</w:t>
      </w:r>
      <w:r>
        <w:rPr>
          <w:rFonts w:cstheme="minorHAnsi"/>
          <w:sz w:val="24"/>
          <w:szCs w:val="24"/>
        </w:rPr>
        <w:t>, after an interim care order is awarded</w:t>
      </w:r>
      <w:r w:rsidRPr="005E4CED">
        <w:rPr>
          <w:rFonts w:cstheme="minorHAnsi"/>
          <w:sz w:val="24"/>
          <w:szCs w:val="24"/>
        </w:rPr>
        <w:t xml:space="preserve"> is particularly difficult in the present system in reality</w:t>
      </w:r>
      <w:r>
        <w:rPr>
          <w:rFonts w:cstheme="minorHAnsi"/>
          <w:sz w:val="24"/>
          <w:szCs w:val="24"/>
        </w:rPr>
        <w:t>.</w:t>
      </w:r>
    </w:p>
    <w:p w14:paraId="0B7D1956" w14:textId="47BBBFA3" w:rsidR="000022A5" w:rsidRPr="000022A5" w:rsidRDefault="000022A5">
      <w:pPr>
        <w:rPr>
          <w:b/>
          <w:bCs/>
        </w:rPr>
      </w:pPr>
    </w:p>
    <w:sectPr w:rsidR="000022A5" w:rsidRPr="000022A5" w:rsidSect="009617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24774" w14:textId="77777777" w:rsidR="00C10272" w:rsidRDefault="00C10272" w:rsidP="003319F6">
      <w:pPr>
        <w:spacing w:after="0" w:line="240" w:lineRule="auto"/>
      </w:pPr>
      <w:r>
        <w:separator/>
      </w:r>
    </w:p>
  </w:endnote>
  <w:endnote w:type="continuationSeparator" w:id="0">
    <w:p w14:paraId="25863D81" w14:textId="77777777" w:rsidR="00C10272" w:rsidRDefault="00C10272" w:rsidP="00331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9F8F6" w14:textId="77777777" w:rsidR="00C10272" w:rsidRDefault="00C10272" w:rsidP="003319F6">
      <w:pPr>
        <w:spacing w:after="0" w:line="240" w:lineRule="auto"/>
      </w:pPr>
      <w:r>
        <w:separator/>
      </w:r>
    </w:p>
  </w:footnote>
  <w:footnote w:type="continuationSeparator" w:id="0">
    <w:p w14:paraId="506A833B" w14:textId="77777777" w:rsidR="00C10272" w:rsidRDefault="00C10272" w:rsidP="003319F6">
      <w:pPr>
        <w:spacing w:after="0" w:line="240" w:lineRule="auto"/>
      </w:pPr>
      <w:r>
        <w:continuationSeparator/>
      </w:r>
    </w:p>
  </w:footnote>
  <w:footnote w:id="1">
    <w:p w14:paraId="6D59C11E" w14:textId="77777777" w:rsidR="003319F6" w:rsidRPr="00D472C5" w:rsidRDefault="003319F6" w:rsidP="003319F6">
      <w:pPr>
        <w:pStyle w:val="FootnoteText"/>
        <w:rPr>
          <w:rFonts w:cstheme="minorHAnsi"/>
          <w:lang w:val="en-IE"/>
        </w:rPr>
      </w:pPr>
      <w:r w:rsidRPr="00D472C5">
        <w:rPr>
          <w:rStyle w:val="FootnoteReference"/>
          <w:rFonts w:cstheme="minorHAnsi"/>
        </w:rPr>
        <w:footnoteRef/>
      </w:r>
      <w:r w:rsidRPr="00D472C5">
        <w:rPr>
          <w:rFonts w:cstheme="minorHAnsi"/>
        </w:rPr>
        <w:t xml:space="preserve"> </w:t>
      </w:r>
      <w:r w:rsidRPr="00D472C5">
        <w:rPr>
          <w:rFonts w:cstheme="minorHAnsi"/>
          <w:lang w:val="en-IE"/>
        </w:rPr>
        <w:t xml:space="preserve">Child Care Law Reporting Project, ‘Second Interim Report’, October 2013 Available at: </w:t>
      </w:r>
      <w:hyperlink r:id="rId1" w:history="1">
        <w:r w:rsidRPr="00D472C5">
          <w:rPr>
            <w:rStyle w:val="Hyperlink"/>
            <w:rFonts w:cstheme="minorHAnsi"/>
            <w:lang w:val="en-IE"/>
          </w:rPr>
          <w:t>https://www.childlawproject.ie/wp-content/uploads/2013/11/correctedinterimreport.pdf</w:t>
        </w:r>
      </w:hyperlink>
      <w:r w:rsidRPr="00D472C5">
        <w:rPr>
          <w:rFonts w:cstheme="minorHAnsi"/>
          <w:lang w:val="en-IE"/>
        </w:rPr>
        <w:t xml:space="preserve"> </w:t>
      </w:r>
      <w:r>
        <w:rPr>
          <w:rFonts w:cstheme="minorHAnsi"/>
          <w:lang w:val="en-IE"/>
        </w:rPr>
        <w:t>Accessed on 28.06.022.</w:t>
      </w:r>
    </w:p>
  </w:footnote>
  <w:footnote w:id="2">
    <w:p w14:paraId="2524BB40" w14:textId="77777777" w:rsidR="003319F6" w:rsidRPr="00D472C5" w:rsidRDefault="003319F6" w:rsidP="003319F6">
      <w:pPr>
        <w:pStyle w:val="FootnoteText"/>
        <w:rPr>
          <w:rFonts w:cstheme="minorHAnsi"/>
          <w:lang w:val="en-IE"/>
        </w:rPr>
      </w:pPr>
      <w:r w:rsidRPr="00D472C5">
        <w:rPr>
          <w:rStyle w:val="FootnoteReference"/>
          <w:rFonts w:cstheme="minorHAnsi"/>
        </w:rPr>
        <w:footnoteRef/>
      </w:r>
      <w:r w:rsidRPr="00D472C5">
        <w:rPr>
          <w:rFonts w:cstheme="minorHAnsi"/>
        </w:rPr>
        <w:t xml:space="preserve"> ibid</w:t>
      </w:r>
    </w:p>
  </w:footnote>
  <w:footnote w:id="3">
    <w:p w14:paraId="4529C6FF" w14:textId="77777777" w:rsidR="00564A7B" w:rsidRPr="00D472C5" w:rsidRDefault="00564A7B" w:rsidP="00564A7B">
      <w:pPr>
        <w:pStyle w:val="FootnoteText"/>
        <w:rPr>
          <w:rFonts w:cstheme="minorHAnsi"/>
          <w:lang w:val="en-IE"/>
        </w:rPr>
      </w:pPr>
      <w:r w:rsidRPr="00D472C5">
        <w:rPr>
          <w:rStyle w:val="FootnoteReference"/>
          <w:rFonts w:cstheme="minorHAnsi"/>
        </w:rPr>
        <w:footnoteRef/>
      </w:r>
      <w:r w:rsidRPr="00D472C5">
        <w:rPr>
          <w:rFonts w:cstheme="minorHAnsi"/>
        </w:rPr>
        <w:t xml:space="preserve"> Child Care Law Re</w:t>
      </w:r>
      <w:r>
        <w:rPr>
          <w:rFonts w:cstheme="minorHAnsi"/>
        </w:rPr>
        <w:t>porting Project</w:t>
      </w:r>
      <w:r w:rsidRPr="00D472C5">
        <w:rPr>
          <w:rFonts w:cstheme="minorHAnsi"/>
        </w:rPr>
        <w:t xml:space="preserve">, ‘Ripe for Reform: An Analytical Review of Three Years of Court Reporting on Child Care Proceedings’, 2021. Available at: </w:t>
      </w:r>
      <w:hyperlink r:id="rId2" w:history="1">
        <w:r w:rsidRPr="00E7744F">
          <w:rPr>
            <w:rStyle w:val="Hyperlink"/>
            <w:rFonts w:cstheme="minorHAnsi"/>
          </w:rPr>
          <w:t>https://www.childlawproject.ie/wp-content/uploads/2021/11/CCLRP-Ripe-for-Reform-Report-October-2021.pdf</w:t>
        </w:r>
      </w:hyperlink>
      <w:r>
        <w:rPr>
          <w:rFonts w:cstheme="minorHAnsi"/>
        </w:rPr>
        <w:t xml:space="preserve"> </w:t>
      </w:r>
      <w:r>
        <w:rPr>
          <w:rFonts w:cstheme="minorHAnsi"/>
          <w:lang w:val="en-IE"/>
        </w:rPr>
        <w:t>Accessed on 28.06.022</w:t>
      </w:r>
    </w:p>
  </w:footnote>
  <w:footnote w:id="4">
    <w:p w14:paraId="6EC3F196" w14:textId="77777777" w:rsidR="00564A7B" w:rsidRPr="00D472C5" w:rsidRDefault="00564A7B" w:rsidP="00564A7B">
      <w:pPr>
        <w:pStyle w:val="Default"/>
        <w:rPr>
          <w:rFonts w:asciiTheme="minorHAnsi" w:hAnsiTheme="minorHAnsi" w:cstheme="minorHAnsi"/>
          <w:sz w:val="20"/>
          <w:szCs w:val="20"/>
        </w:rPr>
      </w:pPr>
      <w:r w:rsidRPr="00D472C5">
        <w:rPr>
          <w:rStyle w:val="FootnoteReference"/>
          <w:rFonts w:asciiTheme="minorHAnsi" w:hAnsiTheme="minorHAnsi" w:cstheme="minorHAnsi"/>
          <w:sz w:val="20"/>
          <w:szCs w:val="20"/>
        </w:rPr>
        <w:footnoteRef/>
      </w:r>
      <w:r w:rsidRPr="00D472C5">
        <w:rPr>
          <w:rFonts w:asciiTheme="minorHAnsi" w:hAnsiTheme="minorHAnsi" w:cstheme="minorHAnsi"/>
          <w:sz w:val="20"/>
          <w:szCs w:val="20"/>
        </w:rPr>
        <w:t xml:space="preserve"> ibid</w:t>
      </w:r>
      <w:r w:rsidRPr="00D472C5">
        <w:rPr>
          <w:rFonts w:asciiTheme="minorHAnsi" w:hAnsiTheme="minorHAnsi" w:cstheme="minorHAnsi"/>
          <w:color w:val="0000FF"/>
          <w:sz w:val="20"/>
          <w:szCs w:val="20"/>
        </w:rPr>
        <w:t xml:space="preserve"> </w:t>
      </w:r>
      <w:r w:rsidRPr="00D472C5">
        <w:rPr>
          <w:rFonts w:asciiTheme="minorHAnsi" w:hAnsiTheme="minorHAnsi" w:cstheme="minorHAnsi"/>
          <w:sz w:val="20"/>
          <w:szCs w:val="20"/>
        </w:rPr>
        <w:t xml:space="preserve"> </w:t>
      </w:r>
    </w:p>
  </w:footnote>
  <w:footnote w:id="5">
    <w:p w14:paraId="17712394" w14:textId="77777777" w:rsidR="00142DE5" w:rsidRPr="00D472C5" w:rsidRDefault="00142DE5" w:rsidP="00142DE5">
      <w:pPr>
        <w:pStyle w:val="Default"/>
        <w:rPr>
          <w:rFonts w:asciiTheme="minorHAnsi" w:hAnsiTheme="minorHAnsi" w:cstheme="minorHAnsi"/>
          <w:sz w:val="20"/>
          <w:szCs w:val="20"/>
        </w:rPr>
      </w:pPr>
      <w:r w:rsidRPr="00D472C5">
        <w:rPr>
          <w:rStyle w:val="FootnoteReference"/>
          <w:rFonts w:asciiTheme="minorHAnsi" w:hAnsiTheme="minorHAnsi" w:cstheme="minorHAnsi"/>
          <w:sz w:val="20"/>
          <w:szCs w:val="20"/>
        </w:rPr>
        <w:footnoteRef/>
      </w:r>
      <w:r w:rsidRPr="00D472C5">
        <w:rPr>
          <w:rFonts w:asciiTheme="minorHAnsi" w:hAnsiTheme="minorHAnsi" w:cstheme="minorHAnsi"/>
          <w:sz w:val="20"/>
          <w:szCs w:val="20"/>
        </w:rPr>
        <w:t xml:space="preserve"> UN General Assembly, Convention on the Rights of the Child, 20 November 1989, United Nations, Treaty Series, vol. 1577, Article 3  </w:t>
      </w:r>
    </w:p>
  </w:footnote>
  <w:footnote w:id="6">
    <w:p w14:paraId="22481B3D" w14:textId="77777777" w:rsidR="003319F6" w:rsidRPr="00C95F3F" w:rsidRDefault="003319F6" w:rsidP="003319F6">
      <w:pPr>
        <w:autoSpaceDE w:val="0"/>
        <w:autoSpaceDN w:val="0"/>
        <w:adjustRightInd w:val="0"/>
        <w:spacing w:after="0" w:line="240" w:lineRule="auto"/>
        <w:rPr>
          <w:rFonts w:cstheme="minorHAnsi"/>
          <w:sz w:val="20"/>
          <w:szCs w:val="20"/>
        </w:rPr>
      </w:pPr>
      <w:r w:rsidRPr="00D472C5">
        <w:rPr>
          <w:rStyle w:val="FootnoteReference"/>
          <w:rFonts w:cstheme="minorHAnsi"/>
          <w:sz w:val="20"/>
          <w:szCs w:val="20"/>
        </w:rPr>
        <w:footnoteRef/>
      </w:r>
      <w:r w:rsidRPr="00D472C5">
        <w:rPr>
          <w:rFonts w:cstheme="minorHAnsi"/>
          <w:sz w:val="20"/>
          <w:szCs w:val="20"/>
        </w:rPr>
        <w:t xml:space="preserve"> Hernandez-Plaza, S., Alonso-Morillejo, E., &amp; Pozo-Munoz, C., ’Social Support Interventions</w:t>
      </w:r>
      <w:r>
        <w:rPr>
          <w:rFonts w:cstheme="minorHAnsi"/>
          <w:sz w:val="20"/>
          <w:szCs w:val="20"/>
        </w:rPr>
        <w:t xml:space="preserve"> in</w:t>
      </w:r>
      <w:r w:rsidRPr="00D472C5">
        <w:rPr>
          <w:rFonts w:cstheme="minorHAnsi"/>
          <w:sz w:val="20"/>
          <w:szCs w:val="20"/>
        </w:rPr>
        <w:t xml:space="preserve"> Migrant Populations</w:t>
      </w:r>
      <w:proofErr w:type="gramStart"/>
      <w:r w:rsidRPr="00D472C5">
        <w:rPr>
          <w:rFonts w:cstheme="minorHAnsi"/>
          <w:sz w:val="20"/>
          <w:szCs w:val="20"/>
        </w:rPr>
        <w:t>’(</w:t>
      </w:r>
      <w:proofErr w:type="gramEnd"/>
      <w:r w:rsidRPr="00D472C5">
        <w:rPr>
          <w:rFonts w:cstheme="minorHAnsi"/>
          <w:sz w:val="20"/>
          <w:szCs w:val="20"/>
        </w:rPr>
        <w:t>2006) British Journal of Social Work 39,(1) 1151-1169, 1153</w:t>
      </w:r>
    </w:p>
  </w:footnote>
  <w:footnote w:id="7">
    <w:p w14:paraId="324853C3" w14:textId="77777777" w:rsidR="003319F6" w:rsidRPr="00D472C5" w:rsidRDefault="003319F6" w:rsidP="003319F6">
      <w:pPr>
        <w:pStyle w:val="FootnoteText"/>
        <w:rPr>
          <w:rFonts w:cstheme="minorHAnsi"/>
        </w:rPr>
      </w:pPr>
      <w:r w:rsidRPr="00D472C5">
        <w:rPr>
          <w:rStyle w:val="FootnoteReference"/>
          <w:rFonts w:cstheme="minorHAnsi"/>
        </w:rPr>
        <w:footnoteRef/>
      </w:r>
      <w:r w:rsidRPr="00D472C5">
        <w:rPr>
          <w:rFonts w:cstheme="minorHAnsi"/>
        </w:rPr>
        <w:t xml:space="preserve"> Nicola Dolan and Catherine Sherlock, ‘Family Support through Childcare Services: Meeting the Needs of Asylum-seeking and Refugee Families’ (2010) Child Care in Practice 16(2), 147 – 165, </w:t>
      </w:r>
      <w:r w:rsidRPr="00D472C5">
        <w:rPr>
          <w:rFonts w:cstheme="minorHAnsi"/>
          <w:lang w:val="en-IE"/>
        </w:rPr>
        <w:t>151</w:t>
      </w:r>
    </w:p>
  </w:footnote>
  <w:footnote w:id="8">
    <w:p w14:paraId="36F36C46" w14:textId="77777777" w:rsidR="003319F6" w:rsidRPr="00D472C5" w:rsidRDefault="003319F6" w:rsidP="003319F6">
      <w:pPr>
        <w:pStyle w:val="FootnoteText"/>
        <w:rPr>
          <w:rFonts w:cstheme="minorHAnsi"/>
          <w:lang w:val="en-IE"/>
        </w:rPr>
      </w:pPr>
      <w:r w:rsidRPr="00D472C5">
        <w:rPr>
          <w:rStyle w:val="FootnoteReference"/>
          <w:rFonts w:cstheme="minorHAnsi"/>
        </w:rPr>
        <w:footnoteRef/>
      </w:r>
      <w:r w:rsidRPr="00D472C5">
        <w:rPr>
          <w:rFonts w:cstheme="minorHAnsi"/>
        </w:rPr>
        <w:t xml:space="preserve"> Child Care (Amendment) Act 2007</w:t>
      </w:r>
    </w:p>
  </w:footnote>
  <w:footnote w:id="9">
    <w:p w14:paraId="338D955E" w14:textId="77777777" w:rsidR="003319F6" w:rsidRPr="00D472C5" w:rsidRDefault="003319F6" w:rsidP="003319F6">
      <w:pPr>
        <w:pStyle w:val="FootnoteText"/>
        <w:rPr>
          <w:rFonts w:cstheme="minorHAnsi"/>
          <w:lang w:val="en-IE"/>
        </w:rPr>
      </w:pPr>
      <w:r w:rsidRPr="00D472C5">
        <w:rPr>
          <w:rStyle w:val="FootnoteReference"/>
          <w:rFonts w:cstheme="minorHAnsi"/>
        </w:rPr>
        <w:footnoteRef/>
      </w:r>
      <w:r w:rsidRPr="00D472C5">
        <w:rPr>
          <w:rFonts w:cstheme="minorHAnsi"/>
        </w:rPr>
        <w:t xml:space="preserve"> </w:t>
      </w:r>
      <w:r>
        <w:rPr>
          <w:rFonts w:cstheme="minorHAnsi"/>
        </w:rPr>
        <w:t>(</w:t>
      </w:r>
      <w:r w:rsidRPr="00D472C5">
        <w:rPr>
          <w:rFonts w:cstheme="minorHAnsi"/>
        </w:rPr>
        <w:t>n 1) CCLRP 2013, 20</w:t>
      </w:r>
    </w:p>
  </w:footnote>
  <w:footnote w:id="10">
    <w:p w14:paraId="59A80C1E" w14:textId="77777777" w:rsidR="003319F6" w:rsidRPr="00D472C5" w:rsidRDefault="003319F6" w:rsidP="003319F6">
      <w:pPr>
        <w:pStyle w:val="FootnoteText"/>
        <w:rPr>
          <w:rFonts w:cstheme="minorHAnsi"/>
          <w:lang w:val="en-IE"/>
        </w:rPr>
      </w:pPr>
      <w:r w:rsidRPr="00D472C5">
        <w:rPr>
          <w:rStyle w:val="FootnoteReference"/>
          <w:rFonts w:cstheme="minorHAnsi"/>
        </w:rPr>
        <w:footnoteRef/>
      </w:r>
      <w:r w:rsidRPr="00D472C5">
        <w:rPr>
          <w:rFonts w:cstheme="minorHAnsi"/>
        </w:rPr>
        <w:t xml:space="preserve"> Child Care Law Reporting Project, ‘Second Interim Report’, October 2014 Available at: </w:t>
      </w:r>
      <w:hyperlink r:id="rId3" w:history="1">
        <w:r w:rsidRPr="00E7744F">
          <w:rPr>
            <w:rStyle w:val="Hyperlink"/>
            <w:rFonts w:cstheme="minorHAnsi"/>
          </w:rPr>
          <w:t>https://www.childlawproject.ie/wp-content/uploads/2014/10/Interim-report-2-Web.pdf</w:t>
        </w:r>
      </w:hyperlink>
      <w:r>
        <w:rPr>
          <w:rFonts w:cstheme="minorHAnsi"/>
        </w:rPr>
        <w:t xml:space="preserve"> </w:t>
      </w:r>
      <w:r>
        <w:rPr>
          <w:rFonts w:cstheme="minorHAnsi"/>
          <w:lang w:val="en-IE"/>
        </w:rPr>
        <w:t>Accessed on 28.06.022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43912"/>
    <w:multiLevelType w:val="hybridMultilevel"/>
    <w:tmpl w:val="E2B49568"/>
    <w:lvl w:ilvl="0" w:tplc="636EFB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457978"/>
    <w:multiLevelType w:val="hybridMultilevel"/>
    <w:tmpl w:val="7C564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9F6"/>
    <w:rsid w:val="000022A5"/>
    <w:rsid w:val="00142DE5"/>
    <w:rsid w:val="003319F6"/>
    <w:rsid w:val="003E1327"/>
    <w:rsid w:val="00401228"/>
    <w:rsid w:val="00492944"/>
    <w:rsid w:val="00564A7B"/>
    <w:rsid w:val="0061487F"/>
    <w:rsid w:val="007C4EFD"/>
    <w:rsid w:val="008D5489"/>
    <w:rsid w:val="0093275D"/>
    <w:rsid w:val="00961763"/>
    <w:rsid w:val="009A31BA"/>
    <w:rsid w:val="009B3DD8"/>
    <w:rsid w:val="00A23FE2"/>
    <w:rsid w:val="00A62A23"/>
    <w:rsid w:val="00C10272"/>
    <w:rsid w:val="00DC07AA"/>
    <w:rsid w:val="00E1414A"/>
    <w:rsid w:val="00E30630"/>
    <w:rsid w:val="00E86F05"/>
    <w:rsid w:val="00EA294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0F7EC"/>
  <w15:chartTrackingRefBased/>
  <w15:docId w15:val="{35BC7153-4F1F-7A48-9B81-4946804F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F6"/>
    <w:pPr>
      <w:spacing w:after="200" w:line="276" w:lineRule="auto"/>
    </w:pPr>
    <w:rPr>
      <w:sz w:val="22"/>
      <w:szCs w:val="22"/>
      <w:lang w:val="en-GB"/>
    </w:rPr>
  </w:style>
  <w:style w:type="paragraph" w:styleId="Heading1">
    <w:name w:val="heading 1"/>
    <w:basedOn w:val="Normal"/>
    <w:next w:val="Normal"/>
    <w:link w:val="Heading1Char"/>
    <w:uiPriority w:val="9"/>
    <w:qFormat/>
    <w:rsid w:val="003319F6"/>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0022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9F6"/>
    <w:rPr>
      <w:rFonts w:eastAsiaTheme="majorEastAsia" w:cstheme="majorBidi"/>
      <w:color w:val="2F5496" w:themeColor="accent1" w:themeShade="BF"/>
      <w:sz w:val="28"/>
      <w:szCs w:val="32"/>
      <w:lang w:val="en-GB"/>
    </w:rPr>
  </w:style>
  <w:style w:type="paragraph" w:styleId="FootnoteText">
    <w:name w:val="footnote text"/>
    <w:basedOn w:val="Normal"/>
    <w:link w:val="FootnoteTextChar"/>
    <w:uiPriority w:val="99"/>
    <w:unhideWhenUsed/>
    <w:rsid w:val="003319F6"/>
    <w:pPr>
      <w:spacing w:after="0" w:line="240" w:lineRule="auto"/>
    </w:pPr>
    <w:rPr>
      <w:sz w:val="20"/>
      <w:szCs w:val="20"/>
    </w:rPr>
  </w:style>
  <w:style w:type="character" w:customStyle="1" w:styleId="FootnoteTextChar">
    <w:name w:val="Footnote Text Char"/>
    <w:basedOn w:val="DefaultParagraphFont"/>
    <w:link w:val="FootnoteText"/>
    <w:uiPriority w:val="99"/>
    <w:rsid w:val="003319F6"/>
    <w:rPr>
      <w:sz w:val="20"/>
      <w:szCs w:val="20"/>
      <w:lang w:val="en-GB"/>
    </w:rPr>
  </w:style>
  <w:style w:type="character" w:styleId="FootnoteReference">
    <w:name w:val="footnote reference"/>
    <w:basedOn w:val="DefaultParagraphFont"/>
    <w:uiPriority w:val="99"/>
    <w:semiHidden/>
    <w:unhideWhenUsed/>
    <w:rsid w:val="003319F6"/>
    <w:rPr>
      <w:vertAlign w:val="superscript"/>
    </w:rPr>
  </w:style>
  <w:style w:type="character" w:styleId="Hyperlink">
    <w:name w:val="Hyperlink"/>
    <w:basedOn w:val="DefaultParagraphFont"/>
    <w:uiPriority w:val="99"/>
    <w:unhideWhenUsed/>
    <w:rsid w:val="003319F6"/>
    <w:rPr>
      <w:color w:val="0563C1" w:themeColor="hyperlink"/>
      <w:u w:val="single"/>
    </w:rPr>
  </w:style>
  <w:style w:type="paragraph" w:customStyle="1" w:styleId="Default">
    <w:name w:val="Default"/>
    <w:rsid w:val="00E86F05"/>
    <w:pPr>
      <w:autoSpaceDE w:val="0"/>
      <w:autoSpaceDN w:val="0"/>
      <w:adjustRightInd w:val="0"/>
    </w:pPr>
    <w:rPr>
      <w:rFonts w:ascii="Calibri" w:hAnsi="Calibri" w:cs="Calibri"/>
      <w:color w:val="000000"/>
      <w:lang w:val="en-GB"/>
    </w:rPr>
  </w:style>
  <w:style w:type="paragraph" w:styleId="ListParagraph">
    <w:name w:val="List Paragraph"/>
    <w:basedOn w:val="Normal"/>
    <w:uiPriority w:val="34"/>
    <w:qFormat/>
    <w:rsid w:val="00142DE5"/>
    <w:pPr>
      <w:ind w:left="720"/>
      <w:contextualSpacing/>
    </w:pPr>
  </w:style>
  <w:style w:type="character" w:customStyle="1" w:styleId="Heading2Char">
    <w:name w:val="Heading 2 Char"/>
    <w:basedOn w:val="DefaultParagraphFont"/>
    <w:link w:val="Heading2"/>
    <w:uiPriority w:val="9"/>
    <w:rsid w:val="000022A5"/>
    <w:rPr>
      <w:rFonts w:asciiTheme="majorHAnsi" w:eastAsiaTheme="majorEastAsia" w:hAnsiTheme="majorHAnsi" w:cstheme="majorBidi"/>
      <w:color w:val="2F5496" w:themeColor="accent1" w:themeShade="BF"/>
      <w:sz w:val="26"/>
      <w:szCs w:val="26"/>
      <w:lang w:val="en-GB"/>
    </w:rPr>
  </w:style>
  <w:style w:type="paragraph" w:styleId="NoSpacing">
    <w:name w:val="No Spacing"/>
    <w:link w:val="NoSpacingChar"/>
    <w:uiPriority w:val="1"/>
    <w:qFormat/>
    <w:rsid w:val="00961763"/>
    <w:rPr>
      <w:rFonts w:eastAsiaTheme="minorEastAsia"/>
      <w:sz w:val="22"/>
      <w:szCs w:val="22"/>
      <w:lang w:val="en-US" w:eastAsia="zh-CN"/>
    </w:rPr>
  </w:style>
  <w:style w:type="character" w:customStyle="1" w:styleId="NoSpacingChar">
    <w:name w:val="No Spacing Char"/>
    <w:basedOn w:val="DefaultParagraphFont"/>
    <w:link w:val="NoSpacing"/>
    <w:uiPriority w:val="1"/>
    <w:rsid w:val="0096176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hildlawproject.ie/wp-content/uploads/2014/10/Interim-report-2-Web.pdf" TargetMode="External"/><Relationship Id="rId2" Type="http://schemas.openxmlformats.org/officeDocument/2006/relationships/hyperlink" Target="https://www.childlawproject.ie/wp-content/uploads/2021/11/CCLRP-Ripe-for-Reform-Report-October-2021.pdf" TargetMode="External"/><Relationship Id="rId1" Type="http://schemas.openxmlformats.org/officeDocument/2006/relationships/hyperlink" Target="https://www.childlawproject.ie/wp-content/uploads/2013/11/correctedinterim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4D45AB-E60B-4D8B-8CCE-D21BBBB4D4FA}"/>
</file>

<file path=customXml/itemProps2.xml><?xml version="1.0" encoding="utf-8"?>
<ds:datastoreItem xmlns:ds="http://schemas.openxmlformats.org/officeDocument/2006/customXml" ds:itemID="{8E59AC53-4301-453D-AB66-9550875FA91D}"/>
</file>

<file path=customXml/itemProps3.xml><?xml version="1.0" encoding="utf-8"?>
<ds:datastoreItem xmlns:ds="http://schemas.openxmlformats.org/officeDocument/2006/customXml" ds:itemID="{7C505D3B-8A7C-4A96-ABC0-3A21BC90D091}"/>
</file>

<file path=docProps/app.xml><?xml version="1.0" encoding="utf-8"?>
<Properties xmlns="http://schemas.openxmlformats.org/officeDocument/2006/extended-properties" xmlns:vt="http://schemas.openxmlformats.org/officeDocument/2006/docPropsVTypes">
  <Template>Normal.dotm</Template>
  <TotalTime>0</TotalTime>
  <Pages>9</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Submission to the Committee on the Rights of the child</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Committee on the Rights of the child</dc:title>
  <dc:subject>AKIDWA</dc:subject>
  <dc:creator>AkiDwA</dc:creator>
  <cp:keywords/>
  <dc:description/>
  <cp:lastModifiedBy>BOIT James</cp:lastModifiedBy>
  <cp:revision>2</cp:revision>
  <dcterms:created xsi:type="dcterms:W3CDTF">2022-09-27T07:10:00Z</dcterms:created>
  <dcterms:modified xsi:type="dcterms:W3CDTF">2022-09-27T07:10:00Z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