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C70F4D5" w14:textId="77777777" w:rsidTr="00CA1AEA">
        <w:trPr>
          <w:cantSplit/>
          <w:trHeight w:hRule="exact" w:val="851"/>
        </w:trPr>
        <w:tc>
          <w:tcPr>
            <w:tcW w:w="1276" w:type="dxa"/>
            <w:tcBorders>
              <w:bottom w:val="single" w:sz="4" w:space="0" w:color="auto"/>
            </w:tcBorders>
            <w:vAlign w:val="bottom"/>
          </w:tcPr>
          <w:p w14:paraId="11D0EEF5" w14:textId="7AADB73C" w:rsidR="00165C15" w:rsidRDefault="00165C15" w:rsidP="00CA1AEA">
            <w:pPr>
              <w:spacing w:after="80"/>
            </w:pPr>
          </w:p>
        </w:tc>
        <w:tc>
          <w:tcPr>
            <w:tcW w:w="2268" w:type="dxa"/>
            <w:tcBorders>
              <w:bottom w:val="single" w:sz="4" w:space="0" w:color="auto"/>
            </w:tcBorders>
            <w:vAlign w:val="bottom"/>
          </w:tcPr>
          <w:p w14:paraId="176BF0AB"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2FC846C" w14:textId="26CA44C7" w:rsidR="00165C15" w:rsidRPr="00D47EEA" w:rsidRDefault="00FF3E9C" w:rsidP="00602262">
            <w:pPr>
              <w:suppressAutoHyphens w:val="0"/>
              <w:spacing w:after="20"/>
              <w:jc w:val="right"/>
            </w:pPr>
            <w:r w:rsidRPr="00FF3E9C">
              <w:rPr>
                <w:sz w:val="40"/>
              </w:rPr>
              <w:t>CCPR</w:t>
            </w:r>
            <w:r w:rsidR="00545744">
              <w:t>/C</w:t>
            </w:r>
            <w:r w:rsidR="00602262">
              <w:t>/</w:t>
            </w:r>
            <w:r>
              <w:t>1</w:t>
            </w:r>
            <w:r w:rsidR="00B53136">
              <w:t>3</w:t>
            </w:r>
            <w:r w:rsidR="00294C0C">
              <w:t>4</w:t>
            </w:r>
            <w:r>
              <w:t>/D/</w:t>
            </w:r>
            <w:r w:rsidR="000D2DE0">
              <w:t>3587</w:t>
            </w:r>
            <w:r>
              <w:t>/201</w:t>
            </w:r>
            <w:r w:rsidR="000D2DE0">
              <w:t>9</w:t>
            </w:r>
          </w:p>
        </w:tc>
      </w:tr>
      <w:tr w:rsidR="00165C15" w14:paraId="51117F6C" w14:textId="77777777" w:rsidTr="00CA1AEA">
        <w:trPr>
          <w:cantSplit/>
          <w:trHeight w:hRule="exact" w:val="2835"/>
        </w:trPr>
        <w:tc>
          <w:tcPr>
            <w:tcW w:w="1276" w:type="dxa"/>
            <w:tcBorders>
              <w:top w:val="single" w:sz="4" w:space="0" w:color="auto"/>
              <w:bottom w:val="single" w:sz="12" w:space="0" w:color="auto"/>
            </w:tcBorders>
          </w:tcPr>
          <w:p w14:paraId="246D61CD" w14:textId="77777777" w:rsidR="00165C15" w:rsidRDefault="00165C15" w:rsidP="00CA1AEA">
            <w:pPr>
              <w:spacing w:before="120"/>
            </w:pPr>
            <w:r>
              <w:rPr>
                <w:noProof/>
                <w:lang w:eastAsia="en-GB"/>
              </w:rPr>
              <w:drawing>
                <wp:inline distT="0" distB="0" distL="0" distR="0" wp14:anchorId="1AC77E30" wp14:editId="7240B5E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804441B" w14:textId="3DC6382C" w:rsidR="00165C15" w:rsidRDefault="00165C15" w:rsidP="00CA1AEA">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p w14:paraId="7865C5ED" w14:textId="77777777" w:rsidR="00B146C5" w:rsidRDefault="00B146C5" w:rsidP="00CA1AEA">
            <w:pPr>
              <w:spacing w:before="120" w:line="380" w:lineRule="exact"/>
              <w:rPr>
                <w:b/>
                <w:sz w:val="34"/>
                <w:szCs w:val="40"/>
              </w:rPr>
            </w:pPr>
          </w:p>
          <w:p w14:paraId="5DAA85D1" w14:textId="77777777" w:rsidR="00B146C5" w:rsidRDefault="00B146C5" w:rsidP="00B146C5">
            <w:pPr>
              <w:spacing w:before="120" w:line="240" w:lineRule="auto"/>
              <w:rPr>
                <w:b/>
                <w:sz w:val="34"/>
                <w:szCs w:val="40"/>
                <w:lang w:val="en-US"/>
              </w:rPr>
            </w:pPr>
            <w:r>
              <w:rPr>
                <w:b/>
                <w:sz w:val="28"/>
                <w:szCs w:val="28"/>
              </w:rPr>
              <w:t>Advance unedited version</w:t>
            </w:r>
          </w:p>
          <w:p w14:paraId="134DC7D2" w14:textId="5855A0BC" w:rsidR="00B146C5" w:rsidRPr="00267F5F" w:rsidRDefault="00B146C5" w:rsidP="00CA1AEA">
            <w:pPr>
              <w:spacing w:before="120" w:line="380" w:lineRule="exact"/>
              <w:rPr>
                <w:sz w:val="34"/>
              </w:rPr>
            </w:pPr>
          </w:p>
        </w:tc>
        <w:tc>
          <w:tcPr>
            <w:tcW w:w="2835" w:type="dxa"/>
            <w:tcBorders>
              <w:top w:val="single" w:sz="4" w:space="0" w:color="auto"/>
              <w:bottom w:val="single" w:sz="12" w:space="0" w:color="auto"/>
            </w:tcBorders>
          </w:tcPr>
          <w:p w14:paraId="29F78EAB" w14:textId="2A2A8B10" w:rsidR="00165C15" w:rsidRDefault="00FF3E9C" w:rsidP="00FF3E9C">
            <w:pPr>
              <w:suppressAutoHyphens w:val="0"/>
              <w:spacing w:before="240"/>
            </w:pPr>
            <w:r>
              <w:t xml:space="preserve">Distr.: </w:t>
            </w:r>
            <w:r w:rsidR="000A124C">
              <w:t>General</w:t>
            </w:r>
          </w:p>
          <w:p w14:paraId="1929059F" w14:textId="71308EDF" w:rsidR="00FF3E9C" w:rsidRDefault="00B30391" w:rsidP="00D17D14">
            <w:pPr>
              <w:suppressAutoHyphens w:val="0"/>
            </w:pPr>
            <w:r>
              <w:t>4 August</w:t>
            </w:r>
            <w:r w:rsidR="00C26467">
              <w:t xml:space="preserve"> 2022</w:t>
            </w:r>
          </w:p>
          <w:p w14:paraId="76C0B6FE" w14:textId="77777777" w:rsidR="00B53136" w:rsidRDefault="00B53136" w:rsidP="00FF3E9C">
            <w:pPr>
              <w:suppressAutoHyphens w:val="0"/>
            </w:pPr>
          </w:p>
          <w:p w14:paraId="5C7E629F" w14:textId="400A125D" w:rsidR="00FF3E9C" w:rsidRDefault="00FF3E9C" w:rsidP="00FF3E9C">
            <w:pPr>
              <w:suppressAutoHyphens w:val="0"/>
            </w:pPr>
            <w:r>
              <w:t xml:space="preserve">Original: </w:t>
            </w:r>
            <w:r w:rsidR="00B53136">
              <w:t xml:space="preserve">English </w:t>
            </w:r>
          </w:p>
          <w:p w14:paraId="2C6F9E1D" w14:textId="098CE3F0" w:rsidR="00FF3E9C" w:rsidRDefault="00FF3E9C" w:rsidP="00FF3E9C">
            <w:pPr>
              <w:suppressAutoHyphens w:val="0"/>
            </w:pPr>
          </w:p>
        </w:tc>
      </w:tr>
    </w:tbl>
    <w:p w14:paraId="125A4A57" w14:textId="77777777" w:rsidR="002A1EBD" w:rsidRPr="002A1EBD" w:rsidRDefault="002A1EBD" w:rsidP="002A1EBD">
      <w:pPr>
        <w:spacing w:before="120"/>
        <w:rPr>
          <w:b/>
          <w:bCs/>
          <w:sz w:val="24"/>
          <w:szCs w:val="24"/>
        </w:rPr>
      </w:pPr>
      <w:r w:rsidRPr="002A1EBD">
        <w:rPr>
          <w:b/>
          <w:bCs/>
          <w:sz w:val="24"/>
          <w:szCs w:val="24"/>
        </w:rPr>
        <w:t>Human Rights Committee</w:t>
      </w:r>
    </w:p>
    <w:p w14:paraId="3D79C68B" w14:textId="2F65F3DD" w:rsidR="002A1EBD" w:rsidRPr="00585EA8" w:rsidRDefault="00165A4D" w:rsidP="00EF30CE">
      <w:pPr>
        <w:pStyle w:val="HChG"/>
      </w:pPr>
      <w:r>
        <w:rPr>
          <w:bCs/>
          <w:sz w:val="20"/>
        </w:rPr>
        <w:tab/>
      </w:r>
      <w:r>
        <w:rPr>
          <w:bCs/>
          <w:sz w:val="20"/>
        </w:rPr>
        <w:tab/>
      </w:r>
      <w:r w:rsidR="00EF30CE">
        <w:t xml:space="preserve">Decision </w:t>
      </w:r>
      <w:r w:rsidR="00EF30CE" w:rsidRPr="00654BD3">
        <w:t>adopted by the Committee under article</w:t>
      </w:r>
      <w:r w:rsidR="00EF30CE">
        <w:t xml:space="preserve"> 5 (4) </w:t>
      </w:r>
      <w:r w:rsidR="00EF30CE" w:rsidRPr="00654BD3">
        <w:t xml:space="preserve">of the Optional Protocol, concerning </w:t>
      </w:r>
      <w:r w:rsidR="00EF30CE">
        <w:t>c</w:t>
      </w:r>
      <w:r w:rsidR="002A1EBD" w:rsidRPr="00585EA8">
        <w:t xml:space="preserve">ommunication No. </w:t>
      </w:r>
      <w:r w:rsidR="000D2DE0">
        <w:t>3587</w:t>
      </w:r>
      <w:r w:rsidR="002A1EBD" w:rsidRPr="00585EA8">
        <w:t>/201</w:t>
      </w:r>
      <w:r w:rsidR="000D2DE0">
        <w:t>9</w:t>
      </w:r>
      <w:proofErr w:type="gramStart"/>
      <w:r w:rsidR="00EF30CE" w:rsidRPr="00CB7818">
        <w:rPr>
          <w:rFonts w:eastAsia="MS Mincho"/>
          <w:b w:val="0"/>
          <w:sz w:val="20"/>
        </w:rPr>
        <w:footnoteReference w:customMarkFollows="1" w:id="1"/>
        <w:t>*</w:t>
      </w:r>
      <w:r w:rsidR="00EF30CE" w:rsidRPr="00CB7818">
        <w:rPr>
          <w:rFonts w:eastAsia="MS Mincho"/>
          <w:b w:val="0"/>
          <w:sz w:val="20"/>
          <w:vertAlign w:val="superscript"/>
        </w:rPr>
        <w:t>,</w:t>
      </w:r>
      <w:r w:rsidR="00EF30CE" w:rsidRPr="00CB7818">
        <w:rPr>
          <w:rFonts w:eastAsia="MS Mincho"/>
          <w:b w:val="0"/>
          <w:sz w:val="20"/>
        </w:rPr>
        <w:footnoteReference w:customMarkFollows="1" w:id="2"/>
        <w:t>*</w:t>
      </w:r>
      <w:proofErr w:type="gramEnd"/>
      <w:r w:rsidR="00EF30CE" w:rsidRPr="00CB7818">
        <w:rPr>
          <w:rFonts w:eastAsia="MS Mincho"/>
          <w:b w:val="0"/>
          <w:sz w:val="20"/>
        </w:rPr>
        <w:t>*</w:t>
      </w:r>
    </w:p>
    <w:p w14:paraId="1FC25D56" w14:textId="5D19CB64" w:rsidR="00653FDF" w:rsidRPr="00585EA8" w:rsidRDefault="00653FDF" w:rsidP="00653FDF">
      <w:pPr>
        <w:pStyle w:val="SingleTxtG"/>
        <w:ind w:left="4536" w:hanging="3402"/>
        <w:jc w:val="left"/>
      </w:pPr>
      <w:r w:rsidRPr="00585EA8">
        <w:rPr>
          <w:i/>
          <w:iCs/>
        </w:rPr>
        <w:t>Communication submitted by:</w:t>
      </w:r>
      <w:r w:rsidRPr="00585EA8">
        <w:rPr>
          <w:i/>
        </w:rPr>
        <w:tab/>
      </w:r>
      <w:r w:rsidR="004E1F2B" w:rsidRPr="004E1F2B">
        <w:t>A</w:t>
      </w:r>
      <w:r w:rsidR="003718D6">
        <w:t>.</w:t>
      </w:r>
      <w:r w:rsidR="004E1F2B" w:rsidRPr="004E1F2B">
        <w:t>Y</w:t>
      </w:r>
      <w:r w:rsidR="003718D6">
        <w:t>.O.</w:t>
      </w:r>
      <w:r w:rsidR="004E1F2B" w:rsidRPr="004E1F2B">
        <w:t>AQ</w:t>
      </w:r>
      <w:r w:rsidR="003718D6">
        <w:t xml:space="preserve"> </w:t>
      </w:r>
      <w:r w:rsidRPr="00585EA8">
        <w:t>(represented</w:t>
      </w:r>
      <w:r w:rsidR="004E1F2B">
        <w:t xml:space="preserve"> by counsel</w:t>
      </w:r>
      <w:r w:rsidR="003718D6">
        <w:t xml:space="preserve">, </w:t>
      </w:r>
      <w:proofErr w:type="spellStart"/>
      <w:r w:rsidR="003718D6">
        <w:t>Davide</w:t>
      </w:r>
      <w:proofErr w:type="spellEnd"/>
      <w:r w:rsidR="003718D6">
        <w:t xml:space="preserve"> </w:t>
      </w:r>
      <w:proofErr w:type="spellStart"/>
      <w:r w:rsidR="003718D6">
        <w:t>Galimberti</w:t>
      </w:r>
      <w:proofErr w:type="spellEnd"/>
      <w:r w:rsidR="00294C0C">
        <w:t xml:space="preserve">) </w:t>
      </w:r>
      <w:r w:rsidR="00FE743E">
        <w:t xml:space="preserve"> </w:t>
      </w:r>
    </w:p>
    <w:p w14:paraId="7E8378E4" w14:textId="5444FB8B" w:rsidR="00653FDF" w:rsidRPr="00585EA8" w:rsidRDefault="00B53136" w:rsidP="00653FDF">
      <w:pPr>
        <w:pStyle w:val="SingleTxtG"/>
        <w:ind w:left="4536" w:hanging="3402"/>
        <w:jc w:val="left"/>
      </w:pPr>
      <w:r>
        <w:rPr>
          <w:i/>
          <w:iCs/>
        </w:rPr>
        <w:t>Alleged victim</w:t>
      </w:r>
      <w:r w:rsidR="00653FDF" w:rsidRPr="00585EA8">
        <w:rPr>
          <w:i/>
          <w:iCs/>
        </w:rPr>
        <w:t>:</w:t>
      </w:r>
      <w:r w:rsidR="00653FDF" w:rsidRPr="00585EA8">
        <w:rPr>
          <w:i/>
        </w:rPr>
        <w:tab/>
      </w:r>
      <w:r w:rsidR="00653FDF" w:rsidRPr="00585EA8">
        <w:t>The author</w:t>
      </w:r>
    </w:p>
    <w:p w14:paraId="14C1BC11" w14:textId="5D0E5E76" w:rsidR="00653FDF" w:rsidRPr="00585EA8" w:rsidRDefault="00653FDF" w:rsidP="00653FDF">
      <w:pPr>
        <w:pStyle w:val="SingleTxtG"/>
        <w:ind w:left="4536" w:hanging="3402"/>
        <w:jc w:val="left"/>
      </w:pPr>
      <w:r w:rsidRPr="00585EA8">
        <w:rPr>
          <w:i/>
          <w:iCs/>
        </w:rPr>
        <w:t>State party:</w:t>
      </w:r>
      <w:r w:rsidRPr="00585EA8">
        <w:rPr>
          <w:i/>
        </w:rPr>
        <w:tab/>
      </w:r>
      <w:r w:rsidR="000D2DE0">
        <w:t xml:space="preserve">Italy </w:t>
      </w:r>
      <w:r w:rsidR="000D430D">
        <w:t xml:space="preserve"> </w:t>
      </w:r>
      <w:r w:rsidR="00FE743E">
        <w:t xml:space="preserve"> </w:t>
      </w:r>
      <w:r w:rsidR="0024336D">
        <w:t xml:space="preserve"> </w:t>
      </w:r>
    </w:p>
    <w:p w14:paraId="675887C1" w14:textId="69715715" w:rsidR="00653FDF" w:rsidRPr="00585EA8" w:rsidRDefault="00653FDF" w:rsidP="00653FDF">
      <w:pPr>
        <w:pStyle w:val="SingleTxtG"/>
        <w:ind w:left="4536" w:hanging="3402"/>
        <w:jc w:val="left"/>
      </w:pPr>
      <w:r w:rsidRPr="00585EA8">
        <w:rPr>
          <w:i/>
          <w:iCs/>
        </w:rPr>
        <w:t>Date of communication:</w:t>
      </w:r>
      <w:r w:rsidRPr="00585EA8">
        <w:rPr>
          <w:i/>
        </w:rPr>
        <w:tab/>
      </w:r>
      <w:r w:rsidR="00533F91" w:rsidRPr="00533F91">
        <w:t xml:space="preserve">2 May 2018 </w:t>
      </w:r>
      <w:r w:rsidRPr="00E4398E">
        <w:t>(initial submission)</w:t>
      </w:r>
    </w:p>
    <w:p w14:paraId="4A5CDE10" w14:textId="744F781B" w:rsidR="00653FDF" w:rsidRPr="00585EA8" w:rsidRDefault="00653FDF" w:rsidP="00653FDF">
      <w:pPr>
        <w:pStyle w:val="SingleTxtG"/>
        <w:ind w:left="4536" w:hanging="3402"/>
        <w:jc w:val="left"/>
      </w:pPr>
      <w:r w:rsidRPr="00585EA8">
        <w:rPr>
          <w:i/>
          <w:iCs/>
        </w:rPr>
        <w:t>Document references:</w:t>
      </w:r>
      <w:r w:rsidRPr="00585EA8">
        <w:rPr>
          <w:i/>
        </w:rPr>
        <w:tab/>
      </w:r>
      <w:r w:rsidRPr="003718D6">
        <w:t>Decision</w:t>
      </w:r>
      <w:r w:rsidRPr="00585EA8">
        <w:t xml:space="preserve"> taken pursuant to rule 9</w:t>
      </w:r>
      <w:r w:rsidR="003718D6">
        <w:t>2</w:t>
      </w:r>
      <w:r w:rsidRPr="00585EA8">
        <w:t xml:space="preserve"> </w:t>
      </w:r>
      <w:r w:rsidR="00CE3BA5">
        <w:t xml:space="preserve">(2) </w:t>
      </w:r>
      <w:r w:rsidRPr="00585EA8">
        <w:t>of the Committee</w:t>
      </w:r>
      <w:r w:rsidR="0039393F">
        <w:t>’</w:t>
      </w:r>
      <w:r w:rsidRPr="00585EA8">
        <w:t xml:space="preserve">s rules of procedure, transmitted to the State party on </w:t>
      </w:r>
      <w:r w:rsidR="003718D6">
        <w:t xml:space="preserve">10 April 2019 </w:t>
      </w:r>
      <w:r w:rsidRPr="00585EA8">
        <w:t>(not issued in document form)</w:t>
      </w:r>
    </w:p>
    <w:p w14:paraId="67BFFBAE" w14:textId="6FBDA9C4" w:rsidR="00653FDF" w:rsidRPr="00585EA8" w:rsidRDefault="00653FDF" w:rsidP="00653FDF">
      <w:pPr>
        <w:pStyle w:val="SingleTxtG"/>
        <w:ind w:left="4536" w:hanging="3402"/>
        <w:jc w:val="left"/>
      </w:pPr>
      <w:r w:rsidRPr="00585EA8">
        <w:rPr>
          <w:i/>
          <w:iCs/>
        </w:rPr>
        <w:t xml:space="preserve">Date of adoption of </w:t>
      </w:r>
      <w:r w:rsidR="000D2DE0">
        <w:rPr>
          <w:i/>
          <w:iCs/>
        </w:rPr>
        <w:t>d</w:t>
      </w:r>
      <w:r w:rsidR="0093706F">
        <w:rPr>
          <w:i/>
          <w:iCs/>
        </w:rPr>
        <w:t>ecision</w:t>
      </w:r>
      <w:r w:rsidRPr="00126A1A">
        <w:rPr>
          <w:i/>
          <w:iCs/>
        </w:rPr>
        <w:t>:</w:t>
      </w:r>
      <w:r w:rsidRPr="00585EA8">
        <w:rPr>
          <w:i/>
        </w:rPr>
        <w:tab/>
      </w:r>
      <w:r w:rsidR="00EF30CE">
        <w:t xml:space="preserve">25 </w:t>
      </w:r>
      <w:r w:rsidR="00C26467">
        <w:t xml:space="preserve">March </w:t>
      </w:r>
      <w:r w:rsidRPr="00585EA8">
        <w:t>202</w:t>
      </w:r>
      <w:r w:rsidR="00294C0C">
        <w:t>2</w:t>
      </w:r>
    </w:p>
    <w:p w14:paraId="4B272351" w14:textId="6B82263F" w:rsidR="00653FDF" w:rsidRPr="00585EA8" w:rsidRDefault="00653FDF" w:rsidP="00653FDF">
      <w:pPr>
        <w:pStyle w:val="SingleTxtG"/>
        <w:ind w:left="4536" w:hanging="3402"/>
        <w:jc w:val="left"/>
      </w:pPr>
      <w:r w:rsidRPr="00585EA8">
        <w:rPr>
          <w:i/>
          <w:iCs/>
        </w:rPr>
        <w:lastRenderedPageBreak/>
        <w:t>Subject matter:</w:t>
      </w:r>
      <w:r w:rsidRPr="00585EA8">
        <w:rPr>
          <w:i/>
        </w:rPr>
        <w:tab/>
      </w:r>
      <w:r w:rsidR="00C65CAC" w:rsidRPr="00C65CAC">
        <w:t>Denial of application for citizenship due to family re</w:t>
      </w:r>
      <w:r w:rsidR="00B21BD2">
        <w:t>lations</w:t>
      </w:r>
      <w:r w:rsidR="00C65CAC" w:rsidRPr="00C65CAC">
        <w:t xml:space="preserve"> </w:t>
      </w:r>
      <w:r w:rsidR="00294C0C">
        <w:t xml:space="preserve"> </w:t>
      </w:r>
    </w:p>
    <w:p w14:paraId="3782C3DA" w14:textId="1F0287D6" w:rsidR="00653FDF" w:rsidRPr="00585EA8" w:rsidRDefault="00294C0C" w:rsidP="00653FDF">
      <w:pPr>
        <w:pStyle w:val="SingleTxtG"/>
        <w:ind w:left="4536" w:hanging="3402"/>
        <w:jc w:val="left"/>
      </w:pPr>
      <w:r>
        <w:rPr>
          <w:i/>
          <w:iCs/>
        </w:rPr>
        <w:t>Procedural issue</w:t>
      </w:r>
      <w:r w:rsidR="008D2DBD">
        <w:rPr>
          <w:i/>
          <w:iCs/>
        </w:rPr>
        <w:t>s</w:t>
      </w:r>
      <w:r w:rsidR="00653FDF" w:rsidRPr="00585EA8">
        <w:rPr>
          <w:i/>
          <w:iCs/>
        </w:rPr>
        <w:t>:</w:t>
      </w:r>
      <w:r w:rsidR="00653FDF" w:rsidRPr="00585EA8">
        <w:rPr>
          <w:i/>
          <w:iCs/>
        </w:rPr>
        <w:tab/>
      </w:r>
      <w:r w:rsidR="00840DF4" w:rsidRPr="00C65CAC">
        <w:rPr>
          <w:iCs/>
        </w:rPr>
        <w:t xml:space="preserve">Inadmissibility </w:t>
      </w:r>
      <w:r w:rsidR="0093706F" w:rsidRPr="00C65CAC">
        <w:rPr>
          <w:iCs/>
        </w:rPr>
        <w:t>–</w:t>
      </w:r>
      <w:r w:rsidR="00840DF4" w:rsidRPr="00C65CAC">
        <w:rPr>
          <w:iCs/>
        </w:rPr>
        <w:t xml:space="preserve"> </w:t>
      </w:r>
      <w:r w:rsidR="00B21BD2">
        <w:rPr>
          <w:iCs/>
        </w:rPr>
        <w:t>non-exhaustion</w:t>
      </w:r>
      <w:r w:rsidR="008D2DBD">
        <w:rPr>
          <w:iCs/>
        </w:rPr>
        <w:t xml:space="preserve"> of domestic remedies</w:t>
      </w:r>
      <w:r w:rsidR="00B21BD2">
        <w:rPr>
          <w:iCs/>
        </w:rPr>
        <w:t xml:space="preserve">; </w:t>
      </w:r>
      <w:r w:rsidRPr="00C65CAC">
        <w:rPr>
          <w:iCs/>
        </w:rPr>
        <w:t>lack of substantiation</w:t>
      </w:r>
      <w:r w:rsidR="009F0663">
        <w:rPr>
          <w:iCs/>
        </w:rPr>
        <w:t xml:space="preserve"> </w:t>
      </w:r>
    </w:p>
    <w:p w14:paraId="2EA04B7A" w14:textId="54EE630E" w:rsidR="00653FDF" w:rsidRPr="00C65CAC" w:rsidRDefault="00653FDF" w:rsidP="00653FDF">
      <w:pPr>
        <w:pStyle w:val="SingleTxtG"/>
        <w:ind w:left="4536" w:hanging="3402"/>
        <w:jc w:val="left"/>
      </w:pPr>
      <w:r w:rsidRPr="00585EA8">
        <w:rPr>
          <w:i/>
          <w:iCs/>
        </w:rPr>
        <w:t>Substantive issue</w:t>
      </w:r>
      <w:r w:rsidR="00294C0C">
        <w:rPr>
          <w:i/>
          <w:iCs/>
        </w:rPr>
        <w:t>s</w:t>
      </w:r>
      <w:r w:rsidRPr="00585EA8">
        <w:rPr>
          <w:i/>
          <w:iCs/>
        </w:rPr>
        <w:t>:</w:t>
      </w:r>
      <w:r w:rsidRPr="00585EA8">
        <w:rPr>
          <w:i/>
          <w:iCs/>
        </w:rPr>
        <w:tab/>
      </w:r>
      <w:r w:rsidR="00840DF4" w:rsidRPr="00C65CAC">
        <w:rPr>
          <w:iCs/>
        </w:rPr>
        <w:t xml:space="preserve">Right to </w:t>
      </w:r>
      <w:r w:rsidR="00C65CAC" w:rsidRPr="00C65CAC">
        <w:rPr>
          <w:iCs/>
        </w:rPr>
        <w:t xml:space="preserve">privacy; </w:t>
      </w:r>
      <w:r w:rsidR="00AD0946" w:rsidRPr="00C65CAC">
        <w:rPr>
          <w:iCs/>
        </w:rPr>
        <w:t xml:space="preserve">equal protection before </w:t>
      </w:r>
      <w:r w:rsidR="00DA1660" w:rsidRPr="00C65CAC">
        <w:rPr>
          <w:iCs/>
        </w:rPr>
        <w:t xml:space="preserve">the </w:t>
      </w:r>
      <w:r w:rsidR="00AD0946" w:rsidRPr="00C65CAC">
        <w:rPr>
          <w:iCs/>
        </w:rPr>
        <w:t>law (</w:t>
      </w:r>
      <w:r w:rsidR="00840DF4" w:rsidRPr="00C65CAC">
        <w:rPr>
          <w:iCs/>
        </w:rPr>
        <w:t>non-discrimination</w:t>
      </w:r>
      <w:r w:rsidR="00AD0946" w:rsidRPr="00C65CAC">
        <w:rPr>
          <w:iCs/>
        </w:rPr>
        <w:t>)</w:t>
      </w:r>
      <w:r w:rsidR="00A52C94" w:rsidRPr="00C65CAC">
        <w:rPr>
          <w:iCs/>
        </w:rPr>
        <w:t xml:space="preserve"> </w:t>
      </w:r>
    </w:p>
    <w:p w14:paraId="567C5385" w14:textId="2B7E0D2D" w:rsidR="00653FDF" w:rsidRPr="00FD64CE" w:rsidRDefault="00653FDF" w:rsidP="00653FDF">
      <w:pPr>
        <w:pStyle w:val="SingleTxtG"/>
        <w:ind w:left="4536" w:hanging="3402"/>
        <w:jc w:val="left"/>
      </w:pPr>
      <w:r w:rsidRPr="00C65CAC">
        <w:rPr>
          <w:i/>
          <w:iCs/>
        </w:rPr>
        <w:t>Article</w:t>
      </w:r>
      <w:r w:rsidR="00993573" w:rsidRPr="00C65CAC">
        <w:rPr>
          <w:i/>
          <w:iCs/>
        </w:rPr>
        <w:t>s</w:t>
      </w:r>
      <w:r w:rsidRPr="00C65CAC">
        <w:rPr>
          <w:i/>
          <w:iCs/>
        </w:rPr>
        <w:t xml:space="preserve"> of the Covenant:</w:t>
      </w:r>
      <w:r w:rsidRPr="00C65CAC">
        <w:rPr>
          <w:i/>
          <w:iCs/>
        </w:rPr>
        <w:tab/>
      </w:r>
      <w:r w:rsidR="00C65CAC" w:rsidRPr="00C65CAC">
        <w:rPr>
          <w:iCs/>
        </w:rPr>
        <w:t>17</w:t>
      </w:r>
      <w:r w:rsidR="00294C0C" w:rsidRPr="00C65CAC">
        <w:rPr>
          <w:iCs/>
        </w:rPr>
        <w:t xml:space="preserve"> </w:t>
      </w:r>
      <w:r w:rsidR="00840DF4" w:rsidRPr="00C65CAC">
        <w:rPr>
          <w:iCs/>
        </w:rPr>
        <w:t>and 26</w:t>
      </w:r>
      <w:r w:rsidR="00CF77FD">
        <w:rPr>
          <w:iCs/>
        </w:rPr>
        <w:t xml:space="preserve"> </w:t>
      </w:r>
    </w:p>
    <w:p w14:paraId="440809DF" w14:textId="753E5361" w:rsidR="00F21052" w:rsidRDefault="00653FDF" w:rsidP="00BD3A92">
      <w:pPr>
        <w:pStyle w:val="SingleTxtG"/>
        <w:ind w:left="4536" w:hanging="3402"/>
        <w:jc w:val="left"/>
      </w:pPr>
      <w:r w:rsidRPr="00FD64CE">
        <w:rPr>
          <w:i/>
          <w:iCs/>
        </w:rPr>
        <w:t>Article</w:t>
      </w:r>
      <w:r w:rsidR="008D2DBD">
        <w:rPr>
          <w:i/>
          <w:iCs/>
        </w:rPr>
        <w:t>s</w:t>
      </w:r>
      <w:r w:rsidRPr="00FD64CE">
        <w:rPr>
          <w:i/>
          <w:iCs/>
        </w:rPr>
        <w:t xml:space="preserve"> of the Optional Protocol:</w:t>
      </w:r>
      <w:r w:rsidRPr="00FD64CE">
        <w:rPr>
          <w:i/>
          <w:iCs/>
        </w:rPr>
        <w:tab/>
      </w:r>
      <w:r w:rsidRPr="00840DF4">
        <w:t>2</w:t>
      </w:r>
      <w:r w:rsidR="0005494D">
        <w:t xml:space="preserve"> </w:t>
      </w:r>
      <w:r w:rsidR="00B21BD2">
        <w:t>and 5(2)(b)</w:t>
      </w:r>
      <w:r w:rsidR="009F0663">
        <w:t xml:space="preserve"> </w:t>
      </w:r>
    </w:p>
    <w:p w14:paraId="3BCA5F88" w14:textId="4F3998CC" w:rsidR="00294C0C" w:rsidRPr="009B67E2" w:rsidRDefault="009B67E2" w:rsidP="009B67E2">
      <w:pPr>
        <w:spacing w:after="120"/>
        <w:ind w:left="1134" w:right="1134"/>
        <w:jc w:val="both"/>
        <w:rPr>
          <w:rFonts w:eastAsia="SimSun"/>
          <w:lang w:eastAsia="zh-CN"/>
        </w:rPr>
      </w:pPr>
      <w:r w:rsidRPr="004E1F2B">
        <w:rPr>
          <w:rFonts w:eastAsia="SimSun"/>
          <w:lang w:eastAsia="zh-CN"/>
        </w:rPr>
        <w:t>1.1</w:t>
      </w:r>
      <w:r w:rsidRPr="004E1F2B">
        <w:rPr>
          <w:rFonts w:eastAsia="SimSun"/>
          <w:lang w:eastAsia="zh-CN"/>
        </w:rPr>
        <w:tab/>
      </w:r>
      <w:r w:rsidR="004E1F2B" w:rsidRPr="009B67E2">
        <w:rPr>
          <w:rFonts w:eastAsia="SimSun"/>
          <w:lang w:eastAsia="zh-CN"/>
        </w:rPr>
        <w:t xml:space="preserve">The author of the communication, submitted on 2 May 2018 and </w:t>
      </w:r>
      <w:r w:rsidR="00533F91" w:rsidRPr="009B67E2">
        <w:rPr>
          <w:rFonts w:eastAsia="SimSun"/>
          <w:lang w:eastAsia="zh-CN"/>
        </w:rPr>
        <w:t xml:space="preserve">supplemented </w:t>
      </w:r>
      <w:r w:rsidR="004E1F2B" w:rsidRPr="009B67E2">
        <w:rPr>
          <w:rFonts w:eastAsia="SimSun"/>
          <w:lang w:eastAsia="zh-CN"/>
        </w:rPr>
        <w:t xml:space="preserve">on 21 November 2018, is </w:t>
      </w:r>
      <w:r w:rsidR="00B2191A" w:rsidRPr="009B67E2">
        <w:rPr>
          <w:rFonts w:eastAsia="SimSun"/>
          <w:lang w:eastAsia="zh-CN"/>
        </w:rPr>
        <w:t>A.Y.O.AQ</w:t>
      </w:r>
      <w:r w:rsidR="00B2191A">
        <w:rPr>
          <w:rStyle w:val="FootnoteReference"/>
          <w:rFonts w:eastAsia="SimSun"/>
          <w:lang w:eastAsia="zh-CN"/>
        </w:rPr>
        <w:footnoteReference w:id="3"/>
      </w:r>
      <w:r w:rsidR="004E1F2B" w:rsidRPr="009B67E2">
        <w:rPr>
          <w:rFonts w:eastAsia="SimSun"/>
          <w:lang w:eastAsia="zh-CN"/>
        </w:rPr>
        <w:t xml:space="preserve">, born on 25 July 1976, </w:t>
      </w:r>
      <w:r w:rsidR="00533F91" w:rsidRPr="009B67E2">
        <w:rPr>
          <w:rFonts w:eastAsia="SimSun"/>
          <w:lang w:eastAsia="zh-CN"/>
        </w:rPr>
        <w:t xml:space="preserve">a national of </w:t>
      </w:r>
      <w:r w:rsidR="004E1F2B" w:rsidRPr="009B67E2">
        <w:rPr>
          <w:rFonts w:eastAsia="SimSun"/>
          <w:lang w:eastAsia="zh-CN"/>
        </w:rPr>
        <w:t>Jordan</w:t>
      </w:r>
      <w:r w:rsidR="00533F91" w:rsidRPr="009B67E2">
        <w:rPr>
          <w:rFonts w:eastAsia="SimSun"/>
          <w:lang w:eastAsia="zh-CN"/>
        </w:rPr>
        <w:t xml:space="preserve">. She </w:t>
      </w:r>
      <w:r w:rsidR="004E1F2B" w:rsidRPr="009B67E2">
        <w:rPr>
          <w:rFonts w:eastAsia="SimSun"/>
          <w:lang w:eastAsia="zh-CN"/>
        </w:rPr>
        <w:t xml:space="preserve">claims that the denial of her application for Italian citizenship by the Ministry of Internal Affairs constitutes a violation by Italy of </w:t>
      </w:r>
      <w:r w:rsidR="00533F91" w:rsidRPr="009B67E2">
        <w:rPr>
          <w:rFonts w:eastAsia="SimSun"/>
          <w:lang w:eastAsia="zh-CN"/>
        </w:rPr>
        <w:t xml:space="preserve">her rights under </w:t>
      </w:r>
      <w:r w:rsidR="004E1F2B" w:rsidRPr="009B67E2">
        <w:rPr>
          <w:rFonts w:eastAsia="SimSun"/>
          <w:lang w:eastAsia="zh-CN"/>
        </w:rPr>
        <w:t xml:space="preserve">articles 17 and 26 of the International Covenant on Civil and Political Rights (the Covenant). Italy has ratified the </w:t>
      </w:r>
      <w:r w:rsidR="00533F91" w:rsidRPr="009B67E2">
        <w:rPr>
          <w:rFonts w:eastAsia="SimSun"/>
          <w:lang w:eastAsia="zh-CN"/>
        </w:rPr>
        <w:t xml:space="preserve">first </w:t>
      </w:r>
      <w:r w:rsidR="004E1F2B" w:rsidRPr="009B67E2">
        <w:rPr>
          <w:rFonts w:eastAsia="SimSun"/>
          <w:lang w:eastAsia="zh-CN"/>
        </w:rPr>
        <w:t>Optional Protocol to the Covenant, which entered into force on 23 March 1976. The author is represented by counsel (</w:t>
      </w:r>
      <w:proofErr w:type="spellStart"/>
      <w:r w:rsidR="004E1F2B" w:rsidRPr="009B67E2">
        <w:rPr>
          <w:rFonts w:eastAsia="SimSun"/>
          <w:lang w:eastAsia="zh-CN"/>
        </w:rPr>
        <w:t>Davide</w:t>
      </w:r>
      <w:proofErr w:type="spellEnd"/>
      <w:r w:rsidR="004E1F2B" w:rsidRPr="009B67E2">
        <w:rPr>
          <w:rFonts w:eastAsia="SimSun"/>
          <w:lang w:eastAsia="zh-CN"/>
        </w:rPr>
        <w:t xml:space="preserve"> </w:t>
      </w:r>
      <w:proofErr w:type="spellStart"/>
      <w:r w:rsidR="004E1F2B" w:rsidRPr="009B67E2">
        <w:rPr>
          <w:rFonts w:eastAsia="SimSun"/>
          <w:lang w:eastAsia="zh-CN"/>
        </w:rPr>
        <w:t>Galimberti</w:t>
      </w:r>
      <w:proofErr w:type="spellEnd"/>
      <w:r w:rsidR="004E1F2B" w:rsidRPr="009B67E2">
        <w:rPr>
          <w:rFonts w:eastAsia="SimSun"/>
          <w:lang w:eastAsia="zh-CN"/>
        </w:rPr>
        <w:t>).</w:t>
      </w:r>
      <w:r w:rsidR="00294C0C" w:rsidRPr="009B67E2">
        <w:rPr>
          <w:rFonts w:eastAsia="SimSun"/>
          <w:lang w:eastAsia="zh-CN"/>
        </w:rPr>
        <w:t xml:space="preserve"> </w:t>
      </w:r>
    </w:p>
    <w:p w14:paraId="537D51AB" w14:textId="339F3F94" w:rsidR="00533F91" w:rsidRPr="009B67E2" w:rsidRDefault="009B67E2" w:rsidP="009B67E2">
      <w:pPr>
        <w:spacing w:before="120" w:after="120"/>
        <w:ind w:left="1134" w:right="1134"/>
        <w:jc w:val="both"/>
        <w:rPr>
          <w:b/>
        </w:rPr>
      </w:pPr>
      <w:r w:rsidRPr="00533F91">
        <w:t>1.2</w:t>
      </w:r>
      <w:r w:rsidRPr="00533F91">
        <w:tab/>
      </w:r>
      <w:r w:rsidR="0017130B" w:rsidRPr="009B67E2">
        <w:rPr>
          <w:rFonts w:eastAsia="SimSun"/>
          <w:lang w:eastAsia="zh-CN"/>
        </w:rPr>
        <w:t xml:space="preserve">On </w:t>
      </w:r>
      <w:r w:rsidR="006849C0" w:rsidRPr="009B67E2">
        <w:rPr>
          <w:rFonts w:eastAsia="SimSun"/>
          <w:lang w:eastAsia="zh-CN"/>
        </w:rPr>
        <w:t xml:space="preserve">17 December </w:t>
      </w:r>
      <w:r w:rsidR="0017130B" w:rsidRPr="009B67E2">
        <w:rPr>
          <w:rFonts w:eastAsia="SimSun"/>
          <w:lang w:eastAsia="zh-CN"/>
        </w:rPr>
        <w:t>202</w:t>
      </w:r>
      <w:r w:rsidR="006849C0" w:rsidRPr="009B67E2">
        <w:rPr>
          <w:rFonts w:eastAsia="SimSun"/>
          <w:lang w:eastAsia="zh-CN"/>
        </w:rPr>
        <w:t>0</w:t>
      </w:r>
      <w:r w:rsidR="0017130B" w:rsidRPr="009B67E2">
        <w:rPr>
          <w:rFonts w:eastAsia="SimSun"/>
          <w:lang w:eastAsia="zh-CN"/>
        </w:rPr>
        <w:t xml:space="preserve">, </w:t>
      </w:r>
      <w:r w:rsidR="00ED02BA" w:rsidRPr="009B67E2">
        <w:rPr>
          <w:rFonts w:eastAsia="SimSun"/>
          <w:lang w:eastAsia="zh-CN"/>
        </w:rPr>
        <w:t xml:space="preserve">on the basis of rule 92(7) of its rules of procedure, </w:t>
      </w:r>
      <w:r w:rsidR="0017130B" w:rsidRPr="009B67E2">
        <w:rPr>
          <w:rFonts w:eastAsia="SimSun"/>
          <w:lang w:eastAsia="zh-CN"/>
        </w:rPr>
        <w:t xml:space="preserve">the </w:t>
      </w:r>
      <w:r w:rsidR="008D2DBD" w:rsidRPr="009B67E2">
        <w:rPr>
          <w:rFonts w:eastAsia="SimSun"/>
          <w:lang w:eastAsia="zh-CN"/>
        </w:rPr>
        <w:t xml:space="preserve">Committee, acting through its </w:t>
      </w:r>
      <w:r w:rsidR="0017130B" w:rsidRPr="009B67E2">
        <w:rPr>
          <w:rFonts w:eastAsia="SimSun"/>
          <w:lang w:eastAsia="zh-CN"/>
        </w:rPr>
        <w:t xml:space="preserve">Special Rapporteur </w:t>
      </w:r>
      <w:r w:rsidR="008D2DBD" w:rsidRPr="009B67E2">
        <w:rPr>
          <w:rFonts w:eastAsia="SimSun"/>
          <w:lang w:eastAsia="zh-CN"/>
        </w:rPr>
        <w:t xml:space="preserve">on new communications and interim measures, </w:t>
      </w:r>
      <w:r w:rsidR="00ED02BA" w:rsidRPr="009B67E2">
        <w:rPr>
          <w:rFonts w:eastAsia="SimSun"/>
          <w:lang w:eastAsia="zh-CN"/>
        </w:rPr>
        <w:t xml:space="preserve">decided </w:t>
      </w:r>
      <w:r w:rsidR="0017130B" w:rsidRPr="009B67E2">
        <w:rPr>
          <w:rFonts w:eastAsia="SimSun"/>
          <w:lang w:eastAsia="zh-CN"/>
        </w:rPr>
        <w:t xml:space="preserve">not to </w:t>
      </w:r>
      <w:r w:rsidR="00ED02BA" w:rsidRPr="009B67E2">
        <w:rPr>
          <w:rFonts w:eastAsia="SimSun"/>
          <w:lang w:eastAsia="zh-CN"/>
        </w:rPr>
        <w:t>accept the additional round of comments submitted by the author.</w:t>
      </w:r>
      <w:r w:rsidR="006849C0">
        <w:rPr>
          <w:rStyle w:val="FootnoteReference"/>
          <w:rFonts w:eastAsia="SimSun"/>
          <w:lang w:eastAsia="zh-CN"/>
        </w:rPr>
        <w:footnoteReference w:id="4"/>
      </w:r>
      <w:r w:rsidR="0017130B" w:rsidRPr="009B67E2">
        <w:rPr>
          <w:rFonts w:eastAsia="SimSun"/>
          <w:lang w:eastAsia="zh-CN"/>
        </w:rPr>
        <w:t xml:space="preserve"> </w:t>
      </w:r>
      <w:r w:rsidR="00247ED6" w:rsidRPr="009B67E2">
        <w:rPr>
          <w:rFonts w:eastAsia="SimSun"/>
          <w:lang w:eastAsia="zh-CN"/>
        </w:rPr>
        <w:t xml:space="preserve"> </w:t>
      </w:r>
    </w:p>
    <w:p w14:paraId="53CEE6F7" w14:textId="6FA7B16F" w:rsidR="00143DBF" w:rsidRPr="00533F91" w:rsidRDefault="000639F7" w:rsidP="000639F7">
      <w:pPr>
        <w:pStyle w:val="H23G"/>
      </w:pPr>
      <w:r>
        <w:tab/>
      </w:r>
      <w:r>
        <w:tab/>
      </w:r>
      <w:r w:rsidR="00C22D06">
        <w:t>F</w:t>
      </w:r>
      <w:r w:rsidR="00653FDF" w:rsidRPr="00533F91">
        <w:t>acts as submitted by the author</w:t>
      </w:r>
    </w:p>
    <w:p w14:paraId="77F9AA0F" w14:textId="53806B96" w:rsidR="00EB3A06" w:rsidRPr="00EB3A06" w:rsidRDefault="00143DBF" w:rsidP="00EB3A06">
      <w:pPr>
        <w:pStyle w:val="ListParagraph"/>
        <w:spacing w:before="120" w:after="120"/>
        <w:ind w:left="1134" w:right="1134"/>
        <w:contextualSpacing w:val="0"/>
        <w:jc w:val="both"/>
        <w:rPr>
          <w:rFonts w:eastAsia="SimSun"/>
          <w:lang w:eastAsia="zh-CN"/>
        </w:rPr>
      </w:pPr>
      <w:r w:rsidRPr="00181ABB">
        <w:rPr>
          <w:rFonts w:eastAsia="SimSun"/>
          <w:lang w:eastAsia="zh-CN"/>
        </w:rPr>
        <w:t>2.1</w:t>
      </w:r>
      <w:r w:rsidRPr="00181ABB">
        <w:rPr>
          <w:rFonts w:eastAsia="SimSun"/>
          <w:lang w:eastAsia="zh-CN"/>
        </w:rPr>
        <w:tab/>
      </w:r>
      <w:r w:rsidR="00EB3A06" w:rsidRPr="007A2B7D">
        <w:rPr>
          <w:rFonts w:eastAsia="SimSun"/>
          <w:lang w:eastAsia="zh-CN"/>
        </w:rPr>
        <w:t xml:space="preserve">The author has lived in Italy with her husband, </w:t>
      </w:r>
      <w:proofErr w:type="spellStart"/>
      <w:r w:rsidR="00EB3A06" w:rsidRPr="007A2B7D">
        <w:rPr>
          <w:rFonts w:eastAsia="SimSun"/>
          <w:lang w:eastAsia="zh-CN"/>
        </w:rPr>
        <w:t>Dr</w:t>
      </w:r>
      <w:r w:rsidR="007C0D2A" w:rsidRPr="007A2B7D">
        <w:rPr>
          <w:rFonts w:eastAsia="SimSun"/>
          <w:lang w:eastAsia="zh-CN"/>
        </w:rPr>
        <w:t>.</w:t>
      </w:r>
      <w:proofErr w:type="spellEnd"/>
      <w:r w:rsidR="00EB3A06" w:rsidRPr="007A2B7D">
        <w:rPr>
          <w:rFonts w:eastAsia="SimSun"/>
          <w:lang w:eastAsia="zh-CN"/>
        </w:rPr>
        <w:t xml:space="preserve"> </w:t>
      </w:r>
      <w:r w:rsidR="007C0D2A" w:rsidRPr="007A2B7D">
        <w:rPr>
          <w:rFonts w:eastAsia="SimSun"/>
          <w:lang w:eastAsia="zh-CN"/>
        </w:rPr>
        <w:t>H.E.</w:t>
      </w:r>
      <w:r w:rsidR="00EB3A06" w:rsidRPr="007A2B7D">
        <w:rPr>
          <w:rFonts w:eastAsia="SimSun"/>
          <w:lang w:eastAsia="zh-CN"/>
        </w:rPr>
        <w:t xml:space="preserve">, since 1999. Their two children, born in 2001 and 2005, live and study in Italy. The author currently teaches at the Ca' </w:t>
      </w:r>
      <w:proofErr w:type="spellStart"/>
      <w:r w:rsidR="00EB3A06" w:rsidRPr="007A2B7D">
        <w:rPr>
          <w:rFonts w:eastAsia="SimSun"/>
          <w:lang w:eastAsia="zh-CN"/>
        </w:rPr>
        <w:t>Foscari</w:t>
      </w:r>
      <w:proofErr w:type="spellEnd"/>
      <w:r w:rsidR="00EB3A06" w:rsidRPr="007A2B7D">
        <w:rPr>
          <w:rFonts w:eastAsia="SimSun"/>
          <w:lang w:eastAsia="zh-CN"/>
        </w:rPr>
        <w:t xml:space="preserve"> University of Venice, and has previously taught in Milan.</w:t>
      </w:r>
    </w:p>
    <w:p w14:paraId="3FFDF3B7" w14:textId="15CD98DD" w:rsidR="00EB3A06" w:rsidRPr="00EB3A06" w:rsidRDefault="00EB3A06" w:rsidP="00EB3A06">
      <w:pPr>
        <w:pStyle w:val="ListParagraph"/>
        <w:spacing w:before="120" w:after="120"/>
        <w:ind w:left="1134" w:right="1134"/>
        <w:contextualSpacing w:val="0"/>
        <w:jc w:val="both"/>
        <w:rPr>
          <w:rFonts w:eastAsia="SimSun"/>
          <w:lang w:eastAsia="zh-CN"/>
        </w:rPr>
      </w:pPr>
      <w:r w:rsidRPr="00EB3A06">
        <w:rPr>
          <w:rFonts w:eastAsia="SimSun"/>
          <w:lang w:eastAsia="zh-CN"/>
        </w:rPr>
        <w:t>2.2</w:t>
      </w:r>
      <w:r w:rsidRPr="00EB3A06">
        <w:rPr>
          <w:rFonts w:eastAsia="SimSun"/>
          <w:lang w:eastAsia="zh-CN"/>
        </w:rPr>
        <w:tab/>
      </w:r>
      <w:r w:rsidRPr="007A2B7D">
        <w:rPr>
          <w:rFonts w:eastAsia="SimSun"/>
          <w:lang w:eastAsia="zh-CN"/>
        </w:rPr>
        <w:t xml:space="preserve">The author applied for Italian citizenship on 7 January 2014. She submits that she applied for </w:t>
      </w:r>
      <w:r w:rsidR="007C0D2A" w:rsidRPr="007A2B7D">
        <w:rPr>
          <w:rFonts w:eastAsia="SimSun"/>
          <w:lang w:eastAsia="zh-CN"/>
        </w:rPr>
        <w:t xml:space="preserve">the </w:t>
      </w:r>
      <w:r w:rsidRPr="007A2B7D">
        <w:rPr>
          <w:rFonts w:eastAsia="SimSun"/>
          <w:lang w:eastAsia="zh-CN"/>
        </w:rPr>
        <w:t>c</w:t>
      </w:r>
      <w:r w:rsidR="007A2B7D" w:rsidRPr="007A2B7D">
        <w:rPr>
          <w:rFonts w:eastAsia="SimSun"/>
          <w:lang w:eastAsia="zh-CN"/>
        </w:rPr>
        <w:t>itizenship on her own behalf as she</w:t>
      </w:r>
      <w:r w:rsidRPr="007A2B7D">
        <w:rPr>
          <w:rFonts w:eastAsia="SimSun"/>
          <w:lang w:eastAsia="zh-CN"/>
        </w:rPr>
        <w:t xml:space="preserve"> satisfies the requirements relating to social and economic integration, including sufficient income, lack of criminal convictions, and an uninterrupted period of at least ten years of residence in Italy.</w:t>
      </w:r>
      <w:r w:rsidRPr="00EB3A06">
        <w:rPr>
          <w:rFonts w:eastAsia="SimSun"/>
          <w:lang w:eastAsia="zh-CN"/>
        </w:rPr>
        <w:t xml:space="preserve"> </w:t>
      </w:r>
      <w:r w:rsidRPr="00AD3992">
        <w:rPr>
          <w:rFonts w:eastAsia="SimSun"/>
          <w:lang w:eastAsia="zh-CN"/>
        </w:rPr>
        <w:t>On 26 October 2016, she received a letter from the Mi</w:t>
      </w:r>
      <w:r w:rsidR="007C0D2A" w:rsidRPr="00AD3992">
        <w:rPr>
          <w:rFonts w:eastAsia="SimSun"/>
          <w:lang w:eastAsia="zh-CN"/>
        </w:rPr>
        <w:t>nistry of Internal Affairs (</w:t>
      </w:r>
      <w:r w:rsidRPr="00AD3992">
        <w:rPr>
          <w:rFonts w:eastAsia="SimSun"/>
          <w:lang w:eastAsia="zh-CN"/>
        </w:rPr>
        <w:t xml:space="preserve">Ministry), dated 22 September 2016, stating that her application was denied because her husband’s activities had “purposes not compatible with the security of the Republic”, and because the stability and duration of her marriage to her husband could facilitate “dangerous” behaviour. The refusal of her application did not refer to any facts relating to the author personally. </w:t>
      </w:r>
      <w:r w:rsidR="007C0D2A" w:rsidRPr="00AD3992">
        <w:rPr>
          <w:rFonts w:eastAsia="SimSun"/>
          <w:lang w:eastAsia="zh-CN"/>
        </w:rPr>
        <w:t xml:space="preserve">The </w:t>
      </w:r>
      <w:r w:rsidRPr="00AD3992">
        <w:rPr>
          <w:rFonts w:eastAsia="SimSun"/>
          <w:lang w:eastAsia="zh-CN"/>
        </w:rPr>
        <w:t>author</w:t>
      </w:r>
      <w:r w:rsidR="007C0D2A" w:rsidRPr="00AD3992">
        <w:rPr>
          <w:rFonts w:eastAsia="SimSun"/>
          <w:lang w:eastAsia="zh-CN"/>
        </w:rPr>
        <w:t xml:space="preserve"> submits that </w:t>
      </w:r>
      <w:r w:rsidRPr="00AD3992">
        <w:rPr>
          <w:rFonts w:eastAsia="SimSun"/>
          <w:lang w:eastAsia="zh-CN"/>
        </w:rPr>
        <w:t>she was not consulted or interviewed at any stage of the procedure.</w:t>
      </w:r>
    </w:p>
    <w:p w14:paraId="21E50C74" w14:textId="2DD13BB7" w:rsidR="00472CC5" w:rsidRPr="00472CC5" w:rsidRDefault="00EB3A06" w:rsidP="00472CC5">
      <w:pPr>
        <w:pStyle w:val="ListParagraph"/>
        <w:spacing w:before="120" w:after="120"/>
        <w:ind w:left="1134" w:right="1134"/>
        <w:contextualSpacing w:val="0"/>
        <w:jc w:val="both"/>
        <w:rPr>
          <w:rFonts w:eastAsia="SimSun"/>
          <w:lang w:eastAsia="zh-CN"/>
        </w:rPr>
      </w:pPr>
      <w:r w:rsidRPr="00EB3A06">
        <w:rPr>
          <w:rFonts w:eastAsia="SimSun"/>
          <w:lang w:eastAsia="zh-CN"/>
        </w:rPr>
        <w:t>2.3</w:t>
      </w:r>
      <w:r w:rsidRPr="00EB3A06">
        <w:rPr>
          <w:rFonts w:eastAsia="SimSun"/>
          <w:lang w:eastAsia="zh-CN"/>
        </w:rPr>
        <w:tab/>
      </w:r>
      <w:r w:rsidRPr="00AD3992">
        <w:rPr>
          <w:rFonts w:eastAsia="SimSun"/>
          <w:lang w:eastAsia="zh-CN"/>
        </w:rPr>
        <w:t xml:space="preserve">On 30 December 2016, the author appealed the </w:t>
      </w:r>
      <w:r w:rsidR="00472CC5" w:rsidRPr="00AD3992">
        <w:rPr>
          <w:rFonts w:eastAsia="SimSun"/>
          <w:lang w:eastAsia="zh-CN"/>
        </w:rPr>
        <w:t xml:space="preserve">negative decision by the </w:t>
      </w:r>
      <w:r w:rsidRPr="00AD3992">
        <w:rPr>
          <w:rFonts w:eastAsia="SimSun"/>
          <w:lang w:eastAsia="zh-CN"/>
        </w:rPr>
        <w:t>Ministry</w:t>
      </w:r>
      <w:r w:rsidR="007C0D2A" w:rsidRPr="00AD3992">
        <w:rPr>
          <w:rFonts w:eastAsia="SimSun"/>
          <w:lang w:eastAsia="zh-CN"/>
        </w:rPr>
        <w:t xml:space="preserve"> on her application </w:t>
      </w:r>
      <w:r w:rsidRPr="00AD3992">
        <w:rPr>
          <w:rFonts w:eastAsia="SimSun"/>
          <w:lang w:eastAsia="zh-CN"/>
        </w:rPr>
        <w:t xml:space="preserve">to the Regional Administrative Tribunal </w:t>
      </w:r>
      <w:r w:rsidR="007C0D2A" w:rsidRPr="00AD3992">
        <w:rPr>
          <w:rFonts w:eastAsia="SimSun"/>
          <w:lang w:eastAsia="zh-CN"/>
        </w:rPr>
        <w:t xml:space="preserve">of Lazio-Rome </w:t>
      </w:r>
      <w:r w:rsidRPr="00AD3992">
        <w:rPr>
          <w:rFonts w:eastAsia="SimSun"/>
          <w:lang w:eastAsia="zh-CN"/>
        </w:rPr>
        <w:t xml:space="preserve">(Administrative Tribunal), claiming that the denial of her application on the basis of her husband’s circumstances was </w:t>
      </w:r>
      <w:r w:rsidRPr="00AD3992">
        <w:rPr>
          <w:rFonts w:eastAsia="SimSun"/>
          <w:lang w:eastAsia="zh-CN"/>
        </w:rPr>
        <w:lastRenderedPageBreak/>
        <w:t xml:space="preserve">arbitrary and discriminatory. She </w:t>
      </w:r>
      <w:r w:rsidR="00472CC5" w:rsidRPr="00AD3992">
        <w:rPr>
          <w:rFonts w:eastAsia="SimSun"/>
          <w:lang w:eastAsia="zh-CN"/>
        </w:rPr>
        <w:t xml:space="preserve">claims </w:t>
      </w:r>
      <w:r w:rsidRPr="00AD3992">
        <w:rPr>
          <w:rFonts w:eastAsia="SimSun"/>
          <w:lang w:eastAsia="zh-CN"/>
        </w:rPr>
        <w:t xml:space="preserve">that she has not received a response </w:t>
      </w:r>
      <w:r w:rsidR="00AD3992">
        <w:rPr>
          <w:rFonts w:eastAsia="SimSun"/>
          <w:lang w:eastAsia="zh-CN"/>
        </w:rPr>
        <w:t xml:space="preserve">or decision on </w:t>
      </w:r>
      <w:r w:rsidRPr="00AD3992">
        <w:rPr>
          <w:rFonts w:eastAsia="SimSun"/>
          <w:lang w:eastAsia="zh-CN"/>
        </w:rPr>
        <w:t>her appeal.</w:t>
      </w:r>
    </w:p>
    <w:p w14:paraId="7AEF1433" w14:textId="29C3CCF0" w:rsidR="00EB3A06" w:rsidRPr="00EB3A06" w:rsidRDefault="00EB3A06" w:rsidP="00EB3A06">
      <w:pPr>
        <w:pStyle w:val="ListParagraph"/>
        <w:spacing w:before="120" w:after="120"/>
        <w:ind w:left="1134" w:right="1134"/>
        <w:contextualSpacing w:val="0"/>
        <w:jc w:val="both"/>
        <w:rPr>
          <w:rFonts w:eastAsia="SimSun"/>
          <w:lang w:eastAsia="zh-CN"/>
        </w:rPr>
      </w:pPr>
      <w:r w:rsidRPr="00EB3A06">
        <w:rPr>
          <w:rFonts w:eastAsia="SimSun"/>
          <w:lang w:eastAsia="zh-CN"/>
        </w:rPr>
        <w:t>2.4</w:t>
      </w:r>
      <w:r w:rsidRPr="00EB3A06">
        <w:rPr>
          <w:rFonts w:eastAsia="SimSun"/>
          <w:lang w:eastAsia="zh-CN"/>
        </w:rPr>
        <w:tab/>
      </w:r>
      <w:r w:rsidRPr="008915BB">
        <w:rPr>
          <w:rFonts w:eastAsia="SimSun"/>
          <w:lang w:eastAsia="zh-CN"/>
        </w:rPr>
        <w:t>On 12 January 2018, the author sent a letter to the Administrative Tribunal in support of her appeal, stating that the denial was arbitrary and discriminatory. The letter argued that the Ministry judged her for her husband’s activities and denied her application because she was married.</w:t>
      </w:r>
      <w:r w:rsidR="00E179E3" w:rsidRPr="008915BB">
        <w:rPr>
          <w:rFonts w:eastAsia="SimSun"/>
          <w:lang w:eastAsia="zh-CN"/>
        </w:rPr>
        <w:t xml:space="preserve"> </w:t>
      </w:r>
      <w:r w:rsidRPr="008915BB">
        <w:rPr>
          <w:rFonts w:eastAsia="SimSun"/>
          <w:lang w:eastAsia="zh-CN"/>
        </w:rPr>
        <w:t xml:space="preserve">On 22 October 2018, the author sent a further letter to the Administrative Tribunal </w:t>
      </w:r>
      <w:r w:rsidR="007C0D2A" w:rsidRPr="008915BB">
        <w:rPr>
          <w:rFonts w:eastAsia="SimSun"/>
          <w:lang w:eastAsia="zh-CN"/>
        </w:rPr>
        <w:t>reiterating t</w:t>
      </w:r>
      <w:r w:rsidRPr="008915BB">
        <w:rPr>
          <w:rFonts w:eastAsia="SimSun"/>
          <w:lang w:eastAsia="zh-CN"/>
        </w:rPr>
        <w:t>he same</w:t>
      </w:r>
      <w:r w:rsidR="007C0D2A" w:rsidRPr="008915BB">
        <w:rPr>
          <w:rFonts w:eastAsia="SimSun"/>
          <w:lang w:eastAsia="zh-CN"/>
        </w:rPr>
        <w:t xml:space="preserve"> arguments</w:t>
      </w:r>
      <w:r w:rsidRPr="008915BB">
        <w:rPr>
          <w:rFonts w:eastAsia="SimSun"/>
          <w:lang w:eastAsia="zh-CN"/>
        </w:rPr>
        <w:t>.</w:t>
      </w:r>
      <w:r w:rsidRPr="00EB3A06">
        <w:rPr>
          <w:rFonts w:eastAsia="SimSun"/>
          <w:lang w:eastAsia="zh-CN"/>
        </w:rPr>
        <w:t xml:space="preserve"> </w:t>
      </w:r>
    </w:p>
    <w:p w14:paraId="0A4BB6A2" w14:textId="0D992F9D" w:rsidR="00E179E3" w:rsidRDefault="00EB3A06" w:rsidP="00EB3A06">
      <w:pPr>
        <w:pStyle w:val="ListParagraph"/>
        <w:spacing w:before="120" w:after="120"/>
        <w:ind w:left="1134" w:right="1134"/>
        <w:contextualSpacing w:val="0"/>
        <w:jc w:val="both"/>
        <w:rPr>
          <w:rFonts w:eastAsia="SimSun"/>
          <w:lang w:eastAsia="zh-CN"/>
        </w:rPr>
      </w:pPr>
      <w:r w:rsidRPr="00EB3A06">
        <w:rPr>
          <w:rFonts w:eastAsia="SimSun"/>
          <w:lang w:eastAsia="zh-CN"/>
        </w:rPr>
        <w:t>2.5</w:t>
      </w:r>
      <w:r w:rsidRPr="00EB3A06">
        <w:rPr>
          <w:rFonts w:eastAsia="SimSun"/>
          <w:lang w:eastAsia="zh-CN"/>
        </w:rPr>
        <w:tab/>
      </w:r>
      <w:r w:rsidRPr="008915BB">
        <w:rPr>
          <w:rFonts w:eastAsia="SimSun"/>
          <w:lang w:eastAsia="zh-CN"/>
        </w:rPr>
        <w:t xml:space="preserve">The author </w:t>
      </w:r>
      <w:r w:rsidR="00E179E3" w:rsidRPr="008915BB">
        <w:rPr>
          <w:rFonts w:eastAsia="SimSun"/>
          <w:lang w:eastAsia="zh-CN"/>
        </w:rPr>
        <w:t xml:space="preserve">indicates </w:t>
      </w:r>
      <w:r w:rsidRPr="008915BB">
        <w:rPr>
          <w:rFonts w:eastAsia="SimSun"/>
          <w:lang w:eastAsia="zh-CN"/>
        </w:rPr>
        <w:t>that there is a two-</w:t>
      </w:r>
      <w:r w:rsidR="007C0D2A" w:rsidRPr="008915BB">
        <w:rPr>
          <w:rFonts w:eastAsia="SimSun"/>
          <w:lang w:eastAsia="zh-CN"/>
        </w:rPr>
        <w:t xml:space="preserve">instance </w:t>
      </w:r>
      <w:r w:rsidRPr="008915BB">
        <w:rPr>
          <w:rFonts w:eastAsia="SimSun"/>
          <w:lang w:eastAsia="zh-CN"/>
        </w:rPr>
        <w:t>process for appealing the Ministry’</w:t>
      </w:r>
      <w:r w:rsidR="00E179E3" w:rsidRPr="008915BB">
        <w:rPr>
          <w:rFonts w:eastAsia="SimSun"/>
          <w:lang w:eastAsia="zh-CN"/>
        </w:rPr>
        <w:t>s</w:t>
      </w:r>
      <w:r w:rsidRPr="008915BB">
        <w:rPr>
          <w:rFonts w:eastAsia="SimSun"/>
          <w:lang w:eastAsia="zh-CN"/>
        </w:rPr>
        <w:t xml:space="preserve"> decision, first to the Administrative Tribunal and second to the Council of State, and that it may take four years for the appeal to pro</w:t>
      </w:r>
      <w:r w:rsidR="007C0D2A" w:rsidRPr="008915BB">
        <w:rPr>
          <w:rFonts w:eastAsia="SimSun"/>
          <w:lang w:eastAsia="zh-CN"/>
        </w:rPr>
        <w:t xml:space="preserve">ceed </w:t>
      </w:r>
      <w:r w:rsidRPr="008915BB">
        <w:rPr>
          <w:rFonts w:eastAsia="SimSun"/>
          <w:lang w:eastAsia="zh-CN"/>
        </w:rPr>
        <w:t xml:space="preserve">to the next step of the procedure. Therefore, should her appeal before the Administrative Tribunal be unsuccessful, a total of eight years may elapse between the Ministry’s initial decision and the Council of State’s final decision, </w:t>
      </w:r>
      <w:r w:rsidR="00E179E3" w:rsidRPr="008915BB">
        <w:rPr>
          <w:rFonts w:eastAsia="SimSun"/>
          <w:lang w:eastAsia="zh-CN"/>
        </w:rPr>
        <w:t xml:space="preserve">which </w:t>
      </w:r>
      <w:r w:rsidRPr="008915BB">
        <w:rPr>
          <w:rFonts w:eastAsia="SimSun"/>
          <w:lang w:eastAsia="zh-CN"/>
        </w:rPr>
        <w:t>mean</w:t>
      </w:r>
      <w:r w:rsidR="00E179E3" w:rsidRPr="008915BB">
        <w:rPr>
          <w:rFonts w:eastAsia="SimSun"/>
          <w:lang w:eastAsia="zh-CN"/>
        </w:rPr>
        <w:t xml:space="preserve">s </w:t>
      </w:r>
      <w:r w:rsidRPr="008915BB">
        <w:rPr>
          <w:rFonts w:eastAsia="SimSun"/>
          <w:lang w:eastAsia="zh-CN"/>
        </w:rPr>
        <w:t>that she may not receive a final decision until 2024.</w:t>
      </w:r>
      <w:r w:rsidRPr="00EB3A06">
        <w:rPr>
          <w:rFonts w:eastAsia="SimSun"/>
          <w:lang w:eastAsia="zh-CN"/>
        </w:rPr>
        <w:t xml:space="preserve"> </w:t>
      </w:r>
    </w:p>
    <w:p w14:paraId="446D43EE" w14:textId="03FF2287" w:rsidR="00E179E3" w:rsidRDefault="00E179E3" w:rsidP="00E179E3">
      <w:pPr>
        <w:pStyle w:val="ListParagraph"/>
        <w:spacing w:before="120" w:after="120"/>
        <w:ind w:left="1134" w:right="1134"/>
        <w:contextualSpacing w:val="0"/>
        <w:jc w:val="both"/>
        <w:rPr>
          <w:rFonts w:eastAsia="SimSun"/>
          <w:lang w:eastAsia="zh-CN"/>
        </w:rPr>
      </w:pPr>
      <w:r w:rsidRPr="008915BB">
        <w:rPr>
          <w:rFonts w:eastAsia="SimSun"/>
          <w:lang w:eastAsia="zh-CN"/>
        </w:rPr>
        <w:t>2.6</w:t>
      </w:r>
      <w:r w:rsidRPr="008915BB">
        <w:rPr>
          <w:rFonts w:eastAsia="SimSun"/>
          <w:lang w:eastAsia="zh-CN"/>
        </w:rPr>
        <w:tab/>
      </w:r>
      <w:r w:rsidR="00EB3A06" w:rsidRPr="008915BB">
        <w:rPr>
          <w:rFonts w:eastAsia="SimSun"/>
          <w:lang w:eastAsia="zh-CN"/>
        </w:rPr>
        <w:t>She submitted her application for Italian citizenship on 7 January 2014 and has been waiting for the Administrative Tribunal to determine her appeal since 30 December 2016. The author claims that such a delay is “unreasonably prolonged”, within the meaning of article 5(2)(b) of the Optional Protocol to the Covenant, and that no other effective domestic remedies are available.</w:t>
      </w:r>
    </w:p>
    <w:p w14:paraId="56387A07" w14:textId="0C855354" w:rsidR="00653FDF" w:rsidRPr="00E179E3" w:rsidRDefault="00E179E3" w:rsidP="00E179E3">
      <w:pPr>
        <w:pStyle w:val="ListParagraph"/>
        <w:spacing w:before="120" w:after="120"/>
        <w:ind w:left="1134" w:right="1134"/>
        <w:contextualSpacing w:val="0"/>
        <w:jc w:val="both"/>
        <w:rPr>
          <w:rFonts w:eastAsia="SimSun"/>
          <w:lang w:eastAsia="zh-CN"/>
        </w:rPr>
      </w:pPr>
      <w:r>
        <w:rPr>
          <w:rFonts w:eastAsia="SimSun"/>
          <w:lang w:eastAsia="zh-CN"/>
        </w:rPr>
        <w:t>2.7</w:t>
      </w:r>
      <w:r>
        <w:rPr>
          <w:rFonts w:eastAsia="SimSun"/>
          <w:lang w:eastAsia="zh-CN"/>
        </w:rPr>
        <w:tab/>
      </w:r>
      <w:r w:rsidR="00143DBF" w:rsidRPr="00E179E3">
        <w:rPr>
          <w:rFonts w:eastAsia="SimSun"/>
          <w:lang w:eastAsia="zh-CN"/>
        </w:rPr>
        <w:t>The au</w:t>
      </w:r>
      <w:r w:rsidR="003B3B5B" w:rsidRPr="00E179E3">
        <w:rPr>
          <w:rFonts w:eastAsia="SimSun"/>
          <w:lang w:eastAsia="zh-CN"/>
        </w:rPr>
        <w:t xml:space="preserve">thor </w:t>
      </w:r>
      <w:r w:rsidR="00BF1836" w:rsidRPr="00E179E3">
        <w:rPr>
          <w:rFonts w:eastAsia="SimSun"/>
          <w:lang w:eastAsia="zh-CN"/>
        </w:rPr>
        <w:t xml:space="preserve">claims </w:t>
      </w:r>
      <w:r>
        <w:rPr>
          <w:rFonts w:eastAsia="SimSun"/>
          <w:lang w:eastAsia="zh-CN"/>
        </w:rPr>
        <w:t xml:space="preserve">that </w:t>
      </w:r>
      <w:r w:rsidR="00BF1836" w:rsidRPr="00E179E3">
        <w:rPr>
          <w:rFonts w:eastAsia="SimSun"/>
          <w:lang w:eastAsia="zh-CN"/>
        </w:rPr>
        <w:t xml:space="preserve">the </w:t>
      </w:r>
      <w:r w:rsidR="00230C46" w:rsidRPr="00181ABB">
        <w:t xml:space="preserve">same matter has not been and is not being examined under another procedure of international investigation or settlement. </w:t>
      </w:r>
    </w:p>
    <w:p w14:paraId="7B869197" w14:textId="689EDC88" w:rsidR="00653FDF" w:rsidRPr="00181ABB" w:rsidRDefault="00653FDF" w:rsidP="00714586">
      <w:pPr>
        <w:pStyle w:val="H23G"/>
        <w:spacing w:before="120"/>
      </w:pPr>
      <w:r w:rsidRPr="00585EA8">
        <w:tab/>
      </w:r>
      <w:r w:rsidRPr="00585EA8">
        <w:tab/>
      </w:r>
      <w:r w:rsidR="00C22D06">
        <w:t>C</w:t>
      </w:r>
      <w:r w:rsidRPr="00181ABB">
        <w:t>omplaint</w:t>
      </w:r>
    </w:p>
    <w:p w14:paraId="0E162BA9" w14:textId="77777777" w:rsidR="00F23CFC" w:rsidRDefault="002C7852" w:rsidP="00F23CFC">
      <w:pPr>
        <w:pStyle w:val="SingleTxtG"/>
        <w:spacing w:before="120"/>
      </w:pPr>
      <w:r w:rsidRPr="00181ABB">
        <w:t>3.1</w:t>
      </w:r>
      <w:r w:rsidRPr="00181ABB">
        <w:tab/>
      </w:r>
      <w:r w:rsidR="00F23CFC" w:rsidRPr="008915BB">
        <w:t>The author claims that the denial of her Italian citizenship is contrary to the right not to be “subjected to arbitrary or unlawful interference with his privacy, family, home or</w:t>
      </w:r>
      <w:r w:rsidR="00F23CFC">
        <w:t xml:space="preserve"> correspondence, nor to unlawful attacks on his honour and reputation” under article 17 of the Covenant.</w:t>
      </w:r>
    </w:p>
    <w:p w14:paraId="52EF0EBC" w14:textId="26B1DD1F" w:rsidR="00CD7D80" w:rsidRPr="00E55F1E" w:rsidRDefault="00F23CFC" w:rsidP="00F23CFC">
      <w:pPr>
        <w:pStyle w:val="SingleTxtG"/>
        <w:spacing w:before="120"/>
      </w:pPr>
      <w:r w:rsidRPr="00E55F1E">
        <w:t>3.2</w:t>
      </w:r>
      <w:r w:rsidRPr="00E55F1E">
        <w:tab/>
        <w:t>Further</w:t>
      </w:r>
      <w:r w:rsidR="00ED02BA">
        <w:t>more</w:t>
      </w:r>
      <w:r w:rsidRPr="00E55F1E">
        <w:t xml:space="preserve">, the author claims that the fact that she was denied Italian citizenship based on facts not relating to her but to her husband amounts to gender-based discrimination and constitutes a violation by Italy of article 26 of the Covenant. She submits that the principle of equality contained in article 26 does not allow a State party to deny her citizenship on the sole basis </w:t>
      </w:r>
      <w:r w:rsidR="00ED02BA">
        <w:t xml:space="preserve">of her marital status and the profile of </w:t>
      </w:r>
      <w:r w:rsidRPr="00E55F1E">
        <w:t>her husband</w:t>
      </w:r>
      <w:r w:rsidR="00BF395E" w:rsidRPr="00E55F1E">
        <w:t xml:space="preserve">. </w:t>
      </w:r>
      <w:r w:rsidRPr="00E55F1E">
        <w:t xml:space="preserve">The author </w:t>
      </w:r>
      <w:r w:rsidR="00BF395E" w:rsidRPr="00E55F1E">
        <w:t xml:space="preserve">argues </w:t>
      </w:r>
      <w:r w:rsidRPr="00E55F1E">
        <w:t xml:space="preserve">that, </w:t>
      </w:r>
      <w:r w:rsidR="00BF395E" w:rsidRPr="00E55F1E">
        <w:t xml:space="preserve">had </w:t>
      </w:r>
      <w:r w:rsidRPr="00E55F1E">
        <w:t xml:space="preserve">not </w:t>
      </w:r>
      <w:r w:rsidR="00BF395E" w:rsidRPr="00E55F1E">
        <w:t xml:space="preserve">she </w:t>
      </w:r>
      <w:r w:rsidRPr="00E55F1E">
        <w:t>been married to her husband, the Ministry would have granted</w:t>
      </w:r>
      <w:r w:rsidR="00FC0E53">
        <w:t xml:space="preserve"> </w:t>
      </w:r>
      <w:r w:rsidR="003C5359">
        <w:t>her</w:t>
      </w:r>
      <w:r w:rsidR="004C520D" w:rsidRPr="00E55F1E">
        <w:t xml:space="preserve"> </w:t>
      </w:r>
      <w:r w:rsidRPr="00E55F1E">
        <w:t>Italian citizenship as she complies with all other requirements.</w:t>
      </w:r>
    </w:p>
    <w:p w14:paraId="264D9FA0" w14:textId="4C46DD15" w:rsidR="00C96F7A" w:rsidRDefault="00C96F7A" w:rsidP="00F23CFC">
      <w:pPr>
        <w:pStyle w:val="SingleTxtG"/>
        <w:spacing w:before="120"/>
      </w:pPr>
      <w:r w:rsidRPr="00E55F1E">
        <w:t>3.3</w:t>
      </w:r>
      <w:r w:rsidRPr="00E55F1E">
        <w:tab/>
        <w:t xml:space="preserve">The author also complains of the </w:t>
      </w:r>
      <w:r w:rsidR="00E55F1E" w:rsidRPr="00E55F1E">
        <w:t xml:space="preserve">duration </w:t>
      </w:r>
      <w:r w:rsidRPr="00E55F1E">
        <w:t xml:space="preserve">of the appeal’s </w:t>
      </w:r>
      <w:r w:rsidR="00E55F1E" w:rsidRPr="00E55F1E">
        <w:t>proceeding</w:t>
      </w:r>
      <w:r w:rsidRPr="00E55F1E">
        <w:t>, claiming undue delays in violation of article 26 of the Covenant.</w:t>
      </w:r>
      <w:r>
        <w:t xml:space="preserve"> </w:t>
      </w:r>
    </w:p>
    <w:p w14:paraId="4931BC06" w14:textId="32186BFD" w:rsidR="00653FDF" w:rsidRPr="00181ABB" w:rsidRDefault="00D212CF" w:rsidP="00714586">
      <w:pPr>
        <w:pStyle w:val="H23G"/>
        <w:spacing w:before="120"/>
      </w:pPr>
      <w:r>
        <w:tab/>
      </w:r>
      <w:r>
        <w:tab/>
      </w:r>
      <w:r w:rsidR="00653FDF" w:rsidRPr="00181ABB">
        <w:t>State party</w:t>
      </w:r>
      <w:r w:rsidR="0039393F" w:rsidRPr="00181ABB">
        <w:t>’</w:t>
      </w:r>
      <w:r w:rsidR="00EF52D7" w:rsidRPr="00181ABB">
        <w:t xml:space="preserve">s observations on </w:t>
      </w:r>
      <w:r w:rsidR="00411650" w:rsidRPr="00181ABB">
        <w:t>admissibility</w:t>
      </w:r>
      <w:r w:rsidR="00653FDF" w:rsidRPr="00181ABB">
        <w:t xml:space="preserve"> </w:t>
      </w:r>
      <w:r w:rsidR="00D03DEE">
        <w:t>and the merits</w:t>
      </w:r>
    </w:p>
    <w:p w14:paraId="4F38EE7E" w14:textId="0644177F" w:rsidR="00DD64F9" w:rsidRPr="00E55F1E" w:rsidRDefault="00D212CF" w:rsidP="00DD64F9">
      <w:pPr>
        <w:pStyle w:val="SingleTxtG"/>
      </w:pPr>
      <w:r w:rsidRPr="00181ABB">
        <w:t>4</w:t>
      </w:r>
      <w:r w:rsidR="00653FDF" w:rsidRPr="00181ABB">
        <w:t>.1</w:t>
      </w:r>
      <w:r w:rsidR="00DD64F9" w:rsidRPr="00181ABB">
        <w:tab/>
      </w:r>
      <w:r w:rsidR="00DD64F9" w:rsidRPr="00E55F1E">
        <w:t xml:space="preserve">On </w:t>
      </w:r>
      <w:r w:rsidR="00D03DEE" w:rsidRPr="00E55F1E">
        <w:t xml:space="preserve">9 October 2019, </w:t>
      </w:r>
      <w:r w:rsidR="00DD64F9" w:rsidRPr="00E55F1E">
        <w:t xml:space="preserve">the State party submitted its observations on </w:t>
      </w:r>
      <w:r w:rsidR="00D03DEE" w:rsidRPr="00E55F1E">
        <w:t>a</w:t>
      </w:r>
      <w:r w:rsidR="00DD64F9" w:rsidRPr="00E55F1E">
        <w:t xml:space="preserve">dmissibility </w:t>
      </w:r>
      <w:r w:rsidR="00D03DEE" w:rsidRPr="00E55F1E">
        <w:t xml:space="preserve">and the merits </w:t>
      </w:r>
      <w:r w:rsidR="00DD64F9" w:rsidRPr="00E55F1E">
        <w:t xml:space="preserve">of the </w:t>
      </w:r>
      <w:r w:rsidR="003117DC" w:rsidRPr="00E55F1E">
        <w:t xml:space="preserve">author’s </w:t>
      </w:r>
      <w:r w:rsidR="00DD64F9" w:rsidRPr="00E55F1E">
        <w:t>com</w:t>
      </w:r>
      <w:r w:rsidR="000E0187" w:rsidRPr="00E55F1E">
        <w:t xml:space="preserve">munication, </w:t>
      </w:r>
      <w:r w:rsidR="00D03DEE" w:rsidRPr="00E55F1E">
        <w:t xml:space="preserve">recalling </w:t>
      </w:r>
      <w:r w:rsidR="00E55F1E" w:rsidRPr="00E55F1E">
        <w:t xml:space="preserve">the </w:t>
      </w:r>
      <w:r w:rsidR="00D03DEE" w:rsidRPr="00E55F1E">
        <w:t>constitutional framework</w:t>
      </w:r>
      <w:r w:rsidR="00E55F1E" w:rsidRPr="00E55F1E">
        <w:t xml:space="preserve"> of Italy</w:t>
      </w:r>
      <w:r w:rsidR="00D03DEE" w:rsidRPr="00E55F1E">
        <w:t xml:space="preserve">, including respect for the rule of law and human rights and fundamental freedoms.  </w:t>
      </w:r>
    </w:p>
    <w:p w14:paraId="215C0606" w14:textId="294E72C7" w:rsidR="0044651C" w:rsidRPr="00181ABB" w:rsidRDefault="0044651C" w:rsidP="00DD64F9">
      <w:pPr>
        <w:pStyle w:val="SingleTxtG"/>
      </w:pPr>
      <w:r w:rsidRPr="00E55F1E">
        <w:lastRenderedPageBreak/>
        <w:t>4.2</w:t>
      </w:r>
      <w:r w:rsidRPr="00E55F1E">
        <w:tab/>
      </w:r>
      <w:r w:rsidR="00BB7D0F" w:rsidRPr="00E55F1E">
        <w:t xml:space="preserve">The </w:t>
      </w:r>
      <w:r w:rsidR="00A07FF8" w:rsidRPr="00E55F1E">
        <w:t xml:space="preserve">Italian constitutional system of guarantees and safeguards is also expressed by the “principle of the </w:t>
      </w:r>
      <w:r w:rsidR="003117DC" w:rsidRPr="00E55F1E">
        <w:t xml:space="preserve">double </w:t>
      </w:r>
      <w:r w:rsidR="00A07FF8" w:rsidRPr="00E55F1E">
        <w:t>level of adjudication”</w:t>
      </w:r>
      <w:r w:rsidR="00BB7D0F" w:rsidRPr="00E55F1E">
        <w:t xml:space="preserve">, </w:t>
      </w:r>
      <w:r w:rsidR="00A07FF8" w:rsidRPr="00E55F1E">
        <w:t xml:space="preserve">which is implemented through a system of appeals, characterized by three possible levels of </w:t>
      </w:r>
      <w:r w:rsidR="00BB7D0F" w:rsidRPr="00E55F1E">
        <w:t>judicial proceedings.</w:t>
      </w:r>
      <w:r w:rsidR="00BB7D0F">
        <w:t xml:space="preserve"> </w:t>
      </w:r>
      <w:r w:rsidR="00E55F1E" w:rsidRPr="00E55F1E">
        <w:t xml:space="preserve">Each </w:t>
      </w:r>
      <w:r w:rsidR="00A07FF8" w:rsidRPr="00E55F1E">
        <w:t xml:space="preserve">stage </w:t>
      </w:r>
      <w:r w:rsidR="00BB7D0F" w:rsidRPr="00E55F1E">
        <w:t xml:space="preserve">represents </w:t>
      </w:r>
      <w:r w:rsidR="00A07FF8" w:rsidRPr="00E55F1E">
        <w:t>a further level of judgment. While offering the extensive range of guarantees, the system of appeals and the th</w:t>
      </w:r>
      <w:r w:rsidR="002149EF" w:rsidRPr="00E55F1E">
        <w:t>r</w:t>
      </w:r>
      <w:r w:rsidR="00BB7D0F" w:rsidRPr="00E55F1E">
        <w:t xml:space="preserve">ee possible levels of judgment </w:t>
      </w:r>
      <w:r w:rsidR="002149EF" w:rsidRPr="00E55F1E">
        <w:t xml:space="preserve">may delay the resolution of the dispute at hand. </w:t>
      </w:r>
      <w:r w:rsidR="00125DB1" w:rsidRPr="00E55F1E">
        <w:t>In addition to the principle of due process of law, the State party’s Constitution defines the role of the Council of State, and the Constitutional Court.</w:t>
      </w:r>
      <w:r w:rsidR="00125DB1" w:rsidRPr="00E55F1E">
        <w:rPr>
          <w:rStyle w:val="FootnoteReference"/>
        </w:rPr>
        <w:footnoteReference w:id="5"/>
      </w:r>
      <w:r w:rsidR="00125DB1">
        <w:t xml:space="preserve"> </w:t>
      </w:r>
      <w:r>
        <w:t xml:space="preserve"> </w:t>
      </w:r>
    </w:p>
    <w:p w14:paraId="76D26928" w14:textId="05282AAE" w:rsidR="002149EF" w:rsidRDefault="00DD64F9" w:rsidP="00DD64F9">
      <w:pPr>
        <w:pStyle w:val="SingleTxtG"/>
      </w:pPr>
      <w:r w:rsidRPr="00E55F1E">
        <w:t>4.</w:t>
      </w:r>
      <w:r w:rsidR="002149EF" w:rsidRPr="00E55F1E">
        <w:t>3</w:t>
      </w:r>
      <w:r w:rsidRPr="00E55F1E">
        <w:tab/>
      </w:r>
      <w:r w:rsidR="00487468" w:rsidRPr="00E55F1E">
        <w:t xml:space="preserve">As </w:t>
      </w:r>
      <w:r w:rsidR="00D76576" w:rsidRPr="00E55F1E">
        <w:t xml:space="preserve">regards </w:t>
      </w:r>
      <w:r w:rsidR="00487468" w:rsidRPr="00E55F1E">
        <w:t xml:space="preserve">the facts, the State party </w:t>
      </w:r>
      <w:r w:rsidR="00D76576" w:rsidRPr="00E55F1E">
        <w:t>in</w:t>
      </w:r>
      <w:r w:rsidR="008018EF" w:rsidRPr="00E55F1E">
        <w:t xml:space="preserve">forms </w:t>
      </w:r>
      <w:r w:rsidR="00487468" w:rsidRPr="00E55F1E">
        <w:t>that the author submitted</w:t>
      </w:r>
      <w:r w:rsidR="00D76576" w:rsidRPr="00E55F1E">
        <w:t xml:space="preserve">, </w:t>
      </w:r>
      <w:r w:rsidR="00487468" w:rsidRPr="00E55F1E">
        <w:t>in December 2016</w:t>
      </w:r>
      <w:r w:rsidR="00D76576" w:rsidRPr="00E55F1E">
        <w:t xml:space="preserve">, </w:t>
      </w:r>
      <w:r w:rsidR="00487468" w:rsidRPr="00E55F1E">
        <w:t>a</w:t>
      </w:r>
      <w:r w:rsidR="008018EF" w:rsidRPr="00E55F1E">
        <w:t xml:space="preserve">n appeal </w:t>
      </w:r>
      <w:r w:rsidR="00487468" w:rsidRPr="00E55F1E">
        <w:t>to the Administrative Tribunal</w:t>
      </w:r>
      <w:r w:rsidR="008018EF" w:rsidRPr="00E55F1E">
        <w:t>,</w:t>
      </w:r>
      <w:r w:rsidR="00487468" w:rsidRPr="00E55F1E">
        <w:t xml:space="preserve"> concerning the rejection of her application for citizenship</w:t>
      </w:r>
      <w:r w:rsidR="00D76576" w:rsidRPr="00E55F1E">
        <w:t xml:space="preserve">. </w:t>
      </w:r>
      <w:r w:rsidR="008018EF" w:rsidRPr="00E55F1E">
        <w:t xml:space="preserve">The State party </w:t>
      </w:r>
      <w:r w:rsidR="00D76576" w:rsidRPr="00E55F1E">
        <w:t xml:space="preserve">admits </w:t>
      </w:r>
      <w:r w:rsidR="00487468" w:rsidRPr="00E55F1E">
        <w:t>that her appeal has not been decided u</w:t>
      </w:r>
      <w:r w:rsidR="009E0724">
        <w:t xml:space="preserve">ntil </w:t>
      </w:r>
      <w:r w:rsidR="003C5359">
        <w:t xml:space="preserve">the </w:t>
      </w:r>
      <w:r w:rsidR="00487468" w:rsidRPr="00E55F1E">
        <w:t>date</w:t>
      </w:r>
      <w:r w:rsidR="00F47DD4" w:rsidRPr="00E55F1E">
        <w:t xml:space="preserve"> </w:t>
      </w:r>
      <w:r w:rsidR="003C5359">
        <w:t xml:space="preserve">of submission of its observations to the Committee </w:t>
      </w:r>
      <w:r w:rsidR="00F47DD4" w:rsidRPr="00E55F1E">
        <w:t>(9 October 2019)</w:t>
      </w:r>
      <w:r w:rsidR="00487468" w:rsidRPr="00E55F1E">
        <w:t>.</w:t>
      </w:r>
      <w:r w:rsidR="00B9547F" w:rsidRPr="00E55F1E">
        <w:rPr>
          <w:rStyle w:val="FootnoteReference"/>
        </w:rPr>
        <w:footnoteReference w:id="6"/>
      </w:r>
      <w:r w:rsidR="00377BB9">
        <w:t xml:space="preserve">   </w:t>
      </w:r>
    </w:p>
    <w:p w14:paraId="3BEF643E" w14:textId="6435A51E" w:rsidR="00C26467" w:rsidRDefault="00C26467" w:rsidP="00C26467">
      <w:pPr>
        <w:pStyle w:val="SingleTxtG"/>
      </w:pPr>
      <w:r>
        <w:t>4.</w:t>
      </w:r>
      <w:r w:rsidR="00822B6C">
        <w:t>4</w:t>
      </w:r>
      <w:r>
        <w:tab/>
      </w:r>
      <w:r w:rsidRPr="00E55F1E">
        <w:t>Following the appeal to the Administrative Tribunal, the author submitted a complaint to the Committee concerning the length of the trial, and the alleged discriminatory treatment suffered.</w:t>
      </w:r>
      <w:r>
        <w:t xml:space="preserve"> </w:t>
      </w:r>
    </w:p>
    <w:p w14:paraId="69E56B40" w14:textId="790C59FE" w:rsidR="00C26467" w:rsidRDefault="00C26467" w:rsidP="00C26467">
      <w:pPr>
        <w:pStyle w:val="SingleTxtG"/>
      </w:pPr>
      <w:r>
        <w:t>4.</w:t>
      </w:r>
      <w:r w:rsidR="00822B6C">
        <w:t>5</w:t>
      </w:r>
      <w:r>
        <w:tab/>
      </w:r>
      <w:r w:rsidRPr="003B7BF1">
        <w:t>As regards the length of the administrative proceeding, a reference is made to the normative framework of Italy, by which a) the reasonable duration is considered to have been respected “when the trial does not exceed the duration of three years in the first instance; b) and of two years in the second instance; and c) of one year in the judgment of legitimacy. For the purposes of calculating its duration, the trial is considered to have been initiated with the filing of the complaint, or with the notification of the writ of summons.</w:t>
      </w:r>
      <w:r w:rsidRPr="003B7BF1">
        <w:rPr>
          <w:rStyle w:val="FootnoteReference"/>
        </w:rPr>
        <w:footnoteReference w:id="7"/>
      </w:r>
      <w:r>
        <w:t xml:space="preserve">  </w:t>
      </w:r>
    </w:p>
    <w:p w14:paraId="1AB3E404" w14:textId="219DBD9F" w:rsidR="00C26467" w:rsidRDefault="00C26467" w:rsidP="00C26467">
      <w:pPr>
        <w:pStyle w:val="SingleTxtG"/>
      </w:pPr>
      <w:r>
        <w:t>4.</w:t>
      </w:r>
      <w:r w:rsidR="00822B6C">
        <w:t>6</w:t>
      </w:r>
      <w:r>
        <w:tab/>
      </w:r>
      <w:r w:rsidRPr="003B7BF1">
        <w:t>In the case at hand, given that the duration of the appeal against the denial of application for citizenship before the Administrative Tribunal has not yet reached the minimum threshold of three years, there has been no violation of the legitimate expectations of the complainant.</w:t>
      </w:r>
      <w:r>
        <w:t xml:space="preserve">  </w:t>
      </w:r>
    </w:p>
    <w:p w14:paraId="29E8CC9F" w14:textId="3B80302A" w:rsidR="00D966B7" w:rsidRDefault="00D966B7" w:rsidP="00DD64F9">
      <w:pPr>
        <w:pStyle w:val="SingleTxtG"/>
      </w:pPr>
      <w:r>
        <w:t>4.</w:t>
      </w:r>
      <w:r w:rsidR="00822B6C">
        <w:t>7</w:t>
      </w:r>
      <w:r>
        <w:tab/>
      </w:r>
      <w:r w:rsidR="008018EF" w:rsidRPr="00E55F1E">
        <w:t xml:space="preserve">Concerning </w:t>
      </w:r>
      <w:r w:rsidRPr="00E55F1E">
        <w:t>the author’s claims under articles 17 and 26 of the Covenant, the State party submits that “Italian citizenship can be granted (…) f) to the foreigner who has resided legally for at least ten years in the territory of the Republic”. In the author’s case, the denial of her application for citizenship is based essentially on considerations relating to her husband, as he has been considered “contiguous” to movements deemed socially dangerous</w:t>
      </w:r>
      <w:r w:rsidR="008C63AD" w:rsidRPr="00E55F1E">
        <w:t>, as having purposes incompatible with the security of the Republic</w:t>
      </w:r>
      <w:r w:rsidRPr="00E55F1E">
        <w:t>. The author’s husband had his application for</w:t>
      </w:r>
      <w:r w:rsidR="00E55F1E" w:rsidRPr="00E55F1E">
        <w:t xml:space="preserve"> Italian citizenship previously </w:t>
      </w:r>
      <w:r w:rsidRPr="00E55F1E">
        <w:t>denied. He also appealed the negative decision to the Administrative Tribunal, which rejected his appeal in a decision no. 5577/13, dated 4 June 2013. The appeal by the author’s husband was pending before the Council of State at a time of submission of the State party’s observations.</w:t>
      </w:r>
      <w:r>
        <w:t xml:space="preserve"> </w:t>
      </w:r>
    </w:p>
    <w:p w14:paraId="55C442D4" w14:textId="3FC485F6" w:rsidR="00D966B7" w:rsidRDefault="008556A6" w:rsidP="00DD64F9">
      <w:pPr>
        <w:pStyle w:val="SingleTxtG"/>
        <w:rPr>
          <w:i/>
        </w:rPr>
      </w:pPr>
      <w:r w:rsidRPr="00E55F1E">
        <w:t>4.</w:t>
      </w:r>
      <w:r w:rsidR="00822B6C">
        <w:t>8</w:t>
      </w:r>
      <w:r w:rsidRPr="00E55F1E">
        <w:tab/>
        <w:t>In its decision of 26 September 2016,</w:t>
      </w:r>
      <w:r>
        <w:t xml:space="preserve"> the Ministry of Inter</w:t>
      </w:r>
      <w:r w:rsidR="003117DC">
        <w:t xml:space="preserve">nal Affairs </w:t>
      </w:r>
      <w:r>
        <w:t>rejected the author’s application for citizenship,</w:t>
      </w:r>
      <w:r w:rsidRPr="00E55F1E">
        <w:t xml:space="preserve"> </w:t>
      </w:r>
      <w:r w:rsidR="00F818AD" w:rsidRPr="00E55F1E">
        <w:t>“</w:t>
      </w:r>
      <w:r w:rsidRPr="00E55F1E">
        <w:t xml:space="preserve">taking into account the emergence of contiguity of her husband (Mr. H.Q.) to movements incompatible with the security of the Republic, which hinders the granting of citizenship. The family relationship indicates the existence of a stable and lasting bond over </w:t>
      </w:r>
      <w:r w:rsidRPr="00E55F1E">
        <w:lastRenderedPageBreak/>
        <w:t>time as it has its roots in the family and in its connective affective aspects, with the consequence that parental and affective stability could induce the party concerned to facilitate, also only for emotional reasons, behaviour considered dangerous for the security of the Republic</w:t>
      </w:r>
      <w:r w:rsidR="00F818AD" w:rsidRPr="00E55F1E">
        <w:t>.”</w:t>
      </w:r>
      <w:r w:rsidRPr="00E55F1E">
        <w:rPr>
          <w:rStyle w:val="FootnoteReference"/>
        </w:rPr>
        <w:footnoteReference w:id="8"/>
      </w:r>
    </w:p>
    <w:p w14:paraId="63908FB8" w14:textId="1CAABF94" w:rsidR="00F47DD4" w:rsidRDefault="00147C9D" w:rsidP="00F578E8">
      <w:pPr>
        <w:pStyle w:val="SingleTxtG"/>
      </w:pPr>
      <w:r>
        <w:t>4.9</w:t>
      </w:r>
      <w:r>
        <w:tab/>
      </w:r>
      <w:r w:rsidRPr="003B7BF1">
        <w:t>As regards the claim</w:t>
      </w:r>
      <w:r w:rsidR="002A2DF5" w:rsidRPr="003B7BF1">
        <w:t>s</w:t>
      </w:r>
      <w:r w:rsidRPr="003B7BF1">
        <w:t xml:space="preserve"> of </w:t>
      </w:r>
      <w:r w:rsidR="002E6BA5" w:rsidRPr="003B7BF1">
        <w:t xml:space="preserve">violations </w:t>
      </w:r>
      <w:r w:rsidR="002A2DF5" w:rsidRPr="003B7BF1">
        <w:t>of article</w:t>
      </w:r>
      <w:r w:rsidR="002E6BA5" w:rsidRPr="003B7BF1">
        <w:t>s</w:t>
      </w:r>
      <w:r w:rsidR="002A2DF5" w:rsidRPr="003B7BF1">
        <w:t xml:space="preserve"> 17</w:t>
      </w:r>
      <w:r w:rsidR="002E6BA5" w:rsidRPr="003B7BF1">
        <w:t xml:space="preserve"> and 26</w:t>
      </w:r>
      <w:r w:rsidR="002A2DF5" w:rsidRPr="003B7BF1">
        <w:t xml:space="preserve">, as the </w:t>
      </w:r>
      <w:r w:rsidR="002E6BA5" w:rsidRPr="003B7BF1">
        <w:t xml:space="preserve">denial </w:t>
      </w:r>
      <w:r w:rsidR="002A2DF5" w:rsidRPr="003B7BF1">
        <w:t xml:space="preserve">of the author’s application </w:t>
      </w:r>
      <w:r w:rsidR="002E6BA5" w:rsidRPr="003B7BF1">
        <w:t xml:space="preserve">for citizenship </w:t>
      </w:r>
      <w:r w:rsidR="002A2DF5" w:rsidRPr="003B7BF1">
        <w:t>is allegedly based on facts and conducts that can be as</w:t>
      </w:r>
      <w:r w:rsidR="003B7BF1" w:rsidRPr="003B7BF1">
        <w:t xml:space="preserve">signed </w:t>
      </w:r>
      <w:r w:rsidR="002A2DF5" w:rsidRPr="003B7BF1">
        <w:t xml:space="preserve">exclusively to the author’s husband, the State party </w:t>
      </w:r>
      <w:r w:rsidR="007D2DDF" w:rsidRPr="003B7BF1">
        <w:t>argues that the granting of Italian citizenship presupposes the ascertainment of the non-existence of ele</w:t>
      </w:r>
      <w:r w:rsidR="002E6BA5" w:rsidRPr="003B7BF1">
        <w:t xml:space="preserve">ments or circumstances that can </w:t>
      </w:r>
      <w:r w:rsidR="007D2DDF" w:rsidRPr="003B7BF1">
        <w:t xml:space="preserve">endanger the values of free and peaceful civil coexistence. The security of the Italian Republic is, in fact, </w:t>
      </w:r>
      <w:r w:rsidR="002E6BA5" w:rsidRPr="003B7BF1">
        <w:t xml:space="preserve">a </w:t>
      </w:r>
      <w:r w:rsidR="007D2DDF" w:rsidRPr="003B7BF1">
        <w:t xml:space="preserve">higher interest than the individual interest in obtaining </w:t>
      </w:r>
      <w:r w:rsidR="002E6BA5" w:rsidRPr="003B7BF1">
        <w:t xml:space="preserve">or recognizing </w:t>
      </w:r>
      <w:r w:rsidR="007D2DDF" w:rsidRPr="003B7BF1">
        <w:t>Italian citizenship</w:t>
      </w:r>
      <w:r w:rsidR="002E6BA5" w:rsidRPr="003B7BF1">
        <w:t xml:space="preserve">. </w:t>
      </w:r>
      <w:r w:rsidR="007D2DDF" w:rsidRPr="003B7BF1">
        <w:t>Given its irrevocable nature,</w:t>
      </w:r>
      <w:r w:rsidR="007D2DDF">
        <w:t xml:space="preserve"> it is required that “</w:t>
      </w:r>
      <w:r w:rsidR="007D2DDF" w:rsidRPr="003B7BF1">
        <w:t xml:space="preserve">no doubt, no shadow of unreliability of the applicant exists, also with </w:t>
      </w:r>
      <w:r w:rsidR="002E6BA5" w:rsidRPr="003B7BF1">
        <w:t xml:space="preserve">a prospective evaluation </w:t>
      </w:r>
      <w:r w:rsidR="007D2DDF" w:rsidRPr="003B7BF1">
        <w:t>for the future, about the full adherence to the constitutional values on which the Italian Republic is founded</w:t>
      </w:r>
      <w:r w:rsidR="007D2DDF">
        <w:t>”.</w:t>
      </w:r>
      <w:r w:rsidR="007D2DDF">
        <w:rPr>
          <w:rStyle w:val="FootnoteReference"/>
        </w:rPr>
        <w:footnoteReference w:id="9"/>
      </w:r>
      <w:r w:rsidR="007D2DDF">
        <w:t xml:space="preserve"> </w:t>
      </w:r>
      <w:r w:rsidR="00F578E8">
        <w:t>In th</w:t>
      </w:r>
      <w:r w:rsidR="002E6BA5">
        <w:t xml:space="preserve">at context, </w:t>
      </w:r>
      <w:r w:rsidR="00F578E8">
        <w:t xml:space="preserve">the Italian Constitutional Court </w:t>
      </w:r>
      <w:r w:rsidR="00D06294">
        <w:t xml:space="preserve">affirmed that the </w:t>
      </w:r>
      <w:r w:rsidR="00D06294" w:rsidRPr="003B7BF1">
        <w:t xml:space="preserve">relevance of interest of the State security as to its integrity and independence is reflected in article 52 of the Italian Constitution. </w:t>
      </w:r>
      <w:r w:rsidR="00351F79" w:rsidRPr="003B7BF1">
        <w:t>The State party adds that the current trend of alarming upsurge of terrorism and extremism can justify particular prudence and caution in the administrative practice of granting citizenship.</w:t>
      </w:r>
      <w:r w:rsidR="00351F79" w:rsidRPr="003B7BF1">
        <w:rPr>
          <w:rStyle w:val="FootnoteReference"/>
        </w:rPr>
        <w:footnoteReference w:id="10"/>
      </w:r>
      <w:r w:rsidR="00351F79">
        <w:t xml:space="preserve"> </w:t>
      </w:r>
      <w:r w:rsidR="00D06294">
        <w:t xml:space="preserve">  </w:t>
      </w:r>
      <w:r w:rsidR="00F578E8">
        <w:t xml:space="preserve"> </w:t>
      </w:r>
      <w:r w:rsidR="007D2DDF">
        <w:t xml:space="preserve">  </w:t>
      </w:r>
      <w:r w:rsidR="002A2DF5">
        <w:t xml:space="preserve"> </w:t>
      </w:r>
      <w:r>
        <w:t xml:space="preserve"> </w:t>
      </w:r>
    </w:p>
    <w:p w14:paraId="7A547481" w14:textId="27B83177" w:rsidR="00DD64F9" w:rsidRPr="00181ABB" w:rsidRDefault="00DD64F9" w:rsidP="00DD64F9">
      <w:pPr>
        <w:pStyle w:val="SingleTxtG"/>
      </w:pPr>
      <w:r w:rsidRPr="00181ABB">
        <w:t>4.</w:t>
      </w:r>
      <w:r w:rsidR="006B081A">
        <w:t>10</w:t>
      </w:r>
      <w:r w:rsidRPr="00181ABB">
        <w:tab/>
      </w:r>
      <w:r w:rsidR="00435BBD">
        <w:t xml:space="preserve">Therefore, </w:t>
      </w:r>
      <w:r w:rsidR="00435BBD" w:rsidRPr="003B7BF1">
        <w:t xml:space="preserve">the </w:t>
      </w:r>
      <w:r w:rsidR="00456BC4" w:rsidRPr="003B7BF1">
        <w:t xml:space="preserve">marriage </w:t>
      </w:r>
      <w:r w:rsidR="00435BBD" w:rsidRPr="003B7BF1">
        <w:t xml:space="preserve">relationship and the situation of material and spiritual communion that naturally follows from it can be evaluated by the </w:t>
      </w:r>
      <w:r w:rsidR="00BB2BC9" w:rsidRPr="003B7BF1">
        <w:t>a</w:t>
      </w:r>
      <w:r w:rsidR="00435BBD" w:rsidRPr="003B7BF1">
        <w:t>dministration</w:t>
      </w:r>
      <w:r w:rsidR="00BB2BC9" w:rsidRPr="003B7BF1">
        <w:t xml:space="preserve"> in the exercise of discretionary powers in order to protect the superior interest in the public order and security</w:t>
      </w:r>
      <w:r w:rsidR="00456BC4" w:rsidRPr="003B7BF1">
        <w:t xml:space="preserve">, </w:t>
      </w:r>
      <w:r w:rsidR="00BB2BC9" w:rsidRPr="003B7BF1">
        <w:t xml:space="preserve">in order to deny Italian citizenship to the wife of a person considered </w:t>
      </w:r>
      <w:r w:rsidR="00FA11B9" w:rsidRPr="003B7BF1">
        <w:t>near and “contiguous” to movements and groups “having incompatible purposes” with the peaceful and free civil coexistence in the territory of the Republic.</w:t>
      </w:r>
      <w:r w:rsidR="006B081A" w:rsidRPr="003B7BF1">
        <w:t xml:space="preserve"> </w:t>
      </w:r>
      <w:r w:rsidR="00BA19ED" w:rsidRPr="003B7BF1">
        <w:t xml:space="preserve">On the other hand, the particular caution in </w:t>
      </w:r>
      <w:r w:rsidR="00456BC4" w:rsidRPr="003B7BF1">
        <w:t xml:space="preserve">exercise of </w:t>
      </w:r>
      <w:r w:rsidR="00BA19ED" w:rsidRPr="003B7BF1">
        <w:t>preventive and precautionary function</w:t>
      </w:r>
      <w:r w:rsidR="00456BC4" w:rsidRPr="003B7BF1">
        <w:t>,</w:t>
      </w:r>
      <w:r w:rsidR="00BA19ED" w:rsidRPr="003B7BF1">
        <w:t xml:space="preserve"> which must inspire the evaluation of an application for granting citizenship, is balanced by the possibility of reiterating the application when the objective conditions underlying the original negative outcome have changed or</w:t>
      </w:r>
      <w:r w:rsidR="00456BC4" w:rsidRPr="003B7BF1">
        <w:t xml:space="preserve"> </w:t>
      </w:r>
      <w:r w:rsidR="00BA19ED" w:rsidRPr="003B7BF1">
        <w:t>more generally, in order to obtain re-evaluation by the administration, after five years from the initial assessment.</w:t>
      </w:r>
      <w:r w:rsidR="00EC3D1F" w:rsidRPr="003B7BF1">
        <w:rPr>
          <w:rStyle w:val="FootnoteReference"/>
        </w:rPr>
        <w:footnoteReference w:id="11"/>
      </w:r>
      <w:r w:rsidR="00BA19ED">
        <w:t xml:space="preserve"> </w:t>
      </w:r>
      <w:r w:rsidR="00987FFB" w:rsidRPr="003B7BF1">
        <w:t xml:space="preserve">Finally, the </w:t>
      </w:r>
      <w:r w:rsidR="00BE64FD" w:rsidRPr="003B7BF1">
        <w:t>State party submits that the author could enjoy available and effective domestic remedies</w:t>
      </w:r>
      <w:r w:rsidR="005B7133" w:rsidRPr="003B7BF1">
        <w:t xml:space="preserve"> against the decision rejecting her application, </w:t>
      </w:r>
      <w:r w:rsidR="00BE64FD" w:rsidRPr="003B7BF1">
        <w:t xml:space="preserve">and that there was no denial </w:t>
      </w:r>
      <w:r w:rsidR="005B7133" w:rsidRPr="003B7BF1">
        <w:t>of justice in her case.</w:t>
      </w:r>
      <w:r w:rsidR="005B7133">
        <w:t xml:space="preserve"> </w:t>
      </w:r>
      <w:r w:rsidR="00BE64FD">
        <w:t xml:space="preserve"> </w:t>
      </w:r>
      <w:r w:rsidR="00BA19ED">
        <w:t xml:space="preserve"> </w:t>
      </w:r>
      <w:r w:rsidR="00FA11B9">
        <w:t xml:space="preserve"> </w:t>
      </w:r>
      <w:r w:rsidR="00435BBD">
        <w:t xml:space="preserve">   </w:t>
      </w:r>
      <w:r w:rsidRPr="00181ABB">
        <w:t xml:space="preserve"> </w:t>
      </w:r>
    </w:p>
    <w:p w14:paraId="51B02102" w14:textId="05743BCA" w:rsidR="00690476" w:rsidRDefault="00323B4A" w:rsidP="00DD64F9">
      <w:pPr>
        <w:pStyle w:val="SingleTxtG"/>
      </w:pPr>
      <w:r>
        <w:t>4.11</w:t>
      </w:r>
      <w:r w:rsidR="00DD64F9" w:rsidRPr="00181ABB">
        <w:tab/>
      </w:r>
      <w:r w:rsidR="00DD64F9" w:rsidRPr="003B7BF1">
        <w:t xml:space="preserve">Based on the above, the State party requests the Committee to declare the </w:t>
      </w:r>
      <w:r w:rsidR="00456BC4" w:rsidRPr="003B7BF1">
        <w:t xml:space="preserve">author’s </w:t>
      </w:r>
      <w:r w:rsidR="00DD64F9" w:rsidRPr="003B7BF1">
        <w:t>complaint inadmissible</w:t>
      </w:r>
      <w:r w:rsidR="00456BC4" w:rsidRPr="003B7BF1">
        <w:t xml:space="preserve">, </w:t>
      </w:r>
      <w:r w:rsidRPr="003B7BF1">
        <w:t>due to non-exhaustion of available domestic remedies and lack of sufficient substantiation, or alternatively without merits</w:t>
      </w:r>
      <w:r w:rsidR="00DD64F9" w:rsidRPr="003B7BF1">
        <w:t>.</w:t>
      </w:r>
      <w:r>
        <w:t xml:space="preserve"> </w:t>
      </w:r>
      <w:r w:rsidR="00550B64">
        <w:t xml:space="preserve"> </w:t>
      </w:r>
    </w:p>
    <w:p w14:paraId="093279E8" w14:textId="1228DF97" w:rsidR="006D07F0" w:rsidRPr="006D07F0" w:rsidRDefault="000639F7" w:rsidP="000639F7">
      <w:pPr>
        <w:pStyle w:val="H23G"/>
      </w:pPr>
      <w:r>
        <w:lastRenderedPageBreak/>
        <w:tab/>
      </w:r>
      <w:r>
        <w:tab/>
      </w:r>
      <w:r w:rsidR="006D07F0" w:rsidRPr="006D07F0">
        <w:t>Author’s comments on the State party’s observations</w:t>
      </w:r>
    </w:p>
    <w:p w14:paraId="742A1470" w14:textId="3AC0B0F2" w:rsidR="006D07F0" w:rsidRDefault="00653FDF" w:rsidP="00A35F6F">
      <w:pPr>
        <w:pStyle w:val="SingleTxtG"/>
      </w:pPr>
      <w:r w:rsidRPr="00585EA8">
        <w:tab/>
      </w:r>
      <w:r w:rsidR="006D07F0">
        <w:t>5.1</w:t>
      </w:r>
      <w:r w:rsidR="006D07F0">
        <w:tab/>
      </w:r>
      <w:r w:rsidR="006D07F0" w:rsidRPr="00B62200">
        <w:t>On 13 November 2019, the author submitted comments on</w:t>
      </w:r>
      <w:r w:rsidR="0054448A" w:rsidRPr="00B62200">
        <w:t xml:space="preserve"> the State party’s observations of </w:t>
      </w:r>
      <w:r w:rsidR="006D07F0" w:rsidRPr="00B62200">
        <w:t>9 October 2019</w:t>
      </w:r>
      <w:r w:rsidR="0054448A" w:rsidRPr="00B62200">
        <w:t xml:space="preserve">, </w:t>
      </w:r>
      <w:r w:rsidR="006D07F0" w:rsidRPr="00B62200">
        <w:t xml:space="preserve">arguing that no new information </w:t>
      </w:r>
      <w:r w:rsidR="0054448A" w:rsidRPr="00B62200">
        <w:t xml:space="preserve">in regard to </w:t>
      </w:r>
      <w:r w:rsidR="006D07F0" w:rsidRPr="00B62200">
        <w:t xml:space="preserve">the author’s complaint have been provided by the State party. </w:t>
      </w:r>
      <w:r w:rsidR="0054448A" w:rsidRPr="00B62200">
        <w:t xml:space="preserve">Instead, the </w:t>
      </w:r>
      <w:r w:rsidR="00772C93" w:rsidRPr="00B62200">
        <w:t xml:space="preserve">observations can be considered as a concession of </w:t>
      </w:r>
      <w:r w:rsidR="0054448A" w:rsidRPr="00B62200">
        <w:t xml:space="preserve">the </w:t>
      </w:r>
      <w:r w:rsidR="00772C93" w:rsidRPr="00B62200">
        <w:t>violations alleged.</w:t>
      </w:r>
      <w:r w:rsidR="00772C93">
        <w:t xml:space="preserve"> </w:t>
      </w:r>
    </w:p>
    <w:p w14:paraId="259E8090" w14:textId="08917B0A" w:rsidR="00A36347" w:rsidRDefault="00772C93" w:rsidP="00A35F6F">
      <w:pPr>
        <w:pStyle w:val="SingleTxtG"/>
      </w:pPr>
      <w:r>
        <w:t>5.2</w:t>
      </w:r>
      <w:r>
        <w:tab/>
      </w:r>
      <w:r w:rsidR="00A36347">
        <w:t xml:space="preserve">The author’s initial communication of 2 May 2018 </w:t>
      </w:r>
      <w:r w:rsidR="00624043">
        <w:t xml:space="preserve">can </w:t>
      </w:r>
      <w:r w:rsidR="00A36347">
        <w:t>demonstrate the violations of article 5(2)(b) of the Optional Protocol</w:t>
      </w:r>
      <w:r w:rsidR="00624043">
        <w:t xml:space="preserve"> and of </w:t>
      </w:r>
      <w:r w:rsidR="00A36347">
        <w:t xml:space="preserve">article 17 of the Covenant, as complemented </w:t>
      </w:r>
      <w:r w:rsidR="00624043">
        <w:t xml:space="preserve">by the briefs, </w:t>
      </w:r>
      <w:r w:rsidR="00A36347">
        <w:t xml:space="preserve">dated 9 June 2018 and 21 November 2018, which </w:t>
      </w:r>
      <w:r w:rsidR="00624043">
        <w:t xml:space="preserve">support the allegations by the author of a </w:t>
      </w:r>
      <w:r w:rsidR="00A36347">
        <w:t xml:space="preserve">violation of her rights under articles 17 and 26 of the Covenant. </w:t>
      </w:r>
    </w:p>
    <w:p w14:paraId="0408E116" w14:textId="4F15A7BB" w:rsidR="00460AA4" w:rsidRDefault="00A36347" w:rsidP="00E12FF3">
      <w:pPr>
        <w:pStyle w:val="SingleTxtG"/>
      </w:pPr>
      <w:r>
        <w:t>5.3</w:t>
      </w:r>
      <w:r>
        <w:tab/>
        <w:t xml:space="preserve"> </w:t>
      </w:r>
      <w:r w:rsidRPr="00B62200">
        <w:t>Firstly, the author re</w:t>
      </w:r>
      <w:r w:rsidR="00E12FF3" w:rsidRPr="00B62200">
        <w:t xml:space="preserve">iterates </w:t>
      </w:r>
      <w:r w:rsidRPr="00B62200">
        <w:t>that the proceeding</w:t>
      </w:r>
      <w:r w:rsidR="003C5359">
        <w:t>s</w:t>
      </w:r>
      <w:r w:rsidRPr="00B62200">
        <w:t xml:space="preserve"> on </w:t>
      </w:r>
      <w:r w:rsidR="00E12FF3" w:rsidRPr="00B62200">
        <w:t xml:space="preserve">the </w:t>
      </w:r>
      <w:r w:rsidRPr="00B62200">
        <w:t xml:space="preserve">appeal against the rejection of </w:t>
      </w:r>
      <w:r w:rsidR="00E12FF3" w:rsidRPr="00B62200">
        <w:t xml:space="preserve">her </w:t>
      </w:r>
      <w:r w:rsidRPr="00B62200">
        <w:t>application for citizenship ha</w:t>
      </w:r>
      <w:r w:rsidR="00E12FF3" w:rsidRPr="00B62200">
        <w:t xml:space="preserve">ve </w:t>
      </w:r>
      <w:r w:rsidRPr="00B62200">
        <w:t xml:space="preserve">been unreasonably prolonged, and that </w:t>
      </w:r>
      <w:r w:rsidR="00E12FF3" w:rsidRPr="00B62200">
        <w:t xml:space="preserve">following </w:t>
      </w:r>
      <w:r w:rsidRPr="00B62200">
        <w:t xml:space="preserve">the three reminders for urgent decision, the Tribunal responded that it cannot accelerate the proceedings </w:t>
      </w:r>
      <w:r w:rsidR="00E12FF3" w:rsidRPr="00B62200">
        <w:t xml:space="preserve">since </w:t>
      </w:r>
      <w:r w:rsidRPr="00B62200">
        <w:t xml:space="preserve">cases are </w:t>
      </w:r>
      <w:r w:rsidR="00E12FF3" w:rsidRPr="00B62200">
        <w:t xml:space="preserve">considered </w:t>
      </w:r>
      <w:r w:rsidRPr="00B62200">
        <w:t>in chronological order</w:t>
      </w:r>
      <w:r w:rsidR="00B62200" w:rsidRPr="00B62200">
        <w:t xml:space="preserve">. </w:t>
      </w:r>
      <w:r w:rsidRPr="00B62200">
        <w:t xml:space="preserve">The </w:t>
      </w:r>
      <w:r w:rsidR="00E12FF3" w:rsidRPr="00B62200">
        <w:t xml:space="preserve">author holds that the </w:t>
      </w:r>
      <w:r w:rsidR="00B62200" w:rsidRPr="00B62200">
        <w:t xml:space="preserve">Administrative </w:t>
      </w:r>
      <w:r w:rsidRPr="00B62200">
        <w:t>Tribunal would not be able to observe a statutory limit of three years for its decision at first instance</w:t>
      </w:r>
      <w:r w:rsidR="004028FD" w:rsidRPr="00B62200">
        <w:t xml:space="preserve"> (expiring on 30 December 2019)</w:t>
      </w:r>
      <w:r w:rsidRPr="00B62200">
        <w:t>.</w:t>
      </w:r>
      <w:r w:rsidR="00E12FF3" w:rsidRPr="00B62200">
        <w:t xml:space="preserve"> </w:t>
      </w:r>
      <w:r w:rsidRPr="00B62200">
        <w:t xml:space="preserve">The author </w:t>
      </w:r>
      <w:r w:rsidR="00E12FF3" w:rsidRPr="00B62200">
        <w:t xml:space="preserve">recalls </w:t>
      </w:r>
      <w:r w:rsidR="00460AA4" w:rsidRPr="00B62200">
        <w:t xml:space="preserve">that she has suffered discrimination as </w:t>
      </w:r>
      <w:r w:rsidR="00E12FF3" w:rsidRPr="00B62200">
        <w:t xml:space="preserve">the </w:t>
      </w:r>
      <w:r w:rsidR="00460AA4" w:rsidRPr="00B62200">
        <w:t xml:space="preserve">right to have her matter adjudicated in a reasonable time </w:t>
      </w:r>
      <w:r w:rsidR="00B62200" w:rsidRPr="00B62200">
        <w:t xml:space="preserve">has not been </w:t>
      </w:r>
      <w:r w:rsidR="00460AA4" w:rsidRPr="00B62200">
        <w:t>respected.</w:t>
      </w:r>
      <w:r w:rsidR="00460AA4">
        <w:t xml:space="preserve"> </w:t>
      </w:r>
    </w:p>
    <w:p w14:paraId="592B9705" w14:textId="4EFFF4F7" w:rsidR="00460AA4" w:rsidRDefault="000C6D4C" w:rsidP="00A35F6F">
      <w:pPr>
        <w:pStyle w:val="SingleTxtG"/>
      </w:pPr>
      <w:r>
        <w:t>5.4</w:t>
      </w:r>
      <w:r w:rsidR="00460AA4">
        <w:tab/>
      </w:r>
      <w:r w:rsidR="00460AA4" w:rsidRPr="001F321C">
        <w:t xml:space="preserve">As regards her claims under articles 17 and 26 of the Covenant, the author reiterates that she was judged for the circumstances concerning her husband, which is discriminatory.  </w:t>
      </w:r>
      <w:r w:rsidRPr="001F321C">
        <w:t xml:space="preserve">Not considering her own circumstances has also amounted to </w:t>
      </w:r>
      <w:r w:rsidR="00460AA4" w:rsidRPr="001F321C">
        <w:t xml:space="preserve">a violation of </w:t>
      </w:r>
      <w:r w:rsidRPr="001F321C">
        <w:t xml:space="preserve">the right to </w:t>
      </w:r>
      <w:r w:rsidR="001F321C" w:rsidRPr="001F321C">
        <w:t xml:space="preserve">a </w:t>
      </w:r>
      <w:r w:rsidRPr="001F321C">
        <w:t xml:space="preserve">respect for </w:t>
      </w:r>
      <w:r w:rsidR="00460AA4" w:rsidRPr="001F321C">
        <w:t>private and family life</w:t>
      </w:r>
      <w:r w:rsidRPr="001F321C">
        <w:t>.</w:t>
      </w:r>
      <w:r>
        <w:t xml:space="preserve"> </w:t>
      </w:r>
      <w:r w:rsidR="00460AA4">
        <w:t xml:space="preserve"> </w:t>
      </w:r>
    </w:p>
    <w:p w14:paraId="2B6743AF" w14:textId="138180CD" w:rsidR="00772C93" w:rsidRDefault="00460AA4" w:rsidP="00A35F6F">
      <w:pPr>
        <w:pStyle w:val="SingleTxtG"/>
      </w:pPr>
      <w:r>
        <w:t>5.</w:t>
      </w:r>
      <w:r w:rsidR="000C6D4C">
        <w:t>5</w:t>
      </w:r>
      <w:r>
        <w:tab/>
      </w:r>
      <w:r w:rsidRPr="001F321C">
        <w:t xml:space="preserve">The author objects to false assumptions on account of her husband, with negative consequences </w:t>
      </w:r>
      <w:r w:rsidR="00BA1CB0" w:rsidRPr="001F321C">
        <w:t xml:space="preserve">for </w:t>
      </w:r>
      <w:r w:rsidRPr="001F321C">
        <w:t>the author, who argues that such “false link” between the married couple was disapproved by the Italian Constitutional Court, which rule</w:t>
      </w:r>
      <w:r w:rsidR="00926372" w:rsidRPr="001F321C">
        <w:t>d</w:t>
      </w:r>
      <w:r w:rsidRPr="001F321C">
        <w:t xml:space="preserve"> in its judgment no. </w:t>
      </w:r>
      <w:r w:rsidR="00926372" w:rsidRPr="001F321C">
        <w:t xml:space="preserve">78/2019 that wife and husband are not relatives as they are not linked as relatives. </w:t>
      </w:r>
      <w:r w:rsidR="00083C6A" w:rsidRPr="001F321C">
        <w:t>This principle disapproves the “false and unfounded” assertion by which the Administration judged the author by means of her husband. On 29 October 2019, the author requested the Administration for a new evaluation of the denial of her application for citizenship, but no answer has been provided. The author finally denounces the State party’s references to the upsurge of terrorism, which she finds offending, and requests an apology.</w:t>
      </w:r>
      <w:r w:rsidR="00083C6A">
        <w:t xml:space="preserve">        </w:t>
      </w:r>
      <w:r w:rsidR="00926372">
        <w:t xml:space="preserve">  </w:t>
      </w:r>
      <w:r>
        <w:t xml:space="preserve">  </w:t>
      </w:r>
      <w:r w:rsidR="00A36347">
        <w:t xml:space="preserve"> </w:t>
      </w:r>
    </w:p>
    <w:p w14:paraId="2B521E86" w14:textId="19151EE3" w:rsidR="008A7855" w:rsidRDefault="000639F7" w:rsidP="000639F7">
      <w:pPr>
        <w:pStyle w:val="H23G"/>
      </w:pPr>
      <w:r>
        <w:tab/>
      </w:r>
      <w:r>
        <w:tab/>
      </w:r>
      <w:r w:rsidR="008A7855" w:rsidRPr="008A7855">
        <w:t>State party’s additional observations</w:t>
      </w:r>
    </w:p>
    <w:p w14:paraId="36828C1D" w14:textId="50D50805" w:rsidR="00F54D10" w:rsidRDefault="00515499" w:rsidP="00A35F6F">
      <w:pPr>
        <w:pStyle w:val="SingleTxtG"/>
      </w:pPr>
      <w:r>
        <w:t>6.1</w:t>
      </w:r>
      <w:r>
        <w:tab/>
      </w:r>
      <w:r w:rsidR="008A7855" w:rsidRPr="003A4A3A">
        <w:t xml:space="preserve">On 9 November 2020, the State party </w:t>
      </w:r>
      <w:r w:rsidR="00703F1D" w:rsidRPr="003A4A3A">
        <w:t xml:space="preserve">recalled its previous observations, dated 9 October 2019, </w:t>
      </w:r>
      <w:r w:rsidR="00A04479" w:rsidRPr="003A4A3A">
        <w:t xml:space="preserve">reiterating that </w:t>
      </w:r>
      <w:r w:rsidR="008A7855" w:rsidRPr="003A4A3A">
        <w:t>the author could enjoy domestic remedies</w:t>
      </w:r>
      <w:r w:rsidR="003A4A3A" w:rsidRPr="003A4A3A">
        <w:t>,</w:t>
      </w:r>
      <w:r w:rsidR="008A7855" w:rsidRPr="003A4A3A">
        <w:t xml:space="preserve"> which were both available and effective.</w:t>
      </w:r>
      <w:r w:rsidR="00703F1D">
        <w:t xml:space="preserve"> </w:t>
      </w:r>
    </w:p>
    <w:p w14:paraId="7CD6605D" w14:textId="6E5B126A" w:rsidR="008A7855" w:rsidRPr="00AC0D37" w:rsidRDefault="00515499" w:rsidP="00AC0D37">
      <w:pPr>
        <w:pStyle w:val="SingleTxtG"/>
      </w:pPr>
      <w:r>
        <w:t>6.2</w:t>
      </w:r>
      <w:r>
        <w:tab/>
      </w:r>
      <w:r w:rsidR="00F54D10">
        <w:t>From a judicial standpoint, the author</w:t>
      </w:r>
      <w:r w:rsidR="00AC0D37">
        <w:t xml:space="preserve"> submitted an </w:t>
      </w:r>
      <w:r w:rsidR="00F54D10">
        <w:t xml:space="preserve">appeal </w:t>
      </w:r>
      <w:r w:rsidR="00BB2727" w:rsidRPr="00BB2727">
        <w:t xml:space="preserve">(NRG 15655/2016) </w:t>
      </w:r>
      <w:r w:rsidR="00AC0D37">
        <w:t xml:space="preserve">on </w:t>
      </w:r>
      <w:r w:rsidR="00F54D10">
        <w:t xml:space="preserve">30 December 2016 </w:t>
      </w:r>
      <w:r w:rsidR="00AC0D37">
        <w:t xml:space="preserve">to the </w:t>
      </w:r>
      <w:r w:rsidR="00AC0D37" w:rsidRPr="00AC0D37">
        <w:t>Administrative Tribunal</w:t>
      </w:r>
      <w:r w:rsidR="00AC0D37">
        <w:t xml:space="preserve">, which was assigned to its </w:t>
      </w:r>
      <w:r w:rsidR="00BB2727">
        <w:t>S</w:t>
      </w:r>
      <w:r w:rsidR="00AC0D37">
        <w:t xml:space="preserve">ection </w:t>
      </w:r>
      <w:r w:rsidR="00BB2727">
        <w:t>P</w:t>
      </w:r>
      <w:r w:rsidR="00AC0D37">
        <w:t>rima</w:t>
      </w:r>
      <w:r w:rsidR="00BB2727">
        <w:t>-</w:t>
      </w:r>
      <w:proofErr w:type="spellStart"/>
      <w:r w:rsidR="00AC0D37">
        <w:t>ter</w:t>
      </w:r>
      <w:proofErr w:type="spellEnd"/>
      <w:r w:rsidR="00AC0D37">
        <w:t xml:space="preserve"> </w:t>
      </w:r>
      <w:r w:rsidR="00AC0D37" w:rsidRPr="003A4A3A">
        <w:t>on 16 January 2017.</w:t>
      </w:r>
      <w:r w:rsidR="0097386F">
        <w:t xml:space="preserve"> </w:t>
      </w:r>
      <w:r w:rsidR="0097386F" w:rsidRPr="003A4A3A">
        <w:t xml:space="preserve">The author requested the annulment of the decision of the Ministry of </w:t>
      </w:r>
      <w:r w:rsidR="00BB2727" w:rsidRPr="003A4A3A">
        <w:t xml:space="preserve">Internal Affairs </w:t>
      </w:r>
      <w:r w:rsidR="0097386F" w:rsidRPr="003A4A3A">
        <w:t xml:space="preserve">(K10/458855/R), dated 22 September 2016, by which the author’s application for Italian citizenship was rejected. The author’s appeal, classified as ordinary at the time of filing, </w:t>
      </w:r>
      <w:r w:rsidRPr="003A4A3A">
        <w:t xml:space="preserve">did not contain a request for precautionary measures. </w:t>
      </w:r>
      <w:r w:rsidR="003A4A3A">
        <w:t xml:space="preserve">Nonetheless, </w:t>
      </w:r>
      <w:r w:rsidR="00BB2727" w:rsidRPr="003A4A3A">
        <w:t xml:space="preserve">the appeal </w:t>
      </w:r>
      <w:r w:rsidRPr="003A4A3A">
        <w:t xml:space="preserve">challenged the </w:t>
      </w:r>
      <w:r w:rsidR="00BB2727" w:rsidRPr="003A4A3A">
        <w:t xml:space="preserve">Ministry’s </w:t>
      </w:r>
      <w:r w:rsidRPr="003A4A3A">
        <w:lastRenderedPageBreak/>
        <w:t xml:space="preserve">refusal of access to confidential information, pursuant to article 116 of the Code of the Administrative </w:t>
      </w:r>
      <w:r w:rsidR="00D54B2C" w:rsidRPr="003A4A3A">
        <w:t>Justice.</w:t>
      </w:r>
      <w:r w:rsidR="00D54B2C">
        <w:t xml:space="preserve"> </w:t>
      </w:r>
      <w:r>
        <w:t xml:space="preserve">   </w:t>
      </w:r>
      <w:r w:rsidR="0097386F">
        <w:t xml:space="preserve"> </w:t>
      </w:r>
      <w:r w:rsidR="00AC0D37">
        <w:t xml:space="preserve"> </w:t>
      </w:r>
    </w:p>
    <w:p w14:paraId="6C46A2A0" w14:textId="34E578C6" w:rsidR="00E21291" w:rsidRDefault="00515499" w:rsidP="00A35F6F">
      <w:pPr>
        <w:pStyle w:val="SingleTxtG"/>
      </w:pPr>
      <w:r>
        <w:t>6.3</w:t>
      </w:r>
      <w:r>
        <w:tab/>
      </w:r>
      <w:r w:rsidR="00AD42CD" w:rsidRPr="003A4A3A">
        <w:t xml:space="preserve">As regards </w:t>
      </w:r>
      <w:r w:rsidR="00A021AD" w:rsidRPr="003A4A3A">
        <w:t xml:space="preserve">in </w:t>
      </w:r>
      <w:r w:rsidR="00AD42CD" w:rsidRPr="003A4A3A">
        <w:t xml:space="preserve">particular </w:t>
      </w:r>
      <w:r w:rsidR="00A021AD" w:rsidRPr="003A4A3A">
        <w:t xml:space="preserve">the </w:t>
      </w:r>
      <w:r w:rsidR="00AD42CD" w:rsidRPr="003A4A3A">
        <w:t>request for access to information, a specific session of the appeals collegium was scheduled for 7 March 2017, which adopted the collegium order</w:t>
      </w:r>
      <w:r w:rsidR="0087548F" w:rsidRPr="003A4A3A">
        <w:t xml:space="preserve"> No. 3894/2017</w:t>
      </w:r>
      <w:r w:rsidR="00AD42CD" w:rsidRPr="003A4A3A">
        <w:t xml:space="preserve">, published on 24 March 2017, by which the above request was accepted only in relation to any documentation not classified as confidential or declassified, while rejecting the access to documents having confidential or secret character. At the same time, a new session was scheduled for 28 April 2017. </w:t>
      </w:r>
      <w:r w:rsidR="00561855" w:rsidRPr="003A4A3A">
        <w:t>The collegium order No. 3894/2017 was challenged before the Council of State (Section Three), which accepted the precautionary appeal by order No. 2574/2017, published on 22 June 2017.</w:t>
      </w:r>
      <w:r w:rsidR="00561855">
        <w:t xml:space="preserve"> </w:t>
      </w:r>
    </w:p>
    <w:p w14:paraId="3607B908" w14:textId="346A73A4" w:rsidR="00627B3B" w:rsidRDefault="00E21291" w:rsidP="00A35F6F">
      <w:pPr>
        <w:pStyle w:val="SingleTxtG"/>
      </w:pPr>
      <w:r>
        <w:t>6.4</w:t>
      </w:r>
      <w:r>
        <w:tab/>
      </w:r>
      <w:r w:rsidRPr="00017A08">
        <w:t xml:space="preserve">At the session held on 28 April 2017, upon request by the author’s lawyer, the </w:t>
      </w:r>
      <w:r w:rsidR="009B5219" w:rsidRPr="00017A08">
        <w:t xml:space="preserve">case was postponed to the following session scheduled for 9 May 2017, in order to examine the documentation submitted by the </w:t>
      </w:r>
      <w:r w:rsidR="004C282E" w:rsidRPr="00017A08">
        <w:t>A</w:t>
      </w:r>
      <w:r w:rsidR="009B5219" w:rsidRPr="00017A08">
        <w:t xml:space="preserve">dministration on 27 April 2017, </w:t>
      </w:r>
      <w:r w:rsidR="002514EE" w:rsidRPr="00017A08">
        <w:t xml:space="preserve">in accordance with a </w:t>
      </w:r>
      <w:r w:rsidR="009B5219" w:rsidRPr="00017A08">
        <w:t>preliminary order by the judicial authorities.</w:t>
      </w:r>
      <w:r w:rsidR="001D5D4C" w:rsidRPr="00017A08">
        <w:t xml:space="preserve"> The session of the collegium held on 9 May 2017, in the presence of other parties concerned, was postponed again at the request of the author’s counsel</w:t>
      </w:r>
      <w:r w:rsidR="00C7693E" w:rsidRPr="00017A08">
        <w:t>,</w:t>
      </w:r>
      <w:r w:rsidR="001D5D4C" w:rsidRPr="00017A08">
        <w:t xml:space="preserve"> to a date to be determined.</w:t>
      </w:r>
      <w:r w:rsidR="00C7693E" w:rsidRPr="00017A08">
        <w:t xml:space="preserve"> </w:t>
      </w:r>
      <w:r w:rsidR="00334DDE" w:rsidRPr="00017A08">
        <w:t>It can be inferred from the statement of the author’s defence of 3 May 2017, that the reason for the request for postponement was the pending appeal before the Council of State against the aforementioned collegium order No. 3894/2017, concerning the part excluding access to the confidential information by the Ministry</w:t>
      </w:r>
      <w:r w:rsidR="00017A08" w:rsidRPr="00017A08">
        <w:t>.</w:t>
      </w:r>
      <w:r w:rsidR="00017A08">
        <w:t xml:space="preserve"> </w:t>
      </w:r>
      <w:r w:rsidR="004C282E">
        <w:t xml:space="preserve"> </w:t>
      </w:r>
      <w:r w:rsidR="00334DDE">
        <w:t xml:space="preserve"> </w:t>
      </w:r>
    </w:p>
    <w:p w14:paraId="1A6B0F98" w14:textId="2B6C982E" w:rsidR="00F42F62" w:rsidRDefault="00627B3B" w:rsidP="00A35F6F">
      <w:pPr>
        <w:pStyle w:val="SingleTxtG"/>
      </w:pPr>
      <w:r>
        <w:t>6.5</w:t>
      </w:r>
      <w:r>
        <w:tab/>
      </w:r>
      <w:r w:rsidR="00311297" w:rsidRPr="00017A08">
        <w:t>On 24 January 2020, the author filed for the first time a request for collegi</w:t>
      </w:r>
      <w:r w:rsidR="00B572FC">
        <w:t>um</w:t>
      </w:r>
      <w:r w:rsidR="00311297" w:rsidRPr="00017A08">
        <w:t xml:space="preserve"> precautionary measures</w:t>
      </w:r>
      <w:r w:rsidR="004C282E" w:rsidRPr="00017A08">
        <w:t xml:space="preserve">, </w:t>
      </w:r>
      <w:r w:rsidR="00311297" w:rsidRPr="00017A08">
        <w:t xml:space="preserve">pursuant to article 55 of the Code of the Administrative </w:t>
      </w:r>
      <w:r w:rsidR="00D54B2C" w:rsidRPr="00017A08">
        <w:t>Justice</w:t>
      </w:r>
      <w:r w:rsidR="00311297" w:rsidRPr="00017A08">
        <w:t xml:space="preserve">, besides requesting a preliminary ruling by the European Court of Justice. </w:t>
      </w:r>
      <w:r w:rsidR="00F42F62" w:rsidRPr="00017A08">
        <w:t>On 21 April 2020, the collegium of judges, based on the application for precautionary measures, adopted the precautionary order no. 3060/2020, which set a public hearing for 11 January 2021</w:t>
      </w:r>
      <w:r w:rsidR="004C282E" w:rsidRPr="00017A08">
        <w:t>,</w:t>
      </w:r>
      <w:r w:rsidR="00F42F62" w:rsidRPr="00017A08">
        <w:t xml:space="preserve"> in order to deal with the merits of the </w:t>
      </w:r>
      <w:r w:rsidR="0087548F" w:rsidRPr="00017A08">
        <w:t xml:space="preserve">appeal, </w:t>
      </w:r>
      <w:r w:rsidR="00F42F62" w:rsidRPr="00017A08">
        <w:t>also taking into account the request by the author dated 24 February 2020 to match it with the merits of the suspension.</w:t>
      </w:r>
      <w:r w:rsidR="00F42F62">
        <w:t xml:space="preserve"> </w:t>
      </w:r>
    </w:p>
    <w:p w14:paraId="428B68D4" w14:textId="5084223D" w:rsidR="00AB2ECF" w:rsidRDefault="00EA31A2" w:rsidP="00A35F6F">
      <w:pPr>
        <w:pStyle w:val="SingleTxtG"/>
      </w:pPr>
      <w:r>
        <w:t>6.6</w:t>
      </w:r>
      <w:r>
        <w:tab/>
      </w:r>
      <w:r w:rsidR="00880968">
        <w:t xml:space="preserve">In the case file, there are </w:t>
      </w:r>
      <w:r w:rsidR="00880968" w:rsidRPr="00017A08">
        <w:t xml:space="preserve">four requests for urgent consideration, submitted on 13 January 2017, 31 October 2017, 10 January 2019 – </w:t>
      </w:r>
      <w:r w:rsidR="0087548F" w:rsidRPr="00017A08">
        <w:t xml:space="preserve">as </w:t>
      </w:r>
      <w:r w:rsidR="00880968" w:rsidRPr="00017A08">
        <w:t xml:space="preserve">rejected by the President of the </w:t>
      </w:r>
      <w:r w:rsidR="00017A08" w:rsidRPr="00017A08">
        <w:t xml:space="preserve">Administrative </w:t>
      </w:r>
      <w:r w:rsidR="00880968" w:rsidRPr="00017A08">
        <w:t>Tribunal for lack of capacity</w:t>
      </w:r>
      <w:r w:rsidR="003E3E70" w:rsidRPr="00017A08">
        <w:t xml:space="preserve">, and on 31 October 2019. In that context, the following facts </w:t>
      </w:r>
      <w:r w:rsidR="0087548F" w:rsidRPr="00017A08">
        <w:t xml:space="preserve">should be </w:t>
      </w:r>
      <w:r w:rsidR="003E3E70" w:rsidRPr="00017A08">
        <w:t xml:space="preserve">noted: </w:t>
      </w:r>
      <w:r w:rsidR="00D54B2C" w:rsidRPr="00017A08">
        <w:t xml:space="preserve">a) The order of the </w:t>
      </w:r>
      <w:r w:rsidR="0087548F" w:rsidRPr="00017A08">
        <w:t xml:space="preserve">appeals </w:t>
      </w:r>
      <w:r w:rsidR="00187161" w:rsidRPr="00017A08">
        <w:t>t</w:t>
      </w:r>
      <w:r w:rsidR="00D54B2C" w:rsidRPr="00017A08">
        <w:t>o be dealt with</w:t>
      </w:r>
      <w:r w:rsidR="00187161" w:rsidRPr="00017A08">
        <w:t xml:space="preserve"> </w:t>
      </w:r>
      <w:r w:rsidR="00D54B2C" w:rsidRPr="00017A08">
        <w:t>is determined by the chronological order</w:t>
      </w:r>
      <w:r w:rsidR="00187161" w:rsidRPr="00017A08">
        <w:t>,</w:t>
      </w:r>
      <w:r w:rsidR="00187161" w:rsidRPr="00017A08">
        <w:rPr>
          <w:rStyle w:val="FootnoteReference"/>
        </w:rPr>
        <w:footnoteReference w:id="12"/>
      </w:r>
      <w:r w:rsidR="00D54B2C">
        <w:t xml:space="preserve"> </w:t>
      </w:r>
      <w:r w:rsidR="0087548F">
        <w:t xml:space="preserve">while </w:t>
      </w:r>
      <w:r w:rsidR="00D54B2C">
        <w:t>observ</w:t>
      </w:r>
      <w:r w:rsidR="0087548F">
        <w:t xml:space="preserve">ing </w:t>
      </w:r>
      <w:r w:rsidR="00D54B2C">
        <w:t xml:space="preserve">the limits of the workload of magistrates, as </w:t>
      </w:r>
      <w:r w:rsidR="00D54B2C" w:rsidRPr="00017A08">
        <w:t>established by the Council of Presidents of Administrative Justice</w:t>
      </w:r>
      <w:r w:rsidR="002E29BD" w:rsidRPr="00017A08">
        <w:t xml:space="preserve">; b) For the type of litigation at hand, the </w:t>
      </w:r>
      <w:r w:rsidR="00017A08">
        <w:t xml:space="preserve">Administrative </w:t>
      </w:r>
      <w:r w:rsidR="0087548F" w:rsidRPr="00017A08">
        <w:t xml:space="preserve">Tribunal does </w:t>
      </w:r>
      <w:r w:rsidR="002E29BD" w:rsidRPr="00017A08">
        <w:t xml:space="preserve">not provide for an abbreviated or accelerated proceedings, </w:t>
      </w:r>
      <w:r w:rsidR="0087548F" w:rsidRPr="00017A08">
        <w:t xml:space="preserve">and </w:t>
      </w:r>
      <w:r w:rsidR="002E29BD" w:rsidRPr="00017A08">
        <w:t xml:space="preserve">a preferential path for accelerated determination of the merits is excluded; and c) </w:t>
      </w:r>
      <w:r w:rsidR="0087548F" w:rsidRPr="00017A08">
        <w:t>T</w:t>
      </w:r>
      <w:r w:rsidR="002E29BD" w:rsidRPr="00017A08">
        <w:t>he pending appeal at the present case takes into account the time required for the preliminary assessments as requested by the author and deemed necessary by the judicial authorities, as well as the time required for the conclusion of precautionary phase of appeal proceedings, requested again by the author</w:t>
      </w:r>
      <w:r w:rsidR="0087548F" w:rsidRPr="00017A08">
        <w:t>.</w:t>
      </w:r>
      <w:r w:rsidR="00017A08">
        <w:t xml:space="preserve"> </w:t>
      </w:r>
      <w:r w:rsidR="0087548F" w:rsidRPr="00017A08">
        <w:t xml:space="preserve">There </w:t>
      </w:r>
      <w:r w:rsidR="0087548F" w:rsidRPr="00017A08">
        <w:lastRenderedPageBreak/>
        <w:t xml:space="preserve">has been a </w:t>
      </w:r>
      <w:r w:rsidR="002E29BD" w:rsidRPr="00017A08">
        <w:t>minimum delay in the proceedings, which is in the process of being concluded with the public hearing scheduled for 11 January 2021.</w:t>
      </w:r>
      <w:r w:rsidR="002E29BD">
        <w:t xml:space="preserve"> </w:t>
      </w:r>
    </w:p>
    <w:p w14:paraId="13FCF9F2" w14:textId="0421FDB1" w:rsidR="00C9732C" w:rsidRDefault="00AB2ECF" w:rsidP="00A35F6F">
      <w:pPr>
        <w:pStyle w:val="SingleTxtG"/>
      </w:pPr>
      <w:r>
        <w:t>6.7</w:t>
      </w:r>
      <w:r>
        <w:tab/>
      </w:r>
      <w:r w:rsidR="00F30A1F" w:rsidRPr="00017A08">
        <w:t>Furthermore, the State party refers to the substantial standpoint with regard to the author’s request for re-evaluation of the Minist</w:t>
      </w:r>
      <w:r w:rsidR="00740A78" w:rsidRPr="00017A08">
        <w:t xml:space="preserve">ry’s decision, </w:t>
      </w:r>
      <w:r w:rsidR="00F30A1F" w:rsidRPr="00017A08">
        <w:t xml:space="preserve">dated 22 September 2016, </w:t>
      </w:r>
      <w:r w:rsidR="00740A78" w:rsidRPr="00017A08">
        <w:t xml:space="preserve">rejecting the author’s application for </w:t>
      </w:r>
      <w:r w:rsidR="00F30A1F" w:rsidRPr="00017A08">
        <w:t>citizenship</w:t>
      </w:r>
      <w:r w:rsidR="00740A78" w:rsidRPr="00017A08">
        <w:t xml:space="preserve">, </w:t>
      </w:r>
      <w:r w:rsidR="00F707C1" w:rsidRPr="00017A08">
        <w:t>since it emerged during th</w:t>
      </w:r>
      <w:r w:rsidR="00740A78" w:rsidRPr="00017A08">
        <w:t xml:space="preserve">e examination that the author’s husband </w:t>
      </w:r>
      <w:r w:rsidR="00F707C1" w:rsidRPr="00017A08">
        <w:t>was cont</w:t>
      </w:r>
      <w:r w:rsidR="00740A78" w:rsidRPr="00017A08">
        <w:t>a</w:t>
      </w:r>
      <w:r w:rsidR="00F707C1" w:rsidRPr="00017A08">
        <w:t>g</w:t>
      </w:r>
      <w:r w:rsidR="00740A78" w:rsidRPr="00017A08">
        <w:t xml:space="preserve">ious </w:t>
      </w:r>
      <w:r w:rsidR="00F707C1" w:rsidRPr="00017A08">
        <w:t>to movements with purposes not compatible with the security of the Republic,</w:t>
      </w:r>
      <w:r w:rsidR="00740A78" w:rsidRPr="00017A08">
        <w:t xml:space="preserve"> </w:t>
      </w:r>
      <w:r w:rsidR="00F707C1" w:rsidRPr="00017A08">
        <w:t xml:space="preserve">which constitutes </w:t>
      </w:r>
      <w:r w:rsidR="00B871C7">
        <w:t>grounds for not</w:t>
      </w:r>
      <w:r w:rsidR="00F707C1" w:rsidRPr="00017A08">
        <w:t xml:space="preserve"> granting </w:t>
      </w:r>
      <w:r w:rsidR="00B871C7">
        <w:t>the</w:t>
      </w:r>
      <w:r w:rsidR="00647EE2">
        <w:t xml:space="preserve"> </w:t>
      </w:r>
      <w:r w:rsidR="00F707C1" w:rsidRPr="00017A08">
        <w:t xml:space="preserve">Italian citizenship. </w:t>
      </w:r>
      <w:r w:rsidR="00740A78" w:rsidRPr="00017A08">
        <w:t xml:space="preserve">The </w:t>
      </w:r>
      <w:r w:rsidR="00F707C1" w:rsidRPr="00017A08">
        <w:t>author request</w:t>
      </w:r>
      <w:r w:rsidR="00740A78" w:rsidRPr="00017A08">
        <w:t xml:space="preserve">ed </w:t>
      </w:r>
      <w:r w:rsidR="00F707C1" w:rsidRPr="00017A08">
        <w:t>the review of the negative decision on two grounds: First, the assumption of the existence of a parental relationship between the author and her husband, on the basis of which the person concerned would have been judged, is erroneous. Second, the author complains that the conduct of the Administration resulted in her discrimination in violation of article 3 of the Constitution, articles 8 and 14 of the European Convention on Human Rights, article 1 of the Protocol no. 12 to the European Convention, and article 17 of the Covenant.</w:t>
      </w:r>
      <w:r w:rsidR="0056354C">
        <w:t xml:space="preserve"> </w:t>
      </w:r>
    </w:p>
    <w:p w14:paraId="1F154692" w14:textId="2CA16605" w:rsidR="00094959" w:rsidRDefault="00C9732C" w:rsidP="00A35F6F">
      <w:pPr>
        <w:pStyle w:val="SingleTxtG"/>
      </w:pPr>
      <w:r>
        <w:t>6.8</w:t>
      </w:r>
      <w:r>
        <w:tab/>
      </w:r>
      <w:r w:rsidR="00B30813" w:rsidRPr="00BD105F">
        <w:t xml:space="preserve">The </w:t>
      </w:r>
      <w:r w:rsidRPr="00BD105F">
        <w:t xml:space="preserve">State party </w:t>
      </w:r>
      <w:r w:rsidR="00B30813" w:rsidRPr="00BD105F">
        <w:t xml:space="preserve">also </w:t>
      </w:r>
      <w:r w:rsidRPr="00BD105F">
        <w:t>recalls the constant jurisprudence of</w:t>
      </w:r>
      <w:r w:rsidR="00B30813" w:rsidRPr="00BD105F">
        <w:t xml:space="preserve"> national </w:t>
      </w:r>
      <w:r w:rsidRPr="00BD105F">
        <w:t xml:space="preserve">courts, according to which Italian citizenship </w:t>
      </w:r>
      <w:r w:rsidR="00B871C7">
        <w:t xml:space="preserve">is not </w:t>
      </w:r>
      <w:r w:rsidR="00FF473F">
        <w:t>automatically granted even if</w:t>
      </w:r>
      <w:r w:rsidR="00B871C7">
        <w:t xml:space="preserve"> requirements are met and there are no impeding factors. </w:t>
      </w:r>
      <w:r w:rsidR="00647EE2">
        <w:t xml:space="preserve">There is no right as such to be granted citizenship. </w:t>
      </w:r>
      <w:r w:rsidR="00D27478" w:rsidRPr="00BD105F">
        <w:t xml:space="preserve">This process </w:t>
      </w:r>
      <w:r w:rsidRPr="00BD105F">
        <w:t>is the result of a meticulous weighing of every useful element, to assess the existence of a concrete public interest in receiving permanently a new member within the State-community.</w:t>
      </w:r>
      <w:r>
        <w:t xml:space="preserve"> </w:t>
      </w:r>
      <w:r w:rsidR="008368BA">
        <w:t xml:space="preserve">From this </w:t>
      </w:r>
      <w:r w:rsidR="00D27478">
        <w:t xml:space="preserve">perspective, </w:t>
      </w:r>
      <w:r w:rsidR="008368BA">
        <w:t xml:space="preserve">in considering the </w:t>
      </w:r>
      <w:r w:rsidR="008368BA" w:rsidRPr="00BD105F">
        <w:t xml:space="preserve">applications for the granting of Italian citizenship by residence, the Administration is granted a largely discretionary power of assessment, within the general normative framework, in accordance with </w:t>
      </w:r>
      <w:r w:rsidR="00D27478" w:rsidRPr="00BD105F">
        <w:t xml:space="preserve">the </w:t>
      </w:r>
      <w:r w:rsidR="008368BA" w:rsidRPr="00BD105F">
        <w:t xml:space="preserve">Act No. 91/1992. </w:t>
      </w:r>
      <w:r w:rsidR="00094959" w:rsidRPr="00BD105F">
        <w:t xml:space="preserve">This assessment cannot be based exclusively on the fulfilment of the requirements provided for by law, such as the presence of the foreigner in the territory for the number of years prescribed by law or the verification that the foreigner has a permanent occupation and sufficient income. It must take into consideration a number of further elements, on the basis of which it can be deduced whether or not a foreigner should be permanently included in the </w:t>
      </w:r>
      <w:r w:rsidR="00F122C9" w:rsidRPr="00BD105F">
        <w:t xml:space="preserve">community of </w:t>
      </w:r>
      <w:r w:rsidR="00094959" w:rsidRPr="00BD105F">
        <w:t>national</w:t>
      </w:r>
      <w:r w:rsidR="00F122C9" w:rsidRPr="00BD105F">
        <w:t xml:space="preserve">s. </w:t>
      </w:r>
      <w:r w:rsidR="00094959">
        <w:t xml:space="preserve"> </w:t>
      </w:r>
    </w:p>
    <w:p w14:paraId="115304C6" w14:textId="39F1AEC2" w:rsidR="00FD073C" w:rsidRDefault="00094959" w:rsidP="00A35F6F">
      <w:pPr>
        <w:pStyle w:val="SingleTxtG"/>
      </w:pPr>
      <w:r>
        <w:t>6.9</w:t>
      </w:r>
      <w:r>
        <w:tab/>
      </w:r>
      <w:r w:rsidR="00B30813" w:rsidRPr="00BD105F">
        <w:t xml:space="preserve">The degree of assimilation and integration that a foreigner aspiring for </w:t>
      </w:r>
      <w:r w:rsidR="00B30813" w:rsidRPr="00BD105F">
        <w:rPr>
          <w:i/>
        </w:rPr>
        <w:t xml:space="preserve">status </w:t>
      </w:r>
      <w:proofErr w:type="spellStart"/>
      <w:r w:rsidR="00B30813" w:rsidRPr="00BD105F">
        <w:rPr>
          <w:i/>
        </w:rPr>
        <w:t>civitatis</w:t>
      </w:r>
      <w:proofErr w:type="spellEnd"/>
      <w:r w:rsidR="00B30813" w:rsidRPr="00BD105F">
        <w:t xml:space="preserve"> of Italy must demonstrate can be inferred from compliance with the rules of criminal law and, a fortiori, from respect for the principles of state security. The complex procedure for the evaluation of applications for the granting of citizenship considers as an essential step the acquisition of information from security organs and bodies, institutionally competent to verify the existence of elements pertaining to the security of the Republic. </w:t>
      </w:r>
      <w:r w:rsidR="00170EC0" w:rsidRPr="00BD105F">
        <w:t>The need to guarantee the primary good of the security of the Republic, which is certainly a higher interest than the one of the foreigner in obtaining Italian citizenship, presupposes that</w:t>
      </w:r>
      <w:r w:rsidR="00170EC0">
        <w:t xml:space="preserve"> “</w:t>
      </w:r>
      <w:r w:rsidR="00170EC0" w:rsidRPr="00B303D4">
        <w:t xml:space="preserve">no doubt, no shadow of the applicant’s unreliability exists, </w:t>
      </w:r>
      <w:r w:rsidR="004929F6" w:rsidRPr="00B303D4">
        <w:t xml:space="preserve">including </w:t>
      </w:r>
      <w:r w:rsidR="00170EC0" w:rsidRPr="00B303D4">
        <w:t xml:space="preserve">even </w:t>
      </w:r>
      <w:r w:rsidR="004929F6" w:rsidRPr="00B303D4">
        <w:t xml:space="preserve">its </w:t>
      </w:r>
      <w:r w:rsidR="00170EC0" w:rsidRPr="00B303D4">
        <w:t>prospect</w:t>
      </w:r>
      <w:r w:rsidR="004929F6" w:rsidRPr="00B303D4">
        <w:t xml:space="preserve">s in the </w:t>
      </w:r>
      <w:r w:rsidR="00170EC0" w:rsidRPr="00B303D4">
        <w:t>future, regarding full adherence to the constitutional values on which the Italian Rep</w:t>
      </w:r>
      <w:r w:rsidR="00F122C9" w:rsidRPr="00B303D4">
        <w:t xml:space="preserve">ublic </w:t>
      </w:r>
      <w:r w:rsidR="00170EC0" w:rsidRPr="00B303D4">
        <w:t>is</w:t>
      </w:r>
      <w:r w:rsidR="00170EC0" w:rsidRPr="00B303D4">
        <w:rPr>
          <w:i/>
        </w:rPr>
        <w:t xml:space="preserve"> based</w:t>
      </w:r>
      <w:r w:rsidR="00170EC0" w:rsidRPr="00B303D4">
        <w:t>”.</w:t>
      </w:r>
      <w:r w:rsidR="00170EC0" w:rsidRPr="00B303D4">
        <w:rPr>
          <w:rStyle w:val="FootnoteReference"/>
        </w:rPr>
        <w:footnoteReference w:id="13"/>
      </w:r>
      <w:r w:rsidR="00170EC0" w:rsidRPr="00B303D4">
        <w:t xml:space="preserve"> </w:t>
      </w:r>
      <w:r w:rsidR="009C294E" w:rsidRPr="00B303D4">
        <w:t xml:space="preserve">The sensitivity of the issues under examination, including the possibility of repercussions in international relations, due to acts committed by a person holding Italian citizenship, fully justifies the use of strict parameters in ascertaining the absence of dangerousness of the applicant for citizenship. In this regard, the ruling </w:t>
      </w:r>
      <w:r w:rsidR="009C294E" w:rsidRPr="00B303D4">
        <w:lastRenderedPageBreak/>
        <w:t>of the Council of State spelled out that “it can be argued that a situation of doubt is sufficient to justify the denial…”.</w:t>
      </w:r>
      <w:r w:rsidR="009C294E">
        <w:t xml:space="preserve"> The administrative jurisprudence has constantly recognized that </w:t>
      </w:r>
      <w:r w:rsidR="009C294E" w:rsidRPr="00B303D4">
        <w:t>the concept of security of the Republic may concern even only specific relations of the foreigner and the belonging to movements that, due to extremist positions, may affect the conditions of order and public security or the sharing of values that may endanger the national community.</w:t>
      </w:r>
      <w:r w:rsidR="009C294E">
        <w:t xml:space="preserve"> </w:t>
      </w:r>
    </w:p>
    <w:p w14:paraId="2407A145" w14:textId="2745A856" w:rsidR="00422564" w:rsidRDefault="00FD073C" w:rsidP="00A35F6F">
      <w:pPr>
        <w:pStyle w:val="SingleTxtG"/>
      </w:pPr>
      <w:r>
        <w:t>6.10</w:t>
      </w:r>
      <w:r>
        <w:tab/>
      </w:r>
      <w:r w:rsidRPr="00B303D4">
        <w:t xml:space="preserve">As for the claim that the author was judged through her husband, it should be noted that the jurisprudence, by confirming the legitimacy of the administrative action, has on several occasions recognised that the </w:t>
      </w:r>
      <w:r w:rsidR="00407942" w:rsidRPr="00B303D4">
        <w:t>marital r</w:t>
      </w:r>
      <w:r w:rsidRPr="00B303D4">
        <w:t xml:space="preserve">elationship indicates the existence of a much more stable bond than those considered </w:t>
      </w:r>
      <w:r w:rsidR="00E422EB" w:rsidRPr="00B303D4">
        <w:t xml:space="preserve">adequate </w:t>
      </w:r>
      <w:r w:rsidRPr="00B303D4">
        <w:t xml:space="preserve">to support the denial </w:t>
      </w:r>
      <w:r w:rsidR="00CF3E90" w:rsidRPr="00B303D4">
        <w:t xml:space="preserve">of </w:t>
      </w:r>
      <w:r w:rsidRPr="00B303D4">
        <w:t>grant</w:t>
      </w:r>
      <w:r w:rsidR="00CF3E90" w:rsidRPr="00B303D4">
        <w:t xml:space="preserve">ing </w:t>
      </w:r>
      <w:r w:rsidRPr="00B303D4">
        <w:t>the status of citizen, as it is rooted in the family and its related emotional relationships. Because of such ties, it cannot be excluded that the family member may be induced to behave in a way that is potentially dangerous from the point of view of the security of the Republic. The relevance attributed to family ties, shared by the administrative judge also in the case of criminal convictions reported by relatives of the applicant for citizenship, is even more justified when possible risks for the security of the State are to be considered.</w:t>
      </w:r>
      <w:r>
        <w:t xml:space="preserve"> </w:t>
      </w:r>
    </w:p>
    <w:p w14:paraId="0E1E82B9" w14:textId="72494557" w:rsidR="008336C9" w:rsidRDefault="00422564" w:rsidP="00A35F6F">
      <w:pPr>
        <w:pStyle w:val="SingleTxtG"/>
      </w:pPr>
      <w:r w:rsidRPr="00B303D4">
        <w:t>6.11</w:t>
      </w:r>
      <w:r w:rsidRPr="00B303D4">
        <w:tab/>
        <w:t xml:space="preserve">Regarding the reference in the denial of </w:t>
      </w:r>
      <w:r w:rsidR="00E422EB" w:rsidRPr="00B303D4">
        <w:t xml:space="preserve">the author’s </w:t>
      </w:r>
      <w:r w:rsidRPr="00B303D4">
        <w:t>application to a family relationship, it should be noted that the inadequate qualification due to the use of a standardised formula does not detract from the legitimacy of the assessment made by the Administration, which has taken into account the possible facilitation, in light of the effective stable relationship, of the behaviour considered dangerous for the security of the Republic. The reference to the verdict of the Constitutional Court, which distinguishes between marital and family relationships, is therefore irrelevant: It is the widely understood family relationship that is used to assess, as in the present case, the conduct considered dangerous for the security of the Republic.</w:t>
      </w:r>
      <w:r>
        <w:t xml:space="preserve"> </w:t>
      </w:r>
    </w:p>
    <w:p w14:paraId="3F48C3A2" w14:textId="68F9C56B" w:rsidR="00515499" w:rsidRPr="001B47A8" w:rsidRDefault="008336C9" w:rsidP="00160DF2">
      <w:pPr>
        <w:pStyle w:val="SingleTxtG"/>
      </w:pPr>
      <w:r w:rsidRPr="00B303D4">
        <w:t>6.12</w:t>
      </w:r>
      <w:r w:rsidRPr="00B303D4">
        <w:tab/>
        <w:t>Finally, it is pointed out that the investigations carried out were not based on measures restricting freedom o</w:t>
      </w:r>
      <w:r w:rsidR="00407942" w:rsidRPr="00B303D4">
        <w:t>r</w:t>
      </w:r>
      <w:r w:rsidRPr="00B303D4">
        <w:t xml:space="preserve"> other constitutionally guaranteed rights, but gave rise to the formulation of an assessment relating to the sovereign power of the State to increase the number of its citizens. In light of the above, the accusations of discriminatory t</w:t>
      </w:r>
      <w:r w:rsidR="00407942" w:rsidRPr="00B303D4">
        <w:t>reatment by the Administration are</w:t>
      </w:r>
      <w:r w:rsidRPr="00B303D4">
        <w:t xml:space="preserve"> completely unfounded, as it instead acted in respect of the prerogatives granted and in full compliance with the principles affirmed by the administrative judge. </w:t>
      </w:r>
      <w:r w:rsidR="00D733DC" w:rsidRPr="00B303D4">
        <w:t>In fact, the Administration assesses applications for Italian citizenship without making any distinctions on the grounds of sex or any violation of the private life of the persons concerned, but with regard to the degree of integration of the foreigner: this is an assessment that necessarily involves family ties, which constitute the identity or reference context of the foreigner. The State party reiterates that the author’s claims are manifestly unfounded, or without merits</w:t>
      </w:r>
      <w:r w:rsidR="00B449AD">
        <w:t>.</w:t>
      </w:r>
      <w:r w:rsidR="00AD42CD">
        <w:t xml:space="preserve"> </w:t>
      </w:r>
    </w:p>
    <w:p w14:paraId="5DF3F8CA" w14:textId="77777777" w:rsidR="00653FDF" w:rsidRPr="00585EA8" w:rsidRDefault="00653FDF" w:rsidP="00714586">
      <w:pPr>
        <w:pStyle w:val="H23G"/>
        <w:spacing w:before="120"/>
      </w:pPr>
      <w:r w:rsidRPr="00585EA8">
        <w:tab/>
      </w:r>
      <w:r w:rsidRPr="00585EA8">
        <w:tab/>
        <w:t>Issues and proceedings before the Committee</w:t>
      </w:r>
    </w:p>
    <w:p w14:paraId="739C5770" w14:textId="77777777" w:rsidR="00653FDF" w:rsidRPr="00585EA8" w:rsidRDefault="00653FDF" w:rsidP="00714586">
      <w:pPr>
        <w:pStyle w:val="H4G"/>
        <w:spacing w:before="120"/>
      </w:pPr>
      <w:r w:rsidRPr="00585EA8">
        <w:tab/>
      </w:r>
      <w:r w:rsidRPr="00585EA8">
        <w:tab/>
        <w:t>Consideration of admissibility</w:t>
      </w:r>
    </w:p>
    <w:p w14:paraId="3BD1FF51" w14:textId="225ED758" w:rsidR="00310A8C" w:rsidRDefault="00C26467" w:rsidP="00310A8C">
      <w:pPr>
        <w:pStyle w:val="SingleTxtG"/>
      </w:pPr>
      <w:r>
        <w:t>7</w:t>
      </w:r>
      <w:r w:rsidR="00310A8C" w:rsidRPr="008C2CFB">
        <w:t>.1</w:t>
      </w:r>
      <w:r w:rsidR="00310A8C">
        <w:tab/>
        <w:t>Before considering any claim contained in a communication, the Committee must decide, in accordance with rule 9</w:t>
      </w:r>
      <w:r w:rsidR="0041564D">
        <w:t>7</w:t>
      </w:r>
      <w:r w:rsidR="00310A8C">
        <w:t xml:space="preserve"> of its rules of procedure, whether the communication is admissible under the Optional Protocol.</w:t>
      </w:r>
    </w:p>
    <w:p w14:paraId="023C8D16" w14:textId="2B7815E6" w:rsidR="00310A8C" w:rsidRDefault="00C26467" w:rsidP="00310A8C">
      <w:pPr>
        <w:pStyle w:val="SingleTxtG"/>
      </w:pPr>
      <w:r>
        <w:lastRenderedPageBreak/>
        <w:t>7</w:t>
      </w:r>
      <w:r w:rsidR="00EB4C0E">
        <w:t>.2</w:t>
      </w:r>
      <w:r w:rsidR="00310A8C">
        <w:tab/>
        <w:t xml:space="preserve">The Committee has ascertained, </w:t>
      </w:r>
      <w:r w:rsidR="00C933BE">
        <w:t>as required under article 5 (2)(a</w:t>
      </w:r>
      <w:r w:rsidR="00310A8C">
        <w:t>) of the Optional Protocol, that the same matter is not being examined under another procedure of international investigation or settlement.</w:t>
      </w:r>
    </w:p>
    <w:p w14:paraId="1BC31BC6" w14:textId="38ECE49C" w:rsidR="00A77989" w:rsidRPr="00877236" w:rsidRDefault="00C26467" w:rsidP="00877236">
      <w:pPr>
        <w:pStyle w:val="SingleTxtG"/>
      </w:pPr>
      <w:r>
        <w:t>7</w:t>
      </w:r>
      <w:r w:rsidR="00EB4C0E">
        <w:t>.3</w:t>
      </w:r>
      <w:r w:rsidR="00310A8C">
        <w:tab/>
        <w:t>The Committee recalls its jurisprudence to the effect that authors must avail themselves of all domestic remedies in order to fulfil t</w:t>
      </w:r>
      <w:r w:rsidR="00641FB1">
        <w:t>he requirement of article 5 (2)</w:t>
      </w:r>
      <w:r w:rsidR="00310A8C">
        <w:t>(b) of the Optional Protocol, insofar as such remedies appear to be effective in the given case and are de facto available to the author.</w:t>
      </w:r>
      <w:r w:rsidR="00310A8C" w:rsidRPr="009C3030">
        <w:rPr>
          <w:rStyle w:val="FootnoteReference"/>
        </w:rPr>
        <w:footnoteReference w:id="14"/>
      </w:r>
      <w:r w:rsidR="00310A8C">
        <w:t xml:space="preserve"> The Committee notes </w:t>
      </w:r>
      <w:r w:rsidR="00136017">
        <w:t xml:space="preserve">that </w:t>
      </w:r>
      <w:r w:rsidR="00310A8C">
        <w:t>the author</w:t>
      </w:r>
      <w:r w:rsidR="00E80371">
        <w:t>’s claim</w:t>
      </w:r>
      <w:r w:rsidR="00A77989">
        <w:t>s</w:t>
      </w:r>
      <w:r w:rsidR="00E80371">
        <w:t xml:space="preserve"> of </w:t>
      </w:r>
      <w:r w:rsidR="00A77989" w:rsidRPr="00A77989">
        <w:t>violat</w:t>
      </w:r>
      <w:r w:rsidR="00A77989">
        <w:t xml:space="preserve">ions of </w:t>
      </w:r>
      <w:r w:rsidR="00A77989" w:rsidRPr="00A77989">
        <w:t>her rights under articles 17 and 26 of the Covenant</w:t>
      </w:r>
      <w:r w:rsidR="00A77989">
        <w:t>,</w:t>
      </w:r>
      <w:r w:rsidR="00136017">
        <w:t xml:space="preserve"> since </w:t>
      </w:r>
      <w:r w:rsidR="00A77989" w:rsidRPr="00A77989">
        <w:t xml:space="preserve">her application </w:t>
      </w:r>
      <w:r w:rsidR="00A77989">
        <w:t xml:space="preserve">for citizenship </w:t>
      </w:r>
      <w:r w:rsidR="00A77989" w:rsidRPr="00A77989">
        <w:t>was denied on the basis of circumstances relating to her husband</w:t>
      </w:r>
      <w:r w:rsidR="00A77989">
        <w:t xml:space="preserve"> without hearing </w:t>
      </w:r>
      <w:r w:rsidR="007C369E">
        <w:t>her</w:t>
      </w:r>
      <w:r w:rsidR="00A77989">
        <w:t xml:space="preserve"> in person, and</w:t>
      </w:r>
      <w:r w:rsidR="00877236">
        <w:t xml:space="preserve"> </w:t>
      </w:r>
      <w:r w:rsidR="00A77989">
        <w:t xml:space="preserve">the appeals proceeding suffered from undue delays, have been </w:t>
      </w:r>
      <w:r w:rsidR="00E80371">
        <w:t>raised before the domestic courts</w:t>
      </w:r>
      <w:r w:rsidR="00A77989">
        <w:t xml:space="preserve">. </w:t>
      </w:r>
      <w:r w:rsidR="00571CC4">
        <w:t>In that context, the Committee observes that the author has mainly contested the facts and evidence</w:t>
      </w:r>
      <w:r w:rsidR="001F2B29">
        <w:t>,</w:t>
      </w:r>
      <w:r w:rsidR="00761D99">
        <w:t xml:space="preserve"> and objected to the use of </w:t>
      </w:r>
      <w:r w:rsidR="00571CC4">
        <w:t>confidential information</w:t>
      </w:r>
      <w:r w:rsidR="00897A11">
        <w:t xml:space="preserve"> </w:t>
      </w:r>
      <w:r w:rsidR="00761D99">
        <w:t xml:space="preserve">by the Ministry of Internal Affairs </w:t>
      </w:r>
      <w:r w:rsidR="00885BE6">
        <w:t>to assess</w:t>
      </w:r>
      <w:r w:rsidR="00761D99">
        <w:t xml:space="preserve"> her application </w:t>
      </w:r>
      <w:r w:rsidR="00571CC4">
        <w:t>for</w:t>
      </w:r>
      <w:r w:rsidR="00897A11">
        <w:t xml:space="preserve"> </w:t>
      </w:r>
      <w:r w:rsidR="00571CC4">
        <w:t xml:space="preserve">citizenship </w:t>
      </w:r>
      <w:r w:rsidR="00897A11">
        <w:t xml:space="preserve">by </w:t>
      </w:r>
      <w:r w:rsidR="00761D99">
        <w:t>residence, where</w:t>
      </w:r>
      <w:r w:rsidR="001F2B29">
        <w:t xml:space="preserve">by </w:t>
      </w:r>
      <w:r w:rsidR="00571CC4">
        <w:t xml:space="preserve">the State </w:t>
      </w:r>
      <w:r w:rsidR="00897A11">
        <w:t xml:space="preserve">is </w:t>
      </w:r>
      <w:r w:rsidR="00897A11" w:rsidRPr="00897A11">
        <w:t>granted</w:t>
      </w:r>
      <w:r w:rsidR="001F2B29">
        <w:t xml:space="preserve"> </w:t>
      </w:r>
      <w:r w:rsidR="001F2B29" w:rsidRPr="001F2B29">
        <w:t>by law</w:t>
      </w:r>
      <w:r w:rsidR="001F2B29">
        <w:t xml:space="preserve"> </w:t>
      </w:r>
      <w:r w:rsidR="00897A11" w:rsidRPr="00897A11">
        <w:t>a largely discretionary power of assessment</w:t>
      </w:r>
      <w:r w:rsidR="00897A11">
        <w:t xml:space="preserve">. </w:t>
      </w:r>
      <w:r w:rsidR="00877236" w:rsidRPr="00877236">
        <w:t xml:space="preserve">The Committee </w:t>
      </w:r>
      <w:r w:rsidR="00877236">
        <w:t xml:space="preserve">also </w:t>
      </w:r>
      <w:r w:rsidR="00877236" w:rsidRPr="00877236">
        <w:t>notes that the State party has contested the admissibility o</w:t>
      </w:r>
      <w:r w:rsidR="00877236">
        <w:t>f the present communication due to non-exhaustion</w:t>
      </w:r>
      <w:r w:rsidR="001F2B29">
        <w:t xml:space="preserve"> of available domestic remedies, as the appeals proceeding before the Administrative Tribunal were pending at the time of initial </w:t>
      </w:r>
      <w:r w:rsidR="00CB7683">
        <w:t xml:space="preserve">submission, </w:t>
      </w:r>
      <w:r w:rsidR="00877236">
        <w:t xml:space="preserve">and for </w:t>
      </w:r>
      <w:r w:rsidR="00877236" w:rsidRPr="00877236">
        <w:t>lack of substantiation</w:t>
      </w:r>
      <w:r w:rsidR="00CB7683">
        <w:t xml:space="preserve"> by the author</w:t>
      </w:r>
      <w:r w:rsidR="001F2B29">
        <w:t>.</w:t>
      </w:r>
      <w:r w:rsidR="00CB7683">
        <w:t xml:space="preserve"> </w:t>
      </w:r>
      <w:r w:rsidR="001F2B29">
        <w:t xml:space="preserve"> </w:t>
      </w:r>
    </w:p>
    <w:p w14:paraId="17831E7A" w14:textId="106CC4BC" w:rsidR="00A77989" w:rsidRDefault="00C26467" w:rsidP="00310A8C">
      <w:pPr>
        <w:pStyle w:val="SingleTxtG"/>
      </w:pPr>
      <w:r>
        <w:t>7</w:t>
      </w:r>
      <w:r w:rsidR="00877236">
        <w:t>.4</w:t>
      </w:r>
      <w:r w:rsidR="00877236">
        <w:tab/>
      </w:r>
      <w:r w:rsidR="008307D6">
        <w:t xml:space="preserve">The Committee </w:t>
      </w:r>
      <w:r w:rsidR="00767E24">
        <w:t xml:space="preserve">notes </w:t>
      </w:r>
      <w:r w:rsidR="008307D6">
        <w:t xml:space="preserve">the State party’s </w:t>
      </w:r>
      <w:r w:rsidR="00767E24">
        <w:t xml:space="preserve">argument </w:t>
      </w:r>
      <w:r w:rsidR="008307D6">
        <w:t xml:space="preserve">that </w:t>
      </w:r>
      <w:r w:rsidR="00767E24">
        <w:t xml:space="preserve">following the author’s </w:t>
      </w:r>
      <w:r w:rsidR="008307D6">
        <w:t xml:space="preserve">appeal </w:t>
      </w:r>
      <w:r w:rsidR="00897A11" w:rsidRPr="00897A11">
        <w:t>to the Administrative Tribunal</w:t>
      </w:r>
      <w:r w:rsidR="004B314E">
        <w:t xml:space="preserve">, </w:t>
      </w:r>
      <w:r w:rsidR="004B314E" w:rsidRPr="004B314E">
        <w:t xml:space="preserve">dated 30 December 2016, </w:t>
      </w:r>
      <w:r w:rsidR="008307D6">
        <w:t>against the denial of her application</w:t>
      </w:r>
      <w:r w:rsidR="00CD0C49">
        <w:t xml:space="preserve">, </w:t>
      </w:r>
      <w:r w:rsidR="004B314E">
        <w:t xml:space="preserve">the case was scheduled for hearing </w:t>
      </w:r>
      <w:r w:rsidR="000170EB">
        <w:t xml:space="preserve">and </w:t>
      </w:r>
      <w:r w:rsidR="004B314E">
        <w:t xml:space="preserve">the author </w:t>
      </w:r>
      <w:r w:rsidR="008307D6">
        <w:t xml:space="preserve">submitted several </w:t>
      </w:r>
      <w:r w:rsidR="00CD0C49">
        <w:t xml:space="preserve">motions </w:t>
      </w:r>
      <w:r w:rsidR="008307D6">
        <w:t xml:space="preserve">for suspension </w:t>
      </w:r>
      <w:r w:rsidR="004B314E" w:rsidRPr="004B314E">
        <w:t>of the appeals proceeding</w:t>
      </w:r>
      <w:r w:rsidR="000170EB">
        <w:t xml:space="preserve">, </w:t>
      </w:r>
      <w:r w:rsidR="00767E24">
        <w:t xml:space="preserve">pending </w:t>
      </w:r>
      <w:r w:rsidR="000170EB">
        <w:t xml:space="preserve">a determination of her </w:t>
      </w:r>
      <w:r w:rsidR="00767E24">
        <w:t>requests for access to confidential information</w:t>
      </w:r>
      <w:r w:rsidR="000170EB">
        <w:t xml:space="preserve"> </w:t>
      </w:r>
      <w:r w:rsidR="00767E24">
        <w:t>used by the Administration when assessing her application</w:t>
      </w:r>
      <w:r w:rsidR="00B572FC">
        <w:t xml:space="preserve">. </w:t>
      </w:r>
      <w:r w:rsidR="00897A11">
        <w:t xml:space="preserve">The author </w:t>
      </w:r>
      <w:r w:rsidR="00C323A6">
        <w:t xml:space="preserve">subsequently </w:t>
      </w:r>
      <w:r w:rsidR="00897A11">
        <w:t xml:space="preserve">submitted </w:t>
      </w:r>
      <w:r w:rsidR="00C323A6">
        <w:t xml:space="preserve">an </w:t>
      </w:r>
      <w:r w:rsidR="0050205B">
        <w:t xml:space="preserve">appeal </w:t>
      </w:r>
      <w:r w:rsidR="00C323A6">
        <w:t xml:space="preserve">to </w:t>
      </w:r>
      <w:r w:rsidR="00C323A6" w:rsidRPr="00C323A6">
        <w:t>the Council of State against the collegium order excluding access to the confidential information by the Ministry</w:t>
      </w:r>
      <w:r w:rsidR="00B572FC">
        <w:t xml:space="preserve"> </w:t>
      </w:r>
      <w:r w:rsidR="00B572FC" w:rsidRPr="00B572FC">
        <w:t>(para. 6.4)</w:t>
      </w:r>
      <w:r w:rsidR="00C323A6" w:rsidRPr="00B572FC">
        <w:t>.</w:t>
      </w:r>
      <w:r w:rsidR="00C323A6">
        <w:t xml:space="preserve"> </w:t>
      </w:r>
      <w:r w:rsidR="00CD0C49">
        <w:t xml:space="preserve">The Committee notes that the </w:t>
      </w:r>
      <w:r w:rsidR="00767E24">
        <w:t xml:space="preserve">author </w:t>
      </w:r>
      <w:r w:rsidR="00A27CA3">
        <w:t xml:space="preserve">in parallel </w:t>
      </w:r>
      <w:r w:rsidR="00767E24">
        <w:t xml:space="preserve">repeatedly urged a decision </w:t>
      </w:r>
      <w:r w:rsidR="00CD0C49">
        <w:t xml:space="preserve">by the </w:t>
      </w:r>
      <w:r w:rsidR="00A27CA3">
        <w:t xml:space="preserve">Administrative </w:t>
      </w:r>
      <w:r w:rsidR="00CD0C49">
        <w:t xml:space="preserve">Tribunal </w:t>
      </w:r>
      <w:r w:rsidR="00767E24">
        <w:t xml:space="preserve">on her </w:t>
      </w:r>
      <w:r w:rsidR="00CD0C49">
        <w:t xml:space="preserve">appeal. </w:t>
      </w:r>
      <w:r w:rsidR="00B572FC">
        <w:t xml:space="preserve">In that context, the </w:t>
      </w:r>
      <w:r w:rsidR="00767E24">
        <w:t xml:space="preserve">Committee </w:t>
      </w:r>
      <w:r w:rsidR="00B572FC">
        <w:t xml:space="preserve">notes </w:t>
      </w:r>
      <w:r w:rsidR="00767E24">
        <w:t xml:space="preserve">the State party’s </w:t>
      </w:r>
      <w:r w:rsidR="00CD0C49">
        <w:t xml:space="preserve">argument </w:t>
      </w:r>
      <w:r w:rsidR="00767E24">
        <w:t xml:space="preserve">that the author submitted the </w:t>
      </w:r>
      <w:r w:rsidR="00B572FC">
        <w:t xml:space="preserve">collegium </w:t>
      </w:r>
      <w:r w:rsidR="00767E24">
        <w:t xml:space="preserve">precautionary request for access to all information on file </w:t>
      </w:r>
      <w:r w:rsidR="00B572FC">
        <w:t xml:space="preserve">on 24 </w:t>
      </w:r>
      <w:r w:rsidR="00767E24">
        <w:t>January 2020</w:t>
      </w:r>
      <w:r w:rsidR="00B572FC">
        <w:t xml:space="preserve">; and that </w:t>
      </w:r>
      <w:r w:rsidR="00B572FC" w:rsidRPr="00B572FC">
        <w:t xml:space="preserve">a public hearing </w:t>
      </w:r>
      <w:r w:rsidR="00B572FC">
        <w:t xml:space="preserve">was scheduled </w:t>
      </w:r>
      <w:r w:rsidR="00B572FC" w:rsidRPr="00B572FC">
        <w:t>for 11 January 2021</w:t>
      </w:r>
      <w:r w:rsidR="00B572FC">
        <w:t xml:space="preserve"> to deal with the merits of the appeal</w:t>
      </w:r>
      <w:r w:rsidR="00B572FC" w:rsidRPr="00B572FC">
        <w:t xml:space="preserve"> (para. 6.5)</w:t>
      </w:r>
      <w:r w:rsidR="00B572FC">
        <w:t xml:space="preserve">. The Committee observes </w:t>
      </w:r>
      <w:r w:rsidR="00960F71">
        <w:t xml:space="preserve">the State party’s argument </w:t>
      </w:r>
      <w:r w:rsidR="003F0571">
        <w:t xml:space="preserve">that the appeals procedure is based on </w:t>
      </w:r>
      <w:r w:rsidR="001F3D0F">
        <w:t xml:space="preserve">the </w:t>
      </w:r>
      <w:r w:rsidR="003F0571">
        <w:t>chronological order of submissions</w:t>
      </w:r>
      <w:r w:rsidR="00E86543">
        <w:t xml:space="preserve"> and </w:t>
      </w:r>
      <w:r w:rsidR="003F0571">
        <w:t xml:space="preserve">cannot be accelerated; and that </w:t>
      </w:r>
      <w:r w:rsidR="001F3D0F">
        <w:t>the</w:t>
      </w:r>
      <w:r w:rsidR="00E86543">
        <w:t xml:space="preserve"> duration </w:t>
      </w:r>
      <w:r w:rsidR="001F3D0F">
        <w:t xml:space="preserve">of the author’s procedure </w:t>
      </w:r>
      <w:r w:rsidR="00E86543">
        <w:t xml:space="preserve">was partly attributable </w:t>
      </w:r>
      <w:r w:rsidR="003F0571">
        <w:t xml:space="preserve">to </w:t>
      </w:r>
      <w:r w:rsidR="001F3D0F">
        <w:t xml:space="preserve">the </w:t>
      </w:r>
      <w:r w:rsidR="003F0571">
        <w:t xml:space="preserve">processing </w:t>
      </w:r>
      <w:r w:rsidR="001F3D0F">
        <w:t xml:space="preserve">of </w:t>
      </w:r>
      <w:r w:rsidR="003F0571">
        <w:t xml:space="preserve">the author’s precautionary requests and other preliminary assessments (para. 6.6). </w:t>
      </w:r>
      <w:r w:rsidR="000B4714">
        <w:t xml:space="preserve">The </w:t>
      </w:r>
      <w:r w:rsidR="00CD0C49">
        <w:t xml:space="preserve">Committee </w:t>
      </w:r>
      <w:r w:rsidR="000B4714">
        <w:t xml:space="preserve">further </w:t>
      </w:r>
      <w:r w:rsidR="00CD0C49">
        <w:t>observes</w:t>
      </w:r>
      <w:r w:rsidR="00E7009C">
        <w:t xml:space="preserve"> </w:t>
      </w:r>
      <w:r w:rsidR="00E7009C" w:rsidRPr="00E7009C">
        <w:t xml:space="preserve">that the </w:t>
      </w:r>
      <w:r w:rsidR="00E7009C">
        <w:t>au</w:t>
      </w:r>
      <w:r w:rsidR="00E7009C" w:rsidRPr="00E7009C">
        <w:t>thor’s communication to the Committe</w:t>
      </w:r>
      <w:r w:rsidR="00E7009C">
        <w:t xml:space="preserve">e was submitted on 2 May 2018, </w:t>
      </w:r>
      <w:r w:rsidR="001F3D0F">
        <w:t xml:space="preserve">while </w:t>
      </w:r>
      <w:r w:rsidR="00E7009C">
        <w:t xml:space="preserve">the </w:t>
      </w:r>
      <w:r w:rsidR="00E7009C" w:rsidRPr="00E7009C">
        <w:t>domestic appeals procedure</w:t>
      </w:r>
      <w:r w:rsidR="001F3D0F">
        <w:t xml:space="preserve"> was still pending</w:t>
      </w:r>
      <w:r w:rsidR="00986FBC">
        <w:t>, within statutory period for its duration</w:t>
      </w:r>
      <w:r w:rsidR="00E7009C" w:rsidRPr="00E7009C">
        <w:t xml:space="preserve">. </w:t>
      </w:r>
      <w:r w:rsidR="00E7009C">
        <w:t xml:space="preserve">It also observes the author’s argument </w:t>
      </w:r>
      <w:r w:rsidR="00CD0C49">
        <w:t xml:space="preserve">that the first </w:t>
      </w:r>
      <w:r w:rsidR="0020431A">
        <w:t xml:space="preserve">instance appeals proceeding would not be </w:t>
      </w:r>
      <w:r w:rsidR="006B518F">
        <w:t xml:space="preserve">concluded within </w:t>
      </w:r>
      <w:r w:rsidR="0020431A">
        <w:t>a statutory period of three years</w:t>
      </w:r>
      <w:r w:rsidR="00F253CA">
        <w:t>.</w:t>
      </w:r>
      <w:r w:rsidR="0020431A">
        <w:t xml:space="preserve"> </w:t>
      </w:r>
      <w:r w:rsidR="000B4714">
        <w:t>However, i</w:t>
      </w:r>
      <w:r w:rsidR="000B4714" w:rsidRPr="000B4714">
        <w:t xml:space="preserve">n view of the State party, the author has enjoyed access to domestic remedies which were both </w:t>
      </w:r>
      <w:r w:rsidR="000B4714" w:rsidRPr="000B4714">
        <w:lastRenderedPageBreak/>
        <w:t xml:space="preserve">available and effective. </w:t>
      </w:r>
      <w:r w:rsidR="006B518F">
        <w:t xml:space="preserve">In that context, the </w:t>
      </w:r>
      <w:r w:rsidR="0020431A">
        <w:t>State party has</w:t>
      </w:r>
      <w:r w:rsidR="006B518F">
        <w:t xml:space="preserve"> </w:t>
      </w:r>
      <w:r w:rsidR="0020431A">
        <w:t>argued that</w:t>
      </w:r>
      <w:r w:rsidR="00E7009C">
        <w:t xml:space="preserve"> there were minimal </w:t>
      </w:r>
      <w:r w:rsidR="0020431A">
        <w:t xml:space="preserve">delays in the author’s appeal procedure, and that </w:t>
      </w:r>
      <w:r w:rsidR="006B518F">
        <w:t xml:space="preserve">the author could </w:t>
      </w:r>
      <w:r w:rsidR="0020431A">
        <w:t>still submit a</w:t>
      </w:r>
      <w:r w:rsidR="00E7009C">
        <w:t xml:space="preserve"> second instance </w:t>
      </w:r>
      <w:r w:rsidR="0020431A">
        <w:t>appeal to the Council of State</w:t>
      </w:r>
      <w:r w:rsidR="006B518F">
        <w:t xml:space="preserve"> against the decision by the </w:t>
      </w:r>
      <w:r w:rsidR="00E7009C">
        <w:t xml:space="preserve">Administrative </w:t>
      </w:r>
      <w:r w:rsidR="006B518F">
        <w:t>Tribunal</w:t>
      </w:r>
      <w:r w:rsidR="0020431A">
        <w:t>.</w:t>
      </w:r>
      <w:r w:rsidR="006B518F">
        <w:t xml:space="preserve"> </w:t>
      </w:r>
      <w:bookmarkStart w:id="0" w:name="_GoBack"/>
      <w:bookmarkEnd w:id="0"/>
    </w:p>
    <w:p w14:paraId="6828A293" w14:textId="317F4585" w:rsidR="000D2978" w:rsidRDefault="00C26467" w:rsidP="000D2978">
      <w:pPr>
        <w:pStyle w:val="SingleTxtG"/>
      </w:pPr>
      <w:r>
        <w:t>7</w:t>
      </w:r>
      <w:r w:rsidR="000B4714">
        <w:t>.5</w:t>
      </w:r>
      <w:r w:rsidR="000B4714">
        <w:tab/>
      </w:r>
      <w:r w:rsidR="000D2978">
        <w:t xml:space="preserve">In the light of the above, the Committee considers that </w:t>
      </w:r>
      <w:r w:rsidR="000D2978" w:rsidRPr="000D2978">
        <w:t>the author do</w:t>
      </w:r>
      <w:r w:rsidR="000D2978">
        <w:t>es</w:t>
      </w:r>
      <w:r w:rsidR="000D2978" w:rsidRPr="000D2978">
        <w:t xml:space="preserve"> not convincingly explain why the judicial remedies that the State party identified as available for </w:t>
      </w:r>
      <w:r w:rsidR="00313998">
        <w:t xml:space="preserve">appealing a </w:t>
      </w:r>
      <w:r w:rsidR="000D2978">
        <w:t xml:space="preserve">denial of her application for citizenship </w:t>
      </w:r>
      <w:r w:rsidR="000D2978" w:rsidRPr="000D2978">
        <w:t xml:space="preserve">would not have been effective in </w:t>
      </w:r>
      <w:r w:rsidR="000D2978">
        <w:t xml:space="preserve">her </w:t>
      </w:r>
      <w:r w:rsidR="000D2978" w:rsidRPr="000D2978">
        <w:t>case</w:t>
      </w:r>
      <w:r w:rsidR="00986FBC">
        <w:t>, since she present</w:t>
      </w:r>
      <w:r w:rsidR="00522979">
        <w:t>ed</w:t>
      </w:r>
      <w:r w:rsidR="00986FBC">
        <w:t xml:space="preserve"> </w:t>
      </w:r>
      <w:r w:rsidR="00522979">
        <w:t xml:space="preserve">several </w:t>
      </w:r>
      <w:r w:rsidR="00986FBC">
        <w:t>procedural motions</w:t>
      </w:r>
      <w:r w:rsidR="00522979">
        <w:t xml:space="preserve"> that were acted on; </w:t>
      </w:r>
      <w:r w:rsidR="00986FBC">
        <w:t xml:space="preserve">the final decision on </w:t>
      </w:r>
      <w:r w:rsidR="00522979">
        <w:t xml:space="preserve">her first instance </w:t>
      </w:r>
      <w:r w:rsidR="00986FBC">
        <w:t>appeal was adopted</w:t>
      </w:r>
      <w:r w:rsidR="00522979">
        <w:t xml:space="preserve">; </w:t>
      </w:r>
      <w:r w:rsidR="00986FBC">
        <w:t xml:space="preserve">and the author could still submit an </w:t>
      </w:r>
      <w:r w:rsidR="00522979">
        <w:t xml:space="preserve">additional </w:t>
      </w:r>
      <w:r w:rsidR="00986FBC">
        <w:t>appeal to the Council of State</w:t>
      </w:r>
      <w:r w:rsidR="000D2978" w:rsidRPr="000D2978">
        <w:t>. The Committee recalls its jurisprudence that mere doubts about the effectiveness of domestic remedies do not absolve authors of the requirement to exhaust them.</w:t>
      </w:r>
      <w:r w:rsidR="000D2978" w:rsidRPr="000D2978">
        <w:rPr>
          <w:sz w:val="18"/>
          <w:vertAlign w:val="superscript"/>
        </w:rPr>
        <w:footnoteReference w:id="15"/>
      </w:r>
      <w:r w:rsidR="000D2978" w:rsidRPr="000D2978">
        <w:t xml:space="preserve"> Accordingly, the Committee considers that it is precluded from examining the author’s claims under articles 17 and 26 of the Covenant by the requirements of article</w:t>
      </w:r>
      <w:r w:rsidR="002A133B">
        <w:t>s 2 and</w:t>
      </w:r>
      <w:r w:rsidR="000D2978" w:rsidRPr="000D2978">
        <w:t xml:space="preserve"> 5 (2)(b) of the Optional Protocol, due to non-exhaustion of available domestic remedies.  </w:t>
      </w:r>
    </w:p>
    <w:p w14:paraId="4F2D58B0" w14:textId="5D084921" w:rsidR="000D2978" w:rsidRPr="000D2978" w:rsidRDefault="00C26467" w:rsidP="00160DF2">
      <w:pPr>
        <w:keepNext/>
        <w:keepLines/>
        <w:suppressAutoHyphens w:val="0"/>
        <w:spacing w:after="120" w:line="240" w:lineRule="auto"/>
        <w:ind w:left="1134" w:right="1134"/>
        <w:jc w:val="both"/>
        <w:rPr>
          <w:rFonts w:eastAsia="SimSun"/>
          <w:lang w:eastAsia="zh-CN"/>
        </w:rPr>
      </w:pPr>
      <w:r>
        <w:rPr>
          <w:rFonts w:eastAsia="SimSun"/>
          <w:lang w:eastAsia="zh-CN"/>
        </w:rPr>
        <w:t>8</w:t>
      </w:r>
      <w:r w:rsidR="000D2978" w:rsidRPr="000D2978">
        <w:rPr>
          <w:rFonts w:eastAsia="SimSun"/>
          <w:lang w:eastAsia="zh-CN"/>
        </w:rPr>
        <w:t>.</w:t>
      </w:r>
      <w:r w:rsidR="000D2978" w:rsidRPr="000D2978">
        <w:rPr>
          <w:rFonts w:eastAsia="SimSun"/>
          <w:lang w:eastAsia="zh-CN"/>
        </w:rPr>
        <w:tab/>
        <w:t>The Committee therefore decides:</w:t>
      </w:r>
    </w:p>
    <w:p w14:paraId="19B04569" w14:textId="21EA5E3E" w:rsidR="000D2978" w:rsidRPr="000D2978" w:rsidRDefault="00D17D14" w:rsidP="00160DF2">
      <w:pPr>
        <w:keepNext/>
        <w:keepLines/>
        <w:suppressAutoHyphens w:val="0"/>
        <w:spacing w:after="120" w:line="240" w:lineRule="auto"/>
        <w:ind w:left="1134" w:right="1134"/>
        <w:jc w:val="both"/>
        <w:rPr>
          <w:rFonts w:eastAsia="SimSun"/>
          <w:lang w:eastAsia="zh-CN"/>
        </w:rPr>
      </w:pPr>
      <w:r>
        <w:rPr>
          <w:rFonts w:eastAsia="SimSun"/>
          <w:lang w:eastAsia="zh-CN"/>
        </w:rPr>
        <w:tab/>
      </w:r>
      <w:r w:rsidR="000D2978" w:rsidRPr="000D2978">
        <w:rPr>
          <w:rFonts w:eastAsia="SimSun"/>
          <w:lang w:eastAsia="zh-CN"/>
        </w:rPr>
        <w:tab/>
        <w:t>(a)</w:t>
      </w:r>
      <w:r w:rsidR="000D2978" w:rsidRPr="000D2978">
        <w:rPr>
          <w:rFonts w:eastAsia="SimSun"/>
          <w:lang w:eastAsia="zh-CN"/>
        </w:rPr>
        <w:tab/>
        <w:t>That the communication is inadmissible under article</w:t>
      </w:r>
      <w:r w:rsidR="00C26467">
        <w:rPr>
          <w:rFonts w:eastAsia="SimSun"/>
          <w:lang w:eastAsia="zh-CN"/>
        </w:rPr>
        <w:t>s 2 and</w:t>
      </w:r>
      <w:r w:rsidR="000D2978" w:rsidRPr="000D2978">
        <w:rPr>
          <w:rFonts w:eastAsia="SimSun"/>
          <w:lang w:eastAsia="zh-CN"/>
        </w:rPr>
        <w:t xml:space="preserve"> 5 (2)(b) of the Optional Protocol;</w:t>
      </w:r>
    </w:p>
    <w:p w14:paraId="59F688D0" w14:textId="6814A0E0" w:rsidR="000D2978" w:rsidRDefault="00D17D14" w:rsidP="000D2978">
      <w:pPr>
        <w:suppressAutoHyphens w:val="0"/>
        <w:spacing w:after="120" w:line="240" w:lineRule="auto"/>
        <w:ind w:left="1134" w:right="1134"/>
        <w:jc w:val="both"/>
      </w:pPr>
      <w:r>
        <w:rPr>
          <w:rFonts w:eastAsia="SimSun"/>
          <w:lang w:eastAsia="zh-CN"/>
        </w:rPr>
        <w:tab/>
      </w:r>
      <w:r w:rsidR="000D2978" w:rsidRPr="000D2978">
        <w:rPr>
          <w:rFonts w:eastAsia="SimSun"/>
          <w:lang w:eastAsia="zh-CN"/>
        </w:rPr>
        <w:tab/>
        <w:t>(b)</w:t>
      </w:r>
      <w:r w:rsidR="000D2978" w:rsidRPr="000D2978">
        <w:rPr>
          <w:rFonts w:eastAsia="SimSun"/>
          <w:lang w:eastAsia="zh-CN"/>
        </w:rPr>
        <w:tab/>
        <w:t>That the present decision shall be communicated to the State party and to the author</w:t>
      </w:r>
      <w:r w:rsidR="000D2978">
        <w:rPr>
          <w:rFonts w:eastAsia="SimSun"/>
          <w:lang w:eastAsia="zh-CN"/>
        </w:rPr>
        <w:t xml:space="preserve">. </w:t>
      </w:r>
    </w:p>
    <w:p w14:paraId="782A4BEF" w14:textId="7DBE6794" w:rsidR="006145A9" w:rsidRPr="00EB4C0E" w:rsidRDefault="00D84BE4" w:rsidP="00EB4C0E">
      <w:pPr>
        <w:spacing w:before="240"/>
        <w:jc w:val="center"/>
        <w:rPr>
          <w:u w:val="single"/>
        </w:rPr>
      </w:pPr>
      <w:r>
        <w:rPr>
          <w:u w:val="single"/>
        </w:rPr>
        <w:tab/>
      </w:r>
      <w:r>
        <w:rPr>
          <w:u w:val="single"/>
        </w:rPr>
        <w:tab/>
      </w:r>
      <w:r>
        <w:rPr>
          <w:u w:val="single"/>
        </w:rPr>
        <w:tab/>
      </w:r>
    </w:p>
    <w:sectPr w:rsidR="006145A9" w:rsidRPr="00EB4C0E" w:rsidSect="00472FE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A8D26" w14:textId="77777777" w:rsidR="00004EC1" w:rsidRPr="00B903E5" w:rsidRDefault="00004EC1" w:rsidP="00B903E5">
      <w:pPr>
        <w:pStyle w:val="Footer"/>
      </w:pPr>
    </w:p>
  </w:endnote>
  <w:endnote w:type="continuationSeparator" w:id="0">
    <w:p w14:paraId="3DD6ADF8" w14:textId="77777777" w:rsidR="00004EC1" w:rsidRPr="00B903E5" w:rsidRDefault="00004EC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F3A3F" w14:textId="0609736E" w:rsidR="0056354C" w:rsidRDefault="0056354C" w:rsidP="00FF3E9C">
    <w:pPr>
      <w:pStyle w:val="Footer"/>
      <w:tabs>
        <w:tab w:val="right" w:pos="9638"/>
      </w:tabs>
    </w:pPr>
    <w:r w:rsidRPr="00FF3E9C">
      <w:rPr>
        <w:b/>
        <w:bCs/>
        <w:sz w:val="18"/>
      </w:rPr>
      <w:fldChar w:fldCharType="begin"/>
    </w:r>
    <w:r w:rsidRPr="00FF3E9C">
      <w:rPr>
        <w:b/>
        <w:bCs/>
        <w:sz w:val="18"/>
      </w:rPr>
      <w:instrText xml:space="preserve"> PAGE  \* MERGEFORMAT </w:instrText>
    </w:r>
    <w:r w:rsidRPr="00FF3E9C">
      <w:rPr>
        <w:b/>
        <w:bCs/>
        <w:sz w:val="18"/>
      </w:rPr>
      <w:fldChar w:fldCharType="separate"/>
    </w:r>
    <w:r w:rsidR="003741D9">
      <w:rPr>
        <w:b/>
        <w:bCs/>
        <w:noProof/>
        <w:sz w:val="18"/>
      </w:rPr>
      <w:t>8</w:t>
    </w:r>
    <w:r w:rsidRPr="00FF3E9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4B493" w14:textId="20A37905" w:rsidR="0056354C" w:rsidRDefault="0056354C" w:rsidP="00FF3E9C">
    <w:pPr>
      <w:pStyle w:val="Footer"/>
      <w:tabs>
        <w:tab w:val="right" w:pos="9638"/>
      </w:tabs>
    </w:pPr>
    <w:r>
      <w:tab/>
    </w:r>
    <w:r w:rsidRPr="00FF3E9C">
      <w:rPr>
        <w:b/>
        <w:bCs/>
        <w:sz w:val="18"/>
      </w:rPr>
      <w:fldChar w:fldCharType="begin"/>
    </w:r>
    <w:r w:rsidRPr="00FF3E9C">
      <w:rPr>
        <w:b/>
        <w:bCs/>
        <w:sz w:val="18"/>
      </w:rPr>
      <w:instrText xml:space="preserve"> PAGE  \* MERGEFORMAT </w:instrText>
    </w:r>
    <w:r w:rsidRPr="00FF3E9C">
      <w:rPr>
        <w:b/>
        <w:bCs/>
        <w:sz w:val="18"/>
      </w:rPr>
      <w:fldChar w:fldCharType="separate"/>
    </w:r>
    <w:r w:rsidR="003741D9">
      <w:rPr>
        <w:b/>
        <w:bCs/>
        <w:noProof/>
        <w:sz w:val="18"/>
      </w:rPr>
      <w:t>7</w:t>
    </w:r>
    <w:r w:rsidRPr="00FF3E9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EB2E0" w14:textId="42D82C8E" w:rsidR="009B67E2" w:rsidRDefault="00B02A7A" w:rsidP="00B02A7A">
    <w:pPr>
      <w:pStyle w:val="Footer"/>
    </w:pPr>
    <w:r w:rsidRPr="0027112F">
      <w:rPr>
        <w:noProof/>
        <w:lang w:eastAsia="en-GB"/>
      </w:rPr>
      <w:drawing>
        <wp:anchor distT="0" distB="0" distL="114300" distR="114300" simplePos="0" relativeHeight="251659264" behindDoc="0" locked="1" layoutInCell="1" allowOverlap="1" wp14:anchorId="3396AA7F" wp14:editId="36179C6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4B0DD" w14:textId="77777777" w:rsidR="00004EC1" w:rsidRPr="00B903E5" w:rsidRDefault="00004EC1" w:rsidP="00B903E5">
      <w:pPr>
        <w:tabs>
          <w:tab w:val="right" w:pos="2155"/>
        </w:tabs>
        <w:spacing w:after="80" w:line="240" w:lineRule="auto"/>
        <w:ind w:left="680"/>
      </w:pPr>
      <w:r>
        <w:rPr>
          <w:u w:val="single"/>
        </w:rPr>
        <w:tab/>
      </w:r>
    </w:p>
  </w:footnote>
  <w:footnote w:type="continuationSeparator" w:id="0">
    <w:p w14:paraId="7C050878" w14:textId="77777777" w:rsidR="00004EC1" w:rsidRPr="00B903E5" w:rsidRDefault="00004EC1" w:rsidP="00B903E5">
      <w:pPr>
        <w:tabs>
          <w:tab w:val="right" w:pos="2155"/>
        </w:tabs>
        <w:spacing w:after="80" w:line="240" w:lineRule="auto"/>
        <w:ind w:left="680"/>
      </w:pPr>
      <w:r>
        <w:rPr>
          <w:u w:val="single"/>
        </w:rPr>
        <w:tab/>
      </w:r>
    </w:p>
  </w:footnote>
  <w:footnote w:id="1">
    <w:p w14:paraId="328B0A5E" w14:textId="77777777" w:rsidR="00EF30CE" w:rsidRPr="003741D9" w:rsidRDefault="00EF30CE" w:rsidP="003741D9">
      <w:pPr>
        <w:pStyle w:val="FootnoteText"/>
      </w:pPr>
      <w:r w:rsidRPr="003741D9">
        <w:rPr>
          <w:rStyle w:val="FootnoteReference"/>
          <w:vertAlign w:val="baseline"/>
        </w:rPr>
        <w:tab/>
        <w:t>*</w:t>
      </w:r>
      <w:r w:rsidRPr="003741D9">
        <w:rPr>
          <w:rStyle w:val="FootnoteReference"/>
          <w:vertAlign w:val="baseline"/>
        </w:rPr>
        <w:tab/>
      </w:r>
      <w:r w:rsidRPr="003741D9">
        <w:t>Adopted by the Committee at its 134th session (28 February – 25 March 2022).</w:t>
      </w:r>
    </w:p>
  </w:footnote>
  <w:footnote w:id="2">
    <w:p w14:paraId="1B19748B" w14:textId="77777777" w:rsidR="00EF30CE" w:rsidRPr="003741D9" w:rsidRDefault="00EF30CE" w:rsidP="003741D9">
      <w:pPr>
        <w:pStyle w:val="FootnoteText"/>
      </w:pPr>
      <w:r w:rsidRPr="003741D9">
        <w:rPr>
          <w:rStyle w:val="FootnoteReference"/>
          <w:vertAlign w:val="baseline"/>
        </w:rPr>
        <w:tab/>
        <w:t>**</w:t>
      </w:r>
      <w:r w:rsidRPr="003741D9">
        <w:rPr>
          <w:rStyle w:val="FootnoteReference"/>
          <w:vertAlign w:val="baseline"/>
        </w:rPr>
        <w:tab/>
      </w:r>
      <w:r w:rsidRPr="003741D9">
        <w:t xml:space="preserve">The following members of the Committee participated in the examination of the communication: Tania </w:t>
      </w:r>
      <w:proofErr w:type="spellStart"/>
      <w:r w:rsidRPr="003741D9">
        <w:t>María</w:t>
      </w:r>
      <w:proofErr w:type="spellEnd"/>
      <w:r w:rsidRPr="003741D9">
        <w:t xml:space="preserve"> </w:t>
      </w:r>
      <w:proofErr w:type="spellStart"/>
      <w:r w:rsidRPr="003741D9">
        <w:t>Abdo</w:t>
      </w:r>
      <w:proofErr w:type="spellEnd"/>
      <w:r w:rsidRPr="003741D9">
        <w:t xml:space="preserve"> </w:t>
      </w:r>
      <w:proofErr w:type="spellStart"/>
      <w:r w:rsidRPr="003741D9">
        <w:t>Rocholl</w:t>
      </w:r>
      <w:proofErr w:type="spellEnd"/>
      <w:r w:rsidRPr="003741D9">
        <w:t xml:space="preserve">, </w:t>
      </w:r>
      <w:proofErr w:type="spellStart"/>
      <w:r w:rsidRPr="003741D9">
        <w:t>Wafaa</w:t>
      </w:r>
      <w:proofErr w:type="spellEnd"/>
      <w:r w:rsidRPr="003741D9">
        <w:t xml:space="preserve"> Ashraf </w:t>
      </w:r>
      <w:proofErr w:type="spellStart"/>
      <w:r w:rsidRPr="003741D9">
        <w:t>Moharram</w:t>
      </w:r>
      <w:proofErr w:type="spellEnd"/>
      <w:r w:rsidRPr="003741D9">
        <w:t xml:space="preserve"> </w:t>
      </w:r>
      <w:proofErr w:type="spellStart"/>
      <w:r w:rsidRPr="003741D9">
        <w:t>Bassim</w:t>
      </w:r>
      <w:proofErr w:type="spellEnd"/>
      <w:r w:rsidRPr="003741D9">
        <w:t xml:space="preserve">, </w:t>
      </w:r>
      <w:proofErr w:type="spellStart"/>
      <w:r w:rsidRPr="003741D9">
        <w:t>Yadh</w:t>
      </w:r>
      <w:proofErr w:type="spellEnd"/>
      <w:r w:rsidRPr="003741D9">
        <w:t xml:space="preserve"> Ben </w:t>
      </w:r>
      <w:proofErr w:type="spellStart"/>
      <w:r w:rsidRPr="003741D9">
        <w:t>Achour</w:t>
      </w:r>
      <w:proofErr w:type="spellEnd"/>
      <w:r w:rsidRPr="003741D9">
        <w:t xml:space="preserve">, </w:t>
      </w:r>
      <w:proofErr w:type="spellStart"/>
      <w:r w:rsidRPr="003741D9">
        <w:t>Arif</w:t>
      </w:r>
      <w:proofErr w:type="spellEnd"/>
      <w:r w:rsidRPr="003741D9">
        <w:t xml:space="preserve"> </w:t>
      </w:r>
      <w:proofErr w:type="spellStart"/>
      <w:r w:rsidRPr="003741D9">
        <w:t>Bulkan</w:t>
      </w:r>
      <w:proofErr w:type="spellEnd"/>
      <w:r w:rsidRPr="003741D9">
        <w:t xml:space="preserve">, </w:t>
      </w:r>
      <w:proofErr w:type="spellStart"/>
      <w:r w:rsidRPr="003741D9">
        <w:t>Mahjoub</w:t>
      </w:r>
      <w:proofErr w:type="spellEnd"/>
      <w:r w:rsidRPr="003741D9">
        <w:t xml:space="preserve"> El </w:t>
      </w:r>
      <w:proofErr w:type="spellStart"/>
      <w:r w:rsidRPr="003741D9">
        <w:t>Haiba</w:t>
      </w:r>
      <w:proofErr w:type="spellEnd"/>
      <w:r w:rsidRPr="003741D9">
        <w:t xml:space="preserve">, </w:t>
      </w:r>
      <w:proofErr w:type="spellStart"/>
      <w:r w:rsidRPr="003741D9">
        <w:t>Furuya</w:t>
      </w:r>
      <w:proofErr w:type="spellEnd"/>
      <w:r w:rsidRPr="003741D9">
        <w:t xml:space="preserve"> Shuichi, Carlos Gómez </w:t>
      </w:r>
      <w:proofErr w:type="spellStart"/>
      <w:r w:rsidRPr="003741D9">
        <w:t>Martínez</w:t>
      </w:r>
      <w:proofErr w:type="spellEnd"/>
      <w:r w:rsidRPr="003741D9">
        <w:t xml:space="preserve">, Marcia V.J. </w:t>
      </w:r>
      <w:proofErr w:type="spellStart"/>
      <w:r w:rsidRPr="003741D9">
        <w:t>Kran</w:t>
      </w:r>
      <w:proofErr w:type="spellEnd"/>
      <w:r w:rsidRPr="003741D9">
        <w:t xml:space="preserve">, Duncan </w:t>
      </w:r>
      <w:proofErr w:type="spellStart"/>
      <w:r w:rsidRPr="003741D9">
        <w:t>Laki</w:t>
      </w:r>
      <w:proofErr w:type="spellEnd"/>
      <w:r w:rsidRPr="003741D9">
        <w:t xml:space="preserve"> </w:t>
      </w:r>
      <w:proofErr w:type="spellStart"/>
      <w:r w:rsidRPr="003741D9">
        <w:t>Muhumuza</w:t>
      </w:r>
      <w:proofErr w:type="spellEnd"/>
      <w:r w:rsidRPr="003741D9">
        <w:t xml:space="preserve">, </w:t>
      </w:r>
      <w:proofErr w:type="spellStart"/>
      <w:r w:rsidRPr="003741D9">
        <w:t>Photini</w:t>
      </w:r>
      <w:proofErr w:type="spellEnd"/>
      <w:r w:rsidRPr="003741D9">
        <w:t xml:space="preserve"> </w:t>
      </w:r>
      <w:proofErr w:type="spellStart"/>
      <w:r w:rsidRPr="003741D9">
        <w:t>Pazartzis</w:t>
      </w:r>
      <w:proofErr w:type="spellEnd"/>
      <w:r w:rsidRPr="003741D9">
        <w:t xml:space="preserve">, </w:t>
      </w:r>
      <w:proofErr w:type="spellStart"/>
      <w:r w:rsidRPr="003741D9">
        <w:t>Hernán</w:t>
      </w:r>
      <w:proofErr w:type="spellEnd"/>
      <w:r w:rsidRPr="003741D9">
        <w:t xml:space="preserve"> Quezada </w:t>
      </w:r>
      <w:proofErr w:type="spellStart"/>
      <w:r w:rsidRPr="003741D9">
        <w:t>Cebrera</w:t>
      </w:r>
      <w:proofErr w:type="spellEnd"/>
      <w:r w:rsidRPr="003741D9">
        <w:t xml:space="preserve">, </w:t>
      </w:r>
      <w:proofErr w:type="spellStart"/>
      <w:r w:rsidRPr="003741D9">
        <w:t>Vasilka</w:t>
      </w:r>
      <w:proofErr w:type="spellEnd"/>
      <w:r w:rsidRPr="003741D9">
        <w:t xml:space="preserve"> </w:t>
      </w:r>
      <w:proofErr w:type="spellStart"/>
      <w:r w:rsidRPr="003741D9">
        <w:t>Sancin</w:t>
      </w:r>
      <w:proofErr w:type="spellEnd"/>
      <w:r w:rsidRPr="003741D9">
        <w:t xml:space="preserve">, José Manuel Santos </w:t>
      </w:r>
      <w:proofErr w:type="spellStart"/>
      <w:r w:rsidRPr="003741D9">
        <w:t>Pais</w:t>
      </w:r>
      <w:proofErr w:type="spellEnd"/>
      <w:r w:rsidRPr="003741D9">
        <w:t xml:space="preserve">, </w:t>
      </w:r>
      <w:proofErr w:type="spellStart"/>
      <w:r w:rsidRPr="003741D9">
        <w:t>Soh</w:t>
      </w:r>
      <w:proofErr w:type="spellEnd"/>
      <w:r w:rsidRPr="003741D9">
        <w:t xml:space="preserve"> </w:t>
      </w:r>
      <w:proofErr w:type="spellStart"/>
      <w:r w:rsidRPr="003741D9">
        <w:t>Changrok</w:t>
      </w:r>
      <w:proofErr w:type="spellEnd"/>
      <w:r w:rsidRPr="003741D9">
        <w:t xml:space="preserve">, </w:t>
      </w:r>
      <w:proofErr w:type="spellStart"/>
      <w:r w:rsidRPr="003741D9">
        <w:t>Kobauyah</w:t>
      </w:r>
      <w:proofErr w:type="spellEnd"/>
      <w:r w:rsidRPr="003741D9">
        <w:t xml:space="preserve"> </w:t>
      </w:r>
      <w:proofErr w:type="spellStart"/>
      <w:r w:rsidRPr="003741D9">
        <w:t>Tchamdja</w:t>
      </w:r>
      <w:proofErr w:type="spellEnd"/>
      <w:r w:rsidRPr="003741D9">
        <w:t xml:space="preserve"> </w:t>
      </w:r>
      <w:proofErr w:type="spellStart"/>
      <w:r w:rsidRPr="003741D9">
        <w:t>Kpatcha</w:t>
      </w:r>
      <w:proofErr w:type="spellEnd"/>
      <w:r w:rsidRPr="003741D9">
        <w:t xml:space="preserve">, Hélène </w:t>
      </w:r>
      <w:proofErr w:type="spellStart"/>
      <w:r w:rsidRPr="003741D9">
        <w:t>Tigroudja</w:t>
      </w:r>
      <w:proofErr w:type="spellEnd"/>
      <w:r w:rsidRPr="003741D9">
        <w:t xml:space="preserve">, </w:t>
      </w:r>
      <w:proofErr w:type="spellStart"/>
      <w:r w:rsidRPr="003741D9">
        <w:t>Imeru</w:t>
      </w:r>
      <w:proofErr w:type="spellEnd"/>
      <w:r w:rsidRPr="003741D9">
        <w:t xml:space="preserve"> </w:t>
      </w:r>
      <w:proofErr w:type="spellStart"/>
      <w:r w:rsidRPr="003741D9">
        <w:t>Tamerat</w:t>
      </w:r>
      <w:proofErr w:type="spellEnd"/>
      <w:r w:rsidRPr="003741D9">
        <w:t xml:space="preserve"> </w:t>
      </w:r>
      <w:proofErr w:type="spellStart"/>
      <w:r w:rsidRPr="003741D9">
        <w:t>Yigezu</w:t>
      </w:r>
      <w:proofErr w:type="spellEnd"/>
      <w:r w:rsidRPr="003741D9">
        <w:t xml:space="preserve"> and Gentian Zyberi.</w:t>
      </w:r>
    </w:p>
  </w:footnote>
  <w:footnote w:id="3">
    <w:p w14:paraId="7768E2AD" w14:textId="0ED361B4" w:rsidR="0056354C" w:rsidRDefault="0056354C" w:rsidP="000639F7">
      <w:pPr>
        <w:pStyle w:val="FootnoteText"/>
      </w:pPr>
      <w:r>
        <w:tab/>
      </w:r>
      <w:r>
        <w:rPr>
          <w:rStyle w:val="FootnoteReference"/>
        </w:rPr>
        <w:footnoteRef/>
      </w:r>
      <w:r>
        <w:tab/>
      </w:r>
      <w:r>
        <w:tab/>
        <w:t xml:space="preserve">On 15 April 2019, the author requested anonymity of her identity.  </w:t>
      </w:r>
    </w:p>
  </w:footnote>
  <w:footnote w:id="4">
    <w:p w14:paraId="0EFDE38F" w14:textId="4EF500AC" w:rsidR="006849C0" w:rsidRDefault="00D17D14" w:rsidP="00D17D14">
      <w:pPr>
        <w:pStyle w:val="FootnoteText"/>
      </w:pPr>
      <w:r>
        <w:tab/>
      </w:r>
    </w:p>
  </w:footnote>
  <w:footnote w:id="5">
    <w:p w14:paraId="17A53E63" w14:textId="6CC8BC29" w:rsidR="0056354C" w:rsidRDefault="0056354C">
      <w:pPr>
        <w:pStyle w:val="FootnoteText"/>
      </w:pPr>
      <w:r>
        <w:tab/>
      </w:r>
      <w:r>
        <w:rPr>
          <w:rStyle w:val="FootnoteReference"/>
        </w:rPr>
        <w:footnoteRef/>
      </w:r>
      <w:r w:rsidR="00D17D14">
        <w:tab/>
      </w:r>
      <w:r>
        <w:t>Constitution</w:t>
      </w:r>
      <w:r w:rsidR="008018EF">
        <w:t xml:space="preserve"> of Italy</w:t>
      </w:r>
      <w:r>
        <w:t xml:space="preserve">, arts. 111, 103 and 134. </w:t>
      </w:r>
    </w:p>
  </w:footnote>
  <w:footnote w:id="6">
    <w:p w14:paraId="1DFB70B4" w14:textId="2827A246" w:rsidR="0056354C" w:rsidRDefault="0056354C">
      <w:pPr>
        <w:pStyle w:val="FootnoteText"/>
      </w:pPr>
      <w:r>
        <w:tab/>
      </w:r>
      <w:r>
        <w:rPr>
          <w:rStyle w:val="FootnoteReference"/>
        </w:rPr>
        <w:footnoteRef/>
      </w:r>
      <w:r w:rsidR="00D17D14">
        <w:tab/>
      </w:r>
      <w:r>
        <w:t>Act No. 89/01, art</w:t>
      </w:r>
      <w:r w:rsidR="00C22D06">
        <w:t>icle</w:t>
      </w:r>
      <w:r>
        <w:t xml:space="preserve"> 2 (2bis). </w:t>
      </w:r>
    </w:p>
  </w:footnote>
  <w:footnote w:id="7">
    <w:p w14:paraId="3B9E665E" w14:textId="77777777" w:rsidR="00C26467" w:rsidRDefault="00C26467" w:rsidP="00C26467">
      <w:pPr>
        <w:pStyle w:val="FootnoteText"/>
      </w:pPr>
      <w:r>
        <w:tab/>
      </w:r>
      <w:r>
        <w:rPr>
          <w:rStyle w:val="FootnoteReference"/>
        </w:rPr>
        <w:footnoteRef/>
      </w:r>
      <w:r>
        <w:tab/>
      </w:r>
      <w:r>
        <w:tab/>
        <w:t xml:space="preserve">Act No. 89/01, article 2 (2bis). </w:t>
      </w:r>
    </w:p>
  </w:footnote>
  <w:footnote w:id="8">
    <w:p w14:paraId="7939B214" w14:textId="7711A2BE" w:rsidR="0056354C" w:rsidRDefault="0056354C">
      <w:pPr>
        <w:pStyle w:val="FootnoteText"/>
      </w:pPr>
      <w:r>
        <w:tab/>
      </w:r>
      <w:r>
        <w:rPr>
          <w:rStyle w:val="FootnoteReference"/>
        </w:rPr>
        <w:footnoteRef/>
      </w:r>
      <w:r w:rsidR="00D17D14">
        <w:tab/>
      </w:r>
      <w:r>
        <w:t>Judgment of the Regional Administrative Tribunal of La</w:t>
      </w:r>
      <w:r w:rsidR="00E55F1E">
        <w:t>z</w:t>
      </w:r>
      <w:r>
        <w:t>io</w:t>
      </w:r>
      <w:r w:rsidR="008018EF">
        <w:t>-Rome</w:t>
      </w:r>
      <w:r>
        <w:t xml:space="preserve"> No. 600/2013, dated 12 May 2015. </w:t>
      </w:r>
    </w:p>
  </w:footnote>
  <w:footnote w:id="9">
    <w:p w14:paraId="076E6206" w14:textId="7C1A7DBC" w:rsidR="0056354C" w:rsidRDefault="00D17D14" w:rsidP="00D17D14">
      <w:pPr>
        <w:pStyle w:val="FootnoteText"/>
      </w:pPr>
      <w:r>
        <w:tab/>
      </w:r>
      <w:r w:rsidR="0056354C">
        <w:rPr>
          <w:rStyle w:val="FootnoteReference"/>
        </w:rPr>
        <w:footnoteRef/>
      </w:r>
      <w:r>
        <w:tab/>
      </w:r>
      <w:r>
        <w:tab/>
      </w:r>
      <w:r w:rsidR="0056354C">
        <w:t xml:space="preserve">Constant jurisprudence in administrative matters of the Council of State, Section III, 14 February 2017, No. 657).   </w:t>
      </w:r>
    </w:p>
  </w:footnote>
  <w:footnote w:id="10">
    <w:p w14:paraId="27C38A96" w14:textId="5266E973" w:rsidR="0056354C" w:rsidRDefault="00D17D14" w:rsidP="00D17D14">
      <w:pPr>
        <w:pStyle w:val="FootnoteText"/>
      </w:pPr>
      <w:r>
        <w:tab/>
      </w:r>
      <w:r w:rsidR="0056354C">
        <w:rPr>
          <w:rStyle w:val="FootnoteReference"/>
        </w:rPr>
        <w:footnoteRef/>
      </w:r>
      <w:r>
        <w:tab/>
      </w:r>
      <w:r>
        <w:tab/>
      </w:r>
      <w:r w:rsidR="0056354C">
        <w:t>Council of State, Section III, 4 March 2015, No. 1084, and Regional Administrative Tribunal of La</w:t>
      </w:r>
      <w:r w:rsidR="003B7BF1">
        <w:t>z</w:t>
      </w:r>
      <w:r w:rsidR="0056354C">
        <w:t>i</w:t>
      </w:r>
      <w:r w:rsidR="0010241A">
        <w:t>o-Rome</w:t>
      </w:r>
      <w:r w:rsidR="0056354C">
        <w:t xml:space="preserve">, Section II </w:t>
      </w:r>
      <w:proofErr w:type="spellStart"/>
      <w:r w:rsidR="0056354C">
        <w:t>quater</w:t>
      </w:r>
      <w:proofErr w:type="spellEnd"/>
      <w:r w:rsidR="0056354C">
        <w:t xml:space="preserve">, 11 November 2015, No. 12752.  </w:t>
      </w:r>
    </w:p>
  </w:footnote>
  <w:footnote w:id="11">
    <w:p w14:paraId="60C5B7E2" w14:textId="0F5CE8DF" w:rsidR="0056354C" w:rsidRDefault="00D17D14" w:rsidP="00D17D14">
      <w:pPr>
        <w:pStyle w:val="FootnoteText"/>
      </w:pPr>
      <w:r>
        <w:tab/>
      </w:r>
      <w:r w:rsidR="0056354C">
        <w:rPr>
          <w:rStyle w:val="FootnoteReference"/>
        </w:rPr>
        <w:footnoteRef/>
      </w:r>
      <w:r>
        <w:tab/>
      </w:r>
      <w:r>
        <w:tab/>
      </w:r>
      <w:r w:rsidR="0056354C">
        <w:t>Act No. 92/1991, article 8</w:t>
      </w:r>
      <w:r w:rsidR="0010241A">
        <w:t xml:space="preserve"> (</w:t>
      </w:r>
      <w:r w:rsidR="0056354C">
        <w:t>1</w:t>
      </w:r>
      <w:r w:rsidR="0010241A">
        <w:t>)</w:t>
      </w:r>
      <w:r w:rsidR="0056354C">
        <w:t xml:space="preserve">. </w:t>
      </w:r>
    </w:p>
  </w:footnote>
  <w:footnote w:id="12">
    <w:p w14:paraId="212EAE03" w14:textId="0863F4AE" w:rsidR="0056354C" w:rsidRDefault="000639F7" w:rsidP="000639F7">
      <w:pPr>
        <w:pStyle w:val="FootnoteText"/>
      </w:pPr>
      <w:r>
        <w:tab/>
      </w:r>
      <w:r w:rsidR="0056354C">
        <w:rPr>
          <w:rStyle w:val="FootnoteReference"/>
        </w:rPr>
        <w:footnoteRef/>
      </w:r>
      <w:r>
        <w:tab/>
      </w:r>
      <w:r w:rsidR="0056354C">
        <w:t>A</w:t>
      </w:r>
      <w:r w:rsidR="0056354C" w:rsidRPr="00187161">
        <w:t>rticle 8, annex 2, title III of the Code of Administrative Justice</w:t>
      </w:r>
      <w:r w:rsidR="0056354C">
        <w:t xml:space="preserve">. </w:t>
      </w:r>
    </w:p>
  </w:footnote>
  <w:footnote w:id="13">
    <w:p w14:paraId="11171722" w14:textId="6FD019BC" w:rsidR="00170EC0" w:rsidRDefault="000639F7" w:rsidP="000639F7">
      <w:pPr>
        <w:pStyle w:val="FootnoteText"/>
      </w:pPr>
      <w:r>
        <w:tab/>
      </w:r>
      <w:r w:rsidR="00170EC0">
        <w:rPr>
          <w:rStyle w:val="FootnoteReference"/>
        </w:rPr>
        <w:footnoteRef/>
      </w:r>
      <w:r>
        <w:tab/>
      </w:r>
      <w:r w:rsidR="00170EC0">
        <w:t xml:space="preserve">Council of State, </w:t>
      </w:r>
      <w:r w:rsidR="00F122C9">
        <w:t>S</w:t>
      </w:r>
      <w:r w:rsidR="00170EC0">
        <w:t xml:space="preserve">ection III, verdict no. 657 of 14 February 2017. </w:t>
      </w:r>
    </w:p>
  </w:footnote>
  <w:footnote w:id="14">
    <w:p w14:paraId="0E899063" w14:textId="068FA482" w:rsidR="0056354C" w:rsidRPr="003C593C" w:rsidRDefault="0056354C" w:rsidP="00D17D14">
      <w:pPr>
        <w:pStyle w:val="FootnoteText"/>
      </w:pPr>
      <w:r w:rsidRPr="0053177D">
        <w:tab/>
      </w:r>
      <w:r w:rsidRPr="009C3030">
        <w:rPr>
          <w:rStyle w:val="FootnoteReference"/>
        </w:rPr>
        <w:footnoteRef/>
      </w:r>
      <w:r w:rsidRPr="00B46B5D">
        <w:rPr>
          <w:lang w:val="es-ES"/>
        </w:rPr>
        <w:t xml:space="preserve"> </w:t>
      </w:r>
      <w:r w:rsidR="00D17D14" w:rsidRPr="00B46B5D">
        <w:rPr>
          <w:lang w:val="es-ES"/>
        </w:rPr>
        <w:tab/>
      </w:r>
      <w:proofErr w:type="spellStart"/>
      <w:r w:rsidRPr="00B46B5D">
        <w:rPr>
          <w:lang w:val="es-ES"/>
        </w:rPr>
        <w:t>See</w:t>
      </w:r>
      <w:proofErr w:type="spellEnd"/>
      <w:r w:rsidRPr="00B46B5D">
        <w:rPr>
          <w:lang w:val="es-ES"/>
        </w:rPr>
        <w:t xml:space="preserve"> </w:t>
      </w:r>
      <w:proofErr w:type="spellStart"/>
      <w:r w:rsidRPr="00B46B5D">
        <w:rPr>
          <w:lang w:val="es-ES"/>
        </w:rPr>
        <w:t>e.g</w:t>
      </w:r>
      <w:proofErr w:type="spellEnd"/>
      <w:r w:rsidRPr="00B46B5D">
        <w:rPr>
          <w:lang w:val="es-ES"/>
        </w:rPr>
        <w:t xml:space="preserve">. </w:t>
      </w:r>
      <w:r w:rsidRPr="00B46B5D">
        <w:rPr>
          <w:i/>
          <w:lang w:val="es-ES"/>
        </w:rPr>
        <w:t xml:space="preserve">Patiño v. </w:t>
      </w:r>
      <w:proofErr w:type="spellStart"/>
      <w:r w:rsidRPr="00B46B5D">
        <w:rPr>
          <w:i/>
          <w:lang w:val="es-ES"/>
        </w:rPr>
        <w:t>Panama</w:t>
      </w:r>
      <w:proofErr w:type="spellEnd"/>
      <w:r w:rsidRPr="00B46B5D">
        <w:rPr>
          <w:lang w:val="es-ES"/>
        </w:rPr>
        <w:t xml:space="preserve"> (CCPR/C/52/D/</w:t>
      </w:r>
      <w:r w:rsidRPr="004F1685">
        <w:rPr>
          <w:lang w:val="es-ES"/>
        </w:rPr>
        <w:t xml:space="preserve">437/1990), para. </w:t>
      </w:r>
      <w:r w:rsidRPr="009634ED">
        <w:rPr>
          <w:lang w:val="en-US"/>
        </w:rPr>
        <w:t xml:space="preserve">5.2; </w:t>
      </w:r>
      <w:r w:rsidRPr="009634ED">
        <w:rPr>
          <w:i/>
          <w:lang w:val="en-US"/>
        </w:rPr>
        <w:t xml:space="preserve">P.L. v. Germany </w:t>
      </w:r>
      <w:r w:rsidRPr="009634ED">
        <w:rPr>
          <w:lang w:val="en-US"/>
        </w:rPr>
        <w:t>(CCPR/C/</w:t>
      </w:r>
      <w:r w:rsidRPr="007545CB">
        <w:t>79</w:t>
      </w:r>
      <w:r w:rsidRPr="009634ED">
        <w:rPr>
          <w:lang w:val="en-US"/>
        </w:rPr>
        <w:t>/D/</w:t>
      </w:r>
      <w:r w:rsidRPr="00D17D14">
        <w:t>1003</w:t>
      </w:r>
      <w:r w:rsidRPr="009634ED">
        <w:rPr>
          <w:lang w:val="en-US"/>
        </w:rPr>
        <w:t xml:space="preserve">/2001), para. </w:t>
      </w:r>
      <w:r w:rsidRPr="00B46B5D">
        <w:rPr>
          <w:lang w:val="de-CH"/>
        </w:rPr>
        <w:t xml:space="preserve">6.5; </w:t>
      </w:r>
      <w:r w:rsidRPr="00B46B5D">
        <w:rPr>
          <w:i/>
          <w:lang w:val="de-CH"/>
        </w:rPr>
        <w:t>Riedl-Riedenstein et al. v. Germany</w:t>
      </w:r>
      <w:r w:rsidRPr="00B46B5D">
        <w:rPr>
          <w:lang w:val="de-CH"/>
        </w:rPr>
        <w:t xml:space="preserve"> (CCPR/C/82/D/1188/2003), para. 7.2; </w:t>
      </w:r>
      <w:r w:rsidRPr="00B46B5D">
        <w:rPr>
          <w:i/>
          <w:lang w:val="de-CH"/>
        </w:rPr>
        <w:t>Gilberg v. Germany</w:t>
      </w:r>
      <w:r w:rsidRPr="00B46B5D">
        <w:rPr>
          <w:lang w:val="de-CH"/>
        </w:rPr>
        <w:t xml:space="preserve"> (CCPR/C/87/D/1403/2005), para. 6.5; </w:t>
      </w:r>
      <w:r w:rsidRPr="00B46B5D">
        <w:rPr>
          <w:i/>
          <w:lang w:val="de-CH"/>
        </w:rPr>
        <w:t>Warsame v. Canada</w:t>
      </w:r>
      <w:r w:rsidRPr="00B46B5D">
        <w:rPr>
          <w:lang w:val="de-CH"/>
        </w:rPr>
        <w:t xml:space="preserve"> (CCPR/C/102/D/1959/2010), para. 7.4; and </w:t>
      </w:r>
      <w:r w:rsidRPr="00C22D06">
        <w:rPr>
          <w:i/>
          <w:lang w:val="de-CH"/>
        </w:rPr>
        <w:t>Singh et al. v. Canada</w:t>
      </w:r>
      <w:r w:rsidRPr="00B46B5D">
        <w:rPr>
          <w:lang w:val="de-CH"/>
        </w:rPr>
        <w:t xml:space="preserve"> (CCPR/C/125/DR/2948/2017), para. </w:t>
      </w:r>
      <w:r w:rsidRPr="003C593C">
        <w:t>6.4.</w:t>
      </w:r>
    </w:p>
  </w:footnote>
  <w:footnote w:id="15">
    <w:p w14:paraId="7874EC78" w14:textId="224A9A3B" w:rsidR="000D2978" w:rsidRPr="00310FD5" w:rsidRDefault="000D2978" w:rsidP="000D2978">
      <w:pPr>
        <w:pStyle w:val="FootnoteText"/>
        <w:rPr>
          <w:lang w:val="fr-FR"/>
        </w:rPr>
      </w:pPr>
      <w:r w:rsidRPr="009B10CE">
        <w:tab/>
      </w:r>
      <w:r w:rsidRPr="009E3366">
        <w:rPr>
          <w:rStyle w:val="FootnoteReference"/>
        </w:rPr>
        <w:footnoteRef/>
      </w:r>
      <w:r w:rsidRPr="009B10CE">
        <w:tab/>
        <w:t>See</w:t>
      </w:r>
      <w:r>
        <w:t>,</w:t>
      </w:r>
      <w:r w:rsidRPr="009B10CE">
        <w:t xml:space="preserve"> </w:t>
      </w:r>
      <w:r>
        <w:t>for example,</w:t>
      </w:r>
      <w:r w:rsidRPr="009B10CE">
        <w:t xml:space="preserve"> </w:t>
      </w:r>
      <w:r w:rsidRPr="000D2978">
        <w:rPr>
          <w:i/>
        </w:rPr>
        <w:t>D.G. et al. v. the Philippines</w:t>
      </w:r>
      <w:r>
        <w:t xml:space="preserve"> (</w:t>
      </w:r>
      <w:r w:rsidRPr="000D2978">
        <w:t>CCPR/C/128/D/2568/2015</w:t>
      </w:r>
      <w:r>
        <w:t xml:space="preserve">), para. </w:t>
      </w:r>
      <w:r w:rsidRPr="00522979">
        <w:t xml:space="preserve">6.3; </w:t>
      </w:r>
      <w:proofErr w:type="spellStart"/>
      <w:r w:rsidRPr="00522979">
        <w:rPr>
          <w:i/>
        </w:rPr>
        <w:t>Kaaber</w:t>
      </w:r>
      <w:proofErr w:type="spellEnd"/>
      <w:r w:rsidRPr="00522979">
        <w:rPr>
          <w:i/>
        </w:rPr>
        <w:t xml:space="preserve"> v. Iceland </w:t>
      </w:r>
      <w:r w:rsidRPr="00522979">
        <w:t>(CCPR/C/58/D/674/1995), para. 6.2.</w:t>
      </w:r>
      <w:r w:rsidR="00310FD5" w:rsidRPr="00522979">
        <w:t xml:space="preserve"> See also </w:t>
      </w:r>
      <w:r w:rsidR="00310FD5" w:rsidRPr="00522979">
        <w:rPr>
          <w:i/>
        </w:rPr>
        <w:t>A.M. v. Italy</w:t>
      </w:r>
      <w:r w:rsidR="00310FD5" w:rsidRPr="00522979">
        <w:t xml:space="preserve"> (CCPR/C/35/D/266/1987), para. </w:t>
      </w:r>
      <w:r w:rsidR="00310FD5">
        <w:rPr>
          <w:lang w:val="fr-FR"/>
        </w:rPr>
        <w:t xml:space="preserve">7.3.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BD10D" w14:textId="7A9AC4C6" w:rsidR="0056354C" w:rsidRDefault="0056354C" w:rsidP="00FF3E9C">
    <w:pPr>
      <w:pStyle w:val="Header"/>
    </w:pPr>
    <w:r>
      <w:t>CCPR/C/134/D/3587/2019</w:t>
    </w:r>
    <w:r w:rsidR="003741D9" w:rsidRPr="003741D9">
      <w:t>Advance unedited version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65090" w14:textId="1E7BC862" w:rsidR="0056354C" w:rsidRDefault="003741D9" w:rsidP="00FF3E9C">
    <w:pPr>
      <w:pStyle w:val="Header"/>
      <w:jc w:val="right"/>
    </w:pPr>
    <w:r w:rsidRPr="003741D9">
      <w:t>Advance unedited version</w:t>
    </w:r>
    <w:r>
      <w:t xml:space="preserve"> </w:t>
    </w:r>
    <w:r w:rsidR="0056354C">
      <w:t>CCPR/C/134/D/3587/2019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D733C2"/>
    <w:multiLevelType w:val="multilevel"/>
    <w:tmpl w:val="C4C06F56"/>
    <w:lvl w:ilvl="0">
      <w:start w:val="2"/>
      <w:numFmt w:val="decimal"/>
      <w:lvlText w:val="%1"/>
      <w:lvlJc w:val="left"/>
      <w:pPr>
        <w:ind w:left="360" w:hanging="360"/>
      </w:pPr>
      <w:rPr>
        <w:rFonts w:eastAsia="SimSun" w:hint="default"/>
      </w:rPr>
    </w:lvl>
    <w:lvl w:ilvl="1">
      <w:start w:val="6"/>
      <w:numFmt w:val="decimal"/>
      <w:lvlText w:val="%1.%2"/>
      <w:lvlJc w:val="left"/>
      <w:pPr>
        <w:ind w:left="1494" w:hanging="360"/>
      </w:pPr>
      <w:rPr>
        <w:rFonts w:eastAsia="SimSun" w:hint="default"/>
      </w:rPr>
    </w:lvl>
    <w:lvl w:ilvl="2">
      <w:start w:val="1"/>
      <w:numFmt w:val="decimal"/>
      <w:lvlText w:val="%1.%2.%3"/>
      <w:lvlJc w:val="left"/>
      <w:pPr>
        <w:ind w:left="2988" w:hanging="720"/>
      </w:pPr>
      <w:rPr>
        <w:rFonts w:eastAsia="SimSun" w:hint="default"/>
      </w:rPr>
    </w:lvl>
    <w:lvl w:ilvl="3">
      <w:start w:val="1"/>
      <w:numFmt w:val="decimal"/>
      <w:lvlText w:val="%1.%2.%3.%4"/>
      <w:lvlJc w:val="left"/>
      <w:pPr>
        <w:ind w:left="4122" w:hanging="720"/>
      </w:pPr>
      <w:rPr>
        <w:rFonts w:eastAsia="SimSun" w:hint="default"/>
      </w:rPr>
    </w:lvl>
    <w:lvl w:ilvl="4">
      <w:start w:val="1"/>
      <w:numFmt w:val="decimal"/>
      <w:lvlText w:val="%1.%2.%3.%4.%5"/>
      <w:lvlJc w:val="left"/>
      <w:pPr>
        <w:ind w:left="5256" w:hanging="720"/>
      </w:pPr>
      <w:rPr>
        <w:rFonts w:eastAsia="SimSun" w:hint="default"/>
      </w:rPr>
    </w:lvl>
    <w:lvl w:ilvl="5">
      <w:start w:val="1"/>
      <w:numFmt w:val="decimal"/>
      <w:lvlText w:val="%1.%2.%3.%4.%5.%6"/>
      <w:lvlJc w:val="left"/>
      <w:pPr>
        <w:ind w:left="6750" w:hanging="1080"/>
      </w:pPr>
      <w:rPr>
        <w:rFonts w:eastAsia="SimSun" w:hint="default"/>
      </w:rPr>
    </w:lvl>
    <w:lvl w:ilvl="6">
      <w:start w:val="1"/>
      <w:numFmt w:val="decimal"/>
      <w:lvlText w:val="%1.%2.%3.%4.%5.%6.%7"/>
      <w:lvlJc w:val="left"/>
      <w:pPr>
        <w:ind w:left="7884" w:hanging="1080"/>
      </w:pPr>
      <w:rPr>
        <w:rFonts w:eastAsia="SimSun" w:hint="default"/>
      </w:rPr>
    </w:lvl>
    <w:lvl w:ilvl="7">
      <w:start w:val="1"/>
      <w:numFmt w:val="decimal"/>
      <w:lvlText w:val="%1.%2.%3.%4.%5.%6.%7.%8"/>
      <w:lvlJc w:val="left"/>
      <w:pPr>
        <w:ind w:left="9378" w:hanging="1440"/>
      </w:pPr>
      <w:rPr>
        <w:rFonts w:eastAsia="SimSun" w:hint="default"/>
      </w:rPr>
    </w:lvl>
    <w:lvl w:ilvl="8">
      <w:start w:val="1"/>
      <w:numFmt w:val="decimal"/>
      <w:lvlText w:val="%1.%2.%3.%4.%5.%6.%7.%8.%9"/>
      <w:lvlJc w:val="left"/>
      <w:pPr>
        <w:ind w:left="10512" w:hanging="1440"/>
      </w:pPr>
      <w:rPr>
        <w:rFonts w:eastAsia="SimSun" w:hint="default"/>
      </w:rPr>
    </w:lvl>
  </w:abstractNum>
  <w:abstractNum w:abstractNumId="2" w15:restartNumberingAfterBreak="0">
    <w:nsid w:val="10E60AA4"/>
    <w:multiLevelType w:val="multilevel"/>
    <w:tmpl w:val="5E043E3C"/>
    <w:lvl w:ilvl="0">
      <w:start w:val="2"/>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26F09"/>
    <w:multiLevelType w:val="hybridMultilevel"/>
    <w:tmpl w:val="37982864"/>
    <w:lvl w:ilvl="0" w:tplc="73D4F5EE">
      <w:start w:val="14"/>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C15106"/>
    <w:multiLevelType w:val="multilevel"/>
    <w:tmpl w:val="C7FE15AE"/>
    <w:lvl w:ilvl="0">
      <w:start w:val="1"/>
      <w:numFmt w:val="decimal"/>
      <w:lvlText w:val="%1."/>
      <w:lvlJc w:val="left"/>
      <w:pPr>
        <w:ind w:left="1689" w:hanging="555"/>
      </w:pPr>
      <w:rPr>
        <w:rFonts w:hint="default"/>
      </w:rPr>
    </w:lvl>
    <w:lvl w:ilvl="1">
      <w:start w:val="1"/>
      <w:numFmt w:val="decimal"/>
      <w:isLgl/>
      <w:lvlText w:val="%1.%2"/>
      <w:lvlJc w:val="left"/>
      <w:pPr>
        <w:ind w:left="1494" w:hanging="360"/>
      </w:pPr>
      <w:rPr>
        <w:rFonts w:hint="default"/>
        <w:b w:val="0"/>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8" w15:restartNumberingAfterBreak="0">
    <w:nsid w:val="4D22648A"/>
    <w:multiLevelType w:val="multilevel"/>
    <w:tmpl w:val="B07C0BDA"/>
    <w:lvl w:ilvl="0">
      <w:start w:val="2"/>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748012A7"/>
    <w:multiLevelType w:val="multilevel"/>
    <w:tmpl w:val="870E837E"/>
    <w:lvl w:ilvl="0">
      <w:start w:val="2"/>
      <w:numFmt w:val="decimal"/>
      <w:lvlText w:val="%1"/>
      <w:lvlJc w:val="left"/>
      <w:pPr>
        <w:ind w:left="360" w:hanging="360"/>
      </w:pPr>
      <w:rPr>
        <w:rFonts w:eastAsia="SimSun" w:hint="default"/>
        <w:b w:val="0"/>
      </w:rPr>
    </w:lvl>
    <w:lvl w:ilvl="1">
      <w:start w:val="8"/>
      <w:numFmt w:val="decimal"/>
      <w:lvlText w:val="%1.%2"/>
      <w:lvlJc w:val="left"/>
      <w:pPr>
        <w:ind w:left="1494" w:hanging="360"/>
      </w:pPr>
      <w:rPr>
        <w:rFonts w:eastAsia="SimSun" w:hint="default"/>
        <w:b w:val="0"/>
      </w:rPr>
    </w:lvl>
    <w:lvl w:ilvl="2">
      <w:start w:val="1"/>
      <w:numFmt w:val="decimal"/>
      <w:lvlText w:val="%1.%2.%3"/>
      <w:lvlJc w:val="left"/>
      <w:pPr>
        <w:ind w:left="2988" w:hanging="720"/>
      </w:pPr>
      <w:rPr>
        <w:rFonts w:eastAsia="SimSun" w:hint="default"/>
        <w:b w:val="0"/>
      </w:rPr>
    </w:lvl>
    <w:lvl w:ilvl="3">
      <w:start w:val="1"/>
      <w:numFmt w:val="decimal"/>
      <w:lvlText w:val="%1.%2.%3.%4"/>
      <w:lvlJc w:val="left"/>
      <w:pPr>
        <w:ind w:left="4122" w:hanging="720"/>
      </w:pPr>
      <w:rPr>
        <w:rFonts w:eastAsia="SimSun" w:hint="default"/>
        <w:b w:val="0"/>
      </w:rPr>
    </w:lvl>
    <w:lvl w:ilvl="4">
      <w:start w:val="1"/>
      <w:numFmt w:val="decimal"/>
      <w:lvlText w:val="%1.%2.%3.%4.%5"/>
      <w:lvlJc w:val="left"/>
      <w:pPr>
        <w:ind w:left="5256" w:hanging="720"/>
      </w:pPr>
      <w:rPr>
        <w:rFonts w:eastAsia="SimSun" w:hint="default"/>
        <w:b w:val="0"/>
      </w:rPr>
    </w:lvl>
    <w:lvl w:ilvl="5">
      <w:start w:val="1"/>
      <w:numFmt w:val="decimal"/>
      <w:lvlText w:val="%1.%2.%3.%4.%5.%6"/>
      <w:lvlJc w:val="left"/>
      <w:pPr>
        <w:ind w:left="6750" w:hanging="1080"/>
      </w:pPr>
      <w:rPr>
        <w:rFonts w:eastAsia="SimSun" w:hint="default"/>
        <w:b w:val="0"/>
      </w:rPr>
    </w:lvl>
    <w:lvl w:ilvl="6">
      <w:start w:val="1"/>
      <w:numFmt w:val="decimal"/>
      <w:lvlText w:val="%1.%2.%3.%4.%5.%6.%7"/>
      <w:lvlJc w:val="left"/>
      <w:pPr>
        <w:ind w:left="7884" w:hanging="1080"/>
      </w:pPr>
      <w:rPr>
        <w:rFonts w:eastAsia="SimSun" w:hint="default"/>
        <w:b w:val="0"/>
      </w:rPr>
    </w:lvl>
    <w:lvl w:ilvl="7">
      <w:start w:val="1"/>
      <w:numFmt w:val="decimal"/>
      <w:lvlText w:val="%1.%2.%3.%4.%5.%6.%7.%8"/>
      <w:lvlJc w:val="left"/>
      <w:pPr>
        <w:ind w:left="9378" w:hanging="1440"/>
      </w:pPr>
      <w:rPr>
        <w:rFonts w:eastAsia="SimSun" w:hint="default"/>
        <w:b w:val="0"/>
      </w:rPr>
    </w:lvl>
    <w:lvl w:ilvl="8">
      <w:start w:val="1"/>
      <w:numFmt w:val="decimal"/>
      <w:lvlText w:val="%1.%2.%3.%4.%5.%6.%7.%8.%9"/>
      <w:lvlJc w:val="left"/>
      <w:pPr>
        <w:ind w:left="10512" w:hanging="1440"/>
      </w:pPr>
      <w:rPr>
        <w:rFonts w:eastAsia="SimSun" w:hint="default"/>
        <w:b w:val="0"/>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4"/>
  </w:num>
  <w:num w:numId="3">
    <w:abstractNumId w:val="0"/>
  </w:num>
  <w:num w:numId="4">
    <w:abstractNumId w:val="9"/>
  </w:num>
  <w:num w:numId="5">
    <w:abstractNumId w:val="10"/>
  </w:num>
  <w:num w:numId="6">
    <w:abstractNumId w:val="12"/>
  </w:num>
  <w:num w:numId="7">
    <w:abstractNumId w:val="3"/>
  </w:num>
  <w:num w:numId="8">
    <w:abstractNumId w:val="5"/>
  </w:num>
  <w:num w:numId="9">
    <w:abstractNumId w:val="7"/>
  </w:num>
  <w:num w:numId="10">
    <w:abstractNumId w:val="13"/>
  </w:num>
  <w:num w:numId="11">
    <w:abstractNumId w:val="11"/>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GB" w:vendorID="64" w:dllVersion="6" w:nlCheck="1" w:checkStyle="0"/>
  <w:activeWritingStyle w:appName="MSWord" w:lang="es-ES" w:vendorID="64" w:dllVersion="6" w:nlCheck="1" w:checkStyle="0"/>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de-CH" w:vendorID="64" w:dllVersion="0" w:nlCheck="1" w:checkStyle="0"/>
  <w:activeWritingStyle w:appName="MSWord" w:lang="fr-FR" w:vendorID="64" w:dllVersion="0" w:nlCheck="1" w:checkStyle="0"/>
  <w:activeWritingStyle w:appName="MSWord" w:lang="de-CH" w:vendorID="64" w:dllVersion="4096" w:nlCheck="1" w:checkStyle="0"/>
  <w:activeWritingStyle w:appName="MSWord" w:lang="en-GB"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567"/>
  <w:hyphenationZone w:val="425"/>
  <w:evenAndOddHeaders/>
  <w:characterSpacingControl w:val="doNotCompress"/>
  <w:hdrShapeDefaults>
    <o:shapedefaults v:ext="edit" spidmax="32769">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F9"/>
    <w:rsid w:val="00000649"/>
    <w:rsid w:val="00001982"/>
    <w:rsid w:val="00003C18"/>
    <w:rsid w:val="00004858"/>
    <w:rsid w:val="00004EC1"/>
    <w:rsid w:val="00006F12"/>
    <w:rsid w:val="00010AB0"/>
    <w:rsid w:val="00011F92"/>
    <w:rsid w:val="00012E63"/>
    <w:rsid w:val="00013E35"/>
    <w:rsid w:val="00014A9C"/>
    <w:rsid w:val="000170EB"/>
    <w:rsid w:val="00017A08"/>
    <w:rsid w:val="000203B4"/>
    <w:rsid w:val="00020EB7"/>
    <w:rsid w:val="000212A7"/>
    <w:rsid w:val="00021791"/>
    <w:rsid w:val="000232FB"/>
    <w:rsid w:val="00023885"/>
    <w:rsid w:val="00023924"/>
    <w:rsid w:val="00030D8F"/>
    <w:rsid w:val="00030E4D"/>
    <w:rsid w:val="0003687C"/>
    <w:rsid w:val="00036A7F"/>
    <w:rsid w:val="00036EFA"/>
    <w:rsid w:val="000375E0"/>
    <w:rsid w:val="00041946"/>
    <w:rsid w:val="00044B91"/>
    <w:rsid w:val="000457FE"/>
    <w:rsid w:val="00046E92"/>
    <w:rsid w:val="00052D66"/>
    <w:rsid w:val="000538F6"/>
    <w:rsid w:val="00053EA6"/>
    <w:rsid w:val="0005494D"/>
    <w:rsid w:val="000600C3"/>
    <w:rsid w:val="00060D8A"/>
    <w:rsid w:val="000639F7"/>
    <w:rsid w:val="0006523D"/>
    <w:rsid w:val="000709CD"/>
    <w:rsid w:val="00070AEE"/>
    <w:rsid w:val="00071FFA"/>
    <w:rsid w:val="00077ADC"/>
    <w:rsid w:val="00077ADD"/>
    <w:rsid w:val="00081C6A"/>
    <w:rsid w:val="00081E71"/>
    <w:rsid w:val="00083C6A"/>
    <w:rsid w:val="0008474F"/>
    <w:rsid w:val="00084A42"/>
    <w:rsid w:val="00085924"/>
    <w:rsid w:val="00085B88"/>
    <w:rsid w:val="00086A9D"/>
    <w:rsid w:val="00090952"/>
    <w:rsid w:val="000911B3"/>
    <w:rsid w:val="00092452"/>
    <w:rsid w:val="00094959"/>
    <w:rsid w:val="00096F4D"/>
    <w:rsid w:val="00097580"/>
    <w:rsid w:val="000A124C"/>
    <w:rsid w:val="000A1F88"/>
    <w:rsid w:val="000A387C"/>
    <w:rsid w:val="000A46AA"/>
    <w:rsid w:val="000A52B3"/>
    <w:rsid w:val="000B46B9"/>
    <w:rsid w:val="000B4714"/>
    <w:rsid w:val="000C0181"/>
    <w:rsid w:val="000C3ECF"/>
    <w:rsid w:val="000C6766"/>
    <w:rsid w:val="000C6D4C"/>
    <w:rsid w:val="000D0009"/>
    <w:rsid w:val="000D2978"/>
    <w:rsid w:val="000D2DE0"/>
    <w:rsid w:val="000D430D"/>
    <w:rsid w:val="000D462C"/>
    <w:rsid w:val="000D5930"/>
    <w:rsid w:val="000D6969"/>
    <w:rsid w:val="000E015C"/>
    <w:rsid w:val="000E0187"/>
    <w:rsid w:val="000E55DB"/>
    <w:rsid w:val="000F2054"/>
    <w:rsid w:val="00100068"/>
    <w:rsid w:val="0010147C"/>
    <w:rsid w:val="00101A55"/>
    <w:rsid w:val="0010241A"/>
    <w:rsid w:val="001068FD"/>
    <w:rsid w:val="00110297"/>
    <w:rsid w:val="001151AA"/>
    <w:rsid w:val="001177A9"/>
    <w:rsid w:val="00120D07"/>
    <w:rsid w:val="001241A6"/>
    <w:rsid w:val="00125DB1"/>
    <w:rsid w:val="00126A1A"/>
    <w:rsid w:val="00130633"/>
    <w:rsid w:val="0013166F"/>
    <w:rsid w:val="00131A86"/>
    <w:rsid w:val="00131D7A"/>
    <w:rsid w:val="00134000"/>
    <w:rsid w:val="00136017"/>
    <w:rsid w:val="001363E8"/>
    <w:rsid w:val="00137C34"/>
    <w:rsid w:val="00140F79"/>
    <w:rsid w:val="001411A0"/>
    <w:rsid w:val="001431DF"/>
    <w:rsid w:val="00143DBF"/>
    <w:rsid w:val="00145168"/>
    <w:rsid w:val="001471AD"/>
    <w:rsid w:val="00147C9D"/>
    <w:rsid w:val="0015145F"/>
    <w:rsid w:val="00151507"/>
    <w:rsid w:val="00152776"/>
    <w:rsid w:val="00154CD3"/>
    <w:rsid w:val="00160834"/>
    <w:rsid w:val="00160DF2"/>
    <w:rsid w:val="00162963"/>
    <w:rsid w:val="00165427"/>
    <w:rsid w:val="00165A4D"/>
    <w:rsid w:val="00165C15"/>
    <w:rsid w:val="001666A1"/>
    <w:rsid w:val="00166898"/>
    <w:rsid w:val="001672EF"/>
    <w:rsid w:val="0016746C"/>
    <w:rsid w:val="00170EC0"/>
    <w:rsid w:val="0017130B"/>
    <w:rsid w:val="0017321C"/>
    <w:rsid w:val="0017510B"/>
    <w:rsid w:val="001802E8"/>
    <w:rsid w:val="00181ABB"/>
    <w:rsid w:val="00187161"/>
    <w:rsid w:val="00187455"/>
    <w:rsid w:val="00190AA5"/>
    <w:rsid w:val="00191841"/>
    <w:rsid w:val="001934E5"/>
    <w:rsid w:val="00194B41"/>
    <w:rsid w:val="00194EAB"/>
    <w:rsid w:val="00195022"/>
    <w:rsid w:val="001A02C3"/>
    <w:rsid w:val="001A13F9"/>
    <w:rsid w:val="001A2E78"/>
    <w:rsid w:val="001A4BAC"/>
    <w:rsid w:val="001A7B1C"/>
    <w:rsid w:val="001A7E36"/>
    <w:rsid w:val="001B305A"/>
    <w:rsid w:val="001B3598"/>
    <w:rsid w:val="001B47A8"/>
    <w:rsid w:val="001B511B"/>
    <w:rsid w:val="001B60B3"/>
    <w:rsid w:val="001C2162"/>
    <w:rsid w:val="001C2937"/>
    <w:rsid w:val="001C3CEA"/>
    <w:rsid w:val="001C521E"/>
    <w:rsid w:val="001D1729"/>
    <w:rsid w:val="001D1881"/>
    <w:rsid w:val="001D1AA3"/>
    <w:rsid w:val="001D1BE2"/>
    <w:rsid w:val="001D57BB"/>
    <w:rsid w:val="001D5D4C"/>
    <w:rsid w:val="001D6F94"/>
    <w:rsid w:val="001E1FE4"/>
    <w:rsid w:val="001E232D"/>
    <w:rsid w:val="001E3A08"/>
    <w:rsid w:val="001E4246"/>
    <w:rsid w:val="001F0D86"/>
    <w:rsid w:val="001F2B29"/>
    <w:rsid w:val="001F2ECA"/>
    <w:rsid w:val="001F321C"/>
    <w:rsid w:val="001F3D0F"/>
    <w:rsid w:val="001F4C84"/>
    <w:rsid w:val="001F5253"/>
    <w:rsid w:val="001F542B"/>
    <w:rsid w:val="001F74F2"/>
    <w:rsid w:val="001F78D1"/>
    <w:rsid w:val="00200100"/>
    <w:rsid w:val="00201E97"/>
    <w:rsid w:val="0020431A"/>
    <w:rsid w:val="002074F8"/>
    <w:rsid w:val="0020759D"/>
    <w:rsid w:val="00207CAD"/>
    <w:rsid w:val="00210938"/>
    <w:rsid w:val="002114E1"/>
    <w:rsid w:val="00212970"/>
    <w:rsid w:val="002149EF"/>
    <w:rsid w:val="00216996"/>
    <w:rsid w:val="00221803"/>
    <w:rsid w:val="002223AD"/>
    <w:rsid w:val="002240EC"/>
    <w:rsid w:val="00224817"/>
    <w:rsid w:val="00226CBF"/>
    <w:rsid w:val="00226F2B"/>
    <w:rsid w:val="00230066"/>
    <w:rsid w:val="00230C46"/>
    <w:rsid w:val="00231278"/>
    <w:rsid w:val="00234041"/>
    <w:rsid w:val="00234986"/>
    <w:rsid w:val="00234F7B"/>
    <w:rsid w:val="002350C6"/>
    <w:rsid w:val="00236565"/>
    <w:rsid w:val="002417D5"/>
    <w:rsid w:val="00242A89"/>
    <w:rsid w:val="00242AF9"/>
    <w:rsid w:val="0024303A"/>
    <w:rsid w:val="0024336D"/>
    <w:rsid w:val="00244E18"/>
    <w:rsid w:val="00247E2C"/>
    <w:rsid w:val="00247ED6"/>
    <w:rsid w:val="0025070F"/>
    <w:rsid w:val="00250D7F"/>
    <w:rsid w:val="002514EE"/>
    <w:rsid w:val="00254DCE"/>
    <w:rsid w:val="002564A7"/>
    <w:rsid w:val="002565EE"/>
    <w:rsid w:val="00257A64"/>
    <w:rsid w:val="002627F0"/>
    <w:rsid w:val="00265B6E"/>
    <w:rsid w:val="002676DD"/>
    <w:rsid w:val="00272436"/>
    <w:rsid w:val="002755EB"/>
    <w:rsid w:val="00275C50"/>
    <w:rsid w:val="00275CB6"/>
    <w:rsid w:val="00276DD5"/>
    <w:rsid w:val="0027797D"/>
    <w:rsid w:val="00280AEE"/>
    <w:rsid w:val="00281271"/>
    <w:rsid w:val="00284DB4"/>
    <w:rsid w:val="0028752E"/>
    <w:rsid w:val="00290523"/>
    <w:rsid w:val="00292420"/>
    <w:rsid w:val="00294C0C"/>
    <w:rsid w:val="00296A57"/>
    <w:rsid w:val="0029744E"/>
    <w:rsid w:val="002A133B"/>
    <w:rsid w:val="002A1EBD"/>
    <w:rsid w:val="002A2A7D"/>
    <w:rsid w:val="002A2DF5"/>
    <w:rsid w:val="002A418A"/>
    <w:rsid w:val="002A4500"/>
    <w:rsid w:val="002A4519"/>
    <w:rsid w:val="002A5510"/>
    <w:rsid w:val="002A5AC2"/>
    <w:rsid w:val="002A6188"/>
    <w:rsid w:val="002A6523"/>
    <w:rsid w:val="002B020E"/>
    <w:rsid w:val="002B14DB"/>
    <w:rsid w:val="002B19B7"/>
    <w:rsid w:val="002B1CFA"/>
    <w:rsid w:val="002B35BC"/>
    <w:rsid w:val="002B5B5C"/>
    <w:rsid w:val="002B5BD1"/>
    <w:rsid w:val="002B648D"/>
    <w:rsid w:val="002B6F6A"/>
    <w:rsid w:val="002C11B0"/>
    <w:rsid w:val="002C154E"/>
    <w:rsid w:val="002C3977"/>
    <w:rsid w:val="002C5DEF"/>
    <w:rsid w:val="002C5E9F"/>
    <w:rsid w:val="002C6993"/>
    <w:rsid w:val="002C72B3"/>
    <w:rsid w:val="002C7852"/>
    <w:rsid w:val="002C7EE6"/>
    <w:rsid w:val="002D2184"/>
    <w:rsid w:val="002D2BF2"/>
    <w:rsid w:val="002D3A4F"/>
    <w:rsid w:val="002D4515"/>
    <w:rsid w:val="002D605D"/>
    <w:rsid w:val="002D6299"/>
    <w:rsid w:val="002D6BD5"/>
    <w:rsid w:val="002D6C53"/>
    <w:rsid w:val="002D744B"/>
    <w:rsid w:val="002D75B7"/>
    <w:rsid w:val="002E0484"/>
    <w:rsid w:val="002E27CD"/>
    <w:rsid w:val="002E29BD"/>
    <w:rsid w:val="002E2B25"/>
    <w:rsid w:val="002E3B50"/>
    <w:rsid w:val="002E4983"/>
    <w:rsid w:val="002E6BA5"/>
    <w:rsid w:val="002E7D45"/>
    <w:rsid w:val="002F0DC2"/>
    <w:rsid w:val="002F127A"/>
    <w:rsid w:val="002F1327"/>
    <w:rsid w:val="002F22D8"/>
    <w:rsid w:val="002F2793"/>
    <w:rsid w:val="002F407B"/>
    <w:rsid w:val="002F5595"/>
    <w:rsid w:val="002F5D30"/>
    <w:rsid w:val="00301BFC"/>
    <w:rsid w:val="003020AC"/>
    <w:rsid w:val="00305868"/>
    <w:rsid w:val="00310A8C"/>
    <w:rsid w:val="00310FD5"/>
    <w:rsid w:val="00311297"/>
    <w:rsid w:val="003117DC"/>
    <w:rsid w:val="0031231C"/>
    <w:rsid w:val="00313998"/>
    <w:rsid w:val="0031418F"/>
    <w:rsid w:val="003209DB"/>
    <w:rsid w:val="003238C4"/>
    <w:rsid w:val="00323B4A"/>
    <w:rsid w:val="0032615F"/>
    <w:rsid w:val="003262DE"/>
    <w:rsid w:val="00326C6B"/>
    <w:rsid w:val="00327ADC"/>
    <w:rsid w:val="00331323"/>
    <w:rsid w:val="00334DDE"/>
    <w:rsid w:val="00334F6A"/>
    <w:rsid w:val="00342AC8"/>
    <w:rsid w:val="00343F23"/>
    <w:rsid w:val="0034675D"/>
    <w:rsid w:val="003469F9"/>
    <w:rsid w:val="00346F96"/>
    <w:rsid w:val="0034795D"/>
    <w:rsid w:val="00350335"/>
    <w:rsid w:val="00351F79"/>
    <w:rsid w:val="00356C18"/>
    <w:rsid w:val="00357774"/>
    <w:rsid w:val="00360E77"/>
    <w:rsid w:val="00365360"/>
    <w:rsid w:val="003718D6"/>
    <w:rsid w:val="00372594"/>
    <w:rsid w:val="003741D9"/>
    <w:rsid w:val="00375BF9"/>
    <w:rsid w:val="00377BB9"/>
    <w:rsid w:val="00380CE2"/>
    <w:rsid w:val="0038240B"/>
    <w:rsid w:val="00383CB3"/>
    <w:rsid w:val="00384EB0"/>
    <w:rsid w:val="00386166"/>
    <w:rsid w:val="00392836"/>
    <w:rsid w:val="003934D0"/>
    <w:rsid w:val="0039393F"/>
    <w:rsid w:val="00394B36"/>
    <w:rsid w:val="00394E02"/>
    <w:rsid w:val="00396CCA"/>
    <w:rsid w:val="003A0E1B"/>
    <w:rsid w:val="003A111F"/>
    <w:rsid w:val="003A1AFF"/>
    <w:rsid w:val="003A3850"/>
    <w:rsid w:val="003A41E4"/>
    <w:rsid w:val="003A41F3"/>
    <w:rsid w:val="003A4A3A"/>
    <w:rsid w:val="003A4CD2"/>
    <w:rsid w:val="003A6E17"/>
    <w:rsid w:val="003A717E"/>
    <w:rsid w:val="003B0607"/>
    <w:rsid w:val="003B15AD"/>
    <w:rsid w:val="003B2A86"/>
    <w:rsid w:val="003B3B5B"/>
    <w:rsid w:val="003B400C"/>
    <w:rsid w:val="003B4550"/>
    <w:rsid w:val="003B50A1"/>
    <w:rsid w:val="003B63D5"/>
    <w:rsid w:val="003B6FED"/>
    <w:rsid w:val="003B7BF1"/>
    <w:rsid w:val="003B7CEF"/>
    <w:rsid w:val="003C0783"/>
    <w:rsid w:val="003C1396"/>
    <w:rsid w:val="003C31B7"/>
    <w:rsid w:val="003C3BFD"/>
    <w:rsid w:val="003C5359"/>
    <w:rsid w:val="003C5466"/>
    <w:rsid w:val="003C593C"/>
    <w:rsid w:val="003D0086"/>
    <w:rsid w:val="003D06EA"/>
    <w:rsid w:val="003D4AA6"/>
    <w:rsid w:val="003E05B5"/>
    <w:rsid w:val="003E1B8A"/>
    <w:rsid w:val="003E24B4"/>
    <w:rsid w:val="003E2A79"/>
    <w:rsid w:val="003E3DA3"/>
    <w:rsid w:val="003E3E70"/>
    <w:rsid w:val="003E5736"/>
    <w:rsid w:val="003E6A65"/>
    <w:rsid w:val="003F0571"/>
    <w:rsid w:val="003F11F0"/>
    <w:rsid w:val="003F1241"/>
    <w:rsid w:val="003F155E"/>
    <w:rsid w:val="003F258E"/>
    <w:rsid w:val="003F3BF5"/>
    <w:rsid w:val="003F4236"/>
    <w:rsid w:val="003F6145"/>
    <w:rsid w:val="00402683"/>
    <w:rsid w:val="004028FD"/>
    <w:rsid w:val="004060C2"/>
    <w:rsid w:val="004066BC"/>
    <w:rsid w:val="00407942"/>
    <w:rsid w:val="0041053A"/>
    <w:rsid w:val="00410B03"/>
    <w:rsid w:val="00410B31"/>
    <w:rsid w:val="00411650"/>
    <w:rsid w:val="0041325E"/>
    <w:rsid w:val="0041564D"/>
    <w:rsid w:val="00416AA9"/>
    <w:rsid w:val="00420E1B"/>
    <w:rsid w:val="0042105B"/>
    <w:rsid w:val="00422564"/>
    <w:rsid w:val="004228AA"/>
    <w:rsid w:val="00423279"/>
    <w:rsid w:val="004233D3"/>
    <w:rsid w:val="00423FA6"/>
    <w:rsid w:val="00424D66"/>
    <w:rsid w:val="004264A7"/>
    <w:rsid w:val="00426A9F"/>
    <w:rsid w:val="00427C85"/>
    <w:rsid w:val="00431690"/>
    <w:rsid w:val="0043328A"/>
    <w:rsid w:val="00433474"/>
    <w:rsid w:val="0043409C"/>
    <w:rsid w:val="004341C9"/>
    <w:rsid w:val="00434293"/>
    <w:rsid w:val="004347FA"/>
    <w:rsid w:val="00435BBD"/>
    <w:rsid w:val="00440200"/>
    <w:rsid w:val="00442541"/>
    <w:rsid w:val="0044400C"/>
    <w:rsid w:val="00444646"/>
    <w:rsid w:val="00445EFB"/>
    <w:rsid w:val="0044651C"/>
    <w:rsid w:val="00447EAC"/>
    <w:rsid w:val="00450DEC"/>
    <w:rsid w:val="00451E96"/>
    <w:rsid w:val="00452D51"/>
    <w:rsid w:val="004552A8"/>
    <w:rsid w:val="00456BC4"/>
    <w:rsid w:val="00456EAE"/>
    <w:rsid w:val="004577D7"/>
    <w:rsid w:val="00460622"/>
    <w:rsid w:val="00460AA4"/>
    <w:rsid w:val="00461253"/>
    <w:rsid w:val="004620B3"/>
    <w:rsid w:val="00462C9F"/>
    <w:rsid w:val="00463010"/>
    <w:rsid w:val="00464F01"/>
    <w:rsid w:val="00466B16"/>
    <w:rsid w:val="00466F5E"/>
    <w:rsid w:val="00472CC5"/>
    <w:rsid w:val="00472FED"/>
    <w:rsid w:val="00476D63"/>
    <w:rsid w:val="0048046F"/>
    <w:rsid w:val="0048054B"/>
    <w:rsid w:val="004808C5"/>
    <w:rsid w:val="00481B2D"/>
    <w:rsid w:val="00483417"/>
    <w:rsid w:val="00486A7B"/>
    <w:rsid w:val="00487468"/>
    <w:rsid w:val="004929F6"/>
    <w:rsid w:val="0049354D"/>
    <w:rsid w:val="0049536F"/>
    <w:rsid w:val="004956A0"/>
    <w:rsid w:val="00495F78"/>
    <w:rsid w:val="004960D1"/>
    <w:rsid w:val="004966F7"/>
    <w:rsid w:val="00496C45"/>
    <w:rsid w:val="00496DB8"/>
    <w:rsid w:val="004A064C"/>
    <w:rsid w:val="004A082C"/>
    <w:rsid w:val="004A1630"/>
    <w:rsid w:val="004A1BAC"/>
    <w:rsid w:val="004B0049"/>
    <w:rsid w:val="004B27CC"/>
    <w:rsid w:val="004B3072"/>
    <w:rsid w:val="004B314E"/>
    <w:rsid w:val="004B6B2C"/>
    <w:rsid w:val="004C0155"/>
    <w:rsid w:val="004C068D"/>
    <w:rsid w:val="004C282E"/>
    <w:rsid w:val="004C2976"/>
    <w:rsid w:val="004C2B8F"/>
    <w:rsid w:val="004C520D"/>
    <w:rsid w:val="004C54A3"/>
    <w:rsid w:val="004D0263"/>
    <w:rsid w:val="004D19CA"/>
    <w:rsid w:val="004D30E3"/>
    <w:rsid w:val="004D60A1"/>
    <w:rsid w:val="004E1B80"/>
    <w:rsid w:val="004E1F2B"/>
    <w:rsid w:val="004E3604"/>
    <w:rsid w:val="004E3851"/>
    <w:rsid w:val="004E73C3"/>
    <w:rsid w:val="004E7667"/>
    <w:rsid w:val="004F1685"/>
    <w:rsid w:val="004F1D1D"/>
    <w:rsid w:val="004F2294"/>
    <w:rsid w:val="004F2947"/>
    <w:rsid w:val="004F5159"/>
    <w:rsid w:val="004F5CFF"/>
    <w:rsid w:val="004F6CAB"/>
    <w:rsid w:val="005006D5"/>
    <w:rsid w:val="00500F3B"/>
    <w:rsid w:val="0050205B"/>
    <w:rsid w:val="00502562"/>
    <w:rsid w:val="00503D3D"/>
    <w:rsid w:val="005042C2"/>
    <w:rsid w:val="00504391"/>
    <w:rsid w:val="005078CD"/>
    <w:rsid w:val="00510A06"/>
    <w:rsid w:val="00511294"/>
    <w:rsid w:val="005114E5"/>
    <w:rsid w:val="005127F0"/>
    <w:rsid w:val="00512F5B"/>
    <w:rsid w:val="00513369"/>
    <w:rsid w:val="00514586"/>
    <w:rsid w:val="00515499"/>
    <w:rsid w:val="00522979"/>
    <w:rsid w:val="00523895"/>
    <w:rsid w:val="00523DFC"/>
    <w:rsid w:val="0052480D"/>
    <w:rsid w:val="00526B80"/>
    <w:rsid w:val="00526EBE"/>
    <w:rsid w:val="005301E8"/>
    <w:rsid w:val="00530E21"/>
    <w:rsid w:val="005311C6"/>
    <w:rsid w:val="00531494"/>
    <w:rsid w:val="00532C1B"/>
    <w:rsid w:val="005330D6"/>
    <w:rsid w:val="00533F91"/>
    <w:rsid w:val="0053425A"/>
    <w:rsid w:val="00534E4D"/>
    <w:rsid w:val="00543BAB"/>
    <w:rsid w:val="0054448A"/>
    <w:rsid w:val="00545744"/>
    <w:rsid w:val="00547F6E"/>
    <w:rsid w:val="00550B2A"/>
    <w:rsid w:val="00550B64"/>
    <w:rsid w:val="00555699"/>
    <w:rsid w:val="00556335"/>
    <w:rsid w:val="005570E2"/>
    <w:rsid w:val="00557E05"/>
    <w:rsid w:val="00560671"/>
    <w:rsid w:val="00560C91"/>
    <w:rsid w:val="00561855"/>
    <w:rsid w:val="005619B0"/>
    <w:rsid w:val="0056354C"/>
    <w:rsid w:val="00563C54"/>
    <w:rsid w:val="00564693"/>
    <w:rsid w:val="00565E82"/>
    <w:rsid w:val="00566AEA"/>
    <w:rsid w:val="00567404"/>
    <w:rsid w:val="00567803"/>
    <w:rsid w:val="005701A3"/>
    <w:rsid w:val="00570FEB"/>
    <w:rsid w:val="00571CC4"/>
    <w:rsid w:val="00573A3E"/>
    <w:rsid w:val="00576C14"/>
    <w:rsid w:val="00576EC1"/>
    <w:rsid w:val="00577481"/>
    <w:rsid w:val="005818BE"/>
    <w:rsid w:val="00582015"/>
    <w:rsid w:val="0058450B"/>
    <w:rsid w:val="005871D7"/>
    <w:rsid w:val="00594893"/>
    <w:rsid w:val="00594A60"/>
    <w:rsid w:val="005A11EB"/>
    <w:rsid w:val="005A5828"/>
    <w:rsid w:val="005A5F43"/>
    <w:rsid w:val="005B1957"/>
    <w:rsid w:val="005B198A"/>
    <w:rsid w:val="005B215E"/>
    <w:rsid w:val="005B4D5D"/>
    <w:rsid w:val="005B60A3"/>
    <w:rsid w:val="005B6190"/>
    <w:rsid w:val="005B619F"/>
    <w:rsid w:val="005B7133"/>
    <w:rsid w:val="005C4938"/>
    <w:rsid w:val="005C4F9F"/>
    <w:rsid w:val="005C6DB4"/>
    <w:rsid w:val="005C7912"/>
    <w:rsid w:val="005D0339"/>
    <w:rsid w:val="005D3487"/>
    <w:rsid w:val="005D65FD"/>
    <w:rsid w:val="005D76BD"/>
    <w:rsid w:val="005D77D2"/>
    <w:rsid w:val="005E2841"/>
    <w:rsid w:val="005E286B"/>
    <w:rsid w:val="005E3190"/>
    <w:rsid w:val="005E57BB"/>
    <w:rsid w:val="005E6096"/>
    <w:rsid w:val="005F1912"/>
    <w:rsid w:val="005F21A5"/>
    <w:rsid w:val="005F3A4C"/>
    <w:rsid w:val="00602012"/>
    <w:rsid w:val="00602262"/>
    <w:rsid w:val="006039CE"/>
    <w:rsid w:val="00603EEA"/>
    <w:rsid w:val="00604C2F"/>
    <w:rsid w:val="0061381B"/>
    <w:rsid w:val="006145A9"/>
    <w:rsid w:val="0061647D"/>
    <w:rsid w:val="00620D2A"/>
    <w:rsid w:val="00622504"/>
    <w:rsid w:val="006227D7"/>
    <w:rsid w:val="00623929"/>
    <w:rsid w:val="00624043"/>
    <w:rsid w:val="00627B3B"/>
    <w:rsid w:val="0063004D"/>
    <w:rsid w:val="00635256"/>
    <w:rsid w:val="00635C1B"/>
    <w:rsid w:val="00635F21"/>
    <w:rsid w:val="00636D31"/>
    <w:rsid w:val="00637C0A"/>
    <w:rsid w:val="00641006"/>
    <w:rsid w:val="006412A5"/>
    <w:rsid w:val="00641420"/>
    <w:rsid w:val="00641FB1"/>
    <w:rsid w:val="00643DCA"/>
    <w:rsid w:val="00644A72"/>
    <w:rsid w:val="00647EE2"/>
    <w:rsid w:val="00651AD9"/>
    <w:rsid w:val="00653FDF"/>
    <w:rsid w:val="00657AA0"/>
    <w:rsid w:val="006612A7"/>
    <w:rsid w:val="00661FC2"/>
    <w:rsid w:val="00663C49"/>
    <w:rsid w:val="00664489"/>
    <w:rsid w:val="006648BA"/>
    <w:rsid w:val="00664961"/>
    <w:rsid w:val="00671529"/>
    <w:rsid w:val="00672A29"/>
    <w:rsid w:val="00673058"/>
    <w:rsid w:val="006734A0"/>
    <w:rsid w:val="00675CE5"/>
    <w:rsid w:val="006817CB"/>
    <w:rsid w:val="00683879"/>
    <w:rsid w:val="0068393C"/>
    <w:rsid w:val="00684011"/>
    <w:rsid w:val="006849C0"/>
    <w:rsid w:val="00686BC6"/>
    <w:rsid w:val="0069000C"/>
    <w:rsid w:val="00690476"/>
    <w:rsid w:val="00693947"/>
    <w:rsid w:val="00693ED8"/>
    <w:rsid w:val="006965DB"/>
    <w:rsid w:val="006A2207"/>
    <w:rsid w:val="006A3BD9"/>
    <w:rsid w:val="006A55EE"/>
    <w:rsid w:val="006A7419"/>
    <w:rsid w:val="006B00D5"/>
    <w:rsid w:val="006B081A"/>
    <w:rsid w:val="006B1455"/>
    <w:rsid w:val="006B2188"/>
    <w:rsid w:val="006B29C2"/>
    <w:rsid w:val="006B518F"/>
    <w:rsid w:val="006B7A88"/>
    <w:rsid w:val="006C0FFB"/>
    <w:rsid w:val="006C2CFB"/>
    <w:rsid w:val="006C3274"/>
    <w:rsid w:val="006C3B28"/>
    <w:rsid w:val="006C4088"/>
    <w:rsid w:val="006C50F5"/>
    <w:rsid w:val="006C61CF"/>
    <w:rsid w:val="006D04ED"/>
    <w:rsid w:val="006D07F0"/>
    <w:rsid w:val="006D3E49"/>
    <w:rsid w:val="006D4F15"/>
    <w:rsid w:val="006D57C3"/>
    <w:rsid w:val="006D6334"/>
    <w:rsid w:val="006D7010"/>
    <w:rsid w:val="006E2EAD"/>
    <w:rsid w:val="006E4F57"/>
    <w:rsid w:val="006F050D"/>
    <w:rsid w:val="006F1BF0"/>
    <w:rsid w:val="006F3EB5"/>
    <w:rsid w:val="006F409B"/>
    <w:rsid w:val="006F44D8"/>
    <w:rsid w:val="006F6BCC"/>
    <w:rsid w:val="006F74B9"/>
    <w:rsid w:val="007001E1"/>
    <w:rsid w:val="0070193E"/>
    <w:rsid w:val="0070294C"/>
    <w:rsid w:val="00703F1D"/>
    <w:rsid w:val="00705D27"/>
    <w:rsid w:val="00706EE4"/>
    <w:rsid w:val="0071157A"/>
    <w:rsid w:val="00711F0C"/>
    <w:rsid w:val="0071301F"/>
    <w:rsid w:val="00713FF6"/>
    <w:rsid w:val="00714586"/>
    <w:rsid w:val="0071504F"/>
    <w:rsid w:val="007153FC"/>
    <w:rsid w:val="00715589"/>
    <w:rsid w:val="007171E1"/>
    <w:rsid w:val="0071771A"/>
    <w:rsid w:val="007208CE"/>
    <w:rsid w:val="00725728"/>
    <w:rsid w:val="007268F9"/>
    <w:rsid w:val="007327A0"/>
    <w:rsid w:val="00740A78"/>
    <w:rsid w:val="00741453"/>
    <w:rsid w:val="0074581B"/>
    <w:rsid w:val="00747F88"/>
    <w:rsid w:val="00750BCA"/>
    <w:rsid w:val="00750FFF"/>
    <w:rsid w:val="0075164F"/>
    <w:rsid w:val="007545CB"/>
    <w:rsid w:val="007546E9"/>
    <w:rsid w:val="00757941"/>
    <w:rsid w:val="0076086C"/>
    <w:rsid w:val="00761D99"/>
    <w:rsid w:val="007675CE"/>
    <w:rsid w:val="00767E24"/>
    <w:rsid w:val="00772678"/>
    <w:rsid w:val="00772C93"/>
    <w:rsid w:val="0077399E"/>
    <w:rsid w:val="00775A61"/>
    <w:rsid w:val="00776266"/>
    <w:rsid w:val="00776B5B"/>
    <w:rsid w:val="00781AD8"/>
    <w:rsid w:val="007839A5"/>
    <w:rsid w:val="00791745"/>
    <w:rsid w:val="00791A87"/>
    <w:rsid w:val="00792682"/>
    <w:rsid w:val="00793503"/>
    <w:rsid w:val="00795FD9"/>
    <w:rsid w:val="007A08FC"/>
    <w:rsid w:val="007A1A88"/>
    <w:rsid w:val="007A2B7D"/>
    <w:rsid w:val="007A34FA"/>
    <w:rsid w:val="007A3B31"/>
    <w:rsid w:val="007A7544"/>
    <w:rsid w:val="007B16D3"/>
    <w:rsid w:val="007B23AF"/>
    <w:rsid w:val="007B6362"/>
    <w:rsid w:val="007C0D2A"/>
    <w:rsid w:val="007C2296"/>
    <w:rsid w:val="007C2DAC"/>
    <w:rsid w:val="007C369E"/>
    <w:rsid w:val="007C3A60"/>
    <w:rsid w:val="007C47C0"/>
    <w:rsid w:val="007C4D2A"/>
    <w:rsid w:val="007C52B0"/>
    <w:rsid w:val="007C52B5"/>
    <w:rsid w:val="007C5DD9"/>
    <w:rsid w:val="007C6FC1"/>
    <w:rsid w:val="007C7B9E"/>
    <w:rsid w:val="007D03AB"/>
    <w:rsid w:val="007D2DDF"/>
    <w:rsid w:val="007E1D08"/>
    <w:rsid w:val="007E2AA3"/>
    <w:rsid w:val="007E4237"/>
    <w:rsid w:val="007E57A4"/>
    <w:rsid w:val="007E6EB2"/>
    <w:rsid w:val="007E7421"/>
    <w:rsid w:val="007E7B1E"/>
    <w:rsid w:val="007F07B1"/>
    <w:rsid w:val="007F605D"/>
    <w:rsid w:val="007F7DB6"/>
    <w:rsid w:val="008018EF"/>
    <w:rsid w:val="00801CAF"/>
    <w:rsid w:val="00804D46"/>
    <w:rsid w:val="0080605D"/>
    <w:rsid w:val="00807938"/>
    <w:rsid w:val="0081183B"/>
    <w:rsid w:val="0081737F"/>
    <w:rsid w:val="00817E57"/>
    <w:rsid w:val="00817F99"/>
    <w:rsid w:val="00822B6C"/>
    <w:rsid w:val="00827B88"/>
    <w:rsid w:val="008307D6"/>
    <w:rsid w:val="008320D7"/>
    <w:rsid w:val="00832941"/>
    <w:rsid w:val="00832E59"/>
    <w:rsid w:val="00832F37"/>
    <w:rsid w:val="008330E7"/>
    <w:rsid w:val="008336C9"/>
    <w:rsid w:val="00836259"/>
    <w:rsid w:val="008368BA"/>
    <w:rsid w:val="00836C53"/>
    <w:rsid w:val="00840DF4"/>
    <w:rsid w:val="00842F78"/>
    <w:rsid w:val="0084530D"/>
    <w:rsid w:val="00847786"/>
    <w:rsid w:val="00847F5E"/>
    <w:rsid w:val="00850B59"/>
    <w:rsid w:val="0085268A"/>
    <w:rsid w:val="00854215"/>
    <w:rsid w:val="008556A6"/>
    <w:rsid w:val="00856D63"/>
    <w:rsid w:val="008619E7"/>
    <w:rsid w:val="00866CA1"/>
    <w:rsid w:val="00867BC6"/>
    <w:rsid w:val="008718D3"/>
    <w:rsid w:val="008737DA"/>
    <w:rsid w:val="008749C6"/>
    <w:rsid w:val="00874A5A"/>
    <w:rsid w:val="0087548F"/>
    <w:rsid w:val="00877236"/>
    <w:rsid w:val="00880968"/>
    <w:rsid w:val="00882792"/>
    <w:rsid w:val="008850CB"/>
    <w:rsid w:val="008850F6"/>
    <w:rsid w:val="008858D0"/>
    <w:rsid w:val="00885BE6"/>
    <w:rsid w:val="00886C42"/>
    <w:rsid w:val="00890EAC"/>
    <w:rsid w:val="00890ED3"/>
    <w:rsid w:val="008915BB"/>
    <w:rsid w:val="008978B1"/>
    <w:rsid w:val="00897A11"/>
    <w:rsid w:val="00897AFF"/>
    <w:rsid w:val="008A04F9"/>
    <w:rsid w:val="008A1B33"/>
    <w:rsid w:val="008A1E05"/>
    <w:rsid w:val="008A4031"/>
    <w:rsid w:val="008A5380"/>
    <w:rsid w:val="008A6B26"/>
    <w:rsid w:val="008A6D80"/>
    <w:rsid w:val="008A704F"/>
    <w:rsid w:val="008A7155"/>
    <w:rsid w:val="008A7855"/>
    <w:rsid w:val="008B055A"/>
    <w:rsid w:val="008B0959"/>
    <w:rsid w:val="008B0DE5"/>
    <w:rsid w:val="008B1BC0"/>
    <w:rsid w:val="008B26DC"/>
    <w:rsid w:val="008B57C5"/>
    <w:rsid w:val="008C0CD4"/>
    <w:rsid w:val="008C2CFB"/>
    <w:rsid w:val="008C48C6"/>
    <w:rsid w:val="008C535D"/>
    <w:rsid w:val="008C5739"/>
    <w:rsid w:val="008C63AD"/>
    <w:rsid w:val="008D046C"/>
    <w:rsid w:val="008D077E"/>
    <w:rsid w:val="008D2847"/>
    <w:rsid w:val="008D2DBD"/>
    <w:rsid w:val="008D2F6C"/>
    <w:rsid w:val="008D3450"/>
    <w:rsid w:val="008D4A96"/>
    <w:rsid w:val="008D4F21"/>
    <w:rsid w:val="008D76B6"/>
    <w:rsid w:val="008E08B1"/>
    <w:rsid w:val="008E2137"/>
    <w:rsid w:val="008E509E"/>
    <w:rsid w:val="008E7669"/>
    <w:rsid w:val="008F07D8"/>
    <w:rsid w:val="008F3C41"/>
    <w:rsid w:val="008F4C72"/>
    <w:rsid w:val="009010B1"/>
    <w:rsid w:val="00902EF7"/>
    <w:rsid w:val="00903A7D"/>
    <w:rsid w:val="00907C6D"/>
    <w:rsid w:val="009125CD"/>
    <w:rsid w:val="009133C5"/>
    <w:rsid w:val="00913533"/>
    <w:rsid w:val="009136F2"/>
    <w:rsid w:val="00915A42"/>
    <w:rsid w:val="009163EE"/>
    <w:rsid w:val="009202DA"/>
    <w:rsid w:val="009219FA"/>
    <w:rsid w:val="00926372"/>
    <w:rsid w:val="00927196"/>
    <w:rsid w:val="00930124"/>
    <w:rsid w:val="0093153F"/>
    <w:rsid w:val="009328E2"/>
    <w:rsid w:val="00934E57"/>
    <w:rsid w:val="00935340"/>
    <w:rsid w:val="00935908"/>
    <w:rsid w:val="0093706F"/>
    <w:rsid w:val="00940AEE"/>
    <w:rsid w:val="009411B4"/>
    <w:rsid w:val="0094188C"/>
    <w:rsid w:val="00945C86"/>
    <w:rsid w:val="0094741F"/>
    <w:rsid w:val="00950BD3"/>
    <w:rsid w:val="00952690"/>
    <w:rsid w:val="00952D2F"/>
    <w:rsid w:val="00954A57"/>
    <w:rsid w:val="00954C57"/>
    <w:rsid w:val="00954E2C"/>
    <w:rsid w:val="00955F88"/>
    <w:rsid w:val="00956DB4"/>
    <w:rsid w:val="00956EE4"/>
    <w:rsid w:val="0095728E"/>
    <w:rsid w:val="00960F71"/>
    <w:rsid w:val="0096154C"/>
    <w:rsid w:val="00961E2E"/>
    <w:rsid w:val="00962364"/>
    <w:rsid w:val="00963123"/>
    <w:rsid w:val="009634ED"/>
    <w:rsid w:val="009637CB"/>
    <w:rsid w:val="00964096"/>
    <w:rsid w:val="009640E3"/>
    <w:rsid w:val="00967D19"/>
    <w:rsid w:val="009709E8"/>
    <w:rsid w:val="0097386F"/>
    <w:rsid w:val="00974015"/>
    <w:rsid w:val="00974A30"/>
    <w:rsid w:val="0098094F"/>
    <w:rsid w:val="009819C8"/>
    <w:rsid w:val="009826D0"/>
    <w:rsid w:val="009851C6"/>
    <w:rsid w:val="0098596A"/>
    <w:rsid w:val="00985CBF"/>
    <w:rsid w:val="00986FBC"/>
    <w:rsid w:val="00987982"/>
    <w:rsid w:val="00987FFB"/>
    <w:rsid w:val="00993573"/>
    <w:rsid w:val="00994692"/>
    <w:rsid w:val="009953BE"/>
    <w:rsid w:val="00996793"/>
    <w:rsid w:val="00996B9F"/>
    <w:rsid w:val="00997C19"/>
    <w:rsid w:val="009A0038"/>
    <w:rsid w:val="009A1861"/>
    <w:rsid w:val="009A3576"/>
    <w:rsid w:val="009A5D03"/>
    <w:rsid w:val="009B5219"/>
    <w:rsid w:val="009B67E2"/>
    <w:rsid w:val="009C02FD"/>
    <w:rsid w:val="009C294E"/>
    <w:rsid w:val="009C2E24"/>
    <w:rsid w:val="009C3030"/>
    <w:rsid w:val="009D0139"/>
    <w:rsid w:val="009D2B07"/>
    <w:rsid w:val="009D66AD"/>
    <w:rsid w:val="009D6AD8"/>
    <w:rsid w:val="009D7AF8"/>
    <w:rsid w:val="009E0724"/>
    <w:rsid w:val="009E11ED"/>
    <w:rsid w:val="009E1C75"/>
    <w:rsid w:val="009E42E8"/>
    <w:rsid w:val="009F0663"/>
    <w:rsid w:val="009F0A97"/>
    <w:rsid w:val="009F1370"/>
    <w:rsid w:val="009F1B2C"/>
    <w:rsid w:val="009F3862"/>
    <w:rsid w:val="009F598D"/>
    <w:rsid w:val="009F5CDC"/>
    <w:rsid w:val="00A005EF"/>
    <w:rsid w:val="00A021AD"/>
    <w:rsid w:val="00A021DF"/>
    <w:rsid w:val="00A0221F"/>
    <w:rsid w:val="00A04479"/>
    <w:rsid w:val="00A056D9"/>
    <w:rsid w:val="00A06127"/>
    <w:rsid w:val="00A06FD8"/>
    <w:rsid w:val="00A07FF8"/>
    <w:rsid w:val="00A1400C"/>
    <w:rsid w:val="00A213DE"/>
    <w:rsid w:val="00A22911"/>
    <w:rsid w:val="00A23459"/>
    <w:rsid w:val="00A2576C"/>
    <w:rsid w:val="00A25872"/>
    <w:rsid w:val="00A264A0"/>
    <w:rsid w:val="00A2682B"/>
    <w:rsid w:val="00A26C04"/>
    <w:rsid w:val="00A27CA3"/>
    <w:rsid w:val="00A3407A"/>
    <w:rsid w:val="00A3441A"/>
    <w:rsid w:val="00A35588"/>
    <w:rsid w:val="00A35F6F"/>
    <w:rsid w:val="00A36347"/>
    <w:rsid w:val="00A37812"/>
    <w:rsid w:val="00A40474"/>
    <w:rsid w:val="00A44915"/>
    <w:rsid w:val="00A52463"/>
    <w:rsid w:val="00A52C94"/>
    <w:rsid w:val="00A53D73"/>
    <w:rsid w:val="00A5437C"/>
    <w:rsid w:val="00A563F7"/>
    <w:rsid w:val="00A566F5"/>
    <w:rsid w:val="00A57E3A"/>
    <w:rsid w:val="00A616DE"/>
    <w:rsid w:val="00A618E2"/>
    <w:rsid w:val="00A623B9"/>
    <w:rsid w:val="00A62657"/>
    <w:rsid w:val="00A63CF0"/>
    <w:rsid w:val="00A63F93"/>
    <w:rsid w:val="00A66B11"/>
    <w:rsid w:val="00A72283"/>
    <w:rsid w:val="00A73536"/>
    <w:rsid w:val="00A756BE"/>
    <w:rsid w:val="00A75B96"/>
    <w:rsid w:val="00A77387"/>
    <w:rsid w:val="00A775CF"/>
    <w:rsid w:val="00A77989"/>
    <w:rsid w:val="00A77C74"/>
    <w:rsid w:val="00A80494"/>
    <w:rsid w:val="00A814B9"/>
    <w:rsid w:val="00A82463"/>
    <w:rsid w:val="00A830BC"/>
    <w:rsid w:val="00A90BB5"/>
    <w:rsid w:val="00A93B2B"/>
    <w:rsid w:val="00A95800"/>
    <w:rsid w:val="00A96356"/>
    <w:rsid w:val="00A97685"/>
    <w:rsid w:val="00A9781D"/>
    <w:rsid w:val="00AA160A"/>
    <w:rsid w:val="00AA1D05"/>
    <w:rsid w:val="00AA1D4E"/>
    <w:rsid w:val="00AA2A7B"/>
    <w:rsid w:val="00AA3BFE"/>
    <w:rsid w:val="00AA65BF"/>
    <w:rsid w:val="00AA681D"/>
    <w:rsid w:val="00AA74F2"/>
    <w:rsid w:val="00AB03F7"/>
    <w:rsid w:val="00AB24BE"/>
    <w:rsid w:val="00AB2AC3"/>
    <w:rsid w:val="00AB2B52"/>
    <w:rsid w:val="00AB2ECF"/>
    <w:rsid w:val="00AB4EE3"/>
    <w:rsid w:val="00AB5AFE"/>
    <w:rsid w:val="00AB7336"/>
    <w:rsid w:val="00AB7DAC"/>
    <w:rsid w:val="00AC09DC"/>
    <w:rsid w:val="00AC0A60"/>
    <w:rsid w:val="00AC0D37"/>
    <w:rsid w:val="00AC7A6F"/>
    <w:rsid w:val="00AD00A0"/>
    <w:rsid w:val="00AD0753"/>
    <w:rsid w:val="00AD0837"/>
    <w:rsid w:val="00AD0946"/>
    <w:rsid w:val="00AD0F59"/>
    <w:rsid w:val="00AD3992"/>
    <w:rsid w:val="00AD3B0A"/>
    <w:rsid w:val="00AD42CD"/>
    <w:rsid w:val="00AD63F3"/>
    <w:rsid w:val="00AE0B88"/>
    <w:rsid w:val="00AE0FE9"/>
    <w:rsid w:val="00AE188C"/>
    <w:rsid w:val="00AE2047"/>
    <w:rsid w:val="00AE2073"/>
    <w:rsid w:val="00AF068F"/>
    <w:rsid w:val="00AF4712"/>
    <w:rsid w:val="00AF73E2"/>
    <w:rsid w:val="00AF7C7F"/>
    <w:rsid w:val="00B00838"/>
    <w:rsid w:val="00B0159A"/>
    <w:rsid w:val="00B02A7A"/>
    <w:rsid w:val="00B05694"/>
    <w:rsid w:val="00B0579B"/>
    <w:rsid w:val="00B05BE3"/>
    <w:rsid w:val="00B05DCC"/>
    <w:rsid w:val="00B06045"/>
    <w:rsid w:val="00B060BB"/>
    <w:rsid w:val="00B06486"/>
    <w:rsid w:val="00B066F6"/>
    <w:rsid w:val="00B06C1E"/>
    <w:rsid w:val="00B06E53"/>
    <w:rsid w:val="00B146C5"/>
    <w:rsid w:val="00B209E0"/>
    <w:rsid w:val="00B20AE0"/>
    <w:rsid w:val="00B2191A"/>
    <w:rsid w:val="00B21BD2"/>
    <w:rsid w:val="00B22732"/>
    <w:rsid w:val="00B23A9D"/>
    <w:rsid w:val="00B25293"/>
    <w:rsid w:val="00B25DF7"/>
    <w:rsid w:val="00B27A7C"/>
    <w:rsid w:val="00B30391"/>
    <w:rsid w:val="00B303D4"/>
    <w:rsid w:val="00B30813"/>
    <w:rsid w:val="00B30A65"/>
    <w:rsid w:val="00B31DF3"/>
    <w:rsid w:val="00B3392C"/>
    <w:rsid w:val="00B35946"/>
    <w:rsid w:val="00B37A35"/>
    <w:rsid w:val="00B4072D"/>
    <w:rsid w:val="00B409D9"/>
    <w:rsid w:val="00B40B76"/>
    <w:rsid w:val="00B42890"/>
    <w:rsid w:val="00B43B15"/>
    <w:rsid w:val="00B449AD"/>
    <w:rsid w:val="00B45CAB"/>
    <w:rsid w:val="00B46B5D"/>
    <w:rsid w:val="00B50F83"/>
    <w:rsid w:val="00B51804"/>
    <w:rsid w:val="00B521E7"/>
    <w:rsid w:val="00B52A6E"/>
    <w:rsid w:val="00B53136"/>
    <w:rsid w:val="00B53612"/>
    <w:rsid w:val="00B53AA5"/>
    <w:rsid w:val="00B572FC"/>
    <w:rsid w:val="00B61CA9"/>
    <w:rsid w:val="00B62200"/>
    <w:rsid w:val="00B62355"/>
    <w:rsid w:val="00B64BBD"/>
    <w:rsid w:val="00B704D1"/>
    <w:rsid w:val="00B71246"/>
    <w:rsid w:val="00B71532"/>
    <w:rsid w:val="00B718D0"/>
    <w:rsid w:val="00B75483"/>
    <w:rsid w:val="00B76F2D"/>
    <w:rsid w:val="00B77471"/>
    <w:rsid w:val="00B77D27"/>
    <w:rsid w:val="00B80FE4"/>
    <w:rsid w:val="00B81976"/>
    <w:rsid w:val="00B82B8D"/>
    <w:rsid w:val="00B85268"/>
    <w:rsid w:val="00B871C7"/>
    <w:rsid w:val="00B903E5"/>
    <w:rsid w:val="00B91FC7"/>
    <w:rsid w:val="00B9332D"/>
    <w:rsid w:val="00B93678"/>
    <w:rsid w:val="00B93D32"/>
    <w:rsid w:val="00B94171"/>
    <w:rsid w:val="00B9547F"/>
    <w:rsid w:val="00B972DE"/>
    <w:rsid w:val="00BA106A"/>
    <w:rsid w:val="00BA19ED"/>
    <w:rsid w:val="00BA1B46"/>
    <w:rsid w:val="00BA1CB0"/>
    <w:rsid w:val="00BA3B01"/>
    <w:rsid w:val="00BA3FD8"/>
    <w:rsid w:val="00BA4762"/>
    <w:rsid w:val="00BA517E"/>
    <w:rsid w:val="00BB0BF6"/>
    <w:rsid w:val="00BB0F82"/>
    <w:rsid w:val="00BB1D06"/>
    <w:rsid w:val="00BB1E33"/>
    <w:rsid w:val="00BB2727"/>
    <w:rsid w:val="00BB2BC9"/>
    <w:rsid w:val="00BB670C"/>
    <w:rsid w:val="00BB7D0F"/>
    <w:rsid w:val="00BC09B2"/>
    <w:rsid w:val="00BC1841"/>
    <w:rsid w:val="00BC1EC8"/>
    <w:rsid w:val="00BC2A6B"/>
    <w:rsid w:val="00BC2E4D"/>
    <w:rsid w:val="00BC39F4"/>
    <w:rsid w:val="00BC5051"/>
    <w:rsid w:val="00BC52E4"/>
    <w:rsid w:val="00BC5FB7"/>
    <w:rsid w:val="00BC7498"/>
    <w:rsid w:val="00BC7D7D"/>
    <w:rsid w:val="00BD105F"/>
    <w:rsid w:val="00BD299E"/>
    <w:rsid w:val="00BD2D23"/>
    <w:rsid w:val="00BD3A92"/>
    <w:rsid w:val="00BD4AEC"/>
    <w:rsid w:val="00BD507A"/>
    <w:rsid w:val="00BD69F3"/>
    <w:rsid w:val="00BD7B3E"/>
    <w:rsid w:val="00BE2B5E"/>
    <w:rsid w:val="00BE3654"/>
    <w:rsid w:val="00BE3CF0"/>
    <w:rsid w:val="00BE64FD"/>
    <w:rsid w:val="00BE655F"/>
    <w:rsid w:val="00BE7FA8"/>
    <w:rsid w:val="00BF1836"/>
    <w:rsid w:val="00BF395E"/>
    <w:rsid w:val="00C0305B"/>
    <w:rsid w:val="00C042F1"/>
    <w:rsid w:val="00C062AD"/>
    <w:rsid w:val="00C10042"/>
    <w:rsid w:val="00C10F24"/>
    <w:rsid w:val="00C13D0F"/>
    <w:rsid w:val="00C13DBC"/>
    <w:rsid w:val="00C13EB2"/>
    <w:rsid w:val="00C14187"/>
    <w:rsid w:val="00C21181"/>
    <w:rsid w:val="00C21FDB"/>
    <w:rsid w:val="00C22D06"/>
    <w:rsid w:val="00C2393B"/>
    <w:rsid w:val="00C24797"/>
    <w:rsid w:val="00C26467"/>
    <w:rsid w:val="00C271DD"/>
    <w:rsid w:val="00C27CD3"/>
    <w:rsid w:val="00C3046B"/>
    <w:rsid w:val="00C32091"/>
    <w:rsid w:val="00C323A6"/>
    <w:rsid w:val="00C33483"/>
    <w:rsid w:val="00C3470A"/>
    <w:rsid w:val="00C35A27"/>
    <w:rsid w:val="00C45CA2"/>
    <w:rsid w:val="00C46EA2"/>
    <w:rsid w:val="00C508BB"/>
    <w:rsid w:val="00C511F5"/>
    <w:rsid w:val="00C520A0"/>
    <w:rsid w:val="00C52447"/>
    <w:rsid w:val="00C52458"/>
    <w:rsid w:val="00C529D7"/>
    <w:rsid w:val="00C5305F"/>
    <w:rsid w:val="00C53DD4"/>
    <w:rsid w:val="00C56CB1"/>
    <w:rsid w:val="00C612D9"/>
    <w:rsid w:val="00C6468B"/>
    <w:rsid w:val="00C64A5D"/>
    <w:rsid w:val="00C65CAC"/>
    <w:rsid w:val="00C73798"/>
    <w:rsid w:val="00C7489B"/>
    <w:rsid w:val="00C7693E"/>
    <w:rsid w:val="00C775DF"/>
    <w:rsid w:val="00C82D8F"/>
    <w:rsid w:val="00C8503D"/>
    <w:rsid w:val="00C85602"/>
    <w:rsid w:val="00C90971"/>
    <w:rsid w:val="00C918BC"/>
    <w:rsid w:val="00C9194F"/>
    <w:rsid w:val="00C92091"/>
    <w:rsid w:val="00C922D6"/>
    <w:rsid w:val="00C928DF"/>
    <w:rsid w:val="00C933BE"/>
    <w:rsid w:val="00C93A5F"/>
    <w:rsid w:val="00C96F7A"/>
    <w:rsid w:val="00C9732C"/>
    <w:rsid w:val="00C9737B"/>
    <w:rsid w:val="00CA1466"/>
    <w:rsid w:val="00CA1AEA"/>
    <w:rsid w:val="00CA56F9"/>
    <w:rsid w:val="00CB1095"/>
    <w:rsid w:val="00CB1E83"/>
    <w:rsid w:val="00CB5BA8"/>
    <w:rsid w:val="00CB6AAD"/>
    <w:rsid w:val="00CB6E56"/>
    <w:rsid w:val="00CB7683"/>
    <w:rsid w:val="00CB7D1B"/>
    <w:rsid w:val="00CC1E30"/>
    <w:rsid w:val="00CC30A9"/>
    <w:rsid w:val="00CD0C49"/>
    <w:rsid w:val="00CD2431"/>
    <w:rsid w:val="00CD255E"/>
    <w:rsid w:val="00CD47DA"/>
    <w:rsid w:val="00CD4D82"/>
    <w:rsid w:val="00CD56E9"/>
    <w:rsid w:val="00CD5AFA"/>
    <w:rsid w:val="00CD65F1"/>
    <w:rsid w:val="00CD7D80"/>
    <w:rsid w:val="00CE3BA5"/>
    <w:rsid w:val="00CE3D3E"/>
    <w:rsid w:val="00CE4E80"/>
    <w:rsid w:val="00CF1743"/>
    <w:rsid w:val="00CF1DAA"/>
    <w:rsid w:val="00CF3245"/>
    <w:rsid w:val="00CF3E90"/>
    <w:rsid w:val="00CF4DA5"/>
    <w:rsid w:val="00CF53AD"/>
    <w:rsid w:val="00CF77FD"/>
    <w:rsid w:val="00D00F34"/>
    <w:rsid w:val="00D019A9"/>
    <w:rsid w:val="00D03202"/>
    <w:rsid w:val="00D03DEE"/>
    <w:rsid w:val="00D06294"/>
    <w:rsid w:val="00D1174D"/>
    <w:rsid w:val="00D1204B"/>
    <w:rsid w:val="00D12C21"/>
    <w:rsid w:val="00D14B31"/>
    <w:rsid w:val="00D14EBD"/>
    <w:rsid w:val="00D17D14"/>
    <w:rsid w:val="00D212CF"/>
    <w:rsid w:val="00D21988"/>
    <w:rsid w:val="00D223E0"/>
    <w:rsid w:val="00D23779"/>
    <w:rsid w:val="00D24B93"/>
    <w:rsid w:val="00D256E0"/>
    <w:rsid w:val="00D258FC"/>
    <w:rsid w:val="00D25B2B"/>
    <w:rsid w:val="00D27478"/>
    <w:rsid w:val="00D305C7"/>
    <w:rsid w:val="00D30F2D"/>
    <w:rsid w:val="00D31D71"/>
    <w:rsid w:val="00D371C9"/>
    <w:rsid w:val="00D412CE"/>
    <w:rsid w:val="00D50B56"/>
    <w:rsid w:val="00D5161C"/>
    <w:rsid w:val="00D51F99"/>
    <w:rsid w:val="00D53116"/>
    <w:rsid w:val="00D5471C"/>
    <w:rsid w:val="00D54B2C"/>
    <w:rsid w:val="00D55D1D"/>
    <w:rsid w:val="00D56429"/>
    <w:rsid w:val="00D57055"/>
    <w:rsid w:val="00D602DA"/>
    <w:rsid w:val="00D60814"/>
    <w:rsid w:val="00D61331"/>
    <w:rsid w:val="00D61447"/>
    <w:rsid w:val="00D61C69"/>
    <w:rsid w:val="00D62A83"/>
    <w:rsid w:val="00D63C5B"/>
    <w:rsid w:val="00D64B30"/>
    <w:rsid w:val="00D66212"/>
    <w:rsid w:val="00D672EA"/>
    <w:rsid w:val="00D706C0"/>
    <w:rsid w:val="00D70985"/>
    <w:rsid w:val="00D72A97"/>
    <w:rsid w:val="00D72AFA"/>
    <w:rsid w:val="00D73077"/>
    <w:rsid w:val="00D733DC"/>
    <w:rsid w:val="00D7458A"/>
    <w:rsid w:val="00D76576"/>
    <w:rsid w:val="00D80C80"/>
    <w:rsid w:val="00D84BE4"/>
    <w:rsid w:val="00D87BD3"/>
    <w:rsid w:val="00D90EF1"/>
    <w:rsid w:val="00D91EDD"/>
    <w:rsid w:val="00D92AAE"/>
    <w:rsid w:val="00D944C6"/>
    <w:rsid w:val="00D95CDD"/>
    <w:rsid w:val="00D95E47"/>
    <w:rsid w:val="00D966B7"/>
    <w:rsid w:val="00DA06F5"/>
    <w:rsid w:val="00DA0DE6"/>
    <w:rsid w:val="00DA0EF4"/>
    <w:rsid w:val="00DA1660"/>
    <w:rsid w:val="00DA31D2"/>
    <w:rsid w:val="00DA3785"/>
    <w:rsid w:val="00DA62E1"/>
    <w:rsid w:val="00DA79CB"/>
    <w:rsid w:val="00DB08C2"/>
    <w:rsid w:val="00DB191B"/>
    <w:rsid w:val="00DB1E00"/>
    <w:rsid w:val="00DB3507"/>
    <w:rsid w:val="00DB3694"/>
    <w:rsid w:val="00DB383D"/>
    <w:rsid w:val="00DC6B82"/>
    <w:rsid w:val="00DD2BFD"/>
    <w:rsid w:val="00DD36E9"/>
    <w:rsid w:val="00DD64F9"/>
    <w:rsid w:val="00DD7C96"/>
    <w:rsid w:val="00DE0EA5"/>
    <w:rsid w:val="00DE12B6"/>
    <w:rsid w:val="00DE2DB3"/>
    <w:rsid w:val="00DE42F5"/>
    <w:rsid w:val="00DF0D17"/>
    <w:rsid w:val="00DF2A67"/>
    <w:rsid w:val="00DF65B0"/>
    <w:rsid w:val="00DF7B28"/>
    <w:rsid w:val="00E02C2B"/>
    <w:rsid w:val="00E043CE"/>
    <w:rsid w:val="00E047E1"/>
    <w:rsid w:val="00E12FF3"/>
    <w:rsid w:val="00E143AB"/>
    <w:rsid w:val="00E1614A"/>
    <w:rsid w:val="00E167D3"/>
    <w:rsid w:val="00E16FBD"/>
    <w:rsid w:val="00E179E3"/>
    <w:rsid w:val="00E17EDE"/>
    <w:rsid w:val="00E17FB8"/>
    <w:rsid w:val="00E20562"/>
    <w:rsid w:val="00E20C27"/>
    <w:rsid w:val="00E21291"/>
    <w:rsid w:val="00E217DB"/>
    <w:rsid w:val="00E22221"/>
    <w:rsid w:val="00E2662D"/>
    <w:rsid w:val="00E27A45"/>
    <w:rsid w:val="00E27C55"/>
    <w:rsid w:val="00E32B9C"/>
    <w:rsid w:val="00E33E6D"/>
    <w:rsid w:val="00E34F13"/>
    <w:rsid w:val="00E3722A"/>
    <w:rsid w:val="00E40560"/>
    <w:rsid w:val="00E40972"/>
    <w:rsid w:val="00E419AC"/>
    <w:rsid w:val="00E41B5E"/>
    <w:rsid w:val="00E41E9C"/>
    <w:rsid w:val="00E422EB"/>
    <w:rsid w:val="00E4398E"/>
    <w:rsid w:val="00E43B45"/>
    <w:rsid w:val="00E4403F"/>
    <w:rsid w:val="00E444A5"/>
    <w:rsid w:val="00E44745"/>
    <w:rsid w:val="00E50CC0"/>
    <w:rsid w:val="00E5102B"/>
    <w:rsid w:val="00E524C6"/>
    <w:rsid w:val="00E55F1E"/>
    <w:rsid w:val="00E5746A"/>
    <w:rsid w:val="00E6119B"/>
    <w:rsid w:val="00E61FE6"/>
    <w:rsid w:val="00E63463"/>
    <w:rsid w:val="00E6602D"/>
    <w:rsid w:val="00E7009C"/>
    <w:rsid w:val="00E71032"/>
    <w:rsid w:val="00E7310E"/>
    <w:rsid w:val="00E74702"/>
    <w:rsid w:val="00E751EF"/>
    <w:rsid w:val="00E77AE6"/>
    <w:rsid w:val="00E77C6E"/>
    <w:rsid w:val="00E80371"/>
    <w:rsid w:val="00E80E9D"/>
    <w:rsid w:val="00E81064"/>
    <w:rsid w:val="00E83874"/>
    <w:rsid w:val="00E86116"/>
    <w:rsid w:val="00E86543"/>
    <w:rsid w:val="00E910F2"/>
    <w:rsid w:val="00E921BF"/>
    <w:rsid w:val="00E943D2"/>
    <w:rsid w:val="00E96B63"/>
    <w:rsid w:val="00E97AF1"/>
    <w:rsid w:val="00EA1238"/>
    <w:rsid w:val="00EA27A9"/>
    <w:rsid w:val="00EA28F4"/>
    <w:rsid w:val="00EA31A2"/>
    <w:rsid w:val="00EA4156"/>
    <w:rsid w:val="00EA5608"/>
    <w:rsid w:val="00EA6294"/>
    <w:rsid w:val="00EA751B"/>
    <w:rsid w:val="00EA7D2C"/>
    <w:rsid w:val="00EB1C90"/>
    <w:rsid w:val="00EB3A06"/>
    <w:rsid w:val="00EB49EB"/>
    <w:rsid w:val="00EB4C0E"/>
    <w:rsid w:val="00EB6BFC"/>
    <w:rsid w:val="00EC1247"/>
    <w:rsid w:val="00EC3D1F"/>
    <w:rsid w:val="00EC5A87"/>
    <w:rsid w:val="00ED02BA"/>
    <w:rsid w:val="00ED2B96"/>
    <w:rsid w:val="00ED64D2"/>
    <w:rsid w:val="00ED6C48"/>
    <w:rsid w:val="00ED7087"/>
    <w:rsid w:val="00ED71F1"/>
    <w:rsid w:val="00EE1A17"/>
    <w:rsid w:val="00EE3F56"/>
    <w:rsid w:val="00EE4B91"/>
    <w:rsid w:val="00EF30CE"/>
    <w:rsid w:val="00EF52D7"/>
    <w:rsid w:val="00EF5C2C"/>
    <w:rsid w:val="00EF6E5C"/>
    <w:rsid w:val="00F014DF"/>
    <w:rsid w:val="00F03B1D"/>
    <w:rsid w:val="00F05D57"/>
    <w:rsid w:val="00F063CB"/>
    <w:rsid w:val="00F06FB8"/>
    <w:rsid w:val="00F0798D"/>
    <w:rsid w:val="00F07C30"/>
    <w:rsid w:val="00F11BFC"/>
    <w:rsid w:val="00F122C9"/>
    <w:rsid w:val="00F14E73"/>
    <w:rsid w:val="00F15396"/>
    <w:rsid w:val="00F16B74"/>
    <w:rsid w:val="00F21052"/>
    <w:rsid w:val="00F210DC"/>
    <w:rsid w:val="00F21E1B"/>
    <w:rsid w:val="00F226A8"/>
    <w:rsid w:val="00F231CE"/>
    <w:rsid w:val="00F234AF"/>
    <w:rsid w:val="00F23CFC"/>
    <w:rsid w:val="00F243E8"/>
    <w:rsid w:val="00F253CA"/>
    <w:rsid w:val="00F25DD2"/>
    <w:rsid w:val="00F27F6F"/>
    <w:rsid w:val="00F30A1F"/>
    <w:rsid w:val="00F341B4"/>
    <w:rsid w:val="00F35A0D"/>
    <w:rsid w:val="00F35A39"/>
    <w:rsid w:val="00F35B6A"/>
    <w:rsid w:val="00F36ED5"/>
    <w:rsid w:val="00F403AB"/>
    <w:rsid w:val="00F41AF2"/>
    <w:rsid w:val="00F41F0F"/>
    <w:rsid w:val="00F42DDA"/>
    <w:rsid w:val="00F42F62"/>
    <w:rsid w:val="00F43B8F"/>
    <w:rsid w:val="00F456D9"/>
    <w:rsid w:val="00F47DD4"/>
    <w:rsid w:val="00F514B5"/>
    <w:rsid w:val="00F52441"/>
    <w:rsid w:val="00F53F3D"/>
    <w:rsid w:val="00F54D10"/>
    <w:rsid w:val="00F558D4"/>
    <w:rsid w:val="00F56529"/>
    <w:rsid w:val="00F578E8"/>
    <w:rsid w:val="00F60669"/>
    <w:rsid w:val="00F61E8B"/>
    <w:rsid w:val="00F634E4"/>
    <w:rsid w:val="00F64C91"/>
    <w:rsid w:val="00F65F5D"/>
    <w:rsid w:val="00F667D8"/>
    <w:rsid w:val="00F707C1"/>
    <w:rsid w:val="00F777B4"/>
    <w:rsid w:val="00F813A7"/>
    <w:rsid w:val="00F818AD"/>
    <w:rsid w:val="00F82EF2"/>
    <w:rsid w:val="00F858F8"/>
    <w:rsid w:val="00F86A3A"/>
    <w:rsid w:val="00F875C6"/>
    <w:rsid w:val="00F91C2B"/>
    <w:rsid w:val="00F92B7A"/>
    <w:rsid w:val="00F94D16"/>
    <w:rsid w:val="00F953AC"/>
    <w:rsid w:val="00F9545B"/>
    <w:rsid w:val="00F9587E"/>
    <w:rsid w:val="00F95AB5"/>
    <w:rsid w:val="00F96CA5"/>
    <w:rsid w:val="00F9749D"/>
    <w:rsid w:val="00F97E1F"/>
    <w:rsid w:val="00FA0EBA"/>
    <w:rsid w:val="00FA11B9"/>
    <w:rsid w:val="00FA130A"/>
    <w:rsid w:val="00FA2220"/>
    <w:rsid w:val="00FA2C1B"/>
    <w:rsid w:val="00FA3A14"/>
    <w:rsid w:val="00FA3F8C"/>
    <w:rsid w:val="00FA46AF"/>
    <w:rsid w:val="00FA5594"/>
    <w:rsid w:val="00FA6313"/>
    <w:rsid w:val="00FB01CC"/>
    <w:rsid w:val="00FB15C6"/>
    <w:rsid w:val="00FB266B"/>
    <w:rsid w:val="00FB2A53"/>
    <w:rsid w:val="00FB2C0D"/>
    <w:rsid w:val="00FB761C"/>
    <w:rsid w:val="00FB789D"/>
    <w:rsid w:val="00FB7EC9"/>
    <w:rsid w:val="00FC0109"/>
    <w:rsid w:val="00FC0E53"/>
    <w:rsid w:val="00FC0E85"/>
    <w:rsid w:val="00FC1440"/>
    <w:rsid w:val="00FC2676"/>
    <w:rsid w:val="00FC3B61"/>
    <w:rsid w:val="00FC4FE6"/>
    <w:rsid w:val="00FC7517"/>
    <w:rsid w:val="00FD073C"/>
    <w:rsid w:val="00FD32EF"/>
    <w:rsid w:val="00FD4BC8"/>
    <w:rsid w:val="00FD64CE"/>
    <w:rsid w:val="00FE0D95"/>
    <w:rsid w:val="00FE44B6"/>
    <w:rsid w:val="00FE743E"/>
    <w:rsid w:val="00FE7F8D"/>
    <w:rsid w:val="00FF3E9C"/>
    <w:rsid w:val="00FF473F"/>
    <w:rsid w:val="00FF7484"/>
    <w:rsid w:val="00FF77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14:docId w14:val="2CBA169A"/>
  <w15:docId w15:val="{A3CD889B-DDCC-4E9C-8850-5DAAD3A2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Ref,callou"/>
    <w:link w:val="Appelnotedebasd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775A61"/>
    <w:rPr>
      <w:sz w:val="16"/>
      <w:szCs w:val="16"/>
    </w:rPr>
  </w:style>
  <w:style w:type="paragraph" w:styleId="CommentText">
    <w:name w:val="annotation text"/>
    <w:basedOn w:val="Normal"/>
    <w:link w:val="CommentTextChar"/>
    <w:uiPriority w:val="99"/>
    <w:semiHidden/>
    <w:unhideWhenUsed/>
    <w:rsid w:val="00775A61"/>
    <w:pPr>
      <w:spacing w:line="240" w:lineRule="auto"/>
    </w:pPr>
  </w:style>
  <w:style w:type="character" w:customStyle="1" w:styleId="CommentTextChar">
    <w:name w:val="Comment Text Char"/>
    <w:basedOn w:val="DefaultParagraphFont"/>
    <w:link w:val="CommentText"/>
    <w:uiPriority w:val="99"/>
    <w:semiHidden/>
    <w:rsid w:val="00775A6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75A61"/>
    <w:rPr>
      <w:b/>
      <w:bCs/>
    </w:rPr>
  </w:style>
  <w:style w:type="character" w:customStyle="1" w:styleId="CommentSubjectChar">
    <w:name w:val="Comment Subject Char"/>
    <w:basedOn w:val="CommentTextChar"/>
    <w:link w:val="CommentSubject"/>
    <w:uiPriority w:val="99"/>
    <w:semiHidden/>
    <w:rsid w:val="00775A61"/>
    <w:rPr>
      <w:rFonts w:ascii="Times New Roman" w:eastAsia="Times New Roman" w:hAnsi="Times New Roman" w:cs="Times New Roman"/>
      <w:b/>
      <w:bCs/>
      <w:sz w:val="20"/>
      <w:szCs w:val="20"/>
      <w:lang w:eastAsia="en-US"/>
    </w:rPr>
  </w:style>
  <w:style w:type="paragraph" w:styleId="ListParagraph">
    <w:name w:val="List Paragraph"/>
    <w:basedOn w:val="Normal"/>
    <w:uiPriority w:val="34"/>
    <w:rsid w:val="00B53136"/>
    <w:pPr>
      <w:ind w:left="720"/>
      <w:contextualSpacing/>
    </w:pPr>
  </w:style>
  <w:style w:type="character" w:styleId="Hyperlink">
    <w:name w:val="Hyperlink"/>
    <w:basedOn w:val="DefaultParagraphFont"/>
    <w:uiPriority w:val="99"/>
    <w:unhideWhenUsed/>
    <w:rsid w:val="004F1D1D"/>
    <w:rPr>
      <w:color w:val="0000FF" w:themeColor="hyperlink"/>
      <w:u w:val="single"/>
    </w:rPr>
  </w:style>
  <w:style w:type="character" w:customStyle="1" w:styleId="SingleTxtGChar">
    <w:name w:val="_ Single Txt_G Char"/>
    <w:link w:val="SingleTxtG"/>
    <w:locked/>
    <w:rsid w:val="004D30E3"/>
    <w:rPr>
      <w:rFonts w:ascii="Times New Roman" w:hAnsi="Times New Roman" w:cs="Times New Roman"/>
      <w:sz w:val="20"/>
      <w:szCs w:val="20"/>
    </w:rPr>
  </w:style>
  <w:style w:type="paragraph" w:styleId="Revision">
    <w:name w:val="Revision"/>
    <w:hidden/>
    <w:uiPriority w:val="99"/>
    <w:semiHidden/>
    <w:rsid w:val="00ED71F1"/>
    <w:pPr>
      <w:spacing w:after="0" w:line="240" w:lineRule="auto"/>
    </w:pPr>
    <w:rPr>
      <w:rFonts w:ascii="Times New Roman" w:eastAsia="Times New Roman" w:hAnsi="Times New Roman" w:cs="Times New Roman"/>
      <w:sz w:val="20"/>
      <w:szCs w:val="20"/>
      <w:lang w:eastAsia="en-US"/>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rsid w:val="00EF30CE"/>
    <w:pPr>
      <w:suppressAutoHyphens w:val="0"/>
      <w:spacing w:before="120" w:after="120" w:line="240" w:lineRule="auto"/>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25528228">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46296429">
      <w:bodyDiv w:val="1"/>
      <w:marLeft w:val="0"/>
      <w:marRight w:val="0"/>
      <w:marTop w:val="0"/>
      <w:marBottom w:val="0"/>
      <w:divBdr>
        <w:top w:val="none" w:sz="0" w:space="0" w:color="auto"/>
        <w:left w:val="none" w:sz="0" w:space="0" w:color="auto"/>
        <w:bottom w:val="none" w:sz="0" w:space="0" w:color="auto"/>
        <w:right w:val="none" w:sz="0" w:space="0" w:color="auto"/>
      </w:divBdr>
    </w:div>
    <w:div w:id="357857479">
      <w:bodyDiv w:val="1"/>
      <w:marLeft w:val="0"/>
      <w:marRight w:val="0"/>
      <w:marTop w:val="0"/>
      <w:marBottom w:val="0"/>
      <w:divBdr>
        <w:top w:val="none" w:sz="0" w:space="0" w:color="auto"/>
        <w:left w:val="none" w:sz="0" w:space="0" w:color="auto"/>
        <w:bottom w:val="none" w:sz="0" w:space="0" w:color="auto"/>
        <w:right w:val="none" w:sz="0" w:space="0" w:color="auto"/>
      </w:divBdr>
    </w:div>
    <w:div w:id="478232536">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00259397">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13653088">
      <w:bodyDiv w:val="1"/>
      <w:marLeft w:val="0"/>
      <w:marRight w:val="0"/>
      <w:marTop w:val="0"/>
      <w:marBottom w:val="0"/>
      <w:divBdr>
        <w:top w:val="none" w:sz="0" w:space="0" w:color="auto"/>
        <w:left w:val="none" w:sz="0" w:space="0" w:color="auto"/>
        <w:bottom w:val="none" w:sz="0" w:space="0" w:color="auto"/>
        <w:right w:val="none" w:sz="0" w:space="0" w:color="auto"/>
      </w:divBdr>
    </w:div>
    <w:div w:id="734280715">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334140399">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889C2-FD60-4D85-9575-1C0D806987C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EB7DBCB-04DF-4662-8C57-4BDCF4A53DF2}">
  <ds:schemaRefs>
    <ds:schemaRef ds:uri="http://schemas.microsoft.com/sharepoint/v3/contenttype/forms"/>
  </ds:schemaRefs>
</ds:datastoreItem>
</file>

<file path=customXml/itemProps3.xml><?xml version="1.0" encoding="utf-8"?>
<ds:datastoreItem xmlns:ds="http://schemas.openxmlformats.org/officeDocument/2006/customXml" ds:itemID="{2E364C7B-FF13-43F4-9C82-3F3B00C7E547}"/>
</file>

<file path=customXml/itemProps4.xml><?xml version="1.0" encoding="utf-8"?>
<ds:datastoreItem xmlns:ds="http://schemas.openxmlformats.org/officeDocument/2006/customXml" ds:itemID="{1F66EAAD-E25E-41EF-AD39-AB61F94F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4616</Words>
  <Characters>26313</Characters>
  <Application>Microsoft Office Word</Application>
  <DocSecurity>0</DocSecurity>
  <Lines>219</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CCPR/C/134/DR/3587/2019</vt:lpstr>
      <vt:lpstr>CCPR/C/WG/129/DR/2780/2016</vt:lpstr>
    </vt:vector>
  </TitlesOfParts>
  <Company>DCM</Company>
  <LinksUpToDate>false</LinksUpToDate>
  <CharactersWithSpaces>30868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CCPR/C/134/DR/3587/2019</dc:title>
  <dc:subject>2202734</dc:subject>
  <dc:creator>pae</dc:creator>
  <cp:keywords/>
  <dc:description>final</dc:description>
  <cp:lastModifiedBy>Mohamed Abdelazim</cp:lastModifiedBy>
  <cp:revision>3</cp:revision>
  <cp:lastPrinted>2022-08-04T12:35:00Z</cp:lastPrinted>
  <dcterms:created xsi:type="dcterms:W3CDTF">2022-08-04T12:33:00Z</dcterms:created>
  <dcterms:modified xsi:type="dcterms:W3CDTF">2022-08-04T12:35:00Z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