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DFAB" w14:textId="77777777" w:rsidR="00D55A36" w:rsidRPr="00E57316" w:rsidRDefault="00D55A36">
      <w:pPr>
        <w:pStyle w:val="Ttulo"/>
        <w:tabs>
          <w:tab w:val="left" w:pos="4678"/>
        </w:tabs>
        <w:spacing w:before="200" w:line="240" w:lineRule="auto"/>
        <w:ind w:right="-187"/>
        <w:jc w:val="both"/>
        <w:rPr>
          <w:b/>
          <w:sz w:val="24"/>
          <w:szCs w:val="24"/>
          <w:lang w:val="en-US"/>
        </w:rPr>
      </w:pPr>
      <w:bookmarkStart w:id="0" w:name="_gjdgxs" w:colFirst="0" w:colLast="0"/>
      <w:bookmarkEnd w:id="0"/>
    </w:p>
    <w:tbl>
      <w:tblPr>
        <w:tblStyle w:val="a"/>
        <w:tblW w:w="1494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42"/>
        <w:gridCol w:w="9355"/>
        <w:gridCol w:w="3051"/>
      </w:tblGrid>
      <w:tr w:rsidR="00D55A36" w:rsidRPr="00E57316" w14:paraId="21585D17" w14:textId="77777777">
        <w:trPr>
          <w:trHeight w:val="7000"/>
          <w:jc w:val="center"/>
        </w:trPr>
        <w:tc>
          <w:tcPr>
            <w:tcW w:w="2542" w:type="dxa"/>
            <w:shd w:val="clear" w:color="auto" w:fill="auto"/>
            <w:tcMar>
              <w:top w:w="100" w:type="dxa"/>
              <w:left w:w="100" w:type="dxa"/>
              <w:bottom w:w="100" w:type="dxa"/>
              <w:right w:w="100" w:type="dxa"/>
            </w:tcMar>
          </w:tcPr>
          <w:p w14:paraId="3E6C820E" w14:textId="77777777" w:rsidR="00D55A36" w:rsidRPr="00E57316" w:rsidRDefault="00D55A36">
            <w:pPr>
              <w:pStyle w:val="Ttulo"/>
              <w:spacing w:before="200" w:line="240" w:lineRule="auto"/>
              <w:ind w:right="-5340"/>
              <w:jc w:val="both"/>
              <w:rPr>
                <w:b/>
                <w:sz w:val="24"/>
                <w:szCs w:val="24"/>
                <w:lang w:val="en-US"/>
              </w:rPr>
            </w:pPr>
            <w:bookmarkStart w:id="1" w:name="_30j0zll" w:colFirst="0" w:colLast="0"/>
            <w:bookmarkEnd w:id="1"/>
          </w:p>
        </w:tc>
        <w:tc>
          <w:tcPr>
            <w:tcW w:w="9355" w:type="dxa"/>
          </w:tcPr>
          <w:p w14:paraId="63C6323E" w14:textId="77777777" w:rsidR="00D55A36" w:rsidRPr="00E57316" w:rsidRDefault="00113150">
            <w:pPr>
              <w:jc w:val="center"/>
              <w:rPr>
                <w:lang w:val="en-US"/>
              </w:rPr>
            </w:pPr>
            <w:r w:rsidRPr="00E57316">
              <w:rPr>
                <w:b/>
                <w:noProof/>
                <w:sz w:val="24"/>
                <w:szCs w:val="24"/>
                <w:lang w:eastAsia="es-AR"/>
              </w:rPr>
              <w:drawing>
                <wp:inline distT="114300" distB="114300" distL="114300" distR="114300" wp14:anchorId="393B279A" wp14:editId="2D6B2347">
                  <wp:extent cx="2186965" cy="1166399"/>
                  <wp:effectExtent l="0" t="0" r="0" b="0"/>
                  <wp:docPr id="1" name="image4.png" descr="logo_ovejas.png"/>
                  <wp:cNvGraphicFramePr/>
                  <a:graphic xmlns:a="http://schemas.openxmlformats.org/drawingml/2006/main">
                    <a:graphicData uri="http://schemas.openxmlformats.org/drawingml/2006/picture">
                      <pic:pic xmlns:pic="http://schemas.openxmlformats.org/drawingml/2006/picture">
                        <pic:nvPicPr>
                          <pic:cNvPr id="0" name="image4.png" descr="logo_ovejas.png"/>
                          <pic:cNvPicPr preferRelativeResize="0"/>
                        </pic:nvPicPr>
                        <pic:blipFill>
                          <a:blip r:embed="rId8"/>
                          <a:srcRect/>
                          <a:stretch>
                            <a:fillRect/>
                          </a:stretch>
                        </pic:blipFill>
                        <pic:spPr>
                          <a:xfrm>
                            <a:off x="0" y="0"/>
                            <a:ext cx="2186965" cy="1166399"/>
                          </a:xfrm>
                          <a:prstGeom prst="rect">
                            <a:avLst/>
                          </a:prstGeom>
                          <a:ln/>
                        </pic:spPr>
                      </pic:pic>
                    </a:graphicData>
                  </a:graphic>
                </wp:inline>
              </w:drawing>
            </w:r>
          </w:p>
          <w:p w14:paraId="45826896" w14:textId="77777777" w:rsidR="00D55A36" w:rsidRPr="00E57316" w:rsidRDefault="00D55A36">
            <w:pPr>
              <w:jc w:val="center"/>
              <w:rPr>
                <w:lang w:val="en-US"/>
              </w:rPr>
            </w:pPr>
          </w:p>
          <w:p w14:paraId="36F32A32" w14:textId="77777777" w:rsidR="00D55A36" w:rsidRPr="00E57316" w:rsidRDefault="00113150">
            <w:pPr>
              <w:rPr>
                <w:lang w:val="en-US"/>
              </w:rPr>
            </w:pPr>
            <w:r w:rsidRPr="00E57316">
              <w:rPr>
                <w:lang w:val="en-US"/>
              </w:rPr>
              <w:t xml:space="preserve">            </w:t>
            </w:r>
            <w:r w:rsidRPr="00E57316">
              <w:rPr>
                <w:noProof/>
                <w:lang w:eastAsia="es-AR"/>
              </w:rPr>
              <w:drawing>
                <wp:inline distT="0" distB="0" distL="0" distR="0" wp14:anchorId="02351697" wp14:editId="49B05062">
                  <wp:extent cx="2309811" cy="74416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309811" cy="744165"/>
                          </a:xfrm>
                          <a:prstGeom prst="rect">
                            <a:avLst/>
                          </a:prstGeom>
                          <a:ln/>
                        </pic:spPr>
                      </pic:pic>
                    </a:graphicData>
                  </a:graphic>
                </wp:inline>
              </w:drawing>
            </w:r>
            <w:r w:rsidRPr="00E57316">
              <w:rPr>
                <w:noProof/>
                <w:lang w:eastAsia="es-AR"/>
              </w:rPr>
              <w:drawing>
                <wp:inline distT="0" distB="0" distL="0" distR="0" wp14:anchorId="0C089BEB" wp14:editId="41524875">
                  <wp:extent cx="1966695" cy="978551"/>
                  <wp:effectExtent l="0" t="0" r="0" b="0"/>
                  <wp:docPr id="2" name="image2.jpg" descr="F:\Marcelo y la Aerolinea\Synergia Logo II (2).jpg"/>
                  <wp:cNvGraphicFramePr/>
                  <a:graphic xmlns:a="http://schemas.openxmlformats.org/drawingml/2006/main">
                    <a:graphicData uri="http://schemas.openxmlformats.org/drawingml/2006/picture">
                      <pic:pic xmlns:pic="http://schemas.openxmlformats.org/drawingml/2006/picture">
                        <pic:nvPicPr>
                          <pic:cNvPr id="0" name="image2.jpg" descr="F:\Marcelo y la Aerolinea\Synergia Logo II (2).jpg"/>
                          <pic:cNvPicPr preferRelativeResize="0"/>
                        </pic:nvPicPr>
                        <pic:blipFill>
                          <a:blip r:embed="rId10"/>
                          <a:srcRect/>
                          <a:stretch>
                            <a:fillRect/>
                          </a:stretch>
                        </pic:blipFill>
                        <pic:spPr>
                          <a:xfrm>
                            <a:off x="0" y="0"/>
                            <a:ext cx="1966695" cy="978551"/>
                          </a:xfrm>
                          <a:prstGeom prst="rect">
                            <a:avLst/>
                          </a:prstGeom>
                          <a:ln/>
                        </pic:spPr>
                      </pic:pic>
                    </a:graphicData>
                  </a:graphic>
                </wp:inline>
              </w:drawing>
            </w:r>
          </w:p>
          <w:p w14:paraId="29A682A1" w14:textId="77777777" w:rsidR="00D55A36" w:rsidRPr="00E57316" w:rsidRDefault="00D55A36">
            <w:pPr>
              <w:rPr>
                <w:lang w:val="en-US"/>
              </w:rPr>
            </w:pPr>
          </w:p>
          <w:p w14:paraId="73EE1262" w14:textId="77777777" w:rsidR="00D55A36" w:rsidRPr="00E57316" w:rsidRDefault="00113150">
            <w:pPr>
              <w:jc w:val="center"/>
              <w:rPr>
                <w:lang w:val="en-US"/>
              </w:rPr>
            </w:pPr>
            <w:r w:rsidRPr="00E57316">
              <w:rPr>
                <w:noProof/>
                <w:lang w:eastAsia="es-AR"/>
              </w:rPr>
              <w:drawing>
                <wp:inline distT="0" distB="0" distL="0" distR="0" wp14:anchorId="0CB2924A" wp14:editId="39A2D5EF">
                  <wp:extent cx="1876425" cy="1495425"/>
                  <wp:effectExtent l="0" t="0" r="0" b="0"/>
                  <wp:docPr id="4" name="image1.png" descr="C:\Users\user\Pictures\SRI LOGO (2).png"/>
                  <wp:cNvGraphicFramePr/>
                  <a:graphic xmlns:a="http://schemas.openxmlformats.org/drawingml/2006/main">
                    <a:graphicData uri="http://schemas.openxmlformats.org/drawingml/2006/picture">
                      <pic:pic xmlns:pic="http://schemas.openxmlformats.org/drawingml/2006/picture">
                        <pic:nvPicPr>
                          <pic:cNvPr id="0" name="image1.png" descr="C:\Users\user\Pictures\SRI LOGO (2).png"/>
                          <pic:cNvPicPr preferRelativeResize="0"/>
                        </pic:nvPicPr>
                        <pic:blipFill>
                          <a:blip r:embed="rId11"/>
                          <a:srcRect/>
                          <a:stretch>
                            <a:fillRect/>
                          </a:stretch>
                        </pic:blipFill>
                        <pic:spPr>
                          <a:xfrm>
                            <a:off x="0" y="0"/>
                            <a:ext cx="1876425" cy="1495425"/>
                          </a:xfrm>
                          <a:prstGeom prst="rect">
                            <a:avLst/>
                          </a:prstGeom>
                          <a:ln/>
                        </pic:spPr>
                      </pic:pic>
                    </a:graphicData>
                  </a:graphic>
                </wp:inline>
              </w:drawing>
            </w:r>
          </w:p>
          <w:p w14:paraId="0F4426C6" w14:textId="77777777" w:rsidR="00D55A36" w:rsidRPr="00E57316" w:rsidRDefault="00D55A36">
            <w:pPr>
              <w:rPr>
                <w:lang w:val="en-US"/>
              </w:rPr>
            </w:pPr>
          </w:p>
          <w:p w14:paraId="4490466E" w14:textId="77777777" w:rsidR="00D55A36" w:rsidRPr="00E57316" w:rsidRDefault="00D55A36">
            <w:pPr>
              <w:rPr>
                <w:lang w:val="en-US"/>
              </w:rPr>
            </w:pPr>
          </w:p>
        </w:tc>
        <w:tc>
          <w:tcPr>
            <w:tcW w:w="3051" w:type="dxa"/>
            <w:shd w:val="clear" w:color="auto" w:fill="auto"/>
            <w:tcMar>
              <w:top w:w="100" w:type="dxa"/>
              <w:left w:w="100" w:type="dxa"/>
              <w:bottom w:w="100" w:type="dxa"/>
              <w:right w:w="100" w:type="dxa"/>
            </w:tcMar>
          </w:tcPr>
          <w:p w14:paraId="6DEAD541" w14:textId="77777777" w:rsidR="00D55A36" w:rsidRPr="00E57316" w:rsidRDefault="00D55A36">
            <w:pPr>
              <w:rPr>
                <w:lang w:val="en-US"/>
              </w:rPr>
            </w:pPr>
            <w:bookmarkStart w:id="2" w:name="_1fob9te" w:colFirst="0" w:colLast="0"/>
            <w:bookmarkEnd w:id="2"/>
          </w:p>
          <w:p w14:paraId="65042302"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6AC0026E"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632A15B8"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609012ED"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1232FB32"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48DB729F"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25C92637"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30CBC766"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14AD6F78"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5C9A1925"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1EC39662" w14:textId="77777777" w:rsidR="00D55A36" w:rsidRPr="00E57316" w:rsidRDefault="00D55A36">
            <w:pPr>
              <w:pBdr>
                <w:top w:val="nil"/>
                <w:left w:val="nil"/>
                <w:bottom w:val="nil"/>
                <w:right w:val="nil"/>
                <w:between w:val="nil"/>
              </w:pBdr>
              <w:spacing w:line="259" w:lineRule="auto"/>
              <w:ind w:left="720" w:hanging="720"/>
              <w:rPr>
                <w:rFonts w:ascii="Cambria" w:eastAsia="Cambria" w:hAnsi="Cambria" w:cs="Cambria"/>
                <w:lang w:val="en-US"/>
              </w:rPr>
            </w:pPr>
          </w:p>
          <w:p w14:paraId="506CDD55" w14:textId="77777777" w:rsidR="00D55A36" w:rsidRPr="00E57316" w:rsidRDefault="00D55A36">
            <w:pPr>
              <w:pBdr>
                <w:top w:val="nil"/>
                <w:left w:val="nil"/>
                <w:bottom w:val="nil"/>
                <w:right w:val="nil"/>
                <w:between w:val="nil"/>
              </w:pBdr>
              <w:spacing w:line="259" w:lineRule="auto"/>
              <w:ind w:left="720" w:hanging="720"/>
              <w:rPr>
                <w:b/>
                <w:sz w:val="24"/>
                <w:szCs w:val="24"/>
                <w:lang w:val="en-US"/>
              </w:rPr>
            </w:pPr>
          </w:p>
          <w:p w14:paraId="7B73D467" w14:textId="77777777" w:rsidR="00D55A36" w:rsidRPr="00E57316" w:rsidRDefault="00D55A36">
            <w:pPr>
              <w:pBdr>
                <w:top w:val="nil"/>
                <w:left w:val="nil"/>
                <w:bottom w:val="nil"/>
                <w:right w:val="nil"/>
                <w:between w:val="nil"/>
              </w:pBdr>
              <w:spacing w:after="160" w:line="259" w:lineRule="auto"/>
              <w:ind w:left="720" w:hanging="720"/>
              <w:jc w:val="center"/>
              <w:rPr>
                <w:b/>
                <w:sz w:val="24"/>
                <w:szCs w:val="24"/>
                <w:lang w:val="en-US"/>
              </w:rPr>
            </w:pPr>
          </w:p>
          <w:p w14:paraId="25A85B0C" w14:textId="77777777" w:rsidR="00D55A36" w:rsidRPr="00E57316" w:rsidRDefault="00D55A36">
            <w:pPr>
              <w:jc w:val="right"/>
              <w:rPr>
                <w:rFonts w:ascii="Cambria" w:eastAsia="Cambria" w:hAnsi="Cambria" w:cs="Cambria"/>
                <w:b/>
                <w:sz w:val="24"/>
                <w:szCs w:val="24"/>
                <w:lang w:val="en-US"/>
              </w:rPr>
            </w:pPr>
          </w:p>
          <w:p w14:paraId="46B996ED" w14:textId="77777777" w:rsidR="00D55A36" w:rsidRPr="00E57316" w:rsidRDefault="00D55A36">
            <w:pPr>
              <w:jc w:val="center"/>
              <w:rPr>
                <w:rFonts w:ascii="Cambria" w:eastAsia="Cambria" w:hAnsi="Cambria" w:cs="Cambria"/>
                <w:b/>
                <w:sz w:val="24"/>
                <w:szCs w:val="24"/>
                <w:lang w:val="en-US"/>
              </w:rPr>
            </w:pPr>
          </w:p>
          <w:p w14:paraId="58DFEB72" w14:textId="77777777" w:rsidR="00D55A36" w:rsidRPr="00E57316" w:rsidRDefault="00D55A36">
            <w:pPr>
              <w:rPr>
                <w:b/>
                <w:sz w:val="24"/>
                <w:szCs w:val="24"/>
                <w:lang w:val="en-US"/>
              </w:rPr>
            </w:pPr>
          </w:p>
        </w:tc>
      </w:tr>
    </w:tbl>
    <w:p w14:paraId="55F80BAD" w14:textId="77777777" w:rsidR="009A4366" w:rsidRPr="00E57316" w:rsidRDefault="009A4366">
      <w:pPr>
        <w:jc w:val="center"/>
        <w:rPr>
          <w:b/>
          <w:sz w:val="32"/>
          <w:szCs w:val="32"/>
          <w:lang w:val="en-US"/>
        </w:rPr>
      </w:pPr>
      <w:bookmarkStart w:id="3" w:name="_3znysh7" w:colFirst="0" w:colLast="0"/>
      <w:bookmarkEnd w:id="3"/>
      <w:r w:rsidRPr="00E57316">
        <w:rPr>
          <w:b/>
          <w:sz w:val="32"/>
          <w:szCs w:val="32"/>
          <w:lang w:val="en-US"/>
        </w:rPr>
        <w:t>Human Rights Situation of Lesbian, Bisexual and/or Trans Women in Uruguay</w:t>
      </w:r>
    </w:p>
    <w:p w14:paraId="27E4E143" w14:textId="77777777" w:rsidR="00D55A36" w:rsidRPr="00E57316" w:rsidRDefault="00D55A36">
      <w:pPr>
        <w:jc w:val="center"/>
        <w:rPr>
          <w:b/>
          <w:sz w:val="24"/>
          <w:szCs w:val="24"/>
          <w:lang w:val="en-US"/>
        </w:rPr>
      </w:pPr>
    </w:p>
    <w:p w14:paraId="12A29305" w14:textId="77777777" w:rsidR="00D55A36" w:rsidRPr="00E57316" w:rsidRDefault="009A4366">
      <w:pPr>
        <w:jc w:val="center"/>
        <w:rPr>
          <w:b/>
          <w:sz w:val="24"/>
          <w:szCs w:val="24"/>
          <w:lang w:val="en-US"/>
        </w:rPr>
      </w:pPr>
      <w:bookmarkStart w:id="4" w:name="_2et92p0" w:colFirst="0" w:colLast="0"/>
      <w:bookmarkEnd w:id="4"/>
      <w:r w:rsidRPr="00E57316">
        <w:rPr>
          <w:b/>
          <w:sz w:val="24"/>
          <w:szCs w:val="24"/>
          <w:lang w:val="en-US"/>
        </w:rPr>
        <w:t>January</w:t>
      </w:r>
      <w:r w:rsidR="00113150" w:rsidRPr="00E57316">
        <w:rPr>
          <w:b/>
          <w:sz w:val="24"/>
          <w:szCs w:val="24"/>
          <w:lang w:val="en-US"/>
        </w:rPr>
        <w:t xml:space="preserve"> 2019</w:t>
      </w:r>
    </w:p>
    <w:p w14:paraId="01EEEBD4" w14:textId="77777777" w:rsidR="00D55A36" w:rsidRPr="00E57316" w:rsidRDefault="00D55A36">
      <w:pPr>
        <w:jc w:val="center"/>
        <w:rPr>
          <w:b/>
          <w:sz w:val="24"/>
          <w:szCs w:val="24"/>
          <w:lang w:val="en-US"/>
        </w:rPr>
      </w:pPr>
    </w:p>
    <w:p w14:paraId="45D9E2A8" w14:textId="77777777" w:rsidR="00D55A36" w:rsidRPr="00E57316" w:rsidRDefault="00D55A36">
      <w:pPr>
        <w:pBdr>
          <w:top w:val="nil"/>
          <w:left w:val="nil"/>
          <w:bottom w:val="nil"/>
          <w:right w:val="nil"/>
          <w:between w:val="nil"/>
        </w:pBdr>
        <w:spacing w:line="240" w:lineRule="auto"/>
        <w:ind w:hanging="720"/>
        <w:rPr>
          <w:b/>
          <w:lang w:val="en-US"/>
        </w:rPr>
      </w:pPr>
    </w:p>
    <w:p w14:paraId="52D91B2D" w14:textId="3209BD9B" w:rsidR="009A4366" w:rsidRPr="00E57316" w:rsidRDefault="009A4366">
      <w:pPr>
        <w:pBdr>
          <w:top w:val="nil"/>
          <w:left w:val="nil"/>
          <w:bottom w:val="nil"/>
          <w:right w:val="nil"/>
          <w:between w:val="nil"/>
        </w:pBdr>
        <w:spacing w:line="240" w:lineRule="auto"/>
        <w:jc w:val="center"/>
        <w:rPr>
          <w:b/>
          <w:sz w:val="28"/>
          <w:szCs w:val="28"/>
          <w:lang w:val="en-US"/>
        </w:rPr>
      </w:pPr>
      <w:r w:rsidRPr="00E57316">
        <w:rPr>
          <w:b/>
          <w:sz w:val="28"/>
          <w:szCs w:val="28"/>
          <w:lang w:val="en-US"/>
        </w:rPr>
        <w:t xml:space="preserve">List of </w:t>
      </w:r>
      <w:r w:rsidR="00D704E2" w:rsidRPr="00E57316">
        <w:rPr>
          <w:b/>
          <w:sz w:val="28"/>
          <w:szCs w:val="28"/>
          <w:lang w:val="en-US"/>
        </w:rPr>
        <w:t xml:space="preserve">suggested </w:t>
      </w:r>
      <w:r w:rsidRPr="00E57316">
        <w:rPr>
          <w:b/>
          <w:sz w:val="28"/>
          <w:szCs w:val="28"/>
          <w:lang w:val="en-US"/>
        </w:rPr>
        <w:t>issues presented to the Working Group on Uruguay’s Report</w:t>
      </w:r>
    </w:p>
    <w:p w14:paraId="6DF47D83" w14:textId="77777777" w:rsidR="00D55A36" w:rsidRPr="00E57316" w:rsidRDefault="00D55A36">
      <w:pPr>
        <w:pBdr>
          <w:top w:val="nil"/>
          <w:left w:val="nil"/>
          <w:bottom w:val="nil"/>
          <w:right w:val="nil"/>
          <w:between w:val="nil"/>
        </w:pBdr>
        <w:spacing w:line="240" w:lineRule="auto"/>
        <w:jc w:val="center"/>
        <w:rPr>
          <w:b/>
          <w:sz w:val="28"/>
          <w:szCs w:val="28"/>
          <w:lang w:val="en-US"/>
        </w:rPr>
      </w:pPr>
    </w:p>
    <w:p w14:paraId="57800792" w14:textId="77777777" w:rsidR="00D55A36" w:rsidRPr="00E57316" w:rsidRDefault="009A4366" w:rsidP="009A4366">
      <w:pPr>
        <w:pBdr>
          <w:top w:val="nil"/>
          <w:left w:val="nil"/>
          <w:bottom w:val="nil"/>
          <w:right w:val="nil"/>
          <w:between w:val="nil"/>
        </w:pBdr>
        <w:spacing w:line="240" w:lineRule="auto"/>
        <w:jc w:val="center"/>
        <w:rPr>
          <w:b/>
          <w:sz w:val="28"/>
          <w:szCs w:val="28"/>
          <w:lang w:val="en-US"/>
        </w:rPr>
      </w:pPr>
      <w:r w:rsidRPr="00E57316">
        <w:rPr>
          <w:b/>
          <w:sz w:val="28"/>
          <w:szCs w:val="28"/>
          <w:lang w:val="en-US"/>
        </w:rPr>
        <w:t xml:space="preserve">Committee on the Elimination of Discrimination against Women </w:t>
      </w:r>
    </w:p>
    <w:p w14:paraId="65AF44FA" w14:textId="77777777" w:rsidR="00D55A36" w:rsidRPr="00E57316" w:rsidRDefault="00D55A36">
      <w:pPr>
        <w:pBdr>
          <w:top w:val="nil"/>
          <w:left w:val="nil"/>
          <w:bottom w:val="nil"/>
          <w:right w:val="nil"/>
          <w:between w:val="nil"/>
        </w:pBdr>
        <w:spacing w:line="240" w:lineRule="auto"/>
        <w:jc w:val="center"/>
        <w:rPr>
          <w:b/>
          <w:sz w:val="32"/>
          <w:szCs w:val="32"/>
          <w:lang w:val="en-US"/>
        </w:rPr>
      </w:pPr>
    </w:p>
    <w:p w14:paraId="0FF61BF7" w14:textId="77777777" w:rsidR="00D55A36" w:rsidRPr="00E57316" w:rsidRDefault="00113150" w:rsidP="009A4366">
      <w:pPr>
        <w:pBdr>
          <w:top w:val="nil"/>
          <w:left w:val="nil"/>
          <w:bottom w:val="nil"/>
          <w:right w:val="nil"/>
          <w:between w:val="nil"/>
        </w:pBdr>
        <w:spacing w:line="240" w:lineRule="auto"/>
        <w:jc w:val="center"/>
        <w:rPr>
          <w:b/>
          <w:sz w:val="28"/>
          <w:szCs w:val="28"/>
          <w:lang w:val="en-US"/>
        </w:rPr>
      </w:pPr>
      <w:r w:rsidRPr="00E57316">
        <w:rPr>
          <w:b/>
          <w:sz w:val="28"/>
          <w:szCs w:val="28"/>
          <w:lang w:val="en-US"/>
        </w:rPr>
        <w:t>74</w:t>
      </w:r>
      <w:r w:rsidR="009A4366" w:rsidRPr="00E57316">
        <w:rPr>
          <w:b/>
          <w:sz w:val="28"/>
          <w:szCs w:val="28"/>
          <w:lang w:val="en-US"/>
        </w:rPr>
        <w:t xml:space="preserve"> Meeting of the Working Group prior to the Session</w:t>
      </w:r>
    </w:p>
    <w:p w14:paraId="6F9B90D8" w14:textId="77777777" w:rsidR="00D55A36" w:rsidRPr="00E57316" w:rsidRDefault="009A4366">
      <w:pPr>
        <w:jc w:val="center"/>
        <w:rPr>
          <w:b/>
          <w:sz w:val="28"/>
          <w:szCs w:val="28"/>
          <w:lang w:val="en-US"/>
        </w:rPr>
      </w:pPr>
      <w:r w:rsidRPr="00E57316">
        <w:rPr>
          <w:b/>
          <w:sz w:val="28"/>
          <w:szCs w:val="28"/>
          <w:lang w:val="en-US"/>
        </w:rPr>
        <w:t xml:space="preserve">March 11-15, </w:t>
      </w:r>
      <w:r w:rsidR="00113150" w:rsidRPr="00E57316">
        <w:rPr>
          <w:b/>
          <w:sz w:val="28"/>
          <w:szCs w:val="28"/>
          <w:lang w:val="en-US"/>
        </w:rPr>
        <w:t>2019</w:t>
      </w:r>
    </w:p>
    <w:p w14:paraId="3E109E90" w14:textId="77777777" w:rsidR="00D55A36" w:rsidRPr="00E57316" w:rsidRDefault="00D55A36">
      <w:pPr>
        <w:rPr>
          <w:lang w:val="en-US"/>
        </w:rPr>
      </w:pPr>
    </w:p>
    <w:p w14:paraId="1E9FC9F7" w14:textId="77777777" w:rsidR="00D55A36" w:rsidRPr="00E57316" w:rsidRDefault="00D55A36">
      <w:pPr>
        <w:pBdr>
          <w:top w:val="nil"/>
          <w:left w:val="nil"/>
          <w:bottom w:val="nil"/>
          <w:right w:val="nil"/>
          <w:between w:val="nil"/>
        </w:pBdr>
        <w:spacing w:line="240" w:lineRule="auto"/>
        <w:ind w:hanging="720"/>
        <w:rPr>
          <w:b/>
          <w:lang w:val="en-US"/>
        </w:rPr>
      </w:pPr>
    </w:p>
    <w:p w14:paraId="7313BF6D" w14:textId="77777777" w:rsidR="00D55A36" w:rsidRPr="00E57316" w:rsidRDefault="009A4366">
      <w:pPr>
        <w:pBdr>
          <w:top w:val="nil"/>
          <w:left w:val="nil"/>
          <w:bottom w:val="nil"/>
          <w:right w:val="nil"/>
          <w:between w:val="nil"/>
        </w:pBdr>
        <w:spacing w:line="240" w:lineRule="auto"/>
        <w:ind w:hanging="720"/>
        <w:rPr>
          <w:b/>
          <w:sz w:val="24"/>
          <w:szCs w:val="24"/>
          <w:lang w:val="en-US"/>
        </w:rPr>
      </w:pPr>
      <w:r w:rsidRPr="00E57316">
        <w:rPr>
          <w:b/>
          <w:sz w:val="24"/>
          <w:szCs w:val="24"/>
          <w:lang w:val="en-US"/>
        </w:rPr>
        <w:t>Report submitted by</w:t>
      </w:r>
      <w:r w:rsidR="00113150" w:rsidRPr="00E57316">
        <w:rPr>
          <w:b/>
          <w:sz w:val="24"/>
          <w:szCs w:val="24"/>
          <w:lang w:val="en-US"/>
        </w:rPr>
        <w:t xml:space="preserve">: </w:t>
      </w:r>
    </w:p>
    <w:p w14:paraId="57A3A95D" w14:textId="77777777" w:rsidR="00D55A36" w:rsidRPr="00E57316" w:rsidRDefault="00D55A36">
      <w:pPr>
        <w:pBdr>
          <w:top w:val="nil"/>
          <w:left w:val="nil"/>
          <w:bottom w:val="nil"/>
          <w:right w:val="nil"/>
          <w:between w:val="nil"/>
        </w:pBdr>
        <w:spacing w:line="240" w:lineRule="auto"/>
        <w:ind w:hanging="720"/>
        <w:rPr>
          <w:b/>
          <w:sz w:val="24"/>
          <w:szCs w:val="24"/>
          <w:lang w:val="en-US"/>
        </w:rPr>
      </w:pPr>
    </w:p>
    <w:p w14:paraId="3CA53CDC" w14:textId="77777777" w:rsidR="00D55A36" w:rsidRPr="00E57316" w:rsidRDefault="00113150">
      <w:pPr>
        <w:numPr>
          <w:ilvl w:val="0"/>
          <w:numId w:val="2"/>
        </w:numPr>
        <w:pBdr>
          <w:top w:val="nil"/>
          <w:left w:val="nil"/>
          <w:bottom w:val="nil"/>
          <w:right w:val="nil"/>
          <w:between w:val="nil"/>
        </w:pBdr>
        <w:spacing w:line="259" w:lineRule="auto"/>
        <w:rPr>
          <w:b/>
          <w:sz w:val="24"/>
          <w:szCs w:val="24"/>
          <w:lang w:val="en-US"/>
        </w:rPr>
      </w:pPr>
      <w:r w:rsidRPr="00E57316">
        <w:rPr>
          <w:b/>
          <w:sz w:val="24"/>
          <w:szCs w:val="24"/>
          <w:lang w:val="en-US"/>
        </w:rPr>
        <w:t>Colectivo Ovejas Negras</w:t>
      </w:r>
    </w:p>
    <w:p w14:paraId="2A1CA93A" w14:textId="77777777" w:rsidR="00D55A36" w:rsidRPr="00E57316" w:rsidRDefault="00113150">
      <w:pPr>
        <w:numPr>
          <w:ilvl w:val="0"/>
          <w:numId w:val="2"/>
        </w:numPr>
        <w:pBdr>
          <w:top w:val="nil"/>
          <w:left w:val="nil"/>
          <w:bottom w:val="nil"/>
          <w:right w:val="nil"/>
          <w:between w:val="nil"/>
        </w:pBdr>
        <w:spacing w:line="259" w:lineRule="auto"/>
        <w:rPr>
          <w:b/>
          <w:sz w:val="24"/>
          <w:szCs w:val="24"/>
          <w:lang w:val="en-US"/>
        </w:rPr>
      </w:pPr>
      <w:proofErr w:type="spellStart"/>
      <w:r w:rsidRPr="00E57316">
        <w:rPr>
          <w:b/>
          <w:sz w:val="24"/>
          <w:szCs w:val="24"/>
          <w:lang w:val="en-US"/>
        </w:rPr>
        <w:t>Akahatá</w:t>
      </w:r>
      <w:proofErr w:type="spellEnd"/>
      <w:r w:rsidRPr="00E57316">
        <w:rPr>
          <w:b/>
          <w:sz w:val="24"/>
          <w:szCs w:val="24"/>
          <w:lang w:val="en-US"/>
        </w:rPr>
        <w:t xml:space="preserve"> – </w:t>
      </w:r>
      <w:proofErr w:type="spellStart"/>
      <w:r w:rsidRPr="00E57316">
        <w:rPr>
          <w:b/>
          <w:sz w:val="24"/>
          <w:szCs w:val="24"/>
          <w:lang w:val="en-US"/>
        </w:rPr>
        <w:t>Equipo</w:t>
      </w:r>
      <w:proofErr w:type="spellEnd"/>
      <w:r w:rsidRPr="00E57316">
        <w:rPr>
          <w:b/>
          <w:sz w:val="24"/>
          <w:szCs w:val="24"/>
          <w:lang w:val="en-US"/>
        </w:rPr>
        <w:t xml:space="preserve"> de </w:t>
      </w:r>
      <w:proofErr w:type="spellStart"/>
      <w:r w:rsidRPr="00E57316">
        <w:rPr>
          <w:b/>
          <w:sz w:val="24"/>
          <w:szCs w:val="24"/>
          <w:lang w:val="en-US"/>
        </w:rPr>
        <w:t>trabajo</w:t>
      </w:r>
      <w:proofErr w:type="spellEnd"/>
      <w:r w:rsidRPr="00E57316">
        <w:rPr>
          <w:b/>
          <w:sz w:val="24"/>
          <w:szCs w:val="24"/>
          <w:lang w:val="en-US"/>
        </w:rPr>
        <w:t xml:space="preserve"> en </w:t>
      </w:r>
      <w:proofErr w:type="spellStart"/>
      <w:r w:rsidRPr="00E57316">
        <w:rPr>
          <w:b/>
          <w:sz w:val="24"/>
          <w:szCs w:val="24"/>
          <w:lang w:val="en-US"/>
        </w:rPr>
        <w:t>sexualidades</w:t>
      </w:r>
      <w:proofErr w:type="spellEnd"/>
      <w:r w:rsidRPr="00E57316">
        <w:rPr>
          <w:b/>
          <w:sz w:val="24"/>
          <w:szCs w:val="24"/>
          <w:lang w:val="en-US"/>
        </w:rPr>
        <w:t xml:space="preserve"> y </w:t>
      </w:r>
      <w:proofErr w:type="spellStart"/>
      <w:r w:rsidRPr="00E57316">
        <w:rPr>
          <w:b/>
          <w:sz w:val="24"/>
          <w:szCs w:val="24"/>
          <w:lang w:val="en-US"/>
        </w:rPr>
        <w:t>géneros</w:t>
      </w:r>
      <w:proofErr w:type="spellEnd"/>
    </w:p>
    <w:p w14:paraId="2894DFBA" w14:textId="77777777" w:rsidR="00D55A36" w:rsidRPr="00E57316" w:rsidRDefault="00113150">
      <w:pPr>
        <w:numPr>
          <w:ilvl w:val="0"/>
          <w:numId w:val="2"/>
        </w:numPr>
        <w:pBdr>
          <w:top w:val="nil"/>
          <w:left w:val="nil"/>
          <w:bottom w:val="nil"/>
          <w:right w:val="nil"/>
          <w:between w:val="nil"/>
        </w:pBdr>
        <w:jc w:val="both"/>
        <w:rPr>
          <w:b/>
          <w:sz w:val="24"/>
          <w:szCs w:val="24"/>
          <w:lang w:val="en-US"/>
        </w:rPr>
      </w:pPr>
      <w:proofErr w:type="spellStart"/>
      <w:r w:rsidRPr="00E57316">
        <w:rPr>
          <w:b/>
          <w:sz w:val="24"/>
          <w:szCs w:val="24"/>
          <w:lang w:val="en-US"/>
        </w:rPr>
        <w:t>Synergia</w:t>
      </w:r>
      <w:proofErr w:type="spellEnd"/>
      <w:r w:rsidRPr="00E57316">
        <w:rPr>
          <w:b/>
          <w:sz w:val="24"/>
          <w:szCs w:val="24"/>
          <w:lang w:val="en-US"/>
        </w:rPr>
        <w:t xml:space="preserve"> - Initiatives for Human </w:t>
      </w:r>
      <w:proofErr w:type="spellStart"/>
      <w:r w:rsidRPr="00E57316">
        <w:rPr>
          <w:b/>
          <w:sz w:val="24"/>
          <w:szCs w:val="24"/>
          <w:lang w:val="en-US"/>
        </w:rPr>
        <w:t>Rigths</w:t>
      </w:r>
      <w:proofErr w:type="spellEnd"/>
    </w:p>
    <w:p w14:paraId="7257AB3F" w14:textId="77777777" w:rsidR="00D55A36" w:rsidRPr="00E57316" w:rsidRDefault="00113150">
      <w:pPr>
        <w:numPr>
          <w:ilvl w:val="0"/>
          <w:numId w:val="2"/>
        </w:numPr>
        <w:pBdr>
          <w:top w:val="nil"/>
          <w:left w:val="nil"/>
          <w:bottom w:val="nil"/>
          <w:right w:val="nil"/>
          <w:between w:val="nil"/>
        </w:pBdr>
        <w:spacing w:after="160" w:line="259" w:lineRule="auto"/>
        <w:rPr>
          <w:b/>
          <w:sz w:val="24"/>
          <w:szCs w:val="24"/>
          <w:lang w:val="en-US"/>
        </w:rPr>
      </w:pPr>
      <w:bookmarkStart w:id="5" w:name="_tyjcwt" w:colFirst="0" w:colLast="0"/>
      <w:bookmarkEnd w:id="5"/>
      <w:r w:rsidRPr="00E57316">
        <w:rPr>
          <w:b/>
          <w:sz w:val="24"/>
          <w:szCs w:val="24"/>
          <w:lang w:val="en-US"/>
        </w:rPr>
        <w:t>SRI – Sexual Rights Initiative</w:t>
      </w:r>
    </w:p>
    <w:p w14:paraId="2851976F" w14:textId="55C201E0" w:rsidR="00CE3ED7" w:rsidRPr="00E57316" w:rsidRDefault="00113150" w:rsidP="009A4366">
      <w:pPr>
        <w:rPr>
          <w:lang w:val="en-US"/>
        </w:rPr>
      </w:pPr>
      <w:r w:rsidRPr="00E57316">
        <w:rPr>
          <w:lang w:val="en-US"/>
        </w:rPr>
        <w:lastRenderedPageBreak/>
        <w:t xml:space="preserve">Colectivo Ovejas Negras;  </w:t>
      </w:r>
      <w:proofErr w:type="spellStart"/>
      <w:r w:rsidRPr="00E57316">
        <w:rPr>
          <w:lang w:val="en-US"/>
        </w:rPr>
        <w:t>Akahatá</w:t>
      </w:r>
      <w:proofErr w:type="spellEnd"/>
      <w:r w:rsidRPr="00E57316">
        <w:rPr>
          <w:lang w:val="en-US"/>
        </w:rPr>
        <w:t xml:space="preserve"> </w:t>
      </w:r>
      <w:r w:rsidR="00D704E2" w:rsidRPr="00E57316">
        <w:rPr>
          <w:lang w:val="en-US"/>
        </w:rPr>
        <w:t>–</w:t>
      </w:r>
      <w:r w:rsidRPr="00E57316">
        <w:rPr>
          <w:lang w:val="en-US"/>
        </w:rPr>
        <w:t xml:space="preserve"> </w:t>
      </w:r>
      <w:proofErr w:type="spellStart"/>
      <w:r w:rsidR="00D704E2" w:rsidRPr="00E57316">
        <w:rPr>
          <w:lang w:val="en-US"/>
        </w:rPr>
        <w:t>E</w:t>
      </w:r>
      <w:r w:rsidRPr="00E57316">
        <w:rPr>
          <w:lang w:val="en-US"/>
        </w:rPr>
        <w:t>quipo</w:t>
      </w:r>
      <w:proofErr w:type="spellEnd"/>
      <w:r w:rsidRPr="00E57316">
        <w:rPr>
          <w:lang w:val="en-US"/>
        </w:rPr>
        <w:t xml:space="preserve"> de </w:t>
      </w:r>
      <w:proofErr w:type="spellStart"/>
      <w:r w:rsidRPr="00E57316">
        <w:rPr>
          <w:lang w:val="en-US"/>
        </w:rPr>
        <w:t>trabajo</w:t>
      </w:r>
      <w:proofErr w:type="spellEnd"/>
      <w:r w:rsidRPr="00E57316">
        <w:rPr>
          <w:lang w:val="en-US"/>
        </w:rPr>
        <w:t xml:space="preserve"> en </w:t>
      </w:r>
      <w:proofErr w:type="spellStart"/>
      <w:r w:rsidRPr="00E57316">
        <w:rPr>
          <w:lang w:val="en-US"/>
        </w:rPr>
        <w:t>sexualidades</w:t>
      </w:r>
      <w:proofErr w:type="spellEnd"/>
      <w:r w:rsidRPr="00E57316">
        <w:rPr>
          <w:lang w:val="en-US"/>
        </w:rPr>
        <w:t xml:space="preserve"> y </w:t>
      </w:r>
      <w:proofErr w:type="spellStart"/>
      <w:r w:rsidRPr="00E57316">
        <w:rPr>
          <w:lang w:val="en-US"/>
        </w:rPr>
        <w:t>géneros</w:t>
      </w:r>
      <w:proofErr w:type="spellEnd"/>
      <w:r w:rsidRPr="00E57316">
        <w:rPr>
          <w:lang w:val="en-US"/>
        </w:rPr>
        <w:t xml:space="preserve">; </w:t>
      </w:r>
      <w:proofErr w:type="spellStart"/>
      <w:r w:rsidRPr="00E57316">
        <w:rPr>
          <w:lang w:val="en-US"/>
        </w:rPr>
        <w:t>Synergia</w:t>
      </w:r>
      <w:proofErr w:type="spellEnd"/>
      <w:r w:rsidRPr="00E57316">
        <w:rPr>
          <w:lang w:val="en-US"/>
        </w:rPr>
        <w:t xml:space="preserve"> - Initiatives for Human </w:t>
      </w:r>
      <w:r w:rsidR="00D704E2" w:rsidRPr="00E57316">
        <w:rPr>
          <w:lang w:val="en-US"/>
        </w:rPr>
        <w:t>Rights</w:t>
      </w:r>
      <w:r w:rsidRPr="00E57316">
        <w:rPr>
          <w:lang w:val="en-US"/>
        </w:rPr>
        <w:t xml:space="preserve">;  </w:t>
      </w:r>
      <w:r w:rsidR="0055001E" w:rsidRPr="00E57316">
        <w:rPr>
          <w:lang w:val="en-US"/>
        </w:rPr>
        <w:t>and the</w:t>
      </w:r>
      <w:r w:rsidRPr="00E57316">
        <w:rPr>
          <w:lang w:val="en-US"/>
        </w:rPr>
        <w:t xml:space="preserve"> SRI – Sexual Rights Initiative </w:t>
      </w:r>
      <w:r w:rsidR="00CE3ED7" w:rsidRPr="00E57316">
        <w:rPr>
          <w:lang w:val="en-US"/>
        </w:rPr>
        <w:t xml:space="preserve">are </w:t>
      </w:r>
      <w:r w:rsidR="00D704E2" w:rsidRPr="00E57316">
        <w:rPr>
          <w:lang w:val="en-US"/>
        </w:rPr>
        <w:t>honored</w:t>
      </w:r>
      <w:r w:rsidR="00CE3ED7" w:rsidRPr="00E57316">
        <w:rPr>
          <w:lang w:val="en-US"/>
        </w:rPr>
        <w:t xml:space="preserve"> to </w:t>
      </w:r>
      <w:r w:rsidR="00D704E2" w:rsidRPr="00E57316">
        <w:rPr>
          <w:lang w:val="en-US"/>
        </w:rPr>
        <w:t>submit</w:t>
      </w:r>
      <w:r w:rsidR="00CE3ED7" w:rsidRPr="00E57316">
        <w:rPr>
          <w:lang w:val="en-US"/>
        </w:rPr>
        <w:t xml:space="preserve"> the following list of issues to the Committee on the Elimination of Discrimination against Women with the aim of assisting the Committee in the formulation of the List of Issues to follow up the implementation of the Convention on the Elimination of All Forms of Discrimination against Women by the State of Uruguay. </w:t>
      </w:r>
    </w:p>
    <w:p w14:paraId="60601316" w14:textId="77777777" w:rsidR="00D55A36" w:rsidRPr="00E57316" w:rsidRDefault="00D55A36">
      <w:pPr>
        <w:jc w:val="both"/>
        <w:rPr>
          <w:lang w:val="en-US"/>
        </w:rPr>
      </w:pPr>
    </w:p>
    <w:p w14:paraId="60C921CF" w14:textId="77777777" w:rsidR="00D55A36" w:rsidRPr="00E57316" w:rsidRDefault="00D55A36">
      <w:pPr>
        <w:spacing w:line="240" w:lineRule="auto"/>
        <w:jc w:val="both"/>
        <w:rPr>
          <w:lang w:val="en-US"/>
        </w:rPr>
      </w:pPr>
    </w:p>
    <w:p w14:paraId="1F22F4D8" w14:textId="77777777" w:rsidR="00D55A36" w:rsidRPr="00E57316" w:rsidRDefault="00113150">
      <w:pPr>
        <w:jc w:val="both"/>
        <w:rPr>
          <w:b/>
          <w:lang w:val="en-US"/>
        </w:rPr>
      </w:pPr>
      <w:r w:rsidRPr="00E57316">
        <w:rPr>
          <w:b/>
          <w:lang w:val="en-US"/>
        </w:rPr>
        <w:t>Introduc</w:t>
      </w:r>
      <w:r w:rsidR="009A4366" w:rsidRPr="00E57316">
        <w:rPr>
          <w:b/>
          <w:lang w:val="en-US"/>
        </w:rPr>
        <w:t>tion</w:t>
      </w:r>
    </w:p>
    <w:p w14:paraId="1B17B280" w14:textId="2195BB25" w:rsidR="00464F77" w:rsidRPr="00E57316" w:rsidRDefault="00464F7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bookmarkStart w:id="6" w:name="_3dy6vkm" w:colFirst="0" w:colLast="0"/>
      <w:bookmarkEnd w:id="6"/>
      <w:r w:rsidRPr="00E57316">
        <w:rPr>
          <w:lang w:val="en-US"/>
        </w:rPr>
        <w:t>During the past years, significant advances had been achieved by Uruguay regarding laws, public policies and institutional policies</w:t>
      </w:r>
      <w:r w:rsidR="00F3598A" w:rsidRPr="00E57316">
        <w:rPr>
          <w:vertAlign w:val="superscript"/>
          <w:lang w:val="en-US"/>
        </w:rPr>
        <w:footnoteReference w:id="1"/>
      </w:r>
      <w:r w:rsidRPr="00E57316">
        <w:rPr>
          <w:lang w:val="en-US"/>
        </w:rPr>
        <w:t>, aiming to guarantee human rights for LBT</w:t>
      </w:r>
      <w:r w:rsidR="00F3598A" w:rsidRPr="00E57316">
        <w:rPr>
          <w:vertAlign w:val="superscript"/>
          <w:lang w:val="en-US"/>
        </w:rPr>
        <w:footnoteReference w:id="2"/>
      </w:r>
      <w:r w:rsidRPr="00E57316">
        <w:rPr>
          <w:lang w:val="en-US"/>
        </w:rPr>
        <w:t xml:space="preserve"> persons, in accordance with its Constitution, which enshrines equality for all people</w:t>
      </w:r>
      <w:r w:rsidR="00F3598A" w:rsidRPr="00E57316">
        <w:rPr>
          <w:vertAlign w:val="superscript"/>
          <w:lang w:val="en-US"/>
        </w:rPr>
        <w:footnoteReference w:id="3"/>
      </w:r>
      <w:r w:rsidRPr="00E57316">
        <w:rPr>
          <w:lang w:val="en-US"/>
        </w:rPr>
        <w:t xml:space="preserve">. </w:t>
      </w:r>
      <w:r w:rsidR="00FA1610" w:rsidRPr="00E57316">
        <w:rPr>
          <w:lang w:val="en-US"/>
        </w:rPr>
        <w:t xml:space="preserve">However, difficulties affecting women, and particularly LBT women, are still present in Uruguay. </w:t>
      </w:r>
      <w:r w:rsidR="007A45FE" w:rsidRPr="00E57316">
        <w:rPr>
          <w:lang w:val="en-US"/>
        </w:rPr>
        <w:t>Several civil society organizations will submit reports on the situation of women, so we would like to contribute a focus on the following issues which affect especially LBT women:</w:t>
      </w:r>
    </w:p>
    <w:p w14:paraId="77279C88" w14:textId="77777777" w:rsidR="007A45FE" w:rsidRPr="00E57316" w:rsidRDefault="007A45FE" w:rsidP="007A45FE">
      <w:pPr>
        <w:pStyle w:val="Prrafodelista"/>
        <w:numPr>
          <w:ilvl w:val="1"/>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t>Discrimination regarding legal recognition of the children of lesbian and/or bisexual mothers</w:t>
      </w:r>
      <w:bookmarkStart w:id="7" w:name="_GoBack"/>
      <w:bookmarkEnd w:id="7"/>
    </w:p>
    <w:p w14:paraId="45AD0AE9" w14:textId="5AB3500D" w:rsidR="007A45FE" w:rsidRPr="00E57316" w:rsidRDefault="007A45FE" w:rsidP="007A45FE">
      <w:pPr>
        <w:pStyle w:val="Prrafodelista"/>
        <w:numPr>
          <w:ilvl w:val="1"/>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t xml:space="preserve">Violence and </w:t>
      </w:r>
      <w:r w:rsidR="000576E0" w:rsidRPr="00E57316">
        <w:rPr>
          <w:lang w:val="en-US"/>
        </w:rPr>
        <w:t>killings</w:t>
      </w:r>
      <w:r w:rsidRPr="00E57316">
        <w:rPr>
          <w:lang w:val="en-US"/>
        </w:rPr>
        <w:t xml:space="preserve"> of trans women due to their identity, sexual orientation and/or gender expression. </w:t>
      </w:r>
    </w:p>
    <w:p w14:paraId="5944360D" w14:textId="77777777" w:rsidR="00D55A36" w:rsidRPr="00E57316" w:rsidRDefault="00D55A36">
      <w:pPr>
        <w:spacing w:line="240" w:lineRule="auto"/>
        <w:jc w:val="both"/>
        <w:rPr>
          <w:b/>
          <w:lang w:val="en-US"/>
        </w:rPr>
      </w:pPr>
      <w:bookmarkStart w:id="8" w:name="_1t3h5sf" w:colFirst="0" w:colLast="0"/>
      <w:bookmarkEnd w:id="8"/>
    </w:p>
    <w:p w14:paraId="28DA6D09" w14:textId="77777777" w:rsidR="007A45FE" w:rsidRPr="00E57316" w:rsidRDefault="007A45FE" w:rsidP="00063BA0">
      <w:pPr>
        <w:spacing w:line="240" w:lineRule="auto"/>
        <w:jc w:val="both"/>
        <w:rPr>
          <w:b/>
          <w:lang w:val="en-US"/>
        </w:rPr>
      </w:pPr>
      <w:r w:rsidRPr="00E57316">
        <w:rPr>
          <w:b/>
          <w:lang w:val="en-US"/>
        </w:rPr>
        <w:t>Discrimination regarding legal recognition of the children of lesbian and/or bisexual mothers</w:t>
      </w:r>
    </w:p>
    <w:p w14:paraId="32822E54" w14:textId="77777777" w:rsidR="00063BA0" w:rsidRPr="00E57316" w:rsidRDefault="00063BA0" w:rsidP="00063BA0">
      <w:pPr>
        <w:spacing w:line="240" w:lineRule="auto"/>
        <w:jc w:val="both"/>
        <w:rPr>
          <w:b/>
          <w:lang w:val="en-US"/>
        </w:rPr>
      </w:pPr>
    </w:p>
    <w:p w14:paraId="4738271B" w14:textId="77777777" w:rsidR="00D55A36" w:rsidRPr="00E57316" w:rsidRDefault="009A4366" w:rsidP="005D47E9">
      <w:pPr>
        <w:spacing w:line="240" w:lineRule="auto"/>
        <w:jc w:val="both"/>
        <w:rPr>
          <w:b/>
          <w:lang w:val="en-US"/>
        </w:rPr>
      </w:pPr>
      <w:bookmarkStart w:id="9" w:name="_2gjw80jtdch1" w:colFirst="0" w:colLast="0"/>
      <w:bookmarkEnd w:id="9"/>
      <w:r w:rsidRPr="00E57316">
        <w:rPr>
          <w:b/>
          <w:lang w:val="en-US"/>
        </w:rPr>
        <w:t>Article</w:t>
      </w:r>
      <w:r w:rsidR="00113150" w:rsidRPr="00E57316">
        <w:rPr>
          <w:b/>
          <w:lang w:val="en-US"/>
        </w:rPr>
        <w:t xml:space="preserve"> 2</w:t>
      </w:r>
      <w:r w:rsidR="00956270" w:rsidRPr="00E57316">
        <w:rPr>
          <w:b/>
          <w:lang w:val="en-US"/>
        </w:rPr>
        <w:t xml:space="preserve"> (a), (b), (c) </w:t>
      </w:r>
      <w:r w:rsidRPr="00E57316">
        <w:rPr>
          <w:b/>
          <w:lang w:val="en-US"/>
        </w:rPr>
        <w:t>and</w:t>
      </w:r>
      <w:r w:rsidR="00956270" w:rsidRPr="00E57316">
        <w:rPr>
          <w:b/>
          <w:lang w:val="en-US"/>
        </w:rPr>
        <w:t xml:space="preserve"> (d) </w:t>
      </w:r>
      <w:r w:rsidR="00B36AF3" w:rsidRPr="00E57316">
        <w:rPr>
          <w:b/>
          <w:lang w:val="en-US"/>
        </w:rPr>
        <w:t>–</w:t>
      </w:r>
      <w:r w:rsidR="00956270" w:rsidRPr="00E57316">
        <w:rPr>
          <w:b/>
          <w:lang w:val="en-US"/>
        </w:rPr>
        <w:t xml:space="preserve"> </w:t>
      </w:r>
      <w:r w:rsidR="00B36AF3" w:rsidRPr="00E57316">
        <w:rPr>
          <w:b/>
          <w:lang w:val="en-US"/>
        </w:rPr>
        <w:t xml:space="preserve">Policy Measures </w:t>
      </w:r>
    </w:p>
    <w:p w14:paraId="50410170" w14:textId="77777777" w:rsidR="00B36AF3" w:rsidRPr="00E57316" w:rsidRDefault="009A4366" w:rsidP="005D47E9">
      <w:pPr>
        <w:spacing w:line="240" w:lineRule="auto"/>
        <w:jc w:val="both"/>
        <w:rPr>
          <w:b/>
          <w:lang w:val="en-US"/>
        </w:rPr>
      </w:pPr>
      <w:bookmarkStart w:id="10" w:name="_6siiq8r2lq4i" w:colFirst="0" w:colLast="0"/>
      <w:bookmarkEnd w:id="10"/>
      <w:r w:rsidRPr="00E57316">
        <w:rPr>
          <w:b/>
          <w:lang w:val="en-US"/>
        </w:rPr>
        <w:t xml:space="preserve">Article </w:t>
      </w:r>
      <w:r w:rsidR="00956270" w:rsidRPr="00E57316">
        <w:rPr>
          <w:b/>
          <w:lang w:val="en-US"/>
        </w:rPr>
        <w:t xml:space="preserve">3 </w:t>
      </w:r>
      <w:r w:rsidR="00B36AF3" w:rsidRPr="00E57316">
        <w:rPr>
          <w:b/>
          <w:lang w:val="en-US"/>
        </w:rPr>
        <w:t>–</w:t>
      </w:r>
      <w:r w:rsidR="00956270" w:rsidRPr="00E57316">
        <w:rPr>
          <w:b/>
          <w:lang w:val="en-US"/>
        </w:rPr>
        <w:t xml:space="preserve"> </w:t>
      </w:r>
      <w:r w:rsidR="00B36AF3" w:rsidRPr="00E57316">
        <w:rPr>
          <w:b/>
          <w:lang w:val="en-US"/>
        </w:rPr>
        <w:t>Guarantee of human rights and fundamental freedoms</w:t>
      </w:r>
      <w:r w:rsidR="00B36AF3" w:rsidRPr="00E57316">
        <w:rPr>
          <w:rFonts w:ascii="Verdana" w:hAnsi="Verdana"/>
          <w:color w:val="000000"/>
          <w:sz w:val="19"/>
          <w:szCs w:val="19"/>
          <w:shd w:val="clear" w:color="auto" w:fill="FFFFFF"/>
          <w:lang w:val="en-US"/>
        </w:rPr>
        <w:t xml:space="preserve"> </w:t>
      </w:r>
    </w:p>
    <w:p w14:paraId="68E0FC3A" w14:textId="77777777" w:rsidR="00D55A36" w:rsidRPr="00E57316" w:rsidRDefault="009A4366" w:rsidP="00B36AF3">
      <w:pPr>
        <w:spacing w:line="240" w:lineRule="auto"/>
        <w:jc w:val="both"/>
        <w:rPr>
          <w:b/>
          <w:lang w:val="en-US"/>
        </w:rPr>
      </w:pPr>
      <w:r w:rsidRPr="00E57316">
        <w:rPr>
          <w:b/>
          <w:lang w:val="en-US"/>
        </w:rPr>
        <w:t xml:space="preserve">Article </w:t>
      </w:r>
      <w:r w:rsidR="00063BA0" w:rsidRPr="00E57316">
        <w:rPr>
          <w:b/>
          <w:lang w:val="en-US"/>
        </w:rPr>
        <w:t xml:space="preserve">5 </w:t>
      </w:r>
      <w:r w:rsidR="00B36AF3" w:rsidRPr="00E57316">
        <w:rPr>
          <w:b/>
          <w:lang w:val="en-US"/>
        </w:rPr>
        <w:t>– Prejudices and stereotypes</w:t>
      </w:r>
    </w:p>
    <w:p w14:paraId="1A393568" w14:textId="77777777" w:rsidR="00D55A36" w:rsidRPr="00E57316" w:rsidRDefault="009A4366" w:rsidP="00B36AF3">
      <w:pPr>
        <w:spacing w:line="240" w:lineRule="auto"/>
        <w:jc w:val="both"/>
        <w:rPr>
          <w:b/>
          <w:lang w:val="en-US"/>
        </w:rPr>
      </w:pPr>
      <w:bookmarkStart w:id="11" w:name="_b139j42totsu" w:colFirst="0" w:colLast="0"/>
      <w:bookmarkStart w:id="12" w:name="_juiofmu86oe2" w:colFirst="0" w:colLast="0"/>
      <w:bookmarkStart w:id="13" w:name="_f1mrs2phur8r" w:colFirst="0" w:colLast="0"/>
      <w:bookmarkEnd w:id="11"/>
      <w:bookmarkEnd w:id="12"/>
      <w:bookmarkEnd w:id="13"/>
      <w:r w:rsidRPr="00E57316">
        <w:rPr>
          <w:b/>
          <w:lang w:val="en-US"/>
        </w:rPr>
        <w:t xml:space="preserve">Article </w:t>
      </w:r>
      <w:r w:rsidR="00113150" w:rsidRPr="00E57316">
        <w:rPr>
          <w:b/>
          <w:lang w:val="en-US"/>
        </w:rPr>
        <w:t>15</w:t>
      </w:r>
      <w:r w:rsidR="005D47E9" w:rsidRPr="00E57316">
        <w:rPr>
          <w:b/>
          <w:lang w:val="en-US"/>
        </w:rPr>
        <w:t xml:space="preserve"> </w:t>
      </w:r>
      <w:r w:rsidR="00956270" w:rsidRPr="00E57316">
        <w:rPr>
          <w:b/>
          <w:lang w:val="en-US"/>
        </w:rPr>
        <w:t>(1)</w:t>
      </w:r>
      <w:r w:rsidR="005D47E9" w:rsidRPr="00E57316">
        <w:rPr>
          <w:b/>
          <w:lang w:val="en-US"/>
        </w:rPr>
        <w:t xml:space="preserve"> </w:t>
      </w:r>
      <w:r w:rsidRPr="00E57316">
        <w:rPr>
          <w:b/>
          <w:lang w:val="en-US"/>
        </w:rPr>
        <w:t>and</w:t>
      </w:r>
      <w:r w:rsidR="00956270" w:rsidRPr="00E57316">
        <w:rPr>
          <w:b/>
          <w:lang w:val="en-US"/>
        </w:rPr>
        <w:t xml:space="preserve"> (2</w:t>
      </w:r>
      <w:r w:rsidR="00113150" w:rsidRPr="00E57316">
        <w:rPr>
          <w:b/>
          <w:lang w:val="en-US"/>
        </w:rPr>
        <w:t>)</w:t>
      </w:r>
      <w:r w:rsidR="00B36AF3" w:rsidRPr="00E57316">
        <w:rPr>
          <w:b/>
          <w:lang w:val="en-US"/>
        </w:rPr>
        <w:t xml:space="preserve"> – Equality before the law</w:t>
      </w:r>
    </w:p>
    <w:p w14:paraId="1FC2A5AF" w14:textId="77777777" w:rsidR="00D55A36" w:rsidRPr="00E57316" w:rsidRDefault="009A4366" w:rsidP="005D47E9">
      <w:pPr>
        <w:spacing w:after="200" w:line="240" w:lineRule="auto"/>
        <w:jc w:val="both"/>
        <w:rPr>
          <w:b/>
          <w:lang w:val="en-US"/>
        </w:rPr>
      </w:pPr>
      <w:bookmarkStart w:id="14" w:name="_mnp6mads0di0" w:colFirst="0" w:colLast="0"/>
      <w:bookmarkEnd w:id="14"/>
      <w:r w:rsidRPr="00E57316">
        <w:rPr>
          <w:b/>
          <w:lang w:val="en-US"/>
        </w:rPr>
        <w:t xml:space="preserve">Article </w:t>
      </w:r>
      <w:r w:rsidR="005D47E9" w:rsidRPr="00E57316">
        <w:rPr>
          <w:b/>
          <w:lang w:val="en-US"/>
        </w:rPr>
        <w:t xml:space="preserve">16 (1) </w:t>
      </w:r>
      <w:r w:rsidR="00B36AF3" w:rsidRPr="00E57316">
        <w:rPr>
          <w:b/>
          <w:lang w:val="en-US"/>
        </w:rPr>
        <w:t>–</w:t>
      </w:r>
      <w:r w:rsidRPr="00E57316">
        <w:rPr>
          <w:b/>
          <w:lang w:val="en-US"/>
        </w:rPr>
        <w:t xml:space="preserve"> </w:t>
      </w:r>
      <w:r w:rsidR="00B36AF3" w:rsidRPr="00E57316">
        <w:rPr>
          <w:b/>
          <w:lang w:val="en-US"/>
        </w:rPr>
        <w:t xml:space="preserve">Marriage and family </w:t>
      </w:r>
    </w:p>
    <w:p w14:paraId="095AE852" w14:textId="77777777" w:rsidR="00063BA0" w:rsidRPr="00E57316" w:rsidRDefault="00063BA0" w:rsidP="005D47E9">
      <w:pPr>
        <w:spacing w:after="200" w:line="240" w:lineRule="auto"/>
        <w:jc w:val="both"/>
        <w:rPr>
          <w:b/>
          <w:lang w:val="en-US"/>
        </w:rPr>
      </w:pPr>
    </w:p>
    <w:p w14:paraId="7F8F38AC" w14:textId="4CC33DB0" w:rsidR="00684E48" w:rsidRPr="00E57316" w:rsidRDefault="00684E48">
      <w:pPr>
        <w:numPr>
          <w:ilvl w:val="0"/>
          <w:numId w:val="1"/>
        </w:numPr>
        <w:spacing w:before="200" w:after="200"/>
        <w:jc w:val="both"/>
        <w:rPr>
          <w:lang w:val="en-US"/>
        </w:rPr>
      </w:pPr>
      <w:r w:rsidRPr="00E57316">
        <w:rPr>
          <w:lang w:val="en-US"/>
        </w:rPr>
        <w:t xml:space="preserve">During the last years, the law has </w:t>
      </w:r>
      <w:r w:rsidR="00AC6288" w:rsidRPr="00E57316">
        <w:rPr>
          <w:lang w:val="en-US"/>
        </w:rPr>
        <w:t>expanded the</w:t>
      </w:r>
      <w:r w:rsidRPr="00E57316">
        <w:rPr>
          <w:lang w:val="en-US"/>
        </w:rPr>
        <w:t xml:space="preserve"> legal recognition of rights for LBT women in Uruguay. Law Nº 18.246 of </w:t>
      </w:r>
      <w:r w:rsidR="00AC6288" w:rsidRPr="00E57316">
        <w:rPr>
          <w:lang w:val="en-US"/>
        </w:rPr>
        <w:t>Cohabiting Unions</w:t>
      </w:r>
      <w:r w:rsidRPr="00E57316">
        <w:rPr>
          <w:lang w:val="en-US"/>
        </w:rPr>
        <w:t xml:space="preserve"> (2007) acknowledges, among others, the union between lesbian and/or bisexual women and</w:t>
      </w:r>
      <w:r w:rsidR="00711574" w:rsidRPr="00E57316">
        <w:rPr>
          <w:lang w:val="en-US"/>
        </w:rPr>
        <w:t xml:space="preserve"> for trans women</w:t>
      </w:r>
      <w:r w:rsidR="00AC6288" w:rsidRPr="00E57316">
        <w:rPr>
          <w:lang w:val="en-US"/>
        </w:rPr>
        <w:t>,</w:t>
      </w:r>
      <w:r w:rsidR="00711574" w:rsidRPr="00E57316">
        <w:rPr>
          <w:lang w:val="en-US"/>
        </w:rPr>
        <w:t xml:space="preserve"> their heterosexual unions</w:t>
      </w:r>
      <w:r w:rsidR="00AC6288" w:rsidRPr="00E57316">
        <w:rPr>
          <w:vertAlign w:val="superscript"/>
          <w:lang w:val="en-US"/>
        </w:rPr>
        <w:footnoteReference w:id="4"/>
      </w:r>
      <w:r w:rsidR="00711574" w:rsidRPr="00E57316">
        <w:rPr>
          <w:lang w:val="en-US"/>
        </w:rPr>
        <w:t>; Law Nº 19.075 of Egalitarian Marriage (2013) includes the natural recognition of couples formed by women when children are born within marriage and Law Nº 19.167 of Human Assisted Reproduction (2013) allows women (both those who are into civil unions and tho</w:t>
      </w:r>
      <w:r w:rsidR="00CA6569" w:rsidRPr="00E57316">
        <w:rPr>
          <w:lang w:val="en-US"/>
        </w:rPr>
        <w:t>se who are alone) to access low-</w:t>
      </w:r>
      <w:r w:rsidR="00711574" w:rsidRPr="00E57316">
        <w:rPr>
          <w:lang w:val="en-US"/>
        </w:rPr>
        <w:t xml:space="preserve">complexity fertility treatments through their health </w:t>
      </w:r>
      <w:r w:rsidR="00711574" w:rsidRPr="00E57316">
        <w:rPr>
          <w:lang w:val="en-US"/>
        </w:rPr>
        <w:lastRenderedPageBreak/>
        <w:t>care providers with a minimum fee and to access h</w:t>
      </w:r>
      <w:r w:rsidR="00CA6569" w:rsidRPr="00E57316">
        <w:rPr>
          <w:lang w:val="en-US"/>
        </w:rPr>
        <w:t>igh-</w:t>
      </w:r>
      <w:r w:rsidR="00711574" w:rsidRPr="00E57316">
        <w:rPr>
          <w:lang w:val="en-US"/>
        </w:rPr>
        <w:t>complexity fertility treatments through the National Resources Fund</w:t>
      </w:r>
      <w:r w:rsidR="00AC6288" w:rsidRPr="00E57316">
        <w:rPr>
          <w:vertAlign w:val="superscript"/>
          <w:lang w:val="en-US"/>
        </w:rPr>
        <w:footnoteReference w:id="5"/>
      </w:r>
      <w:r w:rsidR="00711574" w:rsidRPr="00E57316">
        <w:rPr>
          <w:lang w:val="en-US"/>
        </w:rPr>
        <w:t xml:space="preserve">. </w:t>
      </w:r>
    </w:p>
    <w:p w14:paraId="66FBA5C8" w14:textId="09A95C68" w:rsidR="00CA6569" w:rsidRPr="00E57316" w:rsidRDefault="00CA6569">
      <w:pPr>
        <w:numPr>
          <w:ilvl w:val="0"/>
          <w:numId w:val="1"/>
        </w:numPr>
        <w:spacing w:after="200"/>
        <w:jc w:val="both"/>
        <w:rPr>
          <w:lang w:val="en-US"/>
        </w:rPr>
      </w:pPr>
      <w:r w:rsidRPr="00E57316">
        <w:rPr>
          <w:lang w:val="en-US"/>
        </w:rPr>
        <w:t xml:space="preserve">Although, as already mentioned above, the law considers the case of couples formed by two women when it comes to access to reproductive technologies, there are some cases that have not been considered by the law regarding legal recognition of children, since when marriage was not entry into before childbirth, only the </w:t>
      </w:r>
      <w:r w:rsidR="00255BB6" w:rsidRPr="00E57316">
        <w:rPr>
          <w:lang w:val="en-US"/>
        </w:rPr>
        <w:t>birth</w:t>
      </w:r>
      <w:r w:rsidRPr="00E57316">
        <w:rPr>
          <w:lang w:val="en-US"/>
        </w:rPr>
        <w:t xml:space="preserve"> mother can have her bond with her child legally recognized. This </w:t>
      </w:r>
      <w:r w:rsidR="00255BB6" w:rsidRPr="00E57316">
        <w:rPr>
          <w:lang w:val="en-US"/>
        </w:rPr>
        <w:t>results in</w:t>
      </w:r>
      <w:r w:rsidRPr="00E57316">
        <w:rPr>
          <w:lang w:val="en-US"/>
        </w:rPr>
        <w:t xml:space="preserve"> a difference when compared to heterosexual relationships regarding children legal recognition and compromises the rights of both the mothers and the children. </w:t>
      </w:r>
    </w:p>
    <w:p w14:paraId="16A9B502" w14:textId="77777777" w:rsidR="00AD0E13" w:rsidRPr="00E57316" w:rsidRDefault="00AD0E13">
      <w:pPr>
        <w:numPr>
          <w:ilvl w:val="0"/>
          <w:numId w:val="1"/>
        </w:numPr>
        <w:spacing w:after="200"/>
        <w:jc w:val="both"/>
        <w:rPr>
          <w:lang w:val="en-US"/>
        </w:rPr>
      </w:pPr>
      <w:r w:rsidRPr="00E57316">
        <w:rPr>
          <w:lang w:val="en-US"/>
        </w:rPr>
        <w:t xml:space="preserve">The genetic relationship of a newborn to a male parent, in case there is one registering the birth, is not called into question when the birth certificate of the newborn is being issued. But when the one willing to recognize a child as own is a woman, a marriage union to the </w:t>
      </w:r>
      <w:r w:rsidR="00E60CA9" w:rsidRPr="00E57316">
        <w:rPr>
          <w:lang w:val="en-US"/>
        </w:rPr>
        <w:t>birth</w:t>
      </w:r>
      <w:r w:rsidRPr="00E57316">
        <w:rPr>
          <w:lang w:val="en-US"/>
        </w:rPr>
        <w:t xml:space="preserve"> mother is </w:t>
      </w:r>
      <w:r w:rsidR="00E60CA9" w:rsidRPr="00E57316">
        <w:rPr>
          <w:lang w:val="en-US"/>
        </w:rPr>
        <w:t xml:space="preserve">put upon her as a requirement. </w:t>
      </w:r>
    </w:p>
    <w:p w14:paraId="5B93E2B7" w14:textId="5F7605BD" w:rsidR="00D55A36" w:rsidRPr="00E57316" w:rsidRDefault="00976285" w:rsidP="00255BB6">
      <w:pPr>
        <w:numPr>
          <w:ilvl w:val="0"/>
          <w:numId w:val="1"/>
        </w:numPr>
        <w:spacing w:after="200"/>
        <w:jc w:val="both"/>
        <w:rPr>
          <w:lang w:val="en-US"/>
        </w:rPr>
      </w:pPr>
      <w:r w:rsidRPr="00E57316">
        <w:rPr>
          <w:lang w:val="en-US"/>
        </w:rPr>
        <w:t>There is no public campaign giving visibility or acknowledging that two women can be mothers of the same person</w:t>
      </w:r>
      <w:r w:rsidR="00255BB6" w:rsidRPr="00E57316">
        <w:rPr>
          <w:lang w:val="en-US"/>
        </w:rPr>
        <w:t>(</w:t>
      </w:r>
      <w:r w:rsidRPr="00E57316">
        <w:rPr>
          <w:lang w:val="en-US"/>
        </w:rPr>
        <w:t>s</w:t>
      </w:r>
      <w:r w:rsidR="00255BB6" w:rsidRPr="00E57316">
        <w:rPr>
          <w:lang w:val="en-US"/>
        </w:rPr>
        <w:t>)</w:t>
      </w:r>
      <w:r w:rsidRPr="00E57316">
        <w:rPr>
          <w:lang w:val="en-US"/>
        </w:rPr>
        <w:t xml:space="preserve">. In its </w:t>
      </w:r>
      <w:r w:rsidR="00802C7F" w:rsidRPr="00E57316">
        <w:rPr>
          <w:lang w:val="en-US"/>
        </w:rPr>
        <w:t>Concluding Observations on the eighth and ninth combined periodic reports of Uruguay, this Committee recommended to the State to “adopt a strategy to improve women’s awareness about their rights and the means to claim them”</w:t>
      </w:r>
      <w:r w:rsidR="00255BB6" w:rsidRPr="00E57316">
        <w:rPr>
          <w:vertAlign w:val="superscript"/>
          <w:lang w:val="en-US"/>
        </w:rPr>
        <w:t xml:space="preserve"> </w:t>
      </w:r>
      <w:r w:rsidR="00255BB6" w:rsidRPr="00E57316">
        <w:rPr>
          <w:vertAlign w:val="superscript"/>
          <w:lang w:val="en-US"/>
        </w:rPr>
        <w:footnoteReference w:id="6"/>
      </w:r>
      <w:r w:rsidR="00802C7F" w:rsidRPr="00E57316">
        <w:rPr>
          <w:lang w:val="en-US"/>
        </w:rPr>
        <w:t xml:space="preserve">. It should be mentioned that health centers do not have signs nor leaflets providing information on the possibility for couples formed by two women to access human assisted reproduction. During pregnancy checkups and deliverance, visibility and recognition of this situation is also lacking. </w:t>
      </w:r>
    </w:p>
    <w:p w14:paraId="536D669D" w14:textId="00E8D1D5" w:rsidR="00802C7F" w:rsidRPr="00E57316" w:rsidRDefault="00802C7F">
      <w:pPr>
        <w:numPr>
          <w:ilvl w:val="0"/>
          <w:numId w:val="1"/>
        </w:numPr>
        <w:spacing w:after="200"/>
        <w:jc w:val="both"/>
        <w:rPr>
          <w:lang w:val="en-US"/>
        </w:rPr>
      </w:pPr>
      <w:r w:rsidRPr="00E57316">
        <w:rPr>
          <w:lang w:val="en-US"/>
        </w:rPr>
        <w:t xml:space="preserve">This situation reached public attention in 2018 when the story of a couple of two women </w:t>
      </w:r>
      <w:r w:rsidR="00255BB6" w:rsidRPr="00E57316">
        <w:rPr>
          <w:lang w:val="en-US"/>
        </w:rPr>
        <w:t>received space</w:t>
      </w:r>
      <w:r w:rsidRPr="00E57316">
        <w:rPr>
          <w:lang w:val="en-US"/>
        </w:rPr>
        <w:t xml:space="preserve"> in the media because the non-</w:t>
      </w:r>
      <w:r w:rsidR="00E60CA9" w:rsidRPr="00E57316">
        <w:rPr>
          <w:lang w:val="en-US"/>
        </w:rPr>
        <w:t>birth</w:t>
      </w:r>
      <w:r w:rsidRPr="00E57316">
        <w:rPr>
          <w:lang w:val="en-US"/>
        </w:rPr>
        <w:t xml:space="preserve"> mother was not able to legally recognize her newborn daughters</w:t>
      </w:r>
      <w:r w:rsidR="00255BB6" w:rsidRPr="00E57316">
        <w:rPr>
          <w:vertAlign w:val="superscript"/>
          <w:lang w:val="en-US"/>
        </w:rPr>
        <w:footnoteReference w:id="7"/>
      </w:r>
      <w:r w:rsidRPr="00E57316">
        <w:rPr>
          <w:lang w:val="en-US"/>
        </w:rPr>
        <w:t xml:space="preserve">. </w:t>
      </w:r>
    </w:p>
    <w:p w14:paraId="3D1A7613" w14:textId="77777777" w:rsidR="00063BA0" w:rsidRPr="00E57316" w:rsidRDefault="00063BA0" w:rsidP="00063BA0">
      <w:pPr>
        <w:spacing w:after="200"/>
        <w:ind w:left="720"/>
        <w:jc w:val="both"/>
        <w:rPr>
          <w:lang w:val="en-US"/>
        </w:rPr>
      </w:pPr>
    </w:p>
    <w:p w14:paraId="3B307E3C" w14:textId="77777777" w:rsidR="00D55A36" w:rsidRPr="00E57316" w:rsidRDefault="009A4366">
      <w:pPr>
        <w:spacing w:after="200"/>
        <w:jc w:val="both"/>
        <w:rPr>
          <w:b/>
          <w:lang w:val="en-US"/>
        </w:rPr>
      </w:pPr>
      <w:r w:rsidRPr="00E57316">
        <w:rPr>
          <w:b/>
          <w:lang w:val="en-US"/>
        </w:rPr>
        <w:t>Questions to the State</w:t>
      </w:r>
    </w:p>
    <w:p w14:paraId="4E679AA3" w14:textId="62E6FE87" w:rsidR="009427DA" w:rsidRPr="00E57316" w:rsidRDefault="009427DA">
      <w:pPr>
        <w:numPr>
          <w:ilvl w:val="0"/>
          <w:numId w:val="1"/>
        </w:numPr>
        <w:spacing w:after="200"/>
        <w:jc w:val="both"/>
        <w:rPr>
          <w:lang w:val="en-US"/>
        </w:rPr>
      </w:pPr>
      <w:r w:rsidRPr="00E57316">
        <w:rPr>
          <w:lang w:val="en-US"/>
        </w:rPr>
        <w:t xml:space="preserve">Which measures are </w:t>
      </w:r>
      <w:r w:rsidR="00255BB6" w:rsidRPr="00E57316">
        <w:rPr>
          <w:lang w:val="en-US"/>
        </w:rPr>
        <w:t xml:space="preserve">going </w:t>
      </w:r>
      <w:r w:rsidRPr="00E57316">
        <w:rPr>
          <w:lang w:val="en-US"/>
        </w:rPr>
        <w:t xml:space="preserve">to be adopted by the State to guarantee couples of women </w:t>
      </w:r>
      <w:r w:rsidR="00B21B17" w:rsidRPr="00E57316">
        <w:rPr>
          <w:lang w:val="en-US"/>
        </w:rPr>
        <w:t xml:space="preserve">a treatment equal to that received by heterosexual couples when it comes to legal </w:t>
      </w:r>
      <w:r w:rsidR="00520E9C" w:rsidRPr="00E57316">
        <w:rPr>
          <w:lang w:val="en-US"/>
        </w:rPr>
        <w:t>recognition</w:t>
      </w:r>
      <w:r w:rsidR="00B21B17" w:rsidRPr="00E57316">
        <w:rPr>
          <w:lang w:val="en-US"/>
        </w:rPr>
        <w:t xml:space="preserve"> of their children?</w:t>
      </w:r>
    </w:p>
    <w:p w14:paraId="752D1D3A" w14:textId="011B0CF3" w:rsidR="00520E9C" w:rsidRPr="00E57316" w:rsidRDefault="00520E9C">
      <w:pPr>
        <w:numPr>
          <w:ilvl w:val="0"/>
          <w:numId w:val="1"/>
        </w:numPr>
        <w:spacing w:after="200"/>
        <w:jc w:val="both"/>
        <w:rPr>
          <w:lang w:val="en-US"/>
        </w:rPr>
      </w:pPr>
      <w:r w:rsidRPr="00E57316">
        <w:rPr>
          <w:lang w:val="en-US"/>
        </w:rPr>
        <w:t xml:space="preserve">Does the State of Uruguay plan to perform a needed reformulation of the current parentage </w:t>
      </w:r>
      <w:r w:rsidR="005D02A5" w:rsidRPr="00E57316">
        <w:rPr>
          <w:lang w:val="en-US"/>
        </w:rPr>
        <w:t>normative</w:t>
      </w:r>
      <w:r w:rsidRPr="00E57316">
        <w:rPr>
          <w:lang w:val="en-US"/>
        </w:rPr>
        <w:t xml:space="preserve"> in a way that includes </w:t>
      </w:r>
      <w:r w:rsidRPr="00E57316">
        <w:rPr>
          <w:i/>
          <w:lang w:val="en-US"/>
        </w:rPr>
        <w:t>de facto</w:t>
      </w:r>
      <w:r w:rsidRPr="00E57316">
        <w:rPr>
          <w:lang w:val="en-US"/>
        </w:rPr>
        <w:t xml:space="preserve"> couples formed by women? </w:t>
      </w:r>
    </w:p>
    <w:p w14:paraId="1819CEF6" w14:textId="1AB36020" w:rsidR="00520E9C" w:rsidRPr="00E57316" w:rsidRDefault="00520E9C">
      <w:pPr>
        <w:numPr>
          <w:ilvl w:val="0"/>
          <w:numId w:val="1"/>
        </w:numPr>
        <w:spacing w:after="200"/>
        <w:jc w:val="both"/>
        <w:rPr>
          <w:lang w:val="en-US"/>
        </w:rPr>
      </w:pPr>
      <w:r w:rsidRPr="00E57316">
        <w:rPr>
          <w:lang w:val="en-US"/>
        </w:rPr>
        <w:t xml:space="preserve">Which are the public policies and visibility campaigns planned by the State to foster recognition and to </w:t>
      </w:r>
      <w:r w:rsidR="005D02A5" w:rsidRPr="00E57316">
        <w:rPr>
          <w:lang w:val="en-US"/>
        </w:rPr>
        <w:t>eradicate</w:t>
      </w:r>
      <w:r w:rsidRPr="00E57316">
        <w:rPr>
          <w:lang w:val="en-US"/>
        </w:rPr>
        <w:t xml:space="preserve"> discrimination against co-maternity? </w:t>
      </w:r>
    </w:p>
    <w:p w14:paraId="04099115" w14:textId="2F3A8ABD" w:rsidR="00D55A36" w:rsidRPr="00E57316" w:rsidRDefault="00D55A36">
      <w:pPr>
        <w:jc w:val="both"/>
        <w:rPr>
          <w:lang w:val="en-US"/>
        </w:rPr>
      </w:pPr>
    </w:p>
    <w:p w14:paraId="73E939F7" w14:textId="0E5D48DE" w:rsidR="005D02A5" w:rsidRPr="00E57316" w:rsidRDefault="005D02A5">
      <w:pPr>
        <w:jc w:val="both"/>
        <w:rPr>
          <w:lang w:val="en-US"/>
        </w:rPr>
      </w:pPr>
    </w:p>
    <w:p w14:paraId="2BC114F6" w14:textId="77777777" w:rsidR="005D02A5" w:rsidRPr="00E57316" w:rsidRDefault="005D02A5">
      <w:pPr>
        <w:jc w:val="both"/>
        <w:rPr>
          <w:lang w:val="en-US"/>
        </w:rPr>
      </w:pPr>
    </w:p>
    <w:p w14:paraId="7E0F8B6C" w14:textId="77777777" w:rsidR="00063BA0" w:rsidRPr="00E57316" w:rsidRDefault="00063BA0">
      <w:pPr>
        <w:spacing w:line="240" w:lineRule="auto"/>
        <w:jc w:val="both"/>
        <w:rPr>
          <w:b/>
          <w:lang w:val="en-US"/>
        </w:rPr>
      </w:pPr>
      <w:bookmarkStart w:id="15" w:name="_26in1rg" w:colFirst="0" w:colLast="0"/>
      <w:bookmarkEnd w:id="15"/>
    </w:p>
    <w:p w14:paraId="3564A24D" w14:textId="72FA6CB6" w:rsidR="00771615" w:rsidRPr="00E57316" w:rsidRDefault="00771615">
      <w:pPr>
        <w:spacing w:line="240" w:lineRule="auto"/>
        <w:jc w:val="both"/>
        <w:rPr>
          <w:b/>
          <w:lang w:val="en-US"/>
        </w:rPr>
      </w:pPr>
      <w:r w:rsidRPr="00E57316">
        <w:rPr>
          <w:b/>
          <w:lang w:val="en-US"/>
        </w:rPr>
        <w:lastRenderedPageBreak/>
        <w:t xml:space="preserve">Violence and </w:t>
      </w:r>
      <w:r w:rsidR="000576E0" w:rsidRPr="00E57316">
        <w:rPr>
          <w:b/>
          <w:lang w:val="en-US"/>
        </w:rPr>
        <w:t>killings</w:t>
      </w:r>
      <w:r w:rsidRPr="00E57316">
        <w:rPr>
          <w:b/>
          <w:lang w:val="en-US"/>
        </w:rPr>
        <w:t xml:space="preserve"> against trans* women due to their identity, sexual orientation, and/or gender expression.</w:t>
      </w:r>
    </w:p>
    <w:p w14:paraId="23AE1066" w14:textId="77777777" w:rsidR="005D47E9" w:rsidRPr="00E57316" w:rsidRDefault="005D47E9">
      <w:pPr>
        <w:spacing w:line="240" w:lineRule="auto"/>
        <w:jc w:val="both"/>
        <w:rPr>
          <w:b/>
          <w:lang w:val="en-US"/>
        </w:rPr>
      </w:pPr>
    </w:p>
    <w:p w14:paraId="67B7CCD4" w14:textId="77777777" w:rsidR="00D55A36" w:rsidRPr="00E57316" w:rsidRDefault="009A4366" w:rsidP="00B36AF3">
      <w:pPr>
        <w:spacing w:line="240" w:lineRule="auto"/>
        <w:jc w:val="both"/>
        <w:rPr>
          <w:b/>
          <w:lang w:val="en-US"/>
        </w:rPr>
      </w:pPr>
      <w:r w:rsidRPr="00E57316">
        <w:rPr>
          <w:b/>
          <w:lang w:val="en-US"/>
        </w:rPr>
        <w:t xml:space="preserve">Article </w:t>
      </w:r>
      <w:r w:rsidR="005D47E9" w:rsidRPr="00E57316">
        <w:rPr>
          <w:b/>
          <w:lang w:val="en-US"/>
        </w:rPr>
        <w:t xml:space="preserve">2 (d) </w:t>
      </w:r>
      <w:r w:rsidRPr="00E57316">
        <w:rPr>
          <w:b/>
          <w:lang w:val="en-US"/>
        </w:rPr>
        <w:t xml:space="preserve">and </w:t>
      </w:r>
      <w:r w:rsidR="005D47E9" w:rsidRPr="00E57316">
        <w:rPr>
          <w:b/>
          <w:lang w:val="en-US"/>
        </w:rPr>
        <w:t xml:space="preserve">(e) </w:t>
      </w:r>
      <w:r w:rsidR="00B36AF3" w:rsidRPr="00E57316">
        <w:rPr>
          <w:b/>
          <w:lang w:val="en-US"/>
        </w:rPr>
        <w:t>– Policy Measures</w:t>
      </w:r>
    </w:p>
    <w:p w14:paraId="1139CE90" w14:textId="77777777" w:rsidR="005D47E9" w:rsidRPr="00E57316" w:rsidRDefault="009A4366" w:rsidP="00B36AF3">
      <w:pPr>
        <w:spacing w:line="240" w:lineRule="auto"/>
        <w:jc w:val="both"/>
        <w:rPr>
          <w:b/>
          <w:lang w:val="en-US"/>
        </w:rPr>
      </w:pPr>
      <w:r w:rsidRPr="00E57316">
        <w:rPr>
          <w:b/>
          <w:lang w:val="en-US"/>
        </w:rPr>
        <w:t xml:space="preserve">Article </w:t>
      </w:r>
      <w:r w:rsidR="005D47E9" w:rsidRPr="00E57316">
        <w:rPr>
          <w:b/>
          <w:lang w:val="en-US"/>
        </w:rPr>
        <w:t xml:space="preserve">3 </w:t>
      </w:r>
      <w:r w:rsidR="00B36AF3" w:rsidRPr="00E57316">
        <w:rPr>
          <w:b/>
          <w:lang w:val="en-US"/>
        </w:rPr>
        <w:t>– Guarantee of human rights and fundamental freedoms</w:t>
      </w:r>
    </w:p>
    <w:p w14:paraId="71B63337" w14:textId="77777777" w:rsidR="00657CD9" w:rsidRPr="00E57316" w:rsidRDefault="009A4366" w:rsidP="00063BA0">
      <w:pPr>
        <w:spacing w:line="240" w:lineRule="auto"/>
        <w:jc w:val="both"/>
        <w:rPr>
          <w:b/>
          <w:lang w:val="en-US"/>
        </w:rPr>
      </w:pPr>
      <w:r w:rsidRPr="00E57316">
        <w:rPr>
          <w:b/>
          <w:lang w:val="en-US"/>
        </w:rPr>
        <w:t xml:space="preserve">Article </w:t>
      </w:r>
      <w:r w:rsidR="00657CD9" w:rsidRPr="00E57316">
        <w:rPr>
          <w:b/>
          <w:lang w:val="en-US"/>
        </w:rPr>
        <w:t>5 (a)</w:t>
      </w:r>
      <w:r w:rsidR="00063BA0" w:rsidRPr="00E57316">
        <w:rPr>
          <w:b/>
          <w:lang w:val="en-US"/>
        </w:rPr>
        <w:t xml:space="preserve"> </w:t>
      </w:r>
      <w:r w:rsidR="00B36AF3" w:rsidRPr="00E57316">
        <w:rPr>
          <w:b/>
          <w:lang w:val="en-US"/>
        </w:rPr>
        <w:t>–</w:t>
      </w:r>
      <w:r w:rsidR="00063BA0" w:rsidRPr="00E57316">
        <w:rPr>
          <w:b/>
          <w:lang w:val="en-US"/>
        </w:rPr>
        <w:t xml:space="preserve"> </w:t>
      </w:r>
      <w:r w:rsidR="00B36AF3" w:rsidRPr="00E57316">
        <w:rPr>
          <w:b/>
          <w:lang w:val="en-US"/>
        </w:rPr>
        <w:t xml:space="preserve">Prejudices and stereotypes </w:t>
      </w:r>
    </w:p>
    <w:p w14:paraId="75D7BB11" w14:textId="77777777" w:rsidR="00063BA0" w:rsidRPr="00E57316" w:rsidRDefault="009A4366" w:rsidP="00063BA0">
      <w:pPr>
        <w:spacing w:line="240" w:lineRule="auto"/>
        <w:jc w:val="both"/>
        <w:rPr>
          <w:b/>
          <w:lang w:val="en-US"/>
        </w:rPr>
      </w:pPr>
      <w:r w:rsidRPr="00E57316">
        <w:rPr>
          <w:b/>
          <w:lang w:val="en-US"/>
        </w:rPr>
        <w:t xml:space="preserve">Article </w:t>
      </w:r>
      <w:r w:rsidR="00657CD9" w:rsidRPr="00E57316">
        <w:rPr>
          <w:b/>
          <w:lang w:val="en-US"/>
        </w:rPr>
        <w:t xml:space="preserve">15 (1) </w:t>
      </w:r>
      <w:r w:rsidRPr="00E57316">
        <w:rPr>
          <w:b/>
          <w:lang w:val="en-US"/>
        </w:rPr>
        <w:t>and</w:t>
      </w:r>
      <w:r w:rsidR="00657CD9" w:rsidRPr="00E57316">
        <w:rPr>
          <w:b/>
          <w:lang w:val="en-US"/>
        </w:rPr>
        <w:t xml:space="preserve"> (4)</w:t>
      </w:r>
      <w:r w:rsidR="00063BA0" w:rsidRPr="00E57316">
        <w:rPr>
          <w:b/>
          <w:lang w:val="en-US"/>
        </w:rPr>
        <w:t xml:space="preserve"> </w:t>
      </w:r>
      <w:r w:rsidR="00B36AF3" w:rsidRPr="00E57316">
        <w:rPr>
          <w:b/>
          <w:lang w:val="en-US"/>
        </w:rPr>
        <w:t>–</w:t>
      </w:r>
      <w:r w:rsidRPr="00E57316">
        <w:rPr>
          <w:b/>
          <w:lang w:val="en-US"/>
        </w:rPr>
        <w:t xml:space="preserve"> </w:t>
      </w:r>
      <w:r w:rsidR="00B36AF3" w:rsidRPr="00E57316">
        <w:rPr>
          <w:b/>
          <w:lang w:val="en-US"/>
        </w:rPr>
        <w:t xml:space="preserve">Equality before the law </w:t>
      </w:r>
    </w:p>
    <w:p w14:paraId="70305F34" w14:textId="77777777" w:rsidR="00B36AF3" w:rsidRPr="00E57316" w:rsidRDefault="00B36AF3" w:rsidP="00063BA0">
      <w:pPr>
        <w:spacing w:line="240" w:lineRule="auto"/>
        <w:jc w:val="both"/>
        <w:rPr>
          <w:b/>
          <w:lang w:val="en-US"/>
        </w:rPr>
      </w:pPr>
    </w:p>
    <w:p w14:paraId="0AC13A9D" w14:textId="77777777" w:rsidR="00D55A36" w:rsidRPr="00E57316" w:rsidRDefault="005D47E9" w:rsidP="00063BA0">
      <w:pPr>
        <w:spacing w:line="240" w:lineRule="auto"/>
        <w:jc w:val="both"/>
        <w:rPr>
          <w:b/>
          <w:lang w:val="en-US"/>
        </w:rPr>
      </w:pPr>
      <w:r w:rsidRPr="00E57316">
        <w:rPr>
          <w:b/>
          <w:lang w:val="en-US"/>
        </w:rPr>
        <w:t xml:space="preserve">General </w:t>
      </w:r>
      <w:r w:rsidR="00B36AF3" w:rsidRPr="00E57316">
        <w:rPr>
          <w:b/>
          <w:lang w:val="en-US"/>
        </w:rPr>
        <w:t xml:space="preserve">Recommendation </w:t>
      </w:r>
      <w:r w:rsidRPr="00E57316">
        <w:rPr>
          <w:b/>
          <w:lang w:val="en-US"/>
        </w:rPr>
        <w:t xml:space="preserve">19 </w:t>
      </w:r>
      <w:r w:rsidR="00B36AF3" w:rsidRPr="00E57316">
        <w:rPr>
          <w:b/>
          <w:lang w:val="en-US"/>
        </w:rPr>
        <w:t>and</w:t>
      </w:r>
      <w:r w:rsidRPr="00E57316">
        <w:rPr>
          <w:b/>
          <w:lang w:val="en-US"/>
        </w:rPr>
        <w:t xml:space="preserve"> 35. </w:t>
      </w:r>
      <w:r w:rsidR="00113150" w:rsidRPr="00E57316">
        <w:rPr>
          <w:b/>
          <w:lang w:val="en-US"/>
        </w:rPr>
        <w:t xml:space="preserve"> </w:t>
      </w:r>
    </w:p>
    <w:p w14:paraId="31F26217" w14:textId="77777777" w:rsidR="00D55A36" w:rsidRPr="00E57316" w:rsidRDefault="00D55A36">
      <w:pPr>
        <w:spacing w:line="240" w:lineRule="auto"/>
        <w:ind w:left="720"/>
        <w:jc w:val="both"/>
        <w:rPr>
          <w:b/>
          <w:lang w:val="en-US"/>
        </w:rPr>
      </w:pPr>
    </w:p>
    <w:p w14:paraId="3AA9EA04" w14:textId="3637111D" w:rsidR="00771615" w:rsidRPr="00E57316" w:rsidRDefault="00771615">
      <w:pPr>
        <w:numPr>
          <w:ilvl w:val="0"/>
          <w:numId w:val="1"/>
        </w:numPr>
        <w:spacing w:after="200"/>
        <w:jc w:val="both"/>
        <w:rPr>
          <w:lang w:val="en-US"/>
        </w:rPr>
      </w:pPr>
      <w:r w:rsidRPr="00E57316">
        <w:rPr>
          <w:lang w:val="en-US"/>
        </w:rPr>
        <w:t>Uruguay has passed laws recognizing gender identity of trans women (Law Nº 19.684 Comprehensive for Trans Persons – 2018</w:t>
      </w:r>
      <w:r w:rsidR="005D02A5" w:rsidRPr="00E57316">
        <w:rPr>
          <w:vertAlign w:val="superscript"/>
          <w:lang w:val="en-US"/>
        </w:rPr>
        <w:footnoteReference w:id="8"/>
      </w:r>
      <w:r w:rsidRPr="00E57316">
        <w:rPr>
          <w:lang w:val="en-US"/>
        </w:rPr>
        <w:t>)</w:t>
      </w:r>
      <w:r w:rsidR="004F6A76" w:rsidRPr="00E57316">
        <w:rPr>
          <w:lang w:val="en-US"/>
        </w:rPr>
        <w:t xml:space="preserve"> and it has other laws that include report mechanisms of discrimination cases, such as Law Nº 17.817 (2004) to Fight Racism, Xenophobia and Discrimination. Besides, Law Nº 19.580 of Violence against Women based on Gender (2018) includes trans women. </w:t>
      </w:r>
    </w:p>
    <w:p w14:paraId="05824C8F" w14:textId="77777777" w:rsidR="00792731" w:rsidRPr="00E57316" w:rsidRDefault="00792731">
      <w:pPr>
        <w:numPr>
          <w:ilvl w:val="0"/>
          <w:numId w:val="1"/>
        </w:numPr>
        <w:spacing w:after="200"/>
        <w:jc w:val="both"/>
        <w:rPr>
          <w:lang w:val="en-US"/>
        </w:rPr>
      </w:pPr>
      <w:r w:rsidRPr="00E57316">
        <w:rPr>
          <w:lang w:val="en-US"/>
        </w:rPr>
        <w:t xml:space="preserve">This current legislation about discrimination and rights recognition </w:t>
      </w:r>
      <w:r w:rsidR="00F33AC2" w:rsidRPr="00E57316">
        <w:rPr>
          <w:lang w:val="en-US"/>
        </w:rPr>
        <w:t>notwithstanding</w:t>
      </w:r>
      <w:r w:rsidRPr="00E57316">
        <w:rPr>
          <w:lang w:val="en-US"/>
        </w:rPr>
        <w:t>,</w:t>
      </w:r>
      <w:r w:rsidR="00F33AC2" w:rsidRPr="00E57316">
        <w:rPr>
          <w:lang w:val="en-US"/>
        </w:rPr>
        <w:t xml:space="preserve"> trans women keep </w:t>
      </w:r>
      <w:r w:rsidR="00782B6E" w:rsidRPr="00E57316">
        <w:rPr>
          <w:lang w:val="en-US"/>
        </w:rPr>
        <w:t xml:space="preserve">being </w:t>
      </w:r>
      <w:r w:rsidR="00F33AC2" w:rsidRPr="00E57316">
        <w:rPr>
          <w:lang w:val="en-US"/>
        </w:rPr>
        <w:t xml:space="preserve">subjected to discrimination by different parts of the Uruguayan society due to their gender identity, sexual orientation, gender expression and/or any other public manifestation which departs from heteronormative standards. </w:t>
      </w:r>
      <w:r w:rsidRPr="00E57316">
        <w:rPr>
          <w:lang w:val="en-US"/>
        </w:rPr>
        <w:t xml:space="preserve"> </w:t>
      </w:r>
    </w:p>
    <w:p w14:paraId="41F24356" w14:textId="36ACC9F3" w:rsidR="00655BD6" w:rsidRPr="00E57316" w:rsidRDefault="00655BD6">
      <w:pPr>
        <w:numPr>
          <w:ilvl w:val="0"/>
          <w:numId w:val="1"/>
        </w:numPr>
        <w:spacing w:after="200"/>
        <w:jc w:val="both"/>
        <w:rPr>
          <w:lang w:val="en-US"/>
        </w:rPr>
      </w:pPr>
      <w:r w:rsidRPr="00E57316">
        <w:rPr>
          <w:lang w:val="en-US"/>
        </w:rPr>
        <w:t xml:space="preserve">Civil society organizations have been vocal in marking that these situations are distinguished by their high content of </w:t>
      </w:r>
      <w:r w:rsidR="003D4A3C" w:rsidRPr="00E57316">
        <w:rPr>
          <w:lang w:val="en-US"/>
        </w:rPr>
        <w:t>violence and cruelty, a fact supported by the ongoing reports of bigoted attacks received both by civil society organizations and by the National Institution of Human Rights and the O</w:t>
      </w:r>
      <w:r w:rsidR="0030547A" w:rsidRPr="00E57316">
        <w:rPr>
          <w:lang w:val="en-US"/>
        </w:rPr>
        <w:t>m</w:t>
      </w:r>
      <w:r w:rsidR="003D4A3C" w:rsidRPr="00E57316">
        <w:rPr>
          <w:lang w:val="en-US"/>
        </w:rPr>
        <w:t>b</w:t>
      </w:r>
      <w:r w:rsidR="0030547A" w:rsidRPr="00E57316">
        <w:rPr>
          <w:lang w:val="en-US"/>
        </w:rPr>
        <w:t>udsperson</w:t>
      </w:r>
      <w:r w:rsidR="0030547A" w:rsidRPr="00E57316">
        <w:rPr>
          <w:vertAlign w:val="superscript"/>
          <w:lang w:val="en-US"/>
        </w:rPr>
        <w:footnoteReference w:id="9"/>
      </w:r>
      <w:r w:rsidR="003D4A3C" w:rsidRPr="00E57316">
        <w:rPr>
          <w:lang w:val="en-US"/>
        </w:rPr>
        <w:t>. The situation, which can be described as systematic</w:t>
      </w:r>
      <w:r w:rsidR="0030547A" w:rsidRPr="00E57316">
        <w:rPr>
          <w:lang w:val="en-US"/>
        </w:rPr>
        <w:t xml:space="preserve"> violence, has been of concern</w:t>
      </w:r>
      <w:r w:rsidR="003D4A3C" w:rsidRPr="00E57316">
        <w:rPr>
          <w:lang w:val="en-US"/>
        </w:rPr>
        <w:t xml:space="preserve"> also for several institutions and bodies of the international system</w:t>
      </w:r>
      <w:r w:rsidR="0030547A" w:rsidRPr="00E57316">
        <w:rPr>
          <w:vertAlign w:val="superscript"/>
          <w:lang w:val="en-US"/>
        </w:rPr>
        <w:footnoteReference w:id="10"/>
      </w:r>
      <w:r w:rsidR="003D4A3C" w:rsidRPr="00E57316">
        <w:rPr>
          <w:lang w:val="en-US"/>
        </w:rPr>
        <w:t xml:space="preserve">. </w:t>
      </w:r>
    </w:p>
    <w:p w14:paraId="66952ABF" w14:textId="2077EB74" w:rsidR="0020648B" w:rsidRPr="00E57316" w:rsidRDefault="00651887" w:rsidP="0020648B">
      <w:pPr>
        <w:numPr>
          <w:ilvl w:val="0"/>
          <w:numId w:val="1"/>
        </w:numPr>
        <w:spacing w:after="200"/>
        <w:jc w:val="both"/>
        <w:rPr>
          <w:lang w:val="en-US"/>
        </w:rPr>
      </w:pPr>
      <w:r w:rsidRPr="00E57316">
        <w:rPr>
          <w:lang w:val="en-US"/>
        </w:rPr>
        <w:t xml:space="preserve">Law Nº 17.817 establishes the struggle against all forms of discrimination as a national priority, but it does not criminalize any form of discriminatory acts, neither in general nor in specific terms and no other law does. </w:t>
      </w:r>
      <w:r w:rsidR="0020648B" w:rsidRPr="00E57316">
        <w:rPr>
          <w:lang w:val="en-US"/>
        </w:rPr>
        <w:t xml:space="preserve">In cases of violence against LBT women based on their gender expression or identity or sexual orientation, the only available resource is </w:t>
      </w:r>
      <w:r w:rsidR="00694818" w:rsidRPr="00E57316">
        <w:rPr>
          <w:lang w:val="en-US"/>
        </w:rPr>
        <w:t xml:space="preserve">to consider them as </w:t>
      </w:r>
      <w:r w:rsidR="0020648B" w:rsidRPr="00E57316">
        <w:rPr>
          <w:lang w:val="en-US"/>
        </w:rPr>
        <w:t>the crime of committing or incitement to commit acts of hate, despise or violence which are statutory offences in the Penal Code</w:t>
      </w:r>
      <w:r w:rsidR="00694818" w:rsidRPr="00E57316">
        <w:rPr>
          <w:vertAlign w:val="superscript"/>
          <w:lang w:val="en-US"/>
        </w:rPr>
        <w:footnoteReference w:id="11"/>
      </w:r>
      <w:r w:rsidR="0020648B" w:rsidRPr="00E57316">
        <w:rPr>
          <w:lang w:val="en-US"/>
        </w:rPr>
        <w:t xml:space="preserve">. However, courts rarely apply </w:t>
      </w:r>
      <w:r w:rsidR="00124E94" w:rsidRPr="00E57316">
        <w:rPr>
          <w:lang w:val="en-US"/>
        </w:rPr>
        <w:t>these norms</w:t>
      </w:r>
      <w:r w:rsidR="00694818" w:rsidRPr="00E57316">
        <w:rPr>
          <w:lang w:val="en-US"/>
        </w:rPr>
        <w:t>,</w:t>
      </w:r>
      <w:r w:rsidR="0020648B" w:rsidRPr="00E57316">
        <w:rPr>
          <w:lang w:val="en-US"/>
        </w:rPr>
        <w:t xml:space="preserve"> partially due to the severity of the sentences associated to these crimes and </w:t>
      </w:r>
      <w:r w:rsidR="00694818" w:rsidRPr="00E57316">
        <w:rPr>
          <w:lang w:val="en-US"/>
        </w:rPr>
        <w:t>therefore</w:t>
      </w:r>
      <w:r w:rsidR="0020648B" w:rsidRPr="00E57316">
        <w:rPr>
          <w:lang w:val="en-US"/>
        </w:rPr>
        <w:t xml:space="preserve"> the most frequent result is impunity. </w:t>
      </w:r>
    </w:p>
    <w:p w14:paraId="239B21F7" w14:textId="6A102908" w:rsidR="00124E94" w:rsidRPr="00E57316" w:rsidRDefault="00124E94">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lastRenderedPageBreak/>
        <w:t>As it is stated in the Concluding Observations made by this Committee on the combined eighth and ninth periodic reviews of Uruguay</w:t>
      </w:r>
      <w:r w:rsidR="00694818" w:rsidRPr="00E57316">
        <w:rPr>
          <w:vertAlign w:val="superscript"/>
          <w:lang w:val="en-US"/>
        </w:rPr>
        <w:footnoteReference w:id="12"/>
      </w:r>
      <w:r w:rsidRPr="00E57316">
        <w:rPr>
          <w:lang w:val="en-US"/>
        </w:rPr>
        <w:t>, it is remarkable “the lack of a specific mechanism to report cases related to all forms of discrimination based on gender”, as well as “the limited access of women to legal representation and to information on the mechanisms available to them within the justice system”.</w:t>
      </w:r>
    </w:p>
    <w:p w14:paraId="7D8B6C78" w14:textId="794251D8" w:rsidR="00124E94" w:rsidRPr="00E57316" w:rsidRDefault="00124E94">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t xml:space="preserve">Taking into account that the mechanisms to report discrimination are in themselves intricate, especially regarding dissemination and knowledge about their procedures, LBT women face obstacles impairing their access to them. </w:t>
      </w:r>
      <w:r w:rsidR="0040138A" w:rsidRPr="00E57316">
        <w:rPr>
          <w:lang w:val="en-US"/>
        </w:rPr>
        <w:t>This has serious consequences, especially for trans women regarding their access to justice, a fact worsen</w:t>
      </w:r>
      <w:r w:rsidR="00694818" w:rsidRPr="00E57316">
        <w:rPr>
          <w:lang w:val="en-US"/>
        </w:rPr>
        <w:t>ed</w:t>
      </w:r>
      <w:r w:rsidR="0040138A" w:rsidRPr="00E57316">
        <w:rPr>
          <w:lang w:val="en-US"/>
        </w:rPr>
        <w:t xml:space="preserve"> by the situation of extreme social and economic vulnerability in which the majority of that population lives</w:t>
      </w:r>
      <w:r w:rsidR="00694818" w:rsidRPr="00E57316">
        <w:rPr>
          <w:vertAlign w:val="superscript"/>
          <w:lang w:val="en-US"/>
        </w:rPr>
        <w:footnoteReference w:id="13"/>
      </w:r>
      <w:r w:rsidR="0040138A" w:rsidRPr="00E57316">
        <w:rPr>
          <w:lang w:val="en-US"/>
        </w:rPr>
        <w:t xml:space="preserve">. </w:t>
      </w:r>
    </w:p>
    <w:p w14:paraId="20A0C45D" w14:textId="4F9D6A72" w:rsidR="0020123A" w:rsidRPr="00E57316" w:rsidRDefault="0020123A" w:rsidP="000634E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t>Often, the lives and physical integrity of trans women are put at risk by the violence and discrimination they experience. Due to the lack of effective public prevention policies and of a comprehensive approach of access to justice, the State does not provide trans women enough guarantees to revert the situation of serious vulnerability they experience. As already expressed by the Committee</w:t>
      </w:r>
      <w:r w:rsidR="00694818" w:rsidRPr="00E57316">
        <w:rPr>
          <w:vertAlign w:val="superscript"/>
          <w:lang w:val="en-US"/>
        </w:rPr>
        <w:footnoteReference w:id="14"/>
      </w:r>
      <w:r w:rsidRPr="00E57316">
        <w:rPr>
          <w:lang w:val="en-US"/>
        </w:rPr>
        <w:t xml:space="preserve">, it is of extreme concern that attacks, extreme violence and even </w:t>
      </w:r>
      <w:proofErr w:type="spellStart"/>
      <w:r w:rsidRPr="00E57316">
        <w:rPr>
          <w:lang w:val="en-US"/>
        </w:rPr>
        <w:t>femicides</w:t>
      </w:r>
      <w:proofErr w:type="spellEnd"/>
      <w:r w:rsidRPr="00E57316">
        <w:rPr>
          <w:lang w:val="en-US"/>
        </w:rPr>
        <w:t xml:space="preserve"> perpetrated against trans women remain unsolved and without investigation, </w:t>
      </w:r>
      <w:r w:rsidR="00694818" w:rsidRPr="00E57316">
        <w:rPr>
          <w:lang w:val="en-US"/>
        </w:rPr>
        <w:t>leading to total</w:t>
      </w:r>
      <w:r w:rsidRPr="00E57316">
        <w:rPr>
          <w:lang w:val="en-US"/>
        </w:rPr>
        <w:t xml:space="preserve"> impunity for perpetrators. </w:t>
      </w:r>
    </w:p>
    <w:p w14:paraId="74BE41AC" w14:textId="77777777" w:rsidR="007114F6" w:rsidRPr="00E57316" w:rsidRDefault="007114F6" w:rsidP="00657CD9">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jc w:val="both"/>
        <w:rPr>
          <w:lang w:val="en-US"/>
        </w:rPr>
      </w:pPr>
      <w:r w:rsidRPr="00E57316">
        <w:rPr>
          <w:lang w:val="en-US"/>
        </w:rPr>
        <w:t xml:space="preserve">One particular case deserves special mention – a few days after the Comprehensive Law for Trans Persons was passed, a trans woman was brutally attacked on the solely grounds of her identity, sexual orientation and/or gender expression, and was forced to leave the place to save her life. </w:t>
      </w:r>
    </w:p>
    <w:p w14:paraId="53C37984" w14:textId="77777777" w:rsidR="00657CD9" w:rsidRPr="00E57316" w:rsidRDefault="00657CD9" w:rsidP="00657CD9">
      <w:pPr>
        <w:pBdr>
          <w:top w:val="none" w:sz="0" w:space="0" w:color="000000"/>
          <w:left w:val="none" w:sz="0" w:space="0" w:color="000000"/>
          <w:bottom w:val="none" w:sz="0" w:space="0" w:color="000000"/>
          <w:right w:val="none" w:sz="0" w:space="0" w:color="000000"/>
          <w:between w:val="none" w:sz="0" w:space="0" w:color="000000"/>
        </w:pBdr>
        <w:spacing w:before="200" w:after="200"/>
        <w:ind w:left="720"/>
        <w:jc w:val="both"/>
        <w:rPr>
          <w:lang w:val="en-US"/>
        </w:rPr>
      </w:pPr>
    </w:p>
    <w:p w14:paraId="0D199107" w14:textId="77777777" w:rsidR="00657CD9" w:rsidRPr="00E57316" w:rsidRDefault="009A4366" w:rsidP="009A4366">
      <w:pPr>
        <w:spacing w:after="200"/>
        <w:jc w:val="both"/>
        <w:rPr>
          <w:b/>
          <w:lang w:val="en-US"/>
        </w:rPr>
      </w:pPr>
      <w:r w:rsidRPr="00E57316">
        <w:rPr>
          <w:b/>
          <w:lang w:val="en-US"/>
        </w:rPr>
        <w:t>Questions to the State</w:t>
      </w:r>
    </w:p>
    <w:p w14:paraId="28DD6561" w14:textId="6CC8AD96" w:rsidR="00C73FBB" w:rsidRPr="00E57316" w:rsidRDefault="00C73FBB">
      <w:pPr>
        <w:numPr>
          <w:ilvl w:val="0"/>
          <w:numId w:val="1"/>
        </w:numPr>
        <w:spacing w:after="200"/>
        <w:jc w:val="both"/>
        <w:rPr>
          <w:lang w:val="en-US"/>
        </w:rPr>
      </w:pPr>
      <w:r w:rsidRPr="00E57316">
        <w:rPr>
          <w:lang w:val="en-US"/>
        </w:rPr>
        <w:t xml:space="preserve">Which measures are </w:t>
      </w:r>
      <w:r w:rsidR="00694818" w:rsidRPr="00E57316">
        <w:rPr>
          <w:lang w:val="en-US"/>
        </w:rPr>
        <w:t xml:space="preserve">going </w:t>
      </w:r>
      <w:r w:rsidRPr="00E57316">
        <w:rPr>
          <w:lang w:val="en-US"/>
        </w:rPr>
        <w:t xml:space="preserve">to be adopted by the State to guarantee trans women their </w:t>
      </w:r>
      <w:r w:rsidR="00694818" w:rsidRPr="00E57316">
        <w:rPr>
          <w:lang w:val="en-US"/>
        </w:rPr>
        <w:t>due</w:t>
      </w:r>
      <w:r w:rsidRPr="00E57316">
        <w:rPr>
          <w:lang w:val="en-US"/>
        </w:rPr>
        <w:t xml:space="preserve"> access to justice in cases of discrimination based on identity, sexual orientation, and/or gender expression?</w:t>
      </w:r>
    </w:p>
    <w:p w14:paraId="64D8A5F3" w14:textId="14D86725" w:rsidR="00C73FBB" w:rsidRPr="00E57316" w:rsidRDefault="00C73FBB">
      <w:pPr>
        <w:numPr>
          <w:ilvl w:val="0"/>
          <w:numId w:val="1"/>
        </w:numPr>
        <w:spacing w:after="200"/>
        <w:jc w:val="both"/>
        <w:rPr>
          <w:lang w:val="en-US"/>
        </w:rPr>
      </w:pPr>
      <w:r w:rsidRPr="00E57316">
        <w:rPr>
          <w:lang w:val="en-US"/>
        </w:rPr>
        <w:t>Which specific measures in the field of legislation and public policies are</w:t>
      </w:r>
      <w:r w:rsidR="00000070" w:rsidRPr="00E57316">
        <w:rPr>
          <w:lang w:val="en-US"/>
        </w:rPr>
        <w:t xml:space="preserve"> going</w:t>
      </w:r>
      <w:r w:rsidRPr="00E57316">
        <w:rPr>
          <w:lang w:val="en-US"/>
        </w:rPr>
        <w:t xml:space="preserve"> to be adopted by the State to prevent violence and </w:t>
      </w:r>
      <w:r w:rsidR="00000070" w:rsidRPr="00E57316">
        <w:rPr>
          <w:lang w:val="en-US"/>
        </w:rPr>
        <w:t>killings</w:t>
      </w:r>
      <w:r w:rsidRPr="00E57316">
        <w:rPr>
          <w:lang w:val="en-US"/>
        </w:rPr>
        <w:t xml:space="preserve"> against trans women across the country?</w:t>
      </w:r>
    </w:p>
    <w:p w14:paraId="0B018325" w14:textId="0AEE6430" w:rsidR="00407E5A" w:rsidRPr="00E57316" w:rsidRDefault="00407E5A">
      <w:pPr>
        <w:numPr>
          <w:ilvl w:val="0"/>
          <w:numId w:val="1"/>
        </w:numPr>
        <w:spacing w:after="200"/>
        <w:jc w:val="both"/>
        <w:rPr>
          <w:lang w:val="en-US"/>
        </w:rPr>
      </w:pPr>
      <w:r w:rsidRPr="00E57316">
        <w:rPr>
          <w:lang w:val="en-US"/>
        </w:rPr>
        <w:t xml:space="preserve">Which measures </w:t>
      </w:r>
      <w:r w:rsidR="00000070" w:rsidRPr="00E57316">
        <w:rPr>
          <w:lang w:val="en-US"/>
        </w:rPr>
        <w:t>are going to be adopted by the State</w:t>
      </w:r>
      <w:r w:rsidRPr="00E57316">
        <w:rPr>
          <w:lang w:val="en-US"/>
        </w:rPr>
        <w:t xml:space="preserve"> to guarantee the full investigation of those </w:t>
      </w:r>
      <w:r w:rsidR="00000070" w:rsidRPr="00E57316">
        <w:rPr>
          <w:lang w:val="en-US"/>
        </w:rPr>
        <w:t>killings</w:t>
      </w:r>
      <w:r w:rsidRPr="00E57316">
        <w:rPr>
          <w:lang w:val="en-US"/>
        </w:rPr>
        <w:t xml:space="preserve"> of trans people that are still unpunished and the application of the due sentences to the perpetrators of transphobic hate crimes, in addition to the proper reparation for the victims?</w:t>
      </w:r>
    </w:p>
    <w:p w14:paraId="275B2DFB" w14:textId="650396BB" w:rsidR="00407E5A" w:rsidRPr="00E57316" w:rsidRDefault="00407E5A">
      <w:pPr>
        <w:numPr>
          <w:ilvl w:val="0"/>
          <w:numId w:val="1"/>
        </w:numPr>
        <w:spacing w:after="200"/>
        <w:jc w:val="both"/>
        <w:rPr>
          <w:lang w:val="en-US"/>
        </w:rPr>
      </w:pPr>
      <w:r w:rsidRPr="00E57316">
        <w:rPr>
          <w:lang w:val="en-US"/>
        </w:rPr>
        <w:t xml:space="preserve">Which measures </w:t>
      </w:r>
      <w:r w:rsidR="00000070" w:rsidRPr="00E57316">
        <w:rPr>
          <w:lang w:val="en-US"/>
        </w:rPr>
        <w:t>are going to be adopted by</w:t>
      </w:r>
      <w:r w:rsidRPr="00E57316">
        <w:rPr>
          <w:lang w:val="en-US"/>
        </w:rPr>
        <w:t xml:space="preserve"> the State to guarantee</w:t>
      </w:r>
      <w:r w:rsidR="00B46497" w:rsidRPr="00E57316">
        <w:rPr>
          <w:lang w:val="en-US"/>
        </w:rPr>
        <w:t xml:space="preserve"> that the cases of violence and discrimination based on sexual orientation and gender identity will be investigated according to due process to guarantee the perpetrators will </w:t>
      </w:r>
      <w:r w:rsidR="00000070" w:rsidRPr="00E57316">
        <w:rPr>
          <w:lang w:val="en-US"/>
        </w:rPr>
        <w:t>be taken to trial</w:t>
      </w:r>
      <w:r w:rsidR="00B46497" w:rsidRPr="00E57316">
        <w:rPr>
          <w:lang w:val="en-US"/>
        </w:rPr>
        <w:t xml:space="preserve"> </w:t>
      </w:r>
      <w:r w:rsidR="00B46497" w:rsidRPr="00E57316">
        <w:rPr>
          <w:lang w:val="en-US"/>
        </w:rPr>
        <w:lastRenderedPageBreak/>
        <w:t>and –if found guilty– punished with sentences appropriate to motivations based specifically on discrimination, as well as providing the victims with suitable reparations?</w:t>
      </w:r>
    </w:p>
    <w:p w14:paraId="4201FD31" w14:textId="1C8F3A09" w:rsidR="00B46497" w:rsidRPr="00E57316" w:rsidRDefault="00B46497">
      <w:pPr>
        <w:numPr>
          <w:ilvl w:val="0"/>
          <w:numId w:val="1"/>
        </w:numPr>
        <w:spacing w:after="200"/>
        <w:jc w:val="both"/>
        <w:rPr>
          <w:lang w:val="en-US"/>
        </w:rPr>
      </w:pPr>
      <w:r w:rsidRPr="00E57316">
        <w:rPr>
          <w:lang w:val="en-US"/>
        </w:rPr>
        <w:t xml:space="preserve">Which measures are going to be adopted by the State to </w:t>
      </w:r>
      <w:r w:rsidR="00000070" w:rsidRPr="00E57316">
        <w:rPr>
          <w:lang w:val="en-US"/>
        </w:rPr>
        <w:t>update its</w:t>
      </w:r>
      <w:r w:rsidRPr="00E57316">
        <w:rPr>
          <w:lang w:val="en-US"/>
        </w:rPr>
        <w:t xml:space="preserve"> legal instruments </w:t>
      </w:r>
      <w:r w:rsidR="00000070" w:rsidRPr="00E57316">
        <w:rPr>
          <w:lang w:val="en-US"/>
        </w:rPr>
        <w:t>and</w:t>
      </w:r>
      <w:r w:rsidRPr="00E57316">
        <w:rPr>
          <w:lang w:val="en-US"/>
        </w:rPr>
        <w:t xml:space="preserve"> specifically criminalize discrimination, in accordance to the dispositions of Law Nº 17.817, which establishes the struggle against all forms of discrimination as a national priority?</w:t>
      </w:r>
    </w:p>
    <w:p w14:paraId="7D762A21" w14:textId="77777777" w:rsidR="00D55A36" w:rsidRPr="00E57316" w:rsidRDefault="00D55A3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lang w:val="en-US"/>
        </w:rPr>
      </w:pPr>
    </w:p>
    <w:sectPr w:rsidR="00D55A36" w:rsidRPr="00E57316">
      <w:headerReference w:type="default" r:id="rId12"/>
      <w:footerReference w:type="default" r:id="rId13"/>
      <w:headerReference w:type="first" r:id="rId14"/>
      <w:pgSz w:w="11907" w:h="16840"/>
      <w:pgMar w:top="1134" w:right="1134" w:bottom="1134" w:left="1134"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EE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F724" w14:textId="77777777" w:rsidR="00FE0A87" w:rsidRDefault="00FE0A87">
      <w:pPr>
        <w:spacing w:line="240" w:lineRule="auto"/>
      </w:pPr>
      <w:r>
        <w:separator/>
      </w:r>
    </w:p>
  </w:endnote>
  <w:endnote w:type="continuationSeparator" w:id="0">
    <w:p w14:paraId="406179D9" w14:textId="77777777" w:rsidR="00FE0A87" w:rsidRDefault="00FE0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C637" w14:textId="77777777" w:rsidR="00D55A36" w:rsidRDefault="00D55A36">
    <w:pPr>
      <w:jc w:val="cente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1E87" w14:textId="77777777" w:rsidR="00FE0A87" w:rsidRDefault="00FE0A87">
      <w:pPr>
        <w:spacing w:line="240" w:lineRule="auto"/>
      </w:pPr>
      <w:r>
        <w:separator/>
      </w:r>
    </w:p>
  </w:footnote>
  <w:footnote w:type="continuationSeparator" w:id="0">
    <w:p w14:paraId="73E7D17E" w14:textId="77777777" w:rsidR="00FE0A87" w:rsidRDefault="00FE0A87">
      <w:pPr>
        <w:spacing w:line="240" w:lineRule="auto"/>
      </w:pPr>
      <w:r>
        <w:continuationSeparator/>
      </w:r>
    </w:p>
  </w:footnote>
  <w:footnote w:id="1">
    <w:p w14:paraId="3E230925" w14:textId="77777777" w:rsidR="00F3598A" w:rsidRPr="00D7160E" w:rsidRDefault="00F3598A" w:rsidP="00F3598A">
      <w:pPr>
        <w:spacing w:line="240" w:lineRule="auto"/>
        <w:jc w:val="both"/>
        <w:rPr>
          <w:sz w:val="18"/>
          <w:szCs w:val="18"/>
          <w:lang w:val="en-US"/>
        </w:rPr>
      </w:pPr>
      <w:r>
        <w:rPr>
          <w:vertAlign w:val="superscript"/>
        </w:rPr>
        <w:footnoteRef/>
      </w:r>
      <w:r w:rsidRPr="00D7160E">
        <w:rPr>
          <w:sz w:val="18"/>
          <w:szCs w:val="18"/>
          <w:lang w:val="en-US"/>
        </w:rPr>
        <w:t xml:space="preserve"> To mention the more important ones: Law Nº 17.817 (2004) Struggle against racism, xenophobia and discrimination; Law Nº 18.246 (2008) of Cohabiting Unions, which legalizes same sex couples; Law Nº 18.590 (2009) Childhood and Adolescence Code, allowing adoption by same sex couples; Law Nº 18.620 (2009) </w:t>
      </w:r>
      <w:r>
        <w:rPr>
          <w:sz w:val="18"/>
          <w:szCs w:val="18"/>
          <w:lang w:val="en-US"/>
        </w:rPr>
        <w:t>Right to Gender Identity and to Change Name and Sex in Identification Cards</w:t>
      </w:r>
      <w:r w:rsidRPr="00D7160E">
        <w:rPr>
          <w:sz w:val="18"/>
          <w:szCs w:val="18"/>
          <w:lang w:val="en-US"/>
        </w:rPr>
        <w:t xml:space="preserve">; Law Nº 19.075 (2013) </w:t>
      </w:r>
      <w:r>
        <w:rPr>
          <w:sz w:val="18"/>
          <w:szCs w:val="18"/>
          <w:lang w:val="en-US"/>
        </w:rPr>
        <w:t>Egalitarian Marriage</w:t>
      </w:r>
      <w:r w:rsidRPr="00D7160E">
        <w:rPr>
          <w:sz w:val="18"/>
          <w:szCs w:val="18"/>
          <w:lang w:val="en-US"/>
        </w:rPr>
        <w:t xml:space="preserve">; Law Nº 19.167 (2013) </w:t>
      </w:r>
      <w:r>
        <w:rPr>
          <w:sz w:val="18"/>
          <w:szCs w:val="18"/>
          <w:lang w:val="en-US"/>
        </w:rPr>
        <w:t>Human Assisted Reproduction Technologies</w:t>
      </w:r>
      <w:r w:rsidRPr="00D7160E">
        <w:rPr>
          <w:sz w:val="18"/>
          <w:szCs w:val="18"/>
          <w:lang w:val="en-US"/>
        </w:rPr>
        <w:t>; Decre</w:t>
      </w:r>
      <w:r>
        <w:rPr>
          <w:sz w:val="18"/>
          <w:szCs w:val="18"/>
          <w:lang w:val="en-US"/>
        </w:rPr>
        <w:t>e</w:t>
      </w:r>
      <w:r w:rsidRPr="00D7160E">
        <w:rPr>
          <w:sz w:val="18"/>
          <w:szCs w:val="18"/>
          <w:lang w:val="en-US"/>
        </w:rPr>
        <w:t xml:space="preserve"> Nº 321/015 (2015) </w:t>
      </w:r>
      <w:r>
        <w:rPr>
          <w:sz w:val="18"/>
          <w:szCs w:val="18"/>
          <w:lang w:val="en-US"/>
        </w:rPr>
        <w:t>Creation of the National Coordinating Council on Sexual Diversity Public Policies</w:t>
      </w:r>
      <w:r w:rsidRPr="00D7160E">
        <w:rPr>
          <w:sz w:val="18"/>
          <w:szCs w:val="18"/>
          <w:lang w:val="en-US"/>
        </w:rPr>
        <w:t xml:space="preserve">; </w:t>
      </w:r>
      <w:r>
        <w:rPr>
          <w:sz w:val="18"/>
          <w:szCs w:val="18"/>
          <w:lang w:val="en-US"/>
        </w:rPr>
        <w:t>Supreme Decree</w:t>
      </w:r>
      <w:r w:rsidRPr="00D7160E">
        <w:rPr>
          <w:sz w:val="18"/>
          <w:szCs w:val="18"/>
          <w:lang w:val="en-US"/>
        </w:rPr>
        <w:t xml:space="preserve"> Nº 189/017 (2017); Law Nº 19.684 </w:t>
      </w:r>
      <w:r>
        <w:rPr>
          <w:sz w:val="18"/>
          <w:szCs w:val="18"/>
          <w:lang w:val="en-US"/>
        </w:rPr>
        <w:t xml:space="preserve">Comprehensive for Trans Persons </w:t>
      </w:r>
      <w:r w:rsidRPr="00D7160E">
        <w:rPr>
          <w:sz w:val="18"/>
          <w:szCs w:val="18"/>
          <w:lang w:val="en-US"/>
        </w:rPr>
        <w:t xml:space="preserve">(2018), </w:t>
      </w:r>
      <w:r>
        <w:rPr>
          <w:sz w:val="18"/>
          <w:szCs w:val="18"/>
          <w:lang w:val="en-US"/>
        </w:rPr>
        <w:t>abolishing the former Gender Identity Law</w:t>
      </w:r>
      <w:r w:rsidRPr="00D7160E">
        <w:rPr>
          <w:sz w:val="18"/>
          <w:szCs w:val="18"/>
          <w:lang w:val="en-US"/>
        </w:rPr>
        <w:t>.</w:t>
      </w:r>
    </w:p>
  </w:footnote>
  <w:footnote w:id="2">
    <w:p w14:paraId="0BC3EC76" w14:textId="77777777" w:rsidR="00F3598A" w:rsidRPr="00D7160E" w:rsidRDefault="00F3598A" w:rsidP="00F3598A">
      <w:pPr>
        <w:spacing w:line="240" w:lineRule="auto"/>
        <w:rPr>
          <w:sz w:val="18"/>
          <w:szCs w:val="18"/>
          <w:lang w:val="en-US"/>
        </w:rPr>
      </w:pPr>
      <w:r w:rsidRPr="00D7160E">
        <w:rPr>
          <w:vertAlign w:val="superscript"/>
          <w:lang w:val="en-US"/>
        </w:rPr>
        <w:footnoteRef/>
      </w:r>
      <w:r w:rsidRPr="00D7160E">
        <w:rPr>
          <w:sz w:val="18"/>
          <w:szCs w:val="18"/>
          <w:lang w:val="en-US"/>
        </w:rPr>
        <w:t xml:space="preserve"> Lesbians, bisexuals and trans*. Trans* person encompasses all manifestations of existence such as transsexual, transgender, </w:t>
      </w:r>
      <w:proofErr w:type="spellStart"/>
      <w:r w:rsidRPr="00D7160E">
        <w:rPr>
          <w:sz w:val="18"/>
          <w:szCs w:val="18"/>
          <w:lang w:val="en-US"/>
        </w:rPr>
        <w:t>travesti</w:t>
      </w:r>
      <w:proofErr w:type="spellEnd"/>
      <w:r w:rsidRPr="00D7160E">
        <w:rPr>
          <w:sz w:val="18"/>
          <w:szCs w:val="18"/>
          <w:lang w:val="en-US"/>
        </w:rPr>
        <w:t xml:space="preserve"> and other variations which clearly depend on the self´-perception of the person in question.</w:t>
      </w:r>
    </w:p>
  </w:footnote>
  <w:footnote w:id="3">
    <w:p w14:paraId="083947EC" w14:textId="77777777" w:rsidR="00F3598A" w:rsidRPr="00D7160E" w:rsidRDefault="00F3598A" w:rsidP="00F3598A">
      <w:pPr>
        <w:spacing w:line="240" w:lineRule="auto"/>
        <w:jc w:val="both"/>
        <w:rPr>
          <w:sz w:val="18"/>
          <w:szCs w:val="18"/>
          <w:lang w:val="en-US"/>
        </w:rPr>
      </w:pPr>
      <w:r w:rsidRPr="00D7160E">
        <w:rPr>
          <w:sz w:val="18"/>
          <w:szCs w:val="18"/>
          <w:vertAlign w:val="superscript"/>
          <w:lang w:val="en-US"/>
        </w:rPr>
        <w:footnoteRef/>
      </w:r>
      <w:r w:rsidRPr="00D7160E">
        <w:rPr>
          <w:sz w:val="18"/>
          <w:szCs w:val="18"/>
          <w:lang w:val="en-US"/>
        </w:rPr>
        <w:t xml:space="preserve"> Constitution of the Eastern Republic of Uruguay (1967) art. 7 and art. 8. </w:t>
      </w:r>
    </w:p>
  </w:footnote>
  <w:footnote w:id="4">
    <w:p w14:paraId="2FFDE9D4" w14:textId="65475539" w:rsidR="00AC6288" w:rsidRPr="00AC6288" w:rsidRDefault="00AC6288" w:rsidP="00AC6288">
      <w:pPr>
        <w:spacing w:line="240" w:lineRule="auto"/>
        <w:rPr>
          <w:sz w:val="18"/>
          <w:szCs w:val="18"/>
          <w:lang w:val="en-US"/>
        </w:rPr>
      </w:pPr>
      <w:r>
        <w:rPr>
          <w:vertAlign w:val="superscript"/>
        </w:rPr>
        <w:footnoteRef/>
      </w:r>
      <w:r w:rsidRPr="00AC6288">
        <w:rPr>
          <w:sz w:val="18"/>
          <w:szCs w:val="18"/>
          <w:lang w:val="en-US"/>
        </w:rPr>
        <w:t xml:space="preserve"> In the normative in force at that time, trans* women were not considered women, and therefore couples formed by a man and</w:t>
      </w:r>
      <w:r>
        <w:rPr>
          <w:sz w:val="18"/>
          <w:szCs w:val="18"/>
          <w:lang w:val="en-US"/>
        </w:rPr>
        <w:t xml:space="preserve"> a</w:t>
      </w:r>
      <w:r w:rsidRPr="00AC6288">
        <w:rPr>
          <w:sz w:val="18"/>
          <w:szCs w:val="18"/>
          <w:lang w:val="en-US"/>
        </w:rPr>
        <w:t xml:space="preserve"> trans* woman were classified as couples formed by men.  </w:t>
      </w:r>
    </w:p>
  </w:footnote>
  <w:footnote w:id="5">
    <w:p w14:paraId="79226F49" w14:textId="53199703" w:rsidR="00AC6288" w:rsidRPr="00255BB6" w:rsidRDefault="00AC6288" w:rsidP="00AC6288">
      <w:pPr>
        <w:spacing w:line="240" w:lineRule="auto"/>
        <w:jc w:val="both"/>
        <w:rPr>
          <w:sz w:val="18"/>
          <w:szCs w:val="18"/>
          <w:lang w:val="en-US"/>
        </w:rPr>
      </w:pPr>
      <w:r>
        <w:rPr>
          <w:vertAlign w:val="superscript"/>
        </w:rPr>
        <w:footnoteRef/>
      </w:r>
      <w:r w:rsidRPr="00AC6288">
        <w:rPr>
          <w:sz w:val="18"/>
          <w:szCs w:val="18"/>
          <w:lang w:val="en-US"/>
        </w:rPr>
        <w:t xml:space="preserve"> The National Resources Fund (FNR, for its Spanish acronym) is an institution created by decree Law 14.897 as a non-state public person, providing financial cover</w:t>
      </w:r>
      <w:r w:rsidR="00255BB6">
        <w:rPr>
          <w:sz w:val="18"/>
          <w:szCs w:val="18"/>
          <w:lang w:val="en-US"/>
        </w:rPr>
        <w:t>age</w:t>
      </w:r>
      <w:r w:rsidRPr="00AC6288">
        <w:rPr>
          <w:sz w:val="18"/>
          <w:szCs w:val="18"/>
          <w:lang w:val="en-US"/>
        </w:rPr>
        <w:t xml:space="preserve"> for highly specialized medical procedures and for high cost medicines for the whole population living in the country and registered as </w:t>
      </w:r>
      <w:r w:rsidR="00255BB6">
        <w:rPr>
          <w:sz w:val="18"/>
          <w:szCs w:val="18"/>
          <w:lang w:val="en-US"/>
        </w:rPr>
        <w:t>users</w:t>
      </w:r>
      <w:r w:rsidRPr="00AC6288">
        <w:rPr>
          <w:sz w:val="18"/>
          <w:szCs w:val="18"/>
          <w:lang w:val="en-US"/>
        </w:rPr>
        <w:t xml:space="preserve"> of the </w:t>
      </w:r>
      <w:r>
        <w:rPr>
          <w:sz w:val="18"/>
          <w:szCs w:val="18"/>
          <w:lang w:val="en-US"/>
        </w:rPr>
        <w:t xml:space="preserve">National Integrated Health System. </w:t>
      </w:r>
      <w:r w:rsidRPr="00AC6288">
        <w:rPr>
          <w:sz w:val="18"/>
          <w:szCs w:val="18"/>
          <w:lang w:val="en-US"/>
        </w:rPr>
        <w:t xml:space="preserve"> </w:t>
      </w:r>
    </w:p>
  </w:footnote>
  <w:footnote w:id="6">
    <w:p w14:paraId="344B029C" w14:textId="2F0091FB" w:rsidR="00255BB6" w:rsidRPr="00D16E1D" w:rsidRDefault="00255BB6" w:rsidP="00255BB6">
      <w:pPr>
        <w:spacing w:line="240" w:lineRule="auto"/>
        <w:rPr>
          <w:sz w:val="18"/>
          <w:szCs w:val="18"/>
          <w:lang w:val="en-US"/>
        </w:rPr>
      </w:pPr>
      <w:r>
        <w:rPr>
          <w:vertAlign w:val="superscript"/>
        </w:rPr>
        <w:footnoteRef/>
      </w:r>
      <w:r w:rsidRPr="00604499">
        <w:rPr>
          <w:sz w:val="18"/>
          <w:szCs w:val="18"/>
          <w:lang w:val="en-US"/>
        </w:rPr>
        <w:t xml:space="preserve"> CEDAW/C/URY/CO/8-9 p</w:t>
      </w:r>
      <w:r w:rsidR="00E57316">
        <w:rPr>
          <w:sz w:val="18"/>
          <w:szCs w:val="18"/>
          <w:lang w:val="en-US"/>
        </w:rPr>
        <w:t>a</w:t>
      </w:r>
      <w:r w:rsidRPr="00604499">
        <w:rPr>
          <w:sz w:val="18"/>
          <w:szCs w:val="18"/>
          <w:lang w:val="en-US"/>
        </w:rPr>
        <w:t xml:space="preserve">r. </w:t>
      </w:r>
      <w:r w:rsidRPr="00D16E1D">
        <w:rPr>
          <w:sz w:val="18"/>
          <w:szCs w:val="18"/>
          <w:lang w:val="en-US"/>
        </w:rPr>
        <w:t>12b; July25, 2016.</w:t>
      </w:r>
    </w:p>
  </w:footnote>
  <w:footnote w:id="7">
    <w:p w14:paraId="7EC686D5" w14:textId="77777777" w:rsidR="00255BB6" w:rsidRPr="00D16E1D" w:rsidRDefault="00255BB6" w:rsidP="00255BB6">
      <w:pPr>
        <w:spacing w:line="240" w:lineRule="auto"/>
        <w:rPr>
          <w:sz w:val="18"/>
          <w:szCs w:val="18"/>
          <w:lang w:val="en-US"/>
        </w:rPr>
      </w:pPr>
      <w:r>
        <w:rPr>
          <w:vertAlign w:val="superscript"/>
        </w:rPr>
        <w:footnoteRef/>
      </w:r>
      <w:r w:rsidRPr="00D16E1D">
        <w:rPr>
          <w:sz w:val="18"/>
          <w:szCs w:val="18"/>
          <w:lang w:val="en-US"/>
        </w:rPr>
        <w:t xml:space="preserve"> El País: </w:t>
      </w:r>
      <w:hyperlink r:id="rId1">
        <w:r w:rsidRPr="00D16E1D">
          <w:rPr>
            <w:color w:val="1155CC"/>
            <w:sz w:val="18"/>
            <w:szCs w:val="18"/>
            <w:u w:val="single"/>
            <w:lang w:val="en-US"/>
          </w:rPr>
          <w:t>https://www.elpais.com.uy/informacion/judiciales/lucharon-madres-reconoce.html</w:t>
        </w:r>
      </w:hyperlink>
      <w:r w:rsidRPr="00D16E1D">
        <w:rPr>
          <w:sz w:val="18"/>
          <w:szCs w:val="18"/>
          <w:lang w:val="en-US"/>
        </w:rPr>
        <w:t xml:space="preserve"> published on</w:t>
      </w:r>
      <w:r>
        <w:rPr>
          <w:sz w:val="18"/>
          <w:szCs w:val="18"/>
          <w:lang w:val="en-US"/>
        </w:rPr>
        <w:t xml:space="preserve"> 10/</w:t>
      </w:r>
      <w:r w:rsidRPr="00D16E1D">
        <w:rPr>
          <w:sz w:val="18"/>
          <w:szCs w:val="18"/>
          <w:lang w:val="en-US"/>
        </w:rPr>
        <w:t>0</w:t>
      </w:r>
      <w:r>
        <w:rPr>
          <w:sz w:val="18"/>
          <w:szCs w:val="18"/>
          <w:lang w:val="en-US"/>
        </w:rPr>
        <w:t>3</w:t>
      </w:r>
      <w:r w:rsidRPr="00D16E1D">
        <w:rPr>
          <w:sz w:val="18"/>
          <w:szCs w:val="18"/>
          <w:lang w:val="en-US"/>
        </w:rPr>
        <w:t xml:space="preserve">/2018. </w:t>
      </w:r>
    </w:p>
  </w:footnote>
  <w:footnote w:id="8">
    <w:p w14:paraId="799864EA" w14:textId="77777777" w:rsidR="005D02A5" w:rsidRPr="00D35E9F" w:rsidRDefault="005D02A5" w:rsidP="005D02A5">
      <w:pPr>
        <w:spacing w:line="240" w:lineRule="auto"/>
        <w:rPr>
          <w:sz w:val="18"/>
          <w:szCs w:val="18"/>
          <w:lang w:val="en-US"/>
        </w:rPr>
      </w:pPr>
      <w:r w:rsidRPr="00D35E9F">
        <w:rPr>
          <w:vertAlign w:val="superscript"/>
          <w:lang w:val="en-US"/>
        </w:rPr>
        <w:footnoteRef/>
      </w:r>
      <w:r w:rsidRPr="00D35E9F">
        <w:rPr>
          <w:sz w:val="18"/>
          <w:szCs w:val="18"/>
          <w:lang w:val="en-US"/>
        </w:rPr>
        <w:t xml:space="preserve"> It abolishes the former Law Nº 18.620 of Gender Identity (2009)</w:t>
      </w:r>
    </w:p>
  </w:footnote>
  <w:footnote w:id="9">
    <w:p w14:paraId="2DEF906E" w14:textId="4E039A01" w:rsidR="0030547A" w:rsidRPr="00D35E9F" w:rsidRDefault="0030547A" w:rsidP="0030547A">
      <w:pPr>
        <w:spacing w:line="240" w:lineRule="auto"/>
        <w:jc w:val="both"/>
        <w:rPr>
          <w:sz w:val="18"/>
          <w:szCs w:val="18"/>
          <w:lang w:val="en-US"/>
        </w:rPr>
      </w:pPr>
      <w:r w:rsidRPr="00D35E9F">
        <w:rPr>
          <w:vertAlign w:val="superscript"/>
          <w:lang w:val="en-US"/>
        </w:rPr>
        <w:footnoteRef/>
      </w:r>
      <w:r w:rsidRPr="00D35E9F">
        <w:rPr>
          <w:sz w:val="18"/>
          <w:szCs w:val="18"/>
          <w:lang w:val="en-US"/>
        </w:rPr>
        <w:t xml:space="preserve"> VI </w:t>
      </w:r>
      <w:proofErr w:type="spellStart"/>
      <w:r w:rsidRPr="00D35E9F">
        <w:rPr>
          <w:sz w:val="18"/>
          <w:szCs w:val="18"/>
          <w:lang w:val="en-US"/>
        </w:rPr>
        <w:t>Informe</w:t>
      </w:r>
      <w:proofErr w:type="spellEnd"/>
      <w:r w:rsidRPr="00D35E9F">
        <w:rPr>
          <w:sz w:val="18"/>
          <w:szCs w:val="18"/>
          <w:lang w:val="en-US"/>
        </w:rPr>
        <w:t xml:space="preserve"> </w:t>
      </w:r>
      <w:proofErr w:type="spellStart"/>
      <w:r w:rsidRPr="00D35E9F">
        <w:rPr>
          <w:sz w:val="18"/>
          <w:szCs w:val="18"/>
          <w:lang w:val="en-US"/>
        </w:rPr>
        <w:t>Anual</w:t>
      </w:r>
      <w:proofErr w:type="spellEnd"/>
      <w:r w:rsidRPr="00D35E9F">
        <w:rPr>
          <w:sz w:val="18"/>
          <w:szCs w:val="18"/>
          <w:lang w:val="en-US"/>
        </w:rPr>
        <w:t xml:space="preserve"> (2017, VI Annual Report) of the </w:t>
      </w:r>
      <w:proofErr w:type="spellStart"/>
      <w:r w:rsidRPr="00D35E9F">
        <w:rPr>
          <w:sz w:val="18"/>
          <w:szCs w:val="18"/>
          <w:lang w:val="en-US"/>
        </w:rPr>
        <w:t>Institución</w:t>
      </w:r>
      <w:proofErr w:type="spellEnd"/>
      <w:r w:rsidRPr="00D35E9F">
        <w:rPr>
          <w:sz w:val="18"/>
          <w:szCs w:val="18"/>
          <w:lang w:val="en-US"/>
        </w:rPr>
        <w:t xml:space="preserve"> Nacional de Derechos </w:t>
      </w:r>
      <w:proofErr w:type="spellStart"/>
      <w:r w:rsidRPr="00D35E9F">
        <w:rPr>
          <w:sz w:val="18"/>
          <w:szCs w:val="18"/>
          <w:lang w:val="en-US"/>
        </w:rPr>
        <w:t>Humanos</w:t>
      </w:r>
      <w:proofErr w:type="spellEnd"/>
      <w:r w:rsidRPr="00D35E9F">
        <w:rPr>
          <w:sz w:val="18"/>
          <w:szCs w:val="18"/>
          <w:lang w:val="en-US"/>
        </w:rPr>
        <w:t xml:space="preserve"> y </w:t>
      </w:r>
      <w:proofErr w:type="spellStart"/>
      <w:r w:rsidRPr="00D35E9F">
        <w:rPr>
          <w:sz w:val="18"/>
          <w:szCs w:val="18"/>
          <w:lang w:val="en-US"/>
        </w:rPr>
        <w:t>Defensoría</w:t>
      </w:r>
      <w:proofErr w:type="spellEnd"/>
      <w:r w:rsidRPr="00D35E9F">
        <w:rPr>
          <w:sz w:val="18"/>
          <w:szCs w:val="18"/>
          <w:lang w:val="en-US"/>
        </w:rPr>
        <w:t xml:space="preserve"> de Pueblo (National Institution for </w:t>
      </w:r>
      <w:r w:rsidR="00D35E9F" w:rsidRPr="00D35E9F">
        <w:rPr>
          <w:sz w:val="18"/>
          <w:szCs w:val="18"/>
          <w:lang w:val="en-US"/>
        </w:rPr>
        <w:t>Human</w:t>
      </w:r>
      <w:r w:rsidRPr="00D35E9F">
        <w:rPr>
          <w:sz w:val="18"/>
          <w:szCs w:val="18"/>
          <w:lang w:val="en-US"/>
        </w:rPr>
        <w:t xml:space="preserve"> Rights and Ombudsperson). See: </w:t>
      </w:r>
      <w:hyperlink r:id="rId2">
        <w:r w:rsidRPr="00D35E9F">
          <w:rPr>
            <w:color w:val="1155CC"/>
            <w:sz w:val="18"/>
            <w:szCs w:val="18"/>
            <w:u w:val="single"/>
            <w:lang w:val="en-US"/>
          </w:rPr>
          <w:t>http://inddhh.gub.uy/wp-content/contenido/2018/06/Informe-Anual-2017-INDDHH.pdf</w:t>
        </w:r>
      </w:hyperlink>
      <w:r w:rsidRPr="00D35E9F">
        <w:rPr>
          <w:sz w:val="18"/>
          <w:szCs w:val="18"/>
          <w:lang w:val="en-US"/>
        </w:rPr>
        <w:t xml:space="preserve"> </w:t>
      </w:r>
    </w:p>
  </w:footnote>
  <w:footnote w:id="10">
    <w:p w14:paraId="2ED79092" w14:textId="118D63F5" w:rsidR="0030547A" w:rsidRPr="00D35E9F" w:rsidRDefault="0030547A" w:rsidP="0030547A">
      <w:pPr>
        <w:spacing w:line="240" w:lineRule="auto"/>
        <w:jc w:val="both"/>
        <w:rPr>
          <w:sz w:val="18"/>
          <w:szCs w:val="18"/>
          <w:lang w:val="en-US"/>
        </w:rPr>
      </w:pPr>
      <w:r w:rsidRPr="00D35E9F">
        <w:rPr>
          <w:vertAlign w:val="superscript"/>
          <w:lang w:val="en-US"/>
        </w:rPr>
        <w:footnoteRef/>
      </w:r>
      <w:r w:rsidRPr="00D35E9F">
        <w:rPr>
          <w:sz w:val="18"/>
          <w:szCs w:val="18"/>
          <w:lang w:val="en-US"/>
        </w:rPr>
        <w:t xml:space="preserve"> See: </w:t>
      </w:r>
      <w:r w:rsidR="009455AD" w:rsidRPr="00D35E9F">
        <w:rPr>
          <w:sz w:val="18"/>
          <w:szCs w:val="18"/>
          <w:lang w:val="en-US"/>
        </w:rPr>
        <w:t>UN Human Rights Committee</w:t>
      </w:r>
      <w:r w:rsidRPr="00D35E9F">
        <w:rPr>
          <w:sz w:val="18"/>
          <w:szCs w:val="18"/>
          <w:lang w:val="en-US"/>
        </w:rPr>
        <w:t xml:space="preserve">. </w:t>
      </w:r>
      <w:r w:rsidR="009455AD" w:rsidRPr="00D35E9F">
        <w:rPr>
          <w:sz w:val="18"/>
          <w:szCs w:val="18"/>
          <w:lang w:val="en-US"/>
        </w:rPr>
        <w:t xml:space="preserve">Concluding observations on the fifth periodic report of Uruguay </w:t>
      </w:r>
      <w:r w:rsidRPr="00D35E9F">
        <w:rPr>
          <w:sz w:val="18"/>
          <w:szCs w:val="18"/>
          <w:lang w:val="en-US"/>
        </w:rPr>
        <w:t xml:space="preserve">(2013). CCPR/C/URY/CO/5. </w:t>
      </w:r>
      <w:r w:rsidR="009455AD" w:rsidRPr="00D35E9F">
        <w:rPr>
          <w:sz w:val="18"/>
          <w:szCs w:val="18"/>
          <w:lang w:val="en-US"/>
        </w:rPr>
        <w:t xml:space="preserve">December 2, </w:t>
      </w:r>
      <w:r w:rsidRPr="00D35E9F">
        <w:rPr>
          <w:sz w:val="18"/>
          <w:szCs w:val="18"/>
          <w:lang w:val="en-US"/>
        </w:rPr>
        <w:t>2013, p</w:t>
      </w:r>
      <w:r w:rsidR="009455AD" w:rsidRPr="00D35E9F">
        <w:rPr>
          <w:sz w:val="18"/>
          <w:szCs w:val="18"/>
          <w:lang w:val="en-US"/>
        </w:rPr>
        <w:t>a</w:t>
      </w:r>
      <w:r w:rsidRPr="00D35E9F">
        <w:rPr>
          <w:sz w:val="18"/>
          <w:szCs w:val="18"/>
          <w:lang w:val="en-US"/>
        </w:rPr>
        <w:t xml:space="preserve">r. 12. </w:t>
      </w:r>
    </w:p>
    <w:p w14:paraId="1ED1FEE4" w14:textId="70F7E452" w:rsidR="0030547A" w:rsidRPr="000576E0" w:rsidRDefault="009455AD" w:rsidP="0030547A">
      <w:pPr>
        <w:spacing w:line="240" w:lineRule="auto"/>
        <w:jc w:val="both"/>
        <w:rPr>
          <w:sz w:val="18"/>
          <w:szCs w:val="18"/>
          <w:lang w:val="en-US"/>
        </w:rPr>
      </w:pPr>
      <w:r w:rsidRPr="00D35E9F">
        <w:rPr>
          <w:sz w:val="18"/>
          <w:szCs w:val="18"/>
          <w:lang w:val="en-US"/>
        </w:rPr>
        <w:t>UN High Commissioner for Human Rights</w:t>
      </w:r>
      <w:r w:rsidR="0030547A" w:rsidRPr="00D35E9F">
        <w:rPr>
          <w:sz w:val="18"/>
          <w:szCs w:val="18"/>
          <w:lang w:val="en-US"/>
        </w:rPr>
        <w:t xml:space="preserve">, </w:t>
      </w:r>
      <w:r w:rsidR="00D35E9F" w:rsidRPr="00D35E9F">
        <w:rPr>
          <w:i/>
          <w:sz w:val="18"/>
          <w:szCs w:val="18"/>
          <w:lang w:val="en-US"/>
        </w:rPr>
        <w:t>Discriminatory laws and practices and acts of violence against individuals based on their sexual orientation and gender identity</w:t>
      </w:r>
      <w:r w:rsidR="0030547A" w:rsidRPr="00D35E9F">
        <w:rPr>
          <w:sz w:val="18"/>
          <w:szCs w:val="18"/>
          <w:lang w:val="en-US"/>
        </w:rPr>
        <w:t xml:space="preserve">, A/HRC/19/41, </w:t>
      </w:r>
      <w:r w:rsidRPr="00D35E9F">
        <w:rPr>
          <w:sz w:val="18"/>
          <w:szCs w:val="18"/>
          <w:lang w:val="en-US"/>
        </w:rPr>
        <w:t>November 17,</w:t>
      </w:r>
      <w:r w:rsidR="0030547A" w:rsidRPr="00D35E9F">
        <w:rPr>
          <w:sz w:val="18"/>
          <w:szCs w:val="18"/>
          <w:lang w:val="en-US"/>
        </w:rPr>
        <w:t xml:space="preserve"> 2011, p</w:t>
      </w:r>
      <w:r w:rsidRPr="00D35E9F">
        <w:rPr>
          <w:sz w:val="18"/>
          <w:szCs w:val="18"/>
          <w:lang w:val="en-US"/>
        </w:rPr>
        <w:t>a</w:t>
      </w:r>
      <w:r w:rsidR="0030547A" w:rsidRPr="00D35E9F">
        <w:rPr>
          <w:sz w:val="18"/>
          <w:szCs w:val="18"/>
          <w:lang w:val="en-US"/>
        </w:rPr>
        <w:t xml:space="preserve">r. 22; </w:t>
      </w:r>
      <w:r w:rsidR="00D35E9F" w:rsidRPr="00D35E9F">
        <w:rPr>
          <w:sz w:val="18"/>
          <w:szCs w:val="18"/>
          <w:lang w:val="en-US"/>
        </w:rPr>
        <w:t>UN High Commissioner for Human Rights</w:t>
      </w:r>
      <w:r w:rsidR="0030547A" w:rsidRPr="00D35E9F">
        <w:rPr>
          <w:sz w:val="18"/>
          <w:szCs w:val="18"/>
          <w:lang w:val="en-US"/>
        </w:rPr>
        <w:t>,</w:t>
      </w:r>
      <w:r w:rsidR="00D35E9F">
        <w:rPr>
          <w:sz w:val="18"/>
          <w:szCs w:val="18"/>
          <w:lang w:val="en-US"/>
        </w:rPr>
        <w:t xml:space="preserve"> </w:t>
      </w:r>
      <w:r w:rsidR="00D35E9F" w:rsidRPr="00D35E9F">
        <w:rPr>
          <w:i/>
          <w:sz w:val="18"/>
          <w:szCs w:val="18"/>
          <w:lang w:val="en-US"/>
        </w:rPr>
        <w:t>Discrimination and violence against individuals based on their sexual orientation and gender identity</w:t>
      </w:r>
      <w:r w:rsidR="0030547A" w:rsidRPr="00D35E9F">
        <w:rPr>
          <w:sz w:val="18"/>
          <w:szCs w:val="18"/>
          <w:lang w:val="en-US"/>
        </w:rPr>
        <w:t xml:space="preserve">, </w:t>
      </w:r>
      <w:r w:rsidR="0030547A" w:rsidRPr="000576E0">
        <w:rPr>
          <w:sz w:val="18"/>
          <w:szCs w:val="18"/>
          <w:lang w:val="en-US"/>
        </w:rPr>
        <w:t xml:space="preserve">A/HRC/29/23, </w:t>
      </w:r>
      <w:r w:rsidR="00D35E9F" w:rsidRPr="000576E0">
        <w:rPr>
          <w:sz w:val="18"/>
          <w:szCs w:val="18"/>
          <w:lang w:val="en-US"/>
        </w:rPr>
        <w:t>May 4,</w:t>
      </w:r>
      <w:r w:rsidR="0030547A" w:rsidRPr="000576E0">
        <w:rPr>
          <w:sz w:val="18"/>
          <w:szCs w:val="18"/>
          <w:lang w:val="en-US"/>
        </w:rPr>
        <w:t xml:space="preserve"> 2015, p</w:t>
      </w:r>
      <w:r w:rsidR="00D35E9F" w:rsidRPr="000576E0">
        <w:rPr>
          <w:sz w:val="18"/>
          <w:szCs w:val="18"/>
          <w:lang w:val="en-US"/>
        </w:rPr>
        <w:t>a</w:t>
      </w:r>
      <w:r w:rsidR="0030547A" w:rsidRPr="000576E0">
        <w:rPr>
          <w:sz w:val="18"/>
          <w:szCs w:val="18"/>
          <w:lang w:val="en-US"/>
        </w:rPr>
        <w:t xml:space="preserve">r. 23.; </w:t>
      </w:r>
      <w:r w:rsidR="00D35E9F" w:rsidRPr="000576E0">
        <w:rPr>
          <w:sz w:val="18"/>
          <w:szCs w:val="18"/>
          <w:lang w:val="en-US"/>
        </w:rPr>
        <w:t>Inter-American Commission of Human Rights</w:t>
      </w:r>
      <w:r w:rsidR="0030547A" w:rsidRPr="000576E0">
        <w:rPr>
          <w:sz w:val="18"/>
          <w:szCs w:val="18"/>
          <w:lang w:val="en-US"/>
        </w:rPr>
        <w:t xml:space="preserve">. </w:t>
      </w:r>
      <w:r w:rsidR="0030547A" w:rsidRPr="000576E0">
        <w:rPr>
          <w:i/>
          <w:sz w:val="18"/>
          <w:szCs w:val="18"/>
          <w:lang w:val="en-US"/>
        </w:rPr>
        <w:t>Violenc</w:t>
      </w:r>
      <w:r w:rsidR="00D35E9F" w:rsidRPr="000576E0">
        <w:rPr>
          <w:i/>
          <w:sz w:val="18"/>
          <w:szCs w:val="18"/>
          <w:lang w:val="en-US"/>
        </w:rPr>
        <w:t>e</w:t>
      </w:r>
      <w:r w:rsidR="0030547A" w:rsidRPr="000576E0">
        <w:rPr>
          <w:i/>
          <w:sz w:val="18"/>
          <w:szCs w:val="18"/>
          <w:lang w:val="en-US"/>
        </w:rPr>
        <w:t xml:space="preserve"> </w:t>
      </w:r>
      <w:r w:rsidR="00D35E9F" w:rsidRPr="000576E0">
        <w:rPr>
          <w:i/>
          <w:sz w:val="18"/>
          <w:szCs w:val="18"/>
          <w:lang w:val="en-US"/>
        </w:rPr>
        <w:t>against</w:t>
      </w:r>
      <w:r w:rsidR="0030547A" w:rsidRPr="000576E0">
        <w:rPr>
          <w:i/>
          <w:sz w:val="18"/>
          <w:szCs w:val="18"/>
          <w:lang w:val="en-US"/>
        </w:rPr>
        <w:t xml:space="preserve"> LGBTI</w:t>
      </w:r>
      <w:r w:rsidR="00D35E9F" w:rsidRPr="000576E0">
        <w:rPr>
          <w:i/>
          <w:sz w:val="18"/>
          <w:szCs w:val="18"/>
          <w:lang w:val="en-US"/>
        </w:rPr>
        <w:t xml:space="preserve"> persons</w:t>
      </w:r>
      <w:r w:rsidR="0030547A" w:rsidRPr="000576E0">
        <w:rPr>
          <w:sz w:val="18"/>
          <w:szCs w:val="18"/>
          <w:lang w:val="en-US"/>
        </w:rPr>
        <w:t>. OAS/</w:t>
      </w:r>
      <w:proofErr w:type="spellStart"/>
      <w:r w:rsidR="0030547A" w:rsidRPr="000576E0">
        <w:rPr>
          <w:sz w:val="18"/>
          <w:szCs w:val="18"/>
          <w:lang w:val="en-US"/>
        </w:rPr>
        <w:t>Ser.L</w:t>
      </w:r>
      <w:proofErr w:type="spellEnd"/>
      <w:r w:rsidR="0030547A" w:rsidRPr="000576E0">
        <w:rPr>
          <w:sz w:val="18"/>
          <w:szCs w:val="18"/>
          <w:lang w:val="en-US"/>
        </w:rPr>
        <w:t xml:space="preserve">/V/II.rev.1. Doc 36, </w:t>
      </w:r>
      <w:r w:rsidR="00D35E9F" w:rsidRPr="000576E0">
        <w:rPr>
          <w:sz w:val="18"/>
          <w:szCs w:val="18"/>
          <w:lang w:val="en-US"/>
        </w:rPr>
        <w:t>November 12,</w:t>
      </w:r>
      <w:r w:rsidR="0030547A" w:rsidRPr="000576E0">
        <w:rPr>
          <w:sz w:val="18"/>
          <w:szCs w:val="18"/>
          <w:lang w:val="en-US"/>
        </w:rPr>
        <w:t xml:space="preserve"> 2015. </w:t>
      </w:r>
    </w:p>
    <w:p w14:paraId="792C4019" w14:textId="5B2575C3" w:rsidR="0030547A" w:rsidRPr="00D35E9F" w:rsidRDefault="00D35E9F" w:rsidP="0030547A">
      <w:pPr>
        <w:spacing w:line="240" w:lineRule="auto"/>
        <w:jc w:val="both"/>
        <w:rPr>
          <w:sz w:val="18"/>
          <w:szCs w:val="18"/>
          <w:lang w:val="en-US"/>
        </w:rPr>
      </w:pPr>
      <w:r w:rsidRPr="000576E0">
        <w:rPr>
          <w:sz w:val="18"/>
          <w:szCs w:val="18"/>
          <w:lang w:val="en-US"/>
        </w:rPr>
        <w:t>The UN Special Rapporteur on Violence against Women has noted that homicides based on gender attributable to sexual</w:t>
      </w:r>
      <w:r>
        <w:rPr>
          <w:sz w:val="18"/>
          <w:szCs w:val="18"/>
          <w:lang w:val="en-US"/>
        </w:rPr>
        <w:t xml:space="preserve"> orientation and gender identity are characterized by a serious degree of physical violence, which in some cases is higher than that found in other hate crimes. </w:t>
      </w:r>
      <w:r w:rsidR="000576E0" w:rsidRPr="000576E0">
        <w:rPr>
          <w:sz w:val="18"/>
          <w:szCs w:val="18"/>
          <w:lang w:val="en-US"/>
        </w:rPr>
        <w:t>Report of the Special Rapporteur on violence against women, its causes an</w:t>
      </w:r>
      <w:r w:rsidR="000576E0">
        <w:rPr>
          <w:sz w:val="18"/>
          <w:szCs w:val="18"/>
          <w:lang w:val="en-US"/>
        </w:rPr>
        <w:t xml:space="preserve">d consequences, Rashida </w:t>
      </w:r>
      <w:proofErr w:type="spellStart"/>
      <w:r w:rsidR="000576E0">
        <w:rPr>
          <w:sz w:val="18"/>
          <w:szCs w:val="18"/>
          <w:lang w:val="en-US"/>
        </w:rPr>
        <w:t>Manjoo</w:t>
      </w:r>
      <w:proofErr w:type="spellEnd"/>
      <w:r w:rsidR="0030547A" w:rsidRPr="000576E0">
        <w:rPr>
          <w:sz w:val="18"/>
          <w:szCs w:val="18"/>
          <w:lang w:val="en-US"/>
        </w:rPr>
        <w:t xml:space="preserve">, A/HRC/20/16, </w:t>
      </w:r>
      <w:r w:rsidR="000576E0">
        <w:rPr>
          <w:sz w:val="18"/>
          <w:szCs w:val="18"/>
          <w:lang w:val="en-US"/>
        </w:rPr>
        <w:t>May 23,</w:t>
      </w:r>
      <w:r w:rsidR="0030547A" w:rsidRPr="000576E0">
        <w:rPr>
          <w:sz w:val="18"/>
          <w:szCs w:val="18"/>
          <w:lang w:val="en-US"/>
        </w:rPr>
        <w:t xml:space="preserve"> 2012, p</w:t>
      </w:r>
      <w:r w:rsidR="000576E0">
        <w:rPr>
          <w:sz w:val="18"/>
          <w:szCs w:val="18"/>
          <w:lang w:val="en-US"/>
        </w:rPr>
        <w:t>a</w:t>
      </w:r>
      <w:r w:rsidR="0030547A" w:rsidRPr="000576E0">
        <w:rPr>
          <w:sz w:val="18"/>
          <w:szCs w:val="18"/>
          <w:lang w:val="en-US"/>
        </w:rPr>
        <w:t xml:space="preserve">r. </w:t>
      </w:r>
      <w:r w:rsidR="0030547A" w:rsidRPr="00D35E9F">
        <w:rPr>
          <w:sz w:val="18"/>
          <w:szCs w:val="18"/>
          <w:lang w:val="en-US"/>
        </w:rPr>
        <w:t>71.</w:t>
      </w:r>
    </w:p>
  </w:footnote>
  <w:footnote w:id="11">
    <w:p w14:paraId="752F4CB3" w14:textId="77777777" w:rsidR="00694818" w:rsidRPr="00D41DCA" w:rsidRDefault="00694818" w:rsidP="00694818">
      <w:pPr>
        <w:spacing w:line="240" w:lineRule="auto"/>
        <w:jc w:val="both"/>
        <w:rPr>
          <w:sz w:val="16"/>
          <w:szCs w:val="16"/>
          <w:lang w:val="en-US"/>
        </w:rPr>
      </w:pPr>
      <w:r>
        <w:rPr>
          <w:vertAlign w:val="superscript"/>
        </w:rPr>
        <w:footnoteRef/>
      </w:r>
      <w:r w:rsidRPr="00D41DCA">
        <w:rPr>
          <w:sz w:val="18"/>
          <w:szCs w:val="18"/>
          <w:lang w:val="en-US"/>
        </w:rPr>
        <w:t xml:space="preserve"> Penal Code Nº 9.155 art. 149 </w:t>
      </w:r>
      <w:proofErr w:type="spellStart"/>
      <w:r w:rsidRPr="00D41DCA">
        <w:rPr>
          <w:sz w:val="18"/>
          <w:szCs w:val="18"/>
          <w:lang w:val="en-US"/>
        </w:rPr>
        <w:t>bis</w:t>
      </w:r>
      <w:proofErr w:type="spellEnd"/>
      <w:r w:rsidRPr="00D41DCA">
        <w:rPr>
          <w:sz w:val="18"/>
          <w:szCs w:val="18"/>
          <w:lang w:val="en-US"/>
        </w:rPr>
        <w:t xml:space="preserve"> </w:t>
      </w:r>
      <w:r>
        <w:rPr>
          <w:sz w:val="18"/>
          <w:szCs w:val="18"/>
          <w:lang w:val="en-US"/>
        </w:rPr>
        <w:t>and</w:t>
      </w:r>
      <w:r w:rsidRPr="00D41DCA">
        <w:rPr>
          <w:sz w:val="18"/>
          <w:szCs w:val="18"/>
          <w:lang w:val="en-US"/>
        </w:rPr>
        <w:t xml:space="preserve"> ter.</w:t>
      </w:r>
    </w:p>
  </w:footnote>
  <w:footnote w:id="12">
    <w:p w14:paraId="09030DFF" w14:textId="3187CBDF" w:rsidR="00694818" w:rsidRPr="00694818" w:rsidRDefault="00694818" w:rsidP="00694818">
      <w:pPr>
        <w:spacing w:line="240" w:lineRule="auto"/>
        <w:rPr>
          <w:sz w:val="18"/>
          <w:szCs w:val="18"/>
          <w:lang w:val="en-US"/>
        </w:rPr>
      </w:pPr>
      <w:r>
        <w:rPr>
          <w:vertAlign w:val="superscript"/>
        </w:rPr>
        <w:footnoteRef/>
      </w:r>
      <w:r w:rsidRPr="00694818">
        <w:rPr>
          <w:sz w:val="18"/>
          <w:szCs w:val="18"/>
          <w:lang w:val="en-US"/>
        </w:rPr>
        <w:t xml:space="preserve"> CEDAW/C/URY/CO/8-9 p</w:t>
      </w:r>
      <w:r>
        <w:rPr>
          <w:sz w:val="18"/>
          <w:szCs w:val="18"/>
          <w:lang w:val="en-US"/>
        </w:rPr>
        <w:t>a</w:t>
      </w:r>
      <w:r w:rsidRPr="00694818">
        <w:rPr>
          <w:sz w:val="18"/>
          <w:szCs w:val="18"/>
          <w:lang w:val="en-US"/>
        </w:rPr>
        <w:t>r. 13 c and d; July 25, 2016.</w:t>
      </w:r>
    </w:p>
  </w:footnote>
  <w:footnote w:id="13">
    <w:p w14:paraId="004ACADA" w14:textId="77777777" w:rsidR="00694818" w:rsidRPr="00D41DCA" w:rsidRDefault="00694818" w:rsidP="00694818">
      <w:pPr>
        <w:spacing w:line="240" w:lineRule="auto"/>
        <w:rPr>
          <w:sz w:val="20"/>
          <w:szCs w:val="20"/>
          <w:lang w:val="en-US"/>
        </w:rPr>
      </w:pPr>
      <w:r>
        <w:rPr>
          <w:vertAlign w:val="superscript"/>
        </w:rPr>
        <w:footnoteRef/>
      </w:r>
      <w:r w:rsidRPr="00694818">
        <w:rPr>
          <w:sz w:val="18"/>
          <w:szCs w:val="18"/>
          <w:lang w:val="en-US"/>
        </w:rPr>
        <w:t xml:space="preserve"> MIDES (2017) </w:t>
      </w:r>
      <w:proofErr w:type="spellStart"/>
      <w:r w:rsidRPr="00694818">
        <w:rPr>
          <w:sz w:val="18"/>
          <w:szCs w:val="18"/>
          <w:lang w:val="en-US"/>
        </w:rPr>
        <w:t>Sistematización</w:t>
      </w:r>
      <w:proofErr w:type="spellEnd"/>
      <w:r w:rsidRPr="00694818">
        <w:rPr>
          <w:sz w:val="18"/>
          <w:szCs w:val="18"/>
          <w:lang w:val="en-US"/>
        </w:rPr>
        <w:t xml:space="preserve"> del </w:t>
      </w:r>
      <w:proofErr w:type="spellStart"/>
      <w:r w:rsidRPr="00694818">
        <w:rPr>
          <w:sz w:val="18"/>
          <w:szCs w:val="18"/>
          <w:lang w:val="en-US"/>
        </w:rPr>
        <w:t>proceso</w:t>
      </w:r>
      <w:proofErr w:type="spellEnd"/>
      <w:r w:rsidRPr="00694818">
        <w:rPr>
          <w:sz w:val="18"/>
          <w:szCs w:val="18"/>
          <w:lang w:val="en-US"/>
        </w:rPr>
        <w:t xml:space="preserve"> del </w:t>
      </w:r>
      <w:proofErr w:type="spellStart"/>
      <w:r w:rsidRPr="00694818">
        <w:rPr>
          <w:sz w:val="18"/>
          <w:szCs w:val="18"/>
          <w:lang w:val="en-US"/>
        </w:rPr>
        <w:t>Censo</w:t>
      </w:r>
      <w:proofErr w:type="spellEnd"/>
      <w:r w:rsidRPr="00694818">
        <w:rPr>
          <w:sz w:val="18"/>
          <w:szCs w:val="18"/>
          <w:lang w:val="en-US"/>
        </w:rPr>
        <w:t xml:space="preserve"> de Personas Trans en Uruguay (Systematization of the process of Trans Persons Census in Uruguay). </w:t>
      </w:r>
      <w:r w:rsidRPr="00D41DCA">
        <w:rPr>
          <w:sz w:val="18"/>
          <w:szCs w:val="18"/>
          <w:lang w:val="en-US"/>
        </w:rPr>
        <w:t xml:space="preserve">See: </w:t>
      </w:r>
      <w:r w:rsidRPr="00D41DCA">
        <w:rPr>
          <w:sz w:val="20"/>
          <w:szCs w:val="20"/>
          <w:lang w:val="en-US"/>
        </w:rPr>
        <w:t xml:space="preserve"> </w:t>
      </w:r>
      <w:hyperlink r:id="rId3">
        <w:r w:rsidRPr="00D41DCA">
          <w:rPr>
            <w:color w:val="1155CC"/>
            <w:sz w:val="20"/>
            <w:szCs w:val="20"/>
            <w:u w:val="single"/>
            <w:lang w:val="en-US"/>
          </w:rPr>
          <w:t>http://www.mides.gub.uy/innovaportal/file/90072/1/fasciculo-1-censo-trans-web.pdf</w:t>
        </w:r>
      </w:hyperlink>
      <w:r w:rsidRPr="00D41DCA">
        <w:rPr>
          <w:sz w:val="20"/>
          <w:szCs w:val="20"/>
          <w:lang w:val="en-US"/>
        </w:rPr>
        <w:t xml:space="preserve"> </w:t>
      </w:r>
    </w:p>
  </w:footnote>
  <w:footnote w:id="14">
    <w:p w14:paraId="49AF2E04" w14:textId="2797EC0A" w:rsidR="00694818" w:rsidRPr="00694818" w:rsidRDefault="00694818" w:rsidP="00694818">
      <w:pPr>
        <w:spacing w:line="240" w:lineRule="auto"/>
        <w:rPr>
          <w:sz w:val="20"/>
          <w:szCs w:val="20"/>
          <w:lang w:val="en-US"/>
        </w:rPr>
      </w:pPr>
      <w:bookmarkStart w:id="16" w:name="_lnxbz9" w:colFirst="0" w:colLast="0"/>
      <w:bookmarkEnd w:id="16"/>
      <w:r>
        <w:rPr>
          <w:vertAlign w:val="superscript"/>
        </w:rPr>
        <w:footnoteRef/>
      </w:r>
      <w:r w:rsidRPr="00604499">
        <w:rPr>
          <w:sz w:val="20"/>
          <w:szCs w:val="20"/>
          <w:lang w:val="en-US"/>
        </w:rPr>
        <w:t xml:space="preserve"> </w:t>
      </w:r>
      <w:r w:rsidRPr="00604499">
        <w:rPr>
          <w:sz w:val="18"/>
          <w:szCs w:val="18"/>
          <w:lang w:val="en-US"/>
        </w:rPr>
        <w:t xml:space="preserve"> CEDAW/C/URY/CO/8-9 p</w:t>
      </w:r>
      <w:r w:rsidR="00E57316">
        <w:rPr>
          <w:sz w:val="18"/>
          <w:szCs w:val="18"/>
          <w:lang w:val="en-US"/>
        </w:rPr>
        <w:t>a</w:t>
      </w:r>
      <w:r w:rsidRPr="00604499">
        <w:rPr>
          <w:sz w:val="18"/>
          <w:szCs w:val="18"/>
          <w:lang w:val="en-US"/>
        </w:rPr>
        <w:t xml:space="preserve">r. </w:t>
      </w:r>
      <w:r w:rsidRPr="00694818">
        <w:rPr>
          <w:sz w:val="18"/>
          <w:szCs w:val="18"/>
          <w:lang w:val="en-US"/>
        </w:rPr>
        <w:t>19 c; July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9F5E" w14:textId="77777777" w:rsidR="00D55A36" w:rsidRDefault="00D55A36">
    <w:pPr>
      <w:jc w:val="right"/>
    </w:pPr>
  </w:p>
  <w:p w14:paraId="26B8BA42" w14:textId="77777777" w:rsidR="00D55A36" w:rsidRDefault="00D55A36">
    <w:pPr>
      <w:jc w:val="right"/>
    </w:pPr>
  </w:p>
  <w:p w14:paraId="17CE390A" w14:textId="5BA69A4F" w:rsidR="00D55A36" w:rsidRDefault="00113150">
    <w:pPr>
      <w:jc w:val="right"/>
    </w:pPr>
    <w:r>
      <w:fldChar w:fldCharType="begin"/>
    </w:r>
    <w:r>
      <w:instrText>PAGE</w:instrText>
    </w:r>
    <w:r>
      <w:fldChar w:fldCharType="separate"/>
    </w:r>
    <w:r w:rsidR="00467C4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CF27" w14:textId="77777777" w:rsidR="00D55A36" w:rsidRDefault="00113150">
    <w:pPr>
      <w:jc w:val="right"/>
    </w:pPr>
    <w:r>
      <w:fldChar w:fldCharType="begin"/>
    </w:r>
    <w:r>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5EA1"/>
    <w:multiLevelType w:val="multilevel"/>
    <w:tmpl w:val="0F9C5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DA1171"/>
    <w:multiLevelType w:val="multilevel"/>
    <w:tmpl w:val="8184169E"/>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36"/>
    <w:rsid w:val="00000070"/>
    <w:rsid w:val="000576E0"/>
    <w:rsid w:val="00063BA0"/>
    <w:rsid w:val="00113150"/>
    <w:rsid w:val="00124E94"/>
    <w:rsid w:val="0020123A"/>
    <w:rsid w:val="0020648B"/>
    <w:rsid w:val="00255BB6"/>
    <w:rsid w:val="002C5AF2"/>
    <w:rsid w:val="0030547A"/>
    <w:rsid w:val="003B793B"/>
    <w:rsid w:val="003D4A3C"/>
    <w:rsid w:val="0040138A"/>
    <w:rsid w:val="00407E5A"/>
    <w:rsid w:val="00427EDA"/>
    <w:rsid w:val="00437E0A"/>
    <w:rsid w:val="00464F77"/>
    <w:rsid w:val="00467C47"/>
    <w:rsid w:val="004F6A76"/>
    <w:rsid w:val="005067F2"/>
    <w:rsid w:val="00520E9C"/>
    <w:rsid w:val="00536A64"/>
    <w:rsid w:val="0055001E"/>
    <w:rsid w:val="00571EC5"/>
    <w:rsid w:val="005D02A5"/>
    <w:rsid w:val="005D47E9"/>
    <w:rsid w:val="00604499"/>
    <w:rsid w:val="00651887"/>
    <w:rsid w:val="00655BD6"/>
    <w:rsid w:val="00657CD9"/>
    <w:rsid w:val="00684E48"/>
    <w:rsid w:val="00694818"/>
    <w:rsid w:val="006D15F3"/>
    <w:rsid w:val="007114F6"/>
    <w:rsid w:val="00711574"/>
    <w:rsid w:val="00771615"/>
    <w:rsid w:val="00782B6E"/>
    <w:rsid w:val="00792731"/>
    <w:rsid w:val="007A45FE"/>
    <w:rsid w:val="00802C7F"/>
    <w:rsid w:val="00831136"/>
    <w:rsid w:val="009427DA"/>
    <w:rsid w:val="009455AD"/>
    <w:rsid w:val="00956270"/>
    <w:rsid w:val="00976285"/>
    <w:rsid w:val="009A4366"/>
    <w:rsid w:val="009C351D"/>
    <w:rsid w:val="00AC6288"/>
    <w:rsid w:val="00AD0E13"/>
    <w:rsid w:val="00B21B17"/>
    <w:rsid w:val="00B36AF3"/>
    <w:rsid w:val="00B46497"/>
    <w:rsid w:val="00B935CE"/>
    <w:rsid w:val="00C73FBB"/>
    <w:rsid w:val="00CA6569"/>
    <w:rsid w:val="00CE3ED7"/>
    <w:rsid w:val="00D16E1D"/>
    <w:rsid w:val="00D35E9F"/>
    <w:rsid w:val="00D41DCA"/>
    <w:rsid w:val="00D55A36"/>
    <w:rsid w:val="00D704E2"/>
    <w:rsid w:val="00D7160E"/>
    <w:rsid w:val="00DA191D"/>
    <w:rsid w:val="00DB2A72"/>
    <w:rsid w:val="00E1269B"/>
    <w:rsid w:val="00E57316"/>
    <w:rsid w:val="00E60CA9"/>
    <w:rsid w:val="00E8122D"/>
    <w:rsid w:val="00EC41DB"/>
    <w:rsid w:val="00F064B6"/>
    <w:rsid w:val="00F33AC2"/>
    <w:rsid w:val="00F3598A"/>
    <w:rsid w:val="00FA1610"/>
    <w:rsid w:val="00FA4F15"/>
    <w:rsid w:val="00FE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A45FE"/>
    <w:pPr>
      <w:ind w:left="720"/>
      <w:contextualSpacing/>
    </w:pPr>
  </w:style>
  <w:style w:type="character" w:styleId="Refdecomentario">
    <w:name w:val="annotation reference"/>
    <w:basedOn w:val="Fuentedeprrafopredeter"/>
    <w:uiPriority w:val="99"/>
    <w:semiHidden/>
    <w:unhideWhenUsed/>
    <w:rsid w:val="00407E5A"/>
    <w:rPr>
      <w:sz w:val="16"/>
      <w:szCs w:val="16"/>
    </w:rPr>
  </w:style>
  <w:style w:type="paragraph" w:styleId="Textocomentario">
    <w:name w:val="annotation text"/>
    <w:basedOn w:val="Normal"/>
    <w:link w:val="TextocomentarioCar"/>
    <w:uiPriority w:val="99"/>
    <w:semiHidden/>
    <w:unhideWhenUsed/>
    <w:rsid w:val="00407E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E5A"/>
    <w:rPr>
      <w:sz w:val="20"/>
      <w:szCs w:val="20"/>
    </w:rPr>
  </w:style>
  <w:style w:type="paragraph" w:styleId="Asuntodelcomentario">
    <w:name w:val="annotation subject"/>
    <w:basedOn w:val="Textocomentario"/>
    <w:next w:val="Textocomentario"/>
    <w:link w:val="AsuntodelcomentarioCar"/>
    <w:uiPriority w:val="99"/>
    <w:semiHidden/>
    <w:unhideWhenUsed/>
    <w:rsid w:val="00407E5A"/>
    <w:rPr>
      <w:b/>
      <w:bCs/>
    </w:rPr>
  </w:style>
  <w:style w:type="character" w:customStyle="1" w:styleId="AsuntodelcomentarioCar">
    <w:name w:val="Asunto del comentario Car"/>
    <w:basedOn w:val="TextocomentarioCar"/>
    <w:link w:val="Asuntodelcomentario"/>
    <w:uiPriority w:val="99"/>
    <w:semiHidden/>
    <w:rsid w:val="00407E5A"/>
    <w:rPr>
      <w:b/>
      <w:bCs/>
      <w:sz w:val="20"/>
      <w:szCs w:val="20"/>
    </w:rPr>
  </w:style>
  <w:style w:type="paragraph" w:styleId="Textodeglobo">
    <w:name w:val="Balloon Text"/>
    <w:basedOn w:val="Normal"/>
    <w:link w:val="TextodegloboCar"/>
    <w:uiPriority w:val="99"/>
    <w:semiHidden/>
    <w:unhideWhenUsed/>
    <w:rsid w:val="00407E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E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A45FE"/>
    <w:pPr>
      <w:ind w:left="720"/>
      <w:contextualSpacing/>
    </w:pPr>
  </w:style>
  <w:style w:type="character" w:styleId="Refdecomentario">
    <w:name w:val="annotation reference"/>
    <w:basedOn w:val="Fuentedeprrafopredeter"/>
    <w:uiPriority w:val="99"/>
    <w:semiHidden/>
    <w:unhideWhenUsed/>
    <w:rsid w:val="00407E5A"/>
    <w:rPr>
      <w:sz w:val="16"/>
      <w:szCs w:val="16"/>
    </w:rPr>
  </w:style>
  <w:style w:type="paragraph" w:styleId="Textocomentario">
    <w:name w:val="annotation text"/>
    <w:basedOn w:val="Normal"/>
    <w:link w:val="TextocomentarioCar"/>
    <w:uiPriority w:val="99"/>
    <w:semiHidden/>
    <w:unhideWhenUsed/>
    <w:rsid w:val="00407E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E5A"/>
    <w:rPr>
      <w:sz w:val="20"/>
      <w:szCs w:val="20"/>
    </w:rPr>
  </w:style>
  <w:style w:type="paragraph" w:styleId="Asuntodelcomentario">
    <w:name w:val="annotation subject"/>
    <w:basedOn w:val="Textocomentario"/>
    <w:next w:val="Textocomentario"/>
    <w:link w:val="AsuntodelcomentarioCar"/>
    <w:uiPriority w:val="99"/>
    <w:semiHidden/>
    <w:unhideWhenUsed/>
    <w:rsid w:val="00407E5A"/>
    <w:rPr>
      <w:b/>
      <w:bCs/>
    </w:rPr>
  </w:style>
  <w:style w:type="character" w:customStyle="1" w:styleId="AsuntodelcomentarioCar">
    <w:name w:val="Asunto del comentario Car"/>
    <w:basedOn w:val="TextocomentarioCar"/>
    <w:link w:val="Asuntodelcomentario"/>
    <w:uiPriority w:val="99"/>
    <w:semiHidden/>
    <w:rsid w:val="00407E5A"/>
    <w:rPr>
      <w:b/>
      <w:bCs/>
      <w:sz w:val="20"/>
      <w:szCs w:val="20"/>
    </w:rPr>
  </w:style>
  <w:style w:type="paragraph" w:styleId="Textodeglobo">
    <w:name w:val="Balloon Text"/>
    <w:basedOn w:val="Normal"/>
    <w:link w:val="TextodegloboCar"/>
    <w:uiPriority w:val="99"/>
    <w:semiHidden/>
    <w:unhideWhenUsed/>
    <w:rsid w:val="00407E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ides.gub.uy/innovaportal/file/90072/1/fasciculo-1-censo-trans-web.pdf" TargetMode="External"/><Relationship Id="rId2" Type="http://schemas.openxmlformats.org/officeDocument/2006/relationships/hyperlink" Target="http://inddhh.gub.uy/wp-content/contenido/2018/06/Informe-Anual-2017-INDDHH.pdf" TargetMode="External"/><Relationship Id="rId1" Type="http://schemas.openxmlformats.org/officeDocument/2006/relationships/hyperlink" Target="https://www.elpais.com.uy/informacion/judiciales/lucharon-madres-recono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0DAF6-5E22-435D-B959-2DB55EBEBCE6}"/>
</file>

<file path=customXml/itemProps2.xml><?xml version="1.0" encoding="utf-8"?>
<ds:datastoreItem xmlns:ds="http://schemas.openxmlformats.org/officeDocument/2006/customXml" ds:itemID="{54CFDB69-9A6D-47FA-AF6D-2EE21E53D4B0}"/>
</file>

<file path=customXml/itemProps3.xml><?xml version="1.0" encoding="utf-8"?>
<ds:datastoreItem xmlns:ds="http://schemas.openxmlformats.org/officeDocument/2006/customXml" ds:itemID="{17CB7E79-120C-4991-8331-CC30E30E9316}"/>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Marcelo</cp:lastModifiedBy>
  <cp:revision>3</cp:revision>
  <dcterms:created xsi:type="dcterms:W3CDTF">2019-01-28T02:57:00Z</dcterms:created>
  <dcterms:modified xsi:type="dcterms:W3CDTF">2019-01-28T03:02:00Z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