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C9721" w14:textId="77777777" w:rsidR="00C60653" w:rsidRPr="00582A26" w:rsidRDefault="00932CC5" w:rsidP="00C60653">
      <w:pPr>
        <w:pStyle w:val="Etikett"/>
        <w:sectPr w:rsidR="00C60653" w:rsidRPr="00582A26" w:rsidSect="00F92E56">
          <w:headerReference w:type="default" r:id="rId9"/>
          <w:footerReference w:type="default" r:id="rId10"/>
          <w:headerReference w:type="first" r:id="rId11"/>
          <w:footerReference w:type="first" r:id="rId12"/>
          <w:pgSz w:w="11906" w:h="16838" w:code="9"/>
          <w:pgMar w:top="284" w:right="680" w:bottom="1928" w:left="624" w:header="567" w:footer="567" w:gutter="0"/>
          <w:pgNumType w:start="1"/>
          <w:cols w:space="708"/>
          <w:titlePg/>
          <w:docGrid w:linePitch="360"/>
        </w:sectPr>
      </w:pPr>
      <w:bookmarkStart w:id="0" w:name="_Toc373737910"/>
      <w:bookmarkStart w:id="1" w:name="_Toc373738245"/>
      <w:bookmarkStart w:id="2" w:name="_Toc373739895"/>
      <w:bookmarkStart w:id="3" w:name="_Toc373739955"/>
      <w:bookmarkStart w:id="4" w:name="_Toc373739988"/>
      <w:bookmarkStart w:id="5" w:name="_Toc374526843"/>
      <w:r w:rsidRPr="00582A26">
        <w:rPr>
          <w:noProof/>
        </w:rPr>
        <w:drawing>
          <wp:anchor distT="0" distB="0" distL="114300" distR="114300" simplePos="0" relativeHeight="251658752" behindDoc="0" locked="1" layoutInCell="1" allowOverlap="1" wp14:anchorId="556D9C23" wp14:editId="690BC0E1">
            <wp:simplePos x="0" y="0"/>
            <wp:positionH relativeFrom="page">
              <wp:posOffset>399415</wp:posOffset>
            </wp:positionH>
            <wp:positionV relativeFrom="page">
              <wp:posOffset>374650</wp:posOffset>
            </wp:positionV>
            <wp:extent cx="1015200" cy="864000"/>
            <wp:effectExtent l="0" t="0" r="0" b="0"/>
            <wp:wrapNone/>
            <wp:docPr id="6" name="Bildobjek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 logo_svart_RGB_Rityta.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15200" cy="864000"/>
                    </a:xfrm>
                    <a:prstGeom prst="rect">
                      <a:avLst/>
                    </a:prstGeom>
                  </pic:spPr>
                </pic:pic>
              </a:graphicData>
            </a:graphic>
            <wp14:sizeRelH relativeFrom="margin">
              <wp14:pctWidth>0</wp14:pctWidth>
            </wp14:sizeRelH>
            <wp14:sizeRelV relativeFrom="margin">
              <wp14:pctHeight>0</wp14:pctHeight>
            </wp14:sizeRelV>
          </wp:anchor>
        </w:drawing>
      </w:r>
    </w:p>
    <w:p w14:paraId="5B56397E" w14:textId="77777777" w:rsidR="00433905" w:rsidRPr="00582A26" w:rsidRDefault="00433905" w:rsidP="00220F5B">
      <w:pPr>
        <w:pStyle w:val="Etikett"/>
        <w:rPr>
          <w:b/>
          <w:lang w:val="en-GB"/>
        </w:rPr>
      </w:pPr>
    </w:p>
    <w:p w14:paraId="27727456" w14:textId="1DB95594" w:rsidR="004D50AB" w:rsidRPr="00582A26" w:rsidRDefault="004D50AB" w:rsidP="004D50AB">
      <w:pPr>
        <w:pStyle w:val="Etikett"/>
        <w:tabs>
          <w:tab w:val="left" w:pos="1701"/>
        </w:tabs>
        <w:spacing w:before="200"/>
        <w:rPr>
          <w:lang w:val="en-GB"/>
        </w:rPr>
      </w:pPr>
    </w:p>
    <w:p w14:paraId="7A026435" w14:textId="77777777" w:rsidR="004D50AB" w:rsidRPr="00582A26" w:rsidRDefault="004D50AB" w:rsidP="00220F5B">
      <w:pPr>
        <w:pStyle w:val="Etikett"/>
        <w:rPr>
          <w:lang w:val="en-GB"/>
        </w:rPr>
      </w:pPr>
    </w:p>
    <w:p w14:paraId="01E2286D" w14:textId="77777777" w:rsidR="00220F5B" w:rsidRPr="00582A26" w:rsidRDefault="00220F5B" w:rsidP="00220F5B">
      <w:pPr>
        <w:pStyle w:val="Etikett"/>
        <w:rPr>
          <w:lang w:val="en-GB"/>
        </w:rPr>
      </w:pPr>
    </w:p>
    <w:p w14:paraId="5C357C04" w14:textId="77777777" w:rsidR="00CE6F2D" w:rsidRPr="00582A26" w:rsidRDefault="00CE6F2D" w:rsidP="00C60653">
      <w:pPr>
        <w:pStyle w:val="Etikett"/>
        <w:rPr>
          <w:lang w:val="en-GB"/>
        </w:rPr>
      </w:pPr>
    </w:p>
    <w:p w14:paraId="0AE39BEC" w14:textId="77777777" w:rsidR="00C60653" w:rsidRPr="00582A26" w:rsidRDefault="00C60653" w:rsidP="00C60653">
      <w:pPr>
        <w:pStyle w:val="Etikett"/>
        <w:rPr>
          <w:lang w:val="en-GB"/>
        </w:rPr>
        <w:sectPr w:rsidR="00C60653" w:rsidRPr="00582A26" w:rsidSect="0093355C">
          <w:type w:val="continuous"/>
          <w:pgSz w:w="11906" w:h="16838" w:code="9"/>
          <w:pgMar w:top="1418" w:right="624" w:bottom="1134" w:left="6662" w:header="709" w:footer="284" w:gutter="0"/>
          <w:pgNumType w:start="1"/>
          <w:cols w:space="1420"/>
          <w:titlePg/>
          <w:docGrid w:linePitch="360"/>
        </w:sectPr>
      </w:pPr>
    </w:p>
    <w:bookmarkEnd w:id="0"/>
    <w:bookmarkEnd w:id="1"/>
    <w:bookmarkEnd w:id="2"/>
    <w:bookmarkEnd w:id="3"/>
    <w:bookmarkEnd w:id="4"/>
    <w:bookmarkEnd w:id="5"/>
    <w:p w14:paraId="5550159D" w14:textId="614BE08A" w:rsidR="00C42B6E" w:rsidRDefault="00762F64" w:rsidP="00EE5154">
      <w:pPr>
        <w:pStyle w:val="Titel"/>
        <w:rPr>
          <w:lang w:val="en-GB"/>
        </w:rPr>
      </w:pPr>
      <w:r w:rsidRPr="00EE5154">
        <w:rPr>
          <w:lang w:val="en-GB"/>
        </w:rPr>
        <w:t xml:space="preserve">The </w:t>
      </w:r>
      <w:r>
        <w:rPr>
          <w:lang w:val="en-GB"/>
        </w:rPr>
        <w:t xml:space="preserve">Swedish </w:t>
      </w:r>
      <w:r w:rsidRPr="00EE5154">
        <w:rPr>
          <w:lang w:val="en-GB"/>
        </w:rPr>
        <w:t>Equality Ombudsman's written report to the UN Committee on the Elimination of Racial Discrimination</w:t>
      </w:r>
    </w:p>
    <w:p w14:paraId="36F1FBD4" w14:textId="77777777" w:rsidR="00C42B6E" w:rsidRDefault="00C42B6E">
      <w:pPr>
        <w:spacing w:after="0" w:line="240" w:lineRule="auto"/>
        <w:rPr>
          <w:rFonts w:ascii="Arial" w:hAnsi="Arial" w:cs="Arial"/>
          <w:spacing w:val="-4"/>
          <w:sz w:val="36"/>
          <w:szCs w:val="36"/>
          <w:lang w:val="en-GB"/>
        </w:rPr>
      </w:pPr>
      <w:r>
        <w:rPr>
          <w:lang w:val="en-GB"/>
        </w:rPr>
        <w:br w:type="page"/>
      </w:r>
    </w:p>
    <w:p w14:paraId="360214FD" w14:textId="77777777" w:rsidR="00EE5154" w:rsidRPr="00582A26" w:rsidRDefault="00EE5154" w:rsidP="00762F64">
      <w:pPr>
        <w:pStyle w:val="Rubrik1"/>
        <w:spacing w:before="720"/>
        <w:rPr>
          <w:spacing w:val="0"/>
          <w:lang w:val="en-GB"/>
        </w:rPr>
      </w:pPr>
      <w:bookmarkStart w:id="6" w:name="_Toc211168278"/>
      <w:r w:rsidRPr="00582A26">
        <w:rPr>
          <w:spacing w:val="0"/>
          <w:lang w:val="en-GB"/>
        </w:rPr>
        <w:lastRenderedPageBreak/>
        <w:t>Content</w:t>
      </w:r>
      <w:bookmarkEnd w:id="6"/>
    </w:p>
    <w:p w14:paraId="43352B23" w14:textId="765D6375" w:rsidR="00EE5154" w:rsidRPr="00582A26" w:rsidRDefault="00EE5154" w:rsidP="003D78C9">
      <w:pPr>
        <w:pStyle w:val="Innehll1"/>
        <w:tabs>
          <w:tab w:val="right" w:leader="dot" w:pos="7655"/>
        </w:tabs>
        <w:rPr>
          <w:rFonts w:asciiTheme="minorHAnsi" w:eastAsiaTheme="minorEastAsia" w:hAnsiTheme="minorHAnsi" w:cstheme="minorBidi"/>
          <w:noProof/>
          <w:kern w:val="2"/>
          <w:sz w:val="24"/>
          <w14:ligatures w14:val="standardContextual"/>
        </w:rPr>
      </w:pPr>
      <w:r w:rsidRPr="00582A26">
        <w:rPr>
          <w:lang w:val="en-GB"/>
        </w:rPr>
        <w:fldChar w:fldCharType="begin"/>
      </w:r>
      <w:r w:rsidRPr="00582A26">
        <w:rPr>
          <w:lang w:val="en-GB"/>
        </w:rPr>
        <w:instrText xml:space="preserve"> TOC \o "1-3" \h \z \u </w:instrText>
      </w:r>
      <w:r w:rsidRPr="00582A26">
        <w:rPr>
          <w:lang w:val="en-GB"/>
        </w:rPr>
        <w:fldChar w:fldCharType="separate"/>
      </w:r>
      <w:hyperlink w:anchor="_Toc211168279" w:history="1">
        <w:r w:rsidRPr="00582A26">
          <w:rPr>
            <w:rStyle w:val="Hyperlnk"/>
            <w:noProof/>
            <w:lang w:val="en-GB"/>
          </w:rPr>
          <w:t>Introduction</w:t>
        </w:r>
        <w:r w:rsidRPr="00582A26">
          <w:rPr>
            <w:noProof/>
            <w:webHidden/>
          </w:rPr>
          <w:tab/>
        </w:r>
        <w:r w:rsidRPr="00582A26">
          <w:rPr>
            <w:noProof/>
            <w:webHidden/>
          </w:rPr>
          <w:fldChar w:fldCharType="begin"/>
        </w:r>
        <w:r w:rsidRPr="00582A26">
          <w:rPr>
            <w:noProof/>
            <w:webHidden/>
          </w:rPr>
          <w:instrText xml:space="preserve"> PAGEREF _Toc211168279 \h </w:instrText>
        </w:r>
        <w:r w:rsidRPr="00582A26">
          <w:rPr>
            <w:noProof/>
            <w:webHidden/>
          </w:rPr>
        </w:r>
        <w:r w:rsidRPr="00582A26">
          <w:rPr>
            <w:noProof/>
            <w:webHidden/>
          </w:rPr>
          <w:fldChar w:fldCharType="separate"/>
        </w:r>
        <w:r w:rsidR="00411801">
          <w:rPr>
            <w:noProof/>
            <w:webHidden/>
          </w:rPr>
          <w:t>2</w:t>
        </w:r>
        <w:r w:rsidRPr="00582A26">
          <w:rPr>
            <w:noProof/>
            <w:webHidden/>
          </w:rPr>
          <w:fldChar w:fldCharType="end"/>
        </w:r>
      </w:hyperlink>
    </w:p>
    <w:p w14:paraId="69C4C14B" w14:textId="395AF136" w:rsidR="00EE5154" w:rsidRPr="00582A26" w:rsidRDefault="00EE5154" w:rsidP="003D78C9">
      <w:pPr>
        <w:pStyle w:val="Innehll2"/>
        <w:tabs>
          <w:tab w:val="right" w:leader="dot" w:pos="7655"/>
        </w:tabs>
        <w:rPr>
          <w:rFonts w:asciiTheme="minorHAnsi" w:eastAsiaTheme="minorEastAsia" w:hAnsiTheme="minorHAnsi" w:cstheme="minorBidi"/>
          <w:noProof/>
          <w:kern w:val="2"/>
          <w:sz w:val="24"/>
          <w14:ligatures w14:val="standardContextual"/>
        </w:rPr>
      </w:pPr>
      <w:hyperlink w:anchor="_Toc211168280" w:history="1">
        <w:r w:rsidRPr="00582A26">
          <w:rPr>
            <w:rStyle w:val="Hyperlnk"/>
            <w:noProof/>
            <w:lang w:val="en-GB"/>
          </w:rPr>
          <w:t>DO's mission and focus</w:t>
        </w:r>
        <w:r w:rsidRPr="00582A26">
          <w:rPr>
            <w:noProof/>
            <w:webHidden/>
          </w:rPr>
          <w:tab/>
        </w:r>
        <w:r w:rsidRPr="00582A26">
          <w:rPr>
            <w:noProof/>
            <w:webHidden/>
          </w:rPr>
          <w:fldChar w:fldCharType="begin"/>
        </w:r>
        <w:r w:rsidRPr="00582A26">
          <w:rPr>
            <w:noProof/>
            <w:webHidden/>
          </w:rPr>
          <w:instrText xml:space="preserve"> PAGEREF _Toc211168280 \h </w:instrText>
        </w:r>
        <w:r w:rsidRPr="00582A26">
          <w:rPr>
            <w:noProof/>
            <w:webHidden/>
          </w:rPr>
        </w:r>
        <w:r w:rsidRPr="00582A26">
          <w:rPr>
            <w:noProof/>
            <w:webHidden/>
          </w:rPr>
          <w:fldChar w:fldCharType="separate"/>
        </w:r>
        <w:r w:rsidR="00411801">
          <w:rPr>
            <w:noProof/>
            <w:webHidden/>
          </w:rPr>
          <w:t>2</w:t>
        </w:r>
        <w:r w:rsidRPr="00582A26">
          <w:rPr>
            <w:noProof/>
            <w:webHidden/>
          </w:rPr>
          <w:fldChar w:fldCharType="end"/>
        </w:r>
      </w:hyperlink>
    </w:p>
    <w:p w14:paraId="3C384372" w14:textId="08F0DEE3" w:rsidR="00EE5154" w:rsidRPr="00582A26" w:rsidRDefault="00EE5154" w:rsidP="003D78C9">
      <w:pPr>
        <w:pStyle w:val="Innehll3"/>
        <w:tabs>
          <w:tab w:val="right" w:leader="dot" w:pos="7655"/>
        </w:tabs>
        <w:rPr>
          <w:rFonts w:asciiTheme="minorHAnsi" w:eastAsiaTheme="minorEastAsia" w:hAnsiTheme="minorHAnsi" w:cstheme="minorBidi"/>
          <w:noProof/>
          <w:kern w:val="2"/>
          <w:sz w:val="24"/>
          <w14:ligatures w14:val="standardContextual"/>
        </w:rPr>
      </w:pPr>
      <w:hyperlink w:anchor="_Toc211168281" w:history="1">
        <w:r w:rsidRPr="00582A26">
          <w:rPr>
            <w:rStyle w:val="Hyperlnk"/>
            <w:noProof/>
            <w:lang w:val="en-GB"/>
          </w:rPr>
          <w:t xml:space="preserve">DO works to secure redress for individuals who have been </w:t>
        </w:r>
        <w:r w:rsidR="002F6435" w:rsidRPr="00582A26">
          <w:rPr>
            <w:rStyle w:val="Hyperlnk"/>
            <w:noProof/>
            <w:lang w:val="en-GB"/>
          </w:rPr>
          <w:br/>
        </w:r>
        <w:r w:rsidRPr="00582A26">
          <w:rPr>
            <w:rStyle w:val="Hyperlnk"/>
            <w:noProof/>
            <w:lang w:val="en-GB"/>
          </w:rPr>
          <w:t>subjected to discrimination</w:t>
        </w:r>
        <w:r w:rsidRPr="00582A26">
          <w:rPr>
            <w:noProof/>
            <w:webHidden/>
          </w:rPr>
          <w:tab/>
        </w:r>
        <w:r w:rsidRPr="00582A26">
          <w:rPr>
            <w:noProof/>
            <w:webHidden/>
          </w:rPr>
          <w:fldChar w:fldCharType="begin"/>
        </w:r>
        <w:r w:rsidRPr="00582A26">
          <w:rPr>
            <w:noProof/>
            <w:webHidden/>
          </w:rPr>
          <w:instrText xml:space="preserve"> PAGEREF _Toc211168281 \h </w:instrText>
        </w:r>
        <w:r w:rsidRPr="00582A26">
          <w:rPr>
            <w:noProof/>
            <w:webHidden/>
          </w:rPr>
        </w:r>
        <w:r w:rsidRPr="00582A26">
          <w:rPr>
            <w:noProof/>
            <w:webHidden/>
          </w:rPr>
          <w:fldChar w:fldCharType="separate"/>
        </w:r>
        <w:r w:rsidR="00411801">
          <w:rPr>
            <w:noProof/>
            <w:webHidden/>
          </w:rPr>
          <w:t>3</w:t>
        </w:r>
        <w:r w:rsidRPr="00582A26">
          <w:rPr>
            <w:noProof/>
            <w:webHidden/>
          </w:rPr>
          <w:fldChar w:fldCharType="end"/>
        </w:r>
      </w:hyperlink>
    </w:p>
    <w:p w14:paraId="55804727" w14:textId="64D93DE9" w:rsidR="00EE5154" w:rsidRPr="00582A26" w:rsidRDefault="00EE5154" w:rsidP="003D78C9">
      <w:pPr>
        <w:pStyle w:val="Innehll3"/>
        <w:tabs>
          <w:tab w:val="right" w:leader="dot" w:pos="7655"/>
        </w:tabs>
        <w:rPr>
          <w:rFonts w:asciiTheme="minorHAnsi" w:eastAsiaTheme="minorEastAsia" w:hAnsiTheme="minorHAnsi" w:cstheme="minorBidi"/>
          <w:noProof/>
          <w:kern w:val="2"/>
          <w:sz w:val="24"/>
          <w14:ligatures w14:val="standardContextual"/>
        </w:rPr>
      </w:pPr>
      <w:hyperlink w:anchor="_Toc211168282" w:history="1">
        <w:r w:rsidRPr="00582A26">
          <w:rPr>
            <w:rStyle w:val="Hyperlnk"/>
            <w:noProof/>
            <w:lang w:val="en-GB"/>
          </w:rPr>
          <w:t xml:space="preserve">The number of complaints to DO continues to increase, and a large </w:t>
        </w:r>
        <w:r w:rsidR="002F6435" w:rsidRPr="00582A26">
          <w:rPr>
            <w:rStyle w:val="Hyperlnk"/>
            <w:noProof/>
            <w:lang w:val="en-GB"/>
          </w:rPr>
          <w:br/>
        </w:r>
        <w:r w:rsidRPr="00582A26">
          <w:rPr>
            <w:rStyle w:val="Hyperlnk"/>
            <w:noProof/>
            <w:lang w:val="en-GB"/>
          </w:rPr>
          <w:t>proportion concerns discrimination related to ethnicity</w:t>
        </w:r>
        <w:r w:rsidRPr="00582A26">
          <w:rPr>
            <w:noProof/>
            <w:webHidden/>
          </w:rPr>
          <w:tab/>
        </w:r>
        <w:r w:rsidRPr="00582A26">
          <w:rPr>
            <w:noProof/>
            <w:webHidden/>
          </w:rPr>
          <w:fldChar w:fldCharType="begin"/>
        </w:r>
        <w:r w:rsidRPr="00582A26">
          <w:rPr>
            <w:noProof/>
            <w:webHidden/>
          </w:rPr>
          <w:instrText xml:space="preserve"> PAGEREF _Toc211168282 \h </w:instrText>
        </w:r>
        <w:r w:rsidRPr="00582A26">
          <w:rPr>
            <w:noProof/>
            <w:webHidden/>
          </w:rPr>
        </w:r>
        <w:r w:rsidRPr="00582A26">
          <w:rPr>
            <w:noProof/>
            <w:webHidden/>
          </w:rPr>
          <w:fldChar w:fldCharType="separate"/>
        </w:r>
        <w:r w:rsidR="00411801">
          <w:rPr>
            <w:noProof/>
            <w:webHidden/>
          </w:rPr>
          <w:t>4</w:t>
        </w:r>
        <w:r w:rsidRPr="00582A26">
          <w:rPr>
            <w:noProof/>
            <w:webHidden/>
          </w:rPr>
          <w:fldChar w:fldCharType="end"/>
        </w:r>
      </w:hyperlink>
    </w:p>
    <w:p w14:paraId="35367BBC" w14:textId="2A479063" w:rsidR="00EE5154" w:rsidRPr="00582A26" w:rsidRDefault="00EE5154" w:rsidP="003D78C9">
      <w:pPr>
        <w:pStyle w:val="Innehll1"/>
        <w:tabs>
          <w:tab w:val="right" w:leader="dot" w:pos="7655"/>
        </w:tabs>
        <w:rPr>
          <w:rFonts w:asciiTheme="minorHAnsi" w:eastAsiaTheme="minorEastAsia" w:hAnsiTheme="minorHAnsi" w:cstheme="minorBidi"/>
          <w:noProof/>
          <w:kern w:val="2"/>
          <w:sz w:val="24"/>
          <w14:ligatures w14:val="standardContextual"/>
        </w:rPr>
      </w:pPr>
      <w:hyperlink w:anchor="_Toc211168283" w:history="1">
        <w:r w:rsidRPr="00582A26">
          <w:rPr>
            <w:rStyle w:val="Hyperlnk"/>
            <w:noProof/>
            <w:lang w:val="en-GB"/>
          </w:rPr>
          <w:t>Racial discrimination in Sweden (articles 4, 5 and 6)</w:t>
        </w:r>
        <w:r w:rsidRPr="00582A26">
          <w:rPr>
            <w:noProof/>
            <w:webHidden/>
          </w:rPr>
          <w:tab/>
        </w:r>
        <w:r w:rsidRPr="00582A26">
          <w:rPr>
            <w:noProof/>
            <w:webHidden/>
          </w:rPr>
          <w:fldChar w:fldCharType="begin"/>
        </w:r>
        <w:r w:rsidRPr="00582A26">
          <w:rPr>
            <w:noProof/>
            <w:webHidden/>
          </w:rPr>
          <w:instrText xml:space="preserve"> PAGEREF _Toc211168283 \h </w:instrText>
        </w:r>
        <w:r w:rsidRPr="00582A26">
          <w:rPr>
            <w:noProof/>
            <w:webHidden/>
          </w:rPr>
        </w:r>
        <w:r w:rsidRPr="00582A26">
          <w:rPr>
            <w:noProof/>
            <w:webHidden/>
          </w:rPr>
          <w:fldChar w:fldCharType="separate"/>
        </w:r>
        <w:r w:rsidR="00411801">
          <w:rPr>
            <w:noProof/>
            <w:webHidden/>
          </w:rPr>
          <w:t>5</w:t>
        </w:r>
        <w:r w:rsidRPr="00582A26">
          <w:rPr>
            <w:noProof/>
            <w:webHidden/>
          </w:rPr>
          <w:fldChar w:fldCharType="end"/>
        </w:r>
      </w:hyperlink>
    </w:p>
    <w:p w14:paraId="0635A99A" w14:textId="05D1693D" w:rsidR="00EE5154" w:rsidRPr="00582A26" w:rsidRDefault="00EE5154" w:rsidP="003D78C9">
      <w:pPr>
        <w:pStyle w:val="Innehll2"/>
        <w:tabs>
          <w:tab w:val="right" w:leader="dot" w:pos="7655"/>
        </w:tabs>
        <w:rPr>
          <w:rFonts w:asciiTheme="minorHAnsi" w:eastAsiaTheme="minorEastAsia" w:hAnsiTheme="minorHAnsi" w:cstheme="minorBidi"/>
          <w:noProof/>
          <w:kern w:val="2"/>
          <w:sz w:val="24"/>
          <w14:ligatures w14:val="standardContextual"/>
        </w:rPr>
      </w:pPr>
      <w:hyperlink w:anchor="_Toc211168284" w:history="1">
        <w:r w:rsidRPr="00582A26">
          <w:rPr>
            <w:rStyle w:val="Hyperlnk"/>
            <w:noProof/>
            <w:lang w:val="en-GB"/>
          </w:rPr>
          <w:t xml:space="preserve">Discrimination is a widespread problem that occurs in all areas of </w:t>
        </w:r>
        <w:r w:rsidR="002F6435" w:rsidRPr="00582A26">
          <w:rPr>
            <w:rStyle w:val="Hyperlnk"/>
            <w:noProof/>
            <w:lang w:val="en-GB"/>
          </w:rPr>
          <w:br/>
        </w:r>
        <w:r w:rsidRPr="00582A26">
          <w:rPr>
            <w:rStyle w:val="Hyperlnk"/>
            <w:noProof/>
            <w:lang w:val="en-GB"/>
          </w:rPr>
          <w:t>society (articles 5 and 6)</w:t>
        </w:r>
        <w:r w:rsidRPr="00582A26">
          <w:rPr>
            <w:noProof/>
            <w:webHidden/>
          </w:rPr>
          <w:tab/>
        </w:r>
        <w:r w:rsidRPr="00582A26">
          <w:rPr>
            <w:noProof/>
            <w:webHidden/>
          </w:rPr>
          <w:fldChar w:fldCharType="begin"/>
        </w:r>
        <w:r w:rsidRPr="00582A26">
          <w:rPr>
            <w:noProof/>
            <w:webHidden/>
          </w:rPr>
          <w:instrText xml:space="preserve"> PAGEREF _Toc211168284 \h </w:instrText>
        </w:r>
        <w:r w:rsidRPr="00582A26">
          <w:rPr>
            <w:noProof/>
            <w:webHidden/>
          </w:rPr>
        </w:r>
        <w:r w:rsidRPr="00582A26">
          <w:rPr>
            <w:noProof/>
            <w:webHidden/>
          </w:rPr>
          <w:fldChar w:fldCharType="separate"/>
        </w:r>
        <w:r w:rsidR="00411801">
          <w:rPr>
            <w:noProof/>
            <w:webHidden/>
          </w:rPr>
          <w:t>5</w:t>
        </w:r>
        <w:r w:rsidRPr="00582A26">
          <w:rPr>
            <w:noProof/>
            <w:webHidden/>
          </w:rPr>
          <w:fldChar w:fldCharType="end"/>
        </w:r>
      </w:hyperlink>
    </w:p>
    <w:p w14:paraId="53B8254D" w14:textId="3322888F" w:rsidR="00EE5154" w:rsidRPr="00582A26" w:rsidRDefault="00EE5154" w:rsidP="003D78C9">
      <w:pPr>
        <w:pStyle w:val="Innehll3"/>
        <w:tabs>
          <w:tab w:val="right" w:leader="dot" w:pos="7655"/>
        </w:tabs>
        <w:rPr>
          <w:rFonts w:asciiTheme="minorHAnsi" w:eastAsiaTheme="minorEastAsia" w:hAnsiTheme="minorHAnsi" w:cstheme="minorBidi"/>
          <w:noProof/>
          <w:kern w:val="2"/>
          <w:sz w:val="24"/>
          <w14:ligatures w14:val="standardContextual"/>
        </w:rPr>
      </w:pPr>
      <w:hyperlink w:anchor="_Toc211168285" w:history="1">
        <w:r w:rsidRPr="00582A26">
          <w:rPr>
            <w:rStyle w:val="Hyperlnk"/>
            <w:noProof/>
            <w:lang w:val="en-GB"/>
          </w:rPr>
          <w:t>Discrimination in schools</w:t>
        </w:r>
        <w:r w:rsidRPr="00582A26">
          <w:rPr>
            <w:noProof/>
            <w:webHidden/>
          </w:rPr>
          <w:tab/>
        </w:r>
        <w:r w:rsidRPr="00582A26">
          <w:rPr>
            <w:noProof/>
            <w:webHidden/>
          </w:rPr>
          <w:fldChar w:fldCharType="begin"/>
        </w:r>
        <w:r w:rsidRPr="00582A26">
          <w:rPr>
            <w:noProof/>
            <w:webHidden/>
          </w:rPr>
          <w:instrText xml:space="preserve"> PAGEREF _Toc211168285 \h </w:instrText>
        </w:r>
        <w:r w:rsidRPr="00582A26">
          <w:rPr>
            <w:noProof/>
            <w:webHidden/>
          </w:rPr>
        </w:r>
        <w:r w:rsidRPr="00582A26">
          <w:rPr>
            <w:noProof/>
            <w:webHidden/>
          </w:rPr>
          <w:fldChar w:fldCharType="separate"/>
        </w:r>
        <w:r w:rsidR="00411801">
          <w:rPr>
            <w:noProof/>
            <w:webHidden/>
          </w:rPr>
          <w:t>5</w:t>
        </w:r>
        <w:r w:rsidRPr="00582A26">
          <w:rPr>
            <w:noProof/>
            <w:webHidden/>
          </w:rPr>
          <w:fldChar w:fldCharType="end"/>
        </w:r>
      </w:hyperlink>
    </w:p>
    <w:p w14:paraId="5A7BE931" w14:textId="29FE266F" w:rsidR="00EE5154" w:rsidRPr="00582A26" w:rsidRDefault="00EE5154" w:rsidP="003D78C9">
      <w:pPr>
        <w:pStyle w:val="Innehll3"/>
        <w:tabs>
          <w:tab w:val="right" w:leader="dot" w:pos="7655"/>
        </w:tabs>
        <w:rPr>
          <w:rFonts w:asciiTheme="minorHAnsi" w:eastAsiaTheme="minorEastAsia" w:hAnsiTheme="minorHAnsi" w:cstheme="minorBidi"/>
          <w:noProof/>
          <w:kern w:val="2"/>
          <w:sz w:val="24"/>
          <w14:ligatures w14:val="standardContextual"/>
        </w:rPr>
      </w:pPr>
      <w:hyperlink w:anchor="_Toc211168286" w:history="1">
        <w:r w:rsidRPr="00582A26">
          <w:rPr>
            <w:rStyle w:val="Hyperlnk"/>
            <w:noProof/>
            <w:lang w:val="en-GB"/>
          </w:rPr>
          <w:t>Discrimination in working life</w:t>
        </w:r>
        <w:r w:rsidRPr="00582A26">
          <w:rPr>
            <w:noProof/>
            <w:webHidden/>
          </w:rPr>
          <w:tab/>
        </w:r>
        <w:r w:rsidRPr="00582A26">
          <w:rPr>
            <w:noProof/>
            <w:webHidden/>
          </w:rPr>
          <w:fldChar w:fldCharType="begin"/>
        </w:r>
        <w:r w:rsidRPr="00582A26">
          <w:rPr>
            <w:noProof/>
            <w:webHidden/>
          </w:rPr>
          <w:instrText xml:space="preserve"> PAGEREF _Toc211168286 \h </w:instrText>
        </w:r>
        <w:r w:rsidRPr="00582A26">
          <w:rPr>
            <w:noProof/>
            <w:webHidden/>
          </w:rPr>
        </w:r>
        <w:r w:rsidRPr="00582A26">
          <w:rPr>
            <w:noProof/>
            <w:webHidden/>
          </w:rPr>
          <w:fldChar w:fldCharType="separate"/>
        </w:r>
        <w:r w:rsidR="00411801">
          <w:rPr>
            <w:noProof/>
            <w:webHidden/>
          </w:rPr>
          <w:t>8</w:t>
        </w:r>
        <w:r w:rsidRPr="00582A26">
          <w:rPr>
            <w:noProof/>
            <w:webHidden/>
          </w:rPr>
          <w:fldChar w:fldCharType="end"/>
        </w:r>
      </w:hyperlink>
    </w:p>
    <w:p w14:paraId="5EADDE0E" w14:textId="49AE4039" w:rsidR="00EE5154" w:rsidRPr="00582A26" w:rsidRDefault="00EE5154" w:rsidP="003D78C9">
      <w:pPr>
        <w:pStyle w:val="Innehll3"/>
        <w:tabs>
          <w:tab w:val="right" w:leader="dot" w:pos="7655"/>
        </w:tabs>
        <w:rPr>
          <w:rFonts w:asciiTheme="minorHAnsi" w:eastAsiaTheme="minorEastAsia" w:hAnsiTheme="minorHAnsi" w:cstheme="minorBidi"/>
          <w:noProof/>
          <w:kern w:val="2"/>
          <w:sz w:val="24"/>
          <w14:ligatures w14:val="standardContextual"/>
        </w:rPr>
      </w:pPr>
      <w:hyperlink w:anchor="_Toc211168287" w:history="1">
        <w:r w:rsidRPr="00582A26">
          <w:rPr>
            <w:rStyle w:val="Hyperlnk"/>
            <w:noProof/>
            <w:lang w:val="en-GB"/>
          </w:rPr>
          <w:t>Discrimination in other areas of society</w:t>
        </w:r>
        <w:r w:rsidRPr="00582A26">
          <w:rPr>
            <w:noProof/>
            <w:webHidden/>
          </w:rPr>
          <w:tab/>
        </w:r>
        <w:r w:rsidRPr="00582A26">
          <w:rPr>
            <w:noProof/>
            <w:webHidden/>
          </w:rPr>
          <w:fldChar w:fldCharType="begin"/>
        </w:r>
        <w:r w:rsidRPr="00582A26">
          <w:rPr>
            <w:noProof/>
            <w:webHidden/>
          </w:rPr>
          <w:instrText xml:space="preserve"> PAGEREF _Toc211168287 \h </w:instrText>
        </w:r>
        <w:r w:rsidRPr="00582A26">
          <w:rPr>
            <w:noProof/>
            <w:webHidden/>
          </w:rPr>
        </w:r>
        <w:r w:rsidRPr="00582A26">
          <w:rPr>
            <w:noProof/>
            <w:webHidden/>
          </w:rPr>
          <w:fldChar w:fldCharType="separate"/>
        </w:r>
        <w:r w:rsidR="00411801">
          <w:rPr>
            <w:noProof/>
            <w:webHidden/>
          </w:rPr>
          <w:t>10</w:t>
        </w:r>
        <w:r w:rsidRPr="00582A26">
          <w:rPr>
            <w:noProof/>
            <w:webHidden/>
          </w:rPr>
          <w:fldChar w:fldCharType="end"/>
        </w:r>
      </w:hyperlink>
    </w:p>
    <w:p w14:paraId="4F2CB672" w14:textId="5E2B5C64" w:rsidR="00EE5154" w:rsidRPr="00582A26" w:rsidRDefault="00EE5154" w:rsidP="003D78C9">
      <w:pPr>
        <w:pStyle w:val="Innehll3"/>
        <w:tabs>
          <w:tab w:val="right" w:leader="dot" w:pos="7655"/>
        </w:tabs>
        <w:rPr>
          <w:rFonts w:asciiTheme="minorHAnsi" w:eastAsiaTheme="minorEastAsia" w:hAnsiTheme="minorHAnsi" w:cstheme="minorBidi"/>
          <w:noProof/>
          <w:kern w:val="2"/>
          <w:sz w:val="24"/>
          <w14:ligatures w14:val="standardContextual"/>
        </w:rPr>
      </w:pPr>
      <w:hyperlink w:anchor="_Toc211168288" w:history="1">
        <w:r w:rsidRPr="00582A26">
          <w:rPr>
            <w:rStyle w:val="Hyperlnk"/>
            <w:noProof/>
            <w:lang w:val="en-GB"/>
          </w:rPr>
          <w:t xml:space="preserve">Individuals are denied care and are subjected to discrimination in </w:t>
        </w:r>
        <w:r w:rsidR="002F6435" w:rsidRPr="00582A26">
          <w:rPr>
            <w:rStyle w:val="Hyperlnk"/>
            <w:noProof/>
            <w:lang w:val="en-GB"/>
          </w:rPr>
          <w:br/>
        </w:r>
        <w:r w:rsidRPr="00582A26">
          <w:rPr>
            <w:rStyle w:val="Hyperlnk"/>
            <w:noProof/>
            <w:lang w:val="en-GB"/>
          </w:rPr>
          <w:t>health and medical care and in their contacts with social services</w:t>
        </w:r>
        <w:r w:rsidRPr="00582A26">
          <w:rPr>
            <w:noProof/>
            <w:webHidden/>
          </w:rPr>
          <w:tab/>
        </w:r>
        <w:r w:rsidRPr="00582A26">
          <w:rPr>
            <w:noProof/>
            <w:webHidden/>
          </w:rPr>
          <w:fldChar w:fldCharType="begin"/>
        </w:r>
        <w:r w:rsidRPr="00582A26">
          <w:rPr>
            <w:noProof/>
            <w:webHidden/>
          </w:rPr>
          <w:instrText xml:space="preserve"> PAGEREF _Toc211168288 \h </w:instrText>
        </w:r>
        <w:r w:rsidRPr="00582A26">
          <w:rPr>
            <w:noProof/>
            <w:webHidden/>
          </w:rPr>
        </w:r>
        <w:r w:rsidRPr="00582A26">
          <w:rPr>
            <w:noProof/>
            <w:webHidden/>
          </w:rPr>
          <w:fldChar w:fldCharType="separate"/>
        </w:r>
        <w:r w:rsidR="00411801">
          <w:rPr>
            <w:noProof/>
            <w:webHidden/>
          </w:rPr>
          <w:t>11</w:t>
        </w:r>
        <w:r w:rsidRPr="00582A26">
          <w:rPr>
            <w:noProof/>
            <w:webHidden/>
          </w:rPr>
          <w:fldChar w:fldCharType="end"/>
        </w:r>
      </w:hyperlink>
    </w:p>
    <w:p w14:paraId="01601AD2" w14:textId="3015D8D3" w:rsidR="00EE5154" w:rsidRPr="00582A26" w:rsidRDefault="00EE5154" w:rsidP="003D78C9">
      <w:pPr>
        <w:pStyle w:val="Innehll2"/>
        <w:tabs>
          <w:tab w:val="right" w:leader="dot" w:pos="7655"/>
        </w:tabs>
        <w:rPr>
          <w:rFonts w:asciiTheme="minorHAnsi" w:eastAsiaTheme="minorEastAsia" w:hAnsiTheme="minorHAnsi" w:cstheme="minorBidi"/>
          <w:noProof/>
          <w:kern w:val="2"/>
          <w:sz w:val="24"/>
          <w14:ligatures w14:val="standardContextual"/>
        </w:rPr>
      </w:pPr>
      <w:hyperlink w:anchor="_Toc211168289" w:history="1">
        <w:r w:rsidRPr="00582A26">
          <w:rPr>
            <w:rStyle w:val="Hyperlnk"/>
            <w:noProof/>
            <w:lang w:val="en-GB"/>
          </w:rPr>
          <w:t>Discrimination against national minorities (articles 5 and 6)</w:t>
        </w:r>
        <w:r w:rsidRPr="00582A26">
          <w:rPr>
            <w:noProof/>
            <w:webHidden/>
          </w:rPr>
          <w:tab/>
        </w:r>
        <w:r w:rsidRPr="00582A26">
          <w:rPr>
            <w:noProof/>
            <w:webHidden/>
          </w:rPr>
          <w:fldChar w:fldCharType="begin"/>
        </w:r>
        <w:r w:rsidRPr="00582A26">
          <w:rPr>
            <w:noProof/>
            <w:webHidden/>
          </w:rPr>
          <w:instrText xml:space="preserve"> PAGEREF _Toc211168289 \h </w:instrText>
        </w:r>
        <w:r w:rsidRPr="00582A26">
          <w:rPr>
            <w:noProof/>
            <w:webHidden/>
          </w:rPr>
        </w:r>
        <w:r w:rsidRPr="00582A26">
          <w:rPr>
            <w:noProof/>
            <w:webHidden/>
          </w:rPr>
          <w:fldChar w:fldCharType="separate"/>
        </w:r>
        <w:r w:rsidR="00411801">
          <w:rPr>
            <w:noProof/>
            <w:webHidden/>
          </w:rPr>
          <w:t>13</w:t>
        </w:r>
        <w:r w:rsidRPr="00582A26">
          <w:rPr>
            <w:noProof/>
            <w:webHidden/>
          </w:rPr>
          <w:fldChar w:fldCharType="end"/>
        </w:r>
      </w:hyperlink>
    </w:p>
    <w:p w14:paraId="5EF190E0" w14:textId="1BF5779F" w:rsidR="00EE5154" w:rsidRPr="00582A26" w:rsidRDefault="00EE5154" w:rsidP="003D78C9">
      <w:pPr>
        <w:pStyle w:val="Innehll3"/>
        <w:tabs>
          <w:tab w:val="right" w:leader="dot" w:pos="7655"/>
        </w:tabs>
        <w:rPr>
          <w:rFonts w:asciiTheme="minorHAnsi" w:eastAsiaTheme="minorEastAsia" w:hAnsiTheme="minorHAnsi" w:cstheme="minorBidi"/>
          <w:noProof/>
          <w:kern w:val="2"/>
          <w:sz w:val="24"/>
          <w14:ligatures w14:val="standardContextual"/>
        </w:rPr>
      </w:pPr>
      <w:hyperlink w:anchor="_Toc211168290" w:history="1">
        <w:r w:rsidRPr="00582A26">
          <w:rPr>
            <w:rStyle w:val="Hyperlnk"/>
            <w:noProof/>
            <w:lang w:val="en-GB"/>
          </w:rPr>
          <w:t xml:space="preserve">Common experiences of shortcomings in linguistic rights, </w:t>
        </w:r>
        <w:r w:rsidR="002F6435" w:rsidRPr="00582A26">
          <w:rPr>
            <w:rStyle w:val="Hyperlnk"/>
            <w:noProof/>
            <w:lang w:val="en-GB"/>
          </w:rPr>
          <w:br/>
        </w:r>
        <w:r w:rsidRPr="00582A26">
          <w:rPr>
            <w:rStyle w:val="Hyperlnk"/>
            <w:noProof/>
            <w:lang w:val="en-GB"/>
          </w:rPr>
          <w:t>harassment, and marginalisation and abuse, throughout history</w:t>
        </w:r>
        <w:r w:rsidRPr="00582A26">
          <w:rPr>
            <w:noProof/>
            <w:webHidden/>
          </w:rPr>
          <w:tab/>
        </w:r>
        <w:r w:rsidRPr="00582A26">
          <w:rPr>
            <w:noProof/>
            <w:webHidden/>
          </w:rPr>
          <w:fldChar w:fldCharType="begin"/>
        </w:r>
        <w:r w:rsidRPr="00582A26">
          <w:rPr>
            <w:noProof/>
            <w:webHidden/>
          </w:rPr>
          <w:instrText xml:space="preserve"> PAGEREF _Toc211168290 \h </w:instrText>
        </w:r>
        <w:r w:rsidRPr="00582A26">
          <w:rPr>
            <w:noProof/>
            <w:webHidden/>
          </w:rPr>
        </w:r>
        <w:r w:rsidRPr="00582A26">
          <w:rPr>
            <w:noProof/>
            <w:webHidden/>
          </w:rPr>
          <w:fldChar w:fldCharType="separate"/>
        </w:r>
        <w:r w:rsidR="00411801">
          <w:rPr>
            <w:noProof/>
            <w:webHidden/>
          </w:rPr>
          <w:t>13</w:t>
        </w:r>
        <w:r w:rsidRPr="00582A26">
          <w:rPr>
            <w:noProof/>
            <w:webHidden/>
          </w:rPr>
          <w:fldChar w:fldCharType="end"/>
        </w:r>
      </w:hyperlink>
    </w:p>
    <w:p w14:paraId="744FD01E" w14:textId="5D447E6E" w:rsidR="00EE5154" w:rsidRPr="00582A26" w:rsidRDefault="00EE5154" w:rsidP="003D78C9">
      <w:pPr>
        <w:pStyle w:val="Innehll3"/>
        <w:tabs>
          <w:tab w:val="right" w:leader="dot" w:pos="7655"/>
        </w:tabs>
        <w:rPr>
          <w:rFonts w:asciiTheme="minorHAnsi" w:eastAsiaTheme="minorEastAsia" w:hAnsiTheme="minorHAnsi" w:cstheme="minorBidi"/>
          <w:noProof/>
          <w:kern w:val="2"/>
          <w:sz w:val="24"/>
          <w14:ligatures w14:val="standardContextual"/>
        </w:rPr>
      </w:pPr>
      <w:hyperlink w:anchor="_Toc211168291" w:history="1">
        <w:r w:rsidRPr="00582A26">
          <w:rPr>
            <w:rStyle w:val="Hyperlnk"/>
            <w:noProof/>
            <w:lang w:val="en-GB"/>
          </w:rPr>
          <w:t>Lack of access to linguistic rights for Swedish Finns and Tornedalers</w:t>
        </w:r>
        <w:r w:rsidRPr="00582A26">
          <w:rPr>
            <w:noProof/>
            <w:webHidden/>
          </w:rPr>
          <w:tab/>
        </w:r>
        <w:r w:rsidRPr="00582A26">
          <w:rPr>
            <w:noProof/>
            <w:webHidden/>
          </w:rPr>
          <w:fldChar w:fldCharType="begin"/>
        </w:r>
        <w:r w:rsidRPr="00582A26">
          <w:rPr>
            <w:noProof/>
            <w:webHidden/>
          </w:rPr>
          <w:instrText xml:space="preserve"> PAGEREF _Toc211168291 \h </w:instrText>
        </w:r>
        <w:r w:rsidRPr="00582A26">
          <w:rPr>
            <w:noProof/>
            <w:webHidden/>
          </w:rPr>
        </w:r>
        <w:r w:rsidRPr="00582A26">
          <w:rPr>
            <w:noProof/>
            <w:webHidden/>
          </w:rPr>
          <w:fldChar w:fldCharType="separate"/>
        </w:r>
        <w:r w:rsidR="00411801">
          <w:rPr>
            <w:noProof/>
            <w:webHidden/>
          </w:rPr>
          <w:t>13</w:t>
        </w:r>
        <w:r w:rsidRPr="00582A26">
          <w:rPr>
            <w:noProof/>
            <w:webHidden/>
          </w:rPr>
          <w:fldChar w:fldCharType="end"/>
        </w:r>
      </w:hyperlink>
    </w:p>
    <w:p w14:paraId="34F00609" w14:textId="1CF95C40" w:rsidR="00EE5154" w:rsidRPr="00582A26" w:rsidRDefault="00EE5154" w:rsidP="003D78C9">
      <w:pPr>
        <w:pStyle w:val="Innehll3"/>
        <w:tabs>
          <w:tab w:val="right" w:leader="dot" w:pos="7655"/>
        </w:tabs>
        <w:rPr>
          <w:rFonts w:asciiTheme="minorHAnsi" w:eastAsiaTheme="minorEastAsia" w:hAnsiTheme="minorHAnsi" w:cstheme="minorBidi"/>
          <w:noProof/>
          <w:kern w:val="2"/>
          <w:sz w:val="24"/>
          <w14:ligatures w14:val="standardContextual"/>
        </w:rPr>
      </w:pPr>
      <w:hyperlink w:anchor="_Toc211168292" w:history="1">
        <w:r w:rsidRPr="00582A26">
          <w:rPr>
            <w:rStyle w:val="Hyperlnk"/>
            <w:noProof/>
            <w:lang w:val="en-GB"/>
          </w:rPr>
          <w:t>Jewish children and pupils face discrimination in schools</w:t>
        </w:r>
        <w:r w:rsidRPr="00582A26">
          <w:rPr>
            <w:noProof/>
            <w:webHidden/>
          </w:rPr>
          <w:tab/>
        </w:r>
        <w:r w:rsidRPr="00582A26">
          <w:rPr>
            <w:noProof/>
            <w:webHidden/>
          </w:rPr>
          <w:fldChar w:fldCharType="begin"/>
        </w:r>
        <w:r w:rsidRPr="00582A26">
          <w:rPr>
            <w:noProof/>
            <w:webHidden/>
          </w:rPr>
          <w:instrText xml:space="preserve"> PAGEREF _Toc211168292 \h </w:instrText>
        </w:r>
        <w:r w:rsidRPr="00582A26">
          <w:rPr>
            <w:noProof/>
            <w:webHidden/>
          </w:rPr>
        </w:r>
        <w:r w:rsidRPr="00582A26">
          <w:rPr>
            <w:noProof/>
            <w:webHidden/>
          </w:rPr>
          <w:fldChar w:fldCharType="separate"/>
        </w:r>
        <w:r w:rsidR="00411801">
          <w:rPr>
            <w:noProof/>
            <w:webHidden/>
          </w:rPr>
          <w:t>13</w:t>
        </w:r>
        <w:r w:rsidRPr="00582A26">
          <w:rPr>
            <w:noProof/>
            <w:webHidden/>
          </w:rPr>
          <w:fldChar w:fldCharType="end"/>
        </w:r>
      </w:hyperlink>
    </w:p>
    <w:p w14:paraId="772459EA" w14:textId="413469BD" w:rsidR="00EE5154" w:rsidRPr="00582A26" w:rsidRDefault="00EE5154" w:rsidP="003D78C9">
      <w:pPr>
        <w:pStyle w:val="Innehll3"/>
        <w:tabs>
          <w:tab w:val="right" w:leader="dot" w:pos="7655"/>
        </w:tabs>
        <w:rPr>
          <w:rFonts w:asciiTheme="minorHAnsi" w:eastAsiaTheme="minorEastAsia" w:hAnsiTheme="minorHAnsi" w:cstheme="minorBidi"/>
          <w:noProof/>
          <w:kern w:val="2"/>
          <w:sz w:val="24"/>
          <w14:ligatures w14:val="standardContextual"/>
        </w:rPr>
      </w:pPr>
      <w:hyperlink w:anchor="_Toc211168293" w:history="1">
        <w:r w:rsidRPr="00582A26">
          <w:rPr>
            <w:rStyle w:val="Hyperlnk"/>
            <w:noProof/>
            <w:lang w:val="en-GB"/>
          </w:rPr>
          <w:t xml:space="preserve">Discrimination against Roma is widespread and occurs in all </w:t>
        </w:r>
        <w:r w:rsidR="002F6435" w:rsidRPr="00582A26">
          <w:rPr>
            <w:rStyle w:val="Hyperlnk"/>
            <w:noProof/>
            <w:lang w:val="en-GB"/>
          </w:rPr>
          <w:br/>
        </w:r>
        <w:r w:rsidRPr="00582A26">
          <w:rPr>
            <w:rStyle w:val="Hyperlnk"/>
            <w:noProof/>
            <w:lang w:val="en-GB"/>
          </w:rPr>
          <w:t>areas of society</w:t>
        </w:r>
        <w:r w:rsidRPr="00582A26">
          <w:rPr>
            <w:noProof/>
            <w:webHidden/>
          </w:rPr>
          <w:tab/>
        </w:r>
        <w:r w:rsidRPr="00582A26">
          <w:rPr>
            <w:noProof/>
            <w:webHidden/>
          </w:rPr>
          <w:fldChar w:fldCharType="begin"/>
        </w:r>
        <w:r w:rsidRPr="00582A26">
          <w:rPr>
            <w:noProof/>
            <w:webHidden/>
          </w:rPr>
          <w:instrText xml:space="preserve"> PAGEREF _Toc211168293 \h </w:instrText>
        </w:r>
        <w:r w:rsidRPr="00582A26">
          <w:rPr>
            <w:noProof/>
            <w:webHidden/>
          </w:rPr>
        </w:r>
        <w:r w:rsidRPr="00582A26">
          <w:rPr>
            <w:noProof/>
            <w:webHidden/>
          </w:rPr>
          <w:fldChar w:fldCharType="separate"/>
        </w:r>
        <w:r w:rsidR="00411801">
          <w:rPr>
            <w:noProof/>
            <w:webHidden/>
          </w:rPr>
          <w:t>14</w:t>
        </w:r>
        <w:r w:rsidRPr="00582A26">
          <w:rPr>
            <w:noProof/>
            <w:webHidden/>
          </w:rPr>
          <w:fldChar w:fldCharType="end"/>
        </w:r>
      </w:hyperlink>
    </w:p>
    <w:p w14:paraId="489A4D42" w14:textId="4F56F809" w:rsidR="00EE5154" w:rsidRPr="00582A26" w:rsidRDefault="00EE5154" w:rsidP="003D78C9">
      <w:pPr>
        <w:pStyle w:val="Innehll3"/>
        <w:tabs>
          <w:tab w:val="right" w:leader="dot" w:pos="7655"/>
        </w:tabs>
        <w:rPr>
          <w:rFonts w:asciiTheme="minorHAnsi" w:eastAsiaTheme="minorEastAsia" w:hAnsiTheme="minorHAnsi" w:cstheme="minorBidi"/>
          <w:noProof/>
          <w:kern w:val="2"/>
          <w:sz w:val="24"/>
          <w14:ligatures w14:val="standardContextual"/>
        </w:rPr>
      </w:pPr>
      <w:hyperlink w:anchor="_Toc211168294" w:history="1">
        <w:r w:rsidRPr="00582A26">
          <w:rPr>
            <w:rStyle w:val="Hyperlnk"/>
            <w:noProof/>
            <w:lang w:val="en-GB"/>
          </w:rPr>
          <w:t>Discrimination against the Sami as an indigenous people</w:t>
        </w:r>
        <w:r w:rsidRPr="00582A26">
          <w:rPr>
            <w:noProof/>
            <w:webHidden/>
          </w:rPr>
          <w:tab/>
        </w:r>
        <w:r w:rsidRPr="00582A26">
          <w:rPr>
            <w:noProof/>
            <w:webHidden/>
          </w:rPr>
          <w:fldChar w:fldCharType="begin"/>
        </w:r>
        <w:r w:rsidRPr="00582A26">
          <w:rPr>
            <w:noProof/>
            <w:webHidden/>
          </w:rPr>
          <w:instrText xml:space="preserve"> PAGEREF _Toc211168294 \h </w:instrText>
        </w:r>
        <w:r w:rsidRPr="00582A26">
          <w:rPr>
            <w:noProof/>
            <w:webHidden/>
          </w:rPr>
        </w:r>
        <w:r w:rsidRPr="00582A26">
          <w:rPr>
            <w:noProof/>
            <w:webHidden/>
          </w:rPr>
          <w:fldChar w:fldCharType="separate"/>
        </w:r>
        <w:r w:rsidR="00411801">
          <w:rPr>
            <w:noProof/>
            <w:webHidden/>
          </w:rPr>
          <w:t>14</w:t>
        </w:r>
        <w:r w:rsidRPr="00582A26">
          <w:rPr>
            <w:noProof/>
            <w:webHidden/>
          </w:rPr>
          <w:fldChar w:fldCharType="end"/>
        </w:r>
      </w:hyperlink>
    </w:p>
    <w:p w14:paraId="6292C281" w14:textId="133D8212" w:rsidR="00EE5154" w:rsidRPr="00582A26" w:rsidRDefault="00EE5154" w:rsidP="003D78C9">
      <w:pPr>
        <w:pStyle w:val="Innehll2"/>
        <w:tabs>
          <w:tab w:val="right" w:leader="dot" w:pos="7655"/>
        </w:tabs>
        <w:rPr>
          <w:rFonts w:asciiTheme="minorHAnsi" w:eastAsiaTheme="minorEastAsia" w:hAnsiTheme="minorHAnsi" w:cstheme="minorBidi"/>
          <w:noProof/>
          <w:kern w:val="2"/>
          <w:sz w:val="24"/>
          <w14:ligatures w14:val="standardContextual"/>
        </w:rPr>
      </w:pPr>
      <w:hyperlink w:anchor="_Toc211168295" w:history="1">
        <w:r w:rsidRPr="00582A26">
          <w:rPr>
            <w:rStyle w:val="Hyperlnk"/>
            <w:noProof/>
            <w:lang w:val="en-GB"/>
          </w:rPr>
          <w:t>Increased risk of discriminatory ethnic profiling (articles 4, 5 and 6)</w:t>
        </w:r>
        <w:r w:rsidRPr="00582A26">
          <w:rPr>
            <w:noProof/>
            <w:webHidden/>
          </w:rPr>
          <w:tab/>
        </w:r>
        <w:r w:rsidRPr="00582A26">
          <w:rPr>
            <w:noProof/>
            <w:webHidden/>
          </w:rPr>
          <w:fldChar w:fldCharType="begin"/>
        </w:r>
        <w:r w:rsidRPr="00582A26">
          <w:rPr>
            <w:noProof/>
            <w:webHidden/>
          </w:rPr>
          <w:instrText xml:space="preserve"> PAGEREF _Toc211168295 \h </w:instrText>
        </w:r>
        <w:r w:rsidRPr="00582A26">
          <w:rPr>
            <w:noProof/>
            <w:webHidden/>
          </w:rPr>
        </w:r>
        <w:r w:rsidRPr="00582A26">
          <w:rPr>
            <w:noProof/>
            <w:webHidden/>
          </w:rPr>
          <w:fldChar w:fldCharType="separate"/>
        </w:r>
        <w:r w:rsidR="00411801">
          <w:rPr>
            <w:noProof/>
            <w:webHidden/>
          </w:rPr>
          <w:t>16</w:t>
        </w:r>
        <w:r w:rsidRPr="00582A26">
          <w:rPr>
            <w:noProof/>
            <w:webHidden/>
          </w:rPr>
          <w:fldChar w:fldCharType="end"/>
        </w:r>
      </w:hyperlink>
    </w:p>
    <w:p w14:paraId="39D5EAEA" w14:textId="3D08745D" w:rsidR="00EE5154" w:rsidRPr="00582A26" w:rsidRDefault="00EE5154" w:rsidP="003D78C9">
      <w:pPr>
        <w:pStyle w:val="Innehll1"/>
        <w:tabs>
          <w:tab w:val="right" w:leader="dot" w:pos="7655"/>
        </w:tabs>
        <w:rPr>
          <w:rFonts w:asciiTheme="minorHAnsi" w:eastAsiaTheme="minorEastAsia" w:hAnsiTheme="minorHAnsi" w:cstheme="minorBidi"/>
          <w:noProof/>
          <w:kern w:val="2"/>
          <w:sz w:val="24"/>
          <w14:ligatures w14:val="standardContextual"/>
        </w:rPr>
      </w:pPr>
      <w:hyperlink w:anchor="_Toc211168297" w:history="1">
        <w:r w:rsidRPr="00582A26">
          <w:rPr>
            <w:rStyle w:val="Hyperlnk"/>
            <w:noProof/>
            <w:lang w:val="en-GB"/>
          </w:rPr>
          <w:t xml:space="preserve">Measures at the structural and institutional level to combat racial </w:t>
        </w:r>
        <w:r w:rsidR="002F6435" w:rsidRPr="00582A26">
          <w:rPr>
            <w:rStyle w:val="Hyperlnk"/>
            <w:noProof/>
            <w:lang w:val="en-GB"/>
          </w:rPr>
          <w:br/>
        </w:r>
        <w:r w:rsidRPr="00582A26">
          <w:rPr>
            <w:rStyle w:val="Hyperlnk"/>
            <w:noProof/>
            <w:lang w:val="en-GB"/>
          </w:rPr>
          <w:t>discrimination (article 2 and 6)</w:t>
        </w:r>
        <w:r w:rsidRPr="00582A26">
          <w:rPr>
            <w:noProof/>
            <w:webHidden/>
          </w:rPr>
          <w:tab/>
        </w:r>
        <w:r w:rsidRPr="00582A26">
          <w:rPr>
            <w:noProof/>
            <w:webHidden/>
          </w:rPr>
          <w:fldChar w:fldCharType="begin"/>
        </w:r>
        <w:r w:rsidRPr="00582A26">
          <w:rPr>
            <w:noProof/>
            <w:webHidden/>
          </w:rPr>
          <w:instrText xml:space="preserve"> PAGEREF _Toc211168297 \h </w:instrText>
        </w:r>
        <w:r w:rsidRPr="00582A26">
          <w:rPr>
            <w:noProof/>
            <w:webHidden/>
          </w:rPr>
        </w:r>
        <w:r w:rsidRPr="00582A26">
          <w:rPr>
            <w:noProof/>
            <w:webHidden/>
          </w:rPr>
          <w:fldChar w:fldCharType="separate"/>
        </w:r>
        <w:r w:rsidR="00411801">
          <w:rPr>
            <w:noProof/>
            <w:webHidden/>
          </w:rPr>
          <w:t>19</w:t>
        </w:r>
        <w:r w:rsidRPr="00582A26">
          <w:rPr>
            <w:noProof/>
            <w:webHidden/>
          </w:rPr>
          <w:fldChar w:fldCharType="end"/>
        </w:r>
      </w:hyperlink>
    </w:p>
    <w:p w14:paraId="5EA1F550" w14:textId="23759F5E" w:rsidR="00EE5154" w:rsidRPr="00582A26" w:rsidRDefault="00EE5154" w:rsidP="003D78C9">
      <w:pPr>
        <w:pStyle w:val="Innehll2"/>
        <w:tabs>
          <w:tab w:val="right" w:leader="dot" w:pos="7655"/>
        </w:tabs>
        <w:rPr>
          <w:rFonts w:asciiTheme="minorHAnsi" w:eastAsiaTheme="minorEastAsia" w:hAnsiTheme="minorHAnsi" w:cstheme="minorBidi"/>
          <w:noProof/>
          <w:kern w:val="2"/>
          <w:sz w:val="24"/>
          <w14:ligatures w14:val="standardContextual"/>
        </w:rPr>
      </w:pPr>
      <w:hyperlink w:anchor="_Toc211168298" w:history="1">
        <w:r w:rsidRPr="00582A26">
          <w:rPr>
            <w:rStyle w:val="Hyperlnk"/>
            <w:noProof/>
            <w:lang w:val="en-GB"/>
          </w:rPr>
          <w:t>Strengthen individuals' access to justice</w:t>
        </w:r>
        <w:r w:rsidRPr="00582A26">
          <w:rPr>
            <w:noProof/>
            <w:webHidden/>
          </w:rPr>
          <w:tab/>
        </w:r>
        <w:r w:rsidRPr="00582A26">
          <w:rPr>
            <w:noProof/>
            <w:webHidden/>
          </w:rPr>
          <w:fldChar w:fldCharType="begin"/>
        </w:r>
        <w:r w:rsidRPr="00582A26">
          <w:rPr>
            <w:noProof/>
            <w:webHidden/>
          </w:rPr>
          <w:instrText xml:space="preserve"> PAGEREF _Toc211168298 \h </w:instrText>
        </w:r>
        <w:r w:rsidRPr="00582A26">
          <w:rPr>
            <w:noProof/>
            <w:webHidden/>
          </w:rPr>
        </w:r>
        <w:r w:rsidRPr="00582A26">
          <w:rPr>
            <w:noProof/>
            <w:webHidden/>
          </w:rPr>
          <w:fldChar w:fldCharType="separate"/>
        </w:r>
        <w:r w:rsidR="00411801">
          <w:rPr>
            <w:noProof/>
            <w:webHidden/>
          </w:rPr>
          <w:t>19</w:t>
        </w:r>
        <w:r w:rsidRPr="00582A26">
          <w:rPr>
            <w:noProof/>
            <w:webHidden/>
          </w:rPr>
          <w:fldChar w:fldCharType="end"/>
        </w:r>
      </w:hyperlink>
    </w:p>
    <w:p w14:paraId="4ECF75E6" w14:textId="3F30083E" w:rsidR="00EE5154" w:rsidRPr="00582A26" w:rsidRDefault="00EE5154" w:rsidP="003D78C9">
      <w:pPr>
        <w:pStyle w:val="Innehll2"/>
        <w:tabs>
          <w:tab w:val="right" w:leader="dot" w:pos="7655"/>
        </w:tabs>
        <w:rPr>
          <w:rFonts w:asciiTheme="minorHAnsi" w:eastAsiaTheme="minorEastAsia" w:hAnsiTheme="minorHAnsi" w:cstheme="minorBidi"/>
          <w:noProof/>
          <w:kern w:val="2"/>
          <w:sz w:val="24"/>
          <w14:ligatures w14:val="standardContextual"/>
        </w:rPr>
      </w:pPr>
      <w:hyperlink w:anchor="_Toc211168300" w:history="1">
        <w:r w:rsidRPr="00582A26">
          <w:rPr>
            <w:rStyle w:val="Hyperlnk"/>
            <w:noProof/>
            <w:lang w:val="en-GB"/>
          </w:rPr>
          <w:t>Ambitious implementation of the new EU anti-discrimination legislation</w:t>
        </w:r>
        <w:r w:rsidRPr="00582A26">
          <w:rPr>
            <w:noProof/>
            <w:webHidden/>
          </w:rPr>
          <w:tab/>
        </w:r>
        <w:r w:rsidRPr="00582A26">
          <w:rPr>
            <w:noProof/>
            <w:webHidden/>
          </w:rPr>
          <w:fldChar w:fldCharType="begin"/>
        </w:r>
        <w:r w:rsidRPr="00582A26">
          <w:rPr>
            <w:noProof/>
            <w:webHidden/>
          </w:rPr>
          <w:instrText xml:space="preserve"> PAGEREF _Toc211168300 \h </w:instrText>
        </w:r>
        <w:r w:rsidRPr="00582A26">
          <w:rPr>
            <w:noProof/>
            <w:webHidden/>
          </w:rPr>
        </w:r>
        <w:r w:rsidRPr="00582A26">
          <w:rPr>
            <w:noProof/>
            <w:webHidden/>
          </w:rPr>
          <w:fldChar w:fldCharType="separate"/>
        </w:r>
        <w:r w:rsidR="00411801">
          <w:rPr>
            <w:noProof/>
            <w:webHidden/>
          </w:rPr>
          <w:t>19</w:t>
        </w:r>
        <w:r w:rsidRPr="00582A26">
          <w:rPr>
            <w:noProof/>
            <w:webHidden/>
          </w:rPr>
          <w:fldChar w:fldCharType="end"/>
        </w:r>
      </w:hyperlink>
    </w:p>
    <w:p w14:paraId="31B011C6" w14:textId="3E0FC57D" w:rsidR="00C42B6E" w:rsidRDefault="00EE5154" w:rsidP="00762F64">
      <w:pPr>
        <w:rPr>
          <w:lang w:val="en-GB"/>
        </w:rPr>
      </w:pPr>
      <w:r w:rsidRPr="00582A26">
        <w:rPr>
          <w:lang w:val="en-GB"/>
        </w:rPr>
        <w:fldChar w:fldCharType="end"/>
      </w:r>
    </w:p>
    <w:p w14:paraId="7E18298B" w14:textId="77777777" w:rsidR="00C42B6E" w:rsidRDefault="00C42B6E">
      <w:pPr>
        <w:spacing w:after="0" w:line="240" w:lineRule="auto"/>
        <w:rPr>
          <w:lang w:val="en-GB"/>
        </w:rPr>
      </w:pPr>
      <w:r>
        <w:rPr>
          <w:lang w:val="en-GB"/>
        </w:rPr>
        <w:br w:type="page"/>
      </w:r>
    </w:p>
    <w:p w14:paraId="0047EC6C" w14:textId="4194C1FB" w:rsidR="00EE5154" w:rsidRPr="00762F64" w:rsidRDefault="00EE5154" w:rsidP="00762F64">
      <w:pPr>
        <w:spacing w:before="1560"/>
        <w:rPr>
          <w:rStyle w:val="Rubrik1Char"/>
          <w:lang w:val="en-GB"/>
        </w:rPr>
      </w:pPr>
      <w:bookmarkStart w:id="7" w:name="_Toc210986650"/>
      <w:bookmarkStart w:id="8" w:name="_Toc211168279"/>
      <w:r w:rsidRPr="00762F64">
        <w:rPr>
          <w:rStyle w:val="Rubrik1Char"/>
          <w:lang w:val="en-GB"/>
        </w:rPr>
        <w:lastRenderedPageBreak/>
        <w:t>Introduction</w:t>
      </w:r>
      <w:bookmarkEnd w:id="7"/>
      <w:bookmarkEnd w:id="8"/>
    </w:p>
    <w:p w14:paraId="62458E26" w14:textId="77777777" w:rsidR="00EE5154" w:rsidRPr="00582A26" w:rsidRDefault="00EE5154" w:rsidP="00EE5154">
      <w:pPr>
        <w:rPr>
          <w:lang w:val="en-GB"/>
        </w:rPr>
      </w:pPr>
      <w:r w:rsidRPr="00582A26">
        <w:rPr>
          <w:lang w:val="en-GB"/>
        </w:rPr>
        <w:t xml:space="preserve">This is the Swedish Equality Ombudsman's (DO) written report to the UN Committee on the Elimination of Racial Discrimination submitted ahead of the Committee’s review of Sweden in November 2025. The report serves as an independent supplement to Sweden's 24th and 25th periodic reports to the Committee. </w:t>
      </w:r>
    </w:p>
    <w:p w14:paraId="216B3A60" w14:textId="77777777" w:rsidR="00EE5154" w:rsidRPr="00582A26" w:rsidRDefault="00EE5154" w:rsidP="00EE5154">
      <w:pPr>
        <w:rPr>
          <w:lang w:val="en-GB"/>
        </w:rPr>
      </w:pPr>
      <w:r w:rsidRPr="00582A26">
        <w:rPr>
          <w:lang w:val="en-GB"/>
        </w:rPr>
        <w:t xml:space="preserve">The number of complaints of discrimination filed with DO continues to increase, many of which are related to ethnicity, or religion or other beliefs. From these complaints, and from DO’s dialogue with civil society, it is evident that people experience discrimination in everyday life and face prejudice rooted in negative perceptions of their ethnicity and religion. This affects their living conditions and obstructs their access to equal rights and opportunities. DO can conclude that discrimination in schools is a serious problem that many pupils experience, often in the form of harassment. Individuals are excluded during recruitment processes, and the risks of discriminatory ethnic profiling have increased due to the adoption of several new laws. The measures taken so far in Sweden do not fully guarantee individuals' right to freedom from discrimination. Further measures are needed that can genuinely bring about a change and ensure everyone’s access to equal rights and opportunities. Among other things DO identifies a need for an education initiative for school organisers and school staff which focuses on discrimination and the Discrimination Act, so that schools can better prevent, identify and act against discrimination. Comprehensive protection against discrimination in the public sector is also needed as well as strengthened access to justice for individuals. </w:t>
      </w:r>
    </w:p>
    <w:p w14:paraId="29AB2C53" w14:textId="77777777" w:rsidR="00EE5154" w:rsidRPr="00582A26" w:rsidRDefault="00EE5154" w:rsidP="00EE5154">
      <w:pPr>
        <w:rPr>
          <w:lang w:val="en-GB"/>
        </w:rPr>
      </w:pPr>
      <w:r w:rsidRPr="00582A26">
        <w:rPr>
          <w:lang w:val="en-GB"/>
        </w:rPr>
        <w:t>The aim of this report is to highlight both individuals' experience of discrimination and the obstacles</w:t>
      </w:r>
      <w:r w:rsidRPr="00582A26" w:rsidDel="00950A4B">
        <w:rPr>
          <w:lang w:val="en-GB"/>
        </w:rPr>
        <w:t xml:space="preserve"> </w:t>
      </w:r>
      <w:r w:rsidRPr="00582A26">
        <w:rPr>
          <w:lang w:val="en-GB"/>
        </w:rPr>
        <w:t xml:space="preserve">that limit ethnic and religious minorities' access to human rights in Sweden. In addition, it aims to emphasise the need for measures and structural changes that address some of the challenges named. </w:t>
      </w:r>
    </w:p>
    <w:p w14:paraId="26D02F84" w14:textId="79A82B31" w:rsidR="00EE5154" w:rsidRPr="00582A26" w:rsidRDefault="00EE5154" w:rsidP="00EE5154">
      <w:pPr>
        <w:rPr>
          <w:lang w:val="en-GB"/>
        </w:rPr>
      </w:pPr>
      <w:bookmarkStart w:id="9" w:name="_Hlk210979609"/>
      <w:r w:rsidRPr="00582A26">
        <w:rPr>
          <w:lang w:val="en-GB"/>
        </w:rPr>
        <w:t xml:space="preserve">This report builds on DO's knowledge of discrimination related to ethnicity, or to religion or other beliefs, which the Ombudsman has developed to combat discrimination and promote equal rights and opportunities for all. This knowledge is grounded in complaints filed with DO, knowledge from DO's dialogue with representatives of civil society organisations and government agencies, as well as research and DO’s own analyses and reports. In this report, discrimination means that a person is disadvantaged, or their dignity is violated in a way that is related to one of the grounds of discrimination, regardless of where and when it occurs. When we describe the occurrence of discrimination in the report, we base it primarily on people’s experiences, perceptions and </w:t>
      </w:r>
      <w:r w:rsidRPr="00FA7696">
        <w:rPr>
          <w:lang w:val="en-GB"/>
        </w:rPr>
        <w:t xml:space="preserve">accounts. </w:t>
      </w:r>
      <w:r w:rsidR="00FA7696" w:rsidRPr="00FA7696">
        <w:rPr>
          <w:lang w:val="en-GB"/>
        </w:rPr>
        <w:t>The report also highlights examples of decisions from DO and court judgments</w:t>
      </w:r>
      <w:r w:rsidRPr="00582A26">
        <w:rPr>
          <w:lang w:val="en-GB"/>
        </w:rPr>
        <w:t xml:space="preserve">. </w:t>
      </w:r>
    </w:p>
    <w:p w14:paraId="1BBB99BF" w14:textId="77777777" w:rsidR="00EE5154" w:rsidRPr="00582A26" w:rsidRDefault="00EE5154" w:rsidP="00EE5154">
      <w:pPr>
        <w:pStyle w:val="Rubrik2"/>
        <w:rPr>
          <w:spacing w:val="0"/>
          <w:lang w:val="en-GB"/>
        </w:rPr>
      </w:pPr>
      <w:bookmarkStart w:id="10" w:name="_Toc210986651"/>
      <w:bookmarkStart w:id="11" w:name="_Toc211168280"/>
      <w:bookmarkEnd w:id="9"/>
      <w:r w:rsidRPr="00582A26">
        <w:rPr>
          <w:spacing w:val="0"/>
          <w:lang w:val="en-GB"/>
        </w:rPr>
        <w:t>DO's mission and focus</w:t>
      </w:r>
      <w:bookmarkEnd w:id="10"/>
      <w:bookmarkEnd w:id="11"/>
      <w:r w:rsidRPr="00582A26">
        <w:rPr>
          <w:spacing w:val="0"/>
          <w:lang w:val="en-GB"/>
        </w:rPr>
        <w:t xml:space="preserve"> </w:t>
      </w:r>
    </w:p>
    <w:p w14:paraId="0705F01C" w14:textId="77777777" w:rsidR="00EE5154" w:rsidRPr="00582A26" w:rsidRDefault="00EE5154" w:rsidP="00EE5154">
      <w:pPr>
        <w:rPr>
          <w:lang w:val="en-GB"/>
        </w:rPr>
      </w:pPr>
      <w:r w:rsidRPr="00582A26">
        <w:rPr>
          <w:lang w:val="en-GB"/>
        </w:rPr>
        <w:t xml:space="preserve">DO is a government agency whose mission is to combat discrimination and promote equal rights and opportunities for all regardless of sex, transgender identity or expression, ethnicity, religion or other belief, disability, sexual orientation or age. DO is Sweden’s equality body, operating independently of the Government. Among other things, this gives DO the mandate to act as an Ombudsman on its own initiative. DO provides input to the </w:t>
      </w:r>
      <w:r w:rsidRPr="00582A26">
        <w:rPr>
          <w:lang w:val="en-GB"/>
        </w:rPr>
        <w:lastRenderedPageBreak/>
        <w:t>Government and other bodies on issues relating to discrimination. DO submits proposals for new legislation, produces status reports and reports independently to international organisations relevant to its field.</w:t>
      </w:r>
    </w:p>
    <w:p w14:paraId="09D90CBC" w14:textId="77777777" w:rsidR="00EE5154" w:rsidRPr="00582A26" w:rsidRDefault="00EE5154" w:rsidP="00EE5154">
      <w:pPr>
        <w:pStyle w:val="Rubrik3"/>
        <w:rPr>
          <w:spacing w:val="0"/>
          <w:lang w:val="en-GB"/>
        </w:rPr>
      </w:pPr>
      <w:bookmarkStart w:id="12" w:name="_Toc210986652"/>
      <w:bookmarkStart w:id="13" w:name="_Toc211168281"/>
      <w:r w:rsidRPr="00582A26">
        <w:rPr>
          <w:spacing w:val="0"/>
          <w:lang w:val="en-GB"/>
        </w:rPr>
        <w:t>DO works to secure redress for individuals who have been subjected to discrimination</w:t>
      </w:r>
      <w:bookmarkEnd w:id="12"/>
      <w:bookmarkEnd w:id="13"/>
    </w:p>
    <w:p w14:paraId="66CA425D" w14:textId="77777777" w:rsidR="00EE5154" w:rsidRPr="00582A26" w:rsidRDefault="00EE5154" w:rsidP="00EE5154">
      <w:pPr>
        <w:rPr>
          <w:lang w:val="en-GB"/>
        </w:rPr>
      </w:pPr>
      <w:r w:rsidRPr="00582A26">
        <w:rPr>
          <w:lang w:val="en-GB"/>
        </w:rPr>
        <w:t xml:space="preserve">DO's vision is a society free from discrimination. DO’s strategy is to work for redress for individuals who have been subjected to discrimination, and to promote equal rights and opportunities for all. The starting point for this work is the statutory protection against discrimination, knowledge about discrimination and obstacles to equal rights and opportunities for all. </w:t>
      </w:r>
    </w:p>
    <w:p w14:paraId="7860E138" w14:textId="77777777" w:rsidR="00EE5154" w:rsidRPr="00582A26" w:rsidRDefault="00EE5154" w:rsidP="00EE5154">
      <w:pPr>
        <w:rPr>
          <w:lang w:val="en-GB"/>
        </w:rPr>
      </w:pPr>
      <w:r w:rsidRPr="00582A26">
        <w:rPr>
          <w:lang w:val="en-GB"/>
        </w:rPr>
        <w:t>The core mission of DO is to investigate complaints of discrimination,</w:t>
      </w:r>
      <w:r w:rsidRPr="00582A26" w:rsidDel="007A602C">
        <w:rPr>
          <w:lang w:val="en-GB"/>
        </w:rPr>
        <w:t xml:space="preserve"> </w:t>
      </w:r>
      <w:r w:rsidRPr="00582A26">
        <w:rPr>
          <w:lang w:val="en-GB"/>
        </w:rPr>
        <w:t xml:space="preserve">claim compensation for cases of discrimination, and litigate in court to obtain redress for individuals who have been subjected to discrimination. The aim is both to ensure that more individuals obtain redress, and to clarify for those with a duty to act, what their responsibilities are under the law. Another important part of the mandate is to, through various proactive measures, identify, highlight, and remove discriminatory barriers and obstacles to equal rights and opportunities for all. </w:t>
      </w:r>
    </w:p>
    <w:p w14:paraId="37AD0FB7" w14:textId="77777777" w:rsidR="00EE5154" w:rsidRPr="00582A26" w:rsidRDefault="00EE5154" w:rsidP="00EE5154">
      <w:pPr>
        <w:rPr>
          <w:lang w:val="en-GB"/>
        </w:rPr>
      </w:pPr>
      <w:r w:rsidRPr="00582A26">
        <w:rPr>
          <w:lang w:val="en-GB"/>
        </w:rPr>
        <w:t>Through DO’s participation in international networks and collaborations with various institutions, it contributes to the development of both international and national approaches in the work against discrimination and for equal rights and opportunities.</w:t>
      </w:r>
      <w:r w:rsidRPr="00582A26">
        <w:rPr>
          <w:rStyle w:val="Fotnotsreferens"/>
        </w:rPr>
        <w:footnoteReference w:id="1"/>
      </w:r>
      <w:r w:rsidRPr="00582A26">
        <w:rPr>
          <w:lang w:val="en-GB"/>
        </w:rPr>
        <w:t xml:space="preserve"> </w:t>
      </w:r>
    </w:p>
    <w:p w14:paraId="0540A864" w14:textId="77777777" w:rsidR="00EE5154" w:rsidRPr="00582A26" w:rsidRDefault="00EE5154" w:rsidP="00EE5154">
      <w:pPr>
        <w:pStyle w:val="Rubrik4"/>
        <w:rPr>
          <w:spacing w:val="0"/>
          <w:lang w:val="en-GB"/>
        </w:rPr>
      </w:pPr>
      <w:r w:rsidRPr="00582A26">
        <w:rPr>
          <w:spacing w:val="0"/>
          <w:lang w:val="en-GB"/>
        </w:rPr>
        <w:t>Prioritised work to combat discrimination related to ethnicity or to religion or other beliefs</w:t>
      </w:r>
    </w:p>
    <w:p w14:paraId="1C88ADB1" w14:textId="77777777" w:rsidR="00EE5154" w:rsidRPr="00582A26" w:rsidRDefault="00EE5154" w:rsidP="00EE5154">
      <w:pPr>
        <w:rPr>
          <w:lang w:val="en-GB"/>
        </w:rPr>
      </w:pPr>
      <w:r w:rsidRPr="00582A26">
        <w:rPr>
          <w:lang w:val="en-GB"/>
        </w:rPr>
        <w:t>Through complaints of discrimination filed with DO and dialogues with representatives of civil society, DO has long been aware of individuals being subjected to discrimination related to ethnicity, religion or other beliefs.</w:t>
      </w:r>
      <w:r w:rsidRPr="00582A26">
        <w:rPr>
          <w:rStyle w:val="Fotnotsreferens"/>
        </w:rPr>
        <w:footnoteReference w:id="2"/>
      </w:r>
      <w:r w:rsidRPr="00582A26">
        <w:rPr>
          <w:lang w:val="en-GB"/>
        </w:rPr>
        <w:t xml:space="preserve"> DO has therefore independently chosen to initiate a three-year initiative to prevent and counter racism and discrimination related to ethnicity, religion, or other beliefs, as well as to promote equal rights and opportunities. DO has launched four targeted projects to prevent and combat: </w:t>
      </w:r>
    </w:p>
    <w:p w14:paraId="427C1CF8" w14:textId="77777777" w:rsidR="00EE5154" w:rsidRPr="00582A26" w:rsidRDefault="00EE5154" w:rsidP="00EE5154">
      <w:pPr>
        <w:pStyle w:val="Liststycke"/>
        <w:numPr>
          <w:ilvl w:val="0"/>
          <w:numId w:val="28"/>
        </w:numPr>
        <w:rPr>
          <w:lang w:val="en-GB"/>
        </w:rPr>
      </w:pPr>
      <w:r w:rsidRPr="00582A26">
        <w:rPr>
          <w:lang w:val="en-GB"/>
        </w:rPr>
        <w:t>discriminatory ethnic profiling</w:t>
      </w:r>
    </w:p>
    <w:p w14:paraId="2E701C61" w14:textId="77777777" w:rsidR="00EE5154" w:rsidRPr="00582A26" w:rsidRDefault="00EE5154" w:rsidP="00EE5154">
      <w:pPr>
        <w:pStyle w:val="Liststycke"/>
        <w:numPr>
          <w:ilvl w:val="0"/>
          <w:numId w:val="28"/>
        </w:numPr>
        <w:rPr>
          <w:lang w:val="en-GB"/>
        </w:rPr>
      </w:pPr>
      <w:r w:rsidRPr="00582A26">
        <w:rPr>
          <w:lang w:val="en-GB"/>
        </w:rPr>
        <w:t>discrimination against Muslims</w:t>
      </w:r>
    </w:p>
    <w:p w14:paraId="1DFD7741" w14:textId="77777777" w:rsidR="00EE5154" w:rsidRPr="00582A26" w:rsidRDefault="00EE5154" w:rsidP="00EE5154">
      <w:pPr>
        <w:pStyle w:val="Liststycke"/>
        <w:numPr>
          <w:ilvl w:val="0"/>
          <w:numId w:val="28"/>
        </w:numPr>
        <w:rPr>
          <w:lang w:val="en-GB"/>
        </w:rPr>
      </w:pPr>
      <w:r w:rsidRPr="00582A26">
        <w:rPr>
          <w:lang w:val="en-GB"/>
        </w:rPr>
        <w:t xml:space="preserve">discrimination against Afro-Swedes </w:t>
      </w:r>
    </w:p>
    <w:p w14:paraId="1FD4AD11" w14:textId="77777777" w:rsidR="00EE5154" w:rsidRPr="00582A26" w:rsidRDefault="00EE5154" w:rsidP="00EE5154">
      <w:pPr>
        <w:pStyle w:val="Liststycke"/>
        <w:numPr>
          <w:ilvl w:val="0"/>
          <w:numId w:val="28"/>
        </w:numPr>
        <w:rPr>
          <w:lang w:val="en-GB"/>
        </w:rPr>
      </w:pPr>
      <w:r w:rsidRPr="00582A26">
        <w:rPr>
          <w:lang w:val="en-GB"/>
        </w:rPr>
        <w:t xml:space="preserve">discrimination against national minorities.  </w:t>
      </w:r>
    </w:p>
    <w:p w14:paraId="5502F48C" w14:textId="77777777" w:rsidR="00582A26" w:rsidRDefault="00582A26">
      <w:pPr>
        <w:spacing w:after="0" w:line="240" w:lineRule="auto"/>
        <w:rPr>
          <w:rFonts w:ascii="Arial" w:hAnsi="Arial" w:cs="Arial"/>
          <w:b/>
          <w:bCs/>
          <w:color w:val="404040"/>
          <w:sz w:val="24"/>
          <w:szCs w:val="22"/>
          <w:lang w:val="en-GB"/>
        </w:rPr>
      </w:pPr>
      <w:bookmarkStart w:id="14" w:name="_Toc210986653"/>
      <w:bookmarkStart w:id="15" w:name="_Toc211168282"/>
      <w:r>
        <w:rPr>
          <w:lang w:val="en-GB"/>
        </w:rPr>
        <w:br w:type="page"/>
      </w:r>
    </w:p>
    <w:p w14:paraId="3D001E59" w14:textId="51DE3779" w:rsidR="00EE5154" w:rsidRPr="00582A26" w:rsidRDefault="00EE5154" w:rsidP="00EE5154">
      <w:pPr>
        <w:pStyle w:val="Rubrik3"/>
        <w:rPr>
          <w:spacing w:val="0"/>
          <w:lang w:val="en-GB"/>
        </w:rPr>
      </w:pPr>
      <w:r w:rsidRPr="00582A26">
        <w:rPr>
          <w:spacing w:val="0"/>
          <w:lang w:val="en-GB"/>
        </w:rPr>
        <w:lastRenderedPageBreak/>
        <w:t>The number of complaints to DO continues to increase, and a large proportion concerns discrimination related to ethnicity</w:t>
      </w:r>
      <w:bookmarkEnd w:id="14"/>
      <w:bookmarkEnd w:id="15"/>
      <w:r w:rsidRPr="00582A26">
        <w:rPr>
          <w:spacing w:val="0"/>
          <w:lang w:val="en-GB"/>
        </w:rPr>
        <w:t xml:space="preserve">  </w:t>
      </w:r>
    </w:p>
    <w:p w14:paraId="48990683" w14:textId="77777777" w:rsidR="00EE5154" w:rsidRPr="00582A26" w:rsidRDefault="00EE5154" w:rsidP="00EE5154">
      <w:pPr>
        <w:pStyle w:val="Punktlista"/>
        <w:numPr>
          <w:ilvl w:val="0"/>
          <w:numId w:val="0"/>
        </w:numPr>
        <w:rPr>
          <w:lang w:val="en-GB"/>
        </w:rPr>
      </w:pPr>
      <w:bookmarkStart w:id="16" w:name="_Hlk200630998"/>
      <w:r w:rsidRPr="00582A26">
        <w:rPr>
          <w:lang w:val="en-GB"/>
        </w:rPr>
        <w:t xml:space="preserve">In 2024, DO received a higher number of discrimination complaints than ever before, increasing from 3,930 complaints in 2023 to 4,452 in 2024, an increase of 13 percent compared with the previous year. </w:t>
      </w:r>
      <w:bookmarkEnd w:id="16"/>
      <w:r w:rsidRPr="00582A26">
        <w:rPr>
          <w:lang w:val="en-GB"/>
        </w:rPr>
        <w:t>A large proportion of the complaints of discrimination submitted to DO concerned discrimination related to ethnicity. In 2024, there were 1,570 complaints of discrimination related to ethnicity, representing 35 percent of all complaints of discrimination. Complaints related to religion or other beliefs also increased, from 377 in 2023 to 489 in 2024.</w:t>
      </w:r>
      <w:r w:rsidRPr="00582A26">
        <w:rPr>
          <w:rStyle w:val="Fotnotsreferens"/>
        </w:rPr>
        <w:footnoteReference w:id="3"/>
      </w:r>
    </w:p>
    <w:p w14:paraId="319BA2B0" w14:textId="77777777" w:rsidR="00EE5154" w:rsidRPr="00582A26" w:rsidRDefault="00EE5154" w:rsidP="00EE5154">
      <w:pPr>
        <w:rPr>
          <w:lang w:val="en-GB"/>
        </w:rPr>
      </w:pPr>
      <w:r w:rsidRPr="00582A26">
        <w:rPr>
          <w:lang w:val="en-GB"/>
        </w:rPr>
        <w:t xml:space="preserve">Many complaints of discrimination in working life and the education sector, concern discrimination related to ethnicity. Of the 1,329 complaints of discrimination in working life received in 2024, the largest proportion, 40 percent, concern discrimination related to ethnicity. </w:t>
      </w:r>
      <w:bookmarkStart w:id="17" w:name="_Hlk200634488"/>
      <w:r w:rsidRPr="00582A26">
        <w:rPr>
          <w:lang w:val="en-GB"/>
        </w:rPr>
        <w:t xml:space="preserve">In the education sector, 28 percent of complaints of discrimination </w:t>
      </w:r>
      <w:bookmarkStart w:id="18" w:name="_Hlk200634074"/>
      <w:r w:rsidRPr="00582A26">
        <w:rPr>
          <w:lang w:val="en-GB"/>
        </w:rPr>
        <w:t>are related to ethnicity</w:t>
      </w:r>
      <w:bookmarkEnd w:id="17"/>
      <w:bookmarkEnd w:id="18"/>
      <w:r w:rsidRPr="00582A26">
        <w:rPr>
          <w:lang w:val="en-GB"/>
        </w:rPr>
        <w:t>.</w:t>
      </w:r>
      <w:r w:rsidRPr="00582A26">
        <w:rPr>
          <w:rStyle w:val="Fotnotsreferens"/>
        </w:rPr>
        <w:footnoteReference w:id="4"/>
      </w:r>
      <w:r w:rsidRPr="00582A26">
        <w:rPr>
          <w:lang w:val="en-GB"/>
        </w:rPr>
        <w:t xml:space="preserve"> </w:t>
      </w:r>
    </w:p>
    <w:p w14:paraId="0D7746EE" w14:textId="77777777" w:rsidR="004258D2" w:rsidRPr="00582A26" w:rsidRDefault="004258D2">
      <w:pPr>
        <w:spacing w:after="0" w:line="240" w:lineRule="auto"/>
        <w:rPr>
          <w:rFonts w:ascii="Arial" w:hAnsi="Arial" w:cs="Arial"/>
          <w:b/>
          <w:bCs/>
          <w:sz w:val="32"/>
          <w:szCs w:val="32"/>
          <w:lang w:val="en-GB"/>
        </w:rPr>
      </w:pPr>
      <w:bookmarkStart w:id="19" w:name="_Toc210986654"/>
      <w:bookmarkStart w:id="20" w:name="_Toc211168283"/>
      <w:bookmarkStart w:id="21" w:name="_Hlk198798664"/>
      <w:r w:rsidRPr="00582A26">
        <w:rPr>
          <w:lang w:val="en-GB"/>
        </w:rPr>
        <w:br w:type="page"/>
      </w:r>
    </w:p>
    <w:p w14:paraId="3ABCFE46" w14:textId="7A0ADAC2" w:rsidR="00EE5154" w:rsidRPr="00582A26" w:rsidRDefault="00EE5154" w:rsidP="00EE5154">
      <w:pPr>
        <w:pStyle w:val="Rubrik1"/>
        <w:rPr>
          <w:spacing w:val="0"/>
          <w:lang w:val="en-GB"/>
        </w:rPr>
      </w:pPr>
      <w:r w:rsidRPr="00582A26">
        <w:rPr>
          <w:spacing w:val="0"/>
          <w:lang w:val="en-GB"/>
        </w:rPr>
        <w:lastRenderedPageBreak/>
        <w:t>Racial discrimination in Sweden (articles 4, 5 and 6)</w:t>
      </w:r>
      <w:bookmarkEnd w:id="19"/>
      <w:bookmarkEnd w:id="20"/>
      <w:r w:rsidRPr="00582A26">
        <w:rPr>
          <w:spacing w:val="0"/>
          <w:lang w:val="en-GB"/>
        </w:rPr>
        <w:t xml:space="preserve"> </w:t>
      </w:r>
    </w:p>
    <w:p w14:paraId="7F739014" w14:textId="77777777" w:rsidR="00EE5154" w:rsidRPr="00582A26" w:rsidRDefault="00EE5154" w:rsidP="00EE5154">
      <w:pPr>
        <w:rPr>
          <w:lang w:val="en-GB"/>
        </w:rPr>
      </w:pPr>
      <w:bookmarkStart w:id="22" w:name="_Hlk198798614"/>
      <w:bookmarkEnd w:id="21"/>
      <w:r w:rsidRPr="00582A26">
        <w:rPr>
          <w:lang w:val="en-GB"/>
        </w:rPr>
        <w:t>It is evident to DO that discrimination related to ethnicity or religion or other beliefs, is a major societal problem that occurs across all areas of society and greatly affects individuals of different ethnicities, religions and beliefs.</w:t>
      </w:r>
      <w:bookmarkEnd w:id="22"/>
      <w:r w:rsidRPr="00582A26">
        <w:rPr>
          <w:lang w:val="en-GB"/>
        </w:rPr>
        <w:t xml:space="preserve"> People experience discrimination in everyday life and encounter prejudice based on negative perceptions of their ethnicity and religion. This affects their living conditions and obstructs their access to equal rights and opportunities. It is evident that people racialized as non-white and people whose ethnic affiliation or religion is more visible, for example through their clothing or religious symbols, are largely subjected to various forms of harassment, including discrimination.</w:t>
      </w:r>
      <w:r w:rsidRPr="00582A26">
        <w:rPr>
          <w:rStyle w:val="Fotnotsreferens"/>
        </w:rPr>
        <w:footnoteReference w:id="5"/>
      </w:r>
      <w:r w:rsidRPr="00582A26">
        <w:rPr>
          <w:lang w:val="en-GB"/>
        </w:rPr>
        <w:t xml:space="preserve"> </w:t>
      </w:r>
      <w:bookmarkStart w:id="23" w:name="_Hlk207962928"/>
    </w:p>
    <w:p w14:paraId="0F6B4881" w14:textId="77777777" w:rsidR="00EE5154" w:rsidRPr="00582A26" w:rsidRDefault="00EE5154" w:rsidP="00EE5154">
      <w:pPr>
        <w:pStyle w:val="Rubrik2"/>
        <w:rPr>
          <w:spacing w:val="0"/>
          <w:lang w:val="en-GB"/>
        </w:rPr>
      </w:pPr>
      <w:bookmarkStart w:id="24" w:name="_Toc210986655"/>
      <w:bookmarkStart w:id="25" w:name="_Toc211168284"/>
      <w:bookmarkEnd w:id="23"/>
      <w:r w:rsidRPr="00582A26">
        <w:rPr>
          <w:spacing w:val="0"/>
          <w:lang w:val="en-GB"/>
        </w:rPr>
        <w:t>Discrimination is a widespread problem that occurs in all areas of society (articles 5 and 6)</w:t>
      </w:r>
      <w:bookmarkEnd w:id="24"/>
      <w:bookmarkEnd w:id="25"/>
    </w:p>
    <w:p w14:paraId="21C92C72" w14:textId="77777777" w:rsidR="00EE5154" w:rsidRPr="00582A26" w:rsidRDefault="00EE5154" w:rsidP="00EE5154">
      <w:pPr>
        <w:pStyle w:val="Rubrik3"/>
        <w:rPr>
          <w:spacing w:val="0"/>
          <w:lang w:val="en-GB"/>
        </w:rPr>
      </w:pPr>
      <w:bookmarkStart w:id="26" w:name="_Toc210986656"/>
      <w:bookmarkStart w:id="27" w:name="_Toc211168285"/>
      <w:r w:rsidRPr="00582A26">
        <w:rPr>
          <w:spacing w:val="0"/>
          <w:lang w:val="en-GB"/>
        </w:rPr>
        <w:t>Discrimination in schools</w:t>
      </w:r>
      <w:bookmarkEnd w:id="26"/>
      <w:bookmarkEnd w:id="27"/>
      <w:r w:rsidRPr="00582A26">
        <w:rPr>
          <w:spacing w:val="0"/>
          <w:lang w:val="en-GB"/>
        </w:rPr>
        <w:t xml:space="preserve"> </w:t>
      </w:r>
    </w:p>
    <w:p w14:paraId="3DBAD201" w14:textId="77777777" w:rsidR="00EE5154" w:rsidRPr="00582A26" w:rsidRDefault="00EE5154" w:rsidP="00EE5154">
      <w:pPr>
        <w:rPr>
          <w:lang w:val="en-GB"/>
        </w:rPr>
      </w:pPr>
      <w:r w:rsidRPr="00582A26">
        <w:rPr>
          <w:lang w:val="en-GB"/>
        </w:rPr>
        <w:t>Complaints of discrimination filed with DO, as well as DO's dialogue with representatives of civil society, demonstrate that many children and pupils experience discrimination in schools, which are not always safe environments where access to equal rights and opportunities are guaranteed.</w:t>
      </w:r>
      <w:r w:rsidRPr="00582A26">
        <w:rPr>
          <w:rFonts w:ascii="Arial" w:hAnsi="Arial"/>
          <w:vertAlign w:val="superscript"/>
        </w:rPr>
        <w:footnoteReference w:id="6"/>
      </w:r>
      <w:r w:rsidRPr="00582A26">
        <w:rPr>
          <w:lang w:val="en-GB"/>
        </w:rPr>
        <w:t xml:space="preserve"> Several studies confirm that pupils are subjected to racism and discrimination related to ethnicity and to religion or other beliefs in schools.</w:t>
      </w:r>
      <w:r w:rsidRPr="00582A26">
        <w:rPr>
          <w:rStyle w:val="Fotnotsreferens"/>
        </w:rPr>
        <w:footnoteReference w:id="7"/>
      </w:r>
      <w:r w:rsidRPr="00582A26">
        <w:rPr>
          <w:lang w:val="en-GB"/>
        </w:rPr>
        <w:t xml:space="preserve"> </w:t>
      </w:r>
    </w:p>
    <w:p w14:paraId="431739DE" w14:textId="77777777" w:rsidR="00EE5154" w:rsidRPr="00582A26" w:rsidRDefault="00EE5154" w:rsidP="00EE5154">
      <w:pPr>
        <w:pStyle w:val="Rubrik4"/>
        <w:rPr>
          <w:spacing w:val="0"/>
          <w:lang w:val="en-GB"/>
        </w:rPr>
      </w:pPr>
      <w:r w:rsidRPr="00582A26">
        <w:rPr>
          <w:spacing w:val="0"/>
          <w:lang w:val="en-GB"/>
        </w:rPr>
        <w:t xml:space="preserve">Pupils are subjected to harassment by both school staff and other pupils </w:t>
      </w:r>
    </w:p>
    <w:p w14:paraId="6D13DAC1" w14:textId="726CF49B" w:rsidR="00EE5154" w:rsidRPr="00582A26" w:rsidRDefault="00EE5154" w:rsidP="00EE5154">
      <w:pPr>
        <w:rPr>
          <w:lang w:val="en-GB"/>
        </w:rPr>
      </w:pPr>
      <w:r w:rsidRPr="00582A26">
        <w:rPr>
          <w:lang w:val="en-GB"/>
        </w:rPr>
        <w:t>Many complaints filed with DO within the field of education, concern pupils experience of harassment by both school staff and by other pupils. Such harassment often involves various forms of name-calling, verbal abuse and mocking and can continue over an extended period.</w:t>
      </w:r>
      <w:r w:rsidRPr="00582A26">
        <w:rPr>
          <w:rStyle w:val="Fotnotsreferens"/>
          <w:lang w:val="en-GB"/>
        </w:rPr>
        <w:footnoteReference w:id="8"/>
      </w:r>
      <w:r w:rsidRPr="00582A26">
        <w:rPr>
          <w:lang w:val="en-GB"/>
        </w:rPr>
        <w:t xml:space="preserve"> For example, DO has requested discrimination compensation in a case </w:t>
      </w:r>
      <w:r w:rsidRPr="00582A26">
        <w:rPr>
          <w:lang w:val="en-GB"/>
        </w:rPr>
        <w:lastRenderedPageBreak/>
        <w:t>in which a pupil was repeatedly subjected to racist name-calling, both during and outside of school hours, for a period of approximately two years. The pupil has also been assaulted at school with racist motives.</w:t>
      </w:r>
      <w:r w:rsidRPr="00582A26">
        <w:rPr>
          <w:rStyle w:val="Fotnotsreferens"/>
        </w:rPr>
        <w:footnoteReference w:id="9"/>
      </w:r>
      <w:r w:rsidRPr="00582A26">
        <w:rPr>
          <w:lang w:val="en-GB"/>
        </w:rPr>
        <w:t xml:space="preserve"> There are other cases where the “n-word” has been used or where the harassment escalated into physical violence such as pushing and hitting, spitting in pupils faces, or throwing objects at them. In most cases, the physical abuse is committed by other pupils, but there are also examples of school staff subjecting pupils to violence such as pushing a pupil up against a wall.</w:t>
      </w:r>
      <w:r w:rsidRPr="00582A26">
        <w:rPr>
          <w:rStyle w:val="Fotnotsreferens"/>
        </w:rPr>
        <w:footnoteReference w:id="10"/>
      </w:r>
      <w:r w:rsidRPr="00582A26">
        <w:rPr>
          <w:lang w:val="en-GB"/>
        </w:rPr>
        <w:t xml:space="preserve"> Both complainants and representatives of civil society organisations have described how harassment from other pupils often intensified after the child's guardians reported the harassment and physical violence to the school.</w:t>
      </w:r>
      <w:r w:rsidRPr="00582A26">
        <w:rPr>
          <w:rStyle w:val="Fotnotsreferens"/>
        </w:rPr>
        <w:footnoteReference w:id="11"/>
      </w:r>
      <w:r w:rsidRPr="00582A26">
        <w:rPr>
          <w:lang w:val="en-GB"/>
        </w:rPr>
        <w:t xml:space="preserve"> According to the Discrimination Act's prohibition against reprisals, staff may not subject a pupil to punishment or other negative treatment because the pupil or student has reported the school for discrimination.</w:t>
      </w:r>
      <w:r w:rsidRPr="00582A26">
        <w:rPr>
          <w:rStyle w:val="Fotnotsreferens"/>
        </w:rPr>
        <w:footnoteReference w:id="12"/>
      </w:r>
    </w:p>
    <w:p w14:paraId="2DBC078A" w14:textId="77777777" w:rsidR="00EE5154" w:rsidRPr="00582A26" w:rsidRDefault="00EE5154" w:rsidP="00EE5154">
      <w:pPr>
        <w:pStyle w:val="Rubrik4"/>
        <w:rPr>
          <w:spacing w:val="0"/>
          <w:lang w:val="en-GB"/>
        </w:rPr>
      </w:pPr>
      <w:r w:rsidRPr="00582A26">
        <w:rPr>
          <w:spacing w:val="0"/>
          <w:lang w:val="en-GB"/>
        </w:rPr>
        <w:t xml:space="preserve">Pupils are met with low expectations </w:t>
      </w:r>
    </w:p>
    <w:p w14:paraId="217A027D" w14:textId="77777777" w:rsidR="00EE5154" w:rsidRPr="00582A26" w:rsidRDefault="00EE5154" w:rsidP="00EE5154">
      <w:pPr>
        <w:rPr>
          <w:lang w:val="en-GB"/>
        </w:rPr>
      </w:pPr>
      <w:r w:rsidRPr="00582A26">
        <w:rPr>
          <w:lang w:val="en-GB"/>
        </w:rPr>
        <w:t>Complaints filed with DO describe cases where pupils have received lower grades or have been placed in “Swedish as a second language” classes without an individual assessment, and that this is related to ethnicity. According to complaints, and DO's dialogue with representatives of civil society organisations, schools sometimes treat pupils' guardians in an unfair or degrading manner, which is related to their ethnicity. The complaints also contain descriptions of pupils being told that they will never be able to get a higher grade, no matter how well they perform, because their mother tongue is not Swedish.</w:t>
      </w:r>
      <w:r w:rsidRPr="00582A26">
        <w:rPr>
          <w:rStyle w:val="Fotnotsreferens"/>
        </w:rPr>
        <w:footnoteReference w:id="13"/>
      </w:r>
    </w:p>
    <w:p w14:paraId="60BE4894" w14:textId="77777777" w:rsidR="00EE5154" w:rsidRPr="00582A26" w:rsidRDefault="00EE5154" w:rsidP="00EE5154">
      <w:pPr>
        <w:pStyle w:val="Rubrik4"/>
        <w:rPr>
          <w:spacing w:val="0"/>
          <w:lang w:val="en-GB"/>
        </w:rPr>
      </w:pPr>
      <w:r w:rsidRPr="00582A26">
        <w:rPr>
          <w:spacing w:val="0"/>
          <w:lang w:val="en-GB"/>
        </w:rPr>
        <w:t>Schools are failing in their duty to investigate and take action</w:t>
      </w:r>
    </w:p>
    <w:p w14:paraId="7EF3476E" w14:textId="77777777" w:rsidR="00EE5154" w:rsidRPr="00582A26" w:rsidRDefault="00EE5154" w:rsidP="00EE5154">
      <w:pPr>
        <w:rPr>
          <w:lang w:val="en-GB"/>
        </w:rPr>
      </w:pPr>
      <w:r w:rsidRPr="00582A26">
        <w:rPr>
          <w:lang w:val="en-GB"/>
        </w:rPr>
        <w:t>The Discrimination Act stipulates that education providers who become aware of any potential incident of harassment or sexual harassment in, for example, a preschool, school or university, are obliged to first investigate the incident. If it appears that someone has been harassed, the education providers must take all reasonable measures to ensure that the harassment stops. Failure to fulfil this duty to investigate and take action, is a violation of the Discrimination Act.</w:t>
      </w:r>
      <w:r w:rsidRPr="00582A26">
        <w:rPr>
          <w:rStyle w:val="Fotnotsreferens"/>
        </w:rPr>
        <w:footnoteReference w:id="14"/>
      </w:r>
      <w:r w:rsidRPr="00582A26">
        <w:rPr>
          <w:lang w:val="en-GB"/>
        </w:rPr>
        <w:t xml:space="preserve"> From discrimination complaints filed with DO and DO's supervisory work, it is clear that schools often fail in their duty to investigate and address </w:t>
      </w:r>
      <w:r w:rsidRPr="00582A26">
        <w:rPr>
          <w:lang w:val="en-GB"/>
        </w:rPr>
        <w:lastRenderedPageBreak/>
        <w:t>harassment. This issue is also repeatedly raised in DO's dialogues with representatives of civil society organisations.</w:t>
      </w:r>
      <w:r w:rsidRPr="00582A26">
        <w:rPr>
          <w:rStyle w:val="Fotnotsreferens"/>
        </w:rPr>
        <w:footnoteReference w:id="15"/>
      </w:r>
    </w:p>
    <w:p w14:paraId="560835DB" w14:textId="77777777" w:rsidR="00EE5154" w:rsidRPr="00582A26" w:rsidRDefault="00EE5154" w:rsidP="00EE5154">
      <w:pPr>
        <w:pStyle w:val="Rubrik4"/>
        <w:rPr>
          <w:spacing w:val="0"/>
          <w:lang w:val="en-GB"/>
        </w:rPr>
      </w:pPr>
      <w:r w:rsidRPr="00582A26">
        <w:rPr>
          <w:spacing w:val="0"/>
          <w:lang w:val="en-GB"/>
        </w:rPr>
        <w:t>Schools are failing to ensure that pupils can exercise their freedom of religion</w:t>
      </w:r>
    </w:p>
    <w:p w14:paraId="1406E5CF" w14:textId="77777777" w:rsidR="00EE5154" w:rsidRPr="00582A26" w:rsidRDefault="00EE5154" w:rsidP="00EE5154">
      <w:pPr>
        <w:rPr>
          <w:lang w:val="en-GB"/>
        </w:rPr>
      </w:pPr>
      <w:r w:rsidRPr="00582A26">
        <w:rPr>
          <w:lang w:val="en-GB"/>
        </w:rPr>
        <w:t>Both in complaints filed with DO and in DO's dialogue with representatives of civil society organisations, it has emerged that schools and preschools do not provide halal and kosher food, which is perceived as discrimination. Children, pupils and guardians also describe difficulties in obtaining leave or being denied leave in connection with certain religious holidays. They are however, granted leave for other reasons such as vacation trips.</w:t>
      </w:r>
      <w:r w:rsidRPr="00582A26">
        <w:rPr>
          <w:rStyle w:val="Fotnotsreferens"/>
        </w:rPr>
        <w:footnoteReference w:id="16"/>
      </w:r>
      <w:r w:rsidRPr="00582A26">
        <w:rPr>
          <w:lang w:val="en-GB"/>
        </w:rPr>
        <w:t xml:space="preserve"> </w:t>
      </w:r>
    </w:p>
    <w:p w14:paraId="67AAE21B" w14:textId="77777777" w:rsidR="00EE5154" w:rsidRPr="00582A26" w:rsidRDefault="00EE5154" w:rsidP="00EE5154">
      <w:pPr>
        <w:pStyle w:val="Rubrik4"/>
        <w:rPr>
          <w:spacing w:val="0"/>
          <w:lang w:val="en-GB"/>
        </w:rPr>
      </w:pPr>
      <w:r w:rsidRPr="00582A26">
        <w:rPr>
          <w:spacing w:val="0"/>
          <w:lang w:val="en-GB"/>
        </w:rPr>
        <w:t xml:space="preserve">Recommendations </w:t>
      </w:r>
    </w:p>
    <w:p w14:paraId="21B11095" w14:textId="77777777" w:rsidR="00EE5154" w:rsidRPr="00582A26" w:rsidRDefault="00EE5154" w:rsidP="00EE5154">
      <w:pPr>
        <w:pStyle w:val="Rubrik5"/>
        <w:rPr>
          <w:spacing w:val="0"/>
          <w:lang w:val="en-GB"/>
        </w:rPr>
      </w:pPr>
      <w:r w:rsidRPr="00582A26">
        <w:rPr>
          <w:spacing w:val="0"/>
          <w:lang w:val="en-GB"/>
        </w:rPr>
        <w:t>Efforts to combat discrimination in schools must be enforced</w:t>
      </w:r>
    </w:p>
    <w:p w14:paraId="20D5F7C0" w14:textId="77777777" w:rsidR="00EE5154" w:rsidRPr="00582A26" w:rsidRDefault="00EE5154" w:rsidP="00EE5154">
      <w:pPr>
        <w:rPr>
          <w:lang w:val="en-GB"/>
        </w:rPr>
      </w:pPr>
      <w:r w:rsidRPr="00582A26">
        <w:rPr>
          <w:lang w:val="en-GB"/>
        </w:rPr>
        <w:t>DO believes that strong measures are required to prevent and combat discrimination related to ethnicity, religion or other beliefs within the education sector. Efforts to combat discrimination in schools must be enforced and prioritised at all levels. Schools and education providers bear a significant responsibility for protecting pupils from discrimination— a responsibility that DO finds many schools fail to fulfil. Among other things, DO has repeatedly found that schools and education providers are failing to investigate and address harassment, which constitutes a violation of the Discrimination Act.</w:t>
      </w:r>
      <w:r w:rsidRPr="00582A26">
        <w:rPr>
          <w:rStyle w:val="Fotnotsreferens"/>
        </w:rPr>
        <w:footnoteReference w:id="17"/>
      </w:r>
      <w:r w:rsidRPr="00582A26">
        <w:rPr>
          <w:lang w:val="en-GB"/>
        </w:rPr>
        <w:t xml:space="preserve"> DO recommends that the Government: </w:t>
      </w:r>
    </w:p>
    <w:p w14:paraId="4B8E4F80" w14:textId="77777777" w:rsidR="00EE5154" w:rsidRPr="00582A26" w:rsidRDefault="00EE5154" w:rsidP="00EE5154">
      <w:pPr>
        <w:numPr>
          <w:ilvl w:val="0"/>
          <w:numId w:val="25"/>
        </w:numPr>
        <w:rPr>
          <w:lang w:val="en-GB"/>
        </w:rPr>
      </w:pPr>
      <w:r w:rsidRPr="00582A26">
        <w:rPr>
          <w:lang w:val="en-GB"/>
        </w:rPr>
        <w:t>adopts an education initiative for school organisers and school staff which focuses on discrimination and the Discrimination Act, so that schools can better prevent, identify and take action against discrimination. The initiative should specifically focus on a schools' duty to investigate and act when a pupil experiences harassment, as well as supporting the education providers’ efforts towards active measures.</w:t>
      </w:r>
    </w:p>
    <w:p w14:paraId="2D8CB7AB" w14:textId="77777777" w:rsidR="00EE5154" w:rsidRPr="00582A26" w:rsidRDefault="00EE5154" w:rsidP="00EE5154">
      <w:pPr>
        <w:pStyle w:val="Rubrik5"/>
        <w:rPr>
          <w:spacing w:val="0"/>
          <w:lang w:val="en-GB"/>
        </w:rPr>
      </w:pPr>
      <w:r w:rsidRPr="00582A26">
        <w:rPr>
          <w:spacing w:val="0"/>
          <w:lang w:val="en-GB"/>
        </w:rPr>
        <w:t xml:space="preserve">Follow up on the overall protection against discrimination and hate crime in schools </w:t>
      </w:r>
    </w:p>
    <w:p w14:paraId="0A6EF09E" w14:textId="77777777" w:rsidR="00EE5154" w:rsidRPr="00582A26" w:rsidRDefault="00EE5154" w:rsidP="00EE5154">
      <w:pPr>
        <w:rPr>
          <w:lang w:val="en-GB"/>
        </w:rPr>
      </w:pPr>
      <w:r w:rsidRPr="00582A26">
        <w:rPr>
          <w:lang w:val="en-GB"/>
        </w:rPr>
        <w:t xml:space="preserve">Pupils are sometimes subjected to grave harassment, mistreatment and physical violence in schools, related to one or more grounds of discrimination. These incidents are unacceptable and may fall under both the Discrimination Act's prohibition of harassment and the provisions of the Criminal Code on, for example, assault and hate crimes and incitement to hatred. Although the protection provided by the Criminal Code and the Discrimination Act is interrelated in many ways and overlaps to some extent, there is no cohesive and systematic follow-up. This means that we have an incomplete overview of the vulnerability of groups or individuals who are subjected both to discrimination and acts </w:t>
      </w:r>
      <w:r w:rsidRPr="00582A26">
        <w:rPr>
          <w:lang w:val="en-GB"/>
        </w:rPr>
        <w:lastRenderedPageBreak/>
        <w:t>that fall within the scope of the criminal justice system. DO recommends that the Government take initiative to:</w:t>
      </w:r>
    </w:p>
    <w:p w14:paraId="5D119A8A" w14:textId="77777777" w:rsidR="00EE5154" w:rsidRPr="00582A26" w:rsidRDefault="00EE5154" w:rsidP="00EE5154">
      <w:pPr>
        <w:numPr>
          <w:ilvl w:val="0"/>
          <w:numId w:val="25"/>
        </w:numPr>
        <w:rPr>
          <w:lang w:val="en-GB"/>
        </w:rPr>
      </w:pPr>
      <w:r w:rsidRPr="00582A26">
        <w:rPr>
          <w:lang w:val="en-GB"/>
        </w:rPr>
        <w:t>a cohesive and systematic follow-up of both discrimination and hate crimes in the education sector, as well as the application and effectiveness of the various laws. The follow-up should highlight the strengths and shortcomings of the legislation in relation to the work to combat discrimination and hate crimes that pupils experience in schools.</w:t>
      </w:r>
    </w:p>
    <w:p w14:paraId="0762825E" w14:textId="77777777" w:rsidR="00EE5154" w:rsidRPr="00582A26" w:rsidRDefault="00EE5154" w:rsidP="00EE5154">
      <w:pPr>
        <w:pStyle w:val="Rubrik3"/>
        <w:rPr>
          <w:spacing w:val="0"/>
          <w:lang w:val="en-GB"/>
        </w:rPr>
      </w:pPr>
      <w:bookmarkStart w:id="29" w:name="_Toc210986657"/>
      <w:bookmarkStart w:id="30" w:name="_Toc211168286"/>
      <w:r w:rsidRPr="00582A26">
        <w:rPr>
          <w:spacing w:val="0"/>
          <w:lang w:val="en-GB"/>
        </w:rPr>
        <w:t>Discrimination in working life</w:t>
      </w:r>
      <w:bookmarkEnd w:id="29"/>
      <w:bookmarkEnd w:id="30"/>
    </w:p>
    <w:p w14:paraId="693008A4" w14:textId="77777777" w:rsidR="00EE5154" w:rsidRPr="00582A26" w:rsidRDefault="00EE5154" w:rsidP="00EE5154">
      <w:pPr>
        <w:rPr>
          <w:lang w:val="en-GB"/>
        </w:rPr>
      </w:pPr>
      <w:r w:rsidRPr="00582A26">
        <w:rPr>
          <w:lang w:val="en-GB"/>
        </w:rPr>
        <w:t>Most complaints filed with DO concern discrimination in working life and many of these are related to ethnicity. DO's dialogue with civil society organisations and several recent studies, show that discrimination related to ethnicity or to religion or other beliefs, is a widespread problem in working life.</w:t>
      </w:r>
      <w:r w:rsidRPr="00582A26">
        <w:rPr>
          <w:rStyle w:val="Fotnotsreferens"/>
        </w:rPr>
        <w:footnoteReference w:id="18"/>
      </w:r>
      <w:r w:rsidRPr="00582A26">
        <w:rPr>
          <w:lang w:val="en-GB"/>
        </w:rPr>
        <w:t xml:space="preserve"> Complaints filed with DO, research, and dialogues with representatives of civil society show that Afro-Swedes or people who are racialised as black, as well as Muslims and people who are presumed to be Muslims, are particularly affected by discrimination in working life.</w:t>
      </w:r>
      <w:r w:rsidRPr="00582A26">
        <w:rPr>
          <w:rStyle w:val="Fotnotsreferens"/>
        </w:rPr>
        <w:footnoteReference w:id="19"/>
      </w:r>
      <w:r w:rsidRPr="00582A26">
        <w:rPr>
          <w:lang w:val="en-GB"/>
        </w:rPr>
        <w:t xml:space="preserve"> </w:t>
      </w:r>
    </w:p>
    <w:p w14:paraId="72C87A21" w14:textId="77777777" w:rsidR="00EE5154" w:rsidRPr="00582A26" w:rsidRDefault="00EE5154" w:rsidP="00EE5154">
      <w:pPr>
        <w:pStyle w:val="Rubrik4"/>
        <w:rPr>
          <w:spacing w:val="0"/>
          <w:lang w:val="en-GB"/>
        </w:rPr>
      </w:pPr>
      <w:r w:rsidRPr="00582A26">
        <w:rPr>
          <w:spacing w:val="0"/>
          <w:lang w:val="en-GB"/>
        </w:rPr>
        <w:t>Discrimination in recruitment</w:t>
      </w:r>
    </w:p>
    <w:p w14:paraId="10023C2D" w14:textId="77777777" w:rsidR="00EE5154" w:rsidRPr="00582A26" w:rsidRDefault="00EE5154" w:rsidP="00EE5154">
      <w:pPr>
        <w:rPr>
          <w:highlight w:val="yellow"/>
          <w:lang w:val="en-GB"/>
        </w:rPr>
      </w:pPr>
      <w:r w:rsidRPr="00582A26">
        <w:rPr>
          <w:lang w:val="en-GB"/>
        </w:rPr>
        <w:t>Individuals facing discrimination in recruitment processes, is a recurring concern raised in DO's dialogue with civil society. Discrimination complaints filed with DO also highlight that individuals with different ethnic and religious backgrounds, experience discrimination when applying for jobs.</w:t>
      </w:r>
      <w:r w:rsidRPr="00582A26">
        <w:rPr>
          <w:rStyle w:val="Fotnotsreferens"/>
        </w:rPr>
        <w:footnoteReference w:id="20"/>
      </w:r>
      <w:r w:rsidRPr="00582A26">
        <w:rPr>
          <w:lang w:val="en-GB"/>
        </w:rPr>
        <w:t xml:space="preserve"> </w:t>
      </w:r>
      <w:bookmarkStart w:id="32" w:name="_Hlk207970373"/>
    </w:p>
    <w:p w14:paraId="2C6CAFB7" w14:textId="77777777" w:rsidR="00582A26" w:rsidRDefault="00EE5154" w:rsidP="00EE5154">
      <w:pPr>
        <w:rPr>
          <w:lang w:val="en-GB"/>
        </w:rPr>
      </w:pPr>
      <w:r w:rsidRPr="00582A26">
        <w:rPr>
          <w:lang w:val="en-GB"/>
        </w:rPr>
        <w:t>Research on discrimination related to religion or other beliefs in the Swedish context shows</w:t>
      </w:r>
      <w:r w:rsidRPr="00582A26" w:rsidDel="00F26C29">
        <w:rPr>
          <w:lang w:val="en-GB"/>
        </w:rPr>
        <w:t xml:space="preserve"> </w:t>
      </w:r>
      <w:r w:rsidRPr="00582A26">
        <w:rPr>
          <w:lang w:val="en-GB"/>
        </w:rPr>
        <w:t>that individuals with Arabic-sounding or African-sounding names, especially men, are subjected to extensive discrimination in recruitment processes. They are required to apply for two to four times as many jobs as people with Swedish-sounding names</w:t>
      </w:r>
      <w:r w:rsidRPr="00582A26">
        <w:rPr>
          <w:rStyle w:val="Fotnotsreferens"/>
        </w:rPr>
        <w:footnoteReference w:id="21"/>
      </w:r>
      <w:r w:rsidRPr="00582A26">
        <w:rPr>
          <w:lang w:val="en-GB"/>
        </w:rPr>
        <w:t xml:space="preserve"> to have the same chance of receiving a response to their application, despite having the same or </w:t>
      </w:r>
    </w:p>
    <w:p w14:paraId="1E993F26" w14:textId="77777777" w:rsidR="00582A26" w:rsidRDefault="00582A26">
      <w:pPr>
        <w:spacing w:after="0" w:line="240" w:lineRule="auto"/>
        <w:rPr>
          <w:lang w:val="en-GB"/>
        </w:rPr>
      </w:pPr>
      <w:r>
        <w:rPr>
          <w:lang w:val="en-GB"/>
        </w:rPr>
        <w:br w:type="page"/>
      </w:r>
    </w:p>
    <w:p w14:paraId="40CB4B50" w14:textId="609DBE45" w:rsidR="00EE5154" w:rsidRPr="00582A26" w:rsidRDefault="00EE5154" w:rsidP="00EE5154">
      <w:pPr>
        <w:rPr>
          <w:lang w:val="en-GB"/>
        </w:rPr>
      </w:pPr>
      <w:r w:rsidRPr="00582A26">
        <w:rPr>
          <w:lang w:val="en-GB"/>
        </w:rPr>
        <w:lastRenderedPageBreak/>
        <w:t>better qualifications.</w:t>
      </w:r>
      <w:r w:rsidRPr="00582A26">
        <w:rPr>
          <w:rStyle w:val="Fotnotsreferens"/>
        </w:rPr>
        <w:footnoteReference w:id="22"/>
      </w:r>
      <w:r w:rsidRPr="00582A26">
        <w:rPr>
          <w:lang w:val="en-GB"/>
        </w:rPr>
        <w:t xml:space="preserve"> </w:t>
      </w:r>
      <w:bookmarkStart w:id="33" w:name="_Hlk198733145"/>
      <w:bookmarkEnd w:id="32"/>
      <w:r w:rsidRPr="00582A26">
        <w:rPr>
          <w:lang w:val="en-GB"/>
        </w:rPr>
        <w:t>Other studies show that racism and discrimination put Afro-Swedes at a disadvantage in the labour market in several areas of working life, such as the opportunity to obtain higher management positions or favourable wage progression.</w:t>
      </w:r>
      <w:r w:rsidRPr="00582A26">
        <w:rPr>
          <w:rStyle w:val="Fotnotsreferens"/>
        </w:rPr>
        <w:footnoteReference w:id="23"/>
      </w:r>
      <w:r w:rsidRPr="00582A26">
        <w:rPr>
          <w:lang w:val="en-GB"/>
        </w:rPr>
        <w:t xml:space="preserve"> </w:t>
      </w:r>
    </w:p>
    <w:bookmarkEnd w:id="33"/>
    <w:p w14:paraId="5215020B" w14:textId="77777777" w:rsidR="00EE5154" w:rsidRPr="00582A26" w:rsidRDefault="00EE5154" w:rsidP="00EE5154">
      <w:pPr>
        <w:rPr>
          <w:lang w:val="en-GB"/>
        </w:rPr>
      </w:pPr>
      <w:r w:rsidRPr="00582A26">
        <w:rPr>
          <w:lang w:val="en-GB"/>
        </w:rPr>
        <w:t>DO's dialogue with representatives of civil society, as well as complaints filed with DO, also show how individuals experience discrimination during recruitment processes - for example when employers terminate a hiring process because an individual wears a veil or- for religious reasons, does not shake hands with someone of the opposite sex.</w:t>
      </w:r>
      <w:r w:rsidRPr="00582A26">
        <w:rPr>
          <w:rStyle w:val="Fotnotsreferens"/>
        </w:rPr>
        <w:footnoteReference w:id="24"/>
      </w:r>
    </w:p>
    <w:p w14:paraId="0AFC52DD" w14:textId="77777777" w:rsidR="00EE5154" w:rsidRPr="00582A26" w:rsidRDefault="00EE5154" w:rsidP="00EE5154">
      <w:pPr>
        <w:pStyle w:val="Rubrik4"/>
        <w:rPr>
          <w:spacing w:val="0"/>
          <w:lang w:val="en-GB"/>
        </w:rPr>
      </w:pPr>
      <w:r w:rsidRPr="00582A26">
        <w:rPr>
          <w:spacing w:val="0"/>
          <w:lang w:val="en-GB"/>
        </w:rPr>
        <w:t>Harassment and discrimination in the workplace</w:t>
      </w:r>
    </w:p>
    <w:p w14:paraId="0D03AD39" w14:textId="77777777" w:rsidR="00EE5154" w:rsidRPr="00582A26" w:rsidRDefault="00EE5154" w:rsidP="00EE5154">
      <w:pPr>
        <w:rPr>
          <w:highlight w:val="yellow"/>
          <w:lang w:val="en-GB"/>
        </w:rPr>
      </w:pPr>
      <w:r w:rsidRPr="00582A26">
        <w:rPr>
          <w:lang w:val="en-GB"/>
        </w:rPr>
        <w:t>Issues of harassment and discrimination in the workplace are highlighted both in complaints filed with DO and in the dialogue with representatives of civil society. In addition to this, employers’ fail to fulfil the investigation and action obligations mandated by the Discrimination Act.</w:t>
      </w:r>
      <w:r w:rsidRPr="00582A26">
        <w:rPr>
          <w:rStyle w:val="Fotnotsreferens"/>
        </w:rPr>
        <w:footnoteReference w:id="25"/>
      </w:r>
      <w:r w:rsidRPr="00582A26">
        <w:rPr>
          <w:lang w:val="en-GB"/>
        </w:rPr>
        <w:t xml:space="preserve"> In complaints, individuals describe being called derogatory names or being met with distrust by colleagues. In several cases, the harassment is described as being related to the employee's skin colour or presumed ethnic or religious affiliation. Individuals racialized as non-white or who are more visible in their ethnic affiliation or religion through, for example, clothing or religious symbols, appear to be at even greater risk of such treatment.</w:t>
      </w:r>
      <w:r w:rsidRPr="00582A26">
        <w:rPr>
          <w:rStyle w:val="Fotnotsreferens"/>
        </w:rPr>
        <w:footnoteReference w:id="26"/>
      </w:r>
    </w:p>
    <w:p w14:paraId="61191B61" w14:textId="77777777" w:rsidR="00EE5154" w:rsidRPr="00582A26" w:rsidRDefault="00EE5154" w:rsidP="00EE5154">
      <w:pPr>
        <w:pStyle w:val="Rubrik4"/>
        <w:rPr>
          <w:spacing w:val="0"/>
          <w:lang w:val="en-GB"/>
        </w:rPr>
      </w:pPr>
      <w:r w:rsidRPr="00582A26">
        <w:rPr>
          <w:spacing w:val="0"/>
          <w:lang w:val="en-GB"/>
        </w:rPr>
        <w:t xml:space="preserve">Recommendations </w:t>
      </w:r>
    </w:p>
    <w:p w14:paraId="1B3C3082" w14:textId="77777777" w:rsidR="00EE5154" w:rsidRPr="00582A26" w:rsidRDefault="00EE5154" w:rsidP="00EE5154">
      <w:pPr>
        <w:pStyle w:val="Rubrik5"/>
        <w:rPr>
          <w:spacing w:val="0"/>
          <w:lang w:val="en-GB"/>
        </w:rPr>
      </w:pPr>
      <w:r w:rsidRPr="00582A26">
        <w:rPr>
          <w:spacing w:val="0"/>
          <w:lang w:val="en-GB"/>
        </w:rPr>
        <w:t>Transfer cases of discrimination in working life to the general court</w:t>
      </w:r>
    </w:p>
    <w:p w14:paraId="6F1D9DA7" w14:textId="77777777" w:rsidR="00EE5154" w:rsidRPr="00582A26" w:rsidRDefault="00EE5154" w:rsidP="00EE5154">
      <w:pPr>
        <w:rPr>
          <w:lang w:val="en-GB"/>
        </w:rPr>
      </w:pPr>
      <w:bookmarkStart w:id="34" w:name="_Hlk200617168"/>
      <w:r w:rsidRPr="00582A26">
        <w:rPr>
          <w:lang w:val="en-GB"/>
        </w:rPr>
        <w:t>Experiencing discrimination in the workplace can lead to significant negative consequences for individuals. People are excluded from the labour market when they are rejected in recruitment processes, and they are at greater risk of stress and work-related ill health.</w:t>
      </w:r>
      <w:r w:rsidRPr="00582A26">
        <w:rPr>
          <w:rStyle w:val="Fotnotsreferens"/>
        </w:rPr>
        <w:footnoteReference w:id="27"/>
      </w:r>
      <w:r w:rsidRPr="00582A26">
        <w:rPr>
          <w:lang w:val="en-GB"/>
        </w:rPr>
        <w:t xml:space="preserve"> Employers have a far-reaching responsibility to prevent discrimination and </w:t>
      </w:r>
      <w:r w:rsidRPr="00582A26">
        <w:rPr>
          <w:lang w:val="en-GB"/>
        </w:rPr>
        <w:lastRenderedPageBreak/>
        <w:t xml:space="preserve">promote equal rights and opportunities by working with active measures. Effective measures are needed in several areas of working life to ensure that protection against discrimination is provided. </w:t>
      </w:r>
      <w:bookmarkEnd w:id="34"/>
      <w:r w:rsidRPr="00582A26">
        <w:rPr>
          <w:lang w:val="en-GB"/>
        </w:rPr>
        <w:t>Employers must ensure that those involved in recruitment have the relevant knowledge of how to avoid discrimination during the recruitment process and fulfil their own obligation to investigate and address harassment in the workplace.</w:t>
      </w:r>
      <w:r w:rsidRPr="00582A26">
        <w:rPr>
          <w:rStyle w:val="Fotnotsreferens"/>
        </w:rPr>
        <w:footnoteReference w:id="28"/>
      </w:r>
    </w:p>
    <w:p w14:paraId="5E35F2DF" w14:textId="77777777" w:rsidR="00EE5154" w:rsidRPr="00582A26" w:rsidRDefault="00EE5154" w:rsidP="00EE5154">
      <w:pPr>
        <w:rPr>
          <w:lang w:val="en-GB"/>
        </w:rPr>
      </w:pPr>
      <w:bookmarkStart w:id="35" w:name="_Hlk200618758"/>
      <w:bookmarkStart w:id="36" w:name="_Hlk207972219"/>
      <w:r w:rsidRPr="00582A26">
        <w:rPr>
          <w:lang w:val="en-GB"/>
        </w:rPr>
        <w:t>Courts play a crucial role in ensuring individuals' human rights not to be subjected to discrimination in working life. DO sees shortcomings in the current system, where the Labour Court is the first and only court to rule on cases of discrimination in working life, while the general courts have a three-tier system for rulings in other discrimination cases</w:t>
      </w:r>
      <w:bookmarkEnd w:id="35"/>
      <w:r w:rsidRPr="00582A26">
        <w:rPr>
          <w:lang w:val="en-GB"/>
        </w:rPr>
        <w:t>.</w:t>
      </w:r>
      <w:r w:rsidRPr="00582A26">
        <w:rPr>
          <w:rStyle w:val="Fotnotsreferens"/>
        </w:rPr>
        <w:footnoteReference w:id="29"/>
      </w:r>
      <w:r w:rsidRPr="00582A26">
        <w:rPr>
          <w:lang w:val="en-GB"/>
        </w:rPr>
        <w:t xml:space="preserve"> In order for all victims of discrimination to have access to equivalent legal protection (remedies), the adjudication of cases of discrimination in working life must be transferred from the Labour Court to the general courts. DO recommends that the Government take the initiative to:</w:t>
      </w:r>
    </w:p>
    <w:p w14:paraId="56B341BB" w14:textId="77777777" w:rsidR="00EE5154" w:rsidRPr="00582A26" w:rsidRDefault="00EE5154" w:rsidP="00EE5154">
      <w:pPr>
        <w:pStyle w:val="PT-lista2"/>
        <w:numPr>
          <w:ilvl w:val="0"/>
          <w:numId w:val="4"/>
        </w:numPr>
        <w:rPr>
          <w:lang w:val="en-GB"/>
        </w:rPr>
      </w:pPr>
      <w:bookmarkStart w:id="37" w:name="_Hlk200617231"/>
      <w:r w:rsidRPr="00582A26">
        <w:rPr>
          <w:lang w:val="en-GB"/>
        </w:rPr>
        <w:t>change the procedural system so that adjudication of cases concerning discrimination in working life is transferred to the general courts.</w:t>
      </w:r>
    </w:p>
    <w:p w14:paraId="35ED9247" w14:textId="77777777" w:rsidR="00EE5154" w:rsidRPr="00582A26" w:rsidRDefault="00EE5154" w:rsidP="00EE5154">
      <w:pPr>
        <w:pStyle w:val="Rubrik3"/>
        <w:rPr>
          <w:spacing w:val="0"/>
          <w:lang w:val="en-GB"/>
        </w:rPr>
      </w:pPr>
      <w:bookmarkStart w:id="38" w:name="_Toc210986658"/>
      <w:bookmarkStart w:id="39" w:name="_Toc211168287"/>
      <w:bookmarkEnd w:id="36"/>
      <w:bookmarkEnd w:id="37"/>
      <w:r w:rsidRPr="00582A26">
        <w:rPr>
          <w:spacing w:val="0"/>
          <w:lang w:val="en-GB"/>
        </w:rPr>
        <w:t>Discrimination in other areas of society</w:t>
      </w:r>
      <w:bookmarkEnd w:id="38"/>
      <w:bookmarkEnd w:id="39"/>
    </w:p>
    <w:p w14:paraId="7611847B" w14:textId="77777777" w:rsidR="00EE5154" w:rsidRPr="00582A26" w:rsidRDefault="00EE5154" w:rsidP="00EE5154">
      <w:pPr>
        <w:pStyle w:val="Rubrik4"/>
        <w:rPr>
          <w:spacing w:val="0"/>
          <w:lang w:val="en-GB"/>
        </w:rPr>
      </w:pPr>
      <w:bookmarkStart w:id="40" w:name="_Hlk200617289"/>
      <w:r w:rsidRPr="00582A26">
        <w:rPr>
          <w:spacing w:val="0"/>
          <w:lang w:val="en-GB"/>
        </w:rPr>
        <w:t>Discrimination in the rental housing market</w:t>
      </w:r>
    </w:p>
    <w:bookmarkEnd w:id="40"/>
    <w:p w14:paraId="191468F5" w14:textId="77777777" w:rsidR="00EE5154" w:rsidRPr="00582A26" w:rsidRDefault="00EE5154" w:rsidP="00EE5154">
      <w:pPr>
        <w:rPr>
          <w:lang w:val="en-GB"/>
        </w:rPr>
      </w:pPr>
      <w:r w:rsidRPr="00582A26">
        <w:rPr>
          <w:lang w:val="en-GB"/>
        </w:rPr>
        <w:t xml:space="preserve">Studies on both segregation and discrimination, as well as DO's dialogue with representatives of civil society organisations, show that </w:t>
      </w:r>
      <w:bookmarkStart w:id="41" w:name="_Hlk200617373"/>
      <w:r w:rsidRPr="00582A26">
        <w:rPr>
          <w:lang w:val="en-GB"/>
        </w:rPr>
        <w:t>not everyone has equal rights and opportunities in the rental housing market, and that this is related to ethnicity and to religion or other belief</w:t>
      </w:r>
      <w:bookmarkEnd w:id="41"/>
      <w:r w:rsidRPr="00582A26">
        <w:rPr>
          <w:lang w:val="en-GB"/>
        </w:rPr>
        <w:t>s.</w:t>
      </w:r>
      <w:r w:rsidRPr="00582A26">
        <w:rPr>
          <w:rStyle w:val="Fotnotsreferens"/>
        </w:rPr>
        <w:footnoteReference w:id="30"/>
      </w:r>
    </w:p>
    <w:p w14:paraId="3F0B45A9" w14:textId="77777777" w:rsidR="00EE5154" w:rsidRPr="00582A26" w:rsidRDefault="00EE5154" w:rsidP="00EE5154">
      <w:pPr>
        <w:rPr>
          <w:lang w:val="en-GB"/>
        </w:rPr>
      </w:pPr>
      <w:r w:rsidRPr="00582A26">
        <w:rPr>
          <w:lang w:val="en-GB"/>
        </w:rPr>
        <w:t xml:space="preserve">Several studies show that individuals face obstacles and discrimination in accessing the rental housing market. Examples of such obstacles include the various requirements set by landlords, such as high-income requirements and restrictions on types of income, incomplete information about the existing supply of housing and long waiting lists. Additional barriers arise from landlords’ own preferences and biases, which can lead to discrimination. </w:t>
      </w:r>
      <w:bookmarkStart w:id="42" w:name="_Hlk207970774"/>
      <w:r w:rsidRPr="00582A26">
        <w:rPr>
          <w:lang w:val="en-GB"/>
        </w:rPr>
        <w:t>For instance, a study on housing applicants found that men with Swedish-sounding names received more than twice as many invitations to apartment viewings as applicants with Arabic-sounding names.</w:t>
      </w:r>
      <w:r w:rsidRPr="00582A26">
        <w:rPr>
          <w:rStyle w:val="Fotnotsreferens"/>
        </w:rPr>
        <w:footnoteReference w:id="31"/>
      </w:r>
    </w:p>
    <w:bookmarkEnd w:id="42"/>
    <w:p w14:paraId="2E7C4940" w14:textId="77777777" w:rsidR="00EE5154" w:rsidRPr="00582A26" w:rsidRDefault="00EE5154" w:rsidP="00EE5154">
      <w:pPr>
        <w:pStyle w:val="Rubrik4"/>
        <w:rPr>
          <w:spacing w:val="0"/>
          <w:lang w:val="en-GB"/>
        </w:rPr>
      </w:pPr>
      <w:r w:rsidRPr="00582A26">
        <w:rPr>
          <w:spacing w:val="0"/>
          <w:lang w:val="en-GB"/>
        </w:rPr>
        <w:lastRenderedPageBreak/>
        <w:t>Recommendations</w:t>
      </w:r>
    </w:p>
    <w:p w14:paraId="7112E275" w14:textId="77777777" w:rsidR="00EE5154" w:rsidRPr="00582A26" w:rsidRDefault="00EE5154" w:rsidP="00EE5154">
      <w:pPr>
        <w:pStyle w:val="Rubrik5"/>
        <w:rPr>
          <w:spacing w:val="0"/>
          <w:lang w:val="en-GB"/>
        </w:rPr>
      </w:pPr>
      <w:r w:rsidRPr="00582A26">
        <w:rPr>
          <w:spacing w:val="0"/>
          <w:lang w:val="en-GB"/>
        </w:rPr>
        <w:t xml:space="preserve">Increase transparency and take steps to change the Tenancy Act </w:t>
      </w:r>
    </w:p>
    <w:p w14:paraId="7C8683E8" w14:textId="77777777" w:rsidR="00EE5154" w:rsidRPr="00582A26" w:rsidRDefault="00EE5154" w:rsidP="00EE5154">
      <w:pPr>
        <w:rPr>
          <w:lang w:val="en-GB"/>
        </w:rPr>
      </w:pPr>
      <w:r w:rsidRPr="00582A26">
        <w:rPr>
          <w:lang w:val="en-GB"/>
        </w:rPr>
        <w:t>One way to enhance transparency and predictability in the allocation of rental housing could be to require landlords to document their selection process. In addition, there are reasons to consider whether landlords should be required to provide applicants, who have been denied a rental property, information about who was given the property and on what grounds the decision was made.</w:t>
      </w:r>
      <w:r w:rsidRPr="00582A26">
        <w:rPr>
          <w:rStyle w:val="Fotnotsreferens"/>
        </w:rPr>
        <w:footnoteReference w:id="32"/>
      </w:r>
      <w:r w:rsidRPr="00582A26">
        <w:rPr>
          <w:lang w:val="en-GB"/>
        </w:rPr>
        <w:t xml:space="preserve"> DO recommends that the Government take the initiative to:</w:t>
      </w:r>
    </w:p>
    <w:p w14:paraId="4F7F6094" w14:textId="77777777" w:rsidR="00EE5154" w:rsidRPr="00582A26" w:rsidRDefault="00EE5154" w:rsidP="00EE5154">
      <w:pPr>
        <w:pStyle w:val="Punktlista"/>
        <w:numPr>
          <w:ilvl w:val="0"/>
          <w:numId w:val="4"/>
        </w:numPr>
        <w:rPr>
          <w:lang w:val="en-GB"/>
        </w:rPr>
      </w:pPr>
      <w:bookmarkStart w:id="44" w:name="_Hlk200617497"/>
      <w:r w:rsidRPr="00582A26">
        <w:rPr>
          <w:lang w:val="en-GB"/>
        </w:rPr>
        <w:t xml:space="preserve">insert a direct reference to the Discrimination Act in Chapter 12 of the Land Code. </w:t>
      </w:r>
    </w:p>
    <w:p w14:paraId="64A8ECFF" w14:textId="77777777" w:rsidR="00EE5154" w:rsidRPr="00582A26" w:rsidRDefault="00EE5154" w:rsidP="00EE5154">
      <w:pPr>
        <w:pStyle w:val="Punktlista"/>
        <w:numPr>
          <w:ilvl w:val="0"/>
          <w:numId w:val="4"/>
        </w:numPr>
        <w:rPr>
          <w:lang w:val="en-GB"/>
        </w:rPr>
      </w:pPr>
      <w:r w:rsidRPr="00582A26">
        <w:rPr>
          <w:lang w:val="en-GB"/>
        </w:rPr>
        <w:t>increase the protection against discrimination in the Discrimination Act by imposing requirements on landlords to document the selection process and making them subject to a disclosure obligation.</w:t>
      </w:r>
    </w:p>
    <w:p w14:paraId="3F98EDAB" w14:textId="77777777" w:rsidR="00EE5154" w:rsidRPr="00582A26" w:rsidRDefault="00EE5154" w:rsidP="00EE5154">
      <w:pPr>
        <w:pStyle w:val="Rubrik3"/>
        <w:rPr>
          <w:spacing w:val="0"/>
          <w:lang w:val="en-GB"/>
        </w:rPr>
      </w:pPr>
      <w:bookmarkStart w:id="45" w:name="_Toc210986659"/>
      <w:bookmarkStart w:id="46" w:name="_Toc211168288"/>
      <w:bookmarkStart w:id="47" w:name="_Hlk200617552"/>
      <w:bookmarkEnd w:id="44"/>
      <w:r w:rsidRPr="00582A26">
        <w:rPr>
          <w:spacing w:val="0"/>
          <w:lang w:val="en-GB"/>
        </w:rPr>
        <w:t>Individuals are denied care and are subjected to discrimination in health and medical care and in their contacts with social services</w:t>
      </w:r>
      <w:bookmarkEnd w:id="45"/>
      <w:bookmarkEnd w:id="46"/>
      <w:r w:rsidRPr="00582A26">
        <w:rPr>
          <w:spacing w:val="0"/>
          <w:lang w:val="en-GB"/>
        </w:rPr>
        <w:t xml:space="preserve"> </w:t>
      </w:r>
    </w:p>
    <w:bookmarkEnd w:id="47"/>
    <w:p w14:paraId="68E29CB3" w14:textId="77777777" w:rsidR="00EE5154" w:rsidRPr="00582A26" w:rsidRDefault="00EE5154" w:rsidP="00EE5154">
      <w:pPr>
        <w:rPr>
          <w:lang w:val="en-GB"/>
        </w:rPr>
      </w:pPr>
      <w:r w:rsidRPr="00582A26">
        <w:rPr>
          <w:lang w:val="en-GB"/>
        </w:rPr>
        <w:t>Discrimination related to ethnicity in health and medical care can have devastating consequences for those affected.</w:t>
      </w:r>
      <w:r w:rsidRPr="00582A26">
        <w:rPr>
          <w:rStyle w:val="Fotnotsreferens"/>
        </w:rPr>
        <w:footnoteReference w:id="33"/>
      </w:r>
      <w:r w:rsidRPr="00582A26">
        <w:rPr>
          <w:lang w:val="en-GB"/>
        </w:rPr>
        <w:t xml:space="preserve"> Complaints filed with DO show that individuals experience discrimination in several areas of health and medical care. For instance, this can involve Muslim women being treated worse by health care staff, and experiencing that the treatment is related to their wearing of the veil.</w:t>
      </w:r>
      <w:r w:rsidRPr="00582A26">
        <w:rPr>
          <w:rStyle w:val="Fotnotsreferens"/>
        </w:rPr>
        <w:footnoteReference w:id="34"/>
      </w:r>
      <w:r w:rsidRPr="00582A26">
        <w:rPr>
          <w:lang w:val="en-GB"/>
        </w:rPr>
        <w:t xml:space="preserve"> Complaints filed with DO also highlight how Afro-Swedes have been denied care and have received poorer care and treatment than patients with lighter skin.</w:t>
      </w:r>
      <w:r w:rsidRPr="00582A26">
        <w:rPr>
          <w:rStyle w:val="Fotnotsreferens"/>
        </w:rPr>
        <w:footnoteReference w:id="35"/>
      </w:r>
      <w:r w:rsidRPr="00582A26">
        <w:rPr>
          <w:lang w:val="en-GB"/>
        </w:rPr>
        <w:t xml:space="preserve"> Recent studies also show systematic shortcomings in the quality and equality of health and medical care, for example maternity and obstetric care.</w:t>
      </w:r>
      <w:r w:rsidRPr="00582A26">
        <w:rPr>
          <w:rStyle w:val="Fotnotsreferens"/>
        </w:rPr>
        <w:footnoteReference w:id="36"/>
      </w:r>
    </w:p>
    <w:p w14:paraId="58A2683A" w14:textId="77777777" w:rsidR="00EE5154" w:rsidRPr="00582A26" w:rsidRDefault="00EE5154" w:rsidP="00EE5154">
      <w:pPr>
        <w:rPr>
          <w:lang w:val="en-GB"/>
        </w:rPr>
      </w:pPr>
      <w:r w:rsidRPr="00582A26">
        <w:rPr>
          <w:lang w:val="en-GB"/>
        </w:rPr>
        <w:t xml:space="preserve">Complaints filed with DO also describe discrimination related to ethnicity or to religion or other beliefs in the interactions with social services. </w:t>
      </w:r>
      <w:bookmarkStart w:id="48" w:name="_Hlk200617690"/>
      <w:r w:rsidRPr="00582A26">
        <w:rPr>
          <w:lang w:val="en-GB"/>
        </w:rPr>
        <w:t>For example, investigations and decisions by social services committees are perceived to be influenced by civil servants' perceptions and negative prejudices.</w:t>
      </w:r>
      <w:bookmarkEnd w:id="48"/>
      <w:r w:rsidRPr="00582A26">
        <w:rPr>
          <w:rStyle w:val="Fotnotsreferens"/>
        </w:rPr>
        <w:footnoteReference w:id="37"/>
      </w:r>
      <w:r w:rsidRPr="00582A26">
        <w:rPr>
          <w:lang w:val="en-GB"/>
        </w:rPr>
        <w:t xml:space="preserve"> Differences in social service interventions- such as </w:t>
      </w:r>
      <w:r w:rsidRPr="00582A26">
        <w:rPr>
          <w:lang w:val="en-GB"/>
        </w:rPr>
        <w:lastRenderedPageBreak/>
        <w:t>between boys and girls or between children of different ethnic backgrounds, despite similar needs, are also confirmed in other studies.</w:t>
      </w:r>
      <w:r w:rsidRPr="00582A26">
        <w:rPr>
          <w:rStyle w:val="Fotnotsreferens"/>
        </w:rPr>
        <w:footnoteReference w:id="38"/>
      </w:r>
      <w:r w:rsidRPr="00582A26">
        <w:rPr>
          <w:lang w:val="en-GB"/>
        </w:rPr>
        <w:t xml:space="preserve"> </w:t>
      </w:r>
    </w:p>
    <w:p w14:paraId="698553CE" w14:textId="77777777" w:rsidR="00EE5154" w:rsidRPr="00582A26" w:rsidRDefault="00EE5154" w:rsidP="00EE5154">
      <w:pPr>
        <w:pStyle w:val="Rubrik4"/>
        <w:rPr>
          <w:spacing w:val="0"/>
          <w:lang w:val="en-GB"/>
        </w:rPr>
      </w:pPr>
      <w:bookmarkStart w:id="49" w:name="_Hlk200617705"/>
      <w:r w:rsidRPr="00582A26">
        <w:rPr>
          <w:spacing w:val="0"/>
          <w:lang w:val="en-GB"/>
        </w:rPr>
        <w:t>Goods and services, individuals denied access or rejected.</w:t>
      </w:r>
    </w:p>
    <w:p w14:paraId="3AED04C4" w14:textId="77777777" w:rsidR="00EE5154" w:rsidRPr="00582A26" w:rsidRDefault="00EE5154" w:rsidP="00EE5154">
      <w:pPr>
        <w:rPr>
          <w:lang w:val="en-GB"/>
        </w:rPr>
      </w:pPr>
      <w:bookmarkStart w:id="50" w:name="_Hlk200617721"/>
      <w:bookmarkEnd w:id="49"/>
      <w:r w:rsidRPr="00582A26">
        <w:rPr>
          <w:lang w:val="en-GB"/>
        </w:rPr>
        <w:t>Complaints filed with DO describe how individuals are denied access to, or rejected from, commercial establishments open to the public, for reasons perceived to be related to ethnicity or to religion or other beliefs.</w:t>
      </w:r>
      <w:r w:rsidRPr="00582A26">
        <w:rPr>
          <w:rStyle w:val="Fotnotsreferens"/>
        </w:rPr>
        <w:footnoteReference w:id="39"/>
      </w:r>
      <w:r w:rsidRPr="00582A26">
        <w:rPr>
          <w:lang w:val="en-GB"/>
        </w:rPr>
        <w:t xml:space="preserve"> These include public transport, shops, restaurants and nightclubs</w:t>
      </w:r>
      <w:bookmarkEnd w:id="50"/>
      <w:r w:rsidRPr="00582A26">
        <w:rPr>
          <w:lang w:val="en-GB"/>
        </w:rPr>
        <w:t>. Individuals also experience being denied the purchase of goods or access to services, such as banking services, for reasons related to ethnicity or religion or other beliefs. For example, banks have denied individuals service or subjected them to additional background checks based on their name or ethnicity, with reference to the Act on Measures against Money Laundering and Terrorist Financing (2017:630). This in turn, places high demands on banks to have good knowledge of their customers. Difficulties in obtaining bank accounts are an issue that DO has long been aware of, as well as being highlighted in research.</w:t>
      </w:r>
      <w:r w:rsidRPr="00582A26">
        <w:rPr>
          <w:rStyle w:val="Fotnotsreferens"/>
        </w:rPr>
        <w:footnoteReference w:id="40"/>
      </w:r>
      <w:bookmarkStart w:id="51" w:name="_Hlk200617757"/>
    </w:p>
    <w:p w14:paraId="31DCA181" w14:textId="77777777" w:rsidR="00EE5154" w:rsidRPr="00582A26" w:rsidRDefault="00EE5154" w:rsidP="00EE5154">
      <w:pPr>
        <w:pStyle w:val="Rubrik4"/>
        <w:rPr>
          <w:spacing w:val="0"/>
          <w:lang w:val="en-GB"/>
        </w:rPr>
      </w:pPr>
      <w:r w:rsidRPr="00582A26">
        <w:rPr>
          <w:spacing w:val="0"/>
          <w:lang w:val="en-GB"/>
        </w:rPr>
        <w:t xml:space="preserve">Recommendations </w:t>
      </w:r>
    </w:p>
    <w:bookmarkEnd w:id="51"/>
    <w:p w14:paraId="782CA495" w14:textId="77777777" w:rsidR="00EE5154" w:rsidRPr="00582A26" w:rsidRDefault="00EE5154" w:rsidP="00EE5154">
      <w:pPr>
        <w:pStyle w:val="Rubrik5"/>
        <w:rPr>
          <w:spacing w:val="0"/>
          <w:lang w:val="en-GB"/>
        </w:rPr>
      </w:pPr>
      <w:r w:rsidRPr="00582A26">
        <w:rPr>
          <w:spacing w:val="0"/>
          <w:lang w:val="en-GB"/>
        </w:rPr>
        <w:t>The State, regions and municipalities must be able to impose greater requirements for non-discrimination</w:t>
      </w:r>
    </w:p>
    <w:p w14:paraId="63B2D659" w14:textId="77777777" w:rsidR="00EE5154" w:rsidRPr="00582A26" w:rsidRDefault="00EE5154" w:rsidP="00EE5154">
      <w:pPr>
        <w:rPr>
          <w:lang w:val="en-GB"/>
        </w:rPr>
      </w:pPr>
      <w:r w:rsidRPr="00582A26">
        <w:rPr>
          <w:lang w:val="en-GB"/>
        </w:rPr>
        <w:t>To ensure that public funds are not allocated to companies that discriminate, stricter non-discrimination requirements should be imposed to a greater extent in areas such as public procurement for the purchase of goods and services. This may involve procurement ranging from security companies and healthcare providers to public transport operators. Similarly, government agencies that issue various permits, such as alcohol licences for restaurants, should be able to impose non-discrimination requirements to a greater extent. DO recommends that the Government take the initiative to:</w:t>
      </w:r>
    </w:p>
    <w:p w14:paraId="5ED5F5AA" w14:textId="73494D4E" w:rsidR="00EE5154" w:rsidRPr="00582A26" w:rsidRDefault="00EE5154" w:rsidP="00EE5154">
      <w:pPr>
        <w:pStyle w:val="PT-lista2"/>
        <w:numPr>
          <w:ilvl w:val="0"/>
          <w:numId w:val="4"/>
        </w:numPr>
        <w:rPr>
          <w:lang w:val="en-GB"/>
        </w:rPr>
      </w:pPr>
      <w:bookmarkStart w:id="52" w:name="_Hlk200617776"/>
      <w:r w:rsidRPr="00582A26">
        <w:rPr>
          <w:lang w:val="en-GB"/>
        </w:rPr>
        <w:t xml:space="preserve">investigate how the state, regions and municipalities can, to a greater extent, impose requirements on non-discrimination in areas such as public procurement, licensing or similar, with the aim to strengthening efforts to combat discrimination. Furthermore, investigate how the requirements can be </w:t>
      </w:r>
      <w:r w:rsidR="00B0382B" w:rsidRPr="00582A26">
        <w:rPr>
          <w:lang w:val="en-GB"/>
        </w:rPr>
        <w:t>effectively</w:t>
      </w:r>
      <w:r w:rsidR="00B0382B">
        <w:rPr>
          <w:lang w:val="en-GB"/>
        </w:rPr>
        <w:t xml:space="preserve"> </w:t>
      </w:r>
      <w:r w:rsidR="005B6614">
        <w:rPr>
          <w:lang w:val="en-GB"/>
        </w:rPr>
        <w:t xml:space="preserve">implemented and </w:t>
      </w:r>
      <w:r w:rsidRPr="00582A26">
        <w:rPr>
          <w:lang w:val="en-GB"/>
        </w:rPr>
        <w:t xml:space="preserve">followed up on. </w:t>
      </w:r>
      <w:bookmarkEnd w:id="52"/>
    </w:p>
    <w:p w14:paraId="513E52B9" w14:textId="77777777" w:rsidR="00EE5154" w:rsidRPr="00582A26" w:rsidRDefault="00EE5154" w:rsidP="00EE5154">
      <w:pPr>
        <w:pStyle w:val="Rubrik2"/>
        <w:rPr>
          <w:spacing w:val="0"/>
          <w:lang w:val="en-GB"/>
        </w:rPr>
      </w:pPr>
      <w:bookmarkStart w:id="53" w:name="_Toc210986660"/>
      <w:bookmarkStart w:id="54" w:name="_Toc211168289"/>
      <w:r w:rsidRPr="00582A26">
        <w:rPr>
          <w:spacing w:val="0"/>
          <w:lang w:val="en-GB"/>
        </w:rPr>
        <w:lastRenderedPageBreak/>
        <w:t>Discrimination against national minorities (articles 5 and 6)</w:t>
      </w:r>
      <w:bookmarkEnd w:id="53"/>
      <w:bookmarkEnd w:id="54"/>
    </w:p>
    <w:p w14:paraId="5EF8667C" w14:textId="77777777" w:rsidR="00EE5154" w:rsidRPr="00582A26" w:rsidRDefault="00EE5154" w:rsidP="00EE5154">
      <w:pPr>
        <w:pStyle w:val="Rubrik3"/>
        <w:rPr>
          <w:spacing w:val="0"/>
          <w:lang w:val="en-GB"/>
        </w:rPr>
      </w:pPr>
      <w:bookmarkStart w:id="55" w:name="_Toc210986661"/>
      <w:bookmarkStart w:id="56" w:name="_Toc211168290"/>
      <w:bookmarkStart w:id="57" w:name="_Hlk200617836"/>
      <w:r w:rsidRPr="00582A26">
        <w:rPr>
          <w:spacing w:val="0"/>
          <w:lang w:val="en-GB"/>
        </w:rPr>
        <w:t>Common experiences of shortcomings in linguistic rights, harassment, and marginalisation and abuse, throughout history</w:t>
      </w:r>
      <w:bookmarkEnd w:id="55"/>
      <w:bookmarkEnd w:id="56"/>
      <w:r w:rsidRPr="00582A26">
        <w:rPr>
          <w:spacing w:val="0"/>
          <w:lang w:val="en-GB"/>
        </w:rPr>
        <w:t xml:space="preserve"> </w:t>
      </w:r>
    </w:p>
    <w:bookmarkEnd w:id="57"/>
    <w:p w14:paraId="7A8096BC" w14:textId="77777777" w:rsidR="00EE5154" w:rsidRPr="00582A26" w:rsidRDefault="00EE5154" w:rsidP="00EE5154">
      <w:pPr>
        <w:rPr>
          <w:lang w:val="en-GB"/>
        </w:rPr>
      </w:pPr>
      <w:r w:rsidRPr="00582A26">
        <w:rPr>
          <w:lang w:val="en-GB"/>
        </w:rPr>
        <w:t>As far as DO can ascertain, there are certain experiences of discrimination that are shared by Jews, Roma, Sami, Swedish Finns and Tornedalers.  Above all, minorities experience difficulties in terms of access to linguistic rights such as a lack of opportunities for children and young people to develop their mother tongue, as well as the constrained possibilities to use their mother tongue or practice their culture or religion, when in contact with authorities in school and in elderly care. It has also become evident in DO’s dialogue with representatives of the national minorities that the minorities share experiences of discrimination in the form of harassment in schools and workplaces. Limited opportunities for influence and participation in decisions that affect them are also issues that are repeatedly raised. DO sees that national minorities also share experiences of discrimination and marginalisation and abuse throughout history, and that historical injustices continue to affect the occurrence of discrimination and their living conditions today.</w:t>
      </w:r>
      <w:r w:rsidRPr="00582A26">
        <w:rPr>
          <w:rStyle w:val="Fotnotsreferens"/>
        </w:rPr>
        <w:footnoteReference w:id="41"/>
      </w:r>
    </w:p>
    <w:p w14:paraId="32239585" w14:textId="77777777" w:rsidR="00EE5154" w:rsidRPr="00582A26" w:rsidRDefault="00EE5154" w:rsidP="00EE5154">
      <w:pPr>
        <w:pStyle w:val="Rubrik3"/>
        <w:rPr>
          <w:spacing w:val="0"/>
          <w:lang w:val="en-GB"/>
        </w:rPr>
      </w:pPr>
      <w:bookmarkStart w:id="59" w:name="_Toc210986662"/>
      <w:bookmarkStart w:id="60" w:name="_Toc211168291"/>
      <w:r w:rsidRPr="00582A26">
        <w:rPr>
          <w:spacing w:val="0"/>
          <w:lang w:val="en-GB"/>
        </w:rPr>
        <w:t>Lack of access to linguistic rights for Swedish Finns and Tornedalers</w:t>
      </w:r>
      <w:bookmarkEnd w:id="59"/>
      <w:bookmarkEnd w:id="60"/>
      <w:r w:rsidRPr="00582A26">
        <w:rPr>
          <w:spacing w:val="0"/>
          <w:lang w:val="en-GB"/>
        </w:rPr>
        <w:t xml:space="preserve"> </w:t>
      </w:r>
    </w:p>
    <w:p w14:paraId="1A2BE676" w14:textId="77777777" w:rsidR="00EE5154" w:rsidRPr="00582A26" w:rsidRDefault="00EE5154" w:rsidP="00EE5154">
      <w:pPr>
        <w:rPr>
          <w:lang w:val="en-GB"/>
        </w:rPr>
      </w:pPr>
      <w:r w:rsidRPr="00582A26">
        <w:rPr>
          <w:lang w:val="en-GB"/>
        </w:rPr>
        <w:t>DO receives relatively few complaints concerning discrimination against Swedish Finns and Tornedalers. The complaints filed with DO almost exclusively concern lack of access to linguistic rights and, in some cases, discrimination and harassment in schools and workplaces.</w:t>
      </w:r>
      <w:r w:rsidRPr="00582A26">
        <w:rPr>
          <w:rStyle w:val="Fotnotsreferens"/>
        </w:rPr>
        <w:footnoteReference w:id="42"/>
      </w:r>
      <w:r w:rsidRPr="00582A26">
        <w:rPr>
          <w:lang w:val="en-GB"/>
        </w:rPr>
        <w:t xml:space="preserve"> </w:t>
      </w:r>
    </w:p>
    <w:p w14:paraId="2134F9DC" w14:textId="77777777" w:rsidR="00EE5154" w:rsidRPr="00582A26" w:rsidRDefault="00EE5154" w:rsidP="00EE5154">
      <w:pPr>
        <w:pStyle w:val="Rubrik3"/>
        <w:rPr>
          <w:spacing w:val="0"/>
          <w:lang w:val="en-GB"/>
        </w:rPr>
      </w:pPr>
      <w:bookmarkStart w:id="61" w:name="_Toc210986663"/>
      <w:bookmarkStart w:id="62" w:name="_Toc211168292"/>
      <w:bookmarkStart w:id="63" w:name="_Hlk200617876"/>
      <w:r w:rsidRPr="00582A26">
        <w:rPr>
          <w:spacing w:val="0"/>
          <w:lang w:val="en-GB"/>
        </w:rPr>
        <w:t>Jewish children and pupils face discrimination in schools</w:t>
      </w:r>
      <w:bookmarkEnd w:id="61"/>
      <w:bookmarkEnd w:id="62"/>
    </w:p>
    <w:bookmarkEnd w:id="63"/>
    <w:p w14:paraId="08624138" w14:textId="77777777" w:rsidR="00EE5154" w:rsidRPr="00582A26" w:rsidRDefault="00EE5154" w:rsidP="00EE5154">
      <w:pPr>
        <w:rPr>
          <w:lang w:val="en-GB"/>
        </w:rPr>
      </w:pPr>
      <w:r w:rsidRPr="00582A26">
        <w:rPr>
          <w:lang w:val="en-GB"/>
        </w:rPr>
        <w:t>In DO's dialogue with Jewish organisations and faith communities, it has become clear that Jewish pupils are subjected to discrimination in schools, and that harassment and anti-Semitic expression are common in the school environment. Schools are failing to investigate harassment and to take appropriate measures to address this in accordance with the requirements of the Discrimination Act.</w:t>
      </w:r>
      <w:r w:rsidRPr="00582A26">
        <w:rPr>
          <w:rStyle w:val="Fotnotsreferens"/>
        </w:rPr>
        <w:footnoteReference w:id="43"/>
      </w:r>
      <w:r w:rsidRPr="00582A26">
        <w:rPr>
          <w:lang w:val="en-GB"/>
        </w:rPr>
        <w:t xml:space="preserve"> There are also reports of discrimination related to Jewish cultural and religious expression, such as denial of Jewish elderly care or denial to provide kosher food in schools.</w:t>
      </w:r>
      <w:r w:rsidRPr="00582A26">
        <w:rPr>
          <w:rStyle w:val="Fotnotsreferens"/>
        </w:rPr>
        <w:footnoteReference w:id="44"/>
      </w:r>
    </w:p>
    <w:p w14:paraId="3C6CC215" w14:textId="77777777" w:rsidR="00EE5154" w:rsidRPr="00582A26" w:rsidRDefault="00EE5154" w:rsidP="00EE5154">
      <w:pPr>
        <w:pStyle w:val="Rubrik3"/>
        <w:rPr>
          <w:spacing w:val="0"/>
          <w:lang w:val="en-GB"/>
        </w:rPr>
      </w:pPr>
      <w:bookmarkStart w:id="64" w:name="_Toc210986664"/>
      <w:bookmarkStart w:id="65" w:name="_Toc211168293"/>
      <w:bookmarkStart w:id="66" w:name="_Hlk200617908"/>
      <w:r w:rsidRPr="00582A26">
        <w:rPr>
          <w:spacing w:val="0"/>
          <w:lang w:val="en-GB"/>
        </w:rPr>
        <w:lastRenderedPageBreak/>
        <w:t>Discrimination against Roma is widespread and occurs in all areas of society</w:t>
      </w:r>
      <w:bookmarkEnd w:id="64"/>
      <w:bookmarkEnd w:id="65"/>
    </w:p>
    <w:bookmarkEnd w:id="66"/>
    <w:p w14:paraId="335E7712" w14:textId="77777777" w:rsidR="00EE5154" w:rsidRPr="00582A26" w:rsidRDefault="00EE5154" w:rsidP="00EE5154">
      <w:pPr>
        <w:rPr>
          <w:lang w:val="en-GB"/>
        </w:rPr>
      </w:pPr>
      <w:r w:rsidRPr="00582A26">
        <w:rPr>
          <w:lang w:val="en-GB"/>
        </w:rPr>
        <w:t>Complaints of discrimination against Roma often concern discrimination in the provision of goods and services, such as in shops, restaurants and hotels. The discrimination often takes place openly and frequently in the presence of children and others. Many complaints of discrimination against Roma over the years have concerned discrimination in the housing market. Roma report experiencing being rejected in housing allocation processes and being denied the right to buy tenant-owned housing on grounds related to their ethnicity. There are also complaints of discrimination in health and medical care and social services related to the treatment and handling of their cases. Roma experiences of discrimination in school and in encounters with the police are also recurring themes in discrimination complaints.</w:t>
      </w:r>
      <w:r w:rsidRPr="00582A26">
        <w:rPr>
          <w:rStyle w:val="Fotnotsreferens"/>
        </w:rPr>
        <w:footnoteReference w:id="45"/>
      </w:r>
      <w:r w:rsidRPr="00582A26">
        <w:rPr>
          <w:lang w:val="en-GB"/>
        </w:rPr>
        <w:t xml:space="preserve"> </w:t>
      </w:r>
    </w:p>
    <w:p w14:paraId="4A0AC667" w14:textId="77777777" w:rsidR="00EE5154" w:rsidRPr="00582A26" w:rsidRDefault="00EE5154" w:rsidP="00EE5154">
      <w:pPr>
        <w:pStyle w:val="Rubrik3"/>
        <w:rPr>
          <w:spacing w:val="0"/>
          <w:lang w:val="en-GB"/>
        </w:rPr>
      </w:pPr>
      <w:bookmarkStart w:id="67" w:name="_Toc210986665"/>
      <w:bookmarkStart w:id="68" w:name="_Toc211168294"/>
      <w:r w:rsidRPr="00582A26">
        <w:rPr>
          <w:spacing w:val="0"/>
          <w:lang w:val="en-GB"/>
        </w:rPr>
        <w:t>Discrimination against the Sami as an indigenous people</w:t>
      </w:r>
      <w:bookmarkEnd w:id="67"/>
      <w:bookmarkEnd w:id="68"/>
    </w:p>
    <w:p w14:paraId="1A6A4798" w14:textId="77777777" w:rsidR="00EE5154" w:rsidRPr="00582A26" w:rsidRDefault="00EE5154" w:rsidP="00EE5154">
      <w:pPr>
        <w:rPr>
          <w:lang w:val="en-GB"/>
        </w:rPr>
      </w:pPr>
      <w:r w:rsidRPr="00582A26">
        <w:rPr>
          <w:lang w:val="en-GB"/>
        </w:rPr>
        <w:t>The number of complaints filed by Sami is relatively low. The complaints mainly concern lack of access to linguistic rights but also experiences of discrimination in encounters with government agencies, such as county administrative boards and the police. However, in DO’s dialogue with the Sámi, it is evident that they experience discrimination across all areas of society.</w:t>
      </w:r>
      <w:r w:rsidRPr="00582A26">
        <w:rPr>
          <w:rStyle w:val="Fotnotsreferens"/>
        </w:rPr>
        <w:footnoteReference w:id="46"/>
      </w:r>
      <w:r w:rsidRPr="00582A26">
        <w:rPr>
          <w:lang w:val="en-GB"/>
        </w:rPr>
        <w:t xml:space="preserve"> DO has for a long time also highlighted problems with discrimination against the Sami as an indigenous people and that the Swedish Sami policy neither includes legislation nor measures that ensure the rights of the Sámi as an indigenous people. This also serves to create tensions within local communities and situations in which the Sámi experience discrimination.</w:t>
      </w:r>
      <w:r w:rsidRPr="00582A26">
        <w:rPr>
          <w:rStyle w:val="Fotnotsreferens"/>
        </w:rPr>
        <w:footnoteReference w:id="47"/>
      </w:r>
    </w:p>
    <w:p w14:paraId="7A495474" w14:textId="77777777" w:rsidR="00EE5154" w:rsidRPr="00582A26" w:rsidRDefault="00EE5154" w:rsidP="00EE5154">
      <w:pPr>
        <w:pStyle w:val="Rubrik4"/>
        <w:rPr>
          <w:spacing w:val="0"/>
          <w:lang w:val="en-GB"/>
        </w:rPr>
      </w:pPr>
      <w:bookmarkStart w:id="69" w:name="_Hlk200617959"/>
      <w:r w:rsidRPr="00582A26">
        <w:rPr>
          <w:spacing w:val="0"/>
          <w:lang w:val="en-GB"/>
        </w:rPr>
        <w:t xml:space="preserve">Recommendations </w:t>
      </w:r>
    </w:p>
    <w:bookmarkEnd w:id="69"/>
    <w:p w14:paraId="6A39D5DB" w14:textId="77777777" w:rsidR="00EE5154" w:rsidRPr="00582A26" w:rsidRDefault="00EE5154" w:rsidP="00EE5154">
      <w:pPr>
        <w:pStyle w:val="Rubrik5"/>
        <w:rPr>
          <w:spacing w:val="0"/>
          <w:lang w:val="en-GB"/>
        </w:rPr>
      </w:pPr>
      <w:r w:rsidRPr="00582A26">
        <w:rPr>
          <w:spacing w:val="0"/>
          <w:lang w:val="en-GB"/>
        </w:rPr>
        <w:t>Language as a ground of discrimination</w:t>
      </w:r>
    </w:p>
    <w:p w14:paraId="47CE2C2B" w14:textId="77777777" w:rsidR="00EE5154" w:rsidRPr="00582A26" w:rsidRDefault="00EE5154" w:rsidP="00EE5154">
      <w:pPr>
        <w:rPr>
          <w:lang w:val="en-GB"/>
        </w:rPr>
      </w:pPr>
      <w:r w:rsidRPr="00582A26">
        <w:rPr>
          <w:lang w:val="en-GB"/>
        </w:rPr>
        <w:t>DO sees a clear connection between deficiencies in the national minorities' lack of access to linguistic and cultural rights and discrimination against the national minorities. Efforts have been made to preserve and promote the national minority languages</w:t>
      </w:r>
      <w:r w:rsidRPr="00582A26">
        <w:rPr>
          <w:rStyle w:val="Fotnotsreferens"/>
        </w:rPr>
        <w:footnoteReference w:id="48"/>
      </w:r>
      <w:r w:rsidRPr="00582A26">
        <w:rPr>
          <w:lang w:val="en-GB"/>
        </w:rPr>
        <w:t xml:space="preserve">, but there is still no comprehensive approach or cohesive strategy for how Sweden will ensure that </w:t>
      </w:r>
      <w:r w:rsidRPr="00582A26">
        <w:rPr>
          <w:lang w:val="en-GB"/>
        </w:rPr>
        <w:lastRenderedPageBreak/>
        <w:t>Jews, Roma, Sami, Swedish Finns and Tornedalers have access to linguistic rights.</w:t>
      </w:r>
      <w:r w:rsidRPr="00582A26">
        <w:rPr>
          <w:rStyle w:val="Fotnotsreferens"/>
        </w:rPr>
        <w:footnoteReference w:id="49"/>
      </w:r>
      <w:r w:rsidRPr="00582A26">
        <w:rPr>
          <w:lang w:val="en-GB"/>
        </w:rPr>
        <w:t xml:space="preserve"> Linguistic discrimination is currently only partially covered by the Discrimination Act's prohibition of discrimination based on ethnicity. DO recommends that the Government take the initiative to:</w:t>
      </w:r>
    </w:p>
    <w:p w14:paraId="4B813FE4" w14:textId="77777777" w:rsidR="00EE5154" w:rsidRPr="00582A26" w:rsidRDefault="00EE5154" w:rsidP="00EE5154">
      <w:pPr>
        <w:pStyle w:val="Liststycke"/>
        <w:numPr>
          <w:ilvl w:val="0"/>
          <w:numId w:val="25"/>
        </w:numPr>
        <w:rPr>
          <w:lang w:val="en-GB"/>
        </w:rPr>
      </w:pPr>
      <w:bookmarkStart w:id="70" w:name="_Hlk200617975"/>
      <w:r w:rsidRPr="00582A26">
        <w:rPr>
          <w:lang w:val="en-GB"/>
        </w:rPr>
        <w:t>investigate the introduction of language as an independent ground of discrimination in the Discrimination Act.</w:t>
      </w:r>
    </w:p>
    <w:p w14:paraId="387CF89A" w14:textId="77777777" w:rsidR="00EE5154" w:rsidRPr="00582A26" w:rsidRDefault="00EE5154" w:rsidP="00EE5154">
      <w:pPr>
        <w:pStyle w:val="Rubrik5"/>
        <w:rPr>
          <w:spacing w:val="0"/>
          <w:lang w:val="en-GB"/>
        </w:rPr>
      </w:pPr>
      <w:bookmarkStart w:id="71" w:name="_Hlk198904047"/>
      <w:bookmarkEnd w:id="70"/>
      <w:r w:rsidRPr="00582A26">
        <w:rPr>
          <w:spacing w:val="0"/>
          <w:lang w:val="en-GB"/>
        </w:rPr>
        <w:t>Enforceability and strengthened legal protection of the rights of national minorities</w:t>
      </w:r>
    </w:p>
    <w:bookmarkEnd w:id="71"/>
    <w:p w14:paraId="2D59FF91" w14:textId="77777777" w:rsidR="00EE5154" w:rsidRPr="00582A26" w:rsidRDefault="00EE5154" w:rsidP="00EE5154">
      <w:pPr>
        <w:rPr>
          <w:lang w:val="en-GB"/>
        </w:rPr>
      </w:pPr>
      <w:r w:rsidRPr="00582A26">
        <w:rPr>
          <w:lang w:val="en-GB"/>
        </w:rPr>
        <w:t>DO has for a long time pointed out deficiencies in Sweden's compliance with the Council of Europe’s Framework Convention for the Protection of National Minorities and the European Charter for Regional or Minority Languages. DO has been critical of the regulations governing the education of mother tongue languages, preschool activities and elderly care in minority languages, as well as deficiencies in training in the languages for teachers. Furthermore, DO calls for a clear human rights-based approach when it comes to initiatives and follow-ups in this area. The issue of enforceability is key to ensuring that the rights enshrined in Swedish legislation can be realised.</w:t>
      </w:r>
      <w:r w:rsidRPr="00582A26">
        <w:rPr>
          <w:rStyle w:val="Fotnotsreferens"/>
        </w:rPr>
        <w:footnoteReference w:id="50"/>
      </w:r>
      <w:r w:rsidRPr="00582A26">
        <w:rPr>
          <w:lang w:val="en-GB"/>
        </w:rPr>
        <w:t xml:space="preserve"> </w:t>
      </w:r>
    </w:p>
    <w:p w14:paraId="64EB27C3" w14:textId="5BCB52F9" w:rsidR="00EE5154" w:rsidRPr="00582A26" w:rsidRDefault="00EE5154" w:rsidP="00EE5154">
      <w:pPr>
        <w:rPr>
          <w:lang w:val="en-GB"/>
        </w:rPr>
      </w:pPr>
      <w:r w:rsidRPr="00582A26">
        <w:rPr>
          <w:lang w:val="en-GB"/>
        </w:rPr>
        <w:t>DO finds that there are several issues within the education sector that require further investigation, such as the possibility of school leave on Jewish holidays, and ensuring the ability to maintain kosher practices in schools.</w:t>
      </w:r>
      <w:r w:rsidRPr="00582A26">
        <w:rPr>
          <w:rStyle w:val="Fotnotsreferens"/>
        </w:rPr>
        <w:footnoteReference w:id="51"/>
      </w:r>
      <w:r w:rsidRPr="00582A26">
        <w:rPr>
          <w:lang w:val="en-GB"/>
        </w:rPr>
        <w:t xml:space="preserve"> Legislation and regulations are needed to promote religious freedom and protect the Jewish minority's access to their rights without discrimination. DO recommends that the Government take the initiative to:</w:t>
      </w:r>
    </w:p>
    <w:p w14:paraId="2C615FD9" w14:textId="77777777" w:rsidR="00EE5154" w:rsidRPr="00582A26" w:rsidRDefault="00EE5154" w:rsidP="00EE5154">
      <w:pPr>
        <w:pStyle w:val="Punktlista"/>
        <w:numPr>
          <w:ilvl w:val="0"/>
          <w:numId w:val="4"/>
        </w:numPr>
        <w:rPr>
          <w:lang w:val="en-GB"/>
        </w:rPr>
      </w:pPr>
      <w:bookmarkStart w:id="72" w:name="_Hlk200617989"/>
      <w:r w:rsidRPr="00582A26">
        <w:rPr>
          <w:lang w:val="en-GB"/>
        </w:rPr>
        <w:t xml:space="preserve">clarify the provisions in the legislation concerning national minorities based on the wording of the Minority Conventions and ensure that individuals are able to access these rights. </w:t>
      </w:r>
    </w:p>
    <w:p w14:paraId="2EA6D2E9" w14:textId="77777777" w:rsidR="00EE5154" w:rsidRPr="00582A26" w:rsidRDefault="00EE5154" w:rsidP="00EE5154">
      <w:pPr>
        <w:pStyle w:val="Punktlista"/>
        <w:numPr>
          <w:ilvl w:val="0"/>
          <w:numId w:val="4"/>
        </w:numPr>
        <w:rPr>
          <w:lang w:val="en-GB"/>
        </w:rPr>
      </w:pPr>
      <w:r w:rsidRPr="00582A26">
        <w:rPr>
          <w:lang w:val="en-GB"/>
        </w:rPr>
        <w:t>establish or designate one or more authorities with supervisory responsibility over legislation regulating the rights of national minorities.</w:t>
      </w:r>
    </w:p>
    <w:p w14:paraId="50F60EA2" w14:textId="77777777" w:rsidR="00EE5154" w:rsidRPr="00582A26" w:rsidRDefault="00EE5154" w:rsidP="00EE5154">
      <w:pPr>
        <w:pStyle w:val="Punktlista"/>
        <w:numPr>
          <w:ilvl w:val="0"/>
          <w:numId w:val="4"/>
        </w:numPr>
        <w:rPr>
          <w:lang w:val="en-GB"/>
        </w:rPr>
      </w:pPr>
      <w:r w:rsidRPr="00582A26">
        <w:rPr>
          <w:lang w:val="en-GB"/>
        </w:rPr>
        <w:t>take measures through further legislation or regulations, to promote individuals' access to rights, for example in issues related to the religious freedom of Jews.</w:t>
      </w:r>
    </w:p>
    <w:bookmarkEnd w:id="72"/>
    <w:p w14:paraId="0A9C3C77" w14:textId="77777777" w:rsidR="00EE5154" w:rsidRPr="00582A26" w:rsidRDefault="00EE5154" w:rsidP="00EE5154">
      <w:pPr>
        <w:pStyle w:val="Rubrik4"/>
        <w:rPr>
          <w:spacing w:val="0"/>
          <w:lang w:val="en-GB"/>
        </w:rPr>
      </w:pPr>
      <w:r w:rsidRPr="00582A26">
        <w:rPr>
          <w:spacing w:val="0"/>
          <w:lang w:val="en-GB"/>
        </w:rPr>
        <w:t>Ensure the rights of the Sami as an indigenous people</w:t>
      </w:r>
    </w:p>
    <w:p w14:paraId="26C84C04" w14:textId="77777777" w:rsidR="00EE5154" w:rsidRPr="00582A26" w:rsidRDefault="00EE5154" w:rsidP="00EE5154">
      <w:pPr>
        <w:rPr>
          <w:lang w:val="en-GB"/>
        </w:rPr>
      </w:pPr>
      <w:r w:rsidRPr="00582A26">
        <w:rPr>
          <w:lang w:val="en-GB"/>
        </w:rPr>
        <w:t xml:space="preserve">Sami are discriminated against in all areas of society. In 1977, Sweden recognised Sami as an indigenous people. However, Sweden has failed to ensure the rights of Sami as an indigenous people. This has had serious consequences, as the State leaves it to local communities and courts to resolve the problems and conflicts for which the State is </w:t>
      </w:r>
      <w:r w:rsidRPr="00582A26">
        <w:rPr>
          <w:lang w:val="en-GB"/>
        </w:rPr>
        <w:lastRenderedPageBreak/>
        <w:t>ultimately responsible. Continued failure to ensure Sami rights, promotes the prevalence of hatred, threats and discrimination against Sami and thus worsens the living conditions of the Sami people.</w:t>
      </w:r>
      <w:r w:rsidRPr="00582A26">
        <w:rPr>
          <w:rStyle w:val="Fotnotsreferens"/>
        </w:rPr>
        <w:footnoteReference w:id="52"/>
      </w:r>
      <w:r w:rsidRPr="00582A26">
        <w:rPr>
          <w:lang w:val="en-GB"/>
        </w:rPr>
        <w:t xml:space="preserve"> DO recommends that the Government take the initiative to:</w:t>
      </w:r>
    </w:p>
    <w:p w14:paraId="6D19046D" w14:textId="77777777" w:rsidR="00EE5154" w:rsidRPr="00582A26" w:rsidRDefault="00EE5154" w:rsidP="00EE5154">
      <w:pPr>
        <w:pStyle w:val="Punktlista"/>
        <w:numPr>
          <w:ilvl w:val="0"/>
          <w:numId w:val="4"/>
        </w:numPr>
        <w:rPr>
          <w:lang w:val="en-GB"/>
        </w:rPr>
      </w:pPr>
      <w:bookmarkStart w:id="73" w:name="_Hlk200618030"/>
      <w:r w:rsidRPr="00582A26">
        <w:rPr>
          <w:lang w:val="en-GB"/>
        </w:rPr>
        <w:t>ratify ILO Convention 169 and take initiative to ensure that indigenous policy and legislation are based on the Convention and on the UN Declaration on the Rights of Indigenous Peoples.</w:t>
      </w:r>
    </w:p>
    <w:p w14:paraId="73CBB4AB" w14:textId="77777777" w:rsidR="00EE5154" w:rsidRPr="00582A26" w:rsidRDefault="00EE5154" w:rsidP="00EE5154">
      <w:pPr>
        <w:pStyle w:val="Rubrik2"/>
        <w:rPr>
          <w:spacing w:val="0"/>
          <w:lang w:val="en-GB"/>
        </w:rPr>
      </w:pPr>
      <w:bookmarkStart w:id="74" w:name="_Toc210986666"/>
      <w:bookmarkStart w:id="75" w:name="_Toc211168295"/>
      <w:bookmarkEnd w:id="73"/>
      <w:r w:rsidRPr="00582A26">
        <w:rPr>
          <w:spacing w:val="0"/>
          <w:lang w:val="en-GB"/>
        </w:rPr>
        <w:t>Increased risk of discriminatory ethnic profiling (articles 4, 5 and 6)</w:t>
      </w:r>
      <w:bookmarkEnd w:id="74"/>
      <w:bookmarkEnd w:id="75"/>
    </w:p>
    <w:p w14:paraId="68DEF3B0" w14:textId="77777777" w:rsidR="00EE5154" w:rsidRPr="00582A26" w:rsidRDefault="00EE5154" w:rsidP="00EE5154">
      <w:pPr>
        <w:rPr>
          <w:lang w:val="en-GB"/>
        </w:rPr>
      </w:pPr>
      <w:r w:rsidRPr="00582A26">
        <w:rPr>
          <w:lang w:val="en-GB"/>
        </w:rPr>
        <w:t>Several laws have recently been enacted at a rapid pace with the explicit aim of combating gang-related crime, and more such laws are expected to come into force in the near future. Examples of these include legislation on security zones, also known as stop-and-search zones,</w:t>
      </w:r>
      <w:r w:rsidRPr="00582A26">
        <w:rPr>
          <w:rStyle w:val="Fotnotsreferens"/>
        </w:rPr>
        <w:footnoteReference w:id="53"/>
      </w:r>
      <w:r w:rsidRPr="00582A26">
        <w:rPr>
          <w:lang w:val="en-GB"/>
        </w:rPr>
        <w:t xml:space="preserve"> and the Act on Preventive Exclusion Orders.</w:t>
      </w:r>
      <w:r w:rsidRPr="00582A26">
        <w:rPr>
          <w:rStyle w:val="Fotnotsreferens"/>
        </w:rPr>
        <w:footnoteReference w:id="54"/>
      </w:r>
      <w:r w:rsidRPr="00582A26">
        <w:rPr>
          <w:lang w:val="en-GB"/>
        </w:rPr>
        <w:t xml:space="preserve"> In addition, a number of proposals for legislative amendments in the field of migration policy, have been presented in recent years. These include a reduction in the requirements for conducting internal immigration controls.</w:t>
      </w:r>
      <w:r w:rsidRPr="00582A26">
        <w:rPr>
          <w:rStyle w:val="Fotnotsreferens"/>
        </w:rPr>
        <w:footnoteReference w:id="55"/>
      </w:r>
      <w:r w:rsidRPr="00582A26">
        <w:rPr>
          <w:lang w:val="en-GB"/>
        </w:rPr>
        <w:t xml:space="preserve"> According to DO, it is inevitable that the risk of discriminatory ethnic profiling will increase because of these changes.</w:t>
      </w:r>
      <w:r w:rsidRPr="00582A26">
        <w:rPr>
          <w:rStyle w:val="Fotnotsreferens"/>
          <w:lang w:val="en-GB"/>
        </w:rPr>
        <w:footnoteReference w:id="56"/>
      </w:r>
    </w:p>
    <w:p w14:paraId="4C37929C" w14:textId="77777777" w:rsidR="00EE5154" w:rsidRPr="00582A26" w:rsidRDefault="00EE5154" w:rsidP="00EE5154">
      <w:pPr>
        <w:rPr>
          <w:sz w:val="16"/>
          <w:szCs w:val="16"/>
          <w:lang w:val="en-GB"/>
        </w:rPr>
      </w:pPr>
      <w:r w:rsidRPr="00582A26">
        <w:rPr>
          <w:lang w:val="en-GB"/>
        </w:rPr>
        <w:t>Through DO's dialogue with civil society organisations and complaints filed with DO, experiences of discrimination related to ethnicity, religion or other beliefs, have been reported in encounters with the police. This may involve individuals being subjected to routine checks in traffic, being stopped for security checks when travelling across national borders, or police approaching individuals in public places for no apparent reason. There have also been several complaints describing experiences of both verbal and physical harassment, as well as offensive treatment by the police in these contexts.</w:t>
      </w:r>
      <w:r w:rsidRPr="00582A26">
        <w:rPr>
          <w:rStyle w:val="Fotnotsreferens"/>
        </w:rPr>
        <w:footnoteReference w:id="57"/>
      </w:r>
      <w:r w:rsidRPr="00582A26">
        <w:rPr>
          <w:rStyle w:val="Kommentarsreferens"/>
          <w:lang w:val="en-GB"/>
        </w:rPr>
        <w:t xml:space="preserve"> </w:t>
      </w:r>
      <w:r w:rsidRPr="00582A26">
        <w:rPr>
          <w:lang w:val="en-GB"/>
        </w:rPr>
        <w:t xml:space="preserve"> </w:t>
      </w:r>
    </w:p>
    <w:p w14:paraId="0B004530" w14:textId="77777777" w:rsidR="00EE5154" w:rsidRPr="00582A26" w:rsidRDefault="00EE5154" w:rsidP="00EE5154">
      <w:pPr>
        <w:pStyle w:val="Rubrik3"/>
        <w:rPr>
          <w:spacing w:val="0"/>
          <w:lang w:val="en-GB"/>
        </w:rPr>
      </w:pPr>
      <w:bookmarkStart w:id="76" w:name="_Toc211168296"/>
      <w:r w:rsidRPr="00582A26">
        <w:rPr>
          <w:spacing w:val="0"/>
          <w:lang w:val="en-GB"/>
        </w:rPr>
        <w:lastRenderedPageBreak/>
        <w:t>Recommendations</w:t>
      </w:r>
      <w:bookmarkEnd w:id="76"/>
      <w:r w:rsidRPr="00582A26">
        <w:rPr>
          <w:spacing w:val="0"/>
          <w:lang w:val="en-GB"/>
        </w:rPr>
        <w:t xml:space="preserve"> </w:t>
      </w:r>
    </w:p>
    <w:p w14:paraId="246B061A" w14:textId="77777777" w:rsidR="00EE5154" w:rsidRPr="00582A26" w:rsidRDefault="00EE5154" w:rsidP="00EE5154">
      <w:pPr>
        <w:pStyle w:val="Rubrik4"/>
        <w:rPr>
          <w:spacing w:val="0"/>
          <w:lang w:val="en-GB"/>
        </w:rPr>
      </w:pPr>
      <w:r w:rsidRPr="00582A26">
        <w:rPr>
          <w:spacing w:val="0"/>
          <w:lang w:val="en-GB"/>
        </w:rPr>
        <w:t xml:space="preserve">Need for comprehensive protection against discrimination </w:t>
      </w:r>
    </w:p>
    <w:p w14:paraId="38D5C7BF" w14:textId="77777777" w:rsidR="00EE5154" w:rsidRPr="00582A26" w:rsidRDefault="00EE5154" w:rsidP="00EE5154">
      <w:pPr>
        <w:rPr>
          <w:lang w:val="en-GB"/>
        </w:rPr>
      </w:pPr>
      <w:r w:rsidRPr="00582A26">
        <w:rPr>
          <w:lang w:val="en-GB"/>
        </w:rPr>
        <w:t>One key prerequisite for combating discrimination committed by the police, is to ensure that protection against discrimination is as comprehensive as possible. Today, the prohibition of discrimination only applies in certain areas of the public sector. In other areas, the protection is limited to the treatment of individuals by public employees when they have contact with government agencies. This means that the current prohibition against discrimination does not cover measures taken by the police or customs officials in relation to individuals. This is a major shortcoming in the protection against discrimination, which DO has pointed out many times and over a long period of time.</w:t>
      </w:r>
      <w:r w:rsidRPr="00582A26">
        <w:rPr>
          <w:rStyle w:val="Fotnotsreferens"/>
        </w:rPr>
        <w:footnoteReference w:id="58"/>
      </w:r>
      <w:r w:rsidRPr="00582A26">
        <w:rPr>
          <w:lang w:val="en-GB"/>
        </w:rPr>
        <w:t xml:space="preserve"> The Government has announced that legislation to strengthen protection against discrimination in the public sector will be drafted, so that DO will also be mandated to supervise the activities of the police, customs officials and others. However, as of yet, no draft legislation has been presented. </w:t>
      </w:r>
    </w:p>
    <w:p w14:paraId="7C5CBBFB" w14:textId="77777777" w:rsidR="00EE5154" w:rsidRPr="00582A26" w:rsidRDefault="00EE5154" w:rsidP="00EE5154">
      <w:pPr>
        <w:rPr>
          <w:lang w:val="en-GB"/>
        </w:rPr>
      </w:pPr>
      <w:bookmarkStart w:id="77" w:name="_Hlk207975230"/>
      <w:r w:rsidRPr="00582A26">
        <w:rPr>
          <w:lang w:val="en-GB"/>
        </w:rPr>
        <w:t>Another shortcoming in terms of comprehensive protection against discrimination is that DO currently lack the authority to bring legal action in its own name to defend the public interest in combating discrimination in cases where there is no individual victim that DO can represent. However, the two EU directives on binding standards for equality bodies in Member States, known as the Standards Directives</w:t>
      </w:r>
      <w:r w:rsidRPr="00582A26">
        <w:rPr>
          <w:rStyle w:val="Fotnotsreferens"/>
        </w:rPr>
        <w:footnoteReference w:id="59"/>
      </w:r>
      <w:r w:rsidRPr="00582A26">
        <w:rPr>
          <w:lang w:val="en-GB"/>
        </w:rPr>
        <w:t xml:space="preserve"> adopted by the EU in 2024, mention this type of legal standing as an example of how Member States can give equality bodies the power to bring cases before the courts. DO recommends the Government to:</w:t>
      </w:r>
    </w:p>
    <w:p w14:paraId="0CA484F9" w14:textId="77777777" w:rsidR="00EE5154" w:rsidRPr="00582A26" w:rsidRDefault="00EE5154" w:rsidP="00EE5154">
      <w:pPr>
        <w:pStyle w:val="Punktlista"/>
        <w:numPr>
          <w:ilvl w:val="0"/>
          <w:numId w:val="4"/>
        </w:numPr>
        <w:rPr>
          <w:lang w:val="en-GB"/>
        </w:rPr>
      </w:pPr>
      <w:bookmarkStart w:id="78" w:name="_Hlk200618243"/>
      <w:r w:rsidRPr="00582A26">
        <w:rPr>
          <w:lang w:val="en-GB"/>
        </w:rPr>
        <w:t>accelerate the drafting of legislation for comprehensive protection of individuals against discrimination in the public sector.</w:t>
      </w:r>
    </w:p>
    <w:p w14:paraId="1E8DF071" w14:textId="77777777" w:rsidR="00EE5154" w:rsidRPr="00582A26" w:rsidRDefault="00EE5154" w:rsidP="00EE5154">
      <w:pPr>
        <w:pStyle w:val="Punktlista"/>
        <w:numPr>
          <w:ilvl w:val="0"/>
          <w:numId w:val="4"/>
        </w:numPr>
        <w:rPr>
          <w:lang w:val="en-GB"/>
        </w:rPr>
      </w:pPr>
      <w:r w:rsidRPr="00582A26">
        <w:rPr>
          <w:lang w:val="en-GB"/>
        </w:rPr>
        <w:t>take initiative to strengthen the protection against discrimination by enabling DO to bring legal action for sanctions in cases where there is no individual victim, i.e. in cases of violation of the prohibition of discrimination in the Discrimination Act that affect an entire group rather than an individual victim, and in cases where there is no identifiable victim, or at least no one who is willing to bring legal action regarding discrimination compensation.</w:t>
      </w:r>
    </w:p>
    <w:bookmarkEnd w:id="77"/>
    <w:bookmarkEnd w:id="78"/>
    <w:p w14:paraId="464DEA6E" w14:textId="77777777" w:rsidR="00EE5154" w:rsidRPr="00582A26" w:rsidRDefault="00EE5154" w:rsidP="00EE5154">
      <w:pPr>
        <w:pStyle w:val="Rubrik4"/>
        <w:rPr>
          <w:spacing w:val="0"/>
          <w:lang w:val="en-GB"/>
        </w:rPr>
      </w:pPr>
      <w:r w:rsidRPr="00582A26">
        <w:rPr>
          <w:spacing w:val="0"/>
          <w:lang w:val="en-GB"/>
        </w:rPr>
        <w:t xml:space="preserve">Need for guidelines and procedures to combat discriminatory ethnic profiling </w:t>
      </w:r>
    </w:p>
    <w:p w14:paraId="36274D76" w14:textId="77777777" w:rsidR="00EE5154" w:rsidRPr="00582A26" w:rsidRDefault="00EE5154" w:rsidP="00EE5154">
      <w:pPr>
        <w:rPr>
          <w:lang w:val="en-GB"/>
        </w:rPr>
      </w:pPr>
      <w:r w:rsidRPr="00582A26">
        <w:rPr>
          <w:lang w:val="en-GB"/>
        </w:rPr>
        <w:t xml:space="preserve">Government agencies require sufficient knowledge of methods and practices to prevent and combat ethnic discrimination, and guidelines and procedures need to be in place in </w:t>
      </w:r>
      <w:r w:rsidRPr="00582A26">
        <w:rPr>
          <w:lang w:val="en-GB"/>
        </w:rPr>
        <w:lastRenderedPageBreak/>
        <w:t>order to identify and prevent discrimination. A study shows that current practices of the police carry a risk of discriminatory ethnic profiling, and that there are insufficient guidelines and procedures governing the police's work with profiling.</w:t>
      </w:r>
      <w:r w:rsidRPr="00582A26">
        <w:rPr>
          <w:rStyle w:val="Fotnotsreferens"/>
        </w:rPr>
        <w:footnoteReference w:id="60"/>
      </w:r>
      <w:r w:rsidRPr="00582A26">
        <w:rPr>
          <w:lang w:val="en-GB"/>
        </w:rPr>
        <w:t xml:space="preserve"> DO recommends that:</w:t>
      </w:r>
    </w:p>
    <w:p w14:paraId="1CD376FE" w14:textId="77777777" w:rsidR="00EE5154" w:rsidRPr="00582A26" w:rsidRDefault="00EE5154" w:rsidP="00EE5154">
      <w:pPr>
        <w:pStyle w:val="Liststycke"/>
        <w:numPr>
          <w:ilvl w:val="0"/>
          <w:numId w:val="26"/>
        </w:numPr>
        <w:rPr>
          <w:lang w:val="en-GB"/>
        </w:rPr>
      </w:pPr>
      <w:bookmarkStart w:id="79" w:name="_Hlk200618254"/>
      <w:r w:rsidRPr="00582A26">
        <w:rPr>
          <w:lang w:val="en-GB"/>
        </w:rPr>
        <w:t xml:space="preserve">measures are taken to ensure that law enforcement agencies possess the necessary knowledge and competence, as well as guidelines and procedures to combat discriminatory ethnic profiling. </w:t>
      </w:r>
    </w:p>
    <w:p w14:paraId="06433816" w14:textId="77777777" w:rsidR="004258D2" w:rsidRPr="00582A26" w:rsidRDefault="004258D2">
      <w:pPr>
        <w:spacing w:after="0" w:line="240" w:lineRule="auto"/>
        <w:rPr>
          <w:rFonts w:ascii="Arial" w:hAnsi="Arial" w:cs="Arial"/>
          <w:b/>
          <w:bCs/>
          <w:sz w:val="32"/>
          <w:szCs w:val="32"/>
          <w:lang w:val="en-GB"/>
        </w:rPr>
      </w:pPr>
      <w:bookmarkStart w:id="80" w:name="_Toc200959455"/>
      <w:bookmarkStart w:id="81" w:name="_Toc210986667"/>
      <w:bookmarkStart w:id="82" w:name="_Toc211168297"/>
      <w:bookmarkStart w:id="83" w:name="_Hlk200618288"/>
      <w:bookmarkStart w:id="84" w:name="_Hlk200618312"/>
      <w:bookmarkEnd w:id="79"/>
      <w:r w:rsidRPr="00582A26">
        <w:rPr>
          <w:lang w:val="en-GB"/>
        </w:rPr>
        <w:br w:type="page"/>
      </w:r>
    </w:p>
    <w:p w14:paraId="7788C0EB" w14:textId="33E8D514" w:rsidR="00EE5154" w:rsidRPr="00582A26" w:rsidRDefault="00EE5154" w:rsidP="00EE5154">
      <w:pPr>
        <w:pStyle w:val="Rubrik1"/>
        <w:rPr>
          <w:spacing w:val="0"/>
          <w:lang w:val="en-GB"/>
        </w:rPr>
      </w:pPr>
      <w:r w:rsidRPr="00582A26">
        <w:rPr>
          <w:spacing w:val="0"/>
          <w:lang w:val="en-GB"/>
        </w:rPr>
        <w:lastRenderedPageBreak/>
        <w:t>Measures at the structural and institutional level to combat racial discrimination (article 2 and 6)</w:t>
      </w:r>
      <w:bookmarkEnd w:id="80"/>
      <w:bookmarkEnd w:id="81"/>
      <w:bookmarkEnd w:id="82"/>
      <w:r w:rsidRPr="00582A26">
        <w:rPr>
          <w:spacing w:val="0"/>
          <w:lang w:val="en-GB"/>
        </w:rPr>
        <w:t xml:space="preserve"> </w:t>
      </w:r>
    </w:p>
    <w:bookmarkEnd w:id="83"/>
    <w:p w14:paraId="545DDE9F" w14:textId="77777777" w:rsidR="00EE5154" w:rsidRPr="00582A26" w:rsidRDefault="00EE5154" w:rsidP="00EE5154">
      <w:pPr>
        <w:rPr>
          <w:lang w:val="en-GB"/>
        </w:rPr>
      </w:pPr>
      <w:r w:rsidRPr="00582A26">
        <w:rPr>
          <w:lang w:val="en-GB"/>
        </w:rPr>
        <w:t xml:space="preserve">In addition to the above recommendations, DO recognises the need for several comprehensive changes and measures to strengthen individuals' protection against discrimination and to ensure access to effective legal remedies. </w:t>
      </w:r>
    </w:p>
    <w:p w14:paraId="30325F4A" w14:textId="4144F081" w:rsidR="00EE5154" w:rsidRPr="00582A26" w:rsidRDefault="00EE5154" w:rsidP="00411801">
      <w:pPr>
        <w:pStyle w:val="Rubrik2"/>
        <w:spacing w:after="60"/>
        <w:rPr>
          <w:spacing w:val="0"/>
          <w:lang w:val="en-GB"/>
        </w:rPr>
      </w:pPr>
      <w:bookmarkStart w:id="85" w:name="_Toc210986668"/>
      <w:bookmarkStart w:id="86" w:name="_Toc211168298"/>
      <w:bookmarkStart w:id="87" w:name="_Hlk200618346"/>
      <w:bookmarkEnd w:id="84"/>
      <w:r w:rsidRPr="00582A26">
        <w:rPr>
          <w:spacing w:val="0"/>
          <w:lang w:val="en-GB"/>
        </w:rPr>
        <w:t>Strengthen individuals' access to justice</w:t>
      </w:r>
      <w:bookmarkEnd w:id="85"/>
      <w:bookmarkEnd w:id="86"/>
      <w:r w:rsidRPr="00582A26">
        <w:rPr>
          <w:spacing w:val="0"/>
          <w:lang w:val="en-GB"/>
        </w:rPr>
        <w:t xml:space="preserve"> </w:t>
      </w:r>
    </w:p>
    <w:bookmarkEnd w:id="87"/>
    <w:p w14:paraId="177E7872" w14:textId="77777777" w:rsidR="00EE5154" w:rsidRPr="00582A26" w:rsidRDefault="00EE5154" w:rsidP="00411801">
      <w:pPr>
        <w:spacing w:after="120"/>
        <w:rPr>
          <w:lang w:val="en-GB"/>
        </w:rPr>
      </w:pPr>
      <w:r w:rsidRPr="00582A26">
        <w:rPr>
          <w:lang w:val="en-GB"/>
        </w:rPr>
        <w:t xml:space="preserve">DO believes that more actors must be involved in litigating cases of discrimination so that more victims of discrimination can obtain redress and discrimination legislation can have a greater impact on society at large. </w:t>
      </w:r>
    </w:p>
    <w:p w14:paraId="69DF69BB" w14:textId="77777777" w:rsidR="00EE5154" w:rsidRPr="00582A26" w:rsidRDefault="00EE5154" w:rsidP="00EE5154">
      <w:pPr>
        <w:rPr>
          <w:lang w:val="en-GB"/>
        </w:rPr>
      </w:pPr>
      <w:r w:rsidRPr="00411801">
        <w:rPr>
          <w:spacing w:val="-2"/>
          <w:lang w:val="en-GB"/>
        </w:rPr>
        <w:t>Several factors are relevant to the question of whether discrimination disputes are litigated</w:t>
      </w:r>
      <w:r w:rsidRPr="00582A26">
        <w:rPr>
          <w:lang w:val="en-GB"/>
        </w:rPr>
        <w:t xml:space="preserve"> in court or not. Anyone who brings a discrimination case before the courts and loses, may currently be forced to pay high legal costs, which represents a high risk for individuals. </w:t>
      </w:r>
    </w:p>
    <w:p w14:paraId="3AE80D3D" w14:textId="77777777" w:rsidR="00EE5154" w:rsidRPr="00582A26" w:rsidRDefault="00EE5154" w:rsidP="00411801">
      <w:pPr>
        <w:pStyle w:val="Rubrik3"/>
        <w:spacing w:after="60"/>
        <w:rPr>
          <w:spacing w:val="0"/>
          <w:lang w:val="en-GB"/>
        </w:rPr>
      </w:pPr>
      <w:bookmarkStart w:id="88" w:name="_Toc211168299"/>
      <w:r w:rsidRPr="00582A26">
        <w:rPr>
          <w:spacing w:val="0"/>
          <w:lang w:val="en-GB"/>
        </w:rPr>
        <w:t>Recommendations</w:t>
      </w:r>
      <w:bookmarkEnd w:id="88"/>
      <w:r w:rsidRPr="00582A26">
        <w:rPr>
          <w:spacing w:val="0"/>
          <w:lang w:val="en-GB"/>
        </w:rPr>
        <w:t xml:space="preserve"> </w:t>
      </w:r>
    </w:p>
    <w:p w14:paraId="7350C2FC" w14:textId="77777777" w:rsidR="00EE5154" w:rsidRPr="00582A26" w:rsidRDefault="00EE5154" w:rsidP="00411801">
      <w:pPr>
        <w:spacing w:after="120"/>
        <w:rPr>
          <w:lang w:val="en-GB"/>
        </w:rPr>
      </w:pPr>
      <w:r w:rsidRPr="00582A26">
        <w:rPr>
          <w:lang w:val="en-GB"/>
        </w:rPr>
        <w:t>Several measures are required to give individuals greater access to justice by enabling them to assert their rights in court. DO recommends that the Government take the initiative to:</w:t>
      </w:r>
    </w:p>
    <w:p w14:paraId="7C5537FA" w14:textId="77777777" w:rsidR="00EE5154" w:rsidRPr="00582A26" w:rsidRDefault="00EE5154" w:rsidP="00EE5154">
      <w:pPr>
        <w:pStyle w:val="Punktlista"/>
        <w:numPr>
          <w:ilvl w:val="0"/>
          <w:numId w:val="4"/>
        </w:numPr>
        <w:rPr>
          <w:lang w:val="en-GB"/>
        </w:rPr>
      </w:pPr>
      <w:bookmarkStart w:id="89" w:name="_Hlk200618358"/>
      <w:r w:rsidRPr="00582A26">
        <w:rPr>
          <w:lang w:val="en-GB"/>
        </w:rPr>
        <w:t xml:space="preserve">create a litigation fund from which individuals or organisations working to combat discrimination, can apply for funding to cover the costs of litigation of major discrimination cases in court. </w:t>
      </w:r>
    </w:p>
    <w:p w14:paraId="6C516A87" w14:textId="77777777" w:rsidR="00EE5154" w:rsidRPr="00582A26" w:rsidRDefault="00EE5154" w:rsidP="00EE5154">
      <w:pPr>
        <w:pStyle w:val="Punktlista"/>
        <w:numPr>
          <w:ilvl w:val="0"/>
          <w:numId w:val="4"/>
        </w:numPr>
        <w:rPr>
          <w:lang w:val="en-GB"/>
        </w:rPr>
      </w:pPr>
      <w:r w:rsidRPr="00582A26">
        <w:rPr>
          <w:lang w:val="en-GB"/>
        </w:rPr>
        <w:t xml:space="preserve">review the rules on legal costs in discrimination disputes, which currently entail high-cost risks for both individuals who claim to have been subjected to discrimination, and/or the (non-profit) organisations that represent them. </w:t>
      </w:r>
    </w:p>
    <w:p w14:paraId="0A70AEDD" w14:textId="77777777" w:rsidR="00EE5154" w:rsidRPr="00582A26" w:rsidRDefault="00EE5154" w:rsidP="00EE5154">
      <w:pPr>
        <w:pStyle w:val="Punktlista"/>
        <w:numPr>
          <w:ilvl w:val="0"/>
          <w:numId w:val="4"/>
        </w:numPr>
        <w:rPr>
          <w:lang w:val="en-GB"/>
        </w:rPr>
      </w:pPr>
      <w:r w:rsidRPr="00582A26">
        <w:rPr>
          <w:lang w:val="en-GB"/>
        </w:rPr>
        <w:t xml:space="preserve">increase the resources and strengthen the capacity of the anti-discrimination agencies so that they have greater opportunities to litigate discrimination cases in court. </w:t>
      </w:r>
    </w:p>
    <w:p w14:paraId="1FF10477" w14:textId="77777777" w:rsidR="00EE5154" w:rsidRPr="00582A26" w:rsidRDefault="00EE5154" w:rsidP="00411801">
      <w:pPr>
        <w:pStyle w:val="Rubrik2"/>
        <w:spacing w:after="60"/>
        <w:rPr>
          <w:spacing w:val="0"/>
          <w:lang w:val="en-GB"/>
        </w:rPr>
      </w:pPr>
      <w:bookmarkStart w:id="90" w:name="_Toc198209761"/>
      <w:bookmarkStart w:id="91" w:name="_Toc210986669"/>
      <w:bookmarkStart w:id="92" w:name="_Toc211168300"/>
      <w:bookmarkStart w:id="93" w:name="_Hlk200618373"/>
      <w:bookmarkEnd w:id="89"/>
      <w:r w:rsidRPr="00582A26">
        <w:rPr>
          <w:spacing w:val="0"/>
          <w:lang w:val="en-GB"/>
        </w:rPr>
        <w:t>Ambitious implementation of the new EU anti-discrimination legislation</w:t>
      </w:r>
      <w:bookmarkEnd w:id="90"/>
      <w:bookmarkEnd w:id="91"/>
      <w:bookmarkEnd w:id="92"/>
    </w:p>
    <w:bookmarkEnd w:id="93"/>
    <w:p w14:paraId="7C451B33" w14:textId="77777777" w:rsidR="00EE5154" w:rsidRPr="00582A26" w:rsidRDefault="00EE5154" w:rsidP="00EE5154">
      <w:pPr>
        <w:rPr>
          <w:lang w:val="en-GB"/>
        </w:rPr>
      </w:pPr>
      <w:r w:rsidRPr="00582A26">
        <w:rPr>
          <w:lang w:val="en-GB"/>
        </w:rPr>
        <w:t>Comprehensive and strong legal protection, as well as robust institutions, are required to ensure effective protection against discrimination. The two EU standard directives mentioned above, set minimum requirements for the functioning of equality bodies and aim to both improve their effectiveness whilst guaranteeing their independence to strengthen the application of the principle of equal treatment.</w:t>
      </w:r>
    </w:p>
    <w:p w14:paraId="023168CB" w14:textId="77777777" w:rsidR="00EE5154" w:rsidRPr="00582A26" w:rsidRDefault="00EE5154" w:rsidP="00411801">
      <w:pPr>
        <w:pStyle w:val="Rubrik3"/>
        <w:spacing w:after="60"/>
        <w:rPr>
          <w:spacing w:val="0"/>
          <w:lang w:val="en-GB"/>
        </w:rPr>
      </w:pPr>
      <w:bookmarkStart w:id="94" w:name="_Toc211168301"/>
      <w:r w:rsidRPr="00582A26">
        <w:rPr>
          <w:spacing w:val="0"/>
          <w:lang w:val="en-GB"/>
        </w:rPr>
        <w:t>Recommendations</w:t>
      </w:r>
      <w:bookmarkEnd w:id="94"/>
      <w:r w:rsidRPr="00582A26">
        <w:rPr>
          <w:spacing w:val="0"/>
          <w:lang w:val="en-GB"/>
        </w:rPr>
        <w:t xml:space="preserve"> </w:t>
      </w:r>
    </w:p>
    <w:p w14:paraId="3C8DF190" w14:textId="77777777" w:rsidR="00EE5154" w:rsidRPr="00582A26" w:rsidRDefault="00EE5154" w:rsidP="00411801">
      <w:pPr>
        <w:spacing w:after="120"/>
        <w:rPr>
          <w:lang w:val="en-GB"/>
        </w:rPr>
      </w:pPr>
      <w:r w:rsidRPr="00582A26">
        <w:rPr>
          <w:lang w:val="en-GB"/>
        </w:rPr>
        <w:t>DO welcomes EU's new legislation on standards for equality bodies, which will strengthen and expand DO's role as a national equality body when the legislation is implemented in Sweden in the coming years.</w:t>
      </w:r>
      <w:r w:rsidRPr="00582A26">
        <w:rPr>
          <w:color w:val="FF0000"/>
          <w:lang w:val="en-GB"/>
        </w:rPr>
        <w:t xml:space="preserve"> </w:t>
      </w:r>
      <w:r w:rsidRPr="00582A26">
        <w:rPr>
          <w:lang w:val="en-GB"/>
        </w:rPr>
        <w:t>DO recommends that the Government:</w:t>
      </w:r>
    </w:p>
    <w:p w14:paraId="2C78F589" w14:textId="77777777" w:rsidR="00EE5154" w:rsidRPr="00582A26" w:rsidRDefault="00EE5154" w:rsidP="00EE5154">
      <w:pPr>
        <w:pStyle w:val="Liststycke"/>
        <w:numPr>
          <w:ilvl w:val="0"/>
          <w:numId w:val="27"/>
        </w:numPr>
        <w:rPr>
          <w:lang w:val="en-GB"/>
        </w:rPr>
      </w:pPr>
      <w:bookmarkStart w:id="95" w:name="_Hlk200618382"/>
      <w:r w:rsidRPr="00582A26">
        <w:rPr>
          <w:lang w:val="en-GB"/>
        </w:rPr>
        <w:t xml:space="preserve">make an ambitious interpretation and implementation of the EU legislation on binding standards in order to strengthen the work of combating discrimination. </w:t>
      </w:r>
    </w:p>
    <w:p w14:paraId="36AB1B79" w14:textId="3D8CE416" w:rsidR="00D83D7A" w:rsidRPr="00411801" w:rsidRDefault="00EE5154" w:rsidP="00D83D7A">
      <w:pPr>
        <w:pStyle w:val="Liststycke"/>
        <w:numPr>
          <w:ilvl w:val="0"/>
          <w:numId w:val="27"/>
        </w:numPr>
        <w:rPr>
          <w:lang w:val="en-GB"/>
        </w:rPr>
      </w:pPr>
      <w:r w:rsidRPr="00411801">
        <w:rPr>
          <w:spacing w:val="-6"/>
          <w:lang w:val="en-GB"/>
        </w:rPr>
        <w:t>support the new functions and responsibilities of DO with sufficient additional resources</w:t>
      </w:r>
      <w:r w:rsidRPr="00582A26">
        <w:rPr>
          <w:lang w:val="en-GB"/>
        </w:rPr>
        <w:t xml:space="preserve"> so that the implementation of the enhanced protection has an impact in practice.</w:t>
      </w:r>
      <w:bookmarkEnd w:id="95"/>
    </w:p>
    <w:sectPr w:rsidR="00D83D7A" w:rsidRPr="00411801" w:rsidSect="00582A26">
      <w:headerReference w:type="default" r:id="rId14"/>
      <w:footerReference w:type="default" r:id="rId15"/>
      <w:headerReference w:type="first" r:id="rId16"/>
      <w:footerReference w:type="first" r:id="rId17"/>
      <w:type w:val="continuous"/>
      <w:pgSz w:w="11906" w:h="16838" w:code="9"/>
      <w:pgMar w:top="1560" w:right="1558" w:bottom="1134" w:left="1560" w:header="709" w:footer="39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F934D" w14:textId="77777777" w:rsidR="004D50AB" w:rsidRDefault="004D50AB" w:rsidP="00136639">
      <w:pPr>
        <w:spacing w:line="240" w:lineRule="auto"/>
      </w:pPr>
      <w:r>
        <w:separator/>
      </w:r>
    </w:p>
  </w:endnote>
  <w:endnote w:type="continuationSeparator" w:id="0">
    <w:p w14:paraId="43CA0B35" w14:textId="77777777" w:rsidR="004D50AB" w:rsidRDefault="004D50AB" w:rsidP="001366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19B60" w14:textId="77777777" w:rsidR="00C60653" w:rsidRPr="006B63F3" w:rsidRDefault="00C60653" w:rsidP="005852BD">
    <w:pPr>
      <w:pStyle w:val="Sidfot"/>
      <w:tabs>
        <w:tab w:val="clear" w:pos="4536"/>
        <w:tab w:val="center" w:pos="3402"/>
      </w:tabs>
      <w:jc w:val="center"/>
      <w:rPr>
        <w:color w:val="595959"/>
        <w:sz w:val="18"/>
        <w:szCs w:val="18"/>
      </w:rPr>
    </w:pPr>
    <w:r w:rsidRPr="00F4632B">
      <w:rPr>
        <w:rFonts w:ascii="Arial" w:hAnsi="Arial" w:cs="Arial"/>
        <w:color w:val="595959"/>
        <w:sz w:val="18"/>
        <w:szCs w:val="18"/>
      </w:rPr>
      <w:fldChar w:fldCharType="begin"/>
    </w:r>
    <w:r w:rsidRPr="00F4632B">
      <w:rPr>
        <w:rFonts w:ascii="Arial" w:hAnsi="Arial" w:cs="Arial"/>
        <w:color w:val="595959"/>
        <w:sz w:val="18"/>
        <w:szCs w:val="18"/>
      </w:rPr>
      <w:instrText xml:space="preserve"> PAGE   \* MERGEFORMAT </w:instrText>
    </w:r>
    <w:r w:rsidRPr="00F4632B">
      <w:rPr>
        <w:rFonts w:ascii="Arial" w:hAnsi="Arial" w:cs="Arial"/>
        <w:color w:val="595959"/>
        <w:sz w:val="18"/>
        <w:szCs w:val="18"/>
      </w:rPr>
      <w:fldChar w:fldCharType="separate"/>
    </w:r>
    <w:r>
      <w:rPr>
        <w:rFonts w:ascii="Arial" w:hAnsi="Arial" w:cs="Arial"/>
        <w:noProof/>
        <w:color w:val="595959"/>
        <w:sz w:val="18"/>
        <w:szCs w:val="18"/>
      </w:rPr>
      <w:t>2</w:t>
    </w:r>
    <w:r w:rsidRPr="00F4632B">
      <w:rPr>
        <w:rFonts w:ascii="Arial" w:hAnsi="Arial" w:cs="Arial"/>
        <w:color w:val="595959"/>
        <w:sz w:val="18"/>
        <w:szCs w:val="18"/>
      </w:rPr>
      <w:fldChar w:fldCharType="end"/>
    </w:r>
    <w:r>
      <w:rPr>
        <w:rFonts w:ascii="Arial" w:hAnsi="Arial" w:cs="Arial"/>
        <w:color w:val="595959"/>
        <w:sz w:val="18"/>
        <w:szCs w:val="18"/>
      </w:rPr>
      <w:t xml:space="preserve"> </w:t>
    </w:r>
    <w:r w:rsidRPr="00F4632B">
      <w:rPr>
        <w:rFonts w:ascii="Arial" w:hAnsi="Arial" w:cs="Arial"/>
        <w:color w:val="595959"/>
        <w:sz w:val="18"/>
        <w:szCs w:val="18"/>
      </w:rPr>
      <w:t>(</w:t>
    </w:r>
    <w:fldSimple w:instr=" NUMPAGES  \* Arabic  \* MERGEFORMAT ">
      <w:r w:rsidR="006461E3" w:rsidRPr="006461E3">
        <w:rPr>
          <w:rFonts w:ascii="Arial" w:hAnsi="Arial" w:cs="Arial"/>
          <w:noProof/>
          <w:color w:val="595959"/>
          <w:sz w:val="18"/>
          <w:szCs w:val="18"/>
        </w:rPr>
        <w:t>1</w:t>
      </w:r>
    </w:fldSimple>
    <w:r w:rsidRPr="00F4632B">
      <w:rPr>
        <w:rFonts w:ascii="Arial" w:hAnsi="Arial" w:cs="Arial"/>
        <w:color w:val="595959"/>
        <w:sz w:val="18"/>
        <w:szCs w:val="18"/>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97247" w14:textId="77777777" w:rsidR="004D50AB" w:rsidRPr="00DC4F79" w:rsidRDefault="004D50AB" w:rsidP="004D50AB">
    <w:pPr>
      <w:tabs>
        <w:tab w:val="left" w:pos="2127"/>
        <w:tab w:val="left" w:pos="4253"/>
        <w:tab w:val="left" w:pos="6663"/>
      </w:tabs>
      <w:spacing w:before="120" w:after="0" w:line="240" w:lineRule="atLeast"/>
      <w:contextualSpacing/>
      <w:jc w:val="center"/>
      <w:rPr>
        <w:rFonts w:ascii="Arial" w:hAnsi="Arial" w:cs="Arial"/>
        <w:noProof/>
        <w:color w:val="262626"/>
        <w:sz w:val="18"/>
        <w:szCs w:val="18"/>
        <w:lang w:val="en-GB"/>
      </w:rPr>
    </w:pPr>
    <w:r w:rsidRPr="00FC050F">
      <w:rPr>
        <w:rFonts w:ascii="Arial" w:eastAsiaTheme="minorEastAsia" w:hAnsi="Arial" w:cs="Arial"/>
        <w:noProof/>
        <w:sz w:val="18"/>
        <w:szCs w:val="18"/>
      </w:rPr>
      <w:t>DO</w:t>
    </w:r>
    <w:r>
      <w:rPr>
        <w:rFonts w:ascii="Arial" w:eastAsiaTheme="minorEastAsia" w:hAnsi="Arial" w:cs="Arial"/>
        <w:noProof/>
        <w:sz w:val="20"/>
        <w:szCs w:val="20"/>
      </w:rPr>
      <w:t xml:space="preserve"> </w:t>
    </w:r>
    <w:r w:rsidRPr="00A741BA">
      <w:rPr>
        <w:rFonts w:ascii="Arial" w:eastAsiaTheme="minorEastAsia" w:hAnsi="Arial" w:cs="Arial"/>
        <w:noProof/>
        <w:sz w:val="20"/>
        <w:szCs w:val="20"/>
      </w:rPr>
      <w:t>|</w:t>
    </w:r>
    <w:r>
      <w:rPr>
        <w:rFonts w:ascii="Arial" w:hAnsi="Arial" w:cs="Arial"/>
        <w:noProof/>
        <w:color w:val="262626"/>
        <w:sz w:val="18"/>
        <w:szCs w:val="18"/>
      </w:rPr>
      <w:t xml:space="preserve"> PO </w:t>
    </w:r>
    <w:r w:rsidRPr="00A741BA">
      <w:rPr>
        <w:rFonts w:ascii="Arial" w:hAnsi="Arial" w:cs="Arial"/>
        <w:noProof/>
        <w:color w:val="262626"/>
        <w:sz w:val="18"/>
        <w:szCs w:val="18"/>
      </w:rPr>
      <w:t>Box 4057</w:t>
    </w:r>
    <w:r>
      <w:rPr>
        <w:rFonts w:ascii="Arial" w:hAnsi="Arial" w:cs="Arial"/>
        <w:noProof/>
        <w:color w:val="262626"/>
        <w:sz w:val="18"/>
        <w:szCs w:val="18"/>
      </w:rPr>
      <w:t xml:space="preserve"> </w:t>
    </w:r>
    <w:r w:rsidRPr="00A741BA">
      <w:rPr>
        <w:rFonts w:ascii="Arial" w:eastAsiaTheme="minorEastAsia" w:hAnsi="Arial" w:cs="Arial"/>
        <w:noProof/>
        <w:sz w:val="20"/>
        <w:szCs w:val="20"/>
      </w:rPr>
      <w:t>|</w:t>
    </w:r>
    <w:r>
      <w:rPr>
        <w:rFonts w:ascii="Arial" w:hAnsi="Arial" w:cs="Arial"/>
        <w:noProof/>
        <w:color w:val="262626"/>
        <w:sz w:val="18"/>
        <w:szCs w:val="18"/>
      </w:rPr>
      <w:t xml:space="preserve"> SE-</w:t>
    </w:r>
    <w:r w:rsidRPr="00A741BA">
      <w:rPr>
        <w:rFonts w:ascii="Arial" w:hAnsi="Arial" w:cs="Arial"/>
        <w:noProof/>
        <w:color w:val="262626"/>
        <w:sz w:val="18"/>
        <w:szCs w:val="18"/>
      </w:rPr>
      <w:t>169 04 Solna</w:t>
    </w:r>
    <w:r>
      <w:rPr>
        <w:rFonts w:ascii="Arial" w:hAnsi="Arial" w:cs="Arial"/>
        <w:noProof/>
        <w:color w:val="262626"/>
        <w:sz w:val="18"/>
        <w:szCs w:val="18"/>
      </w:rPr>
      <w:t xml:space="preserve"> </w:t>
    </w:r>
    <w:r w:rsidRPr="00A741BA">
      <w:rPr>
        <w:rFonts w:ascii="Arial" w:eastAsiaTheme="minorEastAsia" w:hAnsi="Arial" w:cs="Arial"/>
        <w:noProof/>
        <w:sz w:val="20"/>
        <w:szCs w:val="20"/>
      </w:rPr>
      <w:t>|</w:t>
    </w:r>
    <w:r>
      <w:rPr>
        <w:rFonts w:ascii="Arial" w:hAnsi="Arial" w:cs="Arial"/>
        <w:noProof/>
        <w:color w:val="262626"/>
        <w:sz w:val="18"/>
        <w:szCs w:val="18"/>
      </w:rPr>
      <w:t xml:space="preserve"> Visit</w:t>
    </w:r>
    <w:r w:rsidRPr="00A741BA">
      <w:rPr>
        <w:rFonts w:ascii="Arial" w:hAnsi="Arial" w:cs="Arial"/>
        <w:noProof/>
        <w:color w:val="262626"/>
        <w:sz w:val="18"/>
        <w:szCs w:val="18"/>
      </w:rPr>
      <w:t xml:space="preserve"> Råsundavägen 18</w:t>
    </w:r>
    <w:r>
      <w:rPr>
        <w:rFonts w:ascii="Arial" w:hAnsi="Arial" w:cs="Arial"/>
        <w:noProof/>
        <w:color w:val="262626"/>
        <w:sz w:val="18"/>
        <w:szCs w:val="18"/>
      </w:rPr>
      <w:t xml:space="preserve">, Sweden </w:t>
    </w:r>
    <w:r w:rsidRPr="008F55D1">
      <w:rPr>
        <w:rFonts w:ascii="Arial" w:eastAsiaTheme="minorEastAsia" w:hAnsi="Arial" w:cs="Arial"/>
        <w:noProof/>
        <w:sz w:val="20"/>
        <w:szCs w:val="20"/>
        <w:lang w:val="en-GB"/>
      </w:rPr>
      <w:t>|</w:t>
    </w:r>
    <w:r w:rsidRPr="008F55D1">
      <w:rPr>
        <w:rFonts w:ascii="Arial" w:hAnsi="Arial" w:cs="Arial"/>
        <w:noProof/>
        <w:color w:val="262626"/>
        <w:sz w:val="18"/>
        <w:szCs w:val="18"/>
        <w:lang w:val="en-GB"/>
      </w:rPr>
      <w:t xml:space="preserve"> Website do.se</w:t>
    </w:r>
    <w:r>
      <w:rPr>
        <w:rFonts w:ascii="Arial" w:hAnsi="Arial" w:cs="Arial"/>
        <w:noProof/>
        <w:color w:val="262626"/>
        <w:sz w:val="18"/>
        <w:szCs w:val="18"/>
      </w:rPr>
      <w:t xml:space="preserve"> </w:t>
    </w:r>
    <w:r w:rsidRPr="00A741BA">
      <w:rPr>
        <w:rFonts w:ascii="Arial" w:eastAsiaTheme="minorEastAsia" w:hAnsi="Arial" w:cs="Arial"/>
        <w:noProof/>
        <w:sz w:val="20"/>
        <w:szCs w:val="20"/>
      </w:rPr>
      <w:t>|</w:t>
    </w:r>
    <w:r>
      <w:rPr>
        <w:rFonts w:ascii="Arial" w:hAnsi="Arial" w:cs="Arial"/>
        <w:noProof/>
        <w:color w:val="262626"/>
        <w:sz w:val="18"/>
        <w:szCs w:val="18"/>
      </w:rPr>
      <w:t xml:space="preserve"> </w:t>
    </w:r>
    <w:r w:rsidRPr="008F55D1">
      <w:rPr>
        <w:rFonts w:ascii="Arial" w:hAnsi="Arial" w:cs="Arial"/>
        <w:noProof/>
        <w:color w:val="262626"/>
        <w:sz w:val="18"/>
        <w:szCs w:val="18"/>
        <w:lang w:val="en-GB"/>
      </w:rPr>
      <w:t>E-mail do@do.se</w:t>
    </w:r>
  </w:p>
  <w:p w14:paraId="021E1D0C" w14:textId="40F1FC50" w:rsidR="00C60653" w:rsidRPr="004D50AB" w:rsidRDefault="004D50AB" w:rsidP="004D50AB">
    <w:pPr>
      <w:tabs>
        <w:tab w:val="left" w:pos="2127"/>
        <w:tab w:val="left" w:pos="4253"/>
        <w:tab w:val="left" w:pos="6663"/>
      </w:tabs>
      <w:spacing w:before="120" w:after="0" w:line="240" w:lineRule="atLeast"/>
      <w:contextualSpacing/>
      <w:jc w:val="center"/>
      <w:rPr>
        <w:rFonts w:ascii="Arial" w:hAnsi="Arial" w:cs="Arial"/>
        <w:noProof/>
        <w:color w:val="262626"/>
        <w:sz w:val="18"/>
        <w:szCs w:val="18"/>
        <w:lang w:val="en-GB"/>
      </w:rPr>
    </w:pPr>
    <w:r w:rsidRPr="008F55D1">
      <w:rPr>
        <w:rFonts w:ascii="Arial" w:hAnsi="Arial" w:cs="Arial"/>
        <w:noProof/>
        <w:color w:val="262626"/>
        <w:sz w:val="18"/>
        <w:szCs w:val="18"/>
        <w:lang w:val="en-GB"/>
      </w:rPr>
      <w:t xml:space="preserve">Switchboard +46 8 120 20 700 </w:t>
    </w:r>
    <w:r w:rsidRPr="008F55D1">
      <w:rPr>
        <w:rFonts w:ascii="Arial" w:eastAsiaTheme="minorEastAsia" w:hAnsi="Arial" w:cs="Arial"/>
        <w:noProof/>
        <w:sz w:val="20"/>
        <w:szCs w:val="20"/>
        <w:lang w:val="en-GB"/>
      </w:rPr>
      <w:t>|</w:t>
    </w:r>
    <w:r w:rsidRPr="008F55D1">
      <w:rPr>
        <w:rFonts w:ascii="Arial" w:hAnsi="Arial" w:cs="Arial"/>
        <w:noProof/>
        <w:color w:val="262626"/>
        <w:sz w:val="18"/>
        <w:szCs w:val="18"/>
        <w:lang w:val="en-GB"/>
      </w:rPr>
      <w:t xml:space="preserve"> Fax No +46 8 120 20 800 </w:t>
    </w:r>
    <w:r w:rsidRPr="008F55D1">
      <w:rPr>
        <w:rFonts w:ascii="Arial" w:eastAsiaTheme="minorEastAsia" w:hAnsi="Arial" w:cs="Arial"/>
        <w:noProof/>
        <w:sz w:val="20"/>
        <w:szCs w:val="20"/>
        <w:lang w:val="en-GB"/>
      </w:rPr>
      <w:t xml:space="preserve">| </w:t>
    </w:r>
    <w:r w:rsidRPr="00A647E0">
      <w:rPr>
        <w:rFonts w:ascii="Arial" w:hAnsi="Arial" w:cs="Arial"/>
        <w:noProof/>
        <w:color w:val="262626"/>
        <w:sz w:val="18"/>
        <w:szCs w:val="18"/>
        <w:lang w:val="en-GB"/>
      </w:rPr>
      <w:t xml:space="preserve">Org. </w:t>
    </w:r>
    <w:r w:rsidRPr="00DC4F79">
      <w:rPr>
        <w:rFonts w:ascii="Arial" w:hAnsi="Arial" w:cs="Arial"/>
        <w:noProof/>
        <w:color w:val="262626"/>
        <w:sz w:val="18"/>
        <w:szCs w:val="18"/>
        <w:lang w:val="en-GB"/>
      </w:rPr>
      <w:t>No SE202100607301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83A2E" w14:textId="77777777" w:rsidR="00C21F6B" w:rsidRPr="006B63F3" w:rsidRDefault="002B52FC" w:rsidP="005852BD">
    <w:pPr>
      <w:pStyle w:val="Sidfot"/>
      <w:tabs>
        <w:tab w:val="clear" w:pos="4536"/>
        <w:tab w:val="center" w:pos="3402"/>
      </w:tabs>
      <w:jc w:val="center"/>
      <w:rPr>
        <w:color w:val="595959"/>
        <w:sz w:val="18"/>
        <w:szCs w:val="18"/>
      </w:rPr>
    </w:pPr>
    <w:r w:rsidRPr="00F4632B">
      <w:rPr>
        <w:rFonts w:ascii="Arial" w:hAnsi="Arial" w:cs="Arial"/>
        <w:color w:val="595959"/>
        <w:sz w:val="18"/>
        <w:szCs w:val="18"/>
      </w:rPr>
      <w:fldChar w:fldCharType="begin"/>
    </w:r>
    <w:r w:rsidR="00C21F6B" w:rsidRPr="00F4632B">
      <w:rPr>
        <w:rFonts w:ascii="Arial" w:hAnsi="Arial" w:cs="Arial"/>
        <w:color w:val="595959"/>
        <w:sz w:val="18"/>
        <w:szCs w:val="18"/>
      </w:rPr>
      <w:instrText xml:space="preserve"> PAGE   \* MERGEFORMAT </w:instrText>
    </w:r>
    <w:r w:rsidRPr="00F4632B">
      <w:rPr>
        <w:rFonts w:ascii="Arial" w:hAnsi="Arial" w:cs="Arial"/>
        <w:color w:val="595959"/>
        <w:sz w:val="18"/>
        <w:szCs w:val="18"/>
      </w:rPr>
      <w:fldChar w:fldCharType="separate"/>
    </w:r>
    <w:r w:rsidR="00E85438">
      <w:rPr>
        <w:rFonts w:ascii="Arial" w:hAnsi="Arial" w:cs="Arial"/>
        <w:noProof/>
        <w:color w:val="595959"/>
        <w:sz w:val="18"/>
        <w:szCs w:val="18"/>
      </w:rPr>
      <w:t>2</w:t>
    </w:r>
    <w:r w:rsidRPr="00F4632B">
      <w:rPr>
        <w:rFonts w:ascii="Arial" w:hAnsi="Arial" w:cs="Arial"/>
        <w:color w:val="595959"/>
        <w:sz w:val="18"/>
        <w:szCs w:val="18"/>
      </w:rPr>
      <w:fldChar w:fldCharType="end"/>
    </w:r>
    <w:r w:rsidR="00C21F6B">
      <w:rPr>
        <w:rFonts w:ascii="Arial" w:hAnsi="Arial" w:cs="Arial"/>
        <w:color w:val="595959"/>
        <w:sz w:val="18"/>
        <w:szCs w:val="18"/>
      </w:rPr>
      <w:t xml:space="preserve"> </w:t>
    </w:r>
    <w:r w:rsidR="00C21F6B" w:rsidRPr="00F4632B">
      <w:rPr>
        <w:rFonts w:ascii="Arial" w:hAnsi="Arial" w:cs="Arial"/>
        <w:color w:val="595959"/>
        <w:sz w:val="18"/>
        <w:szCs w:val="18"/>
      </w:rPr>
      <w:t>(</w:t>
    </w:r>
    <w:fldSimple w:instr=" NUMPAGES  \* Arabic  \* MERGEFORMAT ">
      <w:r w:rsidR="006461E3" w:rsidRPr="006461E3">
        <w:rPr>
          <w:rFonts w:ascii="Arial" w:hAnsi="Arial" w:cs="Arial"/>
          <w:noProof/>
          <w:color w:val="595959"/>
          <w:sz w:val="18"/>
          <w:szCs w:val="18"/>
        </w:rPr>
        <w:t>1</w:t>
      </w:r>
    </w:fldSimple>
    <w:r w:rsidR="00C21F6B" w:rsidRPr="00F4632B">
      <w:rPr>
        <w:rFonts w:ascii="Arial" w:hAnsi="Arial" w:cs="Arial"/>
        <w:color w:val="595959"/>
        <w:sz w:val="18"/>
        <w:szCs w:val="18"/>
      </w:rPr>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383C7" w14:textId="77777777" w:rsidR="00236361" w:rsidRPr="00A741BA" w:rsidRDefault="00236361" w:rsidP="00236361">
    <w:pPr>
      <w:tabs>
        <w:tab w:val="left" w:pos="2127"/>
        <w:tab w:val="left" w:pos="4253"/>
        <w:tab w:val="left" w:pos="6663"/>
      </w:tabs>
      <w:spacing w:before="120" w:after="0" w:line="240" w:lineRule="atLeast"/>
      <w:contextualSpacing/>
      <w:jc w:val="center"/>
      <w:rPr>
        <w:rFonts w:ascii="Arial" w:hAnsi="Arial" w:cs="Arial"/>
        <w:noProof/>
        <w:color w:val="262626"/>
        <w:sz w:val="18"/>
        <w:szCs w:val="18"/>
      </w:rPr>
    </w:pPr>
    <w:r w:rsidRPr="00A741BA">
      <w:rPr>
        <w:rFonts w:ascii="Arial" w:hAnsi="Arial" w:cs="Arial"/>
        <w:noProof/>
        <w:color w:val="262626"/>
        <w:sz w:val="18"/>
        <w:szCs w:val="18"/>
      </w:rPr>
      <w:t>Box 4057</w:t>
    </w:r>
    <w:r>
      <w:rPr>
        <w:rFonts w:ascii="Arial" w:hAnsi="Arial" w:cs="Arial"/>
        <w:noProof/>
        <w:color w:val="262626"/>
        <w:sz w:val="18"/>
        <w:szCs w:val="18"/>
      </w:rPr>
      <w:t xml:space="preserve"> </w:t>
    </w:r>
    <w:r w:rsidRPr="00A741BA">
      <w:rPr>
        <w:rFonts w:ascii="Arial" w:eastAsiaTheme="minorEastAsia" w:hAnsi="Arial" w:cs="Arial"/>
        <w:noProof/>
        <w:sz w:val="20"/>
        <w:szCs w:val="20"/>
      </w:rPr>
      <w:t>|</w:t>
    </w:r>
    <w:r>
      <w:rPr>
        <w:rFonts w:ascii="Arial" w:hAnsi="Arial" w:cs="Arial"/>
        <w:noProof/>
        <w:color w:val="262626"/>
        <w:sz w:val="18"/>
        <w:szCs w:val="18"/>
      </w:rPr>
      <w:t xml:space="preserve"> </w:t>
    </w:r>
    <w:r w:rsidRPr="00A741BA">
      <w:rPr>
        <w:rFonts w:ascii="Arial" w:hAnsi="Arial" w:cs="Arial"/>
        <w:noProof/>
        <w:color w:val="262626"/>
        <w:sz w:val="18"/>
        <w:szCs w:val="18"/>
      </w:rPr>
      <w:t>169 04 Solna</w:t>
    </w:r>
    <w:r>
      <w:rPr>
        <w:rFonts w:ascii="Arial" w:hAnsi="Arial" w:cs="Arial"/>
        <w:noProof/>
        <w:color w:val="262626"/>
        <w:sz w:val="18"/>
        <w:szCs w:val="18"/>
      </w:rPr>
      <w:t xml:space="preserve"> </w:t>
    </w:r>
    <w:r w:rsidRPr="00A741BA">
      <w:rPr>
        <w:rFonts w:ascii="Arial" w:eastAsiaTheme="minorEastAsia" w:hAnsi="Arial" w:cs="Arial"/>
        <w:noProof/>
        <w:sz w:val="20"/>
        <w:szCs w:val="20"/>
      </w:rPr>
      <w:t>|</w:t>
    </w:r>
    <w:r>
      <w:rPr>
        <w:rFonts w:ascii="Arial" w:hAnsi="Arial" w:cs="Arial"/>
        <w:noProof/>
        <w:color w:val="262626"/>
        <w:sz w:val="18"/>
        <w:szCs w:val="18"/>
      </w:rPr>
      <w:t xml:space="preserve"> </w:t>
    </w:r>
    <w:r w:rsidRPr="00A741BA">
      <w:rPr>
        <w:rFonts w:ascii="Arial" w:hAnsi="Arial" w:cs="Arial"/>
        <w:noProof/>
        <w:color w:val="262626"/>
        <w:sz w:val="18"/>
        <w:szCs w:val="18"/>
      </w:rPr>
      <w:t>Besök Råsundavägen 18</w:t>
    </w:r>
    <w:r>
      <w:rPr>
        <w:rFonts w:ascii="Arial" w:hAnsi="Arial" w:cs="Arial"/>
        <w:noProof/>
        <w:color w:val="262626"/>
        <w:sz w:val="18"/>
        <w:szCs w:val="18"/>
      </w:rPr>
      <w:t xml:space="preserve"> </w:t>
    </w:r>
    <w:r w:rsidRPr="00A741BA">
      <w:rPr>
        <w:rFonts w:ascii="Arial" w:eastAsiaTheme="minorEastAsia" w:hAnsi="Arial" w:cs="Arial"/>
        <w:noProof/>
        <w:sz w:val="20"/>
        <w:szCs w:val="20"/>
      </w:rPr>
      <w:t>|</w:t>
    </w:r>
    <w:r>
      <w:rPr>
        <w:rFonts w:ascii="Arial" w:hAnsi="Arial" w:cs="Arial"/>
        <w:noProof/>
        <w:color w:val="262626"/>
        <w:sz w:val="18"/>
        <w:szCs w:val="18"/>
      </w:rPr>
      <w:t xml:space="preserve"> </w:t>
    </w:r>
    <w:r w:rsidRPr="00A741BA">
      <w:rPr>
        <w:rFonts w:ascii="Arial" w:hAnsi="Arial" w:cs="Arial"/>
        <w:noProof/>
        <w:color w:val="262626"/>
        <w:sz w:val="18"/>
        <w:szCs w:val="18"/>
      </w:rPr>
      <w:t>Organisationsnummer 202100-6073</w:t>
    </w:r>
  </w:p>
  <w:p w14:paraId="6E135C75" w14:textId="77777777" w:rsidR="00C21F6B" w:rsidRPr="006D216A" w:rsidRDefault="00236361" w:rsidP="00236361">
    <w:pPr>
      <w:tabs>
        <w:tab w:val="left" w:pos="2127"/>
        <w:tab w:val="left" w:pos="4253"/>
        <w:tab w:val="left" w:pos="6663"/>
      </w:tabs>
      <w:spacing w:before="120" w:after="0" w:line="240" w:lineRule="atLeast"/>
      <w:contextualSpacing/>
      <w:jc w:val="center"/>
      <w:rPr>
        <w:rFonts w:ascii="Arial" w:hAnsi="Arial" w:cs="Arial"/>
        <w:noProof/>
        <w:color w:val="262626"/>
        <w:sz w:val="18"/>
        <w:szCs w:val="18"/>
      </w:rPr>
    </w:pPr>
    <w:r w:rsidRPr="00A741BA">
      <w:rPr>
        <w:rFonts w:ascii="Arial" w:hAnsi="Arial" w:cs="Arial"/>
        <w:noProof/>
        <w:color w:val="262626"/>
        <w:sz w:val="18"/>
        <w:szCs w:val="18"/>
      </w:rPr>
      <w:t>Telefonväxel 08-12 20</w:t>
    </w:r>
    <w:r>
      <w:rPr>
        <w:rFonts w:ascii="Arial" w:hAnsi="Arial" w:cs="Arial"/>
        <w:noProof/>
        <w:color w:val="262626"/>
        <w:sz w:val="18"/>
        <w:szCs w:val="18"/>
      </w:rPr>
      <w:t> </w:t>
    </w:r>
    <w:r w:rsidRPr="00A741BA">
      <w:rPr>
        <w:rFonts w:ascii="Arial" w:hAnsi="Arial" w:cs="Arial"/>
        <w:noProof/>
        <w:color w:val="262626"/>
        <w:sz w:val="18"/>
        <w:szCs w:val="18"/>
      </w:rPr>
      <w:t>700</w:t>
    </w:r>
    <w:r>
      <w:rPr>
        <w:rFonts w:ascii="Arial" w:hAnsi="Arial" w:cs="Arial"/>
        <w:noProof/>
        <w:color w:val="262626"/>
        <w:sz w:val="18"/>
        <w:szCs w:val="18"/>
      </w:rPr>
      <w:t xml:space="preserve"> </w:t>
    </w:r>
    <w:r w:rsidRPr="00A741BA">
      <w:rPr>
        <w:rFonts w:ascii="Arial" w:eastAsiaTheme="minorEastAsia" w:hAnsi="Arial" w:cs="Arial"/>
        <w:noProof/>
        <w:sz w:val="20"/>
        <w:szCs w:val="20"/>
      </w:rPr>
      <w:t>|</w:t>
    </w:r>
    <w:r>
      <w:rPr>
        <w:rFonts w:ascii="Arial" w:hAnsi="Arial" w:cs="Arial"/>
        <w:noProof/>
        <w:color w:val="262626"/>
        <w:sz w:val="18"/>
        <w:szCs w:val="18"/>
      </w:rPr>
      <w:t xml:space="preserve"> </w:t>
    </w:r>
    <w:r w:rsidRPr="00A741BA">
      <w:rPr>
        <w:rFonts w:ascii="Arial" w:hAnsi="Arial" w:cs="Arial"/>
        <w:noProof/>
        <w:color w:val="262626"/>
        <w:sz w:val="18"/>
        <w:szCs w:val="18"/>
      </w:rPr>
      <w:t>Fax 08-120 20</w:t>
    </w:r>
    <w:r>
      <w:rPr>
        <w:rFonts w:ascii="Arial" w:hAnsi="Arial" w:cs="Arial"/>
        <w:noProof/>
        <w:color w:val="262626"/>
        <w:sz w:val="18"/>
        <w:szCs w:val="18"/>
      </w:rPr>
      <w:t> </w:t>
    </w:r>
    <w:r w:rsidRPr="00A741BA">
      <w:rPr>
        <w:rFonts w:ascii="Arial" w:hAnsi="Arial" w:cs="Arial"/>
        <w:noProof/>
        <w:color w:val="262626"/>
        <w:sz w:val="18"/>
        <w:szCs w:val="18"/>
      </w:rPr>
      <w:t>800</w:t>
    </w:r>
    <w:r>
      <w:rPr>
        <w:rFonts w:ascii="Arial" w:hAnsi="Arial" w:cs="Arial"/>
        <w:noProof/>
        <w:color w:val="262626"/>
        <w:sz w:val="18"/>
        <w:szCs w:val="18"/>
      </w:rPr>
      <w:t xml:space="preserve"> </w:t>
    </w:r>
    <w:r w:rsidRPr="00A741BA">
      <w:rPr>
        <w:rFonts w:ascii="Arial" w:eastAsiaTheme="minorEastAsia" w:hAnsi="Arial" w:cs="Arial"/>
        <w:noProof/>
        <w:sz w:val="20"/>
        <w:szCs w:val="20"/>
      </w:rPr>
      <w:t>|</w:t>
    </w:r>
    <w:r>
      <w:rPr>
        <w:rFonts w:ascii="Arial" w:hAnsi="Arial" w:cs="Arial"/>
        <w:noProof/>
        <w:color w:val="262626"/>
        <w:sz w:val="18"/>
        <w:szCs w:val="18"/>
      </w:rPr>
      <w:t xml:space="preserve"> </w:t>
    </w:r>
    <w:r w:rsidRPr="00A741BA">
      <w:rPr>
        <w:rFonts w:ascii="Arial" w:hAnsi="Arial" w:cs="Arial"/>
        <w:noProof/>
        <w:color w:val="262626"/>
        <w:sz w:val="18"/>
        <w:szCs w:val="18"/>
      </w:rPr>
      <w:t>www.do.se</w:t>
    </w:r>
    <w:r>
      <w:rPr>
        <w:rFonts w:ascii="Arial" w:hAnsi="Arial" w:cs="Arial"/>
        <w:noProof/>
        <w:color w:val="262626"/>
        <w:sz w:val="18"/>
        <w:szCs w:val="18"/>
      </w:rPr>
      <w:t xml:space="preserve"> </w:t>
    </w:r>
    <w:r w:rsidRPr="00A741BA">
      <w:rPr>
        <w:rFonts w:ascii="Arial" w:eastAsiaTheme="minorEastAsia" w:hAnsi="Arial" w:cs="Arial"/>
        <w:noProof/>
        <w:sz w:val="20"/>
        <w:szCs w:val="20"/>
      </w:rPr>
      <w:t>|</w:t>
    </w:r>
    <w:r>
      <w:rPr>
        <w:rFonts w:ascii="Arial" w:hAnsi="Arial" w:cs="Arial"/>
        <w:noProof/>
        <w:color w:val="262626"/>
        <w:sz w:val="18"/>
        <w:szCs w:val="18"/>
      </w:rPr>
      <w:t xml:space="preserve"> </w:t>
    </w:r>
    <w:r w:rsidRPr="00A741BA">
      <w:rPr>
        <w:rFonts w:ascii="Arial" w:hAnsi="Arial" w:cs="Arial"/>
        <w:noProof/>
        <w:color w:val="262626"/>
        <w:sz w:val="18"/>
        <w:szCs w:val="18"/>
      </w:rPr>
      <w:t>do@do.se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CDE5A" w14:textId="77777777" w:rsidR="004D50AB" w:rsidRDefault="004D50AB" w:rsidP="00136639">
      <w:pPr>
        <w:spacing w:line="240" w:lineRule="auto"/>
      </w:pPr>
      <w:r>
        <w:separator/>
      </w:r>
    </w:p>
  </w:footnote>
  <w:footnote w:type="continuationSeparator" w:id="0">
    <w:p w14:paraId="35134B13" w14:textId="77777777" w:rsidR="004D50AB" w:rsidRDefault="004D50AB" w:rsidP="00136639">
      <w:pPr>
        <w:spacing w:line="240" w:lineRule="auto"/>
      </w:pPr>
      <w:r>
        <w:continuationSeparator/>
      </w:r>
    </w:p>
  </w:footnote>
  <w:footnote w:id="1">
    <w:p w14:paraId="54FB1896" w14:textId="77777777" w:rsidR="00EE5154" w:rsidRPr="002F178C" w:rsidRDefault="00EE5154" w:rsidP="00EE5154">
      <w:pPr>
        <w:pStyle w:val="Fotnotstext"/>
        <w:rPr>
          <w:lang w:val="en-GB"/>
        </w:rPr>
      </w:pPr>
      <w:r>
        <w:rPr>
          <w:rStyle w:val="Fotnotsreferens"/>
        </w:rPr>
        <w:footnoteRef/>
      </w:r>
      <w:r w:rsidRPr="002F178C">
        <w:rPr>
          <w:lang w:val="en-GB"/>
        </w:rPr>
        <w:t xml:space="preserve"> DO is a member of organisations such as Equinet (The European Network of Equality Bodies), ENNHRI (European Network for National Human Rights Institutions) and GANHRI (Global Alliance of National Human Rights Institutions).</w:t>
      </w:r>
    </w:p>
  </w:footnote>
  <w:footnote w:id="2">
    <w:p w14:paraId="3FEB201D" w14:textId="77777777" w:rsidR="00EE5154" w:rsidRPr="002F178C" w:rsidRDefault="00EE5154" w:rsidP="00EE5154">
      <w:pPr>
        <w:pStyle w:val="Fotnotstext"/>
        <w:rPr>
          <w:lang w:val="en-GB"/>
        </w:rPr>
      </w:pPr>
      <w:r>
        <w:rPr>
          <w:rStyle w:val="Fotnotsreferens"/>
        </w:rPr>
        <w:footnoteRef/>
      </w:r>
      <w:r w:rsidRPr="002F178C">
        <w:rPr>
          <w:lang w:val="en-GB"/>
        </w:rPr>
        <w:t xml:space="preserve"> Pursuant to Chapter 1, Section 5, item 3 of the Discrimination Act, ethnicity is defined as national or ethnic origin, skin colour or other similar circumstance.</w:t>
      </w:r>
    </w:p>
  </w:footnote>
  <w:footnote w:id="3">
    <w:p w14:paraId="3A3BC869" w14:textId="77777777" w:rsidR="00EE5154" w:rsidRPr="002F178C" w:rsidRDefault="00EE5154" w:rsidP="00EE5154">
      <w:pPr>
        <w:pStyle w:val="Fotnotstext"/>
        <w:rPr>
          <w:lang w:val="en-GB"/>
        </w:rPr>
      </w:pPr>
      <w:r>
        <w:rPr>
          <w:rStyle w:val="Fotnotsreferens"/>
        </w:rPr>
        <w:footnoteRef/>
      </w:r>
      <w:r w:rsidRPr="0018786B">
        <w:rPr>
          <w:lang w:val="en-GB"/>
        </w:rPr>
        <w:t xml:space="preserve"> DO (2025). </w:t>
      </w:r>
      <w:r w:rsidRPr="00FA7696">
        <w:rPr>
          <w:lang w:val="en-GB"/>
        </w:rPr>
        <w:t>Statistik över anmälningar</w:t>
      </w:r>
      <w:r w:rsidRPr="002B3BDC">
        <w:rPr>
          <w:lang w:val="en-GB"/>
        </w:rPr>
        <w:t xml:space="preserve"> 2015–2024</w:t>
      </w:r>
      <w:r w:rsidRPr="0018786B">
        <w:rPr>
          <w:lang w:val="en-GB"/>
        </w:rPr>
        <w:t xml:space="preserve"> [Complaint statistics 2015–2024]. </w:t>
      </w:r>
      <w:r w:rsidRPr="002F178C">
        <w:rPr>
          <w:lang w:val="en-GB"/>
        </w:rPr>
        <w:t>Annual statistical report from the Equality Ombudsman.</w:t>
      </w:r>
    </w:p>
  </w:footnote>
  <w:footnote w:id="4">
    <w:p w14:paraId="22842FC0" w14:textId="77777777" w:rsidR="00EE5154" w:rsidRPr="002F178C" w:rsidRDefault="00EE5154" w:rsidP="00EE5154">
      <w:pPr>
        <w:pStyle w:val="Fotnotstext"/>
        <w:rPr>
          <w:lang w:val="en-GB"/>
        </w:rPr>
      </w:pPr>
      <w:r>
        <w:rPr>
          <w:rStyle w:val="Fotnotsreferens"/>
        </w:rPr>
        <w:footnoteRef/>
      </w:r>
      <w:r w:rsidRPr="002F178C">
        <w:rPr>
          <w:lang w:val="en-GB"/>
        </w:rPr>
        <w:t xml:space="preserve"> DO (2025). </w:t>
      </w:r>
      <w:r w:rsidRPr="00FA7696">
        <w:rPr>
          <w:lang w:val="en-GB"/>
        </w:rPr>
        <w:t>Statistik över anmälningar</w:t>
      </w:r>
      <w:r w:rsidRPr="002B3BDC">
        <w:rPr>
          <w:lang w:val="en-GB"/>
        </w:rPr>
        <w:t xml:space="preserve"> 2015–2024</w:t>
      </w:r>
      <w:r w:rsidRPr="002F178C">
        <w:rPr>
          <w:lang w:val="en-GB"/>
        </w:rPr>
        <w:t xml:space="preserve"> [Complaint statistics 2015–2024]. Annual statistical report from the Equality Ombudsman. </w:t>
      </w:r>
    </w:p>
  </w:footnote>
  <w:footnote w:id="5">
    <w:p w14:paraId="442896CA" w14:textId="77777777" w:rsidR="00EE5154" w:rsidRPr="0069338A" w:rsidRDefault="00EE5154" w:rsidP="00EE5154">
      <w:pPr>
        <w:pStyle w:val="Fotnotstext"/>
        <w:rPr>
          <w:lang w:val="en-GB"/>
        </w:rPr>
      </w:pPr>
      <w:r>
        <w:rPr>
          <w:rStyle w:val="Fotnotsreferens"/>
        </w:rPr>
        <w:footnoteRef/>
      </w:r>
      <w:r w:rsidRPr="002F178C">
        <w:rPr>
          <w:lang w:val="en-GB"/>
        </w:rPr>
        <w:t xml:space="preserve"> DO (2024)</w:t>
      </w:r>
      <w:r>
        <w:rPr>
          <w:lang w:val="en-GB"/>
        </w:rPr>
        <w:t>.</w:t>
      </w:r>
      <w:r w:rsidRPr="002F178C">
        <w:rPr>
          <w:lang w:val="en-GB"/>
        </w:rPr>
        <w:t xml:space="preserve"> </w:t>
      </w:r>
      <w:r w:rsidRPr="00FA7696">
        <w:rPr>
          <w:lang w:val="en-GB"/>
        </w:rPr>
        <w:t>Förekomst av diskriminering</w:t>
      </w:r>
      <w:r w:rsidRPr="00E06204">
        <w:rPr>
          <w:lang w:val="en-GB"/>
        </w:rPr>
        <w:t xml:space="preserve"> 2024</w:t>
      </w:r>
      <w:r w:rsidRPr="002F178C">
        <w:rPr>
          <w:lang w:val="en-GB"/>
        </w:rPr>
        <w:t xml:space="preserve"> [The state of discrimination 2024]. Annual report from the Equality Ombudsman</w:t>
      </w:r>
      <w:r>
        <w:rPr>
          <w:lang w:val="en-GB"/>
        </w:rPr>
        <w:t xml:space="preserve">, </w:t>
      </w:r>
      <w:r w:rsidRPr="001C7468">
        <w:rPr>
          <w:lang w:val="en-GB"/>
        </w:rPr>
        <w:t xml:space="preserve">DO (2023). </w:t>
      </w:r>
      <w:r w:rsidRPr="00FA7696">
        <w:rPr>
          <w:lang w:val="en-GB"/>
        </w:rPr>
        <w:t>Förekomst av diskriminering</w:t>
      </w:r>
      <w:r w:rsidRPr="001C7468">
        <w:rPr>
          <w:lang w:val="en-GB"/>
        </w:rPr>
        <w:t xml:space="preserve"> 2023</w:t>
      </w:r>
      <w:r>
        <w:rPr>
          <w:lang w:val="en-GB"/>
        </w:rPr>
        <w:t xml:space="preserve"> </w:t>
      </w:r>
      <w:r w:rsidRPr="002F178C">
        <w:rPr>
          <w:lang w:val="en-GB"/>
        </w:rPr>
        <w:t>[The state of discrimination 202</w:t>
      </w:r>
      <w:r>
        <w:rPr>
          <w:lang w:val="en-GB"/>
        </w:rPr>
        <w:t>3</w:t>
      </w:r>
      <w:r w:rsidRPr="002F178C">
        <w:rPr>
          <w:lang w:val="en-GB"/>
        </w:rPr>
        <w:t>]</w:t>
      </w:r>
      <w:r w:rsidRPr="001C7468">
        <w:rPr>
          <w:lang w:val="en-GB"/>
        </w:rPr>
        <w:t xml:space="preserve">. </w:t>
      </w:r>
      <w:r w:rsidRPr="002F178C">
        <w:rPr>
          <w:lang w:val="en-GB"/>
        </w:rPr>
        <w:t>Annual report from the Equality Ombudsma</w:t>
      </w:r>
      <w:r>
        <w:rPr>
          <w:lang w:val="en-GB"/>
        </w:rPr>
        <w:t>n, DO (2022).</w:t>
      </w:r>
      <w:r w:rsidRPr="00786C62">
        <w:rPr>
          <w:lang w:val="en-GB"/>
        </w:rPr>
        <w:t xml:space="preserve"> </w:t>
      </w:r>
      <w:r w:rsidRPr="00FA7696">
        <w:rPr>
          <w:lang w:val="en-GB"/>
        </w:rPr>
        <w:t>Redovisning av uppdrag att utveckla kunskap om diskriminering som har samband med religion eller annan trosuppfattning</w:t>
      </w:r>
      <w:r w:rsidRPr="0069338A">
        <w:rPr>
          <w:lang w:val="en-GB"/>
        </w:rPr>
        <w:t xml:space="preserve"> [Report on the assignment to develop knowledge about discrimination related to religion or other belief], </w:t>
      </w:r>
      <w:r>
        <w:rPr>
          <w:lang w:val="en-GB"/>
        </w:rPr>
        <w:t>and</w:t>
      </w:r>
      <w:r w:rsidRPr="0069338A">
        <w:rPr>
          <w:lang w:val="en-GB"/>
        </w:rPr>
        <w:t xml:space="preserve"> complaints to DO </w:t>
      </w:r>
      <w:r>
        <w:rPr>
          <w:lang w:val="en-GB"/>
        </w:rPr>
        <w:t>and</w:t>
      </w:r>
      <w:r w:rsidRPr="0069338A">
        <w:rPr>
          <w:lang w:val="en-GB"/>
        </w:rPr>
        <w:t xml:space="preserve"> dialogue with civil society.</w:t>
      </w:r>
    </w:p>
  </w:footnote>
  <w:footnote w:id="6">
    <w:p w14:paraId="642DAC81" w14:textId="77777777" w:rsidR="00EE5154" w:rsidRPr="002F178C" w:rsidRDefault="00EE5154" w:rsidP="00EE5154">
      <w:pPr>
        <w:pStyle w:val="Fotnotstext"/>
        <w:rPr>
          <w:lang w:val="en-GB"/>
        </w:rPr>
      </w:pPr>
      <w:r>
        <w:rPr>
          <w:rStyle w:val="Fotnotsreferens"/>
        </w:rPr>
        <w:footnoteRef/>
      </w:r>
      <w:r w:rsidRPr="002F178C">
        <w:rPr>
          <w:lang w:val="en-GB"/>
        </w:rPr>
        <w:t xml:space="preserve"> DO (2024). </w:t>
      </w:r>
      <w:r w:rsidRPr="00FA7696">
        <w:rPr>
          <w:lang w:val="en-GB"/>
        </w:rPr>
        <w:t>Förekomst av diskriminering</w:t>
      </w:r>
      <w:r w:rsidRPr="00E06204">
        <w:rPr>
          <w:lang w:val="en-GB"/>
        </w:rPr>
        <w:t xml:space="preserve"> 2024</w:t>
      </w:r>
      <w:r w:rsidRPr="002F178C">
        <w:rPr>
          <w:lang w:val="en-GB"/>
        </w:rPr>
        <w:t xml:space="preserve"> [The state of discrimination 2024]. Annual report from the Equality Ombudsman. </w:t>
      </w:r>
    </w:p>
  </w:footnote>
  <w:footnote w:id="7">
    <w:p w14:paraId="473FCAFF" w14:textId="77777777" w:rsidR="00EE5154" w:rsidRPr="002F178C" w:rsidRDefault="00EE5154" w:rsidP="00EE5154">
      <w:pPr>
        <w:pStyle w:val="Fotnotstext"/>
        <w:rPr>
          <w:lang w:val="en-GB"/>
        </w:rPr>
      </w:pPr>
      <w:r>
        <w:rPr>
          <w:rStyle w:val="Fotnotsreferens"/>
        </w:rPr>
        <w:footnoteRef/>
      </w:r>
      <w:r w:rsidRPr="00C42B6E">
        <w:rPr>
          <w:lang w:val="en-GB"/>
        </w:rPr>
        <w:t xml:space="preserve"> Barnombudsmannen (2021). Om barns och ungas utsatthet för rasism [Children and young people's vulnerability to racism], Rädda Barnen (2021). </w:t>
      </w:r>
      <w:r>
        <w:t>Vuxna vad gör dom? Barns röster om rasism i skolan [</w:t>
      </w:r>
      <w:r w:rsidRPr="00FA7696">
        <w:t>What are the adults doing? Children's voices on racism at school</w:t>
      </w:r>
      <w:r>
        <w:t>], Katzin (2021). Skolgårdsrasism, konspirationsteorier och utanförskap – En rapport om antisemitism och det judiska minoritetskapet i Malmös förskolor, skolor, gymnasier och vuxenutbildning [</w:t>
      </w:r>
      <w:r w:rsidRPr="00FA7696">
        <w:t>Schoolyard racism, conspiracy theories and exclusion – A report on anti-Semitism and the Jewish minority in Malmö's preschools, schools, upper secondary schools and adult education], Wagrell, Kristin (2022</w:t>
      </w:r>
      <w:r w:rsidRPr="00A82BDB">
        <w:t xml:space="preserve">). </w:t>
      </w:r>
      <w:r w:rsidRPr="00FA7696">
        <w:rPr>
          <w:lang w:val="en-GB"/>
        </w:rPr>
        <w:t>Antisemitismen i Stockholms skolor – En rapport om skolpersonal och elevers upplevelser och tankar kring antisemitiska uttryck i sin skolmiljö</w:t>
      </w:r>
      <w:r w:rsidRPr="0018786B">
        <w:rPr>
          <w:lang w:val="en-GB"/>
        </w:rPr>
        <w:t xml:space="preserve"> [Anti-Semitism in Stockholm's schools — A report on school staff and pupils' experiences and thoughts on anti-Semitic expressions in their school environment], City of Gothenburg (2025). </w:t>
      </w:r>
      <w:r w:rsidRPr="00FA7696">
        <w:rPr>
          <w:lang w:val="en-GB"/>
        </w:rPr>
        <w:t>Antisemitism i Göteborg Stads skolor</w:t>
      </w:r>
      <w:r w:rsidRPr="002F178C">
        <w:rPr>
          <w:lang w:val="en-GB"/>
        </w:rPr>
        <w:t xml:space="preserve"> [Anti-Semitism in City of Gothenburg schools]. </w:t>
      </w:r>
    </w:p>
  </w:footnote>
  <w:footnote w:id="8">
    <w:p w14:paraId="755B7552" w14:textId="77777777" w:rsidR="00EE5154" w:rsidRPr="00903859" w:rsidRDefault="00EE5154" w:rsidP="00EE5154">
      <w:pPr>
        <w:pStyle w:val="Fotnotstext"/>
        <w:rPr>
          <w:lang w:val="en-GB"/>
        </w:rPr>
      </w:pPr>
      <w:r>
        <w:rPr>
          <w:rStyle w:val="Fotnotsreferens"/>
        </w:rPr>
        <w:footnoteRef/>
      </w:r>
      <w:r w:rsidRPr="00903859">
        <w:rPr>
          <w:lang w:val="en-GB"/>
        </w:rPr>
        <w:t xml:space="preserve"> DO (2024). </w:t>
      </w:r>
      <w:r w:rsidRPr="00FA7696">
        <w:rPr>
          <w:lang w:val="en-GB"/>
        </w:rPr>
        <w:t>Förekomst av diskriminering 2024</w:t>
      </w:r>
      <w:r w:rsidRPr="00903859">
        <w:rPr>
          <w:lang w:val="en-GB"/>
        </w:rPr>
        <w:t xml:space="preserve"> [The state of discrimination 2024]. Annual report from DO</w:t>
      </w:r>
      <w:r>
        <w:rPr>
          <w:lang w:val="en-GB"/>
        </w:rPr>
        <w:t xml:space="preserve">, </w:t>
      </w:r>
      <w:r w:rsidRPr="00903859">
        <w:rPr>
          <w:lang w:val="en-GB"/>
        </w:rPr>
        <w:t xml:space="preserve">DO (2022). </w:t>
      </w:r>
      <w:r w:rsidRPr="00FA7696">
        <w:rPr>
          <w:lang w:val="en-GB"/>
        </w:rPr>
        <w:t xml:space="preserve">Redovisning av uppdrag att utveckla kunskap om diskriminering som har samband med religion eller annan trosuppfattning </w:t>
      </w:r>
      <w:r w:rsidRPr="00903859">
        <w:rPr>
          <w:lang w:val="en-GB"/>
        </w:rPr>
        <w:t xml:space="preserve">[Report on the assignment to develop knowledge about discrimination related to religion or other belief]. </w:t>
      </w:r>
    </w:p>
  </w:footnote>
  <w:footnote w:id="9">
    <w:p w14:paraId="50B0BF14" w14:textId="77777777" w:rsidR="00EE5154" w:rsidRPr="002F178C" w:rsidRDefault="00EE5154" w:rsidP="00EE5154">
      <w:pPr>
        <w:pStyle w:val="Fotnotstext"/>
        <w:rPr>
          <w:lang w:val="en-GB"/>
        </w:rPr>
      </w:pPr>
      <w:r>
        <w:rPr>
          <w:rStyle w:val="Fotnotsreferens"/>
        </w:rPr>
        <w:footnoteRef/>
      </w:r>
      <w:r w:rsidRPr="002F178C">
        <w:rPr>
          <w:lang w:val="en-GB"/>
        </w:rPr>
        <w:t xml:space="preserve"> DO (2025). Registration number: 2025/3336.</w:t>
      </w:r>
    </w:p>
  </w:footnote>
  <w:footnote w:id="10">
    <w:p w14:paraId="279F3883" w14:textId="77777777" w:rsidR="00EE5154" w:rsidRPr="002F178C" w:rsidRDefault="00EE5154" w:rsidP="00EE5154">
      <w:pPr>
        <w:pStyle w:val="Fotnotstext"/>
        <w:rPr>
          <w:lang w:val="en-GB"/>
        </w:rPr>
      </w:pPr>
      <w:r>
        <w:rPr>
          <w:rStyle w:val="Fotnotsreferens"/>
        </w:rPr>
        <w:footnoteRef/>
      </w:r>
      <w:r w:rsidRPr="002F178C">
        <w:rPr>
          <w:lang w:val="en-GB"/>
        </w:rPr>
        <w:t xml:space="preserve"> DO (2024). </w:t>
      </w:r>
      <w:r w:rsidRPr="00FA7696">
        <w:rPr>
          <w:lang w:val="en-GB"/>
        </w:rPr>
        <w:t>Förekomst av diskriminering 2024</w:t>
      </w:r>
      <w:r w:rsidRPr="002F178C">
        <w:rPr>
          <w:lang w:val="en-GB"/>
        </w:rPr>
        <w:t xml:space="preserve"> [The state of discrimination 2024]. Annual report from the Equality Ombudsma</w:t>
      </w:r>
      <w:r>
        <w:rPr>
          <w:lang w:val="en-GB"/>
        </w:rPr>
        <w:t xml:space="preserve">n, </w:t>
      </w:r>
      <w:r w:rsidRPr="002F178C">
        <w:rPr>
          <w:lang w:val="en-GB"/>
        </w:rPr>
        <w:t xml:space="preserve">DO (2022). </w:t>
      </w:r>
      <w:r w:rsidRPr="00FA7696">
        <w:rPr>
          <w:lang w:val="en-GB"/>
        </w:rPr>
        <w:t xml:space="preserve">Redovisning av uppdrag att utveckla kunskap om diskriminering som har samband med religion eller annan trosuppfattning </w:t>
      </w:r>
      <w:r w:rsidRPr="002F178C">
        <w:rPr>
          <w:lang w:val="en-GB"/>
        </w:rPr>
        <w:t xml:space="preserve">[Report on the assignment to develop knowledge about discrimination related to religion or other belief]. </w:t>
      </w:r>
    </w:p>
  </w:footnote>
  <w:footnote w:id="11">
    <w:p w14:paraId="2247AFB1" w14:textId="77777777" w:rsidR="00EE5154" w:rsidRPr="002F178C" w:rsidRDefault="00EE5154" w:rsidP="00EE5154">
      <w:pPr>
        <w:pStyle w:val="Fotnotstext"/>
        <w:rPr>
          <w:lang w:val="en-GB"/>
        </w:rPr>
      </w:pPr>
      <w:r>
        <w:rPr>
          <w:rStyle w:val="Fotnotsreferens"/>
        </w:rPr>
        <w:footnoteRef/>
      </w:r>
      <w:r w:rsidRPr="002F178C">
        <w:rPr>
          <w:lang w:val="en-GB"/>
        </w:rPr>
        <w:t xml:space="preserve"> DO (2024). </w:t>
      </w:r>
      <w:r w:rsidRPr="00FA7696">
        <w:rPr>
          <w:lang w:val="en-GB"/>
        </w:rPr>
        <w:t>Förekomst av diskriminering 2024</w:t>
      </w:r>
      <w:r w:rsidRPr="002F178C">
        <w:rPr>
          <w:lang w:val="en-GB"/>
        </w:rPr>
        <w:t xml:space="preserve"> [The state of discrimination 2024]. Annual report from the Equality Ombudsman. </w:t>
      </w:r>
    </w:p>
  </w:footnote>
  <w:footnote w:id="12">
    <w:p w14:paraId="332BD253" w14:textId="77777777" w:rsidR="00EE5154" w:rsidRPr="002F178C" w:rsidRDefault="00EE5154" w:rsidP="00EE5154">
      <w:pPr>
        <w:pStyle w:val="Fotnotstext"/>
        <w:rPr>
          <w:lang w:val="en-GB"/>
        </w:rPr>
      </w:pPr>
      <w:r>
        <w:rPr>
          <w:rStyle w:val="Fotnotsreferens"/>
        </w:rPr>
        <w:footnoteRef/>
      </w:r>
      <w:r w:rsidRPr="002F178C">
        <w:rPr>
          <w:lang w:val="en-GB"/>
        </w:rPr>
        <w:t xml:space="preserve"> Discrimination Act, Chapter 2. </w:t>
      </w:r>
    </w:p>
  </w:footnote>
  <w:footnote w:id="13">
    <w:p w14:paraId="33307665" w14:textId="77777777" w:rsidR="00EE5154" w:rsidRPr="002F178C" w:rsidRDefault="00EE5154" w:rsidP="00EE5154">
      <w:pPr>
        <w:pStyle w:val="Fotnotstext"/>
        <w:rPr>
          <w:lang w:val="en-GB"/>
        </w:rPr>
      </w:pPr>
      <w:r>
        <w:rPr>
          <w:rStyle w:val="Fotnotsreferens"/>
        </w:rPr>
        <w:footnoteRef/>
      </w:r>
      <w:r w:rsidRPr="002F178C">
        <w:rPr>
          <w:lang w:val="en-GB"/>
        </w:rPr>
        <w:t xml:space="preserve"> DO (2024). </w:t>
      </w:r>
      <w:r w:rsidRPr="00FA7696">
        <w:rPr>
          <w:lang w:val="en-GB"/>
        </w:rPr>
        <w:t>Förekomst av diskriminering 2024</w:t>
      </w:r>
      <w:r w:rsidRPr="002F178C">
        <w:rPr>
          <w:lang w:val="en-GB"/>
        </w:rPr>
        <w:t xml:space="preserve"> [The state of discrimination 2024]. Annual report from the Equality Ombudsman. </w:t>
      </w:r>
    </w:p>
  </w:footnote>
  <w:footnote w:id="14">
    <w:p w14:paraId="653ADC07" w14:textId="77777777" w:rsidR="00EE5154" w:rsidRPr="002F178C" w:rsidRDefault="00EE5154" w:rsidP="00EE5154">
      <w:pPr>
        <w:pStyle w:val="Fotnotstext"/>
        <w:rPr>
          <w:lang w:val="en-GB"/>
        </w:rPr>
      </w:pPr>
      <w:r>
        <w:rPr>
          <w:rStyle w:val="Fotnotsreferens"/>
        </w:rPr>
        <w:footnoteRef/>
      </w:r>
      <w:r w:rsidRPr="002F178C">
        <w:rPr>
          <w:lang w:val="en-GB"/>
        </w:rPr>
        <w:t xml:space="preserve"> Chapter 2, Section 7 of the Discrimination Act.</w:t>
      </w:r>
    </w:p>
  </w:footnote>
  <w:footnote w:id="15">
    <w:p w14:paraId="1E17E27E" w14:textId="77777777" w:rsidR="00EE5154" w:rsidRPr="002F178C" w:rsidRDefault="00EE5154" w:rsidP="00EE5154">
      <w:pPr>
        <w:pStyle w:val="Fotnotstext"/>
        <w:rPr>
          <w:lang w:val="en-GB"/>
        </w:rPr>
      </w:pPr>
      <w:r>
        <w:rPr>
          <w:rStyle w:val="Fotnotsreferens"/>
        </w:rPr>
        <w:footnoteRef/>
      </w:r>
      <w:r w:rsidRPr="002F178C">
        <w:rPr>
          <w:lang w:val="en-GB"/>
        </w:rPr>
        <w:t xml:space="preserve"> DO (2024). </w:t>
      </w:r>
      <w:r w:rsidRPr="00FA7696">
        <w:rPr>
          <w:lang w:val="en-GB"/>
        </w:rPr>
        <w:t>Förekomst av diskriminering 2024</w:t>
      </w:r>
      <w:r w:rsidRPr="002F178C">
        <w:rPr>
          <w:lang w:val="en-GB"/>
        </w:rPr>
        <w:t xml:space="preserve"> </w:t>
      </w:r>
      <w:bookmarkStart w:id="28" w:name="_Hlk209184230"/>
      <w:r w:rsidRPr="002F178C">
        <w:rPr>
          <w:lang w:val="en-GB"/>
        </w:rPr>
        <w:t xml:space="preserve">[The state of discrimination 2024]. Annual report from the Equality Ombudsman. </w:t>
      </w:r>
    </w:p>
    <w:bookmarkEnd w:id="28"/>
  </w:footnote>
  <w:footnote w:id="16">
    <w:p w14:paraId="1558CF79" w14:textId="4759AC5C" w:rsidR="00EE5154" w:rsidRPr="002F178C" w:rsidRDefault="00EE5154" w:rsidP="00EE5154">
      <w:pPr>
        <w:pStyle w:val="Fotnotstext"/>
        <w:rPr>
          <w:lang w:val="en-GB"/>
        </w:rPr>
      </w:pPr>
      <w:r>
        <w:rPr>
          <w:rStyle w:val="Fotnotsreferens"/>
        </w:rPr>
        <w:footnoteRef/>
      </w:r>
      <w:r w:rsidRPr="00792448">
        <w:rPr>
          <w:lang w:val="en-GB"/>
        </w:rPr>
        <w:t xml:space="preserve"> DO (2022). </w:t>
      </w:r>
      <w:r w:rsidRPr="00FA7696">
        <w:rPr>
          <w:lang w:val="en-GB"/>
        </w:rPr>
        <w:t>Redovisning av uppdrag att utveckla kunskap om diskriminering som har samband med religion eller annan trosuppfattning</w:t>
      </w:r>
      <w:r w:rsidRPr="00792448">
        <w:rPr>
          <w:lang w:val="en-GB"/>
        </w:rPr>
        <w:t xml:space="preserve"> [Report on the assignment to develop knowledge about discrimination related to religion or other belief]. </w:t>
      </w:r>
      <w:r w:rsidRPr="002F178C">
        <w:rPr>
          <w:lang w:val="en-GB"/>
        </w:rPr>
        <w:t xml:space="preserve">See also case: DO (2023). </w:t>
      </w:r>
      <w:r w:rsidRPr="00903859">
        <w:rPr>
          <w:lang w:val="en-GB"/>
        </w:rPr>
        <w:t xml:space="preserve">Registration number DO 2023/6870. </w:t>
      </w:r>
      <w:r w:rsidR="00A82BDB" w:rsidRPr="00903859">
        <w:rPr>
          <w:lang w:val="en-GB"/>
        </w:rPr>
        <w:t>Registration number</w:t>
      </w:r>
      <w:r w:rsidRPr="00903859">
        <w:rPr>
          <w:lang w:val="en-GB"/>
        </w:rPr>
        <w:t xml:space="preserve"> LED 2021/510, </w:t>
      </w:r>
      <w:r w:rsidR="00A82BDB">
        <w:rPr>
          <w:lang w:val="en-GB"/>
        </w:rPr>
        <w:t>document</w:t>
      </w:r>
      <w:r w:rsidRPr="00903859">
        <w:rPr>
          <w:lang w:val="en-GB"/>
        </w:rPr>
        <w:t xml:space="preserve"> 13. </w:t>
      </w:r>
    </w:p>
  </w:footnote>
  <w:footnote w:id="17">
    <w:p w14:paraId="0B1C0451" w14:textId="77777777" w:rsidR="00EE5154" w:rsidRPr="002F178C" w:rsidRDefault="00EE5154" w:rsidP="00EE5154">
      <w:pPr>
        <w:pStyle w:val="Fotnotstext"/>
        <w:rPr>
          <w:lang w:val="en-GB"/>
        </w:rPr>
      </w:pPr>
      <w:r>
        <w:rPr>
          <w:rStyle w:val="Fotnotsreferens"/>
        </w:rPr>
        <w:footnoteRef/>
      </w:r>
      <w:r w:rsidRPr="002F178C">
        <w:rPr>
          <w:lang w:val="en-GB"/>
        </w:rPr>
        <w:t xml:space="preserve"> DO (2024). </w:t>
      </w:r>
      <w:r w:rsidRPr="00FA7696">
        <w:rPr>
          <w:lang w:val="en-GB"/>
        </w:rPr>
        <w:t>Förekomst av diskriminering 2024</w:t>
      </w:r>
      <w:r w:rsidRPr="002F178C">
        <w:rPr>
          <w:lang w:val="en-GB"/>
        </w:rPr>
        <w:t xml:space="preserve"> [The state of discrimination 2024]. Annual report from the Equality Ombudsman. See also DO 2025/3336. </w:t>
      </w:r>
    </w:p>
  </w:footnote>
  <w:footnote w:id="18">
    <w:p w14:paraId="4CDE431C" w14:textId="11C97D30" w:rsidR="00EE5154" w:rsidRPr="00EE5154" w:rsidRDefault="00EE5154" w:rsidP="00EE5154">
      <w:pPr>
        <w:pStyle w:val="Fotnotstext"/>
      </w:pPr>
      <w:r>
        <w:rPr>
          <w:rStyle w:val="Fotnotsreferens"/>
        </w:rPr>
        <w:footnoteRef/>
      </w:r>
      <w:r w:rsidRPr="00903859">
        <w:rPr>
          <w:lang w:val="en-GB"/>
        </w:rPr>
        <w:t xml:space="preserve"> DO (2024). </w:t>
      </w:r>
      <w:r w:rsidRPr="00FA7696">
        <w:rPr>
          <w:lang w:val="en-GB"/>
        </w:rPr>
        <w:t>Förekomst av diskriminering 2024</w:t>
      </w:r>
      <w:r w:rsidRPr="007E19D0">
        <w:rPr>
          <w:lang w:val="en-GB"/>
        </w:rPr>
        <w:t xml:space="preserve"> </w:t>
      </w:r>
      <w:r w:rsidRPr="00A010EA">
        <w:rPr>
          <w:lang w:val="en-GB"/>
        </w:rPr>
        <w:t>[The state of discrimination 202</w:t>
      </w:r>
      <w:r>
        <w:rPr>
          <w:lang w:val="en-GB"/>
        </w:rPr>
        <w:t>4</w:t>
      </w:r>
      <w:r w:rsidRPr="00A010EA">
        <w:rPr>
          <w:lang w:val="en-GB"/>
        </w:rPr>
        <w:t>]</w:t>
      </w:r>
      <w:r w:rsidRPr="007E19D0">
        <w:rPr>
          <w:lang w:val="en-GB"/>
        </w:rPr>
        <w:t xml:space="preserve">. </w:t>
      </w:r>
      <w:r w:rsidRPr="002F178C">
        <w:rPr>
          <w:lang w:val="en-GB"/>
        </w:rPr>
        <w:t>Annual report from the Equality Ombudsman</w:t>
      </w:r>
      <w:r>
        <w:rPr>
          <w:lang w:val="en-GB"/>
        </w:rPr>
        <w:t xml:space="preserve"> </w:t>
      </w:r>
      <w:r w:rsidR="002F088A">
        <w:rPr>
          <w:lang w:val="en-GB"/>
        </w:rPr>
        <w:t>and</w:t>
      </w:r>
      <w:r w:rsidRPr="007E19D0">
        <w:rPr>
          <w:lang w:val="en-GB"/>
        </w:rPr>
        <w:t xml:space="preserve"> Delmi (2024). </w:t>
      </w:r>
      <w:r w:rsidRPr="00FA7696">
        <w:rPr>
          <w:lang w:val="en-GB"/>
        </w:rPr>
        <w:t>Etnisk diskriminering i rekryteringsprocesser – orsaker och åtgärder</w:t>
      </w:r>
      <w:r w:rsidRPr="002F178C">
        <w:rPr>
          <w:lang w:val="en-GB"/>
        </w:rPr>
        <w:t xml:space="preserve"> [Ethnic discrimination in recruitment processes – causes and countermeasures]. Knowledge overview. </w:t>
      </w:r>
      <w:r w:rsidRPr="00EE5154">
        <w:t xml:space="preserve">2024:14. </w:t>
      </w:r>
    </w:p>
  </w:footnote>
  <w:footnote w:id="19">
    <w:p w14:paraId="05C15F0B" w14:textId="77777777" w:rsidR="00EE5154" w:rsidRPr="0018786B" w:rsidRDefault="00EE5154" w:rsidP="00EE5154">
      <w:pPr>
        <w:pStyle w:val="Fotnotstext"/>
      </w:pPr>
      <w:r>
        <w:rPr>
          <w:rStyle w:val="Fotnotsreferens"/>
        </w:rPr>
        <w:footnoteRef/>
      </w:r>
      <w:r w:rsidRPr="00EE5154">
        <w:t xml:space="preserve"> </w:t>
      </w:r>
      <w:bookmarkStart w:id="31" w:name="_Hlk199257996"/>
      <w:r w:rsidRPr="00EE5154">
        <w:t xml:space="preserve">DO (2022). </w:t>
      </w:r>
      <w:r w:rsidRPr="0018786B">
        <w:t>Redovisning av uppdrag att utveckla kunskap om diskriminering som har samband med religion eller annan trosuppfattning [</w:t>
      </w:r>
      <w:r w:rsidRPr="00FA7696">
        <w:t>Report on the assignment to develop knowledge about discrimination related to religion or other belief</w:t>
      </w:r>
      <w:r w:rsidRPr="0018786B">
        <w:t>]</w:t>
      </w:r>
      <w:bookmarkEnd w:id="31"/>
      <w:r>
        <w:t xml:space="preserve">, Länsstyrelsen (2021). </w:t>
      </w:r>
      <w:r w:rsidRPr="002F088A">
        <w:t>Antisvart rasism och diskriminering på arbetsmarknaden</w:t>
      </w:r>
      <w:r w:rsidRPr="00FA7696">
        <w:t xml:space="preserve"> [Anti</w:t>
      </w:r>
      <w:r w:rsidRPr="00DF37FC">
        <w:t>-</w:t>
      </w:r>
      <w:r w:rsidRPr="00FA7696">
        <w:t>Black Racism and Discrimination in the labour market</w:t>
      </w:r>
      <w:r>
        <w:t xml:space="preserve">]. </w:t>
      </w:r>
    </w:p>
  </w:footnote>
  <w:footnote w:id="20">
    <w:p w14:paraId="6667E29D" w14:textId="77777777" w:rsidR="00EE5154" w:rsidRPr="00903859" w:rsidRDefault="00EE5154" w:rsidP="00EE5154">
      <w:pPr>
        <w:pStyle w:val="Fotnotstext"/>
        <w:rPr>
          <w:lang w:val="en-GB"/>
        </w:rPr>
      </w:pPr>
      <w:r>
        <w:rPr>
          <w:rStyle w:val="Fotnotsreferens"/>
        </w:rPr>
        <w:footnoteRef/>
      </w:r>
      <w:r w:rsidRPr="00A069D3">
        <w:t xml:space="preserve"> </w:t>
      </w:r>
      <w:r w:rsidRPr="004C0E6D">
        <w:t>DO (2022). Redovisning av uppdrag att utveckla kunskap om diskriminering som har samband med religion eller annan trosuppfattning</w:t>
      </w:r>
      <w:r>
        <w:t xml:space="preserve">, </w:t>
      </w:r>
      <w:r w:rsidRPr="004C0E6D">
        <w:t xml:space="preserve">DO (2023). </w:t>
      </w:r>
      <w:r w:rsidRPr="00FA7696">
        <w:rPr>
          <w:lang w:val="en-GB"/>
        </w:rPr>
        <w:t>Förekomst av diskriminering 2023</w:t>
      </w:r>
      <w:r w:rsidRPr="00787912">
        <w:rPr>
          <w:lang w:val="en-GB"/>
        </w:rPr>
        <w:t xml:space="preserve"> </w:t>
      </w:r>
      <w:r w:rsidRPr="00A010EA">
        <w:rPr>
          <w:lang w:val="en-GB"/>
        </w:rPr>
        <w:t>[The state of discrimination 202</w:t>
      </w:r>
      <w:r>
        <w:rPr>
          <w:lang w:val="en-GB"/>
        </w:rPr>
        <w:t>3</w:t>
      </w:r>
      <w:r w:rsidRPr="00A010EA">
        <w:rPr>
          <w:lang w:val="en-GB"/>
        </w:rPr>
        <w:t>]. Annual report from the Equality Ombudsman</w:t>
      </w:r>
      <w:r>
        <w:rPr>
          <w:lang w:val="en-GB"/>
        </w:rPr>
        <w:t xml:space="preserve"> </w:t>
      </w:r>
      <w:r w:rsidRPr="00A010EA">
        <w:rPr>
          <w:lang w:val="en-GB"/>
        </w:rPr>
        <w:t xml:space="preserve">and DO (2017). </w:t>
      </w:r>
      <w:r>
        <w:rPr>
          <w:lang w:val="en-GB"/>
        </w:rPr>
        <w:t>Registration number</w:t>
      </w:r>
      <w:r w:rsidRPr="00903859">
        <w:rPr>
          <w:lang w:val="en-GB"/>
        </w:rPr>
        <w:t xml:space="preserve">: ANM 2017/638. </w:t>
      </w:r>
    </w:p>
  </w:footnote>
  <w:footnote w:id="21">
    <w:p w14:paraId="3A6D9506" w14:textId="77777777" w:rsidR="00EE5154" w:rsidRPr="002F178C" w:rsidRDefault="00EE5154" w:rsidP="00EE5154">
      <w:pPr>
        <w:pStyle w:val="Fotnotstext"/>
        <w:rPr>
          <w:lang w:val="en-GB"/>
        </w:rPr>
      </w:pPr>
      <w:r>
        <w:rPr>
          <w:rStyle w:val="Fotnotsreferens"/>
        </w:rPr>
        <w:footnoteRef/>
      </w:r>
      <w:r w:rsidRPr="002F178C">
        <w:rPr>
          <w:lang w:val="en-GB"/>
        </w:rPr>
        <w:t xml:space="preserve"> The research referenced by DO has often investigated the prevalence of discrimination by studying a specific outcome between fictitious persons with, for example, typically Arabic-sounding names compared to fictitious persons with typically Swedish-sounding names. </w:t>
      </w:r>
      <w:r w:rsidRPr="005361CE">
        <w:rPr>
          <w:lang w:val="en-GB"/>
        </w:rPr>
        <w:t>The names selected in the studies often have a clear affiliation, such as the name Mohammed</w:t>
      </w:r>
      <w:r>
        <w:rPr>
          <w:lang w:val="en-GB"/>
        </w:rPr>
        <w:t xml:space="preserve">. </w:t>
      </w:r>
      <w:r w:rsidRPr="00953C36">
        <w:rPr>
          <w:lang w:val="en-GB"/>
        </w:rPr>
        <w:t xml:space="preserve">DO is </w:t>
      </w:r>
      <w:r>
        <w:rPr>
          <w:lang w:val="en-GB"/>
        </w:rPr>
        <w:t xml:space="preserve">fully </w:t>
      </w:r>
      <w:r w:rsidRPr="00953C36">
        <w:rPr>
          <w:lang w:val="en-GB"/>
        </w:rPr>
        <w:t>aware that Arabic-sounding names and African-sounding names can vary greatly.</w:t>
      </w:r>
    </w:p>
  </w:footnote>
  <w:footnote w:id="22">
    <w:p w14:paraId="18FAE7EA" w14:textId="77777777" w:rsidR="00EE5154" w:rsidRPr="00AB7C06" w:rsidRDefault="00EE5154" w:rsidP="00EE5154">
      <w:pPr>
        <w:pStyle w:val="Fotnotstext"/>
        <w:rPr>
          <w:lang w:val="en-GB"/>
        </w:rPr>
      </w:pPr>
      <w:r>
        <w:rPr>
          <w:rStyle w:val="Fotnotsreferens"/>
        </w:rPr>
        <w:footnoteRef/>
      </w:r>
      <w:r w:rsidRPr="00EE5154">
        <w:rPr>
          <w:lang w:val="en-GB"/>
        </w:rPr>
        <w:t xml:space="preserve"> DO (2022). </w:t>
      </w:r>
      <w:r w:rsidRPr="00FA7696">
        <w:rPr>
          <w:lang w:val="en-GB"/>
        </w:rPr>
        <w:t>Redovisning av uppdrag att utveckla kunskap om diskriminering som har samband med religion eller annan trosuppfattning</w:t>
      </w:r>
      <w:r w:rsidRPr="00EE5154">
        <w:rPr>
          <w:lang w:val="en-GB"/>
        </w:rPr>
        <w:t xml:space="preserve"> [Report on the assignment to develop knowledge about discrimination related to religion or other belief], DO (2023). </w:t>
      </w:r>
      <w:r w:rsidRPr="00FA7696">
        <w:rPr>
          <w:lang w:val="en-GB"/>
        </w:rPr>
        <w:t>Förekomst av diskriminering 2023</w:t>
      </w:r>
      <w:r w:rsidRPr="00AB7C06">
        <w:rPr>
          <w:lang w:val="en-GB"/>
        </w:rPr>
        <w:t xml:space="preserve"> </w:t>
      </w:r>
      <w:r w:rsidRPr="00A010EA">
        <w:rPr>
          <w:lang w:val="en-GB"/>
        </w:rPr>
        <w:t>[The state of discrimination 202</w:t>
      </w:r>
      <w:r>
        <w:rPr>
          <w:lang w:val="en-GB"/>
        </w:rPr>
        <w:t>3</w:t>
      </w:r>
      <w:r w:rsidRPr="00A010EA">
        <w:rPr>
          <w:lang w:val="en-GB"/>
        </w:rPr>
        <w:t>]</w:t>
      </w:r>
      <w:r w:rsidRPr="00AB7C06">
        <w:rPr>
          <w:lang w:val="en-GB"/>
        </w:rPr>
        <w:t xml:space="preserve">. </w:t>
      </w:r>
      <w:r w:rsidRPr="002F178C">
        <w:rPr>
          <w:lang w:val="en-GB"/>
        </w:rPr>
        <w:t xml:space="preserve">Annual report from the Equality Ombudsman. </w:t>
      </w:r>
    </w:p>
  </w:footnote>
  <w:footnote w:id="23">
    <w:p w14:paraId="6C9FC296" w14:textId="77777777" w:rsidR="00EE5154" w:rsidRPr="0018786B" w:rsidRDefault="00EE5154" w:rsidP="00EE5154">
      <w:pPr>
        <w:pStyle w:val="Fotnotstext"/>
      </w:pPr>
      <w:r>
        <w:rPr>
          <w:rStyle w:val="Fotnotsreferens"/>
        </w:rPr>
        <w:footnoteRef/>
      </w:r>
      <w:r w:rsidRPr="0018786B">
        <w:t xml:space="preserve"> </w:t>
      </w:r>
      <w:r>
        <w:t xml:space="preserve">Länsstyrelsen </w:t>
      </w:r>
      <w:r w:rsidRPr="0018786B">
        <w:t>(2021). Antisvart rasism och diskriminering på arbetsmarknaden [</w:t>
      </w:r>
      <w:r w:rsidRPr="00FA7696">
        <w:t>Anti-black racism and discrimination in the labour market</w:t>
      </w:r>
      <w:r w:rsidRPr="0018786B">
        <w:t xml:space="preserve">]. </w:t>
      </w:r>
    </w:p>
  </w:footnote>
  <w:footnote w:id="24">
    <w:p w14:paraId="47F8F8BE" w14:textId="77777777" w:rsidR="00EE5154" w:rsidRPr="002F178C" w:rsidRDefault="00EE5154" w:rsidP="00EE5154">
      <w:pPr>
        <w:pStyle w:val="Fotnotstext"/>
        <w:rPr>
          <w:lang w:val="en-GB"/>
        </w:rPr>
      </w:pPr>
      <w:r>
        <w:rPr>
          <w:rStyle w:val="Fotnotsreferens"/>
        </w:rPr>
        <w:footnoteRef/>
      </w:r>
      <w:r w:rsidRPr="0018786B">
        <w:t xml:space="preserve"> DO (2022). Redovisning av uppdrag att utveckla kunskap om diskriminering som har samband med religion eller annan trosuppfattning [</w:t>
      </w:r>
      <w:r w:rsidRPr="00FA7696">
        <w:t>Report on the assignment to develop knowledge about discrimination related to religion or other belief</w:t>
      </w:r>
      <w:r w:rsidRPr="0018786B">
        <w:t xml:space="preserve">], DO (2017). </w:t>
      </w:r>
      <w:r w:rsidRPr="002F178C">
        <w:rPr>
          <w:lang w:val="en-GB"/>
        </w:rPr>
        <w:t>Registration number: ANM 2017/638, DO (2024) Registration number DO 2024/3260 and Labour Court (2018) judgment no. 51/18 in case no. A 46/17.</w:t>
      </w:r>
    </w:p>
  </w:footnote>
  <w:footnote w:id="25">
    <w:p w14:paraId="356B5B6E" w14:textId="77777777" w:rsidR="00EE5154" w:rsidRPr="002F178C" w:rsidRDefault="00EE5154" w:rsidP="00EE5154">
      <w:pPr>
        <w:pStyle w:val="Fotnotstext"/>
        <w:rPr>
          <w:lang w:val="en-GB"/>
        </w:rPr>
      </w:pPr>
      <w:r>
        <w:rPr>
          <w:rStyle w:val="Fotnotsreferens"/>
        </w:rPr>
        <w:footnoteRef/>
      </w:r>
      <w:r w:rsidRPr="002F178C">
        <w:rPr>
          <w:lang w:val="en-GB"/>
        </w:rPr>
        <w:t xml:space="preserve"> DO (2022). </w:t>
      </w:r>
      <w:r w:rsidRPr="00FA7696">
        <w:rPr>
          <w:lang w:val="en-GB"/>
        </w:rPr>
        <w:t>Redovisning av uppdrag att utveckla kunskap om diskriminering som har samband med religion eller annan trosuppfattning</w:t>
      </w:r>
      <w:r w:rsidRPr="002F178C">
        <w:rPr>
          <w:lang w:val="en-GB"/>
        </w:rPr>
        <w:t xml:space="preserve"> [Report on the assignment to develop knowledge about discrimination related to religion or other belief], and dialogues with representatives of civil society. </w:t>
      </w:r>
    </w:p>
  </w:footnote>
  <w:footnote w:id="26">
    <w:p w14:paraId="729F4C98" w14:textId="77777777" w:rsidR="00EE5154" w:rsidRPr="00EE5154" w:rsidRDefault="00EE5154" w:rsidP="00EE5154">
      <w:pPr>
        <w:pStyle w:val="Fotnotstext"/>
        <w:rPr>
          <w:lang w:val="en-GB"/>
        </w:rPr>
      </w:pPr>
      <w:r>
        <w:rPr>
          <w:rStyle w:val="Fotnotsreferens"/>
        </w:rPr>
        <w:footnoteRef/>
      </w:r>
      <w:r w:rsidRPr="00792448">
        <w:rPr>
          <w:lang w:val="en-GB"/>
        </w:rPr>
        <w:t xml:space="preserve"> See e.g. (2021). </w:t>
      </w:r>
      <w:r w:rsidRPr="00FA7696">
        <w:rPr>
          <w:lang w:val="en-GB"/>
        </w:rPr>
        <w:t>Diskriminering som har samband med religion eller annan trosuppfattning – en analys av anmälningar</w:t>
      </w:r>
      <w:r w:rsidRPr="00792448">
        <w:rPr>
          <w:lang w:val="en-GB"/>
        </w:rPr>
        <w:t xml:space="preserve"> [Discrimination related to religion or other belief – an analysis of complaints]. LED 2021/510, document 13 and DO (2022). </w:t>
      </w:r>
      <w:r w:rsidRPr="00FA7696">
        <w:rPr>
          <w:lang w:val="en-GB"/>
        </w:rPr>
        <w:t>Redovisning av uppdrag att utveckla kunskap om diskriminering som har samband med religion eller annan trosuppfattning</w:t>
      </w:r>
      <w:r w:rsidRPr="00960271">
        <w:rPr>
          <w:lang w:val="en-GB"/>
        </w:rPr>
        <w:t xml:space="preserve"> [Report on the assignment to develop knowledge about discrimination related to religion or other belief], LED 2021/510</w:t>
      </w:r>
      <w:r>
        <w:rPr>
          <w:lang w:val="en-GB"/>
        </w:rPr>
        <w:t xml:space="preserve">, </w:t>
      </w:r>
      <w:r w:rsidRPr="00960271">
        <w:rPr>
          <w:lang w:val="en-GB"/>
        </w:rPr>
        <w:t xml:space="preserve">DO (2024) </w:t>
      </w:r>
      <w:r w:rsidRPr="00FA7696">
        <w:rPr>
          <w:lang w:val="en-GB"/>
        </w:rPr>
        <w:t>Förekomst av diskriminering 2024</w:t>
      </w:r>
      <w:r w:rsidRPr="00960271">
        <w:rPr>
          <w:lang w:val="en-GB"/>
        </w:rPr>
        <w:t xml:space="preserve"> [The state of discrimination 2024]. </w:t>
      </w:r>
      <w:r w:rsidRPr="00EE5154">
        <w:rPr>
          <w:lang w:val="en-GB"/>
        </w:rPr>
        <w:t xml:space="preserve">Annual report from the Equality Ombudsman. </w:t>
      </w:r>
    </w:p>
  </w:footnote>
  <w:footnote w:id="27">
    <w:p w14:paraId="644A67EA" w14:textId="77777777" w:rsidR="00EE5154" w:rsidRPr="00C42B6E" w:rsidRDefault="00EE5154" w:rsidP="00EE5154">
      <w:pPr>
        <w:pStyle w:val="Fotnotstext"/>
        <w:rPr>
          <w:lang w:val="en-GB"/>
        </w:rPr>
      </w:pPr>
      <w:r>
        <w:rPr>
          <w:rStyle w:val="Fotnotsreferens"/>
        </w:rPr>
        <w:footnoteRef/>
      </w:r>
      <w:r w:rsidRPr="00C42B6E">
        <w:rPr>
          <w:lang w:val="en-GB"/>
        </w:rPr>
        <w:t xml:space="preserve"> Myndigheten för arbetsmiljökunskap (2024). Arbetsrelaterad stress och ohälsa – om samband mellan utsatthet och etnisk tillhörighet, hudfärg och religion [Work-related stress and ill health – the link between vulnerability and ethnicity, skin colour and religion]; report 2024:7. </w:t>
      </w:r>
    </w:p>
  </w:footnote>
  <w:footnote w:id="28">
    <w:p w14:paraId="15817039" w14:textId="77777777" w:rsidR="00EE5154" w:rsidRPr="002F178C" w:rsidRDefault="00EE5154" w:rsidP="00EE5154">
      <w:pPr>
        <w:pStyle w:val="Fotnotstext"/>
        <w:rPr>
          <w:lang w:val="en-GB"/>
        </w:rPr>
      </w:pPr>
      <w:r>
        <w:rPr>
          <w:rStyle w:val="Fotnotsreferens"/>
        </w:rPr>
        <w:footnoteRef/>
      </w:r>
      <w:r w:rsidRPr="002F178C">
        <w:rPr>
          <w:lang w:val="en-GB"/>
        </w:rPr>
        <w:t xml:space="preserve"> Discrimination Act (2008:567)</w:t>
      </w:r>
      <w:r>
        <w:rPr>
          <w:lang w:val="en-GB"/>
        </w:rPr>
        <w:t xml:space="preserve"> chapter 2 and 3. </w:t>
      </w:r>
    </w:p>
  </w:footnote>
  <w:footnote w:id="29">
    <w:p w14:paraId="21BB09FC" w14:textId="77777777" w:rsidR="00EE5154" w:rsidRPr="002F178C" w:rsidRDefault="00EE5154" w:rsidP="00EE5154">
      <w:pPr>
        <w:pStyle w:val="Fotnotstext"/>
        <w:rPr>
          <w:lang w:val="en-GB"/>
        </w:rPr>
      </w:pPr>
      <w:r>
        <w:rPr>
          <w:rStyle w:val="Fotnotsreferens"/>
        </w:rPr>
        <w:footnoteRef/>
      </w:r>
      <w:r w:rsidRPr="002F178C">
        <w:rPr>
          <w:lang w:val="en-GB"/>
        </w:rPr>
        <w:t xml:space="preserve"> </w:t>
      </w:r>
      <w:r w:rsidRPr="00A82C44">
        <w:rPr>
          <w:lang w:val="en-GB"/>
        </w:rPr>
        <w:t>Lag &amp; Avtal</w:t>
      </w:r>
      <w:r w:rsidRPr="002F178C">
        <w:rPr>
          <w:lang w:val="en-GB"/>
        </w:rPr>
        <w:t xml:space="preserve"> (2024). Op-ed article. </w:t>
      </w:r>
      <w:r w:rsidRPr="007D59E5">
        <w:rPr>
          <w:lang w:val="en-GB"/>
        </w:rPr>
        <w:t>Flytta över diskrimineringsmål inom arbetslivet till allmän domstol</w:t>
      </w:r>
      <w:r w:rsidRPr="002F178C">
        <w:rPr>
          <w:lang w:val="en-GB"/>
        </w:rPr>
        <w:t xml:space="preserve"> [Transfer cases of discrimination in working life to the general courts]. https://www.lag-avtal.se/nyheter/do-flytta-over-diskrimineringsmal-inom-arbetslivet-till-allman-domstol/4236680.</w:t>
      </w:r>
    </w:p>
  </w:footnote>
  <w:footnote w:id="30">
    <w:p w14:paraId="1F7AC2C5" w14:textId="77777777" w:rsidR="00EE5154" w:rsidRPr="002F178C" w:rsidRDefault="00EE5154" w:rsidP="00EE5154">
      <w:pPr>
        <w:pStyle w:val="Fotnotstext"/>
        <w:rPr>
          <w:lang w:val="en-GB"/>
        </w:rPr>
      </w:pPr>
      <w:r>
        <w:rPr>
          <w:rStyle w:val="Fotnotsreferens"/>
        </w:rPr>
        <w:footnoteRef/>
      </w:r>
      <w:r w:rsidRPr="002F178C">
        <w:rPr>
          <w:lang w:val="en-GB"/>
        </w:rPr>
        <w:t xml:space="preserve"> DO (2021). </w:t>
      </w:r>
      <w:r w:rsidRPr="007D59E5">
        <w:rPr>
          <w:lang w:val="en-GB"/>
        </w:rPr>
        <w:t>Diskriminering vid tillhandahållande av hyresbostäder</w:t>
      </w:r>
      <w:r w:rsidRPr="002F178C">
        <w:rPr>
          <w:lang w:val="en-GB"/>
        </w:rPr>
        <w:t xml:space="preserve"> [Discrimination in the provision of rental housing]; report 2021:3.  </w:t>
      </w:r>
    </w:p>
  </w:footnote>
  <w:footnote w:id="31">
    <w:p w14:paraId="438EB836" w14:textId="77777777" w:rsidR="00EE5154" w:rsidRPr="002F178C" w:rsidRDefault="00EE5154" w:rsidP="00EE5154">
      <w:pPr>
        <w:pStyle w:val="Fotnotstext"/>
        <w:rPr>
          <w:lang w:val="en-GB"/>
        </w:rPr>
      </w:pPr>
      <w:bookmarkStart w:id="43" w:name="_Hlk207970977"/>
      <w:r>
        <w:rPr>
          <w:rStyle w:val="Fotnotsreferens"/>
        </w:rPr>
        <w:footnoteRef/>
      </w:r>
      <w:r w:rsidRPr="002F178C">
        <w:rPr>
          <w:lang w:val="en-GB"/>
        </w:rPr>
        <w:t xml:space="preserve"> DO (2021). </w:t>
      </w:r>
      <w:r w:rsidRPr="001D2006">
        <w:rPr>
          <w:lang w:val="en-GB"/>
        </w:rPr>
        <w:t>Diskriminering vid tillhandahållande av hyresbostäder</w:t>
      </w:r>
      <w:r w:rsidRPr="002F178C">
        <w:rPr>
          <w:lang w:val="en-GB"/>
        </w:rPr>
        <w:t xml:space="preserve"> [Discrimination in the provision of rental housing]; report 2021:3.  </w:t>
      </w:r>
    </w:p>
    <w:bookmarkEnd w:id="43"/>
  </w:footnote>
  <w:footnote w:id="32">
    <w:p w14:paraId="553DD5BE" w14:textId="77777777" w:rsidR="00EE5154" w:rsidRPr="002F178C" w:rsidRDefault="00EE5154" w:rsidP="00EE5154">
      <w:pPr>
        <w:pStyle w:val="Fotnotstext"/>
        <w:rPr>
          <w:lang w:val="en-GB"/>
        </w:rPr>
      </w:pPr>
      <w:r>
        <w:rPr>
          <w:rStyle w:val="Fotnotsreferens"/>
        </w:rPr>
        <w:footnoteRef/>
      </w:r>
      <w:r w:rsidRPr="002F178C">
        <w:rPr>
          <w:lang w:val="en-GB"/>
        </w:rPr>
        <w:t xml:space="preserve"> DO (2023). </w:t>
      </w:r>
      <w:r w:rsidRPr="001D2006">
        <w:rPr>
          <w:lang w:val="en-GB"/>
        </w:rPr>
        <w:t>Diskriminering vid tillhandahållande av hyresbostäder</w:t>
      </w:r>
      <w:r w:rsidRPr="002F178C">
        <w:rPr>
          <w:lang w:val="en-GB"/>
        </w:rPr>
        <w:t xml:space="preserve"> [Discrimination in the provision of rental housing]; report 2021:3.  </w:t>
      </w:r>
    </w:p>
  </w:footnote>
  <w:footnote w:id="33">
    <w:p w14:paraId="403DC9F7" w14:textId="77777777" w:rsidR="00EE5154" w:rsidRPr="002F178C" w:rsidRDefault="00EE5154" w:rsidP="00EE5154">
      <w:pPr>
        <w:pStyle w:val="Fotnotstext"/>
        <w:rPr>
          <w:lang w:val="en-GB"/>
        </w:rPr>
      </w:pPr>
      <w:r>
        <w:rPr>
          <w:rStyle w:val="Fotnotsreferens"/>
        </w:rPr>
        <w:footnoteRef/>
      </w:r>
      <w:r w:rsidRPr="002F178C">
        <w:rPr>
          <w:lang w:val="en-GB"/>
        </w:rPr>
        <w:t xml:space="preserve"> DO has represented a man whose need for emergency care was delayed because a nurse assessed the symptoms of his brain haemorrhage as “cultural fainting”. The delay led to the man's subsequent death. DO (2019). Registration number: PRO 2019/7.</w:t>
      </w:r>
    </w:p>
  </w:footnote>
  <w:footnote w:id="34">
    <w:p w14:paraId="1D79F0CF" w14:textId="77777777" w:rsidR="00EE5154" w:rsidRPr="002F178C" w:rsidRDefault="00EE5154" w:rsidP="00EE5154">
      <w:pPr>
        <w:pStyle w:val="Fotnotstext"/>
        <w:rPr>
          <w:lang w:val="en-GB"/>
        </w:rPr>
      </w:pPr>
      <w:r>
        <w:rPr>
          <w:rStyle w:val="Fotnotsreferens"/>
        </w:rPr>
        <w:footnoteRef/>
      </w:r>
      <w:r w:rsidRPr="0018786B">
        <w:t xml:space="preserve"> DO (2022). Redovisning av uppdrag att utveckla kunskap om diskriminering som har samband med religion eller annan trosuppfattning [</w:t>
      </w:r>
      <w:r w:rsidRPr="001D2006">
        <w:t>Report on the assignment to develop knowledge about discrimination related to religion or other belief</w:t>
      </w:r>
      <w:r w:rsidRPr="0018786B">
        <w:t xml:space="preserve">]. </w:t>
      </w:r>
      <w:r w:rsidRPr="002F178C">
        <w:rPr>
          <w:lang w:val="en-GB"/>
        </w:rPr>
        <w:t xml:space="preserve">See also: DO (2024) </w:t>
      </w:r>
      <w:r>
        <w:rPr>
          <w:lang w:val="en-GB"/>
        </w:rPr>
        <w:t xml:space="preserve">registration number: DO </w:t>
      </w:r>
      <w:r w:rsidRPr="002F178C">
        <w:rPr>
          <w:lang w:val="en-GB"/>
        </w:rPr>
        <w:t>2024/563.</w:t>
      </w:r>
    </w:p>
  </w:footnote>
  <w:footnote w:id="35">
    <w:p w14:paraId="6A17F423" w14:textId="77777777" w:rsidR="00EE5154" w:rsidRPr="00903859" w:rsidRDefault="00EE5154" w:rsidP="00EE5154">
      <w:pPr>
        <w:pStyle w:val="Fotnotstext"/>
      </w:pPr>
      <w:r>
        <w:rPr>
          <w:rStyle w:val="Fotnotsreferens"/>
        </w:rPr>
        <w:footnoteRef/>
      </w:r>
      <w:r w:rsidRPr="002F178C">
        <w:rPr>
          <w:lang w:val="en-GB"/>
        </w:rPr>
        <w:t xml:space="preserve"> DO (2024). </w:t>
      </w:r>
      <w:r w:rsidRPr="00903859">
        <w:rPr>
          <w:lang w:val="en-GB"/>
        </w:rPr>
        <w:t xml:space="preserve">Direktiv - Diskriminering av afrosvenskar. </w:t>
      </w:r>
      <w:r w:rsidRPr="004E2CA0">
        <w:rPr>
          <w:lang w:val="en-GB"/>
        </w:rPr>
        <w:t xml:space="preserve">Registration number: DO 2024/3670 and DO (2024). </w:t>
      </w:r>
      <w:r>
        <w:t>Registration number</w:t>
      </w:r>
      <w:r w:rsidRPr="00903859">
        <w:t>:  DO 2024/563.</w:t>
      </w:r>
    </w:p>
  </w:footnote>
  <w:footnote w:id="36">
    <w:p w14:paraId="33FDD2BC" w14:textId="77777777" w:rsidR="00EE5154" w:rsidRPr="00CD70DA" w:rsidRDefault="00EE5154" w:rsidP="00EE5154">
      <w:pPr>
        <w:pStyle w:val="Fotnotstext"/>
      </w:pPr>
      <w:r>
        <w:rPr>
          <w:rStyle w:val="Fotnotsreferens"/>
        </w:rPr>
        <w:footnoteRef/>
      </w:r>
      <w:r w:rsidRPr="00F52426">
        <w:t xml:space="preserve"> See, for example, </w:t>
      </w:r>
      <w:r w:rsidRPr="00D43F1E">
        <w:t>Riksförbundet för sexuell upplysning</w:t>
      </w:r>
      <w:r>
        <w:t xml:space="preserve"> </w:t>
      </w:r>
      <w:r w:rsidRPr="00F52426">
        <w:t xml:space="preserve">(2024). </w:t>
      </w:r>
      <w:r w:rsidRPr="0018786B">
        <w:t>Jämlik förlossning Svarta/afrosvenska kvinnors upplevelser och erfarenheter av afrofobi inom mödra- och förlossningsvården i Region Stockholm</w:t>
      </w:r>
      <w:r w:rsidRPr="00CD70DA">
        <w:t xml:space="preserve"> [Equal childbirth: Black/Afro-Swedish women's experiences of Afrophobia in maternity and childbirth care in Region Stockholm]. </w:t>
      </w:r>
    </w:p>
  </w:footnote>
  <w:footnote w:id="37">
    <w:p w14:paraId="2B8A3EFB" w14:textId="77777777" w:rsidR="00EE5154" w:rsidRPr="0018786B" w:rsidRDefault="00EE5154" w:rsidP="00EE5154">
      <w:pPr>
        <w:pStyle w:val="Fotnotstext"/>
      </w:pPr>
      <w:r>
        <w:rPr>
          <w:rStyle w:val="Fotnotsreferens"/>
        </w:rPr>
        <w:footnoteRef/>
      </w:r>
      <w:r w:rsidRPr="0018786B">
        <w:t xml:space="preserve"> DO (2022). Redovisning av uppdrag att utveckla kunskap om diskriminering som har samband med religion eller annan trosuppfattning [</w:t>
      </w:r>
      <w:r w:rsidRPr="00CD70DA">
        <w:t>Report on the assignment to develop knowledge about discrimination related to religion or other belief</w:t>
      </w:r>
      <w:r w:rsidRPr="0018786B">
        <w:t xml:space="preserve">]. </w:t>
      </w:r>
    </w:p>
  </w:footnote>
  <w:footnote w:id="38">
    <w:p w14:paraId="719EDE00" w14:textId="77777777" w:rsidR="00EE5154" w:rsidRPr="002F178C" w:rsidRDefault="00EE5154" w:rsidP="00EE5154">
      <w:pPr>
        <w:pStyle w:val="Fotnotstext"/>
        <w:rPr>
          <w:lang w:val="en-GB"/>
        </w:rPr>
      </w:pPr>
      <w:r>
        <w:rPr>
          <w:rStyle w:val="Fotnotsreferens"/>
        </w:rPr>
        <w:footnoteRef/>
      </w:r>
      <w:r w:rsidRPr="009007A2">
        <w:t xml:space="preserve"> </w:t>
      </w:r>
      <w:r w:rsidRPr="00BD7586">
        <w:t>Myndigheten för vård och omsorgsanalys</w:t>
      </w:r>
      <w:r>
        <w:t xml:space="preserve"> </w:t>
      </w:r>
      <w:r w:rsidRPr="009007A2">
        <w:t xml:space="preserve">(2018). </w:t>
      </w:r>
      <w:r>
        <w:t>Lika läge för alla? Om omotiverade skillnader inom den sociala barn- och ungdomsvården [</w:t>
      </w:r>
      <w:r w:rsidRPr="00CD70DA">
        <w:t>Equal conditions for everyone?</w:t>
      </w:r>
      <w:r>
        <w:t xml:space="preserve"> </w:t>
      </w:r>
      <w:r w:rsidRPr="00960271">
        <w:t xml:space="preserve">Unjustified differences in child and adolescent social care], DO (2021). </w:t>
      </w:r>
      <w:r>
        <w:t>Skillnader som kan utgöra risk för diskriminering? En kvalitativ studie om faktorer som påverkar socialsekreterares bedömningar och beslut inom den sociala barn- och ungdomsvården [</w:t>
      </w:r>
      <w:r w:rsidRPr="00CD70DA">
        <w:t>Differences that may constitute a risk of discrimination?</w:t>
      </w:r>
      <w:r>
        <w:t xml:space="preserve"> </w:t>
      </w:r>
      <w:r w:rsidRPr="002F178C">
        <w:rPr>
          <w:lang w:val="en-GB"/>
        </w:rPr>
        <w:t xml:space="preserve">A qualitative study of factors that influence social workers' assessments and decisions in child and adolescent social care]. </w:t>
      </w:r>
    </w:p>
  </w:footnote>
  <w:footnote w:id="39">
    <w:p w14:paraId="76B79664" w14:textId="77777777" w:rsidR="00EE5154" w:rsidRPr="002F178C" w:rsidRDefault="00EE5154" w:rsidP="00EE5154">
      <w:pPr>
        <w:pStyle w:val="Fotnotstext"/>
        <w:rPr>
          <w:lang w:val="en-GB"/>
        </w:rPr>
      </w:pPr>
      <w:r>
        <w:rPr>
          <w:rStyle w:val="Fotnotsreferens"/>
        </w:rPr>
        <w:footnoteRef/>
      </w:r>
      <w:r w:rsidRPr="004E2CA0">
        <w:rPr>
          <w:lang w:val="en-GB"/>
        </w:rPr>
        <w:t xml:space="preserve"> </w:t>
      </w:r>
      <w:r w:rsidRPr="00F96A05">
        <w:rPr>
          <w:lang w:val="en-GB"/>
        </w:rPr>
        <w:t xml:space="preserve">See, for example, DO (2024). </w:t>
      </w:r>
      <w:r w:rsidRPr="002F178C">
        <w:rPr>
          <w:lang w:val="en-GB"/>
        </w:rPr>
        <w:t>Registration number 2024/2158</w:t>
      </w:r>
      <w:r>
        <w:rPr>
          <w:lang w:val="en-GB"/>
        </w:rPr>
        <w:t xml:space="preserve">, </w:t>
      </w:r>
      <w:r w:rsidRPr="002F178C">
        <w:rPr>
          <w:lang w:val="en-GB"/>
        </w:rPr>
        <w:t xml:space="preserve">DO (2017). </w:t>
      </w:r>
      <w:r>
        <w:rPr>
          <w:lang w:val="en-GB"/>
        </w:rPr>
        <w:t>Registration number</w:t>
      </w:r>
      <w:r w:rsidRPr="00130A40">
        <w:rPr>
          <w:lang w:val="en-GB"/>
        </w:rPr>
        <w:t xml:space="preserve"> PRO 2018/1</w:t>
      </w:r>
      <w:r>
        <w:rPr>
          <w:lang w:val="en-GB"/>
        </w:rPr>
        <w:t xml:space="preserve">, </w:t>
      </w:r>
      <w:r w:rsidRPr="00130A40">
        <w:rPr>
          <w:lang w:val="en-GB"/>
        </w:rPr>
        <w:t xml:space="preserve">DO (2023) </w:t>
      </w:r>
      <w:r>
        <w:rPr>
          <w:lang w:val="en-GB"/>
        </w:rPr>
        <w:t>Refistration number</w:t>
      </w:r>
      <w:r w:rsidRPr="00130A40">
        <w:rPr>
          <w:lang w:val="en-GB"/>
        </w:rPr>
        <w:t xml:space="preserve"> 2023/1776</w:t>
      </w:r>
      <w:r>
        <w:rPr>
          <w:lang w:val="en-GB"/>
        </w:rPr>
        <w:t xml:space="preserve">, </w:t>
      </w:r>
      <w:r w:rsidRPr="00130A40">
        <w:rPr>
          <w:lang w:val="en-GB"/>
        </w:rPr>
        <w:t xml:space="preserve">DO (2020) </w:t>
      </w:r>
      <w:r>
        <w:rPr>
          <w:lang w:val="en-GB"/>
        </w:rPr>
        <w:t>Registration number</w:t>
      </w:r>
      <w:r w:rsidRPr="00130A40">
        <w:rPr>
          <w:lang w:val="en-GB"/>
        </w:rPr>
        <w:t xml:space="preserve"> PRO 2020/3.</w:t>
      </w:r>
    </w:p>
  </w:footnote>
  <w:footnote w:id="40">
    <w:p w14:paraId="7C1165D9" w14:textId="77777777" w:rsidR="00EE5154" w:rsidRPr="00787912" w:rsidRDefault="00EE5154" w:rsidP="00EE5154">
      <w:pPr>
        <w:pStyle w:val="Fotnotstext"/>
      </w:pPr>
      <w:r>
        <w:rPr>
          <w:rStyle w:val="Fotnotsreferens"/>
        </w:rPr>
        <w:footnoteRef/>
      </w:r>
      <w:r w:rsidRPr="00216256">
        <w:t xml:space="preserve"> DO (2022). </w:t>
      </w:r>
      <w:r w:rsidRPr="00787912">
        <w:t xml:space="preserve">Redovisning av uppdrag att utveckla kunskap om diskriminering som har samband med religion eller annan trosuppfattning [Report on the assignment to develop knowledge about discrimination related to religion or other belief]. </w:t>
      </w:r>
    </w:p>
  </w:footnote>
  <w:footnote w:id="41">
    <w:p w14:paraId="427D28D9" w14:textId="77777777" w:rsidR="00EE5154" w:rsidRPr="002F178C" w:rsidRDefault="00EE5154" w:rsidP="00EE5154">
      <w:pPr>
        <w:pStyle w:val="Fotnotstext"/>
        <w:rPr>
          <w:lang w:val="en-GB"/>
        </w:rPr>
      </w:pPr>
      <w:r>
        <w:rPr>
          <w:rStyle w:val="Fotnotsreferens"/>
        </w:rPr>
        <w:footnoteRef/>
      </w:r>
      <w:r w:rsidRPr="002F178C">
        <w:rPr>
          <w:lang w:val="en-GB"/>
        </w:rPr>
        <w:t xml:space="preserve"> </w:t>
      </w:r>
      <w:bookmarkStart w:id="58" w:name="_Hlk199319692"/>
      <w:r w:rsidRPr="002F178C">
        <w:rPr>
          <w:lang w:val="en-GB"/>
        </w:rPr>
        <w:t xml:space="preserve">DO (2022). Registration number DO 2022/2805, DO (2025). Registration number DO 2025/1934 and DO (2025). Registration number DO 2025/1935, Eksjö District Court (2010). Judgment of 21 October 2010 in case no. T </w:t>
      </w:r>
      <w:bookmarkEnd w:id="58"/>
      <w:r w:rsidRPr="002F178C">
        <w:rPr>
          <w:lang w:val="en-GB"/>
        </w:rPr>
        <w:t>1395-09, DO (2013). Registration number LED 2013/39, DO (2016). Registration number LED 2016/441</w:t>
      </w:r>
    </w:p>
  </w:footnote>
  <w:footnote w:id="42">
    <w:p w14:paraId="5694DFC7" w14:textId="77777777" w:rsidR="00EE5154" w:rsidRPr="002F178C" w:rsidRDefault="00EE5154" w:rsidP="00EE5154">
      <w:pPr>
        <w:pStyle w:val="Fotnotstext"/>
        <w:rPr>
          <w:lang w:val="en-GB"/>
        </w:rPr>
      </w:pPr>
      <w:r>
        <w:rPr>
          <w:rStyle w:val="Fotnotsreferens"/>
        </w:rPr>
        <w:footnoteRef/>
      </w:r>
      <w:r w:rsidRPr="002F178C">
        <w:rPr>
          <w:lang w:val="en-GB"/>
        </w:rPr>
        <w:t xml:space="preserve"> See</w:t>
      </w:r>
      <w:r>
        <w:rPr>
          <w:lang w:val="en-GB"/>
        </w:rPr>
        <w:t xml:space="preserve">, </w:t>
      </w:r>
      <w:r w:rsidRPr="002F178C">
        <w:rPr>
          <w:lang w:val="en-GB"/>
        </w:rPr>
        <w:t>for example, DO (2020). Registration number: TIL 2018/506.</w:t>
      </w:r>
    </w:p>
  </w:footnote>
  <w:footnote w:id="43">
    <w:p w14:paraId="2859B20E" w14:textId="77777777" w:rsidR="00EE5154" w:rsidRPr="002811C4" w:rsidRDefault="00EE5154" w:rsidP="00EE5154">
      <w:pPr>
        <w:pStyle w:val="Fotnotstext"/>
        <w:rPr>
          <w:lang w:val="en-GB"/>
        </w:rPr>
      </w:pPr>
      <w:r>
        <w:rPr>
          <w:rStyle w:val="Fotnotsreferens"/>
        </w:rPr>
        <w:footnoteRef/>
      </w:r>
      <w:r w:rsidRPr="002F178C">
        <w:rPr>
          <w:lang w:val="en-GB"/>
        </w:rPr>
        <w:t xml:space="preserve"> See</w:t>
      </w:r>
      <w:r>
        <w:rPr>
          <w:lang w:val="en-GB"/>
        </w:rPr>
        <w:t>,</w:t>
      </w:r>
      <w:r w:rsidRPr="002F178C">
        <w:rPr>
          <w:lang w:val="en-GB"/>
        </w:rPr>
        <w:t xml:space="preserve"> </w:t>
      </w:r>
      <w:r>
        <w:rPr>
          <w:lang w:val="en-GB"/>
        </w:rPr>
        <w:t>for example,</w:t>
      </w:r>
      <w:r w:rsidRPr="002F178C">
        <w:rPr>
          <w:lang w:val="en-GB"/>
        </w:rPr>
        <w:t xml:space="preserve"> DO (2024). </w:t>
      </w:r>
      <w:r w:rsidRPr="002811C4">
        <w:rPr>
          <w:lang w:val="en-GB"/>
        </w:rPr>
        <w:t xml:space="preserve">Registration number DO 2024/1024. </w:t>
      </w:r>
    </w:p>
  </w:footnote>
  <w:footnote w:id="44">
    <w:p w14:paraId="141097FC" w14:textId="77777777" w:rsidR="00EE5154" w:rsidRPr="002811C4" w:rsidRDefault="00EE5154" w:rsidP="00EE5154">
      <w:pPr>
        <w:pStyle w:val="Fotnotstext"/>
        <w:rPr>
          <w:lang w:val="en-GB"/>
        </w:rPr>
      </w:pPr>
      <w:r>
        <w:rPr>
          <w:rStyle w:val="Fotnotsreferens"/>
        </w:rPr>
        <w:footnoteRef/>
      </w:r>
      <w:r w:rsidRPr="002811C4">
        <w:rPr>
          <w:lang w:val="en-GB"/>
        </w:rPr>
        <w:t xml:space="preserve"> See e.g. (2022). Redovisning av uppdrag att utveckla kunskap om diskriminering som har samband med religion eller annan trosuppfattning [Report on the assignment to develop knowledge about discrimination related to religion or other belief], </w:t>
      </w:r>
      <w:r w:rsidRPr="00CB2779">
        <w:rPr>
          <w:lang w:val="en-GB"/>
        </w:rPr>
        <w:t>Registration number LED 2021/510,</w:t>
      </w:r>
      <w:hyperlink w:history="1"/>
      <w:r w:rsidRPr="00CB2779">
        <w:rPr>
          <w:lang w:val="en-GB"/>
        </w:rPr>
        <w:t xml:space="preserve"> DO (2023). </w:t>
      </w:r>
      <w:r w:rsidRPr="00792448">
        <w:rPr>
          <w:lang w:val="en-GB"/>
        </w:rPr>
        <w:t>Registration number DO 2023/6870</w:t>
      </w:r>
      <w:r w:rsidRPr="002811C4">
        <w:rPr>
          <w:lang w:val="en-GB"/>
        </w:rPr>
        <w:t>.</w:t>
      </w:r>
    </w:p>
  </w:footnote>
  <w:footnote w:id="45">
    <w:p w14:paraId="5BA34A4E" w14:textId="77777777" w:rsidR="00EE5154" w:rsidRPr="00EE5154" w:rsidRDefault="00EE5154" w:rsidP="00EE5154">
      <w:pPr>
        <w:pStyle w:val="Fotnotstext"/>
        <w:rPr>
          <w:lang w:val="en-GB"/>
        </w:rPr>
      </w:pPr>
      <w:r>
        <w:rPr>
          <w:rStyle w:val="Fotnotsreferens"/>
        </w:rPr>
        <w:footnoteRef/>
      </w:r>
      <w:r w:rsidRPr="002811C4">
        <w:rPr>
          <w:lang w:val="en-GB"/>
        </w:rPr>
        <w:t xml:space="preserve"> DO (2003). Diskriminering av romer i Sverige [Discrimination against Roma in Sweden], DO (2008). Diskriminering på den svenska bostadsmarknaden [Discrimination in the Swedish housing market], DO (2008). </w:t>
      </w:r>
      <w:r>
        <w:t>Diskriminering av nationella minoriteter inom utbildningsväsendet [</w:t>
      </w:r>
      <w:r w:rsidRPr="002811C4">
        <w:t>Discrimination against national minorities in the education system</w:t>
      </w:r>
      <w:r>
        <w:t xml:space="preserve">], DO (2011). </w:t>
      </w:r>
      <w:r w:rsidRPr="002811C4">
        <w:rPr>
          <w:lang w:val="en-GB"/>
        </w:rPr>
        <w:t>Romers rättigheter</w:t>
      </w:r>
      <w:r w:rsidRPr="002F178C">
        <w:rPr>
          <w:lang w:val="en-GB"/>
        </w:rPr>
        <w:t xml:space="preserve"> [Roma rights], DO (2013) Registration number GRA 2013/617, DO (2013), DO (2022). </w:t>
      </w:r>
      <w:r w:rsidRPr="00EE5154">
        <w:rPr>
          <w:lang w:val="en-GB"/>
        </w:rPr>
        <w:t>Registration number DO 2022/2805.</w:t>
      </w:r>
    </w:p>
  </w:footnote>
  <w:footnote w:id="46">
    <w:p w14:paraId="22666F2D" w14:textId="77777777" w:rsidR="00EE5154" w:rsidRPr="002F178C" w:rsidRDefault="00EE5154" w:rsidP="00EE5154">
      <w:pPr>
        <w:pStyle w:val="Fotnotstext"/>
        <w:rPr>
          <w:lang w:val="en-GB"/>
        </w:rPr>
      </w:pPr>
      <w:r>
        <w:rPr>
          <w:rStyle w:val="Fotnotsreferens"/>
        </w:rPr>
        <w:footnoteRef/>
      </w:r>
      <w:r w:rsidRPr="00EE5154">
        <w:rPr>
          <w:lang w:val="en-GB"/>
        </w:rPr>
        <w:t xml:space="preserve"> Ombudsmannen mot etnisk diskriminering (2008). Diskriminering av samer [Discrimination against the Sami people]. </w:t>
      </w:r>
      <w:r w:rsidRPr="002F178C">
        <w:rPr>
          <w:lang w:val="en-GB"/>
        </w:rPr>
        <w:t>DO (2013). Registration number LED 2013/39. DO (2013). Registration number LED 2013/156, DO (2016). Registration number LED 2016/441, DO (2022). Registration number DO 2022/2805, DO (2025). Registration number DO 2025/1934</w:t>
      </w:r>
    </w:p>
  </w:footnote>
  <w:footnote w:id="47">
    <w:p w14:paraId="4EC3C6D9" w14:textId="77777777" w:rsidR="00EE5154" w:rsidRPr="002F178C" w:rsidRDefault="00EE5154" w:rsidP="00EE5154">
      <w:pPr>
        <w:pStyle w:val="Fotnotstext"/>
        <w:rPr>
          <w:lang w:val="en-GB"/>
        </w:rPr>
      </w:pPr>
      <w:r>
        <w:rPr>
          <w:rStyle w:val="Fotnotsreferens"/>
        </w:rPr>
        <w:footnoteRef/>
      </w:r>
      <w:r w:rsidRPr="002F178C">
        <w:rPr>
          <w:lang w:val="en-GB"/>
        </w:rPr>
        <w:t xml:space="preserve"> See e.g. </w:t>
      </w:r>
      <w:r w:rsidRPr="002811C4">
        <w:rPr>
          <w:lang w:val="en-GB"/>
        </w:rPr>
        <w:t>Dagens nyheter (2013). DN Debatt – “Stoppa diskriminering av samer med ny urfolkspolitik”</w:t>
      </w:r>
      <w:r w:rsidRPr="002F178C">
        <w:rPr>
          <w:lang w:val="en-GB"/>
        </w:rPr>
        <w:t xml:space="preserve"> [Stop discrimination against the Sami people with a new indigenous policy], DO (2017) Registration number LED 2016/293, DO (2017). LED 2017/195, DO (2017). LED 2017/419, DO (2019). LED 2019/318, DO (2021). LED 2020/538. DO (2024) Submission by the Equality Ombudsman (DO) in preparation for Sweden's fourth review within the framework of the Universal Periodic Review.</w:t>
      </w:r>
    </w:p>
  </w:footnote>
  <w:footnote w:id="48">
    <w:p w14:paraId="47B040D5" w14:textId="77777777" w:rsidR="00EE5154" w:rsidRPr="002F178C" w:rsidRDefault="00EE5154" w:rsidP="00EE5154">
      <w:pPr>
        <w:pStyle w:val="Fotnotstext"/>
        <w:rPr>
          <w:lang w:val="en-GB"/>
        </w:rPr>
      </w:pPr>
      <w:r>
        <w:rPr>
          <w:rStyle w:val="Fotnotsreferens"/>
        </w:rPr>
        <w:footnoteRef/>
      </w:r>
      <w:r w:rsidRPr="002F178C">
        <w:rPr>
          <w:lang w:val="en-GB"/>
        </w:rPr>
        <w:t xml:space="preserve"> Ministry of Culture (2022). </w:t>
      </w:r>
      <w:r w:rsidRPr="0015787D">
        <w:rPr>
          <w:lang w:val="en-GB"/>
        </w:rPr>
        <w:t>Handlingsprogram för bevarande och främjande av de nationella minoritetsspråken</w:t>
      </w:r>
      <w:r w:rsidRPr="002F178C">
        <w:rPr>
          <w:lang w:val="en-GB"/>
        </w:rPr>
        <w:t xml:space="preserve"> [Action programme for the preservation and promotion of national minority languages].  </w:t>
      </w:r>
    </w:p>
  </w:footnote>
  <w:footnote w:id="49">
    <w:p w14:paraId="4FB40897" w14:textId="77777777" w:rsidR="00EE5154" w:rsidRPr="00216256" w:rsidRDefault="00EE5154" w:rsidP="00EE5154">
      <w:pPr>
        <w:pStyle w:val="Fotnotstext"/>
        <w:rPr>
          <w:lang w:val="en-GB"/>
        </w:rPr>
      </w:pPr>
      <w:r>
        <w:rPr>
          <w:rStyle w:val="Fotnotsreferens"/>
        </w:rPr>
        <w:footnoteRef/>
      </w:r>
      <w:r w:rsidRPr="002F178C">
        <w:rPr>
          <w:lang w:val="en-GB"/>
        </w:rPr>
        <w:t xml:space="preserve"> See, for example, DO (2021). </w:t>
      </w:r>
      <w:r w:rsidRPr="00216256">
        <w:rPr>
          <w:lang w:val="en-GB"/>
        </w:rPr>
        <w:t>Yttrande över Institutet för språk och folkminnens förslag till handlingsprogram för bevarande av de nationella minoritetsspråken [Opinion regarding “The Institute for Language and Folklore's proposed action programme for the preservation of national minority languages”], LED 2020/539, document 2, DO (2021) Yttrande över Sametingets förslag till handlingsprogram för bevarande av de samiska språken [Opinion regarding “The Sami Parliament's proposed action programme for the preservation of Sami languages”], LED 2020/538, document 2.</w:t>
      </w:r>
    </w:p>
  </w:footnote>
  <w:footnote w:id="50">
    <w:p w14:paraId="48BA6132" w14:textId="77777777" w:rsidR="00EE5154" w:rsidRPr="002F178C" w:rsidRDefault="00EE5154" w:rsidP="00EE5154">
      <w:pPr>
        <w:pStyle w:val="Fotnotstext"/>
        <w:rPr>
          <w:lang w:val="en-GB"/>
        </w:rPr>
      </w:pPr>
      <w:r>
        <w:rPr>
          <w:rStyle w:val="Fotnotsreferens"/>
        </w:rPr>
        <w:footnoteRef/>
      </w:r>
      <w:r w:rsidRPr="002F178C">
        <w:rPr>
          <w:lang w:val="en-GB"/>
        </w:rPr>
        <w:t xml:space="preserve"> See, for example, DO (2018). DO's consultation response to “</w:t>
      </w:r>
      <w:r w:rsidRPr="0015787D">
        <w:rPr>
          <w:lang w:val="en-GB"/>
        </w:rPr>
        <w:t>Nästa steg?</w:t>
      </w:r>
      <w:r w:rsidRPr="002F178C">
        <w:rPr>
          <w:lang w:val="en-GB"/>
        </w:rPr>
        <w:t>” Part 2. Proposal for a strengthened minority policy. Registration number LED 2017/526.</w:t>
      </w:r>
    </w:p>
  </w:footnote>
  <w:footnote w:id="51">
    <w:p w14:paraId="312F9AEC" w14:textId="77777777" w:rsidR="00EE5154" w:rsidRPr="0018786B" w:rsidRDefault="00EE5154" w:rsidP="00EE5154">
      <w:pPr>
        <w:pStyle w:val="Fotnotstext"/>
      </w:pPr>
      <w:r>
        <w:rPr>
          <w:rStyle w:val="Fotnotsreferens"/>
        </w:rPr>
        <w:footnoteRef/>
      </w:r>
      <w:r w:rsidRPr="0018786B">
        <w:t xml:space="preserve"> DO (2024). </w:t>
      </w:r>
      <w:r w:rsidRPr="0015787D">
        <w:t>Consultation response to</w:t>
      </w:r>
      <w:r w:rsidRPr="0018786B">
        <w:t xml:space="preserve"> Ett starkt judiskt liv för framtida generationer – Nationell strategi för att stärka judiskt liv i Sverige 2025–2034 [</w:t>
      </w:r>
      <w:r w:rsidRPr="0015787D">
        <w:t>A strong Jewish life for future generations – National strategy for strengthening Jewish life in Sweden 2025–2034</w:t>
      </w:r>
      <w:r w:rsidRPr="0018786B">
        <w:t>] (SOU 2024:3).</w:t>
      </w:r>
    </w:p>
  </w:footnote>
  <w:footnote w:id="52">
    <w:p w14:paraId="0A572ED2" w14:textId="77777777" w:rsidR="00EE5154" w:rsidRPr="002F178C" w:rsidRDefault="00EE5154" w:rsidP="00EE5154">
      <w:pPr>
        <w:pStyle w:val="Fotnotstext"/>
        <w:rPr>
          <w:lang w:val="en-GB"/>
        </w:rPr>
      </w:pPr>
      <w:r>
        <w:rPr>
          <w:rStyle w:val="Fotnotsreferens"/>
        </w:rPr>
        <w:footnoteRef/>
      </w:r>
      <w:r w:rsidRPr="002F178C">
        <w:rPr>
          <w:lang w:val="en-GB"/>
        </w:rPr>
        <w:t xml:space="preserve"> See, for example, DN (2013). </w:t>
      </w:r>
      <w:r w:rsidRPr="00BB18B8">
        <w:rPr>
          <w:lang w:val="en-GB"/>
        </w:rPr>
        <w:t>DN Debatt – “Stoppa diskriminering av samer med ny urfolkspolitik”</w:t>
      </w:r>
      <w:r w:rsidRPr="002F178C">
        <w:rPr>
          <w:lang w:val="en-GB"/>
        </w:rPr>
        <w:t xml:space="preserve"> [Stop discrimination against the Sami people with a new indigenous policy], DO (2017). DO's consultation response to “</w:t>
      </w:r>
      <w:r w:rsidRPr="00BB18B8">
        <w:rPr>
          <w:lang w:val="en-GB"/>
        </w:rPr>
        <w:t>Frågor kring 2009 års renskötselkonvention</w:t>
      </w:r>
      <w:r w:rsidRPr="002F178C">
        <w:rPr>
          <w:lang w:val="en-GB"/>
        </w:rPr>
        <w:t>” [Questions regarding the 2009 Reindeer Husbandry Convention] (Ds 2016:27), registration number LED 2016/293, DO (2017). DO's consultation response to the Swedish National Financial Management Authority's report “</w:t>
      </w:r>
      <w:r w:rsidRPr="00BB18B8">
        <w:rPr>
          <w:lang w:val="en-GB"/>
        </w:rPr>
        <w:t>Analys av Sametinget</w:t>
      </w:r>
      <w:r w:rsidRPr="002F178C">
        <w:rPr>
          <w:lang w:val="en-GB"/>
        </w:rPr>
        <w:t xml:space="preserve">” [Analysis of the Sami Parliament], registration number LED 2017/195, DO (2017). </w:t>
      </w:r>
      <w:r w:rsidRPr="00EE5154">
        <w:t xml:space="preserve">Yttrande över Konsultation i frågor som rör det samiska folket [Opinion regarding “Consultation on issues concerning the Sami people”] (Ds 2017:43), LED 2017/419, DO (2019). </w:t>
      </w:r>
      <w:r>
        <w:t>Yttrande över Utkast till lagrådsremiss En konsultationsordning i frågor som rör det samiska folket [</w:t>
      </w:r>
      <w:r w:rsidRPr="00BB18B8">
        <w:t>Opinion regarding “Draft referral to the Council on Legislation</w:t>
      </w:r>
      <w:r>
        <w:t xml:space="preserve">. </w:t>
      </w:r>
      <w:r w:rsidRPr="002F178C">
        <w:rPr>
          <w:lang w:val="en-GB"/>
        </w:rPr>
        <w:t>A consultation procedure on issues concerning the Sami people”], LED 2019/318, DO (2024). Submission to Sweden's fourth Universal Periodic Review under the UN Human Rights Council – Submission by the Equality Ombudsman (DO) in preparation for Sweden's fourth review within the framework of the Universal Periodic Review, 2024.</w:t>
      </w:r>
    </w:p>
  </w:footnote>
  <w:footnote w:id="53">
    <w:p w14:paraId="4DABF505" w14:textId="77777777" w:rsidR="00EE5154" w:rsidRPr="002F178C" w:rsidRDefault="00EE5154" w:rsidP="00EE5154">
      <w:pPr>
        <w:pStyle w:val="Fotnotstext"/>
        <w:rPr>
          <w:lang w:val="en-GB"/>
        </w:rPr>
      </w:pPr>
      <w:r>
        <w:rPr>
          <w:rStyle w:val="Fotnotsreferens"/>
        </w:rPr>
        <w:footnoteRef/>
      </w:r>
      <w:r w:rsidRPr="002F178C">
        <w:rPr>
          <w:lang w:val="en-GB"/>
        </w:rPr>
        <w:t xml:space="preserve"> Legislation on security zones, also known as stop-and-search zones</w:t>
      </w:r>
      <w:r>
        <w:rPr>
          <w:lang w:val="en-GB"/>
        </w:rPr>
        <w:t xml:space="preserve"> </w:t>
      </w:r>
      <w:r w:rsidRPr="0045383D">
        <w:rPr>
          <w:lang w:val="en-GB"/>
        </w:rPr>
        <w:t>(Lag om ändring i polislagen (1984:387)</w:t>
      </w:r>
      <w:r w:rsidRPr="002F178C">
        <w:rPr>
          <w:lang w:val="en-GB"/>
        </w:rPr>
        <w:t xml:space="preserve">, entered into force on 25 April 2024. </w:t>
      </w:r>
    </w:p>
  </w:footnote>
  <w:footnote w:id="54">
    <w:p w14:paraId="58E3ACA3" w14:textId="77777777" w:rsidR="00EE5154" w:rsidRPr="002F178C" w:rsidRDefault="00EE5154" w:rsidP="00EE5154">
      <w:pPr>
        <w:pStyle w:val="Fotnotstext"/>
        <w:rPr>
          <w:lang w:val="en-GB"/>
        </w:rPr>
      </w:pPr>
      <w:r>
        <w:rPr>
          <w:rStyle w:val="Fotnotsreferens"/>
        </w:rPr>
        <w:footnoteRef/>
      </w:r>
      <w:r w:rsidRPr="002F178C">
        <w:rPr>
          <w:lang w:val="en-GB"/>
        </w:rPr>
        <w:t xml:space="preserve"> The Act on Preventive Exclusion Orders (2024:7) entered into force on 1 February 2024. </w:t>
      </w:r>
    </w:p>
  </w:footnote>
  <w:footnote w:id="55">
    <w:p w14:paraId="3162D1AB" w14:textId="77777777" w:rsidR="00EE5154" w:rsidRDefault="00EE5154" w:rsidP="00EE5154">
      <w:pPr>
        <w:pStyle w:val="Fotnotstext"/>
      </w:pPr>
      <w:r>
        <w:rPr>
          <w:rStyle w:val="Fotnotsreferens"/>
        </w:rPr>
        <w:footnoteRef/>
      </w:r>
      <w:r>
        <w:t xml:space="preserve"> DO (2024). Yttrande över Åtgärder i gränsnära områden [</w:t>
      </w:r>
      <w:r w:rsidRPr="00D044FF">
        <w:t>Opinion concerning “Measures in border areas”</w:t>
      </w:r>
      <w:r>
        <w:t>] (SOU 2021:92) and DO (2024). Yttrande över betänkandet Vissa åtgärder för stärkt återvändandeverksamhet och utlänningskontroll [</w:t>
      </w:r>
      <w:r w:rsidRPr="00D044FF">
        <w:t>Opinion concerning the report “Certain measures to strengthen return activities and special controls of aliens”</w:t>
      </w:r>
      <w:r>
        <w:t xml:space="preserve">] (SOU 2024:80). </w:t>
      </w:r>
    </w:p>
  </w:footnote>
  <w:footnote w:id="56">
    <w:p w14:paraId="3712488A" w14:textId="77777777" w:rsidR="00EE5154" w:rsidRDefault="00EE5154" w:rsidP="00EE5154">
      <w:pPr>
        <w:pStyle w:val="Fotnotstext"/>
      </w:pPr>
      <w:r>
        <w:rPr>
          <w:rStyle w:val="Fotnotsreferens"/>
        </w:rPr>
        <w:footnoteRef/>
      </w:r>
      <w:r>
        <w:t xml:space="preserve"> DO (2024). Yttrande över Ds 2023:31 Säkerhetszoner – ökade möjligheter för polisen att visitera för att </w:t>
      </w:r>
      <w:r w:rsidRPr="004258D2">
        <w:rPr>
          <w:spacing w:val="-6"/>
        </w:rPr>
        <w:t>förebygga brott [Security Zones – Increased Powers for the Police to Conduct Stop and Search to Prevent Crime].</w:t>
      </w:r>
      <w:r>
        <w:t xml:space="preserve"> </w:t>
      </w:r>
    </w:p>
  </w:footnote>
  <w:footnote w:id="57">
    <w:p w14:paraId="5375B18B" w14:textId="77777777" w:rsidR="00EE5154" w:rsidRPr="00EE5154" w:rsidRDefault="00EE5154" w:rsidP="00EE5154">
      <w:pPr>
        <w:pStyle w:val="Fotnotstext"/>
      </w:pPr>
      <w:r>
        <w:rPr>
          <w:rStyle w:val="Fotnotsreferens"/>
        </w:rPr>
        <w:footnoteRef/>
      </w:r>
      <w:r w:rsidRPr="00EE5154">
        <w:t xml:space="preserve"> DO (2024). Direktiv - Diskriminerande etnisk profilering beslutat [Directive – Discriminatory Ethnic Profiling Adopted]. Registration number DO 2024/3672.</w:t>
      </w:r>
    </w:p>
  </w:footnote>
  <w:footnote w:id="58">
    <w:p w14:paraId="65291269" w14:textId="77777777" w:rsidR="00EE5154" w:rsidRPr="002F178C" w:rsidRDefault="00EE5154" w:rsidP="00EE5154">
      <w:pPr>
        <w:pStyle w:val="Fotnotstext"/>
        <w:rPr>
          <w:lang w:val="en-GB"/>
        </w:rPr>
      </w:pPr>
      <w:r>
        <w:rPr>
          <w:rStyle w:val="Fotnotsreferens"/>
        </w:rPr>
        <w:footnoteRef/>
      </w:r>
      <w:r w:rsidRPr="00EE5154">
        <w:t xml:space="preserve"> DO (2014) Skrivelse till regeringen – Enskildas skydd mot diskriminering vid kontakt med offentligt anställda [Written communication to the Government – Protection of individuals against discrimination in contact with public employees], and DO (2023) Skrivelse till Arbetsmarknadsdepartementet. </w:t>
      </w:r>
      <w:r w:rsidRPr="00D044FF">
        <w:rPr>
          <w:lang w:val="en-GB"/>
        </w:rPr>
        <w:t>Förekomst av diskriminering 2023 – Årlig rapport från Diskrimineringsombudsmannen</w:t>
      </w:r>
      <w:r w:rsidRPr="002F178C">
        <w:rPr>
          <w:lang w:val="en-GB"/>
        </w:rPr>
        <w:t xml:space="preserve"> [Written communication to the Ministry of Employment. The state of discrimination 2023 – Annual report from the Equality Ombudsman]. </w:t>
      </w:r>
    </w:p>
  </w:footnote>
  <w:footnote w:id="59">
    <w:p w14:paraId="73B43C14" w14:textId="77777777" w:rsidR="00EE5154" w:rsidRPr="002F178C" w:rsidRDefault="00EE5154" w:rsidP="00EE5154">
      <w:pPr>
        <w:pStyle w:val="Fotnotstext"/>
        <w:rPr>
          <w:lang w:val="en-GB"/>
        </w:rPr>
      </w:pPr>
      <w:r>
        <w:rPr>
          <w:rStyle w:val="Fotnotsreferens"/>
        </w:rPr>
        <w:footnoteRef/>
      </w:r>
      <w:r w:rsidRPr="002F178C">
        <w:rPr>
          <w:lang w:val="en-GB"/>
        </w:rPr>
        <w:t xml:space="preserve"> Council Directive (EU) 2024/1499 of 7 May 2024 on standards for equality bodies in the field of equal treatment between persons irrespective of their racial or ethnic origin, equal treatment in matters of employment and occupation between persons irrespective of their religion or belief, disability, age or sexual orientation, equal treatment between women and men in matters of social security and in the access to and supply of goods and services, and amending Directives 2000/43/EC and 2004/113/EC, as well as Directive (EU) 2024/1500 of the European Parliament and of the Council of 14 May 2024 on standards for equality bodies in the field of equal treatment and equal opportunities between women and men in matters of employment and occupation, and amending Directives 2006/54/EC and 2010/41/EU.</w:t>
      </w:r>
    </w:p>
  </w:footnote>
  <w:footnote w:id="60">
    <w:p w14:paraId="6471C7B8" w14:textId="77777777" w:rsidR="00EE5154" w:rsidRDefault="00EE5154" w:rsidP="00EE5154">
      <w:pPr>
        <w:pStyle w:val="Fotnotstext"/>
      </w:pPr>
      <w:r>
        <w:rPr>
          <w:rStyle w:val="Fotnotsreferens"/>
        </w:rPr>
        <w:footnoteRef/>
      </w:r>
      <w:r w:rsidRPr="002F178C">
        <w:rPr>
          <w:lang w:val="en-GB"/>
        </w:rPr>
        <w:t xml:space="preserve"> </w:t>
      </w:r>
      <w:r w:rsidRPr="00DF37FC">
        <w:rPr>
          <w:lang w:val="en-GB"/>
        </w:rPr>
        <w:t xml:space="preserve">Brottsförebyggande rådet </w:t>
      </w:r>
      <w:r w:rsidRPr="002F178C">
        <w:rPr>
          <w:lang w:val="en-GB"/>
        </w:rPr>
        <w:t xml:space="preserve">(2023). </w:t>
      </w:r>
      <w:r w:rsidRPr="00D044FF">
        <w:rPr>
          <w:lang w:val="en-GB"/>
        </w:rPr>
        <w:t>Polisens arbete med profilering och likabehandling Med fokus på diskriminerande etnisk profilering</w:t>
      </w:r>
      <w:r w:rsidRPr="002F178C">
        <w:rPr>
          <w:lang w:val="en-GB"/>
        </w:rPr>
        <w:t xml:space="preserve"> [Police's work with profiling and equal treatment, with a focus on discriminatory ethnic profiling]. </w:t>
      </w:r>
      <w:r w:rsidRPr="00A11A65">
        <w:rPr>
          <w:lang w:val="en-GB"/>
        </w:rPr>
        <w:t>Report 2023:12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32CB9" w14:textId="77777777" w:rsidR="00C60653" w:rsidRDefault="00C60653" w:rsidP="005852BD">
    <w:pPr>
      <w:pStyle w:val="Sidhuvud"/>
      <w:tabs>
        <w:tab w:val="clear" w:pos="4536"/>
        <w:tab w:val="center" w:pos="3969"/>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5166F" w14:textId="586B03F3" w:rsidR="00932CC5" w:rsidRPr="004D50AB" w:rsidRDefault="00433905" w:rsidP="00F92E56">
    <w:pPr>
      <w:pStyle w:val="Etikett"/>
      <w:ind w:left="6038"/>
      <w:rPr>
        <w:lang w:val="en-GB"/>
      </w:rPr>
    </w:pPr>
    <w:r>
      <w:rPr>
        <w:rFonts w:eastAsiaTheme="minorEastAsia"/>
        <w:noProof/>
        <w:color w:val="auto"/>
        <w:lang w:val="en-GB"/>
      </w:rPr>
      <w:t>Report</w:t>
    </w:r>
    <w:r w:rsidR="00D906A0">
      <w:rPr>
        <w:rFonts w:eastAsiaTheme="minorEastAsia"/>
        <w:noProof/>
        <w:color w:val="auto"/>
        <w:lang w:val="en-GB"/>
      </w:rPr>
      <w:t xml:space="preserve"> from the Swedish Equality Ombudsman</w:t>
    </w:r>
    <w:r w:rsidR="005F4DF1">
      <w:rPr>
        <w:rFonts w:eastAsiaTheme="minorEastAsia"/>
        <w:noProof/>
        <w:color w:val="auto"/>
        <w:lang w:val="en-GB"/>
      </w:rPr>
      <w:t xml:space="preserve"> (DO)</w:t>
    </w:r>
    <w:r w:rsidR="00D906A0">
      <w:rPr>
        <w:rFonts w:eastAsiaTheme="minorEastAsia"/>
        <w:noProof/>
        <w:color w:val="auto"/>
        <w:lang w:val="en-GB"/>
      </w:rPr>
      <w:br/>
    </w:r>
    <w:r w:rsidR="004D50AB" w:rsidRPr="004D50AB">
      <w:rPr>
        <w:color w:val="auto"/>
        <w:lang w:val="en-GB"/>
      </w:rPr>
      <w:t xml:space="preserve">Page </w:t>
    </w:r>
    <w:r w:rsidR="004D50AB" w:rsidRPr="008F55D1">
      <w:rPr>
        <w:color w:val="auto"/>
      </w:rPr>
      <w:fldChar w:fldCharType="begin"/>
    </w:r>
    <w:r w:rsidR="004D50AB" w:rsidRPr="004D50AB">
      <w:rPr>
        <w:color w:val="auto"/>
        <w:lang w:val="en-GB"/>
      </w:rPr>
      <w:instrText xml:space="preserve"> PAGE   \* MERGEFORMAT </w:instrText>
    </w:r>
    <w:r w:rsidR="004D50AB" w:rsidRPr="008F55D1">
      <w:rPr>
        <w:color w:val="auto"/>
      </w:rPr>
      <w:fldChar w:fldCharType="separate"/>
    </w:r>
    <w:r w:rsidR="004D50AB" w:rsidRPr="004D50AB">
      <w:rPr>
        <w:lang w:val="en-GB"/>
      </w:rPr>
      <w:t>1</w:t>
    </w:r>
    <w:r w:rsidR="004D50AB" w:rsidRPr="008F55D1">
      <w:rPr>
        <w:color w:val="auto"/>
      </w:rPr>
      <w:fldChar w:fldCharType="end"/>
    </w:r>
    <w:r w:rsidR="004D50AB" w:rsidRPr="004D50AB">
      <w:rPr>
        <w:color w:val="auto"/>
        <w:lang w:val="en-GB"/>
      </w:rPr>
      <w:t xml:space="preserve"> (</w:t>
    </w:r>
    <w:r w:rsidR="004D50AB" w:rsidRPr="008F55D1">
      <w:rPr>
        <w:color w:val="auto"/>
      </w:rPr>
      <w:fldChar w:fldCharType="begin"/>
    </w:r>
    <w:r w:rsidR="004D50AB" w:rsidRPr="004D50AB">
      <w:rPr>
        <w:color w:val="auto"/>
        <w:lang w:val="en-GB"/>
      </w:rPr>
      <w:instrText xml:space="preserve"> NUMPAGES  \* Arabic  \* MERGEFORMAT </w:instrText>
    </w:r>
    <w:r w:rsidR="004D50AB" w:rsidRPr="008F55D1">
      <w:rPr>
        <w:color w:val="auto"/>
      </w:rPr>
      <w:fldChar w:fldCharType="separate"/>
    </w:r>
    <w:r w:rsidR="004D50AB" w:rsidRPr="004D50AB">
      <w:rPr>
        <w:lang w:val="en-GB"/>
      </w:rPr>
      <w:t>1</w:t>
    </w:r>
    <w:r w:rsidR="004D50AB" w:rsidRPr="008F55D1">
      <w:rPr>
        <w:noProof/>
        <w:color w:val="auto"/>
      </w:rPr>
      <w:fldChar w:fldCharType="end"/>
    </w:r>
    <w:r w:rsidR="004D50AB" w:rsidRPr="004D50AB">
      <w:rPr>
        <w:color w:val="auto"/>
        <w:lang w:val="en-GB"/>
      </w:rPr>
      <w:t>)</w:t>
    </w:r>
    <w:r w:rsidR="004D50AB" w:rsidRPr="004D50AB">
      <w:rPr>
        <w:noProof/>
        <w:color w:val="auto"/>
        <w:lang w:val="en-GB"/>
      </w:rPr>
      <w:t xml:space="preserve"> </w:t>
    </w:r>
    <w:r w:rsidR="004D50AB" w:rsidRPr="004D50AB">
      <w:rPr>
        <w:rFonts w:eastAsiaTheme="minorEastAsia"/>
        <w:noProof/>
        <w:color w:val="auto"/>
        <w:lang w:val="en-GB"/>
      </w:rPr>
      <w:t xml:space="preserve">| </w:t>
    </w:r>
    <w:r w:rsidR="00C42B6E">
      <w:rPr>
        <w:color w:val="auto"/>
        <w:lang w:val="en-GB"/>
      </w:rPr>
      <w:t>17</w:t>
    </w:r>
    <w:r w:rsidR="004D50AB" w:rsidRPr="004D50AB">
      <w:rPr>
        <w:color w:val="auto"/>
        <w:lang w:val="en-GB"/>
      </w:rPr>
      <w:t>/10/2025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25963" w14:textId="77777777" w:rsidR="00C21F6B" w:rsidRDefault="00C21F6B" w:rsidP="005852BD">
    <w:pPr>
      <w:pStyle w:val="Sidhuvud"/>
      <w:tabs>
        <w:tab w:val="clear" w:pos="4536"/>
        <w:tab w:val="center" w:pos="3969"/>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E3F79" w14:textId="77777777" w:rsidR="00236361" w:rsidRDefault="00236361" w:rsidP="00F53426">
    <w:pPr>
      <w:pStyle w:val="Etikett"/>
      <w:spacing w:after="180"/>
      <w:ind w:left="6350"/>
    </w:pPr>
    <w:r>
      <w:rPr>
        <w:noProof/>
      </w:rPr>
      <w:drawing>
        <wp:anchor distT="0" distB="0" distL="114300" distR="114300" simplePos="0" relativeHeight="251661824" behindDoc="0" locked="0" layoutInCell="1" allowOverlap="1" wp14:anchorId="50C7FFE0" wp14:editId="23B0060D">
          <wp:simplePos x="0" y="0"/>
          <wp:positionH relativeFrom="column">
            <wp:posOffset>6350</wp:posOffset>
          </wp:positionH>
          <wp:positionV relativeFrom="paragraph">
            <wp:posOffset>44450</wp:posOffset>
          </wp:positionV>
          <wp:extent cx="1015365" cy="863600"/>
          <wp:effectExtent l="0" t="0" r="0" b="0"/>
          <wp:wrapNone/>
          <wp:docPr id="50515945" name="Bildobjekt 50515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 logo_svart_RGB_Rityta.jpg"/>
                  <pic:cNvPicPr/>
                </pic:nvPicPr>
                <pic:blipFill>
                  <a:blip r:embed="rId1">
                    <a:extLst>
                      <a:ext uri="{28A0092B-C50C-407E-A947-70E740481C1C}">
                        <a14:useLocalDpi xmlns:a14="http://schemas.microsoft.com/office/drawing/2010/main" val="0"/>
                      </a:ext>
                    </a:extLst>
                  </a:blip>
                  <a:stretch>
                    <a:fillRect/>
                  </a:stretch>
                </pic:blipFill>
                <pic:spPr>
                  <a:xfrm>
                    <a:off x="0" y="0"/>
                    <a:ext cx="1015365" cy="863600"/>
                  </a:xfrm>
                  <a:prstGeom prst="rect">
                    <a:avLst/>
                  </a:prstGeom>
                </pic:spPr>
              </pic:pic>
            </a:graphicData>
          </a:graphic>
        </wp:anchor>
      </w:drawing>
    </w:r>
    <w:r w:rsidRPr="0037155F">
      <w:t>Ange kategori</w:t>
    </w:r>
    <w:r>
      <w:t xml:space="preserve"> </w:t>
    </w:r>
    <w:r w:rsidRPr="006D00D0">
      <w:rPr>
        <w:rFonts w:eastAsiaTheme="minorEastAsia"/>
        <w:noProof/>
        <w:color w:val="auto"/>
      </w:rPr>
      <w:t>|</w:t>
    </w:r>
    <w:r>
      <w:rPr>
        <w:rFonts w:eastAsiaTheme="minorEastAsia"/>
        <w:b/>
        <w:noProof/>
        <w:color w:val="789823"/>
      </w:rPr>
      <w:t xml:space="preserve"> </w:t>
    </w:r>
    <w:r w:rsidRPr="0037155F">
      <w:t xml:space="preserve">Sida </w:t>
    </w:r>
    <w:r w:rsidRPr="0037155F">
      <w:fldChar w:fldCharType="begin"/>
    </w:r>
    <w:r w:rsidRPr="0037155F">
      <w:instrText xml:space="preserve"> PAGE   \* MERGEFORMAT </w:instrText>
    </w:r>
    <w:r w:rsidRPr="0037155F">
      <w:fldChar w:fldCharType="separate"/>
    </w:r>
    <w:r w:rsidR="00C60653">
      <w:rPr>
        <w:noProof/>
      </w:rPr>
      <w:t>1</w:t>
    </w:r>
    <w:r w:rsidRPr="0037155F">
      <w:fldChar w:fldCharType="end"/>
    </w:r>
    <w:r w:rsidRPr="0037155F">
      <w:t xml:space="preserve"> (</w:t>
    </w:r>
    <w:fldSimple w:instr=" NUMPAGES  \* Arabic  \* MERGEFORMAT ">
      <w:r w:rsidR="006461E3">
        <w:rPr>
          <w:noProof/>
        </w:rPr>
        <w:t>1</w:t>
      </w:r>
    </w:fldSimple>
    <w:r w:rsidRPr="0037155F">
      <w:t>)</w:t>
    </w:r>
    <w:r w:rsidRPr="0099212C">
      <w:rPr>
        <w:noProof/>
      </w:rPr>
      <w:t xml:space="preserve"> </w:t>
    </w:r>
    <w:r w:rsidRPr="006D00D0">
      <w:rPr>
        <w:rFonts w:eastAsiaTheme="minorEastAsia"/>
        <w:noProof/>
        <w:color w:val="auto"/>
      </w:rPr>
      <w:t>|</w:t>
    </w:r>
    <w:r>
      <w:rPr>
        <w:rFonts w:eastAsiaTheme="minorEastAsia"/>
        <w:b/>
        <w:noProof/>
        <w:color w:val="789823"/>
      </w:rPr>
      <w:t xml:space="preserve"> </w:t>
    </w:r>
    <w:r w:rsidRPr="0037155F">
      <w:fldChar w:fldCharType="begin"/>
    </w:r>
    <w:r w:rsidRPr="0037155F">
      <w:instrText xml:space="preserve"> CREATEDATE  \@ "yyyy-MM-dd"  \* MERGEFORMAT </w:instrText>
    </w:r>
    <w:r w:rsidRPr="0037155F">
      <w:fldChar w:fldCharType="separate"/>
    </w:r>
    <w:r w:rsidR="004D50AB">
      <w:rPr>
        <w:noProof/>
      </w:rPr>
      <w:t>2025-09-29</w:t>
    </w:r>
    <w:r w:rsidRPr="0037155F">
      <w:fldChar w:fldCharType="end"/>
    </w:r>
    <w:r>
      <w:t xml:space="preserve"> </w:t>
    </w:r>
  </w:p>
  <w:p w14:paraId="07D5FAC0" w14:textId="77777777" w:rsidR="00F53426" w:rsidRPr="00F53426" w:rsidRDefault="00F53426" w:rsidP="00252C99">
    <w:pPr>
      <w:pStyle w:val="Etikett"/>
      <w:spacing w:line="274" w:lineRule="auto"/>
      <w:ind w:left="6350"/>
      <w:rPr>
        <w:b/>
        <w:color w:val="auto"/>
      </w:rPr>
    </w:pPr>
    <w:r w:rsidRPr="00F53426">
      <w:rPr>
        <w:b/>
        <w:color w:val="auto"/>
      </w:rPr>
      <w:t>Diarienummer:</w:t>
    </w:r>
    <w:r>
      <w:rPr>
        <w:b/>
        <w:color w:val="auto"/>
      </w:rPr>
      <w:tab/>
    </w:r>
  </w:p>
  <w:p w14:paraId="3701398B" w14:textId="77777777" w:rsidR="00F53426" w:rsidRPr="00F53426" w:rsidRDefault="00F53426" w:rsidP="00252C99">
    <w:pPr>
      <w:pStyle w:val="Etikett"/>
      <w:spacing w:line="274" w:lineRule="auto"/>
      <w:ind w:left="6350"/>
      <w:rPr>
        <w:b/>
        <w:color w:val="auto"/>
      </w:rPr>
    </w:pPr>
    <w:r w:rsidRPr="00F53426">
      <w:rPr>
        <w:b/>
        <w:color w:val="auto"/>
      </w:rPr>
      <w:t>Handling:</w:t>
    </w:r>
    <w:r w:rsidRPr="00F53426">
      <w:rPr>
        <w:b/>
        <w:color w:val="auto"/>
      </w:rPr>
      <w:tab/>
    </w:r>
  </w:p>
  <w:p w14:paraId="45096043" w14:textId="77777777" w:rsidR="00F53426" w:rsidRPr="00F53426" w:rsidRDefault="00F53426" w:rsidP="00252C99">
    <w:pPr>
      <w:pStyle w:val="Etikett"/>
      <w:spacing w:line="274" w:lineRule="auto"/>
      <w:ind w:left="6350"/>
    </w:pPr>
    <w:r w:rsidRPr="00F53426">
      <w:rPr>
        <w:b/>
        <w:color w:val="auto"/>
      </w:rPr>
      <w:t>Handläggare:</w:t>
    </w:r>
    <w:r>
      <w:rPr>
        <w:b/>
        <w:color w:val="auto"/>
      </w:rPr>
      <w:tab/>
    </w:r>
    <w:fldSimple w:instr=" AUTHOR   \* MERGEFORMAT ">
      <w:r w:rsidR="004D50AB">
        <w:rPr>
          <w:noProof/>
        </w:rPr>
        <w:t>Josefin Sutherland</w:t>
      </w:r>
    </w:fldSimple>
  </w:p>
  <w:p w14:paraId="13BED138" w14:textId="77777777" w:rsidR="00F53426" w:rsidRPr="00F53426" w:rsidRDefault="00F53426" w:rsidP="00252C99">
    <w:pPr>
      <w:pStyle w:val="Etikett"/>
      <w:spacing w:line="274" w:lineRule="auto"/>
      <w:ind w:left="6350"/>
      <w:rPr>
        <w:b/>
        <w:color w:val="auto"/>
      </w:rPr>
    </w:pPr>
    <w:r w:rsidRPr="00F53426">
      <w:rPr>
        <w:b/>
        <w:color w:val="auto"/>
      </w:rPr>
      <w:t>Status:</w:t>
    </w:r>
    <w:r>
      <w:rPr>
        <w:b/>
        <w:color w:val="auto"/>
      </w:rPr>
      <w:tab/>
    </w:r>
  </w:p>
  <w:p w14:paraId="1A6D13E2" w14:textId="77777777" w:rsidR="00C21F6B" w:rsidRPr="00302C1C" w:rsidRDefault="00C21F6B" w:rsidP="0037155F">
    <w:pPr>
      <w:pStyle w:val="Etikett"/>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BB03C6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C7CE6F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F5C954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1D4F18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1140E0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11A5B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CE8F92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2272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9"/>
    <w:multiLevelType w:val="singleLevel"/>
    <w:tmpl w:val="F70C0CC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0EC7B1B"/>
    <w:multiLevelType w:val="hybridMultilevel"/>
    <w:tmpl w:val="01D00662"/>
    <w:lvl w:ilvl="0" w:tplc="497ED79E">
      <w:start w:val="1"/>
      <w:numFmt w:val="bullet"/>
      <w:lvlText w:val=""/>
      <w:lvlJc w:val="left"/>
      <w:pPr>
        <w:ind w:left="1080" w:hanging="360"/>
      </w:pPr>
      <w:rPr>
        <w:rFonts w:ascii="Symbol" w:hAnsi="Symbol"/>
      </w:rPr>
    </w:lvl>
    <w:lvl w:ilvl="1" w:tplc="704EF798">
      <w:start w:val="1"/>
      <w:numFmt w:val="bullet"/>
      <w:lvlText w:val=""/>
      <w:lvlJc w:val="left"/>
      <w:pPr>
        <w:ind w:left="1080" w:hanging="360"/>
      </w:pPr>
      <w:rPr>
        <w:rFonts w:ascii="Symbol" w:hAnsi="Symbol"/>
      </w:rPr>
    </w:lvl>
    <w:lvl w:ilvl="2" w:tplc="3828C6E2">
      <w:start w:val="1"/>
      <w:numFmt w:val="bullet"/>
      <w:lvlText w:val=""/>
      <w:lvlJc w:val="left"/>
      <w:pPr>
        <w:ind w:left="1080" w:hanging="360"/>
      </w:pPr>
      <w:rPr>
        <w:rFonts w:ascii="Symbol" w:hAnsi="Symbol"/>
      </w:rPr>
    </w:lvl>
    <w:lvl w:ilvl="3" w:tplc="4C5CE25E">
      <w:start w:val="1"/>
      <w:numFmt w:val="bullet"/>
      <w:lvlText w:val=""/>
      <w:lvlJc w:val="left"/>
      <w:pPr>
        <w:ind w:left="1080" w:hanging="360"/>
      </w:pPr>
      <w:rPr>
        <w:rFonts w:ascii="Symbol" w:hAnsi="Symbol"/>
      </w:rPr>
    </w:lvl>
    <w:lvl w:ilvl="4" w:tplc="D90E93C8">
      <w:start w:val="1"/>
      <w:numFmt w:val="bullet"/>
      <w:lvlText w:val=""/>
      <w:lvlJc w:val="left"/>
      <w:pPr>
        <w:ind w:left="1080" w:hanging="360"/>
      </w:pPr>
      <w:rPr>
        <w:rFonts w:ascii="Symbol" w:hAnsi="Symbol"/>
      </w:rPr>
    </w:lvl>
    <w:lvl w:ilvl="5" w:tplc="E0A6DB00">
      <w:start w:val="1"/>
      <w:numFmt w:val="bullet"/>
      <w:lvlText w:val=""/>
      <w:lvlJc w:val="left"/>
      <w:pPr>
        <w:ind w:left="1080" w:hanging="360"/>
      </w:pPr>
      <w:rPr>
        <w:rFonts w:ascii="Symbol" w:hAnsi="Symbol"/>
      </w:rPr>
    </w:lvl>
    <w:lvl w:ilvl="6" w:tplc="0EA8AC62">
      <w:start w:val="1"/>
      <w:numFmt w:val="bullet"/>
      <w:lvlText w:val=""/>
      <w:lvlJc w:val="left"/>
      <w:pPr>
        <w:ind w:left="1080" w:hanging="360"/>
      </w:pPr>
      <w:rPr>
        <w:rFonts w:ascii="Symbol" w:hAnsi="Symbol"/>
      </w:rPr>
    </w:lvl>
    <w:lvl w:ilvl="7" w:tplc="9880DDDE">
      <w:start w:val="1"/>
      <w:numFmt w:val="bullet"/>
      <w:lvlText w:val=""/>
      <w:lvlJc w:val="left"/>
      <w:pPr>
        <w:ind w:left="1080" w:hanging="360"/>
      </w:pPr>
      <w:rPr>
        <w:rFonts w:ascii="Symbol" w:hAnsi="Symbol"/>
      </w:rPr>
    </w:lvl>
    <w:lvl w:ilvl="8" w:tplc="41721446">
      <w:start w:val="1"/>
      <w:numFmt w:val="bullet"/>
      <w:lvlText w:val=""/>
      <w:lvlJc w:val="left"/>
      <w:pPr>
        <w:ind w:left="1080" w:hanging="360"/>
      </w:pPr>
      <w:rPr>
        <w:rFonts w:ascii="Symbol" w:hAnsi="Symbol"/>
      </w:rPr>
    </w:lvl>
  </w:abstractNum>
  <w:abstractNum w:abstractNumId="10" w15:restartNumberingAfterBreak="0">
    <w:nsid w:val="047402FB"/>
    <w:multiLevelType w:val="hybridMultilevel"/>
    <w:tmpl w:val="F75647DA"/>
    <w:lvl w:ilvl="0" w:tplc="EE5272AE">
      <w:start w:val="1"/>
      <w:numFmt w:val="bullet"/>
      <w:lvlText w:val=""/>
      <w:lvlJc w:val="left"/>
      <w:pPr>
        <w:ind w:left="1080" w:hanging="360"/>
      </w:pPr>
      <w:rPr>
        <w:rFonts w:ascii="Symbol" w:hAnsi="Symbol"/>
      </w:rPr>
    </w:lvl>
    <w:lvl w:ilvl="1" w:tplc="F9D2AFB4">
      <w:start w:val="1"/>
      <w:numFmt w:val="bullet"/>
      <w:lvlText w:val=""/>
      <w:lvlJc w:val="left"/>
      <w:pPr>
        <w:ind w:left="1080" w:hanging="360"/>
      </w:pPr>
      <w:rPr>
        <w:rFonts w:ascii="Symbol" w:hAnsi="Symbol"/>
      </w:rPr>
    </w:lvl>
    <w:lvl w:ilvl="2" w:tplc="29F4FB24">
      <w:start w:val="1"/>
      <w:numFmt w:val="bullet"/>
      <w:lvlText w:val=""/>
      <w:lvlJc w:val="left"/>
      <w:pPr>
        <w:ind w:left="1080" w:hanging="360"/>
      </w:pPr>
      <w:rPr>
        <w:rFonts w:ascii="Symbol" w:hAnsi="Symbol"/>
      </w:rPr>
    </w:lvl>
    <w:lvl w:ilvl="3" w:tplc="615C8CCE">
      <w:start w:val="1"/>
      <w:numFmt w:val="bullet"/>
      <w:lvlText w:val=""/>
      <w:lvlJc w:val="left"/>
      <w:pPr>
        <w:ind w:left="1080" w:hanging="360"/>
      </w:pPr>
      <w:rPr>
        <w:rFonts w:ascii="Symbol" w:hAnsi="Symbol"/>
      </w:rPr>
    </w:lvl>
    <w:lvl w:ilvl="4" w:tplc="5656912E">
      <w:start w:val="1"/>
      <w:numFmt w:val="bullet"/>
      <w:lvlText w:val=""/>
      <w:lvlJc w:val="left"/>
      <w:pPr>
        <w:ind w:left="1080" w:hanging="360"/>
      </w:pPr>
      <w:rPr>
        <w:rFonts w:ascii="Symbol" w:hAnsi="Symbol"/>
      </w:rPr>
    </w:lvl>
    <w:lvl w:ilvl="5" w:tplc="1408EE96">
      <w:start w:val="1"/>
      <w:numFmt w:val="bullet"/>
      <w:lvlText w:val=""/>
      <w:lvlJc w:val="left"/>
      <w:pPr>
        <w:ind w:left="1080" w:hanging="360"/>
      </w:pPr>
      <w:rPr>
        <w:rFonts w:ascii="Symbol" w:hAnsi="Symbol"/>
      </w:rPr>
    </w:lvl>
    <w:lvl w:ilvl="6" w:tplc="96001BD2">
      <w:start w:val="1"/>
      <w:numFmt w:val="bullet"/>
      <w:lvlText w:val=""/>
      <w:lvlJc w:val="left"/>
      <w:pPr>
        <w:ind w:left="1080" w:hanging="360"/>
      </w:pPr>
      <w:rPr>
        <w:rFonts w:ascii="Symbol" w:hAnsi="Symbol"/>
      </w:rPr>
    </w:lvl>
    <w:lvl w:ilvl="7" w:tplc="A0C8C20C">
      <w:start w:val="1"/>
      <w:numFmt w:val="bullet"/>
      <w:lvlText w:val=""/>
      <w:lvlJc w:val="left"/>
      <w:pPr>
        <w:ind w:left="1080" w:hanging="360"/>
      </w:pPr>
      <w:rPr>
        <w:rFonts w:ascii="Symbol" w:hAnsi="Symbol"/>
      </w:rPr>
    </w:lvl>
    <w:lvl w:ilvl="8" w:tplc="C06457D4">
      <w:start w:val="1"/>
      <w:numFmt w:val="bullet"/>
      <w:lvlText w:val=""/>
      <w:lvlJc w:val="left"/>
      <w:pPr>
        <w:ind w:left="1080" w:hanging="360"/>
      </w:pPr>
      <w:rPr>
        <w:rFonts w:ascii="Symbol" w:hAnsi="Symbol"/>
      </w:rPr>
    </w:lvl>
  </w:abstractNum>
  <w:abstractNum w:abstractNumId="11" w15:restartNumberingAfterBreak="0">
    <w:nsid w:val="0DB5183B"/>
    <w:multiLevelType w:val="multilevel"/>
    <w:tmpl w:val="F5A8EF1C"/>
    <w:name w:val="NR-Rubrik1"/>
    <w:lvl w:ilvl="0">
      <w:start w:val="1"/>
      <w:numFmt w:val="decimal"/>
      <w:lvlText w:val="%1."/>
      <w:lvlJc w:val="left"/>
      <w:pPr>
        <w:tabs>
          <w:tab w:val="num" w:pos="851"/>
        </w:tabs>
        <w:ind w:left="851" w:hanging="851"/>
      </w:pPr>
      <w:rPr>
        <w:rFonts w:ascii="Arial" w:hAnsi="Arial" w:hint="default"/>
        <w:b/>
        <w:sz w:val="28"/>
      </w:rPr>
    </w:lvl>
    <w:lvl w:ilvl="1">
      <w:start w:val="1"/>
      <w:numFmt w:val="decimal"/>
      <w:lvlText w:val="%1.%2."/>
      <w:lvlJc w:val="left"/>
      <w:pPr>
        <w:tabs>
          <w:tab w:val="num" w:pos="851"/>
        </w:tabs>
        <w:ind w:left="851" w:hanging="851"/>
      </w:pPr>
      <w:rPr>
        <w:rFonts w:ascii="Arial" w:hAnsi="Arial" w:hint="default"/>
        <w:sz w:val="28"/>
      </w:rPr>
    </w:lvl>
    <w:lvl w:ilvl="2">
      <w:start w:val="1"/>
      <w:numFmt w:val="decimal"/>
      <w:lvlText w:val="%1.%2.%3."/>
      <w:lvlJc w:val="left"/>
      <w:pPr>
        <w:tabs>
          <w:tab w:val="num" w:pos="1134"/>
        </w:tabs>
        <w:ind w:left="1134" w:hanging="1134"/>
      </w:pPr>
      <w:rPr>
        <w:rFonts w:hint="default"/>
      </w:rPr>
    </w:lvl>
    <w:lvl w:ilvl="3">
      <w:start w:val="1"/>
      <w:numFmt w:val="decimal"/>
      <w:lvlText w:val="%1.%2.%3.%4."/>
      <w:lvlJc w:val="left"/>
      <w:pPr>
        <w:tabs>
          <w:tab w:val="num" w:pos="1134"/>
        </w:tabs>
        <w:ind w:left="1134" w:hanging="1134"/>
      </w:pPr>
      <w:rPr>
        <w:rFonts w:hint="default"/>
      </w:rPr>
    </w:lvl>
    <w:lvl w:ilvl="4">
      <w:start w:val="1"/>
      <w:numFmt w:val="decimal"/>
      <w:lvlText w:val="%1.%2.%3.%4.%5."/>
      <w:lvlJc w:val="left"/>
      <w:pPr>
        <w:tabs>
          <w:tab w:val="num" w:pos="1418"/>
        </w:tabs>
        <w:ind w:left="1418" w:hanging="1418"/>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17FC5F1F"/>
    <w:multiLevelType w:val="multilevel"/>
    <w:tmpl w:val="4D1EE730"/>
    <w:lvl w:ilvl="0">
      <w:start w:val="1"/>
      <w:numFmt w:val="bullet"/>
      <w:pStyle w:val="Punktlista"/>
      <w:lvlText w:val=""/>
      <w:lvlJc w:val="left"/>
      <w:pPr>
        <w:ind w:left="360" w:hanging="360"/>
      </w:pPr>
      <w:rPr>
        <w:rFonts w:ascii="Symbol" w:hAnsi="Symbol" w:hint="default"/>
        <w:color w:val="404040"/>
      </w:rPr>
    </w:lvl>
    <w:lvl w:ilvl="1">
      <w:start w:val="1"/>
      <w:numFmt w:val="bullet"/>
      <w:lvlText w:val="-"/>
      <w:lvlJc w:val="left"/>
      <w:pPr>
        <w:ind w:left="567" w:hanging="283"/>
      </w:pPr>
      <w:rPr>
        <w:rFonts w:ascii="Courier New" w:hAnsi="Courier New" w:hint="default"/>
        <w:color w:val="7F7F7F"/>
      </w:rPr>
    </w:lvl>
    <w:lvl w:ilvl="2">
      <w:start w:val="1"/>
      <w:numFmt w:val="bullet"/>
      <w:lvlText w:val=""/>
      <w:lvlJc w:val="left"/>
      <w:pPr>
        <w:ind w:left="851" w:hanging="284"/>
      </w:pPr>
      <w:rPr>
        <w:rFonts w:ascii="Wingdings" w:hAnsi="Wingdings" w:hint="default"/>
        <w:color w:val="7F7F7F"/>
      </w:rPr>
    </w:lvl>
    <w:lvl w:ilvl="3">
      <w:start w:val="1"/>
      <w:numFmt w:val="bullet"/>
      <w:lvlText w:val="-"/>
      <w:lvlJc w:val="left"/>
      <w:pPr>
        <w:ind w:left="1134" w:hanging="283"/>
      </w:pPr>
      <w:rPr>
        <w:rFonts w:ascii="Courier New" w:hAnsi="Courier New" w:hint="default"/>
        <w:color w:val="7F7F7F"/>
      </w:rPr>
    </w:lvl>
    <w:lvl w:ilvl="4">
      <w:start w:val="1"/>
      <w:numFmt w:val="bullet"/>
      <w:lvlText w:val=""/>
      <w:lvlJc w:val="left"/>
      <w:pPr>
        <w:ind w:left="1418" w:hanging="284"/>
      </w:pPr>
      <w:rPr>
        <w:rFonts w:ascii="Wingdings" w:hAnsi="Wingdings" w:hint="default"/>
        <w:color w:val="7F7F7F"/>
      </w:rPr>
    </w:lvl>
    <w:lvl w:ilvl="5">
      <w:start w:val="1"/>
      <w:numFmt w:val="bullet"/>
      <w:lvlText w:val="-"/>
      <w:lvlJc w:val="left"/>
      <w:pPr>
        <w:ind w:left="1987" w:hanging="283"/>
      </w:pPr>
      <w:rPr>
        <w:rFonts w:ascii="Courier New" w:hAnsi="Courier New" w:hint="default"/>
        <w:color w:val="7F7F7F"/>
      </w:rPr>
    </w:lvl>
    <w:lvl w:ilvl="6">
      <w:start w:val="1"/>
      <w:numFmt w:val="bullet"/>
      <w:lvlText w:val=""/>
      <w:lvlJc w:val="left"/>
      <w:pPr>
        <w:ind w:left="2271" w:hanging="283"/>
      </w:pPr>
      <w:rPr>
        <w:rFonts w:ascii="Wingdings" w:hAnsi="Wingdings" w:hint="default"/>
        <w:color w:val="7F7F7F"/>
      </w:rPr>
    </w:lvl>
    <w:lvl w:ilvl="7">
      <w:start w:val="1"/>
      <w:numFmt w:val="bullet"/>
      <w:lvlText w:val="-"/>
      <w:lvlJc w:val="left"/>
      <w:pPr>
        <w:ind w:left="2555" w:hanging="283"/>
      </w:pPr>
      <w:rPr>
        <w:rFonts w:ascii="Courier New" w:hAnsi="Courier New" w:hint="default"/>
        <w:color w:val="7F7F7F"/>
      </w:rPr>
    </w:lvl>
    <w:lvl w:ilvl="8">
      <w:start w:val="1"/>
      <w:numFmt w:val="bullet"/>
      <w:lvlText w:val=""/>
      <w:lvlJc w:val="left"/>
      <w:pPr>
        <w:ind w:left="2839" w:hanging="283"/>
      </w:pPr>
      <w:rPr>
        <w:rFonts w:ascii="Wingdings" w:hAnsi="Wingdings" w:hint="default"/>
        <w:color w:val="7F7F7F"/>
      </w:rPr>
    </w:lvl>
  </w:abstractNum>
  <w:abstractNum w:abstractNumId="13" w15:restartNumberingAfterBreak="0">
    <w:nsid w:val="257544A4"/>
    <w:multiLevelType w:val="hybridMultilevel"/>
    <w:tmpl w:val="3B186AAC"/>
    <w:lvl w:ilvl="0" w:tplc="D812B018">
      <w:start w:val="1"/>
      <w:numFmt w:val="bullet"/>
      <w:lvlText w:val=""/>
      <w:lvlJc w:val="left"/>
      <w:pPr>
        <w:ind w:left="1440" w:hanging="360"/>
      </w:pPr>
      <w:rPr>
        <w:rFonts w:ascii="Symbol" w:hAnsi="Symbol"/>
      </w:rPr>
    </w:lvl>
    <w:lvl w:ilvl="1" w:tplc="FA482128">
      <w:start w:val="1"/>
      <w:numFmt w:val="bullet"/>
      <w:lvlText w:val=""/>
      <w:lvlJc w:val="left"/>
      <w:pPr>
        <w:ind w:left="1440" w:hanging="360"/>
      </w:pPr>
      <w:rPr>
        <w:rFonts w:ascii="Symbol" w:hAnsi="Symbol"/>
      </w:rPr>
    </w:lvl>
    <w:lvl w:ilvl="2" w:tplc="47B2F3FC">
      <w:start w:val="1"/>
      <w:numFmt w:val="bullet"/>
      <w:lvlText w:val=""/>
      <w:lvlJc w:val="left"/>
      <w:pPr>
        <w:ind w:left="1440" w:hanging="360"/>
      </w:pPr>
      <w:rPr>
        <w:rFonts w:ascii="Symbol" w:hAnsi="Symbol"/>
      </w:rPr>
    </w:lvl>
    <w:lvl w:ilvl="3" w:tplc="A61879A2">
      <w:start w:val="1"/>
      <w:numFmt w:val="bullet"/>
      <w:lvlText w:val=""/>
      <w:lvlJc w:val="left"/>
      <w:pPr>
        <w:ind w:left="1440" w:hanging="360"/>
      </w:pPr>
      <w:rPr>
        <w:rFonts w:ascii="Symbol" w:hAnsi="Symbol"/>
      </w:rPr>
    </w:lvl>
    <w:lvl w:ilvl="4" w:tplc="A9A6DE06">
      <w:start w:val="1"/>
      <w:numFmt w:val="bullet"/>
      <w:lvlText w:val=""/>
      <w:lvlJc w:val="left"/>
      <w:pPr>
        <w:ind w:left="1440" w:hanging="360"/>
      </w:pPr>
      <w:rPr>
        <w:rFonts w:ascii="Symbol" w:hAnsi="Symbol"/>
      </w:rPr>
    </w:lvl>
    <w:lvl w:ilvl="5" w:tplc="1A688246">
      <w:start w:val="1"/>
      <w:numFmt w:val="bullet"/>
      <w:lvlText w:val=""/>
      <w:lvlJc w:val="left"/>
      <w:pPr>
        <w:ind w:left="1440" w:hanging="360"/>
      </w:pPr>
      <w:rPr>
        <w:rFonts w:ascii="Symbol" w:hAnsi="Symbol"/>
      </w:rPr>
    </w:lvl>
    <w:lvl w:ilvl="6" w:tplc="3828B870">
      <w:start w:val="1"/>
      <w:numFmt w:val="bullet"/>
      <w:lvlText w:val=""/>
      <w:lvlJc w:val="left"/>
      <w:pPr>
        <w:ind w:left="1440" w:hanging="360"/>
      </w:pPr>
      <w:rPr>
        <w:rFonts w:ascii="Symbol" w:hAnsi="Symbol"/>
      </w:rPr>
    </w:lvl>
    <w:lvl w:ilvl="7" w:tplc="4D52C8B8">
      <w:start w:val="1"/>
      <w:numFmt w:val="bullet"/>
      <w:lvlText w:val=""/>
      <w:lvlJc w:val="left"/>
      <w:pPr>
        <w:ind w:left="1440" w:hanging="360"/>
      </w:pPr>
      <w:rPr>
        <w:rFonts w:ascii="Symbol" w:hAnsi="Symbol"/>
      </w:rPr>
    </w:lvl>
    <w:lvl w:ilvl="8" w:tplc="DBA8649A">
      <w:start w:val="1"/>
      <w:numFmt w:val="bullet"/>
      <w:lvlText w:val=""/>
      <w:lvlJc w:val="left"/>
      <w:pPr>
        <w:ind w:left="1440" w:hanging="360"/>
      </w:pPr>
      <w:rPr>
        <w:rFonts w:ascii="Symbol" w:hAnsi="Symbol"/>
      </w:rPr>
    </w:lvl>
  </w:abstractNum>
  <w:abstractNum w:abstractNumId="14" w15:restartNumberingAfterBreak="0">
    <w:nsid w:val="2D401A45"/>
    <w:multiLevelType w:val="multilevel"/>
    <w:tmpl w:val="A992DBC6"/>
    <w:lvl w:ilvl="0">
      <w:start w:val="1"/>
      <w:numFmt w:val="decimal"/>
      <w:pStyle w:val="Nummerlista"/>
      <w:lvlText w:val="%1."/>
      <w:lvlJc w:val="left"/>
      <w:pPr>
        <w:ind w:left="360" w:hanging="360"/>
      </w:pPr>
      <w:rPr>
        <w:rFonts w:ascii="Arial" w:hAnsi="Arial" w:hint="default"/>
        <w:b/>
        <w:i w:val="0"/>
        <w:color w:val="404040"/>
        <w:sz w:val="20"/>
      </w:rPr>
    </w:lvl>
    <w:lvl w:ilvl="1">
      <w:start w:val="1"/>
      <w:numFmt w:val="decimal"/>
      <w:lvlText w:val="%1.%2."/>
      <w:lvlJc w:val="left"/>
      <w:pPr>
        <w:tabs>
          <w:tab w:val="num" w:pos="397"/>
        </w:tabs>
        <w:ind w:left="907" w:hanging="510"/>
      </w:pPr>
      <w:rPr>
        <w:rFonts w:ascii="Arial" w:hAnsi="Arial" w:hint="default"/>
        <w:b/>
        <w:i w:val="0"/>
        <w:color w:val="595959"/>
        <w:sz w:val="20"/>
      </w:rPr>
    </w:lvl>
    <w:lvl w:ilvl="2">
      <w:start w:val="1"/>
      <w:numFmt w:val="decimal"/>
      <w:lvlText w:val="%1.%2.%3."/>
      <w:lvlJc w:val="left"/>
      <w:pPr>
        <w:tabs>
          <w:tab w:val="num" w:pos="1304"/>
        </w:tabs>
        <w:ind w:left="1701" w:hanging="794"/>
      </w:pPr>
      <w:rPr>
        <w:rFonts w:ascii="Arial" w:hAnsi="Arial" w:hint="default"/>
        <w:b/>
        <w:i w:val="0"/>
        <w:color w:val="595959"/>
        <w:sz w:val="20"/>
      </w:rPr>
    </w:lvl>
    <w:lvl w:ilvl="3">
      <w:start w:val="1"/>
      <w:numFmt w:val="decimal"/>
      <w:lvlText w:val="%1.%2.%3.%4."/>
      <w:lvlJc w:val="left"/>
      <w:pPr>
        <w:ind w:left="2552" w:hanging="851"/>
      </w:pPr>
      <w:rPr>
        <w:rFonts w:ascii="Arial" w:hAnsi="Arial" w:hint="default"/>
        <w:b/>
        <w:i w:val="0"/>
        <w:color w:val="595959"/>
        <w:sz w:val="20"/>
      </w:rPr>
    </w:lvl>
    <w:lvl w:ilvl="4">
      <w:start w:val="1"/>
      <w:numFmt w:val="decimal"/>
      <w:lvlText w:val="%1.%2.%3.%4.%5."/>
      <w:lvlJc w:val="left"/>
      <w:pPr>
        <w:ind w:left="3119" w:hanging="567"/>
      </w:pPr>
      <w:rPr>
        <w:rFonts w:ascii="Arial" w:hAnsi="Arial" w:hint="default"/>
        <w:b/>
        <w:i w:val="0"/>
        <w:color w:val="595959"/>
        <w:sz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25E7878"/>
    <w:multiLevelType w:val="hybridMultilevel"/>
    <w:tmpl w:val="E6C49598"/>
    <w:lvl w:ilvl="0" w:tplc="BA7CC78E">
      <w:start w:val="1"/>
      <w:numFmt w:val="bullet"/>
      <w:lvlText w:val=""/>
      <w:lvlJc w:val="left"/>
      <w:pPr>
        <w:ind w:left="720" w:hanging="436"/>
      </w:pPr>
      <w:rPr>
        <w:rFonts w:ascii="Symbol" w:hAnsi="Symbol" w:hint="default"/>
        <w:color w:val="EEECE1"/>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366626FC"/>
    <w:multiLevelType w:val="hybridMultilevel"/>
    <w:tmpl w:val="96A6D644"/>
    <w:lvl w:ilvl="0" w:tplc="B0F88F0A">
      <w:start w:val="1"/>
      <w:numFmt w:val="bullet"/>
      <w:lvlText w:val=""/>
      <w:lvlJc w:val="left"/>
      <w:pPr>
        <w:ind w:left="1440" w:hanging="360"/>
      </w:pPr>
      <w:rPr>
        <w:rFonts w:ascii="Symbol" w:hAnsi="Symbol"/>
      </w:rPr>
    </w:lvl>
    <w:lvl w:ilvl="1" w:tplc="0812FBBC">
      <w:start w:val="1"/>
      <w:numFmt w:val="bullet"/>
      <w:lvlText w:val=""/>
      <w:lvlJc w:val="left"/>
      <w:pPr>
        <w:ind w:left="1440" w:hanging="360"/>
      </w:pPr>
      <w:rPr>
        <w:rFonts w:ascii="Symbol" w:hAnsi="Symbol"/>
      </w:rPr>
    </w:lvl>
    <w:lvl w:ilvl="2" w:tplc="26CE0286">
      <w:start w:val="1"/>
      <w:numFmt w:val="bullet"/>
      <w:lvlText w:val=""/>
      <w:lvlJc w:val="left"/>
      <w:pPr>
        <w:ind w:left="1440" w:hanging="360"/>
      </w:pPr>
      <w:rPr>
        <w:rFonts w:ascii="Symbol" w:hAnsi="Symbol"/>
      </w:rPr>
    </w:lvl>
    <w:lvl w:ilvl="3" w:tplc="1F16DDCA">
      <w:start w:val="1"/>
      <w:numFmt w:val="bullet"/>
      <w:lvlText w:val=""/>
      <w:lvlJc w:val="left"/>
      <w:pPr>
        <w:ind w:left="1440" w:hanging="360"/>
      </w:pPr>
      <w:rPr>
        <w:rFonts w:ascii="Symbol" w:hAnsi="Symbol"/>
      </w:rPr>
    </w:lvl>
    <w:lvl w:ilvl="4" w:tplc="4B324074">
      <w:start w:val="1"/>
      <w:numFmt w:val="bullet"/>
      <w:lvlText w:val=""/>
      <w:lvlJc w:val="left"/>
      <w:pPr>
        <w:ind w:left="1440" w:hanging="360"/>
      </w:pPr>
      <w:rPr>
        <w:rFonts w:ascii="Symbol" w:hAnsi="Symbol"/>
      </w:rPr>
    </w:lvl>
    <w:lvl w:ilvl="5" w:tplc="100054B8">
      <w:start w:val="1"/>
      <w:numFmt w:val="bullet"/>
      <w:lvlText w:val=""/>
      <w:lvlJc w:val="left"/>
      <w:pPr>
        <w:ind w:left="1440" w:hanging="360"/>
      </w:pPr>
      <w:rPr>
        <w:rFonts w:ascii="Symbol" w:hAnsi="Symbol"/>
      </w:rPr>
    </w:lvl>
    <w:lvl w:ilvl="6" w:tplc="766CA260">
      <w:start w:val="1"/>
      <w:numFmt w:val="bullet"/>
      <w:lvlText w:val=""/>
      <w:lvlJc w:val="left"/>
      <w:pPr>
        <w:ind w:left="1440" w:hanging="360"/>
      </w:pPr>
      <w:rPr>
        <w:rFonts w:ascii="Symbol" w:hAnsi="Symbol"/>
      </w:rPr>
    </w:lvl>
    <w:lvl w:ilvl="7" w:tplc="C2D02ED0">
      <w:start w:val="1"/>
      <w:numFmt w:val="bullet"/>
      <w:lvlText w:val=""/>
      <w:lvlJc w:val="left"/>
      <w:pPr>
        <w:ind w:left="1440" w:hanging="360"/>
      </w:pPr>
      <w:rPr>
        <w:rFonts w:ascii="Symbol" w:hAnsi="Symbol"/>
      </w:rPr>
    </w:lvl>
    <w:lvl w:ilvl="8" w:tplc="37FAEA7C">
      <w:start w:val="1"/>
      <w:numFmt w:val="bullet"/>
      <w:lvlText w:val=""/>
      <w:lvlJc w:val="left"/>
      <w:pPr>
        <w:ind w:left="1440" w:hanging="360"/>
      </w:pPr>
      <w:rPr>
        <w:rFonts w:ascii="Symbol" w:hAnsi="Symbol"/>
      </w:rPr>
    </w:lvl>
  </w:abstractNum>
  <w:abstractNum w:abstractNumId="17" w15:restartNumberingAfterBreak="0">
    <w:nsid w:val="3B893E56"/>
    <w:multiLevelType w:val="hybridMultilevel"/>
    <w:tmpl w:val="2F30A4DE"/>
    <w:lvl w:ilvl="0" w:tplc="79982D24">
      <w:start w:val="1"/>
      <w:numFmt w:val="bullet"/>
      <w:lvlText w:val=""/>
      <w:lvlJc w:val="left"/>
      <w:pPr>
        <w:ind w:left="1440" w:hanging="360"/>
      </w:pPr>
      <w:rPr>
        <w:rFonts w:ascii="Symbol" w:hAnsi="Symbol"/>
      </w:rPr>
    </w:lvl>
    <w:lvl w:ilvl="1" w:tplc="03BA78F4">
      <w:start w:val="1"/>
      <w:numFmt w:val="bullet"/>
      <w:lvlText w:val=""/>
      <w:lvlJc w:val="left"/>
      <w:pPr>
        <w:ind w:left="1440" w:hanging="360"/>
      </w:pPr>
      <w:rPr>
        <w:rFonts w:ascii="Symbol" w:hAnsi="Symbol"/>
      </w:rPr>
    </w:lvl>
    <w:lvl w:ilvl="2" w:tplc="8842AD16">
      <w:start w:val="1"/>
      <w:numFmt w:val="bullet"/>
      <w:lvlText w:val=""/>
      <w:lvlJc w:val="left"/>
      <w:pPr>
        <w:ind w:left="1440" w:hanging="360"/>
      </w:pPr>
      <w:rPr>
        <w:rFonts w:ascii="Symbol" w:hAnsi="Symbol"/>
      </w:rPr>
    </w:lvl>
    <w:lvl w:ilvl="3" w:tplc="A1C0DC20">
      <w:start w:val="1"/>
      <w:numFmt w:val="bullet"/>
      <w:lvlText w:val=""/>
      <w:lvlJc w:val="left"/>
      <w:pPr>
        <w:ind w:left="1440" w:hanging="360"/>
      </w:pPr>
      <w:rPr>
        <w:rFonts w:ascii="Symbol" w:hAnsi="Symbol"/>
      </w:rPr>
    </w:lvl>
    <w:lvl w:ilvl="4" w:tplc="5F1C0EEE">
      <w:start w:val="1"/>
      <w:numFmt w:val="bullet"/>
      <w:lvlText w:val=""/>
      <w:lvlJc w:val="left"/>
      <w:pPr>
        <w:ind w:left="1440" w:hanging="360"/>
      </w:pPr>
      <w:rPr>
        <w:rFonts w:ascii="Symbol" w:hAnsi="Symbol"/>
      </w:rPr>
    </w:lvl>
    <w:lvl w:ilvl="5" w:tplc="05387262">
      <w:start w:val="1"/>
      <w:numFmt w:val="bullet"/>
      <w:lvlText w:val=""/>
      <w:lvlJc w:val="left"/>
      <w:pPr>
        <w:ind w:left="1440" w:hanging="360"/>
      </w:pPr>
      <w:rPr>
        <w:rFonts w:ascii="Symbol" w:hAnsi="Symbol"/>
      </w:rPr>
    </w:lvl>
    <w:lvl w:ilvl="6" w:tplc="B860E9BE">
      <w:start w:val="1"/>
      <w:numFmt w:val="bullet"/>
      <w:lvlText w:val=""/>
      <w:lvlJc w:val="left"/>
      <w:pPr>
        <w:ind w:left="1440" w:hanging="360"/>
      </w:pPr>
      <w:rPr>
        <w:rFonts w:ascii="Symbol" w:hAnsi="Symbol"/>
      </w:rPr>
    </w:lvl>
    <w:lvl w:ilvl="7" w:tplc="D882A216">
      <w:start w:val="1"/>
      <w:numFmt w:val="bullet"/>
      <w:lvlText w:val=""/>
      <w:lvlJc w:val="left"/>
      <w:pPr>
        <w:ind w:left="1440" w:hanging="360"/>
      </w:pPr>
      <w:rPr>
        <w:rFonts w:ascii="Symbol" w:hAnsi="Symbol"/>
      </w:rPr>
    </w:lvl>
    <w:lvl w:ilvl="8" w:tplc="C7F23658">
      <w:start w:val="1"/>
      <w:numFmt w:val="bullet"/>
      <w:lvlText w:val=""/>
      <w:lvlJc w:val="left"/>
      <w:pPr>
        <w:ind w:left="1440" w:hanging="360"/>
      </w:pPr>
      <w:rPr>
        <w:rFonts w:ascii="Symbol" w:hAnsi="Symbol"/>
      </w:rPr>
    </w:lvl>
  </w:abstractNum>
  <w:abstractNum w:abstractNumId="18" w15:restartNumberingAfterBreak="0">
    <w:nsid w:val="3BC70BA0"/>
    <w:multiLevelType w:val="multilevel"/>
    <w:tmpl w:val="BC6C2A86"/>
    <w:lvl w:ilvl="0">
      <w:start w:val="1"/>
      <w:numFmt w:val="decimal"/>
      <w:pStyle w:val="1Rubrik"/>
      <w:lvlText w:val="%1."/>
      <w:lvlJc w:val="left"/>
      <w:pPr>
        <w:tabs>
          <w:tab w:val="num" w:pos="567"/>
        </w:tabs>
        <w:ind w:left="567" w:hanging="567"/>
      </w:pPr>
      <w:rPr>
        <w:rFonts w:ascii="Arial" w:hAnsi="Arial" w:hint="default"/>
        <w:b/>
        <w:i w:val="0"/>
        <w:color w:val="000000"/>
        <w:sz w:val="28"/>
      </w:rPr>
    </w:lvl>
    <w:lvl w:ilvl="1">
      <w:start w:val="1"/>
      <w:numFmt w:val="decimal"/>
      <w:pStyle w:val="NRRubrik2"/>
      <w:lvlText w:val="%1.%2."/>
      <w:lvlJc w:val="left"/>
      <w:pPr>
        <w:tabs>
          <w:tab w:val="num" w:pos="709"/>
        </w:tabs>
        <w:ind w:left="709" w:hanging="709"/>
      </w:pPr>
      <w:rPr>
        <w:rFonts w:ascii="Arial" w:hAnsi="Arial" w:hint="default"/>
        <w:b w:val="0"/>
        <w:i w:val="0"/>
        <w:color w:val="auto"/>
        <w:sz w:val="28"/>
      </w:rPr>
    </w:lvl>
    <w:lvl w:ilvl="2">
      <w:start w:val="1"/>
      <w:numFmt w:val="decimal"/>
      <w:pStyle w:val="NRRubrik3"/>
      <w:lvlText w:val="%1.%2.%3."/>
      <w:lvlJc w:val="left"/>
      <w:pPr>
        <w:tabs>
          <w:tab w:val="num" w:pos="851"/>
        </w:tabs>
        <w:ind w:left="851" w:hanging="851"/>
      </w:pPr>
      <w:rPr>
        <w:rFonts w:ascii="Arial" w:hAnsi="Arial" w:hint="default"/>
        <w:b/>
        <w:i w:val="0"/>
        <w:color w:val="404040"/>
        <w:sz w:val="24"/>
      </w:rPr>
    </w:lvl>
    <w:lvl w:ilvl="3">
      <w:start w:val="1"/>
      <w:numFmt w:val="decimal"/>
      <w:pStyle w:val="NRRubrik4"/>
      <w:lvlText w:val="%1.%2.%3.%4."/>
      <w:lvlJc w:val="left"/>
      <w:pPr>
        <w:tabs>
          <w:tab w:val="num" w:pos="992"/>
        </w:tabs>
        <w:ind w:left="992" w:hanging="992"/>
      </w:pPr>
      <w:rPr>
        <w:rFonts w:ascii="Arial" w:hAnsi="Arial" w:hint="default"/>
        <w:b w:val="0"/>
        <w:i w:val="0"/>
        <w:color w:val="auto"/>
        <w:sz w:val="24"/>
      </w:rPr>
    </w:lvl>
    <w:lvl w:ilvl="4">
      <w:start w:val="1"/>
      <w:numFmt w:val="decimal"/>
      <w:pStyle w:val="NRRubrik5"/>
      <w:lvlText w:val="%1.%2.%3.%4.%5."/>
      <w:lvlJc w:val="left"/>
      <w:pPr>
        <w:tabs>
          <w:tab w:val="num" w:pos="1134"/>
        </w:tabs>
        <w:ind w:left="1134" w:hanging="1134"/>
      </w:pPr>
      <w:rPr>
        <w:rFonts w:ascii="Arial" w:hAnsi="Arial" w:hint="default"/>
        <w:b/>
        <w:i w:val="0"/>
        <w:color w:val="404040"/>
        <w:sz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4DD1EDC"/>
    <w:multiLevelType w:val="multilevel"/>
    <w:tmpl w:val="2304D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4F0E2F"/>
    <w:multiLevelType w:val="hybridMultilevel"/>
    <w:tmpl w:val="98E27A08"/>
    <w:lvl w:ilvl="0" w:tplc="FC2A9A04">
      <w:start w:val="1"/>
      <w:numFmt w:val="bullet"/>
      <w:lvlText w:val=""/>
      <w:lvlJc w:val="left"/>
      <w:pPr>
        <w:ind w:left="1440" w:hanging="360"/>
      </w:pPr>
      <w:rPr>
        <w:rFonts w:ascii="Symbol" w:hAnsi="Symbol"/>
      </w:rPr>
    </w:lvl>
    <w:lvl w:ilvl="1" w:tplc="199AA702">
      <w:start w:val="1"/>
      <w:numFmt w:val="bullet"/>
      <w:lvlText w:val=""/>
      <w:lvlJc w:val="left"/>
      <w:pPr>
        <w:ind w:left="1440" w:hanging="360"/>
      </w:pPr>
      <w:rPr>
        <w:rFonts w:ascii="Symbol" w:hAnsi="Symbol"/>
      </w:rPr>
    </w:lvl>
    <w:lvl w:ilvl="2" w:tplc="7C986ED2">
      <w:start w:val="1"/>
      <w:numFmt w:val="bullet"/>
      <w:lvlText w:val=""/>
      <w:lvlJc w:val="left"/>
      <w:pPr>
        <w:ind w:left="1440" w:hanging="360"/>
      </w:pPr>
      <w:rPr>
        <w:rFonts w:ascii="Symbol" w:hAnsi="Symbol"/>
      </w:rPr>
    </w:lvl>
    <w:lvl w:ilvl="3" w:tplc="D2045940">
      <w:start w:val="1"/>
      <w:numFmt w:val="bullet"/>
      <w:lvlText w:val=""/>
      <w:lvlJc w:val="left"/>
      <w:pPr>
        <w:ind w:left="1440" w:hanging="360"/>
      </w:pPr>
      <w:rPr>
        <w:rFonts w:ascii="Symbol" w:hAnsi="Symbol"/>
      </w:rPr>
    </w:lvl>
    <w:lvl w:ilvl="4" w:tplc="64E2C45C">
      <w:start w:val="1"/>
      <w:numFmt w:val="bullet"/>
      <w:lvlText w:val=""/>
      <w:lvlJc w:val="left"/>
      <w:pPr>
        <w:ind w:left="1440" w:hanging="360"/>
      </w:pPr>
      <w:rPr>
        <w:rFonts w:ascii="Symbol" w:hAnsi="Symbol"/>
      </w:rPr>
    </w:lvl>
    <w:lvl w:ilvl="5" w:tplc="909EAAA0">
      <w:start w:val="1"/>
      <w:numFmt w:val="bullet"/>
      <w:lvlText w:val=""/>
      <w:lvlJc w:val="left"/>
      <w:pPr>
        <w:ind w:left="1440" w:hanging="360"/>
      </w:pPr>
      <w:rPr>
        <w:rFonts w:ascii="Symbol" w:hAnsi="Symbol"/>
      </w:rPr>
    </w:lvl>
    <w:lvl w:ilvl="6" w:tplc="3CDC26B2">
      <w:start w:val="1"/>
      <w:numFmt w:val="bullet"/>
      <w:lvlText w:val=""/>
      <w:lvlJc w:val="left"/>
      <w:pPr>
        <w:ind w:left="1440" w:hanging="360"/>
      </w:pPr>
      <w:rPr>
        <w:rFonts w:ascii="Symbol" w:hAnsi="Symbol"/>
      </w:rPr>
    </w:lvl>
    <w:lvl w:ilvl="7" w:tplc="F7B2F60E">
      <w:start w:val="1"/>
      <w:numFmt w:val="bullet"/>
      <w:lvlText w:val=""/>
      <w:lvlJc w:val="left"/>
      <w:pPr>
        <w:ind w:left="1440" w:hanging="360"/>
      </w:pPr>
      <w:rPr>
        <w:rFonts w:ascii="Symbol" w:hAnsi="Symbol"/>
      </w:rPr>
    </w:lvl>
    <w:lvl w:ilvl="8" w:tplc="3870ADB0">
      <w:start w:val="1"/>
      <w:numFmt w:val="bullet"/>
      <w:lvlText w:val=""/>
      <w:lvlJc w:val="left"/>
      <w:pPr>
        <w:ind w:left="1440" w:hanging="360"/>
      </w:pPr>
      <w:rPr>
        <w:rFonts w:ascii="Symbol" w:hAnsi="Symbol"/>
      </w:rPr>
    </w:lvl>
  </w:abstractNum>
  <w:abstractNum w:abstractNumId="21" w15:restartNumberingAfterBreak="0">
    <w:nsid w:val="4651473C"/>
    <w:multiLevelType w:val="hybridMultilevel"/>
    <w:tmpl w:val="1B9811F2"/>
    <w:lvl w:ilvl="0" w:tplc="63566F84">
      <w:start w:val="1"/>
      <w:numFmt w:val="decimal"/>
      <w:pStyle w:val="Numreradlista"/>
      <w:lvlText w:val="%1."/>
      <w:lvlJc w:val="left"/>
      <w:pPr>
        <w:ind w:left="1004" w:hanging="360"/>
      </w:pPr>
    </w:lvl>
    <w:lvl w:ilvl="1" w:tplc="041D0019">
      <w:start w:val="1"/>
      <w:numFmt w:val="lowerLetter"/>
      <w:lvlText w:val="%2."/>
      <w:lvlJc w:val="left"/>
      <w:pPr>
        <w:ind w:left="1724" w:hanging="360"/>
      </w:pPr>
    </w:lvl>
    <w:lvl w:ilvl="2" w:tplc="041D001B" w:tentative="1">
      <w:start w:val="1"/>
      <w:numFmt w:val="lowerRoman"/>
      <w:lvlText w:val="%3."/>
      <w:lvlJc w:val="right"/>
      <w:pPr>
        <w:ind w:left="2444" w:hanging="180"/>
      </w:pPr>
    </w:lvl>
    <w:lvl w:ilvl="3" w:tplc="041D000F" w:tentative="1">
      <w:start w:val="1"/>
      <w:numFmt w:val="decimal"/>
      <w:lvlText w:val="%4."/>
      <w:lvlJc w:val="left"/>
      <w:pPr>
        <w:ind w:left="3164" w:hanging="360"/>
      </w:pPr>
    </w:lvl>
    <w:lvl w:ilvl="4" w:tplc="041D0019" w:tentative="1">
      <w:start w:val="1"/>
      <w:numFmt w:val="lowerLetter"/>
      <w:lvlText w:val="%5."/>
      <w:lvlJc w:val="left"/>
      <w:pPr>
        <w:ind w:left="3884" w:hanging="360"/>
      </w:pPr>
    </w:lvl>
    <w:lvl w:ilvl="5" w:tplc="041D001B" w:tentative="1">
      <w:start w:val="1"/>
      <w:numFmt w:val="lowerRoman"/>
      <w:lvlText w:val="%6."/>
      <w:lvlJc w:val="right"/>
      <w:pPr>
        <w:ind w:left="4604" w:hanging="180"/>
      </w:pPr>
    </w:lvl>
    <w:lvl w:ilvl="6" w:tplc="041D000F" w:tentative="1">
      <w:start w:val="1"/>
      <w:numFmt w:val="decimal"/>
      <w:lvlText w:val="%7."/>
      <w:lvlJc w:val="left"/>
      <w:pPr>
        <w:ind w:left="5324" w:hanging="360"/>
      </w:pPr>
    </w:lvl>
    <w:lvl w:ilvl="7" w:tplc="041D0019" w:tentative="1">
      <w:start w:val="1"/>
      <w:numFmt w:val="lowerLetter"/>
      <w:lvlText w:val="%8."/>
      <w:lvlJc w:val="left"/>
      <w:pPr>
        <w:ind w:left="6044" w:hanging="360"/>
      </w:pPr>
    </w:lvl>
    <w:lvl w:ilvl="8" w:tplc="041D001B" w:tentative="1">
      <w:start w:val="1"/>
      <w:numFmt w:val="lowerRoman"/>
      <w:lvlText w:val="%9."/>
      <w:lvlJc w:val="right"/>
      <w:pPr>
        <w:ind w:left="6764" w:hanging="180"/>
      </w:pPr>
    </w:lvl>
  </w:abstractNum>
  <w:abstractNum w:abstractNumId="22" w15:restartNumberingAfterBreak="0">
    <w:nsid w:val="4CDB443B"/>
    <w:multiLevelType w:val="hybridMultilevel"/>
    <w:tmpl w:val="86F01066"/>
    <w:lvl w:ilvl="0" w:tplc="6E726EFE">
      <w:start w:val="1"/>
      <w:numFmt w:val="bullet"/>
      <w:lvlText w:val=""/>
      <w:lvlJc w:val="left"/>
      <w:pPr>
        <w:ind w:left="1080" w:hanging="360"/>
      </w:pPr>
      <w:rPr>
        <w:rFonts w:ascii="Symbol" w:hAnsi="Symbol"/>
      </w:rPr>
    </w:lvl>
    <w:lvl w:ilvl="1" w:tplc="6AACE282">
      <w:start w:val="1"/>
      <w:numFmt w:val="bullet"/>
      <w:lvlText w:val=""/>
      <w:lvlJc w:val="left"/>
      <w:pPr>
        <w:ind w:left="1080" w:hanging="360"/>
      </w:pPr>
      <w:rPr>
        <w:rFonts w:ascii="Symbol" w:hAnsi="Symbol"/>
      </w:rPr>
    </w:lvl>
    <w:lvl w:ilvl="2" w:tplc="3DC40F80">
      <w:start w:val="1"/>
      <w:numFmt w:val="bullet"/>
      <w:lvlText w:val=""/>
      <w:lvlJc w:val="left"/>
      <w:pPr>
        <w:ind w:left="1080" w:hanging="360"/>
      </w:pPr>
      <w:rPr>
        <w:rFonts w:ascii="Symbol" w:hAnsi="Symbol"/>
      </w:rPr>
    </w:lvl>
    <w:lvl w:ilvl="3" w:tplc="0074B8CE">
      <w:start w:val="1"/>
      <w:numFmt w:val="bullet"/>
      <w:lvlText w:val=""/>
      <w:lvlJc w:val="left"/>
      <w:pPr>
        <w:ind w:left="1080" w:hanging="360"/>
      </w:pPr>
      <w:rPr>
        <w:rFonts w:ascii="Symbol" w:hAnsi="Symbol"/>
      </w:rPr>
    </w:lvl>
    <w:lvl w:ilvl="4" w:tplc="4ECEC7F8">
      <w:start w:val="1"/>
      <w:numFmt w:val="bullet"/>
      <w:lvlText w:val=""/>
      <w:lvlJc w:val="left"/>
      <w:pPr>
        <w:ind w:left="1080" w:hanging="360"/>
      </w:pPr>
      <w:rPr>
        <w:rFonts w:ascii="Symbol" w:hAnsi="Symbol"/>
      </w:rPr>
    </w:lvl>
    <w:lvl w:ilvl="5" w:tplc="173484B8">
      <w:start w:val="1"/>
      <w:numFmt w:val="bullet"/>
      <w:lvlText w:val=""/>
      <w:lvlJc w:val="left"/>
      <w:pPr>
        <w:ind w:left="1080" w:hanging="360"/>
      </w:pPr>
      <w:rPr>
        <w:rFonts w:ascii="Symbol" w:hAnsi="Symbol"/>
      </w:rPr>
    </w:lvl>
    <w:lvl w:ilvl="6" w:tplc="04C8D356">
      <w:start w:val="1"/>
      <w:numFmt w:val="bullet"/>
      <w:lvlText w:val=""/>
      <w:lvlJc w:val="left"/>
      <w:pPr>
        <w:ind w:left="1080" w:hanging="360"/>
      </w:pPr>
      <w:rPr>
        <w:rFonts w:ascii="Symbol" w:hAnsi="Symbol"/>
      </w:rPr>
    </w:lvl>
    <w:lvl w:ilvl="7" w:tplc="02F02A7C">
      <w:start w:val="1"/>
      <w:numFmt w:val="bullet"/>
      <w:lvlText w:val=""/>
      <w:lvlJc w:val="left"/>
      <w:pPr>
        <w:ind w:left="1080" w:hanging="360"/>
      </w:pPr>
      <w:rPr>
        <w:rFonts w:ascii="Symbol" w:hAnsi="Symbol"/>
      </w:rPr>
    </w:lvl>
    <w:lvl w:ilvl="8" w:tplc="2E4A4C5E">
      <w:start w:val="1"/>
      <w:numFmt w:val="bullet"/>
      <w:lvlText w:val=""/>
      <w:lvlJc w:val="left"/>
      <w:pPr>
        <w:ind w:left="1080" w:hanging="360"/>
      </w:pPr>
      <w:rPr>
        <w:rFonts w:ascii="Symbol" w:hAnsi="Symbol"/>
      </w:rPr>
    </w:lvl>
  </w:abstractNum>
  <w:abstractNum w:abstractNumId="23" w15:restartNumberingAfterBreak="0">
    <w:nsid w:val="50C13204"/>
    <w:multiLevelType w:val="hybridMultilevel"/>
    <w:tmpl w:val="65C0D35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15:restartNumberingAfterBreak="0">
    <w:nsid w:val="50D307AC"/>
    <w:multiLevelType w:val="hybridMultilevel"/>
    <w:tmpl w:val="BE8A5EA2"/>
    <w:lvl w:ilvl="0" w:tplc="041D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2E6046C"/>
    <w:multiLevelType w:val="hybridMultilevel"/>
    <w:tmpl w:val="9D04506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15:restartNumberingAfterBreak="0">
    <w:nsid w:val="5CDF2B2B"/>
    <w:multiLevelType w:val="hybridMultilevel"/>
    <w:tmpl w:val="1D76BF5E"/>
    <w:lvl w:ilvl="0" w:tplc="041D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049158A"/>
    <w:multiLevelType w:val="hybridMultilevel"/>
    <w:tmpl w:val="16FC0C68"/>
    <w:lvl w:ilvl="0" w:tplc="4B14B5B0">
      <w:start w:val="1"/>
      <w:numFmt w:val="bullet"/>
      <w:lvlText w:val=""/>
      <w:lvlJc w:val="left"/>
      <w:pPr>
        <w:ind w:left="1080" w:hanging="360"/>
      </w:pPr>
      <w:rPr>
        <w:rFonts w:ascii="Symbol" w:hAnsi="Symbol"/>
      </w:rPr>
    </w:lvl>
    <w:lvl w:ilvl="1" w:tplc="AFFCF188">
      <w:start w:val="1"/>
      <w:numFmt w:val="bullet"/>
      <w:lvlText w:val=""/>
      <w:lvlJc w:val="left"/>
      <w:pPr>
        <w:ind w:left="1080" w:hanging="360"/>
      </w:pPr>
      <w:rPr>
        <w:rFonts w:ascii="Symbol" w:hAnsi="Symbol"/>
      </w:rPr>
    </w:lvl>
    <w:lvl w:ilvl="2" w:tplc="854C438C">
      <w:start w:val="1"/>
      <w:numFmt w:val="bullet"/>
      <w:lvlText w:val=""/>
      <w:lvlJc w:val="left"/>
      <w:pPr>
        <w:ind w:left="1080" w:hanging="360"/>
      </w:pPr>
      <w:rPr>
        <w:rFonts w:ascii="Symbol" w:hAnsi="Symbol"/>
      </w:rPr>
    </w:lvl>
    <w:lvl w:ilvl="3" w:tplc="A56C88C2">
      <w:start w:val="1"/>
      <w:numFmt w:val="bullet"/>
      <w:lvlText w:val=""/>
      <w:lvlJc w:val="left"/>
      <w:pPr>
        <w:ind w:left="1080" w:hanging="360"/>
      </w:pPr>
      <w:rPr>
        <w:rFonts w:ascii="Symbol" w:hAnsi="Symbol"/>
      </w:rPr>
    </w:lvl>
    <w:lvl w:ilvl="4" w:tplc="1A14C742">
      <w:start w:val="1"/>
      <w:numFmt w:val="bullet"/>
      <w:lvlText w:val=""/>
      <w:lvlJc w:val="left"/>
      <w:pPr>
        <w:ind w:left="1080" w:hanging="360"/>
      </w:pPr>
      <w:rPr>
        <w:rFonts w:ascii="Symbol" w:hAnsi="Symbol"/>
      </w:rPr>
    </w:lvl>
    <w:lvl w:ilvl="5" w:tplc="D2C09CC0">
      <w:start w:val="1"/>
      <w:numFmt w:val="bullet"/>
      <w:lvlText w:val=""/>
      <w:lvlJc w:val="left"/>
      <w:pPr>
        <w:ind w:left="1080" w:hanging="360"/>
      </w:pPr>
      <w:rPr>
        <w:rFonts w:ascii="Symbol" w:hAnsi="Symbol"/>
      </w:rPr>
    </w:lvl>
    <w:lvl w:ilvl="6" w:tplc="089220FC">
      <w:start w:val="1"/>
      <w:numFmt w:val="bullet"/>
      <w:lvlText w:val=""/>
      <w:lvlJc w:val="left"/>
      <w:pPr>
        <w:ind w:left="1080" w:hanging="360"/>
      </w:pPr>
      <w:rPr>
        <w:rFonts w:ascii="Symbol" w:hAnsi="Symbol"/>
      </w:rPr>
    </w:lvl>
    <w:lvl w:ilvl="7" w:tplc="DF08BBD0">
      <w:start w:val="1"/>
      <w:numFmt w:val="bullet"/>
      <w:lvlText w:val=""/>
      <w:lvlJc w:val="left"/>
      <w:pPr>
        <w:ind w:left="1080" w:hanging="360"/>
      </w:pPr>
      <w:rPr>
        <w:rFonts w:ascii="Symbol" w:hAnsi="Symbol"/>
      </w:rPr>
    </w:lvl>
    <w:lvl w:ilvl="8" w:tplc="94086ACC">
      <w:start w:val="1"/>
      <w:numFmt w:val="bullet"/>
      <w:lvlText w:val=""/>
      <w:lvlJc w:val="left"/>
      <w:pPr>
        <w:ind w:left="1080" w:hanging="360"/>
      </w:pPr>
      <w:rPr>
        <w:rFonts w:ascii="Symbol" w:hAnsi="Symbol"/>
      </w:rPr>
    </w:lvl>
  </w:abstractNum>
  <w:abstractNum w:abstractNumId="28" w15:restartNumberingAfterBreak="0">
    <w:nsid w:val="60E75B2E"/>
    <w:multiLevelType w:val="hybridMultilevel"/>
    <w:tmpl w:val="5DF6360C"/>
    <w:lvl w:ilvl="0" w:tplc="BA6A0232">
      <w:start w:val="1"/>
      <w:numFmt w:val="bullet"/>
      <w:lvlText w:val=""/>
      <w:lvlJc w:val="left"/>
      <w:pPr>
        <w:ind w:left="1440" w:hanging="360"/>
      </w:pPr>
      <w:rPr>
        <w:rFonts w:ascii="Symbol" w:hAnsi="Symbol"/>
      </w:rPr>
    </w:lvl>
    <w:lvl w:ilvl="1" w:tplc="8BE2DB2A">
      <w:start w:val="1"/>
      <w:numFmt w:val="bullet"/>
      <w:lvlText w:val=""/>
      <w:lvlJc w:val="left"/>
      <w:pPr>
        <w:ind w:left="1440" w:hanging="360"/>
      </w:pPr>
      <w:rPr>
        <w:rFonts w:ascii="Symbol" w:hAnsi="Symbol"/>
      </w:rPr>
    </w:lvl>
    <w:lvl w:ilvl="2" w:tplc="5CC09B58">
      <w:start w:val="1"/>
      <w:numFmt w:val="bullet"/>
      <w:lvlText w:val=""/>
      <w:lvlJc w:val="left"/>
      <w:pPr>
        <w:ind w:left="1440" w:hanging="360"/>
      </w:pPr>
      <w:rPr>
        <w:rFonts w:ascii="Symbol" w:hAnsi="Symbol"/>
      </w:rPr>
    </w:lvl>
    <w:lvl w:ilvl="3" w:tplc="2BC479EE">
      <w:start w:val="1"/>
      <w:numFmt w:val="bullet"/>
      <w:lvlText w:val=""/>
      <w:lvlJc w:val="left"/>
      <w:pPr>
        <w:ind w:left="1440" w:hanging="360"/>
      </w:pPr>
      <w:rPr>
        <w:rFonts w:ascii="Symbol" w:hAnsi="Symbol"/>
      </w:rPr>
    </w:lvl>
    <w:lvl w:ilvl="4" w:tplc="057EF950">
      <w:start w:val="1"/>
      <w:numFmt w:val="bullet"/>
      <w:lvlText w:val=""/>
      <w:lvlJc w:val="left"/>
      <w:pPr>
        <w:ind w:left="1440" w:hanging="360"/>
      </w:pPr>
      <w:rPr>
        <w:rFonts w:ascii="Symbol" w:hAnsi="Symbol"/>
      </w:rPr>
    </w:lvl>
    <w:lvl w:ilvl="5" w:tplc="25BAC396">
      <w:start w:val="1"/>
      <w:numFmt w:val="bullet"/>
      <w:lvlText w:val=""/>
      <w:lvlJc w:val="left"/>
      <w:pPr>
        <w:ind w:left="1440" w:hanging="360"/>
      </w:pPr>
      <w:rPr>
        <w:rFonts w:ascii="Symbol" w:hAnsi="Symbol"/>
      </w:rPr>
    </w:lvl>
    <w:lvl w:ilvl="6" w:tplc="E85242BE">
      <w:start w:val="1"/>
      <w:numFmt w:val="bullet"/>
      <w:lvlText w:val=""/>
      <w:lvlJc w:val="left"/>
      <w:pPr>
        <w:ind w:left="1440" w:hanging="360"/>
      </w:pPr>
      <w:rPr>
        <w:rFonts w:ascii="Symbol" w:hAnsi="Symbol"/>
      </w:rPr>
    </w:lvl>
    <w:lvl w:ilvl="7" w:tplc="DCFEB27C">
      <w:start w:val="1"/>
      <w:numFmt w:val="bullet"/>
      <w:lvlText w:val=""/>
      <w:lvlJc w:val="left"/>
      <w:pPr>
        <w:ind w:left="1440" w:hanging="360"/>
      </w:pPr>
      <w:rPr>
        <w:rFonts w:ascii="Symbol" w:hAnsi="Symbol"/>
      </w:rPr>
    </w:lvl>
    <w:lvl w:ilvl="8" w:tplc="B6346452">
      <w:start w:val="1"/>
      <w:numFmt w:val="bullet"/>
      <w:lvlText w:val=""/>
      <w:lvlJc w:val="left"/>
      <w:pPr>
        <w:ind w:left="1440" w:hanging="360"/>
      </w:pPr>
      <w:rPr>
        <w:rFonts w:ascii="Symbol" w:hAnsi="Symbol"/>
      </w:rPr>
    </w:lvl>
  </w:abstractNum>
  <w:abstractNum w:abstractNumId="29" w15:restartNumberingAfterBreak="0">
    <w:nsid w:val="62F2339C"/>
    <w:multiLevelType w:val="multilevel"/>
    <w:tmpl w:val="38767FF2"/>
    <w:name w:val="NR-Rubrik12"/>
    <w:lvl w:ilvl="0">
      <w:start w:val="1"/>
      <w:numFmt w:val="decimal"/>
      <w:lvlText w:val="%1."/>
      <w:lvlJc w:val="left"/>
      <w:pPr>
        <w:tabs>
          <w:tab w:val="num" w:pos="851"/>
        </w:tabs>
        <w:ind w:left="851" w:hanging="851"/>
      </w:pPr>
      <w:rPr>
        <w:rFonts w:ascii="Arial" w:hAnsi="Arial" w:hint="default"/>
        <w:b/>
        <w:sz w:val="28"/>
      </w:rPr>
    </w:lvl>
    <w:lvl w:ilvl="1">
      <w:start w:val="1"/>
      <w:numFmt w:val="decimal"/>
      <w:lvlText w:val="%1.%2."/>
      <w:lvlJc w:val="left"/>
      <w:pPr>
        <w:tabs>
          <w:tab w:val="num" w:pos="851"/>
        </w:tabs>
        <w:ind w:left="851" w:hanging="851"/>
      </w:pPr>
      <w:rPr>
        <w:rFonts w:ascii="Arial" w:hAnsi="Arial" w:hint="default"/>
        <w:sz w:val="28"/>
      </w:rPr>
    </w:lvl>
    <w:lvl w:ilvl="2">
      <w:start w:val="1"/>
      <w:numFmt w:val="decimal"/>
      <w:lvlText w:val="%1.%2.%3."/>
      <w:lvlJc w:val="left"/>
      <w:pPr>
        <w:tabs>
          <w:tab w:val="num" w:pos="1134"/>
        </w:tabs>
        <w:ind w:left="1134" w:hanging="1134"/>
      </w:pPr>
      <w:rPr>
        <w:rFonts w:hint="default"/>
      </w:rPr>
    </w:lvl>
    <w:lvl w:ilvl="3">
      <w:start w:val="1"/>
      <w:numFmt w:val="decimal"/>
      <w:lvlText w:val="%1.%2.%3.%4."/>
      <w:lvlJc w:val="left"/>
      <w:pPr>
        <w:tabs>
          <w:tab w:val="num" w:pos="1134"/>
        </w:tabs>
        <w:ind w:left="1134" w:hanging="1134"/>
      </w:pPr>
      <w:rPr>
        <w:rFonts w:hint="default"/>
      </w:rPr>
    </w:lvl>
    <w:lvl w:ilvl="4">
      <w:start w:val="1"/>
      <w:numFmt w:val="decimal"/>
      <w:lvlText w:val="%1.%2.%3.%4.%5."/>
      <w:lvlJc w:val="left"/>
      <w:pPr>
        <w:tabs>
          <w:tab w:val="num" w:pos="1418"/>
        </w:tabs>
        <w:ind w:left="1418" w:hanging="1418"/>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6DBA3919"/>
    <w:multiLevelType w:val="hybridMultilevel"/>
    <w:tmpl w:val="8B5A8510"/>
    <w:lvl w:ilvl="0" w:tplc="20188FB0">
      <w:start w:val="1"/>
      <w:numFmt w:val="bullet"/>
      <w:lvlText w:val=""/>
      <w:lvlJc w:val="left"/>
      <w:pPr>
        <w:ind w:left="1080" w:hanging="360"/>
      </w:pPr>
      <w:rPr>
        <w:rFonts w:ascii="Symbol" w:hAnsi="Symbol"/>
      </w:rPr>
    </w:lvl>
    <w:lvl w:ilvl="1" w:tplc="B9384D62">
      <w:start w:val="1"/>
      <w:numFmt w:val="bullet"/>
      <w:lvlText w:val=""/>
      <w:lvlJc w:val="left"/>
      <w:pPr>
        <w:ind w:left="1080" w:hanging="360"/>
      </w:pPr>
      <w:rPr>
        <w:rFonts w:ascii="Symbol" w:hAnsi="Symbol"/>
      </w:rPr>
    </w:lvl>
    <w:lvl w:ilvl="2" w:tplc="308848EA">
      <w:start w:val="1"/>
      <w:numFmt w:val="bullet"/>
      <w:lvlText w:val=""/>
      <w:lvlJc w:val="left"/>
      <w:pPr>
        <w:ind w:left="1080" w:hanging="360"/>
      </w:pPr>
      <w:rPr>
        <w:rFonts w:ascii="Symbol" w:hAnsi="Symbol"/>
      </w:rPr>
    </w:lvl>
    <w:lvl w:ilvl="3" w:tplc="87648326">
      <w:start w:val="1"/>
      <w:numFmt w:val="bullet"/>
      <w:lvlText w:val=""/>
      <w:lvlJc w:val="left"/>
      <w:pPr>
        <w:ind w:left="1080" w:hanging="360"/>
      </w:pPr>
      <w:rPr>
        <w:rFonts w:ascii="Symbol" w:hAnsi="Symbol"/>
      </w:rPr>
    </w:lvl>
    <w:lvl w:ilvl="4" w:tplc="B0D8EAC4">
      <w:start w:val="1"/>
      <w:numFmt w:val="bullet"/>
      <w:lvlText w:val=""/>
      <w:lvlJc w:val="left"/>
      <w:pPr>
        <w:ind w:left="1080" w:hanging="360"/>
      </w:pPr>
      <w:rPr>
        <w:rFonts w:ascii="Symbol" w:hAnsi="Symbol"/>
      </w:rPr>
    </w:lvl>
    <w:lvl w:ilvl="5" w:tplc="0A84D204">
      <w:start w:val="1"/>
      <w:numFmt w:val="bullet"/>
      <w:lvlText w:val=""/>
      <w:lvlJc w:val="left"/>
      <w:pPr>
        <w:ind w:left="1080" w:hanging="360"/>
      </w:pPr>
      <w:rPr>
        <w:rFonts w:ascii="Symbol" w:hAnsi="Symbol"/>
      </w:rPr>
    </w:lvl>
    <w:lvl w:ilvl="6" w:tplc="9EC0A516">
      <w:start w:val="1"/>
      <w:numFmt w:val="bullet"/>
      <w:lvlText w:val=""/>
      <w:lvlJc w:val="left"/>
      <w:pPr>
        <w:ind w:left="1080" w:hanging="360"/>
      </w:pPr>
      <w:rPr>
        <w:rFonts w:ascii="Symbol" w:hAnsi="Symbol"/>
      </w:rPr>
    </w:lvl>
    <w:lvl w:ilvl="7" w:tplc="D18A36B0">
      <w:start w:val="1"/>
      <w:numFmt w:val="bullet"/>
      <w:lvlText w:val=""/>
      <w:lvlJc w:val="left"/>
      <w:pPr>
        <w:ind w:left="1080" w:hanging="360"/>
      </w:pPr>
      <w:rPr>
        <w:rFonts w:ascii="Symbol" w:hAnsi="Symbol"/>
      </w:rPr>
    </w:lvl>
    <w:lvl w:ilvl="8" w:tplc="8C1EF90A">
      <w:start w:val="1"/>
      <w:numFmt w:val="bullet"/>
      <w:lvlText w:val=""/>
      <w:lvlJc w:val="left"/>
      <w:pPr>
        <w:ind w:left="1080" w:hanging="360"/>
      </w:pPr>
      <w:rPr>
        <w:rFonts w:ascii="Symbol" w:hAnsi="Symbol"/>
      </w:rPr>
    </w:lvl>
  </w:abstractNum>
  <w:abstractNum w:abstractNumId="31" w15:restartNumberingAfterBreak="0">
    <w:nsid w:val="7C552931"/>
    <w:multiLevelType w:val="multilevel"/>
    <w:tmpl w:val="EFF2C514"/>
    <w:name w:val="NR-Rubrik13"/>
    <w:lvl w:ilvl="0">
      <w:start w:val="1"/>
      <w:numFmt w:val="decimal"/>
      <w:lvlText w:val="%1."/>
      <w:lvlJc w:val="left"/>
      <w:pPr>
        <w:tabs>
          <w:tab w:val="num" w:pos="851"/>
        </w:tabs>
        <w:ind w:left="851" w:hanging="851"/>
      </w:pPr>
      <w:rPr>
        <w:rFonts w:ascii="Arial" w:hAnsi="Arial" w:hint="default"/>
        <w:b/>
        <w:sz w:val="28"/>
      </w:rPr>
    </w:lvl>
    <w:lvl w:ilvl="1">
      <w:start w:val="1"/>
      <w:numFmt w:val="decimal"/>
      <w:lvlText w:val="%1%2"/>
      <w:lvlJc w:val="left"/>
      <w:pPr>
        <w:tabs>
          <w:tab w:val="num" w:pos="851"/>
        </w:tabs>
        <w:ind w:left="851" w:hanging="851"/>
      </w:pPr>
      <w:rPr>
        <w:rFonts w:ascii="Arial" w:hAnsi="Arial" w:hint="default"/>
        <w:sz w:val="28"/>
      </w:rPr>
    </w:lvl>
    <w:lvl w:ilvl="2">
      <w:start w:val="1"/>
      <w:numFmt w:val="decimal"/>
      <w:lvlText w:val="%3%1%2"/>
      <w:lvlJc w:val="left"/>
      <w:pPr>
        <w:tabs>
          <w:tab w:val="num" w:pos="1134"/>
        </w:tabs>
        <w:ind w:left="1134" w:hanging="1134"/>
      </w:pPr>
      <w:rPr>
        <w:rFonts w:hint="default"/>
      </w:rPr>
    </w:lvl>
    <w:lvl w:ilvl="3">
      <w:start w:val="1"/>
      <w:numFmt w:val="decimal"/>
      <w:lvlText w:val="%1.%2.%3.%4."/>
      <w:lvlJc w:val="left"/>
      <w:pPr>
        <w:tabs>
          <w:tab w:val="num" w:pos="1134"/>
        </w:tabs>
        <w:ind w:left="1134" w:hanging="1134"/>
      </w:pPr>
      <w:rPr>
        <w:rFonts w:hint="default"/>
      </w:rPr>
    </w:lvl>
    <w:lvl w:ilvl="4">
      <w:start w:val="1"/>
      <w:numFmt w:val="decimal"/>
      <w:lvlText w:val="%1.%2.%3.%4.%5."/>
      <w:lvlJc w:val="left"/>
      <w:pPr>
        <w:tabs>
          <w:tab w:val="num" w:pos="1418"/>
        </w:tabs>
        <w:ind w:left="1418" w:hanging="1418"/>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792282304">
    <w:abstractNumId w:val="15"/>
  </w:num>
  <w:num w:numId="2" w16cid:durableId="2139688278">
    <w:abstractNumId w:val="18"/>
  </w:num>
  <w:num w:numId="3" w16cid:durableId="804203134">
    <w:abstractNumId w:val="21"/>
  </w:num>
  <w:num w:numId="4" w16cid:durableId="828907218">
    <w:abstractNumId w:val="12"/>
  </w:num>
  <w:num w:numId="5" w16cid:durableId="800268741">
    <w:abstractNumId w:val="12"/>
  </w:num>
  <w:num w:numId="6" w16cid:durableId="7420711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6852357">
    <w:abstractNumId w:val="11"/>
  </w:num>
  <w:num w:numId="8" w16cid:durableId="1133451199">
    <w:abstractNumId w:val="29"/>
  </w:num>
  <w:num w:numId="9" w16cid:durableId="211231989">
    <w:abstractNumId w:val="11"/>
    <w:lvlOverride w:ilvl="0">
      <w:lvl w:ilvl="0">
        <w:start w:val="1"/>
        <w:numFmt w:val="decimal"/>
        <w:lvlText w:val="%1."/>
        <w:lvlJc w:val="left"/>
        <w:pPr>
          <w:tabs>
            <w:tab w:val="num" w:pos="851"/>
          </w:tabs>
          <w:ind w:left="851" w:hanging="851"/>
        </w:pPr>
        <w:rPr>
          <w:rFonts w:ascii="Arial" w:hAnsi="Arial" w:hint="default"/>
          <w:b/>
          <w:sz w:val="28"/>
        </w:rPr>
      </w:lvl>
    </w:lvlOverride>
    <w:lvlOverride w:ilvl="1">
      <w:lvl w:ilvl="1">
        <w:start w:val="1"/>
        <w:numFmt w:val="decimal"/>
        <w:lvlText w:val="%2.%1."/>
        <w:lvlJc w:val="left"/>
        <w:pPr>
          <w:tabs>
            <w:tab w:val="num" w:pos="851"/>
          </w:tabs>
          <w:ind w:left="851" w:hanging="851"/>
        </w:pPr>
        <w:rPr>
          <w:rFonts w:ascii="Arial" w:hAnsi="Arial" w:hint="default"/>
          <w:sz w:val="28"/>
        </w:rPr>
      </w:lvl>
    </w:lvlOverride>
    <w:lvlOverride w:ilvl="2">
      <w:lvl w:ilvl="2">
        <w:start w:val="1"/>
        <w:numFmt w:val="decimal"/>
        <w:lvlText w:val="%1.%2.%3."/>
        <w:lvlJc w:val="left"/>
        <w:pPr>
          <w:tabs>
            <w:tab w:val="num" w:pos="1134"/>
          </w:tabs>
          <w:ind w:left="1134" w:hanging="1134"/>
        </w:pPr>
        <w:rPr>
          <w:rFonts w:hint="default"/>
        </w:rPr>
      </w:lvl>
    </w:lvlOverride>
    <w:lvlOverride w:ilvl="3">
      <w:lvl w:ilvl="3">
        <w:start w:val="1"/>
        <w:numFmt w:val="decimal"/>
        <w:lvlText w:val="%1.%2.%3.%4."/>
        <w:lvlJc w:val="left"/>
        <w:pPr>
          <w:tabs>
            <w:tab w:val="num" w:pos="1134"/>
          </w:tabs>
          <w:ind w:left="1134" w:hanging="1134"/>
        </w:pPr>
        <w:rPr>
          <w:rFonts w:hint="default"/>
        </w:rPr>
      </w:lvl>
    </w:lvlOverride>
    <w:lvlOverride w:ilvl="4">
      <w:lvl w:ilvl="4">
        <w:start w:val="1"/>
        <w:numFmt w:val="decimal"/>
        <w:lvlText w:val="%1.%2.%3.%4.%5."/>
        <w:lvlJc w:val="left"/>
        <w:pPr>
          <w:tabs>
            <w:tab w:val="num" w:pos="1418"/>
          </w:tabs>
          <w:ind w:left="1418" w:hanging="1418"/>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16cid:durableId="1308700497">
    <w:abstractNumId w:val="31"/>
  </w:num>
  <w:num w:numId="11" w16cid:durableId="635568265">
    <w:abstractNumId w:val="31"/>
    <w:lvlOverride w:ilvl="0">
      <w:lvl w:ilvl="0">
        <w:start w:val="1"/>
        <w:numFmt w:val="decimal"/>
        <w:lvlText w:val="%1."/>
        <w:lvlJc w:val="left"/>
        <w:pPr>
          <w:tabs>
            <w:tab w:val="num" w:pos="851"/>
          </w:tabs>
          <w:ind w:left="851" w:hanging="851"/>
        </w:pPr>
        <w:rPr>
          <w:rFonts w:ascii="Arial" w:hAnsi="Arial" w:hint="default"/>
          <w:b/>
          <w:sz w:val="28"/>
        </w:rPr>
      </w:lvl>
    </w:lvlOverride>
    <w:lvlOverride w:ilvl="1">
      <w:lvl w:ilvl="1">
        <w:start w:val="1"/>
        <w:numFmt w:val="decimal"/>
        <w:lvlText w:val="%1.%2."/>
        <w:lvlJc w:val="left"/>
        <w:pPr>
          <w:tabs>
            <w:tab w:val="num" w:pos="851"/>
          </w:tabs>
          <w:ind w:left="851" w:hanging="851"/>
        </w:pPr>
        <w:rPr>
          <w:rFonts w:ascii="Arial" w:hAnsi="Arial" w:hint="default"/>
          <w:sz w:val="28"/>
        </w:rPr>
      </w:lvl>
    </w:lvlOverride>
    <w:lvlOverride w:ilvl="2">
      <w:lvl w:ilvl="2">
        <w:start w:val="1"/>
        <w:numFmt w:val="decimal"/>
        <w:lvlText w:val="%3%1%2"/>
        <w:lvlJc w:val="left"/>
        <w:pPr>
          <w:tabs>
            <w:tab w:val="num" w:pos="1134"/>
          </w:tabs>
          <w:ind w:left="1134" w:hanging="1134"/>
        </w:pPr>
        <w:rPr>
          <w:rFonts w:hint="default"/>
        </w:rPr>
      </w:lvl>
    </w:lvlOverride>
    <w:lvlOverride w:ilvl="3">
      <w:lvl w:ilvl="3">
        <w:start w:val="1"/>
        <w:numFmt w:val="decimal"/>
        <w:lvlText w:val="%1.%2.%3.%4."/>
        <w:lvlJc w:val="left"/>
        <w:pPr>
          <w:tabs>
            <w:tab w:val="num" w:pos="1134"/>
          </w:tabs>
          <w:ind w:left="1134" w:hanging="1134"/>
        </w:pPr>
        <w:rPr>
          <w:rFonts w:hint="default"/>
        </w:rPr>
      </w:lvl>
    </w:lvlOverride>
    <w:lvlOverride w:ilvl="4">
      <w:lvl w:ilvl="4">
        <w:start w:val="1"/>
        <w:numFmt w:val="decimal"/>
        <w:lvlText w:val="%1.%2.%3.%4.%5."/>
        <w:lvlJc w:val="left"/>
        <w:pPr>
          <w:tabs>
            <w:tab w:val="num" w:pos="1418"/>
          </w:tabs>
          <w:ind w:left="1418" w:hanging="1418"/>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16cid:durableId="643311442">
    <w:abstractNumId w:val="14"/>
  </w:num>
  <w:num w:numId="13" w16cid:durableId="1797093184">
    <w:abstractNumId w:val="14"/>
    <w:lvlOverride w:ilvl="0">
      <w:lvl w:ilvl="0">
        <w:start w:val="1"/>
        <w:numFmt w:val="decimal"/>
        <w:pStyle w:val="Nummerlista"/>
        <w:lvlText w:val="%1."/>
        <w:lvlJc w:val="left"/>
        <w:pPr>
          <w:ind w:left="397" w:hanging="397"/>
        </w:pPr>
        <w:rPr>
          <w:rFonts w:ascii="Arial" w:hAnsi="Arial" w:hint="default"/>
          <w:b/>
          <w:i w:val="0"/>
          <w:color w:val="595959" w:themeColor="text1" w:themeTint="A6"/>
          <w:sz w:val="20"/>
        </w:rPr>
      </w:lvl>
    </w:lvlOverride>
    <w:lvlOverride w:ilvl="1">
      <w:lvl w:ilvl="1">
        <w:start w:val="1"/>
        <w:numFmt w:val="decimal"/>
        <w:lvlText w:val="%1.%2."/>
        <w:lvlJc w:val="left"/>
        <w:pPr>
          <w:tabs>
            <w:tab w:val="num" w:pos="397"/>
          </w:tabs>
          <w:ind w:left="907" w:hanging="510"/>
        </w:pPr>
        <w:rPr>
          <w:rFonts w:ascii="Arial" w:hAnsi="Arial" w:hint="default"/>
          <w:b/>
          <w:i w:val="0"/>
          <w:color w:val="595959" w:themeColor="text1" w:themeTint="A6"/>
          <w:sz w:val="20"/>
        </w:rPr>
      </w:lvl>
    </w:lvlOverride>
    <w:lvlOverride w:ilvl="2">
      <w:lvl w:ilvl="2">
        <w:start w:val="1"/>
        <w:numFmt w:val="decimal"/>
        <w:lvlText w:val="%1.%2.%3."/>
        <w:lvlJc w:val="left"/>
        <w:pPr>
          <w:tabs>
            <w:tab w:val="num" w:pos="1304"/>
          </w:tabs>
          <w:ind w:left="1361" w:hanging="454"/>
        </w:pPr>
        <w:rPr>
          <w:rFonts w:ascii="Arial" w:hAnsi="Arial" w:hint="default"/>
          <w:b/>
          <w:i w:val="0"/>
          <w:color w:val="595959" w:themeColor="text1" w:themeTint="A6"/>
          <w:sz w:val="20"/>
        </w:rPr>
      </w:lvl>
    </w:lvlOverride>
    <w:lvlOverride w:ilvl="3">
      <w:lvl w:ilvl="3">
        <w:start w:val="1"/>
        <w:numFmt w:val="decimal"/>
        <w:lvlText w:val="%1.%2.%3.%4."/>
        <w:lvlJc w:val="left"/>
        <w:pPr>
          <w:ind w:left="1814" w:hanging="453"/>
        </w:pPr>
        <w:rPr>
          <w:rFonts w:ascii="Arial" w:hAnsi="Arial" w:hint="default"/>
          <w:b/>
          <w:i w:val="0"/>
          <w:color w:val="595959" w:themeColor="text1" w:themeTint="A6"/>
          <w:sz w:val="20"/>
        </w:rPr>
      </w:lvl>
    </w:lvlOverride>
    <w:lvlOverride w:ilvl="4">
      <w:lvl w:ilvl="4">
        <w:start w:val="1"/>
        <w:numFmt w:val="decimal"/>
        <w:lvlText w:val="%1.%2.%3.%4.%5."/>
        <w:lvlJc w:val="left"/>
        <w:pPr>
          <w:ind w:left="2438" w:hanging="567"/>
        </w:pPr>
        <w:rPr>
          <w:rFonts w:ascii="Arial" w:hAnsi="Arial" w:hint="default"/>
          <w:b/>
          <w:i w:val="0"/>
          <w:color w:val="595959" w:themeColor="text1" w:themeTint="A6"/>
          <w:sz w:val="20"/>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38743282">
    <w:abstractNumId w:val="3"/>
  </w:num>
  <w:num w:numId="15" w16cid:durableId="240531599">
    <w:abstractNumId w:val="2"/>
  </w:num>
  <w:num w:numId="16" w16cid:durableId="1354768697">
    <w:abstractNumId w:val="1"/>
  </w:num>
  <w:num w:numId="17" w16cid:durableId="2089384575">
    <w:abstractNumId w:val="0"/>
  </w:num>
  <w:num w:numId="18" w16cid:durableId="369497549">
    <w:abstractNumId w:val="7"/>
  </w:num>
  <w:num w:numId="19" w16cid:durableId="465974168">
    <w:abstractNumId w:val="6"/>
  </w:num>
  <w:num w:numId="20" w16cid:durableId="1093815986">
    <w:abstractNumId w:val="5"/>
  </w:num>
  <w:num w:numId="21" w16cid:durableId="1351755302">
    <w:abstractNumId w:val="4"/>
  </w:num>
  <w:num w:numId="22" w16cid:durableId="104618391">
    <w:abstractNumId w:val="18"/>
  </w:num>
  <w:num w:numId="23" w16cid:durableId="222496940">
    <w:abstractNumId w:val="18"/>
  </w:num>
  <w:num w:numId="24" w16cid:durableId="267926954">
    <w:abstractNumId w:val="8"/>
  </w:num>
  <w:num w:numId="25" w16cid:durableId="284582024">
    <w:abstractNumId w:val="23"/>
  </w:num>
  <w:num w:numId="26" w16cid:durableId="1100758549">
    <w:abstractNumId w:val="26"/>
  </w:num>
  <w:num w:numId="27" w16cid:durableId="1853181226">
    <w:abstractNumId w:val="24"/>
  </w:num>
  <w:num w:numId="28" w16cid:durableId="833034517">
    <w:abstractNumId w:val="25"/>
  </w:num>
  <w:num w:numId="29" w16cid:durableId="1835949693">
    <w:abstractNumId w:val="13"/>
  </w:num>
  <w:num w:numId="30" w16cid:durableId="395973047">
    <w:abstractNumId w:val="28"/>
  </w:num>
  <w:num w:numId="31" w16cid:durableId="714963458">
    <w:abstractNumId w:val="16"/>
  </w:num>
  <w:num w:numId="32" w16cid:durableId="2017030907">
    <w:abstractNumId w:val="10"/>
  </w:num>
  <w:num w:numId="33" w16cid:durableId="511143807">
    <w:abstractNumId w:val="19"/>
  </w:num>
  <w:num w:numId="34" w16cid:durableId="228082188">
    <w:abstractNumId w:val="9"/>
  </w:num>
  <w:num w:numId="35" w16cid:durableId="1340620396">
    <w:abstractNumId w:val="30"/>
  </w:num>
  <w:num w:numId="36" w16cid:durableId="805195003">
    <w:abstractNumId w:val="17"/>
  </w:num>
  <w:num w:numId="37" w16cid:durableId="1404528596">
    <w:abstractNumId w:val="27"/>
  </w:num>
  <w:num w:numId="38" w16cid:durableId="338042298">
    <w:abstractNumId w:val="22"/>
  </w:num>
  <w:num w:numId="39" w16cid:durableId="190814725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B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1"/>
  <w:stylePaneSortMethod w:val="0004"/>
  <w:documentProtection w:edit="forms" w:enforcement="0"/>
  <w:defaultTabStop w:val="1304"/>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0AB"/>
    <w:rsid w:val="00002C4E"/>
    <w:rsid w:val="0001011B"/>
    <w:rsid w:val="00034A40"/>
    <w:rsid w:val="00037645"/>
    <w:rsid w:val="000733AB"/>
    <w:rsid w:val="00075E25"/>
    <w:rsid w:val="00096306"/>
    <w:rsid w:val="000C24FE"/>
    <w:rsid w:val="000D19EB"/>
    <w:rsid w:val="000D6781"/>
    <w:rsid w:val="000E45CB"/>
    <w:rsid w:val="00102BB4"/>
    <w:rsid w:val="00112F50"/>
    <w:rsid w:val="00132AA1"/>
    <w:rsid w:val="00136639"/>
    <w:rsid w:val="0013681E"/>
    <w:rsid w:val="00140C14"/>
    <w:rsid w:val="001459A5"/>
    <w:rsid w:val="00173D82"/>
    <w:rsid w:val="00174C58"/>
    <w:rsid w:val="0017765D"/>
    <w:rsid w:val="001972E1"/>
    <w:rsid w:val="001D140E"/>
    <w:rsid w:val="001F166B"/>
    <w:rsid w:val="002111CA"/>
    <w:rsid w:val="0021620D"/>
    <w:rsid w:val="00220F5B"/>
    <w:rsid w:val="00236361"/>
    <w:rsid w:val="00240D1C"/>
    <w:rsid w:val="002455EB"/>
    <w:rsid w:val="00252C99"/>
    <w:rsid w:val="002841FB"/>
    <w:rsid w:val="002B37E8"/>
    <w:rsid w:val="002B52FC"/>
    <w:rsid w:val="002D0D25"/>
    <w:rsid w:val="002E0EB9"/>
    <w:rsid w:val="002F088A"/>
    <w:rsid w:val="002F6435"/>
    <w:rsid w:val="00302C1C"/>
    <w:rsid w:val="00312AE3"/>
    <w:rsid w:val="0031405A"/>
    <w:rsid w:val="00332D12"/>
    <w:rsid w:val="00333AF0"/>
    <w:rsid w:val="00353975"/>
    <w:rsid w:val="00363780"/>
    <w:rsid w:val="0037155F"/>
    <w:rsid w:val="0037241B"/>
    <w:rsid w:val="003725E4"/>
    <w:rsid w:val="003B23D6"/>
    <w:rsid w:val="003C0A2D"/>
    <w:rsid w:val="003D78C9"/>
    <w:rsid w:val="003F3379"/>
    <w:rsid w:val="00411801"/>
    <w:rsid w:val="00412CBB"/>
    <w:rsid w:val="00417701"/>
    <w:rsid w:val="00424C48"/>
    <w:rsid w:val="004258D2"/>
    <w:rsid w:val="00431944"/>
    <w:rsid w:val="00432C2F"/>
    <w:rsid w:val="00433905"/>
    <w:rsid w:val="004463AF"/>
    <w:rsid w:val="00446C68"/>
    <w:rsid w:val="00447E24"/>
    <w:rsid w:val="0045402C"/>
    <w:rsid w:val="00456BE5"/>
    <w:rsid w:val="00465B11"/>
    <w:rsid w:val="00466BCB"/>
    <w:rsid w:val="004A5832"/>
    <w:rsid w:val="004C14BB"/>
    <w:rsid w:val="004D50AB"/>
    <w:rsid w:val="004E2675"/>
    <w:rsid w:val="004E7242"/>
    <w:rsid w:val="004F052B"/>
    <w:rsid w:val="004F498D"/>
    <w:rsid w:val="0050617C"/>
    <w:rsid w:val="00516245"/>
    <w:rsid w:val="00517C23"/>
    <w:rsid w:val="00520D17"/>
    <w:rsid w:val="00525D77"/>
    <w:rsid w:val="0052648D"/>
    <w:rsid w:val="00533226"/>
    <w:rsid w:val="005445E7"/>
    <w:rsid w:val="00556623"/>
    <w:rsid w:val="00573904"/>
    <w:rsid w:val="00574F1A"/>
    <w:rsid w:val="00580621"/>
    <w:rsid w:val="00582A26"/>
    <w:rsid w:val="005852BD"/>
    <w:rsid w:val="005B6614"/>
    <w:rsid w:val="005D6D40"/>
    <w:rsid w:val="005D7E7A"/>
    <w:rsid w:val="005E568C"/>
    <w:rsid w:val="005F4DF1"/>
    <w:rsid w:val="005F5268"/>
    <w:rsid w:val="006311E8"/>
    <w:rsid w:val="0064225D"/>
    <w:rsid w:val="006461E3"/>
    <w:rsid w:val="006463D9"/>
    <w:rsid w:val="006501E8"/>
    <w:rsid w:val="006668DD"/>
    <w:rsid w:val="006A04E7"/>
    <w:rsid w:val="006B6156"/>
    <w:rsid w:val="006B63F3"/>
    <w:rsid w:val="006C6838"/>
    <w:rsid w:val="006D216A"/>
    <w:rsid w:val="006D30CC"/>
    <w:rsid w:val="006F0F88"/>
    <w:rsid w:val="00712515"/>
    <w:rsid w:val="0072062B"/>
    <w:rsid w:val="00731165"/>
    <w:rsid w:val="00740354"/>
    <w:rsid w:val="00752A79"/>
    <w:rsid w:val="00752E3F"/>
    <w:rsid w:val="007550B6"/>
    <w:rsid w:val="00755C98"/>
    <w:rsid w:val="00762F64"/>
    <w:rsid w:val="00764131"/>
    <w:rsid w:val="0076609F"/>
    <w:rsid w:val="00773DA7"/>
    <w:rsid w:val="00775204"/>
    <w:rsid w:val="00790465"/>
    <w:rsid w:val="007A2EE4"/>
    <w:rsid w:val="007B0850"/>
    <w:rsid w:val="007C4762"/>
    <w:rsid w:val="007D0C3B"/>
    <w:rsid w:val="007D2D01"/>
    <w:rsid w:val="007F4BBF"/>
    <w:rsid w:val="0080108A"/>
    <w:rsid w:val="008044BF"/>
    <w:rsid w:val="00814087"/>
    <w:rsid w:val="00816150"/>
    <w:rsid w:val="0083478A"/>
    <w:rsid w:val="00835A6F"/>
    <w:rsid w:val="00845EC3"/>
    <w:rsid w:val="0085182B"/>
    <w:rsid w:val="00855088"/>
    <w:rsid w:val="0086192F"/>
    <w:rsid w:val="0086254D"/>
    <w:rsid w:val="008651BE"/>
    <w:rsid w:val="00867A6A"/>
    <w:rsid w:val="00867EF8"/>
    <w:rsid w:val="00874A92"/>
    <w:rsid w:val="00891E3B"/>
    <w:rsid w:val="00895320"/>
    <w:rsid w:val="008A3020"/>
    <w:rsid w:val="008A4E42"/>
    <w:rsid w:val="008B0E35"/>
    <w:rsid w:val="008B284B"/>
    <w:rsid w:val="008D7F2C"/>
    <w:rsid w:val="009003BA"/>
    <w:rsid w:val="00932CC5"/>
    <w:rsid w:val="0093355C"/>
    <w:rsid w:val="00936744"/>
    <w:rsid w:val="00941D23"/>
    <w:rsid w:val="0094353F"/>
    <w:rsid w:val="00963821"/>
    <w:rsid w:val="009650BA"/>
    <w:rsid w:val="009656A3"/>
    <w:rsid w:val="00973911"/>
    <w:rsid w:val="0098029B"/>
    <w:rsid w:val="009A4963"/>
    <w:rsid w:val="009D7C16"/>
    <w:rsid w:val="009F0002"/>
    <w:rsid w:val="00A118FE"/>
    <w:rsid w:val="00A22F6D"/>
    <w:rsid w:val="00A37808"/>
    <w:rsid w:val="00A41D04"/>
    <w:rsid w:val="00A42E3F"/>
    <w:rsid w:val="00A82BDB"/>
    <w:rsid w:val="00A901B7"/>
    <w:rsid w:val="00A92090"/>
    <w:rsid w:val="00A94AB7"/>
    <w:rsid w:val="00AA5421"/>
    <w:rsid w:val="00AA5C96"/>
    <w:rsid w:val="00AB5258"/>
    <w:rsid w:val="00AB5BE1"/>
    <w:rsid w:val="00AE15E9"/>
    <w:rsid w:val="00AF0011"/>
    <w:rsid w:val="00AF1672"/>
    <w:rsid w:val="00B0382B"/>
    <w:rsid w:val="00B120CC"/>
    <w:rsid w:val="00B23B3E"/>
    <w:rsid w:val="00B5296B"/>
    <w:rsid w:val="00B73EAB"/>
    <w:rsid w:val="00B80D23"/>
    <w:rsid w:val="00B813FA"/>
    <w:rsid w:val="00B870D3"/>
    <w:rsid w:val="00BA2BF3"/>
    <w:rsid w:val="00BA3EFC"/>
    <w:rsid w:val="00BA4D75"/>
    <w:rsid w:val="00BB0415"/>
    <w:rsid w:val="00BB0A8B"/>
    <w:rsid w:val="00BB29BE"/>
    <w:rsid w:val="00BC0438"/>
    <w:rsid w:val="00C21F6B"/>
    <w:rsid w:val="00C3202E"/>
    <w:rsid w:val="00C34B74"/>
    <w:rsid w:val="00C42B6E"/>
    <w:rsid w:val="00C537E1"/>
    <w:rsid w:val="00C5501F"/>
    <w:rsid w:val="00C60653"/>
    <w:rsid w:val="00C6777B"/>
    <w:rsid w:val="00C76BC1"/>
    <w:rsid w:val="00C812CF"/>
    <w:rsid w:val="00C817A1"/>
    <w:rsid w:val="00C96C02"/>
    <w:rsid w:val="00CA0140"/>
    <w:rsid w:val="00CC5AF4"/>
    <w:rsid w:val="00CE3DEA"/>
    <w:rsid w:val="00CE631B"/>
    <w:rsid w:val="00CE6F2D"/>
    <w:rsid w:val="00D25474"/>
    <w:rsid w:val="00D33CF9"/>
    <w:rsid w:val="00D3638C"/>
    <w:rsid w:val="00D37486"/>
    <w:rsid w:val="00D64514"/>
    <w:rsid w:val="00D83A61"/>
    <w:rsid w:val="00D83D7A"/>
    <w:rsid w:val="00D906A0"/>
    <w:rsid w:val="00DA1BB8"/>
    <w:rsid w:val="00DA7B29"/>
    <w:rsid w:val="00DB5176"/>
    <w:rsid w:val="00DE2685"/>
    <w:rsid w:val="00DF0781"/>
    <w:rsid w:val="00DF54AB"/>
    <w:rsid w:val="00E060CC"/>
    <w:rsid w:val="00E26D84"/>
    <w:rsid w:val="00E313F4"/>
    <w:rsid w:val="00E50C3B"/>
    <w:rsid w:val="00E61528"/>
    <w:rsid w:val="00E85438"/>
    <w:rsid w:val="00E87BE0"/>
    <w:rsid w:val="00E90107"/>
    <w:rsid w:val="00E95505"/>
    <w:rsid w:val="00EA04E9"/>
    <w:rsid w:val="00EB0FDD"/>
    <w:rsid w:val="00EC78DC"/>
    <w:rsid w:val="00EE5154"/>
    <w:rsid w:val="00EE7134"/>
    <w:rsid w:val="00EF3B40"/>
    <w:rsid w:val="00EF57B6"/>
    <w:rsid w:val="00F11664"/>
    <w:rsid w:val="00F14954"/>
    <w:rsid w:val="00F33181"/>
    <w:rsid w:val="00F42E84"/>
    <w:rsid w:val="00F50CAB"/>
    <w:rsid w:val="00F53426"/>
    <w:rsid w:val="00F71A73"/>
    <w:rsid w:val="00F860EE"/>
    <w:rsid w:val="00F92E56"/>
    <w:rsid w:val="00F94079"/>
    <w:rsid w:val="00FA7696"/>
    <w:rsid w:val="00FB71E8"/>
    <w:rsid w:val="00FC050F"/>
    <w:rsid w:val="00FE46C4"/>
    <w:rsid w:val="00FF757B"/>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5761"/>
  <w15:docId w15:val="{4FFE24F2-3E6B-485B-B48D-E2768BF46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sv-SE" w:eastAsia="sv-S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0"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0"/>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rsid w:val="00B813FA"/>
    <w:pPr>
      <w:spacing w:after="180" w:line="310" w:lineRule="atLeast"/>
    </w:pPr>
    <w:rPr>
      <w:rFonts w:ascii="Georgia" w:eastAsia="Times New Roman" w:hAnsi="Georgia"/>
      <w:sz w:val="22"/>
      <w:szCs w:val="24"/>
    </w:rPr>
  </w:style>
  <w:style w:type="paragraph" w:styleId="Rubrik1">
    <w:name w:val="heading 1"/>
    <w:basedOn w:val="Normal"/>
    <w:next w:val="Normal"/>
    <w:link w:val="Rubrik1Char"/>
    <w:qFormat/>
    <w:rsid w:val="00752E3F"/>
    <w:pPr>
      <w:keepNext/>
      <w:keepLines/>
      <w:suppressAutoHyphens/>
      <w:spacing w:before="360" w:after="120"/>
      <w:outlineLvl w:val="0"/>
    </w:pPr>
    <w:rPr>
      <w:rFonts w:ascii="Arial" w:hAnsi="Arial" w:cs="Arial"/>
      <w:b/>
      <w:bCs/>
      <w:spacing w:val="-4"/>
      <w:sz w:val="32"/>
      <w:szCs w:val="32"/>
    </w:rPr>
  </w:style>
  <w:style w:type="paragraph" w:styleId="Rubrik2">
    <w:name w:val="heading 2"/>
    <w:basedOn w:val="Normal"/>
    <w:next w:val="Normal"/>
    <w:link w:val="Rubrik2Char"/>
    <w:qFormat/>
    <w:rsid w:val="00C5501F"/>
    <w:pPr>
      <w:keepNext/>
      <w:keepLines/>
      <w:tabs>
        <w:tab w:val="left" w:pos="4253"/>
      </w:tabs>
      <w:suppressAutoHyphens/>
      <w:spacing w:before="360" w:after="120"/>
      <w:outlineLvl w:val="1"/>
    </w:pPr>
    <w:rPr>
      <w:rFonts w:ascii="Arial" w:hAnsi="Arial" w:cs="Arial"/>
      <w:bCs/>
      <w:spacing w:val="-4"/>
      <w:sz w:val="28"/>
    </w:rPr>
  </w:style>
  <w:style w:type="paragraph" w:styleId="Rubrik3">
    <w:name w:val="heading 3"/>
    <w:basedOn w:val="Normal"/>
    <w:next w:val="Normal"/>
    <w:link w:val="Rubrik3Char"/>
    <w:qFormat/>
    <w:rsid w:val="00B813FA"/>
    <w:pPr>
      <w:keepNext/>
      <w:keepLines/>
      <w:tabs>
        <w:tab w:val="left" w:pos="4253"/>
      </w:tabs>
      <w:suppressAutoHyphens/>
      <w:spacing w:before="300" w:after="120" w:line="280" w:lineRule="atLeast"/>
      <w:outlineLvl w:val="2"/>
    </w:pPr>
    <w:rPr>
      <w:rFonts w:ascii="Arial" w:hAnsi="Arial" w:cs="Arial"/>
      <w:b/>
      <w:bCs/>
      <w:color w:val="404040"/>
      <w:spacing w:val="-4"/>
      <w:sz w:val="24"/>
      <w:szCs w:val="22"/>
    </w:rPr>
  </w:style>
  <w:style w:type="paragraph" w:styleId="Rubrik4">
    <w:name w:val="heading 4"/>
    <w:basedOn w:val="Normal"/>
    <w:next w:val="Normal"/>
    <w:link w:val="Rubrik4Char"/>
    <w:qFormat/>
    <w:rsid w:val="003B23D6"/>
    <w:pPr>
      <w:keepNext/>
      <w:keepLines/>
      <w:tabs>
        <w:tab w:val="left" w:pos="4253"/>
      </w:tabs>
      <w:suppressAutoHyphens/>
      <w:spacing w:before="240" w:after="80" w:line="280" w:lineRule="atLeast"/>
      <w:outlineLvl w:val="3"/>
    </w:pPr>
    <w:rPr>
      <w:rFonts w:ascii="Arial" w:hAnsi="Arial" w:cs="Arial"/>
      <w:bCs/>
      <w:spacing w:val="-4"/>
      <w:szCs w:val="22"/>
    </w:rPr>
  </w:style>
  <w:style w:type="paragraph" w:styleId="Rubrik5">
    <w:name w:val="heading 5"/>
    <w:basedOn w:val="Rubrik4"/>
    <w:next w:val="Normal"/>
    <w:link w:val="Rubrik5Char"/>
    <w:qFormat/>
    <w:rsid w:val="0083478A"/>
    <w:pPr>
      <w:spacing w:before="180" w:after="60" w:line="240" w:lineRule="atLeast"/>
      <w:outlineLvl w:val="4"/>
    </w:pPr>
    <w:rPr>
      <w:b/>
      <w:color w:val="404040"/>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rsid w:val="00752E3F"/>
    <w:rPr>
      <w:rFonts w:ascii="Arial" w:eastAsia="Times New Roman" w:hAnsi="Arial" w:cs="Arial"/>
      <w:b/>
      <w:bCs/>
      <w:spacing w:val="-4"/>
      <w:sz w:val="32"/>
      <w:szCs w:val="32"/>
    </w:rPr>
  </w:style>
  <w:style w:type="character" w:customStyle="1" w:styleId="Rubrik2Char">
    <w:name w:val="Rubrik 2 Char"/>
    <w:basedOn w:val="Standardstycketeckensnitt"/>
    <w:link w:val="Rubrik2"/>
    <w:rsid w:val="00C5501F"/>
    <w:rPr>
      <w:rFonts w:ascii="Arial" w:eastAsia="Times New Roman" w:hAnsi="Arial" w:cs="Arial"/>
      <w:bCs/>
      <w:spacing w:val="-4"/>
      <w:sz w:val="28"/>
      <w:szCs w:val="24"/>
    </w:rPr>
  </w:style>
  <w:style w:type="character" w:customStyle="1" w:styleId="Rubrik3Char">
    <w:name w:val="Rubrik 3 Char"/>
    <w:basedOn w:val="Standardstycketeckensnitt"/>
    <w:link w:val="Rubrik3"/>
    <w:rsid w:val="00B813FA"/>
    <w:rPr>
      <w:rFonts w:ascii="Arial" w:eastAsia="Times New Roman" w:hAnsi="Arial" w:cs="Arial"/>
      <w:b/>
      <w:bCs/>
      <w:color w:val="404040"/>
      <w:spacing w:val="-4"/>
      <w:sz w:val="24"/>
      <w:szCs w:val="22"/>
    </w:rPr>
  </w:style>
  <w:style w:type="character" w:customStyle="1" w:styleId="Rubrik4Char">
    <w:name w:val="Rubrik 4 Char"/>
    <w:basedOn w:val="Standardstycketeckensnitt"/>
    <w:link w:val="Rubrik4"/>
    <w:rsid w:val="003B23D6"/>
    <w:rPr>
      <w:rFonts w:ascii="Arial" w:eastAsia="Times New Roman" w:hAnsi="Arial" w:cs="Arial"/>
      <w:bCs/>
      <w:spacing w:val="-4"/>
      <w:sz w:val="22"/>
      <w:szCs w:val="22"/>
    </w:rPr>
  </w:style>
  <w:style w:type="paragraph" w:styleId="Sidfot">
    <w:name w:val="footer"/>
    <w:basedOn w:val="Normal"/>
    <w:link w:val="SidfotChar"/>
    <w:rsid w:val="00136639"/>
    <w:pPr>
      <w:tabs>
        <w:tab w:val="center" w:pos="4536"/>
        <w:tab w:val="right" w:pos="9072"/>
      </w:tabs>
    </w:pPr>
  </w:style>
  <w:style w:type="character" w:customStyle="1" w:styleId="SidfotChar">
    <w:name w:val="Sidfot Char"/>
    <w:basedOn w:val="Standardstycketeckensnitt"/>
    <w:link w:val="Sidfot"/>
    <w:rsid w:val="00447E24"/>
    <w:rPr>
      <w:rFonts w:eastAsia="Times New Roman"/>
      <w:sz w:val="24"/>
      <w:szCs w:val="24"/>
    </w:rPr>
  </w:style>
  <w:style w:type="paragraph" w:styleId="Innehll4">
    <w:name w:val="toc 4"/>
    <w:basedOn w:val="Normal"/>
    <w:next w:val="Normal"/>
    <w:unhideWhenUsed/>
    <w:rsid w:val="00C5501F"/>
    <w:pPr>
      <w:spacing w:before="60" w:after="40" w:line="220" w:lineRule="atLeast"/>
      <w:ind w:left="680"/>
    </w:pPr>
    <w:rPr>
      <w:rFonts w:ascii="Arial" w:hAnsi="Arial"/>
      <w:sz w:val="20"/>
    </w:rPr>
  </w:style>
  <w:style w:type="paragraph" w:styleId="Innehll5">
    <w:name w:val="toc 5"/>
    <w:basedOn w:val="Normal"/>
    <w:next w:val="Normal"/>
    <w:unhideWhenUsed/>
    <w:rsid w:val="007C4762"/>
    <w:pPr>
      <w:tabs>
        <w:tab w:val="right" w:leader="dot" w:pos="7672"/>
      </w:tabs>
      <w:spacing w:before="40" w:after="0" w:line="200" w:lineRule="atLeast"/>
      <w:ind w:left="907"/>
    </w:pPr>
    <w:rPr>
      <w:rFonts w:ascii="Arial" w:hAnsi="Arial"/>
      <w:sz w:val="20"/>
    </w:rPr>
  </w:style>
  <w:style w:type="character" w:styleId="Hyperlnk">
    <w:name w:val="Hyperlink"/>
    <w:basedOn w:val="Standardstycketeckensnitt"/>
    <w:uiPriority w:val="99"/>
    <w:unhideWhenUsed/>
    <w:rsid w:val="00B813FA"/>
    <w:rPr>
      <w:rFonts w:ascii="Arial" w:hAnsi="Arial"/>
      <w:color w:val="00526B"/>
      <w:u w:val="none"/>
    </w:rPr>
  </w:style>
  <w:style w:type="paragraph" w:customStyle="1" w:styleId="Etikett">
    <w:name w:val="Etikett"/>
    <w:basedOn w:val="Normal"/>
    <w:link w:val="EtikettChar"/>
    <w:unhideWhenUsed/>
    <w:qFormat/>
    <w:rsid w:val="00F92E56"/>
    <w:pPr>
      <w:tabs>
        <w:tab w:val="left" w:pos="4253"/>
      </w:tabs>
      <w:autoSpaceDE w:val="0"/>
      <w:autoSpaceDN w:val="0"/>
      <w:adjustRightInd w:val="0"/>
      <w:spacing w:after="0" w:line="288" w:lineRule="auto"/>
      <w:textAlignment w:val="center"/>
    </w:pPr>
    <w:rPr>
      <w:rFonts w:ascii="Arial" w:hAnsi="Arial" w:cs="Arial"/>
      <w:color w:val="000000"/>
      <w:sz w:val="18"/>
      <w:szCs w:val="20"/>
    </w:rPr>
  </w:style>
  <w:style w:type="character" w:customStyle="1" w:styleId="EtikettChar">
    <w:name w:val="Etikett Char"/>
    <w:basedOn w:val="Standardstycketeckensnitt"/>
    <w:link w:val="Etikett"/>
    <w:rsid w:val="00F92E56"/>
    <w:rPr>
      <w:rFonts w:ascii="Arial" w:eastAsia="Times New Roman" w:hAnsi="Arial" w:cs="Arial"/>
      <w:color w:val="000000"/>
      <w:sz w:val="18"/>
    </w:rPr>
  </w:style>
  <w:style w:type="paragraph" w:styleId="Fotnotstext">
    <w:name w:val="footnote text"/>
    <w:basedOn w:val="Normal"/>
    <w:link w:val="FotnotstextChar"/>
    <w:unhideWhenUsed/>
    <w:qFormat/>
    <w:rsid w:val="00B813FA"/>
    <w:pPr>
      <w:spacing w:after="120" w:line="240" w:lineRule="auto"/>
    </w:pPr>
    <w:rPr>
      <w:color w:val="262626"/>
      <w:sz w:val="18"/>
      <w:szCs w:val="20"/>
    </w:rPr>
  </w:style>
  <w:style w:type="character" w:customStyle="1" w:styleId="FotnotstextChar">
    <w:name w:val="Fotnotstext Char"/>
    <w:basedOn w:val="Standardstycketeckensnitt"/>
    <w:link w:val="Fotnotstext"/>
    <w:rsid w:val="00B813FA"/>
    <w:rPr>
      <w:rFonts w:ascii="Georgia" w:eastAsia="Times New Roman" w:hAnsi="Georgia"/>
      <w:color w:val="262626"/>
      <w:sz w:val="18"/>
    </w:rPr>
  </w:style>
  <w:style w:type="character" w:styleId="Fotnotsreferens">
    <w:name w:val="footnote reference"/>
    <w:basedOn w:val="Standardstycketeckensnitt"/>
    <w:unhideWhenUsed/>
    <w:qFormat/>
    <w:rsid w:val="00B813FA"/>
    <w:rPr>
      <w:rFonts w:ascii="Georgia" w:hAnsi="Georgia"/>
      <w:b/>
      <w:sz w:val="22"/>
      <w:vertAlign w:val="superscript"/>
    </w:rPr>
  </w:style>
  <w:style w:type="table" w:customStyle="1" w:styleId="Ljuslista-dekorfrg11">
    <w:name w:val="Ljus lista - dekorfärg 11"/>
    <w:basedOn w:val="Normaltabell"/>
    <w:rsid w:val="00136639"/>
    <w:rPr>
      <w:rFonts w:ascii="Arial" w:eastAsia="Times New Roman" w:hAnsi="Arial"/>
    </w:rPr>
    <w:tblPr>
      <w:tblStyleRowBandSize w:val="1"/>
      <w:tblStyleColBandSize w:val="1"/>
      <w:tblBorders>
        <w:top w:val="single" w:sz="8" w:space="0" w:color="789823"/>
        <w:left w:val="single" w:sz="8" w:space="0" w:color="789823"/>
        <w:bottom w:val="single" w:sz="8" w:space="0" w:color="789823"/>
        <w:right w:val="single" w:sz="8" w:space="0" w:color="789823"/>
      </w:tblBorders>
    </w:tblPr>
    <w:tblStylePr w:type="firstRow">
      <w:pPr>
        <w:spacing w:before="0" w:after="0" w:line="240" w:lineRule="auto"/>
      </w:pPr>
      <w:rPr>
        <w:b/>
        <w:bCs/>
        <w:color w:val="FFFFFF"/>
      </w:rPr>
      <w:tblPr/>
      <w:tcPr>
        <w:shd w:val="clear" w:color="auto" w:fill="789823"/>
      </w:tcPr>
    </w:tblStylePr>
    <w:tblStylePr w:type="lastRow">
      <w:pPr>
        <w:spacing w:before="0" w:after="0" w:line="240" w:lineRule="auto"/>
      </w:pPr>
      <w:rPr>
        <w:b/>
        <w:bCs/>
      </w:rPr>
      <w:tblPr/>
      <w:tcPr>
        <w:tcBorders>
          <w:top w:val="double" w:sz="6" w:space="0" w:color="789823"/>
          <w:left w:val="single" w:sz="8" w:space="0" w:color="789823"/>
          <w:bottom w:val="single" w:sz="8" w:space="0" w:color="789823"/>
          <w:right w:val="single" w:sz="8" w:space="0" w:color="789823"/>
        </w:tcBorders>
      </w:tcPr>
    </w:tblStylePr>
    <w:tblStylePr w:type="firstCol">
      <w:rPr>
        <w:b/>
        <w:bCs/>
      </w:rPr>
    </w:tblStylePr>
    <w:tblStylePr w:type="lastCol">
      <w:rPr>
        <w:b/>
        <w:bCs/>
      </w:rPr>
    </w:tblStylePr>
    <w:tblStylePr w:type="band1Vert">
      <w:tblPr/>
      <w:tcPr>
        <w:tcBorders>
          <w:top w:val="single" w:sz="8" w:space="0" w:color="789823"/>
          <w:left w:val="single" w:sz="8" w:space="0" w:color="789823"/>
          <w:bottom w:val="single" w:sz="8" w:space="0" w:color="789823"/>
          <w:right w:val="single" w:sz="8" w:space="0" w:color="789823"/>
        </w:tcBorders>
      </w:tcPr>
    </w:tblStylePr>
    <w:tblStylePr w:type="band1Horz">
      <w:tblPr/>
      <w:tcPr>
        <w:tcBorders>
          <w:top w:val="single" w:sz="8" w:space="0" w:color="789823"/>
          <w:left w:val="single" w:sz="8" w:space="0" w:color="789823"/>
          <w:bottom w:val="single" w:sz="8" w:space="0" w:color="789823"/>
          <w:right w:val="single" w:sz="8" w:space="0" w:color="789823"/>
        </w:tcBorders>
      </w:tcPr>
    </w:tblStylePr>
  </w:style>
  <w:style w:type="table" w:styleId="Ljusskuggning-dekorfrg2">
    <w:name w:val="Light Shading Accent 2"/>
    <w:basedOn w:val="Normaltabell"/>
    <w:rsid w:val="00136639"/>
    <w:rPr>
      <w:rFonts w:ascii="Arial" w:eastAsia="Times New Roman" w:hAnsi="Arial"/>
      <w:color w:val="D28F07"/>
    </w:rPr>
    <w:tblPr>
      <w:tblStyleRowBandSize w:val="1"/>
      <w:tblStyleColBandSize w:val="1"/>
      <w:tblBorders>
        <w:top w:val="single" w:sz="8" w:space="0" w:color="F8B52B"/>
        <w:bottom w:val="single" w:sz="8" w:space="0" w:color="F8B52B"/>
      </w:tblBorders>
    </w:tblPr>
    <w:tblStylePr w:type="firstRow">
      <w:pPr>
        <w:spacing w:before="0" w:after="0" w:line="240" w:lineRule="auto"/>
      </w:pPr>
      <w:rPr>
        <w:b/>
        <w:bCs/>
      </w:rPr>
      <w:tblPr/>
      <w:tcPr>
        <w:tcBorders>
          <w:top w:val="single" w:sz="8" w:space="0" w:color="F8B52B"/>
          <w:left w:val="nil"/>
          <w:bottom w:val="single" w:sz="8" w:space="0" w:color="F8B52B"/>
          <w:right w:val="nil"/>
          <w:insideH w:val="nil"/>
          <w:insideV w:val="nil"/>
        </w:tcBorders>
      </w:tcPr>
    </w:tblStylePr>
    <w:tblStylePr w:type="lastRow">
      <w:pPr>
        <w:spacing w:before="0" w:after="0" w:line="240" w:lineRule="auto"/>
      </w:pPr>
      <w:rPr>
        <w:b/>
        <w:bCs/>
      </w:rPr>
      <w:tblPr/>
      <w:tcPr>
        <w:tcBorders>
          <w:top w:val="single" w:sz="8" w:space="0" w:color="F8B52B"/>
          <w:left w:val="nil"/>
          <w:bottom w:val="single" w:sz="8" w:space="0" w:color="F8B52B"/>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CCA"/>
      </w:tcPr>
    </w:tblStylePr>
    <w:tblStylePr w:type="band1Horz">
      <w:tblPr/>
      <w:tcPr>
        <w:tcBorders>
          <w:left w:val="nil"/>
          <w:right w:val="nil"/>
          <w:insideH w:val="nil"/>
          <w:insideV w:val="nil"/>
        </w:tcBorders>
        <w:shd w:val="clear" w:color="auto" w:fill="FDECCA"/>
      </w:tcPr>
    </w:tblStylePr>
  </w:style>
  <w:style w:type="paragraph" w:styleId="Numreradlista">
    <w:name w:val="List Number"/>
    <w:basedOn w:val="Normal"/>
    <w:rsid w:val="00136639"/>
    <w:pPr>
      <w:numPr>
        <w:numId w:val="3"/>
      </w:numPr>
      <w:tabs>
        <w:tab w:val="left" w:pos="4253"/>
      </w:tabs>
      <w:spacing w:before="60" w:after="60"/>
      <w:ind w:left="568" w:hanging="284"/>
      <w:contextualSpacing/>
    </w:pPr>
  </w:style>
  <w:style w:type="paragraph" w:styleId="Punktlista">
    <w:name w:val="List Bullet"/>
    <w:basedOn w:val="Normal"/>
    <w:link w:val="PunktlistaChar"/>
    <w:qFormat/>
    <w:rsid w:val="00941D23"/>
    <w:pPr>
      <w:numPr>
        <w:numId w:val="5"/>
      </w:numPr>
      <w:spacing w:before="120" w:after="240" w:line="290" w:lineRule="atLeast"/>
      <w:contextualSpacing/>
    </w:pPr>
  </w:style>
  <w:style w:type="paragraph" w:styleId="Citat">
    <w:name w:val="Quote"/>
    <w:basedOn w:val="Normal"/>
    <w:next w:val="Normal"/>
    <w:link w:val="CitatChar"/>
    <w:qFormat/>
    <w:rsid w:val="00941D23"/>
    <w:pPr>
      <w:tabs>
        <w:tab w:val="left" w:pos="4253"/>
      </w:tabs>
      <w:spacing w:before="60" w:after="240"/>
      <w:ind w:left="369" w:right="284"/>
    </w:pPr>
    <w:rPr>
      <w:sz w:val="21"/>
      <w:szCs w:val="23"/>
    </w:rPr>
  </w:style>
  <w:style w:type="character" w:customStyle="1" w:styleId="CitatChar">
    <w:name w:val="Citat Char"/>
    <w:basedOn w:val="Standardstycketeckensnitt"/>
    <w:link w:val="Citat"/>
    <w:rsid w:val="00941D23"/>
    <w:rPr>
      <w:rFonts w:ascii="Georgia" w:eastAsia="Times New Roman" w:hAnsi="Georgia"/>
      <w:sz w:val="21"/>
      <w:szCs w:val="23"/>
    </w:rPr>
  </w:style>
  <w:style w:type="paragraph" w:customStyle="1" w:styleId="Nummerlista">
    <w:name w:val="Nummerlista"/>
    <w:basedOn w:val="Normal"/>
    <w:link w:val="NummerlistaChar"/>
    <w:qFormat/>
    <w:rsid w:val="00941D23"/>
    <w:pPr>
      <w:keepLines/>
      <w:numPr>
        <w:numId w:val="12"/>
      </w:numPr>
      <w:spacing w:before="120" w:line="290" w:lineRule="atLeast"/>
      <w:contextualSpacing/>
    </w:pPr>
  </w:style>
  <w:style w:type="character" w:customStyle="1" w:styleId="NummerlistaChar">
    <w:name w:val="Nummerlista Char"/>
    <w:basedOn w:val="Standardstycketeckensnitt"/>
    <w:link w:val="Nummerlista"/>
    <w:rsid w:val="007D0C3B"/>
    <w:rPr>
      <w:rFonts w:eastAsia="Times New Roman"/>
      <w:sz w:val="24"/>
      <w:szCs w:val="24"/>
    </w:rPr>
  </w:style>
  <w:style w:type="paragraph" w:customStyle="1" w:styleId="Tabelltext">
    <w:name w:val="Tabelltext"/>
    <w:basedOn w:val="Etikett"/>
    <w:link w:val="TabelltextChar"/>
    <w:qFormat/>
    <w:rsid w:val="00AB5258"/>
    <w:pPr>
      <w:spacing w:before="40"/>
    </w:pPr>
  </w:style>
  <w:style w:type="paragraph" w:styleId="Ballongtext">
    <w:name w:val="Balloon Text"/>
    <w:basedOn w:val="Normal"/>
    <w:link w:val="BallongtextChar"/>
    <w:unhideWhenUsed/>
    <w:rsid w:val="00136639"/>
    <w:pPr>
      <w:spacing w:line="240" w:lineRule="auto"/>
    </w:pPr>
    <w:rPr>
      <w:rFonts w:ascii="Tahoma" w:hAnsi="Tahoma" w:cs="Tahoma"/>
      <w:sz w:val="16"/>
      <w:szCs w:val="16"/>
    </w:rPr>
  </w:style>
  <w:style w:type="character" w:customStyle="1" w:styleId="BallongtextChar">
    <w:name w:val="Ballongtext Char"/>
    <w:basedOn w:val="Standardstycketeckensnitt"/>
    <w:link w:val="Ballongtext"/>
    <w:rsid w:val="00136639"/>
    <w:rPr>
      <w:rFonts w:ascii="Tahoma" w:eastAsia="Times New Roman" w:hAnsi="Tahoma" w:cs="Tahoma"/>
      <w:sz w:val="16"/>
      <w:szCs w:val="16"/>
      <w:lang w:eastAsia="sv-SE"/>
    </w:rPr>
  </w:style>
  <w:style w:type="paragraph" w:styleId="Sidhuvud">
    <w:name w:val="header"/>
    <w:basedOn w:val="Normal"/>
    <w:link w:val="SidhuvudChar"/>
    <w:unhideWhenUsed/>
    <w:rsid w:val="00B5296B"/>
    <w:pPr>
      <w:tabs>
        <w:tab w:val="center" w:pos="4536"/>
        <w:tab w:val="right" w:pos="9072"/>
      </w:tabs>
      <w:spacing w:line="240" w:lineRule="auto"/>
    </w:pPr>
  </w:style>
  <w:style w:type="character" w:customStyle="1" w:styleId="SidhuvudChar">
    <w:name w:val="Sidhuvud Char"/>
    <w:basedOn w:val="Standardstycketeckensnitt"/>
    <w:link w:val="Sidhuvud"/>
    <w:rsid w:val="00B5296B"/>
    <w:rPr>
      <w:rFonts w:eastAsia="Times New Roman"/>
      <w:sz w:val="24"/>
      <w:szCs w:val="24"/>
      <w:lang w:eastAsia="sv-SE"/>
    </w:rPr>
  </w:style>
  <w:style w:type="table" w:styleId="Tabellrutnt">
    <w:name w:val="Table Grid"/>
    <w:basedOn w:val="Normaltabell"/>
    <w:rsid w:val="00E313F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Rubrik5Char">
    <w:name w:val="Rubrik 5 Char"/>
    <w:basedOn w:val="Standardstycketeckensnitt"/>
    <w:link w:val="Rubrik5"/>
    <w:rsid w:val="0083478A"/>
    <w:rPr>
      <w:rFonts w:ascii="Arial" w:eastAsia="Times New Roman" w:hAnsi="Arial" w:cs="Arial"/>
      <w:b/>
      <w:bCs/>
      <w:color w:val="404040"/>
      <w:spacing w:val="-4"/>
      <w:szCs w:val="22"/>
    </w:rPr>
  </w:style>
  <w:style w:type="paragraph" w:customStyle="1" w:styleId="Titel">
    <w:name w:val="Titel"/>
    <w:basedOn w:val="Normal"/>
    <w:link w:val="TitelChar"/>
    <w:qFormat/>
    <w:rsid w:val="00AF1672"/>
    <w:pPr>
      <w:keepLines/>
      <w:tabs>
        <w:tab w:val="left" w:pos="4253"/>
      </w:tabs>
      <w:suppressAutoHyphens/>
      <w:spacing w:before="360" w:after="480" w:line="360" w:lineRule="atLeast"/>
    </w:pPr>
    <w:rPr>
      <w:rFonts w:ascii="Arial" w:hAnsi="Arial" w:cs="Arial"/>
      <w:spacing w:val="-4"/>
      <w:sz w:val="36"/>
      <w:szCs w:val="36"/>
    </w:rPr>
  </w:style>
  <w:style w:type="paragraph" w:customStyle="1" w:styleId="PT-lista2">
    <w:name w:val="PT-lista 2"/>
    <w:basedOn w:val="Punktlista"/>
    <w:link w:val="PT-lista2Char"/>
    <w:qFormat/>
    <w:rsid w:val="00446C68"/>
    <w:pPr>
      <w:spacing w:after="180"/>
      <w:contextualSpacing w:val="0"/>
    </w:pPr>
  </w:style>
  <w:style w:type="character" w:customStyle="1" w:styleId="TitelChar">
    <w:name w:val="Titel Char"/>
    <w:basedOn w:val="Standardstycketeckensnitt"/>
    <w:link w:val="Titel"/>
    <w:rsid w:val="00C21F6B"/>
    <w:rPr>
      <w:rFonts w:ascii="Arial" w:eastAsia="Times New Roman" w:hAnsi="Arial" w:cs="Arial"/>
      <w:spacing w:val="-4"/>
      <w:sz w:val="36"/>
      <w:szCs w:val="36"/>
    </w:rPr>
  </w:style>
  <w:style w:type="paragraph" w:customStyle="1" w:styleId="NR-lista2">
    <w:name w:val="NR-lista 2"/>
    <w:basedOn w:val="Nummerlista"/>
    <w:link w:val="NR-lista2Char"/>
    <w:qFormat/>
    <w:rsid w:val="00C5501F"/>
    <w:pPr>
      <w:contextualSpacing w:val="0"/>
    </w:pPr>
  </w:style>
  <w:style w:type="character" w:customStyle="1" w:styleId="PunktlistaChar">
    <w:name w:val="Punktlista Char"/>
    <w:basedOn w:val="Standardstycketeckensnitt"/>
    <w:link w:val="Punktlista"/>
    <w:rsid w:val="00446C68"/>
    <w:rPr>
      <w:rFonts w:eastAsia="Times New Roman"/>
      <w:sz w:val="24"/>
      <w:szCs w:val="24"/>
    </w:rPr>
  </w:style>
  <w:style w:type="character" w:customStyle="1" w:styleId="PT-lista2Char">
    <w:name w:val="PT-lista 2 Char"/>
    <w:basedOn w:val="PunktlistaChar"/>
    <w:link w:val="PT-lista2"/>
    <w:rsid w:val="00446C68"/>
    <w:rPr>
      <w:rFonts w:eastAsia="Times New Roman"/>
      <w:sz w:val="24"/>
      <w:szCs w:val="24"/>
    </w:rPr>
  </w:style>
  <w:style w:type="character" w:customStyle="1" w:styleId="NR-lista2Char">
    <w:name w:val="NR-lista 2 Char"/>
    <w:basedOn w:val="NummerlistaChar"/>
    <w:link w:val="NR-lista2"/>
    <w:rsid w:val="00C5501F"/>
    <w:rPr>
      <w:rFonts w:eastAsia="Times New Roman"/>
      <w:sz w:val="24"/>
      <w:szCs w:val="24"/>
    </w:rPr>
  </w:style>
  <w:style w:type="paragraph" w:customStyle="1" w:styleId="Frstrkt">
    <w:name w:val="Förstärkt"/>
    <w:basedOn w:val="Normal"/>
    <w:next w:val="Normal"/>
    <w:link w:val="FrstrktChar"/>
    <w:qFormat/>
    <w:rsid w:val="00855088"/>
    <w:pPr>
      <w:widowControl w:val="0"/>
    </w:pPr>
    <w:rPr>
      <w:b/>
      <w:spacing w:val="-4"/>
      <w:sz w:val="21"/>
    </w:rPr>
  </w:style>
  <w:style w:type="paragraph" w:customStyle="1" w:styleId="1Rubrik">
    <w:name w:val="1. Rubrik"/>
    <w:basedOn w:val="Rubrik1"/>
    <w:link w:val="1RubrikChar"/>
    <w:qFormat/>
    <w:rsid w:val="00712515"/>
    <w:pPr>
      <w:keepNext w:val="0"/>
      <w:numPr>
        <w:numId w:val="23"/>
      </w:numPr>
    </w:pPr>
  </w:style>
  <w:style w:type="paragraph" w:customStyle="1" w:styleId="NRRubrik2">
    <w:name w:val="NR Rubrik 2"/>
    <w:basedOn w:val="Rubrik2"/>
    <w:link w:val="NRRubrik2Char"/>
    <w:qFormat/>
    <w:rsid w:val="00712515"/>
    <w:pPr>
      <w:numPr>
        <w:ilvl w:val="1"/>
        <w:numId w:val="23"/>
      </w:numPr>
    </w:pPr>
  </w:style>
  <w:style w:type="character" w:customStyle="1" w:styleId="1RubrikChar">
    <w:name w:val="1. Rubrik Char"/>
    <w:basedOn w:val="Rubrik1Char"/>
    <w:link w:val="1Rubrik"/>
    <w:rsid w:val="002D0D25"/>
    <w:rPr>
      <w:rFonts w:ascii="Arial" w:eastAsia="Times New Roman" w:hAnsi="Arial" w:cs="Arial"/>
      <w:b/>
      <w:bCs/>
      <w:spacing w:val="-4"/>
      <w:sz w:val="28"/>
      <w:szCs w:val="32"/>
    </w:rPr>
  </w:style>
  <w:style w:type="paragraph" w:customStyle="1" w:styleId="NRRubrik3">
    <w:name w:val="NR Rubrik 3"/>
    <w:basedOn w:val="Rubrik3"/>
    <w:link w:val="NRRubrik3Char"/>
    <w:qFormat/>
    <w:rsid w:val="00712515"/>
    <w:pPr>
      <w:numPr>
        <w:ilvl w:val="2"/>
        <w:numId w:val="23"/>
      </w:numPr>
    </w:pPr>
  </w:style>
  <w:style w:type="character" w:customStyle="1" w:styleId="NRRubrik2Char">
    <w:name w:val="NR Rubrik 2 Char"/>
    <w:basedOn w:val="Rubrik2Char"/>
    <w:link w:val="NRRubrik2"/>
    <w:rsid w:val="00A42E3F"/>
    <w:rPr>
      <w:rFonts w:ascii="Arial" w:eastAsia="Times New Roman" w:hAnsi="Arial" w:cs="Arial"/>
      <w:bCs/>
      <w:spacing w:val="-4"/>
      <w:sz w:val="28"/>
      <w:szCs w:val="24"/>
    </w:rPr>
  </w:style>
  <w:style w:type="paragraph" w:customStyle="1" w:styleId="NRRubrik4">
    <w:name w:val="NR Rubrik 4"/>
    <w:basedOn w:val="Rubrik4"/>
    <w:link w:val="NRRubrik4Char"/>
    <w:qFormat/>
    <w:rsid w:val="00712515"/>
    <w:pPr>
      <w:numPr>
        <w:ilvl w:val="3"/>
        <w:numId w:val="23"/>
      </w:numPr>
    </w:pPr>
  </w:style>
  <w:style w:type="character" w:customStyle="1" w:styleId="NRRubrik3Char">
    <w:name w:val="NR Rubrik 3 Char"/>
    <w:basedOn w:val="Rubrik3Char"/>
    <w:link w:val="NRRubrik3"/>
    <w:rsid w:val="00712515"/>
    <w:rPr>
      <w:rFonts w:ascii="Arial" w:eastAsia="Times New Roman" w:hAnsi="Arial" w:cs="Arial"/>
      <w:b/>
      <w:bCs/>
      <w:color w:val="404040"/>
      <w:spacing w:val="-4"/>
      <w:sz w:val="22"/>
      <w:szCs w:val="22"/>
    </w:rPr>
  </w:style>
  <w:style w:type="paragraph" w:customStyle="1" w:styleId="NRRubrik5">
    <w:name w:val="NR Rubrik 5"/>
    <w:basedOn w:val="Rubrik5"/>
    <w:link w:val="NRRubrik5Char"/>
    <w:qFormat/>
    <w:rsid w:val="00712515"/>
    <w:pPr>
      <w:numPr>
        <w:ilvl w:val="4"/>
        <w:numId w:val="23"/>
      </w:numPr>
    </w:pPr>
  </w:style>
  <w:style w:type="character" w:customStyle="1" w:styleId="NRRubrik4Char">
    <w:name w:val="NR Rubrik 4 Char"/>
    <w:basedOn w:val="Rubrik4Char"/>
    <w:link w:val="NRRubrik4"/>
    <w:rsid w:val="00447E24"/>
    <w:rPr>
      <w:rFonts w:ascii="Arial" w:eastAsia="Times New Roman" w:hAnsi="Arial" w:cs="Arial"/>
      <w:bCs/>
      <w:spacing w:val="-4"/>
      <w:sz w:val="22"/>
      <w:szCs w:val="22"/>
    </w:rPr>
  </w:style>
  <w:style w:type="character" w:customStyle="1" w:styleId="NRRubrik5Char">
    <w:name w:val="NR Rubrik 5 Char"/>
    <w:basedOn w:val="Rubrik5Char"/>
    <w:link w:val="NRRubrik5"/>
    <w:rsid w:val="00712515"/>
    <w:rPr>
      <w:rFonts w:ascii="Arial" w:eastAsia="Times New Roman" w:hAnsi="Arial" w:cs="Arial"/>
      <w:b/>
      <w:bCs/>
      <w:color w:val="404040"/>
      <w:spacing w:val="-4"/>
      <w:szCs w:val="22"/>
    </w:rPr>
  </w:style>
  <w:style w:type="character" w:customStyle="1" w:styleId="FrstrktChar">
    <w:name w:val="Förstärkt Char"/>
    <w:basedOn w:val="Standardstycketeckensnitt"/>
    <w:link w:val="Frstrkt"/>
    <w:rsid w:val="00855088"/>
    <w:rPr>
      <w:rFonts w:ascii="Georgia" w:eastAsia="Times New Roman" w:hAnsi="Georgia"/>
      <w:b/>
      <w:spacing w:val="-4"/>
      <w:sz w:val="21"/>
      <w:szCs w:val="24"/>
    </w:rPr>
  </w:style>
  <w:style w:type="paragraph" w:styleId="Innehll2">
    <w:name w:val="toc 2"/>
    <w:basedOn w:val="Normal"/>
    <w:next w:val="Normal"/>
    <w:uiPriority w:val="39"/>
    <w:unhideWhenUsed/>
    <w:rsid w:val="008B284B"/>
    <w:pPr>
      <w:spacing w:before="120" w:after="60" w:line="240" w:lineRule="atLeast"/>
      <w:ind w:left="227"/>
    </w:pPr>
    <w:rPr>
      <w:rFonts w:ascii="Arial" w:hAnsi="Arial"/>
    </w:rPr>
  </w:style>
  <w:style w:type="paragraph" w:styleId="Innehll1">
    <w:name w:val="toc 1"/>
    <w:basedOn w:val="Normal"/>
    <w:next w:val="Normal"/>
    <w:uiPriority w:val="39"/>
    <w:unhideWhenUsed/>
    <w:rsid w:val="006311E8"/>
    <w:pPr>
      <w:spacing w:before="120" w:after="120" w:line="240" w:lineRule="atLeast"/>
    </w:pPr>
    <w:rPr>
      <w:rFonts w:ascii="Arial" w:hAnsi="Arial"/>
    </w:rPr>
  </w:style>
  <w:style w:type="paragraph" w:styleId="Innehll3">
    <w:name w:val="toc 3"/>
    <w:basedOn w:val="Normal"/>
    <w:next w:val="Normal"/>
    <w:uiPriority w:val="39"/>
    <w:unhideWhenUsed/>
    <w:rsid w:val="007C4762"/>
    <w:pPr>
      <w:spacing w:before="60" w:after="60" w:line="240" w:lineRule="atLeast"/>
      <w:ind w:left="454"/>
    </w:pPr>
    <w:rPr>
      <w:rFonts w:ascii="Arial" w:hAnsi="Arial"/>
    </w:rPr>
  </w:style>
  <w:style w:type="paragraph" w:customStyle="1" w:styleId="FormatmallNRRubrik5Text1">
    <w:name w:val="Formatmall NR Rubrik 5 + Text 1"/>
    <w:basedOn w:val="NRRubrik5"/>
    <w:rsid w:val="005D7E7A"/>
  </w:style>
  <w:style w:type="paragraph" w:styleId="Innehllsfrteckningsrubrik">
    <w:name w:val="TOC Heading"/>
    <w:basedOn w:val="Rubrik1"/>
    <w:next w:val="Normal"/>
    <w:unhideWhenUsed/>
    <w:qFormat/>
    <w:rsid w:val="006311E8"/>
    <w:pPr>
      <w:keepLines w:val="0"/>
      <w:suppressAutoHyphens w:val="0"/>
      <w:outlineLvl w:val="9"/>
    </w:pPr>
    <w:rPr>
      <w:rFonts w:cs="Times New Roman"/>
    </w:rPr>
  </w:style>
  <w:style w:type="table" w:styleId="Listtabell3dekorfrg1">
    <w:name w:val="List Table 3 Accent 1"/>
    <w:basedOn w:val="Normaltabell"/>
    <w:rsid w:val="00332D12"/>
    <w:tblPr>
      <w:tblStyleRowBandSize w:val="1"/>
      <w:tblStyleColBandSize w:val="1"/>
      <w:tblBorders>
        <w:top w:val="single" w:sz="4" w:space="0" w:color="00526B" w:themeColor="accent1"/>
        <w:left w:val="single" w:sz="4" w:space="0" w:color="00526B" w:themeColor="accent1"/>
        <w:bottom w:val="single" w:sz="4" w:space="0" w:color="00526B" w:themeColor="accent1"/>
        <w:right w:val="single" w:sz="4" w:space="0" w:color="00526B" w:themeColor="accent1"/>
      </w:tblBorders>
    </w:tblPr>
    <w:tblStylePr w:type="firstRow">
      <w:rPr>
        <w:b/>
        <w:bCs/>
        <w:color w:val="FFFFFF" w:themeColor="background1"/>
      </w:rPr>
      <w:tblPr/>
      <w:tcPr>
        <w:shd w:val="clear" w:color="auto" w:fill="00526B" w:themeFill="accent1"/>
      </w:tcPr>
    </w:tblStylePr>
    <w:tblStylePr w:type="lastRow">
      <w:rPr>
        <w:b/>
        <w:bCs/>
      </w:rPr>
      <w:tblPr/>
      <w:tcPr>
        <w:tcBorders>
          <w:top w:val="double" w:sz="4" w:space="0" w:color="00526B"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26B" w:themeColor="accent1"/>
          <w:right w:val="single" w:sz="4" w:space="0" w:color="00526B" w:themeColor="accent1"/>
        </w:tcBorders>
      </w:tcPr>
    </w:tblStylePr>
    <w:tblStylePr w:type="band1Horz">
      <w:tblPr/>
      <w:tcPr>
        <w:tcBorders>
          <w:top w:val="single" w:sz="4" w:space="0" w:color="00526B" w:themeColor="accent1"/>
          <w:bottom w:val="single" w:sz="4" w:space="0" w:color="00526B"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26B" w:themeColor="accent1"/>
          <w:left w:val="nil"/>
        </w:tcBorders>
      </w:tcPr>
    </w:tblStylePr>
    <w:tblStylePr w:type="swCell">
      <w:tblPr/>
      <w:tcPr>
        <w:tcBorders>
          <w:top w:val="double" w:sz="4" w:space="0" w:color="00526B" w:themeColor="accent1"/>
          <w:right w:val="nil"/>
        </w:tcBorders>
      </w:tcPr>
    </w:tblStylePr>
  </w:style>
  <w:style w:type="table" w:styleId="Tabellrutntljust">
    <w:name w:val="Grid Table Light"/>
    <w:basedOn w:val="Normaltabell"/>
    <w:rsid w:val="00332D1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abelltextChar">
    <w:name w:val="Tabelltext Char"/>
    <w:basedOn w:val="EtikettChar"/>
    <w:link w:val="Tabelltext"/>
    <w:rsid w:val="00AB5258"/>
    <w:rPr>
      <w:rFonts w:ascii="Arial" w:eastAsia="Times New Roman" w:hAnsi="Arial" w:cs="Arial"/>
      <w:color w:val="000000"/>
      <w:sz w:val="18"/>
    </w:rPr>
  </w:style>
  <w:style w:type="character" w:styleId="Platshllartext">
    <w:name w:val="Placeholder Text"/>
    <w:basedOn w:val="Standardstycketeckensnitt"/>
    <w:rsid w:val="00132AA1"/>
    <w:rPr>
      <w:color w:val="808080"/>
    </w:rPr>
  </w:style>
  <w:style w:type="paragraph" w:customStyle="1" w:styleId="Brdeftertabell">
    <w:name w:val="Bröd efter tabell"/>
    <w:basedOn w:val="Normal"/>
    <w:next w:val="Normal"/>
    <w:qFormat/>
    <w:rsid w:val="00AB5258"/>
    <w:pPr>
      <w:spacing w:before="240"/>
    </w:pPr>
  </w:style>
  <w:style w:type="table" w:customStyle="1" w:styleId="DO">
    <w:name w:val="DO"/>
    <w:basedOn w:val="Normaltabell"/>
    <w:qFormat/>
    <w:rsid w:val="00D83D7A"/>
    <w:pPr>
      <w:jc w:val="right"/>
    </w:pPr>
    <w:rPr>
      <w:rFonts w:ascii="Arial" w:hAnsi="Arial"/>
      <w:color w:val="000000"/>
      <w:sz w:val="19"/>
    </w:rPr>
    <w:tblPr>
      <w:tblBorders>
        <w:top w:val="single" w:sz="8" w:space="0" w:color="C2C2C2"/>
        <w:left w:val="single" w:sz="8" w:space="0" w:color="C2C2C2"/>
        <w:bottom w:val="single" w:sz="8" w:space="0" w:color="C2C2C2"/>
        <w:right w:val="single" w:sz="8" w:space="0" w:color="C2C2C2"/>
        <w:insideH w:val="single" w:sz="8" w:space="0" w:color="C2C2C2"/>
        <w:insideV w:val="single" w:sz="8" w:space="0" w:color="C2C2C2"/>
      </w:tblBorders>
    </w:tblPr>
    <w:tcPr>
      <w:vAlign w:val="center"/>
    </w:tcPr>
    <w:tblStylePr w:type="firstRow">
      <w:pPr>
        <w:jc w:val="right"/>
      </w:pPr>
      <w:rPr>
        <w:rFonts w:ascii="Arial" w:hAnsi="Arial"/>
        <w:color w:val="auto"/>
        <w:sz w:val="22"/>
      </w:rPr>
      <w:tblPr/>
      <w:tcPr>
        <w:tcBorders>
          <w:top w:val="single" w:sz="8" w:space="0" w:color="F0AB00"/>
          <w:left w:val="single" w:sz="8" w:space="0" w:color="F0AB00"/>
          <w:bottom w:val="nil"/>
          <w:right w:val="single" w:sz="8" w:space="0" w:color="F0AB00"/>
          <w:insideH w:val="single" w:sz="8" w:space="0" w:color="FFFFFF"/>
          <w:insideV w:val="single" w:sz="8" w:space="0" w:color="FFFFFF"/>
        </w:tcBorders>
        <w:shd w:val="clear" w:color="auto" w:fill="F0AB00"/>
      </w:tcPr>
    </w:tblStylePr>
    <w:tblStylePr w:type="lastRow">
      <w:pPr>
        <w:jc w:val="right"/>
      </w:pPr>
      <w:rPr>
        <w:b/>
      </w:rPr>
      <w:tblPr/>
      <w:tcPr>
        <w:tcBorders>
          <w:top w:val="double" w:sz="6" w:space="0" w:color="A1A1A1"/>
          <w:bottom w:val="single" w:sz="8" w:space="0" w:color="C2C2C2"/>
        </w:tcBorders>
      </w:tcPr>
    </w:tblStylePr>
    <w:tblStylePr w:type="firstCol">
      <w:pPr>
        <w:jc w:val="left"/>
      </w:pPr>
      <w:rPr>
        <w:sz w:val="19"/>
      </w:rPr>
    </w:tblStylePr>
    <w:tblStylePr w:type="nwCell">
      <w:pPr>
        <w:jc w:val="left"/>
      </w:pPr>
    </w:tblStylePr>
    <w:tblStylePr w:type="swCell">
      <w:pPr>
        <w:jc w:val="left"/>
      </w:pPr>
    </w:tblStylePr>
  </w:style>
  <w:style w:type="paragraph" w:customStyle="1" w:styleId="Tabellrubrik">
    <w:name w:val="Tabellrubrik"/>
    <w:basedOn w:val="Normal"/>
    <w:next w:val="Tabelltext"/>
    <w:qFormat/>
    <w:rsid w:val="00AB5258"/>
    <w:pPr>
      <w:spacing w:before="40" w:after="40" w:line="240" w:lineRule="auto"/>
    </w:pPr>
    <w:rPr>
      <w:rFonts w:ascii="Arial" w:hAnsi="Arial"/>
      <w:szCs w:val="22"/>
    </w:rPr>
  </w:style>
  <w:style w:type="paragraph" w:customStyle="1" w:styleId="Figurbeskrivning">
    <w:name w:val="Figurbeskrivning"/>
    <w:basedOn w:val="Etikett"/>
    <w:next w:val="Normal"/>
    <w:qFormat/>
    <w:rsid w:val="00AB5258"/>
    <w:pPr>
      <w:widowControl w:val="0"/>
      <w:spacing w:before="120" w:after="200" w:line="240" w:lineRule="auto"/>
    </w:pPr>
    <w:rPr>
      <w:bCs/>
      <w:szCs w:val="18"/>
    </w:rPr>
  </w:style>
  <w:style w:type="paragraph" w:customStyle="1" w:styleId="Tabellbeskrivning">
    <w:name w:val="Tabellbeskrivning"/>
    <w:basedOn w:val="Normal"/>
    <w:qFormat/>
    <w:rsid w:val="00AB5258"/>
    <w:pPr>
      <w:keepNext/>
      <w:spacing w:before="240" w:after="120" w:line="240" w:lineRule="auto"/>
    </w:pPr>
    <w:rPr>
      <w:rFonts w:ascii="Arial" w:hAnsi="Arial"/>
      <w:bCs/>
      <w:color w:val="404040"/>
      <w:sz w:val="19"/>
      <w:szCs w:val="18"/>
    </w:rPr>
  </w:style>
  <w:style w:type="paragraph" w:customStyle="1" w:styleId="Tabellfrklaring">
    <w:name w:val="Tabellförklaring"/>
    <w:basedOn w:val="Normal"/>
    <w:qFormat/>
    <w:rsid w:val="00AB5258"/>
    <w:pPr>
      <w:tabs>
        <w:tab w:val="left" w:pos="4253"/>
      </w:tabs>
      <w:autoSpaceDE w:val="0"/>
      <w:autoSpaceDN w:val="0"/>
      <w:adjustRightInd w:val="0"/>
      <w:spacing w:before="60" w:after="60" w:line="264" w:lineRule="auto"/>
      <w:textAlignment w:val="center"/>
    </w:pPr>
    <w:rPr>
      <w:rFonts w:ascii="Arial" w:hAnsi="Arial" w:cs="Arial"/>
      <w:color w:val="000000"/>
      <w:sz w:val="18"/>
      <w:szCs w:val="18"/>
    </w:rPr>
  </w:style>
  <w:style w:type="paragraph" w:styleId="Liststycke">
    <w:name w:val="List Paragraph"/>
    <w:basedOn w:val="Normal"/>
    <w:qFormat/>
    <w:rsid w:val="00EE5154"/>
    <w:pPr>
      <w:ind w:left="720"/>
      <w:contextualSpacing/>
    </w:pPr>
  </w:style>
  <w:style w:type="character" w:styleId="Kommentarsreferens">
    <w:name w:val="annotation reference"/>
    <w:rsid w:val="00EE5154"/>
    <w:rPr>
      <w:sz w:val="16"/>
      <w:szCs w:val="16"/>
    </w:rPr>
  </w:style>
  <w:style w:type="paragraph" w:styleId="Kommentarer">
    <w:name w:val="annotation text"/>
    <w:basedOn w:val="Normal"/>
    <w:link w:val="KommentarerChar"/>
    <w:rsid w:val="00EE5154"/>
    <w:pPr>
      <w:spacing w:line="240" w:lineRule="auto"/>
    </w:pPr>
    <w:rPr>
      <w:sz w:val="20"/>
      <w:szCs w:val="20"/>
    </w:rPr>
  </w:style>
  <w:style w:type="character" w:customStyle="1" w:styleId="KommentarerChar">
    <w:name w:val="Kommentarer Char"/>
    <w:basedOn w:val="Standardstycketeckensnitt"/>
    <w:link w:val="Kommentarer"/>
    <w:rsid w:val="00EE5154"/>
    <w:rPr>
      <w:rFonts w:ascii="Georgia" w:eastAsia="Times New Roman" w:hAnsi="Georgia"/>
    </w:rPr>
  </w:style>
  <w:style w:type="paragraph" w:styleId="Kommentarsmne">
    <w:name w:val="annotation subject"/>
    <w:basedOn w:val="Kommentarer"/>
    <w:next w:val="Kommentarer"/>
    <w:link w:val="KommentarsmneChar"/>
    <w:rsid w:val="00EE5154"/>
    <w:rPr>
      <w:b/>
      <w:bCs/>
    </w:rPr>
  </w:style>
  <w:style w:type="character" w:customStyle="1" w:styleId="KommentarsmneChar">
    <w:name w:val="Kommentarsämne Char"/>
    <w:basedOn w:val="KommentarerChar"/>
    <w:link w:val="Kommentarsmne"/>
    <w:rsid w:val="00EE5154"/>
    <w:rPr>
      <w:rFonts w:ascii="Georgia" w:eastAsia="Times New Roman" w:hAnsi="Georgia"/>
      <w:b/>
      <w:bCs/>
    </w:rPr>
  </w:style>
  <w:style w:type="character" w:styleId="Olstomnmnande">
    <w:name w:val="Unresolved Mention"/>
    <w:rsid w:val="00EE5154"/>
    <w:rPr>
      <w:color w:val="605E5C"/>
      <w:shd w:val="clear" w:color="auto" w:fill="E1DFDD"/>
    </w:rPr>
  </w:style>
  <w:style w:type="paragraph" w:styleId="Ingetavstnd">
    <w:name w:val="No Spacing"/>
    <w:link w:val="IngetavstndChar"/>
    <w:qFormat/>
    <w:rsid w:val="00EE5154"/>
    <w:rPr>
      <w:rFonts w:eastAsia="Times New Roman"/>
      <w:sz w:val="22"/>
      <w:szCs w:val="22"/>
    </w:rPr>
  </w:style>
  <w:style w:type="character" w:customStyle="1" w:styleId="IngetavstndChar">
    <w:name w:val="Inget avstånd Char"/>
    <w:link w:val="Ingetavstnd"/>
    <w:rsid w:val="00EE5154"/>
    <w:rPr>
      <w:rFonts w:eastAsia="Times New Roman"/>
      <w:sz w:val="22"/>
      <w:szCs w:val="22"/>
    </w:rPr>
  </w:style>
  <w:style w:type="paragraph" w:styleId="Revision">
    <w:name w:val="Revision"/>
    <w:hidden/>
    <w:rsid w:val="00EE5154"/>
    <w:rPr>
      <w:rFonts w:ascii="Georgia" w:eastAsia="Times New Roman" w:hAnsi="Georgia"/>
      <w:sz w:val="22"/>
      <w:szCs w:val="24"/>
    </w:rPr>
  </w:style>
  <w:style w:type="paragraph" w:styleId="Normalwebb">
    <w:name w:val="Normal (Web)"/>
    <w:basedOn w:val="Normal"/>
    <w:uiPriority w:val="99"/>
    <w:unhideWhenUsed/>
    <w:rsid w:val="00EE5154"/>
    <w:pPr>
      <w:spacing w:before="100" w:beforeAutospacing="1" w:after="100" w:afterAutospacing="1" w:line="240" w:lineRule="auto"/>
    </w:pPr>
    <w:rPr>
      <w:rFonts w:ascii="Times New Roman" w:hAnsi="Times New Roman"/>
      <w:sz w:val="24"/>
    </w:rPr>
  </w:style>
  <w:style w:type="character" w:styleId="Stark">
    <w:name w:val="Strong"/>
    <w:basedOn w:val="Standardstycketeckensnitt"/>
    <w:uiPriority w:val="22"/>
    <w:qFormat/>
    <w:rsid w:val="00EE5154"/>
    <w:rPr>
      <w:b/>
      <w:bCs/>
    </w:rPr>
  </w:style>
  <w:style w:type="paragraph" w:customStyle="1" w:styleId="Default">
    <w:name w:val="Default"/>
    <w:rsid w:val="00EE5154"/>
    <w:pPr>
      <w:autoSpaceDE w:val="0"/>
      <w:autoSpaceDN w:val="0"/>
      <w:adjustRightInd w:val="0"/>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696956">
      <w:bodyDiv w:val="1"/>
      <w:marLeft w:val="0"/>
      <w:marRight w:val="0"/>
      <w:marTop w:val="0"/>
      <w:marBottom w:val="0"/>
      <w:divBdr>
        <w:top w:val="none" w:sz="0" w:space="0" w:color="auto"/>
        <w:left w:val="none" w:sz="0" w:space="0" w:color="auto"/>
        <w:bottom w:val="none" w:sz="0" w:space="0" w:color="auto"/>
        <w:right w:val="none" w:sz="0" w:space="0" w:color="auto"/>
      </w:divBdr>
    </w:div>
    <w:div w:id="1826317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customXml" Target="../customXml/item5.xml"/></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o-file01\Config$\Mallar\Mallar\1%20%20Standardmallar\Rapport%20eller%20redovisning.dotx" TargetMode="External"/></Relationships>
</file>

<file path=word/theme/theme1.xml><?xml version="1.0" encoding="utf-8"?>
<a:theme xmlns:a="http://schemas.openxmlformats.org/drawingml/2006/main" name="DO">
  <a:themeElements>
    <a:clrScheme name="Anpassat 6">
      <a:dk1>
        <a:sysClr val="windowText" lastClr="000000"/>
      </a:dk1>
      <a:lt1>
        <a:sysClr val="window" lastClr="FFFFFF"/>
      </a:lt1>
      <a:dk2>
        <a:srgbClr val="7F7F7F"/>
      </a:dk2>
      <a:lt2>
        <a:srgbClr val="BFBFBF"/>
      </a:lt2>
      <a:accent1>
        <a:srgbClr val="00526B"/>
      </a:accent1>
      <a:accent2>
        <a:srgbClr val="B0E5F0"/>
      </a:accent2>
      <a:accent3>
        <a:srgbClr val="613D4F"/>
      </a:accent3>
      <a:accent4>
        <a:srgbClr val="FFDEE3"/>
      </a:accent4>
      <a:accent5>
        <a:srgbClr val="008556"/>
      </a:accent5>
      <a:accent6>
        <a:srgbClr val="CFF0D4"/>
      </a:accent6>
      <a:hlink>
        <a:srgbClr val="006D8F"/>
      </a:hlink>
      <a:folHlink>
        <a:srgbClr val="613D4F"/>
      </a:folHlink>
    </a:clrScheme>
    <a:fontScheme name="DO">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lobal_Document>
  <Responsible.Address.Email/>
  <Responsible.Address.Phone.Default/>
  <Responsible.FullName/>
  <Responsible.Signature/>
  <Responsible.Posistion/>
  <OriginalFormat/>
  <Department.Address.Email/>
  <Department.Name/>
  <Description/>
  <Dayname/>
  <DateDay/>
  <DateMonth/>
  <DocumentTypeCategory/>
  <Unit.Address.Email/>
  <Unit.Address.Street/>
  <Unit.Address.Phone.Fax/>
  <Unit.Address.Phone.Switchboard/>
  <Unit.Description/>
  <Unit.Manager.FullName/>
  <Unit.Manager.Posistion/>
  <Unit.Name/>
  <UnitPostalAddress/>
  <Estate/>
  <Estates/>
  <WhereToStore/>
  <ApprovedDate/>
  <ApproveStartDate/>
  <Approvers/>
  <NumberSequence/>
  <DocumentType.Name/>
  <Contact.Address.Email/>
  <Contact.Address.Street/>
  <Contact.Address.ZipCode/>
  <Contact.Address.Region/>
  <Contact.Address.Phone.Work/>
  <Contact.Address.Phone.Home/>
  <Contact.Address.Phone.Mobile/>
  <Contact.ContactPerson/>
  <Contact.Name/>
  <Gender/>
  <Note/>
  <PlaceInStore/>
  <Process/>
  <ActivityAreaProcess.ProcessCode/>
  <RegisteredDate/>
  <Secrecy/>
  <CreateDate/>
  <ReplyDate/>
  <Test/>
  <VersionNumber/>
  <ParentCase.Responsible.Address.Email/>
  <ParentCase.Responsible.Address.Phone.Default/>
  <ParentCase.Responsible.FullName/>
  <ParentCase.Responsible.Posistion/>
  <ParentCase.Description/>
  <ParentCase.NumberSequence/>
  <ParentCase.Contact.Address.Email/>
  <ParentCase.Contact.Address.Street/>
  <ParentCase.Contact.Address.ZipCode/>
  <ParentCase.Contact.Address.Region/>
  <ParentCase.Contact.Name/>
</Global_Document>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2025-10-20T07:31:45+00:00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A06AEA5-FDF8-4D63-9998-19E781EB06E8}">
  <ds:schemaRefs>
    <ds:schemaRef ds:uri="http://schemas.openxmlformats.org/officeDocument/2006/bibliography"/>
  </ds:schemaRefs>
</ds:datastoreItem>
</file>

<file path=customXml/itemProps2.xml><?xml version="1.0" encoding="utf-8"?>
<ds:datastoreItem xmlns:ds="http://schemas.openxmlformats.org/officeDocument/2006/customXml" ds:itemID="{3A6C9316-5F36-415D-BE1E-0BC757BA3098}">
  <ds:schemaRefs/>
</ds:datastoreItem>
</file>

<file path=customXml/itemProps3.xml><?xml version="1.0" encoding="utf-8"?>
<ds:datastoreItem xmlns:ds="http://schemas.openxmlformats.org/officeDocument/2006/customXml" ds:itemID="{5EB1A9CF-DC80-4AB1-8823-3660FB9D5359}"/>
</file>

<file path=customXml/itemProps4.xml><?xml version="1.0" encoding="utf-8"?>
<ds:datastoreItem xmlns:ds="http://schemas.openxmlformats.org/officeDocument/2006/customXml" ds:itemID="{C003AC6A-1994-4CF7-B80E-685900019785}"/>
</file>

<file path=customXml/itemProps5.xml><?xml version="1.0" encoding="utf-8"?>
<ds:datastoreItem xmlns:ds="http://schemas.openxmlformats.org/officeDocument/2006/customXml" ds:itemID="{9D8A7DF8-AC4E-4856-882A-19918E1F7E52}"/>
</file>

<file path=docProps/app.xml><?xml version="1.0" encoding="utf-8"?>
<Properties xmlns="http://schemas.openxmlformats.org/officeDocument/2006/extended-properties" xmlns:vt="http://schemas.openxmlformats.org/officeDocument/2006/docPropsVTypes">
  <Template>Rapport eller redovisning</Template>
  <TotalTime>1</TotalTime>
  <Pages>20</Pages>
  <Words>6435</Words>
  <Characters>34107</Characters>
  <Application>Microsoft Office Word</Application>
  <DocSecurity>4</DocSecurity>
  <Lines>284</Lines>
  <Paragraphs>80</Paragraphs>
  <ScaleCrop>false</ScaleCrop>
  <HeadingPairs>
    <vt:vector size="2" baseType="variant">
      <vt:variant>
        <vt:lpstr>Rubrik</vt:lpstr>
      </vt:variant>
      <vt:variant>
        <vt:i4>1</vt:i4>
      </vt:variant>
    </vt:vector>
  </HeadingPairs>
  <TitlesOfParts>
    <vt:vector size="1" baseType="lpstr">
      <vt:lpstr/>
    </vt:vector>
  </TitlesOfParts>
  <Manager>Kommunikationschef</Manager>
  <Company>DO</Company>
  <LinksUpToDate>false</LinksUpToDate>
  <CharactersWithSpaces>40462</CharactersWithSpaces>
  <SharedDoc>false</SharedDoc>
  <HLinks>
    <vt:vector size="6" baseType="variant">
      <vt:variant>
        <vt:i4>5898351</vt:i4>
      </vt:variant>
      <vt:variant>
        <vt:i4>15</vt:i4>
      </vt:variant>
      <vt:variant>
        <vt:i4>0</vt:i4>
      </vt:variant>
      <vt:variant>
        <vt:i4>5</vt:i4>
      </vt:variant>
      <vt:variant>
        <vt:lpwstr>mailto:do@do.se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Swedish Equality Ombudsman's written report to the UN Committee on the Elimination of Racial Discrimination</dc:title>
  <dc:subject>Report</dc:subject>
  <dc:creator>Swedish Equality Ombudsman (Diskrimineringsombudsmannen, DO)</dc:creator>
  <cp:lastModifiedBy>Janna Törneman</cp:lastModifiedBy>
  <cp:revision>2</cp:revision>
  <cp:lastPrinted>2019-05-02T08:34:00Z</cp:lastPrinted>
  <dcterms:created xsi:type="dcterms:W3CDTF">2025-10-17T07:16:00Z</dcterms:created>
  <dcterms:modified xsi:type="dcterms:W3CDTF">2025-10-17T07:16:00Z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