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73CD91" w14:textId="06BCD313" w:rsidR="00C77C4F" w:rsidRDefault="00000000">
      <w:pPr>
        <w:spacing w:line="240" w:lineRule="auto"/>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Asunto: Se remite información en relación al Estado mexicano </w:t>
      </w:r>
    </w:p>
    <w:p w14:paraId="30A22F4F" w14:textId="77777777" w:rsidR="00C77C4F" w:rsidRDefault="00000000">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b/>
          <w:sz w:val="24"/>
          <w:szCs w:val="24"/>
        </w:rPr>
        <w:t>y sus observaciones finales al cumplimiento del Pacto Internacional de Derechos Civiles y Políticos</w:t>
      </w:r>
    </w:p>
    <w:p w14:paraId="58FDB873" w14:textId="77777777" w:rsidR="00C77C4F" w:rsidRDefault="00C77C4F">
      <w:pPr>
        <w:spacing w:line="360" w:lineRule="auto"/>
        <w:rPr>
          <w:rFonts w:ascii="Times New Roman" w:eastAsia="Times New Roman" w:hAnsi="Times New Roman" w:cs="Times New Roman"/>
          <w:b/>
          <w:sz w:val="24"/>
          <w:szCs w:val="24"/>
        </w:rPr>
      </w:pPr>
    </w:p>
    <w:p w14:paraId="1899E9F3" w14:textId="77777777" w:rsidR="00C77C4F" w:rsidRDefault="00000000">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Presidente del Comité de Derechos Humanos</w:t>
      </w:r>
    </w:p>
    <w:p w14:paraId="63B0BE68" w14:textId="77777777" w:rsidR="00C77C4F" w:rsidRDefault="00C77C4F">
      <w:pPr>
        <w:spacing w:line="360" w:lineRule="auto"/>
        <w:rPr>
          <w:rFonts w:ascii="Times New Roman" w:eastAsia="Times New Roman" w:hAnsi="Times New Roman" w:cs="Times New Roman"/>
          <w:b/>
          <w:sz w:val="24"/>
          <w:szCs w:val="24"/>
        </w:rPr>
      </w:pPr>
    </w:p>
    <w:p w14:paraId="0E857F4A" w14:textId="77777777" w:rsidR="00C77C4F" w:rsidRDefault="00000000">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Relator especial designado para el seguimiento de las observaciones finales de los Estados parte en la implementación del Pacto Internacional de Derechos Civiles y Políticos</w:t>
      </w:r>
    </w:p>
    <w:p w14:paraId="3270F5C0" w14:textId="77777777" w:rsidR="00C77C4F" w:rsidRDefault="00C77C4F">
      <w:pPr>
        <w:spacing w:line="360" w:lineRule="auto"/>
        <w:rPr>
          <w:rFonts w:ascii="Times New Roman" w:eastAsia="Times New Roman" w:hAnsi="Times New Roman" w:cs="Times New Roman"/>
          <w:b/>
          <w:sz w:val="24"/>
          <w:szCs w:val="24"/>
        </w:rPr>
      </w:pPr>
    </w:p>
    <w:p w14:paraId="3290A59C" w14:textId="77777777" w:rsidR="00C77C4F"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Reciban un cordial saludo de parte de Propuesta Cívica, organización localizada en Ciudad de México, México. Propuesta Cívica es una asociación sin fines de lucro que inició sus operaciones desde 2011. Nos dedicamos a la tarea de contribuir a la protección de la libertad de expresión en México. </w:t>
      </w:r>
    </w:p>
    <w:p w14:paraId="722E29DC" w14:textId="77777777" w:rsidR="00C77C4F"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Nuestra labor se centra en la protección de los periodistas y los defensores de los derechos humanos que están expuestos a situaciones de amenaza y riesgo por ejercicio de su labor, la preparación de estudios sobre el tema y la presión ante las instituciones nacionales e internacionales para mejorar las condiciones en las que se ejerce la libertad de expresión en México.</w:t>
      </w:r>
    </w:p>
    <w:p w14:paraId="7008D51B" w14:textId="77777777" w:rsidR="00C77C4F"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Atendiendo al proceso de revisión periódica de los Estados Unidos Mexicanos o México en relación al cumplimiento de sus obligaciones y compromisos adquiridos al ratificar el Pacto Internacional de Derechos Civiles y Políticos, particularmente en relación a las </w:t>
      </w:r>
      <w:r>
        <w:rPr>
          <w:rFonts w:ascii="Times New Roman" w:eastAsia="Times New Roman" w:hAnsi="Times New Roman" w:cs="Times New Roman"/>
          <w:i/>
          <w:sz w:val="24"/>
          <w:szCs w:val="24"/>
        </w:rPr>
        <w:t>Observaciones finales sobre el sexto informe periódico</w:t>
      </w:r>
      <w:r>
        <w:rPr>
          <w:rFonts w:ascii="Times New Roman" w:eastAsia="Times New Roman" w:hAnsi="Times New Roman" w:cs="Times New Roman"/>
          <w:sz w:val="24"/>
          <w:szCs w:val="24"/>
        </w:rPr>
        <w:t xml:space="preserve">, del 4 de noviembre de 2019 y a la </w:t>
      </w:r>
      <w:r>
        <w:rPr>
          <w:rFonts w:ascii="Times New Roman" w:eastAsia="Times New Roman" w:hAnsi="Times New Roman" w:cs="Times New Roman"/>
          <w:i/>
          <w:sz w:val="24"/>
          <w:szCs w:val="24"/>
        </w:rPr>
        <w:t>Información recibida de México relativa al seguimiento de las observaciones finales sobre su sexto informe periódico</w:t>
      </w:r>
      <w:r>
        <w:rPr>
          <w:rFonts w:ascii="Times New Roman" w:eastAsia="Times New Roman" w:hAnsi="Times New Roman" w:cs="Times New Roman"/>
          <w:sz w:val="24"/>
          <w:szCs w:val="24"/>
        </w:rPr>
        <w:t>, del 18 de febrero de 2022, remitimos de manera oportuna información al siguiente información relacionada con el apartado IV, incisos A y C, del Informe presentado por el Estado mexicano:</w:t>
      </w:r>
    </w:p>
    <w:p w14:paraId="1DE45423" w14:textId="77777777" w:rsidR="00C77C4F" w:rsidRDefault="0000000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Información relacionada al inciso A, del apartado IV del informe, titulado </w:t>
      </w:r>
      <w:r>
        <w:rPr>
          <w:rFonts w:ascii="Times New Roman" w:eastAsia="Times New Roman" w:hAnsi="Times New Roman" w:cs="Times New Roman"/>
          <w:i/>
          <w:sz w:val="24"/>
          <w:szCs w:val="24"/>
        </w:rPr>
        <w:t>Fortalecimiento del Mecanismo para la Protección de Personas Defensoras de Derechos Humanos y Periodistas</w:t>
      </w:r>
      <w:r>
        <w:rPr>
          <w:rFonts w:ascii="Times New Roman" w:eastAsia="Times New Roman" w:hAnsi="Times New Roman" w:cs="Times New Roman"/>
          <w:sz w:val="24"/>
          <w:szCs w:val="24"/>
        </w:rPr>
        <w:t>:</w:t>
      </w:r>
    </w:p>
    <w:p w14:paraId="5B7C88C5" w14:textId="77777777" w:rsidR="00C77C4F" w:rsidRDefault="00C77C4F">
      <w:pPr>
        <w:spacing w:line="360" w:lineRule="auto"/>
        <w:jc w:val="both"/>
        <w:rPr>
          <w:rFonts w:ascii="Times New Roman" w:eastAsia="Times New Roman" w:hAnsi="Times New Roman" w:cs="Times New Roman"/>
          <w:sz w:val="24"/>
          <w:szCs w:val="24"/>
        </w:rPr>
      </w:pPr>
    </w:p>
    <w:p w14:paraId="5397E766" w14:textId="77777777" w:rsidR="00C77C4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Estado Mexicano reportó en su informe un aumento en la celeridad con la cual se pueden implementar las medidas de protección otorgadas por el Mecanismo de Protección para Personas Defensoras de Derechos Humanos y Periodistas, a través de la eliminación del fideicomiso y la implementación del </w:t>
      </w:r>
      <w:r>
        <w:rPr>
          <w:rFonts w:ascii="Times New Roman" w:eastAsia="Times New Roman" w:hAnsi="Times New Roman" w:cs="Times New Roman"/>
          <w:i/>
          <w:sz w:val="24"/>
          <w:szCs w:val="24"/>
        </w:rPr>
        <w:t>Fondo para la Protección de las Personas Defensoras de Derechos Humanos y Periodistas</w:t>
      </w:r>
      <w:r>
        <w:rPr>
          <w:rFonts w:ascii="Times New Roman" w:eastAsia="Times New Roman" w:hAnsi="Times New Roman" w:cs="Times New Roman"/>
          <w:sz w:val="24"/>
          <w:szCs w:val="24"/>
        </w:rPr>
        <w:t xml:space="preserve">. Para el Estado mexicano, el Fondo “ha demostrado ser un instrumento útil para contribuir a la rápida implementación de las medidas de protección en casos de extrema urgencia en todo el país”. </w:t>
      </w:r>
    </w:p>
    <w:p w14:paraId="05951B3C" w14:textId="77777777" w:rsidR="00C77C4F" w:rsidRDefault="00C77C4F">
      <w:pPr>
        <w:spacing w:line="360" w:lineRule="auto"/>
        <w:jc w:val="both"/>
        <w:rPr>
          <w:rFonts w:ascii="Times New Roman" w:eastAsia="Times New Roman" w:hAnsi="Times New Roman" w:cs="Times New Roman"/>
          <w:sz w:val="24"/>
          <w:szCs w:val="24"/>
        </w:rPr>
      </w:pPr>
    </w:p>
    <w:p w14:paraId="444284D8" w14:textId="77777777" w:rsidR="00C77C4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 obstante lo anterior, Propuesta Cívica está representando el caso del homicidio del periodista Gustavo Sánchez Cabrera, quien se encontraba en trámite de recibir medidas urgentes de protección y sin que estas hayan llegado en tiempo para prevenir su asesinato. El caso de Gustavo ejemplifica cómo las actuaciones de la institución no suelen ser tan prontas y expeditas como se asume por el Estado mexicano, teniendo como resultado el efecto contrario, porque dichas actuaciones  resultan ser negligentes y omisas. Anexo al presente informe se encuentra una breve narración del caso, con la intención de señalar las falencias del Mecanismo de protección a pesar de los avances que informa el Estado Mexicano a la comunidad internacional. </w:t>
      </w:r>
    </w:p>
    <w:p w14:paraId="46EF2736" w14:textId="77777777" w:rsidR="00C77C4F" w:rsidRDefault="00000000">
      <w:pPr>
        <w:numPr>
          <w:ilvl w:val="0"/>
          <w:numId w:val="3"/>
        </w:num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Información relacionada al inciso C, del apartado IV del informe, titulado </w:t>
      </w:r>
      <w:r>
        <w:rPr>
          <w:rFonts w:ascii="Times New Roman" w:eastAsia="Times New Roman" w:hAnsi="Times New Roman" w:cs="Times New Roman"/>
          <w:i/>
          <w:sz w:val="24"/>
          <w:szCs w:val="24"/>
        </w:rPr>
        <w:t>Fiscalía Especial para la Atención de Delitos cometidos contra la Libertad de Expresión</w:t>
      </w:r>
      <w:r>
        <w:rPr>
          <w:rFonts w:ascii="Times New Roman" w:eastAsia="Times New Roman" w:hAnsi="Times New Roman" w:cs="Times New Roman"/>
          <w:sz w:val="24"/>
          <w:szCs w:val="24"/>
        </w:rPr>
        <w:t xml:space="preserve"> y su anexo:</w:t>
      </w:r>
    </w:p>
    <w:p w14:paraId="5FC02D2A" w14:textId="77777777" w:rsidR="00C77C4F" w:rsidRDefault="00000000">
      <w:pPr>
        <w:numPr>
          <w:ilvl w:val="0"/>
          <w:numId w:val="1"/>
        </w:num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Aplicación del Protocolo Homologado de Investigación de Delitos Cometidos Contra la Libertad de Expresión.</w:t>
      </w:r>
    </w:p>
    <w:p w14:paraId="6A918955" w14:textId="77777777" w:rsidR="00C77C4F" w:rsidRDefault="00C77C4F">
      <w:pPr>
        <w:spacing w:line="360" w:lineRule="auto"/>
        <w:ind w:left="720"/>
        <w:jc w:val="both"/>
        <w:rPr>
          <w:rFonts w:ascii="Times New Roman" w:eastAsia="Times New Roman" w:hAnsi="Times New Roman" w:cs="Times New Roman"/>
          <w:sz w:val="24"/>
          <w:szCs w:val="24"/>
        </w:rPr>
      </w:pPr>
    </w:p>
    <w:p w14:paraId="6C4E835A" w14:textId="77777777" w:rsidR="00C77C4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existencia del protocolo homologado de investigación a cometidos contra la Libertad de Expresión es un avance significativo para la visibilización y reconocimiento de las personas </w:t>
      </w:r>
      <w:r>
        <w:rPr>
          <w:rFonts w:ascii="Times New Roman" w:eastAsia="Times New Roman" w:hAnsi="Times New Roman" w:cs="Times New Roman"/>
          <w:sz w:val="24"/>
          <w:szCs w:val="24"/>
        </w:rPr>
        <w:lastRenderedPageBreak/>
        <w:t>que fueron víctimas de un delito en razón del ejercicio de la libertad de expresión, sin embargo, no existen parámetros específicos que la FEADLE de a conocer sobre su correcta aplicación.</w:t>
      </w:r>
    </w:p>
    <w:p w14:paraId="1B120F1B" w14:textId="77777777" w:rsidR="00C77C4F" w:rsidRDefault="00C77C4F">
      <w:pPr>
        <w:spacing w:line="360" w:lineRule="auto"/>
        <w:jc w:val="both"/>
        <w:rPr>
          <w:rFonts w:ascii="Times New Roman" w:eastAsia="Times New Roman" w:hAnsi="Times New Roman" w:cs="Times New Roman"/>
          <w:sz w:val="24"/>
          <w:szCs w:val="24"/>
        </w:rPr>
      </w:pPr>
    </w:p>
    <w:p w14:paraId="1EDA3895" w14:textId="77777777" w:rsidR="00C77C4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Sin demeritar los avances reportados por el Estado mexicano, debe advertirse que la implementación del Protocolo Homologado ha quedado en manos de FEADLE, es decir, no hay constancia o evidencias sobre la aplicación del Protocolo en estados con altos índices de agresiones a periodistas, como Veracruz. </w:t>
      </w:r>
    </w:p>
    <w:p w14:paraId="34B96154" w14:textId="77777777" w:rsidR="00C77C4F" w:rsidRDefault="00C77C4F">
      <w:pPr>
        <w:spacing w:line="360" w:lineRule="auto"/>
        <w:jc w:val="both"/>
        <w:rPr>
          <w:rFonts w:ascii="Times New Roman" w:eastAsia="Times New Roman" w:hAnsi="Times New Roman" w:cs="Times New Roman"/>
          <w:sz w:val="24"/>
          <w:szCs w:val="24"/>
        </w:rPr>
      </w:pPr>
    </w:p>
    <w:p w14:paraId="46D7AC01" w14:textId="77777777" w:rsidR="00C77C4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 respecto, el Protocolo Homologado fue aprobado por la Conferencia Nacional de Fiscales y Procuradores de Justicia en México a través de la cual se pretendía dotar de fuerza al instrumento y estandarizar la investigación de delitos cometidos contra la libertad de expresión en México. Sin embargo, después de cinco años desde su aprobación, no existen datos duros ni estadísticas proporcionadas por las instituciones de procuración de justicia que permitan conocer el nivel de implementación del Protocolo en las 32 Fiscalías estatales existentes en México. </w:t>
      </w:r>
    </w:p>
    <w:p w14:paraId="5AEE900F" w14:textId="77777777" w:rsidR="00C77C4F" w:rsidRDefault="00C77C4F">
      <w:pPr>
        <w:spacing w:line="360" w:lineRule="auto"/>
        <w:jc w:val="both"/>
        <w:rPr>
          <w:rFonts w:ascii="Times New Roman" w:eastAsia="Times New Roman" w:hAnsi="Times New Roman" w:cs="Times New Roman"/>
          <w:sz w:val="24"/>
          <w:szCs w:val="24"/>
        </w:rPr>
      </w:pPr>
    </w:p>
    <w:p w14:paraId="0D19664B" w14:textId="77777777" w:rsidR="00C77C4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Protocolo Homologado genera la obligación de crear un plan de investigación para la atención de delitos cometidos contra la libertad de expresión. A la fecha, no existen indicadores institucionales que permitan conocer el número de planes de investigación que la FEADLE ha realizado desde la entrada en vigor del Protocolo. Al igual que el punto pasado, las autoridades estatales de procuración de justicia tampoco cuentan con estadísticas al respecto. </w:t>
      </w:r>
    </w:p>
    <w:p w14:paraId="227612BB" w14:textId="77777777" w:rsidR="00C77C4F" w:rsidRDefault="00C77C4F">
      <w:pPr>
        <w:spacing w:line="360" w:lineRule="auto"/>
        <w:jc w:val="both"/>
        <w:rPr>
          <w:rFonts w:ascii="Times New Roman" w:eastAsia="Times New Roman" w:hAnsi="Times New Roman" w:cs="Times New Roman"/>
          <w:sz w:val="24"/>
          <w:szCs w:val="24"/>
        </w:rPr>
      </w:pPr>
    </w:p>
    <w:p w14:paraId="26B94E5A" w14:textId="77777777" w:rsidR="00C77C4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Otro aspecto a destacar es la nula información que se cuenta en relación a la integración de la perspectiva de género en las investigaciones de la FEADLE, únicamente se precisa la existencia de la Unidad de Género mas no sus atribuciones o intervención dentro de las investigaciones. A través de nuestra publicación En nuestra última publicación, </w:t>
      </w:r>
      <w:r>
        <w:rPr>
          <w:rFonts w:ascii="Times New Roman" w:eastAsia="Times New Roman" w:hAnsi="Times New Roman" w:cs="Times New Roman"/>
          <w:i/>
          <w:sz w:val="24"/>
          <w:szCs w:val="24"/>
        </w:rPr>
        <w:t>Impunidad Sistémica: Análisis de la investigación y judicialización por los homicidios de los periodistas Miroslava Breach Velducea y Javier Arturo Valdez Cárdenas</w:t>
      </w:r>
      <w:r>
        <w:rPr>
          <w:rFonts w:ascii="Times New Roman" w:eastAsia="Times New Roman" w:hAnsi="Times New Roman" w:cs="Times New Roman"/>
          <w:i/>
          <w:sz w:val="24"/>
          <w:szCs w:val="24"/>
          <w:vertAlign w:val="superscript"/>
        </w:rPr>
        <w:footnoteReference w:id="1"/>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apuntamos a la necesidad de incorporar la perspectiva de género dentro de las investigaciones en las cuales la víctima sea una mujer </w:t>
      </w:r>
      <w:r>
        <w:rPr>
          <w:rFonts w:ascii="Times New Roman" w:eastAsia="Times New Roman" w:hAnsi="Times New Roman" w:cs="Times New Roman"/>
          <w:sz w:val="24"/>
          <w:szCs w:val="24"/>
        </w:rPr>
        <w:lastRenderedPageBreak/>
        <w:t>periodista. Es indispensable que estos delitos no solo incorporan la posibilidad de ser un delito cometido contra la libertad de expresión de la víctima, si no que en determinados contextos esta puede adquirir rasgos de violencia de género que deben ser analizados para la atención del caso.</w:t>
      </w:r>
    </w:p>
    <w:p w14:paraId="2DFF91F0" w14:textId="77777777" w:rsidR="00C77C4F" w:rsidRDefault="00C77C4F">
      <w:pPr>
        <w:spacing w:line="360" w:lineRule="auto"/>
        <w:jc w:val="both"/>
        <w:rPr>
          <w:rFonts w:ascii="Times New Roman" w:eastAsia="Times New Roman" w:hAnsi="Times New Roman" w:cs="Times New Roman"/>
          <w:sz w:val="24"/>
          <w:szCs w:val="24"/>
        </w:rPr>
      </w:pPr>
    </w:p>
    <w:p w14:paraId="408E635A" w14:textId="77777777" w:rsidR="00C77C4F" w:rsidRDefault="00000000">
      <w:pPr>
        <w:numPr>
          <w:ilvl w:val="0"/>
          <w:numId w:val="1"/>
        </w:num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Colaboración con las fiscalías generales en los casos se hace precisión al inicio de investigaciones en paralelo con las estatales, pero no confirma si hay o no una colaboración estrecha con ellas.</w:t>
      </w:r>
    </w:p>
    <w:p w14:paraId="31865242" w14:textId="77777777" w:rsidR="00C77C4F" w:rsidRDefault="00C77C4F">
      <w:pPr>
        <w:spacing w:line="360" w:lineRule="auto"/>
        <w:jc w:val="both"/>
        <w:rPr>
          <w:rFonts w:ascii="Times New Roman" w:eastAsia="Times New Roman" w:hAnsi="Times New Roman" w:cs="Times New Roman"/>
          <w:sz w:val="24"/>
          <w:szCs w:val="24"/>
        </w:rPr>
      </w:pPr>
    </w:p>
    <w:p w14:paraId="090E6A4C" w14:textId="77777777" w:rsidR="00C77C4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Las Fiscalías Generales de Justicia de cada uno de los Estados también conocen sobre delitos cometidos en contra de periodistas en ejercicio de su labor, por lo que FEADLE ha manifestado su colaboración con cada una de ellas para el esclarecimiento de los hechos de los delitos cometidos en contra de la libertad de expresión que estén bajo la competencia de cada uno de estos Estados, sin embargo y, derivado de la transparencia de la Fiscalía Especial para la Atención a Delitos Cometidos contra la Libertad de Expresión, en sus informes de actividades, desde mayo de 2017 a diciembre de 2022, no ha sostenido ninguna reunión con las Fiscalías Generales. </w:t>
      </w:r>
    </w:p>
    <w:p w14:paraId="0910A18E" w14:textId="77777777" w:rsidR="00C77C4F" w:rsidRDefault="00C77C4F">
      <w:pPr>
        <w:spacing w:line="360" w:lineRule="auto"/>
        <w:jc w:val="both"/>
        <w:rPr>
          <w:rFonts w:ascii="Times New Roman" w:eastAsia="Times New Roman" w:hAnsi="Times New Roman" w:cs="Times New Roman"/>
          <w:sz w:val="24"/>
          <w:szCs w:val="24"/>
        </w:rPr>
      </w:pPr>
    </w:p>
    <w:p w14:paraId="5E12840C" w14:textId="77777777" w:rsidR="00C77C4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w:t>
      </w:r>
      <w:r>
        <w:rPr>
          <w:rFonts w:ascii="Times New Roman" w:eastAsia="Times New Roman" w:hAnsi="Times New Roman" w:cs="Times New Roman"/>
          <w:i/>
          <w:sz w:val="24"/>
          <w:szCs w:val="24"/>
        </w:rPr>
        <w:t>Impunidad Sistémica</w:t>
      </w:r>
      <w:r>
        <w:rPr>
          <w:rFonts w:ascii="Times New Roman" w:eastAsia="Times New Roman" w:hAnsi="Times New Roman" w:cs="Times New Roman"/>
          <w:sz w:val="24"/>
          <w:szCs w:val="24"/>
        </w:rPr>
        <w:t>, identificamos que es fundamental la colaboración y coordinación entre Fiscalías estatales y la FEADLE en la atención de homicidios cometidos contra periodistas. De los más de 150 homicidios documentados por diversas organizaciones de la sociedad civil, entre ellas Propuesta Cívica y Reporteros Sin Fronteras</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la mayoría se cometen en diversas regiones del país, lo cual dificulta el traslado oportuno del equipo de FEADLE (ministerios públicos, policías de investigación y peritos) a la escena de los hechos para la realización de las primeras actividades de investigación. </w:t>
      </w:r>
    </w:p>
    <w:p w14:paraId="0760BACC" w14:textId="77777777" w:rsidR="00C77C4F" w:rsidRDefault="00C77C4F">
      <w:pPr>
        <w:spacing w:line="360" w:lineRule="auto"/>
        <w:jc w:val="both"/>
        <w:rPr>
          <w:rFonts w:ascii="Times New Roman" w:eastAsia="Times New Roman" w:hAnsi="Times New Roman" w:cs="Times New Roman"/>
          <w:sz w:val="24"/>
          <w:szCs w:val="24"/>
        </w:rPr>
      </w:pPr>
    </w:p>
    <w:p w14:paraId="24EACFF2" w14:textId="77777777" w:rsidR="00C77C4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Asimismo, son las autoridades estatales quienes tienen la responsabilidad de continuar con el esclarecimiento de los hechos hasta que la FEADLE tome la decisión de declararse competente o de “atraer” la investigación, es decir, asumir la responsabilidad legal de continuar con el esclarecimiento de los hechos y la identificación de los responsables.</w:t>
      </w:r>
    </w:p>
    <w:p w14:paraId="5F38345B" w14:textId="77777777" w:rsidR="00C77C4F" w:rsidRDefault="00C77C4F">
      <w:pPr>
        <w:spacing w:line="360" w:lineRule="auto"/>
        <w:jc w:val="both"/>
        <w:rPr>
          <w:rFonts w:ascii="Times New Roman" w:eastAsia="Times New Roman" w:hAnsi="Times New Roman" w:cs="Times New Roman"/>
          <w:sz w:val="24"/>
          <w:szCs w:val="24"/>
        </w:rPr>
      </w:pPr>
    </w:p>
    <w:p w14:paraId="0A3D5ECE" w14:textId="77777777" w:rsidR="00C77C4F" w:rsidRDefault="00000000">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Ejercicio de FEADLE de la facultad de atracción en casos que originalmente son competencia de las Fiscalías estatales.</w:t>
      </w:r>
    </w:p>
    <w:p w14:paraId="6F6AACD8" w14:textId="77777777" w:rsidR="00C77C4F" w:rsidRDefault="00C77C4F">
      <w:pPr>
        <w:spacing w:line="360" w:lineRule="auto"/>
        <w:jc w:val="both"/>
        <w:rPr>
          <w:rFonts w:ascii="Times New Roman" w:eastAsia="Times New Roman" w:hAnsi="Times New Roman" w:cs="Times New Roman"/>
          <w:sz w:val="24"/>
          <w:szCs w:val="24"/>
        </w:rPr>
      </w:pPr>
    </w:p>
    <w:p w14:paraId="6A75DA85" w14:textId="77777777" w:rsidR="00C77C4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Respecto al ejercicio de la facultad de atracción, el Protocolo Homologado precisa que es una atribución discrecional de la FEADLE el conocer de delitos cometidos contra periodistas que son de competencia </w:t>
      </w:r>
      <w:r>
        <w:rPr>
          <w:rFonts w:ascii="Times New Roman" w:eastAsia="Times New Roman" w:hAnsi="Times New Roman" w:cs="Times New Roman"/>
          <w:i/>
          <w:sz w:val="24"/>
          <w:szCs w:val="24"/>
        </w:rPr>
        <w:t>originaria</w:t>
      </w:r>
      <w:r>
        <w:rPr>
          <w:rFonts w:ascii="Times New Roman" w:eastAsia="Times New Roman" w:hAnsi="Times New Roman" w:cs="Times New Roman"/>
          <w:sz w:val="24"/>
          <w:szCs w:val="24"/>
        </w:rPr>
        <w:t xml:space="preserve"> de Fiscalías estatales. Sin embargo, el Protocolo no da pautas precisas para delimitar la discrecionalidad de este ejercicio, limitándose a reproducir los parámetros que se encuentran en el Código Nacional de Procedimientos Penales. </w:t>
      </w:r>
    </w:p>
    <w:p w14:paraId="464D0A7D" w14:textId="77777777" w:rsidR="00C77C4F" w:rsidRDefault="00C77C4F">
      <w:pPr>
        <w:spacing w:line="360" w:lineRule="auto"/>
        <w:jc w:val="both"/>
        <w:rPr>
          <w:rFonts w:ascii="Times New Roman" w:eastAsia="Times New Roman" w:hAnsi="Times New Roman" w:cs="Times New Roman"/>
          <w:sz w:val="24"/>
          <w:szCs w:val="24"/>
        </w:rPr>
      </w:pPr>
    </w:p>
    <w:p w14:paraId="14984603" w14:textId="77777777" w:rsidR="00C77C4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inexistencia de directrices legales que delimiten la toma de decisiones institucionales que impactan en la política de persecución penal de la FGR se traduce en </w:t>
      </w:r>
      <w:r>
        <w:rPr>
          <w:rFonts w:ascii="Times New Roman" w:eastAsia="Times New Roman" w:hAnsi="Times New Roman" w:cs="Times New Roman"/>
          <w:i/>
          <w:sz w:val="24"/>
          <w:szCs w:val="24"/>
        </w:rPr>
        <w:t xml:space="preserve">personalización </w:t>
      </w:r>
      <w:r>
        <w:rPr>
          <w:rFonts w:ascii="Times New Roman" w:eastAsia="Times New Roman" w:hAnsi="Times New Roman" w:cs="Times New Roman"/>
          <w:sz w:val="24"/>
          <w:szCs w:val="24"/>
        </w:rPr>
        <w:t>de los procesos de toma de decisiones en la institución, es decir: los delitos que se consideren prioritarios o no para ser atraídos por la federación y garantizar la imparcialidad o celeridad de la investigación estarán a consideración de lo o el titular de FEADLE en turno, siendo desatendidos dentro de una política integral de investigación y judicialización de aquellos delitos que se consideren relevantes en contra de la libertad de expresión en México.</w:t>
      </w:r>
    </w:p>
    <w:p w14:paraId="30C2AA72" w14:textId="77777777" w:rsidR="00C77C4F" w:rsidRDefault="00C77C4F">
      <w:pPr>
        <w:spacing w:line="360" w:lineRule="auto"/>
        <w:jc w:val="both"/>
        <w:rPr>
          <w:rFonts w:ascii="Times New Roman" w:eastAsia="Times New Roman" w:hAnsi="Times New Roman" w:cs="Times New Roman"/>
          <w:sz w:val="24"/>
          <w:szCs w:val="24"/>
        </w:rPr>
      </w:pPr>
    </w:p>
    <w:p w14:paraId="3711AA96" w14:textId="664DAF89" w:rsidR="00C77C4F" w:rsidRDefault="00000000">
      <w:pPr>
        <w:numPr>
          <w:ilvl w:val="0"/>
          <w:numId w:val="4"/>
        </w:num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Uso indiscriminado de soluciones alternativas en casos de delitos </w:t>
      </w:r>
      <w:r w:rsidR="001B498C">
        <w:rPr>
          <w:rFonts w:ascii="Times New Roman" w:eastAsia="Times New Roman" w:hAnsi="Times New Roman" w:cs="Times New Roman"/>
          <w:i/>
          <w:sz w:val="24"/>
          <w:szCs w:val="24"/>
        </w:rPr>
        <w:t>cometidos contra</w:t>
      </w:r>
      <w:r>
        <w:rPr>
          <w:rFonts w:ascii="Times New Roman" w:eastAsia="Times New Roman" w:hAnsi="Times New Roman" w:cs="Times New Roman"/>
          <w:i/>
          <w:sz w:val="24"/>
          <w:szCs w:val="24"/>
        </w:rPr>
        <w:t xml:space="preserve"> periodistas en razón de su labor.</w:t>
      </w:r>
    </w:p>
    <w:p w14:paraId="3BCA07CC" w14:textId="77777777" w:rsidR="00C77C4F" w:rsidRDefault="00C77C4F">
      <w:pPr>
        <w:spacing w:line="360" w:lineRule="auto"/>
        <w:ind w:left="720"/>
        <w:jc w:val="both"/>
        <w:rPr>
          <w:rFonts w:ascii="Times New Roman" w:eastAsia="Times New Roman" w:hAnsi="Times New Roman" w:cs="Times New Roman"/>
          <w:sz w:val="24"/>
          <w:szCs w:val="24"/>
        </w:rPr>
      </w:pPr>
    </w:p>
    <w:p w14:paraId="5099E5A4" w14:textId="77777777" w:rsidR="00C77C4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uso de soluciones alternativas al proceso penal tales como la suspensión condicional del proceso y el acuerdo reparatorio en el sistema penal acusatorio y adversarial surgen como una necesidad de reparar a la víctima de una manera más pronta y eficaz sin agotar todo el procedimiento penal. Es decir, se deja a la víctima como eje y se prioriza su reparación antes que el castigo de la persona imputada. </w:t>
      </w:r>
    </w:p>
    <w:p w14:paraId="3B0B97D3" w14:textId="77777777" w:rsidR="00C77C4F" w:rsidRDefault="00C77C4F">
      <w:pPr>
        <w:spacing w:line="360" w:lineRule="auto"/>
        <w:jc w:val="both"/>
        <w:rPr>
          <w:rFonts w:ascii="Times New Roman" w:eastAsia="Times New Roman" w:hAnsi="Times New Roman" w:cs="Times New Roman"/>
          <w:sz w:val="24"/>
          <w:szCs w:val="24"/>
        </w:rPr>
      </w:pPr>
    </w:p>
    <w:p w14:paraId="46CC4BEC" w14:textId="07418766" w:rsidR="00C77C4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Desde la experiencia de Propuesta Cívica durante el acompañamiento del litigio de los casos a periodistas, hemos identificado que en diversas ocasiones la FEADLE  utiliza de una forma discrecional estas soluciones alternas al proceso, cifras de FEADLE apuntan que de 2018 a 2021 de 101 casos con acceso pleno a la justicia, el 42.6% se dio a través de suspensiones condicionales al proceso, el 29.7% mediante acuerdos reparatorios, y </w:t>
      </w:r>
      <w:r w:rsidR="001B498C">
        <w:rPr>
          <w:rFonts w:ascii="Times New Roman" w:eastAsia="Times New Roman" w:hAnsi="Times New Roman" w:cs="Times New Roman"/>
          <w:sz w:val="24"/>
          <w:szCs w:val="24"/>
        </w:rPr>
        <w:t>solamente</w:t>
      </w:r>
      <w:r>
        <w:rPr>
          <w:rFonts w:ascii="Times New Roman" w:eastAsia="Times New Roman" w:hAnsi="Times New Roman" w:cs="Times New Roman"/>
          <w:sz w:val="24"/>
          <w:szCs w:val="24"/>
        </w:rPr>
        <w:t xml:space="preserve"> el 27.7% por sentencias.</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w:t>
      </w:r>
    </w:p>
    <w:p w14:paraId="26898782" w14:textId="77777777" w:rsidR="00C77C4F" w:rsidRDefault="00C77C4F">
      <w:pPr>
        <w:spacing w:line="360" w:lineRule="auto"/>
        <w:jc w:val="both"/>
        <w:rPr>
          <w:rFonts w:ascii="Times New Roman" w:eastAsia="Times New Roman" w:hAnsi="Times New Roman" w:cs="Times New Roman"/>
          <w:sz w:val="24"/>
          <w:szCs w:val="24"/>
        </w:rPr>
      </w:pPr>
    </w:p>
    <w:p w14:paraId="052059DA" w14:textId="77777777" w:rsidR="00C77C4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Las soluciones alternas traen como condicionante acuerdos reparatorios o un plan de reparación, sin embargo, el primer problema que trae el uso de forma discrecional las soluciones alternas al proceso aterriza porque la legislación mexicana no regula de manera expresa una reparación integral del daño en las mismas. En los acuerdos reparatorios, las medidas de reparación se concentran en el componente de satisfacción con el 53.8% y compensación económica con el  46.7%</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De estas cifras podemos concluir que la reparación se limita a una compensación económica, dejando de lado las medidas de restitución, rehabilitación y no repetición.</w:t>
      </w:r>
    </w:p>
    <w:p w14:paraId="4523A895" w14:textId="77777777" w:rsidR="00C77C4F" w:rsidRDefault="00C77C4F">
      <w:pPr>
        <w:spacing w:line="360" w:lineRule="auto"/>
        <w:jc w:val="both"/>
        <w:rPr>
          <w:rFonts w:ascii="Times New Roman" w:eastAsia="Times New Roman" w:hAnsi="Times New Roman" w:cs="Times New Roman"/>
          <w:sz w:val="24"/>
          <w:szCs w:val="24"/>
        </w:rPr>
      </w:pPr>
    </w:p>
    <w:p w14:paraId="0407324D" w14:textId="77777777" w:rsidR="00C77C4F" w:rsidRDefault="00C77C4F">
      <w:pPr>
        <w:spacing w:line="360" w:lineRule="auto"/>
        <w:jc w:val="both"/>
        <w:rPr>
          <w:rFonts w:ascii="Times New Roman" w:eastAsia="Times New Roman" w:hAnsi="Times New Roman" w:cs="Times New Roman"/>
          <w:sz w:val="24"/>
          <w:szCs w:val="24"/>
        </w:rPr>
      </w:pPr>
    </w:p>
    <w:p w14:paraId="2321631B" w14:textId="77777777" w:rsidR="00C77C4F" w:rsidRDefault="00C77C4F">
      <w:pPr>
        <w:spacing w:line="360" w:lineRule="auto"/>
        <w:jc w:val="both"/>
        <w:rPr>
          <w:rFonts w:ascii="Times New Roman" w:eastAsia="Times New Roman" w:hAnsi="Times New Roman" w:cs="Times New Roman"/>
          <w:sz w:val="24"/>
          <w:szCs w:val="24"/>
        </w:rPr>
      </w:pPr>
    </w:p>
    <w:p w14:paraId="52E3BFF3" w14:textId="77777777" w:rsidR="00C77C4F" w:rsidRDefault="00C77C4F">
      <w:pPr>
        <w:spacing w:line="360" w:lineRule="auto"/>
        <w:jc w:val="both"/>
        <w:rPr>
          <w:rFonts w:ascii="Times New Roman" w:eastAsia="Times New Roman" w:hAnsi="Times New Roman" w:cs="Times New Roman"/>
          <w:sz w:val="24"/>
          <w:szCs w:val="24"/>
        </w:rPr>
      </w:pPr>
    </w:p>
    <w:p w14:paraId="0647AF83" w14:textId="77777777" w:rsidR="00C77C4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cuanto a la suspensión condicional del proceso, la reparación consta de rehabilitación (8.6%), compensación (14.7%), satisfacción (15.7%) y no repetición (60.9%)</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De las presentes cifras podemos rescatar que, además de descartar la medida de restitución, la compensación económica como medida de reparación no suele ser proporcional al daño conferido a la víctima por la capacidad económica de la persona imputada.</w:t>
      </w:r>
    </w:p>
    <w:p w14:paraId="0724ED17" w14:textId="77777777" w:rsidR="00C77C4F" w:rsidRDefault="00C77C4F">
      <w:pPr>
        <w:spacing w:line="360" w:lineRule="auto"/>
        <w:jc w:val="both"/>
        <w:rPr>
          <w:rFonts w:ascii="Times New Roman" w:eastAsia="Times New Roman" w:hAnsi="Times New Roman" w:cs="Times New Roman"/>
          <w:sz w:val="24"/>
          <w:szCs w:val="24"/>
        </w:rPr>
      </w:pPr>
    </w:p>
    <w:p w14:paraId="2EA83D2F" w14:textId="77777777" w:rsidR="00C77C4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lo concerniente a la medidas de satisfacción consistente en la disculpa pública, tanto en el acuerdo reparatorio como en la suspensión condicional del proceso al ser disculpas realizadas por personas y no por el Estado, no existen ni por legislación ni por antecedentes estándares </w:t>
      </w:r>
      <w:r>
        <w:rPr>
          <w:rFonts w:ascii="Times New Roman" w:eastAsia="Times New Roman" w:hAnsi="Times New Roman" w:cs="Times New Roman"/>
          <w:sz w:val="24"/>
          <w:szCs w:val="24"/>
        </w:rPr>
        <w:lastRenderedPageBreak/>
        <w:t xml:space="preserve">mínimos para el cumplimiento de esta, dejando plena libertad a la persona con obligación de proporcionarla que la disculpa sea ambigua y sin contexto,  por lo que la reparación no suele ser ni integral ni proporcional a los daños causados. Las soluciones alternas son una herramienta necesaria para agilizar y hacer más eficiente la impartición de justicia penal, pero no siempre es la más idónea. </w:t>
      </w:r>
    </w:p>
    <w:p w14:paraId="074005E6" w14:textId="77777777" w:rsidR="00C77C4F" w:rsidRDefault="00C77C4F">
      <w:pPr>
        <w:spacing w:line="360" w:lineRule="auto"/>
        <w:jc w:val="both"/>
        <w:rPr>
          <w:rFonts w:ascii="Times New Roman" w:eastAsia="Times New Roman" w:hAnsi="Times New Roman" w:cs="Times New Roman"/>
          <w:sz w:val="24"/>
          <w:szCs w:val="24"/>
        </w:rPr>
      </w:pPr>
    </w:p>
    <w:p w14:paraId="3E2F0985" w14:textId="77777777" w:rsidR="00C77C4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segundo problema  al usar de manera indiscriminada el uso de soluciones alternas es que </w:t>
      </w:r>
      <w:r>
        <w:rPr>
          <w:rFonts w:ascii="Times New Roman" w:eastAsia="Times New Roman" w:hAnsi="Times New Roman" w:cs="Times New Roman"/>
          <w:b/>
          <w:sz w:val="24"/>
          <w:szCs w:val="24"/>
        </w:rPr>
        <w:t>se  deja en inobservancia la calidad de la persona imputada y el objetivo que buscó al cometer el delito en contra de la persona periodista, mismo que se traduce en su silencio</w:t>
      </w:r>
      <w:r>
        <w:rPr>
          <w:rFonts w:ascii="Times New Roman" w:eastAsia="Times New Roman" w:hAnsi="Times New Roman" w:cs="Times New Roman"/>
          <w:sz w:val="24"/>
          <w:szCs w:val="24"/>
        </w:rPr>
        <w:t>, específicamente cuando la persona periodista escribe, investiga y da a conocer graves violaciones de derechos humanos y vínculos de los gobiernos con el narcotráfico, sin dejar de lado las malas prácticas existentes donde la defensa o la fiscalía convencen a la persona imputada para que acepte la suspensión condicional, por economía del proceso pero sin tener elementos de prueba razonables que permitan deducir que existe la probabilidad de que la persona imputada cometió el delito en cuestión.</w:t>
      </w:r>
    </w:p>
    <w:p w14:paraId="2D8CF94D" w14:textId="77777777" w:rsidR="00C77C4F" w:rsidRDefault="00C77C4F">
      <w:pPr>
        <w:spacing w:line="360" w:lineRule="auto"/>
        <w:jc w:val="both"/>
        <w:rPr>
          <w:rFonts w:ascii="Times New Roman" w:eastAsia="Times New Roman" w:hAnsi="Times New Roman" w:cs="Times New Roman"/>
          <w:sz w:val="24"/>
          <w:szCs w:val="24"/>
        </w:rPr>
      </w:pPr>
    </w:p>
    <w:p w14:paraId="1444CB7A" w14:textId="77777777" w:rsidR="00C77C4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 por lo anterior que, en seguimiento al proceso de consulta con sociedad civil mexicana respecto al Informe presentado por el Estado mexicano en cumplimiento a sus obligaciones internacionales emanadas del Pacto Internacional de Derechos Civiles y Políticos, recomendamos al Comité de Derechos Humanos:</w:t>
      </w:r>
    </w:p>
    <w:p w14:paraId="2E3ECC41" w14:textId="77777777" w:rsidR="00C77C4F" w:rsidRDefault="00C77C4F">
      <w:pPr>
        <w:spacing w:line="360" w:lineRule="auto"/>
        <w:jc w:val="both"/>
        <w:rPr>
          <w:rFonts w:ascii="Times New Roman" w:eastAsia="Times New Roman" w:hAnsi="Times New Roman" w:cs="Times New Roman"/>
          <w:sz w:val="24"/>
          <w:szCs w:val="24"/>
        </w:rPr>
      </w:pPr>
    </w:p>
    <w:p w14:paraId="3A2EB7A6" w14:textId="77777777" w:rsidR="00C77C4F"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Solicitar el Estado mexicano, la implementación de todas las medidas legislativas, administrativas y de cualquier índole que permitan la adecuada implementación de medidas de prevención y protección para personas defensoras de derechos humanos y periodistas en situaciones de riesgo consideradas urgentes y prioritarias, así como las medidas de corrección y de responsabilidad legal para los funcionarios que incumplan en el proceso de implementación de las mismas.</w:t>
      </w:r>
    </w:p>
    <w:p w14:paraId="2D483392" w14:textId="77777777" w:rsidR="00C77C4F"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Solicitar al Estado mexicano la implementación de un monitoreo de seguimiento al protocolo homologado de investigación de delitos cometidos contra la libertad de expresión a nivel federal y estatal con indicadores de cumplimiento para tener certeza de su correcta aplicación.</w:t>
      </w:r>
    </w:p>
    <w:p w14:paraId="45EF40D4" w14:textId="6C94212A" w:rsidR="00C77C4F"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Recomendar a la Fiscalía Especial para la Atención a Delitos cometidos contra la Libertad de Expresión (FEADLE) que en los casos donde se cometan delitos en contra de mujeres periodistas, es necesario que realice un plan de investigación dirigido no </w:t>
      </w:r>
      <w:r w:rsidR="001B498C">
        <w:rPr>
          <w:rFonts w:ascii="Times New Roman" w:eastAsia="Times New Roman" w:hAnsi="Times New Roman" w:cs="Times New Roman"/>
          <w:sz w:val="24"/>
          <w:szCs w:val="24"/>
        </w:rPr>
        <w:t>solamente</w:t>
      </w:r>
      <w:r>
        <w:rPr>
          <w:rFonts w:ascii="Times New Roman" w:eastAsia="Times New Roman" w:hAnsi="Times New Roman" w:cs="Times New Roman"/>
          <w:sz w:val="24"/>
          <w:szCs w:val="24"/>
        </w:rPr>
        <w:t xml:space="preserve"> a su actividad periodística, sino que sea realizado con un análisis interseccional, atendiendo a su doble vulnerabilidad como mujer periodista, donde se pueda visibilizar. Esta recomendación debe ampliarse a todas las autoridades de procuración e impartición de justicia en México.</w:t>
      </w:r>
    </w:p>
    <w:p w14:paraId="0696E839" w14:textId="77777777" w:rsidR="00C77C4F"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Solicitar a la FEADLE un esquema de cooperación donde pueda brindar apoyo a las Fiscalías Estatales  con actos de investigación, tales como la realización de análisis de contexto y redes de vínculos, así como capacitación al personal de las Fiscalías Estatales encaminada a llevar la investigación con enfoque de libertad de expresión. </w:t>
      </w:r>
    </w:p>
    <w:p w14:paraId="66579910" w14:textId="77777777" w:rsidR="00C77C4F"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Solicitar a la FEADLE la creación de directrices, parámetros y/o criterios para la atracción de casos donde se cometieron delitos en contra de la libertad de expresión.</w:t>
      </w:r>
    </w:p>
    <w:p w14:paraId="4997EA28" w14:textId="77777777" w:rsidR="00C77C4F"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Solicitar a la FEADLE la realización de un análisis exhaustivo sobre los procesos que requieran ser finalizados por soluciones alternas al procedimiento, con la finalidad de contar con parámetros objetivos que valoren la pertinencia e idoneidad de estos mecanismos en casos de agresiones contra la libertad de expresión.</w:t>
      </w:r>
    </w:p>
    <w:p w14:paraId="63FED739" w14:textId="77777777" w:rsidR="00C77C4F" w:rsidRDefault="00C77C4F">
      <w:pPr>
        <w:spacing w:line="360" w:lineRule="auto"/>
        <w:jc w:val="both"/>
        <w:rPr>
          <w:rFonts w:ascii="Times New Roman" w:eastAsia="Times New Roman" w:hAnsi="Times New Roman" w:cs="Times New Roman"/>
          <w:sz w:val="24"/>
          <w:szCs w:val="24"/>
        </w:rPr>
      </w:pPr>
    </w:p>
    <w:p w14:paraId="4293859E" w14:textId="77777777" w:rsidR="00C77C4F" w:rsidRDefault="00C77C4F">
      <w:pPr>
        <w:spacing w:line="360" w:lineRule="auto"/>
        <w:jc w:val="both"/>
        <w:rPr>
          <w:rFonts w:ascii="Times New Roman" w:eastAsia="Times New Roman" w:hAnsi="Times New Roman" w:cs="Times New Roman"/>
          <w:b/>
          <w:i/>
          <w:sz w:val="24"/>
          <w:szCs w:val="24"/>
        </w:rPr>
      </w:pPr>
    </w:p>
    <w:p w14:paraId="3079C50F" w14:textId="77777777" w:rsidR="00C77C4F" w:rsidRDefault="00C77C4F">
      <w:pPr>
        <w:spacing w:line="360" w:lineRule="auto"/>
        <w:jc w:val="both"/>
        <w:rPr>
          <w:rFonts w:ascii="Times New Roman" w:eastAsia="Times New Roman" w:hAnsi="Times New Roman" w:cs="Times New Roman"/>
          <w:b/>
          <w:i/>
          <w:sz w:val="24"/>
          <w:szCs w:val="24"/>
        </w:rPr>
      </w:pPr>
    </w:p>
    <w:p w14:paraId="4A898EF0" w14:textId="77777777" w:rsidR="00C77C4F" w:rsidRDefault="00000000">
      <w:pPr>
        <w:spacing w:line="360" w:lineRule="auto"/>
        <w:jc w:val="both"/>
        <w:rPr>
          <w:rFonts w:ascii="Times New Roman" w:eastAsia="Times New Roman" w:hAnsi="Times New Roman" w:cs="Times New Roman"/>
          <w:b/>
          <w:i/>
          <w:sz w:val="24"/>
          <w:szCs w:val="24"/>
        </w:rPr>
      </w:pPr>
      <w:r>
        <w:br w:type="page"/>
      </w:r>
    </w:p>
    <w:p w14:paraId="1A3D79C3" w14:textId="77777777" w:rsidR="00C77C4F" w:rsidRDefault="00C77C4F">
      <w:pPr>
        <w:spacing w:line="360" w:lineRule="auto"/>
        <w:jc w:val="both"/>
        <w:rPr>
          <w:rFonts w:ascii="Times New Roman" w:eastAsia="Times New Roman" w:hAnsi="Times New Roman" w:cs="Times New Roman"/>
          <w:b/>
          <w:i/>
          <w:sz w:val="24"/>
          <w:szCs w:val="24"/>
        </w:rPr>
      </w:pPr>
    </w:p>
    <w:p w14:paraId="4374E8E2" w14:textId="77777777" w:rsidR="00C77C4F"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Anexo sobre actuaciones del Mecanismo de protección para personas defensoras de Derechos Humanos y Periodistas, caso Gustavo Sánchez Cabrera.</w:t>
      </w:r>
    </w:p>
    <w:p w14:paraId="77170508" w14:textId="77777777" w:rsidR="00C77C4F" w:rsidRDefault="00C77C4F">
      <w:pPr>
        <w:spacing w:line="360" w:lineRule="auto"/>
        <w:jc w:val="both"/>
        <w:rPr>
          <w:rFonts w:ascii="Times New Roman" w:eastAsia="Times New Roman" w:hAnsi="Times New Roman" w:cs="Times New Roman"/>
          <w:sz w:val="24"/>
          <w:szCs w:val="24"/>
        </w:rPr>
      </w:pPr>
    </w:p>
    <w:p w14:paraId="4929096E" w14:textId="77777777" w:rsidR="00C77C4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Gustavo Sánchez Cabrera fue un periodista oaxaqueño director del portal de noticias "La Policiaca, la Nota Roja de Oaxaca" (antes "La policiaca del Istmo"). Se dedicó a la cobertura de política y violencia en el Istmo de Oaxaca y realizó coberturas sobre el tráfico de hidrocarburos en la región.</w:t>
      </w:r>
    </w:p>
    <w:p w14:paraId="465B8ED0" w14:textId="77777777" w:rsidR="00C77C4F" w:rsidRDefault="00C77C4F">
      <w:pPr>
        <w:spacing w:line="360" w:lineRule="auto"/>
        <w:jc w:val="both"/>
        <w:rPr>
          <w:rFonts w:ascii="Times New Roman" w:eastAsia="Times New Roman" w:hAnsi="Times New Roman" w:cs="Times New Roman"/>
          <w:sz w:val="24"/>
          <w:szCs w:val="24"/>
        </w:rPr>
      </w:pPr>
    </w:p>
    <w:p w14:paraId="418290D6" w14:textId="77777777" w:rsidR="00C77C4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Gustavo Sánchez Cabrera fue privado de la vida el 17 de junio de 2021 alrededor de las 9:00 a.m. por sujetos desconocidos que lo interceptaron, mientras circulaba a bordo de su motocicleta en compañía de su hijo, por un camino que comunica las localidades de San Vicente Mazatán y Morro de Mazatán, en el municipio de Santo Domingo Tehuantepec, en el Estado de Oaxaca.  </w:t>
      </w:r>
    </w:p>
    <w:p w14:paraId="48FB4253" w14:textId="77777777" w:rsidR="00C77C4F" w:rsidRDefault="00C77C4F">
      <w:pPr>
        <w:spacing w:line="360" w:lineRule="auto"/>
        <w:jc w:val="both"/>
        <w:rPr>
          <w:rFonts w:ascii="Times New Roman" w:eastAsia="Times New Roman" w:hAnsi="Times New Roman" w:cs="Times New Roman"/>
          <w:sz w:val="24"/>
          <w:szCs w:val="24"/>
        </w:rPr>
      </w:pPr>
    </w:p>
    <w:p w14:paraId="6A2C4929" w14:textId="77777777" w:rsidR="00C77C4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Previo a su fallecimiento, el 2 de mayo de 2020 el periodista dió a conocer al Mecanismo las amenazas que recibió, precisando que el origen de tales amenazas podría ser político o bien derivarse de la denuncia que realizó en la Fiscalía General de Justicia del Estado de Oaxaca, en contra de un elemento de la Secretaría de Marina (SEMAR).</w:t>
      </w:r>
    </w:p>
    <w:p w14:paraId="3FFF9006" w14:textId="77777777" w:rsidR="00C77C4F" w:rsidRDefault="00C77C4F">
      <w:pPr>
        <w:spacing w:line="360" w:lineRule="auto"/>
        <w:jc w:val="both"/>
        <w:rPr>
          <w:rFonts w:ascii="Times New Roman" w:eastAsia="Times New Roman" w:hAnsi="Times New Roman" w:cs="Times New Roman"/>
          <w:sz w:val="24"/>
          <w:szCs w:val="24"/>
        </w:rPr>
      </w:pPr>
    </w:p>
    <w:p w14:paraId="4A44FFC2" w14:textId="51995E1D" w:rsidR="00C77C4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13 de julio de 2020 Gustavo tuvo un ataque con arma de fuego, por lo que tres días después, personal del mecanismo se comunicó con Gustavo, sin </w:t>
      </w:r>
      <w:r w:rsidR="001B498C">
        <w:rPr>
          <w:rFonts w:ascii="Times New Roman" w:eastAsia="Times New Roman" w:hAnsi="Times New Roman" w:cs="Times New Roman"/>
          <w:sz w:val="24"/>
          <w:szCs w:val="24"/>
        </w:rPr>
        <w:t>embargo,</w:t>
      </w:r>
      <w:r>
        <w:rPr>
          <w:rFonts w:ascii="Times New Roman" w:eastAsia="Times New Roman" w:hAnsi="Times New Roman" w:cs="Times New Roman"/>
          <w:sz w:val="24"/>
          <w:szCs w:val="24"/>
        </w:rPr>
        <w:t xml:space="preserve"> la llamada no tuvo ningún efecto porque no existió por parte del mecanismo la incorporación de Gustavo o la proporción de medidas cautelares o de protección.</w:t>
      </w:r>
    </w:p>
    <w:p w14:paraId="54149D8D" w14:textId="77777777" w:rsidR="00C77C4F" w:rsidRDefault="00C77C4F">
      <w:pPr>
        <w:spacing w:line="360" w:lineRule="auto"/>
        <w:jc w:val="both"/>
        <w:rPr>
          <w:rFonts w:ascii="Times New Roman" w:eastAsia="Times New Roman" w:hAnsi="Times New Roman" w:cs="Times New Roman"/>
          <w:sz w:val="24"/>
          <w:szCs w:val="24"/>
        </w:rPr>
      </w:pPr>
    </w:p>
    <w:p w14:paraId="35ED0F87" w14:textId="77777777" w:rsidR="00C77C4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Mecanismo tuvo noticia de agresiones a Gustavo en octubre y noviembre de 2020. Fue intimidado durante el trayecto a su domicilio en el municipio de Santo Domingo Tehuantepec, Oaxaca, e intervenido el 18 de noviembre de 2020 por sujetos desconocidos, que portaban armas de grueso calibre, irrumpieron en el rancho de su propiedad.</w:t>
      </w:r>
    </w:p>
    <w:p w14:paraId="627977B2" w14:textId="77777777" w:rsidR="00C77C4F" w:rsidRDefault="00C77C4F">
      <w:pPr>
        <w:spacing w:line="360" w:lineRule="auto"/>
        <w:jc w:val="both"/>
        <w:rPr>
          <w:rFonts w:ascii="Times New Roman" w:eastAsia="Times New Roman" w:hAnsi="Times New Roman" w:cs="Times New Roman"/>
          <w:sz w:val="24"/>
          <w:szCs w:val="24"/>
        </w:rPr>
      </w:pPr>
    </w:p>
    <w:p w14:paraId="68F1D6B5" w14:textId="3770F37D" w:rsidR="00C77C4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El 22 de diciembre de 2020, autoridades del Mecanismo solicitaron a la coordinadora para la atención de los derechos humanos de Oaxaca del poder ejecutivo del Estado de </w:t>
      </w:r>
      <w:r w:rsidR="001B498C">
        <w:rPr>
          <w:rFonts w:ascii="Times New Roman" w:eastAsia="Times New Roman" w:hAnsi="Times New Roman" w:cs="Times New Roman"/>
          <w:sz w:val="24"/>
          <w:szCs w:val="24"/>
        </w:rPr>
        <w:t>Oaxaca, proporcionarle</w:t>
      </w:r>
      <w:r>
        <w:rPr>
          <w:rFonts w:ascii="Times New Roman" w:eastAsia="Times New Roman" w:hAnsi="Times New Roman" w:cs="Times New Roman"/>
          <w:sz w:val="24"/>
          <w:szCs w:val="24"/>
        </w:rPr>
        <w:t xml:space="preserve"> un número telefónico de emergencia por parte de la Secretaría de Seguridad Pública del Estado de Oaxaca, para que en caso de que Gustavo y su familia se encuentren en alguna situación de riesgo  pudieran solicitar el auxilio y protección que requiera. Sin embargo, el 9 de enero de 2021 Gustavo aún no contaba con el número de emergencia ni había sido incorporado al mecanismo y ese mismo día hizo saber al mecanismo información sobre la concesión de un amparo que dejó sin efectos la orden de aprehensión en contra de su agresor.</w:t>
      </w:r>
    </w:p>
    <w:p w14:paraId="20C6BEF0" w14:textId="77777777" w:rsidR="00C77C4F" w:rsidRDefault="00C77C4F">
      <w:pPr>
        <w:spacing w:line="360" w:lineRule="auto"/>
        <w:jc w:val="both"/>
        <w:rPr>
          <w:rFonts w:ascii="Times New Roman" w:eastAsia="Times New Roman" w:hAnsi="Times New Roman" w:cs="Times New Roman"/>
          <w:sz w:val="24"/>
          <w:szCs w:val="24"/>
        </w:rPr>
      </w:pPr>
    </w:p>
    <w:p w14:paraId="0397C738" w14:textId="104D0F01" w:rsidR="00C77C4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w:t>
      </w:r>
      <w:r w:rsidR="001B498C">
        <w:rPr>
          <w:rFonts w:ascii="Times New Roman" w:eastAsia="Times New Roman" w:hAnsi="Times New Roman" w:cs="Times New Roman"/>
          <w:sz w:val="24"/>
          <w:szCs w:val="24"/>
        </w:rPr>
        <w:t>día 18</w:t>
      </w:r>
      <w:r>
        <w:rPr>
          <w:rFonts w:ascii="Times New Roman" w:eastAsia="Times New Roman" w:hAnsi="Times New Roman" w:cs="Times New Roman"/>
          <w:sz w:val="24"/>
          <w:szCs w:val="24"/>
        </w:rPr>
        <w:t xml:space="preserve"> de enero de 2021, el mecanismo incorporó de manera formal a Gustavo, señalando que sería incorporado al referido Mecanismo bajo “procedimiento extraordinario”. Sin </w:t>
      </w:r>
      <w:r w:rsidR="001B498C">
        <w:rPr>
          <w:rFonts w:ascii="Times New Roman" w:eastAsia="Times New Roman" w:hAnsi="Times New Roman" w:cs="Times New Roman"/>
          <w:sz w:val="24"/>
          <w:szCs w:val="24"/>
        </w:rPr>
        <w:t>embargo,</w:t>
      </w:r>
      <w:r>
        <w:rPr>
          <w:rFonts w:ascii="Times New Roman" w:eastAsia="Times New Roman" w:hAnsi="Times New Roman" w:cs="Times New Roman"/>
          <w:sz w:val="24"/>
          <w:szCs w:val="24"/>
        </w:rPr>
        <w:t xml:space="preserve"> la única medida que se contempló fue “entregar” a Gustavo un número telefónico de contacto para “atención y auxilio urgente”.</w:t>
      </w:r>
    </w:p>
    <w:p w14:paraId="70C27480" w14:textId="77777777" w:rsidR="00C77C4F" w:rsidRDefault="00C77C4F">
      <w:pPr>
        <w:spacing w:line="360" w:lineRule="auto"/>
        <w:jc w:val="both"/>
        <w:rPr>
          <w:rFonts w:ascii="Times New Roman" w:eastAsia="Times New Roman" w:hAnsi="Times New Roman" w:cs="Times New Roman"/>
          <w:sz w:val="24"/>
          <w:szCs w:val="24"/>
        </w:rPr>
      </w:pPr>
    </w:p>
    <w:p w14:paraId="6EFC4570" w14:textId="77777777" w:rsidR="00C77C4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día 16 de mayo de 2021, Gustavo fue víctima de un nuevo atentado con arma de fuego hacia él y su hijo, ese mismo día lo informó vía whatsapp al mecanismo. Para el 16 de junio de 2021 Gustavo aún no contaba con medidas de protección y se comunicó con el mecanismo para informar que se sentía inseguro. Esa fue la última comunicación de Gustavo con el mecanismo, porque al día siguiente fue asesinado.</w:t>
      </w:r>
    </w:p>
    <w:p w14:paraId="5F00CC1A" w14:textId="77777777" w:rsidR="00C77C4F" w:rsidRDefault="00C77C4F">
      <w:pPr>
        <w:spacing w:line="360" w:lineRule="auto"/>
        <w:jc w:val="both"/>
        <w:rPr>
          <w:rFonts w:ascii="Times New Roman" w:eastAsia="Times New Roman" w:hAnsi="Times New Roman" w:cs="Times New Roman"/>
          <w:sz w:val="24"/>
          <w:szCs w:val="24"/>
        </w:rPr>
      </w:pPr>
    </w:p>
    <w:p w14:paraId="3CA2E95F" w14:textId="5B5BD32F" w:rsidR="00C77C4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raíz de los sucesos anteriormente descritos, el día 27 de junio de 2022, la Comisión Nacional de Derechos Humanos realizó la recomendación 121/2022 donde describe las violaciones al derecho a la seguridad jurídica y a la legalidad por falta de debida diligencia, así como el deber de cuidado. Al respecto esta recomendación a casi un año de </w:t>
      </w:r>
      <w:r w:rsidR="001B498C">
        <w:rPr>
          <w:rFonts w:ascii="Times New Roman" w:eastAsia="Times New Roman" w:hAnsi="Times New Roman" w:cs="Times New Roman"/>
          <w:sz w:val="24"/>
          <w:szCs w:val="24"/>
        </w:rPr>
        <w:t>realizada, tiene</w:t>
      </w:r>
      <w:r>
        <w:rPr>
          <w:rFonts w:ascii="Times New Roman" w:eastAsia="Times New Roman" w:hAnsi="Times New Roman" w:cs="Times New Roman"/>
          <w:sz w:val="24"/>
          <w:szCs w:val="24"/>
        </w:rPr>
        <w:t xml:space="preserve"> un escaso cumplimiento por la falta de voluntad de las autoridades de cumplirla. </w:t>
      </w:r>
    </w:p>
    <w:p w14:paraId="50DFB8E1" w14:textId="77777777" w:rsidR="00C77C4F" w:rsidRDefault="00C77C4F">
      <w:pPr>
        <w:spacing w:line="360" w:lineRule="auto"/>
        <w:jc w:val="both"/>
        <w:rPr>
          <w:rFonts w:ascii="Times New Roman" w:eastAsia="Times New Roman" w:hAnsi="Times New Roman" w:cs="Times New Roman"/>
          <w:sz w:val="24"/>
          <w:szCs w:val="24"/>
        </w:rPr>
      </w:pPr>
    </w:p>
    <w:p w14:paraId="31C461A3" w14:textId="5ADBE241" w:rsidR="00C77C4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 esta manera, se deja en evidencia que el Estado </w:t>
      </w:r>
      <w:r w:rsidR="001B498C">
        <w:rPr>
          <w:rFonts w:ascii="Times New Roman" w:eastAsia="Times New Roman" w:hAnsi="Times New Roman" w:cs="Times New Roman"/>
          <w:sz w:val="24"/>
          <w:szCs w:val="24"/>
        </w:rPr>
        <w:t>Mexicano</w:t>
      </w:r>
      <w:r>
        <w:rPr>
          <w:rFonts w:ascii="Times New Roman" w:eastAsia="Times New Roman" w:hAnsi="Times New Roman" w:cs="Times New Roman"/>
          <w:sz w:val="24"/>
          <w:szCs w:val="24"/>
        </w:rPr>
        <w:t xml:space="preserve"> tiene fallas estructurales que deben ser atendidas para que la incorporación de usuarios y usuarias al mecanismo de protección  sea de manera eficaz y pronta, y de esa manera tener un mecanismo que tenga las capacidades tanto legales, como de personal y de presupuesto que harán que éste sea capaz de salvaguardar la vida e integridad de personas defensoras de derechos humanos y periodistas.</w:t>
      </w:r>
    </w:p>
    <w:sectPr w:rsidR="00C77C4F">
      <w:head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875371" w14:textId="77777777" w:rsidR="00602F4A" w:rsidRDefault="00602F4A">
      <w:pPr>
        <w:spacing w:line="240" w:lineRule="auto"/>
      </w:pPr>
      <w:r>
        <w:separator/>
      </w:r>
    </w:p>
  </w:endnote>
  <w:endnote w:type="continuationSeparator" w:id="0">
    <w:p w14:paraId="16A4DF14" w14:textId="77777777" w:rsidR="00602F4A" w:rsidRDefault="00602F4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2DEAF5" w14:textId="77777777" w:rsidR="00602F4A" w:rsidRDefault="00602F4A">
      <w:pPr>
        <w:spacing w:line="240" w:lineRule="auto"/>
      </w:pPr>
      <w:r>
        <w:separator/>
      </w:r>
    </w:p>
  </w:footnote>
  <w:footnote w:type="continuationSeparator" w:id="0">
    <w:p w14:paraId="7EC769D8" w14:textId="77777777" w:rsidR="00602F4A" w:rsidRDefault="00602F4A">
      <w:pPr>
        <w:spacing w:line="240" w:lineRule="auto"/>
      </w:pPr>
      <w:r>
        <w:continuationSeparator/>
      </w:r>
    </w:p>
  </w:footnote>
  <w:footnote w:id="1">
    <w:p w14:paraId="057CABB8" w14:textId="77777777" w:rsidR="00C77C4F"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El informe puede ser consultado en la página </w:t>
      </w:r>
      <w:hyperlink r:id="rId1">
        <w:r>
          <w:rPr>
            <w:rFonts w:ascii="Times New Roman" w:eastAsia="Times New Roman" w:hAnsi="Times New Roman" w:cs="Times New Roman"/>
            <w:color w:val="1155CC"/>
            <w:sz w:val="20"/>
            <w:szCs w:val="20"/>
            <w:u w:val="single"/>
          </w:rPr>
          <w:t>www.propuestacivica.org</w:t>
        </w:r>
      </w:hyperlink>
      <w:r>
        <w:rPr>
          <w:rFonts w:ascii="Times New Roman" w:eastAsia="Times New Roman" w:hAnsi="Times New Roman" w:cs="Times New Roman"/>
          <w:sz w:val="20"/>
          <w:szCs w:val="20"/>
        </w:rPr>
        <w:t xml:space="preserve">  </w:t>
      </w:r>
    </w:p>
  </w:footnote>
  <w:footnote w:id="2">
    <w:p w14:paraId="1AD47030" w14:textId="77777777" w:rsidR="00C77C4F"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Esta información puede ser verificada en nuestro mapa de casos registrados y representados alrededor de la República Mexicana  </w:t>
      </w:r>
      <w:hyperlink r:id="rId2">
        <w:r>
          <w:rPr>
            <w:rFonts w:ascii="Times New Roman" w:eastAsia="Times New Roman" w:hAnsi="Times New Roman" w:cs="Times New Roman"/>
            <w:color w:val="1155CC"/>
            <w:sz w:val="20"/>
            <w:szCs w:val="20"/>
            <w:u w:val="single"/>
          </w:rPr>
          <w:t>https://propuestacivica.org.mx/mapa-de-casos</w:t>
        </w:r>
      </w:hyperlink>
      <w:r>
        <w:rPr>
          <w:rFonts w:ascii="Times New Roman" w:eastAsia="Times New Roman" w:hAnsi="Times New Roman" w:cs="Times New Roman"/>
          <w:sz w:val="20"/>
          <w:szCs w:val="20"/>
        </w:rPr>
        <w:t xml:space="preserve"> ; de parte de </w:t>
      </w:r>
      <w:r>
        <w:rPr>
          <w:rFonts w:ascii="Times New Roman" w:eastAsia="Times New Roman" w:hAnsi="Times New Roman" w:cs="Times New Roman"/>
          <w:sz w:val="20"/>
          <w:szCs w:val="20"/>
        </w:rPr>
        <w:t xml:space="preserve">Rerporteros Sin Fronteras, la información puede encontrarse en el siguiente enlace: </w:t>
      </w:r>
      <w:hyperlink r:id="rId3" w:anchor="exaction-victimes">
        <w:r>
          <w:rPr>
            <w:rFonts w:ascii="Times New Roman" w:eastAsia="Times New Roman" w:hAnsi="Times New Roman" w:cs="Times New Roman"/>
            <w:color w:val="1155CC"/>
            <w:sz w:val="20"/>
            <w:szCs w:val="20"/>
            <w:u w:val="single"/>
          </w:rPr>
          <w:t>https://rsf.org/es/barometro?exaction_pays_pays=113&amp;exaction_pays_annee=2000&amp;exaction_pays_statut=prison&amp;type%5Btue%5D=tue&amp;exaction_victimes_pays%5B113%5D=113&amp;&amp;annee_start=2016&amp;annee_end=2022&amp;&amp;&amp;#exaction-victimes</w:t>
        </w:r>
      </w:hyperlink>
      <w:r>
        <w:rPr>
          <w:rFonts w:ascii="Times New Roman" w:eastAsia="Times New Roman" w:hAnsi="Times New Roman" w:cs="Times New Roman"/>
          <w:sz w:val="20"/>
          <w:szCs w:val="20"/>
        </w:rPr>
        <w:t xml:space="preserve"> </w:t>
      </w:r>
    </w:p>
  </w:footnote>
  <w:footnote w:id="3">
    <w:p w14:paraId="62E099B5" w14:textId="77777777" w:rsidR="00C77C4F" w:rsidRDefault="00000000">
      <w:pPr>
        <w:spacing w:line="240" w:lineRule="auto"/>
        <w:rPr>
          <w:sz w:val="20"/>
          <w:szCs w:val="20"/>
        </w:rPr>
      </w:pPr>
      <w:r>
        <w:rPr>
          <w:vertAlign w:val="superscript"/>
        </w:rPr>
        <w:footnoteRef/>
      </w:r>
      <w:r>
        <w:rPr>
          <w:sz w:val="20"/>
          <w:szCs w:val="20"/>
        </w:rPr>
        <w:t xml:space="preserve"> </w:t>
      </w:r>
      <w:hyperlink r:id="rId4">
        <w:r>
          <w:rPr>
            <w:color w:val="1155CC"/>
            <w:sz w:val="20"/>
            <w:szCs w:val="20"/>
            <w:u w:val="single"/>
          </w:rPr>
          <w:t>https://www.gob.mx/cms/uploads/attachment/file/705172/Informe_Estadi_stico_2021_FEADLE.pdf</w:t>
        </w:r>
      </w:hyperlink>
      <w:r>
        <w:rPr>
          <w:sz w:val="20"/>
          <w:szCs w:val="20"/>
        </w:rPr>
        <w:t xml:space="preserve"> </w:t>
      </w:r>
    </w:p>
  </w:footnote>
  <w:footnote w:id="4">
    <w:p w14:paraId="5D759E67" w14:textId="77777777" w:rsidR="00C77C4F"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ibidem.</w:t>
      </w:r>
    </w:p>
  </w:footnote>
  <w:footnote w:id="5">
    <w:p w14:paraId="044AB39B" w14:textId="77777777" w:rsidR="00C77C4F" w:rsidRDefault="00000000">
      <w:pPr>
        <w:spacing w:line="240" w:lineRule="auto"/>
        <w:rPr>
          <w:sz w:val="16"/>
          <w:szCs w:val="16"/>
        </w:rPr>
      </w:pPr>
      <w:r>
        <w:rPr>
          <w:vertAlign w:val="superscript"/>
        </w:rPr>
        <w:footnoteRef/>
      </w:r>
      <w:r>
        <w:rPr>
          <w:sz w:val="20"/>
          <w:szCs w:val="20"/>
        </w:rPr>
        <w:t xml:space="preserve"> </w:t>
      </w:r>
      <w:r>
        <w:rPr>
          <w:rFonts w:ascii="Times New Roman" w:eastAsia="Times New Roman" w:hAnsi="Times New Roman" w:cs="Times New Roman"/>
          <w:sz w:val="20"/>
          <w:szCs w:val="20"/>
        </w:rPr>
        <w:t>idem.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A69FF" w14:textId="7930F9EF" w:rsidR="00C77C4F" w:rsidRDefault="00240DAA">
    <w:pPr>
      <w:jc w:val="right"/>
    </w:pPr>
    <w:r>
      <w:rPr>
        <w:noProof/>
      </w:rPr>
      <w:drawing>
        <wp:anchor distT="114300" distB="114300" distL="114300" distR="114300" simplePos="0" relativeHeight="251659264" behindDoc="0" locked="0" layoutInCell="1" hidden="0" allowOverlap="1" wp14:anchorId="66F14F51" wp14:editId="4495CE29">
          <wp:simplePos x="0" y="0"/>
          <wp:positionH relativeFrom="margin">
            <wp:align>left</wp:align>
          </wp:positionH>
          <wp:positionV relativeFrom="paragraph">
            <wp:posOffset>12700</wp:posOffset>
          </wp:positionV>
          <wp:extent cx="1363133" cy="935773"/>
          <wp:effectExtent l="0" t="0" r="8890" b="0"/>
          <wp:wrapTopAndBottom distT="114300" distB="114300"/>
          <wp:docPr id="1" name="image1.png" descr="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1" name="image1.png" descr="Logotipo&#10;&#10;Descripción generada automáticamente"/>
                  <pic:cNvPicPr preferRelativeResize="0"/>
                </pic:nvPicPr>
                <pic:blipFill>
                  <a:blip r:embed="rId1"/>
                  <a:srcRect/>
                  <a:stretch>
                    <a:fillRect/>
                  </a:stretch>
                </pic:blipFill>
                <pic:spPr>
                  <a:xfrm>
                    <a:off x="0" y="0"/>
                    <a:ext cx="1363133" cy="935773"/>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4009C2"/>
    <w:multiLevelType w:val="multilevel"/>
    <w:tmpl w:val="F22AE8C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E800506"/>
    <w:multiLevelType w:val="multilevel"/>
    <w:tmpl w:val="B47450D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5D2A6902"/>
    <w:multiLevelType w:val="multilevel"/>
    <w:tmpl w:val="749045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EC83F73"/>
    <w:multiLevelType w:val="multilevel"/>
    <w:tmpl w:val="A82881F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16cid:durableId="818421373">
    <w:abstractNumId w:val="3"/>
  </w:num>
  <w:num w:numId="2" w16cid:durableId="1832524229">
    <w:abstractNumId w:val="2"/>
  </w:num>
  <w:num w:numId="3" w16cid:durableId="1610969079">
    <w:abstractNumId w:val="0"/>
  </w:num>
  <w:num w:numId="4" w16cid:durableId="12947545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7C4F"/>
    <w:rsid w:val="001B498C"/>
    <w:rsid w:val="00240DAA"/>
    <w:rsid w:val="002B509D"/>
    <w:rsid w:val="00602F4A"/>
    <w:rsid w:val="00970A74"/>
    <w:rsid w:val="00C77C4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3E63A7"/>
  <w15:docId w15:val="{A8BC5EF2-7553-4514-AF1A-F070230ABF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 w:eastAsia="es-MX"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paragraph" w:styleId="Encabezado">
    <w:name w:val="header"/>
    <w:basedOn w:val="Normal"/>
    <w:link w:val="EncabezadoCar"/>
    <w:uiPriority w:val="99"/>
    <w:unhideWhenUsed/>
    <w:rsid w:val="00240DAA"/>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240DAA"/>
  </w:style>
  <w:style w:type="paragraph" w:styleId="Piedepgina">
    <w:name w:val="footer"/>
    <w:basedOn w:val="Normal"/>
    <w:link w:val="PiedepginaCar"/>
    <w:uiPriority w:val="99"/>
    <w:unhideWhenUsed/>
    <w:rsid w:val="00240DAA"/>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240D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rsf.org/es/barometro?exaction_pays_pays=113&amp;exaction_pays_annee=2000&amp;exaction_pays_statut=prison&amp;type%5Btue%5D=tue&amp;exaction_victimes_pays%5B113%5D=113&amp;&amp;annee_start=2016&amp;annee_end=2022&amp;&amp;&amp;" TargetMode="External"/><Relationship Id="rId2" Type="http://schemas.openxmlformats.org/officeDocument/2006/relationships/hyperlink" Target="https://propuestacivica.org.mx/mapa-de-casos" TargetMode="External"/><Relationship Id="rId1" Type="http://schemas.openxmlformats.org/officeDocument/2006/relationships/hyperlink" Target="http://www.propuestacivica.org" TargetMode="External"/><Relationship Id="rId4" Type="http://schemas.openxmlformats.org/officeDocument/2006/relationships/hyperlink" Target="https://www.gob.mx/cms/uploads/attachment/file/705172/Informe_Estadi_stico_2021_FEADLE.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2958</Words>
  <Characters>16274</Characters>
  <Application>Microsoft Office Word</Application>
  <DocSecurity>0</DocSecurity>
  <Lines>135</Lines>
  <Paragraphs>38</Paragraphs>
  <ScaleCrop>false</ScaleCrop>
  <Company/>
  <LinksUpToDate>false</LinksUpToDate>
  <CharactersWithSpaces>19194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Mendiola</dc:creator>
  <cp:lastModifiedBy>Nacional Propuesta Civica</cp:lastModifiedBy>
  <cp:revision>2</cp:revision>
  <dcterms:created xsi:type="dcterms:W3CDTF">2023-04-03T20:17:00Z</dcterms:created>
  <dcterms:modified xsi:type="dcterms:W3CDTF">2023-04-03T20:17:00Z</dcterms:modified>
</cp:coreProperties>
</file>