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0EBB3" w14:textId="38FAF537" w:rsidR="003F57E4" w:rsidRPr="00014E5B" w:rsidRDefault="003F57E4" w:rsidP="005E7038">
      <w:pPr>
        <w:pStyle w:val="BFrontcovermaintitle"/>
        <w:jc w:val="both"/>
        <w:rPr>
          <w:rFonts w:eastAsia="MS Mincho"/>
          <w:shd w:val="clear" w:color="auto" w:fill="FFFF00"/>
          <w:lang w:val="es-ES"/>
        </w:rPr>
      </w:pPr>
      <w:r w:rsidRPr="00014E5B">
        <w:rPr>
          <w:rFonts w:eastAsia="MS Mincho"/>
          <w:bCs/>
          <w:shd w:val="clear" w:color="auto" w:fill="FFFF00"/>
          <w:lang w:val="es-ES"/>
        </w:rPr>
        <w:t> ECUADOR </w:t>
      </w:r>
    </w:p>
    <w:p w14:paraId="30FB1891" w14:textId="77777777" w:rsidR="00FE06BB" w:rsidRPr="00014E5B" w:rsidRDefault="0001481A" w:rsidP="005E7038">
      <w:pPr>
        <w:jc w:val="both"/>
        <w:rPr>
          <w:rFonts w:ascii="Amnesty Trade Gothic Cn" w:eastAsia="MS Mincho" w:hAnsi="Amnesty Trade Gothic Cn"/>
          <w:b/>
          <w:bCs/>
          <w:caps/>
          <w:noProof/>
          <w:sz w:val="36"/>
          <w:szCs w:val="36"/>
          <w:lang w:val="es-ES"/>
        </w:rPr>
      </w:pPr>
      <w:r w:rsidRPr="00014E5B">
        <w:rPr>
          <w:rFonts w:ascii="Amnesty Trade Gothic Cn" w:eastAsia="MS Mincho" w:hAnsi="Amnesty Trade Gothic Cn"/>
          <w:b/>
          <w:bCs/>
          <w:caps/>
          <w:noProof/>
          <w:sz w:val="36"/>
          <w:szCs w:val="36"/>
          <w:lang w:val="es-ES"/>
        </w:rPr>
        <w:t>INFORMACIÓN PARA EL COMITÉ DE LA ONU CONTRA LA DESAPARICIÓN FORZADA</w:t>
      </w:r>
    </w:p>
    <w:p w14:paraId="00964F4D" w14:textId="5B491CBC" w:rsidR="0001481A" w:rsidRPr="00014E5B" w:rsidRDefault="00FE06BB" w:rsidP="005E7038">
      <w:pPr>
        <w:jc w:val="both"/>
        <w:rPr>
          <w:rFonts w:ascii="Amnesty Trade Gothic Cn" w:eastAsia="MS Mincho" w:hAnsi="Amnesty Trade Gothic Cn"/>
          <w:b/>
          <w:bCs/>
          <w:caps/>
          <w:noProof/>
          <w:sz w:val="36"/>
          <w:szCs w:val="36"/>
          <w:lang w:val="es-ES"/>
        </w:rPr>
      </w:pPr>
      <w:r w:rsidRPr="00014E5B">
        <w:rPr>
          <w:rFonts w:ascii="Amnesty Trade Gothic Cn" w:eastAsia="MS Mincho" w:hAnsi="Amnesty Trade Gothic Cn"/>
          <w:b/>
          <w:bCs/>
          <w:caps/>
          <w:noProof/>
          <w:sz w:val="36"/>
          <w:szCs w:val="36"/>
          <w:lang w:val="es-ES"/>
        </w:rPr>
        <w:t>29 PERÍODO DE SESIONES, DEL 22 DE SEPTIEMBRE AL 3 DE OCTUBRE DE 2025</w:t>
      </w:r>
    </w:p>
    <w:p w14:paraId="459641EC" w14:textId="77777777" w:rsidR="00065FFC" w:rsidRPr="00014E5B" w:rsidRDefault="00065FFC" w:rsidP="005E7038">
      <w:pPr>
        <w:jc w:val="both"/>
        <w:rPr>
          <w:lang w:val="es-ES"/>
        </w:rPr>
      </w:pPr>
    </w:p>
    <w:p w14:paraId="306BCFC7" w14:textId="37691711" w:rsidR="00065FFC" w:rsidRPr="00014E5B" w:rsidRDefault="005D6062" w:rsidP="005E7038">
      <w:pPr>
        <w:jc w:val="both"/>
        <w:rPr>
          <w:lang w:val="es-ES"/>
        </w:rPr>
      </w:pPr>
      <w:r w:rsidRPr="00014E5B">
        <w:rPr>
          <w:rStyle w:val="TOC2Char"/>
          <w:bCs w:val="0"/>
          <w:sz w:val="36"/>
          <w:szCs w:val="36"/>
          <w:lang w:val="es-ES"/>
        </w:rPr>
        <w:drawing>
          <wp:anchor distT="0" distB="144145" distL="114300" distR="114300" simplePos="0" relativeHeight="251658249" behindDoc="1" locked="1" layoutInCell="1" allowOverlap="1" wp14:anchorId="1D8924D2" wp14:editId="3156544C">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o="urn:schemas-microsoft-com:office:office" xmlns:v="urn:schemas-microsoft-com:vml" xmlns:w10="urn:schemas-microsoft-com:office:word" xmlns:w="http://schemas.openxmlformats.org/wordprocessingml/2006/main" xmlns:arto="http://schemas.microsoft.com/office/word/2006/arto" xmlns:a14="http://schemas.microsoft.com/office/drawing/2010/main" xmlns:ma14="http://schemas.microsoft.com/office/mac/drawingml/2011/main" xmlns:mv="urn:schemas-microsoft-com:mac:vml" xmlns:mo="http://schemas.microsoft.com/office/mac/office/2008/main" xmlns="" xmlns:asvg="http://schemas.microsoft.com/office/drawing/2016/SVG/main"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Default="00065FFC" w:rsidP="005E7038">
      <w:pPr>
        <w:pStyle w:val="BContentsheading"/>
        <w:jc w:val="both"/>
        <w:rPr>
          <w:bCs/>
          <w:lang w:val="es-ES"/>
        </w:rPr>
      </w:pPr>
      <w:r w:rsidRPr="00014E5B">
        <w:rPr>
          <w:bCs/>
          <w:lang w:val="es-ES"/>
        </w:rPr>
        <w:lastRenderedPageBreak/>
        <w:t>Índice</w:t>
      </w:r>
    </w:p>
    <w:sdt>
      <w:sdtPr>
        <w:rPr>
          <w:rFonts w:ascii="Amnesty Trade Gothic Light" w:hAnsi="Amnesty Trade Gothic Light"/>
          <w:b w:val="0"/>
          <w:bCs w:val="0"/>
          <w:caps w:val="0"/>
          <w:noProof w:val="0"/>
          <w:sz w:val="20"/>
          <w:szCs w:val="20"/>
          <w:u w:val="none"/>
          <w:lang w:val="es-ES" w:eastAsia="en-US"/>
        </w:rPr>
        <w:id w:val="-572666617"/>
        <w:docPartObj>
          <w:docPartGallery w:val="Table of Contents"/>
          <w:docPartUnique/>
        </w:docPartObj>
      </w:sdtPr>
      <w:sdtEndPr>
        <w:rPr>
          <w:lang w:val="en-GB"/>
        </w:rPr>
      </w:sdtEndPr>
      <w:sdtContent>
        <w:p w14:paraId="5CB246A3" w14:textId="1F8ABF7F" w:rsidR="00400CA7" w:rsidRDefault="00400CA7" w:rsidP="00400CA7">
          <w:pPr>
            <w:pStyle w:val="TOC1"/>
            <w:spacing w:before="240" w:after="240" w:line="240" w:lineRule="auto"/>
            <w:rPr>
              <w:rFonts w:asciiTheme="minorHAnsi" w:eastAsiaTheme="minorEastAsia" w:hAnsiTheme="minorHAnsi" w:cstheme="minorBidi"/>
              <w:b w:val="0"/>
              <w:bCs w:val="0"/>
              <w:caps w:val="0"/>
              <w:color w:val="auto"/>
              <w:kern w:val="2"/>
              <w:sz w:val="24"/>
              <w:szCs w:val="24"/>
              <w:u w:val="none"/>
              <w:lang w:val="es-ES" w:eastAsia="es-ES"/>
              <w14:ligatures w14:val="standardContextual"/>
            </w:rPr>
          </w:pPr>
          <w:r>
            <w:fldChar w:fldCharType="begin"/>
          </w:r>
          <w:r>
            <w:instrText xml:space="preserve"> TOC \o "1-3" \h \z \u </w:instrText>
          </w:r>
          <w:r>
            <w:fldChar w:fldCharType="separate"/>
          </w:r>
        </w:p>
        <w:p w14:paraId="3E4CB9B3" w14:textId="7BE265FF" w:rsidR="00400CA7" w:rsidRDefault="00400CA7" w:rsidP="00400CA7">
          <w:pPr>
            <w:pStyle w:val="TOC1"/>
            <w:spacing w:before="240" w:after="240" w:line="240" w:lineRule="auto"/>
            <w:rPr>
              <w:rFonts w:asciiTheme="minorHAnsi" w:eastAsiaTheme="minorEastAsia" w:hAnsiTheme="minorHAnsi" w:cstheme="minorBidi"/>
              <w:b w:val="0"/>
              <w:bCs w:val="0"/>
              <w:caps w:val="0"/>
              <w:color w:val="auto"/>
              <w:kern w:val="2"/>
              <w:sz w:val="24"/>
              <w:szCs w:val="24"/>
              <w:u w:val="none"/>
              <w:lang w:val="es-ES" w:eastAsia="es-ES"/>
              <w14:ligatures w14:val="standardContextual"/>
            </w:rPr>
          </w:pPr>
          <w:hyperlink w:anchor="_Toc202185100" w:history="1">
            <w:r w:rsidRPr="00B34DAC">
              <w:rPr>
                <w:rStyle w:val="Hyperlink"/>
                <w:lang w:val="es-ES"/>
              </w:rPr>
              <w:t>1.</w:t>
            </w:r>
            <w:r>
              <w:rPr>
                <w:rFonts w:asciiTheme="minorHAnsi" w:eastAsiaTheme="minorEastAsia" w:hAnsiTheme="minorHAnsi" w:cstheme="minorBidi"/>
                <w:b w:val="0"/>
                <w:bCs w:val="0"/>
                <w:caps w:val="0"/>
                <w:color w:val="auto"/>
                <w:kern w:val="2"/>
                <w:sz w:val="24"/>
                <w:szCs w:val="24"/>
                <w:u w:val="none"/>
                <w:lang w:val="es-ES" w:eastAsia="es-ES"/>
                <w14:ligatures w14:val="standardContextual"/>
              </w:rPr>
              <w:tab/>
            </w:r>
            <w:r w:rsidRPr="00B34DAC">
              <w:rPr>
                <w:rStyle w:val="Hyperlink"/>
                <w:lang w:val="es-ES"/>
              </w:rPr>
              <w:t>INTRODUCCIÓN</w:t>
            </w:r>
            <w:r>
              <w:rPr>
                <w:webHidden/>
              </w:rPr>
              <w:tab/>
            </w:r>
            <w:r>
              <w:rPr>
                <w:webHidden/>
              </w:rPr>
              <w:fldChar w:fldCharType="begin"/>
            </w:r>
            <w:r>
              <w:rPr>
                <w:webHidden/>
              </w:rPr>
              <w:instrText xml:space="preserve"> PAGEREF _Toc202185100 \h </w:instrText>
            </w:r>
            <w:r>
              <w:rPr>
                <w:webHidden/>
              </w:rPr>
            </w:r>
            <w:r>
              <w:rPr>
                <w:webHidden/>
              </w:rPr>
              <w:fldChar w:fldCharType="separate"/>
            </w:r>
            <w:r>
              <w:rPr>
                <w:webHidden/>
              </w:rPr>
              <w:t>6</w:t>
            </w:r>
            <w:r>
              <w:rPr>
                <w:webHidden/>
              </w:rPr>
              <w:fldChar w:fldCharType="end"/>
            </w:r>
          </w:hyperlink>
        </w:p>
        <w:p w14:paraId="207CE3BE" w14:textId="2F5F343D" w:rsidR="00400CA7" w:rsidRDefault="00400CA7" w:rsidP="00400CA7">
          <w:pPr>
            <w:pStyle w:val="TOC1"/>
            <w:spacing w:before="240" w:after="240" w:line="240" w:lineRule="auto"/>
            <w:rPr>
              <w:rFonts w:asciiTheme="minorHAnsi" w:eastAsiaTheme="minorEastAsia" w:hAnsiTheme="minorHAnsi" w:cstheme="minorBidi"/>
              <w:b w:val="0"/>
              <w:bCs w:val="0"/>
              <w:caps w:val="0"/>
              <w:color w:val="auto"/>
              <w:kern w:val="2"/>
              <w:sz w:val="24"/>
              <w:szCs w:val="24"/>
              <w:u w:val="none"/>
              <w:lang w:val="es-ES" w:eastAsia="es-ES"/>
              <w14:ligatures w14:val="standardContextual"/>
            </w:rPr>
          </w:pPr>
          <w:hyperlink w:anchor="_Toc202185101" w:history="1">
            <w:r w:rsidRPr="00B34DAC">
              <w:rPr>
                <w:rStyle w:val="Hyperlink"/>
                <w:lang w:val="es-ES"/>
              </w:rPr>
              <w:t>2.</w:t>
            </w:r>
            <w:r>
              <w:rPr>
                <w:rFonts w:asciiTheme="minorHAnsi" w:eastAsiaTheme="minorEastAsia" w:hAnsiTheme="minorHAnsi" w:cstheme="minorBidi"/>
                <w:b w:val="0"/>
                <w:bCs w:val="0"/>
                <w:caps w:val="0"/>
                <w:color w:val="auto"/>
                <w:kern w:val="2"/>
                <w:sz w:val="24"/>
                <w:szCs w:val="24"/>
                <w:u w:val="none"/>
                <w:lang w:val="es-ES" w:eastAsia="es-ES"/>
                <w14:ligatures w14:val="standardContextual"/>
              </w:rPr>
              <w:tab/>
            </w:r>
            <w:r w:rsidRPr="00B34DAC">
              <w:rPr>
                <w:rStyle w:val="Hyperlink"/>
                <w:lang w:val="es-ES"/>
              </w:rPr>
              <w:t>Falta de prevención de posibles desapariciones forzadas (artículo 1)</w:t>
            </w:r>
            <w:r>
              <w:rPr>
                <w:webHidden/>
              </w:rPr>
              <w:tab/>
            </w:r>
            <w:r>
              <w:rPr>
                <w:webHidden/>
              </w:rPr>
              <w:fldChar w:fldCharType="begin"/>
            </w:r>
            <w:r>
              <w:rPr>
                <w:webHidden/>
              </w:rPr>
              <w:instrText xml:space="preserve"> PAGEREF _Toc202185101 \h </w:instrText>
            </w:r>
            <w:r>
              <w:rPr>
                <w:webHidden/>
              </w:rPr>
            </w:r>
            <w:r>
              <w:rPr>
                <w:webHidden/>
              </w:rPr>
              <w:fldChar w:fldCharType="separate"/>
            </w:r>
            <w:r>
              <w:rPr>
                <w:webHidden/>
              </w:rPr>
              <w:t>6</w:t>
            </w:r>
            <w:r>
              <w:rPr>
                <w:webHidden/>
              </w:rPr>
              <w:fldChar w:fldCharType="end"/>
            </w:r>
          </w:hyperlink>
        </w:p>
        <w:p w14:paraId="7239B016" w14:textId="41A40145" w:rsidR="00400CA7" w:rsidRDefault="00400CA7" w:rsidP="00400CA7">
          <w:pPr>
            <w:pStyle w:val="TOC1"/>
            <w:spacing w:before="240" w:after="240" w:line="240" w:lineRule="auto"/>
            <w:rPr>
              <w:rFonts w:asciiTheme="minorHAnsi" w:eastAsiaTheme="minorEastAsia" w:hAnsiTheme="minorHAnsi" w:cstheme="minorBidi"/>
              <w:b w:val="0"/>
              <w:bCs w:val="0"/>
              <w:caps w:val="0"/>
              <w:color w:val="auto"/>
              <w:kern w:val="2"/>
              <w:sz w:val="24"/>
              <w:szCs w:val="24"/>
              <w:u w:val="none"/>
              <w:lang w:val="es-ES" w:eastAsia="es-ES"/>
              <w14:ligatures w14:val="standardContextual"/>
            </w:rPr>
          </w:pPr>
          <w:hyperlink w:anchor="_Toc202185102" w:history="1">
            <w:r w:rsidRPr="00B34DAC">
              <w:rPr>
                <w:rStyle w:val="Hyperlink"/>
                <w:lang w:val="es-ES"/>
              </w:rPr>
              <w:t>3.</w:t>
            </w:r>
            <w:r>
              <w:rPr>
                <w:rFonts w:asciiTheme="minorHAnsi" w:eastAsiaTheme="minorEastAsia" w:hAnsiTheme="minorHAnsi" w:cstheme="minorBidi"/>
                <w:b w:val="0"/>
                <w:bCs w:val="0"/>
                <w:caps w:val="0"/>
                <w:color w:val="auto"/>
                <w:kern w:val="2"/>
                <w:sz w:val="24"/>
                <w:szCs w:val="24"/>
                <w:u w:val="none"/>
                <w:lang w:val="es-ES" w:eastAsia="es-ES"/>
                <w14:ligatures w14:val="standardContextual"/>
              </w:rPr>
              <w:tab/>
            </w:r>
            <w:r w:rsidRPr="00B34DAC">
              <w:rPr>
                <w:rStyle w:val="Hyperlink"/>
                <w:lang w:val="es-ES"/>
              </w:rPr>
              <w:t>Falta de investigaciones penales efectivas (artículos 10-12)</w:t>
            </w:r>
            <w:r>
              <w:rPr>
                <w:webHidden/>
              </w:rPr>
              <w:tab/>
            </w:r>
            <w:r>
              <w:rPr>
                <w:webHidden/>
              </w:rPr>
              <w:fldChar w:fldCharType="begin"/>
            </w:r>
            <w:r>
              <w:rPr>
                <w:webHidden/>
              </w:rPr>
              <w:instrText xml:space="preserve"> PAGEREF _Toc202185102 \h </w:instrText>
            </w:r>
            <w:r>
              <w:rPr>
                <w:webHidden/>
              </w:rPr>
            </w:r>
            <w:r>
              <w:rPr>
                <w:webHidden/>
              </w:rPr>
              <w:fldChar w:fldCharType="separate"/>
            </w:r>
            <w:r>
              <w:rPr>
                <w:webHidden/>
              </w:rPr>
              <w:t>8</w:t>
            </w:r>
            <w:r>
              <w:rPr>
                <w:webHidden/>
              </w:rPr>
              <w:fldChar w:fldCharType="end"/>
            </w:r>
          </w:hyperlink>
        </w:p>
        <w:p w14:paraId="2A252172" w14:textId="0905F0E9" w:rsidR="00400CA7" w:rsidRDefault="00400CA7" w:rsidP="00400CA7">
          <w:pPr>
            <w:pStyle w:val="TOC1"/>
            <w:spacing w:before="240" w:after="240" w:line="240" w:lineRule="auto"/>
            <w:rPr>
              <w:rFonts w:asciiTheme="minorHAnsi" w:eastAsiaTheme="minorEastAsia" w:hAnsiTheme="minorHAnsi" w:cstheme="minorBidi"/>
              <w:b w:val="0"/>
              <w:bCs w:val="0"/>
              <w:caps w:val="0"/>
              <w:color w:val="auto"/>
              <w:kern w:val="2"/>
              <w:sz w:val="24"/>
              <w:szCs w:val="24"/>
              <w:u w:val="none"/>
              <w:lang w:val="es-ES" w:eastAsia="es-ES"/>
              <w14:ligatures w14:val="standardContextual"/>
            </w:rPr>
          </w:pPr>
          <w:hyperlink w:anchor="_Toc202185103" w:history="1">
            <w:r w:rsidRPr="00B34DAC">
              <w:rPr>
                <w:rStyle w:val="Hyperlink"/>
                <w:lang w:val="es-ES"/>
              </w:rPr>
              <w:t>4.</w:t>
            </w:r>
            <w:r>
              <w:rPr>
                <w:rFonts w:asciiTheme="minorHAnsi" w:eastAsiaTheme="minorEastAsia" w:hAnsiTheme="minorHAnsi" w:cstheme="minorBidi"/>
                <w:b w:val="0"/>
                <w:bCs w:val="0"/>
                <w:caps w:val="0"/>
                <w:color w:val="auto"/>
                <w:kern w:val="2"/>
                <w:sz w:val="24"/>
                <w:szCs w:val="24"/>
                <w:u w:val="none"/>
                <w:lang w:val="es-ES" w:eastAsia="es-ES"/>
                <w14:ligatures w14:val="standardContextual"/>
              </w:rPr>
              <w:tab/>
            </w:r>
            <w:r w:rsidRPr="00B34DAC">
              <w:rPr>
                <w:rStyle w:val="Hyperlink"/>
                <w:lang w:val="es-ES"/>
              </w:rPr>
              <w:t>Tareas de búsqueda ineficaces (artículo 24)</w:t>
            </w:r>
            <w:r>
              <w:rPr>
                <w:webHidden/>
              </w:rPr>
              <w:tab/>
            </w:r>
            <w:r>
              <w:rPr>
                <w:webHidden/>
              </w:rPr>
              <w:fldChar w:fldCharType="begin"/>
            </w:r>
            <w:r>
              <w:rPr>
                <w:webHidden/>
              </w:rPr>
              <w:instrText xml:space="preserve"> PAGEREF _Toc202185103 \h </w:instrText>
            </w:r>
            <w:r>
              <w:rPr>
                <w:webHidden/>
              </w:rPr>
            </w:r>
            <w:r>
              <w:rPr>
                <w:webHidden/>
              </w:rPr>
              <w:fldChar w:fldCharType="separate"/>
            </w:r>
            <w:r>
              <w:rPr>
                <w:webHidden/>
              </w:rPr>
              <w:t>10</w:t>
            </w:r>
            <w:r>
              <w:rPr>
                <w:webHidden/>
              </w:rPr>
              <w:fldChar w:fldCharType="end"/>
            </w:r>
          </w:hyperlink>
        </w:p>
        <w:p w14:paraId="6D80EA27" w14:textId="0B109D8A" w:rsidR="00400CA7" w:rsidRDefault="00400CA7" w:rsidP="00400CA7">
          <w:pPr>
            <w:pStyle w:val="TOC1"/>
            <w:spacing w:before="240" w:after="240" w:line="240" w:lineRule="auto"/>
            <w:rPr>
              <w:rFonts w:asciiTheme="minorHAnsi" w:eastAsiaTheme="minorEastAsia" w:hAnsiTheme="minorHAnsi" w:cstheme="minorBidi"/>
              <w:b w:val="0"/>
              <w:bCs w:val="0"/>
              <w:caps w:val="0"/>
              <w:color w:val="auto"/>
              <w:kern w:val="2"/>
              <w:sz w:val="24"/>
              <w:szCs w:val="24"/>
              <w:u w:val="none"/>
              <w:lang w:val="es-ES" w:eastAsia="es-ES"/>
              <w14:ligatures w14:val="standardContextual"/>
            </w:rPr>
          </w:pPr>
          <w:hyperlink w:anchor="_Toc202185104" w:history="1">
            <w:r w:rsidRPr="00B34DAC">
              <w:rPr>
                <w:rStyle w:val="Hyperlink"/>
                <w:lang w:val="es-ES"/>
              </w:rPr>
              <w:t>5.</w:t>
            </w:r>
            <w:r>
              <w:rPr>
                <w:rFonts w:asciiTheme="minorHAnsi" w:eastAsiaTheme="minorEastAsia" w:hAnsiTheme="minorHAnsi" w:cstheme="minorBidi"/>
                <w:b w:val="0"/>
                <w:bCs w:val="0"/>
                <w:caps w:val="0"/>
                <w:color w:val="auto"/>
                <w:kern w:val="2"/>
                <w:sz w:val="24"/>
                <w:szCs w:val="24"/>
                <w:u w:val="none"/>
                <w:lang w:val="es-ES" w:eastAsia="es-ES"/>
                <w14:ligatures w14:val="standardContextual"/>
              </w:rPr>
              <w:tab/>
            </w:r>
            <w:r w:rsidRPr="00B34DAC">
              <w:rPr>
                <w:rStyle w:val="Hyperlink"/>
                <w:lang w:val="es-ES"/>
              </w:rPr>
              <w:t>RECOMENDACIONES</w:t>
            </w:r>
            <w:r>
              <w:rPr>
                <w:webHidden/>
              </w:rPr>
              <w:tab/>
            </w:r>
            <w:r>
              <w:rPr>
                <w:webHidden/>
              </w:rPr>
              <w:fldChar w:fldCharType="begin"/>
            </w:r>
            <w:r>
              <w:rPr>
                <w:webHidden/>
              </w:rPr>
              <w:instrText xml:space="preserve"> PAGEREF _Toc202185104 \h </w:instrText>
            </w:r>
            <w:r>
              <w:rPr>
                <w:webHidden/>
              </w:rPr>
            </w:r>
            <w:r>
              <w:rPr>
                <w:webHidden/>
              </w:rPr>
              <w:fldChar w:fldCharType="separate"/>
            </w:r>
            <w:r>
              <w:rPr>
                <w:webHidden/>
              </w:rPr>
              <w:t>11</w:t>
            </w:r>
            <w:r>
              <w:rPr>
                <w:webHidden/>
              </w:rPr>
              <w:fldChar w:fldCharType="end"/>
            </w:r>
          </w:hyperlink>
        </w:p>
        <w:p w14:paraId="3D7ADF2C" w14:textId="05A3CEE9" w:rsidR="00400CA7" w:rsidRDefault="00400CA7" w:rsidP="00400CA7">
          <w:pPr>
            <w:spacing w:before="240" w:after="240"/>
          </w:pPr>
          <w:r>
            <w:rPr>
              <w:b/>
              <w:bCs/>
            </w:rPr>
            <w:fldChar w:fldCharType="end"/>
          </w:r>
        </w:p>
      </w:sdtContent>
    </w:sdt>
    <w:p w14:paraId="54CA6232" w14:textId="28E11F4A" w:rsidR="005D6062" w:rsidRPr="00014E5B" w:rsidRDefault="00346173" w:rsidP="005E7038">
      <w:pPr>
        <w:pStyle w:val="BBodyText"/>
        <w:jc w:val="both"/>
        <w:rPr>
          <w:rFonts w:asciiTheme="majorHAnsi" w:hAnsiTheme="majorHAnsi"/>
          <w:b/>
          <w:caps/>
          <w:noProof/>
          <w:color w:val="000000" w:themeColor="text1"/>
          <w:sz w:val="17"/>
          <w:szCs w:val="22"/>
          <w:u w:val="single"/>
          <w:lang w:val="es-ES"/>
        </w:rPr>
        <w:sectPr w:rsidR="005D6062" w:rsidRPr="00014E5B" w:rsidSect="00DA7998">
          <w:headerReference w:type="default" r:id="rId12"/>
          <w:footerReference w:type="default" r:id="rId13"/>
          <w:headerReference w:type="first" r:id="rId14"/>
          <w:footerReference w:type="first" r:id="rId15"/>
          <w:pgSz w:w="11906" w:h="16838" w:code="9"/>
          <w:pgMar w:top="1474" w:right="1418" w:bottom="1418" w:left="1418" w:header="709" w:footer="709" w:gutter="0"/>
          <w:cols w:space="708"/>
          <w:titlePg/>
          <w:docGrid w:linePitch="360"/>
        </w:sectPr>
      </w:pPr>
      <w:r w:rsidRPr="00014E5B">
        <w:rPr>
          <w:b/>
          <w:noProof/>
          <w:lang w:val="es-ES"/>
        </w:rPr>
        <mc:AlternateContent>
          <mc:Choice Requires="wps">
            <w:drawing>
              <wp:anchor distT="0" distB="0" distL="114300" distR="114300" simplePos="0" relativeHeight="251658248" behindDoc="0" locked="1" layoutInCell="1" allowOverlap="0" wp14:anchorId="54EF172B" wp14:editId="1D20D308">
                <wp:simplePos x="0" y="0"/>
                <wp:positionH relativeFrom="margin">
                  <wp:align>right</wp:align>
                </wp:positionH>
                <wp:positionV relativeFrom="page">
                  <wp:posOffset>6029325</wp:posOffset>
                </wp:positionV>
                <wp:extent cx="3058795" cy="2895600"/>
                <wp:effectExtent l="0" t="0" r="825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8795" cy="2895600"/>
                        </a:xfrm>
                        <a:prstGeom prst="rect">
                          <a:avLst/>
                        </a:prstGeom>
                        <a:solidFill>
                          <a:sysClr val="window" lastClr="FFFFFF"/>
                        </a:solidFill>
                        <a:ln w="6350">
                          <a:noFill/>
                        </a:ln>
                      </wps:spPr>
                      <wps:txbx>
                        <w:txbxContent>
                          <w:p w14:paraId="7981F913" w14:textId="49DBEA9B" w:rsidR="00A37AF8" w:rsidRPr="00014E5B" w:rsidRDefault="00A37AF8" w:rsidP="00DA2F99">
                            <w:pPr>
                              <w:pStyle w:val="BBodyText"/>
                              <w:rPr>
                                <w:lang w:val="es-ES"/>
                              </w:rPr>
                            </w:pPr>
                            <w:r>
                              <w:rPr>
                                <w:bCs w:val="0"/>
                                <w:lang w:val="es"/>
                              </w:rPr>
                              <w:t>Amnistía Internacional presenta esta información antes de la adopción de la lista de temas prioritarios basada en la información adicional presentada por Ecuador, previa al 29</w:t>
                            </w:r>
                            <w:r>
                              <w:rPr>
                                <w:bCs w:val="0"/>
                                <w:vertAlign w:val="superscript"/>
                                <w:lang w:val="es"/>
                              </w:rPr>
                              <w:t>º</w:t>
                            </w:r>
                            <w:r>
                              <w:rPr>
                                <w:bCs w:val="0"/>
                                <w:lang w:val="es"/>
                              </w:rPr>
                              <w:t xml:space="preserve"> período de sesiones del Comité contra la Desaparición Forzada, que se celebrará en Ginebra del 22 de septiembre al 3 de octubre de 2025. El documento destaca los principales motivos de preocupación de la organización respecto a posibles casos de desapariciones forzadas durante el mandato del actual presidente Daniel Noboa (2023-presente) como parte de la política de seguridad conocida como “Plan Fénix” y en relación con las continuas declaraciones de estados de excepción y de “conflicto armado interno” a partir de 2024. </w:t>
                            </w:r>
                          </w:p>
                          <w:p w14:paraId="466EE5A9" w14:textId="0A3D3AED" w:rsidR="00EB1613" w:rsidRPr="00014E5B" w:rsidRDefault="00EB1613" w:rsidP="00EB1613">
                            <w:pPr>
                              <w:pStyle w:val="Babstract"/>
                              <w:rPr>
                                <w:lang w:val="es-ES"/>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F172B" id="_x0000_t202" coordsize="21600,21600" o:spt="202" path="m,l,21600r21600,l21600,xe">
                <v:stroke joinstyle="miter"/>
                <v:path gradientshapeok="t" o:connecttype="rect"/>
              </v:shapetype>
              <v:shape id="Text Box 7" o:spid="_x0000_s1026" type="#_x0000_t202" style="position:absolute;left:0;text-align:left;margin-left:189.65pt;margin-top:474.75pt;width:240.85pt;height:228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" o:allowoverlap="f" fillcolor="window" stroked="f" strokeweight=".5pt">
                <o:lock v:ext="edit" aspectratio="t"/>
                <v:textbox>
                  <w:txbxContent>
                    <w:p w14:paraId="7981F913" w14:textId="49DBEA9B" w:rsidR="00A37AF8" w:rsidRPr="00014E5B" w:rsidRDefault="00A37AF8" w:rsidP="00DA2F99">
                      <w:pPr>
                        <w:pStyle w:val="BBodyText"/>
                        <w:rPr>
                          <w:lang w:val="es-ES"/>
                        </w:rPr>
                      </w:pPr>
                      <w:r>
                        <w:rPr>
                          <w:bCs w:val="0"/>
                          <w:lang w:val="es"/>
                        </w:rPr>
                        <w:t>Amnistía Internacional presenta esta información antes de la adopción de la lista de temas prioritarios basada en la información adicional presentada por Ecuador, previa al 29</w:t>
                      </w:r>
                      <w:r>
                        <w:rPr>
                          <w:bCs w:val="0"/>
                          <w:vertAlign w:val="superscript"/>
                          <w:lang w:val="es"/>
                        </w:rPr>
                        <w:t>º</w:t>
                      </w:r>
                      <w:r>
                        <w:rPr>
                          <w:bCs w:val="0"/>
                          <w:lang w:val="es"/>
                        </w:rPr>
                        <w:t xml:space="preserve"> período de sesiones del Comité contra la Desaparición Forzada, que se celebrará en Ginebra del 22 de septiembre al 3 de octubre de 2025. El documento destaca los principales motivos de preocupación de la organización respecto a posibles casos de desapariciones forzadas durante el mandato del actual presidente Daniel Noboa (2023-presente) como parte de la política de seguridad conocida como “Plan Fénix” y en relación con las continuas declaraciones de estados de excepción y de “conflicto armado interno” a partir de 2024. </w:t>
                      </w:r>
                    </w:p>
                    <w:p w14:paraId="466EE5A9" w14:textId="0A3D3AED" w:rsidR="00EB1613" w:rsidRPr="00014E5B" w:rsidRDefault="00EB1613" w:rsidP="00EB1613">
                      <w:pPr>
                        <w:pStyle w:val="Babstract"/>
                        <w:rPr>
                          <w:lang w:val="es-ES"/>
                        </w:rPr>
                      </w:pPr>
                    </w:p>
                  </w:txbxContent>
                </v:textbox>
                <w10:wrap anchorx="margin" anchory="page"/>
                <w10:anchorlock/>
              </v:shape>
            </w:pict>
          </mc:Fallback>
        </mc:AlternateContent>
      </w:r>
    </w:p>
    <w:p w14:paraId="489839CD" w14:textId="325A830A" w:rsidR="003401E5" w:rsidRPr="00014E5B" w:rsidRDefault="003401E5" w:rsidP="06DA4E16">
      <w:pPr>
        <w:pStyle w:val="BNumberedHeading"/>
        <w:rPr>
          <w:lang w:val="es-ES"/>
        </w:rPr>
      </w:pPr>
      <w:bookmarkStart w:id="0" w:name="_Toc200363427"/>
      <w:bookmarkStart w:id="1" w:name="_Toc202185100"/>
      <w:r w:rsidRPr="00014E5B">
        <w:rPr>
          <w:bCs/>
          <w:lang w:val="es-ES"/>
        </w:rPr>
        <w:lastRenderedPageBreak/>
        <w:t>INTRODUCCIÓN</w:t>
      </w:r>
      <w:bookmarkEnd w:id="0"/>
      <w:bookmarkEnd w:id="1"/>
    </w:p>
    <w:p w14:paraId="47994692" w14:textId="36447CE9" w:rsidR="004654B0" w:rsidRPr="00014E5B" w:rsidRDefault="18C35842" w:rsidP="005E7038">
      <w:pPr>
        <w:pStyle w:val="BBodyText"/>
        <w:jc w:val="both"/>
        <w:rPr>
          <w:lang w:val="es-ES"/>
        </w:rPr>
      </w:pPr>
      <w:r w:rsidRPr="00014E5B">
        <w:rPr>
          <w:bCs w:val="0"/>
          <w:lang w:val="es-ES"/>
        </w:rPr>
        <w:t>Amnistía Internacional presenta esta información antes de la adopción de la lista de temas prioritarios basada en la información adicional presentada por Ecuador, previa al 29</w:t>
      </w:r>
      <w:r w:rsidRPr="00014E5B">
        <w:rPr>
          <w:bCs w:val="0"/>
          <w:vertAlign w:val="superscript"/>
          <w:lang w:val="es-ES"/>
        </w:rPr>
        <w:t>º</w:t>
      </w:r>
      <w:r w:rsidRPr="00014E5B">
        <w:rPr>
          <w:bCs w:val="0"/>
          <w:lang w:val="es-ES"/>
        </w:rPr>
        <w:t xml:space="preserve"> período de sesiones del Comité contra la Desaparición Forzada, que se celebrará en Ginebra del 22 de septiembre al 3 de octubre de 2025. La información no constituye una revisión exhaustiva de la situación referente a las desapariciones forzadas en Ecuador,</w:t>
      </w:r>
      <w:r w:rsidR="00014E5B">
        <w:rPr>
          <w:bCs w:val="0"/>
          <w:lang w:val="es-ES"/>
        </w:rPr>
        <w:t xml:space="preserve"> </w:t>
      </w:r>
      <w:r w:rsidRPr="00014E5B">
        <w:rPr>
          <w:bCs w:val="0"/>
          <w:lang w:val="es-ES"/>
        </w:rPr>
        <w:t xml:space="preserve">sino que destaca los principales motivos de preocupación de la organización respecto a posibles casos de desapariciones forzadas durante el mandato del presidente Daniel Noboa (2023-presente), como parte de la política de seguridad conocida como “Plan Fénix”, y en relación con las continuas declaraciones del estado de excepción y de un “conflicto armado interno” desde 2024. </w:t>
      </w:r>
    </w:p>
    <w:p w14:paraId="45CE735A" w14:textId="5D77D434" w:rsidR="005D0CA4" w:rsidRPr="00014E5B" w:rsidRDefault="00D825A9" w:rsidP="005E7038">
      <w:pPr>
        <w:pStyle w:val="BBodyText"/>
        <w:jc w:val="both"/>
        <w:rPr>
          <w:lang w:val="es-ES"/>
        </w:rPr>
      </w:pPr>
      <w:r w:rsidRPr="00014E5B">
        <w:rPr>
          <w:bCs w:val="0"/>
          <w:lang w:val="es-ES"/>
        </w:rPr>
        <w:t xml:space="preserve">Desde que el Comité emitió sus observaciones finales sobre Ecuador en 2017, las autoridades ecuatorianas han tomado medidas positivas, como la promulgación de leyes destinadas a mejorar la búsqueda de personas desaparecidas y la creación de una nueva unidad dentro de la </w:t>
      </w:r>
      <w:proofErr w:type="gramStart"/>
      <w:r w:rsidRPr="00014E5B">
        <w:rPr>
          <w:bCs w:val="0"/>
          <w:lang w:val="es-ES"/>
        </w:rPr>
        <w:t>Fiscalía General</w:t>
      </w:r>
      <w:proofErr w:type="gramEnd"/>
      <w:r w:rsidRPr="00014E5B">
        <w:rPr>
          <w:bCs w:val="0"/>
          <w:lang w:val="es-ES"/>
        </w:rPr>
        <w:t xml:space="preserve"> del Estado encargada específicamente de investigar las violaciones graves de derechos humanos, incluidas las desapariciones forzadas, cometidas por las fuerzas de seguridad. </w:t>
      </w:r>
    </w:p>
    <w:p w14:paraId="64760A56" w14:textId="177A1E87" w:rsidR="00196C98" w:rsidRPr="00014E5B" w:rsidRDefault="00BC5E28" w:rsidP="005E7038">
      <w:pPr>
        <w:pStyle w:val="BBodyText"/>
        <w:jc w:val="both"/>
        <w:rPr>
          <w:lang w:val="es-ES"/>
        </w:rPr>
      </w:pPr>
      <w:r w:rsidRPr="00014E5B">
        <w:rPr>
          <w:bCs w:val="0"/>
          <w:lang w:val="es-ES"/>
        </w:rPr>
        <w:t>Sin perjuicio de estas medidas positivas, para Amnistía Internacional es motivo de preocupación la reciente oleada de informes sobre posibles casos de desapariciones forzadas, cometidas presuntamente durante las operaciones de seguridad llevadas a cabo por las Fuerzas Armadas a lo largo de 2024 en la región costera de Ecuador. Las presuntas víctimas son predominantemente hombres jóvenes de comunidades marginadas, algunos de ellos menores de edad. No se han llevado a cabo tareas de búsqueda e investigación efectivas para determinar el paradero de la mayoría de las víctimas. Teniendo en cuenta este contexto, la organización considera que las cuestiones clave relativas a los posibles casos de desaparición forzada que deben abordar las autoridades ecuatorianas son las siguientes:</w:t>
      </w:r>
    </w:p>
    <w:p w14:paraId="0A7DCD97" w14:textId="08C9D1B3" w:rsidR="00D95151" w:rsidRPr="00014E5B" w:rsidRDefault="00F25A31" w:rsidP="005E7038">
      <w:pPr>
        <w:pStyle w:val="BBodyText"/>
        <w:numPr>
          <w:ilvl w:val="0"/>
          <w:numId w:val="31"/>
        </w:numPr>
        <w:jc w:val="both"/>
        <w:rPr>
          <w:lang w:val="es-ES"/>
        </w:rPr>
      </w:pPr>
      <w:r w:rsidRPr="00014E5B">
        <w:rPr>
          <w:b/>
          <w:lang w:val="es-ES"/>
        </w:rPr>
        <w:t>El fortalecimiento de los esfuerzos para prevenir</w:t>
      </w:r>
      <w:r w:rsidRPr="00014E5B">
        <w:rPr>
          <w:bCs w:val="0"/>
          <w:lang w:val="es-ES"/>
        </w:rPr>
        <w:t xml:space="preserve"> las desapariciones forzadas, dados los preocupantes informes de posibles casos cometidos durante las operaciones llevadas a cabo por las Fuerzas Armadas como parte de la política de seguridad militarizada del gobierno actual;</w:t>
      </w:r>
    </w:p>
    <w:p w14:paraId="4EDEFEFA" w14:textId="60AF5824" w:rsidR="00D95151" w:rsidRPr="00014E5B" w:rsidRDefault="00140E71" w:rsidP="005E7038">
      <w:pPr>
        <w:pStyle w:val="BBodyText"/>
        <w:numPr>
          <w:ilvl w:val="0"/>
          <w:numId w:val="31"/>
        </w:numPr>
        <w:jc w:val="both"/>
        <w:rPr>
          <w:lang w:val="es-ES"/>
        </w:rPr>
      </w:pPr>
      <w:r w:rsidRPr="00014E5B">
        <w:rPr>
          <w:bCs w:val="0"/>
          <w:lang w:val="es-ES"/>
        </w:rPr>
        <w:t>La falta de</w:t>
      </w:r>
      <w:r w:rsidRPr="00014E5B">
        <w:rPr>
          <w:b/>
          <w:lang w:val="es-ES"/>
        </w:rPr>
        <w:t xml:space="preserve"> investigaciones penales </w:t>
      </w:r>
      <w:r w:rsidRPr="00014E5B">
        <w:rPr>
          <w:bCs w:val="0"/>
          <w:lang w:val="es-ES"/>
        </w:rPr>
        <w:t>inmediatas, efectivas, independientes e imparciales sobre las denuncias de desaparición forzada;</w:t>
      </w:r>
    </w:p>
    <w:p w14:paraId="5FDD3F0F" w14:textId="09DDC1CD" w:rsidR="001E161E" w:rsidRPr="00014E5B" w:rsidRDefault="006E59E8" w:rsidP="06DA4E16">
      <w:pPr>
        <w:pStyle w:val="BBodyText"/>
        <w:numPr>
          <w:ilvl w:val="0"/>
          <w:numId w:val="31"/>
        </w:numPr>
        <w:jc w:val="both"/>
        <w:rPr>
          <w:lang w:val="es-ES"/>
        </w:rPr>
      </w:pPr>
      <w:r w:rsidRPr="00014E5B">
        <w:rPr>
          <w:bCs w:val="0"/>
          <w:lang w:val="es-ES"/>
        </w:rPr>
        <w:t xml:space="preserve">El hecho de que no se hayan emprendido </w:t>
      </w:r>
      <w:r w:rsidRPr="00014E5B">
        <w:rPr>
          <w:b/>
          <w:lang w:val="es-ES"/>
        </w:rPr>
        <w:t xml:space="preserve">tareas de búsqueda </w:t>
      </w:r>
      <w:r w:rsidRPr="00014E5B">
        <w:rPr>
          <w:bCs w:val="0"/>
          <w:lang w:val="es-ES"/>
        </w:rPr>
        <w:t>inmediatas y efectivas para determinar el paradero de las presuntas víctimas.</w:t>
      </w:r>
    </w:p>
    <w:p w14:paraId="02FC790E" w14:textId="5893FAB1" w:rsidR="00771262" w:rsidRPr="00014E5B" w:rsidRDefault="006A7DC0" w:rsidP="00400CA7">
      <w:pPr>
        <w:pStyle w:val="BNumberedHeading"/>
        <w:rPr>
          <w:lang w:val="es-ES"/>
        </w:rPr>
      </w:pPr>
      <w:bookmarkStart w:id="2" w:name="_Toc200363428"/>
      <w:bookmarkStart w:id="3" w:name="_Toc202185101"/>
      <w:r w:rsidRPr="00014E5B">
        <w:rPr>
          <w:bCs/>
          <w:lang w:val="es-ES"/>
        </w:rPr>
        <w:t>Falta de prevención de posibles desapariciones forzadas (artículo 1)</w:t>
      </w:r>
      <w:bookmarkEnd w:id="2"/>
      <w:bookmarkEnd w:id="3"/>
    </w:p>
    <w:p w14:paraId="560D8AD6" w14:textId="5F58C009" w:rsidR="003D4C25" w:rsidRPr="00014E5B" w:rsidRDefault="00A564B2" w:rsidP="005E7038">
      <w:pPr>
        <w:pStyle w:val="BBodyText"/>
        <w:jc w:val="both"/>
        <w:rPr>
          <w:lang w:val="es-ES"/>
        </w:rPr>
      </w:pPr>
      <w:r w:rsidRPr="00014E5B">
        <w:rPr>
          <w:bCs w:val="0"/>
          <w:lang w:val="es-ES"/>
        </w:rPr>
        <w:t>En sus conclusiones sobre Ecuador en 2017, el Comité reconoció que el marco normativo del país para prevenir y sancionar las desapariciones forzadas vigente en el país “se ajusta en gran medida a las disposiciones de la Convención y las obligaciones que esta impone a los Estados que la han ratificado”.</w:t>
      </w:r>
      <w:r w:rsidRPr="00014E5B">
        <w:rPr>
          <w:rStyle w:val="FootnoteReference"/>
          <w:bCs w:val="0"/>
          <w:lang w:val="es-ES"/>
        </w:rPr>
        <w:footnoteReference w:id="2"/>
      </w:r>
      <w:r w:rsidRPr="00014E5B">
        <w:rPr>
          <w:bCs w:val="0"/>
          <w:lang w:val="es-ES"/>
        </w:rPr>
        <w:t xml:space="preserve"> El Comité observó, en particular, que la Constitución de Ecuador prohíbe expresamente las desapariciones forzadas y las tipifica como delito imprescriptible.</w:t>
      </w:r>
      <w:r w:rsidRPr="00014E5B">
        <w:rPr>
          <w:rStyle w:val="FootnoteReference"/>
          <w:bCs w:val="0"/>
          <w:lang w:val="es-ES"/>
        </w:rPr>
        <w:footnoteReference w:id="3"/>
      </w:r>
      <w:r w:rsidRPr="00014E5B">
        <w:rPr>
          <w:bCs w:val="0"/>
          <w:lang w:val="es-ES"/>
        </w:rPr>
        <w:t xml:space="preserve"> Además, reconoció la inclusión de este delito en el artículo 84 del Código Penal del país de 2014.</w:t>
      </w:r>
      <w:r w:rsidRPr="00014E5B">
        <w:rPr>
          <w:rStyle w:val="FootnoteReference"/>
          <w:bCs w:val="0"/>
          <w:lang w:val="es-ES"/>
        </w:rPr>
        <w:footnoteReference w:id="4"/>
      </w:r>
      <w:r w:rsidRPr="00014E5B">
        <w:rPr>
          <w:bCs w:val="0"/>
          <w:lang w:val="es-ES"/>
        </w:rPr>
        <w:t xml:space="preserve"> </w:t>
      </w:r>
    </w:p>
    <w:p w14:paraId="0C0CA9E8" w14:textId="624F8FAE" w:rsidR="00FC1A7D" w:rsidRPr="00014E5B" w:rsidRDefault="60757208" w:rsidP="005E7038">
      <w:pPr>
        <w:pStyle w:val="BBodyText"/>
        <w:jc w:val="both"/>
        <w:rPr>
          <w:lang w:val="es-ES"/>
        </w:rPr>
      </w:pPr>
      <w:r w:rsidRPr="00014E5B">
        <w:rPr>
          <w:bCs w:val="0"/>
          <w:lang w:val="es-ES"/>
        </w:rPr>
        <w:t>Pese a estos importantes pasos, Amnistía Internacional observa que Ecuador aún no dispone de una política pública integral para la prevención de las desapariciones forzadas. La necesidad de esta política se ha hecho evidente ante la nueva oleada de informes sobre decenas de hombres jóvenes desaparecidos, algunos de ellos menores de edad. Según las familias de las presuntas víctimas y la información recabada por la organización local de derechos humanos Comité Permanente por la Defensa de los Derechos Humanos (CDH-GYE), al menos 29 jóvenes fueron vistos por última vez tras las operaciones de seguridad llevadas a cabo por las Fuerzas Armadas a lo largo de 2024 en las provincias de Esmeraldas, Los Ríos y Guayas, en la región costera de Ecuador.</w:t>
      </w:r>
      <w:r w:rsidRPr="00014E5B">
        <w:rPr>
          <w:rStyle w:val="FootnoteReference"/>
          <w:bCs w:val="0"/>
          <w:lang w:val="es-ES"/>
        </w:rPr>
        <w:footnoteReference w:id="5"/>
      </w:r>
      <w:r w:rsidRPr="00014E5B">
        <w:rPr>
          <w:bCs w:val="0"/>
          <w:lang w:val="es-ES"/>
        </w:rPr>
        <w:t xml:space="preserve"> Sigue sin conocerse el paradero de las 29 víctimas. Amnistía Internacional expresa su preocupación ante estos informes, que podrían constituir casos de desaparición forzada.  </w:t>
      </w:r>
    </w:p>
    <w:p w14:paraId="36BD9F15" w14:textId="582F8523" w:rsidR="00217CF0" w:rsidRPr="00014E5B" w:rsidRDefault="4EE08D52" w:rsidP="005E7038">
      <w:pPr>
        <w:pStyle w:val="BBodyText"/>
        <w:jc w:val="both"/>
        <w:rPr>
          <w:lang w:val="es-ES"/>
        </w:rPr>
      </w:pPr>
      <w:r w:rsidRPr="00014E5B">
        <w:rPr>
          <w:bCs w:val="0"/>
          <w:lang w:val="es-ES"/>
        </w:rPr>
        <w:t>Las operaciones de seguridad llevadas a cabo por las Fuerzas Armadas han tenido lugar en el contexto de una mayor militarización de la seguridad pública en Ecuador en años recientes. Durante el gobierno actual del presidente Daniel Noboa (2023-presente), las Fuerzas Armadas han permanecido desplegadas permanentemente para llevar a cabo tareas de aplicación de la ley en diversas provincias de Ecuador, incluidas las de la región costera.</w:t>
      </w:r>
      <w:r w:rsidRPr="00014E5B">
        <w:rPr>
          <w:rStyle w:val="FootnoteReference"/>
          <w:bCs w:val="0"/>
          <w:lang w:val="es-ES"/>
        </w:rPr>
        <w:footnoteReference w:id="6"/>
      </w:r>
      <w:r w:rsidRPr="00014E5B">
        <w:rPr>
          <w:bCs w:val="0"/>
          <w:lang w:val="es-ES"/>
        </w:rPr>
        <w:t xml:space="preserve"> El gobierno del presidente Noboa se refiere a estas operaciones como “Plan Fénix”; los pormenores de este plan no son de conocimiento público. En la práctica, el presidente Noboa ha ordenado el despliegue de Fuerzas Armadas para hacer cumplir la ley mediante la declaración de un “estado de excepción”, iniciado el </w:t>
      </w:r>
      <w:r w:rsidR="009664FB">
        <w:rPr>
          <w:bCs w:val="0"/>
          <w:lang w:val="es-ES"/>
        </w:rPr>
        <w:t>8</w:t>
      </w:r>
      <w:r w:rsidRPr="00014E5B">
        <w:rPr>
          <w:bCs w:val="0"/>
          <w:lang w:val="es-ES"/>
        </w:rPr>
        <w:t xml:space="preserve"> de enero de 2024 y renovado de manera continuada desde entonces, y de un “conflicto armado interno”, supuestamente “justificado” por el presidente por el contexto de los crecientes niveles de violencia vinculados a la presencia del crimen organizado en el país.</w:t>
      </w:r>
      <w:r w:rsidRPr="00014E5B">
        <w:rPr>
          <w:rStyle w:val="FootnoteReference"/>
          <w:bCs w:val="0"/>
          <w:lang w:val="es-ES"/>
        </w:rPr>
        <w:footnoteReference w:id="7"/>
      </w:r>
    </w:p>
    <w:p w14:paraId="04F0DF76" w14:textId="22234C9E" w:rsidR="008E5AE6" w:rsidRPr="00014E5B" w:rsidRDefault="00942CB9" w:rsidP="005E7038">
      <w:pPr>
        <w:pStyle w:val="BBodyText"/>
        <w:jc w:val="both"/>
        <w:rPr>
          <w:lang w:val="es-ES"/>
        </w:rPr>
      </w:pPr>
      <w:r w:rsidRPr="00014E5B">
        <w:rPr>
          <w:bCs w:val="0"/>
          <w:lang w:val="es-ES"/>
        </w:rPr>
        <w:t>Las políticas de seguridad del presidente Noboa han sido motivo de preocupación para los órganos de tratados de la ONU, incluidos el Comité contra la Tortura y el Comité de Derechos Humanos. En sus Observaciones finales de 2024, el Comité de Derechos Humanos expresó su “profunda preocupación por la frecuencia con que el Estado parte ha declarado estados de excepción”.</w:t>
      </w:r>
      <w:r w:rsidRPr="00014E5B">
        <w:rPr>
          <w:rStyle w:val="FootnoteReference"/>
          <w:bCs w:val="0"/>
          <w:lang w:val="es-ES"/>
        </w:rPr>
        <w:footnoteReference w:id="8"/>
      </w:r>
      <w:r w:rsidRPr="00014E5B">
        <w:rPr>
          <w:bCs w:val="0"/>
          <w:lang w:val="es-ES"/>
        </w:rPr>
        <w:t xml:space="preserve"> A su vez, el Comité contra la Tortura ha pedido a las autoridades ecuatorianas “asegurar que las tareas de mantenimiento del orden público y seguridad ciudadana sean realizadas [...] solo de manera absolutamente necesaria, excepcional, temporal y complementaria, y respetando plenamente los estándares internacionales de derechos humanos, por miembros de las Fuerzas Armadas”.</w:t>
      </w:r>
      <w:r w:rsidRPr="00014E5B">
        <w:rPr>
          <w:rStyle w:val="FootnoteReference"/>
          <w:bCs w:val="0"/>
          <w:lang w:val="es-ES"/>
        </w:rPr>
        <w:footnoteReference w:id="9"/>
      </w:r>
    </w:p>
    <w:p w14:paraId="4E77FB31" w14:textId="4C9D5402" w:rsidR="00880A13" w:rsidRPr="00014E5B" w:rsidRDefault="0055051C" w:rsidP="00880A13">
      <w:pPr>
        <w:pStyle w:val="BBodyText"/>
        <w:jc w:val="both"/>
        <w:rPr>
          <w:lang w:val="es-ES"/>
        </w:rPr>
      </w:pPr>
      <w:r w:rsidRPr="00014E5B">
        <w:rPr>
          <w:bCs w:val="0"/>
          <w:lang w:val="es-ES"/>
        </w:rPr>
        <w:t>Pese a las observaciones y recomendaciones anteriores, las políticas de seguridad militarizada del presidente Noboa han continuado con la misma intensidad. Su impacto negativo sobre el disfrute de los derechos humanos en Ecuador resulta evidente, como sugiere el aumento de las denuncias de desapariciones forzadas. Según datos a los que tuvo acceso Amnistía Internacional a través de una solicitud de información pública, la Fiscalía General del Estado ha abierto investigaciones sobre la posible desaparición forzada de 28 personas, presuntamente ocurrida después de que el presidente Noboa declarara por primera vez el estado de excepción, en enero de 2024.</w:t>
      </w:r>
      <w:r w:rsidRPr="00014E5B">
        <w:rPr>
          <w:rStyle w:val="FootnoteReference"/>
          <w:bCs w:val="0"/>
          <w:lang w:val="es-ES"/>
        </w:rPr>
        <w:footnoteReference w:id="10"/>
      </w:r>
      <w:r w:rsidRPr="00014E5B">
        <w:rPr>
          <w:bCs w:val="0"/>
          <w:lang w:val="es-ES"/>
        </w:rPr>
        <w:t xml:space="preserve"> La organización ha confirmado que esas 28 personas forman parte del grupo de personas —documentado por el CDH-GYE— antes mencionado cuyos familiares han </w:t>
      </w:r>
      <w:bookmarkStart w:id="4" w:name="_Int_X09EsGD6"/>
      <w:r w:rsidRPr="00014E5B">
        <w:rPr>
          <w:bCs w:val="0"/>
          <w:lang w:val="es-ES"/>
        </w:rPr>
        <w:t>denunciado</w:t>
      </w:r>
      <w:bookmarkEnd w:id="4"/>
      <w:r w:rsidRPr="00014E5B">
        <w:rPr>
          <w:bCs w:val="0"/>
          <w:lang w:val="es-ES"/>
        </w:rPr>
        <w:t xml:space="preserve"> que se hallan en paradero desconocido.</w:t>
      </w:r>
      <w:r w:rsidRPr="00014E5B">
        <w:rPr>
          <w:rStyle w:val="FootnoteReference"/>
          <w:bCs w:val="0"/>
          <w:lang w:val="es-ES"/>
        </w:rPr>
        <w:footnoteReference w:id="11"/>
      </w:r>
      <w:r w:rsidRPr="00014E5B">
        <w:rPr>
          <w:bCs w:val="0"/>
          <w:lang w:val="es-ES"/>
        </w:rPr>
        <w:t xml:space="preserve"> Este Comité está revisando algunos de esos casos en la actualidad. En su último informe, que abarca el período comprendido entre el 9 de septiembre de 2024 y el 28 de febrero de 2025, el Comité registró 22 acciones urgentes de Ecuador. En particular, los casos del país representaron más del 20% de las peticiones de este tipo de </w:t>
      </w:r>
      <w:bookmarkStart w:id="5" w:name="_Int_FGtgOGvb"/>
      <w:r w:rsidRPr="00014E5B">
        <w:rPr>
          <w:bCs w:val="0"/>
          <w:lang w:val="es-ES"/>
        </w:rPr>
        <w:t>medidas</w:t>
      </w:r>
      <w:bookmarkEnd w:id="5"/>
      <w:r w:rsidRPr="00014E5B">
        <w:rPr>
          <w:bCs w:val="0"/>
          <w:lang w:val="es-ES"/>
        </w:rPr>
        <w:t xml:space="preserve"> a escala mundial para ese período de informes.</w:t>
      </w:r>
      <w:r w:rsidRPr="00014E5B">
        <w:rPr>
          <w:rStyle w:val="FootnoteReference"/>
          <w:bCs w:val="0"/>
          <w:lang w:val="es-ES"/>
        </w:rPr>
        <w:footnoteReference w:id="12"/>
      </w:r>
    </w:p>
    <w:p w14:paraId="2AF5D772" w14:textId="044C62D2" w:rsidR="008B2931" w:rsidRPr="00014E5B" w:rsidRDefault="4316694D" w:rsidP="00880A13">
      <w:pPr>
        <w:pStyle w:val="BBodyText"/>
        <w:jc w:val="both"/>
        <w:rPr>
          <w:lang w:val="es-ES"/>
        </w:rPr>
      </w:pPr>
      <w:r w:rsidRPr="00014E5B">
        <w:rPr>
          <w:bCs w:val="0"/>
          <w:lang w:val="es-ES"/>
        </w:rPr>
        <w:t>Amnistía Internacional desea hacer hincapié en que las personas cuya desaparición se ha denunciado pertenecen a comunidades marginadas y racializadas en Ecuador.</w:t>
      </w:r>
      <w:r w:rsidRPr="00014E5B">
        <w:rPr>
          <w:rStyle w:val="FootnoteReference"/>
          <w:bCs w:val="0"/>
          <w:lang w:val="es-ES"/>
        </w:rPr>
        <w:footnoteReference w:id="13"/>
      </w:r>
      <w:r w:rsidRPr="00014E5B">
        <w:rPr>
          <w:bCs w:val="0"/>
          <w:lang w:val="es-ES"/>
        </w:rPr>
        <w:t xml:space="preserve"> En la región costera del país se concentra una amplia población afroecuatoriana, gran parte de la cual vive en barrios y poblaciones empobrecidos, en provincias que actualmente presentan altos niveles de violencia debido a la presencia de la delincuencia organizada. El despliegue de las Fuerzas Armadas se ha llevado a cabo predominantemente en estas provincias y, como consecuencia, estas comunidades han sufrido desproporcionadamente su impacto negativo.</w:t>
      </w:r>
      <w:r w:rsidRPr="00014E5B">
        <w:rPr>
          <w:rStyle w:val="FootnoteReference"/>
          <w:bCs w:val="0"/>
          <w:lang w:val="es-ES"/>
        </w:rPr>
        <w:footnoteReference w:id="14"/>
      </w:r>
      <w:r w:rsidRPr="00014E5B">
        <w:rPr>
          <w:bCs w:val="0"/>
          <w:lang w:val="es-ES"/>
        </w:rPr>
        <w:t xml:space="preserve"> Otros países de la región, como Brasil, son un claro ejemplo de que los enfoques militarizados de la seguridad pública y la lucha contra la delincuencia organizada pueden afectar de manera desproporcionada a las personas de poblaciones racializadas e históricamente marginadas, y hacerlas vulnerables a posibles violaciones de derechos humanos.</w:t>
      </w:r>
      <w:r w:rsidRPr="00014E5B">
        <w:rPr>
          <w:rStyle w:val="FootnoteReference"/>
          <w:bCs w:val="0"/>
          <w:lang w:val="es-ES"/>
        </w:rPr>
        <w:footnoteReference w:id="15"/>
      </w:r>
      <w:r w:rsidRPr="00014E5B">
        <w:rPr>
          <w:bCs w:val="0"/>
          <w:lang w:val="es-ES"/>
        </w:rPr>
        <w:t xml:space="preserve"> Por tanto, es de suma importancia que las autoridades ecuatorianas tomen medidas firmes para garantizar la adopción de una política pública que prevenga las desapariciones forzadas, particularmente en el contexto de su política de seguridad militarizada.</w:t>
      </w:r>
    </w:p>
    <w:p w14:paraId="60A0F32F" w14:textId="4EED9ABE" w:rsidR="00AB2D53" w:rsidRPr="00014E5B" w:rsidDel="00CC6E25" w:rsidRDefault="00FC0875" w:rsidP="06DA4E16">
      <w:pPr>
        <w:pStyle w:val="BBodyText"/>
        <w:jc w:val="both"/>
        <w:rPr>
          <w:lang w:val="es-ES"/>
        </w:rPr>
      </w:pPr>
      <w:r w:rsidRPr="00014E5B">
        <w:rPr>
          <w:bCs w:val="0"/>
          <w:lang w:val="es-ES"/>
        </w:rPr>
        <w:t>Asimismo, es fundamental que, al desarrollarse una política de prevención de las desapariciones forzadas, se tengan en cuenta los riesgos específicos a los que se enfrentan niños, niñas y adolescentes. Como ya señaló este Comité, ocho de las víctimas comunicadas en la nueva oleada de posibles desapariciones forzadas son menores de edad.</w:t>
      </w:r>
      <w:r w:rsidRPr="00014E5B">
        <w:rPr>
          <w:rStyle w:val="FootnoteReference"/>
          <w:bCs w:val="0"/>
          <w:lang w:val="es-ES"/>
        </w:rPr>
        <w:footnoteReference w:id="16"/>
      </w:r>
      <w:r w:rsidRPr="00014E5B">
        <w:rPr>
          <w:bCs w:val="0"/>
          <w:lang w:val="es-ES"/>
        </w:rPr>
        <w:t xml:space="preserve"> Entre ellas se encuentran las del caso de gran repercusión conocido como “los cuatro de Guayaquil”.</w:t>
      </w:r>
      <w:r w:rsidRPr="00014E5B">
        <w:rPr>
          <w:rStyle w:val="FootnoteReference"/>
          <w:bCs w:val="0"/>
          <w:lang w:val="es-ES"/>
        </w:rPr>
        <w:footnoteReference w:id="17"/>
      </w:r>
      <w:r w:rsidRPr="00014E5B">
        <w:rPr>
          <w:bCs w:val="0"/>
          <w:lang w:val="es-ES"/>
        </w:rPr>
        <w:t xml:space="preserve"> Este caso hace referencia a un niño y tres adolescentes que desaparecieron y fueron encontrados muertos con signos de tortura tras un operativo de seguridad desplegado por las Fuerzas Armadas en el sur de la ciudad de Guayaquil, provincia de Guayas, en diciembre de 2024. La </w:t>
      </w:r>
      <w:proofErr w:type="gramStart"/>
      <w:r w:rsidRPr="00014E5B">
        <w:rPr>
          <w:bCs w:val="0"/>
          <w:lang w:val="es-ES"/>
        </w:rPr>
        <w:t>Fiscalía General</w:t>
      </w:r>
      <w:proofErr w:type="gramEnd"/>
      <w:r w:rsidRPr="00014E5B">
        <w:rPr>
          <w:bCs w:val="0"/>
          <w:lang w:val="es-ES"/>
        </w:rPr>
        <w:t xml:space="preserve"> del Estado inició una investigación sobre la posible desaparición forzada de estos menores y detuvo a 16 miembros de las Fuerzas Armadas en relación con los hechos. El caso recibió la </w:t>
      </w:r>
      <w:proofErr w:type="gramStart"/>
      <w:r w:rsidRPr="00014E5B">
        <w:rPr>
          <w:bCs w:val="0"/>
          <w:lang w:val="es-ES"/>
        </w:rPr>
        <w:t>condena internacional y diversos organismos internacionales</w:t>
      </w:r>
      <w:proofErr w:type="gramEnd"/>
      <w:r w:rsidRPr="00014E5B">
        <w:rPr>
          <w:bCs w:val="0"/>
          <w:lang w:val="es-ES"/>
        </w:rPr>
        <w:t xml:space="preserve"> —entre ellos la Comisión Interamericana de Derechos Humanos, la Oficina del Alto Comisionado de las Naciones Unidas para los Derechos Humanos y el Fondo de las Naciones Unidas para la Infancia— hicieron llamamientos para garantizar el acceso de las víctimas y sus familias a la justicia. </w:t>
      </w:r>
    </w:p>
    <w:p w14:paraId="708852CF" w14:textId="28A490F4" w:rsidR="00FE5909" w:rsidRPr="00014E5B" w:rsidRDefault="00626CC4" w:rsidP="06DA4E16">
      <w:pPr>
        <w:pStyle w:val="BNumberedHeading"/>
        <w:rPr>
          <w:lang w:val="es-ES"/>
        </w:rPr>
      </w:pPr>
      <w:bookmarkStart w:id="6" w:name="_Toc200363429"/>
      <w:bookmarkStart w:id="7" w:name="_Toc202185102"/>
      <w:r w:rsidRPr="00014E5B">
        <w:rPr>
          <w:bCs/>
          <w:lang w:val="es-ES"/>
        </w:rPr>
        <w:t>Falta de investigaciones penales efectivas (artículos 10-12)</w:t>
      </w:r>
      <w:bookmarkEnd w:id="6"/>
      <w:bookmarkEnd w:id="7"/>
    </w:p>
    <w:p w14:paraId="427D6F78" w14:textId="5B311BCC" w:rsidR="009A4894" w:rsidRPr="00014E5B" w:rsidRDefault="00C220A3" w:rsidP="005E7038">
      <w:pPr>
        <w:pStyle w:val="BBodyText"/>
        <w:jc w:val="both"/>
        <w:rPr>
          <w:lang w:val="es-ES"/>
        </w:rPr>
      </w:pPr>
      <w:r w:rsidRPr="00014E5B">
        <w:rPr>
          <w:bCs w:val="0"/>
          <w:lang w:val="es-ES"/>
        </w:rPr>
        <w:t xml:space="preserve">Desde que el Comité emitió sus observaciones finales sobre Ecuador en 2017 y tras la presentación de información adicional por el Estado parte en abril de 2023, las autoridades ecuatorianas han introducido nuevas medidas para garantizar que los agentes del Estado que cometan desapariciones forzadas rindan cuentas. En septiembre de 2023, la </w:t>
      </w:r>
      <w:proofErr w:type="gramStart"/>
      <w:r w:rsidRPr="00014E5B">
        <w:rPr>
          <w:bCs w:val="0"/>
          <w:lang w:val="es-ES"/>
        </w:rPr>
        <w:t>Fiscalía General</w:t>
      </w:r>
      <w:proofErr w:type="gramEnd"/>
      <w:r w:rsidRPr="00014E5B">
        <w:rPr>
          <w:bCs w:val="0"/>
          <w:lang w:val="es-ES"/>
        </w:rPr>
        <w:t xml:space="preserve"> del Estado creó la “Unidad especializada en la investigación del uso ilegítimo de la fuerza”.</w:t>
      </w:r>
      <w:r w:rsidRPr="00014E5B">
        <w:rPr>
          <w:rStyle w:val="FootnoteReference"/>
          <w:bCs w:val="0"/>
          <w:lang w:val="es-ES"/>
        </w:rPr>
        <w:footnoteReference w:id="18"/>
      </w:r>
      <w:r w:rsidRPr="00014E5B">
        <w:rPr>
          <w:bCs w:val="0"/>
          <w:lang w:val="es-ES"/>
        </w:rPr>
        <w:t xml:space="preserve"> La unidad se encarga específicamente de investigar las violaciones graves de derechos humanos cometidas por agentes encargados de hacer cumplir la ley, incluidas las desapariciones forzadas.</w:t>
      </w:r>
      <w:r w:rsidRPr="00014E5B">
        <w:rPr>
          <w:rStyle w:val="FootnoteReference"/>
          <w:bCs w:val="0"/>
          <w:lang w:val="es-ES"/>
        </w:rPr>
        <w:footnoteReference w:id="19"/>
      </w:r>
      <w:r w:rsidRPr="00014E5B">
        <w:rPr>
          <w:bCs w:val="0"/>
          <w:lang w:val="es-ES"/>
        </w:rPr>
        <w:t xml:space="preserve"> Amnistía Internacional reconoce la creación de esta unidad como un paso importante para garantizar el derecho de las víctimas a </w:t>
      </w:r>
      <w:bookmarkStart w:id="8" w:name="_Int_zdJCbLVM"/>
      <w:r w:rsidRPr="00014E5B">
        <w:rPr>
          <w:bCs w:val="0"/>
          <w:lang w:val="es-ES"/>
        </w:rPr>
        <w:t>acceder a</w:t>
      </w:r>
      <w:bookmarkEnd w:id="8"/>
      <w:r w:rsidRPr="00014E5B">
        <w:rPr>
          <w:bCs w:val="0"/>
          <w:lang w:val="es-ES"/>
        </w:rPr>
        <w:t xml:space="preserve"> la justicia. Además, la organización reconoce el papel esencial que ha tenido la </w:t>
      </w:r>
      <w:proofErr w:type="gramStart"/>
      <w:r w:rsidRPr="00014E5B">
        <w:rPr>
          <w:bCs w:val="0"/>
          <w:lang w:val="es-ES"/>
        </w:rPr>
        <w:t>Fiscalía General</w:t>
      </w:r>
      <w:proofErr w:type="gramEnd"/>
      <w:r w:rsidRPr="00014E5B">
        <w:rPr>
          <w:bCs w:val="0"/>
          <w:lang w:val="es-ES"/>
        </w:rPr>
        <w:t xml:space="preserve"> del Estado —a través de la Dirección de Derechos Humanos y Participación Ciudadana y de la Dirección de Política Criminal— en el desarrollo de protocolos esenciales, incluido el protocolo de 2021 para garantizar la coordinación entre instituciones estatales en la búsqueda de personas desaparecidas y con respecto a las investigaciones penales asociadas.</w:t>
      </w:r>
      <w:r w:rsidRPr="00014E5B">
        <w:rPr>
          <w:rStyle w:val="FootnoteReference"/>
          <w:bCs w:val="0"/>
          <w:lang w:val="es-ES"/>
        </w:rPr>
        <w:footnoteReference w:id="20"/>
      </w:r>
    </w:p>
    <w:p w14:paraId="0D1F2471" w14:textId="35084051" w:rsidR="00690555" w:rsidRPr="00014E5B" w:rsidRDefault="00F74C03" w:rsidP="5BD88D81">
      <w:pPr>
        <w:pStyle w:val="BBodyText"/>
        <w:jc w:val="both"/>
        <w:rPr>
          <w:lang w:val="es-ES"/>
        </w:rPr>
      </w:pPr>
      <w:r w:rsidRPr="00014E5B">
        <w:rPr>
          <w:bCs w:val="0"/>
          <w:lang w:val="es-ES"/>
        </w:rPr>
        <w:t xml:space="preserve">No obstante, Amnistía Internacional señala que la </w:t>
      </w:r>
      <w:proofErr w:type="gramStart"/>
      <w:r w:rsidRPr="00014E5B">
        <w:rPr>
          <w:bCs w:val="0"/>
          <w:lang w:val="es-ES"/>
        </w:rPr>
        <w:t>Fiscalía General</w:t>
      </w:r>
      <w:proofErr w:type="gramEnd"/>
      <w:r w:rsidRPr="00014E5B">
        <w:rPr>
          <w:bCs w:val="0"/>
          <w:lang w:val="es-ES"/>
        </w:rPr>
        <w:t xml:space="preserve"> del Estado sigue teniendo dificultades para llevar a cabo investigaciones inmediatas y efectivas sobre presuntas desapariciones forzadas. Como se ha señalado antes, la </w:t>
      </w:r>
      <w:proofErr w:type="gramStart"/>
      <w:r w:rsidRPr="00014E5B">
        <w:rPr>
          <w:bCs w:val="0"/>
          <w:lang w:val="es-ES"/>
        </w:rPr>
        <w:t>Fiscalía General</w:t>
      </w:r>
      <w:proofErr w:type="gramEnd"/>
      <w:r w:rsidRPr="00014E5B">
        <w:rPr>
          <w:bCs w:val="0"/>
          <w:lang w:val="es-ES"/>
        </w:rPr>
        <w:t xml:space="preserve"> del Estado confirmó a la organización que había iniciado las investigaciones por la posible desaparición forzada de 28 personas tras las operaciones de seguridad llevadas a cabo por las Fuerzas Armadas a lo largo de 2024. Según la información proporcionada por familiares de las víctimas, algunas de estas presuntas desapariciones forzadas tuvieron lugar y se denunciaron en enero de </w:t>
      </w:r>
      <w:bookmarkStart w:id="9" w:name="_Int_dbQeqblU"/>
      <w:r w:rsidRPr="00014E5B">
        <w:rPr>
          <w:bCs w:val="0"/>
          <w:lang w:val="es-ES"/>
        </w:rPr>
        <w:t>2024</w:t>
      </w:r>
      <w:bookmarkEnd w:id="9"/>
      <w:r w:rsidRPr="00014E5B">
        <w:rPr>
          <w:bCs w:val="0"/>
          <w:lang w:val="es-ES"/>
        </w:rPr>
        <w:t xml:space="preserve">. Sin embargo, el </w:t>
      </w:r>
      <w:bookmarkStart w:id="10" w:name="_Int_4xhQxL3x"/>
      <w:r w:rsidRPr="00014E5B">
        <w:rPr>
          <w:bCs w:val="0"/>
          <w:lang w:val="es-ES"/>
        </w:rPr>
        <w:t>avance</w:t>
      </w:r>
      <w:bookmarkEnd w:id="10"/>
      <w:r w:rsidRPr="00014E5B">
        <w:rPr>
          <w:bCs w:val="0"/>
          <w:lang w:val="es-ES"/>
        </w:rPr>
        <w:t xml:space="preserve"> de la investigación penal ha sido preocupantemente </w:t>
      </w:r>
      <w:bookmarkStart w:id="11" w:name="_Int_77MBJXdJ"/>
      <w:r w:rsidRPr="00014E5B">
        <w:rPr>
          <w:bCs w:val="0"/>
          <w:lang w:val="es-ES"/>
        </w:rPr>
        <w:t>lento</w:t>
      </w:r>
      <w:bookmarkEnd w:id="11"/>
      <w:r w:rsidRPr="00014E5B">
        <w:rPr>
          <w:bCs w:val="0"/>
          <w:lang w:val="es-ES"/>
        </w:rPr>
        <w:t xml:space="preserve">. Según el CDH-GYE, que actúa como representante legal de las víctimas, solo en el caso de “los cuatro de Guayaquil”, la </w:t>
      </w:r>
      <w:proofErr w:type="gramStart"/>
      <w:r w:rsidRPr="00014E5B">
        <w:rPr>
          <w:bCs w:val="0"/>
          <w:lang w:val="es-ES"/>
        </w:rPr>
        <w:t>Fiscalía General</w:t>
      </w:r>
      <w:proofErr w:type="gramEnd"/>
      <w:r w:rsidRPr="00014E5B">
        <w:rPr>
          <w:bCs w:val="0"/>
          <w:lang w:val="es-ES"/>
        </w:rPr>
        <w:t xml:space="preserve"> del Estado ha realizado avances notables, incluida la detención en espera de juicio de los presuntos autores. </w:t>
      </w:r>
    </w:p>
    <w:p w14:paraId="45E71E47" w14:textId="3DFD6619" w:rsidR="00690555" w:rsidRPr="00014E5B" w:rsidRDefault="6B209F5F" w:rsidP="768B8AE7">
      <w:pPr>
        <w:pStyle w:val="BBodyText"/>
        <w:spacing w:line="259" w:lineRule="auto"/>
        <w:jc w:val="both"/>
        <w:rPr>
          <w:lang w:val="es-ES"/>
        </w:rPr>
      </w:pPr>
      <w:r w:rsidRPr="00014E5B">
        <w:rPr>
          <w:bCs w:val="0"/>
          <w:lang w:val="es-ES"/>
        </w:rPr>
        <w:t xml:space="preserve">En concreto, un factor clave ha ralentizado significativamente las </w:t>
      </w:r>
      <w:bookmarkStart w:id="12" w:name="_Int_37UtoiS0"/>
      <w:r w:rsidRPr="00014E5B">
        <w:rPr>
          <w:bCs w:val="0"/>
          <w:lang w:val="es-ES"/>
        </w:rPr>
        <w:t>investigaciones</w:t>
      </w:r>
      <w:bookmarkEnd w:id="12"/>
      <w:r w:rsidRPr="00014E5B">
        <w:rPr>
          <w:bCs w:val="0"/>
          <w:lang w:val="es-ES"/>
        </w:rPr>
        <w:t>. Según representantes legales de las víctimas, la Fiscalía inició las investigaciones inadecuadamente por el delito de “desaparición involuntaria”, que en la legislación ecuatoriana equivale al secuestro de personas por parte de agentes no estatales,</w:t>
      </w:r>
      <w:r w:rsidRPr="00014E5B">
        <w:rPr>
          <w:bCs w:val="0"/>
          <w:vertAlign w:val="superscript"/>
          <w:lang w:val="es-ES"/>
        </w:rPr>
        <w:footnoteReference w:id="21"/>
      </w:r>
      <w:r w:rsidRPr="00014E5B">
        <w:rPr>
          <w:bCs w:val="0"/>
          <w:lang w:val="es-ES"/>
        </w:rPr>
        <w:t xml:space="preserve"> pese a la evidencia que sugería la participación de las Fuerzas Armadas y que requería iniciar una investigación por el delito de desaparición forzada. Gracias a la solicitud explícita de representantes legales y la asistencia técnica de la Oficina del Alto Comisionado de las Naciones Unidas para los Derechos Humanos, se logró que los casos pertinentes se reclasificaran y transfirieran a la “Unidad especializada en la investigación del uso ilegítimo de la fuerza”.</w:t>
      </w:r>
      <w:r w:rsidRPr="00014E5B">
        <w:rPr>
          <w:bCs w:val="0"/>
          <w:color w:val="000000" w:themeColor="text1"/>
          <w:sz w:val="16"/>
          <w:szCs w:val="16"/>
          <w:vertAlign w:val="superscript"/>
          <w:lang w:val="es-ES"/>
        </w:rPr>
        <w:t>20</w:t>
      </w:r>
      <w:r w:rsidRPr="00014E5B">
        <w:rPr>
          <w:bCs w:val="0"/>
          <w:lang w:val="es-ES"/>
        </w:rPr>
        <w:t xml:space="preserve"> Si bien esta rectificación fue positiva, Amnistía Internacional expresa su preocupación por el hecho de que la clasificación jurídica errónea inicial de los presuntos delitos en los procedimientos de investigación haya podido mermar el acceso de las víctimas a la justicia.</w:t>
      </w:r>
    </w:p>
    <w:p w14:paraId="5345A1A1" w14:textId="2CC01FCF" w:rsidR="00690555" w:rsidRPr="00014E5B" w:rsidRDefault="001D3B8E" w:rsidP="005E7038">
      <w:pPr>
        <w:pStyle w:val="BBodyText"/>
        <w:jc w:val="both"/>
        <w:rPr>
          <w:lang w:val="es-ES"/>
        </w:rPr>
      </w:pPr>
      <w:r w:rsidRPr="00014E5B">
        <w:rPr>
          <w:bCs w:val="0"/>
          <w:lang w:val="es-ES"/>
        </w:rPr>
        <w:t>Las investigaciones también se han ralentizado debido a la falta de cooperación de los agentes estatales pertinentes. Según el CDH-GYE, en al menos cinco de las investigaciones penales en curso por posibles desapariciones forzadas, el Comando Conjunto de las Fuerzas Armadas se ha negado a proporcionar información sobre personal militar que presuntamente participó en operaciones que condujeron a la supuesta desaparición forzada de determinadas personas. El Comando Conjunto de las Fuerzas Armadas ha justificado su negativa a cooperar basándose en una resolución emitida en el contexto de la declaración de un “conflicto armado interno”, que permite a las autoridades estatales pertinentes mantener la confidencialidad de la información relativa a las operaciones de seguridad a cargo de las Fuerzas Armadas.</w:t>
      </w:r>
      <w:r w:rsidRPr="00014E5B">
        <w:rPr>
          <w:rStyle w:val="FootnoteReference"/>
          <w:bCs w:val="0"/>
          <w:lang w:val="es-ES"/>
        </w:rPr>
        <w:footnoteReference w:id="22"/>
      </w:r>
      <w:r w:rsidRPr="00014E5B">
        <w:rPr>
          <w:bCs w:val="0"/>
          <w:lang w:val="es-ES"/>
        </w:rPr>
        <w:t xml:space="preserve"> Para el resto de las investigaciones penales en curso, el CDH-GYE ha comunicado que la respuesta oficial del Comando Conjunto de las Fuerzas Armadas sigue pendiente.</w:t>
      </w:r>
    </w:p>
    <w:p w14:paraId="2D0FB387" w14:textId="4F78D910" w:rsidR="00690555" w:rsidRPr="00014E5B" w:rsidRDefault="00430945" w:rsidP="00F25FD5">
      <w:pPr>
        <w:pStyle w:val="BBodyText"/>
        <w:jc w:val="both"/>
        <w:rPr>
          <w:lang w:val="es-ES"/>
        </w:rPr>
      </w:pPr>
      <w:r w:rsidRPr="00014E5B">
        <w:rPr>
          <w:bCs w:val="0"/>
          <w:lang w:val="es-ES"/>
        </w:rPr>
        <w:t xml:space="preserve">La </w:t>
      </w:r>
      <w:proofErr w:type="gramStart"/>
      <w:r w:rsidRPr="00014E5B">
        <w:rPr>
          <w:bCs w:val="0"/>
          <w:lang w:val="es-ES"/>
        </w:rPr>
        <w:t>Fiscalía General</w:t>
      </w:r>
      <w:proofErr w:type="gramEnd"/>
      <w:r w:rsidRPr="00014E5B">
        <w:rPr>
          <w:bCs w:val="0"/>
          <w:lang w:val="es-ES"/>
        </w:rPr>
        <w:t xml:space="preserve"> del Estado también se enfrenta a retos en cuanto a capacidad técnica y recursos humanos para garantizar la investigación efectiva de posibles desapariciones forzadas. La unidad especializada recientemente establecida abrió ocho oficinas diferentes en todo el territorio de Ecuador, seis de las cuales se encuentran en la provincia de Pichincha, donde se encuentra la capital, Quito. La única oficina radicada en Guayaquil debe tramitar todas las investigaciones relativas a casos de posibles violaciones de derechos humanos cometidas por agentes encargados de hacer cumplir la ley en la región costera de Ecuador.</w:t>
      </w:r>
      <w:r w:rsidRPr="00014E5B">
        <w:rPr>
          <w:rStyle w:val="FootnoteReference"/>
          <w:bCs w:val="0"/>
          <w:lang w:val="es-ES"/>
        </w:rPr>
        <w:footnoteReference w:id="23"/>
      </w:r>
      <w:r w:rsidRPr="00014E5B">
        <w:rPr>
          <w:bCs w:val="0"/>
          <w:lang w:val="es-ES"/>
        </w:rPr>
        <w:t xml:space="preserve"> En esta región se concentran todos los casos de personas cuya desaparición se ha denunciado tras las operaciones de seguridad llevadas a cabo por las Fuerzas Armadas en el último año. Por lo tanto, la unidad de la Fiscalía en Guayaquil está efectuando actualmente todas las investigaciones penales relativas a dichos casos. El CDH-GYE ha informado que la sobrecarga de trabajo ha impedido a la Fiscalía llevar a cabo los procedimientos de forma inmediata y formular cargos contra los presuntos responsables pertinentes.</w:t>
      </w:r>
    </w:p>
    <w:p w14:paraId="53422CB9" w14:textId="77777777" w:rsidR="008117A6" w:rsidRPr="00014E5B" w:rsidRDefault="008117A6" w:rsidP="06DA4E16">
      <w:pPr>
        <w:pStyle w:val="BNumberedHeading"/>
        <w:rPr>
          <w:lang w:val="es-ES"/>
        </w:rPr>
      </w:pPr>
      <w:bookmarkStart w:id="15" w:name="_Toc200363430"/>
      <w:bookmarkStart w:id="16" w:name="_Toc202185103"/>
      <w:r w:rsidRPr="00014E5B">
        <w:rPr>
          <w:bCs/>
          <w:lang w:val="es-ES"/>
        </w:rPr>
        <w:t>Tareas de búsqueda ineficaces (artículo 24)</w:t>
      </w:r>
      <w:bookmarkEnd w:id="15"/>
      <w:bookmarkEnd w:id="16"/>
    </w:p>
    <w:p w14:paraId="0E22591C" w14:textId="0986BB95" w:rsidR="00DF34E0" w:rsidRPr="00014E5B" w:rsidRDefault="00EF17D0" w:rsidP="005E7038">
      <w:pPr>
        <w:pStyle w:val="BBodyText"/>
        <w:jc w:val="both"/>
        <w:rPr>
          <w:lang w:val="es-ES"/>
        </w:rPr>
      </w:pPr>
      <w:r w:rsidRPr="00014E5B">
        <w:rPr>
          <w:bCs w:val="0"/>
          <w:lang w:val="es-ES"/>
        </w:rPr>
        <w:t>En la información adicional presentada al Comité en 2023, el Estado parte destacó la aprobación de una nueva ley para garantizar la búsqueda efectiva de las personas desaparecidas.</w:t>
      </w:r>
      <w:r w:rsidRPr="00014E5B">
        <w:rPr>
          <w:rStyle w:val="FootnoteReference"/>
          <w:bCs w:val="0"/>
          <w:lang w:val="es-ES"/>
        </w:rPr>
        <w:footnoteReference w:id="24"/>
      </w:r>
      <w:r w:rsidRPr="00014E5B">
        <w:rPr>
          <w:bCs w:val="0"/>
          <w:lang w:val="es-ES"/>
        </w:rPr>
        <w:t xml:space="preserve"> La Ley Orgánica de Actuación en Casos de Personas Desaparecidas y Extraviadas, que se promulgó en 2020, es en general un paso positivo para garantizar el derecho de las víctimas y sus familias a conocer la verdad.</w:t>
      </w:r>
      <w:r w:rsidRPr="00014E5B">
        <w:rPr>
          <w:rStyle w:val="FootnoteReference"/>
          <w:bCs w:val="0"/>
          <w:lang w:val="es-ES"/>
        </w:rPr>
        <w:footnoteReference w:id="25"/>
      </w:r>
      <w:r w:rsidRPr="00014E5B">
        <w:rPr>
          <w:bCs w:val="0"/>
          <w:lang w:val="es-ES"/>
        </w:rPr>
        <w:t xml:space="preserve"> La ley incluye disposiciones que se ajustan a las normas internacionales de derechos humanos, entre ellas que la búsqueda debe llevarse a cabo bajo la presunción de que la persona desaparecida sigue viva, y que el Estado debe proporcionar acceso a atención psicosocial y asesoramiento jurídico a las víctimas tanto directas como indirectas.</w:t>
      </w:r>
      <w:r w:rsidRPr="00014E5B">
        <w:rPr>
          <w:rStyle w:val="FootnoteReference"/>
          <w:bCs w:val="0"/>
          <w:lang w:val="es-ES"/>
        </w:rPr>
        <w:footnoteReference w:id="26"/>
      </w:r>
      <w:r w:rsidRPr="00014E5B">
        <w:rPr>
          <w:bCs w:val="0"/>
          <w:lang w:val="es-ES"/>
        </w:rPr>
        <w:t xml:space="preserve"> Además, la ley reconoce la importancia de la coordinación entre las diferentes instituciones estatales, incluida la Fiscalía General del Estado y la Policía Nacional, para la búsqueda de personas en paradero desconocido. En Ecuador, la Policía Nacional es quien se encarga de las tareas de búsqueda.</w:t>
      </w:r>
      <w:r w:rsidRPr="00014E5B">
        <w:rPr>
          <w:rStyle w:val="FootnoteReference"/>
          <w:bCs w:val="0"/>
          <w:lang w:val="es-ES"/>
        </w:rPr>
        <w:footnoteReference w:id="27"/>
      </w:r>
      <w:r w:rsidRPr="00014E5B">
        <w:rPr>
          <w:bCs w:val="0"/>
          <w:lang w:val="es-ES"/>
        </w:rPr>
        <w:t xml:space="preserve"> </w:t>
      </w:r>
    </w:p>
    <w:p w14:paraId="34C45DB0" w14:textId="419621D1" w:rsidR="0023416A" w:rsidRPr="00014E5B" w:rsidRDefault="00AF0C1F" w:rsidP="005E7038">
      <w:pPr>
        <w:pStyle w:val="BBodyText"/>
        <w:jc w:val="both"/>
        <w:rPr>
          <w:lang w:val="es-ES"/>
        </w:rPr>
      </w:pPr>
      <w:r w:rsidRPr="00014E5B">
        <w:rPr>
          <w:bCs w:val="0"/>
          <w:lang w:val="es-ES"/>
        </w:rPr>
        <w:t xml:space="preserve">Amnistía Internacional reconoce la adopción del nuevo marco normativo </w:t>
      </w:r>
      <w:bookmarkStart w:id="17" w:name="_Int_QtZcBJB6"/>
      <w:r w:rsidRPr="00014E5B">
        <w:rPr>
          <w:bCs w:val="0"/>
          <w:lang w:val="es-ES"/>
        </w:rPr>
        <w:t>como</w:t>
      </w:r>
      <w:bookmarkEnd w:id="17"/>
      <w:r w:rsidRPr="00014E5B">
        <w:rPr>
          <w:bCs w:val="0"/>
          <w:lang w:val="es-ES"/>
        </w:rPr>
        <w:t xml:space="preserve"> un paso positivo. Sin embargo, la organización considera que las autoridades ecuatorianas aún no lo han implementado de manera efectiva, lo que supone un impacto negativo directo para las familias de las víctimas de posibles desapariciones forzadas durante el gobierno del presidente Noboa. Una vez más, la nueva oleada de informes de personas desaparecidas y la falta de una respuesta efectiva por parte del Estado lo demuestran. En febrero de 2025, la organización emitió una acción urgente en relación con informes procedentes de familias de personas desaparecidas en el ámbito de las operaciones de seguridad efectuadas en 2024, donde se señalaba que las tareas de búsqueda eran ineficaces en algunos casos y del todo inexistentes en otros.</w:t>
      </w:r>
      <w:r w:rsidRPr="00014E5B">
        <w:rPr>
          <w:rStyle w:val="FootnoteReference"/>
          <w:bCs w:val="0"/>
          <w:lang w:val="es-ES"/>
        </w:rPr>
        <w:footnoteReference w:id="28"/>
      </w:r>
      <w:r w:rsidRPr="00014E5B">
        <w:rPr>
          <w:bCs w:val="0"/>
          <w:lang w:val="es-ES"/>
        </w:rPr>
        <w:t xml:space="preserve"> Pese a la amplia cobertura mediática que han recibido estos casos, en el momento de redactarse este informe el paradero y la suerte de la mayoría de las personas desaparecidas sigue sin esclarecerse, con la única excepción del caso de “los cuatro de Guayaquil”. La Convención Internacional para la Protección de Todas las Personas contra las Desapariciones Forzadas impone a las autoridades estatales la obligación de realizar una búsqueda rápida y exhaustiva de las personas que se alegue que han sido sometidas a desaparición forzada, algo que las autoridades ecuatorianas no han hecho hasta ahora.</w:t>
      </w:r>
    </w:p>
    <w:p w14:paraId="664B2FF9" w14:textId="36CFF512" w:rsidR="00D152AF" w:rsidRPr="00014E5B" w:rsidRDefault="00CF54AC" w:rsidP="005E7038">
      <w:pPr>
        <w:pStyle w:val="BBodyText"/>
        <w:jc w:val="both"/>
        <w:rPr>
          <w:lang w:val="es-ES"/>
        </w:rPr>
      </w:pPr>
      <w:r w:rsidRPr="00014E5B">
        <w:rPr>
          <w:bCs w:val="0"/>
          <w:lang w:val="es-ES"/>
        </w:rPr>
        <w:t>Según familiares de presuntas víctimas y sus representantes legales, las autoridades tampoco han garantizado el derecho a la participación, incluido el derecho a recibir información sobre el avance de los procedimientos. Las familias han comunicado que ni la Fiscalía ni la policía proporcionan información periódica sobre las tareas de búsqueda. Esto ha sumado estrés innecesario a las familias de las presuntas víctimas, algunas de las cuales han decidido iniciar su propia búsqueda. Como señaló este Comité en las acciones urgentes emitidas para algunos de estos casos, es esencial que las autoridades garanticen la seguridad de las familias que llevan a cabo tareas de búsqueda, particularmente dado el alto nivel de violencia en las provincias donde han ocurrido estos sucesos.</w:t>
      </w:r>
      <w:r w:rsidRPr="00014E5B">
        <w:rPr>
          <w:rStyle w:val="FootnoteReference"/>
          <w:bCs w:val="0"/>
          <w:lang w:val="es-ES"/>
        </w:rPr>
        <w:footnoteReference w:id="29"/>
      </w:r>
    </w:p>
    <w:p w14:paraId="1D382348" w14:textId="0D54742E" w:rsidR="00DF34E0" w:rsidRPr="00014E5B" w:rsidRDefault="4B57B9F4" w:rsidP="06DA4E16">
      <w:pPr>
        <w:pStyle w:val="BNumberedHeading"/>
        <w:rPr>
          <w:lang w:val="es-ES"/>
        </w:rPr>
      </w:pPr>
      <w:bookmarkStart w:id="18" w:name="_Toc200363431"/>
      <w:bookmarkStart w:id="19" w:name="_Toc202185104"/>
      <w:r w:rsidRPr="00014E5B">
        <w:rPr>
          <w:bCs/>
          <w:lang w:val="es-ES"/>
        </w:rPr>
        <w:t>RECOMENDACIONES</w:t>
      </w:r>
      <w:bookmarkEnd w:id="18"/>
      <w:bookmarkEnd w:id="19"/>
      <w:r w:rsidRPr="00014E5B">
        <w:rPr>
          <w:bCs/>
          <w:lang w:val="es-ES"/>
        </w:rPr>
        <w:t xml:space="preserve"> </w:t>
      </w:r>
    </w:p>
    <w:p w14:paraId="4918CF7C" w14:textId="77777777" w:rsidR="00D94357" w:rsidRPr="00014E5B" w:rsidRDefault="00D94357" w:rsidP="00D94357">
      <w:pPr>
        <w:pStyle w:val="BBodyText"/>
        <w:rPr>
          <w:lang w:val="es-ES"/>
        </w:rPr>
      </w:pPr>
    </w:p>
    <w:p w14:paraId="3549C7D1" w14:textId="25A88612" w:rsidR="00D94357" w:rsidRPr="00014E5B" w:rsidRDefault="00213DEA" w:rsidP="00D94357">
      <w:pPr>
        <w:pStyle w:val="BBodyText"/>
        <w:rPr>
          <w:b/>
          <w:bCs w:val="0"/>
          <w:lang w:val="es-ES"/>
        </w:rPr>
      </w:pPr>
      <w:r w:rsidRPr="00014E5B">
        <w:rPr>
          <w:b/>
          <w:lang w:val="es-ES"/>
        </w:rPr>
        <w:t>Amnistía Internacional recomienda al Estado Parte:</w:t>
      </w:r>
    </w:p>
    <w:p w14:paraId="7632BBF0" w14:textId="2ACB20DA" w:rsidR="00BC6621" w:rsidRPr="00014E5B" w:rsidRDefault="00BC6621" w:rsidP="6D4A6648">
      <w:pPr>
        <w:pStyle w:val="BBodyText"/>
        <w:numPr>
          <w:ilvl w:val="0"/>
          <w:numId w:val="32"/>
        </w:numPr>
        <w:rPr>
          <w:b/>
          <w:lang w:val="es-ES"/>
        </w:rPr>
      </w:pPr>
      <w:r w:rsidRPr="00014E5B">
        <w:rPr>
          <w:bCs w:val="0"/>
          <w:lang w:val="es-ES"/>
        </w:rPr>
        <w:t>Adoptar una política integral para combatir las desapariciones forzadas, incluida su prevención. Esta política debe seguir un enfoque diferencial que tenga en cuenta a las personas en situación de vulnerabilidad e incluya a niños, niñas y adolescentes;</w:t>
      </w:r>
    </w:p>
    <w:p w14:paraId="02C76CB5" w14:textId="155BD3E8" w:rsidR="009357E3" w:rsidRPr="00014E5B" w:rsidRDefault="00735E5F" w:rsidP="1BE9F431">
      <w:pPr>
        <w:pStyle w:val="BBodyText"/>
        <w:numPr>
          <w:ilvl w:val="0"/>
          <w:numId w:val="32"/>
        </w:numPr>
        <w:rPr>
          <w:b/>
          <w:lang w:val="es-ES"/>
        </w:rPr>
      </w:pPr>
      <w:r w:rsidRPr="00014E5B">
        <w:rPr>
          <w:bCs w:val="0"/>
          <w:lang w:val="es-ES"/>
        </w:rPr>
        <w:t>Garantizar investigaciones inmediatas, independientes, imparciales y efectivas de cualquier denuncia de posibles desapariciones forzadas cometidas por las Fuerzas Armadas, de conformidad con las normas internacionales. Las investigaciones deben centrarse en el delito específico de desaparición forzada siempre que haya indicios de que se cumplen los elementos constitutivos requeridos, y correr a cargo de la Unidad especializada en la investigación del uso ilegítimo de la fuerza;</w:t>
      </w:r>
    </w:p>
    <w:p w14:paraId="7E1942B2" w14:textId="7B18B254" w:rsidR="001F50C1" w:rsidRPr="00014E5B" w:rsidRDefault="00143DE7" w:rsidP="06DA4E16">
      <w:pPr>
        <w:pStyle w:val="BBodyText"/>
        <w:numPr>
          <w:ilvl w:val="0"/>
          <w:numId w:val="32"/>
        </w:numPr>
        <w:rPr>
          <w:lang w:val="es-ES"/>
        </w:rPr>
      </w:pPr>
      <w:r w:rsidRPr="00014E5B">
        <w:rPr>
          <w:bCs w:val="0"/>
          <w:lang w:val="es-ES"/>
        </w:rPr>
        <w:t>Iniciar de inmediato las tareas de búsqueda de cualquier presunta víctima de desaparición involuntaria y forzada, de conformidad con los principios rectores de la ONU de 2019 para la búsqueda de personas desaparecidas. La búsqueda debe respetar el derecho de las familias de las víctimas a participar.</w:t>
      </w:r>
    </w:p>
    <w:p w14:paraId="4CBB798D" w14:textId="77777777" w:rsidR="00213DEA" w:rsidRPr="00014E5B" w:rsidRDefault="00213DEA" w:rsidP="00D94357">
      <w:pPr>
        <w:pStyle w:val="BBodyText"/>
        <w:rPr>
          <w:b/>
          <w:bCs w:val="0"/>
          <w:lang w:val="es-ES"/>
        </w:rPr>
      </w:pPr>
    </w:p>
    <w:p w14:paraId="161E67FB" w14:textId="31327C90" w:rsidR="00C54EF2" w:rsidRPr="00014E5B" w:rsidRDefault="00213DEA" w:rsidP="00D94357">
      <w:pPr>
        <w:pStyle w:val="BBodyText"/>
        <w:rPr>
          <w:b/>
          <w:bCs w:val="0"/>
          <w:lang w:val="es-ES"/>
        </w:rPr>
      </w:pPr>
      <w:r w:rsidRPr="00014E5B">
        <w:rPr>
          <w:b/>
          <w:lang w:val="es-ES"/>
        </w:rPr>
        <w:t>Amnistía Internacional recomienda además al Estado parte:</w:t>
      </w:r>
    </w:p>
    <w:p w14:paraId="649199E4" w14:textId="06D9B516" w:rsidR="00F75A7A" w:rsidRPr="00014E5B" w:rsidRDefault="00133076" w:rsidP="00C54EF2">
      <w:pPr>
        <w:pStyle w:val="BBodyText"/>
        <w:numPr>
          <w:ilvl w:val="0"/>
          <w:numId w:val="32"/>
        </w:numPr>
        <w:rPr>
          <w:lang w:val="es-ES"/>
        </w:rPr>
      </w:pPr>
      <w:r w:rsidRPr="00014E5B">
        <w:rPr>
          <w:b/>
          <w:lang w:val="es-ES"/>
        </w:rPr>
        <w:t>A través del presidente de Ecuador:</w:t>
      </w:r>
    </w:p>
    <w:p w14:paraId="1ECFEE30" w14:textId="05B6EB01" w:rsidR="00C54EF2" w:rsidRPr="00014E5B" w:rsidRDefault="00F75A7A" w:rsidP="00F75A7A">
      <w:pPr>
        <w:pStyle w:val="BBodyText"/>
        <w:numPr>
          <w:ilvl w:val="1"/>
          <w:numId w:val="32"/>
        </w:numPr>
        <w:rPr>
          <w:lang w:val="es-ES"/>
        </w:rPr>
      </w:pPr>
      <w:r w:rsidRPr="00014E5B">
        <w:rPr>
          <w:bCs w:val="0"/>
          <w:lang w:val="es-ES"/>
        </w:rPr>
        <w:t>Revertir por completo el enfoque fuertemente militarizado de la seguridad pública, garantizando que los derechos humanos se sitúan en el centro de cualquier operación de aplicación de la ley;</w:t>
      </w:r>
    </w:p>
    <w:p w14:paraId="7489C216" w14:textId="0FFDBE29" w:rsidR="00F75A7A" w:rsidRPr="00014E5B" w:rsidRDefault="00F75A7A" w:rsidP="00F75A7A">
      <w:pPr>
        <w:pStyle w:val="BBodyText"/>
        <w:numPr>
          <w:ilvl w:val="1"/>
          <w:numId w:val="32"/>
        </w:numPr>
        <w:rPr>
          <w:lang w:val="es-ES"/>
        </w:rPr>
      </w:pPr>
      <w:r w:rsidRPr="00014E5B">
        <w:rPr>
          <w:bCs w:val="0"/>
          <w:lang w:val="es-ES"/>
        </w:rPr>
        <w:t>Abstenerse de proponer o prorrogar estados de excepción salvo que se pueda demostrar de manera efectiva que situaciones excepcionales “pongan en peligro la vida de la nación”</w:t>
      </w:r>
      <w:r w:rsidRPr="00014E5B">
        <w:rPr>
          <w:bCs w:val="0"/>
          <w:vertAlign w:val="superscript"/>
          <w:lang w:val="es-ES"/>
        </w:rPr>
        <w:footnoteReference w:id="30"/>
      </w:r>
      <w:r w:rsidRPr="00014E5B">
        <w:rPr>
          <w:bCs w:val="0"/>
          <w:lang w:val="es-ES"/>
        </w:rPr>
        <w:t>, como exige el derecho internacional de los derechos humanos.</w:t>
      </w:r>
    </w:p>
    <w:p w14:paraId="473307A9" w14:textId="5C91BAE7" w:rsidR="00E5316D" w:rsidRPr="00014E5B" w:rsidRDefault="00B30F64" w:rsidP="61C69C59">
      <w:pPr>
        <w:pStyle w:val="BBodyText"/>
        <w:numPr>
          <w:ilvl w:val="1"/>
          <w:numId w:val="32"/>
        </w:numPr>
        <w:rPr>
          <w:lang w:val="es-ES"/>
        </w:rPr>
      </w:pPr>
      <w:r w:rsidRPr="00014E5B">
        <w:rPr>
          <w:bCs w:val="0"/>
          <w:lang w:val="es-ES"/>
        </w:rPr>
        <w:t>Abstenerse de utilizar personal, tácticas y equipos militares para desempeñar funciones ordinarias de aplicación de la ley, así como de desplegar a las Fuerzas Armadas para tareas de seguridad pública, garantizando que cualquier despliegue de dichas fuerzas se ajuste estrictamente al derecho y las normas internacionales de derechos humanos;</w:t>
      </w:r>
    </w:p>
    <w:p w14:paraId="3E98DF0F" w14:textId="764117FF" w:rsidR="008810D4" w:rsidRPr="00014E5B" w:rsidRDefault="00133076" w:rsidP="00BD5279">
      <w:pPr>
        <w:pStyle w:val="BBodyText"/>
        <w:numPr>
          <w:ilvl w:val="0"/>
          <w:numId w:val="32"/>
        </w:numPr>
        <w:rPr>
          <w:b/>
          <w:bCs w:val="0"/>
          <w:lang w:val="es-ES"/>
        </w:rPr>
      </w:pPr>
      <w:r w:rsidRPr="00014E5B">
        <w:rPr>
          <w:b/>
          <w:lang w:val="es-ES"/>
        </w:rPr>
        <w:t xml:space="preserve">A través de la </w:t>
      </w:r>
      <w:proofErr w:type="gramStart"/>
      <w:r w:rsidRPr="00014E5B">
        <w:rPr>
          <w:b/>
          <w:lang w:val="es-ES"/>
        </w:rPr>
        <w:t>Fiscalía General</w:t>
      </w:r>
      <w:proofErr w:type="gramEnd"/>
      <w:r w:rsidRPr="00014E5B">
        <w:rPr>
          <w:b/>
          <w:lang w:val="es-ES"/>
        </w:rPr>
        <w:t xml:space="preserve"> del Estado:</w:t>
      </w:r>
    </w:p>
    <w:p w14:paraId="3018EB43" w14:textId="5BDDC2AA" w:rsidR="00E14D0F" w:rsidRPr="00014E5B" w:rsidRDefault="00AD5381" w:rsidP="00E14D0F">
      <w:pPr>
        <w:pStyle w:val="BBodyText"/>
        <w:numPr>
          <w:ilvl w:val="1"/>
          <w:numId w:val="32"/>
        </w:numPr>
        <w:rPr>
          <w:lang w:val="es-ES"/>
        </w:rPr>
      </w:pPr>
      <w:r w:rsidRPr="00014E5B">
        <w:rPr>
          <w:bCs w:val="0"/>
          <w:lang w:val="es-ES"/>
        </w:rPr>
        <w:t>Dotar a la “Unidad especializada en la investigación del uso ilegítimo de la fuerza” de los recursos materiales y humanos necesarios para llevar a cabo investigaciones prontas y efectivas;</w:t>
      </w:r>
    </w:p>
    <w:p w14:paraId="2C4ABDA3" w14:textId="2A3D1BD3" w:rsidR="008810D4" w:rsidRPr="00014E5B" w:rsidRDefault="008810D4" w:rsidP="00E14D0F">
      <w:pPr>
        <w:pStyle w:val="BBodyText"/>
        <w:numPr>
          <w:ilvl w:val="1"/>
          <w:numId w:val="32"/>
        </w:numPr>
        <w:rPr>
          <w:lang w:val="es-ES"/>
        </w:rPr>
      </w:pPr>
      <w:r w:rsidRPr="00014E5B">
        <w:rPr>
          <w:bCs w:val="0"/>
          <w:lang w:val="es-ES"/>
        </w:rPr>
        <w:t>Brindar protección efectiva y ofrecer apoyo psicológico a todas las víctimas y sus familias;</w:t>
      </w:r>
    </w:p>
    <w:p w14:paraId="01512778" w14:textId="2346BCAE" w:rsidR="00133076" w:rsidRPr="00014E5B" w:rsidRDefault="00A17820" w:rsidP="61C69C59">
      <w:pPr>
        <w:pStyle w:val="BBodyText"/>
        <w:numPr>
          <w:ilvl w:val="0"/>
          <w:numId w:val="32"/>
        </w:numPr>
        <w:rPr>
          <w:b/>
          <w:lang w:val="es-ES"/>
        </w:rPr>
      </w:pPr>
      <w:r w:rsidRPr="00014E5B">
        <w:rPr>
          <w:b/>
          <w:lang w:val="es-ES"/>
        </w:rPr>
        <w:t>A través del Ministerio de Defensa, incluido el Comando Conjunto de las Fuerzas Armadas:</w:t>
      </w:r>
    </w:p>
    <w:p w14:paraId="4FB22EB3" w14:textId="3CA98E64" w:rsidR="0002607D" w:rsidRPr="00014E5B" w:rsidRDefault="0002607D" w:rsidP="000446B1">
      <w:pPr>
        <w:pStyle w:val="BBodyText"/>
        <w:numPr>
          <w:ilvl w:val="1"/>
          <w:numId w:val="32"/>
        </w:numPr>
        <w:rPr>
          <w:lang w:val="es-ES"/>
        </w:rPr>
      </w:pPr>
      <w:r w:rsidRPr="00014E5B">
        <w:rPr>
          <w:bCs w:val="0"/>
          <w:lang w:val="es-ES"/>
        </w:rPr>
        <w:t xml:space="preserve">Garantizar la plena cooperación con las investigaciones en curso desarrolladas por la </w:t>
      </w:r>
      <w:proofErr w:type="gramStart"/>
      <w:r w:rsidRPr="00014E5B">
        <w:rPr>
          <w:bCs w:val="0"/>
          <w:lang w:val="es-ES"/>
        </w:rPr>
        <w:t>Fiscalía General</w:t>
      </w:r>
      <w:proofErr w:type="gramEnd"/>
      <w:r w:rsidRPr="00014E5B">
        <w:rPr>
          <w:bCs w:val="0"/>
          <w:lang w:val="es-ES"/>
        </w:rPr>
        <w:t xml:space="preserve"> del Estado;</w:t>
      </w:r>
    </w:p>
    <w:p w14:paraId="18A8780E" w14:textId="30AB3720" w:rsidR="00133076" w:rsidRPr="00014E5B" w:rsidRDefault="001B5027" w:rsidP="00133076">
      <w:pPr>
        <w:pStyle w:val="BBodyText"/>
        <w:numPr>
          <w:ilvl w:val="1"/>
          <w:numId w:val="32"/>
        </w:numPr>
        <w:rPr>
          <w:lang w:val="es-ES"/>
        </w:rPr>
        <w:sectPr w:rsidR="00133076" w:rsidRPr="00014E5B" w:rsidSect="00DA7998">
          <w:headerReference w:type="default" r:id="rId16"/>
          <w:headerReference w:type="first" r:id="rId17"/>
          <w:footerReference w:type="first" r:id="rId18"/>
          <w:pgSz w:w="11906" w:h="16838" w:code="9"/>
          <w:pgMar w:top="1474" w:right="1418" w:bottom="1418" w:left="1418" w:header="709" w:footer="709" w:gutter="0"/>
          <w:cols w:space="708"/>
          <w:titlePg/>
          <w:docGrid w:linePitch="360"/>
        </w:sectPr>
      </w:pPr>
      <w:r w:rsidRPr="00014E5B">
        <w:rPr>
          <w:bCs w:val="0"/>
          <w:lang w:val="es-ES"/>
        </w:rPr>
        <w:t>Suspender a cualquier miembro de las Fuerzas Armadas —con independencia de su rango— de quien se sospeche que ha cometido violaciones graves de derechos humanos, en espera de que se lleve a cabo una investigación imparcial e independiente.</w:t>
      </w:r>
    </w:p>
    <w:p w14:paraId="66D05CBD" w14:textId="77777777" w:rsidR="0019397B" w:rsidRPr="00014E5B" w:rsidRDefault="0019397B" w:rsidP="0019397B">
      <w:pPr>
        <w:rPr>
          <w:lang w:val="es-ES"/>
        </w:rPr>
        <w:sectPr w:rsidR="0019397B" w:rsidRPr="00014E5B" w:rsidSect="0019397B">
          <w:headerReference w:type="default" r:id="rId19"/>
          <w:headerReference w:type="first" r:id="rId20"/>
          <w:type w:val="continuous"/>
          <w:pgSz w:w="11906" w:h="16838" w:code="9"/>
          <w:pgMar w:top="1469" w:right="1411" w:bottom="1411" w:left="1411" w:header="706" w:footer="706" w:gutter="0"/>
          <w:cols w:space="708"/>
          <w:titlePg/>
          <w:docGrid w:linePitch="360"/>
        </w:sectPr>
      </w:pPr>
    </w:p>
    <w:p w14:paraId="1822B544" w14:textId="77777777" w:rsidR="00085AA0" w:rsidRPr="00014E5B" w:rsidRDefault="008D2844" w:rsidP="005E7038">
      <w:pPr>
        <w:pStyle w:val="BBodyText"/>
        <w:jc w:val="both"/>
        <w:rPr>
          <w:lang w:val="es-ES"/>
        </w:rPr>
      </w:pPr>
      <w:r w:rsidRPr="00014E5B">
        <w:rPr>
          <w:bCs w:val="0"/>
          <w:noProof/>
          <w:lang w:val="es-ES"/>
        </w:rPr>
        <mc:AlternateContent>
          <mc:Choice Requires="wps">
            <w:drawing>
              <wp:anchor distT="0" distB="0" distL="114300" distR="114300" simplePos="0" relativeHeight="251658241" behindDoc="0" locked="0" layoutInCell="1" allowOverlap="1" wp14:anchorId="6E3CB8F7" wp14:editId="1971BE5F">
                <wp:simplePos x="0" y="0"/>
                <wp:positionH relativeFrom="column">
                  <wp:posOffset>-252730</wp:posOffset>
                </wp:positionH>
                <wp:positionV relativeFrom="paragraph">
                  <wp:posOffset>238760</wp:posOffset>
                </wp:positionV>
                <wp:extent cx="6647180" cy="5327650"/>
                <wp:effectExtent l="0" t="0" r="0" b="635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5327650"/>
                        </a:xfrm>
                        <a:prstGeom prst="rect">
                          <a:avLst/>
                        </a:prstGeom>
                        <a:noFill/>
                        <a:ln w="6350">
                          <a:noFill/>
                        </a:ln>
                      </wps:spPr>
                      <wps:txbx>
                        <w:txbxContent>
                          <w:p w14:paraId="53F06D5C" w14:textId="686FEE35" w:rsidR="008D2844" w:rsidRPr="00014E5B" w:rsidRDefault="008D2844" w:rsidP="008D2844">
                            <w:pPr>
                              <w:pStyle w:val="RTMissionStatement"/>
                              <w:rPr>
                                <w:rStyle w:val="RTHighlightedtext"/>
                                <w:lang w:val="es-ES"/>
                              </w:rPr>
                            </w:pPr>
                            <w:r>
                              <w:rPr>
                                <w:rStyle w:val="RTHighlightedtext"/>
                                <w:lang w:val="es"/>
                              </w:rPr>
                              <w:t> Amnistía Internacional es un movimiento integrado por 10 millones de personas que activa el sentido de humanidad dentro de cada una de ellas y que hace campaña en favor de cambios que permitan que todo el mundo disfrute de sus derechos humanos. Nuestra visión es la de un mundo donde quienes están en el poder cumplen sus promesas, respetan el derecho internacional y rinden cuentas. Somos independientes de todo gobierno, ideología política, interés económico y credo religioso, y nuestro trabajo se financia principalmente con las contribuciones de nuestra membresía y con donativos.</w:t>
                            </w:r>
                            <w:r w:rsidR="00400CA7">
                              <w:rPr>
                                <w:rStyle w:val="RTHighlightedtext"/>
                                <w:lang w:val="es"/>
                              </w:rPr>
                              <w:t xml:space="preserve"> </w:t>
                            </w:r>
                            <w:r>
                              <w:rPr>
                                <w:rStyle w:val="RTHighlightedtext"/>
                                <w:lang w:val="es"/>
                              </w:rPr>
                              <w:t>Creemos que actuar movidos por la solidaridad y la compasión hacia nuestros semejantes en todo el mundo puede hacer mejorar nuestras sociedades.</w:t>
                            </w:r>
                            <w:r>
                              <w:rPr>
                                <w:rStyle w:val="RTHighlightedtext"/>
                                <w:b w:val="0"/>
                                <w:bCs w:val="0"/>
                                <w:lang w:val="es"/>
                              </w:rPr>
                              <w:br/>
                            </w:r>
                            <w:r>
                              <w:rPr>
                                <w:rStyle w:val="RTHighlightedtext"/>
                                <w:b w:val="0"/>
                                <w:bCs w:val="0"/>
                                <w:lang w:val="es"/>
                              </w:rPr>
                              <w:br/>
                            </w:r>
                            <w:r>
                              <w:rPr>
                                <w:rStyle w:val="RTHighlightedtext"/>
                                <w:lang w:val="es"/>
                              </w:rPr>
                              <w:t> </w:t>
                            </w:r>
                          </w:p>
                          <w:p w14:paraId="49A03A03" w14:textId="77777777" w:rsidR="008D2844" w:rsidRPr="00014E5B" w:rsidRDefault="008D2844" w:rsidP="00BD5279">
                            <w:pPr>
                              <w:pStyle w:val="BBodyText"/>
                              <w:tabs>
                                <w:tab w:val="left" w:pos="1200"/>
                              </w:tabs>
                              <w:rPr>
                                <w:rFonts w:ascii="Amnesty Trade Gothic" w:hAnsi="Amnesty Trade Gothic"/>
                                <w:noProof/>
                                <w:color w:val="000000"/>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left:0;text-align:left;margin-left:-19.9pt;margin-top:18.8pt;width:523.4pt;height:41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" filled="f" stroked="f" strokeweight=".5pt">
                <v:textbox>
                  <w:txbxContent>
                    <w:p w14:paraId="53F06D5C" w14:textId="686FEE35" w:rsidR="008D2844" w:rsidRPr="00014E5B" w:rsidRDefault="008D2844" w:rsidP="008D2844">
                      <w:pPr>
                        <w:pStyle w:val="RTMissionStatement"/>
                        <w:rPr>
                          <w:rStyle w:val="RTHighlightedtext"/>
                          <w:lang w:val="es-ES"/>
                        </w:rPr>
                      </w:pPr>
                      <w:r>
                        <w:rPr>
                          <w:rStyle w:val="RTHighlightedtext"/>
                          <w:lang w:val="es"/>
                        </w:rPr>
                        <w:t> Amnistía Internacional es un movimiento integrado por 10 millones de personas que activa el sentido de humanidad dentro de cada una de ellas y que hace campaña en favor de cambios que permitan que todo el mundo disfrute de sus derechos humanos. Nuestra visión es la de un mundo donde quienes están en el poder cumplen sus promesas, respetan el derecho internacional y rinden cuentas. Somos independientes de todo gobierno, ideología política, interés económico y credo religioso, y nuestro trabajo se financia principalmente con las contribuciones de nuestra membresía y con donativos.</w:t>
                      </w:r>
                      <w:r w:rsidR="00400CA7">
                        <w:rPr>
                          <w:rStyle w:val="RTHighlightedtext"/>
                          <w:lang w:val="es"/>
                        </w:rPr>
                        <w:t xml:space="preserve"> </w:t>
                      </w:r>
                      <w:r>
                        <w:rPr>
                          <w:rStyle w:val="RTHighlightedtext"/>
                          <w:lang w:val="es"/>
                        </w:rPr>
                        <w:t>Creemos que actuar movidos por la solidaridad y la compasión hacia nuestros semejantes en todo el mundo puede hacer mejorar nuestras sociedades.</w:t>
                      </w:r>
                      <w:r>
                        <w:rPr>
                          <w:rStyle w:val="RTHighlightedtext"/>
                          <w:b w:val="0"/>
                          <w:bCs w:val="0"/>
                          <w:lang w:val="es"/>
                        </w:rPr>
                        <w:br/>
                      </w:r>
                      <w:r>
                        <w:rPr>
                          <w:rStyle w:val="RTHighlightedtext"/>
                          <w:b w:val="0"/>
                          <w:bCs w:val="0"/>
                          <w:lang w:val="es"/>
                        </w:rPr>
                        <w:br/>
                      </w:r>
                      <w:r>
                        <w:rPr>
                          <w:rStyle w:val="RTHighlightedtext"/>
                          <w:lang w:val="es"/>
                        </w:rPr>
                        <w:t> </w:t>
                      </w:r>
                    </w:p>
                    <w:p w14:paraId="49A03A03" w14:textId="77777777" w:rsidR="008D2844" w:rsidRPr="00014E5B" w:rsidRDefault="008D2844" w:rsidP="00BD5279">
                      <w:pPr>
                        <w:pStyle w:val="BBodyText"/>
                        <w:tabs>
                          <w:tab w:val="left" w:pos="1200"/>
                        </w:tabs>
                        <w:rPr>
                          <w:rFonts w:ascii="Amnesty Trade Gothic" w:hAnsi="Amnesty Trade Gothic"/>
                          <w:noProof/>
                          <w:color w:val="000000"/>
                          <w:lang w:val="es-ES"/>
                        </w:rPr>
                      </w:pPr>
                    </w:p>
                  </w:txbxContent>
                </v:textbox>
                <w10:wrap type="square"/>
              </v:shape>
            </w:pict>
          </mc:Fallback>
        </mc:AlternateContent>
      </w:r>
    </w:p>
    <w:p w14:paraId="0690BAE9" w14:textId="44F3C61E" w:rsidR="00EE3C56" w:rsidRPr="00014E5B" w:rsidRDefault="00014E5B" w:rsidP="005E7038">
      <w:pPr>
        <w:pStyle w:val="BBodyText"/>
        <w:tabs>
          <w:tab w:val="left" w:pos="1200"/>
        </w:tabs>
        <w:jc w:val="both"/>
        <w:rPr>
          <w:lang w:val="es-ES"/>
        </w:rPr>
      </w:pPr>
      <w:r w:rsidRPr="00014E5B">
        <w:rPr>
          <w:rFonts w:ascii="Amnesty Trade Gothic Cn" w:hAnsi="Amnesty Trade Gothic Cn"/>
          <w:bCs w:val="0"/>
          <w:noProof/>
          <w:color w:val="000000"/>
          <w:lang w:val="es-ES"/>
        </w:rPr>
        <mc:AlternateContent>
          <mc:Choice Requires="wps">
            <w:drawing>
              <wp:anchor distT="0" distB="0" distL="114300" distR="114300" simplePos="0" relativeHeight="251658243" behindDoc="0" locked="0" layoutInCell="1" allowOverlap="1" wp14:anchorId="0B425283" wp14:editId="42DDF957">
                <wp:simplePos x="0" y="0"/>
                <wp:positionH relativeFrom="column">
                  <wp:posOffset>-252730</wp:posOffset>
                </wp:positionH>
                <wp:positionV relativeFrom="paragraph">
                  <wp:posOffset>8333105</wp:posOffset>
                </wp:positionV>
                <wp:extent cx="2603500" cy="812800"/>
                <wp:effectExtent l="0" t="0" r="6350" b="6350"/>
                <wp:wrapNone/>
                <wp:docPr id="25" name="Text Box 25"/>
                <wp:cNvGraphicFramePr/>
                <a:graphic xmlns:a="http://schemas.openxmlformats.org/drawingml/2006/main">
                  <a:graphicData uri="http://schemas.microsoft.com/office/word/2010/wordprocessingShape">
                    <wps:wsp>
                      <wps:cNvSpPr txBox="1"/>
                      <wps:spPr>
                        <a:xfrm>
                          <a:off x="0" y="0"/>
                          <a:ext cx="2603500" cy="812800"/>
                        </a:xfrm>
                        <a:prstGeom prst="rect">
                          <a:avLst/>
                        </a:prstGeom>
                        <a:solidFill>
                          <a:schemeClr val="lt1"/>
                        </a:solidFill>
                        <a:ln w="6350">
                          <a:noFill/>
                        </a:ln>
                      </wps:spPr>
                      <wps:txbx>
                        <w:txbxContent>
                          <w:p w14:paraId="13A3F353" w14:textId="58E6AF65" w:rsidR="0081658E" w:rsidRPr="00014E5B" w:rsidRDefault="0081658E" w:rsidP="0081658E">
                            <w:pPr>
                              <w:pStyle w:val="BCopyrightsmallprint"/>
                              <w:rPr>
                                <w:rStyle w:val="Boldbodycharacter"/>
                                <w:sz w:val="21"/>
                                <w:szCs w:val="21"/>
                                <w:lang w:val="es-ES"/>
                              </w:rPr>
                            </w:pPr>
                            <w:r>
                              <w:rPr>
                                <w:bCs w:val="0"/>
                                <w:sz w:val="21"/>
                                <w:szCs w:val="21"/>
                                <w:lang w:val="es"/>
                              </w:rPr>
                              <w:t xml:space="preserve">Índice: </w:t>
                            </w:r>
                            <w:r>
                              <w:rPr>
                                <w:rFonts w:ascii="Amnesty Trade Gothic" w:hAnsi="Amnesty Trade Gothic"/>
                                <w:b/>
                                <w:sz w:val="21"/>
                                <w:szCs w:val="21"/>
                                <w:lang w:val="es"/>
                              </w:rPr>
                              <w:t>AMR 28/9493/2025</w:t>
                            </w:r>
                            <w:r w:rsidR="00014E5B">
                              <w:rPr>
                                <w:rFonts w:ascii="Amnesty Trade Gothic" w:hAnsi="Amnesty Trade Gothic"/>
                                <w:b/>
                                <w:sz w:val="21"/>
                                <w:szCs w:val="21"/>
                                <w:lang w:val="es"/>
                              </w:rPr>
                              <w:t xml:space="preserve"> Spanish</w:t>
                            </w:r>
                          </w:p>
                          <w:p w14:paraId="13BA83E2" w14:textId="7D0D6261" w:rsidR="0081658E" w:rsidRPr="00014E5B" w:rsidRDefault="0081658E" w:rsidP="0081658E">
                            <w:pPr>
                              <w:pStyle w:val="BCopyrightsmallprint"/>
                              <w:rPr>
                                <w:sz w:val="21"/>
                                <w:szCs w:val="21"/>
                                <w:highlight w:val="yellow"/>
                                <w:lang w:val="es-ES"/>
                              </w:rPr>
                            </w:pPr>
                            <w:r>
                              <w:rPr>
                                <w:bCs w:val="0"/>
                                <w:sz w:val="21"/>
                                <w:szCs w:val="21"/>
                                <w:lang w:val="es"/>
                              </w:rPr>
                              <w:t xml:space="preserve">Publicación: </w:t>
                            </w:r>
                            <w:r>
                              <w:rPr>
                                <w:rStyle w:val="Boldbodycharacter"/>
                                <w:bCs/>
                                <w:sz w:val="21"/>
                                <w:szCs w:val="21"/>
                                <w:lang w:val="es"/>
                              </w:rPr>
                              <w:t>junio de 2025</w:t>
                            </w:r>
                          </w:p>
                          <w:p w14:paraId="75622893" w14:textId="77777777" w:rsidR="0081658E" w:rsidRPr="00187ED6" w:rsidRDefault="0081658E" w:rsidP="0081658E">
                            <w:pPr>
                              <w:pStyle w:val="BCopyrightsmallprint"/>
                              <w:rPr>
                                <w:sz w:val="21"/>
                                <w:szCs w:val="21"/>
                              </w:rPr>
                            </w:pPr>
                            <w:r>
                              <w:rPr>
                                <w:bCs w:val="0"/>
                                <w:sz w:val="21"/>
                                <w:szCs w:val="21"/>
                                <w:lang w:val="es"/>
                              </w:rPr>
                              <w:t xml:space="preserve">Idioma original: </w:t>
                            </w:r>
                            <w:r>
                              <w:rPr>
                                <w:rFonts w:ascii="Amnesty Trade Gothic" w:hAnsi="Amnesty Trade Gothic"/>
                                <w:b/>
                                <w:sz w:val="21"/>
                                <w:szCs w:val="21"/>
                                <w:lang w:val="es"/>
                              </w:rPr>
                              <w:t>inglés</w:t>
                            </w:r>
                          </w:p>
                          <w:p w14:paraId="51BB8770" w14:textId="488A7B6A" w:rsidR="00140418" w:rsidRPr="000660E7" w:rsidRDefault="00140418" w:rsidP="00140418">
                            <w:pPr>
                              <w:pStyle w:val="BCopyrightsmallprint"/>
                              <w:rPr>
                                <w:sz w:val="16"/>
                                <w:szCs w:val="16"/>
                              </w:rPr>
                            </w:pPr>
                            <w:r>
                              <w:rPr>
                                <w:bCs w:val="0"/>
                                <w:sz w:val="16"/>
                                <w:szCs w:val="16"/>
                                <w:lang w:val="es"/>
                              </w:rPr>
                              <w:t>© Amnesty International 2025</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25283" id="Text Box 25" o:spid="_x0000_s1028" type="#_x0000_t202" style="position:absolute;left:0;text-align:left;margin-left:-19.9pt;margin-top:656.15pt;width:205pt;height:6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" fillcolor="white [3201]" stroked="f" strokeweight=".5pt">
                <v:textbox>
                  <w:txbxContent>
                    <w:p w14:paraId="13A3F353" w14:textId="58E6AF65" w:rsidR="0081658E" w:rsidRPr="00014E5B" w:rsidRDefault="0081658E" w:rsidP="0081658E">
                      <w:pPr>
                        <w:pStyle w:val="BCopyrightsmallprint"/>
                        <w:rPr>
                          <w:rStyle w:val="Boldbodycharacter"/>
                          <w:sz w:val="21"/>
                          <w:szCs w:val="21"/>
                          <w:lang w:val="es-ES"/>
                        </w:rPr>
                      </w:pPr>
                      <w:r>
                        <w:rPr>
                          <w:bCs w:val="0"/>
                          <w:sz w:val="21"/>
                          <w:szCs w:val="21"/>
                          <w:lang w:val="es"/>
                        </w:rPr>
                        <w:t xml:space="preserve">Índice: </w:t>
                      </w:r>
                      <w:r>
                        <w:rPr>
                          <w:rFonts w:ascii="Amnesty Trade Gothic" w:hAnsi="Amnesty Trade Gothic"/>
                          <w:b/>
                          <w:sz w:val="21"/>
                          <w:szCs w:val="21"/>
                          <w:lang w:val="es"/>
                        </w:rPr>
                        <w:t>AMR 28/9493/2025</w:t>
                      </w:r>
                      <w:r w:rsidR="00014E5B">
                        <w:rPr>
                          <w:rFonts w:ascii="Amnesty Trade Gothic" w:hAnsi="Amnesty Trade Gothic"/>
                          <w:b/>
                          <w:sz w:val="21"/>
                          <w:szCs w:val="21"/>
                          <w:lang w:val="es"/>
                        </w:rPr>
                        <w:t xml:space="preserve"> </w:t>
                      </w:r>
                      <w:proofErr w:type="spellStart"/>
                      <w:r w:rsidR="00014E5B">
                        <w:rPr>
                          <w:rFonts w:ascii="Amnesty Trade Gothic" w:hAnsi="Amnesty Trade Gothic"/>
                          <w:b/>
                          <w:sz w:val="21"/>
                          <w:szCs w:val="21"/>
                          <w:lang w:val="es"/>
                        </w:rPr>
                        <w:t>Spanish</w:t>
                      </w:r>
                      <w:proofErr w:type="spellEnd"/>
                    </w:p>
                    <w:p w14:paraId="13BA83E2" w14:textId="7D0D6261" w:rsidR="0081658E" w:rsidRPr="00014E5B" w:rsidRDefault="0081658E" w:rsidP="0081658E">
                      <w:pPr>
                        <w:pStyle w:val="BCopyrightsmallprint"/>
                        <w:rPr>
                          <w:sz w:val="21"/>
                          <w:szCs w:val="21"/>
                          <w:highlight w:val="yellow"/>
                          <w:lang w:val="es-ES"/>
                        </w:rPr>
                      </w:pPr>
                      <w:r>
                        <w:rPr>
                          <w:bCs w:val="0"/>
                          <w:sz w:val="21"/>
                          <w:szCs w:val="21"/>
                          <w:lang w:val="es"/>
                        </w:rPr>
                        <w:t xml:space="preserve">Publicación: </w:t>
                      </w:r>
                      <w:r>
                        <w:rPr>
                          <w:rStyle w:val="Boldbodycharacter"/>
                          <w:bCs/>
                          <w:sz w:val="21"/>
                          <w:szCs w:val="21"/>
                          <w:lang w:val="es"/>
                        </w:rPr>
                        <w:t>junio de 2025</w:t>
                      </w:r>
                    </w:p>
                    <w:p w14:paraId="75622893" w14:textId="77777777" w:rsidR="0081658E" w:rsidRPr="00187ED6" w:rsidRDefault="0081658E" w:rsidP="0081658E">
                      <w:pPr>
                        <w:pStyle w:val="BCopyrightsmallprint"/>
                        <w:rPr>
                          <w:sz w:val="21"/>
                          <w:szCs w:val="21"/>
                        </w:rPr>
                      </w:pPr>
                      <w:r>
                        <w:rPr>
                          <w:bCs w:val="0"/>
                          <w:sz w:val="21"/>
                          <w:szCs w:val="21"/>
                          <w:lang w:val="es"/>
                        </w:rPr>
                        <w:t xml:space="preserve">Idioma original: </w:t>
                      </w:r>
                      <w:r>
                        <w:rPr>
                          <w:rFonts w:ascii="Amnesty Trade Gothic" w:hAnsi="Amnesty Trade Gothic"/>
                          <w:b/>
                          <w:sz w:val="21"/>
                          <w:szCs w:val="21"/>
                          <w:lang w:val="es"/>
                        </w:rPr>
                        <w:t>inglés</w:t>
                      </w:r>
                    </w:p>
                    <w:p w14:paraId="51BB8770" w14:textId="488A7B6A" w:rsidR="00140418" w:rsidRPr="000660E7" w:rsidRDefault="00140418" w:rsidP="00140418">
                      <w:pPr>
                        <w:pStyle w:val="BCopyrightsmallprint"/>
                        <w:rPr>
                          <w:sz w:val="16"/>
                          <w:szCs w:val="16"/>
                        </w:rPr>
                      </w:pPr>
                      <w:r>
                        <w:rPr>
                          <w:bCs w:val="0"/>
                          <w:sz w:val="16"/>
                          <w:szCs w:val="16"/>
                          <w:lang w:val="es"/>
                        </w:rPr>
                        <w:t>© Amnesty International 2025</w:t>
                      </w:r>
                    </w:p>
                    <w:p w14:paraId="2247AD3B" w14:textId="77777777" w:rsidR="0081658E" w:rsidRDefault="0081658E"/>
                  </w:txbxContent>
                </v:textbox>
              </v:shape>
            </w:pict>
          </mc:Fallback>
        </mc:AlternateContent>
      </w:r>
      <w:r w:rsidR="002731B3" w:rsidRPr="00014E5B">
        <w:rPr>
          <w:rFonts w:ascii="Amnesty Trade Gothic Cn" w:hAnsi="Amnesty Trade Gothic Cn"/>
          <w:bCs w:val="0"/>
          <w:noProof/>
          <w:color w:val="000000"/>
          <w:lang w:val="es-ES"/>
        </w:rPr>
        <mc:AlternateContent>
          <mc:Choice Requires="wps">
            <w:drawing>
              <wp:anchor distT="0" distB="0" distL="114300" distR="114300" simplePos="0" relativeHeight="251658245"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014E5B" w:rsidRDefault="004E5E19" w:rsidP="004E5E19">
                            <w:pPr>
                              <w:pStyle w:val="NormalIndent"/>
                              <w:spacing w:after="120"/>
                              <w:ind w:left="0"/>
                              <w:jc w:val="center"/>
                              <w:rPr>
                                <w:rFonts w:ascii="Amnesty Trade Gothic Cn" w:hAnsi="Amnesty Trade Gothic Cn"/>
                                <w:b/>
                                <w:bCs/>
                                <w:color w:val="auto"/>
                                <w:lang w:val="es-ES"/>
                              </w:rPr>
                            </w:pPr>
                            <w:r>
                              <w:rPr>
                                <w:rFonts w:ascii="Amnesty Trade Gothic Cn" w:hAnsi="Amnesty Trade Gothic Cn"/>
                                <w:noProof/>
                                <w:sz w:val="30"/>
                                <w:szCs w:val="30"/>
                                <w:lang w:val="es"/>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1"/>
                                          <a:stretch>
                                            <a:fillRect/>
                                          </a:stretch>
                                        </pic:blipFill>
                                        <pic:spPr>
                                          <a:xfrm>
                                            <a:off x="0" y="0"/>
                                            <a:ext cx="382213" cy="239483"/>
                                          </a:xfrm>
                                          <a:prstGeom prst="rect">
                                            <a:avLst/>
                                          </a:prstGeom>
                                        </pic:spPr>
                                      </pic:pic>
                                    </a:graphicData>
                                  </a:graphic>
                                </wp:inline>
                              </w:drawing>
                            </w:r>
                            <w:r>
                              <w:rPr>
                                <w:rFonts w:ascii="Amnesty Trade Gothic Cn" w:hAnsi="Amnesty Trade Gothic Cn"/>
                                <w:sz w:val="30"/>
                                <w:szCs w:val="30"/>
                                <w:lang w:val="es"/>
                              </w:rPr>
                              <w:br/>
                            </w:r>
                            <w:hyperlink r:id="rId22" w:history="1">
                              <w:r>
                                <w:rPr>
                                  <w:rStyle w:val="Hyperlink"/>
                                  <w:rFonts w:ascii="Amnesty Trade Gothic Cn" w:hAnsi="Amnesty Trade Gothic Cn"/>
                                  <w:b/>
                                  <w:bCs/>
                                  <w:color w:val="auto"/>
                                  <w:szCs w:val="21"/>
                                  <w:lang w:val="es"/>
                                </w:rPr>
                                <w:t>info@amnesty.org</w:t>
                              </w:r>
                            </w:hyperlink>
                          </w:p>
                          <w:p w14:paraId="61AA5AD3" w14:textId="77777777" w:rsidR="004E5E19" w:rsidRPr="00014E5B" w:rsidRDefault="004E5E19" w:rsidP="004E5E19">
                            <w:pPr>
                              <w:pStyle w:val="BBodyText"/>
                              <w:jc w:val="center"/>
                              <w:rPr>
                                <w:rStyle w:val="Hyperlink"/>
                                <w:rFonts w:ascii="Amnesty Trade Gothic Cn" w:hAnsi="Amnesty Trade Gothic Cn"/>
                                <w:color w:val="auto"/>
                                <w:lang w:val="es-ES"/>
                              </w:rPr>
                            </w:pPr>
                            <w:hyperlink r:id="rId23" w:history="1">
                              <w:r>
                                <w:rPr>
                                  <w:rFonts w:ascii="Amnesty Trade Gothic Cn" w:hAnsi="Amnesty Trade Gothic Cn"/>
                                  <w:bCs w:val="0"/>
                                  <w:noProof/>
                                  <w:lang w:val="es"/>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4"/>
                                            <a:stretch>
                                              <a:fillRect/>
                                            </a:stretch>
                                          </pic:blipFill>
                                          <pic:spPr>
                                            <a:xfrm>
                                              <a:off x="0" y="0"/>
                                              <a:ext cx="290598" cy="290598"/>
                                            </a:xfrm>
                                            <a:prstGeom prst="rect">
                                              <a:avLst/>
                                            </a:prstGeom>
                                          </pic:spPr>
                                        </pic:pic>
                                      </a:graphicData>
                                    </a:graphic>
                                  </wp:inline>
                                </w:drawing>
                              </w:r>
                              <w:r>
                                <w:rPr>
                                  <w:rFonts w:ascii="Amnesty Trade Gothic Cn" w:hAnsi="Amnesty Trade Gothic Cn"/>
                                  <w:bCs w:val="0"/>
                                  <w:lang w:val="es"/>
                                </w:rPr>
                                <w:br/>
                              </w:r>
                              <w:r>
                                <w:rPr>
                                  <w:rStyle w:val="Hyperlink"/>
                                  <w:rFonts w:ascii="Amnesty Trade Gothic Cn" w:hAnsi="Amnesty Trade Gothic Cn"/>
                                  <w:bCs w:val="0"/>
                                  <w:color w:val="auto"/>
                                  <w:lang w:val="es"/>
                                </w:rPr>
                                <w:t xml:space="preserve">facebook.com/ </w:t>
                              </w:r>
                              <w:r>
                                <w:rPr>
                                  <w:rStyle w:val="Hyperlink"/>
                                  <w:rFonts w:ascii="Amnesty Trade Gothic Cn" w:hAnsi="Amnesty Trade Gothic Cn"/>
                                  <w:bCs w:val="0"/>
                                  <w:color w:val="auto"/>
                                  <w:lang w:val="es"/>
                                </w:rPr>
                                <w:br/>
                              </w:r>
                              <w:r>
                                <w:rPr>
                                  <w:rStyle w:val="Hyperlink"/>
                                  <w:rFonts w:ascii="Amnesty Trade Gothic Cn" w:hAnsi="Amnesty Trade Gothic Cn"/>
                                  <w:b/>
                                  <w:color w:val="auto"/>
                                  <w:lang w:val="es"/>
                                </w:rPr>
                                <w:t>AmnistiaAmericas</w:t>
                              </w:r>
                            </w:hyperlink>
                          </w:p>
                          <w:p w14:paraId="5F6B3953" w14:textId="77777777" w:rsidR="004E5E19" w:rsidRPr="00B772D5" w:rsidRDefault="004E5E19" w:rsidP="004E5E19">
                            <w:pPr>
                              <w:pStyle w:val="BBodyText"/>
                              <w:spacing w:after="0"/>
                              <w:jc w:val="center"/>
                              <w:rPr>
                                <w:rStyle w:val="Hyperlink"/>
                                <w:color w:val="auto"/>
                              </w:rPr>
                            </w:pPr>
                            <w:r>
                              <w:rPr>
                                <w:bCs w:val="0"/>
                                <w:noProof/>
                                <w:lang w:val="es"/>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5"/>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Pr>
                                <w:rFonts w:ascii="Amnesty Trade Gothic Cn" w:hAnsi="Amnesty Trade Gothic Cn"/>
                                <w:b/>
                                <w:lang w:val="es"/>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8BAEFD" id="_x0000_t202" coordsize="21600,21600" o:spt="202" path="m,l,21600r21600,l21600,xe">
                <v:stroke joinstyle="miter"/>
                <v:path gradientshapeok="t" o:connecttype="rect"/>
              </v:shapetype>
              <v:shape id="Text Box 27" o:spid="_x0000_s1029" type="#_x0000_t202" style="position:absolute;left:0;text-align:left;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A69NuA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014E5B" w:rsidRDefault="004E5E19" w:rsidP="004E5E19">
                      <w:pPr>
                        <w:pStyle w:val="NormalIndent"/>
                        <w:spacing w:after="120"/>
                        <w:ind w:left="0"/>
                        <w:jc w:val="center"/>
                        <w:rPr>
                          <w:rFonts w:ascii="Amnesty Trade Gothic Cn" w:hAnsi="Amnesty Trade Gothic Cn"/>
                          <w:b/>
                          <w:bCs/>
                          <w:color w:val="auto"/>
                          <w:lang w:val="es-ES"/>
                        </w:rPr>
                      </w:pPr>
                      <w:r>
                        <w:rPr>
                          <w:rFonts w:ascii="Amnesty Trade Gothic Cn" w:hAnsi="Amnesty Trade Gothic Cn"/>
                          <w:noProof/>
                          <w:sz w:val="30"/>
                          <w:szCs w:val="30"/>
                          <w:lang w:val="es"/>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6"/>
                                    <a:stretch>
                                      <a:fillRect/>
                                    </a:stretch>
                                  </pic:blipFill>
                                  <pic:spPr>
                                    <a:xfrm>
                                      <a:off x="0" y="0"/>
                                      <a:ext cx="382213" cy="239483"/>
                                    </a:xfrm>
                                    <a:prstGeom prst="rect">
                                      <a:avLst/>
                                    </a:prstGeom>
                                  </pic:spPr>
                                </pic:pic>
                              </a:graphicData>
                            </a:graphic>
                          </wp:inline>
                        </w:drawing>
                      </w:r>
                      <w:r>
                        <w:rPr>
                          <w:rFonts w:ascii="Amnesty Trade Gothic Cn" w:hAnsi="Amnesty Trade Gothic Cn"/>
                          <w:sz w:val="30"/>
                          <w:szCs w:val="30"/>
                          <w:lang w:val="es"/>
                        </w:rPr>
                        <w:br/>
                      </w:r>
                      <w:hyperlink r:id="rId27" w:history="1">
                        <w:r>
                          <w:rPr>
                            <w:rStyle w:val="Hyperlink"/>
                            <w:rFonts w:ascii="Amnesty Trade Gothic Cn" w:hAnsi="Amnesty Trade Gothic Cn"/>
                            <w:b/>
                            <w:bCs/>
                            <w:color w:val="auto"/>
                            <w:szCs w:val="21"/>
                            <w:lang w:val="es"/>
                          </w:rPr>
                          <w:t>info@amnesty.org</w:t>
                        </w:r>
                      </w:hyperlink>
                    </w:p>
                    <w:p w14:paraId="61AA5AD3" w14:textId="77777777" w:rsidR="004E5E19" w:rsidRPr="00014E5B" w:rsidRDefault="004E5E19" w:rsidP="004E5E19">
                      <w:pPr>
                        <w:pStyle w:val="BBodyText"/>
                        <w:jc w:val="center"/>
                        <w:rPr>
                          <w:rStyle w:val="Hyperlink"/>
                          <w:rFonts w:ascii="Amnesty Trade Gothic Cn" w:hAnsi="Amnesty Trade Gothic Cn"/>
                          <w:color w:val="auto"/>
                          <w:lang w:val="es-ES"/>
                        </w:rPr>
                      </w:pPr>
                      <w:hyperlink r:id="rId28" w:history="1">
                        <w:r>
                          <w:rPr>
                            <w:rFonts w:ascii="Amnesty Trade Gothic Cn" w:hAnsi="Amnesty Trade Gothic Cn"/>
                            <w:bCs w:val="0"/>
                            <w:noProof/>
                            <w:lang w:val="es"/>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9"/>
                                      <a:stretch>
                                        <a:fillRect/>
                                      </a:stretch>
                                    </pic:blipFill>
                                    <pic:spPr>
                                      <a:xfrm>
                                        <a:off x="0" y="0"/>
                                        <a:ext cx="290598" cy="290598"/>
                                      </a:xfrm>
                                      <a:prstGeom prst="rect">
                                        <a:avLst/>
                                      </a:prstGeom>
                                    </pic:spPr>
                                  </pic:pic>
                                </a:graphicData>
                              </a:graphic>
                            </wp:inline>
                          </w:drawing>
                        </w:r>
                        <w:r>
                          <w:rPr>
                            <w:rFonts w:ascii="Amnesty Trade Gothic Cn" w:hAnsi="Amnesty Trade Gothic Cn"/>
                            <w:bCs w:val="0"/>
                            <w:lang w:val="es"/>
                          </w:rPr>
                          <w:br/>
                        </w:r>
                        <w:r>
                          <w:rPr>
                            <w:rStyle w:val="Hyperlink"/>
                            <w:rFonts w:ascii="Amnesty Trade Gothic Cn" w:hAnsi="Amnesty Trade Gothic Cn"/>
                            <w:bCs w:val="0"/>
                            <w:color w:val="auto"/>
                            <w:lang w:val="es"/>
                          </w:rPr>
                          <w:t xml:space="preserve">facebook.com/ </w:t>
                        </w:r>
                        <w:r>
                          <w:rPr>
                            <w:rStyle w:val="Hyperlink"/>
                            <w:rFonts w:ascii="Amnesty Trade Gothic Cn" w:hAnsi="Amnesty Trade Gothic Cn"/>
                            <w:bCs w:val="0"/>
                            <w:color w:val="auto"/>
                            <w:lang w:val="es"/>
                          </w:rPr>
                          <w:br/>
                        </w:r>
                        <w:r>
                          <w:rPr>
                            <w:rStyle w:val="Hyperlink"/>
                            <w:rFonts w:ascii="Amnesty Trade Gothic Cn" w:hAnsi="Amnesty Trade Gothic Cn"/>
                            <w:b/>
                            <w:color w:val="auto"/>
                            <w:lang w:val="es"/>
                          </w:rPr>
                          <w:t>AmnistiaAmericas</w:t>
                        </w:r>
                      </w:hyperlink>
                    </w:p>
                    <w:p w14:paraId="5F6B3953" w14:textId="77777777" w:rsidR="004E5E19" w:rsidRPr="00B772D5" w:rsidRDefault="004E5E19" w:rsidP="004E5E19">
                      <w:pPr>
                        <w:pStyle w:val="BBodyText"/>
                        <w:spacing w:after="0"/>
                        <w:jc w:val="center"/>
                        <w:rPr>
                          <w:rStyle w:val="Hyperlink"/>
                          <w:color w:val="auto"/>
                        </w:rPr>
                      </w:pPr>
                      <w:r>
                        <w:rPr>
                          <w:bCs w:val="0"/>
                          <w:noProof/>
                          <w:lang w:val="es"/>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30"/>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Pr>
                          <w:rFonts w:ascii="Amnesty Trade Gothic Cn" w:hAnsi="Amnesty Trade Gothic Cn"/>
                          <w:b/>
                          <w:lang w:val="es"/>
                        </w:rPr>
                        <w:t>@Amnesty</w:t>
                      </w:r>
                    </w:p>
                    <w:p w14:paraId="53CFD627" w14:textId="77777777" w:rsidR="004E5E19" w:rsidRDefault="004E5E19" w:rsidP="004E5E19">
                      <w:pPr>
                        <w:jc w:val="center"/>
                      </w:pPr>
                    </w:p>
                  </w:txbxContent>
                </v:textbox>
              </v:shape>
            </w:pict>
          </mc:Fallback>
        </mc:AlternateContent>
      </w:r>
      <w:r w:rsidR="002731B3" w:rsidRPr="00014E5B">
        <w:rPr>
          <w:rFonts w:ascii="Amnesty Trade Gothic Cn" w:hAnsi="Amnesty Trade Gothic Cn"/>
          <w:bCs w:val="0"/>
          <w:noProof/>
          <w:color w:val="000000"/>
          <w:lang w:val="es-ES"/>
        </w:rPr>
        <mc:AlternateContent>
          <mc:Choice Requires="wps">
            <w:drawing>
              <wp:anchor distT="0" distB="0" distL="114300" distR="114300" simplePos="0" relativeHeight="251658242"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14E5B" w:rsidRDefault="008D2844" w:rsidP="000660E7">
                            <w:pPr>
                              <w:pStyle w:val="BCopyrightsmallprint"/>
                              <w:rPr>
                                <w:sz w:val="16"/>
                                <w:szCs w:val="16"/>
                                <w:lang w:val="es-ES"/>
                              </w:rPr>
                            </w:pPr>
                            <w:r>
                              <w:rPr>
                                <w:bCs w:val="0"/>
                                <w:sz w:val="16"/>
                                <w:szCs w:val="16"/>
                                <w:lang w:val="es"/>
                              </w:rPr>
                              <w:t>Salvo cuando se indique lo contrario, el contenido de este documento está protegido por una licencia 4.0 de Creative Commons (atribución, no comercial, sin obra derivada, internacional) (véase https://creativecommons.org/licenses/by-nc-nd/4.0/legalcode.es)</w:t>
                            </w:r>
                          </w:p>
                          <w:p w14:paraId="45829321" w14:textId="77777777" w:rsidR="008D2844" w:rsidRPr="00014E5B" w:rsidRDefault="008D2844" w:rsidP="000660E7">
                            <w:pPr>
                              <w:pStyle w:val="BCopyrightsmallprint"/>
                              <w:rPr>
                                <w:sz w:val="16"/>
                                <w:szCs w:val="16"/>
                                <w:lang w:val="es-ES"/>
                              </w:rPr>
                            </w:pPr>
                            <w:r>
                              <w:rPr>
                                <w:bCs w:val="0"/>
                                <w:sz w:val="16"/>
                                <w:szCs w:val="16"/>
                                <w:lang w:val="es"/>
                              </w:rPr>
                              <w:t>El material atribuido a titulares de derechos de autor distintos de Amnistía Internacional no está protegido por la licencia Creative Commons.</w:t>
                            </w:r>
                          </w:p>
                          <w:p w14:paraId="3D532D22" w14:textId="77777777" w:rsidR="008D2844" w:rsidRPr="00014E5B" w:rsidRDefault="008D2844" w:rsidP="000660E7">
                            <w:pPr>
                              <w:pStyle w:val="BCopyrightsmallprint"/>
                              <w:rPr>
                                <w:sz w:val="16"/>
                                <w:szCs w:val="16"/>
                                <w:lang w:val="es-ES"/>
                              </w:rPr>
                            </w:pPr>
                            <w:r>
                              <w:rPr>
                                <w:bCs w:val="0"/>
                                <w:sz w:val="16"/>
                                <w:szCs w:val="16"/>
                                <w:lang w:val="es"/>
                              </w:rPr>
                              <w:t xml:space="preserve">Para más información, visiten la </w:t>
                            </w:r>
                            <w:hyperlink r:id="rId31" w:history="1">
                              <w:r>
                                <w:rPr>
                                  <w:rStyle w:val="Hyperlink"/>
                                  <w:bCs w:val="0"/>
                                  <w:sz w:val="16"/>
                                  <w:szCs w:val="16"/>
                                  <w:lang w:val="es"/>
                                </w:rPr>
                                <w:t>página Permisos</w:t>
                              </w:r>
                            </w:hyperlink>
                            <w:r>
                              <w:rPr>
                                <w:bCs w:val="0"/>
                                <w:sz w:val="16"/>
                                <w:szCs w:val="16"/>
                                <w:lang w:val="es"/>
                              </w:rPr>
                              <w:t xml:space="preserve"> del sitio web de Amnistía Internacional.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30" type="#_x0000_t202" style="position:absolute;left:0;text-align:left;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Nz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" fillcolor="#f2f2f2" stroked="f" strokeweight=".5pt">
                <o:lock v:ext="edit" aspectratio="t"/>
                <v:textbox>
                  <w:txbxContent>
                    <w:p w14:paraId="241144A1" w14:textId="77777777" w:rsidR="008D2844" w:rsidRPr="00014E5B" w:rsidRDefault="008D2844" w:rsidP="000660E7">
                      <w:pPr>
                        <w:pStyle w:val="BCopyrightsmallprint"/>
                        <w:rPr>
                          <w:sz w:val="16"/>
                          <w:szCs w:val="16"/>
                          <w:lang w:val="es-ES"/>
                        </w:rPr>
                      </w:pPr>
                      <w:r>
                        <w:rPr>
                          <w:bCs w:val="0"/>
                          <w:sz w:val="16"/>
                          <w:szCs w:val="16"/>
                          <w:lang w:val="es"/>
                        </w:rPr>
                        <w:t>Salvo cuando se indique lo contrario, el contenido de este documento está protegido por una licencia 4.0 de Creative Commons (atribución, no comercial, sin obra derivada, internacional) (véase https://creativecommons.org/licenses/by-nc-nd/4.0/legalcode.es)</w:t>
                      </w:r>
                    </w:p>
                    <w:p w14:paraId="45829321" w14:textId="77777777" w:rsidR="008D2844" w:rsidRPr="00014E5B" w:rsidRDefault="008D2844" w:rsidP="000660E7">
                      <w:pPr>
                        <w:pStyle w:val="BCopyrightsmallprint"/>
                        <w:rPr>
                          <w:sz w:val="16"/>
                          <w:szCs w:val="16"/>
                          <w:lang w:val="es-ES"/>
                        </w:rPr>
                      </w:pPr>
                      <w:r>
                        <w:rPr>
                          <w:bCs w:val="0"/>
                          <w:sz w:val="16"/>
                          <w:szCs w:val="16"/>
                          <w:lang w:val="es"/>
                        </w:rPr>
                        <w:t>El material atribuido a titulares de derechos de autor distintos de Amnistía Internacional no está protegido por la licencia Creative Commons.</w:t>
                      </w:r>
                    </w:p>
                    <w:p w14:paraId="3D532D22" w14:textId="77777777" w:rsidR="008D2844" w:rsidRPr="00014E5B" w:rsidRDefault="008D2844" w:rsidP="000660E7">
                      <w:pPr>
                        <w:pStyle w:val="BCopyrightsmallprint"/>
                        <w:rPr>
                          <w:sz w:val="16"/>
                          <w:szCs w:val="16"/>
                          <w:lang w:val="es-ES"/>
                        </w:rPr>
                      </w:pPr>
                      <w:r>
                        <w:rPr>
                          <w:bCs w:val="0"/>
                          <w:sz w:val="16"/>
                          <w:szCs w:val="16"/>
                          <w:lang w:val="es"/>
                        </w:rPr>
                        <w:t xml:space="preserve">Para más información, visiten la </w:t>
                      </w:r>
                      <w:hyperlink r:id="rId32" w:history="1">
                        <w:r>
                          <w:rPr>
                            <w:rStyle w:val="Hyperlink"/>
                            <w:bCs w:val="0"/>
                            <w:sz w:val="16"/>
                            <w:szCs w:val="16"/>
                            <w:lang w:val="es"/>
                          </w:rPr>
                          <w:t>página Permisos</w:t>
                        </w:r>
                      </w:hyperlink>
                      <w:r>
                        <w:rPr>
                          <w:bCs w:val="0"/>
                          <w:sz w:val="16"/>
                          <w:szCs w:val="16"/>
                          <w:lang w:val="es"/>
                        </w:rPr>
                        <w:t xml:space="preserve"> del sitio web de Amnistía Internacional. </w:t>
                      </w:r>
                    </w:p>
                  </w:txbxContent>
                </v:textbox>
              </v:shape>
            </w:pict>
          </mc:Fallback>
        </mc:AlternateContent>
      </w:r>
      <w:r w:rsidR="002731B3" w:rsidRPr="00014E5B">
        <w:rPr>
          <w:rFonts w:ascii="Amnesty Trade Gothic Cn" w:hAnsi="Amnesty Trade Gothic Cn"/>
          <w:b/>
          <w:noProof/>
          <w:lang w:val="es-ES"/>
        </w:rPr>
        <w:drawing>
          <wp:anchor distT="0" distB="0" distL="114300" distR="114300" simplePos="0" relativeHeight="251658246"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33" cstate="print">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464820" cy="464820"/>
                    </a:xfrm>
                    <a:prstGeom prst="rect">
                      <a:avLst/>
                    </a:prstGeom>
                  </pic:spPr>
                </pic:pic>
              </a:graphicData>
            </a:graphic>
          </wp:anchor>
        </w:drawing>
      </w:r>
      <w:r w:rsidR="002731B3" w:rsidRPr="00014E5B">
        <w:rPr>
          <w:rFonts w:ascii="Amnesty Trade Gothic Cn" w:hAnsi="Amnesty Trade Gothic Cn"/>
          <w:bCs w:val="0"/>
          <w:noProof/>
          <w:color w:val="000000"/>
          <w:lang w:val="es-ES"/>
        </w:rPr>
        <mc:AlternateContent>
          <mc:Choice Requires="wps">
            <w:drawing>
              <wp:anchor distT="0" distB="0" distL="114300" distR="114300" simplePos="0" relativeHeight="251658244"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Pr>
                                <w:rFonts w:ascii="Amnesty Trade Gothic Cn" w:hAnsi="Amnesty Trade Gothic Cn"/>
                                <w:b/>
                                <w:bCs/>
                                <w:color w:val="auto"/>
                                <w:sz w:val="21"/>
                                <w:szCs w:val="24"/>
                                <w:lang w:val="es"/>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bCs/>
                                <w:noProof/>
                                <w:color w:val="auto"/>
                                <w:sz w:val="21"/>
                                <w:szCs w:val="24"/>
                                <w:lang w:val="es"/>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014E5B">
                              <w:rPr>
                                <w:color w:val="auto"/>
                                <w:sz w:val="16"/>
                                <w:szCs w:val="16"/>
                                <w:lang w:val="en-US"/>
                              </w:rPr>
                              <w:t>Amnesty International</w:t>
                            </w:r>
                            <w:r w:rsidRPr="00014E5B">
                              <w:rPr>
                                <w:color w:val="auto"/>
                                <w:sz w:val="16"/>
                                <w:szCs w:val="16"/>
                                <w:lang w:val="en-US"/>
                              </w:rPr>
                              <w:br/>
                              <w:t>Peter Benenson House</w:t>
                            </w:r>
                            <w:r w:rsidRPr="00014E5B">
                              <w:rPr>
                                <w:color w:val="auto"/>
                                <w:sz w:val="16"/>
                                <w:szCs w:val="16"/>
                                <w:lang w:val="en-US"/>
                              </w:rPr>
                              <w:br/>
                              <w:t>1 Easton Street</w:t>
                            </w:r>
                            <w:r w:rsidRPr="00014E5B">
                              <w:rPr>
                                <w:color w:val="auto"/>
                                <w:sz w:val="16"/>
                                <w:szCs w:val="16"/>
                                <w:lang w:val="en-US"/>
                              </w:rPr>
                              <w:br/>
                              <w:t>Londres WC1X 0DW, Reino Unido</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1" type="#_x0000_t202" style="position:absolute;left:0;text-align:left;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7ra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6mu62h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Pr>
                          <w:rFonts w:ascii="Amnesty Trade Gothic Cn" w:hAnsi="Amnesty Trade Gothic Cn"/>
                          <w:b/>
                          <w:bCs/>
                          <w:color w:val="auto"/>
                          <w:sz w:val="21"/>
                          <w:szCs w:val="24"/>
                          <w:lang w:val="es"/>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bCs/>
                          <w:noProof/>
                          <w:color w:val="auto"/>
                          <w:sz w:val="21"/>
                          <w:szCs w:val="24"/>
                          <w:lang w:val="es"/>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014E5B">
                        <w:rPr>
                          <w:color w:val="auto"/>
                          <w:sz w:val="16"/>
                          <w:szCs w:val="16"/>
                          <w:lang w:val="en-US"/>
                        </w:rPr>
                        <w:t>Amnesty International</w:t>
                      </w:r>
                      <w:r w:rsidRPr="00014E5B">
                        <w:rPr>
                          <w:color w:val="auto"/>
                          <w:sz w:val="16"/>
                          <w:szCs w:val="16"/>
                          <w:lang w:val="en-US"/>
                        </w:rPr>
                        <w:br/>
                        <w:t>Peter Benenson House</w:t>
                      </w:r>
                      <w:r w:rsidRPr="00014E5B">
                        <w:rPr>
                          <w:color w:val="auto"/>
                          <w:sz w:val="16"/>
                          <w:szCs w:val="16"/>
                          <w:lang w:val="en-US"/>
                        </w:rPr>
                        <w:br/>
                        <w:t>1 Easton Street</w:t>
                      </w:r>
                      <w:r w:rsidRPr="00014E5B">
                        <w:rPr>
                          <w:color w:val="auto"/>
                          <w:sz w:val="16"/>
                          <w:szCs w:val="16"/>
                          <w:lang w:val="en-US"/>
                        </w:rPr>
                        <w:br/>
                      </w:r>
                      <w:proofErr w:type="spellStart"/>
                      <w:r w:rsidRPr="00014E5B">
                        <w:rPr>
                          <w:color w:val="auto"/>
                          <w:sz w:val="16"/>
                          <w:szCs w:val="16"/>
                          <w:lang w:val="en-US"/>
                        </w:rPr>
                        <w:t>Londres</w:t>
                      </w:r>
                      <w:proofErr w:type="spellEnd"/>
                      <w:r w:rsidRPr="00014E5B">
                        <w:rPr>
                          <w:color w:val="auto"/>
                          <w:sz w:val="16"/>
                          <w:szCs w:val="16"/>
                          <w:lang w:val="en-US"/>
                        </w:rPr>
                        <w:t xml:space="preserve"> WC1X 0DW, Reino </w:t>
                      </w:r>
                      <w:proofErr w:type="spellStart"/>
                      <w:r w:rsidRPr="00014E5B">
                        <w:rPr>
                          <w:color w:val="auto"/>
                          <w:sz w:val="16"/>
                          <w:szCs w:val="16"/>
                          <w:lang w:val="en-US"/>
                        </w:rPr>
                        <w:t>Unido</w:t>
                      </w:r>
                      <w:proofErr w:type="spellEnd"/>
                    </w:p>
                    <w:p w14:paraId="1E71D662" w14:textId="77777777" w:rsidR="0081658E" w:rsidRPr="00C8441B" w:rsidRDefault="0081658E" w:rsidP="00C8441B">
                      <w:pPr>
                        <w:rPr>
                          <w:sz w:val="14"/>
                          <w:szCs w:val="14"/>
                        </w:rPr>
                      </w:pPr>
                    </w:p>
                  </w:txbxContent>
                </v:textbox>
              </v:shape>
            </w:pict>
          </mc:Fallback>
        </mc:AlternateContent>
      </w:r>
      <w:r w:rsidR="002731B3" w:rsidRPr="00014E5B">
        <w:rPr>
          <w:rFonts w:ascii="Amnesty Trade Gothic Cn" w:hAnsi="Amnesty Trade Gothic Cn"/>
          <w:bCs w:val="0"/>
          <w:noProof/>
          <w:color w:val="000000"/>
          <w:lang w:val="es-ES"/>
        </w:rPr>
        <mc:AlternateContent>
          <mc:Choice Requires="wps">
            <w:drawing>
              <wp:anchor distT="0" distB="0" distL="114300" distR="114300" simplePos="0" relativeHeight="251658247" behindDoc="0" locked="0" layoutInCell="1" allowOverlap="1" wp14:anchorId="3878D2F4" wp14:editId="0F0CF8B6">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rPr>
                            </w:pPr>
                            <w:r>
                              <w:rPr>
                                <w:rFonts w:ascii="Amnesty Trade Gothic Cn" w:hAnsi="Amnesty Trade Gothic Cn"/>
                                <w:b/>
                                <w:bCs/>
                                <w:sz w:val="35"/>
                                <w:szCs w:val="35"/>
                                <w:lang w:val="es"/>
                              </w:rPr>
                              <w:t>Contacto</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2" type="#_x0000_t202" style="position:absolute;left:0;text-align:left;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rPr>
                      </w:pPr>
                      <w:r>
                        <w:rPr>
                          <w:rFonts w:ascii="Amnesty Trade Gothic Cn" w:hAnsi="Amnesty Trade Gothic Cn"/>
                          <w:b/>
                          <w:bCs/>
                          <w:sz w:val="35"/>
                          <w:szCs w:val="35"/>
                          <w:lang w:val="es"/>
                        </w:rPr>
                        <w:t>Contacto</w:t>
                      </w:r>
                    </w:p>
                    <w:p w14:paraId="4E60631E" w14:textId="77777777" w:rsidR="007A577D" w:rsidRDefault="007A577D"/>
                  </w:txbxContent>
                </v:textbox>
              </v:shape>
            </w:pict>
          </mc:Fallback>
        </mc:AlternateContent>
      </w:r>
      <w:r w:rsidR="002731B3" w:rsidRPr="00014E5B">
        <w:rPr>
          <w:rFonts w:ascii="Amnesty Trade Gothic Cn" w:hAnsi="Amnesty Trade Gothic Cn"/>
          <w:bCs w:val="0"/>
          <w:noProof/>
          <w:color w:val="000000"/>
          <w:lang w:val="es-ES"/>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left:0;text-align:left;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14E5B" w:rsidSect="00DA7998">
      <w:headerReference w:type="default" r:id="rId39"/>
      <w:headerReference w:type="first" r:id="rId40"/>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35758" w14:textId="77777777" w:rsidR="00B0008F" w:rsidRDefault="00B0008F" w:rsidP="003A7195">
      <w:r>
        <w:separator/>
      </w:r>
    </w:p>
  </w:endnote>
  <w:endnote w:type="continuationSeparator" w:id="0">
    <w:p w14:paraId="47D0D9B0" w14:textId="77777777" w:rsidR="00B0008F" w:rsidRDefault="00B0008F" w:rsidP="003A7195">
      <w:r>
        <w:continuationSeparator/>
      </w:r>
    </w:p>
  </w:endnote>
  <w:endnote w:type="continuationNotice" w:id="1">
    <w:p w14:paraId="4457C23E" w14:textId="77777777" w:rsidR="00B0008F" w:rsidRDefault="00B000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libri"/>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altName w:val="Calibri"/>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mnesty Trade Gothic">
    <w:altName w:val="Calibri"/>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599EB" w14:textId="1B464273" w:rsidR="005B4CE5" w:rsidRPr="00014E5B" w:rsidRDefault="00B94196" w:rsidP="005B4CE5">
    <w:pPr>
      <w:pStyle w:val="BFootertitle"/>
      <w:spacing w:before="160"/>
      <w:rPr>
        <w:lang w:val="es-ES"/>
      </w:rPr>
    </w:pPr>
    <w:r>
      <w:rPr>
        <w:bCs/>
        <w:lang w:val="es"/>
      </w:rPr>
      <w:t>ECUADOR</w:t>
    </w:r>
    <w:r>
      <w:rPr>
        <w:b w:val="0"/>
        <w:lang w:val="es"/>
      </w:rPr>
      <w:tab/>
    </w:r>
  </w:p>
  <w:p w14:paraId="674E9281" w14:textId="76770403" w:rsidR="005B4CE5" w:rsidRPr="00014E5B" w:rsidRDefault="00B94196" w:rsidP="005B4CE5">
    <w:pPr>
      <w:pStyle w:val="BFooterbriefingsubtitle"/>
      <w:rPr>
        <w:lang w:val="es-ES"/>
      </w:rPr>
    </w:pPr>
    <w:r>
      <w:rPr>
        <w:lang w:val="es"/>
      </w:rPr>
      <w:t>INFORMACIÓN PARA EL COMITÉ DE LA ONU CONTRA LA DESAPARICIÓN FORZADA</w:t>
    </w:r>
    <w:r>
      <w:rPr>
        <w:lang w:val="es"/>
      </w:rPr>
      <w:tab/>
    </w:r>
  </w:p>
  <w:p w14:paraId="4C5744CE" w14:textId="77777777" w:rsidR="005B4CE5" w:rsidRPr="003E2AA1" w:rsidRDefault="005B4CE5" w:rsidP="005B4CE5">
    <w:pPr>
      <w:tabs>
        <w:tab w:val="center" w:pos="4423"/>
        <w:tab w:val="right" w:pos="9923"/>
      </w:tabs>
      <w:rPr>
        <w:rFonts w:ascii="Amnesty Trade Gothic Cn" w:hAnsi="Amnesty Trade Gothic Cn"/>
      </w:rPr>
    </w:pPr>
    <w:r>
      <w:rPr>
        <w:rFonts w:ascii="Amnesty Trade Gothic Cn" w:hAnsi="Amnesty Trade Gothic Cn"/>
        <w:lang w:val="es"/>
      </w:rPr>
      <w:t>Amnistía Internacional</w:t>
    </w:r>
    <w:r>
      <w:rPr>
        <w:rFonts w:ascii="Amnesty Trade Gothic Cn" w:hAnsi="Amnesty Trade Gothic Cn"/>
        <w:lang w:val="es"/>
      </w:rPr>
      <w:tab/>
    </w:r>
    <w:r>
      <w:rPr>
        <w:rFonts w:ascii="Amnesty Trade Gothic Cn" w:hAnsi="Amnesty Trade Gothic Cn"/>
        <w:lang w:val="es"/>
      </w:rPr>
      <w:fldChar w:fldCharType="begin"/>
    </w:r>
    <w:r>
      <w:rPr>
        <w:rFonts w:ascii="Amnesty Trade Gothic Cn" w:hAnsi="Amnesty Trade Gothic Cn"/>
        <w:lang w:val="es"/>
      </w:rPr>
      <w:instrText xml:space="preserve"> PAGE   \* MERGEFORMAT </w:instrText>
    </w:r>
    <w:r>
      <w:rPr>
        <w:rFonts w:ascii="Amnesty Trade Gothic Cn" w:hAnsi="Amnesty Trade Gothic Cn"/>
        <w:lang w:val="es"/>
      </w:rPr>
      <w:fldChar w:fldCharType="separate"/>
    </w:r>
    <w:r>
      <w:rPr>
        <w:rFonts w:ascii="Amnesty Trade Gothic Cn" w:hAnsi="Amnesty Trade Gothic Cn"/>
        <w:lang w:val="es"/>
      </w:rPr>
      <w:t>2</w:t>
    </w:r>
    <w:r>
      <w:rPr>
        <w:rFonts w:ascii="Amnesty Trade Gothic Cn" w:hAnsi="Amnesty Trade Gothic Cn"/>
        <w:noProof/>
        <w:lang w:val="e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6337C" w14:textId="121559BA" w:rsidR="003A7195" w:rsidRDefault="009055DA">
    <w:pPr>
      <w:pStyle w:val="Footer"/>
    </w:pPr>
    <w:r>
      <w:rPr>
        <w:noProof/>
        <w:lang w:val="es"/>
      </w:rPr>
      <w:drawing>
        <wp:anchor distT="0" distB="0" distL="114300" distR="114300" simplePos="0" relativeHeight="251658241" behindDoc="0" locked="1" layoutInCell="1" allowOverlap="1" wp14:anchorId="3473D63F" wp14:editId="581FE007">
          <wp:simplePos x="0" y="0"/>
          <wp:positionH relativeFrom="page">
            <wp:posOffset>5604510</wp:posOffset>
          </wp:positionH>
          <wp:positionV relativeFrom="page">
            <wp:posOffset>9468485</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o="urn:schemas-microsoft-com:office:office" xmlns:v="urn:schemas-microsoft-com:vml" xmlns:w10="urn:schemas-microsoft-com:office:word" xmlns:w="http://schemas.openxmlformats.org/wordprocessingml/2006/main" xmlns:ma14="http://schemas.microsoft.com/office/mac/drawingml/2011/main"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167BB" w14:textId="77777777" w:rsidR="001D601E" w:rsidRPr="00014E5B" w:rsidRDefault="4EC737F3" w:rsidP="001D601E">
    <w:pPr>
      <w:pStyle w:val="BFootertitle"/>
      <w:spacing w:before="160"/>
      <w:rPr>
        <w:lang w:val="es-ES"/>
      </w:rPr>
    </w:pPr>
    <w:r>
      <w:rPr>
        <w:bCs/>
        <w:lang w:val="es"/>
      </w:rPr>
      <w:t>ECUADOR</w:t>
    </w:r>
    <w:r>
      <w:rPr>
        <w:b w:val="0"/>
        <w:lang w:val="es"/>
      </w:rPr>
      <w:tab/>
    </w:r>
  </w:p>
  <w:p w14:paraId="3EB55111" w14:textId="77777777" w:rsidR="001D601E" w:rsidRPr="00014E5B" w:rsidRDefault="4EC737F3" w:rsidP="001D601E">
    <w:pPr>
      <w:pStyle w:val="BFooterbriefingsubtitle"/>
      <w:rPr>
        <w:lang w:val="es-ES"/>
      </w:rPr>
    </w:pPr>
    <w:r>
      <w:rPr>
        <w:lang w:val="es"/>
      </w:rPr>
      <w:t>INFORMACIÓN PARA EL COMITÉ DE LA ONU CONTRA LA DESAPARICIÓN FORZADA</w:t>
    </w:r>
    <w:r>
      <w:rPr>
        <w:lang w:val="es"/>
      </w:rPr>
      <w:tab/>
    </w:r>
  </w:p>
  <w:p w14:paraId="4BF80BD8" w14:textId="73337DE8" w:rsidR="0081658E" w:rsidRPr="00D22DFB" w:rsidRDefault="4EC737F3" w:rsidP="00D22DFB">
    <w:pPr>
      <w:tabs>
        <w:tab w:val="center" w:pos="4423"/>
        <w:tab w:val="right" w:pos="9923"/>
      </w:tabs>
      <w:rPr>
        <w:rFonts w:ascii="Amnesty Trade Gothic Cn" w:hAnsi="Amnesty Trade Gothic Cn"/>
      </w:rPr>
    </w:pPr>
    <w:r>
      <w:rPr>
        <w:rFonts w:ascii="Amnesty Trade Gothic Cn" w:hAnsi="Amnesty Trade Gothic Cn"/>
        <w:lang w:val="es"/>
      </w:rPr>
      <w:t>Amnistía Internacional</w:t>
    </w:r>
    <w:r>
      <w:rPr>
        <w:rFonts w:ascii="Amnesty Trade Gothic Cn" w:hAnsi="Amnesty Trade Gothic Cn"/>
        <w:lang w:val="es"/>
      </w:rPr>
      <w:tab/>
    </w:r>
    <w:r>
      <w:rPr>
        <w:rFonts w:ascii="Amnesty Trade Gothic Cn" w:hAnsi="Amnesty Trade Gothic Cn"/>
        <w:lang w:val="es"/>
      </w:rPr>
      <w:fldChar w:fldCharType="begin"/>
    </w:r>
    <w:r>
      <w:rPr>
        <w:rFonts w:ascii="Amnesty Trade Gothic Cn" w:hAnsi="Amnesty Trade Gothic Cn"/>
        <w:lang w:val="es"/>
      </w:rPr>
      <w:instrText xml:space="preserve"> PAGE   \* MERGEFORMAT </w:instrText>
    </w:r>
    <w:r>
      <w:rPr>
        <w:rFonts w:ascii="Amnesty Trade Gothic Cn" w:hAnsi="Amnesty Trade Gothic Cn"/>
        <w:lang w:val="es"/>
      </w:rPr>
      <w:fldChar w:fldCharType="separate"/>
    </w:r>
    <w:r>
      <w:rPr>
        <w:rFonts w:ascii="Amnesty Trade Gothic Cn" w:hAnsi="Amnesty Trade Gothic Cn"/>
        <w:lang w:val="es"/>
      </w:rPr>
      <w:t>2</w:t>
    </w:r>
    <w:r>
      <w:rPr>
        <w:rFonts w:ascii="Amnesty Trade Gothic Cn" w:hAnsi="Amnesty Trade Gothic Cn"/>
        <w:lang w:val="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CE0EA" w14:textId="77777777" w:rsidR="00B0008F" w:rsidRDefault="00B0008F" w:rsidP="003A7195">
      <w:r>
        <w:separator/>
      </w:r>
    </w:p>
  </w:footnote>
  <w:footnote w:type="continuationSeparator" w:id="0">
    <w:p w14:paraId="10A1F630" w14:textId="77777777" w:rsidR="00B0008F" w:rsidRDefault="00B0008F" w:rsidP="003A7195">
      <w:r>
        <w:continuationSeparator/>
      </w:r>
    </w:p>
  </w:footnote>
  <w:footnote w:type="continuationNotice" w:id="1">
    <w:p w14:paraId="11532963" w14:textId="77777777" w:rsidR="00B0008F" w:rsidRDefault="00B0008F"/>
  </w:footnote>
  <w:footnote w:id="2">
    <w:p w14:paraId="4C0BA681" w14:textId="7B9311C0" w:rsidR="0042007E" w:rsidRPr="00014E5B" w:rsidRDefault="0042007E">
      <w:pPr>
        <w:pStyle w:val="FootnoteText"/>
        <w:rPr>
          <w:lang w:val="es-ES"/>
        </w:rPr>
      </w:pPr>
      <w:r>
        <w:rPr>
          <w:rStyle w:val="FootnoteReference"/>
          <w:lang w:val="es"/>
        </w:rPr>
        <w:footnoteRef/>
      </w:r>
      <w:r>
        <w:rPr>
          <w:lang w:val="es"/>
        </w:rPr>
        <w:t xml:space="preserve"> Comité de las Naciones Unidas contra las Desapariciones Forzadas, Observaciones finales sobre el informe presentado por el Ecuador, CED/E/ECU/CO/1, 19 de abril de 2017, párr. 8. </w:t>
      </w:r>
    </w:p>
  </w:footnote>
  <w:footnote w:id="3">
    <w:p w14:paraId="0DBF760C" w14:textId="0DB78656" w:rsidR="007238F5" w:rsidRPr="00014E5B" w:rsidRDefault="007238F5">
      <w:pPr>
        <w:pStyle w:val="FootnoteText"/>
        <w:rPr>
          <w:lang w:val="es-ES"/>
        </w:rPr>
      </w:pPr>
      <w:r>
        <w:rPr>
          <w:rStyle w:val="FootnoteReference"/>
          <w:lang w:val="es"/>
        </w:rPr>
        <w:footnoteRef/>
      </w:r>
      <w:r>
        <w:rPr>
          <w:lang w:val="es"/>
        </w:rPr>
        <w:t xml:space="preserve"> Constitución de la República de Ecuador, arts. 66.c y 80. </w:t>
      </w:r>
    </w:p>
  </w:footnote>
  <w:footnote w:id="4">
    <w:p w14:paraId="34E645DC" w14:textId="7C0E5C7A" w:rsidR="00727C0C" w:rsidRPr="00014E5B" w:rsidRDefault="00727C0C">
      <w:pPr>
        <w:pStyle w:val="FootnoteText"/>
        <w:rPr>
          <w:lang w:val="es-ES"/>
        </w:rPr>
      </w:pPr>
      <w:r>
        <w:rPr>
          <w:rStyle w:val="FootnoteReference"/>
          <w:lang w:val="es"/>
        </w:rPr>
        <w:footnoteRef/>
      </w:r>
      <w:r>
        <w:rPr>
          <w:lang w:val="es"/>
        </w:rPr>
        <w:t xml:space="preserve"> Asamblea Nacional de la República del Ecuador, Código Orgánico Integral Penal (COIP), 10 de febrero de 2014, art. 84, “Desaparición Forzada”.</w:t>
      </w:r>
    </w:p>
  </w:footnote>
  <w:footnote w:id="5">
    <w:p w14:paraId="1472FC94" w14:textId="703AF29C" w:rsidR="00232606" w:rsidRPr="00014E5B" w:rsidRDefault="00232606" w:rsidP="00801DA7">
      <w:pPr>
        <w:pStyle w:val="FootnoteText"/>
        <w:rPr>
          <w:lang w:val="es-ES"/>
        </w:rPr>
      </w:pPr>
      <w:r>
        <w:rPr>
          <w:rStyle w:val="FootnoteReference"/>
          <w:lang w:val="es"/>
        </w:rPr>
        <w:footnoteRef/>
      </w:r>
      <w:r>
        <w:rPr>
          <w:lang w:val="es"/>
        </w:rPr>
        <w:t xml:space="preserve"> Comité Permanente por la Defensa de los Derechos Humanos de Guayaquil (CDH-GYE), “Reporte de desapariciones forzadas en Ecuador: Patrones identificados en intervenciones militares en casos de desaparición forzada en 2024”, 31 de enero de 2025. Disponible en: </w:t>
      </w:r>
      <w:hyperlink r:id="rId1" w:history="1">
        <w:r>
          <w:rPr>
            <w:rStyle w:val="Hyperlink"/>
            <w:lang w:val="es"/>
          </w:rPr>
          <w:t>https://www.cdh.org.ec/informes/653-reporte-de-desapariciones-forzadas-en-el-ecuador-31-01-2025</w:t>
        </w:r>
      </w:hyperlink>
      <w:r>
        <w:rPr>
          <w:lang w:val="es"/>
        </w:rPr>
        <w:t xml:space="preserve">  </w:t>
      </w:r>
    </w:p>
  </w:footnote>
  <w:footnote w:id="6">
    <w:p w14:paraId="61F51351" w14:textId="786863AA" w:rsidR="00BB499D" w:rsidRPr="00014E5B" w:rsidRDefault="00BB499D">
      <w:pPr>
        <w:pStyle w:val="FootnoteText"/>
        <w:rPr>
          <w:lang w:val="es-ES"/>
        </w:rPr>
      </w:pPr>
      <w:r>
        <w:rPr>
          <w:rStyle w:val="FootnoteReference"/>
          <w:lang w:val="es"/>
        </w:rPr>
        <w:footnoteRef/>
      </w:r>
      <w:r>
        <w:rPr>
          <w:lang w:val="es"/>
        </w:rPr>
        <w:t xml:space="preserve"> Amnistía Internacional, “Ecuador: Información para el Comité de Derechos Humanos de la ONU – 142 periodo de sesiones, del 14 de octubre al 8 de noviembre de 2024”, AMR 28/8531/2024, 16 de septiembre de 2024, págs. 3-7. Disponible en: </w:t>
      </w:r>
      <w:hyperlink r:id="rId2" w:history="1">
        <w:r>
          <w:rPr>
            <w:rStyle w:val="Hyperlink"/>
            <w:lang w:val="es"/>
          </w:rPr>
          <w:t>https://www.amnesty.org/es/documents/amr28/8531/2024/es/</w:t>
        </w:r>
      </w:hyperlink>
      <w:r>
        <w:rPr>
          <w:lang w:val="es"/>
        </w:rPr>
        <w:t xml:space="preserve"> </w:t>
      </w:r>
    </w:p>
  </w:footnote>
  <w:footnote w:id="7">
    <w:p w14:paraId="735DD63E" w14:textId="0DFD62E5" w:rsidR="00C07C10" w:rsidRPr="00014E5B" w:rsidRDefault="00C07C10">
      <w:pPr>
        <w:pStyle w:val="FootnoteText"/>
        <w:rPr>
          <w:lang w:val="es-ES"/>
        </w:rPr>
      </w:pPr>
      <w:r>
        <w:rPr>
          <w:rStyle w:val="FootnoteReference"/>
          <w:lang w:val="es"/>
        </w:rPr>
        <w:footnoteRef/>
      </w:r>
      <w:r>
        <w:rPr>
          <w:lang w:val="es"/>
        </w:rPr>
        <w:t xml:space="preserve"> La justificación para el despliegue de las Fuerzas Armadas se halla en el preámbulo de los Decretos 110, de 8 de enero de 2024, y 111, de 9 de enero de 2024, por los cuales el presidente de Ecuador declara un estado de excepción y un “conflicto armado interno” en respuesta a la violencia asociada con el crimen organizado. </w:t>
      </w:r>
    </w:p>
  </w:footnote>
  <w:footnote w:id="8">
    <w:p w14:paraId="53A569F7" w14:textId="2E1AF109" w:rsidR="00941775" w:rsidRPr="00014E5B" w:rsidRDefault="00941775">
      <w:pPr>
        <w:pStyle w:val="FootnoteText"/>
        <w:rPr>
          <w:lang w:val="es-ES"/>
        </w:rPr>
      </w:pPr>
      <w:r>
        <w:rPr>
          <w:rStyle w:val="FootnoteReference"/>
          <w:lang w:val="es"/>
        </w:rPr>
        <w:footnoteRef/>
      </w:r>
      <w:r>
        <w:rPr>
          <w:lang w:val="es"/>
        </w:rPr>
        <w:t xml:space="preserve"> Comité de Derechos Humanos de la ONU, Observaciones finales sobre el séptimo informe periódico del Ecuador, CCPR/C/ECU/CO/7, 4 de diciembre de 2024, párr. 9. </w:t>
      </w:r>
    </w:p>
  </w:footnote>
  <w:footnote w:id="9">
    <w:p w14:paraId="26CA1C07" w14:textId="6DF0805A" w:rsidR="001974FB" w:rsidRPr="00014E5B" w:rsidRDefault="001974FB">
      <w:pPr>
        <w:pStyle w:val="FootnoteText"/>
        <w:rPr>
          <w:lang w:val="es-ES"/>
        </w:rPr>
      </w:pPr>
      <w:r>
        <w:rPr>
          <w:rStyle w:val="FootnoteReference"/>
          <w:lang w:val="es"/>
        </w:rPr>
        <w:footnoteRef/>
      </w:r>
      <w:r>
        <w:rPr>
          <w:lang w:val="es"/>
        </w:rPr>
        <w:t xml:space="preserve"> Comité contra la Tortura de la ONU, Observaciones finales sobre el octavo informe periódico del Ecuador, CAT/C/ECU/CO/8, 16 de agosto de 2024, párr. 12. </w:t>
      </w:r>
    </w:p>
  </w:footnote>
  <w:footnote w:id="10">
    <w:p w14:paraId="0316A1D5" w14:textId="7D93B113" w:rsidR="00090B45" w:rsidRPr="00014E5B" w:rsidRDefault="00090B45" w:rsidP="00D30775">
      <w:pPr>
        <w:pStyle w:val="FootnoteText"/>
        <w:rPr>
          <w:lang w:val="es-ES"/>
        </w:rPr>
      </w:pPr>
      <w:r>
        <w:rPr>
          <w:rStyle w:val="FootnoteReference"/>
          <w:lang w:val="es"/>
        </w:rPr>
        <w:footnoteRef/>
      </w:r>
      <w:r>
        <w:rPr>
          <w:lang w:val="es"/>
        </w:rPr>
        <w:t xml:space="preserve"> Fiscalía General de Estado, Asunto: RESPUESTA A SEGUIMIENTO DE ALERTA EMITIDA POR AMNISTÍA INTERNACIONAL SOBRE CASOS DE DESAPARICIÓN FORZADA, Oficio No. FGE-CGAJP-DDHPC-2025-003133-O Quito, 11 de abril de 2025.</w:t>
      </w:r>
    </w:p>
  </w:footnote>
  <w:footnote w:id="11">
    <w:p w14:paraId="641893B2" w14:textId="15D128DC" w:rsidR="00A553A3" w:rsidRPr="00014E5B" w:rsidRDefault="00A553A3">
      <w:pPr>
        <w:pStyle w:val="FootnoteText"/>
        <w:rPr>
          <w:lang w:val="es-ES"/>
        </w:rPr>
      </w:pPr>
      <w:r>
        <w:rPr>
          <w:rStyle w:val="FootnoteReference"/>
          <w:lang w:val="es"/>
        </w:rPr>
        <w:footnoteRef/>
      </w:r>
      <w:r>
        <w:rPr>
          <w:lang w:val="es"/>
        </w:rPr>
        <w:t xml:space="preserve"> Para el resto de los casos, la Fiscalía General del Estado no ha abierto ninguna investigación, o no está investigando la denuncia como desaparición forzada, sino como otro delito.</w:t>
      </w:r>
    </w:p>
  </w:footnote>
  <w:footnote w:id="12">
    <w:p w14:paraId="2042DCA2" w14:textId="47542793" w:rsidR="00D74B0D" w:rsidRPr="00014E5B" w:rsidRDefault="00D74B0D" w:rsidP="00D74B0D">
      <w:pPr>
        <w:pStyle w:val="FootnoteText"/>
        <w:rPr>
          <w:lang w:val="es-ES"/>
        </w:rPr>
      </w:pPr>
      <w:r>
        <w:rPr>
          <w:rStyle w:val="FootnoteReference"/>
          <w:lang w:val="es"/>
        </w:rPr>
        <w:footnoteRef/>
      </w:r>
      <w:r>
        <w:rPr>
          <w:lang w:val="es"/>
        </w:rPr>
        <w:t xml:space="preserve"> Comité de la ONU contra la Desaparición Forzada, Informe sobre las peticiones de acción urgente presentadas en virtud del artículo</w:t>
      </w:r>
      <w:r>
        <w:rPr>
          <w:rFonts w:ascii="Arial" w:hAnsi="Arial"/>
          <w:lang w:val="es"/>
        </w:rPr>
        <w:t> </w:t>
      </w:r>
      <w:r>
        <w:rPr>
          <w:lang w:val="es"/>
        </w:rPr>
        <w:t>30 de la Convención, versión preliminar, 4 de abril de 2025, párr. 32.</w:t>
      </w:r>
    </w:p>
  </w:footnote>
  <w:footnote w:id="13">
    <w:p w14:paraId="53EC29E3" w14:textId="05134AB8" w:rsidR="00F2390A" w:rsidRPr="00014E5B" w:rsidRDefault="00F2390A">
      <w:pPr>
        <w:pStyle w:val="FootnoteText"/>
        <w:rPr>
          <w:lang w:val="es-ES"/>
        </w:rPr>
      </w:pPr>
      <w:r>
        <w:rPr>
          <w:rStyle w:val="FootnoteReference"/>
          <w:lang w:val="es"/>
        </w:rPr>
        <w:footnoteRef/>
      </w:r>
      <w:r>
        <w:rPr>
          <w:lang w:val="es"/>
        </w:rPr>
        <w:t xml:space="preserve"> El CDH-GYE ha compartido con Amnistía Internacional el perfil y la identidad de las víctimas con el consentimiento de las familias. Pueden encontrar más información disponible públicamente aquí: Comité Permanente por la Defensa de los Derechos Humanos de Guayaquil (CDH-GYE), “Reporte de desapariciones forzadas en Ecuador: Patrones identificados en intervenciones militares en casos de desaparición forzada en 2024”, 31 de enero de 2025, </w:t>
      </w:r>
      <w:hyperlink r:id="rId3" w:history="1">
        <w:r>
          <w:rPr>
            <w:rStyle w:val="Hyperlink"/>
            <w:lang w:val="es"/>
          </w:rPr>
          <w:t>https://www.cdh.org.ec/informes/653-reporte-de-desapariciones-forzadas-en-el-ecuador-31-01-2025</w:t>
        </w:r>
      </w:hyperlink>
      <w:r>
        <w:rPr>
          <w:lang w:val="es"/>
        </w:rPr>
        <w:t xml:space="preserve">  </w:t>
      </w:r>
    </w:p>
  </w:footnote>
  <w:footnote w:id="14">
    <w:p w14:paraId="451FE567" w14:textId="422CCE35" w:rsidR="00094429" w:rsidRPr="00014E5B" w:rsidRDefault="00094429">
      <w:pPr>
        <w:pStyle w:val="FootnoteText"/>
        <w:rPr>
          <w:lang w:val="es"/>
        </w:rPr>
      </w:pPr>
      <w:r>
        <w:rPr>
          <w:rStyle w:val="FootnoteReference"/>
          <w:lang w:val="es"/>
        </w:rPr>
        <w:footnoteRef/>
      </w:r>
      <w:r>
        <w:rPr>
          <w:lang w:val="es"/>
        </w:rPr>
        <w:t xml:space="preserve"> Tras la declaración inicial del estado de excepción a nivel nacional, las nuevas declaraciones se han centrado en provincias específicas, sobre todo en las de la región costera de Ecuador. A modo de ejemplo, véase: Reuters, “Ecuador's Noboa declares new security state of emergency”, 22 de mayo de 2024: </w:t>
      </w:r>
      <w:hyperlink r:id="rId4" w:history="1">
        <w:r>
          <w:rPr>
            <w:rStyle w:val="Hyperlink"/>
            <w:lang w:val="es"/>
          </w:rPr>
          <w:t>https://www.reuters.com/world/americas/ecuadors-noboa-declares-new-security-state-emergency-2024-05-22/</w:t>
        </w:r>
      </w:hyperlink>
      <w:r>
        <w:rPr>
          <w:lang w:val="es"/>
        </w:rPr>
        <w:t xml:space="preserve"> </w:t>
      </w:r>
    </w:p>
  </w:footnote>
  <w:footnote w:id="15">
    <w:p w14:paraId="7F1A4A99" w14:textId="6C504949" w:rsidR="00F54708" w:rsidRPr="00014E5B" w:rsidRDefault="00F54708">
      <w:pPr>
        <w:pStyle w:val="FootnoteText"/>
        <w:rPr>
          <w:lang w:val="es-ES"/>
        </w:rPr>
      </w:pPr>
      <w:r>
        <w:rPr>
          <w:rStyle w:val="FootnoteReference"/>
          <w:lang w:val="es"/>
        </w:rPr>
        <w:footnoteRef/>
      </w:r>
      <w:r>
        <w:rPr>
          <w:lang w:val="es"/>
        </w:rPr>
        <w:t xml:space="preserve"> Véase, por ejemplo: Amnistía Internacional, “Informe 2024/25, Brasil: Uso excesivo de la fuerza”, disponible en: </w:t>
      </w:r>
      <w:hyperlink r:id="rId5" w:history="1">
        <w:r>
          <w:rPr>
            <w:rStyle w:val="Hyperlink"/>
            <w:lang w:val="es"/>
          </w:rPr>
          <w:t>https://www.amnesty.org/es/location/americas/south-america/brazil/report-brazil/</w:t>
        </w:r>
      </w:hyperlink>
      <w:r>
        <w:rPr>
          <w:lang w:val="es"/>
        </w:rPr>
        <w:t xml:space="preserve"> </w:t>
      </w:r>
    </w:p>
  </w:footnote>
  <w:footnote w:id="16">
    <w:p w14:paraId="138C28C6" w14:textId="1694F3AA" w:rsidR="00E1614E" w:rsidRPr="00014E5B" w:rsidRDefault="00E1614E">
      <w:pPr>
        <w:pStyle w:val="FootnoteText"/>
        <w:rPr>
          <w:lang w:val="es-ES"/>
        </w:rPr>
      </w:pPr>
      <w:r>
        <w:rPr>
          <w:rStyle w:val="FootnoteReference"/>
          <w:lang w:val="es"/>
        </w:rPr>
        <w:footnoteRef/>
      </w:r>
      <w:r>
        <w:rPr>
          <w:lang w:val="es"/>
        </w:rPr>
        <w:t xml:space="preserve"> Comité de la ONU contra la Desaparición Forzada, Informe sobre las peticiones de acción urgente presentadas en virtud del artículo</w:t>
      </w:r>
      <w:r>
        <w:rPr>
          <w:rFonts w:ascii="Arial" w:hAnsi="Arial"/>
          <w:lang w:val="es"/>
        </w:rPr>
        <w:t> </w:t>
      </w:r>
      <w:r>
        <w:rPr>
          <w:lang w:val="es"/>
        </w:rPr>
        <w:t>30 de la Convención, versión preliminar, 4 de abril de 2025, párr. 57.</w:t>
      </w:r>
    </w:p>
  </w:footnote>
  <w:footnote w:id="17">
    <w:p w14:paraId="0C56477D" w14:textId="33CC1B8E" w:rsidR="007914F6" w:rsidRPr="0094639A" w:rsidRDefault="007914F6">
      <w:pPr>
        <w:pStyle w:val="FootnoteText"/>
        <w:rPr>
          <w:lang w:val="es-ES"/>
        </w:rPr>
      </w:pPr>
      <w:r>
        <w:rPr>
          <w:rStyle w:val="FootnoteReference"/>
          <w:lang w:val="es"/>
        </w:rPr>
        <w:footnoteRef/>
      </w:r>
      <w:r>
        <w:rPr>
          <w:lang w:val="es"/>
        </w:rPr>
        <w:t xml:space="preserve"> Comisión Interamericana de Derechos Humanos, “CIDH condena desaparición y posterior asesinato de un niño y tres adolescentes afrodescendientes en Ecuador”, 22 de enero de 2025. Disponible en: </w:t>
      </w:r>
      <w:hyperlink r:id="rId6" w:history="1">
        <w:r>
          <w:rPr>
            <w:rStyle w:val="Hyperlink"/>
            <w:lang w:val="es"/>
          </w:rPr>
          <w:t>CIDH condena desaparición y posterior asesinato de un niño y tres adolescentes afrodescendientes en Ecuador</w:t>
        </w:r>
      </w:hyperlink>
      <w:r w:rsidR="0094639A" w:rsidRPr="0094639A">
        <w:rPr>
          <w:lang w:val="es-ES"/>
        </w:rPr>
        <w:t>.</w:t>
      </w:r>
    </w:p>
  </w:footnote>
  <w:footnote w:id="18">
    <w:p w14:paraId="662FFDCC" w14:textId="14B8BD23" w:rsidR="00355803" w:rsidRPr="00014E5B" w:rsidRDefault="00355803">
      <w:pPr>
        <w:pStyle w:val="FootnoteText"/>
        <w:rPr>
          <w:lang w:val="es-ES"/>
        </w:rPr>
      </w:pPr>
      <w:r>
        <w:rPr>
          <w:rStyle w:val="FootnoteReference"/>
          <w:lang w:val="es"/>
        </w:rPr>
        <w:footnoteRef/>
      </w:r>
      <w:r>
        <w:rPr>
          <w:lang w:val="es"/>
        </w:rPr>
        <w:t xml:space="preserve"> Fiscalía General del Estado, Resolución No. 063-FGE-2023 mediante la cual se resuelve la creación de la unidad especializada en la investigación del uso ilegítimo de la fuerza, 20 de septiembre de 2023.</w:t>
      </w:r>
    </w:p>
  </w:footnote>
  <w:footnote w:id="19">
    <w:p w14:paraId="018DF285" w14:textId="5FE36AC5" w:rsidR="00A37640" w:rsidRPr="00014E5B" w:rsidRDefault="00A37640">
      <w:pPr>
        <w:pStyle w:val="FootnoteText"/>
        <w:rPr>
          <w:lang w:val="es-ES"/>
        </w:rPr>
      </w:pPr>
      <w:r>
        <w:rPr>
          <w:rStyle w:val="FootnoteReference"/>
          <w:lang w:val="es"/>
        </w:rPr>
        <w:footnoteRef/>
      </w:r>
      <w:r>
        <w:rPr>
          <w:lang w:val="es"/>
        </w:rPr>
        <w:t xml:space="preserve"> Fiscalía General del Estado, Resolución No. 063-FGE-2023, Art. 1. </w:t>
      </w:r>
    </w:p>
  </w:footnote>
  <w:footnote w:id="20">
    <w:p w14:paraId="6CDE05A9" w14:textId="5FCD97BD" w:rsidR="00784C5A" w:rsidRPr="00014E5B" w:rsidRDefault="00784C5A" w:rsidP="00B26956">
      <w:pPr>
        <w:pStyle w:val="FootnoteText"/>
        <w:rPr>
          <w:lang w:val="es-ES"/>
        </w:rPr>
      </w:pPr>
      <w:r>
        <w:rPr>
          <w:rStyle w:val="FootnoteReference"/>
          <w:lang w:val="es"/>
        </w:rPr>
        <w:footnoteRef/>
      </w:r>
      <w:r>
        <w:rPr>
          <w:lang w:val="es"/>
        </w:rPr>
        <w:t xml:space="preserve"> Fiscalía General del Estado, “PROTOCOLO DE ACTUACIÓN INTERINSTITUCIONAL PARA EL REGISTRO DE DENUNCIA, INVESTIGACIÓN, LOCALIZACIÓN Y CIERRE DE CASOS DE PERSONAS DESAPARECIDAS”, 2021. </w:t>
      </w:r>
    </w:p>
  </w:footnote>
  <w:footnote w:id="21">
    <w:p w14:paraId="31629471" w14:textId="22A1DAD5" w:rsidR="2491E27C" w:rsidRPr="00014E5B" w:rsidRDefault="2491E27C" w:rsidP="00D22DFB">
      <w:pPr>
        <w:pStyle w:val="FootnoteText"/>
        <w:rPr>
          <w:lang w:val="es-ES"/>
        </w:rPr>
      </w:pPr>
      <w:r>
        <w:rPr>
          <w:vertAlign w:val="superscript"/>
          <w:lang w:val="es"/>
        </w:rPr>
        <w:footnoteRef/>
      </w:r>
      <w:r>
        <w:rPr>
          <w:vertAlign w:val="superscript"/>
          <w:lang w:val="es"/>
        </w:rPr>
        <w:t xml:space="preserve"> </w:t>
      </w:r>
      <w:r>
        <w:rPr>
          <w:lang w:val="es"/>
        </w:rPr>
        <w:t xml:space="preserve">El Código Penal ecuatoriano distingue entre el delito de “desaparición forzada”, que implica la participación de agentes estatales, </w:t>
      </w:r>
      <w:bookmarkStart w:id="13" w:name="_Int_QkkFcInd"/>
      <w:r>
        <w:rPr>
          <w:lang w:val="es"/>
        </w:rPr>
        <w:t>y el de “desapariciones involuntarias”</w:t>
      </w:r>
      <w:bookmarkEnd w:id="13"/>
      <w:r>
        <w:rPr>
          <w:lang w:val="es"/>
        </w:rPr>
        <w:t>, que se aplica a las desapariciones cometidas por agentes no estatales. El artículo 163.1 define este delito como: “La persona que prive de la libertad, retenga, arrebate, desaparezca, traslade a lugar distinto a una o más personas, en contra de su voluntad y niegue</w:t>
      </w:r>
    </w:p>
    <w:p w14:paraId="370307B2" w14:textId="58CA4C5B" w:rsidR="2491E27C" w:rsidRPr="00014E5B" w:rsidRDefault="43A66AE2" w:rsidP="00D22DFB">
      <w:pPr>
        <w:pStyle w:val="FootnoteText"/>
        <w:rPr>
          <w:lang w:val="es-ES"/>
        </w:rPr>
      </w:pPr>
      <w:r>
        <w:rPr>
          <w:lang w:val="es"/>
        </w:rPr>
        <w:t>información de su paradero o destino [...]”.</w:t>
      </w:r>
    </w:p>
  </w:footnote>
  <w:footnote w:id="22">
    <w:p w14:paraId="0CE58011" w14:textId="67BBFC82" w:rsidR="00326625" w:rsidRPr="00014E5B" w:rsidRDefault="00326625" w:rsidP="00A356AA">
      <w:pPr>
        <w:pStyle w:val="FootnoteText"/>
        <w:rPr>
          <w:lang w:val="es-ES"/>
        </w:rPr>
      </w:pPr>
      <w:r>
        <w:rPr>
          <w:rStyle w:val="FootnoteReference"/>
          <w:lang w:val="es"/>
        </w:rPr>
        <w:footnoteRef/>
      </w:r>
      <w:r>
        <w:rPr>
          <w:lang w:val="es"/>
        </w:rPr>
        <w:t xml:space="preserve"> Para negar información, el Comando Conjunto de las Fuerzas Armadas se ha remitido a</w:t>
      </w:r>
      <w:r w:rsidR="00932975">
        <w:rPr>
          <w:lang w:val="es"/>
        </w:rPr>
        <w:t xml:space="preserve"> la </w:t>
      </w:r>
      <w:bookmarkStart w:id="14" w:name="_Hlk202178140"/>
      <w:r w:rsidR="00932975">
        <w:rPr>
          <w:lang w:val="es"/>
        </w:rPr>
        <w:t>“Directiva</w:t>
      </w:r>
      <w:r>
        <w:rPr>
          <w:lang w:val="es"/>
        </w:rPr>
        <w:t xml:space="preserve"> MDN-SUF.2024-002-S</w:t>
      </w:r>
      <w:r w:rsidR="00932975">
        <w:rPr>
          <w:lang w:val="es"/>
        </w:rPr>
        <w:t xml:space="preserve"> con la cual se emiten los l</w:t>
      </w:r>
      <w:r>
        <w:rPr>
          <w:lang w:val="es"/>
        </w:rPr>
        <w:t xml:space="preserve">ineamientos políticos estratégicos para la planificación estratégica militar al Comando Conjunto de las Fuerzas Armadas, en cumplimiento </w:t>
      </w:r>
      <w:r w:rsidR="00932975">
        <w:rPr>
          <w:lang w:val="es"/>
        </w:rPr>
        <w:t xml:space="preserve">al </w:t>
      </w:r>
      <w:r>
        <w:rPr>
          <w:lang w:val="es"/>
        </w:rPr>
        <w:t xml:space="preserve">decreto ejecutivo </w:t>
      </w:r>
      <w:r w:rsidR="00932975">
        <w:rPr>
          <w:lang w:val="es"/>
        </w:rPr>
        <w:t>nº</w:t>
      </w:r>
      <w:r>
        <w:rPr>
          <w:lang w:val="es"/>
        </w:rPr>
        <w:t xml:space="preserve"> 218 del 7 de abril de 2024</w:t>
      </w:r>
      <w:r w:rsidR="00932975">
        <w:rPr>
          <w:lang w:val="es"/>
        </w:rPr>
        <w:t>,</w:t>
      </w:r>
      <w:r>
        <w:rPr>
          <w:lang w:val="es"/>
        </w:rPr>
        <w:t xml:space="preserve"> en el que se reconoce la persistencia de</w:t>
      </w:r>
      <w:r w:rsidR="00932975">
        <w:rPr>
          <w:lang w:val="es"/>
        </w:rPr>
        <w:t xml:space="preserve"> un</w:t>
      </w:r>
      <w:r>
        <w:rPr>
          <w:lang w:val="es"/>
        </w:rPr>
        <w:t xml:space="preserve"> conflicto armado interno a cargo de grupos armados organizados.</w:t>
      </w:r>
      <w:r w:rsidR="00932975">
        <w:rPr>
          <w:lang w:val="es"/>
        </w:rPr>
        <w:t>”</w:t>
      </w:r>
      <w:bookmarkEnd w:id="14"/>
    </w:p>
  </w:footnote>
  <w:footnote w:id="23">
    <w:p w14:paraId="06B59939" w14:textId="38BE4EAC" w:rsidR="00A55C75" w:rsidRPr="00014E5B" w:rsidRDefault="00A55C75">
      <w:pPr>
        <w:pStyle w:val="FootnoteText"/>
        <w:rPr>
          <w:lang w:val="es-ES"/>
        </w:rPr>
      </w:pPr>
      <w:r>
        <w:rPr>
          <w:rStyle w:val="FootnoteReference"/>
          <w:lang w:val="es"/>
        </w:rPr>
        <w:footnoteRef/>
      </w:r>
      <w:r>
        <w:rPr>
          <w:lang w:val="es"/>
        </w:rPr>
        <w:t xml:space="preserve"> Fiscalía General del Estado, Resolución No. 063-FGE-2023, Art. 2 - SEDES.</w:t>
      </w:r>
    </w:p>
  </w:footnote>
  <w:footnote w:id="24">
    <w:p w14:paraId="6E100933" w14:textId="4013637C" w:rsidR="009E1926" w:rsidRPr="00014E5B" w:rsidRDefault="009E1926" w:rsidP="008F5FD3">
      <w:pPr>
        <w:pStyle w:val="FootnoteText"/>
        <w:rPr>
          <w:lang w:val="es-ES"/>
        </w:rPr>
      </w:pPr>
      <w:r>
        <w:rPr>
          <w:rStyle w:val="FootnoteReference"/>
          <w:lang w:val="es"/>
        </w:rPr>
        <w:footnoteRef/>
      </w:r>
      <w:r>
        <w:rPr>
          <w:lang w:val="es"/>
        </w:rPr>
        <w:t xml:space="preserve"> Comité contra la Desaparición Forzada, “Información complementaria presentada por el Ecuador con arreglo al artículo 29, párrafo 4, de la Convención”, CED/C/ECU/AI/1, 25 de abril de 2023, párr. 79.</w:t>
      </w:r>
    </w:p>
  </w:footnote>
  <w:footnote w:id="25">
    <w:p w14:paraId="4A344C2A" w14:textId="1365B2C9" w:rsidR="00C47956" w:rsidRPr="00014E5B" w:rsidRDefault="00C47956">
      <w:pPr>
        <w:pStyle w:val="FootnoteText"/>
        <w:rPr>
          <w:lang w:val="es-ES"/>
        </w:rPr>
      </w:pPr>
      <w:r>
        <w:rPr>
          <w:rStyle w:val="FootnoteReference"/>
          <w:lang w:val="es"/>
        </w:rPr>
        <w:footnoteRef/>
      </w:r>
      <w:r>
        <w:rPr>
          <w:lang w:val="es"/>
        </w:rPr>
        <w:t xml:space="preserve"> Registro Oficial de Ecuador, “Ley Orgánica de Actuación en Casos de Personas Desaparecidas y Extraviadas”, 28 de enero de 2020.</w:t>
      </w:r>
    </w:p>
  </w:footnote>
  <w:footnote w:id="26">
    <w:p w14:paraId="4716C31A" w14:textId="0A55A9F4" w:rsidR="007B5154" w:rsidRPr="00014E5B" w:rsidRDefault="007B5154">
      <w:pPr>
        <w:pStyle w:val="FootnoteText"/>
        <w:rPr>
          <w:lang w:val="es-ES"/>
        </w:rPr>
      </w:pPr>
      <w:r>
        <w:rPr>
          <w:rStyle w:val="FootnoteReference"/>
          <w:lang w:val="es"/>
        </w:rPr>
        <w:footnoteRef/>
      </w:r>
      <w:r>
        <w:rPr>
          <w:lang w:val="es"/>
        </w:rPr>
        <w:t xml:space="preserve"> Ley Orgánica de Actuación en Casos de Personas Desaparecidas y Extraviadas”, arts. 3 y 7.</w:t>
      </w:r>
    </w:p>
  </w:footnote>
  <w:footnote w:id="27">
    <w:p w14:paraId="3F9BEFF3" w14:textId="09F154FA" w:rsidR="00562D5B" w:rsidRPr="00014E5B" w:rsidRDefault="00562D5B">
      <w:pPr>
        <w:pStyle w:val="FootnoteText"/>
        <w:rPr>
          <w:lang w:val="es-ES"/>
        </w:rPr>
      </w:pPr>
      <w:r>
        <w:rPr>
          <w:rStyle w:val="FootnoteReference"/>
          <w:lang w:val="es"/>
        </w:rPr>
        <w:footnoteRef/>
      </w:r>
      <w:r>
        <w:rPr>
          <w:lang w:val="es"/>
        </w:rPr>
        <w:t xml:space="preserve"> Ley Orgánica de Actuación en Casos de Personas Desaparecidas y Extraviadas”, arts. 8 y 16.</w:t>
      </w:r>
    </w:p>
  </w:footnote>
  <w:footnote w:id="28">
    <w:p w14:paraId="28C9062A" w14:textId="358AE38F" w:rsidR="00AC5DBE" w:rsidRPr="00014E5B" w:rsidRDefault="00AC5DBE">
      <w:pPr>
        <w:pStyle w:val="FootnoteText"/>
        <w:rPr>
          <w:b/>
          <w:bCs/>
          <w:lang w:val="es-ES"/>
        </w:rPr>
      </w:pPr>
      <w:r>
        <w:rPr>
          <w:rStyle w:val="FootnoteReference"/>
          <w:lang w:val="es"/>
        </w:rPr>
        <w:footnoteRef/>
      </w:r>
      <w:r>
        <w:rPr>
          <w:lang w:val="es"/>
        </w:rPr>
        <w:t xml:space="preserve"> Amnistía Internacional, “Ecuador: Desaparecidos 23 hombres; los esfuerzos de búsqueda paralizados”, AMR 28/9031/2025, 12 de febrero de 2025. Disponible en: https://www.amnesty.org/es/documents/amr28/9031/2025/es/</w:t>
      </w:r>
    </w:p>
  </w:footnote>
  <w:footnote w:id="29">
    <w:p w14:paraId="2992F6EB" w14:textId="29DC6C23" w:rsidR="005530B5" w:rsidRPr="00014E5B" w:rsidRDefault="005530B5">
      <w:pPr>
        <w:pStyle w:val="FootnoteText"/>
        <w:rPr>
          <w:lang w:val="es-ES"/>
        </w:rPr>
      </w:pPr>
      <w:r>
        <w:rPr>
          <w:rStyle w:val="FootnoteReference"/>
          <w:lang w:val="es"/>
        </w:rPr>
        <w:footnoteRef/>
      </w:r>
      <w:r>
        <w:rPr>
          <w:lang w:val="es"/>
        </w:rPr>
        <w:t xml:space="preserve"> Comité de la ONU contra la Desaparición Forzada, Informe sobre las peticiones de acción urgente presentadas en virtud del artículo</w:t>
      </w:r>
      <w:r>
        <w:rPr>
          <w:rFonts w:ascii="Arial" w:hAnsi="Arial"/>
          <w:lang w:val="es"/>
        </w:rPr>
        <w:t> </w:t>
      </w:r>
      <w:r>
        <w:rPr>
          <w:lang w:val="es"/>
        </w:rPr>
        <w:t>30 de la Convención, versión preliminar, 4 de abril de 2025, párr. 60.</w:t>
      </w:r>
    </w:p>
  </w:footnote>
  <w:footnote w:id="30">
    <w:p w14:paraId="73BC0F37" w14:textId="0FA0A444" w:rsidR="4FE5A61F" w:rsidRPr="00014E5B" w:rsidRDefault="4FE5A61F" w:rsidP="72EDA37C">
      <w:pPr>
        <w:pStyle w:val="FootnoteText"/>
        <w:rPr>
          <w:rFonts w:eastAsia="Amnesty Trade Gothic Light" w:cs="Amnesty Trade Gothic Light"/>
          <w:color w:val="4A4A4A"/>
          <w:szCs w:val="14"/>
          <w:lang w:val="es-ES"/>
        </w:rPr>
      </w:pPr>
      <w:r>
        <w:rPr>
          <w:vertAlign w:val="superscript"/>
          <w:lang w:val="es"/>
        </w:rPr>
        <w:footnoteRef/>
      </w:r>
      <w:r>
        <w:rPr>
          <w:lang w:val="es"/>
        </w:rPr>
        <w:t xml:space="preserve"> Según se establece en el artículo 4 del Pacto Internacional de Derechos Civiles y Políticos, que determina que “</w:t>
      </w:r>
      <w:r>
        <w:rPr>
          <w:color w:val="4A4A4A"/>
          <w:szCs w:val="14"/>
          <w:lang w:val="es"/>
        </w:rPr>
        <w:t>En situaciones excepcionales que pongan en peligro la vida de la nación y cuya existencia haya sido proclamada oficialmente, los Estados Partes en el presente Pacto podrán adoptar disposiciones que, en la medida estrictamente limitada a las exigencias de la situación, suspendan las obligaciones contraídas en virtud de este Pacto, siempre que tales disposiciones no sean incompatibles con las demás obligaciones que les impone el derecho internacional y no entrañen discriminación alguna fundada únicamente en motivos de raza, color, sexo, idioma, religión u origen social”.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EC737F3" w14:paraId="5ABDA8F1" w14:textId="77777777" w:rsidTr="4EC737F3">
      <w:trPr>
        <w:trHeight w:val="300"/>
      </w:trPr>
      <w:tc>
        <w:tcPr>
          <w:tcW w:w="3020" w:type="dxa"/>
        </w:tcPr>
        <w:p w14:paraId="187002B9" w14:textId="27E6F2CB" w:rsidR="4EC737F3" w:rsidRDefault="4EC737F3" w:rsidP="4EC737F3">
          <w:pPr>
            <w:pStyle w:val="Header"/>
            <w:ind w:left="-115"/>
          </w:pPr>
        </w:p>
      </w:tc>
      <w:tc>
        <w:tcPr>
          <w:tcW w:w="3020" w:type="dxa"/>
        </w:tcPr>
        <w:p w14:paraId="4D405CD6" w14:textId="09A0638A" w:rsidR="4EC737F3" w:rsidRDefault="4EC737F3" w:rsidP="4EC737F3">
          <w:pPr>
            <w:pStyle w:val="Header"/>
            <w:jc w:val="center"/>
          </w:pPr>
        </w:p>
      </w:tc>
      <w:tc>
        <w:tcPr>
          <w:tcW w:w="3020" w:type="dxa"/>
        </w:tcPr>
        <w:p w14:paraId="5D58E7C6" w14:textId="256B69A0" w:rsidR="4EC737F3" w:rsidRDefault="4EC737F3" w:rsidP="4EC737F3">
          <w:pPr>
            <w:pStyle w:val="Header"/>
            <w:ind w:right="-115"/>
            <w:jc w:val="right"/>
          </w:pPr>
        </w:p>
      </w:tc>
    </w:tr>
  </w:tbl>
  <w:p w14:paraId="28BACBA5" w14:textId="1DB1DBD6" w:rsidR="4EC737F3" w:rsidRDefault="4EC737F3" w:rsidP="4EC737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EC737F3" w14:paraId="66E63E7D" w14:textId="77777777" w:rsidTr="4EC737F3">
      <w:trPr>
        <w:trHeight w:val="300"/>
      </w:trPr>
      <w:tc>
        <w:tcPr>
          <w:tcW w:w="3020" w:type="dxa"/>
        </w:tcPr>
        <w:p w14:paraId="67867289" w14:textId="4DC8A199" w:rsidR="4EC737F3" w:rsidRDefault="4EC737F3" w:rsidP="4EC737F3">
          <w:pPr>
            <w:pStyle w:val="Header"/>
            <w:ind w:left="-115"/>
          </w:pPr>
        </w:p>
      </w:tc>
      <w:tc>
        <w:tcPr>
          <w:tcW w:w="3020" w:type="dxa"/>
        </w:tcPr>
        <w:p w14:paraId="02DAB487" w14:textId="68D72DCC" w:rsidR="4EC737F3" w:rsidRDefault="4EC737F3" w:rsidP="4EC737F3">
          <w:pPr>
            <w:pStyle w:val="Header"/>
            <w:jc w:val="center"/>
          </w:pPr>
        </w:p>
      </w:tc>
      <w:tc>
        <w:tcPr>
          <w:tcW w:w="3020" w:type="dxa"/>
        </w:tcPr>
        <w:p w14:paraId="54FCC92C" w14:textId="1E0F78C7" w:rsidR="4EC737F3" w:rsidRDefault="4EC737F3" w:rsidP="4EC737F3">
          <w:pPr>
            <w:pStyle w:val="Header"/>
            <w:ind w:right="-115"/>
            <w:jc w:val="right"/>
          </w:pPr>
        </w:p>
      </w:tc>
    </w:tr>
  </w:tbl>
  <w:p w14:paraId="7E2D8620" w14:textId="6D0D0AC6" w:rsidR="4EC737F3" w:rsidRDefault="4EC737F3" w:rsidP="4EC737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EC737F3" w14:paraId="5AC66230" w14:textId="77777777" w:rsidTr="4EC737F3">
      <w:trPr>
        <w:trHeight w:val="300"/>
      </w:trPr>
      <w:tc>
        <w:tcPr>
          <w:tcW w:w="3020" w:type="dxa"/>
        </w:tcPr>
        <w:p w14:paraId="07F2EEFB" w14:textId="3C6BD3C3" w:rsidR="4EC737F3" w:rsidRDefault="4EC737F3" w:rsidP="4EC737F3">
          <w:pPr>
            <w:pStyle w:val="Header"/>
            <w:ind w:left="-115"/>
          </w:pPr>
        </w:p>
      </w:tc>
      <w:tc>
        <w:tcPr>
          <w:tcW w:w="3020" w:type="dxa"/>
        </w:tcPr>
        <w:p w14:paraId="40332F91" w14:textId="73E30B0E" w:rsidR="4EC737F3" w:rsidRDefault="4EC737F3" w:rsidP="4EC737F3">
          <w:pPr>
            <w:pStyle w:val="Header"/>
            <w:jc w:val="center"/>
          </w:pPr>
        </w:p>
      </w:tc>
      <w:tc>
        <w:tcPr>
          <w:tcW w:w="3020" w:type="dxa"/>
        </w:tcPr>
        <w:p w14:paraId="0FDC7996" w14:textId="1A3A0347" w:rsidR="4EC737F3" w:rsidRDefault="4EC737F3" w:rsidP="4EC737F3">
          <w:pPr>
            <w:pStyle w:val="Header"/>
            <w:ind w:right="-115"/>
            <w:jc w:val="right"/>
          </w:pPr>
        </w:p>
      </w:tc>
    </w:tr>
  </w:tbl>
  <w:p w14:paraId="2A1FC0DE" w14:textId="36A0F785" w:rsidR="4EC737F3" w:rsidRDefault="4EC737F3" w:rsidP="4EC737F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EC737F3" w14:paraId="1EAEF835" w14:textId="77777777" w:rsidTr="4EC737F3">
      <w:trPr>
        <w:trHeight w:val="300"/>
      </w:trPr>
      <w:tc>
        <w:tcPr>
          <w:tcW w:w="3020" w:type="dxa"/>
        </w:tcPr>
        <w:p w14:paraId="561CBF28" w14:textId="53313E37" w:rsidR="4EC737F3" w:rsidRDefault="4EC737F3" w:rsidP="4EC737F3">
          <w:pPr>
            <w:pStyle w:val="Header"/>
            <w:ind w:left="-115"/>
          </w:pPr>
        </w:p>
      </w:tc>
      <w:tc>
        <w:tcPr>
          <w:tcW w:w="3020" w:type="dxa"/>
        </w:tcPr>
        <w:p w14:paraId="55879A28" w14:textId="4D9B051B" w:rsidR="4EC737F3" w:rsidRDefault="4EC737F3" w:rsidP="4EC737F3">
          <w:pPr>
            <w:pStyle w:val="Header"/>
            <w:jc w:val="center"/>
          </w:pPr>
        </w:p>
      </w:tc>
      <w:tc>
        <w:tcPr>
          <w:tcW w:w="3020" w:type="dxa"/>
        </w:tcPr>
        <w:p w14:paraId="6670E89C" w14:textId="2EBA5D5B" w:rsidR="4EC737F3" w:rsidRDefault="4EC737F3" w:rsidP="4EC737F3">
          <w:pPr>
            <w:pStyle w:val="Header"/>
            <w:ind w:right="-115"/>
            <w:jc w:val="right"/>
          </w:pPr>
        </w:p>
      </w:tc>
    </w:tr>
  </w:tbl>
  <w:p w14:paraId="79F315A0" w14:textId="1FBEA9C3" w:rsidR="4EC737F3" w:rsidRDefault="4EC737F3" w:rsidP="4EC737F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4EC737F3" w14:paraId="588331D2" w14:textId="77777777" w:rsidTr="4EC737F3">
      <w:trPr>
        <w:trHeight w:val="300"/>
      </w:trPr>
      <w:tc>
        <w:tcPr>
          <w:tcW w:w="3025" w:type="dxa"/>
        </w:tcPr>
        <w:p w14:paraId="055E9DE8" w14:textId="77335055" w:rsidR="4EC737F3" w:rsidRDefault="4EC737F3" w:rsidP="4EC737F3">
          <w:pPr>
            <w:pStyle w:val="Header"/>
            <w:ind w:left="-115"/>
          </w:pPr>
        </w:p>
      </w:tc>
      <w:tc>
        <w:tcPr>
          <w:tcW w:w="3025" w:type="dxa"/>
        </w:tcPr>
        <w:p w14:paraId="5FF0F410" w14:textId="67F5542E" w:rsidR="4EC737F3" w:rsidRDefault="4EC737F3" w:rsidP="4EC737F3">
          <w:pPr>
            <w:pStyle w:val="Header"/>
            <w:jc w:val="center"/>
          </w:pPr>
        </w:p>
      </w:tc>
      <w:tc>
        <w:tcPr>
          <w:tcW w:w="3025" w:type="dxa"/>
        </w:tcPr>
        <w:p w14:paraId="24B444E5" w14:textId="5E932C96" w:rsidR="4EC737F3" w:rsidRDefault="4EC737F3" w:rsidP="4EC737F3">
          <w:pPr>
            <w:pStyle w:val="Header"/>
            <w:ind w:right="-115"/>
            <w:jc w:val="right"/>
          </w:pPr>
        </w:p>
      </w:tc>
    </w:tr>
  </w:tbl>
  <w:p w14:paraId="02F82506" w14:textId="08C6B7AA" w:rsidR="4EC737F3" w:rsidRDefault="4EC737F3" w:rsidP="4EC737F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4EC737F3" w14:paraId="1BC1EE20" w14:textId="77777777" w:rsidTr="4EC737F3">
      <w:trPr>
        <w:trHeight w:val="300"/>
      </w:trPr>
      <w:tc>
        <w:tcPr>
          <w:tcW w:w="3025" w:type="dxa"/>
        </w:tcPr>
        <w:p w14:paraId="42270E8B" w14:textId="1F70408D" w:rsidR="4EC737F3" w:rsidRDefault="4EC737F3" w:rsidP="4EC737F3">
          <w:pPr>
            <w:pStyle w:val="Header"/>
            <w:ind w:left="-115"/>
          </w:pPr>
        </w:p>
      </w:tc>
      <w:tc>
        <w:tcPr>
          <w:tcW w:w="3025" w:type="dxa"/>
        </w:tcPr>
        <w:p w14:paraId="5881438A" w14:textId="6330C771" w:rsidR="4EC737F3" w:rsidRDefault="4EC737F3" w:rsidP="4EC737F3">
          <w:pPr>
            <w:pStyle w:val="Header"/>
            <w:jc w:val="center"/>
          </w:pPr>
        </w:p>
      </w:tc>
      <w:tc>
        <w:tcPr>
          <w:tcW w:w="3025" w:type="dxa"/>
        </w:tcPr>
        <w:p w14:paraId="33C27033" w14:textId="7AFFE401" w:rsidR="4EC737F3" w:rsidRDefault="4EC737F3" w:rsidP="4EC737F3">
          <w:pPr>
            <w:pStyle w:val="Header"/>
            <w:ind w:right="-115"/>
            <w:jc w:val="right"/>
          </w:pPr>
        </w:p>
      </w:tc>
    </w:tr>
  </w:tbl>
  <w:p w14:paraId="360DD3D1" w14:textId="4F74EBBA" w:rsidR="4EC737F3" w:rsidRDefault="4EC737F3" w:rsidP="4EC737F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EC737F3" w14:paraId="6D8471D0" w14:textId="77777777" w:rsidTr="4EC737F3">
      <w:trPr>
        <w:trHeight w:val="300"/>
      </w:trPr>
      <w:tc>
        <w:tcPr>
          <w:tcW w:w="3020" w:type="dxa"/>
        </w:tcPr>
        <w:p w14:paraId="165F5162" w14:textId="5DE8AA4C" w:rsidR="4EC737F3" w:rsidRDefault="4EC737F3" w:rsidP="4EC737F3">
          <w:pPr>
            <w:pStyle w:val="Header"/>
            <w:ind w:left="-115"/>
          </w:pPr>
        </w:p>
      </w:tc>
      <w:tc>
        <w:tcPr>
          <w:tcW w:w="3020" w:type="dxa"/>
        </w:tcPr>
        <w:p w14:paraId="210BC90F" w14:textId="02CC8BB1" w:rsidR="4EC737F3" w:rsidRDefault="4EC737F3" w:rsidP="4EC737F3">
          <w:pPr>
            <w:pStyle w:val="Header"/>
            <w:jc w:val="center"/>
          </w:pPr>
        </w:p>
      </w:tc>
      <w:tc>
        <w:tcPr>
          <w:tcW w:w="3020" w:type="dxa"/>
        </w:tcPr>
        <w:p w14:paraId="06626EAB" w14:textId="0D105CB5" w:rsidR="4EC737F3" w:rsidRDefault="4EC737F3" w:rsidP="4EC737F3">
          <w:pPr>
            <w:pStyle w:val="Header"/>
            <w:ind w:right="-115"/>
            <w:jc w:val="right"/>
          </w:pPr>
        </w:p>
      </w:tc>
    </w:tr>
  </w:tbl>
  <w:p w14:paraId="42CA0485" w14:textId="6A88474B" w:rsidR="4EC737F3" w:rsidRDefault="4EC737F3" w:rsidP="4EC737F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EC737F3" w14:paraId="6F455E68" w14:textId="77777777" w:rsidTr="4EC737F3">
      <w:trPr>
        <w:trHeight w:val="300"/>
      </w:trPr>
      <w:tc>
        <w:tcPr>
          <w:tcW w:w="3020" w:type="dxa"/>
        </w:tcPr>
        <w:p w14:paraId="35AE6FD7" w14:textId="27F7EAFA" w:rsidR="4EC737F3" w:rsidRDefault="4EC737F3" w:rsidP="4EC737F3">
          <w:pPr>
            <w:pStyle w:val="Header"/>
            <w:ind w:left="-115"/>
          </w:pPr>
        </w:p>
      </w:tc>
      <w:tc>
        <w:tcPr>
          <w:tcW w:w="3020" w:type="dxa"/>
        </w:tcPr>
        <w:p w14:paraId="4DBDF51B" w14:textId="033DF653" w:rsidR="4EC737F3" w:rsidRDefault="4EC737F3" w:rsidP="4EC737F3">
          <w:pPr>
            <w:pStyle w:val="Header"/>
            <w:jc w:val="center"/>
          </w:pPr>
        </w:p>
      </w:tc>
      <w:tc>
        <w:tcPr>
          <w:tcW w:w="3020" w:type="dxa"/>
        </w:tcPr>
        <w:p w14:paraId="2DB805D7" w14:textId="053CCEDB" w:rsidR="4EC737F3" w:rsidRDefault="4EC737F3" w:rsidP="4EC737F3">
          <w:pPr>
            <w:pStyle w:val="Header"/>
            <w:ind w:right="-115"/>
            <w:jc w:val="right"/>
          </w:pPr>
        </w:p>
      </w:tc>
    </w:tr>
  </w:tbl>
  <w:p w14:paraId="7CFD112E" w14:textId="2EEB679F" w:rsidR="4EC737F3" w:rsidRDefault="4EC737F3" w:rsidP="4EC737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4529AE"/>
    <w:multiLevelType w:val="hybridMultilevel"/>
    <w:tmpl w:val="5978C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6D4526"/>
    <w:multiLevelType w:val="multilevel"/>
    <w:tmpl w:val="DE8AFF94"/>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BB5D18"/>
    <w:multiLevelType w:val="hybridMultilevel"/>
    <w:tmpl w:val="5300B1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2"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4134612">
    <w:abstractNumId w:val="21"/>
  </w:num>
  <w:num w:numId="2" w16cid:durableId="1628658648">
    <w:abstractNumId w:val="21"/>
  </w:num>
  <w:num w:numId="3" w16cid:durableId="518859055">
    <w:abstractNumId w:val="21"/>
  </w:num>
  <w:num w:numId="4" w16cid:durableId="615410160">
    <w:abstractNumId w:val="21"/>
  </w:num>
  <w:num w:numId="5" w16cid:durableId="1836338400">
    <w:abstractNumId w:val="21"/>
  </w:num>
  <w:num w:numId="6" w16cid:durableId="1458451027">
    <w:abstractNumId w:val="21"/>
  </w:num>
  <w:num w:numId="7" w16cid:durableId="824736809">
    <w:abstractNumId w:val="21"/>
  </w:num>
  <w:num w:numId="8" w16cid:durableId="109008718">
    <w:abstractNumId w:val="21"/>
  </w:num>
  <w:num w:numId="9" w16cid:durableId="1231191876">
    <w:abstractNumId w:val="20"/>
  </w:num>
  <w:num w:numId="10" w16cid:durableId="1831363340">
    <w:abstractNumId w:val="22"/>
  </w:num>
  <w:num w:numId="11" w16cid:durableId="658000347">
    <w:abstractNumId w:val="24"/>
  </w:num>
  <w:num w:numId="12" w16cid:durableId="354428590">
    <w:abstractNumId w:val="12"/>
  </w:num>
  <w:num w:numId="13" w16cid:durableId="892347323">
    <w:abstractNumId w:val="14"/>
  </w:num>
  <w:num w:numId="14" w16cid:durableId="544489723">
    <w:abstractNumId w:val="10"/>
  </w:num>
  <w:num w:numId="15" w16cid:durableId="1181243798">
    <w:abstractNumId w:val="11"/>
  </w:num>
  <w:num w:numId="16" w16cid:durableId="1145051745">
    <w:abstractNumId w:val="23"/>
  </w:num>
  <w:num w:numId="17" w16cid:durableId="1420101144">
    <w:abstractNumId w:val="18"/>
  </w:num>
  <w:num w:numId="18" w16cid:durableId="902836299">
    <w:abstractNumId w:val="9"/>
  </w:num>
  <w:num w:numId="19" w16cid:durableId="1620261199">
    <w:abstractNumId w:val="7"/>
  </w:num>
  <w:num w:numId="20" w16cid:durableId="151062850">
    <w:abstractNumId w:val="6"/>
  </w:num>
  <w:num w:numId="21" w16cid:durableId="1256548588">
    <w:abstractNumId w:val="5"/>
  </w:num>
  <w:num w:numId="22" w16cid:durableId="117994490">
    <w:abstractNumId w:val="4"/>
  </w:num>
  <w:num w:numId="23" w16cid:durableId="1692686483">
    <w:abstractNumId w:val="8"/>
  </w:num>
  <w:num w:numId="24" w16cid:durableId="1771003016">
    <w:abstractNumId w:val="3"/>
  </w:num>
  <w:num w:numId="25" w16cid:durableId="1129515713">
    <w:abstractNumId w:val="2"/>
  </w:num>
  <w:num w:numId="26" w16cid:durableId="129136844">
    <w:abstractNumId w:val="1"/>
  </w:num>
  <w:num w:numId="27" w16cid:durableId="1661152142">
    <w:abstractNumId w:val="0"/>
  </w:num>
  <w:num w:numId="28" w16cid:durableId="859122546">
    <w:abstractNumId w:val="13"/>
  </w:num>
  <w:num w:numId="29" w16cid:durableId="808207542">
    <w:abstractNumId w:val="17"/>
  </w:num>
  <w:num w:numId="30" w16cid:durableId="312029444">
    <w:abstractNumId w:val="16"/>
  </w:num>
  <w:num w:numId="31" w16cid:durableId="1813015556">
    <w:abstractNumId w:val="15"/>
  </w:num>
  <w:num w:numId="32" w16cid:durableId="20421712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0DCE"/>
    <w:rsid w:val="00003B5B"/>
    <w:rsid w:val="00006D3F"/>
    <w:rsid w:val="00011905"/>
    <w:rsid w:val="0001250D"/>
    <w:rsid w:val="0001481A"/>
    <w:rsid w:val="00014E5B"/>
    <w:rsid w:val="00020208"/>
    <w:rsid w:val="00021154"/>
    <w:rsid w:val="00021885"/>
    <w:rsid w:val="00021C12"/>
    <w:rsid w:val="00021F92"/>
    <w:rsid w:val="00022B80"/>
    <w:rsid w:val="0002351C"/>
    <w:rsid w:val="000248A2"/>
    <w:rsid w:val="000258E0"/>
    <w:rsid w:val="000259F7"/>
    <w:rsid w:val="00025AFD"/>
    <w:rsid w:val="00025BF9"/>
    <w:rsid w:val="0002607D"/>
    <w:rsid w:val="0002733C"/>
    <w:rsid w:val="00031C00"/>
    <w:rsid w:val="0003348B"/>
    <w:rsid w:val="00035267"/>
    <w:rsid w:val="000357E2"/>
    <w:rsid w:val="00036E4A"/>
    <w:rsid w:val="00037438"/>
    <w:rsid w:val="00037D7F"/>
    <w:rsid w:val="00040355"/>
    <w:rsid w:val="000446B1"/>
    <w:rsid w:val="000461C5"/>
    <w:rsid w:val="00046B3D"/>
    <w:rsid w:val="000506FF"/>
    <w:rsid w:val="0005087E"/>
    <w:rsid w:val="000512BA"/>
    <w:rsid w:val="00051FDA"/>
    <w:rsid w:val="00053FD6"/>
    <w:rsid w:val="000566F1"/>
    <w:rsid w:val="000602CF"/>
    <w:rsid w:val="000604C6"/>
    <w:rsid w:val="00060EDE"/>
    <w:rsid w:val="0006212C"/>
    <w:rsid w:val="00062709"/>
    <w:rsid w:val="0006549E"/>
    <w:rsid w:val="000659CC"/>
    <w:rsid w:val="00065FFC"/>
    <w:rsid w:val="000660E7"/>
    <w:rsid w:val="0006664D"/>
    <w:rsid w:val="0006667A"/>
    <w:rsid w:val="0007042F"/>
    <w:rsid w:val="00070657"/>
    <w:rsid w:val="00071ED8"/>
    <w:rsid w:val="00072AE9"/>
    <w:rsid w:val="0007677B"/>
    <w:rsid w:val="0008063E"/>
    <w:rsid w:val="000808AF"/>
    <w:rsid w:val="00081537"/>
    <w:rsid w:val="00083B1F"/>
    <w:rsid w:val="0008415F"/>
    <w:rsid w:val="00084E5A"/>
    <w:rsid w:val="00085AA0"/>
    <w:rsid w:val="00086B7D"/>
    <w:rsid w:val="00086CD8"/>
    <w:rsid w:val="00090B45"/>
    <w:rsid w:val="00090DB1"/>
    <w:rsid w:val="000922C7"/>
    <w:rsid w:val="00094429"/>
    <w:rsid w:val="00094F0C"/>
    <w:rsid w:val="00095333"/>
    <w:rsid w:val="0009607D"/>
    <w:rsid w:val="000967D1"/>
    <w:rsid w:val="000973CF"/>
    <w:rsid w:val="000A06E6"/>
    <w:rsid w:val="000A1082"/>
    <w:rsid w:val="000A3B14"/>
    <w:rsid w:val="000A5B71"/>
    <w:rsid w:val="000A75B9"/>
    <w:rsid w:val="000B0082"/>
    <w:rsid w:val="000B18CD"/>
    <w:rsid w:val="000B2FBD"/>
    <w:rsid w:val="000B3317"/>
    <w:rsid w:val="000B3BD6"/>
    <w:rsid w:val="000B4A6C"/>
    <w:rsid w:val="000B6655"/>
    <w:rsid w:val="000B7EEA"/>
    <w:rsid w:val="000C001F"/>
    <w:rsid w:val="000C2825"/>
    <w:rsid w:val="000C5B09"/>
    <w:rsid w:val="000C6039"/>
    <w:rsid w:val="000D2BD5"/>
    <w:rsid w:val="000E2C2F"/>
    <w:rsid w:val="000E3977"/>
    <w:rsid w:val="000E5550"/>
    <w:rsid w:val="000E65C4"/>
    <w:rsid w:val="000F3B3F"/>
    <w:rsid w:val="000F5DC9"/>
    <w:rsid w:val="000F74F9"/>
    <w:rsid w:val="00105AA5"/>
    <w:rsid w:val="00106694"/>
    <w:rsid w:val="001078C8"/>
    <w:rsid w:val="00111DD8"/>
    <w:rsid w:val="00112CAF"/>
    <w:rsid w:val="0011373B"/>
    <w:rsid w:val="00113E91"/>
    <w:rsid w:val="001140D3"/>
    <w:rsid w:val="001153D5"/>
    <w:rsid w:val="00116223"/>
    <w:rsid w:val="00116B1D"/>
    <w:rsid w:val="001175C1"/>
    <w:rsid w:val="0012180C"/>
    <w:rsid w:val="001231E9"/>
    <w:rsid w:val="00124E0C"/>
    <w:rsid w:val="00125850"/>
    <w:rsid w:val="001263C5"/>
    <w:rsid w:val="00126A84"/>
    <w:rsid w:val="00130C4E"/>
    <w:rsid w:val="00131015"/>
    <w:rsid w:val="0013163D"/>
    <w:rsid w:val="00132911"/>
    <w:rsid w:val="00132E35"/>
    <w:rsid w:val="00133076"/>
    <w:rsid w:val="00133535"/>
    <w:rsid w:val="00136468"/>
    <w:rsid w:val="00137567"/>
    <w:rsid w:val="00137621"/>
    <w:rsid w:val="00137965"/>
    <w:rsid w:val="00140418"/>
    <w:rsid w:val="00140E71"/>
    <w:rsid w:val="00141776"/>
    <w:rsid w:val="001432BF"/>
    <w:rsid w:val="0014349E"/>
    <w:rsid w:val="00143DE7"/>
    <w:rsid w:val="001515E9"/>
    <w:rsid w:val="001518A0"/>
    <w:rsid w:val="0015226A"/>
    <w:rsid w:val="00154926"/>
    <w:rsid w:val="00155489"/>
    <w:rsid w:val="00156A58"/>
    <w:rsid w:val="00160D91"/>
    <w:rsid w:val="0016172B"/>
    <w:rsid w:val="00161B98"/>
    <w:rsid w:val="00162531"/>
    <w:rsid w:val="00162896"/>
    <w:rsid w:val="00163908"/>
    <w:rsid w:val="001643DD"/>
    <w:rsid w:val="00164985"/>
    <w:rsid w:val="0016768A"/>
    <w:rsid w:val="0017211B"/>
    <w:rsid w:val="00173F5D"/>
    <w:rsid w:val="001741C8"/>
    <w:rsid w:val="001764BE"/>
    <w:rsid w:val="001768CA"/>
    <w:rsid w:val="001776E2"/>
    <w:rsid w:val="00177827"/>
    <w:rsid w:val="00181000"/>
    <w:rsid w:val="001822A9"/>
    <w:rsid w:val="0018320A"/>
    <w:rsid w:val="00183A63"/>
    <w:rsid w:val="00183E7F"/>
    <w:rsid w:val="001851A8"/>
    <w:rsid w:val="00186073"/>
    <w:rsid w:val="00187463"/>
    <w:rsid w:val="0018795D"/>
    <w:rsid w:val="00187ED6"/>
    <w:rsid w:val="001908C6"/>
    <w:rsid w:val="0019203A"/>
    <w:rsid w:val="0019397B"/>
    <w:rsid w:val="00195520"/>
    <w:rsid w:val="00195CB7"/>
    <w:rsid w:val="00196C98"/>
    <w:rsid w:val="001972F4"/>
    <w:rsid w:val="001974FB"/>
    <w:rsid w:val="001A03AE"/>
    <w:rsid w:val="001A0D33"/>
    <w:rsid w:val="001A0E99"/>
    <w:rsid w:val="001A0EE3"/>
    <w:rsid w:val="001A1A6A"/>
    <w:rsid w:val="001A1C2D"/>
    <w:rsid w:val="001A229F"/>
    <w:rsid w:val="001A4C96"/>
    <w:rsid w:val="001B1337"/>
    <w:rsid w:val="001B250E"/>
    <w:rsid w:val="001B2B26"/>
    <w:rsid w:val="001B4C07"/>
    <w:rsid w:val="001B5027"/>
    <w:rsid w:val="001B5730"/>
    <w:rsid w:val="001B7539"/>
    <w:rsid w:val="001B7582"/>
    <w:rsid w:val="001B7DB2"/>
    <w:rsid w:val="001C09FE"/>
    <w:rsid w:val="001C36E1"/>
    <w:rsid w:val="001C40E6"/>
    <w:rsid w:val="001C5866"/>
    <w:rsid w:val="001C6690"/>
    <w:rsid w:val="001D0EE7"/>
    <w:rsid w:val="001D0EF6"/>
    <w:rsid w:val="001D11BE"/>
    <w:rsid w:val="001D3B8E"/>
    <w:rsid w:val="001D411B"/>
    <w:rsid w:val="001D51A7"/>
    <w:rsid w:val="001D51C7"/>
    <w:rsid w:val="001D5317"/>
    <w:rsid w:val="001D601E"/>
    <w:rsid w:val="001D648B"/>
    <w:rsid w:val="001D7D31"/>
    <w:rsid w:val="001E10CB"/>
    <w:rsid w:val="001E161E"/>
    <w:rsid w:val="001E20EC"/>
    <w:rsid w:val="001E449A"/>
    <w:rsid w:val="001E5555"/>
    <w:rsid w:val="001E569D"/>
    <w:rsid w:val="001E761D"/>
    <w:rsid w:val="001E76B1"/>
    <w:rsid w:val="001E779C"/>
    <w:rsid w:val="001E7A4F"/>
    <w:rsid w:val="001E7BBB"/>
    <w:rsid w:val="001F0F4A"/>
    <w:rsid w:val="001F1F8A"/>
    <w:rsid w:val="001F392A"/>
    <w:rsid w:val="001F50C1"/>
    <w:rsid w:val="001F593B"/>
    <w:rsid w:val="001F6ADE"/>
    <w:rsid w:val="001F7F24"/>
    <w:rsid w:val="00202D86"/>
    <w:rsid w:val="00203FB0"/>
    <w:rsid w:val="00204CF0"/>
    <w:rsid w:val="00205D8A"/>
    <w:rsid w:val="002079D3"/>
    <w:rsid w:val="002106C3"/>
    <w:rsid w:val="00210F45"/>
    <w:rsid w:val="002139F4"/>
    <w:rsid w:val="00213D6C"/>
    <w:rsid w:val="00213DEA"/>
    <w:rsid w:val="002146C5"/>
    <w:rsid w:val="00215455"/>
    <w:rsid w:val="00215909"/>
    <w:rsid w:val="00217CF0"/>
    <w:rsid w:val="00217DDF"/>
    <w:rsid w:val="00220669"/>
    <w:rsid w:val="00221109"/>
    <w:rsid w:val="00222B15"/>
    <w:rsid w:val="0022451F"/>
    <w:rsid w:val="0023113A"/>
    <w:rsid w:val="00231581"/>
    <w:rsid w:val="00232606"/>
    <w:rsid w:val="00232DD3"/>
    <w:rsid w:val="0023416A"/>
    <w:rsid w:val="002346F4"/>
    <w:rsid w:val="00235E82"/>
    <w:rsid w:val="00243174"/>
    <w:rsid w:val="0024389A"/>
    <w:rsid w:val="00244FE1"/>
    <w:rsid w:val="002452B8"/>
    <w:rsid w:val="002541A8"/>
    <w:rsid w:val="00254FC0"/>
    <w:rsid w:val="00255EA4"/>
    <w:rsid w:val="002561CE"/>
    <w:rsid w:val="002603C2"/>
    <w:rsid w:val="00260D01"/>
    <w:rsid w:val="0026103D"/>
    <w:rsid w:val="002618E9"/>
    <w:rsid w:val="002624F7"/>
    <w:rsid w:val="00262EB8"/>
    <w:rsid w:val="00263834"/>
    <w:rsid w:val="00264F17"/>
    <w:rsid w:val="00266153"/>
    <w:rsid w:val="0026739B"/>
    <w:rsid w:val="00267F24"/>
    <w:rsid w:val="002710FE"/>
    <w:rsid w:val="00271BC8"/>
    <w:rsid w:val="00272A14"/>
    <w:rsid w:val="00272FBA"/>
    <w:rsid w:val="002731B3"/>
    <w:rsid w:val="002736FF"/>
    <w:rsid w:val="00273A1E"/>
    <w:rsid w:val="002741C3"/>
    <w:rsid w:val="002760EE"/>
    <w:rsid w:val="00277B3B"/>
    <w:rsid w:val="00280131"/>
    <w:rsid w:val="00282C46"/>
    <w:rsid w:val="00284B69"/>
    <w:rsid w:val="00284C25"/>
    <w:rsid w:val="002916C6"/>
    <w:rsid w:val="00294479"/>
    <w:rsid w:val="00294F14"/>
    <w:rsid w:val="002959EB"/>
    <w:rsid w:val="00295C31"/>
    <w:rsid w:val="0029650E"/>
    <w:rsid w:val="00297B06"/>
    <w:rsid w:val="002A16F3"/>
    <w:rsid w:val="002A4063"/>
    <w:rsid w:val="002A4507"/>
    <w:rsid w:val="002A76CF"/>
    <w:rsid w:val="002B093B"/>
    <w:rsid w:val="002B0B0F"/>
    <w:rsid w:val="002B25DB"/>
    <w:rsid w:val="002B3286"/>
    <w:rsid w:val="002B38A1"/>
    <w:rsid w:val="002B49FB"/>
    <w:rsid w:val="002B5487"/>
    <w:rsid w:val="002B5C32"/>
    <w:rsid w:val="002B5E67"/>
    <w:rsid w:val="002B5FDA"/>
    <w:rsid w:val="002B700E"/>
    <w:rsid w:val="002C0BF2"/>
    <w:rsid w:val="002C1757"/>
    <w:rsid w:val="002C26F6"/>
    <w:rsid w:val="002C48D7"/>
    <w:rsid w:val="002C4B9C"/>
    <w:rsid w:val="002C4D03"/>
    <w:rsid w:val="002C4EAA"/>
    <w:rsid w:val="002C6498"/>
    <w:rsid w:val="002D1EFF"/>
    <w:rsid w:val="002D2A6E"/>
    <w:rsid w:val="002D54E5"/>
    <w:rsid w:val="002D61AE"/>
    <w:rsid w:val="002D68B8"/>
    <w:rsid w:val="002E021D"/>
    <w:rsid w:val="002E05E9"/>
    <w:rsid w:val="002E069D"/>
    <w:rsid w:val="002E2F54"/>
    <w:rsid w:val="002E4C26"/>
    <w:rsid w:val="002E4CC8"/>
    <w:rsid w:val="002E7662"/>
    <w:rsid w:val="002E7F19"/>
    <w:rsid w:val="002F23A4"/>
    <w:rsid w:val="002F283E"/>
    <w:rsid w:val="002F3893"/>
    <w:rsid w:val="002F3991"/>
    <w:rsid w:val="002F44FE"/>
    <w:rsid w:val="002F5913"/>
    <w:rsid w:val="002F63DD"/>
    <w:rsid w:val="002F6FCC"/>
    <w:rsid w:val="002F7AFD"/>
    <w:rsid w:val="003002FD"/>
    <w:rsid w:val="00301EE2"/>
    <w:rsid w:val="003047FD"/>
    <w:rsid w:val="00306524"/>
    <w:rsid w:val="00306AAD"/>
    <w:rsid w:val="00306C0E"/>
    <w:rsid w:val="00306F8A"/>
    <w:rsid w:val="00311291"/>
    <w:rsid w:val="00312E17"/>
    <w:rsid w:val="00313617"/>
    <w:rsid w:val="00313DC6"/>
    <w:rsid w:val="00315190"/>
    <w:rsid w:val="003159EB"/>
    <w:rsid w:val="00315AAE"/>
    <w:rsid w:val="00315E47"/>
    <w:rsid w:val="00317C85"/>
    <w:rsid w:val="00321055"/>
    <w:rsid w:val="00324018"/>
    <w:rsid w:val="003240F4"/>
    <w:rsid w:val="0032480A"/>
    <w:rsid w:val="003253FE"/>
    <w:rsid w:val="00326625"/>
    <w:rsid w:val="00326D99"/>
    <w:rsid w:val="00332505"/>
    <w:rsid w:val="003331E3"/>
    <w:rsid w:val="003345F7"/>
    <w:rsid w:val="00335368"/>
    <w:rsid w:val="003401E5"/>
    <w:rsid w:val="003408CB"/>
    <w:rsid w:val="003419A2"/>
    <w:rsid w:val="00342011"/>
    <w:rsid w:val="003454C8"/>
    <w:rsid w:val="00346173"/>
    <w:rsid w:val="0035046C"/>
    <w:rsid w:val="00350C78"/>
    <w:rsid w:val="00352EB8"/>
    <w:rsid w:val="00352F25"/>
    <w:rsid w:val="00354D90"/>
    <w:rsid w:val="00355567"/>
    <w:rsid w:val="00355803"/>
    <w:rsid w:val="003618E5"/>
    <w:rsid w:val="00362BBB"/>
    <w:rsid w:val="00363245"/>
    <w:rsid w:val="00363BFE"/>
    <w:rsid w:val="00363E75"/>
    <w:rsid w:val="00364BCD"/>
    <w:rsid w:val="00364E5F"/>
    <w:rsid w:val="00365804"/>
    <w:rsid w:val="0036DAFD"/>
    <w:rsid w:val="00373C35"/>
    <w:rsid w:val="00376059"/>
    <w:rsid w:val="00384BA4"/>
    <w:rsid w:val="00391D04"/>
    <w:rsid w:val="0039242B"/>
    <w:rsid w:val="00392F19"/>
    <w:rsid w:val="00396600"/>
    <w:rsid w:val="003A10FD"/>
    <w:rsid w:val="003A1382"/>
    <w:rsid w:val="003A15EE"/>
    <w:rsid w:val="003A2382"/>
    <w:rsid w:val="003A412F"/>
    <w:rsid w:val="003A7195"/>
    <w:rsid w:val="003A72C1"/>
    <w:rsid w:val="003B0140"/>
    <w:rsid w:val="003B1E1B"/>
    <w:rsid w:val="003B366A"/>
    <w:rsid w:val="003B3711"/>
    <w:rsid w:val="003B5897"/>
    <w:rsid w:val="003B7FAE"/>
    <w:rsid w:val="003C03B3"/>
    <w:rsid w:val="003C0AC7"/>
    <w:rsid w:val="003C3BD2"/>
    <w:rsid w:val="003C476C"/>
    <w:rsid w:val="003C499F"/>
    <w:rsid w:val="003C56F7"/>
    <w:rsid w:val="003C5F3A"/>
    <w:rsid w:val="003C7E07"/>
    <w:rsid w:val="003D05D4"/>
    <w:rsid w:val="003D0620"/>
    <w:rsid w:val="003D3442"/>
    <w:rsid w:val="003D4123"/>
    <w:rsid w:val="003D44E5"/>
    <w:rsid w:val="003D4C25"/>
    <w:rsid w:val="003D61B4"/>
    <w:rsid w:val="003E2AA1"/>
    <w:rsid w:val="003E7C09"/>
    <w:rsid w:val="003F053A"/>
    <w:rsid w:val="003F1BB9"/>
    <w:rsid w:val="003F20BF"/>
    <w:rsid w:val="003F3E13"/>
    <w:rsid w:val="003F57E4"/>
    <w:rsid w:val="003F5ED3"/>
    <w:rsid w:val="003F6CBC"/>
    <w:rsid w:val="00400CA7"/>
    <w:rsid w:val="00401691"/>
    <w:rsid w:val="0040199E"/>
    <w:rsid w:val="00405BC0"/>
    <w:rsid w:val="00405C9F"/>
    <w:rsid w:val="0040711E"/>
    <w:rsid w:val="00410A85"/>
    <w:rsid w:val="00412F99"/>
    <w:rsid w:val="00413312"/>
    <w:rsid w:val="004142F3"/>
    <w:rsid w:val="00415DEA"/>
    <w:rsid w:val="004172C3"/>
    <w:rsid w:val="004175F4"/>
    <w:rsid w:val="0042007E"/>
    <w:rsid w:val="0042150F"/>
    <w:rsid w:val="00423306"/>
    <w:rsid w:val="004246F6"/>
    <w:rsid w:val="00424BBC"/>
    <w:rsid w:val="00425F1E"/>
    <w:rsid w:val="00425FE9"/>
    <w:rsid w:val="00430945"/>
    <w:rsid w:val="004315E9"/>
    <w:rsid w:val="004325EC"/>
    <w:rsid w:val="00432997"/>
    <w:rsid w:val="00432A99"/>
    <w:rsid w:val="0043306F"/>
    <w:rsid w:val="004349F7"/>
    <w:rsid w:val="00435AA1"/>
    <w:rsid w:val="00437749"/>
    <w:rsid w:val="0044168B"/>
    <w:rsid w:val="00441A33"/>
    <w:rsid w:val="00442E70"/>
    <w:rsid w:val="00444156"/>
    <w:rsid w:val="00444189"/>
    <w:rsid w:val="00447E49"/>
    <w:rsid w:val="004530C8"/>
    <w:rsid w:val="00453222"/>
    <w:rsid w:val="00453EBD"/>
    <w:rsid w:val="00456559"/>
    <w:rsid w:val="00457E73"/>
    <w:rsid w:val="00461301"/>
    <w:rsid w:val="0046532B"/>
    <w:rsid w:val="00465463"/>
    <w:rsid w:val="004654B0"/>
    <w:rsid w:val="00466065"/>
    <w:rsid w:val="00466A70"/>
    <w:rsid w:val="0047105D"/>
    <w:rsid w:val="00471BAD"/>
    <w:rsid w:val="004736CE"/>
    <w:rsid w:val="00475C42"/>
    <w:rsid w:val="00477074"/>
    <w:rsid w:val="0048111D"/>
    <w:rsid w:val="00481278"/>
    <w:rsid w:val="004823A1"/>
    <w:rsid w:val="00482B32"/>
    <w:rsid w:val="00482BF3"/>
    <w:rsid w:val="004837FC"/>
    <w:rsid w:val="00483EDF"/>
    <w:rsid w:val="00484563"/>
    <w:rsid w:val="004850CC"/>
    <w:rsid w:val="00485536"/>
    <w:rsid w:val="004864DC"/>
    <w:rsid w:val="00486699"/>
    <w:rsid w:val="00486C42"/>
    <w:rsid w:val="0049091C"/>
    <w:rsid w:val="00492039"/>
    <w:rsid w:val="004948F4"/>
    <w:rsid w:val="004953E8"/>
    <w:rsid w:val="004957CB"/>
    <w:rsid w:val="004A02E6"/>
    <w:rsid w:val="004A0F30"/>
    <w:rsid w:val="004A1C9F"/>
    <w:rsid w:val="004A27F9"/>
    <w:rsid w:val="004A5972"/>
    <w:rsid w:val="004A5CF5"/>
    <w:rsid w:val="004A6A03"/>
    <w:rsid w:val="004B00C1"/>
    <w:rsid w:val="004B0243"/>
    <w:rsid w:val="004B026E"/>
    <w:rsid w:val="004B041C"/>
    <w:rsid w:val="004B08BA"/>
    <w:rsid w:val="004B24A7"/>
    <w:rsid w:val="004B3793"/>
    <w:rsid w:val="004B396F"/>
    <w:rsid w:val="004B3FC5"/>
    <w:rsid w:val="004B686F"/>
    <w:rsid w:val="004B7B1E"/>
    <w:rsid w:val="004C01CF"/>
    <w:rsid w:val="004C01F4"/>
    <w:rsid w:val="004C0336"/>
    <w:rsid w:val="004C3341"/>
    <w:rsid w:val="004C33B2"/>
    <w:rsid w:val="004C4B8D"/>
    <w:rsid w:val="004C6D9E"/>
    <w:rsid w:val="004D1071"/>
    <w:rsid w:val="004D1EA9"/>
    <w:rsid w:val="004D279E"/>
    <w:rsid w:val="004D5A28"/>
    <w:rsid w:val="004D7B9D"/>
    <w:rsid w:val="004E041B"/>
    <w:rsid w:val="004E0D0A"/>
    <w:rsid w:val="004E2915"/>
    <w:rsid w:val="004E2D24"/>
    <w:rsid w:val="004E3619"/>
    <w:rsid w:val="004E3D64"/>
    <w:rsid w:val="004E3F54"/>
    <w:rsid w:val="004E5E19"/>
    <w:rsid w:val="004E6B9C"/>
    <w:rsid w:val="004E7778"/>
    <w:rsid w:val="004F2264"/>
    <w:rsid w:val="004F2A03"/>
    <w:rsid w:val="004F2B82"/>
    <w:rsid w:val="004F32D0"/>
    <w:rsid w:val="004F41F5"/>
    <w:rsid w:val="004F58E8"/>
    <w:rsid w:val="004F6104"/>
    <w:rsid w:val="004F6582"/>
    <w:rsid w:val="005026BC"/>
    <w:rsid w:val="00503D7D"/>
    <w:rsid w:val="00505148"/>
    <w:rsid w:val="00505990"/>
    <w:rsid w:val="00506088"/>
    <w:rsid w:val="00506147"/>
    <w:rsid w:val="00506C83"/>
    <w:rsid w:val="00507270"/>
    <w:rsid w:val="00507292"/>
    <w:rsid w:val="00507A8D"/>
    <w:rsid w:val="00510D04"/>
    <w:rsid w:val="00510E28"/>
    <w:rsid w:val="0051177D"/>
    <w:rsid w:val="00511F2A"/>
    <w:rsid w:val="00512576"/>
    <w:rsid w:val="005148F8"/>
    <w:rsid w:val="00514A8A"/>
    <w:rsid w:val="005153F0"/>
    <w:rsid w:val="00516288"/>
    <w:rsid w:val="0051756F"/>
    <w:rsid w:val="00524720"/>
    <w:rsid w:val="00524A26"/>
    <w:rsid w:val="00526609"/>
    <w:rsid w:val="005309BB"/>
    <w:rsid w:val="00530A10"/>
    <w:rsid w:val="00530EA1"/>
    <w:rsid w:val="00531BAC"/>
    <w:rsid w:val="0053556B"/>
    <w:rsid w:val="005357A8"/>
    <w:rsid w:val="0053675B"/>
    <w:rsid w:val="00536FA3"/>
    <w:rsid w:val="005373E6"/>
    <w:rsid w:val="005415FC"/>
    <w:rsid w:val="00541D6F"/>
    <w:rsid w:val="00542848"/>
    <w:rsid w:val="00547487"/>
    <w:rsid w:val="00550480"/>
    <w:rsid w:val="0055051C"/>
    <w:rsid w:val="005507B0"/>
    <w:rsid w:val="00552DA7"/>
    <w:rsid w:val="005530B5"/>
    <w:rsid w:val="005542B1"/>
    <w:rsid w:val="005560C8"/>
    <w:rsid w:val="00556421"/>
    <w:rsid w:val="00556A67"/>
    <w:rsid w:val="00556F7B"/>
    <w:rsid w:val="00560D5E"/>
    <w:rsid w:val="00560D8D"/>
    <w:rsid w:val="00561B68"/>
    <w:rsid w:val="00562D5B"/>
    <w:rsid w:val="005640F1"/>
    <w:rsid w:val="00564693"/>
    <w:rsid w:val="005649A9"/>
    <w:rsid w:val="00564DE4"/>
    <w:rsid w:val="0056576E"/>
    <w:rsid w:val="005668DB"/>
    <w:rsid w:val="005673F7"/>
    <w:rsid w:val="0057077E"/>
    <w:rsid w:val="00571280"/>
    <w:rsid w:val="00571F9C"/>
    <w:rsid w:val="00572BC0"/>
    <w:rsid w:val="00575CFA"/>
    <w:rsid w:val="00575F6A"/>
    <w:rsid w:val="0057608F"/>
    <w:rsid w:val="005761EA"/>
    <w:rsid w:val="005768F2"/>
    <w:rsid w:val="00576FBF"/>
    <w:rsid w:val="00577572"/>
    <w:rsid w:val="005805A9"/>
    <w:rsid w:val="00580C70"/>
    <w:rsid w:val="00581876"/>
    <w:rsid w:val="00586C77"/>
    <w:rsid w:val="005902E8"/>
    <w:rsid w:val="00591C0B"/>
    <w:rsid w:val="005946F0"/>
    <w:rsid w:val="00594BA7"/>
    <w:rsid w:val="00595A73"/>
    <w:rsid w:val="00596471"/>
    <w:rsid w:val="00596670"/>
    <w:rsid w:val="00597094"/>
    <w:rsid w:val="005971EB"/>
    <w:rsid w:val="00597411"/>
    <w:rsid w:val="005A21BC"/>
    <w:rsid w:val="005A2CDF"/>
    <w:rsid w:val="005A4670"/>
    <w:rsid w:val="005A4A8A"/>
    <w:rsid w:val="005A5B28"/>
    <w:rsid w:val="005A61E8"/>
    <w:rsid w:val="005A6279"/>
    <w:rsid w:val="005A6C3C"/>
    <w:rsid w:val="005B0201"/>
    <w:rsid w:val="005B0527"/>
    <w:rsid w:val="005B1B4C"/>
    <w:rsid w:val="005B3B02"/>
    <w:rsid w:val="005B3F3E"/>
    <w:rsid w:val="005B4331"/>
    <w:rsid w:val="005B4CE5"/>
    <w:rsid w:val="005B5106"/>
    <w:rsid w:val="005B6A4A"/>
    <w:rsid w:val="005B7371"/>
    <w:rsid w:val="005B7545"/>
    <w:rsid w:val="005B7612"/>
    <w:rsid w:val="005C14E2"/>
    <w:rsid w:val="005C15A8"/>
    <w:rsid w:val="005C2B4A"/>
    <w:rsid w:val="005C4CC0"/>
    <w:rsid w:val="005C4EFC"/>
    <w:rsid w:val="005C57D4"/>
    <w:rsid w:val="005C58FF"/>
    <w:rsid w:val="005C759A"/>
    <w:rsid w:val="005C7726"/>
    <w:rsid w:val="005D0403"/>
    <w:rsid w:val="005D0AE0"/>
    <w:rsid w:val="005D0CA4"/>
    <w:rsid w:val="005D106B"/>
    <w:rsid w:val="005D113B"/>
    <w:rsid w:val="005D1E82"/>
    <w:rsid w:val="005D3676"/>
    <w:rsid w:val="005D3A1B"/>
    <w:rsid w:val="005D4232"/>
    <w:rsid w:val="005D4341"/>
    <w:rsid w:val="005D4E80"/>
    <w:rsid w:val="005D53D7"/>
    <w:rsid w:val="005D5C6F"/>
    <w:rsid w:val="005D6062"/>
    <w:rsid w:val="005D6737"/>
    <w:rsid w:val="005E035B"/>
    <w:rsid w:val="005E1AE4"/>
    <w:rsid w:val="005E539F"/>
    <w:rsid w:val="005E5767"/>
    <w:rsid w:val="005E5AE1"/>
    <w:rsid w:val="005E5E93"/>
    <w:rsid w:val="005E6F94"/>
    <w:rsid w:val="005E7038"/>
    <w:rsid w:val="005F50AA"/>
    <w:rsid w:val="005F5691"/>
    <w:rsid w:val="005F6D6C"/>
    <w:rsid w:val="005F7319"/>
    <w:rsid w:val="005F7861"/>
    <w:rsid w:val="00601D0E"/>
    <w:rsid w:val="00601D1A"/>
    <w:rsid w:val="00604D19"/>
    <w:rsid w:val="00607A4C"/>
    <w:rsid w:val="00607C1C"/>
    <w:rsid w:val="00611812"/>
    <w:rsid w:val="006148B5"/>
    <w:rsid w:val="006154D8"/>
    <w:rsid w:val="00615A29"/>
    <w:rsid w:val="006164DC"/>
    <w:rsid w:val="00616713"/>
    <w:rsid w:val="006176E4"/>
    <w:rsid w:val="00620197"/>
    <w:rsid w:val="006208C6"/>
    <w:rsid w:val="00622144"/>
    <w:rsid w:val="0062277C"/>
    <w:rsid w:val="00624209"/>
    <w:rsid w:val="006247AA"/>
    <w:rsid w:val="00625E6A"/>
    <w:rsid w:val="00626CC4"/>
    <w:rsid w:val="00636E70"/>
    <w:rsid w:val="00641872"/>
    <w:rsid w:val="00641D95"/>
    <w:rsid w:val="0064277D"/>
    <w:rsid w:val="006439AC"/>
    <w:rsid w:val="0064596B"/>
    <w:rsid w:val="00646805"/>
    <w:rsid w:val="00650799"/>
    <w:rsid w:val="00651242"/>
    <w:rsid w:val="00651A22"/>
    <w:rsid w:val="00652F0C"/>
    <w:rsid w:val="00654570"/>
    <w:rsid w:val="006554DE"/>
    <w:rsid w:val="006555B7"/>
    <w:rsid w:val="0065605F"/>
    <w:rsid w:val="00656B9B"/>
    <w:rsid w:val="006570CD"/>
    <w:rsid w:val="0065763F"/>
    <w:rsid w:val="00661C0B"/>
    <w:rsid w:val="00662C5D"/>
    <w:rsid w:val="00663EEA"/>
    <w:rsid w:val="006655C0"/>
    <w:rsid w:val="00666420"/>
    <w:rsid w:val="00667DF6"/>
    <w:rsid w:val="006703B8"/>
    <w:rsid w:val="00672FD7"/>
    <w:rsid w:val="006743F0"/>
    <w:rsid w:val="00676CAC"/>
    <w:rsid w:val="0068102B"/>
    <w:rsid w:val="00681143"/>
    <w:rsid w:val="006820C6"/>
    <w:rsid w:val="0068394F"/>
    <w:rsid w:val="006878AC"/>
    <w:rsid w:val="00687D71"/>
    <w:rsid w:val="00690555"/>
    <w:rsid w:val="00690A68"/>
    <w:rsid w:val="00691739"/>
    <w:rsid w:val="00691C52"/>
    <w:rsid w:val="006934DD"/>
    <w:rsid w:val="0069644B"/>
    <w:rsid w:val="00696511"/>
    <w:rsid w:val="00696B4C"/>
    <w:rsid w:val="006A05B0"/>
    <w:rsid w:val="006A12A3"/>
    <w:rsid w:val="006A2F36"/>
    <w:rsid w:val="006A33A9"/>
    <w:rsid w:val="006A3D0F"/>
    <w:rsid w:val="006A43FA"/>
    <w:rsid w:val="006A5147"/>
    <w:rsid w:val="006A613F"/>
    <w:rsid w:val="006A697B"/>
    <w:rsid w:val="006A7DC0"/>
    <w:rsid w:val="006B1D9C"/>
    <w:rsid w:val="006B273B"/>
    <w:rsid w:val="006B2C72"/>
    <w:rsid w:val="006B44F3"/>
    <w:rsid w:val="006B5F7C"/>
    <w:rsid w:val="006C51D1"/>
    <w:rsid w:val="006C540E"/>
    <w:rsid w:val="006C67FF"/>
    <w:rsid w:val="006C69E8"/>
    <w:rsid w:val="006C7318"/>
    <w:rsid w:val="006C7FF6"/>
    <w:rsid w:val="006D26B1"/>
    <w:rsid w:val="006D2AAF"/>
    <w:rsid w:val="006D4BAE"/>
    <w:rsid w:val="006D718A"/>
    <w:rsid w:val="006D7894"/>
    <w:rsid w:val="006D7FAA"/>
    <w:rsid w:val="006E0425"/>
    <w:rsid w:val="006E0ABF"/>
    <w:rsid w:val="006E2326"/>
    <w:rsid w:val="006E4064"/>
    <w:rsid w:val="006E43BA"/>
    <w:rsid w:val="006E59E8"/>
    <w:rsid w:val="006E5F23"/>
    <w:rsid w:val="006E6055"/>
    <w:rsid w:val="006E6C99"/>
    <w:rsid w:val="006E70D5"/>
    <w:rsid w:val="006F05C4"/>
    <w:rsid w:val="006F0711"/>
    <w:rsid w:val="006F0AFA"/>
    <w:rsid w:val="006F153A"/>
    <w:rsid w:val="006F2A33"/>
    <w:rsid w:val="006F41F0"/>
    <w:rsid w:val="006F4625"/>
    <w:rsid w:val="006F5182"/>
    <w:rsid w:val="006F729A"/>
    <w:rsid w:val="006F756E"/>
    <w:rsid w:val="007000E2"/>
    <w:rsid w:val="00700870"/>
    <w:rsid w:val="00702B2B"/>
    <w:rsid w:val="0070355F"/>
    <w:rsid w:val="007035EB"/>
    <w:rsid w:val="00705789"/>
    <w:rsid w:val="00705969"/>
    <w:rsid w:val="00705EF2"/>
    <w:rsid w:val="0071052C"/>
    <w:rsid w:val="00712C7F"/>
    <w:rsid w:val="0072109E"/>
    <w:rsid w:val="007238F5"/>
    <w:rsid w:val="00725146"/>
    <w:rsid w:val="007279B6"/>
    <w:rsid w:val="00727C0C"/>
    <w:rsid w:val="007304C2"/>
    <w:rsid w:val="00731864"/>
    <w:rsid w:val="00731EC7"/>
    <w:rsid w:val="007334C9"/>
    <w:rsid w:val="0073424E"/>
    <w:rsid w:val="00735443"/>
    <w:rsid w:val="00735C65"/>
    <w:rsid w:val="00735E5F"/>
    <w:rsid w:val="0073651F"/>
    <w:rsid w:val="00737A1D"/>
    <w:rsid w:val="007404E8"/>
    <w:rsid w:val="00742EE9"/>
    <w:rsid w:val="00743842"/>
    <w:rsid w:val="00743C49"/>
    <w:rsid w:val="00746285"/>
    <w:rsid w:val="0074669D"/>
    <w:rsid w:val="00751603"/>
    <w:rsid w:val="0075296D"/>
    <w:rsid w:val="0075606A"/>
    <w:rsid w:val="00756EE7"/>
    <w:rsid w:val="0075717A"/>
    <w:rsid w:val="0075741F"/>
    <w:rsid w:val="00757CCF"/>
    <w:rsid w:val="00761295"/>
    <w:rsid w:val="0076197C"/>
    <w:rsid w:val="00762378"/>
    <w:rsid w:val="00766205"/>
    <w:rsid w:val="00766A6B"/>
    <w:rsid w:val="00770046"/>
    <w:rsid w:val="0077036E"/>
    <w:rsid w:val="007706BA"/>
    <w:rsid w:val="00771262"/>
    <w:rsid w:val="00771CAB"/>
    <w:rsid w:val="00772F7D"/>
    <w:rsid w:val="007762AD"/>
    <w:rsid w:val="007765EF"/>
    <w:rsid w:val="00777549"/>
    <w:rsid w:val="00777E96"/>
    <w:rsid w:val="00780136"/>
    <w:rsid w:val="0078125C"/>
    <w:rsid w:val="00782841"/>
    <w:rsid w:val="00782D0F"/>
    <w:rsid w:val="007830E4"/>
    <w:rsid w:val="00784336"/>
    <w:rsid w:val="00784C5A"/>
    <w:rsid w:val="00785839"/>
    <w:rsid w:val="00785C64"/>
    <w:rsid w:val="007866EA"/>
    <w:rsid w:val="0078783A"/>
    <w:rsid w:val="00787F51"/>
    <w:rsid w:val="007913E2"/>
    <w:rsid w:val="007914F6"/>
    <w:rsid w:val="00791E7E"/>
    <w:rsid w:val="00792FAC"/>
    <w:rsid w:val="007930D0"/>
    <w:rsid w:val="0079376A"/>
    <w:rsid w:val="00795243"/>
    <w:rsid w:val="00795C79"/>
    <w:rsid w:val="00796900"/>
    <w:rsid w:val="007975C7"/>
    <w:rsid w:val="00797AC1"/>
    <w:rsid w:val="007A1863"/>
    <w:rsid w:val="007A54C3"/>
    <w:rsid w:val="007A577D"/>
    <w:rsid w:val="007A7750"/>
    <w:rsid w:val="007B0778"/>
    <w:rsid w:val="007B1D19"/>
    <w:rsid w:val="007B4939"/>
    <w:rsid w:val="007B5154"/>
    <w:rsid w:val="007B536F"/>
    <w:rsid w:val="007B6F8B"/>
    <w:rsid w:val="007B7274"/>
    <w:rsid w:val="007B7424"/>
    <w:rsid w:val="007B7BD8"/>
    <w:rsid w:val="007C116E"/>
    <w:rsid w:val="007C192B"/>
    <w:rsid w:val="007C2D0D"/>
    <w:rsid w:val="007C3D92"/>
    <w:rsid w:val="007C3F31"/>
    <w:rsid w:val="007C431D"/>
    <w:rsid w:val="007C528E"/>
    <w:rsid w:val="007C632C"/>
    <w:rsid w:val="007C6C3F"/>
    <w:rsid w:val="007C6F91"/>
    <w:rsid w:val="007C7796"/>
    <w:rsid w:val="007D096D"/>
    <w:rsid w:val="007D1698"/>
    <w:rsid w:val="007D1AE8"/>
    <w:rsid w:val="007D2CC8"/>
    <w:rsid w:val="007D348F"/>
    <w:rsid w:val="007D6BD9"/>
    <w:rsid w:val="007E13EA"/>
    <w:rsid w:val="007E442C"/>
    <w:rsid w:val="007E4B97"/>
    <w:rsid w:val="007E4C3F"/>
    <w:rsid w:val="007E58D8"/>
    <w:rsid w:val="007E5A52"/>
    <w:rsid w:val="007E5AEF"/>
    <w:rsid w:val="007E78FD"/>
    <w:rsid w:val="007F3308"/>
    <w:rsid w:val="007F3C4C"/>
    <w:rsid w:val="007F5731"/>
    <w:rsid w:val="007F6579"/>
    <w:rsid w:val="008005BA"/>
    <w:rsid w:val="00800BD5"/>
    <w:rsid w:val="00800D7B"/>
    <w:rsid w:val="008012FE"/>
    <w:rsid w:val="00801DA7"/>
    <w:rsid w:val="008027CC"/>
    <w:rsid w:val="00802F62"/>
    <w:rsid w:val="008039D2"/>
    <w:rsid w:val="0080466E"/>
    <w:rsid w:val="00804EC7"/>
    <w:rsid w:val="00806351"/>
    <w:rsid w:val="008101C1"/>
    <w:rsid w:val="00810BE8"/>
    <w:rsid w:val="00810C01"/>
    <w:rsid w:val="008117A6"/>
    <w:rsid w:val="00811B9C"/>
    <w:rsid w:val="008129AE"/>
    <w:rsid w:val="00814659"/>
    <w:rsid w:val="0081473E"/>
    <w:rsid w:val="008149DD"/>
    <w:rsid w:val="008150CC"/>
    <w:rsid w:val="0081658E"/>
    <w:rsid w:val="00816F16"/>
    <w:rsid w:val="00817CB7"/>
    <w:rsid w:val="00820064"/>
    <w:rsid w:val="00820E39"/>
    <w:rsid w:val="00821E10"/>
    <w:rsid w:val="00822757"/>
    <w:rsid w:val="00822A82"/>
    <w:rsid w:val="00822F2B"/>
    <w:rsid w:val="00823CC2"/>
    <w:rsid w:val="00823F5C"/>
    <w:rsid w:val="00826C79"/>
    <w:rsid w:val="00830B02"/>
    <w:rsid w:val="0083175A"/>
    <w:rsid w:val="008328C5"/>
    <w:rsid w:val="00836AF6"/>
    <w:rsid w:val="00837C34"/>
    <w:rsid w:val="00841177"/>
    <w:rsid w:val="0084238F"/>
    <w:rsid w:val="008424EC"/>
    <w:rsid w:val="00842B7F"/>
    <w:rsid w:val="00842FBC"/>
    <w:rsid w:val="008439CC"/>
    <w:rsid w:val="00844605"/>
    <w:rsid w:val="0084483A"/>
    <w:rsid w:val="00845071"/>
    <w:rsid w:val="008453D1"/>
    <w:rsid w:val="00847527"/>
    <w:rsid w:val="00847D90"/>
    <w:rsid w:val="008532A2"/>
    <w:rsid w:val="00855286"/>
    <w:rsid w:val="008571D7"/>
    <w:rsid w:val="0085723D"/>
    <w:rsid w:val="00857D74"/>
    <w:rsid w:val="0086029C"/>
    <w:rsid w:val="0086048F"/>
    <w:rsid w:val="00863304"/>
    <w:rsid w:val="0086381A"/>
    <w:rsid w:val="00864E37"/>
    <w:rsid w:val="00865E1A"/>
    <w:rsid w:val="008732DF"/>
    <w:rsid w:val="00874477"/>
    <w:rsid w:val="00875789"/>
    <w:rsid w:val="008767CB"/>
    <w:rsid w:val="00880A13"/>
    <w:rsid w:val="008810D4"/>
    <w:rsid w:val="00881CC4"/>
    <w:rsid w:val="00882303"/>
    <w:rsid w:val="00885D28"/>
    <w:rsid w:val="00886454"/>
    <w:rsid w:val="00886968"/>
    <w:rsid w:val="008869A0"/>
    <w:rsid w:val="00886FDF"/>
    <w:rsid w:val="0088799F"/>
    <w:rsid w:val="00890407"/>
    <w:rsid w:val="008909CD"/>
    <w:rsid w:val="00890E62"/>
    <w:rsid w:val="008946FB"/>
    <w:rsid w:val="00895609"/>
    <w:rsid w:val="00895D5C"/>
    <w:rsid w:val="008977B8"/>
    <w:rsid w:val="00897D37"/>
    <w:rsid w:val="008A229D"/>
    <w:rsid w:val="008A2963"/>
    <w:rsid w:val="008A46D4"/>
    <w:rsid w:val="008A4F9D"/>
    <w:rsid w:val="008A6792"/>
    <w:rsid w:val="008A777F"/>
    <w:rsid w:val="008A78F4"/>
    <w:rsid w:val="008B1A57"/>
    <w:rsid w:val="008B1DCF"/>
    <w:rsid w:val="008B1FF0"/>
    <w:rsid w:val="008B241C"/>
    <w:rsid w:val="008B28E7"/>
    <w:rsid w:val="008B2931"/>
    <w:rsid w:val="008B2D64"/>
    <w:rsid w:val="008B34FA"/>
    <w:rsid w:val="008B3697"/>
    <w:rsid w:val="008B4355"/>
    <w:rsid w:val="008B46BC"/>
    <w:rsid w:val="008B6A4D"/>
    <w:rsid w:val="008B7083"/>
    <w:rsid w:val="008C403A"/>
    <w:rsid w:val="008C4C71"/>
    <w:rsid w:val="008C5E2A"/>
    <w:rsid w:val="008C6306"/>
    <w:rsid w:val="008C6B22"/>
    <w:rsid w:val="008D0969"/>
    <w:rsid w:val="008D157E"/>
    <w:rsid w:val="008D2844"/>
    <w:rsid w:val="008D68ED"/>
    <w:rsid w:val="008D738F"/>
    <w:rsid w:val="008E169D"/>
    <w:rsid w:val="008E2701"/>
    <w:rsid w:val="008E3ADF"/>
    <w:rsid w:val="008E54DF"/>
    <w:rsid w:val="008E5AE6"/>
    <w:rsid w:val="008E609C"/>
    <w:rsid w:val="008E6226"/>
    <w:rsid w:val="008E7903"/>
    <w:rsid w:val="008E7CF2"/>
    <w:rsid w:val="008F00FC"/>
    <w:rsid w:val="008F138A"/>
    <w:rsid w:val="008F20A9"/>
    <w:rsid w:val="008F5A6D"/>
    <w:rsid w:val="008F5BB3"/>
    <w:rsid w:val="008F5FD3"/>
    <w:rsid w:val="008F73F6"/>
    <w:rsid w:val="008F74B8"/>
    <w:rsid w:val="008F78EA"/>
    <w:rsid w:val="00900248"/>
    <w:rsid w:val="00901562"/>
    <w:rsid w:val="00901AB7"/>
    <w:rsid w:val="00901C5E"/>
    <w:rsid w:val="009023C3"/>
    <w:rsid w:val="00902A92"/>
    <w:rsid w:val="00902F16"/>
    <w:rsid w:val="009055DA"/>
    <w:rsid w:val="009071EE"/>
    <w:rsid w:val="00911518"/>
    <w:rsid w:val="009119C6"/>
    <w:rsid w:val="0091269E"/>
    <w:rsid w:val="0091444E"/>
    <w:rsid w:val="00915CF9"/>
    <w:rsid w:val="00915E8E"/>
    <w:rsid w:val="00917A5A"/>
    <w:rsid w:val="009207F8"/>
    <w:rsid w:val="009222A7"/>
    <w:rsid w:val="009254DD"/>
    <w:rsid w:val="00925D0A"/>
    <w:rsid w:val="00925E4E"/>
    <w:rsid w:val="0092723E"/>
    <w:rsid w:val="009272FE"/>
    <w:rsid w:val="00932550"/>
    <w:rsid w:val="00932975"/>
    <w:rsid w:val="009330B9"/>
    <w:rsid w:val="009357E3"/>
    <w:rsid w:val="0094028E"/>
    <w:rsid w:val="009408AD"/>
    <w:rsid w:val="00941599"/>
    <w:rsid w:val="00941775"/>
    <w:rsid w:val="00942832"/>
    <w:rsid w:val="00942CB9"/>
    <w:rsid w:val="0094639A"/>
    <w:rsid w:val="0094789C"/>
    <w:rsid w:val="00947912"/>
    <w:rsid w:val="00947F01"/>
    <w:rsid w:val="009513F7"/>
    <w:rsid w:val="00951603"/>
    <w:rsid w:val="0095511C"/>
    <w:rsid w:val="0095521F"/>
    <w:rsid w:val="00960786"/>
    <w:rsid w:val="00961312"/>
    <w:rsid w:val="00961AD7"/>
    <w:rsid w:val="00962784"/>
    <w:rsid w:val="009635D0"/>
    <w:rsid w:val="009645AB"/>
    <w:rsid w:val="00965638"/>
    <w:rsid w:val="009664FB"/>
    <w:rsid w:val="00970D4C"/>
    <w:rsid w:val="00971D9A"/>
    <w:rsid w:val="009730BD"/>
    <w:rsid w:val="0097316F"/>
    <w:rsid w:val="00973F85"/>
    <w:rsid w:val="009745EE"/>
    <w:rsid w:val="00974A84"/>
    <w:rsid w:val="009753D4"/>
    <w:rsid w:val="009801BB"/>
    <w:rsid w:val="009812E3"/>
    <w:rsid w:val="009816A6"/>
    <w:rsid w:val="00981DD2"/>
    <w:rsid w:val="00983A2F"/>
    <w:rsid w:val="00985027"/>
    <w:rsid w:val="00985834"/>
    <w:rsid w:val="00986526"/>
    <w:rsid w:val="00992B7A"/>
    <w:rsid w:val="00994ED1"/>
    <w:rsid w:val="00996731"/>
    <w:rsid w:val="00996C63"/>
    <w:rsid w:val="00997814"/>
    <w:rsid w:val="00997935"/>
    <w:rsid w:val="00997EFA"/>
    <w:rsid w:val="009A0CBC"/>
    <w:rsid w:val="009A3965"/>
    <w:rsid w:val="009A4894"/>
    <w:rsid w:val="009A61F3"/>
    <w:rsid w:val="009A6D60"/>
    <w:rsid w:val="009A6F95"/>
    <w:rsid w:val="009A777E"/>
    <w:rsid w:val="009B0288"/>
    <w:rsid w:val="009B141F"/>
    <w:rsid w:val="009B15D1"/>
    <w:rsid w:val="009B6BE6"/>
    <w:rsid w:val="009C1CC3"/>
    <w:rsid w:val="009C24A1"/>
    <w:rsid w:val="009C4B0F"/>
    <w:rsid w:val="009C5580"/>
    <w:rsid w:val="009C5A43"/>
    <w:rsid w:val="009C6598"/>
    <w:rsid w:val="009C67F6"/>
    <w:rsid w:val="009C6830"/>
    <w:rsid w:val="009C6AEE"/>
    <w:rsid w:val="009C7548"/>
    <w:rsid w:val="009D1882"/>
    <w:rsid w:val="009D38F3"/>
    <w:rsid w:val="009D4440"/>
    <w:rsid w:val="009D490A"/>
    <w:rsid w:val="009E0814"/>
    <w:rsid w:val="009E1926"/>
    <w:rsid w:val="009E31EE"/>
    <w:rsid w:val="009E3F41"/>
    <w:rsid w:val="009E591B"/>
    <w:rsid w:val="009E5B43"/>
    <w:rsid w:val="009E5CD2"/>
    <w:rsid w:val="009E6786"/>
    <w:rsid w:val="009F20B2"/>
    <w:rsid w:val="009F32BD"/>
    <w:rsid w:val="009F603B"/>
    <w:rsid w:val="009F6BAA"/>
    <w:rsid w:val="009F7136"/>
    <w:rsid w:val="009F756E"/>
    <w:rsid w:val="009F7FE7"/>
    <w:rsid w:val="00A001A8"/>
    <w:rsid w:val="00A008E9"/>
    <w:rsid w:val="00A018DE"/>
    <w:rsid w:val="00A03C47"/>
    <w:rsid w:val="00A04EEF"/>
    <w:rsid w:val="00A067F2"/>
    <w:rsid w:val="00A11A3C"/>
    <w:rsid w:val="00A131DD"/>
    <w:rsid w:val="00A138BD"/>
    <w:rsid w:val="00A16EAE"/>
    <w:rsid w:val="00A17087"/>
    <w:rsid w:val="00A17820"/>
    <w:rsid w:val="00A2027F"/>
    <w:rsid w:val="00A2033A"/>
    <w:rsid w:val="00A22524"/>
    <w:rsid w:val="00A2334C"/>
    <w:rsid w:val="00A2513E"/>
    <w:rsid w:val="00A31034"/>
    <w:rsid w:val="00A31BED"/>
    <w:rsid w:val="00A32C8B"/>
    <w:rsid w:val="00A33E76"/>
    <w:rsid w:val="00A354A1"/>
    <w:rsid w:val="00A356AA"/>
    <w:rsid w:val="00A35D66"/>
    <w:rsid w:val="00A361D0"/>
    <w:rsid w:val="00A373E9"/>
    <w:rsid w:val="00A37640"/>
    <w:rsid w:val="00A37AF8"/>
    <w:rsid w:val="00A412C7"/>
    <w:rsid w:val="00A417B5"/>
    <w:rsid w:val="00A41BBA"/>
    <w:rsid w:val="00A42DA1"/>
    <w:rsid w:val="00A44D23"/>
    <w:rsid w:val="00A50997"/>
    <w:rsid w:val="00A5109B"/>
    <w:rsid w:val="00A51D53"/>
    <w:rsid w:val="00A52768"/>
    <w:rsid w:val="00A52DCD"/>
    <w:rsid w:val="00A52E32"/>
    <w:rsid w:val="00A54E6D"/>
    <w:rsid w:val="00A5528E"/>
    <w:rsid w:val="00A553A3"/>
    <w:rsid w:val="00A55B20"/>
    <w:rsid w:val="00A55C75"/>
    <w:rsid w:val="00A564B2"/>
    <w:rsid w:val="00A572FB"/>
    <w:rsid w:val="00A6153A"/>
    <w:rsid w:val="00A61D92"/>
    <w:rsid w:val="00A63DED"/>
    <w:rsid w:val="00A64862"/>
    <w:rsid w:val="00A64BD0"/>
    <w:rsid w:val="00A66772"/>
    <w:rsid w:val="00A723CF"/>
    <w:rsid w:val="00A724EE"/>
    <w:rsid w:val="00A72775"/>
    <w:rsid w:val="00A74E0F"/>
    <w:rsid w:val="00A75B17"/>
    <w:rsid w:val="00A769F4"/>
    <w:rsid w:val="00A81766"/>
    <w:rsid w:val="00A826E1"/>
    <w:rsid w:val="00A84B3D"/>
    <w:rsid w:val="00A85713"/>
    <w:rsid w:val="00A90FE1"/>
    <w:rsid w:val="00A916B2"/>
    <w:rsid w:val="00A91910"/>
    <w:rsid w:val="00A92A05"/>
    <w:rsid w:val="00A92C02"/>
    <w:rsid w:val="00A93A4E"/>
    <w:rsid w:val="00A93D19"/>
    <w:rsid w:val="00A95BF0"/>
    <w:rsid w:val="00A96493"/>
    <w:rsid w:val="00A96594"/>
    <w:rsid w:val="00A9755C"/>
    <w:rsid w:val="00A9799A"/>
    <w:rsid w:val="00AA354E"/>
    <w:rsid w:val="00AA45E1"/>
    <w:rsid w:val="00AA51DC"/>
    <w:rsid w:val="00AA6BA7"/>
    <w:rsid w:val="00AA6C22"/>
    <w:rsid w:val="00AB0170"/>
    <w:rsid w:val="00AB0F34"/>
    <w:rsid w:val="00AB224A"/>
    <w:rsid w:val="00AB2D53"/>
    <w:rsid w:val="00AB4821"/>
    <w:rsid w:val="00AC0C5B"/>
    <w:rsid w:val="00AC1A9E"/>
    <w:rsid w:val="00AC4402"/>
    <w:rsid w:val="00AC5A52"/>
    <w:rsid w:val="00AC5BA7"/>
    <w:rsid w:val="00AC5DBE"/>
    <w:rsid w:val="00AC7F90"/>
    <w:rsid w:val="00AD15AE"/>
    <w:rsid w:val="00AD1D3F"/>
    <w:rsid w:val="00AD2583"/>
    <w:rsid w:val="00AD2DE5"/>
    <w:rsid w:val="00AD36E3"/>
    <w:rsid w:val="00AD473E"/>
    <w:rsid w:val="00AD4A68"/>
    <w:rsid w:val="00AD5381"/>
    <w:rsid w:val="00AD5DA8"/>
    <w:rsid w:val="00AD7989"/>
    <w:rsid w:val="00AE29E2"/>
    <w:rsid w:val="00AE316B"/>
    <w:rsid w:val="00AE5421"/>
    <w:rsid w:val="00AE5B87"/>
    <w:rsid w:val="00AE62FB"/>
    <w:rsid w:val="00AE6573"/>
    <w:rsid w:val="00AE677B"/>
    <w:rsid w:val="00AE7D00"/>
    <w:rsid w:val="00AF0168"/>
    <w:rsid w:val="00AF02D6"/>
    <w:rsid w:val="00AF0C1F"/>
    <w:rsid w:val="00AF1248"/>
    <w:rsid w:val="00AF1CA1"/>
    <w:rsid w:val="00AF2C50"/>
    <w:rsid w:val="00AF3858"/>
    <w:rsid w:val="00AF3B21"/>
    <w:rsid w:val="00AF453B"/>
    <w:rsid w:val="00AF4B66"/>
    <w:rsid w:val="00AF55CB"/>
    <w:rsid w:val="00AF57A9"/>
    <w:rsid w:val="00B0008F"/>
    <w:rsid w:val="00B006F1"/>
    <w:rsid w:val="00B00D7A"/>
    <w:rsid w:val="00B0223B"/>
    <w:rsid w:val="00B02EDC"/>
    <w:rsid w:val="00B03029"/>
    <w:rsid w:val="00B05860"/>
    <w:rsid w:val="00B07E54"/>
    <w:rsid w:val="00B07E94"/>
    <w:rsid w:val="00B11614"/>
    <w:rsid w:val="00B119DC"/>
    <w:rsid w:val="00B124C1"/>
    <w:rsid w:val="00B12535"/>
    <w:rsid w:val="00B13504"/>
    <w:rsid w:val="00B13F66"/>
    <w:rsid w:val="00B14908"/>
    <w:rsid w:val="00B1579B"/>
    <w:rsid w:val="00B15D70"/>
    <w:rsid w:val="00B1796F"/>
    <w:rsid w:val="00B22C57"/>
    <w:rsid w:val="00B24072"/>
    <w:rsid w:val="00B25045"/>
    <w:rsid w:val="00B25779"/>
    <w:rsid w:val="00B2691C"/>
    <w:rsid w:val="00B26956"/>
    <w:rsid w:val="00B3007B"/>
    <w:rsid w:val="00B30B74"/>
    <w:rsid w:val="00B30F64"/>
    <w:rsid w:val="00B311BC"/>
    <w:rsid w:val="00B3222A"/>
    <w:rsid w:val="00B33580"/>
    <w:rsid w:val="00B33BCE"/>
    <w:rsid w:val="00B34091"/>
    <w:rsid w:val="00B34C7C"/>
    <w:rsid w:val="00B41584"/>
    <w:rsid w:val="00B444DC"/>
    <w:rsid w:val="00B46223"/>
    <w:rsid w:val="00B53530"/>
    <w:rsid w:val="00B574C6"/>
    <w:rsid w:val="00B6064B"/>
    <w:rsid w:val="00B61AFE"/>
    <w:rsid w:val="00B61D00"/>
    <w:rsid w:val="00B632E8"/>
    <w:rsid w:val="00B640AF"/>
    <w:rsid w:val="00B64F84"/>
    <w:rsid w:val="00B702DD"/>
    <w:rsid w:val="00B7100E"/>
    <w:rsid w:val="00B712C1"/>
    <w:rsid w:val="00B72225"/>
    <w:rsid w:val="00B73F0E"/>
    <w:rsid w:val="00B75432"/>
    <w:rsid w:val="00B75F3C"/>
    <w:rsid w:val="00B768F5"/>
    <w:rsid w:val="00B772D5"/>
    <w:rsid w:val="00B80C70"/>
    <w:rsid w:val="00B81331"/>
    <w:rsid w:val="00B81DF6"/>
    <w:rsid w:val="00B81DFE"/>
    <w:rsid w:val="00B830F7"/>
    <w:rsid w:val="00B83861"/>
    <w:rsid w:val="00B84F6D"/>
    <w:rsid w:val="00B93717"/>
    <w:rsid w:val="00B94196"/>
    <w:rsid w:val="00B946FF"/>
    <w:rsid w:val="00B94D26"/>
    <w:rsid w:val="00B94D5C"/>
    <w:rsid w:val="00B960C6"/>
    <w:rsid w:val="00B96697"/>
    <w:rsid w:val="00B97309"/>
    <w:rsid w:val="00BA23EB"/>
    <w:rsid w:val="00BA24EF"/>
    <w:rsid w:val="00BA4343"/>
    <w:rsid w:val="00BB031B"/>
    <w:rsid w:val="00BB0B08"/>
    <w:rsid w:val="00BB0EBE"/>
    <w:rsid w:val="00BB1C71"/>
    <w:rsid w:val="00BB2BC9"/>
    <w:rsid w:val="00BB328C"/>
    <w:rsid w:val="00BB4743"/>
    <w:rsid w:val="00BB499D"/>
    <w:rsid w:val="00BB7CC3"/>
    <w:rsid w:val="00BC09B7"/>
    <w:rsid w:val="00BC2FFB"/>
    <w:rsid w:val="00BC38C6"/>
    <w:rsid w:val="00BC393C"/>
    <w:rsid w:val="00BC3FCB"/>
    <w:rsid w:val="00BC5E28"/>
    <w:rsid w:val="00BC6621"/>
    <w:rsid w:val="00BC723E"/>
    <w:rsid w:val="00BC78A7"/>
    <w:rsid w:val="00BC7BD9"/>
    <w:rsid w:val="00BD07B1"/>
    <w:rsid w:val="00BD139E"/>
    <w:rsid w:val="00BD175B"/>
    <w:rsid w:val="00BD5279"/>
    <w:rsid w:val="00BD5C85"/>
    <w:rsid w:val="00BE030D"/>
    <w:rsid w:val="00BE10DC"/>
    <w:rsid w:val="00BE1493"/>
    <w:rsid w:val="00BE1B12"/>
    <w:rsid w:val="00BE3701"/>
    <w:rsid w:val="00BE387F"/>
    <w:rsid w:val="00BE52AF"/>
    <w:rsid w:val="00BE57D1"/>
    <w:rsid w:val="00BF0B11"/>
    <w:rsid w:val="00BF0CD1"/>
    <w:rsid w:val="00BF1CC6"/>
    <w:rsid w:val="00BF1D7E"/>
    <w:rsid w:val="00BF2E8D"/>
    <w:rsid w:val="00BF4869"/>
    <w:rsid w:val="00BF4944"/>
    <w:rsid w:val="00BF4DE3"/>
    <w:rsid w:val="00BF5FD8"/>
    <w:rsid w:val="00BF799E"/>
    <w:rsid w:val="00C02439"/>
    <w:rsid w:val="00C02A18"/>
    <w:rsid w:val="00C06C40"/>
    <w:rsid w:val="00C074C2"/>
    <w:rsid w:val="00C07C10"/>
    <w:rsid w:val="00C11507"/>
    <w:rsid w:val="00C15089"/>
    <w:rsid w:val="00C15EC8"/>
    <w:rsid w:val="00C1604C"/>
    <w:rsid w:val="00C16CC3"/>
    <w:rsid w:val="00C172ED"/>
    <w:rsid w:val="00C21585"/>
    <w:rsid w:val="00C219BE"/>
    <w:rsid w:val="00C220A3"/>
    <w:rsid w:val="00C22146"/>
    <w:rsid w:val="00C223F0"/>
    <w:rsid w:val="00C246D9"/>
    <w:rsid w:val="00C2674F"/>
    <w:rsid w:val="00C2694E"/>
    <w:rsid w:val="00C26F18"/>
    <w:rsid w:val="00C27E99"/>
    <w:rsid w:val="00C31B9D"/>
    <w:rsid w:val="00C3287C"/>
    <w:rsid w:val="00C3289F"/>
    <w:rsid w:val="00C32AE9"/>
    <w:rsid w:val="00C32D4F"/>
    <w:rsid w:val="00C336F2"/>
    <w:rsid w:val="00C36179"/>
    <w:rsid w:val="00C36222"/>
    <w:rsid w:val="00C37B37"/>
    <w:rsid w:val="00C4085E"/>
    <w:rsid w:val="00C41D97"/>
    <w:rsid w:val="00C43020"/>
    <w:rsid w:val="00C44112"/>
    <w:rsid w:val="00C45188"/>
    <w:rsid w:val="00C458EC"/>
    <w:rsid w:val="00C46323"/>
    <w:rsid w:val="00C46559"/>
    <w:rsid w:val="00C46866"/>
    <w:rsid w:val="00C47956"/>
    <w:rsid w:val="00C5350B"/>
    <w:rsid w:val="00C53C76"/>
    <w:rsid w:val="00C54EF2"/>
    <w:rsid w:val="00C57652"/>
    <w:rsid w:val="00C60581"/>
    <w:rsid w:val="00C6112B"/>
    <w:rsid w:val="00C61BB7"/>
    <w:rsid w:val="00C63084"/>
    <w:rsid w:val="00C63809"/>
    <w:rsid w:val="00C6391A"/>
    <w:rsid w:val="00C63CDC"/>
    <w:rsid w:val="00C65095"/>
    <w:rsid w:val="00C6674F"/>
    <w:rsid w:val="00C711B0"/>
    <w:rsid w:val="00C738E5"/>
    <w:rsid w:val="00C75CD8"/>
    <w:rsid w:val="00C762E9"/>
    <w:rsid w:val="00C824B5"/>
    <w:rsid w:val="00C83180"/>
    <w:rsid w:val="00C8441B"/>
    <w:rsid w:val="00C84669"/>
    <w:rsid w:val="00C85159"/>
    <w:rsid w:val="00C85F32"/>
    <w:rsid w:val="00C86CB9"/>
    <w:rsid w:val="00C91682"/>
    <w:rsid w:val="00C91DAC"/>
    <w:rsid w:val="00C92C81"/>
    <w:rsid w:val="00C9438A"/>
    <w:rsid w:val="00C9790D"/>
    <w:rsid w:val="00CA0082"/>
    <w:rsid w:val="00CA0DA3"/>
    <w:rsid w:val="00CA2524"/>
    <w:rsid w:val="00CA64F9"/>
    <w:rsid w:val="00CA6B7D"/>
    <w:rsid w:val="00CB2812"/>
    <w:rsid w:val="00CB3ED7"/>
    <w:rsid w:val="00CB405D"/>
    <w:rsid w:val="00CB4453"/>
    <w:rsid w:val="00CB4F4E"/>
    <w:rsid w:val="00CB69E0"/>
    <w:rsid w:val="00CB7B50"/>
    <w:rsid w:val="00CC014D"/>
    <w:rsid w:val="00CC532D"/>
    <w:rsid w:val="00CC55EE"/>
    <w:rsid w:val="00CC617F"/>
    <w:rsid w:val="00CC6E25"/>
    <w:rsid w:val="00CC79EE"/>
    <w:rsid w:val="00CD0E76"/>
    <w:rsid w:val="00CD2AC1"/>
    <w:rsid w:val="00CD55A9"/>
    <w:rsid w:val="00CE0C54"/>
    <w:rsid w:val="00CE1C80"/>
    <w:rsid w:val="00CE558D"/>
    <w:rsid w:val="00CE56F4"/>
    <w:rsid w:val="00CE5CD7"/>
    <w:rsid w:val="00CE71B6"/>
    <w:rsid w:val="00CE795F"/>
    <w:rsid w:val="00CF0656"/>
    <w:rsid w:val="00CF1451"/>
    <w:rsid w:val="00CF1A91"/>
    <w:rsid w:val="00CF265A"/>
    <w:rsid w:val="00CF2712"/>
    <w:rsid w:val="00CF2F2F"/>
    <w:rsid w:val="00CF3BA1"/>
    <w:rsid w:val="00CF4A36"/>
    <w:rsid w:val="00CF4FED"/>
    <w:rsid w:val="00CF54AC"/>
    <w:rsid w:val="00CF5807"/>
    <w:rsid w:val="00D00301"/>
    <w:rsid w:val="00D008BD"/>
    <w:rsid w:val="00D01311"/>
    <w:rsid w:val="00D03CAA"/>
    <w:rsid w:val="00D121AC"/>
    <w:rsid w:val="00D1328E"/>
    <w:rsid w:val="00D1460E"/>
    <w:rsid w:val="00D152AF"/>
    <w:rsid w:val="00D157EC"/>
    <w:rsid w:val="00D15A76"/>
    <w:rsid w:val="00D15AF7"/>
    <w:rsid w:val="00D172EF"/>
    <w:rsid w:val="00D17525"/>
    <w:rsid w:val="00D229DC"/>
    <w:rsid w:val="00D229E3"/>
    <w:rsid w:val="00D22B76"/>
    <w:rsid w:val="00D22DFB"/>
    <w:rsid w:val="00D231DB"/>
    <w:rsid w:val="00D25B02"/>
    <w:rsid w:val="00D27843"/>
    <w:rsid w:val="00D3073C"/>
    <w:rsid w:val="00D30775"/>
    <w:rsid w:val="00D319AA"/>
    <w:rsid w:val="00D31B8F"/>
    <w:rsid w:val="00D3200C"/>
    <w:rsid w:val="00D32933"/>
    <w:rsid w:val="00D339A1"/>
    <w:rsid w:val="00D346EF"/>
    <w:rsid w:val="00D3517F"/>
    <w:rsid w:val="00D35769"/>
    <w:rsid w:val="00D365CE"/>
    <w:rsid w:val="00D4065A"/>
    <w:rsid w:val="00D40831"/>
    <w:rsid w:val="00D417CA"/>
    <w:rsid w:val="00D418B1"/>
    <w:rsid w:val="00D43CCD"/>
    <w:rsid w:val="00D5134E"/>
    <w:rsid w:val="00D51E44"/>
    <w:rsid w:val="00D527AD"/>
    <w:rsid w:val="00D52AA7"/>
    <w:rsid w:val="00D52B9E"/>
    <w:rsid w:val="00D53362"/>
    <w:rsid w:val="00D5383D"/>
    <w:rsid w:val="00D53899"/>
    <w:rsid w:val="00D53DD0"/>
    <w:rsid w:val="00D5658C"/>
    <w:rsid w:val="00D60846"/>
    <w:rsid w:val="00D6093F"/>
    <w:rsid w:val="00D62E18"/>
    <w:rsid w:val="00D6346E"/>
    <w:rsid w:val="00D67392"/>
    <w:rsid w:val="00D70E36"/>
    <w:rsid w:val="00D7128C"/>
    <w:rsid w:val="00D71395"/>
    <w:rsid w:val="00D73A4B"/>
    <w:rsid w:val="00D74B0D"/>
    <w:rsid w:val="00D75C0B"/>
    <w:rsid w:val="00D80EE1"/>
    <w:rsid w:val="00D81E9E"/>
    <w:rsid w:val="00D825A9"/>
    <w:rsid w:val="00D90830"/>
    <w:rsid w:val="00D91083"/>
    <w:rsid w:val="00D91A82"/>
    <w:rsid w:val="00D91CF3"/>
    <w:rsid w:val="00D929FA"/>
    <w:rsid w:val="00D939F7"/>
    <w:rsid w:val="00D94357"/>
    <w:rsid w:val="00D95151"/>
    <w:rsid w:val="00DA2F99"/>
    <w:rsid w:val="00DA4A05"/>
    <w:rsid w:val="00DA531D"/>
    <w:rsid w:val="00DA55E6"/>
    <w:rsid w:val="00DA58D5"/>
    <w:rsid w:val="00DA7998"/>
    <w:rsid w:val="00DB09A7"/>
    <w:rsid w:val="00DB161F"/>
    <w:rsid w:val="00DB21E2"/>
    <w:rsid w:val="00DB25B2"/>
    <w:rsid w:val="00DB2C24"/>
    <w:rsid w:val="00DB430B"/>
    <w:rsid w:val="00DB43E8"/>
    <w:rsid w:val="00DB64F9"/>
    <w:rsid w:val="00DB6939"/>
    <w:rsid w:val="00DB6ED7"/>
    <w:rsid w:val="00DB7A8C"/>
    <w:rsid w:val="00DC0204"/>
    <w:rsid w:val="00DC091B"/>
    <w:rsid w:val="00DC0D18"/>
    <w:rsid w:val="00DC0E78"/>
    <w:rsid w:val="00DC230A"/>
    <w:rsid w:val="00DC5C46"/>
    <w:rsid w:val="00DC628C"/>
    <w:rsid w:val="00DC7082"/>
    <w:rsid w:val="00DD3CCC"/>
    <w:rsid w:val="00DD6478"/>
    <w:rsid w:val="00DE06BC"/>
    <w:rsid w:val="00DE19B7"/>
    <w:rsid w:val="00DE58B5"/>
    <w:rsid w:val="00DE7140"/>
    <w:rsid w:val="00DF0C24"/>
    <w:rsid w:val="00DF131C"/>
    <w:rsid w:val="00DF132C"/>
    <w:rsid w:val="00DF2D2B"/>
    <w:rsid w:val="00DF34E0"/>
    <w:rsid w:val="00DF3C9E"/>
    <w:rsid w:val="00DF585A"/>
    <w:rsid w:val="00DF7982"/>
    <w:rsid w:val="00E00B13"/>
    <w:rsid w:val="00E027B8"/>
    <w:rsid w:val="00E02FEE"/>
    <w:rsid w:val="00E0350F"/>
    <w:rsid w:val="00E03578"/>
    <w:rsid w:val="00E04746"/>
    <w:rsid w:val="00E049D2"/>
    <w:rsid w:val="00E049FE"/>
    <w:rsid w:val="00E056B3"/>
    <w:rsid w:val="00E07549"/>
    <w:rsid w:val="00E105E7"/>
    <w:rsid w:val="00E11100"/>
    <w:rsid w:val="00E120AF"/>
    <w:rsid w:val="00E12EE2"/>
    <w:rsid w:val="00E14D0F"/>
    <w:rsid w:val="00E1614E"/>
    <w:rsid w:val="00E17222"/>
    <w:rsid w:val="00E21EE7"/>
    <w:rsid w:val="00E226FA"/>
    <w:rsid w:val="00E230C4"/>
    <w:rsid w:val="00E2332F"/>
    <w:rsid w:val="00E24A2D"/>
    <w:rsid w:val="00E307CB"/>
    <w:rsid w:val="00E30B50"/>
    <w:rsid w:val="00E31933"/>
    <w:rsid w:val="00E3223D"/>
    <w:rsid w:val="00E32721"/>
    <w:rsid w:val="00E33427"/>
    <w:rsid w:val="00E350B8"/>
    <w:rsid w:val="00E3533D"/>
    <w:rsid w:val="00E36B7B"/>
    <w:rsid w:val="00E3733D"/>
    <w:rsid w:val="00E41DE0"/>
    <w:rsid w:val="00E434DB"/>
    <w:rsid w:val="00E43A71"/>
    <w:rsid w:val="00E449B5"/>
    <w:rsid w:val="00E44AB2"/>
    <w:rsid w:val="00E45C06"/>
    <w:rsid w:val="00E45C17"/>
    <w:rsid w:val="00E45F49"/>
    <w:rsid w:val="00E46ACE"/>
    <w:rsid w:val="00E50346"/>
    <w:rsid w:val="00E50DC9"/>
    <w:rsid w:val="00E50EEA"/>
    <w:rsid w:val="00E5316D"/>
    <w:rsid w:val="00E60E45"/>
    <w:rsid w:val="00E62C66"/>
    <w:rsid w:val="00E630D5"/>
    <w:rsid w:val="00E64EB5"/>
    <w:rsid w:val="00E65296"/>
    <w:rsid w:val="00E65AE3"/>
    <w:rsid w:val="00E660B6"/>
    <w:rsid w:val="00E672DC"/>
    <w:rsid w:val="00E700AB"/>
    <w:rsid w:val="00E7332D"/>
    <w:rsid w:val="00E764BD"/>
    <w:rsid w:val="00E764FC"/>
    <w:rsid w:val="00E76DA5"/>
    <w:rsid w:val="00E80C7B"/>
    <w:rsid w:val="00E816B7"/>
    <w:rsid w:val="00E828F9"/>
    <w:rsid w:val="00E85509"/>
    <w:rsid w:val="00E87640"/>
    <w:rsid w:val="00E87741"/>
    <w:rsid w:val="00E905B3"/>
    <w:rsid w:val="00E91854"/>
    <w:rsid w:val="00E92348"/>
    <w:rsid w:val="00E93F77"/>
    <w:rsid w:val="00E9433D"/>
    <w:rsid w:val="00E96BCC"/>
    <w:rsid w:val="00EA0291"/>
    <w:rsid w:val="00EA1109"/>
    <w:rsid w:val="00EA243E"/>
    <w:rsid w:val="00EA273F"/>
    <w:rsid w:val="00EA3C51"/>
    <w:rsid w:val="00EA643D"/>
    <w:rsid w:val="00EA6B7F"/>
    <w:rsid w:val="00EB1299"/>
    <w:rsid w:val="00EB1613"/>
    <w:rsid w:val="00EB43BE"/>
    <w:rsid w:val="00EB4A4A"/>
    <w:rsid w:val="00EB5121"/>
    <w:rsid w:val="00EB527B"/>
    <w:rsid w:val="00EB7ACF"/>
    <w:rsid w:val="00EB7B86"/>
    <w:rsid w:val="00EC41A9"/>
    <w:rsid w:val="00EC462E"/>
    <w:rsid w:val="00EC4C97"/>
    <w:rsid w:val="00EC4F29"/>
    <w:rsid w:val="00EC7B76"/>
    <w:rsid w:val="00ED183A"/>
    <w:rsid w:val="00ED4369"/>
    <w:rsid w:val="00ED4D01"/>
    <w:rsid w:val="00ED4F51"/>
    <w:rsid w:val="00ED6B30"/>
    <w:rsid w:val="00ED75DE"/>
    <w:rsid w:val="00ED770F"/>
    <w:rsid w:val="00EE02A8"/>
    <w:rsid w:val="00EE2392"/>
    <w:rsid w:val="00EE2477"/>
    <w:rsid w:val="00EE26DE"/>
    <w:rsid w:val="00EE3C56"/>
    <w:rsid w:val="00EE6A6E"/>
    <w:rsid w:val="00EE7F7B"/>
    <w:rsid w:val="00EF0A53"/>
    <w:rsid w:val="00EF0E8B"/>
    <w:rsid w:val="00EF1389"/>
    <w:rsid w:val="00EF17D0"/>
    <w:rsid w:val="00EF1CA2"/>
    <w:rsid w:val="00EF2A0B"/>
    <w:rsid w:val="00EF2B04"/>
    <w:rsid w:val="00EF63CC"/>
    <w:rsid w:val="00F00899"/>
    <w:rsid w:val="00F00F4A"/>
    <w:rsid w:val="00F02891"/>
    <w:rsid w:val="00F05832"/>
    <w:rsid w:val="00F067DE"/>
    <w:rsid w:val="00F06CDB"/>
    <w:rsid w:val="00F06EBF"/>
    <w:rsid w:val="00F06F4B"/>
    <w:rsid w:val="00F0725D"/>
    <w:rsid w:val="00F10003"/>
    <w:rsid w:val="00F1056F"/>
    <w:rsid w:val="00F1063A"/>
    <w:rsid w:val="00F14032"/>
    <w:rsid w:val="00F1413C"/>
    <w:rsid w:val="00F14215"/>
    <w:rsid w:val="00F146AD"/>
    <w:rsid w:val="00F15084"/>
    <w:rsid w:val="00F150EC"/>
    <w:rsid w:val="00F16B15"/>
    <w:rsid w:val="00F16D2E"/>
    <w:rsid w:val="00F17C63"/>
    <w:rsid w:val="00F17D54"/>
    <w:rsid w:val="00F21E9C"/>
    <w:rsid w:val="00F234FC"/>
    <w:rsid w:val="00F2390A"/>
    <w:rsid w:val="00F23ABE"/>
    <w:rsid w:val="00F25A31"/>
    <w:rsid w:val="00F25FD5"/>
    <w:rsid w:val="00F25FD9"/>
    <w:rsid w:val="00F26743"/>
    <w:rsid w:val="00F26799"/>
    <w:rsid w:val="00F27F4A"/>
    <w:rsid w:val="00F304F9"/>
    <w:rsid w:val="00F30AAD"/>
    <w:rsid w:val="00F30C72"/>
    <w:rsid w:val="00F3189B"/>
    <w:rsid w:val="00F3427D"/>
    <w:rsid w:val="00F35561"/>
    <w:rsid w:val="00F36C84"/>
    <w:rsid w:val="00F37123"/>
    <w:rsid w:val="00F374C5"/>
    <w:rsid w:val="00F379E9"/>
    <w:rsid w:val="00F407E1"/>
    <w:rsid w:val="00F41217"/>
    <w:rsid w:val="00F41619"/>
    <w:rsid w:val="00F4520E"/>
    <w:rsid w:val="00F46257"/>
    <w:rsid w:val="00F47693"/>
    <w:rsid w:val="00F47ABC"/>
    <w:rsid w:val="00F507D3"/>
    <w:rsid w:val="00F514A9"/>
    <w:rsid w:val="00F52821"/>
    <w:rsid w:val="00F53632"/>
    <w:rsid w:val="00F53C1B"/>
    <w:rsid w:val="00F54708"/>
    <w:rsid w:val="00F54A0A"/>
    <w:rsid w:val="00F54B00"/>
    <w:rsid w:val="00F57EB8"/>
    <w:rsid w:val="00F60155"/>
    <w:rsid w:val="00F60EFF"/>
    <w:rsid w:val="00F61988"/>
    <w:rsid w:val="00F61AB4"/>
    <w:rsid w:val="00F620BD"/>
    <w:rsid w:val="00F64452"/>
    <w:rsid w:val="00F64C56"/>
    <w:rsid w:val="00F708A6"/>
    <w:rsid w:val="00F70D87"/>
    <w:rsid w:val="00F71E46"/>
    <w:rsid w:val="00F72AC3"/>
    <w:rsid w:val="00F73053"/>
    <w:rsid w:val="00F74C03"/>
    <w:rsid w:val="00F751FF"/>
    <w:rsid w:val="00F75A7A"/>
    <w:rsid w:val="00F77311"/>
    <w:rsid w:val="00F83FFF"/>
    <w:rsid w:val="00F8479C"/>
    <w:rsid w:val="00F84C25"/>
    <w:rsid w:val="00F85DCB"/>
    <w:rsid w:val="00F87828"/>
    <w:rsid w:val="00F90F40"/>
    <w:rsid w:val="00F91C6C"/>
    <w:rsid w:val="00F92679"/>
    <w:rsid w:val="00F9308A"/>
    <w:rsid w:val="00F95BFA"/>
    <w:rsid w:val="00F97AF6"/>
    <w:rsid w:val="00F97FCD"/>
    <w:rsid w:val="00FA29BD"/>
    <w:rsid w:val="00FA53F4"/>
    <w:rsid w:val="00FA57B9"/>
    <w:rsid w:val="00FB221B"/>
    <w:rsid w:val="00FB2339"/>
    <w:rsid w:val="00FB32F3"/>
    <w:rsid w:val="00FB4504"/>
    <w:rsid w:val="00FB5FC2"/>
    <w:rsid w:val="00FB7091"/>
    <w:rsid w:val="00FB74B0"/>
    <w:rsid w:val="00FB79D7"/>
    <w:rsid w:val="00FC0170"/>
    <w:rsid w:val="00FC0875"/>
    <w:rsid w:val="00FC1A7D"/>
    <w:rsid w:val="00FC34FB"/>
    <w:rsid w:val="00FC37FF"/>
    <w:rsid w:val="00FC540B"/>
    <w:rsid w:val="00FC714D"/>
    <w:rsid w:val="00FD0454"/>
    <w:rsid w:val="00FD0C66"/>
    <w:rsid w:val="00FD4EDA"/>
    <w:rsid w:val="00FD6E0B"/>
    <w:rsid w:val="00FE06BB"/>
    <w:rsid w:val="00FE098B"/>
    <w:rsid w:val="00FE0F68"/>
    <w:rsid w:val="00FE11EA"/>
    <w:rsid w:val="00FE2105"/>
    <w:rsid w:val="00FE265C"/>
    <w:rsid w:val="00FE27DA"/>
    <w:rsid w:val="00FE3EC1"/>
    <w:rsid w:val="00FE5223"/>
    <w:rsid w:val="00FE5909"/>
    <w:rsid w:val="00FE7394"/>
    <w:rsid w:val="00FF09EE"/>
    <w:rsid w:val="00FF2154"/>
    <w:rsid w:val="00FF2FDE"/>
    <w:rsid w:val="00FF3240"/>
    <w:rsid w:val="00FF38B9"/>
    <w:rsid w:val="00FF3CC3"/>
    <w:rsid w:val="00FF4347"/>
    <w:rsid w:val="00FF571D"/>
    <w:rsid w:val="00FF7D8B"/>
    <w:rsid w:val="0131236B"/>
    <w:rsid w:val="0160A00D"/>
    <w:rsid w:val="019ABA30"/>
    <w:rsid w:val="01DB9EBC"/>
    <w:rsid w:val="0256DF94"/>
    <w:rsid w:val="02581BD9"/>
    <w:rsid w:val="02A0B6E9"/>
    <w:rsid w:val="02F9C1DD"/>
    <w:rsid w:val="03BE7148"/>
    <w:rsid w:val="043DFAE7"/>
    <w:rsid w:val="047EC522"/>
    <w:rsid w:val="048832BD"/>
    <w:rsid w:val="04BFC3EC"/>
    <w:rsid w:val="04DAE22B"/>
    <w:rsid w:val="054013F6"/>
    <w:rsid w:val="05D860A5"/>
    <w:rsid w:val="063C2D5C"/>
    <w:rsid w:val="06501933"/>
    <w:rsid w:val="066A5A9F"/>
    <w:rsid w:val="06D0DD1B"/>
    <w:rsid w:val="06DA4E16"/>
    <w:rsid w:val="06E5FC65"/>
    <w:rsid w:val="06EB491B"/>
    <w:rsid w:val="073302B1"/>
    <w:rsid w:val="074C14EA"/>
    <w:rsid w:val="080ADE86"/>
    <w:rsid w:val="08484AB0"/>
    <w:rsid w:val="0849FBB7"/>
    <w:rsid w:val="08BF2E2B"/>
    <w:rsid w:val="09944C25"/>
    <w:rsid w:val="0A0A6E48"/>
    <w:rsid w:val="0A18C624"/>
    <w:rsid w:val="0AA74363"/>
    <w:rsid w:val="0B23B35F"/>
    <w:rsid w:val="0B35ECE1"/>
    <w:rsid w:val="0B6DC5E7"/>
    <w:rsid w:val="0BDD183C"/>
    <w:rsid w:val="0C024F6C"/>
    <w:rsid w:val="0CFC254B"/>
    <w:rsid w:val="0CFC406C"/>
    <w:rsid w:val="0D4D5CAF"/>
    <w:rsid w:val="0D843639"/>
    <w:rsid w:val="0DA26740"/>
    <w:rsid w:val="0DC94F0C"/>
    <w:rsid w:val="0DC95CA7"/>
    <w:rsid w:val="0DFB22D9"/>
    <w:rsid w:val="0E495C30"/>
    <w:rsid w:val="0FFC33A3"/>
    <w:rsid w:val="1016136D"/>
    <w:rsid w:val="109DDD61"/>
    <w:rsid w:val="110FF53F"/>
    <w:rsid w:val="11751AB1"/>
    <w:rsid w:val="117E4F68"/>
    <w:rsid w:val="11D4E236"/>
    <w:rsid w:val="11D7CED7"/>
    <w:rsid w:val="1239B103"/>
    <w:rsid w:val="123E31A1"/>
    <w:rsid w:val="126387CF"/>
    <w:rsid w:val="129C7623"/>
    <w:rsid w:val="12B6A0B5"/>
    <w:rsid w:val="12F0E927"/>
    <w:rsid w:val="130EC628"/>
    <w:rsid w:val="14C05273"/>
    <w:rsid w:val="14C9A773"/>
    <w:rsid w:val="152ACE19"/>
    <w:rsid w:val="1537E77A"/>
    <w:rsid w:val="157F7939"/>
    <w:rsid w:val="161F2B1B"/>
    <w:rsid w:val="16938525"/>
    <w:rsid w:val="16AE643C"/>
    <w:rsid w:val="16D0BDCA"/>
    <w:rsid w:val="17B2F3F3"/>
    <w:rsid w:val="17B6E758"/>
    <w:rsid w:val="186326B8"/>
    <w:rsid w:val="18B475A7"/>
    <w:rsid w:val="18B8F335"/>
    <w:rsid w:val="18C35842"/>
    <w:rsid w:val="18E3A947"/>
    <w:rsid w:val="196902D2"/>
    <w:rsid w:val="197B4AB7"/>
    <w:rsid w:val="1A667B95"/>
    <w:rsid w:val="1B0E1D22"/>
    <w:rsid w:val="1B63ABCD"/>
    <w:rsid w:val="1B80A6FE"/>
    <w:rsid w:val="1B874B3D"/>
    <w:rsid w:val="1BE9F431"/>
    <w:rsid w:val="1C8161DA"/>
    <w:rsid w:val="1CDBE6CD"/>
    <w:rsid w:val="1D831E93"/>
    <w:rsid w:val="1D9467DA"/>
    <w:rsid w:val="1DCE4209"/>
    <w:rsid w:val="1DF9BAA2"/>
    <w:rsid w:val="1EBE6B79"/>
    <w:rsid w:val="1F86E235"/>
    <w:rsid w:val="201EBF10"/>
    <w:rsid w:val="2087103D"/>
    <w:rsid w:val="21174A10"/>
    <w:rsid w:val="2125A27F"/>
    <w:rsid w:val="21681B11"/>
    <w:rsid w:val="2295C9F1"/>
    <w:rsid w:val="22A12C93"/>
    <w:rsid w:val="23952D5F"/>
    <w:rsid w:val="23A04B79"/>
    <w:rsid w:val="242287B9"/>
    <w:rsid w:val="2491E27C"/>
    <w:rsid w:val="2494F5E7"/>
    <w:rsid w:val="24FBB620"/>
    <w:rsid w:val="253C33A3"/>
    <w:rsid w:val="2567B0BC"/>
    <w:rsid w:val="256ABEB1"/>
    <w:rsid w:val="25A76220"/>
    <w:rsid w:val="25B7B767"/>
    <w:rsid w:val="25DAD811"/>
    <w:rsid w:val="25EBCD51"/>
    <w:rsid w:val="269CE26C"/>
    <w:rsid w:val="26FF09D5"/>
    <w:rsid w:val="2786ABBD"/>
    <w:rsid w:val="2824DFF8"/>
    <w:rsid w:val="28383C9B"/>
    <w:rsid w:val="2894763B"/>
    <w:rsid w:val="28FC17FA"/>
    <w:rsid w:val="29262946"/>
    <w:rsid w:val="297137C4"/>
    <w:rsid w:val="297E6B3B"/>
    <w:rsid w:val="29B94EA9"/>
    <w:rsid w:val="29C5318A"/>
    <w:rsid w:val="29C5372A"/>
    <w:rsid w:val="29FF50C4"/>
    <w:rsid w:val="2A551111"/>
    <w:rsid w:val="2A6B77FD"/>
    <w:rsid w:val="2AE6AE60"/>
    <w:rsid w:val="2B158F62"/>
    <w:rsid w:val="2B3AED66"/>
    <w:rsid w:val="2B4DC615"/>
    <w:rsid w:val="2BB8F3ED"/>
    <w:rsid w:val="2BC192E5"/>
    <w:rsid w:val="2C84E465"/>
    <w:rsid w:val="2CC59DD0"/>
    <w:rsid w:val="2D064B86"/>
    <w:rsid w:val="2D06F44B"/>
    <w:rsid w:val="2D084E46"/>
    <w:rsid w:val="2D1FD3A7"/>
    <w:rsid w:val="2D5ECF18"/>
    <w:rsid w:val="2DB87BCC"/>
    <w:rsid w:val="2DE673E4"/>
    <w:rsid w:val="2E104425"/>
    <w:rsid w:val="2E27BB35"/>
    <w:rsid w:val="2E44E54F"/>
    <w:rsid w:val="2EA06EA5"/>
    <w:rsid w:val="2EE0ABF3"/>
    <w:rsid w:val="2F0CBBEE"/>
    <w:rsid w:val="2F4CE011"/>
    <w:rsid w:val="30B893B7"/>
    <w:rsid w:val="30C3828D"/>
    <w:rsid w:val="3117773E"/>
    <w:rsid w:val="3202A7B5"/>
    <w:rsid w:val="3275482C"/>
    <w:rsid w:val="32842521"/>
    <w:rsid w:val="33468E0A"/>
    <w:rsid w:val="336567AD"/>
    <w:rsid w:val="33D65ED2"/>
    <w:rsid w:val="340628C9"/>
    <w:rsid w:val="341381CF"/>
    <w:rsid w:val="35EB12D7"/>
    <w:rsid w:val="367E526B"/>
    <w:rsid w:val="36D246D8"/>
    <w:rsid w:val="371DD3D4"/>
    <w:rsid w:val="37795F8B"/>
    <w:rsid w:val="37B6FC8D"/>
    <w:rsid w:val="37CF0A84"/>
    <w:rsid w:val="389015BA"/>
    <w:rsid w:val="38AC7782"/>
    <w:rsid w:val="38CDFCE1"/>
    <w:rsid w:val="38E3A696"/>
    <w:rsid w:val="3994767B"/>
    <w:rsid w:val="39DDC68D"/>
    <w:rsid w:val="3A61DF78"/>
    <w:rsid w:val="3A64BF3B"/>
    <w:rsid w:val="3A844E76"/>
    <w:rsid w:val="3A964680"/>
    <w:rsid w:val="3AC89579"/>
    <w:rsid w:val="3B927037"/>
    <w:rsid w:val="3C136E23"/>
    <w:rsid w:val="3CA83D5D"/>
    <w:rsid w:val="3CE5ED2A"/>
    <w:rsid w:val="3CF16AB6"/>
    <w:rsid w:val="3D17A654"/>
    <w:rsid w:val="3E0B1AA5"/>
    <w:rsid w:val="3E28D975"/>
    <w:rsid w:val="3E35AB93"/>
    <w:rsid w:val="3F0B5168"/>
    <w:rsid w:val="3F6439F5"/>
    <w:rsid w:val="3F66D90B"/>
    <w:rsid w:val="3FB5ADEB"/>
    <w:rsid w:val="40035805"/>
    <w:rsid w:val="4057E32B"/>
    <w:rsid w:val="40CCF9C2"/>
    <w:rsid w:val="40D6885D"/>
    <w:rsid w:val="412332DF"/>
    <w:rsid w:val="414064F8"/>
    <w:rsid w:val="414874DB"/>
    <w:rsid w:val="4168AD69"/>
    <w:rsid w:val="41794A27"/>
    <w:rsid w:val="41DB0722"/>
    <w:rsid w:val="421991F7"/>
    <w:rsid w:val="427BA0B0"/>
    <w:rsid w:val="42C48EC9"/>
    <w:rsid w:val="4316694D"/>
    <w:rsid w:val="431CE5CD"/>
    <w:rsid w:val="433B21B9"/>
    <w:rsid w:val="434CD182"/>
    <w:rsid w:val="4365BA56"/>
    <w:rsid w:val="437B16C0"/>
    <w:rsid w:val="43A66AE2"/>
    <w:rsid w:val="43AFAC6D"/>
    <w:rsid w:val="43BA02DC"/>
    <w:rsid w:val="440F18EB"/>
    <w:rsid w:val="4431B3E3"/>
    <w:rsid w:val="44404A49"/>
    <w:rsid w:val="4440B4A2"/>
    <w:rsid w:val="44525E7E"/>
    <w:rsid w:val="44964367"/>
    <w:rsid w:val="44D845AA"/>
    <w:rsid w:val="44F2A929"/>
    <w:rsid w:val="45150AF1"/>
    <w:rsid w:val="4559B19A"/>
    <w:rsid w:val="45679B1C"/>
    <w:rsid w:val="47449704"/>
    <w:rsid w:val="47B86477"/>
    <w:rsid w:val="47ECB05F"/>
    <w:rsid w:val="484228BC"/>
    <w:rsid w:val="48478B69"/>
    <w:rsid w:val="487A66EF"/>
    <w:rsid w:val="49B80ADB"/>
    <w:rsid w:val="49C35525"/>
    <w:rsid w:val="49DDFDFA"/>
    <w:rsid w:val="49E2DA1D"/>
    <w:rsid w:val="49EDF571"/>
    <w:rsid w:val="4A282DF9"/>
    <w:rsid w:val="4B57B9F4"/>
    <w:rsid w:val="4B6C9D82"/>
    <w:rsid w:val="4B86CE7A"/>
    <w:rsid w:val="4BD397F4"/>
    <w:rsid w:val="4BFB6D30"/>
    <w:rsid w:val="4D108FC1"/>
    <w:rsid w:val="4D180159"/>
    <w:rsid w:val="4D886426"/>
    <w:rsid w:val="4DD519E2"/>
    <w:rsid w:val="4E4EF923"/>
    <w:rsid w:val="4E6C1B07"/>
    <w:rsid w:val="4E727A3F"/>
    <w:rsid w:val="4E98D5EA"/>
    <w:rsid w:val="4EC737F3"/>
    <w:rsid w:val="4EE08D52"/>
    <w:rsid w:val="4FE5A61F"/>
    <w:rsid w:val="503BAE14"/>
    <w:rsid w:val="50E053E8"/>
    <w:rsid w:val="51C4167D"/>
    <w:rsid w:val="525A7113"/>
    <w:rsid w:val="527FAE7A"/>
    <w:rsid w:val="52B520B4"/>
    <w:rsid w:val="52C5FBC1"/>
    <w:rsid w:val="5306CD65"/>
    <w:rsid w:val="53D5C402"/>
    <w:rsid w:val="541934C7"/>
    <w:rsid w:val="546C0373"/>
    <w:rsid w:val="55035B31"/>
    <w:rsid w:val="559A048E"/>
    <w:rsid w:val="55ACF0B5"/>
    <w:rsid w:val="5665354C"/>
    <w:rsid w:val="56B1DB24"/>
    <w:rsid w:val="56C0ADBF"/>
    <w:rsid w:val="56CA188C"/>
    <w:rsid w:val="575734F9"/>
    <w:rsid w:val="5795ADBD"/>
    <w:rsid w:val="579DFC66"/>
    <w:rsid w:val="57F1B1DC"/>
    <w:rsid w:val="581D8150"/>
    <w:rsid w:val="58210B16"/>
    <w:rsid w:val="58A579ED"/>
    <w:rsid w:val="58B9EDA9"/>
    <w:rsid w:val="58E7D5F7"/>
    <w:rsid w:val="59E23996"/>
    <w:rsid w:val="5A1E3382"/>
    <w:rsid w:val="5AEC5DC4"/>
    <w:rsid w:val="5B0E2FDF"/>
    <w:rsid w:val="5B312EA7"/>
    <w:rsid w:val="5B47D701"/>
    <w:rsid w:val="5B68E2F9"/>
    <w:rsid w:val="5BD88D81"/>
    <w:rsid w:val="5C509DC6"/>
    <w:rsid w:val="5C753F31"/>
    <w:rsid w:val="5CEA61B3"/>
    <w:rsid w:val="5D2EF786"/>
    <w:rsid w:val="5D728CC1"/>
    <w:rsid w:val="5D8CCD8B"/>
    <w:rsid w:val="5D906013"/>
    <w:rsid w:val="5E09B33F"/>
    <w:rsid w:val="5E27F5CA"/>
    <w:rsid w:val="5E4BADA7"/>
    <w:rsid w:val="5EC9E993"/>
    <w:rsid w:val="5F8C4E07"/>
    <w:rsid w:val="5FAA0DAD"/>
    <w:rsid w:val="5FCC0F49"/>
    <w:rsid w:val="5FD1D18C"/>
    <w:rsid w:val="5FFADAD0"/>
    <w:rsid w:val="60607967"/>
    <w:rsid w:val="60757208"/>
    <w:rsid w:val="6092C779"/>
    <w:rsid w:val="60C1E8E3"/>
    <w:rsid w:val="61B1225B"/>
    <w:rsid w:val="61C69C59"/>
    <w:rsid w:val="61E59CDC"/>
    <w:rsid w:val="6216D8BF"/>
    <w:rsid w:val="62C231F6"/>
    <w:rsid w:val="6312E58C"/>
    <w:rsid w:val="63CB38BB"/>
    <w:rsid w:val="643B8F09"/>
    <w:rsid w:val="64504AD9"/>
    <w:rsid w:val="64F97042"/>
    <w:rsid w:val="65026F52"/>
    <w:rsid w:val="6551F634"/>
    <w:rsid w:val="65C4DA65"/>
    <w:rsid w:val="66394630"/>
    <w:rsid w:val="6692B8B3"/>
    <w:rsid w:val="66FA96C3"/>
    <w:rsid w:val="673BCF14"/>
    <w:rsid w:val="678641B1"/>
    <w:rsid w:val="67DFDE30"/>
    <w:rsid w:val="68424207"/>
    <w:rsid w:val="686B9BBE"/>
    <w:rsid w:val="68886E53"/>
    <w:rsid w:val="694B0842"/>
    <w:rsid w:val="6A5FA593"/>
    <w:rsid w:val="6A642408"/>
    <w:rsid w:val="6AFEF08B"/>
    <w:rsid w:val="6B209F5F"/>
    <w:rsid w:val="6B8558F8"/>
    <w:rsid w:val="6BA966DE"/>
    <w:rsid w:val="6BB854F6"/>
    <w:rsid w:val="6BDA926E"/>
    <w:rsid w:val="6BF606D0"/>
    <w:rsid w:val="6C080EDC"/>
    <w:rsid w:val="6C1B3C88"/>
    <w:rsid w:val="6CAFC678"/>
    <w:rsid w:val="6CB78136"/>
    <w:rsid w:val="6D1920B3"/>
    <w:rsid w:val="6D4A6648"/>
    <w:rsid w:val="6DF2B1CB"/>
    <w:rsid w:val="6E3B8E84"/>
    <w:rsid w:val="6E4DE2CB"/>
    <w:rsid w:val="6E74AEBD"/>
    <w:rsid w:val="6EED1772"/>
    <w:rsid w:val="6F527F08"/>
    <w:rsid w:val="6F630266"/>
    <w:rsid w:val="6F86D158"/>
    <w:rsid w:val="7178F832"/>
    <w:rsid w:val="71A796EE"/>
    <w:rsid w:val="71CAE0A0"/>
    <w:rsid w:val="71ED907C"/>
    <w:rsid w:val="72EDA37C"/>
    <w:rsid w:val="7361E6B7"/>
    <w:rsid w:val="73A114E6"/>
    <w:rsid w:val="73DF8C6F"/>
    <w:rsid w:val="73EEFF5D"/>
    <w:rsid w:val="7445D1F3"/>
    <w:rsid w:val="74C19266"/>
    <w:rsid w:val="75C12DB8"/>
    <w:rsid w:val="75D43B57"/>
    <w:rsid w:val="75F2607F"/>
    <w:rsid w:val="764395EF"/>
    <w:rsid w:val="765F903F"/>
    <w:rsid w:val="766D3A6A"/>
    <w:rsid w:val="768B8AE7"/>
    <w:rsid w:val="76BD7251"/>
    <w:rsid w:val="76C73B60"/>
    <w:rsid w:val="7706B8FC"/>
    <w:rsid w:val="772E0C9C"/>
    <w:rsid w:val="773C6527"/>
    <w:rsid w:val="77776FC2"/>
    <w:rsid w:val="779191D7"/>
    <w:rsid w:val="77B12246"/>
    <w:rsid w:val="77C571F2"/>
    <w:rsid w:val="78242712"/>
    <w:rsid w:val="78DF6409"/>
    <w:rsid w:val="7A4C7B45"/>
    <w:rsid w:val="7A90BA28"/>
    <w:rsid w:val="7B0558BE"/>
    <w:rsid w:val="7B662514"/>
    <w:rsid w:val="7BA8CC5F"/>
    <w:rsid w:val="7BF2E82E"/>
    <w:rsid w:val="7BF918DD"/>
    <w:rsid w:val="7C57A260"/>
    <w:rsid w:val="7C654717"/>
    <w:rsid w:val="7CD7BC7D"/>
    <w:rsid w:val="7CE51679"/>
    <w:rsid w:val="7D5AE5CC"/>
    <w:rsid w:val="7E90B506"/>
    <w:rsid w:val="7F7CCE44"/>
    <w:rsid w:val="7F93C53F"/>
    <w:rsid w:val="7FB89AFC"/>
    <w:rsid w:val="7FE88ADD"/>
    <w:rsid w:val="7FF48B0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F2843C"/>
  <w15:chartTrackingRefBased/>
  <w15:docId w15:val="{1A2219CA-6165-475F-B054-745DE9057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1B7DB2"/>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1B7DB2"/>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semiHidden/>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DF131C"/>
    <w:pPr>
      <w:suppressAutoHyphens/>
      <w:spacing w:after="120" w:line="310" w:lineRule="exact"/>
    </w:pPr>
    <w:rPr>
      <w:rFonts w:asciiTheme="minorHAnsi" w:eastAsiaTheme="minorEastAsia" w:hAnsiTheme="minorHAnsi"/>
      <w:sz w:val="24"/>
      <w:szCs w:val="24"/>
    </w:rPr>
  </w:style>
  <w:style w:type="paragraph" w:styleId="CommentText">
    <w:name w:val="annotation text"/>
    <w:basedOn w:val="Normal"/>
    <w:link w:val="CommentTextChar"/>
    <w:uiPriority w:val="99"/>
    <w:unhideWhenUsed/>
    <w:rsid w:val="00094F0C"/>
  </w:style>
  <w:style w:type="character" w:customStyle="1" w:styleId="CommentTextChar">
    <w:name w:val="Comment Text Char"/>
    <w:basedOn w:val="DefaultParagraphFont"/>
    <w:link w:val="CommentText"/>
    <w:uiPriority w:val="99"/>
    <w:rsid w:val="00094F0C"/>
  </w:style>
  <w:style w:type="paragraph" w:styleId="NormalWeb">
    <w:name w:val="Normal (Web)"/>
    <w:basedOn w:val="Normal"/>
    <w:uiPriority w:val="99"/>
    <w:semiHidden/>
    <w:unhideWhenUsed/>
    <w:rsid w:val="001D3B8E"/>
    <w:rPr>
      <w:rFonts w:ascii="Times New Roman" w:hAnsi="Times New Roman" w:cs="Times New Roman"/>
      <w:sz w:val="24"/>
      <w:szCs w:val="24"/>
    </w:rPr>
  </w:style>
  <w:style w:type="character" w:styleId="Mention">
    <w:name w:val="Mention"/>
    <w:basedOn w:val="DefaultParagraphFont"/>
    <w:uiPriority w:val="99"/>
    <w:unhideWhenUsed/>
    <w:rsid w:val="002F399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392">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239560082">
      <w:bodyDiv w:val="1"/>
      <w:marLeft w:val="0"/>
      <w:marRight w:val="0"/>
      <w:marTop w:val="0"/>
      <w:marBottom w:val="0"/>
      <w:divBdr>
        <w:top w:val="none" w:sz="0" w:space="0" w:color="auto"/>
        <w:left w:val="none" w:sz="0" w:space="0" w:color="auto"/>
        <w:bottom w:val="none" w:sz="0" w:space="0" w:color="auto"/>
        <w:right w:val="none" w:sz="0" w:space="0" w:color="auto"/>
      </w:divBdr>
    </w:div>
    <w:div w:id="362898716">
      <w:bodyDiv w:val="1"/>
      <w:marLeft w:val="0"/>
      <w:marRight w:val="0"/>
      <w:marTop w:val="0"/>
      <w:marBottom w:val="0"/>
      <w:divBdr>
        <w:top w:val="none" w:sz="0" w:space="0" w:color="auto"/>
        <w:left w:val="none" w:sz="0" w:space="0" w:color="auto"/>
        <w:bottom w:val="none" w:sz="0" w:space="0" w:color="auto"/>
        <w:right w:val="none" w:sz="0" w:space="0" w:color="auto"/>
      </w:divBdr>
    </w:div>
    <w:div w:id="673413409">
      <w:bodyDiv w:val="1"/>
      <w:marLeft w:val="0"/>
      <w:marRight w:val="0"/>
      <w:marTop w:val="0"/>
      <w:marBottom w:val="0"/>
      <w:divBdr>
        <w:top w:val="none" w:sz="0" w:space="0" w:color="auto"/>
        <w:left w:val="none" w:sz="0" w:space="0" w:color="auto"/>
        <w:bottom w:val="none" w:sz="0" w:space="0" w:color="auto"/>
        <w:right w:val="none" w:sz="0" w:space="0" w:color="auto"/>
      </w:divBdr>
    </w:div>
    <w:div w:id="790364265">
      <w:bodyDiv w:val="1"/>
      <w:marLeft w:val="0"/>
      <w:marRight w:val="0"/>
      <w:marTop w:val="0"/>
      <w:marBottom w:val="0"/>
      <w:divBdr>
        <w:top w:val="none" w:sz="0" w:space="0" w:color="auto"/>
        <w:left w:val="none" w:sz="0" w:space="0" w:color="auto"/>
        <w:bottom w:val="none" w:sz="0" w:space="0" w:color="auto"/>
        <w:right w:val="none" w:sz="0" w:space="0" w:color="auto"/>
      </w:divBdr>
    </w:div>
    <w:div w:id="797183856">
      <w:bodyDiv w:val="1"/>
      <w:marLeft w:val="0"/>
      <w:marRight w:val="0"/>
      <w:marTop w:val="0"/>
      <w:marBottom w:val="0"/>
      <w:divBdr>
        <w:top w:val="none" w:sz="0" w:space="0" w:color="auto"/>
        <w:left w:val="none" w:sz="0" w:space="0" w:color="auto"/>
        <w:bottom w:val="none" w:sz="0" w:space="0" w:color="auto"/>
        <w:right w:val="none" w:sz="0" w:space="0" w:color="auto"/>
      </w:divBdr>
    </w:div>
    <w:div w:id="835271163">
      <w:bodyDiv w:val="1"/>
      <w:marLeft w:val="0"/>
      <w:marRight w:val="0"/>
      <w:marTop w:val="0"/>
      <w:marBottom w:val="0"/>
      <w:divBdr>
        <w:top w:val="none" w:sz="0" w:space="0" w:color="auto"/>
        <w:left w:val="none" w:sz="0" w:space="0" w:color="auto"/>
        <w:bottom w:val="none" w:sz="0" w:space="0" w:color="auto"/>
        <w:right w:val="none" w:sz="0" w:space="0" w:color="auto"/>
      </w:divBdr>
    </w:div>
    <w:div w:id="859509452">
      <w:bodyDiv w:val="1"/>
      <w:marLeft w:val="0"/>
      <w:marRight w:val="0"/>
      <w:marTop w:val="0"/>
      <w:marBottom w:val="0"/>
      <w:divBdr>
        <w:top w:val="none" w:sz="0" w:space="0" w:color="auto"/>
        <w:left w:val="none" w:sz="0" w:space="0" w:color="auto"/>
        <w:bottom w:val="none" w:sz="0" w:space="0" w:color="auto"/>
        <w:right w:val="none" w:sz="0" w:space="0" w:color="auto"/>
      </w:divBdr>
    </w:div>
    <w:div w:id="997465939">
      <w:bodyDiv w:val="1"/>
      <w:marLeft w:val="0"/>
      <w:marRight w:val="0"/>
      <w:marTop w:val="0"/>
      <w:marBottom w:val="0"/>
      <w:divBdr>
        <w:top w:val="none" w:sz="0" w:space="0" w:color="auto"/>
        <w:left w:val="none" w:sz="0" w:space="0" w:color="auto"/>
        <w:bottom w:val="none" w:sz="0" w:space="0" w:color="auto"/>
        <w:right w:val="none" w:sz="0" w:space="0" w:color="auto"/>
      </w:divBdr>
    </w:div>
    <w:div w:id="1004284848">
      <w:bodyDiv w:val="1"/>
      <w:marLeft w:val="0"/>
      <w:marRight w:val="0"/>
      <w:marTop w:val="0"/>
      <w:marBottom w:val="0"/>
      <w:divBdr>
        <w:top w:val="none" w:sz="0" w:space="0" w:color="auto"/>
        <w:left w:val="none" w:sz="0" w:space="0" w:color="auto"/>
        <w:bottom w:val="none" w:sz="0" w:space="0" w:color="auto"/>
        <w:right w:val="none" w:sz="0" w:space="0" w:color="auto"/>
      </w:divBdr>
    </w:div>
    <w:div w:id="1022900859">
      <w:bodyDiv w:val="1"/>
      <w:marLeft w:val="0"/>
      <w:marRight w:val="0"/>
      <w:marTop w:val="0"/>
      <w:marBottom w:val="0"/>
      <w:divBdr>
        <w:top w:val="none" w:sz="0" w:space="0" w:color="auto"/>
        <w:left w:val="none" w:sz="0" w:space="0" w:color="auto"/>
        <w:bottom w:val="none" w:sz="0" w:space="0" w:color="auto"/>
        <w:right w:val="none" w:sz="0" w:space="0" w:color="auto"/>
      </w:divBdr>
      <w:divsChild>
        <w:div w:id="161940416">
          <w:marLeft w:val="0"/>
          <w:marRight w:val="0"/>
          <w:marTop w:val="0"/>
          <w:marBottom w:val="0"/>
          <w:divBdr>
            <w:top w:val="none" w:sz="0" w:space="0" w:color="auto"/>
            <w:left w:val="none" w:sz="0" w:space="0" w:color="auto"/>
            <w:bottom w:val="none" w:sz="0" w:space="0" w:color="auto"/>
            <w:right w:val="none" w:sz="0" w:space="0" w:color="auto"/>
          </w:divBdr>
        </w:div>
        <w:div w:id="1727098339">
          <w:marLeft w:val="0"/>
          <w:marRight w:val="0"/>
          <w:marTop w:val="0"/>
          <w:marBottom w:val="0"/>
          <w:divBdr>
            <w:top w:val="none" w:sz="0" w:space="0" w:color="auto"/>
            <w:left w:val="none" w:sz="0" w:space="0" w:color="auto"/>
            <w:bottom w:val="none" w:sz="0" w:space="0" w:color="auto"/>
            <w:right w:val="none" w:sz="0" w:space="0" w:color="auto"/>
          </w:divBdr>
        </w:div>
      </w:divsChild>
    </w:div>
    <w:div w:id="1435242953">
      <w:bodyDiv w:val="1"/>
      <w:marLeft w:val="0"/>
      <w:marRight w:val="0"/>
      <w:marTop w:val="0"/>
      <w:marBottom w:val="0"/>
      <w:divBdr>
        <w:top w:val="none" w:sz="0" w:space="0" w:color="auto"/>
        <w:left w:val="none" w:sz="0" w:space="0" w:color="auto"/>
        <w:bottom w:val="none" w:sz="0" w:space="0" w:color="auto"/>
        <w:right w:val="none" w:sz="0" w:space="0" w:color="auto"/>
      </w:divBdr>
      <w:divsChild>
        <w:div w:id="1988389759">
          <w:marLeft w:val="0"/>
          <w:marRight w:val="0"/>
          <w:marTop w:val="0"/>
          <w:marBottom w:val="0"/>
          <w:divBdr>
            <w:top w:val="none" w:sz="0" w:space="0" w:color="auto"/>
            <w:left w:val="none" w:sz="0" w:space="0" w:color="auto"/>
            <w:bottom w:val="none" w:sz="0" w:space="0" w:color="auto"/>
            <w:right w:val="none" w:sz="0" w:space="0" w:color="auto"/>
          </w:divBdr>
        </w:div>
        <w:div w:id="2110080811">
          <w:marLeft w:val="0"/>
          <w:marRight w:val="0"/>
          <w:marTop w:val="0"/>
          <w:marBottom w:val="0"/>
          <w:divBdr>
            <w:top w:val="none" w:sz="0" w:space="0" w:color="auto"/>
            <w:left w:val="none" w:sz="0" w:space="0" w:color="auto"/>
            <w:bottom w:val="none" w:sz="0" w:space="0" w:color="auto"/>
            <w:right w:val="none" w:sz="0" w:space="0" w:color="auto"/>
          </w:divBdr>
        </w:div>
      </w:divsChild>
    </w:div>
    <w:div w:id="1455057679">
      <w:bodyDiv w:val="1"/>
      <w:marLeft w:val="0"/>
      <w:marRight w:val="0"/>
      <w:marTop w:val="0"/>
      <w:marBottom w:val="0"/>
      <w:divBdr>
        <w:top w:val="none" w:sz="0" w:space="0" w:color="auto"/>
        <w:left w:val="none" w:sz="0" w:space="0" w:color="auto"/>
        <w:bottom w:val="none" w:sz="0" w:space="0" w:color="auto"/>
        <w:right w:val="none" w:sz="0" w:space="0" w:color="auto"/>
      </w:divBdr>
    </w:div>
    <w:div w:id="1497188397">
      <w:bodyDiv w:val="1"/>
      <w:marLeft w:val="0"/>
      <w:marRight w:val="0"/>
      <w:marTop w:val="0"/>
      <w:marBottom w:val="0"/>
      <w:divBdr>
        <w:top w:val="none" w:sz="0" w:space="0" w:color="auto"/>
        <w:left w:val="none" w:sz="0" w:space="0" w:color="auto"/>
        <w:bottom w:val="none" w:sz="0" w:space="0" w:color="auto"/>
        <w:right w:val="none" w:sz="0" w:space="0" w:color="auto"/>
      </w:divBdr>
    </w:div>
    <w:div w:id="1788234333">
      <w:bodyDiv w:val="1"/>
      <w:marLeft w:val="0"/>
      <w:marRight w:val="0"/>
      <w:marTop w:val="0"/>
      <w:marBottom w:val="0"/>
      <w:divBdr>
        <w:top w:val="none" w:sz="0" w:space="0" w:color="auto"/>
        <w:left w:val="none" w:sz="0" w:space="0" w:color="auto"/>
        <w:bottom w:val="none" w:sz="0" w:space="0" w:color="auto"/>
        <w:right w:val="none" w:sz="0" w:space="0" w:color="auto"/>
      </w:divBdr>
    </w:div>
    <w:div w:id="1999339216">
      <w:bodyDiv w:val="1"/>
      <w:marLeft w:val="0"/>
      <w:marRight w:val="0"/>
      <w:marTop w:val="0"/>
      <w:marBottom w:val="0"/>
      <w:divBdr>
        <w:top w:val="none" w:sz="0" w:space="0" w:color="auto"/>
        <w:left w:val="none" w:sz="0" w:space="0" w:color="auto"/>
        <w:bottom w:val="none" w:sz="0" w:space="0" w:color="auto"/>
        <w:right w:val="none" w:sz="0" w:space="0" w:color="auto"/>
      </w:divBdr>
    </w:div>
    <w:div w:id="2019766246">
      <w:bodyDiv w:val="1"/>
      <w:marLeft w:val="0"/>
      <w:marRight w:val="0"/>
      <w:marTop w:val="0"/>
      <w:marBottom w:val="0"/>
      <w:divBdr>
        <w:top w:val="none" w:sz="0" w:space="0" w:color="auto"/>
        <w:left w:val="none" w:sz="0" w:space="0" w:color="auto"/>
        <w:bottom w:val="none" w:sz="0" w:space="0" w:color="auto"/>
        <w:right w:val="none" w:sz="0" w:space="0" w:color="auto"/>
      </w:divBdr>
    </w:div>
    <w:div w:id="205068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image" Target="media/image30.png"/><Relationship Id="rId39" Type="http://schemas.openxmlformats.org/officeDocument/2006/relationships/header" Target="header7.xml"/><Relationship Id="rId21" Type="http://schemas.openxmlformats.org/officeDocument/2006/relationships/image" Target="media/image3.png"/><Relationship Id="rId34" Type="http://schemas.openxmlformats.org/officeDocument/2006/relationships/image" Target="media/image7.sv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29" Type="http://schemas.openxmlformats.org/officeDocument/2006/relationships/image" Target="media/image4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4.png"/><Relationship Id="rId32" Type="http://schemas.openxmlformats.org/officeDocument/2006/relationships/hyperlink" Target="https://www.amnesty.org/es/permissions/" TargetMode="External"/><Relationship Id="rId37" Type="http://schemas.openxmlformats.org/officeDocument/2006/relationships/image" Target="media/image80.png"/><Relationship Id="rId40"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facebook.com/AmnistiaAmericas" TargetMode="External"/><Relationship Id="rId28" Type="http://schemas.openxmlformats.org/officeDocument/2006/relationships/hyperlink" Target="http://www.facebook.com/AmnistiaAmericas" TargetMode="External"/><Relationship Id="rId36" Type="http://schemas.openxmlformats.org/officeDocument/2006/relationships/image" Target="media/image9.svg"/><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yperlink" Target="https://www.amnesty.org/es/permiss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mailto:info@amnesty.org" TargetMode="External"/><Relationship Id="rId27" Type="http://schemas.openxmlformats.org/officeDocument/2006/relationships/hyperlink" Target="mailto:info@amnesty.org" TargetMode="External"/><Relationship Id="rId30" Type="http://schemas.openxmlformats.org/officeDocument/2006/relationships/image" Target="media/image50.png"/><Relationship Id="rId35" Type="http://schemas.openxmlformats.org/officeDocument/2006/relationships/image" Target="media/image8.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image" Target="media/image5.png"/><Relationship Id="rId33" Type="http://schemas.openxmlformats.org/officeDocument/2006/relationships/image" Target="media/image6.png"/><Relationship Id="rId38" Type="http://schemas.openxmlformats.org/officeDocument/2006/relationships/image" Target="media/image90.sv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dh.org.ec/informes/653-reporte-de-desapariciones-forzadas-en-el-ecuador-31-01-2025" TargetMode="External"/><Relationship Id="rId2" Type="http://schemas.openxmlformats.org/officeDocument/2006/relationships/hyperlink" Target="https://www.amnesty.org/es/documents/amr28/8531/2024/es/" TargetMode="External"/><Relationship Id="rId1" Type="http://schemas.openxmlformats.org/officeDocument/2006/relationships/hyperlink" Target="https://www.cdh.org.ec/informes/653-reporte-de-desapariciones-forzadas-en-el-ecuador-31-01-2025" TargetMode="External"/><Relationship Id="rId6" Type="http://schemas.openxmlformats.org/officeDocument/2006/relationships/hyperlink" Target="https://www.oas.org/es/cidh/jsForm/?File=/es/cidh/prensa/comunicados/2025/015.asp" TargetMode="External"/><Relationship Id="rId5" Type="http://schemas.openxmlformats.org/officeDocument/2006/relationships/hyperlink" Target="https://www.amnesty.org/es/location/americas/south-america/brazil/report-brazil/" TargetMode="External"/><Relationship Id="rId4" Type="http://schemas.openxmlformats.org/officeDocument/2006/relationships/hyperlink" Target="https://www.reuters.com/world/americas/ecuadors-noboa-declares-new-security-state-emergency-2024-05-22/"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Value>2</Value>
      <Value>1</Value>
    </TaxCatchAll>
    <Document_x0020_Date xmlns="985ec44e-1bab-4c0b-9df0-6ba128686fc9">2025-09-16T09:13:48+00:00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1A0CE-1B2B-4761-9680-F48D1005AFE1}">
  <ds:schemaRefs>
    <ds:schemaRef ds:uri="http://purl.org/dc/terms/"/>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7fe8247e-2ac5-4e37-b075-eef483c731a8"/>
    <ds:schemaRef ds:uri="http://schemas.microsoft.com/office/2006/metadata/properties"/>
    <ds:schemaRef ds:uri="http://schemas.openxmlformats.org/package/2006/metadata/core-properties"/>
    <ds:schemaRef ds:uri="138e79af-97e9-467e-b691-fc96845a5065"/>
    <ds:schemaRef ds:uri="452d559c-49a4-47bc-8575-587a177a9f9b"/>
    <ds:schemaRef ds:uri="a742fbdc-952e-4af4-a546-a1c46b11496a"/>
  </ds:schemaRefs>
</ds:datastoreItem>
</file>

<file path=customXml/itemProps2.xml><?xml version="1.0" encoding="utf-8"?>
<ds:datastoreItem xmlns:ds="http://schemas.openxmlformats.org/officeDocument/2006/customXml" ds:itemID="{E940868E-E518-4A91-98E5-BBCDFA66C735}">
  <ds:schemaRefs>
    <ds:schemaRef ds:uri="http://schemas.microsoft.com/sharepoint/v3/contenttype/forms"/>
  </ds:schemaRefs>
</ds:datastoreItem>
</file>

<file path=customXml/itemProps3.xml><?xml version="1.0" encoding="utf-8"?>
<ds:datastoreItem xmlns:ds="http://schemas.openxmlformats.org/officeDocument/2006/customXml" ds:itemID="{58BAA4E8-AA50-4495-943C-91BDC5804911}">
  <ds:schemaRefs>
    <ds:schemaRef ds:uri="http://schemas.openxmlformats.org/officeDocument/2006/bibliography"/>
  </ds:schemaRefs>
</ds:datastoreItem>
</file>

<file path=customXml/itemProps4.xml><?xml version="1.0" encoding="utf-8"?>
<ds:datastoreItem xmlns:ds="http://schemas.openxmlformats.org/officeDocument/2006/customXml" ds:itemID="{4695E221-E0FE-4C1D-84A4-A9B603F7E8E2}"/>
</file>

<file path=docMetadata/LabelInfo.xml><?xml version="1.0" encoding="utf-8"?>
<clbl:labelList xmlns:clbl="http://schemas.microsoft.com/office/2020/mipLabelMetadata">
  <clbl:label id="{0f9e35db-544f-4f60-bdcc-5ea416e6dc70}" enabled="0" method="" siteId="{0f9e35db-544f-4f60-bdcc-5ea416e6dc70}" removed="1"/>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3276</Words>
  <Characters>18679</Characters>
  <Application>Microsoft Office Word</Application>
  <DocSecurity>4</DocSecurity>
  <Lines>155</Lines>
  <Paragraphs>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Ruiz Segovia</dc:creator>
  <cp:keywords/>
  <dc:description/>
  <cp:lastModifiedBy>Carla Jeanette Villarreal Lopez</cp:lastModifiedBy>
  <cp:revision>2</cp:revision>
  <dcterms:created xsi:type="dcterms:W3CDTF">2025-09-03T08:47:00Z</dcterms:created>
  <dcterms:modified xsi:type="dcterms:W3CDTF">2025-09-03T08:47:00Z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y fmtid="{D5CDD505-2E9C-101B-9397-08002B2CF9AE}" pid="3" name="AI_Campaign">
    <vt:lpwstr/>
  </property>
  <property fmtid="{D5CDD505-2E9C-101B-9397-08002B2CF9AE}" pid="4" name="AI_RecognisedAuthor">
    <vt:lpwstr/>
  </property>
  <property fmtid="{D5CDD505-2E9C-101B-9397-08002B2CF9AE}" pid="5" name="AI_Subject">
    <vt:lpwstr/>
  </property>
  <property fmtid="{D5CDD505-2E9C-101B-9397-08002B2CF9AE}" pid="6" name="AI_Country">
    <vt:lpwstr>2;#Ecuador|9a3fffce-8bfd-4b2d-9c96-1a34e87af041</vt:lpwstr>
  </property>
  <property fmtid="{D5CDD505-2E9C-101B-9397-08002B2CF9AE}" pid="7" name="AI_ProjectName">
    <vt:lpwstr/>
  </property>
  <property fmtid="{D5CDD505-2E9C-101B-9397-08002B2CF9AE}" pid="8" name="AI_Organisation">
    <vt:lpwstr/>
  </property>
  <property fmtid="{D5CDD505-2E9C-101B-9397-08002B2CF9AE}" pid="9" name="AI_Year">
    <vt:lpwstr/>
  </property>
  <property fmtid="{D5CDD505-2E9C-101B-9397-08002B2CF9AE}" pid="10" name="i31ff303a9904629a610b5fa7370743d">
    <vt:lpwstr/>
  </property>
  <property fmtid="{D5CDD505-2E9C-101B-9397-08002B2CF9AE}" pid="11" name="AI_Region">
    <vt:lpwstr>1;#Americas|705b9267-1244-4060-840e-1ef036f6b36b</vt:lpwstr>
  </property>
  <property fmtid="{D5CDD505-2E9C-101B-9397-08002B2CF9AE}" pid="12" name="AI_Institutions">
    <vt:lpwstr/>
  </property>
  <property fmtid="{D5CDD505-2E9C-101B-9397-08002B2CF9AE}" pid="13" name="AI_DocumentType">
    <vt:lpwstr/>
  </property>
  <property fmtid="{D5CDD505-2E9C-101B-9397-08002B2CF9AE}" pid="14" name="AI_OfficialCorrespType">
    <vt:lpwstr/>
  </property>
  <property fmtid="{D5CDD505-2E9C-101B-9397-08002B2CF9AE}" pid="15" name="afabbe5c88f0408a8575d753bf27f4bd">
    <vt:lpwstr/>
  </property>
  <property fmtid="{D5CDD505-2E9C-101B-9397-08002B2CF9AE}" pid="16" name="AI_BudgetCode">
    <vt:lpwstr/>
  </property>
  <property fmtid="{D5CDD505-2E9C-101B-9397-08002B2CF9AE}" pid="17" name="AI_InternalKeywords">
    <vt:lpwstr/>
  </property>
  <property fmtid="{D5CDD505-2E9C-101B-9397-08002B2CF9AE}" pid="18" name="AI_EnterpriseKeywords">
    <vt:lpwstr/>
  </property>
  <property fmtid="{D5CDD505-2E9C-101B-9397-08002B2CF9AE}" pid="19" name="AI_Language">
    <vt:lpwstr/>
  </property>
  <property fmtid="{D5CDD505-2E9C-101B-9397-08002B2CF9AE}" pid="20" name="AI_LeadAuthor">
    <vt:lpwstr/>
  </property>
  <property fmtid="{D5CDD505-2E9C-101B-9397-08002B2CF9AE}" pid="21" name="AI_SupportingAuthor">
    <vt:lpwstr/>
  </property>
  <property fmtid="{D5CDD505-2E9C-101B-9397-08002B2CF9AE}" pid="22" name="AI_Collection">
    <vt:lpwstr/>
  </property>
  <property fmtid="{D5CDD505-2E9C-101B-9397-08002B2CF9AE}" pid="23" name="m649bca7436e49c7af6e189892cacd55">
    <vt:lpwstr/>
  </property>
  <property fmtid="{D5CDD505-2E9C-101B-9397-08002B2CF9AE}" pid="24" name="AI_OriginatingLocation">
    <vt:lpwstr/>
  </property>
</Properties>
</file>