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5F050D" w14:textId="3F7F8E19" w:rsidR="00ED42D8" w:rsidRPr="00AF7B34" w:rsidRDefault="00201ECC" w:rsidP="008139C1">
      <w:pPr>
        <w:pStyle w:val="Documenttype"/>
        <w:rPr>
          <w:sz w:val="36"/>
          <w:szCs w:val="36"/>
        </w:rPr>
      </w:pPr>
      <w:sdt>
        <w:sdtPr>
          <w:rPr>
            <w:sz w:val="36"/>
            <w:szCs w:val="36"/>
          </w:rPr>
          <w:alias w:val="Document type"/>
          <w:tag w:val="Document type"/>
          <w:id w:val="-1532944315"/>
          <w:placeholder>
            <w:docPart w:val="26E5A3386A964DB6AF84FE33A62CFA84"/>
          </w:placeholder>
        </w:sdtPr>
        <w:sdtEndPr/>
        <w:sdtContent>
          <w:r w:rsidR="00FD0D96" w:rsidRPr="00AF7B34">
            <w:rPr>
              <w:sz w:val="36"/>
              <w:szCs w:val="36"/>
            </w:rPr>
            <w:t xml:space="preserve">Follow-up </w:t>
          </w:r>
          <w:r w:rsidR="00C97883" w:rsidRPr="00AF7B34">
            <w:rPr>
              <w:sz w:val="36"/>
              <w:szCs w:val="36"/>
            </w:rPr>
            <w:t>s</w:t>
          </w:r>
          <w:r w:rsidR="00FD0D96" w:rsidRPr="00AF7B34">
            <w:rPr>
              <w:sz w:val="36"/>
              <w:szCs w:val="36"/>
            </w:rPr>
            <w:t>u</w:t>
          </w:r>
          <w:r w:rsidR="002D59BF" w:rsidRPr="00AF7B34">
            <w:rPr>
              <w:sz w:val="36"/>
              <w:szCs w:val="36"/>
            </w:rPr>
            <w:t>bmission</w:t>
          </w:r>
          <w:r w:rsidR="00FE2DF5" w:rsidRPr="00AF7B34">
            <w:rPr>
              <w:sz w:val="36"/>
              <w:szCs w:val="36"/>
            </w:rPr>
            <w:t xml:space="preserve"> to the </w:t>
          </w:r>
          <w:r w:rsidR="00977755" w:rsidRPr="00AF7B34">
            <w:rPr>
              <w:sz w:val="36"/>
              <w:szCs w:val="36"/>
            </w:rPr>
            <w:t xml:space="preserve">UN </w:t>
          </w:r>
          <w:r w:rsidR="00DD283A" w:rsidRPr="00AF7B34">
            <w:rPr>
              <w:sz w:val="36"/>
              <w:szCs w:val="36"/>
            </w:rPr>
            <w:t>Committee on the Elimination of Discrimination against Women</w:t>
          </w:r>
        </w:sdtContent>
      </w:sdt>
    </w:p>
    <w:p w14:paraId="06517C5F" w14:textId="41495E29" w:rsidR="00972D5B" w:rsidRPr="00AF7B34" w:rsidRDefault="00201ECC" w:rsidP="00ED42D8">
      <w:pPr>
        <w:pStyle w:val="Title"/>
        <w:spacing w:before="0"/>
      </w:pPr>
      <w:sdt>
        <w:sdtPr>
          <w:alias w:val="Title"/>
          <w:tag w:val=""/>
          <w:id w:val="1663586378"/>
          <w:placeholder>
            <w:docPart w:val="F6D2AA80ECC94F198E294B03C49A8C5E"/>
          </w:placeholder>
          <w:dataBinding w:prefixMappings="xmlns:ns0='http://purl.org/dc/elements/1.1/' xmlns:ns1='http://schemas.openxmlformats.org/package/2006/metadata/core-properties' " w:xpath="/ns1:coreProperties[1]/ns0:title[1]" w:storeItemID="{6C3C8BC8-F283-45AE-878A-BAB7291924A1}"/>
          <w:text/>
        </w:sdtPr>
        <w:sdtEndPr/>
        <w:sdtContent>
          <w:r w:rsidR="004626EE" w:rsidRPr="00AF7B34">
            <w:t xml:space="preserve">Great </w:t>
          </w:r>
          <w:r w:rsidR="00FD0D96" w:rsidRPr="00AF7B34">
            <w:t>Britain and the Co</w:t>
          </w:r>
          <w:r w:rsidR="00FE2DF5" w:rsidRPr="00AF7B34">
            <w:t xml:space="preserve">nvention </w:t>
          </w:r>
          <w:r w:rsidR="00DD283A" w:rsidRPr="00AF7B34">
            <w:t>on the Elimination of Discrimination against Women</w:t>
          </w:r>
        </w:sdtContent>
      </w:sdt>
    </w:p>
    <w:p w14:paraId="7F1D0846" w14:textId="16663BC6" w:rsidR="00711475" w:rsidRPr="00AF7B34" w:rsidRDefault="00201ECC" w:rsidP="00F171F1">
      <w:pPr>
        <w:pStyle w:val="Date"/>
      </w:pPr>
      <w:sdt>
        <w:sdtPr>
          <w:rPr>
            <w:rStyle w:val="DateChar"/>
          </w:rPr>
          <w:alias w:val="Publication date"/>
          <w:tag w:val="Publication date"/>
          <w:id w:val="-1249566070"/>
          <w:placeholder>
            <w:docPart w:val="4FF02A4FA13E491A8579388196A778FA"/>
          </w:placeholder>
          <w:date w:fullDate="2021-07-01T00:00:00Z">
            <w:dateFormat w:val="MMMM yyyy"/>
            <w:lid w:val="en-GB"/>
            <w:storeMappedDataAs w:val="dateTime"/>
            <w:calendar w:val="gregorian"/>
          </w:date>
        </w:sdtPr>
        <w:sdtEndPr>
          <w:rPr>
            <w:rStyle w:val="DefaultParagraphFont"/>
          </w:rPr>
        </w:sdtEndPr>
        <w:sdtContent>
          <w:r w:rsidR="00DE74A6" w:rsidRPr="00AF7B34">
            <w:rPr>
              <w:rStyle w:val="DateChar"/>
            </w:rPr>
            <w:t>Ju</w:t>
          </w:r>
          <w:r w:rsidR="005821FF">
            <w:rPr>
              <w:rStyle w:val="DateChar"/>
            </w:rPr>
            <w:t>ly</w:t>
          </w:r>
          <w:r w:rsidR="00877CEE" w:rsidRPr="00AF7B34" w:rsidDel="00EC2495">
            <w:rPr>
              <w:rStyle w:val="DateChar"/>
            </w:rPr>
            <w:t xml:space="preserve"> 202</w:t>
          </w:r>
          <w:r w:rsidR="00DD283A" w:rsidRPr="00AF7B34">
            <w:rPr>
              <w:rStyle w:val="DateChar"/>
            </w:rPr>
            <w:t>1</w:t>
          </w:r>
        </w:sdtContent>
      </w:sdt>
    </w:p>
    <w:p w14:paraId="17D35560" w14:textId="77777777" w:rsidR="00961657" w:rsidRPr="00AF7B34" w:rsidRDefault="00961657" w:rsidP="00276C39">
      <w:pPr>
        <w:pStyle w:val="Author"/>
      </w:pPr>
    </w:p>
    <w:p w14:paraId="62179F8B" w14:textId="77777777" w:rsidR="000631C0" w:rsidRPr="00AF7B34" w:rsidRDefault="000631C0" w:rsidP="00B02B52">
      <w:pPr>
        <w:rPr>
          <w:szCs w:val="24"/>
        </w:rPr>
      </w:pPr>
    </w:p>
    <w:p w14:paraId="3F50874A" w14:textId="4607AFEB" w:rsidR="000631C0" w:rsidRPr="00AF7B34" w:rsidRDefault="000631C0" w:rsidP="00B02B52">
      <w:pPr>
        <w:rPr>
          <w:szCs w:val="24"/>
        </w:rPr>
      </w:pPr>
    </w:p>
    <w:p w14:paraId="2FF4A69C" w14:textId="53CE9467" w:rsidR="00DD283A" w:rsidRPr="00AF7B34" w:rsidRDefault="00DD283A" w:rsidP="00B02B52">
      <w:pPr>
        <w:rPr>
          <w:szCs w:val="24"/>
        </w:rPr>
      </w:pPr>
    </w:p>
    <w:p w14:paraId="37202144" w14:textId="77777777" w:rsidR="00DD283A" w:rsidRPr="00AF7B34" w:rsidRDefault="00DD283A" w:rsidP="00B02B52">
      <w:pPr>
        <w:rPr>
          <w:szCs w:val="24"/>
        </w:rPr>
      </w:pPr>
    </w:p>
    <w:p w14:paraId="0F62FC06" w14:textId="77777777" w:rsidR="000631C0" w:rsidRPr="00AF7B34" w:rsidRDefault="000631C0" w:rsidP="00B02B52">
      <w:pPr>
        <w:rPr>
          <w:szCs w:val="24"/>
        </w:rPr>
      </w:pPr>
    </w:p>
    <w:p w14:paraId="636B395C" w14:textId="77777777" w:rsidR="000631C0" w:rsidRPr="00AF7B34" w:rsidRDefault="000631C0" w:rsidP="00B02B52">
      <w:pPr>
        <w:rPr>
          <w:szCs w:val="24"/>
        </w:rPr>
      </w:pPr>
    </w:p>
    <w:sdt>
      <w:sdtPr>
        <w:rPr>
          <w:color w:val="auto"/>
          <w:sz w:val="24"/>
          <w:szCs w:val="22"/>
        </w:rPr>
        <w:id w:val="1255013027"/>
        <w:docPartObj>
          <w:docPartGallery w:val="Table of Contents"/>
          <w:docPartUnique/>
        </w:docPartObj>
      </w:sdtPr>
      <w:sdtEndPr>
        <w:rPr>
          <w:b/>
          <w:bCs/>
          <w:noProof/>
        </w:rPr>
      </w:sdtEndPr>
      <w:sdtContent>
        <w:p w14:paraId="1DED28FC" w14:textId="0D1623C6" w:rsidR="0040000D" w:rsidRPr="00AF7B34" w:rsidRDefault="0040000D">
          <w:pPr>
            <w:pStyle w:val="TOCHeading"/>
          </w:pPr>
          <w:r w:rsidRPr="00AF7B34">
            <w:t>Table of Contents</w:t>
          </w:r>
        </w:p>
        <w:p w14:paraId="0D511012" w14:textId="42E44B15" w:rsidR="00082446" w:rsidRDefault="0040000D">
          <w:pPr>
            <w:pStyle w:val="TOC1"/>
            <w:tabs>
              <w:tab w:val="right" w:leader="dot" w:pos="8608"/>
            </w:tabs>
            <w:rPr>
              <w:rFonts w:eastAsiaTheme="minorEastAsia"/>
              <w:b w:val="0"/>
              <w:noProof/>
              <w:sz w:val="22"/>
              <w:lang w:eastAsia="en-GB"/>
            </w:rPr>
          </w:pPr>
          <w:r w:rsidRPr="00AF7B34">
            <w:fldChar w:fldCharType="begin"/>
          </w:r>
          <w:r w:rsidRPr="00AF7B34">
            <w:instrText xml:space="preserve"> TOC \o "1-3" \h \z \u </w:instrText>
          </w:r>
          <w:r w:rsidRPr="00AF7B34">
            <w:fldChar w:fldCharType="separate"/>
          </w:r>
          <w:hyperlink w:anchor="_Toc77758374" w:history="1">
            <w:r w:rsidR="00082446" w:rsidRPr="00A510E3">
              <w:rPr>
                <w:rStyle w:val="Hyperlink"/>
                <w:noProof/>
              </w:rPr>
              <w:t>1. Introduction</w:t>
            </w:r>
            <w:r w:rsidR="00082446">
              <w:rPr>
                <w:noProof/>
                <w:webHidden/>
              </w:rPr>
              <w:tab/>
            </w:r>
            <w:r w:rsidR="00082446">
              <w:rPr>
                <w:noProof/>
                <w:webHidden/>
              </w:rPr>
              <w:fldChar w:fldCharType="begin"/>
            </w:r>
            <w:r w:rsidR="00082446">
              <w:rPr>
                <w:noProof/>
                <w:webHidden/>
              </w:rPr>
              <w:instrText xml:space="preserve"> PAGEREF _Toc77758374 \h </w:instrText>
            </w:r>
            <w:r w:rsidR="00082446">
              <w:rPr>
                <w:noProof/>
                <w:webHidden/>
              </w:rPr>
            </w:r>
            <w:r w:rsidR="00082446">
              <w:rPr>
                <w:noProof/>
                <w:webHidden/>
              </w:rPr>
              <w:fldChar w:fldCharType="separate"/>
            </w:r>
            <w:r w:rsidR="00082446">
              <w:rPr>
                <w:noProof/>
                <w:webHidden/>
              </w:rPr>
              <w:t>1</w:t>
            </w:r>
            <w:r w:rsidR="00082446">
              <w:rPr>
                <w:noProof/>
                <w:webHidden/>
              </w:rPr>
              <w:fldChar w:fldCharType="end"/>
            </w:r>
          </w:hyperlink>
        </w:p>
        <w:p w14:paraId="79E249F1" w14:textId="7754BB22" w:rsidR="00082446" w:rsidRDefault="00201ECC">
          <w:pPr>
            <w:pStyle w:val="TOC1"/>
            <w:tabs>
              <w:tab w:val="right" w:leader="dot" w:pos="8608"/>
            </w:tabs>
            <w:rPr>
              <w:rFonts w:eastAsiaTheme="minorEastAsia"/>
              <w:b w:val="0"/>
              <w:noProof/>
              <w:sz w:val="22"/>
              <w:lang w:eastAsia="en-GB"/>
            </w:rPr>
          </w:pPr>
          <w:hyperlink w:anchor="_Toc77758375" w:history="1">
            <w:r w:rsidR="00082446" w:rsidRPr="00A510E3">
              <w:rPr>
                <w:rStyle w:val="Hyperlink"/>
                <w:noProof/>
              </w:rPr>
              <w:t>2. Incorporation of CEDAW</w:t>
            </w:r>
            <w:r w:rsidR="00082446">
              <w:rPr>
                <w:noProof/>
                <w:webHidden/>
              </w:rPr>
              <w:tab/>
            </w:r>
            <w:r w:rsidR="00082446">
              <w:rPr>
                <w:noProof/>
                <w:webHidden/>
              </w:rPr>
              <w:fldChar w:fldCharType="begin"/>
            </w:r>
            <w:r w:rsidR="00082446">
              <w:rPr>
                <w:noProof/>
                <w:webHidden/>
              </w:rPr>
              <w:instrText xml:space="preserve"> PAGEREF _Toc77758375 \h </w:instrText>
            </w:r>
            <w:r w:rsidR="00082446">
              <w:rPr>
                <w:noProof/>
                <w:webHidden/>
              </w:rPr>
            </w:r>
            <w:r w:rsidR="00082446">
              <w:rPr>
                <w:noProof/>
                <w:webHidden/>
              </w:rPr>
              <w:fldChar w:fldCharType="separate"/>
            </w:r>
            <w:r w:rsidR="00082446">
              <w:rPr>
                <w:noProof/>
                <w:webHidden/>
              </w:rPr>
              <w:t>3</w:t>
            </w:r>
            <w:r w:rsidR="00082446">
              <w:rPr>
                <w:noProof/>
                <w:webHidden/>
              </w:rPr>
              <w:fldChar w:fldCharType="end"/>
            </w:r>
          </w:hyperlink>
        </w:p>
        <w:p w14:paraId="793BA6B9" w14:textId="5CF50730" w:rsidR="00082446" w:rsidRDefault="00201ECC">
          <w:pPr>
            <w:pStyle w:val="TOC1"/>
            <w:tabs>
              <w:tab w:val="right" w:leader="dot" w:pos="8608"/>
            </w:tabs>
            <w:rPr>
              <w:rFonts w:eastAsiaTheme="minorEastAsia"/>
              <w:b w:val="0"/>
              <w:noProof/>
              <w:sz w:val="22"/>
              <w:lang w:eastAsia="en-GB"/>
            </w:rPr>
          </w:pPr>
          <w:hyperlink w:anchor="_Toc77758376" w:history="1">
            <w:r w:rsidR="00082446" w:rsidRPr="00A510E3">
              <w:rPr>
                <w:rStyle w:val="Hyperlink"/>
                <w:noProof/>
              </w:rPr>
              <w:t>3. Inclusion of the ECHR and EU Charter in national legislation</w:t>
            </w:r>
            <w:r w:rsidR="00082446">
              <w:rPr>
                <w:noProof/>
                <w:webHidden/>
              </w:rPr>
              <w:tab/>
            </w:r>
            <w:r w:rsidR="00082446">
              <w:rPr>
                <w:noProof/>
                <w:webHidden/>
              </w:rPr>
              <w:fldChar w:fldCharType="begin"/>
            </w:r>
            <w:r w:rsidR="00082446">
              <w:rPr>
                <w:noProof/>
                <w:webHidden/>
              </w:rPr>
              <w:instrText xml:space="preserve"> PAGEREF _Toc77758376 \h </w:instrText>
            </w:r>
            <w:r w:rsidR="00082446">
              <w:rPr>
                <w:noProof/>
                <w:webHidden/>
              </w:rPr>
            </w:r>
            <w:r w:rsidR="00082446">
              <w:rPr>
                <w:noProof/>
                <w:webHidden/>
              </w:rPr>
              <w:fldChar w:fldCharType="separate"/>
            </w:r>
            <w:r w:rsidR="00082446">
              <w:rPr>
                <w:noProof/>
                <w:webHidden/>
              </w:rPr>
              <w:t>6</w:t>
            </w:r>
            <w:r w:rsidR="00082446">
              <w:rPr>
                <w:noProof/>
                <w:webHidden/>
              </w:rPr>
              <w:fldChar w:fldCharType="end"/>
            </w:r>
          </w:hyperlink>
        </w:p>
        <w:p w14:paraId="0077F0EF" w14:textId="1FD3223C" w:rsidR="00082446" w:rsidRDefault="00201ECC">
          <w:pPr>
            <w:pStyle w:val="TOC2"/>
            <w:tabs>
              <w:tab w:val="right" w:leader="dot" w:pos="8608"/>
            </w:tabs>
            <w:rPr>
              <w:rFonts w:eastAsiaTheme="minorEastAsia"/>
              <w:noProof/>
              <w:sz w:val="22"/>
              <w:lang w:eastAsia="en-GB"/>
            </w:rPr>
          </w:pPr>
          <w:hyperlink w:anchor="_Toc77758377" w:history="1">
            <w:r w:rsidR="00082446" w:rsidRPr="00A510E3">
              <w:rPr>
                <w:rStyle w:val="Hyperlink"/>
                <w:noProof/>
              </w:rPr>
              <w:t>Inclusion of the ECHR</w:t>
            </w:r>
            <w:r w:rsidR="00082446">
              <w:rPr>
                <w:noProof/>
                <w:webHidden/>
              </w:rPr>
              <w:tab/>
            </w:r>
            <w:r w:rsidR="00082446">
              <w:rPr>
                <w:noProof/>
                <w:webHidden/>
              </w:rPr>
              <w:fldChar w:fldCharType="begin"/>
            </w:r>
            <w:r w:rsidR="00082446">
              <w:rPr>
                <w:noProof/>
                <w:webHidden/>
              </w:rPr>
              <w:instrText xml:space="preserve"> PAGEREF _Toc77758377 \h </w:instrText>
            </w:r>
            <w:r w:rsidR="00082446">
              <w:rPr>
                <w:noProof/>
                <w:webHidden/>
              </w:rPr>
            </w:r>
            <w:r w:rsidR="00082446">
              <w:rPr>
                <w:noProof/>
                <w:webHidden/>
              </w:rPr>
              <w:fldChar w:fldCharType="separate"/>
            </w:r>
            <w:r w:rsidR="00082446">
              <w:rPr>
                <w:noProof/>
                <w:webHidden/>
              </w:rPr>
              <w:t>6</w:t>
            </w:r>
            <w:r w:rsidR="00082446">
              <w:rPr>
                <w:noProof/>
                <w:webHidden/>
              </w:rPr>
              <w:fldChar w:fldCharType="end"/>
            </w:r>
          </w:hyperlink>
        </w:p>
        <w:p w14:paraId="1462BFB1" w14:textId="0BF0AF51" w:rsidR="00082446" w:rsidRDefault="00201ECC">
          <w:pPr>
            <w:pStyle w:val="TOC2"/>
            <w:tabs>
              <w:tab w:val="right" w:leader="dot" w:pos="8608"/>
            </w:tabs>
            <w:rPr>
              <w:rFonts w:eastAsiaTheme="minorEastAsia"/>
              <w:noProof/>
              <w:sz w:val="22"/>
              <w:lang w:eastAsia="en-GB"/>
            </w:rPr>
          </w:pPr>
          <w:hyperlink w:anchor="_Toc77758378" w:history="1">
            <w:r w:rsidR="00082446" w:rsidRPr="00A510E3">
              <w:rPr>
                <w:rStyle w:val="Hyperlink"/>
                <w:noProof/>
              </w:rPr>
              <w:t>Inclusion of the EU Charter of Fundamental Rights</w:t>
            </w:r>
            <w:r w:rsidR="00082446">
              <w:rPr>
                <w:noProof/>
                <w:webHidden/>
              </w:rPr>
              <w:tab/>
            </w:r>
            <w:r w:rsidR="00082446">
              <w:rPr>
                <w:noProof/>
                <w:webHidden/>
              </w:rPr>
              <w:fldChar w:fldCharType="begin"/>
            </w:r>
            <w:r w:rsidR="00082446">
              <w:rPr>
                <w:noProof/>
                <w:webHidden/>
              </w:rPr>
              <w:instrText xml:space="preserve"> PAGEREF _Toc77758378 \h </w:instrText>
            </w:r>
            <w:r w:rsidR="00082446">
              <w:rPr>
                <w:noProof/>
                <w:webHidden/>
              </w:rPr>
            </w:r>
            <w:r w:rsidR="00082446">
              <w:rPr>
                <w:noProof/>
                <w:webHidden/>
              </w:rPr>
              <w:fldChar w:fldCharType="separate"/>
            </w:r>
            <w:r w:rsidR="00082446">
              <w:rPr>
                <w:noProof/>
                <w:webHidden/>
              </w:rPr>
              <w:t>8</w:t>
            </w:r>
            <w:r w:rsidR="00082446">
              <w:rPr>
                <w:noProof/>
                <w:webHidden/>
              </w:rPr>
              <w:fldChar w:fldCharType="end"/>
            </w:r>
          </w:hyperlink>
        </w:p>
        <w:p w14:paraId="2B60ABFD" w14:textId="3CE45093" w:rsidR="00082446" w:rsidRDefault="00201ECC">
          <w:pPr>
            <w:pStyle w:val="TOC1"/>
            <w:tabs>
              <w:tab w:val="right" w:leader="dot" w:pos="8608"/>
            </w:tabs>
            <w:rPr>
              <w:rFonts w:eastAsiaTheme="minorEastAsia"/>
              <w:b w:val="0"/>
              <w:noProof/>
              <w:sz w:val="22"/>
              <w:lang w:eastAsia="en-GB"/>
            </w:rPr>
          </w:pPr>
          <w:hyperlink w:anchor="_Toc77758379" w:history="1">
            <w:r w:rsidR="00082446" w:rsidRPr="00A510E3">
              <w:rPr>
                <w:rStyle w:val="Hyperlink"/>
                <w:noProof/>
              </w:rPr>
              <w:t>4. Establishment of a national oversight mechanism</w:t>
            </w:r>
            <w:r w:rsidR="00082446">
              <w:rPr>
                <w:noProof/>
                <w:webHidden/>
              </w:rPr>
              <w:tab/>
            </w:r>
            <w:r w:rsidR="00082446">
              <w:rPr>
                <w:noProof/>
                <w:webHidden/>
              </w:rPr>
              <w:fldChar w:fldCharType="begin"/>
            </w:r>
            <w:r w:rsidR="00082446">
              <w:rPr>
                <w:noProof/>
                <w:webHidden/>
              </w:rPr>
              <w:instrText xml:space="preserve"> PAGEREF _Toc77758379 \h </w:instrText>
            </w:r>
            <w:r w:rsidR="00082446">
              <w:rPr>
                <w:noProof/>
                <w:webHidden/>
              </w:rPr>
            </w:r>
            <w:r w:rsidR="00082446">
              <w:rPr>
                <w:noProof/>
                <w:webHidden/>
              </w:rPr>
              <w:fldChar w:fldCharType="separate"/>
            </w:r>
            <w:r w:rsidR="00082446">
              <w:rPr>
                <w:noProof/>
                <w:webHidden/>
              </w:rPr>
              <w:t>10</w:t>
            </w:r>
            <w:r w:rsidR="00082446">
              <w:rPr>
                <w:noProof/>
                <w:webHidden/>
              </w:rPr>
              <w:fldChar w:fldCharType="end"/>
            </w:r>
          </w:hyperlink>
        </w:p>
        <w:p w14:paraId="36B2E137" w14:textId="015150A4" w:rsidR="00082446" w:rsidRDefault="00201ECC">
          <w:pPr>
            <w:pStyle w:val="TOC1"/>
            <w:tabs>
              <w:tab w:val="right" w:leader="dot" w:pos="8608"/>
            </w:tabs>
            <w:rPr>
              <w:rFonts w:eastAsiaTheme="minorEastAsia"/>
              <w:b w:val="0"/>
              <w:noProof/>
              <w:sz w:val="22"/>
              <w:lang w:eastAsia="en-GB"/>
            </w:rPr>
          </w:pPr>
          <w:hyperlink w:anchor="_Toc77758380" w:history="1">
            <w:r w:rsidR="00082446" w:rsidRPr="00A510E3">
              <w:rPr>
                <w:rStyle w:val="Hyperlink"/>
                <w:noProof/>
              </w:rPr>
              <w:t>Contacts</w:t>
            </w:r>
            <w:r w:rsidR="00082446">
              <w:rPr>
                <w:noProof/>
                <w:webHidden/>
              </w:rPr>
              <w:tab/>
            </w:r>
            <w:r w:rsidR="00082446">
              <w:rPr>
                <w:noProof/>
                <w:webHidden/>
              </w:rPr>
              <w:fldChar w:fldCharType="begin"/>
            </w:r>
            <w:r w:rsidR="00082446">
              <w:rPr>
                <w:noProof/>
                <w:webHidden/>
              </w:rPr>
              <w:instrText xml:space="preserve"> PAGEREF _Toc77758380 \h </w:instrText>
            </w:r>
            <w:r w:rsidR="00082446">
              <w:rPr>
                <w:noProof/>
                <w:webHidden/>
              </w:rPr>
            </w:r>
            <w:r w:rsidR="00082446">
              <w:rPr>
                <w:noProof/>
                <w:webHidden/>
              </w:rPr>
              <w:fldChar w:fldCharType="separate"/>
            </w:r>
            <w:r w:rsidR="00082446">
              <w:rPr>
                <w:noProof/>
                <w:webHidden/>
              </w:rPr>
              <w:t>15</w:t>
            </w:r>
            <w:r w:rsidR="00082446">
              <w:rPr>
                <w:noProof/>
                <w:webHidden/>
              </w:rPr>
              <w:fldChar w:fldCharType="end"/>
            </w:r>
          </w:hyperlink>
        </w:p>
        <w:p w14:paraId="0776C414" w14:textId="218B9AC4" w:rsidR="00082446" w:rsidRDefault="00201ECC">
          <w:pPr>
            <w:pStyle w:val="TOC2"/>
            <w:tabs>
              <w:tab w:val="right" w:leader="dot" w:pos="8608"/>
            </w:tabs>
            <w:rPr>
              <w:rFonts w:eastAsiaTheme="minorEastAsia"/>
              <w:noProof/>
              <w:sz w:val="22"/>
              <w:lang w:eastAsia="en-GB"/>
            </w:rPr>
          </w:pPr>
          <w:hyperlink w:anchor="_Toc77758381" w:history="1">
            <w:r w:rsidR="00082446" w:rsidRPr="00A510E3">
              <w:rPr>
                <w:rStyle w:val="Hyperlink"/>
                <w:noProof/>
              </w:rPr>
              <w:t>EASS</w:t>
            </w:r>
            <w:r w:rsidR="00082446">
              <w:rPr>
                <w:noProof/>
                <w:webHidden/>
              </w:rPr>
              <w:tab/>
            </w:r>
            <w:r w:rsidR="00082446">
              <w:rPr>
                <w:noProof/>
                <w:webHidden/>
              </w:rPr>
              <w:fldChar w:fldCharType="begin"/>
            </w:r>
            <w:r w:rsidR="00082446">
              <w:rPr>
                <w:noProof/>
                <w:webHidden/>
              </w:rPr>
              <w:instrText xml:space="preserve"> PAGEREF _Toc77758381 \h </w:instrText>
            </w:r>
            <w:r w:rsidR="00082446">
              <w:rPr>
                <w:noProof/>
                <w:webHidden/>
              </w:rPr>
            </w:r>
            <w:r w:rsidR="00082446">
              <w:rPr>
                <w:noProof/>
                <w:webHidden/>
              </w:rPr>
              <w:fldChar w:fldCharType="separate"/>
            </w:r>
            <w:r w:rsidR="00082446">
              <w:rPr>
                <w:noProof/>
                <w:webHidden/>
              </w:rPr>
              <w:t>15</w:t>
            </w:r>
            <w:r w:rsidR="00082446">
              <w:rPr>
                <w:noProof/>
                <w:webHidden/>
              </w:rPr>
              <w:fldChar w:fldCharType="end"/>
            </w:r>
          </w:hyperlink>
        </w:p>
        <w:p w14:paraId="2E4A1D4C" w14:textId="3781E593" w:rsidR="0040000D" w:rsidRPr="00AF7B34" w:rsidRDefault="0040000D">
          <w:r w:rsidRPr="00AF7B34">
            <w:rPr>
              <w:b/>
              <w:bCs/>
              <w:noProof/>
            </w:rPr>
            <w:fldChar w:fldCharType="end"/>
          </w:r>
        </w:p>
      </w:sdtContent>
    </w:sdt>
    <w:p w14:paraId="53817539" w14:textId="77777777" w:rsidR="00D31B93" w:rsidRPr="00AF7B34" w:rsidRDefault="00D31B93" w:rsidP="00B02B52">
      <w:pPr>
        <w:rPr>
          <w:szCs w:val="24"/>
        </w:rPr>
      </w:pPr>
    </w:p>
    <w:p w14:paraId="198886FA" w14:textId="77777777" w:rsidR="00D31B93" w:rsidRPr="00AF7B34" w:rsidRDefault="00D31B93" w:rsidP="00B02B52">
      <w:pPr>
        <w:rPr>
          <w:szCs w:val="24"/>
        </w:rPr>
      </w:pPr>
    </w:p>
    <w:p w14:paraId="3F7BCC39" w14:textId="77777777" w:rsidR="00D31B93" w:rsidRPr="00AF7B34" w:rsidRDefault="00D31B93" w:rsidP="00B02B52">
      <w:pPr>
        <w:rPr>
          <w:szCs w:val="24"/>
        </w:rPr>
      </w:pPr>
    </w:p>
    <w:p w14:paraId="4B5D1B86" w14:textId="77777777" w:rsidR="00D31B93" w:rsidRPr="00AF7B34" w:rsidRDefault="00D31B93" w:rsidP="00B02B52">
      <w:pPr>
        <w:rPr>
          <w:szCs w:val="24"/>
        </w:rPr>
      </w:pPr>
    </w:p>
    <w:p w14:paraId="41B5957C" w14:textId="77777777" w:rsidR="00D31B93" w:rsidRPr="00AF7B34" w:rsidRDefault="00D31B93" w:rsidP="00B02B52">
      <w:pPr>
        <w:rPr>
          <w:szCs w:val="24"/>
        </w:rPr>
      </w:pPr>
    </w:p>
    <w:p w14:paraId="55199F0C" w14:textId="77777777" w:rsidR="00D31B93" w:rsidRPr="00AF7B34" w:rsidRDefault="00D31B93" w:rsidP="00B02B52">
      <w:pPr>
        <w:rPr>
          <w:szCs w:val="24"/>
        </w:rPr>
      </w:pPr>
    </w:p>
    <w:p w14:paraId="7DDFE507" w14:textId="77777777" w:rsidR="00D31B93" w:rsidRPr="00AF7B34" w:rsidRDefault="00D31B93" w:rsidP="00B02B52">
      <w:pPr>
        <w:rPr>
          <w:szCs w:val="24"/>
        </w:rPr>
      </w:pPr>
    </w:p>
    <w:p w14:paraId="533EA1DC" w14:textId="34C9BC67" w:rsidR="00D31B93" w:rsidRPr="00AF7B34" w:rsidRDefault="00D31B93" w:rsidP="00B02B52">
      <w:pPr>
        <w:rPr>
          <w:szCs w:val="24"/>
        </w:rPr>
      </w:pPr>
    </w:p>
    <w:p w14:paraId="5471BF10" w14:textId="77777777" w:rsidR="00B9488B" w:rsidRPr="00AF7B34" w:rsidRDefault="00B9488B" w:rsidP="00E53A02">
      <w:pPr>
        <w:pStyle w:val="Heading1"/>
        <w:sectPr w:rsidR="00B9488B" w:rsidRPr="00AF7B34" w:rsidSect="0040000D">
          <w:headerReference w:type="default" r:id="rId11"/>
          <w:footerReference w:type="even" r:id="rId12"/>
          <w:footerReference w:type="default" r:id="rId13"/>
          <w:headerReference w:type="first" r:id="rId14"/>
          <w:footerReference w:type="first" r:id="rId15"/>
          <w:pgSz w:w="11906" w:h="16838"/>
          <w:pgMar w:top="1814" w:right="1644" w:bottom="567" w:left="1644" w:header="340" w:footer="454" w:gutter="0"/>
          <w:pgNumType w:start="0"/>
          <w:cols w:space="708"/>
          <w:titlePg/>
          <w:docGrid w:linePitch="381"/>
        </w:sectPr>
      </w:pPr>
      <w:bookmarkStart w:id="0" w:name="_Toc29467461"/>
      <w:bookmarkStart w:id="1" w:name="_Toc38296882"/>
    </w:p>
    <w:p w14:paraId="17E1A5F5" w14:textId="7BD3DFBD" w:rsidR="0067420E" w:rsidRPr="00AF7B34" w:rsidRDefault="0067420E" w:rsidP="00E53A02">
      <w:pPr>
        <w:pStyle w:val="Heading1"/>
      </w:pPr>
      <w:bookmarkStart w:id="2" w:name="_Toc77758374"/>
      <w:r w:rsidRPr="00AF7B34">
        <w:lastRenderedPageBreak/>
        <w:t>1.</w:t>
      </w:r>
      <w:bookmarkEnd w:id="0"/>
      <w:r w:rsidR="008D40EC" w:rsidRPr="00AF7B34">
        <w:t xml:space="preserve"> </w:t>
      </w:r>
      <w:r w:rsidR="00DD283A" w:rsidRPr="00AF7B34">
        <w:t>Introduction</w:t>
      </w:r>
      <w:bookmarkEnd w:id="2"/>
      <w:r w:rsidRPr="00AF7B34">
        <w:t xml:space="preserve"> </w:t>
      </w:r>
      <w:bookmarkEnd w:id="1"/>
    </w:p>
    <w:p w14:paraId="27CE281B" w14:textId="3A7DA882" w:rsidR="002D59BF" w:rsidRPr="00AF7B34" w:rsidRDefault="002D59BF" w:rsidP="002D59BF">
      <w:pPr>
        <w:rPr>
          <w:szCs w:val="24"/>
        </w:rPr>
      </w:pPr>
      <w:r w:rsidRPr="00AF7B34">
        <w:rPr>
          <w:szCs w:val="24"/>
        </w:rPr>
        <w:t xml:space="preserve">The Equality and Human Rights Commission (EHRC) was established by the UK Parliament through the Equality Act 2006 as an independent body with a mandate covering equality and human rights. Our remit for human rights covers </w:t>
      </w:r>
      <w:r w:rsidR="00641EC5" w:rsidRPr="00AF7B34">
        <w:rPr>
          <w:szCs w:val="24"/>
        </w:rPr>
        <w:t xml:space="preserve">issues in </w:t>
      </w:r>
      <w:r w:rsidRPr="00AF7B34">
        <w:rPr>
          <w:szCs w:val="24"/>
        </w:rPr>
        <w:t>England</w:t>
      </w:r>
      <w:r w:rsidR="00641EC5" w:rsidRPr="00AF7B34">
        <w:rPr>
          <w:szCs w:val="24"/>
        </w:rPr>
        <w:t xml:space="preserve"> and</w:t>
      </w:r>
      <w:r w:rsidRPr="00AF7B34">
        <w:rPr>
          <w:szCs w:val="24"/>
        </w:rPr>
        <w:t xml:space="preserve"> Wales</w:t>
      </w:r>
      <w:r w:rsidR="00641EC5" w:rsidRPr="00AF7B34">
        <w:rPr>
          <w:szCs w:val="24"/>
        </w:rPr>
        <w:t>,</w:t>
      </w:r>
      <w:r w:rsidRPr="00AF7B34">
        <w:rPr>
          <w:szCs w:val="24"/>
        </w:rPr>
        <w:t xml:space="preserve"> and those in Scotland that are reserved to the UK Parliament.</w:t>
      </w:r>
    </w:p>
    <w:p w14:paraId="61ECEA67" w14:textId="37B9B2D8" w:rsidR="002D59BF" w:rsidRPr="00AF7B34" w:rsidRDefault="002D59BF" w:rsidP="002D59BF">
      <w:pPr>
        <w:rPr>
          <w:szCs w:val="24"/>
        </w:rPr>
      </w:pPr>
      <w:r w:rsidRPr="00AF7B34">
        <w:rPr>
          <w:szCs w:val="24"/>
        </w:rPr>
        <w:t xml:space="preserve">Our role as a National Human Rights Institution (NHRI) requires us to assess and report on the UK’s progress in fulfilling its human rights obligations. We work with other NHRIs in the UK – the Scottish Human Rights Commission </w:t>
      </w:r>
      <w:r w:rsidR="002B16C1" w:rsidRPr="00AF7B34">
        <w:rPr>
          <w:szCs w:val="24"/>
        </w:rPr>
        <w:t xml:space="preserve">(SHRC) </w:t>
      </w:r>
      <w:r w:rsidRPr="00AF7B34">
        <w:rPr>
          <w:szCs w:val="24"/>
        </w:rPr>
        <w:t xml:space="preserve">and the Northern </w:t>
      </w:r>
      <w:r w:rsidR="00E155BA" w:rsidRPr="00AF7B34">
        <w:rPr>
          <w:szCs w:val="24"/>
        </w:rPr>
        <w:t>Ireland Human Rights Commission</w:t>
      </w:r>
      <w:r w:rsidR="006B75BB">
        <w:rPr>
          <w:szCs w:val="24"/>
        </w:rPr>
        <w:t xml:space="preserve"> (NIHRC)</w:t>
      </w:r>
      <w:r w:rsidR="002B16C1" w:rsidRPr="00AF7B34">
        <w:rPr>
          <w:szCs w:val="24"/>
        </w:rPr>
        <w:t xml:space="preserve"> </w:t>
      </w:r>
      <w:r w:rsidRPr="00AF7B34">
        <w:rPr>
          <w:szCs w:val="24"/>
        </w:rPr>
        <w:t>– and liaise with government departments and agencies to fulfil this role. All three NHRIs hold ‘A status’ accreditation with the United Nations.</w:t>
      </w:r>
    </w:p>
    <w:p w14:paraId="1872EA23" w14:textId="6E4ED5DB" w:rsidR="007B0866" w:rsidRPr="00AF7B34" w:rsidRDefault="007B0866" w:rsidP="007B0866">
      <w:pPr>
        <w:rPr>
          <w:szCs w:val="24"/>
        </w:rPr>
      </w:pPr>
      <w:r w:rsidRPr="00AF7B34">
        <w:rPr>
          <w:szCs w:val="24"/>
        </w:rPr>
        <w:t xml:space="preserve">This is a follow-up submission regarding the </w:t>
      </w:r>
      <w:r w:rsidR="006B75BB">
        <w:rPr>
          <w:szCs w:val="24"/>
        </w:rPr>
        <w:t>c</w:t>
      </w:r>
      <w:r w:rsidRPr="00AF7B34">
        <w:rPr>
          <w:szCs w:val="24"/>
        </w:rPr>
        <w:t xml:space="preserve">oncluding </w:t>
      </w:r>
      <w:r w:rsidR="006B75BB">
        <w:rPr>
          <w:szCs w:val="24"/>
        </w:rPr>
        <w:t>o</w:t>
      </w:r>
      <w:r w:rsidRPr="00AF7B34">
        <w:rPr>
          <w:szCs w:val="24"/>
        </w:rPr>
        <w:t xml:space="preserve">bservations adopted by the </w:t>
      </w:r>
      <w:r w:rsidR="006B75BB">
        <w:rPr>
          <w:szCs w:val="24"/>
        </w:rPr>
        <w:t xml:space="preserve">UN </w:t>
      </w:r>
      <w:r w:rsidRPr="00AF7B34">
        <w:rPr>
          <w:szCs w:val="24"/>
        </w:rPr>
        <w:t xml:space="preserve">Committee </w:t>
      </w:r>
      <w:r w:rsidR="00DD283A" w:rsidRPr="00AF7B34">
        <w:rPr>
          <w:szCs w:val="24"/>
        </w:rPr>
        <w:t>on the Elimination of Discrimination against Women</w:t>
      </w:r>
      <w:r w:rsidRPr="00AF7B34">
        <w:rPr>
          <w:szCs w:val="24"/>
        </w:rPr>
        <w:t xml:space="preserve"> (</w:t>
      </w:r>
      <w:r w:rsidR="0039472C" w:rsidRPr="00AF7B34">
        <w:rPr>
          <w:szCs w:val="24"/>
        </w:rPr>
        <w:t>‘</w:t>
      </w:r>
      <w:r w:rsidRPr="00AF7B34">
        <w:rPr>
          <w:szCs w:val="24"/>
        </w:rPr>
        <w:t>the Committee</w:t>
      </w:r>
      <w:r w:rsidR="0039472C" w:rsidRPr="00AF7B34">
        <w:rPr>
          <w:szCs w:val="24"/>
        </w:rPr>
        <w:t>’</w:t>
      </w:r>
      <w:r w:rsidRPr="00AF7B34">
        <w:rPr>
          <w:szCs w:val="24"/>
        </w:rPr>
        <w:t xml:space="preserve">) on the </w:t>
      </w:r>
      <w:r w:rsidR="00DD283A" w:rsidRPr="00AF7B34">
        <w:rPr>
          <w:szCs w:val="24"/>
        </w:rPr>
        <w:t>eighth</w:t>
      </w:r>
      <w:r w:rsidRPr="00AF7B34">
        <w:rPr>
          <w:szCs w:val="24"/>
        </w:rPr>
        <w:t xml:space="preserve"> periodic report of the UK.</w:t>
      </w:r>
      <w:r w:rsidRPr="00AF7B34">
        <w:rPr>
          <w:rStyle w:val="FootnoteReference"/>
          <w:szCs w:val="24"/>
        </w:rPr>
        <w:footnoteReference w:id="1"/>
      </w:r>
      <w:r w:rsidRPr="00AF7B34">
        <w:rPr>
          <w:szCs w:val="24"/>
        </w:rPr>
        <w:t xml:space="preserve"> The Committee’s </w:t>
      </w:r>
      <w:r w:rsidR="006B75BB">
        <w:rPr>
          <w:szCs w:val="24"/>
        </w:rPr>
        <w:t>c</w:t>
      </w:r>
      <w:r w:rsidRPr="00AF7B34">
        <w:rPr>
          <w:szCs w:val="24"/>
        </w:rPr>
        <w:t xml:space="preserve">oncluding </w:t>
      </w:r>
      <w:r w:rsidR="006B75BB">
        <w:rPr>
          <w:szCs w:val="24"/>
        </w:rPr>
        <w:t>o</w:t>
      </w:r>
      <w:r w:rsidRPr="00AF7B34">
        <w:rPr>
          <w:szCs w:val="24"/>
        </w:rPr>
        <w:t>bservations requested the State party provide information on the recommendations identified for follow-up. This submission is intended to inform the Committee</w:t>
      </w:r>
      <w:r w:rsidR="00CB6A9E" w:rsidRPr="00AF7B34">
        <w:rPr>
          <w:szCs w:val="24"/>
        </w:rPr>
        <w:t xml:space="preserve"> in its assessment of the UK’s progress</w:t>
      </w:r>
      <w:r w:rsidR="004E5F40" w:rsidRPr="00AF7B34">
        <w:rPr>
          <w:szCs w:val="24"/>
        </w:rPr>
        <w:t xml:space="preserve">. </w:t>
      </w:r>
    </w:p>
    <w:p w14:paraId="0B8CFE9C" w14:textId="3A9D84AA" w:rsidR="007B0866" w:rsidRPr="00AF7B34" w:rsidRDefault="007B0866" w:rsidP="007B0866">
      <w:pPr>
        <w:rPr>
          <w:szCs w:val="24"/>
        </w:rPr>
      </w:pPr>
      <w:r w:rsidRPr="00AF7B34">
        <w:rPr>
          <w:szCs w:val="24"/>
        </w:rPr>
        <w:t xml:space="preserve">In this submission, we focus on developments since the adoption of the </w:t>
      </w:r>
      <w:r w:rsidR="006B75BB">
        <w:rPr>
          <w:szCs w:val="24"/>
        </w:rPr>
        <w:t>c</w:t>
      </w:r>
      <w:r w:rsidRPr="00AF7B34">
        <w:rPr>
          <w:szCs w:val="24"/>
        </w:rPr>
        <w:t xml:space="preserve">oncluding </w:t>
      </w:r>
      <w:r w:rsidR="006B75BB">
        <w:rPr>
          <w:szCs w:val="24"/>
        </w:rPr>
        <w:t>o</w:t>
      </w:r>
      <w:r w:rsidRPr="00AF7B34">
        <w:rPr>
          <w:szCs w:val="24"/>
        </w:rPr>
        <w:t>b</w:t>
      </w:r>
      <w:r w:rsidR="009354DA" w:rsidRPr="00AF7B34">
        <w:rPr>
          <w:szCs w:val="24"/>
        </w:rPr>
        <w:t xml:space="preserve">servations in </w:t>
      </w:r>
      <w:r w:rsidR="00DD283A" w:rsidRPr="00AF7B34">
        <w:rPr>
          <w:szCs w:val="24"/>
        </w:rPr>
        <w:t>March</w:t>
      </w:r>
      <w:r w:rsidRPr="00AF7B34">
        <w:rPr>
          <w:szCs w:val="24"/>
        </w:rPr>
        <w:t xml:space="preserve"> 2019</w:t>
      </w:r>
      <w:r w:rsidR="00375D61" w:rsidRPr="00AF7B34">
        <w:rPr>
          <w:szCs w:val="24"/>
        </w:rPr>
        <w:t xml:space="preserve"> </w:t>
      </w:r>
      <w:r w:rsidR="0030306A" w:rsidRPr="00AF7B34">
        <w:rPr>
          <w:szCs w:val="24"/>
        </w:rPr>
        <w:t>that</w:t>
      </w:r>
      <w:r w:rsidR="00375D61" w:rsidRPr="00AF7B34">
        <w:rPr>
          <w:szCs w:val="24"/>
        </w:rPr>
        <w:t xml:space="preserve"> are</w:t>
      </w:r>
      <w:r w:rsidRPr="00AF7B34">
        <w:rPr>
          <w:szCs w:val="24"/>
        </w:rPr>
        <w:t xml:space="preserve"> </w:t>
      </w:r>
      <w:r w:rsidR="00375D61" w:rsidRPr="00AF7B34">
        <w:rPr>
          <w:szCs w:val="24"/>
        </w:rPr>
        <w:t xml:space="preserve">relevant </w:t>
      </w:r>
      <w:r w:rsidRPr="00AF7B34">
        <w:rPr>
          <w:szCs w:val="24"/>
        </w:rPr>
        <w:t>to certain key issues</w:t>
      </w:r>
      <w:r w:rsidR="00803993" w:rsidRPr="00AF7B34">
        <w:rPr>
          <w:szCs w:val="24"/>
        </w:rPr>
        <w:t xml:space="preserve"> identified by the Committee</w:t>
      </w:r>
      <w:r w:rsidRPr="00AF7B34">
        <w:rPr>
          <w:szCs w:val="24"/>
        </w:rPr>
        <w:t>. We indicate where progress has been made</w:t>
      </w:r>
      <w:r w:rsidR="00803993" w:rsidRPr="00AF7B34">
        <w:rPr>
          <w:szCs w:val="24"/>
        </w:rPr>
        <w:t>,</w:t>
      </w:r>
      <w:r w:rsidRPr="00AF7B34">
        <w:rPr>
          <w:szCs w:val="24"/>
        </w:rPr>
        <w:t xml:space="preserve"> highlight the main concerns or challenges we have identified</w:t>
      </w:r>
      <w:r w:rsidR="00803993" w:rsidRPr="00AF7B34">
        <w:rPr>
          <w:szCs w:val="24"/>
        </w:rPr>
        <w:t xml:space="preserve">, and make recommendations to </w:t>
      </w:r>
      <w:r w:rsidR="009303AD" w:rsidRPr="00AF7B34">
        <w:rPr>
          <w:szCs w:val="24"/>
        </w:rPr>
        <w:t xml:space="preserve">the UK and Welsh </w:t>
      </w:r>
      <w:r w:rsidR="00B56EEC">
        <w:rPr>
          <w:szCs w:val="24"/>
        </w:rPr>
        <w:t>g</w:t>
      </w:r>
      <w:r w:rsidR="00803993" w:rsidRPr="00AF7B34">
        <w:rPr>
          <w:szCs w:val="24"/>
        </w:rPr>
        <w:t>overnment</w:t>
      </w:r>
      <w:r w:rsidR="009303AD" w:rsidRPr="00AF7B34">
        <w:rPr>
          <w:szCs w:val="24"/>
        </w:rPr>
        <w:t>s</w:t>
      </w:r>
      <w:r w:rsidR="00803993" w:rsidRPr="00AF7B34">
        <w:rPr>
          <w:szCs w:val="24"/>
        </w:rPr>
        <w:t>.</w:t>
      </w:r>
    </w:p>
    <w:p w14:paraId="3B105B7F" w14:textId="391AA738" w:rsidR="007B0866" w:rsidRPr="00AF7B34" w:rsidRDefault="000A5981" w:rsidP="007B0866">
      <w:pPr>
        <w:rPr>
          <w:szCs w:val="24"/>
        </w:rPr>
      </w:pPr>
      <w:r w:rsidRPr="00AF7B34">
        <w:rPr>
          <w:szCs w:val="24"/>
        </w:rPr>
        <w:t>This submission</w:t>
      </w:r>
      <w:r w:rsidR="007B0866" w:rsidRPr="00AF7B34">
        <w:rPr>
          <w:szCs w:val="24"/>
        </w:rPr>
        <w:t xml:space="preserve"> focus</w:t>
      </w:r>
      <w:r w:rsidR="00C97883" w:rsidRPr="00AF7B34">
        <w:rPr>
          <w:szCs w:val="24"/>
        </w:rPr>
        <w:t>es</w:t>
      </w:r>
      <w:r w:rsidR="007B0866" w:rsidRPr="00AF7B34">
        <w:rPr>
          <w:szCs w:val="24"/>
        </w:rPr>
        <w:t xml:space="preserve"> on:</w:t>
      </w:r>
    </w:p>
    <w:p w14:paraId="7F039BBA" w14:textId="47F73F5B" w:rsidR="000411BE" w:rsidRPr="00AF7B34" w:rsidRDefault="000411BE" w:rsidP="000411BE">
      <w:pPr>
        <w:pStyle w:val="ListParagraph"/>
        <w:numPr>
          <w:ilvl w:val="0"/>
          <w:numId w:val="17"/>
        </w:numPr>
        <w:rPr>
          <w:szCs w:val="24"/>
        </w:rPr>
      </w:pPr>
      <w:r w:rsidRPr="00AF7B34">
        <w:rPr>
          <w:szCs w:val="24"/>
        </w:rPr>
        <w:lastRenderedPageBreak/>
        <w:t xml:space="preserve">incorporation of </w:t>
      </w:r>
      <w:r w:rsidR="00197F41" w:rsidRPr="00AF7B34">
        <w:rPr>
          <w:szCs w:val="24"/>
        </w:rPr>
        <w:t xml:space="preserve">the </w:t>
      </w:r>
      <w:bookmarkStart w:id="6" w:name="_Hlk76135015"/>
      <w:r w:rsidR="006B75BB">
        <w:rPr>
          <w:szCs w:val="24"/>
        </w:rPr>
        <w:t xml:space="preserve">UN </w:t>
      </w:r>
      <w:r w:rsidRPr="00AF7B34">
        <w:rPr>
          <w:szCs w:val="24"/>
        </w:rPr>
        <w:t>C</w:t>
      </w:r>
      <w:r w:rsidR="00197F41" w:rsidRPr="00AF7B34">
        <w:rPr>
          <w:szCs w:val="24"/>
        </w:rPr>
        <w:t xml:space="preserve">onvention on the Elimination of All Forms of Discrimination against Women (CEDAW) </w:t>
      </w:r>
      <w:r w:rsidRPr="00AF7B34">
        <w:rPr>
          <w:szCs w:val="24"/>
        </w:rPr>
        <w:t xml:space="preserve">in domestic law </w:t>
      </w:r>
      <w:bookmarkEnd w:id="6"/>
    </w:p>
    <w:p w14:paraId="66D530F3" w14:textId="03CF4967" w:rsidR="000411BE" w:rsidRPr="00AF7B34" w:rsidRDefault="000411BE" w:rsidP="000411BE">
      <w:pPr>
        <w:pStyle w:val="ListParagraph"/>
        <w:numPr>
          <w:ilvl w:val="0"/>
          <w:numId w:val="17"/>
        </w:numPr>
        <w:rPr>
          <w:szCs w:val="24"/>
        </w:rPr>
      </w:pPr>
      <w:r w:rsidRPr="00AF7B34">
        <w:rPr>
          <w:szCs w:val="24"/>
        </w:rPr>
        <w:t xml:space="preserve">inclusion of the </w:t>
      </w:r>
      <w:bookmarkStart w:id="7" w:name="_Hlk76135031"/>
      <w:r w:rsidRPr="00AF7B34">
        <w:rPr>
          <w:szCs w:val="24"/>
        </w:rPr>
        <w:t xml:space="preserve">European Convention on Human Rights </w:t>
      </w:r>
      <w:r w:rsidR="005F0019" w:rsidRPr="00AF7B34">
        <w:rPr>
          <w:szCs w:val="24"/>
        </w:rPr>
        <w:t xml:space="preserve">(ECHR) </w:t>
      </w:r>
      <w:r w:rsidRPr="00AF7B34">
        <w:rPr>
          <w:szCs w:val="24"/>
        </w:rPr>
        <w:t xml:space="preserve">and the EU Charter of Fundamental Rights </w:t>
      </w:r>
      <w:bookmarkEnd w:id="7"/>
      <w:r w:rsidRPr="00AF7B34">
        <w:rPr>
          <w:szCs w:val="24"/>
        </w:rPr>
        <w:t>in domestic legislation</w:t>
      </w:r>
    </w:p>
    <w:p w14:paraId="1846B4AC" w14:textId="423FA832" w:rsidR="00DD283A" w:rsidRPr="00AF7B34" w:rsidRDefault="00DD283A" w:rsidP="00D26F7F">
      <w:pPr>
        <w:pStyle w:val="ListParagraph"/>
        <w:numPr>
          <w:ilvl w:val="0"/>
          <w:numId w:val="17"/>
        </w:numPr>
        <w:rPr>
          <w:szCs w:val="24"/>
        </w:rPr>
      </w:pPr>
      <w:r w:rsidRPr="00AF7B34">
        <w:rPr>
          <w:szCs w:val="24"/>
        </w:rPr>
        <w:t>establishment of a national oversight mechanism to coordinate and monitor the implementation</w:t>
      </w:r>
      <w:r w:rsidR="0049205A" w:rsidRPr="00AF7B34">
        <w:rPr>
          <w:szCs w:val="24"/>
        </w:rPr>
        <w:t xml:space="preserve"> of CEDAW</w:t>
      </w:r>
      <w:r w:rsidR="007154FC" w:rsidRPr="00AF7B34">
        <w:rPr>
          <w:szCs w:val="24"/>
        </w:rPr>
        <w:t xml:space="preserve"> and other UN treaties </w:t>
      </w:r>
      <w:r w:rsidR="00B56EEC">
        <w:rPr>
          <w:szCs w:val="24"/>
        </w:rPr>
        <w:t>that</w:t>
      </w:r>
      <w:r w:rsidR="007154FC" w:rsidRPr="00AF7B34">
        <w:rPr>
          <w:szCs w:val="24"/>
        </w:rPr>
        <w:t xml:space="preserve"> the UK has ratified</w:t>
      </w:r>
      <w:r w:rsidR="000411BE" w:rsidRPr="00AF7B34">
        <w:rPr>
          <w:szCs w:val="24"/>
        </w:rPr>
        <w:t xml:space="preserve">. </w:t>
      </w:r>
    </w:p>
    <w:p w14:paraId="676ECBC0" w14:textId="547CE121" w:rsidR="008E48E9" w:rsidRPr="00AF7B34" w:rsidRDefault="00F22CCD" w:rsidP="0067420E">
      <w:pPr>
        <w:rPr>
          <w:szCs w:val="24"/>
        </w:rPr>
      </w:pPr>
      <w:r w:rsidRPr="00AF7B34">
        <w:rPr>
          <w:szCs w:val="24"/>
        </w:rPr>
        <w:t xml:space="preserve">While this submission </w:t>
      </w:r>
      <w:r w:rsidR="00DB0DEC" w:rsidRPr="00AF7B34">
        <w:rPr>
          <w:szCs w:val="24"/>
        </w:rPr>
        <w:t xml:space="preserve">focuses </w:t>
      </w:r>
      <w:r w:rsidR="00EA4658" w:rsidRPr="00AF7B34">
        <w:rPr>
          <w:szCs w:val="24"/>
        </w:rPr>
        <w:t xml:space="preserve">on </w:t>
      </w:r>
      <w:r w:rsidRPr="00AF7B34">
        <w:rPr>
          <w:szCs w:val="24"/>
        </w:rPr>
        <w:t xml:space="preserve">the </w:t>
      </w:r>
      <w:r w:rsidR="001B4D82" w:rsidRPr="00AF7B34">
        <w:rPr>
          <w:szCs w:val="24"/>
        </w:rPr>
        <w:t xml:space="preserve">areas </w:t>
      </w:r>
      <w:r w:rsidR="00AC57F3">
        <w:rPr>
          <w:szCs w:val="24"/>
        </w:rPr>
        <w:t>summarised</w:t>
      </w:r>
      <w:r w:rsidR="001B4D82" w:rsidRPr="00AF7B34">
        <w:rPr>
          <w:szCs w:val="24"/>
        </w:rPr>
        <w:t xml:space="preserve"> above</w:t>
      </w:r>
      <w:r w:rsidRPr="00AF7B34">
        <w:rPr>
          <w:szCs w:val="24"/>
        </w:rPr>
        <w:t xml:space="preserve">, we recognise the equal importance of each recommendation outlined in the Committee’s </w:t>
      </w:r>
      <w:r w:rsidR="00AC57F3">
        <w:rPr>
          <w:szCs w:val="24"/>
        </w:rPr>
        <w:t>c</w:t>
      </w:r>
      <w:r w:rsidRPr="00AF7B34">
        <w:rPr>
          <w:szCs w:val="24"/>
        </w:rPr>
        <w:t xml:space="preserve">oncluding </w:t>
      </w:r>
      <w:r w:rsidR="00AC57F3">
        <w:rPr>
          <w:szCs w:val="24"/>
        </w:rPr>
        <w:t>o</w:t>
      </w:r>
      <w:r w:rsidRPr="00AF7B34">
        <w:rPr>
          <w:szCs w:val="24"/>
        </w:rPr>
        <w:t>bservations</w:t>
      </w:r>
      <w:r w:rsidR="001B4D82" w:rsidRPr="00AF7B34">
        <w:rPr>
          <w:szCs w:val="24"/>
        </w:rPr>
        <w:t>.</w:t>
      </w:r>
      <w:r w:rsidRPr="00AF7B34">
        <w:rPr>
          <w:szCs w:val="24"/>
        </w:rPr>
        <w:t xml:space="preserve"> </w:t>
      </w:r>
      <w:r w:rsidR="001B4D82" w:rsidRPr="00AF7B34">
        <w:rPr>
          <w:szCs w:val="24"/>
        </w:rPr>
        <w:t xml:space="preserve">We </w:t>
      </w:r>
      <w:r w:rsidR="0022233C" w:rsidRPr="00AF7B34">
        <w:rPr>
          <w:szCs w:val="24"/>
        </w:rPr>
        <w:t xml:space="preserve">strongly recommend that </w:t>
      </w:r>
      <w:r w:rsidRPr="00AF7B34">
        <w:rPr>
          <w:szCs w:val="24"/>
        </w:rPr>
        <w:t xml:space="preserve">the UK </w:t>
      </w:r>
      <w:r w:rsidR="00DA4247" w:rsidRPr="00AF7B34">
        <w:rPr>
          <w:szCs w:val="24"/>
        </w:rPr>
        <w:t xml:space="preserve">and Welsh </w:t>
      </w:r>
      <w:r w:rsidR="00B56EEC">
        <w:rPr>
          <w:szCs w:val="24"/>
        </w:rPr>
        <w:t>g</w:t>
      </w:r>
      <w:r w:rsidRPr="00AF7B34">
        <w:rPr>
          <w:szCs w:val="24"/>
        </w:rPr>
        <w:t>overnment</w:t>
      </w:r>
      <w:r w:rsidR="00DA4247" w:rsidRPr="00AF7B34">
        <w:rPr>
          <w:szCs w:val="24"/>
        </w:rPr>
        <w:t>s (where applicable)</w:t>
      </w:r>
      <w:r w:rsidRPr="00AF7B34">
        <w:rPr>
          <w:szCs w:val="24"/>
        </w:rPr>
        <w:t xml:space="preserve"> implement </w:t>
      </w:r>
      <w:r w:rsidR="002D59BF" w:rsidRPr="00AF7B34">
        <w:rPr>
          <w:szCs w:val="24"/>
        </w:rPr>
        <w:t xml:space="preserve">each of </w:t>
      </w:r>
      <w:r w:rsidRPr="00AF7B34">
        <w:rPr>
          <w:szCs w:val="24"/>
        </w:rPr>
        <w:t xml:space="preserve">these </w:t>
      </w:r>
      <w:r w:rsidR="002D59BF" w:rsidRPr="00AF7B34">
        <w:rPr>
          <w:szCs w:val="24"/>
        </w:rPr>
        <w:t xml:space="preserve">in full and </w:t>
      </w:r>
      <w:r w:rsidRPr="00AF7B34">
        <w:rPr>
          <w:szCs w:val="24"/>
        </w:rPr>
        <w:t>without delay.</w:t>
      </w:r>
    </w:p>
    <w:p w14:paraId="1F153F30" w14:textId="42871BAD" w:rsidR="000411BE" w:rsidRPr="00AF7B34" w:rsidRDefault="000411BE" w:rsidP="000411BE">
      <w:pPr>
        <w:pStyle w:val="Heading1"/>
      </w:pPr>
      <w:bookmarkStart w:id="8" w:name="_Toc38296883"/>
      <w:bookmarkStart w:id="9" w:name="_Toc77758375"/>
      <w:bookmarkStart w:id="10" w:name="_Toc38296890"/>
      <w:r w:rsidRPr="00AF7B34">
        <w:lastRenderedPageBreak/>
        <w:t xml:space="preserve">2. </w:t>
      </w:r>
      <w:bookmarkEnd w:id="8"/>
      <w:r w:rsidRPr="00AF7B34">
        <w:t>Incorporation of CEDAW</w:t>
      </w:r>
      <w:bookmarkEnd w:id="9"/>
    </w:p>
    <w:p w14:paraId="334CE1BC" w14:textId="7EC07E39" w:rsidR="004626EE" w:rsidRPr="00AF7B34" w:rsidRDefault="004626EE" w:rsidP="004626EE">
      <w:r w:rsidRPr="00AF7B34">
        <w:t xml:space="preserve">In its 2019 </w:t>
      </w:r>
      <w:r w:rsidR="00AC57F3">
        <w:t>c</w:t>
      </w:r>
      <w:r w:rsidRPr="00AF7B34">
        <w:t xml:space="preserve">oncluding </w:t>
      </w:r>
      <w:r w:rsidR="00AC57F3">
        <w:t>o</w:t>
      </w:r>
      <w:r w:rsidRPr="00AF7B34">
        <w:t>bservations, the Committee recommended that the UK ‘incorporate all the provisions of the Convention into its legislation without further delay to ensure that the rights of women are guaranteed systematically and on an equal footing throughout all territories under its jurisdiction’. In its request to the State party for follow-up information, the Committee asked for details of the steps taken to implement this recommendation.</w:t>
      </w:r>
      <w:r w:rsidRPr="00AF7B34">
        <w:rPr>
          <w:rStyle w:val="FootnoteReference"/>
        </w:rPr>
        <w:footnoteReference w:id="2"/>
      </w:r>
    </w:p>
    <w:p w14:paraId="0283935C" w14:textId="5E80AE1F" w:rsidR="000411BE" w:rsidRPr="00AF7B34" w:rsidRDefault="005D2540" w:rsidP="000411BE">
      <w:pPr>
        <w:keepLines w:val="0"/>
        <w:rPr>
          <w:vertAlign w:val="superscript"/>
        </w:rPr>
      </w:pPr>
      <w:r w:rsidRPr="00AF7B34">
        <w:t>Since 2019, t</w:t>
      </w:r>
      <w:r w:rsidR="004626EE" w:rsidRPr="00AF7B34">
        <w:t xml:space="preserve">he UK </w:t>
      </w:r>
      <w:r w:rsidRPr="00AF7B34">
        <w:t>G</w:t>
      </w:r>
      <w:r w:rsidR="004626EE" w:rsidRPr="00AF7B34">
        <w:t>overnment ha</w:t>
      </w:r>
      <w:r w:rsidRPr="00AF7B34">
        <w:t>s</w:t>
      </w:r>
      <w:r w:rsidR="004626EE" w:rsidRPr="00AF7B34">
        <w:t xml:space="preserve"> not </w:t>
      </w:r>
      <w:r w:rsidRPr="00AF7B34">
        <w:t xml:space="preserve">taken </w:t>
      </w:r>
      <w:r w:rsidR="008764D4" w:rsidRPr="00AF7B34">
        <w:t xml:space="preserve">any </w:t>
      </w:r>
      <w:r w:rsidRPr="00AF7B34">
        <w:t>steps to</w:t>
      </w:r>
      <w:r w:rsidR="008764D4" w:rsidRPr="00AF7B34">
        <w:t xml:space="preserve"> directly</w:t>
      </w:r>
      <w:r w:rsidRPr="00AF7B34">
        <w:t xml:space="preserve"> </w:t>
      </w:r>
      <w:r w:rsidR="004626EE" w:rsidRPr="00AF7B34">
        <w:t>incorporate CEDAW into domestic</w:t>
      </w:r>
      <w:r w:rsidRPr="00AF7B34">
        <w:t xml:space="preserve"> law</w:t>
      </w:r>
      <w:r w:rsidR="004626EE" w:rsidRPr="00AF7B34">
        <w:t xml:space="preserve">. </w:t>
      </w:r>
      <w:r w:rsidR="000411BE" w:rsidRPr="00AF7B34">
        <w:t>The UK Government has recentl</w:t>
      </w:r>
      <w:r w:rsidRPr="00AF7B34">
        <w:t>y confirmed its position that ‘</w:t>
      </w:r>
      <w:r w:rsidR="000411BE" w:rsidRPr="00AF7B34">
        <w:t>the UN human rights treaties</w:t>
      </w:r>
      <w:r w:rsidR="00AC57F3">
        <w:t xml:space="preserve"> </w:t>
      </w:r>
      <w:r w:rsidR="000411BE" w:rsidRPr="00AF7B34">
        <w:t>…</w:t>
      </w:r>
      <w:r w:rsidR="00AC57F3">
        <w:t xml:space="preserve"> </w:t>
      </w:r>
      <w:r w:rsidR="000411BE" w:rsidRPr="00AF7B34">
        <w:t>do not require incorporation by States Parties into domestic law, and the UK has not done so</w:t>
      </w:r>
      <w:r w:rsidRPr="00AF7B34">
        <w:t>’,</w:t>
      </w:r>
      <w:r w:rsidRPr="00AF7B34">
        <w:rPr>
          <w:rStyle w:val="FootnoteReference"/>
        </w:rPr>
        <w:footnoteReference w:id="3"/>
      </w:r>
      <w:r w:rsidR="000411BE" w:rsidRPr="00AF7B34">
        <w:t xml:space="preserve"> noting </w:t>
      </w:r>
      <w:r w:rsidRPr="00AF7B34">
        <w:t>‘</w:t>
      </w:r>
      <w:r w:rsidR="000411BE" w:rsidRPr="00AF7B34">
        <w:t>it is not usual practice in the UK for international treaties to be incorporated into domestic law</w:t>
      </w:r>
      <w:r w:rsidRPr="00AF7B34">
        <w:t>’</w:t>
      </w:r>
      <w:r w:rsidR="000411BE" w:rsidRPr="00AF7B34">
        <w:t>.</w:t>
      </w:r>
      <w:r w:rsidR="000411BE" w:rsidRPr="00AF7B34">
        <w:rPr>
          <w:vertAlign w:val="superscript"/>
        </w:rPr>
        <w:footnoteReference w:id="4"/>
      </w:r>
      <w:r w:rsidRPr="00AF7B34">
        <w:t xml:space="preserve"> As such</w:t>
      </w:r>
      <w:r w:rsidR="00510C58" w:rsidRPr="00AF7B34">
        <w:t>, while a number of CEDAW rights have been given domestic effect</w:t>
      </w:r>
      <w:r w:rsidRPr="00AF7B34">
        <w:t>,</w:t>
      </w:r>
      <w:r w:rsidR="00510C58" w:rsidRPr="00AF7B34">
        <w:rPr>
          <w:rStyle w:val="FootnoteReference"/>
        </w:rPr>
        <w:footnoteReference w:id="5"/>
      </w:r>
      <w:r w:rsidR="00510C58" w:rsidRPr="00AF7B34">
        <w:t xml:space="preserve"> </w:t>
      </w:r>
      <w:r w:rsidRPr="00AF7B34">
        <w:t>neither CEDAW’s general principles nor its substantive provisions can be enforced by domestic courts.</w:t>
      </w:r>
      <w:r w:rsidR="00510C58" w:rsidRPr="00AF7B34" w:rsidDel="00510C58">
        <w:rPr>
          <w:rStyle w:val="FootnoteReference"/>
        </w:rPr>
        <w:t xml:space="preserve"> </w:t>
      </w:r>
    </w:p>
    <w:p w14:paraId="07D6ADDA" w14:textId="29BDB34D" w:rsidR="00BE32D3" w:rsidRPr="00AF7B34" w:rsidRDefault="00CB565D" w:rsidP="0022233C">
      <w:pPr>
        <w:keepLines w:val="0"/>
        <w:rPr>
          <w:rFonts w:cs="Arial"/>
        </w:rPr>
      </w:pPr>
      <w:r w:rsidRPr="00AF7B34">
        <w:rPr>
          <w:rFonts w:cs="Arial"/>
        </w:rPr>
        <w:t>However</w:t>
      </w:r>
      <w:r w:rsidR="000411BE" w:rsidRPr="00AF7B34">
        <w:rPr>
          <w:rFonts w:cs="Arial"/>
        </w:rPr>
        <w:t xml:space="preserve">, the devolved governments </w:t>
      </w:r>
      <w:r w:rsidR="00CB6A9E" w:rsidRPr="00AF7B34">
        <w:rPr>
          <w:rFonts w:cs="Arial"/>
        </w:rPr>
        <w:t xml:space="preserve">of Wales and Scotland </w:t>
      </w:r>
      <w:r w:rsidR="005D2540" w:rsidRPr="00AF7B34">
        <w:rPr>
          <w:rFonts w:cs="Arial"/>
        </w:rPr>
        <w:t xml:space="preserve">are taking </w:t>
      </w:r>
      <w:r w:rsidR="00BE32D3" w:rsidRPr="00AF7B34">
        <w:rPr>
          <w:rFonts w:cs="Arial"/>
        </w:rPr>
        <w:t>action to</w:t>
      </w:r>
      <w:r w:rsidR="005D2540" w:rsidRPr="00AF7B34">
        <w:rPr>
          <w:rFonts w:cs="Arial"/>
        </w:rPr>
        <w:t xml:space="preserve"> </w:t>
      </w:r>
      <w:r w:rsidR="000411BE" w:rsidRPr="00AF7B34">
        <w:rPr>
          <w:rFonts w:cs="Arial"/>
        </w:rPr>
        <w:t xml:space="preserve">strengthen human rights protections </w:t>
      </w:r>
      <w:r w:rsidR="005D2540" w:rsidRPr="00AF7B34">
        <w:rPr>
          <w:rFonts w:cs="Arial"/>
        </w:rPr>
        <w:t>in domestic law</w:t>
      </w:r>
      <w:r w:rsidR="0022233C" w:rsidRPr="00AF7B34">
        <w:rPr>
          <w:rFonts w:cs="Arial"/>
        </w:rPr>
        <w:t xml:space="preserve"> on issues within their competencies</w:t>
      </w:r>
      <w:r w:rsidR="00BE32D3" w:rsidRPr="00AF7B34">
        <w:rPr>
          <w:rFonts w:cs="Arial"/>
        </w:rPr>
        <w:t xml:space="preserve">, including through considering the further incorporation </w:t>
      </w:r>
      <w:r w:rsidR="00BE32D3" w:rsidRPr="00AF7B34">
        <w:rPr>
          <w:rFonts w:cs="Arial"/>
        </w:rPr>
        <w:lastRenderedPageBreak/>
        <w:t>of UN treaties such as CEDAW</w:t>
      </w:r>
      <w:r w:rsidR="000411BE" w:rsidRPr="00AF7B34">
        <w:rPr>
          <w:rFonts w:cs="Arial"/>
        </w:rPr>
        <w:t>.</w:t>
      </w:r>
      <w:r w:rsidR="005D2540" w:rsidRPr="00AF7B34">
        <w:rPr>
          <w:rFonts w:cs="Arial"/>
        </w:rPr>
        <w:t xml:space="preserve"> </w:t>
      </w:r>
      <w:r w:rsidR="00BE32D3" w:rsidRPr="00AF7B34">
        <w:rPr>
          <w:rFonts w:eastAsia="Times New Roman" w:cs="Arial"/>
        </w:rPr>
        <w:t xml:space="preserve">As such, there is an increasingly divergent approach to domestic incorporation of CEDAW across Great Britain. </w:t>
      </w:r>
    </w:p>
    <w:p w14:paraId="1F372D26" w14:textId="28EDFE7A" w:rsidR="000411BE" w:rsidRPr="00AF7B34" w:rsidRDefault="00DA4247" w:rsidP="005D2540">
      <w:pPr>
        <w:pStyle w:val="Parabeforenewsection"/>
        <w:spacing w:before="240" w:after="0" w:line="276" w:lineRule="auto"/>
      </w:pPr>
      <w:r w:rsidRPr="00AF7B34">
        <w:t>In July 2019, the Welsh Government commissioned research on how to strengthen equality and human rights in Wales, including through the further incorporation of UN treaties such as CEDAW.</w:t>
      </w:r>
      <w:r w:rsidRPr="00AF7B34">
        <w:rPr>
          <w:vertAlign w:val="superscript"/>
        </w:rPr>
        <w:footnoteReference w:id="6"/>
      </w:r>
      <w:r w:rsidRPr="00AF7B34">
        <w:t xml:space="preserve"> </w:t>
      </w:r>
      <w:r w:rsidR="00EB2E76" w:rsidRPr="00AF7B34">
        <w:t>The Welsh Labour party’s 2021 election manifesto included a commitment to incorporate CEDAW into Welsh law</w:t>
      </w:r>
      <w:r w:rsidR="006B393D" w:rsidRPr="00AF7B34">
        <w:t>.</w:t>
      </w:r>
      <w:r w:rsidR="00EB2E76" w:rsidRPr="00AF7B34">
        <w:rPr>
          <w:rStyle w:val="FootnoteReference"/>
        </w:rPr>
        <w:footnoteReference w:id="7"/>
      </w:r>
      <w:r w:rsidR="007154FC" w:rsidRPr="00AF7B34">
        <w:t xml:space="preserve"> </w:t>
      </w:r>
      <w:r w:rsidR="00511613">
        <w:t>T</w:t>
      </w:r>
      <w:r w:rsidR="00F15F53" w:rsidRPr="00AF7B34">
        <w:t xml:space="preserve">he Welsh Labour party remains in power following the </w:t>
      </w:r>
      <w:r w:rsidR="007154FC" w:rsidRPr="00AF7B34">
        <w:t>May 2021 election,</w:t>
      </w:r>
      <w:r w:rsidR="00F15F53" w:rsidRPr="00AF7B34">
        <w:rPr>
          <w:rStyle w:val="FootnoteReference"/>
        </w:rPr>
        <w:footnoteReference w:id="8"/>
      </w:r>
      <w:r w:rsidR="007154FC" w:rsidRPr="00AF7B34">
        <w:t xml:space="preserve"> </w:t>
      </w:r>
      <w:r w:rsidR="00511613">
        <w:t xml:space="preserve">and the new Programme for Government </w:t>
      </w:r>
      <w:r w:rsidR="00E811DE">
        <w:t xml:space="preserve">for 2021 to 2026 </w:t>
      </w:r>
      <w:r w:rsidR="00511613">
        <w:t>confirms the Welsh Government’s commitment to incorporate CEDAW</w:t>
      </w:r>
      <w:r w:rsidR="00F15F53" w:rsidRPr="00AF7B34">
        <w:t>.</w:t>
      </w:r>
      <w:r w:rsidR="00511613">
        <w:rPr>
          <w:rStyle w:val="FootnoteReference"/>
        </w:rPr>
        <w:footnoteReference w:id="9"/>
      </w:r>
    </w:p>
    <w:p w14:paraId="795A9DD1" w14:textId="40560BB8" w:rsidR="008764D4" w:rsidRPr="00AF7B34" w:rsidRDefault="00FD353D" w:rsidP="00727662">
      <w:pPr>
        <w:pStyle w:val="Parabeforenewsection"/>
        <w:spacing w:before="240" w:after="0" w:line="276" w:lineRule="auto"/>
        <w:rPr>
          <w:rFonts w:eastAsia="Times New Roman" w:cs="Arial"/>
        </w:rPr>
      </w:pPr>
      <w:r w:rsidRPr="00AF7B34">
        <w:t xml:space="preserve">In Scotland, </w:t>
      </w:r>
      <w:r w:rsidRPr="00AF7B34">
        <w:rPr>
          <w:rFonts w:eastAsia="Times New Roman" w:cs="Arial"/>
        </w:rPr>
        <w:t xml:space="preserve">a National Taskforce for Human Rights Leadership was set up in 2019 to take forward </w:t>
      </w:r>
      <w:r w:rsidR="00727662" w:rsidRPr="00AF7B34">
        <w:rPr>
          <w:rFonts w:eastAsia="Times New Roman" w:cs="Arial"/>
        </w:rPr>
        <w:t xml:space="preserve">the 2018 </w:t>
      </w:r>
      <w:r w:rsidR="0030306A" w:rsidRPr="00AF7B34">
        <w:rPr>
          <w:rFonts w:eastAsia="Times New Roman" w:cs="Arial"/>
        </w:rPr>
        <w:t>recommendations</w:t>
      </w:r>
      <w:r w:rsidR="00727662" w:rsidRPr="00AF7B34">
        <w:rPr>
          <w:rFonts w:eastAsia="Times New Roman" w:cs="Arial"/>
        </w:rPr>
        <w:t xml:space="preserve"> of the</w:t>
      </w:r>
      <w:r w:rsidRPr="00AF7B34">
        <w:rPr>
          <w:rFonts w:eastAsia="Times New Roman" w:cs="Arial"/>
        </w:rPr>
        <w:t xml:space="preserve"> First Minister’s Advisory Group on Human Rights</w:t>
      </w:r>
      <w:r w:rsidR="00727662" w:rsidRPr="00AF7B34">
        <w:rPr>
          <w:rFonts w:eastAsia="Times New Roman" w:cs="Arial"/>
        </w:rPr>
        <w:t>, including recommendations relating to the domestic incorporation of UN human rights treaties</w:t>
      </w:r>
      <w:r w:rsidRPr="00AF7B34">
        <w:rPr>
          <w:rFonts w:eastAsia="Times New Roman" w:cs="Arial"/>
        </w:rPr>
        <w:t>.</w:t>
      </w:r>
      <w:r w:rsidRPr="00AF7B34">
        <w:rPr>
          <w:rStyle w:val="FootnoteReference"/>
          <w:rFonts w:eastAsia="Times New Roman" w:cs="Arial"/>
        </w:rPr>
        <w:footnoteReference w:id="10"/>
      </w:r>
      <w:r w:rsidRPr="00AF7B34">
        <w:rPr>
          <w:rFonts w:eastAsia="Times New Roman" w:cs="Arial"/>
        </w:rPr>
        <w:t xml:space="preserve"> </w:t>
      </w:r>
      <w:r w:rsidR="008764D4" w:rsidRPr="00AF7B34">
        <w:rPr>
          <w:rFonts w:eastAsia="Times New Roman" w:cs="Arial"/>
        </w:rPr>
        <w:t xml:space="preserve">The EHRC and SHRC </w:t>
      </w:r>
      <w:r w:rsidR="005821FF">
        <w:rPr>
          <w:rFonts w:eastAsia="Times New Roman" w:cs="Arial"/>
        </w:rPr>
        <w:t>were</w:t>
      </w:r>
      <w:r w:rsidR="005821FF" w:rsidRPr="00AF7B34">
        <w:rPr>
          <w:rFonts w:eastAsia="Times New Roman" w:cs="Arial"/>
        </w:rPr>
        <w:t xml:space="preserve"> </w:t>
      </w:r>
      <w:r w:rsidR="008764D4" w:rsidRPr="00AF7B34">
        <w:rPr>
          <w:rFonts w:eastAsia="Times New Roman" w:cs="Arial"/>
        </w:rPr>
        <w:t xml:space="preserve">both members of this </w:t>
      </w:r>
      <w:r w:rsidR="00E811DE">
        <w:rPr>
          <w:rFonts w:eastAsia="Times New Roman" w:cs="Arial"/>
        </w:rPr>
        <w:t>n</w:t>
      </w:r>
      <w:r w:rsidR="008764D4" w:rsidRPr="00AF7B34">
        <w:rPr>
          <w:rFonts w:eastAsia="Times New Roman" w:cs="Arial"/>
        </w:rPr>
        <w:t xml:space="preserve">ational </w:t>
      </w:r>
      <w:r w:rsidR="00E811DE">
        <w:rPr>
          <w:rFonts w:eastAsia="Times New Roman" w:cs="Arial"/>
        </w:rPr>
        <w:t>t</w:t>
      </w:r>
      <w:r w:rsidR="008764D4" w:rsidRPr="00AF7B34">
        <w:rPr>
          <w:rFonts w:eastAsia="Times New Roman" w:cs="Arial"/>
        </w:rPr>
        <w:t xml:space="preserve">askforce. In March 2021, the </w:t>
      </w:r>
      <w:r w:rsidR="00E811DE">
        <w:lastRenderedPageBreak/>
        <w:t>t</w:t>
      </w:r>
      <w:r w:rsidR="008764D4" w:rsidRPr="00AF7B34">
        <w:t>askforce published its report, which included a recommendation to incorporate CEDAW.</w:t>
      </w:r>
      <w:r w:rsidR="008764D4" w:rsidRPr="00AF7B34">
        <w:rPr>
          <w:vertAlign w:val="superscript"/>
        </w:rPr>
        <w:footnoteReference w:id="11"/>
      </w:r>
      <w:r w:rsidR="008764D4" w:rsidRPr="00AF7B34">
        <w:t xml:space="preserve"> The Scottish Government’s </w:t>
      </w:r>
      <w:r w:rsidR="008764D4" w:rsidRPr="00AF7B34">
        <w:rPr>
          <w:rFonts w:eastAsia="Times New Roman" w:cs="Arial"/>
        </w:rPr>
        <w:t>2020</w:t>
      </w:r>
      <w:r w:rsidR="00D57D95">
        <w:rPr>
          <w:rFonts w:eastAsia="Times New Roman" w:cs="Arial"/>
        </w:rPr>
        <w:t>–</w:t>
      </w:r>
      <w:r w:rsidR="008764D4" w:rsidRPr="00AF7B34">
        <w:rPr>
          <w:rFonts w:eastAsia="Times New Roman" w:cs="Arial"/>
        </w:rPr>
        <w:t>2021 Programme for Government noted its commitment to incorporate CEDAW into domestic legislation.</w:t>
      </w:r>
      <w:r w:rsidR="008764D4" w:rsidRPr="00AF7B34">
        <w:rPr>
          <w:rStyle w:val="FootnoteReference"/>
          <w:rFonts w:eastAsia="Times New Roman" w:cs="Arial"/>
        </w:rPr>
        <w:footnoteReference w:id="12"/>
      </w:r>
    </w:p>
    <w:p w14:paraId="743BDF61" w14:textId="77777777" w:rsidR="000411BE" w:rsidRPr="00AF7B34" w:rsidRDefault="000411BE" w:rsidP="00B17A88">
      <w:pPr>
        <w:pStyle w:val="Parabeforebulletsnumberedlist"/>
        <w:spacing w:before="240" w:line="276" w:lineRule="auto"/>
        <w:rPr>
          <w:b/>
          <w:bCs/>
        </w:rPr>
      </w:pPr>
      <w:r w:rsidRPr="00AF7B34">
        <w:rPr>
          <w:b/>
          <w:bCs/>
        </w:rPr>
        <w:t>Recommendations</w:t>
      </w:r>
    </w:p>
    <w:p w14:paraId="5970FEC7" w14:textId="77777777" w:rsidR="008764D4" w:rsidRPr="00AF7B34" w:rsidRDefault="000411BE" w:rsidP="000411BE">
      <w:pPr>
        <w:pStyle w:val="Parabeforebulletsnumberedlist"/>
        <w:spacing w:before="240" w:line="276" w:lineRule="auto"/>
        <w:rPr>
          <w:bCs/>
        </w:rPr>
      </w:pPr>
      <w:r w:rsidRPr="00AF7B34">
        <w:rPr>
          <w:bCs/>
        </w:rPr>
        <w:t>We recommend that</w:t>
      </w:r>
      <w:r w:rsidR="008764D4" w:rsidRPr="00AF7B34">
        <w:rPr>
          <w:bCs/>
        </w:rPr>
        <w:t>:</w:t>
      </w:r>
    </w:p>
    <w:p w14:paraId="011AB67D" w14:textId="3907592D" w:rsidR="008764D4" w:rsidRPr="00AF7B34" w:rsidRDefault="00914593" w:rsidP="008764D4">
      <w:pPr>
        <w:pStyle w:val="Parabeforebulletsnumberedlist"/>
        <w:numPr>
          <w:ilvl w:val="0"/>
          <w:numId w:val="20"/>
        </w:numPr>
        <w:spacing w:before="240" w:line="276" w:lineRule="auto"/>
      </w:pPr>
      <w:r>
        <w:t>t</w:t>
      </w:r>
      <w:r w:rsidR="000411BE" w:rsidRPr="00AF7B34">
        <w:t xml:space="preserve">he UK </w:t>
      </w:r>
      <w:r w:rsidR="008764D4" w:rsidRPr="00AF7B34">
        <w:t>Government</w:t>
      </w:r>
      <w:r w:rsidR="000411BE" w:rsidRPr="00AF7B34">
        <w:t xml:space="preserve"> </w:t>
      </w:r>
      <w:r w:rsidR="00B5566F" w:rsidRPr="00AF7B34">
        <w:t>should</w:t>
      </w:r>
      <w:r w:rsidR="007154FC" w:rsidRPr="00AF7B34">
        <w:t xml:space="preserve"> fully</w:t>
      </w:r>
      <w:r w:rsidR="00B5566F" w:rsidRPr="00AF7B34">
        <w:t xml:space="preserve"> </w:t>
      </w:r>
      <w:r w:rsidR="00CB7168" w:rsidRPr="00AF7B34">
        <w:t>incorporat</w:t>
      </w:r>
      <w:r w:rsidR="007E366C" w:rsidRPr="00AF7B34">
        <w:t>e</w:t>
      </w:r>
      <w:r w:rsidR="008764D4" w:rsidRPr="00AF7B34">
        <w:t xml:space="preserve"> CEDAW into domestic law</w:t>
      </w:r>
      <w:r w:rsidR="00CB6A9E" w:rsidRPr="00AF7B34">
        <w:t xml:space="preserve"> (alongside other legally binding UN human rights treaties)</w:t>
      </w:r>
      <w:r w:rsidR="008764D4" w:rsidRPr="00AF7B34">
        <w:t>, so that individuals can effectively challenge rights violations using the domestic legal system and access a domestic remedy for alleged breaches of CEDAW rights</w:t>
      </w:r>
    </w:p>
    <w:p w14:paraId="6BFB1553" w14:textId="69F4E5D7" w:rsidR="000411BE" w:rsidRPr="00062B5F" w:rsidRDefault="00914593" w:rsidP="008764D4">
      <w:pPr>
        <w:pStyle w:val="Parabeforebulletsnumberedlist"/>
        <w:numPr>
          <w:ilvl w:val="0"/>
          <w:numId w:val="20"/>
        </w:numPr>
        <w:spacing w:before="240" w:line="276" w:lineRule="auto"/>
      </w:pPr>
      <w:r>
        <w:t>t</w:t>
      </w:r>
      <w:r w:rsidR="008764D4" w:rsidRPr="00062B5F">
        <w:t xml:space="preserve">he Welsh Government should </w:t>
      </w:r>
      <w:r w:rsidR="00B373C5">
        <w:t xml:space="preserve">now </w:t>
      </w:r>
      <w:r w:rsidR="00BE32D3" w:rsidRPr="00062B5F">
        <w:t xml:space="preserve">bring forward detailed proposals for </w:t>
      </w:r>
      <w:r w:rsidR="009F03F1" w:rsidRPr="00062B5F">
        <w:t xml:space="preserve">the </w:t>
      </w:r>
      <w:r w:rsidR="00BE32D3" w:rsidRPr="00062B5F">
        <w:t xml:space="preserve">incorporation of </w:t>
      </w:r>
      <w:r w:rsidR="00E82253" w:rsidRPr="00062B5F">
        <w:t xml:space="preserve">international human rights treaties </w:t>
      </w:r>
      <w:r w:rsidR="00BE32D3" w:rsidRPr="00062B5F">
        <w:t>in Wales,</w:t>
      </w:r>
      <w:r w:rsidR="00E82253" w:rsidRPr="00062B5F">
        <w:t xml:space="preserve"> including CEDAW</w:t>
      </w:r>
      <w:r w:rsidR="00BE32D3" w:rsidRPr="00062B5F">
        <w:t>.</w:t>
      </w:r>
    </w:p>
    <w:p w14:paraId="2BFEE4F0" w14:textId="5C6539E1" w:rsidR="000411BE" w:rsidRPr="00AF7B34" w:rsidRDefault="000411BE" w:rsidP="00B5566F">
      <w:pPr>
        <w:pStyle w:val="Heading1"/>
      </w:pPr>
      <w:bookmarkStart w:id="11" w:name="_Toc77758376"/>
      <w:r w:rsidRPr="00AF7B34">
        <w:lastRenderedPageBreak/>
        <w:t>3. I</w:t>
      </w:r>
      <w:r w:rsidR="007E366C" w:rsidRPr="00AF7B34">
        <w:t xml:space="preserve">nclusion of the </w:t>
      </w:r>
      <w:r w:rsidR="005F0019" w:rsidRPr="00AF7B34">
        <w:t>ECHR</w:t>
      </w:r>
      <w:r w:rsidR="00A317AB" w:rsidRPr="00AF7B34">
        <w:t xml:space="preserve"> and EU Charter </w:t>
      </w:r>
      <w:r w:rsidRPr="00AF7B34">
        <w:t xml:space="preserve">in </w:t>
      </w:r>
      <w:r w:rsidR="00FA7A50" w:rsidRPr="00AF7B34">
        <w:t>national</w:t>
      </w:r>
      <w:r w:rsidRPr="00AF7B34">
        <w:t xml:space="preserve"> legislation</w:t>
      </w:r>
      <w:bookmarkEnd w:id="11"/>
    </w:p>
    <w:p w14:paraId="5D8CD05A" w14:textId="0A1AAE48" w:rsidR="00B5566F" w:rsidRPr="00AF7B34" w:rsidRDefault="00B5566F" w:rsidP="000411BE">
      <w:pPr>
        <w:keepLines w:val="0"/>
      </w:pPr>
      <w:r w:rsidRPr="00AF7B34">
        <w:t xml:space="preserve">In its 2019 </w:t>
      </w:r>
      <w:r w:rsidR="00914593">
        <w:t>c</w:t>
      </w:r>
      <w:r w:rsidRPr="00AF7B34">
        <w:t xml:space="preserve">oncluding </w:t>
      </w:r>
      <w:r w:rsidR="00914593">
        <w:t>o</w:t>
      </w:r>
      <w:r w:rsidRPr="00AF7B34">
        <w:t xml:space="preserve">bservations, the Committee urged the UK to ‘ensure the inclusion of the provisions of the Convention, the European Convention on Human Rights </w:t>
      </w:r>
      <w:r w:rsidR="00A317AB" w:rsidRPr="00AF7B34">
        <w:t xml:space="preserve">(ECHR) </w:t>
      </w:r>
      <w:r w:rsidR="00E54523" w:rsidRPr="00AF7B34">
        <w:t xml:space="preserve">and the </w:t>
      </w:r>
      <w:r w:rsidR="00E54523" w:rsidRPr="00AF7B34">
        <w:rPr>
          <w:i/>
        </w:rPr>
        <w:t>acquis communautaire</w:t>
      </w:r>
      <w:r w:rsidR="00E54523" w:rsidRPr="00AF7B34">
        <w:t xml:space="preserve"> (accumulated legislation, legal acts and court decisions of the European Union) </w:t>
      </w:r>
      <w:r w:rsidRPr="00AF7B34">
        <w:t>in its national legislation’. In its request to the State party for follow-up information, the Committee asked for details of the steps taken to implement this recommendation.</w:t>
      </w:r>
      <w:r w:rsidRPr="00AF7B34">
        <w:rPr>
          <w:rStyle w:val="FootnoteReference"/>
        </w:rPr>
        <w:footnoteReference w:id="13"/>
      </w:r>
    </w:p>
    <w:p w14:paraId="4B65CE3B" w14:textId="649DB57C" w:rsidR="00B17A88" w:rsidRPr="00AF7B34" w:rsidRDefault="00B17A88" w:rsidP="00B17A88">
      <w:pPr>
        <w:pStyle w:val="Heading2"/>
      </w:pPr>
      <w:bookmarkStart w:id="12" w:name="_Toc77758377"/>
      <w:r w:rsidRPr="00AF7B34">
        <w:t>Inclusion of the ECHR</w:t>
      </w:r>
      <w:bookmarkEnd w:id="12"/>
    </w:p>
    <w:p w14:paraId="5923FBFD" w14:textId="38E6E260" w:rsidR="00B17A88" w:rsidRPr="00AF7B34" w:rsidRDefault="002E5DB8" w:rsidP="000411BE">
      <w:pPr>
        <w:keepLines w:val="0"/>
      </w:pPr>
      <w:r w:rsidRPr="00AF7B34">
        <w:t xml:space="preserve">While </w:t>
      </w:r>
      <w:r w:rsidR="00B17A88" w:rsidRPr="00AF7B34">
        <w:t>the UK Government</w:t>
      </w:r>
      <w:r w:rsidRPr="00AF7B34">
        <w:t xml:space="preserve"> has</w:t>
      </w:r>
      <w:r w:rsidR="00B17A88" w:rsidRPr="00AF7B34">
        <w:t xml:space="preserve"> stated </w:t>
      </w:r>
      <w:r w:rsidRPr="00AF7B34">
        <w:t xml:space="preserve">its </w:t>
      </w:r>
      <w:r w:rsidR="00B17A88" w:rsidRPr="00AF7B34">
        <w:t>commitment to the European Convention on Human Rights (ECHR),</w:t>
      </w:r>
      <w:r w:rsidR="00B17A88" w:rsidRPr="00AF7B34">
        <w:rPr>
          <w:rStyle w:val="FootnoteReference"/>
        </w:rPr>
        <w:footnoteReference w:id="14"/>
      </w:r>
      <w:r w:rsidR="00B17A88" w:rsidRPr="00AF7B34">
        <w:t xml:space="preserve"> the</w:t>
      </w:r>
      <w:r w:rsidR="00F51D2B" w:rsidRPr="00AF7B34">
        <w:t xml:space="preserve"> </w:t>
      </w:r>
      <w:r w:rsidR="00D4465E" w:rsidRPr="00AF7B34">
        <w:t xml:space="preserve">operation of the </w:t>
      </w:r>
      <w:r w:rsidR="00B17A88" w:rsidRPr="00AF7B34">
        <w:t>Human Rights Act 1998 (HRA) – which incorporates the ECHR in</w:t>
      </w:r>
      <w:r w:rsidR="00F51D2B" w:rsidRPr="00AF7B34">
        <w:t>to</w:t>
      </w:r>
      <w:r w:rsidR="00B17A88" w:rsidRPr="00AF7B34">
        <w:t xml:space="preserve"> domestic law – </w:t>
      </w:r>
      <w:r w:rsidR="00510C58" w:rsidRPr="00AF7B34">
        <w:t xml:space="preserve">is </w:t>
      </w:r>
      <w:r w:rsidRPr="00AF7B34">
        <w:t xml:space="preserve">currently </w:t>
      </w:r>
      <w:r w:rsidR="00510C58" w:rsidRPr="00AF7B34">
        <w:t>under review</w:t>
      </w:r>
      <w:r w:rsidR="00B17A88" w:rsidRPr="00AF7B34">
        <w:t xml:space="preserve">. </w:t>
      </w:r>
    </w:p>
    <w:p w14:paraId="4A891A69" w14:textId="5D8B1EAD" w:rsidR="00FB03A3" w:rsidRPr="00AF7B34" w:rsidRDefault="00FB03A3" w:rsidP="00FB03A3">
      <w:pPr>
        <w:keepLines w:val="0"/>
      </w:pPr>
      <w:r w:rsidRPr="00AF7B34">
        <w:lastRenderedPageBreak/>
        <w:t xml:space="preserve">In December 2020, the UK Government announced the establishment of </w:t>
      </w:r>
      <w:r w:rsidR="0090576F">
        <w:t>the</w:t>
      </w:r>
      <w:r w:rsidRPr="00AF7B34">
        <w:t xml:space="preserve"> Independent Human Rights Act Review (IHRAR), to consider how the HRA is working in practice and whether any change is needed.</w:t>
      </w:r>
      <w:r w:rsidRPr="00AF7B34">
        <w:rPr>
          <w:vertAlign w:val="superscript"/>
        </w:rPr>
        <w:footnoteReference w:id="15"/>
      </w:r>
      <w:r w:rsidRPr="00AF7B34">
        <w:t xml:space="preserve"> The IHRAR </w:t>
      </w:r>
      <w:r w:rsidR="0090576F">
        <w:t>t</w:t>
      </w:r>
      <w:r w:rsidRPr="00AF7B34">
        <w:t xml:space="preserve">erms of </w:t>
      </w:r>
      <w:r w:rsidR="0090576F">
        <w:t>r</w:t>
      </w:r>
      <w:r w:rsidRPr="00AF7B34">
        <w:t xml:space="preserve">eference explain that the </w:t>
      </w:r>
      <w:r w:rsidR="0090576F">
        <w:t>r</w:t>
      </w:r>
      <w:r w:rsidRPr="00AF7B34">
        <w:t>eview is focused on the relationship between domestic courts and the European Court of Human Rights, and the impact of the HRA on the relationship between the judiciary, the executive and the legislature.</w:t>
      </w:r>
      <w:r w:rsidRPr="00AF7B34">
        <w:rPr>
          <w:rStyle w:val="FootnoteReference"/>
        </w:rPr>
        <w:footnoteReference w:id="16"/>
      </w:r>
      <w:r w:rsidRPr="00AF7B34">
        <w:t xml:space="preserve"> As such, the </w:t>
      </w:r>
      <w:r w:rsidR="0090576F">
        <w:t>r</w:t>
      </w:r>
      <w:r w:rsidRPr="00AF7B34">
        <w:t>eview is not considering any changes to the substantive ECHR rights protected by the HRA, the duty on public authorities to comply with ECHR rights,</w:t>
      </w:r>
      <w:r w:rsidRPr="00AF7B34">
        <w:rPr>
          <w:vertAlign w:val="superscript"/>
        </w:rPr>
        <w:footnoteReference w:id="17"/>
      </w:r>
      <w:r w:rsidRPr="00AF7B34">
        <w:t xml:space="preserve"> the availability of remedies for breaches of rights,</w:t>
      </w:r>
      <w:r w:rsidRPr="00AF7B34">
        <w:rPr>
          <w:vertAlign w:val="superscript"/>
        </w:rPr>
        <w:footnoteReference w:id="18"/>
      </w:r>
      <w:r w:rsidRPr="00AF7B34">
        <w:t xml:space="preserve"> or the UK’s adherence to the ECHR.</w:t>
      </w:r>
      <w:r w:rsidRPr="00AF7B34">
        <w:rPr>
          <w:vertAlign w:val="superscript"/>
        </w:rPr>
        <w:footnoteReference w:id="19"/>
      </w:r>
      <w:r w:rsidRPr="00AF7B34">
        <w:t xml:space="preserve"> We </w:t>
      </w:r>
      <w:r w:rsidR="00DD2458" w:rsidRPr="00AF7B34">
        <w:t>interpret this as indicating</w:t>
      </w:r>
      <w:r w:rsidRPr="00AF7B34">
        <w:t xml:space="preserve"> an implicit recognition by the UK Government (which drafted the </w:t>
      </w:r>
      <w:r w:rsidR="0090576F">
        <w:t>t</w:t>
      </w:r>
      <w:r w:rsidRPr="00AF7B34">
        <w:t xml:space="preserve">erms of </w:t>
      </w:r>
      <w:r w:rsidR="0090576F">
        <w:t>r</w:t>
      </w:r>
      <w:r w:rsidRPr="00AF7B34">
        <w:t xml:space="preserve">eference) that the HRA’s framework for domestic protection of ECHR rights has fundamentally been a success, and that these rights should continue to be enforceable under the HRA. </w:t>
      </w:r>
    </w:p>
    <w:p w14:paraId="08C70657" w14:textId="4596CFDD" w:rsidR="00FB03A3" w:rsidRPr="00AF7B34" w:rsidRDefault="00834DFC" w:rsidP="00FB03A3">
      <w:pPr>
        <w:keepLines w:val="0"/>
      </w:pPr>
      <w:r>
        <w:t xml:space="preserve">We would oppose any changes proposed by </w:t>
      </w:r>
      <w:r w:rsidR="002E5DB8" w:rsidRPr="00AF7B34">
        <w:t>the I</w:t>
      </w:r>
      <w:r w:rsidR="0090576F">
        <w:t>HRAR</w:t>
      </w:r>
      <w:r w:rsidR="00DD2458" w:rsidRPr="00AF7B34">
        <w:t xml:space="preserve"> or</w:t>
      </w:r>
      <w:r w:rsidR="002E5DB8" w:rsidRPr="00AF7B34">
        <w:t xml:space="preserve"> consequent legislative proposals </w:t>
      </w:r>
      <w:r w:rsidR="00DD2458" w:rsidRPr="00AF7B34">
        <w:t xml:space="preserve">to the operation and framework of the HRA </w:t>
      </w:r>
      <w:r w:rsidR="0090576F">
        <w:t>that</w:t>
      </w:r>
      <w:r w:rsidR="00DD2458" w:rsidRPr="00AF7B34">
        <w:t xml:space="preserve"> </w:t>
      </w:r>
      <w:r w:rsidR="002E5DB8" w:rsidRPr="00AF7B34">
        <w:t>ha</w:t>
      </w:r>
      <w:r w:rsidR="00DD2458" w:rsidRPr="00AF7B34">
        <w:t>d</w:t>
      </w:r>
      <w:r w:rsidR="002E5DB8" w:rsidRPr="00AF7B34">
        <w:t xml:space="preserve"> the </w:t>
      </w:r>
      <w:r w:rsidR="002E5DB8" w:rsidRPr="00AF7B34">
        <w:lastRenderedPageBreak/>
        <w:t xml:space="preserve">effect – intended or otherwise – of reducing the protection of rights </w:t>
      </w:r>
      <w:r w:rsidR="00DD2458" w:rsidRPr="00AF7B34">
        <w:t>or</w:t>
      </w:r>
      <w:r w:rsidR="002E5DB8" w:rsidRPr="00AF7B34">
        <w:t xml:space="preserve"> access to justice</w:t>
      </w:r>
      <w:r w:rsidR="00FB03A3" w:rsidRPr="00AF7B34">
        <w:t>.</w:t>
      </w:r>
      <w:r w:rsidR="00FB03A3" w:rsidRPr="00AF7B34">
        <w:rPr>
          <w:vertAlign w:val="superscript"/>
        </w:rPr>
        <w:footnoteReference w:id="20"/>
      </w:r>
      <w:r w:rsidR="00FB03A3" w:rsidRPr="00AF7B34">
        <w:t xml:space="preserve"> We consider that the HRA has substantially improved the protection of rights, providing access to legal redress in a way that maintains a high degree of parliamentary sovereignty, and that changes to the legislation are not required.</w:t>
      </w:r>
      <w:r w:rsidR="00FB03A3" w:rsidRPr="00AF7B34">
        <w:rPr>
          <w:rStyle w:val="FootnoteReference"/>
        </w:rPr>
        <w:footnoteReference w:id="21"/>
      </w:r>
      <w:r w:rsidR="00FB03A3" w:rsidRPr="00AF7B34">
        <w:t xml:space="preserve"> Instead, attention</w:t>
      </w:r>
      <w:r w:rsidR="00780317" w:rsidRPr="00AF7B34">
        <w:t xml:space="preserve"> should</w:t>
      </w:r>
      <w:r w:rsidR="002F1E6D">
        <w:t xml:space="preserve"> be</w:t>
      </w:r>
      <w:r w:rsidR="00780317" w:rsidRPr="00AF7B34">
        <w:t xml:space="preserve"> focused</w:t>
      </w:r>
      <w:r w:rsidR="00FB03A3" w:rsidRPr="00AF7B34">
        <w:t xml:space="preserve"> on improving knowledge and understanding of human rights among the public, politicians, the media and public authorities, and improving the application of the HRA by public authorities.</w:t>
      </w:r>
      <w:r w:rsidR="00FB03A3" w:rsidRPr="00AF7B34">
        <w:rPr>
          <w:rStyle w:val="FootnoteReference"/>
        </w:rPr>
        <w:footnoteReference w:id="22"/>
      </w:r>
    </w:p>
    <w:p w14:paraId="14A64EA8" w14:textId="688EF799" w:rsidR="00810948" w:rsidRPr="00AF7B34" w:rsidRDefault="00B17A88" w:rsidP="00810948">
      <w:pPr>
        <w:pStyle w:val="Parabeforebulletsnumberedlist"/>
        <w:spacing w:before="240" w:after="0" w:line="276" w:lineRule="auto"/>
        <w:rPr>
          <w:b/>
          <w:bCs/>
        </w:rPr>
      </w:pPr>
      <w:r w:rsidRPr="00AF7B34">
        <w:rPr>
          <w:b/>
          <w:bCs/>
        </w:rPr>
        <w:t>Recommendations</w:t>
      </w:r>
    </w:p>
    <w:p w14:paraId="426E0D01" w14:textId="77777777" w:rsidR="00FB03A3" w:rsidRPr="00AF7B34" w:rsidRDefault="00F51D2B" w:rsidP="00810948">
      <w:pPr>
        <w:pStyle w:val="Parabeforebulletsnumberedlist"/>
        <w:spacing w:before="240" w:after="0" w:line="276" w:lineRule="auto"/>
        <w:rPr>
          <w:bCs/>
        </w:rPr>
      </w:pPr>
      <w:r w:rsidRPr="00AF7B34">
        <w:rPr>
          <w:bCs/>
        </w:rPr>
        <w:t>We recommend that</w:t>
      </w:r>
      <w:r w:rsidR="00FB03A3" w:rsidRPr="00AF7B34">
        <w:rPr>
          <w:bCs/>
        </w:rPr>
        <w:t>:</w:t>
      </w:r>
    </w:p>
    <w:p w14:paraId="7B2B1AED" w14:textId="3A6E29AD" w:rsidR="0078181C" w:rsidRPr="00AF7B34" w:rsidRDefault="00D749F5" w:rsidP="0078181C">
      <w:pPr>
        <w:pStyle w:val="Parabeforebulletsnumberedlist"/>
        <w:numPr>
          <w:ilvl w:val="0"/>
          <w:numId w:val="22"/>
        </w:numPr>
        <w:spacing w:before="240" w:after="0" w:line="276" w:lineRule="auto"/>
        <w:rPr>
          <w:bCs/>
        </w:rPr>
      </w:pPr>
      <w:r>
        <w:rPr>
          <w:bCs/>
        </w:rPr>
        <w:t>t</w:t>
      </w:r>
      <w:r w:rsidR="0078181C" w:rsidRPr="00AF7B34">
        <w:rPr>
          <w:bCs/>
        </w:rPr>
        <w:t xml:space="preserve">he UK Government should ensure that the process of reviewing the </w:t>
      </w:r>
      <w:r w:rsidR="00E82253" w:rsidRPr="00AF7B34">
        <w:rPr>
          <w:bCs/>
        </w:rPr>
        <w:t>HRA</w:t>
      </w:r>
      <w:r w:rsidR="0078181C" w:rsidRPr="00AF7B34">
        <w:rPr>
          <w:bCs/>
        </w:rPr>
        <w:t xml:space="preserve"> does not lead to any weakening of legal protections for human rights. It should take steps to prevent any potential negative impact on women’s rights, including intersectional impacts </w:t>
      </w:r>
      <w:r w:rsidR="003334B5">
        <w:rPr>
          <w:bCs/>
        </w:rPr>
        <w:t>(</w:t>
      </w:r>
      <w:r w:rsidR="0078181C" w:rsidRPr="00AF7B34">
        <w:rPr>
          <w:bCs/>
        </w:rPr>
        <w:t>for example</w:t>
      </w:r>
      <w:r>
        <w:rPr>
          <w:bCs/>
        </w:rPr>
        <w:t>,</w:t>
      </w:r>
      <w:r w:rsidR="0078181C" w:rsidRPr="00AF7B34">
        <w:rPr>
          <w:bCs/>
        </w:rPr>
        <w:t xml:space="preserve"> for disabled and ethnic minority women</w:t>
      </w:r>
      <w:r w:rsidR="003334B5">
        <w:rPr>
          <w:bCs/>
        </w:rPr>
        <w:t>)</w:t>
      </w:r>
      <w:r>
        <w:rPr>
          <w:bCs/>
        </w:rPr>
        <w:t>,</w:t>
      </w:r>
      <w:r w:rsidR="0078181C" w:rsidRPr="00AF7B34">
        <w:rPr>
          <w:bCs/>
        </w:rPr>
        <w:t xml:space="preserve"> and ensure that the voices of those representing women’s rights are fully reflected in any consideration of potential change</w:t>
      </w:r>
    </w:p>
    <w:p w14:paraId="286D3474" w14:textId="02A1306D" w:rsidR="00FB03A3" w:rsidRPr="00AF7B34" w:rsidRDefault="00D749F5" w:rsidP="00FB03A3">
      <w:pPr>
        <w:pStyle w:val="Parabeforebulletsnumberedlist"/>
        <w:numPr>
          <w:ilvl w:val="0"/>
          <w:numId w:val="22"/>
        </w:numPr>
        <w:spacing w:before="240" w:after="0" w:line="276" w:lineRule="auto"/>
        <w:rPr>
          <w:bCs/>
        </w:rPr>
      </w:pPr>
      <w:r>
        <w:rPr>
          <w:bCs/>
        </w:rPr>
        <w:t>t</w:t>
      </w:r>
      <w:r w:rsidR="00F51D2B" w:rsidRPr="00AF7B34">
        <w:rPr>
          <w:bCs/>
        </w:rPr>
        <w:t xml:space="preserve">he UK </w:t>
      </w:r>
      <w:r w:rsidR="00FB03A3" w:rsidRPr="00AF7B34">
        <w:rPr>
          <w:bCs/>
        </w:rPr>
        <w:t xml:space="preserve">and Welsh </w:t>
      </w:r>
      <w:r>
        <w:rPr>
          <w:bCs/>
        </w:rPr>
        <w:t>g</w:t>
      </w:r>
      <w:r w:rsidR="00F51D2B" w:rsidRPr="00AF7B34">
        <w:rPr>
          <w:bCs/>
        </w:rPr>
        <w:t>overnment</w:t>
      </w:r>
      <w:r w:rsidR="00FB03A3" w:rsidRPr="00AF7B34">
        <w:rPr>
          <w:bCs/>
        </w:rPr>
        <w:t>s</w:t>
      </w:r>
      <w:r w:rsidR="00F51D2B" w:rsidRPr="00AF7B34">
        <w:rPr>
          <w:bCs/>
        </w:rPr>
        <w:t xml:space="preserve"> </w:t>
      </w:r>
      <w:r w:rsidR="00810948" w:rsidRPr="00AF7B34">
        <w:rPr>
          <w:bCs/>
        </w:rPr>
        <w:t>should take steps to strengthen the</w:t>
      </w:r>
      <w:r w:rsidR="00F51D2B" w:rsidRPr="00AF7B34">
        <w:rPr>
          <w:bCs/>
        </w:rPr>
        <w:t xml:space="preserve"> </w:t>
      </w:r>
      <w:r w:rsidR="00810948" w:rsidRPr="00AF7B34">
        <w:rPr>
          <w:bCs/>
        </w:rPr>
        <w:t>effectiveness of the</w:t>
      </w:r>
      <w:r w:rsidR="00F51D2B" w:rsidRPr="00AF7B34">
        <w:rPr>
          <w:bCs/>
        </w:rPr>
        <w:t xml:space="preserve"> </w:t>
      </w:r>
      <w:r w:rsidR="00E82253" w:rsidRPr="00AF7B34">
        <w:rPr>
          <w:bCs/>
        </w:rPr>
        <w:t>HRA</w:t>
      </w:r>
      <w:r w:rsidR="00810948" w:rsidRPr="00AF7B34">
        <w:rPr>
          <w:bCs/>
        </w:rPr>
        <w:t xml:space="preserve"> through </w:t>
      </w:r>
      <w:r w:rsidR="00F51D2B" w:rsidRPr="00AF7B34">
        <w:rPr>
          <w:bCs/>
        </w:rPr>
        <w:t>improv</w:t>
      </w:r>
      <w:r w:rsidR="00810948" w:rsidRPr="00AF7B34">
        <w:rPr>
          <w:bCs/>
        </w:rPr>
        <w:t>ing</w:t>
      </w:r>
      <w:r w:rsidR="00F51D2B" w:rsidRPr="00AF7B34">
        <w:rPr>
          <w:bCs/>
        </w:rPr>
        <w:t xml:space="preserve"> understanding of </w:t>
      </w:r>
      <w:r w:rsidR="00812B6B" w:rsidRPr="00AF7B34">
        <w:rPr>
          <w:bCs/>
        </w:rPr>
        <w:t xml:space="preserve">the importance of </w:t>
      </w:r>
      <w:r w:rsidR="00F51D2B" w:rsidRPr="00AF7B34">
        <w:rPr>
          <w:bCs/>
        </w:rPr>
        <w:t>human rights and the HRA</w:t>
      </w:r>
      <w:r w:rsidR="002817E7" w:rsidRPr="00AF7B34">
        <w:rPr>
          <w:bCs/>
        </w:rPr>
        <w:t xml:space="preserve">, </w:t>
      </w:r>
      <w:r w:rsidR="00F51D2B" w:rsidRPr="00AF7B34">
        <w:rPr>
          <w:bCs/>
        </w:rPr>
        <w:t>strengthen</w:t>
      </w:r>
      <w:r w:rsidR="00810948" w:rsidRPr="00AF7B34">
        <w:rPr>
          <w:bCs/>
        </w:rPr>
        <w:t>ing</w:t>
      </w:r>
      <w:r w:rsidR="002817E7" w:rsidRPr="00AF7B34">
        <w:rPr>
          <w:bCs/>
        </w:rPr>
        <w:t xml:space="preserve"> </w:t>
      </w:r>
      <w:r w:rsidR="00F51D2B" w:rsidRPr="00AF7B34">
        <w:rPr>
          <w:bCs/>
        </w:rPr>
        <w:t>access to ju</w:t>
      </w:r>
      <w:r w:rsidR="002817E7" w:rsidRPr="00AF7B34">
        <w:rPr>
          <w:bCs/>
        </w:rPr>
        <w:t>stice for human rights breaches,</w:t>
      </w:r>
      <w:r w:rsidR="00F51D2B" w:rsidRPr="00AF7B34">
        <w:rPr>
          <w:bCs/>
        </w:rPr>
        <w:t xml:space="preserve"> and</w:t>
      </w:r>
      <w:r w:rsidR="002817E7" w:rsidRPr="00AF7B34">
        <w:rPr>
          <w:bCs/>
        </w:rPr>
        <w:t xml:space="preserve"> </w:t>
      </w:r>
      <w:r w:rsidR="00F51D2B" w:rsidRPr="00AF7B34">
        <w:rPr>
          <w:bCs/>
        </w:rPr>
        <w:t>improv</w:t>
      </w:r>
      <w:r w:rsidR="00810948" w:rsidRPr="00AF7B34">
        <w:rPr>
          <w:bCs/>
        </w:rPr>
        <w:t>ing</w:t>
      </w:r>
      <w:r w:rsidR="00F51D2B" w:rsidRPr="00AF7B34">
        <w:rPr>
          <w:bCs/>
        </w:rPr>
        <w:t xml:space="preserve"> human rights practice among public authorities</w:t>
      </w:r>
      <w:r w:rsidR="002817E7" w:rsidRPr="00AF7B34">
        <w:rPr>
          <w:bCs/>
        </w:rPr>
        <w:t>.</w:t>
      </w:r>
    </w:p>
    <w:p w14:paraId="60C2FDF6" w14:textId="32DDE64D" w:rsidR="00B17A88" w:rsidRPr="00AF7B34" w:rsidRDefault="00B17A88" w:rsidP="00B17A88">
      <w:pPr>
        <w:pStyle w:val="Heading2"/>
      </w:pPr>
      <w:bookmarkStart w:id="13" w:name="_Toc77758378"/>
      <w:r w:rsidRPr="00AF7B34">
        <w:lastRenderedPageBreak/>
        <w:t>Inclusion of the E</w:t>
      </w:r>
      <w:r w:rsidR="006E28EE" w:rsidRPr="00AF7B34">
        <w:t>U</w:t>
      </w:r>
      <w:r w:rsidRPr="00AF7B34">
        <w:t xml:space="preserve"> Charter of Fund</w:t>
      </w:r>
      <w:bookmarkStart w:id="14" w:name="_GoBack"/>
      <w:bookmarkEnd w:id="14"/>
      <w:r w:rsidRPr="00AF7B34">
        <w:t>amental Rights</w:t>
      </w:r>
      <w:bookmarkEnd w:id="13"/>
    </w:p>
    <w:p w14:paraId="7D019C2E" w14:textId="27520429" w:rsidR="000411BE" w:rsidRPr="00AF7B34" w:rsidRDefault="000411BE" w:rsidP="000411BE">
      <w:pPr>
        <w:keepLines w:val="0"/>
      </w:pPr>
      <w:r w:rsidRPr="00AF7B34">
        <w:t>T</w:t>
      </w:r>
      <w:r w:rsidRPr="00AF7B34" w:rsidDel="00CA5A0D">
        <w:t>he</w:t>
      </w:r>
      <w:r w:rsidR="00441BD7" w:rsidRPr="00AF7B34">
        <w:t xml:space="preserve"> UK’s departure from the European Union has </w:t>
      </w:r>
      <w:r w:rsidR="00FA7A50" w:rsidRPr="00AF7B34">
        <w:t>resulted in a weakening of</w:t>
      </w:r>
      <w:r w:rsidR="00441BD7" w:rsidRPr="00AF7B34">
        <w:t xml:space="preserve"> domestic human rights</w:t>
      </w:r>
      <w:r w:rsidR="00FA7A50" w:rsidRPr="00AF7B34">
        <w:t xml:space="preserve"> protections</w:t>
      </w:r>
      <w:r w:rsidR="00441BD7" w:rsidRPr="00AF7B34">
        <w:t xml:space="preserve">, </w:t>
      </w:r>
      <w:r w:rsidR="00FA7A50" w:rsidRPr="00AF7B34">
        <w:t xml:space="preserve">given that </w:t>
      </w:r>
      <w:r w:rsidR="00441BD7" w:rsidRPr="00AF7B34">
        <w:t>the</w:t>
      </w:r>
      <w:r w:rsidRPr="00AF7B34" w:rsidDel="00CA5A0D">
        <w:t xml:space="preserve"> European Union (Withdrawal) Act 2018 </w:t>
      </w:r>
      <w:r w:rsidRPr="00AF7B34">
        <w:t>exclude</w:t>
      </w:r>
      <w:r w:rsidR="00441BD7" w:rsidRPr="00AF7B34">
        <w:t>d</w:t>
      </w:r>
      <w:r w:rsidRPr="00AF7B34">
        <w:t xml:space="preserve"> the EU Charter of Funda</w:t>
      </w:r>
      <w:r w:rsidR="00FA7A50" w:rsidRPr="00AF7B34">
        <w:t xml:space="preserve">mental Rights from domestic law. While most of the substantive rights set out in the </w:t>
      </w:r>
      <w:r w:rsidR="00D749F5">
        <w:t>c</w:t>
      </w:r>
      <w:r w:rsidR="00FA7A50" w:rsidRPr="00AF7B34">
        <w:t xml:space="preserve">harter continue to have a degree of protection under domestic law, </w:t>
      </w:r>
      <w:r w:rsidR="006536DD" w:rsidRPr="00AF7B34">
        <w:t xml:space="preserve">the </w:t>
      </w:r>
      <w:r w:rsidR="007154FC" w:rsidRPr="00AF7B34">
        <w:t xml:space="preserve">exclusion of the </w:t>
      </w:r>
      <w:r w:rsidR="00D749F5">
        <w:t>c</w:t>
      </w:r>
      <w:r w:rsidR="007154FC" w:rsidRPr="00AF7B34">
        <w:t>harter has</w:t>
      </w:r>
      <w:r w:rsidR="006536DD" w:rsidRPr="00AF7B34">
        <w:t xml:space="preserve"> </w:t>
      </w:r>
      <w:r w:rsidR="007154FC" w:rsidRPr="00AF7B34">
        <w:t>led to</w:t>
      </w:r>
      <w:r w:rsidR="00FA7A50" w:rsidRPr="00AF7B34">
        <w:t xml:space="preserve"> the </w:t>
      </w:r>
      <w:r w:rsidRPr="00AF7B34">
        <w:t xml:space="preserve">loss of </w:t>
      </w:r>
      <w:r w:rsidR="00FA7A50" w:rsidRPr="00AF7B34">
        <w:t>certain</w:t>
      </w:r>
      <w:r w:rsidRPr="00AF7B34">
        <w:t xml:space="preserve"> rights protections, including the freestanding right to equality of treatment</w:t>
      </w:r>
      <w:r w:rsidR="0030306A" w:rsidRPr="00AF7B34">
        <w:t xml:space="preserve"> and the right to an effective remedy</w:t>
      </w:r>
      <w:r w:rsidRPr="00AF7B34">
        <w:t>.</w:t>
      </w:r>
      <w:r w:rsidRPr="00AF7B34">
        <w:rPr>
          <w:vertAlign w:val="superscript"/>
        </w:rPr>
        <w:footnoteReference w:id="23"/>
      </w:r>
      <w:r w:rsidRPr="00AF7B34">
        <w:t xml:space="preserve"> </w:t>
      </w:r>
      <w:r w:rsidR="003A37E6" w:rsidRPr="00AF7B34">
        <w:rPr>
          <w:rFonts w:ascii="Arial" w:hAnsi="Arial" w:cs="Arial"/>
          <w:szCs w:val="24"/>
        </w:rPr>
        <w:t xml:space="preserve">We are concerned that </w:t>
      </w:r>
      <w:r w:rsidR="007154FC" w:rsidRPr="00AF7B34">
        <w:rPr>
          <w:rFonts w:ascii="Arial" w:hAnsi="Arial" w:cs="Arial"/>
          <w:szCs w:val="24"/>
        </w:rPr>
        <w:t xml:space="preserve">this </w:t>
      </w:r>
      <w:r w:rsidR="003A37E6" w:rsidRPr="00AF7B34">
        <w:rPr>
          <w:rFonts w:ascii="Arial" w:hAnsi="Arial" w:cs="Arial"/>
          <w:szCs w:val="24"/>
        </w:rPr>
        <w:t xml:space="preserve">will make it more difficult for </w:t>
      </w:r>
      <w:r w:rsidR="00A317AB" w:rsidRPr="00AF7B34">
        <w:rPr>
          <w:rFonts w:ascii="Arial" w:hAnsi="Arial" w:cs="Arial"/>
          <w:szCs w:val="24"/>
        </w:rPr>
        <w:t>women</w:t>
      </w:r>
      <w:r w:rsidR="003A37E6" w:rsidRPr="00AF7B34">
        <w:rPr>
          <w:rFonts w:ascii="Arial" w:hAnsi="Arial" w:cs="Arial"/>
          <w:szCs w:val="24"/>
        </w:rPr>
        <w:t xml:space="preserve"> to enforce their fundamental rights.</w:t>
      </w:r>
      <w:r w:rsidR="003A37E6" w:rsidRPr="00AF7B34">
        <w:rPr>
          <w:rStyle w:val="FootnoteReference"/>
          <w:rFonts w:ascii="Arial" w:hAnsi="Arial" w:cs="Arial"/>
          <w:szCs w:val="24"/>
        </w:rPr>
        <w:footnoteReference w:id="24"/>
      </w:r>
      <w:r w:rsidR="003A37E6" w:rsidRPr="00AF7B34">
        <w:rPr>
          <w:rFonts w:ascii="Arial" w:hAnsi="Arial" w:cs="Arial"/>
          <w:szCs w:val="24"/>
        </w:rPr>
        <w:t xml:space="preserve">  </w:t>
      </w:r>
    </w:p>
    <w:p w14:paraId="30406C9E" w14:textId="77777777" w:rsidR="00B17A88" w:rsidRPr="00AF7B34" w:rsidRDefault="00B17A88" w:rsidP="00B17A88">
      <w:pPr>
        <w:pStyle w:val="Parabeforebulletsnumberedlist"/>
        <w:spacing w:before="240" w:line="276" w:lineRule="auto"/>
        <w:rPr>
          <w:b/>
          <w:bCs/>
        </w:rPr>
      </w:pPr>
      <w:r w:rsidRPr="00AF7B34">
        <w:rPr>
          <w:b/>
          <w:bCs/>
        </w:rPr>
        <w:t>Recommendations</w:t>
      </w:r>
    </w:p>
    <w:p w14:paraId="6C2CA576" w14:textId="7CD847F9" w:rsidR="00B17A88" w:rsidRPr="00AF7B34" w:rsidRDefault="002C6433" w:rsidP="003334B5">
      <w:pPr>
        <w:pStyle w:val="ListParagraph"/>
        <w:keepLines w:val="0"/>
        <w:numPr>
          <w:ilvl w:val="0"/>
          <w:numId w:val="24"/>
        </w:numPr>
        <w:spacing w:before="0"/>
      </w:pPr>
      <w:r w:rsidRPr="00AF7B34">
        <w:t xml:space="preserve">We recommend that the UK Government should conduct ongoing analysis of the impact on women’s rights of the non-retention of the EU Charter of Fundamental Rights, </w:t>
      </w:r>
      <w:r w:rsidR="00B83C89">
        <w:t xml:space="preserve">including the loss of the rights to equality of treatment and to an effective remedy, </w:t>
      </w:r>
      <w:r w:rsidRPr="00AF7B34">
        <w:t>and take necessary steps – including amending legislation – to address any gaps in rights protections.</w:t>
      </w:r>
    </w:p>
    <w:p w14:paraId="10BA59FF" w14:textId="6C543D7C" w:rsidR="007B0866" w:rsidRPr="00AF7B34" w:rsidRDefault="000411BE" w:rsidP="00705B33">
      <w:pPr>
        <w:pStyle w:val="Heading1"/>
      </w:pPr>
      <w:bookmarkStart w:id="15" w:name="_Toc77758379"/>
      <w:r w:rsidRPr="00AF7B34">
        <w:lastRenderedPageBreak/>
        <w:t>4</w:t>
      </w:r>
      <w:r w:rsidR="0067420E" w:rsidRPr="00AF7B34">
        <w:t xml:space="preserve">. </w:t>
      </w:r>
      <w:bookmarkEnd w:id="10"/>
      <w:r w:rsidR="0049205A" w:rsidRPr="00AF7B34">
        <w:t>Establishment of a national oversight mechanism</w:t>
      </w:r>
      <w:bookmarkEnd w:id="15"/>
    </w:p>
    <w:p w14:paraId="32C59D07" w14:textId="667CC15A" w:rsidR="0049205A" w:rsidRPr="00AF7B34" w:rsidRDefault="00234856" w:rsidP="00234856">
      <w:r w:rsidRPr="00AF7B34">
        <w:t xml:space="preserve">In its </w:t>
      </w:r>
      <w:r w:rsidR="0049205A" w:rsidRPr="00AF7B34">
        <w:t xml:space="preserve">2019 </w:t>
      </w:r>
      <w:r w:rsidR="00C726D4">
        <w:t>c</w:t>
      </w:r>
      <w:r w:rsidR="0049205A" w:rsidRPr="00AF7B34">
        <w:t xml:space="preserve">oncluding </w:t>
      </w:r>
      <w:r w:rsidR="00C726D4">
        <w:t>o</w:t>
      </w:r>
      <w:r w:rsidR="0049205A" w:rsidRPr="00AF7B34">
        <w:t>bservations, the Committee urged the UK to ‘</w:t>
      </w:r>
      <w:r w:rsidR="005D2540" w:rsidRPr="00AF7B34">
        <w:t>c</w:t>
      </w:r>
      <w:r w:rsidR="0049205A" w:rsidRPr="00AF7B34">
        <w:t>onsider establishing a national oversight mechanism to coordinate and monitor the implementation of the Convention, with the effective participation of its national human rights institutions and women’s organizations’. In its request to the State party for follow-up information, the Committee asked for details of the steps taken to implement this recommendation.</w:t>
      </w:r>
      <w:r w:rsidR="0049205A" w:rsidRPr="00AF7B34">
        <w:rPr>
          <w:rStyle w:val="FootnoteReference"/>
        </w:rPr>
        <w:footnoteReference w:id="25"/>
      </w:r>
    </w:p>
    <w:p w14:paraId="2F5BCD09" w14:textId="4D39F0F9" w:rsidR="003B5E65" w:rsidRPr="00AF7B34" w:rsidRDefault="00417C36" w:rsidP="003F5959">
      <w:r w:rsidRPr="00AF7B34">
        <w:t xml:space="preserve">The UK Government is yet to establish </w:t>
      </w:r>
      <w:r w:rsidR="0049205A" w:rsidRPr="00AF7B34">
        <w:t xml:space="preserve">a coordinated mechanism at government level for reviewing and implementing UN recommendations, including those received </w:t>
      </w:r>
      <w:r w:rsidRPr="00AF7B34">
        <w:t>from the Committee</w:t>
      </w:r>
      <w:r w:rsidR="0049205A" w:rsidRPr="00AF7B34">
        <w:t>.</w:t>
      </w:r>
      <w:r w:rsidRPr="00AF7B34">
        <w:t xml:space="preserve"> R</w:t>
      </w:r>
      <w:r w:rsidR="0049205A" w:rsidRPr="00AF7B34">
        <w:t xml:space="preserve">esponsibility for overseeing the </w:t>
      </w:r>
      <w:r w:rsidRPr="00AF7B34">
        <w:t xml:space="preserve">implementation of </w:t>
      </w:r>
      <w:r w:rsidR="0049205A" w:rsidRPr="00AF7B34">
        <w:t xml:space="preserve">different UN human rights treaties </w:t>
      </w:r>
      <w:r w:rsidRPr="00AF7B34">
        <w:t>remains distributed</w:t>
      </w:r>
      <w:r w:rsidR="0049205A" w:rsidRPr="00AF7B34">
        <w:t xml:space="preserve"> across multiple government departments, </w:t>
      </w:r>
      <w:r w:rsidRPr="00AF7B34">
        <w:t>with</w:t>
      </w:r>
      <w:r w:rsidR="0049205A" w:rsidRPr="00AF7B34">
        <w:t xml:space="preserve"> the </w:t>
      </w:r>
      <w:bookmarkStart w:id="16" w:name="_Hlk76205878"/>
      <w:r w:rsidRPr="00AF7B34">
        <w:t>Government Equalities Office</w:t>
      </w:r>
      <w:r w:rsidR="0049205A" w:rsidRPr="00AF7B34">
        <w:t xml:space="preserve"> </w:t>
      </w:r>
      <w:r w:rsidR="003B5E65" w:rsidRPr="00AF7B34">
        <w:t xml:space="preserve">(GEO) </w:t>
      </w:r>
      <w:bookmarkEnd w:id="16"/>
      <w:r w:rsidR="00EB1B2A" w:rsidRPr="00AF7B34">
        <w:t xml:space="preserve">– which sits </w:t>
      </w:r>
      <w:r w:rsidR="003334B5">
        <w:t>with</w:t>
      </w:r>
      <w:r w:rsidR="00EB1B2A" w:rsidRPr="00AF7B34">
        <w:t xml:space="preserve">in the Cabinet Office – </w:t>
      </w:r>
      <w:r w:rsidR="0049205A" w:rsidRPr="00AF7B34">
        <w:t>retain</w:t>
      </w:r>
      <w:r w:rsidRPr="00AF7B34">
        <w:t>ing</w:t>
      </w:r>
      <w:r w:rsidR="0049205A" w:rsidRPr="00AF7B34">
        <w:t xml:space="preserve"> oversight of the UK’s implementation of CEDAW.</w:t>
      </w:r>
      <w:r w:rsidR="003B5E65" w:rsidRPr="00AF7B34">
        <w:t xml:space="preserve"> </w:t>
      </w:r>
    </w:p>
    <w:p w14:paraId="7E02886F" w14:textId="5638D6E8" w:rsidR="003B5E65" w:rsidRPr="00AF7B34" w:rsidRDefault="003B5E65" w:rsidP="003B5E65">
      <w:r w:rsidRPr="00AF7B34">
        <w:lastRenderedPageBreak/>
        <w:t xml:space="preserve">Shortly after the publication of the Committee’s </w:t>
      </w:r>
      <w:r w:rsidR="007C3D59">
        <w:t>c</w:t>
      </w:r>
      <w:r w:rsidRPr="00AF7B34">
        <w:t xml:space="preserve">oncluding </w:t>
      </w:r>
      <w:r w:rsidR="007C3D59">
        <w:t>o</w:t>
      </w:r>
      <w:r w:rsidRPr="00AF7B34">
        <w:t xml:space="preserve">bservations, </w:t>
      </w:r>
      <w:r w:rsidR="007C3D59">
        <w:t xml:space="preserve">in 2019 </w:t>
      </w:r>
      <w:r w:rsidRPr="00AF7B34">
        <w:t>the GEO published a gender equality roadmap</w:t>
      </w:r>
      <w:r w:rsidR="00125C49" w:rsidRPr="00AF7B34">
        <w:t>,</w:t>
      </w:r>
      <w:r w:rsidRPr="00AF7B34">
        <w:rPr>
          <w:vertAlign w:val="superscript"/>
        </w:rPr>
        <w:footnoteReference w:id="26"/>
      </w:r>
      <w:r w:rsidR="00125C49" w:rsidRPr="00AF7B34">
        <w:t xml:space="preserve"> alongside a new </w:t>
      </w:r>
      <w:r w:rsidR="00605C93" w:rsidRPr="00AF7B34">
        <w:t xml:space="preserve">gender equality monitor </w:t>
      </w:r>
      <w:r w:rsidR="00125C49" w:rsidRPr="00AF7B34">
        <w:t>to track progress on gender equality across different areas.</w:t>
      </w:r>
      <w:r w:rsidR="00125C49" w:rsidRPr="00AF7B34">
        <w:rPr>
          <w:rStyle w:val="FootnoteReference"/>
        </w:rPr>
        <w:footnoteReference w:id="27"/>
      </w:r>
      <w:r w:rsidRPr="00AF7B34">
        <w:t xml:space="preserve"> While th</w:t>
      </w:r>
      <w:r w:rsidR="00125C49" w:rsidRPr="00AF7B34">
        <w:t>e</w:t>
      </w:r>
      <w:r w:rsidRPr="00AF7B34">
        <w:t xml:space="preserve"> roadmap sets out welcome ambitions to tackle drivers of gender inequality, the strategy focuses on women’s economic empowerment only. As such, it does not cover the full range of rights protected under CEDAW, nor does it address how the UK Government will implement the specific recommendations made by the Committee. Furthermore, </w:t>
      </w:r>
      <w:r w:rsidR="00125C49" w:rsidRPr="00AF7B34">
        <w:t xml:space="preserve">it appears that </w:t>
      </w:r>
      <w:r w:rsidRPr="00AF7B34">
        <w:t xml:space="preserve">the roadmap </w:t>
      </w:r>
      <w:r w:rsidR="00125C49" w:rsidRPr="00AF7B34">
        <w:t>is not</w:t>
      </w:r>
      <w:r w:rsidRPr="00AF7B34">
        <w:t xml:space="preserve"> </w:t>
      </w:r>
      <w:r w:rsidR="004C2F84" w:rsidRPr="00AF7B34">
        <w:t xml:space="preserve">currently </w:t>
      </w:r>
      <w:r w:rsidRPr="00AF7B34">
        <w:t>being im</w:t>
      </w:r>
      <w:r w:rsidR="00B0785D" w:rsidRPr="00AF7B34">
        <w:t>plemented in practice. T</w:t>
      </w:r>
      <w:r w:rsidR="00125C49" w:rsidRPr="00AF7B34">
        <w:t xml:space="preserve">he roadmap included a commitment to provide an annual progress report to the UK Parliament, alongside annual reporting against </w:t>
      </w:r>
      <w:r w:rsidR="00B0785D" w:rsidRPr="00AF7B34">
        <w:t xml:space="preserve">the </w:t>
      </w:r>
      <w:r w:rsidR="00605C93" w:rsidRPr="00AF7B34">
        <w:t>g</w:t>
      </w:r>
      <w:r w:rsidR="00B0785D" w:rsidRPr="00AF7B34">
        <w:t xml:space="preserve">ender </w:t>
      </w:r>
      <w:r w:rsidR="00605C93" w:rsidRPr="00AF7B34">
        <w:t>equality monitor</w:t>
      </w:r>
      <w:r w:rsidR="00B0785D" w:rsidRPr="00AF7B34">
        <w:t>; however, no such reports have been published to date.</w:t>
      </w:r>
    </w:p>
    <w:p w14:paraId="047CC3EA" w14:textId="50C74B36" w:rsidR="00EC5395" w:rsidRPr="00AF7B34" w:rsidRDefault="00EC5395" w:rsidP="00EC5395">
      <w:pPr>
        <w:pStyle w:val="Parabeforeanother"/>
        <w:spacing w:before="240" w:line="276" w:lineRule="auto"/>
      </w:pPr>
      <w:r w:rsidRPr="00AF7B34">
        <w:t xml:space="preserve">As regards action by the Welsh Government, </w:t>
      </w:r>
      <w:r w:rsidR="00625161">
        <w:t xml:space="preserve">in 2018 </w:t>
      </w:r>
      <w:r w:rsidRPr="00AF7B34">
        <w:t xml:space="preserve">the First Minister commissioned a rapid review of gender equality in Wales </w:t>
      </w:r>
      <w:r w:rsidR="00625161">
        <w:t>from women’s rights charity Chwarae Teg</w:t>
      </w:r>
      <w:r w:rsidR="004630C9" w:rsidRPr="00AF7B34">
        <w:t xml:space="preserve">, </w:t>
      </w:r>
      <w:r w:rsidRPr="00AF7B34">
        <w:t>resulting in a report</w:t>
      </w:r>
      <w:r w:rsidR="004630C9" w:rsidRPr="00AF7B34">
        <w:rPr>
          <w:vertAlign w:val="superscript"/>
        </w:rPr>
        <w:footnoteReference w:id="28"/>
      </w:r>
      <w:r w:rsidRPr="00AF7B34">
        <w:t xml:space="preserve"> and </w:t>
      </w:r>
      <w:r w:rsidR="00625161">
        <w:t>r</w:t>
      </w:r>
      <w:r w:rsidRPr="00AF7B34">
        <w:t>oadmap</w:t>
      </w:r>
      <w:r w:rsidRPr="00AF7B34">
        <w:rPr>
          <w:vertAlign w:val="superscript"/>
        </w:rPr>
        <w:footnoteReference w:id="29"/>
      </w:r>
      <w:r w:rsidRPr="00AF7B34">
        <w:t xml:space="preserve"> with recommendations for action across </w:t>
      </w:r>
      <w:r w:rsidR="00FA7C20" w:rsidRPr="00AF7B34">
        <w:t>different</w:t>
      </w:r>
      <w:r w:rsidRPr="00AF7B34">
        <w:t xml:space="preserve"> policy areas. The </w:t>
      </w:r>
      <w:r w:rsidR="0025642A" w:rsidRPr="00AF7B34">
        <w:t xml:space="preserve">Welsh </w:t>
      </w:r>
      <w:r w:rsidRPr="00AF7B34">
        <w:t xml:space="preserve">Government </w:t>
      </w:r>
      <w:r w:rsidR="00625161">
        <w:t xml:space="preserve">fully or partially </w:t>
      </w:r>
      <w:r w:rsidRPr="00AF7B34">
        <w:t>accepted all the report</w:t>
      </w:r>
      <w:r w:rsidRPr="00AF7B34">
        <w:rPr>
          <w:vertAlign w:val="superscript"/>
        </w:rPr>
        <w:footnoteReference w:id="30"/>
      </w:r>
      <w:r w:rsidRPr="00AF7B34">
        <w:t xml:space="preserve"> and roadmap</w:t>
      </w:r>
      <w:r w:rsidRPr="00AF7B34">
        <w:rPr>
          <w:vertAlign w:val="superscript"/>
        </w:rPr>
        <w:footnoteReference w:id="31"/>
      </w:r>
      <w:r w:rsidRPr="00AF7B34">
        <w:t xml:space="preserve"> </w:t>
      </w:r>
      <w:r w:rsidR="0025642A" w:rsidRPr="00AF7B34">
        <w:t xml:space="preserve">recommendations, </w:t>
      </w:r>
      <w:r w:rsidRPr="00AF7B34">
        <w:t xml:space="preserve">and a steering group </w:t>
      </w:r>
      <w:r w:rsidR="004630C9" w:rsidRPr="00AF7B34">
        <w:t>was</w:t>
      </w:r>
      <w:r w:rsidRPr="00AF7B34">
        <w:t xml:space="preserve"> established to oversee implementation. In March 2020, </w:t>
      </w:r>
      <w:r w:rsidR="004630C9" w:rsidRPr="00AF7B34">
        <w:t xml:space="preserve">the </w:t>
      </w:r>
      <w:r w:rsidRPr="00AF7B34">
        <w:t>Welsh Government launched its implementation plan</w:t>
      </w:r>
      <w:r w:rsidR="00CE60D4" w:rsidRPr="00AF7B34">
        <w:t xml:space="preserve"> for advancing gender equality in Wales.</w:t>
      </w:r>
      <w:r w:rsidRPr="00AF7B34">
        <w:rPr>
          <w:vertAlign w:val="superscript"/>
        </w:rPr>
        <w:footnoteReference w:id="32"/>
      </w:r>
      <w:r w:rsidRPr="00AF7B34">
        <w:t xml:space="preserve"> </w:t>
      </w:r>
      <w:r w:rsidR="0025642A" w:rsidRPr="00AF7B34">
        <w:t>H</w:t>
      </w:r>
      <w:r w:rsidRPr="00AF7B34">
        <w:t>owever</w:t>
      </w:r>
      <w:r w:rsidR="0025642A" w:rsidRPr="00AF7B34">
        <w:t>, the plan is not expressly linked to the Welsh Government’s obligations under CEDAW. W</w:t>
      </w:r>
      <w:r w:rsidRPr="00AF7B34">
        <w:t xml:space="preserve">e are concerned that </w:t>
      </w:r>
      <w:r w:rsidR="0025642A" w:rsidRPr="00AF7B34">
        <w:lastRenderedPageBreak/>
        <w:t>work</w:t>
      </w:r>
      <w:r w:rsidRPr="00AF7B34">
        <w:t xml:space="preserve"> </w:t>
      </w:r>
      <w:r w:rsidR="0025642A" w:rsidRPr="00AF7B34">
        <w:t xml:space="preserve">on implementation </w:t>
      </w:r>
      <w:r w:rsidR="00605C93" w:rsidRPr="00AF7B34">
        <w:t>was</w:t>
      </w:r>
      <w:r w:rsidRPr="00AF7B34">
        <w:t xml:space="preserve"> paused </w:t>
      </w:r>
      <w:r w:rsidR="00605C93" w:rsidRPr="00AF7B34">
        <w:t>due to</w:t>
      </w:r>
      <w:r w:rsidRPr="00AF7B34">
        <w:t xml:space="preserve"> the coronavirus pandemic</w:t>
      </w:r>
      <w:r w:rsidR="00605C93" w:rsidRPr="00AF7B34">
        <w:t>, and</w:t>
      </w:r>
      <w:r w:rsidR="00793C77">
        <w:t xml:space="preserve"> that the new Programme for Government does not include a commitment to</w:t>
      </w:r>
      <w:r w:rsidR="00605C93" w:rsidRPr="00AF7B34">
        <w:t xml:space="preserve"> </w:t>
      </w:r>
      <w:r w:rsidR="00793C77">
        <w:t>implement the plan.</w:t>
      </w:r>
      <w:r w:rsidR="00793C77">
        <w:rPr>
          <w:rStyle w:val="FootnoteReference"/>
        </w:rPr>
        <w:footnoteReference w:id="33"/>
      </w:r>
      <w:r w:rsidR="00793C77">
        <w:t xml:space="preserve"> We </w:t>
      </w:r>
      <w:r w:rsidR="00605C93" w:rsidRPr="00AF7B34">
        <w:t xml:space="preserve">recommend that </w:t>
      </w:r>
      <w:r w:rsidR="00793C77">
        <w:t>implementation</w:t>
      </w:r>
      <w:r w:rsidR="00605C93" w:rsidRPr="00AF7B34">
        <w:t xml:space="preserve"> should recommence as soon as practicable</w:t>
      </w:r>
      <w:r w:rsidRPr="00AF7B34">
        <w:t>.</w:t>
      </w:r>
    </w:p>
    <w:p w14:paraId="28D0018A" w14:textId="195CD621" w:rsidR="00B0785D" w:rsidRPr="00AF7B34" w:rsidRDefault="00605C93" w:rsidP="00B0785D">
      <w:pPr>
        <w:pStyle w:val="Parabeforeanother"/>
        <w:spacing w:before="240" w:after="0" w:line="276" w:lineRule="auto"/>
      </w:pPr>
      <w:r w:rsidRPr="00AF7B34">
        <w:t>W</w:t>
      </w:r>
      <w:r w:rsidR="003F5959" w:rsidRPr="00AF7B34">
        <w:t>e have</w:t>
      </w:r>
      <w:r w:rsidR="00EB1B2A" w:rsidRPr="00AF7B34">
        <w:t xml:space="preserve"> consistently</w:t>
      </w:r>
      <w:r w:rsidR="003F5959" w:rsidRPr="00AF7B34">
        <w:t xml:space="preserve"> </w:t>
      </w:r>
      <w:r w:rsidR="003A1051" w:rsidRPr="00AF7B34">
        <w:t xml:space="preserve">advised </w:t>
      </w:r>
      <w:r w:rsidR="003F5959" w:rsidRPr="00AF7B34">
        <w:t xml:space="preserve">that the UK </w:t>
      </w:r>
      <w:r w:rsidR="00500AD9" w:rsidRPr="00AF7B34">
        <w:t xml:space="preserve">and Welsh </w:t>
      </w:r>
      <w:r w:rsidR="00BB4CB2">
        <w:t>g</w:t>
      </w:r>
      <w:r w:rsidR="00500AD9" w:rsidRPr="00AF7B34">
        <w:t xml:space="preserve">overnments </w:t>
      </w:r>
      <w:r w:rsidR="003F5959" w:rsidRPr="00AF7B34">
        <w:t xml:space="preserve">should establish a </w:t>
      </w:r>
      <w:r w:rsidR="00AE1888">
        <w:t>N</w:t>
      </w:r>
      <w:r w:rsidR="003F5959" w:rsidRPr="00AF7B34">
        <w:t xml:space="preserve">ational </w:t>
      </w:r>
      <w:r w:rsidR="00AE1888">
        <w:t>M</w:t>
      </w:r>
      <w:r w:rsidR="003F5959" w:rsidRPr="00AF7B34">
        <w:t xml:space="preserve">echanism for </w:t>
      </w:r>
      <w:r w:rsidR="00AE1888">
        <w:t>I</w:t>
      </w:r>
      <w:r w:rsidR="003F5959" w:rsidRPr="00AF7B34">
        <w:t xml:space="preserve">mplementation, </w:t>
      </w:r>
      <w:r w:rsidR="00AE1888">
        <w:t>R</w:t>
      </w:r>
      <w:r w:rsidR="003F5959" w:rsidRPr="00AF7B34">
        <w:t xml:space="preserve">eporting and </w:t>
      </w:r>
      <w:r w:rsidR="00AE1888">
        <w:t>F</w:t>
      </w:r>
      <w:r w:rsidR="003F5959" w:rsidRPr="00AF7B34">
        <w:t xml:space="preserve">ollow-up (NMIRF) to effectively and efficiently implement the provisions and recommendations emanating from the UN human rights system. </w:t>
      </w:r>
      <w:r w:rsidR="00B0785D" w:rsidRPr="00AF7B34">
        <w:t>Establishing a</w:t>
      </w:r>
      <w:r w:rsidR="00BB4CB2">
        <w:t>n</w:t>
      </w:r>
      <w:r w:rsidR="00B0785D" w:rsidRPr="00AF7B34">
        <w:t xml:space="preserve"> NMIRF would strengthen the UK</w:t>
      </w:r>
      <w:r w:rsidR="00500AD9" w:rsidRPr="00AF7B34">
        <w:t xml:space="preserve"> and Welsh</w:t>
      </w:r>
      <w:r w:rsidR="00B0785D" w:rsidRPr="00AF7B34">
        <w:t xml:space="preserve"> </w:t>
      </w:r>
      <w:r w:rsidR="00BB4CB2">
        <w:t>g</w:t>
      </w:r>
      <w:r w:rsidR="00B0785D" w:rsidRPr="00AF7B34">
        <w:t>overnments</w:t>
      </w:r>
      <w:r w:rsidRPr="00AF7B34">
        <w:t>’</w:t>
      </w:r>
      <w:r w:rsidR="00B0785D" w:rsidRPr="00AF7B34">
        <w:t xml:space="preserve"> commitment to the international human rights framework and ensure a joined-up ap</w:t>
      </w:r>
      <w:r w:rsidR="00500AD9" w:rsidRPr="00AF7B34">
        <w:t>proach to implementation of their</w:t>
      </w:r>
      <w:r w:rsidR="00B0785D" w:rsidRPr="00AF7B34">
        <w:t xml:space="preserve"> obligations at a domestic level, including </w:t>
      </w:r>
      <w:r w:rsidR="00500AD9" w:rsidRPr="00AF7B34">
        <w:t>their</w:t>
      </w:r>
      <w:r w:rsidR="00B0785D" w:rsidRPr="00AF7B34">
        <w:t xml:space="preserve"> obligations under CEDAW. </w:t>
      </w:r>
    </w:p>
    <w:p w14:paraId="58662A86" w14:textId="198F718E" w:rsidR="00B0785D" w:rsidRPr="00AF7B34" w:rsidRDefault="00B0785D" w:rsidP="00B0785D">
      <w:pPr>
        <w:pStyle w:val="Parabeforeanother"/>
        <w:spacing w:before="240" w:after="0" w:line="276" w:lineRule="auto"/>
      </w:pPr>
      <w:r w:rsidRPr="00AF7B34">
        <w:t xml:space="preserve">There have been a number of similar </w:t>
      </w:r>
      <w:r w:rsidR="00A546C3" w:rsidRPr="00AF7B34">
        <w:t xml:space="preserve">recommendations </w:t>
      </w:r>
      <w:r w:rsidRPr="00AF7B34">
        <w:t>from international and domestic stakeholders in recent years, including from the UN High Commissioner for Human Rights in 2017,</w:t>
      </w:r>
      <w:r w:rsidRPr="00AF7B34">
        <w:rPr>
          <w:vertAlign w:val="superscript"/>
        </w:rPr>
        <w:footnoteReference w:id="34"/>
      </w:r>
      <w:r w:rsidRPr="00AF7B34">
        <w:t xml:space="preserve"> the UK Parliament’s Women and Equalities Committee in 2019</w:t>
      </w:r>
      <w:r w:rsidR="004626EE" w:rsidRPr="00AF7B34">
        <w:t>,</w:t>
      </w:r>
      <w:r w:rsidRPr="00AF7B34">
        <w:rPr>
          <w:vertAlign w:val="superscript"/>
        </w:rPr>
        <w:footnoteReference w:id="35"/>
      </w:r>
      <w:r w:rsidR="004626EE" w:rsidRPr="00AF7B34">
        <w:t xml:space="preserve"> and the Welsh Parliament’s Children, Young People and Education Committee in 2020.</w:t>
      </w:r>
      <w:r w:rsidR="004626EE" w:rsidRPr="00AF7B34">
        <w:rPr>
          <w:rStyle w:val="FootnoteReference"/>
        </w:rPr>
        <w:footnoteReference w:id="36"/>
      </w:r>
      <w:r w:rsidRPr="00AF7B34">
        <w:t xml:space="preserve"> In May 2020, we recom</w:t>
      </w:r>
      <w:r w:rsidRPr="00AF7B34">
        <w:lastRenderedPageBreak/>
        <w:t>mended to the UN Committee Against Torture that the UK Government implement a</w:t>
      </w:r>
      <w:r w:rsidR="000D60C2">
        <w:t>n</w:t>
      </w:r>
      <w:r w:rsidRPr="00AF7B34">
        <w:t xml:space="preserve"> NMIRF,</w:t>
      </w:r>
      <w:r w:rsidRPr="00AF7B34">
        <w:rPr>
          <w:vertAlign w:val="superscript"/>
        </w:rPr>
        <w:footnoteReference w:id="37"/>
      </w:r>
      <w:r w:rsidRPr="00AF7B34">
        <w:t xml:space="preserve"> adopting a framework </w:t>
      </w:r>
      <w:r w:rsidR="000D60C2">
        <w:t>that</w:t>
      </w:r>
      <w:r w:rsidRPr="00AF7B34">
        <w:t xml:space="preserve"> builds on global best practice identified by the Office of the High Commissioner for Human Rights.</w:t>
      </w:r>
      <w:r w:rsidRPr="00AF7B34">
        <w:rPr>
          <w:vertAlign w:val="superscript"/>
        </w:rPr>
        <w:footnoteReference w:id="38"/>
      </w:r>
      <w:r w:rsidRPr="00AF7B34">
        <w:t xml:space="preserve"> </w:t>
      </w:r>
    </w:p>
    <w:p w14:paraId="36BDFB5E" w14:textId="61B43EEB" w:rsidR="00B0785D" w:rsidRPr="00AF7B34" w:rsidRDefault="00B0785D" w:rsidP="00B0785D">
      <w:pPr>
        <w:pStyle w:val="Parabeforenewsection"/>
        <w:spacing w:before="240" w:after="0" w:line="276" w:lineRule="auto"/>
        <w:rPr>
          <w:rFonts w:cs="Arial"/>
        </w:rPr>
      </w:pPr>
      <w:r w:rsidRPr="00AF7B34">
        <w:rPr>
          <w:rFonts w:cs="Arial"/>
        </w:rPr>
        <w:t xml:space="preserve">Despite this, to date the UK Government </w:t>
      </w:r>
      <w:r w:rsidR="004C2F84" w:rsidRPr="00AF7B34">
        <w:rPr>
          <w:rFonts w:cs="Arial"/>
        </w:rPr>
        <w:t xml:space="preserve">has not been minded </w:t>
      </w:r>
      <w:r w:rsidRPr="00AF7B34">
        <w:rPr>
          <w:rFonts w:cs="Arial"/>
        </w:rPr>
        <w:t xml:space="preserve">to take on board </w:t>
      </w:r>
      <w:r w:rsidR="00A26FDB" w:rsidRPr="00AF7B34">
        <w:rPr>
          <w:rFonts w:cs="Arial"/>
        </w:rPr>
        <w:t>recommendations</w:t>
      </w:r>
      <w:r w:rsidR="00A546C3" w:rsidRPr="00AF7B34">
        <w:rPr>
          <w:rFonts w:cs="Arial"/>
        </w:rPr>
        <w:t xml:space="preserve"> </w:t>
      </w:r>
      <w:r w:rsidRPr="00AF7B34">
        <w:rPr>
          <w:rFonts w:cs="Arial"/>
        </w:rPr>
        <w:t xml:space="preserve">for greater action, the publication of implementation plans on UN recommendations, </w:t>
      </w:r>
      <w:r w:rsidR="00812B6B" w:rsidRPr="00AF7B34">
        <w:rPr>
          <w:rFonts w:cs="Arial"/>
        </w:rPr>
        <w:t xml:space="preserve">or </w:t>
      </w:r>
      <w:r w:rsidRPr="00AF7B34">
        <w:rPr>
          <w:rFonts w:cs="Arial"/>
        </w:rPr>
        <w:t xml:space="preserve">a more coordinated approach to monitoring, reporting and implementation. </w:t>
      </w:r>
    </w:p>
    <w:p w14:paraId="5F9DEA1C" w14:textId="2F040597" w:rsidR="00B0785D" w:rsidRPr="00AF7B34" w:rsidRDefault="00A26FDB" w:rsidP="00B0785D">
      <w:pPr>
        <w:pStyle w:val="Parabeforenewsection"/>
        <w:spacing w:before="240" w:after="0" w:line="276" w:lineRule="auto"/>
        <w:rPr>
          <w:rFonts w:cs="Arial"/>
        </w:rPr>
      </w:pPr>
      <w:r w:rsidRPr="00AF7B34">
        <w:rPr>
          <w:rFonts w:cs="Arial"/>
        </w:rPr>
        <w:t>However</w:t>
      </w:r>
      <w:r w:rsidR="00B83588" w:rsidRPr="00AF7B34">
        <w:rPr>
          <w:rFonts w:cs="Arial"/>
        </w:rPr>
        <w:t xml:space="preserve">, </w:t>
      </w:r>
      <w:r w:rsidRPr="00AF7B34">
        <w:rPr>
          <w:rFonts w:cs="Arial"/>
        </w:rPr>
        <w:t>a</w:t>
      </w:r>
      <w:r w:rsidR="00A546C3" w:rsidRPr="00AF7B34">
        <w:rPr>
          <w:rFonts w:cs="Arial"/>
        </w:rPr>
        <w:t xml:space="preserve">s </w:t>
      </w:r>
      <w:r w:rsidR="000411BE" w:rsidRPr="00AF7B34">
        <w:rPr>
          <w:rFonts w:cs="Arial"/>
        </w:rPr>
        <w:t xml:space="preserve">noted above, </w:t>
      </w:r>
      <w:r w:rsidR="00B0785D" w:rsidRPr="00AF7B34">
        <w:rPr>
          <w:rFonts w:cs="Arial"/>
        </w:rPr>
        <w:t xml:space="preserve">there is interest from the devolved governments </w:t>
      </w:r>
      <w:r w:rsidR="000D60C2">
        <w:rPr>
          <w:rFonts w:cs="Arial"/>
        </w:rPr>
        <w:t>in</w:t>
      </w:r>
      <w:r w:rsidR="00B0785D" w:rsidRPr="00AF7B34">
        <w:rPr>
          <w:rFonts w:cs="Arial"/>
        </w:rPr>
        <w:t xml:space="preserve"> strengthen</w:t>
      </w:r>
      <w:r w:rsidR="000D60C2">
        <w:rPr>
          <w:rFonts w:cs="Arial"/>
        </w:rPr>
        <w:t>ing</w:t>
      </w:r>
      <w:r w:rsidR="00B0785D" w:rsidRPr="00AF7B34">
        <w:rPr>
          <w:rFonts w:cs="Arial"/>
        </w:rPr>
        <w:t xml:space="preserve"> human rights protections and accountability frameworks.</w:t>
      </w:r>
      <w:r w:rsidR="00B0785D" w:rsidRPr="00AF7B34">
        <w:rPr>
          <w:rStyle w:val="FootnoteReference"/>
          <w:rFonts w:cs="Arial"/>
        </w:rPr>
        <w:footnoteReference w:id="39"/>
      </w:r>
      <w:r w:rsidR="00B83588" w:rsidRPr="00AF7B34">
        <w:rPr>
          <w:rFonts w:cs="Arial"/>
        </w:rPr>
        <w:t xml:space="preserve"> In March 2021, </w:t>
      </w:r>
      <w:r w:rsidR="00B83588" w:rsidRPr="00AF7B34">
        <w:rPr>
          <w:rFonts w:eastAsia="Times New Roman" w:cs="Arial"/>
        </w:rPr>
        <w:t>the Scottish Government’s National Taskforce for Human Rights recommended that further consideration should be given to establishing a</w:t>
      </w:r>
      <w:r w:rsidR="0085627D">
        <w:rPr>
          <w:rFonts w:eastAsia="Times New Roman" w:cs="Arial"/>
        </w:rPr>
        <w:t>n</w:t>
      </w:r>
      <w:r w:rsidR="00B83588" w:rsidRPr="00AF7B34">
        <w:rPr>
          <w:rFonts w:eastAsia="Times New Roman" w:cs="Arial"/>
        </w:rPr>
        <w:t xml:space="preserve"> NMIRF,</w:t>
      </w:r>
      <w:r w:rsidR="00B83588" w:rsidRPr="00AF7B34">
        <w:rPr>
          <w:rStyle w:val="FootnoteReference"/>
          <w:rFonts w:eastAsia="Times New Roman" w:cs="Arial"/>
        </w:rPr>
        <w:footnoteReference w:id="40"/>
      </w:r>
      <w:r w:rsidR="00B83588" w:rsidRPr="00AF7B34">
        <w:rPr>
          <w:rFonts w:eastAsia="Times New Roman" w:cs="Arial"/>
        </w:rPr>
        <w:t xml:space="preserve"> as had been previously recommended by the First Minister’s Advisory Group on Human Rights Leadership.</w:t>
      </w:r>
      <w:r w:rsidR="00B83588" w:rsidRPr="00AF7B34">
        <w:rPr>
          <w:rStyle w:val="FootnoteReference"/>
          <w:rFonts w:eastAsia="Times New Roman" w:cs="Arial"/>
        </w:rPr>
        <w:footnoteReference w:id="41"/>
      </w:r>
      <w:r w:rsidR="004626EE" w:rsidRPr="00AF7B34">
        <w:rPr>
          <w:rFonts w:eastAsia="Times New Roman" w:cs="Arial"/>
        </w:rPr>
        <w:t xml:space="preserve"> </w:t>
      </w:r>
    </w:p>
    <w:p w14:paraId="5C47BAB3" w14:textId="59BB5210" w:rsidR="00E54523" w:rsidRPr="00AF7B34" w:rsidRDefault="00E54523" w:rsidP="004C2F84">
      <w:pPr>
        <w:pStyle w:val="Parabeforenewsection"/>
        <w:spacing w:before="240" w:after="0" w:line="276" w:lineRule="auto"/>
        <w:rPr>
          <w:bCs/>
        </w:rPr>
      </w:pPr>
      <w:r w:rsidRPr="00AF7B34">
        <w:rPr>
          <w:rFonts w:eastAsia="Times New Roman"/>
        </w:rPr>
        <w:t>The creation of a</w:t>
      </w:r>
      <w:r w:rsidR="0085627D">
        <w:rPr>
          <w:rFonts w:eastAsia="Times New Roman"/>
        </w:rPr>
        <w:t>n</w:t>
      </w:r>
      <w:r w:rsidRPr="00AF7B34">
        <w:rPr>
          <w:rFonts w:eastAsia="Times New Roman"/>
        </w:rPr>
        <w:t xml:space="preserve"> NMIRF would </w:t>
      </w:r>
      <w:r w:rsidR="003F5959" w:rsidRPr="00AF7B34">
        <w:t xml:space="preserve">complement the work </w:t>
      </w:r>
      <w:r w:rsidR="009A1E2A">
        <w:t xml:space="preserve">we have </w:t>
      </w:r>
      <w:r w:rsidR="003F5959" w:rsidRPr="00AF7B34">
        <w:t xml:space="preserve">undertaken to </w:t>
      </w:r>
      <w:r w:rsidR="00A26FDB" w:rsidRPr="00AF7B34">
        <w:t>strengthen</w:t>
      </w:r>
      <w:r w:rsidRPr="00AF7B34">
        <w:t xml:space="preserve"> accountability mechanisms. </w:t>
      </w:r>
      <w:r w:rsidRPr="00AF7B34">
        <w:rPr>
          <w:bCs/>
        </w:rPr>
        <w:t xml:space="preserve">To date </w:t>
      </w:r>
      <w:r w:rsidR="00A546C3" w:rsidRPr="00AF7B34">
        <w:rPr>
          <w:bCs/>
        </w:rPr>
        <w:t xml:space="preserve">we </w:t>
      </w:r>
      <w:r w:rsidRPr="00AF7B34">
        <w:rPr>
          <w:bCs/>
        </w:rPr>
        <w:t>have focused on</w:t>
      </w:r>
      <w:r w:rsidR="004C2F84" w:rsidRPr="00AF7B34">
        <w:rPr>
          <w:bCs/>
        </w:rPr>
        <w:t>, among other</w:t>
      </w:r>
      <w:r w:rsidRPr="00AF7B34">
        <w:rPr>
          <w:bCs/>
        </w:rPr>
        <w:t xml:space="preserve"> </w:t>
      </w:r>
      <w:r w:rsidR="004C2F84" w:rsidRPr="00AF7B34">
        <w:rPr>
          <w:bCs/>
        </w:rPr>
        <w:t>key areas, o</w:t>
      </w:r>
      <w:r w:rsidRPr="00AF7B34">
        <w:rPr>
          <w:bCs/>
        </w:rPr>
        <w:t xml:space="preserve">ur </w:t>
      </w:r>
      <w:r w:rsidR="002D13E9">
        <w:rPr>
          <w:bCs/>
        </w:rPr>
        <w:t>h</w:t>
      </w:r>
      <w:r w:rsidRPr="00AF7B34">
        <w:rPr>
          <w:bCs/>
        </w:rPr>
        <w:t xml:space="preserve">uman </w:t>
      </w:r>
      <w:r w:rsidR="002D13E9">
        <w:rPr>
          <w:bCs/>
        </w:rPr>
        <w:t>r</w:t>
      </w:r>
      <w:r w:rsidRPr="00AF7B34">
        <w:rPr>
          <w:bCs/>
        </w:rPr>
        <w:t xml:space="preserve">ights </w:t>
      </w:r>
      <w:r w:rsidR="002D13E9">
        <w:rPr>
          <w:bCs/>
        </w:rPr>
        <w:t>t</w:t>
      </w:r>
      <w:r w:rsidRPr="00AF7B34">
        <w:rPr>
          <w:bCs/>
        </w:rPr>
        <w:t>racker</w:t>
      </w:r>
      <w:r w:rsidRPr="00AF7B34">
        <w:rPr>
          <w:bCs/>
          <w:vertAlign w:val="superscript"/>
        </w:rPr>
        <w:footnoteReference w:id="42"/>
      </w:r>
      <w:r w:rsidR="00CB6A9E" w:rsidRPr="00AF7B34">
        <w:rPr>
          <w:bCs/>
        </w:rPr>
        <w:t xml:space="preserve"> for England and Wales</w:t>
      </w:r>
      <w:r w:rsidR="009A1E2A">
        <w:rPr>
          <w:bCs/>
        </w:rPr>
        <w:t>. This is</w:t>
      </w:r>
      <w:r w:rsidRPr="00AF7B34">
        <w:rPr>
          <w:bCs/>
        </w:rPr>
        <w:t xml:space="preserve"> an online tool that compiles all UN recommendations to the UK in a searchable, accessible format, and provides our assessments of </w:t>
      </w:r>
      <w:r w:rsidR="00A546C3" w:rsidRPr="00AF7B34">
        <w:rPr>
          <w:bCs/>
        </w:rPr>
        <w:t xml:space="preserve">UK and </w:t>
      </w:r>
      <w:r w:rsidR="00A546C3" w:rsidRPr="00AF7B34">
        <w:rPr>
          <w:bCs/>
        </w:rPr>
        <w:lastRenderedPageBreak/>
        <w:t xml:space="preserve">Welsh </w:t>
      </w:r>
      <w:r w:rsidR="009A1E2A">
        <w:rPr>
          <w:bCs/>
        </w:rPr>
        <w:t>g</w:t>
      </w:r>
      <w:r w:rsidRPr="00AF7B34">
        <w:rPr>
          <w:bCs/>
        </w:rPr>
        <w:t>overnment action</w:t>
      </w:r>
      <w:r w:rsidR="00A546C3" w:rsidRPr="00AF7B34">
        <w:rPr>
          <w:bCs/>
        </w:rPr>
        <w:t>s</w:t>
      </w:r>
      <w:r w:rsidRPr="00AF7B34">
        <w:rPr>
          <w:bCs/>
        </w:rPr>
        <w:t xml:space="preserve"> and progress in meeting human rights obligations. The </w:t>
      </w:r>
      <w:r w:rsidR="009A1E2A">
        <w:rPr>
          <w:bCs/>
        </w:rPr>
        <w:t>t</w:t>
      </w:r>
      <w:r w:rsidRPr="00AF7B34">
        <w:rPr>
          <w:bCs/>
        </w:rPr>
        <w:t>racker raises awareness of the UK’s human rights obligations and helps users monitor how well they are being implemented.</w:t>
      </w:r>
      <w:r w:rsidR="00C41085" w:rsidRPr="00AF7B34">
        <w:rPr>
          <w:bCs/>
        </w:rPr>
        <w:t xml:space="preserve"> We also engage regularly with the UK Parliament’s Joint Committee on Human Rights.</w:t>
      </w:r>
    </w:p>
    <w:p w14:paraId="628DBFAF" w14:textId="22DA83FE" w:rsidR="00E54523" w:rsidRPr="00AF7B34" w:rsidRDefault="00E54523" w:rsidP="00E54523">
      <w:pPr>
        <w:pStyle w:val="Parabeforenewsection"/>
        <w:spacing w:before="240" w:after="0" w:line="276" w:lineRule="auto"/>
        <w:rPr>
          <w:rFonts w:eastAsia="Times New Roman"/>
        </w:rPr>
      </w:pPr>
      <w:r w:rsidRPr="00AF7B34">
        <w:rPr>
          <w:rFonts w:cs="Arial"/>
        </w:rPr>
        <w:t xml:space="preserve">It is our concern that, without meaningful oversight of implementation, the UK and Welsh </w:t>
      </w:r>
      <w:r w:rsidR="009A1E2A">
        <w:rPr>
          <w:rFonts w:cs="Arial"/>
        </w:rPr>
        <w:t>g</w:t>
      </w:r>
      <w:r w:rsidRPr="00AF7B34">
        <w:rPr>
          <w:rFonts w:cs="Arial"/>
        </w:rPr>
        <w:t xml:space="preserve">overnments will be unable to respond effectively to the recommendations of the Committee and of other human rights bodies. The protection </w:t>
      </w:r>
      <w:r w:rsidR="00812B6B" w:rsidRPr="00AF7B34">
        <w:rPr>
          <w:rFonts w:cs="Arial"/>
        </w:rPr>
        <w:t xml:space="preserve">and realisation </w:t>
      </w:r>
      <w:r w:rsidRPr="00AF7B34">
        <w:rPr>
          <w:rFonts w:cs="Arial"/>
        </w:rPr>
        <w:t>of human rights in Great Britain</w:t>
      </w:r>
      <w:r w:rsidR="009553DB">
        <w:rPr>
          <w:rFonts w:cs="Arial"/>
        </w:rPr>
        <w:t>, including women’s rights,</w:t>
      </w:r>
      <w:r w:rsidRPr="00AF7B34">
        <w:rPr>
          <w:rFonts w:cs="Arial"/>
        </w:rPr>
        <w:t xml:space="preserve"> will continue to be undermined by this failure.</w:t>
      </w:r>
      <w:r w:rsidR="009553DB">
        <w:rPr>
          <w:rFonts w:cs="Arial"/>
        </w:rPr>
        <w:t xml:space="preserve"> The need for effective and coordinated action is particularly pressing, given the unequal impact</w:t>
      </w:r>
      <w:r w:rsidR="00D5482A">
        <w:rPr>
          <w:rFonts w:cs="Arial"/>
        </w:rPr>
        <w:t>s</w:t>
      </w:r>
      <w:r w:rsidR="009553DB">
        <w:rPr>
          <w:rFonts w:cs="Arial"/>
        </w:rPr>
        <w:t xml:space="preserve"> of the coronavirus pandemic on women and the long</w:t>
      </w:r>
      <w:r w:rsidR="00D5482A">
        <w:rPr>
          <w:rFonts w:cs="Arial"/>
        </w:rPr>
        <w:t>er</w:t>
      </w:r>
      <w:r w:rsidR="009553DB">
        <w:rPr>
          <w:rFonts w:cs="Arial"/>
        </w:rPr>
        <w:t>-term implications for gender equality</w:t>
      </w:r>
      <w:r w:rsidR="00D5482A">
        <w:rPr>
          <w:rFonts w:cs="Arial"/>
        </w:rPr>
        <w:t xml:space="preserve"> in Great Britain</w:t>
      </w:r>
      <w:r w:rsidR="009553DB">
        <w:rPr>
          <w:rFonts w:cs="Arial"/>
        </w:rPr>
        <w:t>.</w:t>
      </w:r>
      <w:r w:rsidR="00D5482A">
        <w:rPr>
          <w:rStyle w:val="FootnoteReference"/>
          <w:rFonts w:cs="Arial"/>
        </w:rPr>
        <w:footnoteReference w:id="43"/>
      </w:r>
    </w:p>
    <w:p w14:paraId="79FBFB6F" w14:textId="77777777" w:rsidR="00B17A88" w:rsidRPr="00AF7B34" w:rsidRDefault="00B17A88" w:rsidP="00B17A88">
      <w:pPr>
        <w:pStyle w:val="Parabeforebulletsnumberedlist"/>
        <w:spacing w:before="240" w:line="276" w:lineRule="auto"/>
        <w:rPr>
          <w:b/>
          <w:bCs/>
        </w:rPr>
      </w:pPr>
      <w:r w:rsidRPr="00AF7B34">
        <w:rPr>
          <w:b/>
          <w:bCs/>
        </w:rPr>
        <w:t>Recommendations</w:t>
      </w:r>
    </w:p>
    <w:p w14:paraId="65823281" w14:textId="34067E91" w:rsidR="00826061" w:rsidRPr="00AF7B34" w:rsidRDefault="00826061" w:rsidP="00082446">
      <w:pPr>
        <w:pStyle w:val="Parabeforebulletsnumberedlist"/>
        <w:spacing w:before="240" w:after="0" w:line="276" w:lineRule="auto"/>
        <w:rPr>
          <w:bCs/>
        </w:rPr>
      </w:pPr>
      <w:r w:rsidRPr="00AF7B34">
        <w:rPr>
          <w:bCs/>
        </w:rPr>
        <w:t xml:space="preserve">To strengthen </w:t>
      </w:r>
      <w:r w:rsidR="00B17A88" w:rsidRPr="00AF7B34">
        <w:rPr>
          <w:bCs/>
        </w:rPr>
        <w:t>their</w:t>
      </w:r>
      <w:r w:rsidRPr="00AF7B34">
        <w:rPr>
          <w:bCs/>
        </w:rPr>
        <w:t xml:space="preserve"> commitment to the international human rights framework, and ensure a joined</w:t>
      </w:r>
      <w:r w:rsidR="00A9122C" w:rsidRPr="00AF7B34">
        <w:rPr>
          <w:bCs/>
        </w:rPr>
        <w:t>-</w:t>
      </w:r>
      <w:r w:rsidRPr="00AF7B34">
        <w:rPr>
          <w:bCs/>
        </w:rPr>
        <w:t xml:space="preserve">up approach to implementation of the UK’s obligations at </w:t>
      </w:r>
      <w:r w:rsidR="00A9122C" w:rsidRPr="00AF7B34">
        <w:rPr>
          <w:bCs/>
        </w:rPr>
        <w:t xml:space="preserve">a </w:t>
      </w:r>
      <w:r w:rsidRPr="00AF7B34">
        <w:rPr>
          <w:bCs/>
        </w:rPr>
        <w:t>domestic level, we recommend that</w:t>
      </w:r>
      <w:r w:rsidR="00B17A88" w:rsidRPr="00AF7B34">
        <w:rPr>
          <w:bCs/>
        </w:rPr>
        <w:t xml:space="preserve"> the UK and Welsh </w:t>
      </w:r>
      <w:r w:rsidR="009A1E2A">
        <w:rPr>
          <w:bCs/>
        </w:rPr>
        <w:t>g</w:t>
      </w:r>
      <w:r w:rsidR="00B17A88" w:rsidRPr="00AF7B34">
        <w:rPr>
          <w:bCs/>
        </w:rPr>
        <w:t>overnments, where relevant, should</w:t>
      </w:r>
      <w:r w:rsidRPr="00AF7B34">
        <w:rPr>
          <w:bCs/>
        </w:rPr>
        <w:t>:</w:t>
      </w:r>
    </w:p>
    <w:p w14:paraId="7D684A38" w14:textId="3FFDBDA8" w:rsidR="00D26F7F" w:rsidRPr="00AF7B34" w:rsidRDefault="009A1E2A" w:rsidP="00082446">
      <w:pPr>
        <w:keepLines w:val="0"/>
        <w:numPr>
          <w:ilvl w:val="0"/>
          <w:numId w:val="19"/>
        </w:numPr>
        <w:rPr>
          <w:rFonts w:ascii="Arial" w:eastAsia="Calibri" w:hAnsi="Arial" w:cs="Times New Roman"/>
          <w:bCs/>
          <w:szCs w:val="24"/>
        </w:rPr>
      </w:pPr>
      <w:r>
        <w:rPr>
          <w:rFonts w:ascii="Arial" w:eastAsia="Calibri" w:hAnsi="Arial" w:cs="Times New Roman"/>
          <w:bCs/>
          <w:szCs w:val="24"/>
        </w:rPr>
        <w:t>w</w:t>
      </w:r>
      <w:r w:rsidR="00D26F7F" w:rsidRPr="00AF7B34">
        <w:rPr>
          <w:rFonts w:ascii="Arial" w:eastAsia="Calibri" w:hAnsi="Arial" w:cs="Times New Roman"/>
          <w:bCs/>
          <w:szCs w:val="24"/>
        </w:rPr>
        <w:t>ork with civil society organisations and national human rights institutions to develop and publish a comprehensive strategy for implementing CEDAW in the UK</w:t>
      </w:r>
    </w:p>
    <w:p w14:paraId="5EBF230E" w14:textId="34E3B5D2" w:rsidR="007F6EBB" w:rsidRPr="00AF7B34" w:rsidRDefault="009A1E2A" w:rsidP="00082446">
      <w:pPr>
        <w:keepLines w:val="0"/>
        <w:numPr>
          <w:ilvl w:val="0"/>
          <w:numId w:val="19"/>
        </w:numPr>
        <w:rPr>
          <w:bCs/>
        </w:rPr>
      </w:pPr>
      <w:r>
        <w:rPr>
          <w:rFonts w:ascii="Arial" w:eastAsia="Calibri" w:hAnsi="Arial" w:cs="Times New Roman"/>
          <w:bCs/>
          <w:szCs w:val="24"/>
        </w:rPr>
        <w:t>i</w:t>
      </w:r>
      <w:r w:rsidR="00D26F7F" w:rsidRPr="00AF7B34">
        <w:rPr>
          <w:rFonts w:ascii="Arial" w:eastAsia="Calibri" w:hAnsi="Arial" w:cs="Times New Roman"/>
          <w:bCs/>
          <w:szCs w:val="24"/>
        </w:rPr>
        <w:t>mplement a comprehensive</w:t>
      </w:r>
      <w:r w:rsidR="00D5482A">
        <w:rPr>
          <w:rFonts w:ascii="Arial" w:eastAsia="Calibri" w:hAnsi="Arial" w:cs="Times New Roman"/>
          <w:bCs/>
          <w:szCs w:val="24"/>
        </w:rPr>
        <w:t xml:space="preserve"> cross-government</w:t>
      </w:r>
      <w:r w:rsidR="00D26F7F" w:rsidRPr="00AF7B34">
        <w:rPr>
          <w:rFonts w:ascii="Arial" w:eastAsia="Calibri" w:hAnsi="Arial" w:cs="Times New Roman"/>
          <w:bCs/>
          <w:szCs w:val="24"/>
        </w:rPr>
        <w:t xml:space="preserve"> national mechanism for monitoring and reporting on progress to ensure effective</w:t>
      </w:r>
      <w:r w:rsidR="00D5482A">
        <w:rPr>
          <w:rFonts w:ascii="Arial" w:eastAsia="Calibri" w:hAnsi="Arial" w:cs="Times New Roman"/>
          <w:bCs/>
          <w:szCs w:val="24"/>
        </w:rPr>
        <w:t xml:space="preserve"> and coordinated</w:t>
      </w:r>
      <w:r w:rsidR="00D26F7F" w:rsidRPr="00AF7B34">
        <w:rPr>
          <w:rFonts w:ascii="Arial" w:eastAsia="Calibri" w:hAnsi="Arial" w:cs="Times New Roman"/>
          <w:bCs/>
          <w:szCs w:val="24"/>
        </w:rPr>
        <w:t xml:space="preserve"> implementation of treaty body and </w:t>
      </w:r>
      <w:bookmarkStart w:id="17" w:name="_Hlk76209212"/>
      <w:r w:rsidR="00D26F7F" w:rsidRPr="00AF7B34">
        <w:rPr>
          <w:rFonts w:ascii="Arial" w:eastAsia="Calibri" w:hAnsi="Arial" w:cs="Times New Roman"/>
          <w:bCs/>
          <w:szCs w:val="24"/>
        </w:rPr>
        <w:t xml:space="preserve">Universal Periodic Review </w:t>
      </w:r>
      <w:bookmarkEnd w:id="17"/>
      <w:r w:rsidR="00D26F7F" w:rsidRPr="00AF7B34">
        <w:rPr>
          <w:rFonts w:ascii="Arial" w:eastAsia="Calibri" w:hAnsi="Arial" w:cs="Times New Roman"/>
          <w:bCs/>
          <w:szCs w:val="24"/>
        </w:rPr>
        <w:t>recommendations, including recommendations from the Committee.</w:t>
      </w:r>
    </w:p>
    <w:p w14:paraId="11903681" w14:textId="2C60C9B2" w:rsidR="007F6EBB" w:rsidRPr="00AF7B34" w:rsidRDefault="007F6EBB" w:rsidP="00910E79">
      <w:pPr>
        <w:pStyle w:val="Heading1"/>
      </w:pPr>
      <w:bookmarkStart w:id="18" w:name="_Toc77758380"/>
      <w:r w:rsidRPr="00AF7B34">
        <w:lastRenderedPageBreak/>
        <w:t>Contacts</w:t>
      </w:r>
      <w:bookmarkEnd w:id="18"/>
    </w:p>
    <w:p w14:paraId="64879B06" w14:textId="77777777" w:rsidR="007F6EBB" w:rsidRPr="00AF7B34" w:rsidRDefault="007F6EBB" w:rsidP="007F6EBB">
      <w:r w:rsidRPr="00AF7B34">
        <w:t xml:space="preserve">This publication and related equality and human rights resources are available from </w:t>
      </w:r>
      <w:hyperlink r:id="rId16" w:history="1">
        <w:r w:rsidRPr="00AF7B34">
          <w:rPr>
            <w:rStyle w:val="Hyperlink"/>
          </w:rPr>
          <w:t>our website</w:t>
        </w:r>
      </w:hyperlink>
      <w:r w:rsidRPr="00AF7B34">
        <w:t>.</w:t>
      </w:r>
    </w:p>
    <w:p w14:paraId="41531CCE" w14:textId="77777777" w:rsidR="007F6EBB" w:rsidRPr="00AF7B34" w:rsidRDefault="007F6EBB" w:rsidP="007F6EBB">
      <w:r w:rsidRPr="00AF7B34">
        <w:t xml:space="preserve">Questions and comments regarding this publication may be addressed to </w:t>
      </w:r>
      <w:hyperlink r:id="rId17" w:history="1">
        <w:r w:rsidRPr="00AF7B34">
          <w:rPr>
            <w:rStyle w:val="Hyperlink"/>
          </w:rPr>
          <w:t>correspondence@equalityhumanrights.com</w:t>
        </w:r>
      </w:hyperlink>
      <w:r w:rsidRPr="00AF7B34">
        <w:t>. We welcome your feedback.</w:t>
      </w:r>
    </w:p>
    <w:p w14:paraId="2C84ECB2" w14:textId="77777777" w:rsidR="007F6EBB" w:rsidRPr="00AF7B34" w:rsidRDefault="007F6EBB" w:rsidP="007F6EBB">
      <w:r w:rsidRPr="00AF7B34">
        <w:t xml:space="preserve">For information on accessing one of our publications in an alternative format, please contact: </w:t>
      </w:r>
      <w:hyperlink r:id="rId18" w:history="1">
        <w:r w:rsidRPr="00AF7B34">
          <w:rPr>
            <w:rStyle w:val="Hyperlink"/>
          </w:rPr>
          <w:t>correspondence@equalityhumanrights.com</w:t>
        </w:r>
      </w:hyperlink>
      <w:r w:rsidRPr="00AF7B34">
        <w:t>.</w:t>
      </w:r>
    </w:p>
    <w:p w14:paraId="7C811401" w14:textId="045D7723" w:rsidR="007F6EBB" w:rsidRPr="00AF7B34" w:rsidRDefault="007F6EBB" w:rsidP="007F6EBB">
      <w:r w:rsidRPr="00AF7B34">
        <w:t xml:space="preserve">Keep up to date with our latest news, events and publications by </w:t>
      </w:r>
      <w:hyperlink r:id="rId19" w:history="1">
        <w:r w:rsidRPr="00AF7B34">
          <w:rPr>
            <w:rStyle w:val="Hyperlink"/>
          </w:rPr>
          <w:t>signing up to our e-newsletter</w:t>
        </w:r>
      </w:hyperlink>
      <w:r w:rsidRPr="00AF7B34">
        <w:t>.</w:t>
      </w:r>
    </w:p>
    <w:p w14:paraId="7EE960AD" w14:textId="77777777" w:rsidR="007F6EBB" w:rsidRPr="00AF7B34" w:rsidRDefault="007F6EBB" w:rsidP="00910E79">
      <w:pPr>
        <w:pStyle w:val="Heading2"/>
      </w:pPr>
      <w:bookmarkStart w:id="19" w:name="_Toc40182812"/>
      <w:bookmarkStart w:id="20" w:name="_Toc77758381"/>
      <w:r w:rsidRPr="00AF7B34">
        <w:t>EASS</w:t>
      </w:r>
      <w:bookmarkEnd w:id="19"/>
      <w:bookmarkEnd w:id="20"/>
    </w:p>
    <w:p w14:paraId="5A2EB66C" w14:textId="77777777" w:rsidR="007F6EBB" w:rsidRPr="00AF7B34" w:rsidRDefault="007F6EBB" w:rsidP="007F6EBB">
      <w:r w:rsidRPr="00AF7B34">
        <w:t xml:space="preserve">For advice, information or guidance on equality, discrimination or human rights issues, please contact the </w:t>
      </w:r>
      <w:hyperlink r:id="rId20" w:history="1">
        <w:r w:rsidRPr="00AF7B34">
          <w:rPr>
            <w:rStyle w:val="Hyperlink"/>
          </w:rPr>
          <w:t>Equality Advisory and Support Service</w:t>
        </w:r>
      </w:hyperlink>
      <w:r w:rsidRPr="00AF7B34">
        <w:t>, a free and independent service.</w:t>
      </w:r>
    </w:p>
    <w:p w14:paraId="4D192486" w14:textId="77777777" w:rsidR="007F6EBB" w:rsidRPr="00AF7B34" w:rsidRDefault="007F6EBB" w:rsidP="007F6EBB">
      <w:r w:rsidRPr="00AF7B34">
        <w:t>Telephone</w:t>
      </w:r>
      <w:r w:rsidRPr="00AF7B34">
        <w:tab/>
        <w:t>0808 800 0082</w:t>
      </w:r>
    </w:p>
    <w:p w14:paraId="589B19F8" w14:textId="77777777" w:rsidR="007F6EBB" w:rsidRPr="00AF7B34" w:rsidRDefault="007F6EBB" w:rsidP="007F6EBB">
      <w:r w:rsidRPr="00AF7B34">
        <w:t>Textphone</w:t>
      </w:r>
      <w:r w:rsidRPr="00AF7B34">
        <w:tab/>
        <w:t>0808 800 0084</w:t>
      </w:r>
    </w:p>
    <w:p w14:paraId="51403182" w14:textId="77777777" w:rsidR="007F6EBB" w:rsidRPr="00AF7B34" w:rsidRDefault="007F6EBB" w:rsidP="007F6EBB">
      <w:r w:rsidRPr="00AF7B34">
        <w:t>Hours</w:t>
      </w:r>
      <w:r w:rsidRPr="00AF7B34">
        <w:tab/>
      </w:r>
      <w:r w:rsidRPr="00AF7B34">
        <w:tab/>
        <w:t>09:00 to 19:00 (Monday to Friday)</w:t>
      </w:r>
    </w:p>
    <w:p w14:paraId="26B83014" w14:textId="77777777" w:rsidR="007F6EBB" w:rsidRPr="00AF7B34" w:rsidRDefault="007F6EBB" w:rsidP="007F6EBB">
      <w:r w:rsidRPr="00AF7B34">
        <w:tab/>
      </w:r>
      <w:r w:rsidRPr="00AF7B34">
        <w:tab/>
        <w:t>10:00 to 14:00 (Saturday)</w:t>
      </w:r>
    </w:p>
    <w:p w14:paraId="03193FAB" w14:textId="77777777" w:rsidR="007F6EBB" w:rsidRPr="00AF7B34" w:rsidRDefault="007F6EBB" w:rsidP="007F6EBB">
      <w:r w:rsidRPr="00AF7B34">
        <w:t>Post</w:t>
      </w:r>
      <w:r w:rsidRPr="00AF7B34">
        <w:tab/>
      </w:r>
      <w:r w:rsidRPr="00AF7B34">
        <w:tab/>
        <w:t>FREEPOST EASS HELPLINE FPN6521</w:t>
      </w:r>
    </w:p>
    <w:p w14:paraId="7AAC32C6" w14:textId="0075BC43" w:rsidR="007F6EBB" w:rsidRPr="00AF7B34" w:rsidRDefault="007F6EBB" w:rsidP="007F6EBB">
      <w:r w:rsidRPr="00AF7B34">
        <w:t xml:space="preserve">Published: </w:t>
      </w:r>
    </w:p>
    <w:p w14:paraId="16BD2FE3" w14:textId="484E247A" w:rsidR="00501C42" w:rsidRPr="00F51A38" w:rsidRDefault="007F6EBB" w:rsidP="000631C0">
      <w:r w:rsidRPr="00AF7B34">
        <w:t>ISBN:</w:t>
      </w:r>
      <w:r>
        <w:rPr>
          <w:bCs/>
        </w:rPr>
        <w:t xml:space="preserve"> </w:t>
      </w:r>
    </w:p>
    <w:sectPr w:rsidR="00501C42" w:rsidRPr="00F51A38" w:rsidSect="00FA4D05">
      <w:footerReference w:type="default" r:id="rId21"/>
      <w:pgSz w:w="11906" w:h="16838"/>
      <w:pgMar w:top="1814" w:right="1644" w:bottom="567" w:left="1644" w:header="340" w:footer="454"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8C060" w14:textId="77777777" w:rsidR="003A3BD7" w:rsidRDefault="003A3BD7" w:rsidP="005E4512">
      <w:r>
        <w:separator/>
      </w:r>
    </w:p>
    <w:p w14:paraId="3898D7DA" w14:textId="77777777" w:rsidR="003A3BD7" w:rsidRDefault="003A3BD7"/>
  </w:endnote>
  <w:endnote w:type="continuationSeparator" w:id="0">
    <w:p w14:paraId="68BB9159" w14:textId="77777777" w:rsidR="003A3BD7" w:rsidRDefault="003A3BD7" w:rsidP="005E4512">
      <w:r>
        <w:continuationSeparator/>
      </w:r>
    </w:p>
    <w:p w14:paraId="7EC3FF69" w14:textId="77777777" w:rsidR="003A3BD7" w:rsidRDefault="003A3B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8101A" w14:textId="77777777" w:rsidR="00B17A88" w:rsidRDefault="00B17A88">
    <w:pPr>
      <w:pStyle w:val="Footer"/>
    </w:pPr>
  </w:p>
  <w:p w14:paraId="695EA550" w14:textId="77777777" w:rsidR="00B17A88" w:rsidRDefault="00B17A88"/>
  <w:p w14:paraId="6EF8CF3E" w14:textId="77777777" w:rsidR="00B17A88" w:rsidRDefault="00B17A8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C9589" w14:textId="70DA1E0E" w:rsidR="00B17A88" w:rsidRPr="00FB7D65" w:rsidRDefault="00B17A88" w:rsidP="00FB7D65">
    <w:pPr>
      <w:pStyle w:val="Footer"/>
      <w:pBdr>
        <w:top w:val="single" w:sz="12" w:space="4" w:color="0B4E60" w:themeColor="text2"/>
      </w:pBdr>
      <w:ind w:left="-851" w:right="-738"/>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14550" w14:textId="77777777" w:rsidR="00B17A88" w:rsidRPr="00CF43D8" w:rsidRDefault="00201ECC" w:rsidP="00A329F4">
    <w:pPr>
      <w:pStyle w:val="Footer"/>
      <w:ind w:right="-880"/>
      <w:jc w:val="right"/>
      <w:rPr>
        <w:b/>
        <w:color w:val="009C98" w:themeColor="accent1"/>
      </w:rPr>
    </w:pPr>
    <w:hyperlink r:id="rId1" w:history="1">
      <w:r w:rsidR="00B17A88" w:rsidRPr="00CF43D8">
        <w:rPr>
          <w:rStyle w:val="Hyperlink"/>
          <w:b/>
          <w:color w:val="009C98" w:themeColor="accent1"/>
          <w:u w:val="none"/>
        </w:rPr>
        <w:t>equalityhumanrights.com</w:t>
      </w:r>
    </w:hyperlink>
  </w:p>
  <w:p w14:paraId="26FCEB20" w14:textId="77777777" w:rsidR="00B17A88" w:rsidRDefault="00B17A88" w:rsidP="00B54A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218A4" w14:textId="77777777" w:rsidR="00B17A88" w:rsidRPr="00703739" w:rsidRDefault="00B17A88" w:rsidP="00B9252F">
    <w:pPr>
      <w:pStyle w:val="Footer"/>
      <w:pBdr>
        <w:top w:val="single" w:sz="12" w:space="4" w:color="0B4E60" w:themeColor="text2"/>
      </w:pBdr>
      <w:ind w:right="-738"/>
      <w:rPr>
        <w:sz w:val="2"/>
      </w:rPr>
    </w:pPr>
  </w:p>
  <w:sdt>
    <w:sdtPr>
      <w:id w:val="-882255241"/>
      <w:docPartObj>
        <w:docPartGallery w:val="Page Numbers (Bottom of Page)"/>
        <w:docPartUnique/>
      </w:docPartObj>
    </w:sdtPr>
    <w:sdtEndPr>
      <w:rPr>
        <w:noProof/>
      </w:rPr>
    </w:sdtEndPr>
    <w:sdtContent>
      <w:p w14:paraId="5699D9E8" w14:textId="57AAED12" w:rsidR="00B17A88" w:rsidRPr="00FB7D65" w:rsidRDefault="00B17A88" w:rsidP="00703739">
        <w:pPr>
          <w:jc w:val="center"/>
        </w:pPr>
        <w:r>
          <w:fldChar w:fldCharType="begin"/>
        </w:r>
        <w:r>
          <w:instrText xml:space="preserve"> PAGE   \* MERGEFORMAT </w:instrText>
        </w:r>
        <w:r>
          <w:fldChar w:fldCharType="separate"/>
        </w:r>
        <w:r w:rsidR="00201ECC">
          <w:rPr>
            <w:noProof/>
          </w:rPr>
          <w:t>15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F3A10F" w14:textId="77777777" w:rsidR="003A3BD7" w:rsidRPr="00A91B02" w:rsidRDefault="003A3BD7" w:rsidP="00A91B02">
      <w:pPr>
        <w:pStyle w:val="Footer"/>
        <w:pBdr>
          <w:between w:val="single" w:sz="18" w:space="1" w:color="009C98" w:themeColor="accent1"/>
        </w:pBdr>
      </w:pPr>
      <w:r>
        <w:separator/>
      </w:r>
    </w:p>
    <w:p w14:paraId="1376A9EC" w14:textId="77777777" w:rsidR="003A3BD7" w:rsidRDefault="003A3BD7"/>
  </w:footnote>
  <w:footnote w:type="continuationSeparator" w:id="0">
    <w:p w14:paraId="1A2E6E34" w14:textId="77777777" w:rsidR="003A3BD7" w:rsidRDefault="003A3BD7" w:rsidP="005E4512">
      <w:r>
        <w:continuationSeparator/>
      </w:r>
    </w:p>
    <w:p w14:paraId="02467A11" w14:textId="77777777" w:rsidR="003A3BD7" w:rsidRDefault="003A3BD7"/>
  </w:footnote>
  <w:footnote w:id="1">
    <w:p w14:paraId="149C5212" w14:textId="45F3D073" w:rsidR="00B17A88" w:rsidRDefault="00B17A88" w:rsidP="007B0866">
      <w:pPr>
        <w:pStyle w:val="FootnoteText"/>
      </w:pPr>
      <w:r>
        <w:rPr>
          <w:rStyle w:val="FootnoteReference"/>
        </w:rPr>
        <w:footnoteRef/>
      </w:r>
      <w:r>
        <w:t xml:space="preserve"> </w:t>
      </w:r>
      <w:r w:rsidRPr="00DD283A">
        <w:rPr>
          <w:u w:color="009C98" w:themeColor="accent1"/>
        </w:rPr>
        <w:t xml:space="preserve">Committee </w:t>
      </w:r>
      <w:r>
        <w:rPr>
          <w:u w:color="009C98" w:themeColor="accent1"/>
        </w:rPr>
        <w:t>on the Elimination of Discrimination against Women</w:t>
      </w:r>
      <w:r w:rsidRPr="00DD283A">
        <w:rPr>
          <w:u w:color="009C98" w:themeColor="accent1"/>
        </w:rPr>
        <w:t xml:space="preserve"> (2019), </w:t>
      </w:r>
      <w:hyperlink r:id="rId1" w:history="1">
        <w:r w:rsidRPr="00DD283A">
          <w:rPr>
            <w:rStyle w:val="Hyperlink"/>
          </w:rPr>
          <w:t xml:space="preserve">Concluding observations </w:t>
        </w:r>
        <w:bookmarkStart w:id="3" w:name="_Hlk76296152"/>
        <w:r w:rsidRPr="00DD283A">
          <w:rPr>
            <w:rStyle w:val="Hyperlink"/>
          </w:rPr>
          <w:t>on the eighth periodic report of the United Kingdom of Great Britain and Northern Ireland, CEDAW/C/GBR/CO/8</w:t>
        </w:r>
        <w:bookmarkEnd w:id="3"/>
      </w:hyperlink>
      <w:r w:rsidR="00AC57F3">
        <w:rPr>
          <w:u w:color="009C98" w:themeColor="accent1"/>
        </w:rPr>
        <w:t xml:space="preserve"> </w:t>
      </w:r>
      <w:bookmarkStart w:id="4" w:name="_Hlk76293933"/>
      <w:bookmarkStart w:id="5" w:name="_Hlk76293789"/>
      <w:r w:rsidR="00AC57F3">
        <w:rPr>
          <w:u w:color="009C98" w:themeColor="accent1"/>
        </w:rPr>
        <w:t>[accessed: 2 July 20</w:t>
      </w:r>
      <w:r w:rsidR="00751800">
        <w:rPr>
          <w:u w:color="009C98" w:themeColor="accent1"/>
        </w:rPr>
        <w:t>2</w:t>
      </w:r>
      <w:r w:rsidR="00AC57F3">
        <w:rPr>
          <w:u w:color="009C98" w:themeColor="accent1"/>
        </w:rPr>
        <w:t>1].</w:t>
      </w:r>
      <w:bookmarkEnd w:id="4"/>
    </w:p>
    <w:bookmarkEnd w:id="5"/>
  </w:footnote>
  <w:footnote w:id="2">
    <w:p w14:paraId="277CA5B1" w14:textId="3590AFE2" w:rsidR="00B17A88" w:rsidRDefault="00B17A88" w:rsidP="004626EE">
      <w:pPr>
        <w:pStyle w:val="FootnoteText"/>
      </w:pPr>
      <w:r>
        <w:rPr>
          <w:rStyle w:val="FootnoteReference"/>
        </w:rPr>
        <w:footnoteRef/>
      </w:r>
      <w:r>
        <w:t xml:space="preserve"> </w:t>
      </w:r>
      <w:r w:rsidRPr="00DD283A">
        <w:rPr>
          <w:u w:color="009C98" w:themeColor="accent1"/>
        </w:rPr>
        <w:t xml:space="preserve">Committee </w:t>
      </w:r>
      <w:r>
        <w:rPr>
          <w:u w:color="009C98" w:themeColor="accent1"/>
        </w:rPr>
        <w:t>on the Elimination of Discrimination against Women</w:t>
      </w:r>
      <w:r w:rsidRPr="00DD283A">
        <w:rPr>
          <w:u w:color="009C98" w:themeColor="accent1"/>
        </w:rPr>
        <w:t xml:space="preserve"> (2019), </w:t>
      </w:r>
      <w:hyperlink r:id="rId2" w:history="1">
        <w:r w:rsidRPr="0049205A">
          <w:rPr>
            <w:rStyle w:val="Hyperlink"/>
          </w:rPr>
          <w:t>Concluding observations</w:t>
        </w:r>
      </w:hyperlink>
      <w:r w:rsidR="00C255F6">
        <w:rPr>
          <w:rStyle w:val="Hyperlink"/>
        </w:rPr>
        <w:t xml:space="preserve"> </w:t>
      </w:r>
      <w:r w:rsidR="00C255F6" w:rsidRPr="00C255F6">
        <w:rPr>
          <w:rStyle w:val="Hyperlink"/>
        </w:rPr>
        <w:t>on the eighth periodic report of the United Kingdom of Great Britain and Northern Ireland, CEDAW/C/GBR/CO/8</w:t>
      </w:r>
      <w:r w:rsidRPr="0049205A">
        <w:rPr>
          <w:u w:color="009C98" w:themeColor="accent1"/>
        </w:rPr>
        <w:t>, para</w:t>
      </w:r>
      <w:r w:rsidR="00AC57F3">
        <w:rPr>
          <w:u w:color="009C98" w:themeColor="accent1"/>
        </w:rPr>
        <w:t>.</w:t>
      </w:r>
      <w:r>
        <w:rPr>
          <w:u w:color="009C98" w:themeColor="accent1"/>
        </w:rPr>
        <w:t xml:space="preserve"> 64</w:t>
      </w:r>
      <w:r w:rsidR="00751800">
        <w:rPr>
          <w:u w:color="009C98" w:themeColor="accent1"/>
        </w:rPr>
        <w:t xml:space="preserve"> </w:t>
      </w:r>
      <w:r w:rsidR="00751800" w:rsidRPr="00751800">
        <w:rPr>
          <w:u w:color="009C98" w:themeColor="accent1"/>
        </w:rPr>
        <w:t>[accessed: 2 July 20</w:t>
      </w:r>
      <w:r w:rsidR="00751800">
        <w:rPr>
          <w:u w:color="009C98" w:themeColor="accent1"/>
        </w:rPr>
        <w:t>21</w:t>
      </w:r>
      <w:r w:rsidR="00751800" w:rsidRPr="00751800">
        <w:rPr>
          <w:u w:color="009C98" w:themeColor="accent1"/>
        </w:rPr>
        <w:t>].</w:t>
      </w:r>
    </w:p>
  </w:footnote>
  <w:footnote w:id="3">
    <w:p w14:paraId="4C1F5C80" w14:textId="0AB83E5B" w:rsidR="00B17A88" w:rsidRDefault="00B17A88">
      <w:pPr>
        <w:pStyle w:val="FootnoteText"/>
      </w:pPr>
      <w:r>
        <w:rPr>
          <w:rStyle w:val="FootnoteReference"/>
        </w:rPr>
        <w:footnoteRef/>
      </w:r>
      <w:r>
        <w:t xml:space="preserve"> </w:t>
      </w:r>
      <w:r w:rsidRPr="00C5706A">
        <w:rPr>
          <w:rFonts w:ascii="Arial" w:hAnsi="Arial" w:cs="Arial"/>
        </w:rPr>
        <w:t xml:space="preserve">United Kingdom, British Overseas Territories and Crown Dependencies (2021), </w:t>
      </w:r>
      <w:hyperlink r:id="rId3" w:history="1">
        <w:r w:rsidRPr="00C5706A">
          <w:rPr>
            <w:rStyle w:val="Hyperlink"/>
            <w:rFonts w:ascii="Arial" w:hAnsi="Arial" w:cs="Arial"/>
          </w:rPr>
          <w:t>Universal Periodic Review – Mid Term Report</w:t>
        </w:r>
      </w:hyperlink>
      <w:r w:rsidR="00DA4247">
        <w:rPr>
          <w:rFonts w:ascii="Arial" w:hAnsi="Arial" w:cs="Arial"/>
        </w:rPr>
        <w:t>, p.</w:t>
      </w:r>
      <w:r w:rsidR="00AC57F3">
        <w:rPr>
          <w:rFonts w:ascii="Arial" w:hAnsi="Arial" w:cs="Arial"/>
        </w:rPr>
        <w:t xml:space="preserve"> </w:t>
      </w:r>
      <w:r w:rsidR="00DA4247">
        <w:rPr>
          <w:rFonts w:ascii="Arial" w:hAnsi="Arial" w:cs="Arial"/>
        </w:rPr>
        <w:t>42</w:t>
      </w:r>
      <w:r w:rsidR="00751800">
        <w:rPr>
          <w:rFonts w:ascii="Arial" w:hAnsi="Arial" w:cs="Arial"/>
        </w:rPr>
        <w:t xml:space="preserve"> </w:t>
      </w:r>
      <w:r w:rsidR="00751800" w:rsidRPr="00751800">
        <w:rPr>
          <w:rFonts w:ascii="Arial" w:hAnsi="Arial" w:cs="Arial"/>
        </w:rPr>
        <w:t>[accessed: 2 July 20</w:t>
      </w:r>
      <w:r w:rsidR="00751800">
        <w:rPr>
          <w:rFonts w:ascii="Arial" w:hAnsi="Arial" w:cs="Arial"/>
        </w:rPr>
        <w:t>21</w:t>
      </w:r>
      <w:r w:rsidR="00751800" w:rsidRPr="00751800">
        <w:rPr>
          <w:rFonts w:ascii="Arial" w:hAnsi="Arial" w:cs="Arial"/>
        </w:rPr>
        <w:t>].</w:t>
      </w:r>
    </w:p>
  </w:footnote>
  <w:footnote w:id="4">
    <w:p w14:paraId="6B0E61B7" w14:textId="3EB469E9" w:rsidR="00B17A88" w:rsidRPr="005D2540" w:rsidRDefault="00B17A88" w:rsidP="000411BE">
      <w:pPr>
        <w:pStyle w:val="FootnoteText"/>
        <w:rPr>
          <w:rFonts w:ascii="Arial" w:hAnsi="Arial" w:cs="Arial"/>
          <w:color w:val="auto"/>
          <w:u w:val="single" w:color="009C98" w:themeColor="accent1"/>
        </w:rPr>
      </w:pPr>
      <w:r w:rsidRPr="00C5706A">
        <w:rPr>
          <w:rStyle w:val="FootnoteReference"/>
          <w:rFonts w:ascii="Arial" w:hAnsi="Arial" w:cs="Arial"/>
        </w:rPr>
        <w:footnoteRef/>
      </w:r>
      <w:r w:rsidRPr="00C5706A">
        <w:rPr>
          <w:rFonts w:ascii="Arial" w:hAnsi="Arial" w:cs="Arial"/>
        </w:rPr>
        <w:t xml:space="preserve"> UK Parliament (2020), </w:t>
      </w:r>
      <w:hyperlink r:id="rId4" w:history="1">
        <w:r w:rsidRPr="00C5706A">
          <w:rPr>
            <w:rStyle w:val="Hyperlink"/>
            <w:rFonts w:ascii="Arial" w:hAnsi="Arial" w:cs="Arial"/>
          </w:rPr>
          <w:t>UN Convention on the Rights of the Child</w:t>
        </w:r>
        <w:r w:rsidR="007A1B67">
          <w:rPr>
            <w:rStyle w:val="Hyperlink"/>
            <w:rFonts w:ascii="Arial" w:hAnsi="Arial" w:cs="Arial"/>
          </w:rPr>
          <w:t>: Hansard</w:t>
        </w:r>
        <w:r>
          <w:rPr>
            <w:rStyle w:val="Hyperlink"/>
            <w:rFonts w:ascii="Arial" w:hAnsi="Arial" w:cs="Arial"/>
          </w:rPr>
          <w:t xml:space="preserve"> </w:t>
        </w:r>
        <w:r w:rsidRPr="00C5706A">
          <w:rPr>
            <w:rStyle w:val="Hyperlink"/>
            <w:rFonts w:ascii="Arial" w:hAnsi="Arial" w:cs="Arial"/>
          </w:rPr>
          <w:t>Volume 807: debated on Monday 16 November 2020</w:t>
        </w:r>
      </w:hyperlink>
      <w:r w:rsidR="00751800">
        <w:rPr>
          <w:rFonts w:ascii="Arial" w:hAnsi="Arial" w:cs="Arial"/>
        </w:rPr>
        <w:t xml:space="preserve"> </w:t>
      </w:r>
      <w:r w:rsidR="00751800" w:rsidRPr="00751800">
        <w:rPr>
          <w:rFonts w:ascii="Arial" w:hAnsi="Arial" w:cs="Arial"/>
        </w:rPr>
        <w:t>[accessed: 2 July 2021].</w:t>
      </w:r>
    </w:p>
  </w:footnote>
  <w:footnote w:id="5">
    <w:p w14:paraId="0CD1651C" w14:textId="77777777" w:rsidR="00510C58" w:rsidRDefault="00510C58" w:rsidP="00510C58">
      <w:pPr>
        <w:pStyle w:val="FootnoteText"/>
      </w:pPr>
      <w:r>
        <w:rPr>
          <w:rStyle w:val="FootnoteReference"/>
        </w:rPr>
        <w:footnoteRef/>
      </w:r>
      <w:r>
        <w:t xml:space="preserve"> </w:t>
      </w:r>
      <w:r w:rsidRPr="005D2540">
        <w:t>A number of CEDAW rights are given partial effect through t</w:t>
      </w:r>
      <w:r>
        <w:t>he Equality Act 2010 (EA 2010),</w:t>
      </w:r>
      <w:r w:rsidRPr="005D2540">
        <w:t xml:space="preserve"> the Human Rights Act (HRA) and other legislation, policies and programmes.</w:t>
      </w:r>
    </w:p>
  </w:footnote>
  <w:footnote w:id="6">
    <w:p w14:paraId="4E4DA075" w14:textId="2A4FEFB4" w:rsidR="00DA4247" w:rsidRPr="0028584D" w:rsidRDefault="00DA4247" w:rsidP="00DA4247">
      <w:pPr>
        <w:pStyle w:val="FootnoteText"/>
        <w:rPr>
          <w:rFonts w:ascii="Arial" w:hAnsi="Arial" w:cs="Arial"/>
        </w:rPr>
      </w:pPr>
      <w:r w:rsidRPr="00C5706A">
        <w:rPr>
          <w:rStyle w:val="FootnoteReference"/>
          <w:rFonts w:ascii="Arial" w:hAnsi="Arial" w:cs="Arial"/>
        </w:rPr>
        <w:footnoteRef/>
      </w:r>
      <w:r w:rsidRPr="00C5706A">
        <w:rPr>
          <w:rFonts w:ascii="Arial" w:hAnsi="Arial" w:cs="Arial"/>
        </w:rPr>
        <w:t xml:space="preserve"> Welsh Parliament (2019)</w:t>
      </w:r>
      <w:r w:rsidR="007A1B67">
        <w:rPr>
          <w:rFonts w:ascii="Arial" w:hAnsi="Arial" w:cs="Arial"/>
        </w:rPr>
        <w:t>,</w:t>
      </w:r>
      <w:r w:rsidRPr="00C5706A">
        <w:rPr>
          <w:rFonts w:ascii="Arial" w:hAnsi="Arial" w:cs="Arial"/>
        </w:rPr>
        <w:t xml:space="preserve"> </w:t>
      </w:r>
      <w:hyperlink r:id="rId5" w:anchor="A51598" w:history="1">
        <w:r w:rsidRPr="00C5706A">
          <w:rPr>
            <w:rStyle w:val="Hyperlink"/>
            <w:rFonts w:ascii="Arial" w:hAnsi="Arial" w:cs="Arial"/>
            <w:bCs/>
          </w:rPr>
          <w:t>Statement by the Deputy Minister and Chief Whip: An Update on Advancing Equality and Human Rights in Wales</w:t>
        </w:r>
      </w:hyperlink>
      <w:r w:rsidR="00E811DE">
        <w:rPr>
          <w:rStyle w:val="Hyperlink"/>
          <w:rFonts w:ascii="Arial" w:hAnsi="Arial" w:cs="Arial"/>
          <w:bCs/>
        </w:rPr>
        <w:t xml:space="preserve"> (11 June 2019)</w:t>
      </w:r>
      <w:r w:rsidR="001334C2">
        <w:rPr>
          <w:rStyle w:val="Hyperlink"/>
          <w:rFonts w:ascii="Arial" w:hAnsi="Arial" w:cs="Arial"/>
          <w:bCs/>
        </w:rPr>
        <w:t xml:space="preserve"> </w:t>
      </w:r>
      <w:r w:rsidR="001334C2" w:rsidRPr="00082446">
        <w:rPr>
          <w:rStyle w:val="Hyperlink"/>
          <w:rFonts w:ascii="Arial" w:hAnsi="Arial" w:cs="Arial"/>
          <w:bCs/>
          <w:color w:val="0B4E60" w:themeColor="text2"/>
          <w:u w:val="none"/>
        </w:rPr>
        <w:t>[accessed: 2 July 2021]</w:t>
      </w:r>
      <w:r w:rsidRPr="0028584D">
        <w:rPr>
          <w:rFonts w:ascii="Arial" w:hAnsi="Arial" w:cs="Arial"/>
          <w:bCs/>
        </w:rPr>
        <w:t xml:space="preserve">. </w:t>
      </w:r>
      <w:r>
        <w:t>See also</w:t>
      </w:r>
      <w:r w:rsidR="007A1B67">
        <w:t>:</w:t>
      </w:r>
      <w:r>
        <w:t xml:space="preserve"> Deputy Minister Jane Hutt AM’s speech during the </w:t>
      </w:r>
      <w:hyperlink r:id="rId6" w:anchor="A56462" w:history="1">
        <w:r w:rsidRPr="00D02F6A">
          <w:rPr>
            <w:rStyle w:val="Hyperlink"/>
          </w:rPr>
          <w:t>Welsh Assembly’s debate on the Equality and Human Rights Commission’s Annual Review 2018–19 (25 February 2020)</w:t>
        </w:r>
      </w:hyperlink>
      <w:r w:rsidR="00751800" w:rsidRPr="00082446">
        <w:rPr>
          <w:rStyle w:val="Hyperlink"/>
          <w:u w:val="none"/>
        </w:rPr>
        <w:t xml:space="preserve"> </w:t>
      </w:r>
      <w:r w:rsidR="00751800" w:rsidRPr="00082446">
        <w:rPr>
          <w:rStyle w:val="Hyperlink"/>
          <w:color w:val="0B4E60" w:themeColor="text2"/>
          <w:u w:val="none"/>
        </w:rPr>
        <w:t>[accessed: 2 July 2021].</w:t>
      </w:r>
    </w:p>
  </w:footnote>
  <w:footnote w:id="7">
    <w:p w14:paraId="3203090B" w14:textId="5D33634A" w:rsidR="00EB2E76" w:rsidRDefault="00EB2E76">
      <w:pPr>
        <w:pStyle w:val="FootnoteText"/>
      </w:pPr>
      <w:r>
        <w:rPr>
          <w:rStyle w:val="FootnoteReference"/>
        </w:rPr>
        <w:footnoteRef/>
      </w:r>
      <w:r>
        <w:t xml:space="preserve"> Welsh Labour (2021), </w:t>
      </w:r>
      <w:hyperlink r:id="rId7" w:history="1">
        <w:r w:rsidRPr="00EB2E76">
          <w:rPr>
            <w:rStyle w:val="Hyperlink"/>
            <w:rFonts w:ascii="Arial" w:hAnsi="Arial" w:cs="Arial"/>
          </w:rPr>
          <w:t>Manifesto – Chapter 7</w:t>
        </w:r>
        <w:r w:rsidR="00E811DE">
          <w:rPr>
            <w:rStyle w:val="Hyperlink"/>
            <w:rFonts w:ascii="Arial" w:hAnsi="Arial" w:cs="Arial"/>
          </w:rPr>
          <w:t>:</w:t>
        </w:r>
        <w:r w:rsidRPr="00EB2E76">
          <w:rPr>
            <w:rStyle w:val="Hyperlink"/>
            <w:rFonts w:ascii="Arial" w:hAnsi="Arial" w:cs="Arial"/>
          </w:rPr>
          <w:t xml:space="preserve"> Leading on Equalities</w:t>
        </w:r>
      </w:hyperlink>
      <w:r w:rsidR="00751800">
        <w:t xml:space="preserve"> </w:t>
      </w:r>
      <w:r w:rsidR="00751800" w:rsidRPr="00751800">
        <w:t>[accessed: 2 July 2021].</w:t>
      </w:r>
    </w:p>
  </w:footnote>
  <w:footnote w:id="8">
    <w:p w14:paraId="3F44C56D" w14:textId="00F24665" w:rsidR="00F15F53" w:rsidRDefault="00F15F53">
      <w:pPr>
        <w:pStyle w:val="FootnoteText"/>
      </w:pPr>
      <w:r>
        <w:rPr>
          <w:rStyle w:val="FootnoteReference"/>
        </w:rPr>
        <w:footnoteRef/>
      </w:r>
      <w:r>
        <w:t xml:space="preserve"> The Welsh Labour party won 30 out of 60 seats in the Welsh Parliament during the May 2021 elections.</w:t>
      </w:r>
    </w:p>
  </w:footnote>
  <w:footnote w:id="9">
    <w:p w14:paraId="7B5F242D" w14:textId="1774E434" w:rsidR="00511613" w:rsidRDefault="00511613">
      <w:pPr>
        <w:pStyle w:val="FootnoteText"/>
      </w:pPr>
      <w:r>
        <w:rPr>
          <w:rStyle w:val="FootnoteReference"/>
        </w:rPr>
        <w:footnoteRef/>
      </w:r>
      <w:r>
        <w:t xml:space="preserve"> Welsh Government (2021), </w:t>
      </w:r>
      <w:hyperlink r:id="rId8" w:history="1">
        <w:r w:rsidR="00116DDF" w:rsidRPr="00B373C5">
          <w:rPr>
            <w:rStyle w:val="Hyperlink"/>
            <w:rFonts w:ascii="Arial" w:hAnsi="Arial" w:cs="Arial"/>
          </w:rPr>
          <w:t>Programme for Government</w:t>
        </w:r>
      </w:hyperlink>
      <w:r w:rsidR="00E64366">
        <w:rPr>
          <w:rStyle w:val="Hyperlink"/>
          <w:rFonts w:ascii="Arial" w:hAnsi="Arial" w:cs="Arial"/>
        </w:rPr>
        <w:t xml:space="preserve"> 2021 to 2026</w:t>
      </w:r>
      <w:r w:rsidR="00116DDF">
        <w:t>, p.</w:t>
      </w:r>
      <w:r w:rsidR="00E811DE">
        <w:t xml:space="preserve"> </w:t>
      </w:r>
      <w:r w:rsidR="00116DDF">
        <w:t>15</w:t>
      </w:r>
      <w:r w:rsidR="004F5BFE">
        <w:t xml:space="preserve"> </w:t>
      </w:r>
      <w:r w:rsidR="004F5BFE" w:rsidRPr="004F5BFE">
        <w:t>[accessed: 2 July 2021].</w:t>
      </w:r>
    </w:p>
  </w:footnote>
  <w:footnote w:id="10">
    <w:p w14:paraId="59F51DBF" w14:textId="1CEA35F0" w:rsidR="00B17A88" w:rsidRPr="00E611F3" w:rsidRDefault="00B17A88" w:rsidP="00FD353D">
      <w:pPr>
        <w:pStyle w:val="FootnoteText"/>
        <w:rPr>
          <w:sz w:val="18"/>
          <w:szCs w:val="18"/>
        </w:rPr>
      </w:pPr>
      <w:r w:rsidRPr="00E53D11">
        <w:rPr>
          <w:rStyle w:val="FootnoteReference"/>
          <w:szCs w:val="24"/>
        </w:rPr>
        <w:footnoteRef/>
      </w:r>
      <w:r w:rsidRPr="00E53D11">
        <w:rPr>
          <w:szCs w:val="24"/>
        </w:rPr>
        <w:t xml:space="preserve"> </w:t>
      </w:r>
      <w:hyperlink r:id="rId9" w:history="1">
        <w:r w:rsidRPr="00082446">
          <w:rPr>
            <w:rStyle w:val="Hyperlink"/>
            <w:color w:val="0B4E60" w:themeColor="text2"/>
            <w:szCs w:val="24"/>
            <w:u w:val="none"/>
          </w:rPr>
          <w:t>First Minister’s Advisory Group on Human Rights Leadership (2018),</w:t>
        </w:r>
        <w:r w:rsidRPr="005B6127">
          <w:rPr>
            <w:rStyle w:val="Hyperlink"/>
            <w:szCs w:val="24"/>
          </w:rPr>
          <w:t xml:space="preserve"> </w:t>
        </w:r>
        <w:r w:rsidRPr="005B6127">
          <w:rPr>
            <w:rStyle w:val="Hyperlink"/>
            <w:rFonts w:ascii="Arial" w:hAnsi="Arial" w:cs="Arial"/>
          </w:rPr>
          <w:t>Recommendations for a New Human Rights Framework to Improve People’s Lives</w:t>
        </w:r>
        <w:r w:rsidR="00E811DE">
          <w:rPr>
            <w:rStyle w:val="Hyperlink"/>
            <w:rFonts w:ascii="Arial" w:hAnsi="Arial" w:cs="Arial"/>
          </w:rPr>
          <w:t>:</w:t>
        </w:r>
        <w:r w:rsidRPr="005B6127">
          <w:rPr>
            <w:rStyle w:val="Hyperlink"/>
            <w:rFonts w:ascii="Arial" w:hAnsi="Arial" w:cs="Arial"/>
          </w:rPr>
          <w:t xml:space="preserve"> Report to the First Minister</w:t>
        </w:r>
        <w:r w:rsidRPr="00082446">
          <w:rPr>
            <w:rStyle w:val="Hyperlink"/>
            <w:color w:val="0B4E60" w:themeColor="text2"/>
            <w:szCs w:val="24"/>
            <w:u w:val="none"/>
          </w:rPr>
          <w:t>, Recommendation 4</w:t>
        </w:r>
        <w:r w:rsidR="001334C2">
          <w:rPr>
            <w:rStyle w:val="Hyperlink"/>
            <w:color w:val="0B4E60" w:themeColor="text2"/>
            <w:szCs w:val="24"/>
            <w:u w:val="none"/>
          </w:rPr>
          <w:t xml:space="preserve"> [accessed: 2 July 2021]</w:t>
        </w:r>
        <w:r w:rsidRPr="00082446">
          <w:rPr>
            <w:rStyle w:val="Hyperlink"/>
            <w:color w:val="0B4E60" w:themeColor="text2"/>
            <w:szCs w:val="24"/>
            <w:u w:val="none"/>
          </w:rPr>
          <w:t>.</w:t>
        </w:r>
      </w:hyperlink>
      <w:r>
        <w:rPr>
          <w:rStyle w:val="Hyperlink"/>
          <w:szCs w:val="24"/>
        </w:rPr>
        <w:t xml:space="preserve"> </w:t>
      </w:r>
      <w:r w:rsidR="00CB6A9E" w:rsidRPr="00082446">
        <w:rPr>
          <w:rStyle w:val="Hyperlink"/>
          <w:color w:val="0B4E60" w:themeColor="text2"/>
          <w:szCs w:val="24"/>
          <w:u w:val="none"/>
        </w:rPr>
        <w:t>The F</w:t>
      </w:r>
      <w:r w:rsidRPr="00082446">
        <w:rPr>
          <w:rStyle w:val="Hyperlink"/>
          <w:color w:val="0B4E60" w:themeColor="text2"/>
          <w:szCs w:val="24"/>
          <w:u w:val="none"/>
        </w:rPr>
        <w:t>irst Minister’s National Advisory Council on Women and Girls also proposed in 2019 that Scotland should incorporate CEDAW</w:t>
      </w:r>
      <w:r w:rsidR="00D57D95" w:rsidRPr="00082446">
        <w:rPr>
          <w:rStyle w:val="Hyperlink"/>
          <w:color w:val="0B4E60" w:themeColor="text2"/>
          <w:szCs w:val="24"/>
          <w:u w:val="none"/>
        </w:rPr>
        <w:t>. See</w:t>
      </w:r>
      <w:r w:rsidRPr="00082446">
        <w:rPr>
          <w:rStyle w:val="Hyperlink"/>
          <w:color w:val="0B4E60" w:themeColor="text2"/>
          <w:szCs w:val="24"/>
          <w:u w:val="none"/>
        </w:rPr>
        <w:t xml:space="preserve">: </w:t>
      </w:r>
      <w:r w:rsidRPr="00C5706A">
        <w:rPr>
          <w:rFonts w:ascii="Arial" w:hAnsi="Arial" w:cs="Arial"/>
        </w:rPr>
        <w:t>Scottish Government (20</w:t>
      </w:r>
      <w:r w:rsidR="00CB6A9E">
        <w:rPr>
          <w:rFonts w:ascii="Arial" w:hAnsi="Arial" w:cs="Arial"/>
        </w:rPr>
        <w:t>20</w:t>
      </w:r>
      <w:r w:rsidRPr="00C5706A">
        <w:rPr>
          <w:rFonts w:ascii="Arial" w:hAnsi="Arial" w:cs="Arial"/>
        </w:rPr>
        <w:t xml:space="preserve">), </w:t>
      </w:r>
      <w:hyperlink r:id="rId10" w:history="1">
        <w:r w:rsidRPr="00C5706A">
          <w:rPr>
            <w:rStyle w:val="Hyperlink"/>
            <w:rFonts w:ascii="Arial" w:hAnsi="Arial" w:cs="Arial"/>
          </w:rPr>
          <w:t xml:space="preserve">Scottish Government's Response to the </w:t>
        </w:r>
        <w:r w:rsidR="00CB6A9E">
          <w:rPr>
            <w:rStyle w:val="Hyperlink"/>
            <w:rFonts w:ascii="Arial" w:hAnsi="Arial" w:cs="Arial"/>
          </w:rPr>
          <w:t xml:space="preserve">First Minister’s </w:t>
        </w:r>
        <w:r w:rsidRPr="00C5706A">
          <w:rPr>
            <w:rStyle w:val="Hyperlink"/>
            <w:rFonts w:ascii="Arial" w:hAnsi="Arial" w:cs="Arial"/>
          </w:rPr>
          <w:t>National Advisory Council on Women and Girls</w:t>
        </w:r>
      </w:hyperlink>
      <w:r w:rsidR="00C255F6">
        <w:rPr>
          <w:rFonts w:ascii="Arial" w:hAnsi="Arial" w:cs="Arial"/>
        </w:rPr>
        <w:t xml:space="preserve"> </w:t>
      </w:r>
      <w:r w:rsidR="00C255F6" w:rsidRPr="00C255F6">
        <w:rPr>
          <w:rFonts w:ascii="Arial" w:hAnsi="Arial" w:cs="Arial"/>
        </w:rPr>
        <w:t>[accessed: 2 July 2021].</w:t>
      </w:r>
    </w:p>
  </w:footnote>
  <w:footnote w:id="11">
    <w:p w14:paraId="3D0E3A9A" w14:textId="6023ED16" w:rsidR="00B17A88" w:rsidRPr="00C5706A" w:rsidRDefault="00B17A88" w:rsidP="008764D4">
      <w:pPr>
        <w:pStyle w:val="FootnoteText"/>
        <w:rPr>
          <w:rFonts w:ascii="Arial" w:hAnsi="Arial" w:cs="Arial"/>
        </w:rPr>
      </w:pPr>
      <w:r w:rsidRPr="00C5706A">
        <w:rPr>
          <w:rStyle w:val="FootnoteReference"/>
          <w:rFonts w:ascii="Arial" w:hAnsi="Arial" w:cs="Arial"/>
        </w:rPr>
        <w:footnoteRef/>
      </w:r>
      <w:r w:rsidRPr="00C5706A">
        <w:rPr>
          <w:rFonts w:ascii="Arial" w:hAnsi="Arial" w:cs="Arial"/>
        </w:rPr>
        <w:t xml:space="preserve"> Scottish Government (2021), </w:t>
      </w:r>
      <w:hyperlink r:id="rId11" w:history="1">
        <w:r w:rsidRPr="00C5706A">
          <w:rPr>
            <w:rStyle w:val="Hyperlink"/>
            <w:rFonts w:ascii="Arial" w:hAnsi="Arial" w:cs="Arial"/>
          </w:rPr>
          <w:t>National Taskforce for Human Rights Leadership Report</w:t>
        </w:r>
      </w:hyperlink>
      <w:r>
        <w:rPr>
          <w:rFonts w:ascii="Arial" w:hAnsi="Arial" w:cs="Arial"/>
        </w:rPr>
        <w:t>, Recommendation 3</w:t>
      </w:r>
      <w:r w:rsidR="00C255F6">
        <w:rPr>
          <w:rFonts w:ascii="Arial" w:hAnsi="Arial" w:cs="Arial"/>
        </w:rPr>
        <w:t xml:space="preserve"> </w:t>
      </w:r>
      <w:r w:rsidR="00C255F6" w:rsidRPr="00C255F6">
        <w:rPr>
          <w:rFonts w:ascii="Arial" w:hAnsi="Arial" w:cs="Arial"/>
        </w:rPr>
        <w:t>[accessed: 2 July 2021].</w:t>
      </w:r>
    </w:p>
  </w:footnote>
  <w:footnote w:id="12">
    <w:p w14:paraId="67146D35" w14:textId="48AB6EC8" w:rsidR="00B17A88" w:rsidRDefault="00B17A88">
      <w:pPr>
        <w:pStyle w:val="FootnoteText"/>
      </w:pPr>
      <w:r>
        <w:rPr>
          <w:rStyle w:val="FootnoteReference"/>
        </w:rPr>
        <w:footnoteRef/>
      </w:r>
      <w:r>
        <w:t xml:space="preserve"> Scottish Government (2020), </w:t>
      </w:r>
      <w:hyperlink r:id="rId12" w:history="1">
        <w:r w:rsidRPr="008764D4">
          <w:rPr>
            <w:rStyle w:val="Hyperlink"/>
          </w:rPr>
          <w:t>Protecting Scotland, Renewing Scotland: The Government's Programme for Scotland 2020</w:t>
        </w:r>
        <w:r w:rsidR="00D57D95">
          <w:rPr>
            <w:rStyle w:val="Hyperlink"/>
          </w:rPr>
          <w:t>–</w:t>
        </w:r>
        <w:r w:rsidRPr="008764D4">
          <w:rPr>
            <w:rStyle w:val="Hyperlink"/>
          </w:rPr>
          <w:t>2021</w:t>
        </w:r>
      </w:hyperlink>
      <w:r w:rsidR="00C255F6">
        <w:t xml:space="preserve"> </w:t>
      </w:r>
      <w:r w:rsidR="00C255F6" w:rsidRPr="00C255F6">
        <w:t>[accessed: 2 July 2021].</w:t>
      </w:r>
      <w:r w:rsidR="0079170B">
        <w:t xml:space="preserve"> The </w:t>
      </w:r>
      <w:r w:rsidR="00914593">
        <w:t>Scottish National Party (</w:t>
      </w:r>
      <w:r w:rsidR="0079170B">
        <w:t>SNP</w:t>
      </w:r>
      <w:r w:rsidR="00914593">
        <w:t>)</w:t>
      </w:r>
      <w:r w:rsidR="0079170B">
        <w:t xml:space="preserve"> remains in power, having won 64 out of 129 seats in the Scottish Parliament during the May 2021 elections.</w:t>
      </w:r>
    </w:p>
  </w:footnote>
  <w:footnote w:id="13">
    <w:p w14:paraId="4A64B9A6" w14:textId="16D1A1B2" w:rsidR="00B17A88" w:rsidRDefault="00B17A88" w:rsidP="00B5566F">
      <w:pPr>
        <w:pStyle w:val="FootnoteText"/>
      </w:pPr>
      <w:r>
        <w:rPr>
          <w:rStyle w:val="FootnoteReference"/>
        </w:rPr>
        <w:footnoteRef/>
      </w:r>
      <w:r>
        <w:t xml:space="preserve"> </w:t>
      </w:r>
      <w:r w:rsidRPr="00DD283A">
        <w:rPr>
          <w:u w:color="009C98" w:themeColor="accent1"/>
        </w:rPr>
        <w:t xml:space="preserve">Committee </w:t>
      </w:r>
      <w:r>
        <w:rPr>
          <w:u w:color="009C98" w:themeColor="accent1"/>
        </w:rPr>
        <w:t>on the Elimination of Discrimination against Women</w:t>
      </w:r>
      <w:r w:rsidRPr="00DD283A">
        <w:rPr>
          <w:u w:color="009C98" w:themeColor="accent1"/>
        </w:rPr>
        <w:t xml:space="preserve"> (2019), </w:t>
      </w:r>
      <w:hyperlink r:id="rId13" w:history="1">
        <w:r w:rsidRPr="0049205A">
          <w:rPr>
            <w:rStyle w:val="Hyperlink"/>
          </w:rPr>
          <w:t>Concluding observations</w:t>
        </w:r>
      </w:hyperlink>
      <w:r w:rsidR="00C255F6">
        <w:rPr>
          <w:rStyle w:val="Hyperlink"/>
        </w:rPr>
        <w:t xml:space="preserve"> </w:t>
      </w:r>
      <w:r w:rsidR="00C255F6" w:rsidRPr="00C255F6">
        <w:rPr>
          <w:rStyle w:val="Hyperlink"/>
        </w:rPr>
        <w:t>on the eighth periodic report of the United Kingdom of Great Britain and Northern Ireland, CEDAW/C/GBR/CO/8</w:t>
      </w:r>
      <w:r w:rsidRPr="0049205A">
        <w:rPr>
          <w:u w:color="009C98" w:themeColor="accent1"/>
        </w:rPr>
        <w:t>, para</w:t>
      </w:r>
      <w:r w:rsidR="0090576F">
        <w:rPr>
          <w:u w:color="009C98" w:themeColor="accent1"/>
        </w:rPr>
        <w:t>.</w:t>
      </w:r>
      <w:r>
        <w:rPr>
          <w:u w:color="009C98" w:themeColor="accent1"/>
        </w:rPr>
        <w:t xml:space="preserve"> 64</w:t>
      </w:r>
      <w:r w:rsidR="00C255F6">
        <w:rPr>
          <w:u w:color="009C98" w:themeColor="accent1"/>
        </w:rPr>
        <w:t xml:space="preserve"> [accessed: 2 July 2021]</w:t>
      </w:r>
      <w:r w:rsidRPr="00DD283A">
        <w:rPr>
          <w:u w:color="009C98" w:themeColor="accent1"/>
        </w:rPr>
        <w:t>.</w:t>
      </w:r>
    </w:p>
  </w:footnote>
  <w:footnote w:id="14">
    <w:p w14:paraId="4BFA9AFB" w14:textId="25BDF91A" w:rsidR="00B17A88" w:rsidRPr="0028584D" w:rsidRDefault="00B17A88">
      <w:pPr>
        <w:pStyle w:val="FootnoteText"/>
      </w:pPr>
      <w:r>
        <w:rPr>
          <w:rStyle w:val="FootnoteReference"/>
        </w:rPr>
        <w:footnoteRef/>
      </w:r>
      <w:r>
        <w:t xml:space="preserve"> The UK Government made a commitment to remain a party to the ECHR in a </w:t>
      </w:r>
      <w:r w:rsidR="0090576F">
        <w:t>w</w:t>
      </w:r>
      <w:r>
        <w:t xml:space="preserve">hite </w:t>
      </w:r>
      <w:r w:rsidR="0090576F">
        <w:t>p</w:t>
      </w:r>
      <w:r>
        <w:t>aper published in July 2018</w:t>
      </w:r>
      <w:r w:rsidR="0090576F">
        <w:t>. See</w:t>
      </w:r>
      <w:r>
        <w:t xml:space="preserve">: HM Government (2018), </w:t>
      </w:r>
      <w:hyperlink r:id="rId14" w:history="1">
        <w:r w:rsidRPr="00B17A88">
          <w:rPr>
            <w:rStyle w:val="Hyperlink"/>
          </w:rPr>
          <w:t xml:space="preserve">The </w:t>
        </w:r>
        <w:r w:rsidR="00A4671C">
          <w:rPr>
            <w:rStyle w:val="Hyperlink"/>
          </w:rPr>
          <w:t>F</w:t>
        </w:r>
        <w:r w:rsidRPr="00B17A88">
          <w:rPr>
            <w:rStyle w:val="Hyperlink"/>
          </w:rPr>
          <w:t xml:space="preserve">uture </w:t>
        </w:r>
        <w:r w:rsidR="00A4671C">
          <w:rPr>
            <w:rStyle w:val="Hyperlink"/>
          </w:rPr>
          <w:t>R</w:t>
        </w:r>
        <w:r w:rsidRPr="00B17A88">
          <w:rPr>
            <w:rStyle w:val="Hyperlink"/>
          </w:rPr>
          <w:t xml:space="preserve">elationship </w:t>
        </w:r>
        <w:r w:rsidR="00A4671C">
          <w:rPr>
            <w:rStyle w:val="Hyperlink"/>
          </w:rPr>
          <w:t>B</w:t>
        </w:r>
        <w:r w:rsidRPr="00B17A88">
          <w:rPr>
            <w:rStyle w:val="Hyperlink"/>
          </w:rPr>
          <w:t>etween the United Kingdom and the European Union</w:t>
        </w:r>
      </w:hyperlink>
      <w:r w:rsidR="001334C2">
        <w:rPr>
          <w:rStyle w:val="Hyperlink"/>
        </w:rPr>
        <w:t xml:space="preserve"> </w:t>
      </w:r>
      <w:r w:rsidR="001334C2" w:rsidRPr="00082446">
        <w:rPr>
          <w:rStyle w:val="Hyperlink"/>
          <w:color w:val="0B4E60" w:themeColor="text2"/>
          <w:u w:val="none"/>
        </w:rPr>
        <w:t>[accessed: 2 July 2021]</w:t>
      </w:r>
      <w:r w:rsidRPr="0028584D">
        <w:t>.</w:t>
      </w:r>
      <w:r w:rsidR="00CB6A9E" w:rsidRPr="0028584D">
        <w:t xml:space="preserve"> </w:t>
      </w:r>
      <w:r w:rsidR="00CB6A9E">
        <w:t xml:space="preserve">In launching the </w:t>
      </w:r>
      <w:r w:rsidR="00CB6A9E" w:rsidRPr="00CB6A9E">
        <w:t>Independent Human Rights Act Review</w:t>
      </w:r>
      <w:r w:rsidR="00CB6A9E">
        <w:t xml:space="preserve">, the UK Government also stated: </w:t>
      </w:r>
      <w:r w:rsidR="0090576F">
        <w:t>‘</w:t>
      </w:r>
      <w:r w:rsidR="00CB6A9E" w:rsidRPr="00CB6A9E">
        <w:t>We are committed to remaining a signatory to the European Convention on Human Rights</w:t>
      </w:r>
      <w:r w:rsidR="00CB6A9E">
        <w:t>.</w:t>
      </w:r>
      <w:r w:rsidR="0090576F">
        <w:t>’</w:t>
      </w:r>
      <w:r w:rsidR="00CB6A9E">
        <w:t xml:space="preserve"> See: </w:t>
      </w:r>
      <w:r w:rsidR="00CB6A9E" w:rsidRPr="00C5706A">
        <w:rPr>
          <w:rFonts w:ascii="Arial" w:hAnsi="Arial" w:cs="Arial"/>
        </w:rPr>
        <w:t>Ministry of Justice (20</w:t>
      </w:r>
      <w:r w:rsidR="00CB6A9E">
        <w:rPr>
          <w:rFonts w:ascii="Arial" w:hAnsi="Arial" w:cs="Arial"/>
        </w:rPr>
        <w:t>20</w:t>
      </w:r>
      <w:r w:rsidR="00CB6A9E" w:rsidRPr="00C5706A">
        <w:rPr>
          <w:rFonts w:ascii="Arial" w:hAnsi="Arial" w:cs="Arial"/>
        </w:rPr>
        <w:t xml:space="preserve">), </w:t>
      </w:r>
      <w:hyperlink r:id="rId15" w:history="1">
        <w:r w:rsidR="00CB6A9E" w:rsidRPr="00C5706A">
          <w:rPr>
            <w:rStyle w:val="Hyperlink"/>
            <w:rFonts w:ascii="Arial" w:hAnsi="Arial" w:cs="Arial"/>
          </w:rPr>
          <w:t>Independent Human Rights Act Review</w:t>
        </w:r>
      </w:hyperlink>
      <w:r w:rsidR="001334C2" w:rsidRPr="00082446">
        <w:rPr>
          <w:rStyle w:val="Hyperlink"/>
          <w:rFonts w:ascii="Arial" w:hAnsi="Arial" w:cs="Arial"/>
          <w:u w:val="none"/>
        </w:rPr>
        <w:t xml:space="preserve"> </w:t>
      </w:r>
      <w:r w:rsidR="001334C2" w:rsidRPr="00082446">
        <w:rPr>
          <w:rStyle w:val="Hyperlink"/>
          <w:rFonts w:ascii="Arial" w:hAnsi="Arial" w:cs="Arial"/>
          <w:color w:val="0B4E60" w:themeColor="text2"/>
          <w:u w:val="none"/>
        </w:rPr>
        <w:t>[accessed:</w:t>
      </w:r>
      <w:r w:rsidR="00AE1888">
        <w:rPr>
          <w:rStyle w:val="Hyperlink"/>
          <w:rFonts w:ascii="Arial" w:hAnsi="Arial" w:cs="Arial"/>
          <w:color w:val="0B4E60" w:themeColor="text2"/>
          <w:u w:val="none"/>
        </w:rPr>
        <w:t xml:space="preserve"> </w:t>
      </w:r>
      <w:r w:rsidR="001334C2" w:rsidRPr="00082446">
        <w:rPr>
          <w:rStyle w:val="Hyperlink"/>
          <w:rFonts w:ascii="Arial" w:hAnsi="Arial" w:cs="Arial"/>
          <w:color w:val="0B4E60" w:themeColor="text2"/>
          <w:u w:val="none"/>
        </w:rPr>
        <w:t>2 July 2021]</w:t>
      </w:r>
      <w:r w:rsidR="00CB6A9E" w:rsidRPr="0028584D">
        <w:rPr>
          <w:rFonts w:ascii="Arial" w:hAnsi="Arial" w:cs="Arial"/>
        </w:rPr>
        <w:t>.</w:t>
      </w:r>
    </w:p>
  </w:footnote>
  <w:footnote w:id="15">
    <w:p w14:paraId="1FE30C76" w14:textId="52F79026" w:rsidR="00FB03A3" w:rsidRPr="0028584D" w:rsidRDefault="00FB03A3" w:rsidP="00FB03A3">
      <w:pPr>
        <w:pStyle w:val="FootnoteText"/>
        <w:rPr>
          <w:rFonts w:ascii="Arial" w:hAnsi="Arial" w:cs="Arial"/>
        </w:rPr>
      </w:pPr>
      <w:r w:rsidRPr="00C5706A">
        <w:rPr>
          <w:rStyle w:val="FootnoteReference"/>
          <w:rFonts w:ascii="Arial" w:hAnsi="Arial" w:cs="Arial"/>
        </w:rPr>
        <w:footnoteRef/>
      </w:r>
      <w:r w:rsidRPr="00C5706A">
        <w:rPr>
          <w:rFonts w:ascii="Arial" w:hAnsi="Arial" w:cs="Arial"/>
        </w:rPr>
        <w:t xml:space="preserve"> Ministry of Justice (20</w:t>
      </w:r>
      <w:r>
        <w:rPr>
          <w:rFonts w:ascii="Arial" w:hAnsi="Arial" w:cs="Arial"/>
        </w:rPr>
        <w:t>20</w:t>
      </w:r>
      <w:r w:rsidRPr="00C5706A">
        <w:rPr>
          <w:rFonts w:ascii="Arial" w:hAnsi="Arial" w:cs="Arial"/>
        </w:rPr>
        <w:t xml:space="preserve">), </w:t>
      </w:r>
      <w:hyperlink r:id="rId16" w:history="1">
        <w:r w:rsidRPr="00C5706A">
          <w:rPr>
            <w:rStyle w:val="Hyperlink"/>
            <w:rFonts w:ascii="Arial" w:hAnsi="Arial" w:cs="Arial"/>
          </w:rPr>
          <w:t>Independent Human Rights Act Review</w:t>
        </w:r>
      </w:hyperlink>
      <w:r w:rsidR="00C255F6" w:rsidRPr="00082446">
        <w:rPr>
          <w:rStyle w:val="Hyperlink"/>
          <w:rFonts w:ascii="Arial" w:hAnsi="Arial" w:cs="Arial"/>
          <w:u w:val="none"/>
        </w:rPr>
        <w:t xml:space="preserve"> </w:t>
      </w:r>
      <w:r w:rsidR="00C255F6" w:rsidRPr="00082446">
        <w:rPr>
          <w:rStyle w:val="Hyperlink"/>
          <w:rFonts w:ascii="Arial" w:hAnsi="Arial" w:cs="Arial"/>
          <w:color w:val="0B4E60" w:themeColor="text2"/>
          <w:u w:val="none"/>
        </w:rPr>
        <w:t>[accessed: 2 July 2021]</w:t>
      </w:r>
      <w:r w:rsidRPr="0028584D">
        <w:rPr>
          <w:rFonts w:ascii="Arial" w:hAnsi="Arial" w:cs="Arial"/>
        </w:rPr>
        <w:t>.</w:t>
      </w:r>
    </w:p>
  </w:footnote>
  <w:footnote w:id="16">
    <w:p w14:paraId="6461BCC4" w14:textId="21F28530" w:rsidR="00FB03A3" w:rsidRDefault="00FB03A3" w:rsidP="00FB03A3">
      <w:pPr>
        <w:pStyle w:val="FootnoteText"/>
      </w:pPr>
      <w:r>
        <w:rPr>
          <w:rStyle w:val="FootnoteReference"/>
        </w:rPr>
        <w:footnoteRef/>
      </w:r>
      <w:r>
        <w:t xml:space="preserve"> </w:t>
      </w:r>
      <w:r w:rsidRPr="00C5706A">
        <w:rPr>
          <w:rFonts w:ascii="Arial" w:hAnsi="Arial" w:cs="Arial"/>
        </w:rPr>
        <w:t>Independent Human Rights Act Review</w:t>
      </w:r>
      <w:r>
        <w:rPr>
          <w:rFonts w:ascii="Arial" w:hAnsi="Arial" w:cs="Arial"/>
        </w:rPr>
        <w:t xml:space="preserve"> (2020), </w:t>
      </w:r>
      <w:r w:rsidR="0090576F">
        <w:rPr>
          <w:rFonts w:ascii="Arial" w:hAnsi="Arial" w:cs="Arial"/>
        </w:rPr>
        <w:t xml:space="preserve">IHRAR Call for Evidence: </w:t>
      </w:r>
      <w:hyperlink r:id="rId17" w:history="1">
        <w:r w:rsidRPr="00481E7C">
          <w:rPr>
            <w:rStyle w:val="Hyperlink"/>
            <w:rFonts w:ascii="Arial" w:hAnsi="Arial" w:cs="Arial"/>
          </w:rPr>
          <w:t xml:space="preserve">Terms of </w:t>
        </w:r>
        <w:r w:rsidR="0090576F">
          <w:rPr>
            <w:rStyle w:val="Hyperlink"/>
            <w:rFonts w:ascii="Arial" w:hAnsi="Arial" w:cs="Arial"/>
          </w:rPr>
          <w:t>r</w:t>
        </w:r>
        <w:r w:rsidRPr="00481E7C">
          <w:rPr>
            <w:rStyle w:val="Hyperlink"/>
            <w:rFonts w:ascii="Arial" w:hAnsi="Arial" w:cs="Arial"/>
          </w:rPr>
          <w:t>eference</w:t>
        </w:r>
      </w:hyperlink>
      <w:r w:rsidR="001334C2" w:rsidRPr="00082446">
        <w:rPr>
          <w:rStyle w:val="Hyperlink"/>
          <w:rFonts w:ascii="Arial" w:hAnsi="Arial" w:cs="Arial"/>
          <w:u w:val="none"/>
        </w:rPr>
        <w:t xml:space="preserve"> </w:t>
      </w:r>
      <w:r w:rsidR="001334C2" w:rsidRPr="00082446">
        <w:rPr>
          <w:rStyle w:val="Hyperlink"/>
          <w:rFonts w:ascii="Arial" w:hAnsi="Arial" w:cs="Arial"/>
          <w:color w:val="0B4E60" w:themeColor="text2"/>
          <w:u w:val="none"/>
        </w:rPr>
        <w:t>[accessed: 2 July 2021]</w:t>
      </w:r>
      <w:r w:rsidRPr="0028584D">
        <w:rPr>
          <w:rFonts w:ascii="Arial" w:hAnsi="Arial" w:cs="Arial"/>
        </w:rPr>
        <w:t xml:space="preserve">. </w:t>
      </w:r>
      <w:r w:rsidRPr="00C5706A">
        <w:rPr>
          <w:rFonts w:ascii="Arial" w:hAnsi="Arial" w:cs="Arial"/>
        </w:rPr>
        <w:t xml:space="preserve">The </w:t>
      </w:r>
      <w:r w:rsidR="0090576F">
        <w:rPr>
          <w:rFonts w:ascii="Arial" w:hAnsi="Arial" w:cs="Arial"/>
        </w:rPr>
        <w:t>t</w:t>
      </w:r>
      <w:r w:rsidRPr="00481E7C">
        <w:rPr>
          <w:rFonts w:ascii="Arial" w:hAnsi="Arial" w:cs="Arial"/>
        </w:rPr>
        <w:t xml:space="preserve">erms of </w:t>
      </w:r>
      <w:r w:rsidR="0090576F">
        <w:rPr>
          <w:rFonts w:ascii="Arial" w:hAnsi="Arial" w:cs="Arial"/>
        </w:rPr>
        <w:t>r</w:t>
      </w:r>
      <w:r w:rsidRPr="00481E7C">
        <w:rPr>
          <w:rFonts w:ascii="Arial" w:hAnsi="Arial" w:cs="Arial"/>
        </w:rPr>
        <w:t>eference</w:t>
      </w:r>
      <w:r w:rsidRPr="00C5706A">
        <w:rPr>
          <w:rFonts w:ascii="Arial" w:hAnsi="Arial" w:cs="Arial"/>
        </w:rPr>
        <w:t xml:space="preserve"> were drafted by </w:t>
      </w:r>
      <w:r>
        <w:rPr>
          <w:rFonts w:ascii="Arial" w:hAnsi="Arial" w:cs="Arial"/>
        </w:rPr>
        <w:t xml:space="preserve">the UK </w:t>
      </w:r>
      <w:r w:rsidRPr="00C5706A">
        <w:rPr>
          <w:rFonts w:ascii="Arial" w:hAnsi="Arial" w:cs="Arial"/>
        </w:rPr>
        <w:t xml:space="preserve">Government and agreed by the IHRAR </w:t>
      </w:r>
      <w:r w:rsidR="0090576F">
        <w:rPr>
          <w:rFonts w:ascii="Arial" w:hAnsi="Arial" w:cs="Arial"/>
        </w:rPr>
        <w:t>P</w:t>
      </w:r>
      <w:r w:rsidRPr="00C5706A">
        <w:rPr>
          <w:rFonts w:ascii="Arial" w:hAnsi="Arial" w:cs="Arial"/>
        </w:rPr>
        <w:t xml:space="preserve">anel. See: </w:t>
      </w:r>
      <w:r w:rsidR="0090576F">
        <w:rPr>
          <w:rFonts w:ascii="Arial" w:hAnsi="Arial" w:cs="Arial"/>
        </w:rPr>
        <w:t xml:space="preserve">House of Commons </w:t>
      </w:r>
      <w:r w:rsidRPr="00C5706A">
        <w:rPr>
          <w:rFonts w:ascii="Arial" w:hAnsi="Arial" w:cs="Arial"/>
        </w:rPr>
        <w:t xml:space="preserve">Public Administration and Constitutional Affairs Committee (2020), </w:t>
      </w:r>
      <w:hyperlink r:id="rId18" w:history="1">
        <w:r w:rsidRPr="00C5706A">
          <w:rPr>
            <w:rStyle w:val="Hyperlink"/>
            <w:rFonts w:ascii="Arial" w:hAnsi="Arial" w:cs="Arial"/>
          </w:rPr>
          <w:t>Oral evidence: The Government’s Constitution, Democracy and Rights Commission, HC 829</w:t>
        </w:r>
      </w:hyperlink>
      <w:r w:rsidRPr="00C5706A">
        <w:rPr>
          <w:rFonts w:ascii="Arial" w:hAnsi="Arial" w:cs="Arial"/>
        </w:rPr>
        <w:t>, Q. 110</w:t>
      </w:r>
      <w:r w:rsidR="001334C2">
        <w:rPr>
          <w:rFonts w:ascii="Arial" w:hAnsi="Arial" w:cs="Arial"/>
        </w:rPr>
        <w:t xml:space="preserve"> [accessed: 2 July 2021]</w:t>
      </w:r>
      <w:r w:rsidRPr="00C5706A">
        <w:rPr>
          <w:rFonts w:ascii="Arial" w:hAnsi="Arial" w:cs="Arial"/>
        </w:rPr>
        <w:t>.</w:t>
      </w:r>
    </w:p>
  </w:footnote>
  <w:footnote w:id="17">
    <w:p w14:paraId="1493AA5C" w14:textId="77777777" w:rsidR="00FB03A3" w:rsidRPr="00C5706A" w:rsidRDefault="00FB03A3" w:rsidP="00FB03A3">
      <w:pPr>
        <w:pStyle w:val="FootnoteText"/>
        <w:rPr>
          <w:rFonts w:ascii="Arial" w:hAnsi="Arial" w:cs="Arial"/>
        </w:rPr>
      </w:pPr>
      <w:r w:rsidRPr="00C5706A">
        <w:rPr>
          <w:rStyle w:val="FootnoteReference"/>
          <w:rFonts w:ascii="Arial" w:hAnsi="Arial" w:cs="Arial"/>
        </w:rPr>
        <w:footnoteRef/>
      </w:r>
      <w:r w:rsidRPr="00C5706A">
        <w:rPr>
          <w:rFonts w:ascii="Arial" w:hAnsi="Arial" w:cs="Arial"/>
        </w:rPr>
        <w:t xml:space="preserve"> HRA, </w:t>
      </w:r>
      <w:hyperlink r:id="rId19" w:history="1">
        <w:r w:rsidRPr="00C5706A">
          <w:rPr>
            <w:rStyle w:val="Hyperlink"/>
            <w:rFonts w:ascii="Arial" w:hAnsi="Arial" w:cs="Arial"/>
          </w:rPr>
          <w:t>section 6</w:t>
        </w:r>
      </w:hyperlink>
      <w:r w:rsidRPr="00C5706A">
        <w:rPr>
          <w:rFonts w:ascii="Arial" w:hAnsi="Arial" w:cs="Arial"/>
        </w:rPr>
        <w:t xml:space="preserve">. </w:t>
      </w:r>
    </w:p>
  </w:footnote>
  <w:footnote w:id="18">
    <w:p w14:paraId="7FFB4843" w14:textId="77777777" w:rsidR="00FB03A3" w:rsidRPr="00C5706A" w:rsidRDefault="00FB03A3" w:rsidP="00FB03A3">
      <w:pPr>
        <w:pStyle w:val="FootnoteText"/>
        <w:rPr>
          <w:rFonts w:ascii="Arial" w:hAnsi="Arial" w:cs="Arial"/>
        </w:rPr>
      </w:pPr>
      <w:r w:rsidRPr="00C5706A">
        <w:rPr>
          <w:rStyle w:val="FootnoteReference"/>
          <w:rFonts w:ascii="Arial" w:hAnsi="Arial" w:cs="Arial"/>
        </w:rPr>
        <w:footnoteRef/>
      </w:r>
      <w:r w:rsidRPr="00C5706A">
        <w:rPr>
          <w:rFonts w:ascii="Arial" w:hAnsi="Arial" w:cs="Arial"/>
        </w:rPr>
        <w:t xml:space="preserve"> HRA, </w:t>
      </w:r>
      <w:hyperlink r:id="rId20" w:history="1">
        <w:r w:rsidRPr="00C5706A">
          <w:rPr>
            <w:rStyle w:val="Hyperlink"/>
            <w:rFonts w:ascii="Arial" w:hAnsi="Arial" w:cs="Arial"/>
          </w:rPr>
          <w:t>section 7</w:t>
        </w:r>
      </w:hyperlink>
      <w:r w:rsidRPr="00C5706A">
        <w:rPr>
          <w:rFonts w:ascii="Arial" w:hAnsi="Arial" w:cs="Arial"/>
        </w:rPr>
        <w:t xml:space="preserve">. </w:t>
      </w:r>
    </w:p>
  </w:footnote>
  <w:footnote w:id="19">
    <w:p w14:paraId="66101F0F" w14:textId="57D6B5E6" w:rsidR="00FB03A3" w:rsidRPr="00C5706A" w:rsidRDefault="00FB03A3" w:rsidP="00FB03A3">
      <w:pPr>
        <w:pStyle w:val="FootnoteText"/>
        <w:rPr>
          <w:rFonts w:ascii="Arial" w:hAnsi="Arial" w:cs="Arial"/>
        </w:rPr>
      </w:pPr>
      <w:r w:rsidRPr="00C5706A">
        <w:rPr>
          <w:rStyle w:val="FootnoteReference"/>
          <w:rFonts w:ascii="Arial" w:hAnsi="Arial" w:cs="Arial"/>
        </w:rPr>
        <w:footnoteRef/>
      </w:r>
      <w:r w:rsidRPr="00C5706A">
        <w:rPr>
          <w:rFonts w:ascii="Arial" w:hAnsi="Arial" w:cs="Arial"/>
        </w:rPr>
        <w:t xml:space="preserve"> Independent Human Rights Act Review (2021), </w:t>
      </w:r>
      <w:r w:rsidR="0090576F">
        <w:rPr>
          <w:rFonts w:ascii="Arial" w:hAnsi="Arial" w:cs="Arial"/>
        </w:rPr>
        <w:t xml:space="preserve">IHRAR </w:t>
      </w:r>
      <w:hyperlink r:id="rId21" w:history="1">
        <w:r w:rsidRPr="00C5706A">
          <w:rPr>
            <w:rStyle w:val="Hyperlink"/>
            <w:rFonts w:ascii="Arial" w:hAnsi="Arial" w:cs="Arial"/>
          </w:rPr>
          <w:t>Call for Evidence</w:t>
        </w:r>
      </w:hyperlink>
      <w:r w:rsidR="001334C2">
        <w:rPr>
          <w:rStyle w:val="Hyperlink"/>
          <w:rFonts w:ascii="Arial" w:hAnsi="Arial" w:cs="Arial"/>
        </w:rPr>
        <w:t xml:space="preserve"> </w:t>
      </w:r>
      <w:r w:rsidR="001334C2" w:rsidRPr="00082446">
        <w:rPr>
          <w:rStyle w:val="Hyperlink"/>
          <w:rFonts w:ascii="Arial" w:hAnsi="Arial" w:cs="Arial"/>
          <w:color w:val="0B4E60" w:themeColor="text2"/>
          <w:u w:val="none"/>
        </w:rPr>
        <w:t>[accessed: 2 July 2021]</w:t>
      </w:r>
      <w:r w:rsidRPr="0028584D">
        <w:rPr>
          <w:rFonts w:ascii="Arial" w:hAnsi="Arial" w:cs="Arial"/>
        </w:rPr>
        <w:t xml:space="preserve">; </w:t>
      </w:r>
      <w:r w:rsidRPr="00C5706A">
        <w:rPr>
          <w:rFonts w:ascii="Arial" w:hAnsi="Arial" w:cs="Arial"/>
        </w:rPr>
        <w:t xml:space="preserve">Joint Committee on Human Rights (2020), </w:t>
      </w:r>
      <w:hyperlink r:id="rId22" w:history="1">
        <w:r w:rsidRPr="00C5706A">
          <w:rPr>
            <w:rStyle w:val="Hyperlink"/>
            <w:rFonts w:ascii="Arial" w:hAnsi="Arial" w:cs="Arial"/>
          </w:rPr>
          <w:t>Oral evidence: Ministerial scrutiny: human rights, HC 978</w:t>
        </w:r>
      </w:hyperlink>
      <w:r w:rsidRPr="00C5706A">
        <w:rPr>
          <w:rFonts w:ascii="Arial" w:hAnsi="Arial" w:cs="Arial"/>
        </w:rPr>
        <w:t>, pp. 1</w:t>
      </w:r>
      <w:r w:rsidR="00D749F5">
        <w:rPr>
          <w:rFonts w:ascii="Arial" w:hAnsi="Arial" w:cs="Arial"/>
        </w:rPr>
        <w:t>–</w:t>
      </w:r>
      <w:r w:rsidRPr="00C5706A">
        <w:rPr>
          <w:rFonts w:ascii="Arial" w:hAnsi="Arial" w:cs="Arial"/>
        </w:rPr>
        <w:t>3</w:t>
      </w:r>
      <w:r w:rsidR="001334C2">
        <w:rPr>
          <w:rFonts w:ascii="Arial" w:hAnsi="Arial" w:cs="Arial"/>
        </w:rPr>
        <w:t xml:space="preserve"> [accessed: 2 July 2021]</w:t>
      </w:r>
      <w:r w:rsidRPr="00C5706A">
        <w:rPr>
          <w:rFonts w:ascii="Arial" w:hAnsi="Arial" w:cs="Arial"/>
        </w:rPr>
        <w:t>.</w:t>
      </w:r>
    </w:p>
  </w:footnote>
  <w:footnote w:id="20">
    <w:p w14:paraId="138471DF" w14:textId="630D10E5" w:rsidR="00FB03A3" w:rsidRPr="00C5706A" w:rsidRDefault="00FB03A3" w:rsidP="00FB03A3">
      <w:pPr>
        <w:pStyle w:val="FootnoteText"/>
        <w:rPr>
          <w:rFonts w:ascii="Arial" w:hAnsi="Arial" w:cs="Arial"/>
        </w:rPr>
      </w:pPr>
      <w:r w:rsidRPr="00C5706A">
        <w:rPr>
          <w:rStyle w:val="FootnoteReference"/>
          <w:rFonts w:ascii="Arial" w:hAnsi="Arial" w:cs="Arial"/>
        </w:rPr>
        <w:footnoteRef/>
      </w:r>
      <w:r w:rsidRPr="00C5706A">
        <w:rPr>
          <w:rFonts w:ascii="Arial" w:hAnsi="Arial" w:cs="Arial"/>
        </w:rPr>
        <w:t xml:space="preserve"> EHRC (2021), </w:t>
      </w:r>
      <w:hyperlink r:id="rId23" w:history="1">
        <w:r w:rsidRPr="00C5706A">
          <w:rPr>
            <w:rStyle w:val="Hyperlink"/>
            <w:rFonts w:ascii="Arial" w:hAnsi="Arial" w:cs="Arial"/>
            <w:lang w:val="en"/>
          </w:rPr>
          <w:t xml:space="preserve">Evidence to the Joint Committee on Human Rights inquiry on the </w:t>
        </w:r>
        <w:r w:rsidR="00D749F5">
          <w:rPr>
            <w:rStyle w:val="Hyperlink"/>
            <w:rFonts w:ascii="Arial" w:hAnsi="Arial" w:cs="Arial"/>
            <w:lang w:val="en"/>
          </w:rPr>
          <w:t>G</w:t>
        </w:r>
        <w:r w:rsidRPr="00C5706A">
          <w:rPr>
            <w:rStyle w:val="Hyperlink"/>
            <w:rFonts w:ascii="Arial" w:hAnsi="Arial" w:cs="Arial"/>
            <w:lang w:val="en"/>
          </w:rPr>
          <w:t>overnment's Independent Human Rights Act Review</w:t>
        </w:r>
      </w:hyperlink>
      <w:r w:rsidR="001334C2">
        <w:rPr>
          <w:rStyle w:val="Hyperlink"/>
          <w:rFonts w:ascii="Arial" w:hAnsi="Arial" w:cs="Arial"/>
          <w:lang w:val="en"/>
        </w:rPr>
        <w:t xml:space="preserve"> </w:t>
      </w:r>
      <w:r w:rsidR="001334C2" w:rsidRPr="00082446">
        <w:rPr>
          <w:rStyle w:val="Hyperlink"/>
          <w:rFonts w:ascii="Arial" w:hAnsi="Arial" w:cs="Arial"/>
          <w:color w:val="0B4E60" w:themeColor="text2"/>
          <w:u w:val="none"/>
          <w:lang w:val="en"/>
        </w:rPr>
        <w:t>[accessed: 2 July 2021]</w:t>
      </w:r>
      <w:r w:rsidRPr="00082446">
        <w:rPr>
          <w:rFonts w:ascii="Arial" w:hAnsi="Arial" w:cs="Arial"/>
          <w:lang w:val="en"/>
        </w:rPr>
        <w:t xml:space="preserve">; EHRC (2021), </w:t>
      </w:r>
      <w:hyperlink r:id="rId24" w:history="1">
        <w:r w:rsidRPr="00C5706A">
          <w:rPr>
            <w:rStyle w:val="Hyperlink"/>
            <w:rFonts w:ascii="Arial" w:hAnsi="Arial" w:cs="Arial"/>
            <w:lang w:val="en"/>
          </w:rPr>
          <w:t>Response to the Independent Human Rights Act Review</w:t>
        </w:r>
        <w:r w:rsidR="00D749F5">
          <w:rPr>
            <w:rStyle w:val="Hyperlink"/>
            <w:rFonts w:ascii="Arial" w:hAnsi="Arial" w:cs="Arial"/>
            <w:lang w:val="en"/>
          </w:rPr>
          <w:t xml:space="preserve"> Call for Evidence</w:t>
        </w:r>
        <w:r w:rsidR="001334C2" w:rsidRPr="00082446">
          <w:rPr>
            <w:rStyle w:val="Hyperlink"/>
            <w:rFonts w:ascii="Arial" w:hAnsi="Arial" w:cs="Arial"/>
            <w:u w:val="none"/>
            <w:lang w:val="en"/>
          </w:rPr>
          <w:t xml:space="preserve"> </w:t>
        </w:r>
        <w:r w:rsidR="001334C2" w:rsidRPr="00082446">
          <w:rPr>
            <w:rStyle w:val="Hyperlink"/>
            <w:rFonts w:ascii="Arial" w:hAnsi="Arial" w:cs="Arial"/>
            <w:color w:val="0B4E60" w:themeColor="text2"/>
            <w:u w:val="none"/>
            <w:lang w:val="en"/>
          </w:rPr>
          <w:t>[accessed: 2 July 2021]</w:t>
        </w:r>
        <w:r w:rsidRPr="00082446">
          <w:rPr>
            <w:rStyle w:val="Hyperlink"/>
            <w:rFonts w:ascii="Arial" w:hAnsi="Arial" w:cs="Arial"/>
            <w:color w:val="0B4E60" w:themeColor="text2"/>
            <w:u w:val="none"/>
            <w:lang w:val="en"/>
          </w:rPr>
          <w:t>.</w:t>
        </w:r>
      </w:hyperlink>
    </w:p>
  </w:footnote>
  <w:footnote w:id="21">
    <w:p w14:paraId="5B112F4F" w14:textId="63B29E09" w:rsidR="00FB03A3" w:rsidRDefault="00FB03A3" w:rsidP="00FB03A3">
      <w:pPr>
        <w:pStyle w:val="FootnoteText"/>
      </w:pPr>
      <w:r>
        <w:rPr>
          <w:rStyle w:val="FootnoteReference"/>
        </w:rPr>
        <w:footnoteRef/>
      </w:r>
      <w:r>
        <w:t xml:space="preserve"> </w:t>
      </w:r>
      <w:r w:rsidRPr="00082446">
        <w:rPr>
          <w:rFonts w:ascii="Arial" w:hAnsi="Arial" w:cs="Arial"/>
          <w:lang w:val="en"/>
        </w:rPr>
        <w:t xml:space="preserve">EHRC (2021), </w:t>
      </w:r>
      <w:hyperlink r:id="rId25" w:history="1">
        <w:r w:rsidRPr="00C5706A">
          <w:rPr>
            <w:rStyle w:val="Hyperlink"/>
            <w:rFonts w:ascii="Arial" w:hAnsi="Arial" w:cs="Arial"/>
            <w:lang w:val="en"/>
          </w:rPr>
          <w:t>Response to the Independent Human Rights Act Review</w:t>
        </w:r>
        <w:r w:rsidR="00D749F5">
          <w:rPr>
            <w:rStyle w:val="Hyperlink"/>
            <w:rFonts w:ascii="Arial" w:hAnsi="Arial" w:cs="Arial"/>
            <w:lang w:val="en"/>
          </w:rPr>
          <w:t xml:space="preserve"> Call for Evidence</w:t>
        </w:r>
        <w:r w:rsidR="001334C2" w:rsidRPr="00082446">
          <w:rPr>
            <w:rStyle w:val="Hyperlink"/>
            <w:rFonts w:ascii="Arial" w:hAnsi="Arial" w:cs="Arial"/>
            <w:u w:val="none"/>
            <w:lang w:val="en"/>
          </w:rPr>
          <w:t xml:space="preserve"> </w:t>
        </w:r>
        <w:r w:rsidR="001334C2" w:rsidRPr="00082446">
          <w:rPr>
            <w:rStyle w:val="Hyperlink"/>
            <w:rFonts w:ascii="Arial" w:hAnsi="Arial" w:cs="Arial"/>
            <w:color w:val="0B4E60" w:themeColor="text2"/>
            <w:u w:val="none"/>
            <w:lang w:val="en"/>
          </w:rPr>
          <w:t>[accessed:2 July 2021]</w:t>
        </w:r>
        <w:r w:rsidRPr="00082446">
          <w:rPr>
            <w:rStyle w:val="Hyperlink"/>
            <w:rFonts w:ascii="Arial" w:hAnsi="Arial" w:cs="Arial"/>
            <w:color w:val="0B4E60" w:themeColor="text2"/>
            <w:u w:val="none"/>
            <w:lang w:val="en"/>
          </w:rPr>
          <w:t>.</w:t>
        </w:r>
      </w:hyperlink>
    </w:p>
  </w:footnote>
  <w:footnote w:id="22">
    <w:p w14:paraId="3D50C57D" w14:textId="77777777" w:rsidR="00FB03A3" w:rsidRDefault="00FB03A3" w:rsidP="00FB03A3">
      <w:pPr>
        <w:pStyle w:val="FootnoteText"/>
      </w:pPr>
      <w:r>
        <w:rPr>
          <w:rStyle w:val="FootnoteReference"/>
        </w:rPr>
        <w:footnoteRef/>
      </w:r>
      <w:r>
        <w:t xml:space="preserve"> Ibid.</w:t>
      </w:r>
    </w:p>
  </w:footnote>
  <w:footnote w:id="23">
    <w:p w14:paraId="2B469EA4" w14:textId="382DDF81" w:rsidR="00B17A88" w:rsidRPr="0028584D" w:rsidRDefault="00B17A88" w:rsidP="000411BE">
      <w:pPr>
        <w:pStyle w:val="FootnoteText"/>
        <w:rPr>
          <w:rFonts w:ascii="Arial" w:hAnsi="Arial" w:cs="Arial"/>
        </w:rPr>
      </w:pPr>
      <w:r w:rsidRPr="00C5706A">
        <w:rPr>
          <w:rStyle w:val="FootnoteReference"/>
          <w:rFonts w:ascii="Arial" w:hAnsi="Arial" w:cs="Arial"/>
        </w:rPr>
        <w:footnoteRef/>
      </w:r>
      <w:r w:rsidRPr="00C5706A">
        <w:rPr>
          <w:rFonts w:ascii="Arial" w:hAnsi="Arial" w:cs="Arial"/>
        </w:rPr>
        <w:t xml:space="preserve"> </w:t>
      </w:r>
      <w:r w:rsidR="00C726D4">
        <w:rPr>
          <w:rFonts w:ascii="Arial" w:hAnsi="Arial" w:cs="Arial"/>
        </w:rPr>
        <w:t xml:space="preserve">EHRC </w:t>
      </w:r>
      <w:r w:rsidRPr="00C5706A">
        <w:rPr>
          <w:rFonts w:ascii="Arial" w:hAnsi="Arial" w:cs="Arial"/>
        </w:rPr>
        <w:t xml:space="preserve">(2018), </w:t>
      </w:r>
      <w:r w:rsidR="00C726D4">
        <w:rPr>
          <w:rFonts w:ascii="Arial" w:hAnsi="Arial" w:cs="Arial"/>
        </w:rPr>
        <w:t>Jason Coppel QC l</w:t>
      </w:r>
      <w:hyperlink r:id="rId26" w:history="1">
        <w:r w:rsidRPr="00C5706A">
          <w:rPr>
            <w:rStyle w:val="Hyperlink"/>
            <w:rFonts w:ascii="Arial" w:hAnsi="Arial" w:cs="Arial"/>
          </w:rPr>
          <w:t xml:space="preserve">egal </w:t>
        </w:r>
        <w:r w:rsidR="00C726D4">
          <w:rPr>
            <w:rStyle w:val="Hyperlink"/>
            <w:rFonts w:ascii="Arial" w:hAnsi="Arial" w:cs="Arial"/>
          </w:rPr>
          <w:t>o</w:t>
        </w:r>
        <w:r w:rsidRPr="00C5706A">
          <w:rPr>
            <w:rStyle w:val="Hyperlink"/>
            <w:rFonts w:ascii="Arial" w:hAnsi="Arial" w:cs="Arial"/>
          </w:rPr>
          <w:t xml:space="preserve">pinion: </w:t>
        </w:r>
        <w:r w:rsidR="00FA7A50" w:rsidRPr="00C5706A">
          <w:rPr>
            <w:rStyle w:val="Hyperlink"/>
            <w:rFonts w:ascii="Arial" w:hAnsi="Arial" w:cs="Arial"/>
          </w:rPr>
          <w:t xml:space="preserve">European Union (Withdrawal) Bill </w:t>
        </w:r>
        <w:r w:rsidR="00C726D4">
          <w:rPr>
            <w:rStyle w:val="Hyperlink"/>
            <w:rFonts w:ascii="Arial" w:hAnsi="Arial" w:cs="Arial"/>
          </w:rPr>
          <w:t>–</w:t>
        </w:r>
        <w:r w:rsidR="00FA7A50" w:rsidRPr="00C5706A">
          <w:rPr>
            <w:rStyle w:val="Hyperlink"/>
            <w:rFonts w:ascii="Arial" w:hAnsi="Arial" w:cs="Arial"/>
          </w:rPr>
          <w:t xml:space="preserve"> EU Charter </w:t>
        </w:r>
        <w:r w:rsidR="00C726D4">
          <w:rPr>
            <w:rStyle w:val="Hyperlink"/>
            <w:rFonts w:ascii="Arial" w:hAnsi="Arial" w:cs="Arial"/>
          </w:rPr>
          <w:t>of</w:t>
        </w:r>
        <w:r w:rsidR="00FA7A50" w:rsidRPr="00C5706A">
          <w:rPr>
            <w:rStyle w:val="Hyperlink"/>
            <w:rFonts w:ascii="Arial" w:hAnsi="Arial" w:cs="Arial"/>
          </w:rPr>
          <w:t xml:space="preserve"> Fundamental Rights</w:t>
        </w:r>
      </w:hyperlink>
      <w:r w:rsidR="001334C2" w:rsidRPr="00082446">
        <w:rPr>
          <w:rStyle w:val="Hyperlink"/>
          <w:rFonts w:ascii="Arial" w:hAnsi="Arial" w:cs="Arial"/>
          <w:u w:val="none"/>
        </w:rPr>
        <w:t xml:space="preserve"> </w:t>
      </w:r>
      <w:r w:rsidR="001334C2" w:rsidRPr="00082446">
        <w:rPr>
          <w:rStyle w:val="Hyperlink"/>
          <w:rFonts w:ascii="Arial" w:hAnsi="Arial" w:cs="Arial"/>
          <w:color w:val="0B4E60" w:themeColor="text2"/>
          <w:u w:val="none"/>
        </w:rPr>
        <w:t>[accessed: 2 July 2021]</w:t>
      </w:r>
      <w:r w:rsidRPr="0028584D">
        <w:rPr>
          <w:rFonts w:ascii="Arial" w:hAnsi="Arial" w:cs="Arial"/>
        </w:rPr>
        <w:t>.</w:t>
      </w:r>
    </w:p>
  </w:footnote>
  <w:footnote w:id="24">
    <w:p w14:paraId="449C547E" w14:textId="14FAD318" w:rsidR="003A37E6" w:rsidRPr="0028584D" w:rsidRDefault="003A37E6" w:rsidP="003A37E6">
      <w:pPr>
        <w:pStyle w:val="FootnoteText"/>
        <w:rPr>
          <w:rFonts w:ascii="Arial" w:hAnsi="Arial" w:cs="Arial"/>
        </w:rPr>
      </w:pPr>
      <w:r w:rsidRPr="009B4EED">
        <w:rPr>
          <w:rStyle w:val="FootnoteReference"/>
          <w:rFonts w:ascii="Arial" w:hAnsi="Arial" w:cs="Arial"/>
        </w:rPr>
        <w:footnoteRef/>
      </w:r>
      <w:r w:rsidRPr="009B4EED">
        <w:rPr>
          <w:rFonts w:ascii="Arial" w:hAnsi="Arial" w:cs="Arial"/>
        </w:rPr>
        <w:t xml:space="preserve"> E</w:t>
      </w:r>
      <w:r w:rsidR="00C726D4">
        <w:rPr>
          <w:rFonts w:ascii="Arial" w:hAnsi="Arial" w:cs="Arial"/>
        </w:rPr>
        <w:t>HRC</w:t>
      </w:r>
      <w:r w:rsidR="00467FDA">
        <w:rPr>
          <w:rFonts w:ascii="Arial" w:hAnsi="Arial" w:cs="Arial"/>
        </w:rPr>
        <w:t xml:space="preserve"> (2018), </w:t>
      </w:r>
      <w:hyperlink r:id="rId27" w:history="1">
        <w:r w:rsidRPr="00467FDA">
          <w:rPr>
            <w:rStyle w:val="Hyperlink"/>
            <w:rFonts w:ascii="Arial" w:hAnsi="Arial" w:cs="Arial"/>
          </w:rPr>
          <w:t>Brexit and the EU Charter of Fundamental Rights: our concerns</w:t>
        </w:r>
      </w:hyperlink>
      <w:r w:rsidR="001334C2">
        <w:rPr>
          <w:rStyle w:val="Hyperlink"/>
          <w:rFonts w:ascii="Arial" w:hAnsi="Arial" w:cs="Arial"/>
        </w:rPr>
        <w:t xml:space="preserve"> </w:t>
      </w:r>
      <w:r w:rsidR="001334C2" w:rsidRPr="00082446">
        <w:rPr>
          <w:rStyle w:val="Hyperlink"/>
          <w:rFonts w:ascii="Arial" w:hAnsi="Arial" w:cs="Arial"/>
          <w:color w:val="0B4E60" w:themeColor="text2"/>
          <w:u w:val="none"/>
        </w:rPr>
        <w:t>[accessed: 2 July 2021]</w:t>
      </w:r>
      <w:r w:rsidR="00467FDA" w:rsidRPr="0028584D">
        <w:rPr>
          <w:rFonts w:ascii="Arial" w:hAnsi="Arial" w:cs="Arial"/>
        </w:rPr>
        <w:t>.</w:t>
      </w:r>
      <w:r w:rsidRPr="0028584D">
        <w:rPr>
          <w:rFonts w:ascii="Arial" w:hAnsi="Arial" w:cs="Arial"/>
        </w:rPr>
        <w:t xml:space="preserve"> </w:t>
      </w:r>
    </w:p>
  </w:footnote>
  <w:footnote w:id="25">
    <w:p w14:paraId="2DFE05E6" w14:textId="35A4AF8A" w:rsidR="00B17A88" w:rsidRDefault="00B17A88">
      <w:pPr>
        <w:pStyle w:val="FootnoteText"/>
      </w:pPr>
      <w:r>
        <w:rPr>
          <w:rStyle w:val="FootnoteReference"/>
        </w:rPr>
        <w:footnoteRef/>
      </w:r>
      <w:r>
        <w:t xml:space="preserve"> </w:t>
      </w:r>
      <w:r w:rsidRPr="00DD283A">
        <w:rPr>
          <w:u w:color="009C98" w:themeColor="accent1"/>
        </w:rPr>
        <w:t xml:space="preserve">Committee </w:t>
      </w:r>
      <w:r>
        <w:rPr>
          <w:u w:color="009C98" w:themeColor="accent1"/>
        </w:rPr>
        <w:t>on the Elimination of Discrimination against Women</w:t>
      </w:r>
      <w:r w:rsidRPr="00DD283A">
        <w:rPr>
          <w:u w:color="009C98" w:themeColor="accent1"/>
        </w:rPr>
        <w:t xml:space="preserve"> (2019), </w:t>
      </w:r>
      <w:hyperlink r:id="rId28" w:history="1">
        <w:r w:rsidRPr="0049205A">
          <w:rPr>
            <w:rStyle w:val="Hyperlink"/>
          </w:rPr>
          <w:t>Concluding observations</w:t>
        </w:r>
      </w:hyperlink>
      <w:r w:rsidR="001334C2">
        <w:rPr>
          <w:rStyle w:val="Hyperlink"/>
        </w:rPr>
        <w:t xml:space="preserve"> </w:t>
      </w:r>
      <w:r w:rsidR="001334C2" w:rsidRPr="001334C2">
        <w:rPr>
          <w:rStyle w:val="Hyperlink"/>
        </w:rPr>
        <w:t>on the eighth periodic report of the United Kingdom of Great Britain and Northern Ireland, CEDAW/C/GBR/CO/8</w:t>
      </w:r>
      <w:r w:rsidRPr="0049205A">
        <w:rPr>
          <w:u w:color="009C98" w:themeColor="accent1"/>
        </w:rPr>
        <w:t>, para</w:t>
      </w:r>
      <w:r w:rsidR="007C3D59">
        <w:rPr>
          <w:u w:color="009C98" w:themeColor="accent1"/>
        </w:rPr>
        <w:t>.</w:t>
      </w:r>
      <w:r>
        <w:rPr>
          <w:u w:color="009C98" w:themeColor="accent1"/>
        </w:rPr>
        <w:t xml:space="preserve"> 64</w:t>
      </w:r>
      <w:r w:rsidR="001334C2">
        <w:rPr>
          <w:u w:color="009C98" w:themeColor="accent1"/>
        </w:rPr>
        <w:t xml:space="preserve"> [accessed: 2 July 2021]</w:t>
      </w:r>
      <w:r w:rsidRPr="00DD283A">
        <w:rPr>
          <w:u w:color="009C98" w:themeColor="accent1"/>
        </w:rPr>
        <w:t>.</w:t>
      </w:r>
    </w:p>
  </w:footnote>
  <w:footnote w:id="26">
    <w:p w14:paraId="735F6B30" w14:textId="69C55A56" w:rsidR="00B17A88" w:rsidRPr="00C5706A" w:rsidRDefault="00B17A88" w:rsidP="003B5E65">
      <w:pPr>
        <w:pStyle w:val="FootnoteText"/>
        <w:rPr>
          <w:rFonts w:ascii="Arial" w:hAnsi="Arial" w:cs="Arial"/>
          <w:b/>
          <w:bCs/>
        </w:rPr>
      </w:pPr>
      <w:r w:rsidRPr="00C5706A">
        <w:rPr>
          <w:rStyle w:val="FootnoteReference"/>
          <w:rFonts w:ascii="Arial" w:hAnsi="Arial" w:cs="Arial"/>
        </w:rPr>
        <w:footnoteRef/>
      </w:r>
      <w:r w:rsidRPr="00C5706A">
        <w:rPr>
          <w:rFonts w:ascii="Arial" w:hAnsi="Arial" w:cs="Arial"/>
        </w:rPr>
        <w:t xml:space="preserve"> GEO (2019), </w:t>
      </w:r>
      <w:hyperlink r:id="rId29" w:history="1">
        <w:r w:rsidRPr="00C5706A">
          <w:rPr>
            <w:rStyle w:val="Hyperlink"/>
            <w:rFonts w:ascii="Arial" w:hAnsi="Arial" w:cs="Arial"/>
          </w:rPr>
          <w:t xml:space="preserve">Gender </w:t>
        </w:r>
        <w:r w:rsidR="00A4671C">
          <w:rPr>
            <w:rStyle w:val="Hyperlink"/>
            <w:rFonts w:ascii="Arial" w:hAnsi="Arial" w:cs="Arial"/>
          </w:rPr>
          <w:t>E</w:t>
        </w:r>
        <w:r w:rsidRPr="00C5706A">
          <w:rPr>
            <w:rStyle w:val="Hyperlink"/>
            <w:rFonts w:ascii="Arial" w:hAnsi="Arial" w:cs="Arial"/>
          </w:rPr>
          <w:t xml:space="preserve">quality at </w:t>
        </w:r>
        <w:r w:rsidR="00A4671C">
          <w:rPr>
            <w:rStyle w:val="Hyperlink"/>
            <w:rFonts w:ascii="Arial" w:hAnsi="Arial" w:cs="Arial"/>
          </w:rPr>
          <w:t>E</w:t>
        </w:r>
        <w:r w:rsidRPr="00C5706A">
          <w:rPr>
            <w:rStyle w:val="Hyperlink"/>
            <w:rFonts w:ascii="Arial" w:hAnsi="Arial" w:cs="Arial"/>
          </w:rPr>
          <w:t xml:space="preserve">very </w:t>
        </w:r>
        <w:r w:rsidR="00A4671C">
          <w:rPr>
            <w:rStyle w:val="Hyperlink"/>
            <w:rFonts w:ascii="Arial" w:hAnsi="Arial" w:cs="Arial"/>
          </w:rPr>
          <w:t>S</w:t>
        </w:r>
        <w:r w:rsidRPr="00C5706A">
          <w:rPr>
            <w:rStyle w:val="Hyperlink"/>
            <w:rFonts w:ascii="Arial" w:hAnsi="Arial" w:cs="Arial"/>
          </w:rPr>
          <w:t xml:space="preserve">tage: </w:t>
        </w:r>
        <w:r w:rsidR="00A4671C">
          <w:rPr>
            <w:rStyle w:val="Hyperlink"/>
            <w:rFonts w:ascii="Arial" w:hAnsi="Arial" w:cs="Arial"/>
          </w:rPr>
          <w:t>A</w:t>
        </w:r>
        <w:r w:rsidRPr="00C5706A">
          <w:rPr>
            <w:rStyle w:val="Hyperlink"/>
            <w:rFonts w:ascii="Arial" w:hAnsi="Arial" w:cs="Arial"/>
          </w:rPr>
          <w:t xml:space="preserve"> </w:t>
        </w:r>
        <w:r w:rsidR="00A4671C">
          <w:rPr>
            <w:rStyle w:val="Hyperlink"/>
            <w:rFonts w:ascii="Arial" w:hAnsi="Arial" w:cs="Arial"/>
          </w:rPr>
          <w:t>R</w:t>
        </w:r>
        <w:r w:rsidRPr="00C5706A">
          <w:rPr>
            <w:rStyle w:val="Hyperlink"/>
            <w:rFonts w:ascii="Arial" w:hAnsi="Arial" w:cs="Arial"/>
          </w:rPr>
          <w:t xml:space="preserve">oadmap for </w:t>
        </w:r>
        <w:r w:rsidR="00A4671C">
          <w:rPr>
            <w:rStyle w:val="Hyperlink"/>
            <w:rFonts w:ascii="Arial" w:hAnsi="Arial" w:cs="Arial"/>
          </w:rPr>
          <w:t>C</w:t>
        </w:r>
        <w:r w:rsidRPr="00C5706A">
          <w:rPr>
            <w:rStyle w:val="Hyperlink"/>
            <w:rFonts w:ascii="Arial" w:hAnsi="Arial" w:cs="Arial"/>
          </w:rPr>
          <w:t>hange</w:t>
        </w:r>
      </w:hyperlink>
      <w:r w:rsidR="00A4671C">
        <w:rPr>
          <w:rStyle w:val="Hyperlink"/>
          <w:rFonts w:ascii="Arial" w:hAnsi="Arial" w:cs="Arial"/>
        </w:rPr>
        <w:t xml:space="preserve"> </w:t>
      </w:r>
      <w:r w:rsidR="00A4671C" w:rsidRPr="00082446">
        <w:rPr>
          <w:rStyle w:val="Hyperlink"/>
          <w:rFonts w:ascii="Arial" w:hAnsi="Arial" w:cs="Arial"/>
          <w:color w:val="0B4E60" w:themeColor="text2"/>
          <w:u w:val="none"/>
        </w:rPr>
        <w:t>[accessed: 2</w:t>
      </w:r>
      <w:r w:rsidR="00AE1888">
        <w:rPr>
          <w:rStyle w:val="Hyperlink"/>
          <w:rFonts w:ascii="Arial" w:hAnsi="Arial" w:cs="Arial"/>
          <w:color w:val="0B4E60" w:themeColor="text2"/>
          <w:u w:val="none"/>
        </w:rPr>
        <w:t xml:space="preserve"> </w:t>
      </w:r>
      <w:r w:rsidR="00A4671C" w:rsidRPr="00082446">
        <w:rPr>
          <w:rStyle w:val="Hyperlink"/>
          <w:rFonts w:ascii="Arial" w:hAnsi="Arial" w:cs="Arial"/>
          <w:color w:val="0B4E60" w:themeColor="text2"/>
          <w:u w:val="none"/>
        </w:rPr>
        <w:t>July 2021]</w:t>
      </w:r>
      <w:r w:rsidRPr="0028584D">
        <w:rPr>
          <w:rFonts w:ascii="Arial" w:hAnsi="Arial" w:cs="Arial"/>
          <w:bCs/>
        </w:rPr>
        <w:t>.</w:t>
      </w:r>
    </w:p>
  </w:footnote>
  <w:footnote w:id="27">
    <w:p w14:paraId="7F3D4343" w14:textId="70B80A89" w:rsidR="00B17A88" w:rsidRDefault="00B17A88">
      <w:pPr>
        <w:pStyle w:val="FootnoteText"/>
      </w:pPr>
      <w:r>
        <w:rPr>
          <w:rStyle w:val="FootnoteReference"/>
        </w:rPr>
        <w:footnoteRef/>
      </w:r>
      <w:r>
        <w:t xml:space="preserve"> GEO (2019), </w:t>
      </w:r>
      <w:hyperlink r:id="rId30" w:history="1">
        <w:r w:rsidRPr="00125C49">
          <w:rPr>
            <w:rStyle w:val="Hyperlink"/>
          </w:rPr>
          <w:t xml:space="preserve">The Gender Equality Monitor: </w:t>
        </w:r>
        <w:r w:rsidR="00A4671C">
          <w:rPr>
            <w:rStyle w:val="Hyperlink"/>
          </w:rPr>
          <w:t>T</w:t>
        </w:r>
        <w:r w:rsidRPr="00125C49">
          <w:rPr>
            <w:rStyle w:val="Hyperlink"/>
          </w:rPr>
          <w:t xml:space="preserve">racking </w:t>
        </w:r>
        <w:r w:rsidR="00A4671C">
          <w:rPr>
            <w:rStyle w:val="Hyperlink"/>
          </w:rPr>
          <w:t>P</w:t>
        </w:r>
        <w:r w:rsidRPr="00125C49">
          <w:rPr>
            <w:rStyle w:val="Hyperlink"/>
          </w:rPr>
          <w:t xml:space="preserve">rogress on </w:t>
        </w:r>
        <w:r w:rsidR="00A4671C">
          <w:rPr>
            <w:rStyle w:val="Hyperlink"/>
          </w:rPr>
          <w:t>G</w:t>
        </w:r>
        <w:r w:rsidRPr="00125C49">
          <w:rPr>
            <w:rStyle w:val="Hyperlink"/>
          </w:rPr>
          <w:t xml:space="preserve">ender </w:t>
        </w:r>
        <w:r w:rsidR="00A4671C">
          <w:rPr>
            <w:rStyle w:val="Hyperlink"/>
          </w:rPr>
          <w:t>E</w:t>
        </w:r>
        <w:r w:rsidRPr="00125C49">
          <w:rPr>
            <w:rStyle w:val="Hyperlink"/>
          </w:rPr>
          <w:t>quality</w:t>
        </w:r>
      </w:hyperlink>
      <w:r w:rsidR="00A4671C" w:rsidRPr="00082446">
        <w:rPr>
          <w:rStyle w:val="Hyperlink"/>
          <w:u w:val="none"/>
        </w:rPr>
        <w:t xml:space="preserve"> </w:t>
      </w:r>
      <w:r w:rsidR="00A4671C" w:rsidRPr="00082446">
        <w:rPr>
          <w:rStyle w:val="Hyperlink"/>
          <w:color w:val="0B4E60" w:themeColor="text2"/>
          <w:u w:val="none"/>
        </w:rPr>
        <w:t>[accessed: 2 July 2021]</w:t>
      </w:r>
      <w:r w:rsidRPr="0028584D">
        <w:t xml:space="preserve">. </w:t>
      </w:r>
    </w:p>
  </w:footnote>
  <w:footnote w:id="28">
    <w:p w14:paraId="47E56199" w14:textId="5C4FBE25" w:rsidR="004630C9" w:rsidRDefault="004630C9" w:rsidP="004630C9">
      <w:pPr>
        <w:pStyle w:val="FootnoteText"/>
      </w:pPr>
      <w:r>
        <w:rPr>
          <w:rStyle w:val="FootnoteReference"/>
        </w:rPr>
        <w:footnoteRef/>
      </w:r>
      <w:r>
        <w:t xml:space="preserve"> Chwarae Teg (2019)</w:t>
      </w:r>
      <w:r w:rsidR="0025642A">
        <w:t>,</w:t>
      </w:r>
      <w:r>
        <w:t xml:space="preserve"> </w:t>
      </w:r>
      <w:hyperlink r:id="rId31" w:history="1">
        <w:r w:rsidRPr="0025642A">
          <w:rPr>
            <w:rStyle w:val="Hyperlink"/>
            <w:rFonts w:ascii="Arial" w:hAnsi="Arial" w:cs="Arial"/>
          </w:rPr>
          <w:t>Deeds Not Words: Review of Gender Equality in Wales</w:t>
        </w:r>
      </w:hyperlink>
      <w:r w:rsidR="00E64366">
        <w:rPr>
          <w:rStyle w:val="Hyperlink"/>
          <w:rFonts w:ascii="Arial" w:hAnsi="Arial" w:cs="Arial"/>
        </w:rPr>
        <w:t xml:space="preserve"> (Phase Two)</w:t>
      </w:r>
      <w:r w:rsidR="00C54CE3" w:rsidRPr="00082446">
        <w:rPr>
          <w:rStyle w:val="Hyperlink"/>
          <w:rFonts w:ascii="Arial" w:hAnsi="Arial" w:cs="Arial"/>
          <w:u w:val="none"/>
        </w:rPr>
        <w:t xml:space="preserve"> </w:t>
      </w:r>
      <w:r w:rsidR="00C54CE3" w:rsidRPr="00082446">
        <w:rPr>
          <w:rStyle w:val="Hyperlink"/>
          <w:rFonts w:ascii="Arial" w:hAnsi="Arial" w:cs="Arial"/>
          <w:color w:val="0B4E60" w:themeColor="text2"/>
          <w:u w:val="none"/>
        </w:rPr>
        <w:t>[accessed: 2 July 2021]</w:t>
      </w:r>
      <w:r w:rsidRPr="00082446">
        <w:rPr>
          <w:rStyle w:val="Hyperlink"/>
          <w:rFonts w:ascii="Arial" w:hAnsi="Arial" w:cs="Arial"/>
          <w:color w:val="0B4E60" w:themeColor="text2"/>
          <w:u w:val="none"/>
        </w:rPr>
        <w:t>.</w:t>
      </w:r>
    </w:p>
  </w:footnote>
  <w:footnote w:id="29">
    <w:p w14:paraId="09CD1E37" w14:textId="264BEB31" w:rsidR="00EC5395" w:rsidRPr="0028584D" w:rsidRDefault="00EC5395" w:rsidP="00EC5395">
      <w:pPr>
        <w:pStyle w:val="FootnoteText"/>
      </w:pPr>
      <w:r>
        <w:rPr>
          <w:rStyle w:val="FootnoteReference"/>
        </w:rPr>
        <w:footnoteRef/>
      </w:r>
      <w:r>
        <w:t xml:space="preserve"> Chwarae Teg (2019)</w:t>
      </w:r>
      <w:r w:rsidR="0025642A">
        <w:t>,</w:t>
      </w:r>
      <w:r>
        <w:t xml:space="preserve"> </w:t>
      </w:r>
      <w:r w:rsidR="00E64366">
        <w:t xml:space="preserve">Gender Equality: </w:t>
      </w:r>
      <w:hyperlink r:id="rId32" w:history="1">
        <w:r w:rsidRPr="0025642A">
          <w:rPr>
            <w:rStyle w:val="Hyperlink"/>
            <w:rFonts w:ascii="Arial" w:hAnsi="Arial" w:cs="Arial"/>
          </w:rPr>
          <w:t>A Roadmap for Wales</w:t>
        </w:r>
      </w:hyperlink>
      <w:r w:rsidR="00C54CE3" w:rsidRPr="00082446">
        <w:rPr>
          <w:rStyle w:val="Hyperlink"/>
          <w:rFonts w:ascii="Arial" w:hAnsi="Arial" w:cs="Arial"/>
          <w:u w:val="none"/>
        </w:rPr>
        <w:t xml:space="preserve"> </w:t>
      </w:r>
      <w:r w:rsidR="00C54CE3" w:rsidRPr="00082446">
        <w:rPr>
          <w:rStyle w:val="Hyperlink"/>
          <w:rFonts w:ascii="Arial" w:hAnsi="Arial" w:cs="Arial"/>
          <w:color w:val="0B4E60" w:themeColor="text2"/>
          <w:u w:val="none"/>
        </w:rPr>
        <w:t>[accessed: 2 July 2021]</w:t>
      </w:r>
      <w:r w:rsidR="0025642A" w:rsidRPr="00082446">
        <w:rPr>
          <w:rStyle w:val="Hyperlink"/>
          <w:rFonts w:ascii="Arial" w:hAnsi="Arial" w:cs="Arial"/>
          <w:color w:val="0B4E60" w:themeColor="text2"/>
          <w:u w:val="none"/>
        </w:rPr>
        <w:t>.</w:t>
      </w:r>
    </w:p>
  </w:footnote>
  <w:footnote w:id="30">
    <w:p w14:paraId="1D0CE16D" w14:textId="07B277A5" w:rsidR="00EC5395" w:rsidRPr="0028584D" w:rsidRDefault="00EC5395" w:rsidP="00EC5395">
      <w:pPr>
        <w:pStyle w:val="FootnoteText"/>
      </w:pPr>
      <w:r>
        <w:rPr>
          <w:rStyle w:val="FootnoteReference"/>
        </w:rPr>
        <w:footnoteRef/>
      </w:r>
      <w:r>
        <w:t xml:space="preserve"> Welsh Government (2019)</w:t>
      </w:r>
      <w:r w:rsidR="0025642A">
        <w:t>,</w:t>
      </w:r>
      <w:r>
        <w:t xml:space="preserve"> </w:t>
      </w:r>
      <w:hyperlink r:id="rId33" w:anchor=":~:text=Home-,Welsh%20Government%20accepts%20'Deeds%20Not%20Words'%20Gender%20Review%20Report,a%20fair%20and%20just%20society" w:history="1">
        <w:r w:rsidRPr="0025642A">
          <w:rPr>
            <w:rStyle w:val="Hyperlink"/>
            <w:rFonts w:ascii="Arial" w:hAnsi="Arial" w:cs="Arial"/>
          </w:rPr>
          <w:t xml:space="preserve">Press </w:t>
        </w:r>
        <w:r w:rsidR="00E64366">
          <w:rPr>
            <w:rStyle w:val="Hyperlink"/>
            <w:rFonts w:ascii="Arial" w:hAnsi="Arial" w:cs="Arial"/>
          </w:rPr>
          <w:t>r</w:t>
        </w:r>
        <w:r w:rsidRPr="0025642A">
          <w:rPr>
            <w:rStyle w:val="Hyperlink"/>
            <w:rFonts w:ascii="Arial" w:hAnsi="Arial" w:cs="Arial"/>
          </w:rPr>
          <w:t>elease: Welsh Government accepts ‘Deeds Not Words’ Gender Review Report</w:t>
        </w:r>
      </w:hyperlink>
      <w:r w:rsidR="00C54CE3" w:rsidRPr="00082446">
        <w:rPr>
          <w:rStyle w:val="Hyperlink"/>
          <w:rFonts w:ascii="Arial" w:hAnsi="Arial" w:cs="Arial"/>
          <w:u w:val="none"/>
        </w:rPr>
        <w:t xml:space="preserve"> </w:t>
      </w:r>
      <w:r w:rsidR="00C54CE3" w:rsidRPr="00082446">
        <w:rPr>
          <w:rStyle w:val="Hyperlink"/>
          <w:rFonts w:ascii="Arial" w:hAnsi="Arial" w:cs="Arial"/>
          <w:color w:val="0B4E60" w:themeColor="text2"/>
          <w:u w:val="none"/>
        </w:rPr>
        <w:t>[accessed: 2 July 2021]</w:t>
      </w:r>
      <w:r w:rsidRPr="0028584D">
        <w:rPr>
          <w:lang w:val="en"/>
        </w:rPr>
        <w:t xml:space="preserve">. </w:t>
      </w:r>
    </w:p>
  </w:footnote>
  <w:footnote w:id="31">
    <w:p w14:paraId="73DB1C31" w14:textId="630B58B7" w:rsidR="00EC5395" w:rsidRDefault="00EC5395" w:rsidP="00EC5395">
      <w:pPr>
        <w:pStyle w:val="FootnoteText"/>
      </w:pPr>
      <w:r>
        <w:rPr>
          <w:rStyle w:val="FootnoteReference"/>
        </w:rPr>
        <w:footnoteRef/>
      </w:r>
      <w:r>
        <w:t xml:space="preserve"> Welsh Government (2020)</w:t>
      </w:r>
      <w:r w:rsidR="0025642A">
        <w:t>,</w:t>
      </w:r>
      <w:r>
        <w:t xml:space="preserve"> </w:t>
      </w:r>
      <w:r w:rsidR="00C54CE3">
        <w:t>‘</w:t>
      </w:r>
      <w:hyperlink r:id="rId34" w:history="1">
        <w:r w:rsidRPr="0025642A">
          <w:rPr>
            <w:rStyle w:val="Hyperlink"/>
            <w:rFonts w:ascii="Arial" w:hAnsi="Arial" w:cs="Arial"/>
          </w:rPr>
          <w:t>Cabinet meeting: Response to Phase 2 Gender Equality Review report and roadmap</w:t>
        </w:r>
      </w:hyperlink>
      <w:r w:rsidR="00C54CE3">
        <w:rPr>
          <w:rStyle w:val="Hyperlink"/>
          <w:rFonts w:ascii="Arial" w:hAnsi="Arial" w:cs="Arial"/>
        </w:rPr>
        <w:t>’</w:t>
      </w:r>
      <w:r w:rsidR="00C54CE3" w:rsidRPr="00082446">
        <w:rPr>
          <w:rStyle w:val="Hyperlink"/>
          <w:rFonts w:ascii="Arial" w:hAnsi="Arial" w:cs="Arial"/>
          <w:u w:val="none"/>
        </w:rPr>
        <w:t xml:space="preserve"> </w:t>
      </w:r>
      <w:r w:rsidR="00C54CE3" w:rsidRPr="00082446">
        <w:rPr>
          <w:rStyle w:val="Hyperlink"/>
          <w:rFonts w:ascii="Arial" w:hAnsi="Arial" w:cs="Arial"/>
          <w:color w:val="0B4E60" w:themeColor="text2"/>
          <w:u w:val="none"/>
        </w:rPr>
        <w:t>[accessed: 2 July 2021]</w:t>
      </w:r>
      <w:r w:rsidRPr="0028584D">
        <w:rPr>
          <w:lang w:val="en"/>
        </w:rPr>
        <w:t xml:space="preserve">. </w:t>
      </w:r>
    </w:p>
  </w:footnote>
  <w:footnote w:id="32">
    <w:p w14:paraId="15302C5F" w14:textId="192B7F48" w:rsidR="00EC5395" w:rsidRPr="0028584D" w:rsidRDefault="00EC5395" w:rsidP="00EC5395">
      <w:pPr>
        <w:pStyle w:val="FootnoteText"/>
      </w:pPr>
      <w:r>
        <w:rPr>
          <w:rStyle w:val="FootnoteReference"/>
        </w:rPr>
        <w:footnoteRef/>
      </w:r>
      <w:r>
        <w:t xml:space="preserve"> Welsh Government (2020)</w:t>
      </w:r>
      <w:r w:rsidR="0025642A">
        <w:t>,</w:t>
      </w:r>
      <w:r>
        <w:t xml:space="preserve"> </w:t>
      </w:r>
      <w:hyperlink r:id="rId35" w:history="1">
        <w:r w:rsidRPr="0025642A">
          <w:rPr>
            <w:rStyle w:val="Hyperlink"/>
            <w:rFonts w:ascii="Arial" w:hAnsi="Arial" w:cs="Arial"/>
          </w:rPr>
          <w:t>Advancing Gender Equality in Wales Plan</w:t>
        </w:r>
      </w:hyperlink>
      <w:r w:rsidR="00C54CE3">
        <w:rPr>
          <w:rStyle w:val="Hyperlink"/>
          <w:rFonts w:ascii="Arial" w:hAnsi="Arial" w:cs="Arial"/>
        </w:rPr>
        <w:t xml:space="preserve"> </w:t>
      </w:r>
      <w:r w:rsidR="00C54CE3" w:rsidRPr="00082446">
        <w:rPr>
          <w:rStyle w:val="Hyperlink"/>
          <w:rFonts w:ascii="Arial" w:hAnsi="Arial" w:cs="Arial"/>
          <w:color w:val="0B4E60" w:themeColor="text2"/>
          <w:u w:val="none"/>
        </w:rPr>
        <w:t>[accessed: 2 July 2021]</w:t>
      </w:r>
      <w:r w:rsidRPr="0028584D">
        <w:t xml:space="preserve">. </w:t>
      </w:r>
    </w:p>
  </w:footnote>
  <w:footnote w:id="33">
    <w:p w14:paraId="0FF786F5" w14:textId="376B4B36" w:rsidR="00793C77" w:rsidRDefault="00793C77">
      <w:pPr>
        <w:pStyle w:val="FootnoteText"/>
      </w:pPr>
      <w:r>
        <w:rPr>
          <w:rStyle w:val="FootnoteReference"/>
        </w:rPr>
        <w:footnoteRef/>
      </w:r>
      <w:r>
        <w:t xml:space="preserve"> Welsh Government (2021), </w:t>
      </w:r>
      <w:hyperlink r:id="rId36" w:history="1">
        <w:r w:rsidRPr="000320CD">
          <w:rPr>
            <w:rStyle w:val="Hyperlink"/>
            <w:rFonts w:ascii="Arial" w:hAnsi="Arial" w:cs="Arial"/>
          </w:rPr>
          <w:t>Programme for Government</w:t>
        </w:r>
      </w:hyperlink>
      <w:r w:rsidR="00E64366">
        <w:rPr>
          <w:rStyle w:val="Hyperlink"/>
          <w:rFonts w:ascii="Arial" w:hAnsi="Arial" w:cs="Arial"/>
        </w:rPr>
        <w:t xml:space="preserve"> 2021 to 2026</w:t>
      </w:r>
      <w:r w:rsidR="00C54CE3">
        <w:rPr>
          <w:rStyle w:val="Hyperlink"/>
          <w:rFonts w:ascii="Arial" w:hAnsi="Arial" w:cs="Arial"/>
        </w:rPr>
        <w:t xml:space="preserve"> </w:t>
      </w:r>
      <w:r w:rsidR="00C54CE3" w:rsidRPr="00082446">
        <w:rPr>
          <w:rStyle w:val="Hyperlink"/>
          <w:rFonts w:ascii="Arial" w:hAnsi="Arial" w:cs="Arial"/>
          <w:color w:val="0B4E60" w:themeColor="text2"/>
          <w:u w:val="none"/>
        </w:rPr>
        <w:t>[accessed: 2 July 2021]</w:t>
      </w:r>
      <w:r w:rsidRPr="00082446">
        <w:rPr>
          <w:rStyle w:val="Hyperlink"/>
          <w:rFonts w:ascii="Arial" w:hAnsi="Arial" w:cs="Arial"/>
          <w:color w:val="0B4E60" w:themeColor="text2"/>
          <w:u w:val="none"/>
        </w:rPr>
        <w:t>.</w:t>
      </w:r>
    </w:p>
  </w:footnote>
  <w:footnote w:id="34">
    <w:p w14:paraId="07926E3D" w14:textId="7C05DD09" w:rsidR="00B17A88" w:rsidRPr="00472BB3" w:rsidRDefault="00B17A88" w:rsidP="00B0785D">
      <w:pPr>
        <w:pStyle w:val="FootnoteText"/>
        <w:rPr>
          <w:rFonts w:ascii="Arial" w:hAnsi="Arial" w:cs="Arial"/>
        </w:rPr>
      </w:pPr>
      <w:r w:rsidRPr="00472BB3">
        <w:rPr>
          <w:rStyle w:val="FootnoteReference"/>
          <w:rFonts w:ascii="Arial" w:hAnsi="Arial" w:cs="Arial"/>
        </w:rPr>
        <w:footnoteRef/>
      </w:r>
      <w:r w:rsidRPr="00472BB3">
        <w:rPr>
          <w:rFonts w:ascii="Arial" w:hAnsi="Arial" w:cs="Arial"/>
        </w:rPr>
        <w:t xml:space="preserve"> UN Office of the High Commissioner for Human Rights (2017), </w:t>
      </w:r>
      <w:hyperlink r:id="rId37" w:history="1">
        <w:r w:rsidRPr="00472BB3">
          <w:rPr>
            <w:rStyle w:val="Hyperlink"/>
            <w:rFonts w:ascii="Arial" w:hAnsi="Arial" w:cs="Arial"/>
          </w:rPr>
          <w:t>Letter from the High Commissioner for Human Rights to the Secretary of State for Foreign and Commonwealth Affairs</w:t>
        </w:r>
      </w:hyperlink>
      <w:r w:rsidR="00C54CE3" w:rsidRPr="00082446">
        <w:rPr>
          <w:rStyle w:val="Hyperlink"/>
          <w:rFonts w:ascii="Arial" w:hAnsi="Arial" w:cs="Arial"/>
          <w:u w:val="none"/>
        </w:rPr>
        <w:t xml:space="preserve"> </w:t>
      </w:r>
      <w:r w:rsidR="00C54CE3" w:rsidRPr="00082446">
        <w:rPr>
          <w:rStyle w:val="Hyperlink"/>
          <w:rFonts w:ascii="Arial" w:hAnsi="Arial" w:cs="Arial"/>
          <w:color w:val="0B4E60" w:themeColor="text2"/>
          <w:u w:val="none"/>
        </w:rPr>
        <w:t>[accessed: 2 July 2021]</w:t>
      </w:r>
      <w:r w:rsidRPr="0028584D">
        <w:rPr>
          <w:rFonts w:ascii="Arial" w:hAnsi="Arial" w:cs="Arial"/>
        </w:rPr>
        <w:t>.</w:t>
      </w:r>
    </w:p>
  </w:footnote>
  <w:footnote w:id="35">
    <w:p w14:paraId="4EE4DB1F" w14:textId="4BD2690B" w:rsidR="00B17A88" w:rsidRPr="00472BB3" w:rsidRDefault="00B17A88" w:rsidP="00B0785D">
      <w:pPr>
        <w:pStyle w:val="FootnoteText"/>
        <w:rPr>
          <w:rFonts w:ascii="Arial" w:hAnsi="Arial" w:cs="Arial"/>
        </w:rPr>
      </w:pPr>
      <w:r w:rsidRPr="00472BB3">
        <w:rPr>
          <w:rStyle w:val="FootnoteReference"/>
          <w:rFonts w:ascii="Arial" w:hAnsi="Arial" w:cs="Arial"/>
        </w:rPr>
        <w:footnoteRef/>
      </w:r>
      <w:r w:rsidRPr="00472BB3">
        <w:rPr>
          <w:rFonts w:ascii="Arial" w:hAnsi="Arial" w:cs="Arial"/>
        </w:rPr>
        <w:t xml:space="preserve"> </w:t>
      </w:r>
      <w:r w:rsidR="000D60C2">
        <w:rPr>
          <w:rFonts w:ascii="Arial" w:hAnsi="Arial" w:cs="Arial"/>
        </w:rPr>
        <w:t xml:space="preserve">House of Commons </w:t>
      </w:r>
      <w:r w:rsidRPr="00472BB3">
        <w:rPr>
          <w:rFonts w:ascii="Arial" w:hAnsi="Arial" w:cs="Arial"/>
        </w:rPr>
        <w:t xml:space="preserve">Women and Equalities Committee (2019), </w:t>
      </w:r>
      <w:hyperlink r:id="rId38" w:history="1">
        <w:r w:rsidRPr="00472BB3">
          <w:rPr>
            <w:rStyle w:val="Hyperlink"/>
            <w:rFonts w:ascii="Arial" w:hAnsi="Arial" w:cs="Arial"/>
          </w:rPr>
          <w:t>Letter from Women and Equalities Select Committee to Chair of Committee on the Elimination of Discrimination Against Women</w:t>
        </w:r>
      </w:hyperlink>
      <w:r w:rsidR="00C54CE3" w:rsidRPr="00082446">
        <w:rPr>
          <w:rStyle w:val="Hyperlink"/>
          <w:rFonts w:ascii="Arial" w:hAnsi="Arial" w:cs="Arial"/>
          <w:u w:val="none"/>
        </w:rPr>
        <w:t xml:space="preserve"> </w:t>
      </w:r>
      <w:r w:rsidR="00C54CE3" w:rsidRPr="00082446">
        <w:rPr>
          <w:rStyle w:val="Hyperlink"/>
          <w:rFonts w:ascii="Arial" w:hAnsi="Arial" w:cs="Arial"/>
          <w:color w:val="0B4E60" w:themeColor="text2"/>
          <w:u w:val="none"/>
        </w:rPr>
        <w:t>[accessed: 2 July 2021]</w:t>
      </w:r>
      <w:r w:rsidR="00D5482A" w:rsidRPr="0028584D">
        <w:rPr>
          <w:rFonts w:ascii="Arial" w:hAnsi="Arial" w:cs="Arial"/>
        </w:rPr>
        <w:t>.</w:t>
      </w:r>
    </w:p>
  </w:footnote>
  <w:footnote w:id="36">
    <w:p w14:paraId="6860D91F" w14:textId="621496F9" w:rsidR="00B17A88" w:rsidRPr="0028584D" w:rsidRDefault="00B17A88">
      <w:pPr>
        <w:pStyle w:val="FootnoteText"/>
      </w:pPr>
      <w:r>
        <w:rPr>
          <w:rStyle w:val="FootnoteReference"/>
        </w:rPr>
        <w:footnoteRef/>
      </w:r>
      <w:r>
        <w:t xml:space="preserve"> T</w:t>
      </w:r>
      <w:r w:rsidRPr="004626EE">
        <w:t>he Children, Young People and Education Committee’s inquiry into children’s rights encouraged the Welsh Government to consider options for a formal mon</w:t>
      </w:r>
      <w:r>
        <w:t>itoring mechanism</w:t>
      </w:r>
      <w:r w:rsidR="000D60C2">
        <w:t>. See</w:t>
      </w:r>
      <w:r>
        <w:t xml:space="preserve">: </w:t>
      </w:r>
      <w:r w:rsidRPr="004626EE">
        <w:t xml:space="preserve">Children, Young People and Education Committee </w:t>
      </w:r>
      <w:r>
        <w:t xml:space="preserve">(2021), </w:t>
      </w:r>
      <w:hyperlink r:id="rId39" w:history="1">
        <w:r w:rsidRPr="004626EE">
          <w:rPr>
            <w:rStyle w:val="Hyperlink"/>
          </w:rPr>
          <w:t xml:space="preserve">Children’s </w:t>
        </w:r>
        <w:r w:rsidR="00C54CE3">
          <w:rPr>
            <w:rStyle w:val="Hyperlink"/>
          </w:rPr>
          <w:t>R</w:t>
        </w:r>
        <w:r w:rsidRPr="004626EE">
          <w:rPr>
            <w:rStyle w:val="Hyperlink"/>
          </w:rPr>
          <w:t>ights in Wales</w:t>
        </w:r>
      </w:hyperlink>
      <w:r w:rsidR="00C54CE3" w:rsidRPr="00082446">
        <w:rPr>
          <w:rStyle w:val="Hyperlink"/>
          <w:u w:val="none"/>
        </w:rPr>
        <w:t xml:space="preserve"> </w:t>
      </w:r>
      <w:r w:rsidR="00C54CE3" w:rsidRPr="00082446">
        <w:rPr>
          <w:rStyle w:val="Hyperlink"/>
          <w:color w:val="0B4E60" w:themeColor="text2"/>
          <w:u w:val="none"/>
        </w:rPr>
        <w:t>[accessed: 2 July 2021]</w:t>
      </w:r>
      <w:r w:rsidRPr="0028584D">
        <w:t>.</w:t>
      </w:r>
    </w:p>
  </w:footnote>
  <w:footnote w:id="37">
    <w:p w14:paraId="3CB70197" w14:textId="2208AAB4" w:rsidR="00B17A88" w:rsidRPr="00472BB3" w:rsidRDefault="00B17A88" w:rsidP="00B0785D">
      <w:pPr>
        <w:pStyle w:val="FootnoteText"/>
        <w:rPr>
          <w:rFonts w:ascii="Arial" w:hAnsi="Arial" w:cs="Arial"/>
        </w:rPr>
      </w:pPr>
      <w:r w:rsidRPr="00472BB3">
        <w:rPr>
          <w:rStyle w:val="FootnoteReference"/>
          <w:rFonts w:ascii="Arial" w:hAnsi="Arial" w:cs="Arial"/>
        </w:rPr>
        <w:footnoteRef/>
      </w:r>
      <w:r w:rsidRPr="00472BB3">
        <w:rPr>
          <w:rFonts w:ascii="Arial" w:hAnsi="Arial" w:cs="Arial"/>
        </w:rPr>
        <w:t xml:space="preserve"> EHRC (2020), </w:t>
      </w:r>
      <w:hyperlink r:id="rId40" w:history="1">
        <w:r w:rsidRPr="00472BB3">
          <w:rPr>
            <w:rStyle w:val="Hyperlink"/>
            <w:rFonts w:ascii="Arial" w:hAnsi="Arial" w:cs="Arial"/>
          </w:rPr>
          <w:t>Britain and the Convention against Torture: Follow-up submission to the UN Committee against Torture</w:t>
        </w:r>
      </w:hyperlink>
      <w:r w:rsidRPr="00472BB3">
        <w:rPr>
          <w:rFonts w:ascii="Arial" w:hAnsi="Arial" w:cs="Arial"/>
        </w:rPr>
        <w:t>, p</w:t>
      </w:r>
      <w:r w:rsidR="0085627D">
        <w:rPr>
          <w:rFonts w:ascii="Arial" w:hAnsi="Arial" w:cs="Arial"/>
        </w:rPr>
        <w:t xml:space="preserve">p. </w:t>
      </w:r>
      <w:r w:rsidRPr="00472BB3">
        <w:rPr>
          <w:rFonts w:ascii="Arial" w:hAnsi="Arial" w:cs="Arial"/>
        </w:rPr>
        <w:t>12–13</w:t>
      </w:r>
      <w:r w:rsidR="0043459E">
        <w:rPr>
          <w:rFonts w:ascii="Arial" w:hAnsi="Arial" w:cs="Arial"/>
        </w:rPr>
        <w:t xml:space="preserve"> [accessed: 2 July 2021]</w:t>
      </w:r>
      <w:r w:rsidRPr="00472BB3">
        <w:rPr>
          <w:rFonts w:ascii="Arial" w:hAnsi="Arial" w:cs="Arial"/>
        </w:rPr>
        <w:t xml:space="preserve">. </w:t>
      </w:r>
    </w:p>
  </w:footnote>
  <w:footnote w:id="38">
    <w:p w14:paraId="53C4C2B7" w14:textId="41898665" w:rsidR="00B17A88" w:rsidRPr="00472BB3" w:rsidRDefault="00B17A88" w:rsidP="00B0785D">
      <w:pPr>
        <w:pStyle w:val="FootnoteText"/>
        <w:rPr>
          <w:rFonts w:ascii="Arial" w:hAnsi="Arial" w:cs="Arial"/>
        </w:rPr>
      </w:pPr>
      <w:r w:rsidRPr="00472BB3">
        <w:rPr>
          <w:rStyle w:val="FootnoteReference"/>
          <w:rFonts w:ascii="Arial" w:hAnsi="Arial" w:cs="Arial"/>
        </w:rPr>
        <w:footnoteRef/>
      </w:r>
      <w:r w:rsidRPr="00472BB3">
        <w:rPr>
          <w:rFonts w:ascii="Arial" w:hAnsi="Arial" w:cs="Arial"/>
        </w:rPr>
        <w:t xml:space="preserve"> Office of the High Commissioner for Human Rights (201</w:t>
      </w:r>
      <w:r w:rsidR="0085627D">
        <w:rPr>
          <w:rFonts w:ascii="Arial" w:hAnsi="Arial" w:cs="Arial"/>
        </w:rPr>
        <w:t>6</w:t>
      </w:r>
      <w:r w:rsidRPr="00472BB3">
        <w:rPr>
          <w:rFonts w:ascii="Arial" w:hAnsi="Arial" w:cs="Arial"/>
        </w:rPr>
        <w:t xml:space="preserve">), </w:t>
      </w:r>
      <w:hyperlink r:id="rId41" w:history="1">
        <w:r w:rsidRPr="00472BB3">
          <w:rPr>
            <w:rStyle w:val="Hyperlink"/>
            <w:rFonts w:ascii="Arial" w:hAnsi="Arial" w:cs="Arial"/>
          </w:rPr>
          <w:t>National Mechanisms for Reporting and Follow-up: a Study of State Engagement with International Human Rights Mechanisms</w:t>
        </w:r>
      </w:hyperlink>
      <w:r w:rsidR="0043459E" w:rsidRPr="00082446">
        <w:rPr>
          <w:rStyle w:val="Hyperlink"/>
          <w:rFonts w:ascii="Arial" w:hAnsi="Arial" w:cs="Arial"/>
          <w:u w:val="none"/>
        </w:rPr>
        <w:t xml:space="preserve"> </w:t>
      </w:r>
      <w:r w:rsidR="0043459E" w:rsidRPr="00082446">
        <w:rPr>
          <w:rStyle w:val="Hyperlink"/>
          <w:rFonts w:ascii="Arial" w:hAnsi="Arial" w:cs="Arial"/>
          <w:color w:val="0B4E60" w:themeColor="text2"/>
          <w:u w:val="none"/>
        </w:rPr>
        <w:t>[accessed: 2 July 2021]</w:t>
      </w:r>
      <w:r w:rsidR="00D5482A" w:rsidRPr="0028584D">
        <w:rPr>
          <w:rFonts w:ascii="Arial" w:hAnsi="Arial" w:cs="Arial"/>
        </w:rPr>
        <w:t>.</w:t>
      </w:r>
      <w:r w:rsidRPr="0028584D">
        <w:rPr>
          <w:rFonts w:ascii="Arial" w:hAnsi="Arial" w:cs="Arial"/>
        </w:rPr>
        <w:t xml:space="preserve"> </w:t>
      </w:r>
    </w:p>
  </w:footnote>
  <w:footnote w:id="39">
    <w:p w14:paraId="25E3498D" w14:textId="53F5A3B6" w:rsidR="00B17A88" w:rsidRDefault="00B17A88" w:rsidP="00B0785D">
      <w:pPr>
        <w:pStyle w:val="FootnoteText"/>
      </w:pPr>
      <w:r>
        <w:rPr>
          <w:rStyle w:val="FootnoteReference"/>
        </w:rPr>
        <w:footnoteRef/>
      </w:r>
      <w:r>
        <w:t xml:space="preserve"> See, for example, Deputy Minister Jane Hutt’s speech during the </w:t>
      </w:r>
      <w:hyperlink r:id="rId42" w:anchor="A56462" w:history="1">
        <w:r w:rsidRPr="00D02F6A">
          <w:rPr>
            <w:rStyle w:val="Hyperlink"/>
          </w:rPr>
          <w:t>Welsh Assembly’s debate on the Equality and Human Rights Commission’s Annual Review 2018–19 (25 February 2020)</w:t>
        </w:r>
        <w:r w:rsidR="0043459E" w:rsidRPr="00082446">
          <w:rPr>
            <w:rStyle w:val="Hyperlink"/>
            <w:u w:val="none"/>
          </w:rPr>
          <w:t xml:space="preserve"> </w:t>
        </w:r>
        <w:r w:rsidR="0043459E" w:rsidRPr="00082446">
          <w:rPr>
            <w:rStyle w:val="Hyperlink"/>
            <w:color w:val="0B4E60" w:themeColor="text2"/>
            <w:u w:val="none"/>
          </w:rPr>
          <w:t>[accessed: 2 July 2021]</w:t>
        </w:r>
        <w:r w:rsidRPr="00082446">
          <w:rPr>
            <w:rStyle w:val="Hyperlink"/>
            <w:color w:val="0B4E60" w:themeColor="text2"/>
            <w:u w:val="none"/>
          </w:rPr>
          <w:t>.</w:t>
        </w:r>
      </w:hyperlink>
    </w:p>
  </w:footnote>
  <w:footnote w:id="40">
    <w:p w14:paraId="24F8C904" w14:textId="292B4DCE" w:rsidR="00B17A88" w:rsidRDefault="00B17A88">
      <w:pPr>
        <w:pStyle w:val="FootnoteText"/>
      </w:pPr>
      <w:r>
        <w:rPr>
          <w:rStyle w:val="FootnoteReference"/>
        </w:rPr>
        <w:footnoteRef/>
      </w:r>
      <w:r>
        <w:t xml:space="preserve"> </w:t>
      </w:r>
      <w:r w:rsidR="009A1E2A">
        <w:t xml:space="preserve">Scottish Government (2021), </w:t>
      </w:r>
      <w:r w:rsidRPr="00B83588">
        <w:t xml:space="preserve">National Taskforce for Human Rights </w:t>
      </w:r>
      <w:r w:rsidR="009A1E2A">
        <w:t>L</w:t>
      </w:r>
      <w:r w:rsidRPr="00B83588">
        <w:t>eadership report</w:t>
      </w:r>
      <w:r w:rsidR="009A1E2A">
        <w:t>:</w:t>
      </w:r>
      <w:r>
        <w:t xml:space="preserve"> </w:t>
      </w:r>
      <w:hyperlink r:id="rId43" w:history="1">
        <w:r w:rsidRPr="00B83588">
          <w:rPr>
            <w:rStyle w:val="Hyperlink"/>
          </w:rPr>
          <w:t>Recommendations of the Taskforce</w:t>
        </w:r>
      </w:hyperlink>
      <w:r>
        <w:t>, Recommendation 30</w:t>
      </w:r>
      <w:r w:rsidR="0043459E">
        <w:t xml:space="preserve"> [accessed: 2 July 2021]</w:t>
      </w:r>
      <w:r>
        <w:t>.</w:t>
      </w:r>
    </w:p>
  </w:footnote>
  <w:footnote w:id="41">
    <w:p w14:paraId="4AF88708" w14:textId="7D54B126" w:rsidR="00B17A88" w:rsidRPr="00E611F3" w:rsidRDefault="00B17A88" w:rsidP="00B83588">
      <w:pPr>
        <w:pStyle w:val="FootnoteText"/>
        <w:rPr>
          <w:sz w:val="18"/>
          <w:szCs w:val="18"/>
        </w:rPr>
      </w:pPr>
      <w:r w:rsidRPr="00E53D11">
        <w:rPr>
          <w:rStyle w:val="FootnoteReference"/>
          <w:szCs w:val="24"/>
        </w:rPr>
        <w:footnoteRef/>
      </w:r>
      <w:r w:rsidRPr="00E53D11">
        <w:rPr>
          <w:szCs w:val="24"/>
        </w:rPr>
        <w:t xml:space="preserve"> </w:t>
      </w:r>
      <w:hyperlink r:id="rId44" w:history="1">
        <w:r w:rsidRPr="00082446">
          <w:rPr>
            <w:rStyle w:val="Hyperlink"/>
            <w:color w:val="0B4E60" w:themeColor="text2"/>
            <w:szCs w:val="24"/>
            <w:u w:val="none"/>
          </w:rPr>
          <w:t>First Minister’s Advisory Group on Human Rights Leadership (2018),</w:t>
        </w:r>
        <w:r w:rsidRPr="005B6127">
          <w:rPr>
            <w:rStyle w:val="Hyperlink"/>
            <w:szCs w:val="24"/>
          </w:rPr>
          <w:t xml:space="preserve"> </w:t>
        </w:r>
        <w:r w:rsidRPr="005B6127">
          <w:rPr>
            <w:rStyle w:val="Hyperlink"/>
            <w:rFonts w:ascii="Arial" w:hAnsi="Arial" w:cs="Arial"/>
          </w:rPr>
          <w:t>Recommendations for a New Human Rights Framework to Improve People’s Lives – Report to the First Minister</w:t>
        </w:r>
        <w:r w:rsidRPr="00082446">
          <w:rPr>
            <w:rStyle w:val="Hyperlink"/>
            <w:color w:val="0B4E60" w:themeColor="text2"/>
            <w:szCs w:val="24"/>
            <w:u w:val="none"/>
          </w:rPr>
          <w:t>, Recommendation 4</w:t>
        </w:r>
        <w:r w:rsidR="0043459E">
          <w:rPr>
            <w:rStyle w:val="Hyperlink"/>
            <w:color w:val="0B4E60" w:themeColor="text2"/>
            <w:szCs w:val="24"/>
            <w:u w:val="none"/>
          </w:rPr>
          <w:t xml:space="preserve"> [accessed: 2 July 2021]</w:t>
        </w:r>
        <w:r w:rsidRPr="00082446">
          <w:rPr>
            <w:rStyle w:val="Hyperlink"/>
            <w:color w:val="0B4E60" w:themeColor="text2"/>
            <w:szCs w:val="24"/>
            <w:u w:val="none"/>
          </w:rPr>
          <w:t>.</w:t>
        </w:r>
      </w:hyperlink>
    </w:p>
  </w:footnote>
  <w:footnote w:id="42">
    <w:p w14:paraId="4C509DD8" w14:textId="6A278A6E" w:rsidR="00E54523" w:rsidRDefault="00E54523" w:rsidP="00E54523">
      <w:pPr>
        <w:pStyle w:val="FootnoteText"/>
      </w:pPr>
      <w:r>
        <w:rPr>
          <w:rStyle w:val="FootnoteReference"/>
        </w:rPr>
        <w:footnoteRef/>
      </w:r>
      <w:r>
        <w:t xml:space="preserve"> </w:t>
      </w:r>
      <w:r w:rsidRPr="00472BB3">
        <w:rPr>
          <w:rFonts w:ascii="Arial" w:hAnsi="Arial" w:cs="Arial"/>
        </w:rPr>
        <w:t xml:space="preserve">EHRC, </w:t>
      </w:r>
      <w:r w:rsidR="0043459E">
        <w:rPr>
          <w:rFonts w:ascii="Arial" w:hAnsi="Arial" w:cs="Arial"/>
        </w:rPr>
        <w:t>‘</w:t>
      </w:r>
      <w:hyperlink r:id="rId45" w:history="1">
        <w:r w:rsidRPr="00472BB3">
          <w:rPr>
            <w:rStyle w:val="Hyperlink"/>
            <w:rFonts w:ascii="Arial" w:hAnsi="Arial" w:cs="Arial"/>
          </w:rPr>
          <w:t xml:space="preserve">Human </w:t>
        </w:r>
        <w:r w:rsidR="002D13E9">
          <w:rPr>
            <w:rStyle w:val="Hyperlink"/>
            <w:rFonts w:ascii="Arial" w:hAnsi="Arial" w:cs="Arial"/>
          </w:rPr>
          <w:t>r</w:t>
        </w:r>
        <w:r w:rsidRPr="00472BB3">
          <w:rPr>
            <w:rStyle w:val="Hyperlink"/>
            <w:rFonts w:ascii="Arial" w:hAnsi="Arial" w:cs="Arial"/>
          </w:rPr>
          <w:t xml:space="preserve">ights </w:t>
        </w:r>
        <w:r w:rsidR="002D13E9">
          <w:rPr>
            <w:rStyle w:val="Hyperlink"/>
            <w:rFonts w:ascii="Arial" w:hAnsi="Arial" w:cs="Arial"/>
          </w:rPr>
          <w:t>t</w:t>
        </w:r>
        <w:r w:rsidRPr="00472BB3">
          <w:rPr>
            <w:rStyle w:val="Hyperlink"/>
            <w:rFonts w:ascii="Arial" w:hAnsi="Arial" w:cs="Arial"/>
          </w:rPr>
          <w:t>racker</w:t>
        </w:r>
      </w:hyperlink>
      <w:r w:rsidR="0043459E">
        <w:rPr>
          <w:rStyle w:val="Hyperlink"/>
          <w:rFonts w:ascii="Arial" w:hAnsi="Arial" w:cs="Arial"/>
        </w:rPr>
        <w:t>’</w:t>
      </w:r>
      <w:r w:rsidR="0043459E" w:rsidRPr="00082446">
        <w:rPr>
          <w:rStyle w:val="Hyperlink"/>
          <w:rFonts w:ascii="Arial" w:hAnsi="Arial" w:cs="Arial"/>
          <w:u w:val="none"/>
        </w:rPr>
        <w:t xml:space="preserve"> </w:t>
      </w:r>
      <w:r w:rsidR="0043459E" w:rsidRPr="00082446">
        <w:rPr>
          <w:rStyle w:val="Hyperlink"/>
          <w:rFonts w:ascii="Arial" w:hAnsi="Arial" w:cs="Arial"/>
          <w:color w:val="0B4E60" w:themeColor="text2"/>
          <w:u w:val="none"/>
        </w:rPr>
        <w:t>[accessed: 2 July 2021]</w:t>
      </w:r>
      <w:r w:rsidRPr="0028584D">
        <w:rPr>
          <w:rFonts w:ascii="Arial" w:hAnsi="Arial" w:cs="Arial"/>
        </w:rPr>
        <w:t>.</w:t>
      </w:r>
    </w:p>
  </w:footnote>
  <w:footnote w:id="43">
    <w:p w14:paraId="02D99806" w14:textId="0D65886E" w:rsidR="00D5482A" w:rsidRPr="0028584D" w:rsidRDefault="00D5482A" w:rsidP="00D5482A">
      <w:pPr>
        <w:pStyle w:val="FootnoteText"/>
      </w:pPr>
      <w:r>
        <w:rPr>
          <w:rStyle w:val="FootnoteReference"/>
        </w:rPr>
        <w:footnoteRef/>
      </w:r>
      <w:r>
        <w:t xml:space="preserve"> See, for example, </w:t>
      </w:r>
      <w:r w:rsidR="002D13E9">
        <w:t xml:space="preserve">House of Commons </w:t>
      </w:r>
      <w:r>
        <w:t xml:space="preserve">Women and Equalities Committee (2021), </w:t>
      </w:r>
      <w:hyperlink r:id="rId46" w:history="1">
        <w:r w:rsidRPr="00D5482A">
          <w:rPr>
            <w:rStyle w:val="Hyperlink"/>
            <w:rFonts w:ascii="Arial" w:hAnsi="Arial" w:cs="Arial"/>
          </w:rPr>
          <w:t xml:space="preserve">Unequal impact? Coronavirus and the </w:t>
        </w:r>
        <w:r w:rsidR="0043459E">
          <w:rPr>
            <w:rStyle w:val="Hyperlink"/>
            <w:rFonts w:ascii="Arial" w:hAnsi="Arial" w:cs="Arial"/>
          </w:rPr>
          <w:t>G</w:t>
        </w:r>
        <w:r w:rsidRPr="00D5482A">
          <w:rPr>
            <w:rStyle w:val="Hyperlink"/>
            <w:rFonts w:ascii="Arial" w:hAnsi="Arial" w:cs="Arial"/>
          </w:rPr>
          <w:t xml:space="preserve">endered </w:t>
        </w:r>
        <w:r w:rsidR="0043459E">
          <w:rPr>
            <w:rStyle w:val="Hyperlink"/>
            <w:rFonts w:ascii="Arial" w:hAnsi="Arial" w:cs="Arial"/>
          </w:rPr>
          <w:t>E</w:t>
        </w:r>
        <w:r w:rsidRPr="00D5482A">
          <w:rPr>
            <w:rStyle w:val="Hyperlink"/>
            <w:rFonts w:ascii="Arial" w:hAnsi="Arial" w:cs="Arial"/>
          </w:rPr>
          <w:t xml:space="preserve">conomic </w:t>
        </w:r>
        <w:r w:rsidR="0043459E">
          <w:rPr>
            <w:rStyle w:val="Hyperlink"/>
            <w:rFonts w:ascii="Arial" w:hAnsi="Arial" w:cs="Arial"/>
          </w:rPr>
          <w:t>I</w:t>
        </w:r>
        <w:r w:rsidRPr="00D5482A">
          <w:rPr>
            <w:rStyle w:val="Hyperlink"/>
            <w:rFonts w:ascii="Arial" w:hAnsi="Arial" w:cs="Arial"/>
          </w:rPr>
          <w:t>mpact</w:t>
        </w:r>
      </w:hyperlink>
      <w:r w:rsidR="0043459E">
        <w:rPr>
          <w:rStyle w:val="Hyperlink"/>
          <w:rFonts w:ascii="Arial" w:hAnsi="Arial" w:cs="Arial"/>
        </w:rPr>
        <w:t xml:space="preserve"> </w:t>
      </w:r>
      <w:r w:rsidR="0043459E" w:rsidRPr="00082446">
        <w:rPr>
          <w:rStyle w:val="Hyperlink"/>
          <w:rFonts w:ascii="Arial" w:hAnsi="Arial" w:cs="Arial"/>
          <w:color w:val="0B4E60" w:themeColor="text2"/>
          <w:u w:val="none"/>
        </w:rPr>
        <w:t>[accessed: 2 July 2021]</w:t>
      </w:r>
      <w:r w:rsidRPr="0028584D">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19ACA" w14:textId="3D9B4D74" w:rsidR="00B17A88" w:rsidRDefault="00201ECC" w:rsidP="00605567">
    <w:pPr>
      <w:pStyle w:val="Header"/>
      <w:pBdr>
        <w:top w:val="single" w:sz="36" w:space="5" w:color="009C98" w:themeColor="accent1"/>
      </w:pBdr>
      <w:ind w:left="-851" w:right="-738"/>
      <w:jc w:val="center"/>
    </w:pPr>
    <w:sdt>
      <w:sdtPr>
        <w:id w:val="334418467"/>
        <w:docPartObj>
          <w:docPartGallery w:val="Watermarks"/>
          <w:docPartUnique/>
        </w:docPartObj>
      </w:sdtPr>
      <w:sdtEndPr/>
      <w:sdtContent>
        <w:r>
          <w:rPr>
            <w:noProof/>
            <w:lang w:val="en-US"/>
          </w:rPr>
          <w:pict w14:anchorId="46315A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45057" type="#_x0000_t136" style="position:absolute;left:0;text-align:left;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sdt>
      <w:sdtPr>
        <w:alias w:val="Title"/>
        <w:tag w:val=""/>
        <w:id w:val="-347718907"/>
        <w:dataBinding w:prefixMappings="xmlns:ns0='http://purl.org/dc/elements/1.1/' xmlns:ns1='http://schemas.openxmlformats.org/package/2006/metadata/core-properties' " w:xpath="/ns1:coreProperties[1]/ns0:title[1]" w:storeItemID="{6C3C8BC8-F283-45AE-878A-BAB7291924A1}"/>
        <w:text/>
      </w:sdtPr>
      <w:sdtEndPr/>
      <w:sdtContent>
        <w:r w:rsidR="00B17A88">
          <w:t>Great Britain and the Convention on the Elimination of Discrimination against Women</w:t>
        </w:r>
      </w:sdtContent>
    </w:sdt>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FE573" w14:textId="7821F80E" w:rsidR="00B17A88" w:rsidRDefault="00B17A88" w:rsidP="000E6F22">
    <w:pPr>
      <w:pStyle w:val="Header"/>
      <w:spacing w:before="640" w:after="2000"/>
      <w:ind w:right="-1021"/>
      <w:jc w:val="right"/>
    </w:pPr>
    <w:r>
      <w:rPr>
        <w:noProof/>
        <w:lang w:eastAsia="en-GB"/>
      </w:rPr>
      <w:drawing>
        <wp:inline distT="0" distB="0" distL="0" distR="0" wp14:anchorId="3380B3D5" wp14:editId="4A361B42">
          <wp:extent cx="2624392" cy="673769"/>
          <wp:effectExtent l="0" t="0" r="5080" b="0"/>
          <wp:docPr id="2" name="Picture 2" descr="Equality and Human Rights Commission logo in Dark Teal colour." title="Equality and Human Rights 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HRC logo - dark gre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24392" cy="6737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D5C4BD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EFF679DA"/>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228AAD6"/>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84E4BFE"/>
    <w:multiLevelType w:val="multilevel"/>
    <w:tmpl w:val="165ACE1C"/>
    <w:styleLink w:val="StyleBulletedSymbolsymbolLeft063cmHanging063cm1"/>
    <w:lvl w:ilvl="0">
      <w:start w:val="1"/>
      <w:numFmt w:val="bullet"/>
      <w:lvlText w:val=""/>
      <w:lvlJc w:val="left"/>
      <w:pPr>
        <w:ind w:left="539" w:hanging="539"/>
      </w:pPr>
      <w:rPr>
        <w:rFonts w:ascii="Symbol" w:hAnsi="Symbol" w:hint="default"/>
        <w:sz w:val="28"/>
      </w:rPr>
    </w:lvl>
    <w:lvl w:ilvl="1">
      <w:start w:val="1"/>
      <w:numFmt w:val="bullet"/>
      <w:lvlText w:val="̶"/>
      <w:lvlJc w:val="left"/>
      <w:pPr>
        <w:ind w:left="902" w:hanging="539"/>
      </w:pPr>
      <w:rPr>
        <w:rFonts w:ascii="Courier New" w:hAnsi="Courier New" w:hint="default"/>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4" w15:restartNumberingAfterBreak="0">
    <w:nsid w:val="0B296468"/>
    <w:multiLevelType w:val="multilevel"/>
    <w:tmpl w:val="DE9827B8"/>
    <w:styleLink w:val="StyleOutlinenumberedLatinHeadingsArialComplexHeadi2"/>
    <w:lvl w:ilvl="0">
      <w:start w:val="1"/>
      <w:numFmt w:val="decimal"/>
      <w:lvlText w:val="%1"/>
      <w:lvlJc w:val="left"/>
      <w:pPr>
        <w:ind w:left="540" w:hanging="540"/>
      </w:pPr>
      <w:rPr>
        <w:rFonts w:hint="default"/>
        <w:sz w:val="32"/>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5603F6D"/>
    <w:multiLevelType w:val="hybridMultilevel"/>
    <w:tmpl w:val="DE2AA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14E30"/>
    <w:multiLevelType w:val="multilevel"/>
    <w:tmpl w:val="9B34CA48"/>
    <w:lvl w:ilvl="0">
      <w:start w:val="2"/>
      <w:numFmt w:val="bullet"/>
      <w:pStyle w:val="Boxbullets"/>
      <w:lvlText w:val="̶"/>
      <w:lvlJc w:val="left"/>
      <w:pPr>
        <w:ind w:left="709" w:hanging="567"/>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7" w15:restartNumberingAfterBreak="0">
    <w:nsid w:val="1FC45341"/>
    <w:multiLevelType w:val="multilevel"/>
    <w:tmpl w:val="0809001D"/>
    <w:styleLink w:val="Basicbulletlist"/>
    <w:lvl w:ilvl="0">
      <w:start w:val="1"/>
      <w:numFmt w:val="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7824EFD"/>
    <w:multiLevelType w:val="hybridMultilevel"/>
    <w:tmpl w:val="0F70B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391F15"/>
    <w:multiLevelType w:val="hybridMultilevel"/>
    <w:tmpl w:val="598C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DC196A"/>
    <w:multiLevelType w:val="multilevel"/>
    <w:tmpl w:val="EAB48ED2"/>
    <w:lvl w:ilvl="0">
      <w:start w:val="1"/>
      <w:numFmt w:val="bullet"/>
      <w:pStyle w:val="List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D683198"/>
    <w:multiLevelType w:val="hybridMultilevel"/>
    <w:tmpl w:val="9A2C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242756"/>
    <w:multiLevelType w:val="multilevel"/>
    <w:tmpl w:val="E33C0118"/>
    <w:styleLink w:val="StyleNumberedLeft0cmHanging127cm"/>
    <w:lvl w:ilvl="0">
      <w:start w:val="1"/>
      <w:numFmt w:val="decimal"/>
      <w:lvlText w:val="%1."/>
      <w:lvlJc w:val="left"/>
      <w:pPr>
        <w:ind w:left="539" w:hanging="539"/>
      </w:pPr>
      <w:rPr>
        <w:rFonts w:hint="default"/>
        <w:sz w:val="28"/>
      </w:rPr>
    </w:lvl>
    <w:lvl w:ilvl="1">
      <w:start w:val="1"/>
      <w:numFmt w:val="lowerLetter"/>
      <w:lvlText w:val="%2."/>
      <w:lvlJc w:val="left"/>
      <w:pPr>
        <w:ind w:left="902" w:hanging="539"/>
      </w:pPr>
      <w:rPr>
        <w:rFonts w:hint="default"/>
      </w:rPr>
    </w:lvl>
    <w:lvl w:ilvl="2">
      <w:start w:val="1"/>
      <w:numFmt w:val="lowerRoman"/>
      <w:lvlText w:val="%3."/>
      <w:lvlJc w:val="right"/>
      <w:pPr>
        <w:ind w:left="1265" w:hanging="539"/>
      </w:pPr>
      <w:rPr>
        <w:rFonts w:hint="default"/>
      </w:rPr>
    </w:lvl>
    <w:lvl w:ilvl="3">
      <w:start w:val="1"/>
      <w:numFmt w:val="decimal"/>
      <w:lvlText w:val="%4."/>
      <w:lvlJc w:val="left"/>
      <w:pPr>
        <w:ind w:left="1628" w:hanging="539"/>
      </w:pPr>
      <w:rPr>
        <w:rFonts w:hint="default"/>
      </w:rPr>
    </w:lvl>
    <w:lvl w:ilvl="4">
      <w:start w:val="1"/>
      <w:numFmt w:val="lowerLetter"/>
      <w:lvlText w:val="%5."/>
      <w:lvlJc w:val="left"/>
      <w:pPr>
        <w:ind w:left="1991" w:hanging="539"/>
      </w:pPr>
      <w:rPr>
        <w:rFonts w:hint="default"/>
      </w:rPr>
    </w:lvl>
    <w:lvl w:ilvl="5">
      <w:start w:val="1"/>
      <w:numFmt w:val="lowerRoman"/>
      <w:lvlText w:val="%6."/>
      <w:lvlJc w:val="right"/>
      <w:pPr>
        <w:ind w:left="2354" w:hanging="539"/>
      </w:pPr>
      <w:rPr>
        <w:rFonts w:hint="default"/>
      </w:rPr>
    </w:lvl>
    <w:lvl w:ilvl="6">
      <w:start w:val="1"/>
      <w:numFmt w:val="decimal"/>
      <w:lvlText w:val="%7."/>
      <w:lvlJc w:val="left"/>
      <w:pPr>
        <w:ind w:left="2717" w:hanging="539"/>
      </w:pPr>
      <w:rPr>
        <w:rFonts w:hint="default"/>
      </w:rPr>
    </w:lvl>
    <w:lvl w:ilvl="7">
      <w:start w:val="1"/>
      <w:numFmt w:val="lowerLetter"/>
      <w:lvlText w:val="%8."/>
      <w:lvlJc w:val="left"/>
      <w:pPr>
        <w:ind w:left="3080" w:hanging="539"/>
      </w:pPr>
      <w:rPr>
        <w:rFonts w:hint="default"/>
      </w:rPr>
    </w:lvl>
    <w:lvl w:ilvl="8">
      <w:start w:val="1"/>
      <w:numFmt w:val="lowerRoman"/>
      <w:lvlText w:val="%9."/>
      <w:lvlJc w:val="right"/>
      <w:pPr>
        <w:ind w:left="3443" w:hanging="539"/>
      </w:pPr>
      <w:rPr>
        <w:rFonts w:hint="default"/>
      </w:rPr>
    </w:lvl>
  </w:abstractNum>
  <w:abstractNum w:abstractNumId="13" w15:restartNumberingAfterBreak="0">
    <w:nsid w:val="4F633DE4"/>
    <w:multiLevelType w:val="multilevel"/>
    <w:tmpl w:val="74404BA8"/>
    <w:styleLink w:val="Boxbulletlist"/>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14" w15:restartNumberingAfterBreak="0">
    <w:nsid w:val="53825B74"/>
    <w:multiLevelType w:val="multilevel"/>
    <w:tmpl w:val="DE9827B8"/>
    <w:styleLink w:val="StyleOutlinenumberedLatinHeadingsArialComplexHeadi"/>
    <w:lvl w:ilvl="0">
      <w:start w:val="1"/>
      <w:numFmt w:val="decimal"/>
      <w:lvlText w:val="%1"/>
      <w:lvlJc w:val="left"/>
      <w:pPr>
        <w:ind w:left="540" w:hanging="540"/>
      </w:pPr>
      <w:rPr>
        <w:rFonts w:hint="default"/>
        <w:sz w:val="24"/>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57F3D2B"/>
    <w:multiLevelType w:val="multilevel"/>
    <w:tmpl w:val="C778C7E0"/>
    <w:lvl w:ilvl="0">
      <w:start w:val="1"/>
      <w:numFmt w:val="decimal"/>
      <w:pStyle w:val="ListNumber"/>
      <w:lvlText w:val="%1."/>
      <w:lvlJc w:val="left"/>
      <w:pPr>
        <w:ind w:left="567" w:hanging="567"/>
      </w:pPr>
      <w:rPr>
        <w:rFonts w:hint="default"/>
        <w:color w:val="722856" w:themeColor="accent5"/>
      </w:rPr>
    </w:lvl>
    <w:lvl w:ilvl="1">
      <w:start w:val="1"/>
      <w:numFmt w:val="lowerLetter"/>
      <w:lvlText w:val="%2."/>
      <w:lvlJc w:val="left"/>
      <w:pPr>
        <w:ind w:left="1134" w:hanging="567"/>
      </w:pPr>
      <w:rPr>
        <w:rFonts w:hint="default"/>
      </w:rPr>
    </w:lvl>
    <w:lvl w:ilvl="2">
      <w:start w:val="1"/>
      <w:numFmt w:val="lowerRoman"/>
      <w:lvlText w:val="%3"/>
      <w:lvlJc w:val="left"/>
      <w:pPr>
        <w:ind w:left="1871" w:hanging="45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56844DFB"/>
    <w:multiLevelType w:val="multilevel"/>
    <w:tmpl w:val="31FA925A"/>
    <w:lvl w:ilvl="0">
      <w:start w:val="1"/>
      <w:numFmt w:val="bullet"/>
      <w:lvlText w:val=""/>
      <w:lvlJc w:val="left"/>
      <w:pPr>
        <w:ind w:left="425" w:hanging="425"/>
      </w:pPr>
      <w:rPr>
        <w:rFonts w:ascii="Symbol" w:hAnsi="Symbol" w:hint="default"/>
        <w:sz w:val="28"/>
      </w:rPr>
    </w:lvl>
    <w:lvl w:ilvl="1">
      <w:start w:val="1"/>
      <w:numFmt w:val="bullet"/>
      <w:lvlText w:val="̶"/>
      <w:lvlJc w:val="left"/>
      <w:pPr>
        <w:ind w:left="782" w:hanging="425"/>
      </w:pPr>
      <w:rPr>
        <w:rFonts w:ascii="Courier New" w:hAnsi="Courier New" w:hint="default"/>
      </w:rPr>
    </w:lvl>
    <w:lvl w:ilvl="2">
      <w:start w:val="1"/>
      <w:numFmt w:val="bullet"/>
      <w:lvlText w:val=""/>
      <w:lvlJc w:val="left"/>
      <w:pPr>
        <w:ind w:left="1139" w:hanging="425"/>
      </w:pPr>
      <w:rPr>
        <w:rFonts w:ascii="Wingdings" w:hAnsi="Wingdings" w:hint="default"/>
      </w:rPr>
    </w:lvl>
    <w:lvl w:ilvl="3">
      <w:start w:val="1"/>
      <w:numFmt w:val="bullet"/>
      <w:lvlText w:val=""/>
      <w:lvlJc w:val="left"/>
      <w:pPr>
        <w:ind w:left="1496" w:hanging="425"/>
      </w:pPr>
      <w:rPr>
        <w:rFonts w:ascii="Symbol" w:hAnsi="Symbol" w:hint="default"/>
      </w:rPr>
    </w:lvl>
    <w:lvl w:ilvl="4">
      <w:start w:val="1"/>
      <w:numFmt w:val="bullet"/>
      <w:lvlText w:val="o"/>
      <w:lvlJc w:val="left"/>
      <w:pPr>
        <w:ind w:left="1853" w:hanging="425"/>
      </w:pPr>
      <w:rPr>
        <w:rFonts w:ascii="Courier New" w:hAnsi="Courier New" w:cs="Courier New" w:hint="default"/>
      </w:rPr>
    </w:lvl>
    <w:lvl w:ilvl="5">
      <w:start w:val="1"/>
      <w:numFmt w:val="bullet"/>
      <w:lvlText w:val=""/>
      <w:lvlJc w:val="left"/>
      <w:pPr>
        <w:ind w:left="2210" w:hanging="425"/>
      </w:pPr>
      <w:rPr>
        <w:rFonts w:ascii="Wingdings" w:hAnsi="Wingdings" w:hint="default"/>
      </w:rPr>
    </w:lvl>
    <w:lvl w:ilvl="6">
      <w:start w:val="1"/>
      <w:numFmt w:val="bullet"/>
      <w:pStyle w:val="Heading7"/>
      <w:lvlText w:val=""/>
      <w:lvlJc w:val="left"/>
      <w:pPr>
        <w:ind w:left="2567" w:hanging="425"/>
      </w:pPr>
      <w:rPr>
        <w:rFonts w:ascii="Symbol" w:hAnsi="Symbol" w:hint="default"/>
      </w:rPr>
    </w:lvl>
    <w:lvl w:ilvl="7">
      <w:start w:val="1"/>
      <w:numFmt w:val="bullet"/>
      <w:lvlText w:val="o"/>
      <w:lvlJc w:val="left"/>
      <w:pPr>
        <w:ind w:left="2924" w:hanging="425"/>
      </w:pPr>
      <w:rPr>
        <w:rFonts w:ascii="Courier New" w:hAnsi="Courier New" w:cs="Courier New" w:hint="default"/>
      </w:rPr>
    </w:lvl>
    <w:lvl w:ilvl="8">
      <w:start w:val="1"/>
      <w:numFmt w:val="bullet"/>
      <w:lvlText w:val=""/>
      <w:lvlJc w:val="left"/>
      <w:pPr>
        <w:ind w:left="3281" w:hanging="425"/>
      </w:pPr>
      <w:rPr>
        <w:rFonts w:ascii="Wingdings" w:hAnsi="Wingdings" w:hint="default"/>
      </w:rPr>
    </w:lvl>
  </w:abstractNum>
  <w:abstractNum w:abstractNumId="17" w15:restartNumberingAfterBreak="0">
    <w:nsid w:val="66EA7569"/>
    <w:multiLevelType w:val="multilevel"/>
    <w:tmpl w:val="DE9827B8"/>
    <w:styleLink w:val="StyleOutlinenumberedLatinHeadingsArialComplexHeadi1"/>
    <w:lvl w:ilvl="0">
      <w:start w:val="1"/>
      <w:numFmt w:val="decimal"/>
      <w:lvlText w:val="%1"/>
      <w:lvlJc w:val="left"/>
      <w:pPr>
        <w:ind w:left="540" w:hanging="540"/>
      </w:pPr>
      <w:rPr>
        <w:rFonts w:hint="default"/>
        <w:sz w:val="28"/>
      </w:rPr>
    </w:lvl>
    <w:lvl w:ilvl="1">
      <w:start w:val="1"/>
      <w:numFmt w:val="decimal"/>
      <w:lvlText w:val="%1.%2"/>
      <w:lvlJc w:val="left"/>
      <w:pPr>
        <w:ind w:left="720" w:hanging="720"/>
      </w:pPr>
      <w:rPr>
        <w:rFonts w:asciiTheme="majorHAnsi" w:hAnsiTheme="majorHAnsi" w:cstheme="majorBidi"/>
        <w:b/>
        <w:color w:val="0B4E60" w:themeColor="text2"/>
        <w:sz w:val="28"/>
        <w:szCs w:val="32"/>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440" w:hanging="144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18" w15:restartNumberingAfterBreak="0">
    <w:nsid w:val="6E25581C"/>
    <w:multiLevelType w:val="hybridMultilevel"/>
    <w:tmpl w:val="D652A89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9" w15:restartNumberingAfterBreak="0">
    <w:nsid w:val="6F1C42E1"/>
    <w:multiLevelType w:val="hybridMultilevel"/>
    <w:tmpl w:val="54968D48"/>
    <w:lvl w:ilvl="0" w:tplc="90D832B8">
      <w:start w:val="1"/>
      <w:numFmt w:val="decimal"/>
      <w:pStyle w:val="Boxnumberedlist"/>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2586039"/>
    <w:multiLevelType w:val="multilevel"/>
    <w:tmpl w:val="2DCAF8B0"/>
    <w:styleLink w:val="StyleBulletedLatinCourierNewLeft19cmHanging063"/>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21" w15:restartNumberingAfterBreak="0">
    <w:nsid w:val="78151C94"/>
    <w:multiLevelType w:val="hybridMultilevel"/>
    <w:tmpl w:val="09183188"/>
    <w:lvl w:ilvl="0" w:tplc="80000124">
      <w:start w:val="1"/>
      <w:numFmt w:val="bullet"/>
      <w:pStyle w:val="Bullet-followedbyothers"/>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8A4D83"/>
    <w:multiLevelType w:val="hybridMultilevel"/>
    <w:tmpl w:val="C1C2C34A"/>
    <w:lvl w:ilvl="0" w:tplc="BFC6B0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FC5777"/>
    <w:multiLevelType w:val="hybridMultilevel"/>
    <w:tmpl w:val="92069DB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num w:numId="1">
    <w:abstractNumId w:val="2"/>
  </w:num>
  <w:num w:numId="2">
    <w:abstractNumId w:val="1"/>
  </w:num>
  <w:num w:numId="3">
    <w:abstractNumId w:val="0"/>
  </w:num>
  <w:num w:numId="4">
    <w:abstractNumId w:val="16"/>
  </w:num>
  <w:num w:numId="5">
    <w:abstractNumId w:val="3"/>
  </w:num>
  <w:num w:numId="6">
    <w:abstractNumId w:val="15"/>
  </w:num>
  <w:num w:numId="7">
    <w:abstractNumId w:val="12"/>
  </w:num>
  <w:num w:numId="8">
    <w:abstractNumId w:val="20"/>
  </w:num>
  <w:num w:numId="9">
    <w:abstractNumId w:val="19"/>
  </w:num>
  <w:num w:numId="10">
    <w:abstractNumId w:val="7"/>
  </w:num>
  <w:num w:numId="11">
    <w:abstractNumId w:val="13"/>
  </w:num>
  <w:num w:numId="12">
    <w:abstractNumId w:val="6"/>
  </w:num>
  <w:num w:numId="13">
    <w:abstractNumId w:val="10"/>
  </w:num>
  <w:num w:numId="14">
    <w:abstractNumId w:val="14"/>
  </w:num>
  <w:num w:numId="15">
    <w:abstractNumId w:val="17"/>
  </w:num>
  <w:num w:numId="16">
    <w:abstractNumId w:val="4"/>
  </w:num>
  <w:num w:numId="17">
    <w:abstractNumId w:val="8"/>
  </w:num>
  <w:num w:numId="18">
    <w:abstractNumId w:val="21"/>
  </w:num>
  <w:num w:numId="19">
    <w:abstractNumId w:val="11"/>
  </w:num>
  <w:num w:numId="20">
    <w:abstractNumId w:val="23"/>
  </w:num>
  <w:num w:numId="21">
    <w:abstractNumId w:val="5"/>
  </w:num>
  <w:num w:numId="22">
    <w:abstractNumId w:val="18"/>
  </w:num>
  <w:num w:numId="23">
    <w:abstractNumId w:val="22"/>
  </w:num>
  <w:num w:numId="24">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1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0"/>
  <w:stylePaneSortMethod w:val="0000"/>
  <w:defaultTabStop w:val="720"/>
  <w:characterSpacingControl w:val="doNotCompress"/>
  <w:hdrShapeDefaults>
    <o:shapedefaults v:ext="edit" spidmax="45058"/>
    <o:shapelayout v:ext="edit">
      <o:idmap v:ext="edit" data="44"/>
    </o:shapelayout>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CEE"/>
    <w:rsid w:val="00003A19"/>
    <w:rsid w:val="00004E78"/>
    <w:rsid w:val="0001107C"/>
    <w:rsid w:val="00011FA2"/>
    <w:rsid w:val="000129C4"/>
    <w:rsid w:val="00014FC3"/>
    <w:rsid w:val="00015484"/>
    <w:rsid w:val="00022B38"/>
    <w:rsid w:val="00025E18"/>
    <w:rsid w:val="0002676F"/>
    <w:rsid w:val="0002786E"/>
    <w:rsid w:val="000310D5"/>
    <w:rsid w:val="00031586"/>
    <w:rsid w:val="00033901"/>
    <w:rsid w:val="00035FA2"/>
    <w:rsid w:val="000407FE"/>
    <w:rsid w:val="000411BE"/>
    <w:rsid w:val="00041869"/>
    <w:rsid w:val="00041F60"/>
    <w:rsid w:val="00042CE1"/>
    <w:rsid w:val="00050950"/>
    <w:rsid w:val="000530C5"/>
    <w:rsid w:val="00057FC5"/>
    <w:rsid w:val="00060EA8"/>
    <w:rsid w:val="00062B5F"/>
    <w:rsid w:val="000631C0"/>
    <w:rsid w:val="00063824"/>
    <w:rsid w:val="00065CDA"/>
    <w:rsid w:val="00072BE4"/>
    <w:rsid w:val="00072C3D"/>
    <w:rsid w:val="00075484"/>
    <w:rsid w:val="00075ABB"/>
    <w:rsid w:val="0008106D"/>
    <w:rsid w:val="00081BDB"/>
    <w:rsid w:val="00082446"/>
    <w:rsid w:val="00083530"/>
    <w:rsid w:val="00084CE0"/>
    <w:rsid w:val="00086816"/>
    <w:rsid w:val="00092B57"/>
    <w:rsid w:val="00094A60"/>
    <w:rsid w:val="00094BDA"/>
    <w:rsid w:val="00095255"/>
    <w:rsid w:val="00095657"/>
    <w:rsid w:val="00097C17"/>
    <w:rsid w:val="00097E41"/>
    <w:rsid w:val="000A4006"/>
    <w:rsid w:val="000A4201"/>
    <w:rsid w:val="000A4262"/>
    <w:rsid w:val="000A4CC3"/>
    <w:rsid w:val="000A58DB"/>
    <w:rsid w:val="000A5981"/>
    <w:rsid w:val="000A5D1E"/>
    <w:rsid w:val="000A6BE8"/>
    <w:rsid w:val="000A6CB5"/>
    <w:rsid w:val="000B12DC"/>
    <w:rsid w:val="000B1802"/>
    <w:rsid w:val="000B272D"/>
    <w:rsid w:val="000C0566"/>
    <w:rsid w:val="000C1CB0"/>
    <w:rsid w:val="000D1B8F"/>
    <w:rsid w:val="000D320A"/>
    <w:rsid w:val="000D32CF"/>
    <w:rsid w:val="000D32FB"/>
    <w:rsid w:val="000D40E6"/>
    <w:rsid w:val="000D60C2"/>
    <w:rsid w:val="000E233E"/>
    <w:rsid w:val="000E6F22"/>
    <w:rsid w:val="00101D1D"/>
    <w:rsid w:val="00104C81"/>
    <w:rsid w:val="00116DDF"/>
    <w:rsid w:val="00123A50"/>
    <w:rsid w:val="001253D3"/>
    <w:rsid w:val="001259F9"/>
    <w:rsid w:val="00125A20"/>
    <w:rsid w:val="00125C49"/>
    <w:rsid w:val="0012743B"/>
    <w:rsid w:val="0013032D"/>
    <w:rsid w:val="001316EA"/>
    <w:rsid w:val="001334C2"/>
    <w:rsid w:val="00136FB5"/>
    <w:rsid w:val="00140296"/>
    <w:rsid w:val="001411A7"/>
    <w:rsid w:val="00145B30"/>
    <w:rsid w:val="001505F0"/>
    <w:rsid w:val="00150CCC"/>
    <w:rsid w:val="001530E7"/>
    <w:rsid w:val="001555CA"/>
    <w:rsid w:val="00155CE4"/>
    <w:rsid w:val="00155E46"/>
    <w:rsid w:val="00157FF6"/>
    <w:rsid w:val="001650A4"/>
    <w:rsid w:val="00170493"/>
    <w:rsid w:val="00173F52"/>
    <w:rsid w:val="001746B7"/>
    <w:rsid w:val="00175940"/>
    <w:rsid w:val="00184AF6"/>
    <w:rsid w:val="00190C55"/>
    <w:rsid w:val="00194A63"/>
    <w:rsid w:val="00197C1E"/>
    <w:rsid w:val="00197ED1"/>
    <w:rsid w:val="00197F41"/>
    <w:rsid w:val="001A028E"/>
    <w:rsid w:val="001B4490"/>
    <w:rsid w:val="001B4690"/>
    <w:rsid w:val="001B4D82"/>
    <w:rsid w:val="001B67EA"/>
    <w:rsid w:val="001C0254"/>
    <w:rsid w:val="001C072F"/>
    <w:rsid w:val="001C0CD2"/>
    <w:rsid w:val="001C15FB"/>
    <w:rsid w:val="001C2F6C"/>
    <w:rsid w:val="001C7725"/>
    <w:rsid w:val="001D2CF5"/>
    <w:rsid w:val="001D48E6"/>
    <w:rsid w:val="001E017A"/>
    <w:rsid w:val="001E06E9"/>
    <w:rsid w:val="001E08F1"/>
    <w:rsid w:val="001E1E62"/>
    <w:rsid w:val="001E282E"/>
    <w:rsid w:val="001E6028"/>
    <w:rsid w:val="001F38E8"/>
    <w:rsid w:val="001F688B"/>
    <w:rsid w:val="001F71B8"/>
    <w:rsid w:val="00201E04"/>
    <w:rsid w:val="00201ECC"/>
    <w:rsid w:val="00205A4B"/>
    <w:rsid w:val="00211CC1"/>
    <w:rsid w:val="00213015"/>
    <w:rsid w:val="00217C70"/>
    <w:rsid w:val="0022138B"/>
    <w:rsid w:val="00222098"/>
    <w:rsid w:val="0022233C"/>
    <w:rsid w:val="00223CA6"/>
    <w:rsid w:val="00230678"/>
    <w:rsid w:val="002309B1"/>
    <w:rsid w:val="00230D27"/>
    <w:rsid w:val="00230F01"/>
    <w:rsid w:val="00234856"/>
    <w:rsid w:val="00234BA1"/>
    <w:rsid w:val="00237647"/>
    <w:rsid w:val="00240672"/>
    <w:rsid w:val="002426BD"/>
    <w:rsid w:val="002429CB"/>
    <w:rsid w:val="002450C3"/>
    <w:rsid w:val="00245360"/>
    <w:rsid w:val="00245A71"/>
    <w:rsid w:val="002475B9"/>
    <w:rsid w:val="00250AB8"/>
    <w:rsid w:val="00254309"/>
    <w:rsid w:val="002552F9"/>
    <w:rsid w:val="0025544E"/>
    <w:rsid w:val="0025642A"/>
    <w:rsid w:val="00270B19"/>
    <w:rsid w:val="00270D64"/>
    <w:rsid w:val="002716FE"/>
    <w:rsid w:val="00273000"/>
    <w:rsid w:val="002746CD"/>
    <w:rsid w:val="00276C39"/>
    <w:rsid w:val="00277333"/>
    <w:rsid w:val="00277926"/>
    <w:rsid w:val="00281378"/>
    <w:rsid w:val="002817E7"/>
    <w:rsid w:val="00283666"/>
    <w:rsid w:val="00285473"/>
    <w:rsid w:val="0028570E"/>
    <w:rsid w:val="0028584D"/>
    <w:rsid w:val="002877E2"/>
    <w:rsid w:val="00295A4D"/>
    <w:rsid w:val="00297813"/>
    <w:rsid w:val="002A041D"/>
    <w:rsid w:val="002A1AC0"/>
    <w:rsid w:val="002A589D"/>
    <w:rsid w:val="002A65B9"/>
    <w:rsid w:val="002A7B89"/>
    <w:rsid w:val="002B1143"/>
    <w:rsid w:val="002B16C1"/>
    <w:rsid w:val="002C0A2F"/>
    <w:rsid w:val="002C11E4"/>
    <w:rsid w:val="002C271E"/>
    <w:rsid w:val="002C6433"/>
    <w:rsid w:val="002D131F"/>
    <w:rsid w:val="002D13E9"/>
    <w:rsid w:val="002D221B"/>
    <w:rsid w:val="002D3D3E"/>
    <w:rsid w:val="002D59BF"/>
    <w:rsid w:val="002D75BE"/>
    <w:rsid w:val="002D7B90"/>
    <w:rsid w:val="002E08E4"/>
    <w:rsid w:val="002E5DB8"/>
    <w:rsid w:val="002F1E6D"/>
    <w:rsid w:val="002F4282"/>
    <w:rsid w:val="002F6153"/>
    <w:rsid w:val="0030284E"/>
    <w:rsid w:val="0030306A"/>
    <w:rsid w:val="00303660"/>
    <w:rsid w:val="00310EBE"/>
    <w:rsid w:val="00313494"/>
    <w:rsid w:val="003156F4"/>
    <w:rsid w:val="00315E91"/>
    <w:rsid w:val="003174FA"/>
    <w:rsid w:val="00322151"/>
    <w:rsid w:val="00322F2E"/>
    <w:rsid w:val="00324D3D"/>
    <w:rsid w:val="00325310"/>
    <w:rsid w:val="00326C3D"/>
    <w:rsid w:val="00330757"/>
    <w:rsid w:val="003334B5"/>
    <w:rsid w:val="003338E8"/>
    <w:rsid w:val="00341836"/>
    <w:rsid w:val="00341DD6"/>
    <w:rsid w:val="00347DF8"/>
    <w:rsid w:val="00347E8A"/>
    <w:rsid w:val="003535A7"/>
    <w:rsid w:val="00360FA4"/>
    <w:rsid w:val="0036106B"/>
    <w:rsid w:val="003616C5"/>
    <w:rsid w:val="00365E5D"/>
    <w:rsid w:val="00367F33"/>
    <w:rsid w:val="00375D61"/>
    <w:rsid w:val="00376944"/>
    <w:rsid w:val="00377B7A"/>
    <w:rsid w:val="0038266E"/>
    <w:rsid w:val="00384E88"/>
    <w:rsid w:val="00384EFE"/>
    <w:rsid w:val="0039027F"/>
    <w:rsid w:val="00390682"/>
    <w:rsid w:val="00391DD2"/>
    <w:rsid w:val="00392943"/>
    <w:rsid w:val="0039472C"/>
    <w:rsid w:val="00397B8D"/>
    <w:rsid w:val="003A1051"/>
    <w:rsid w:val="003A2F29"/>
    <w:rsid w:val="003A345B"/>
    <w:rsid w:val="003A37E6"/>
    <w:rsid w:val="003A3BD7"/>
    <w:rsid w:val="003A52AE"/>
    <w:rsid w:val="003A5ECD"/>
    <w:rsid w:val="003A7D00"/>
    <w:rsid w:val="003B0655"/>
    <w:rsid w:val="003B14D3"/>
    <w:rsid w:val="003B14F3"/>
    <w:rsid w:val="003B2AB4"/>
    <w:rsid w:val="003B483C"/>
    <w:rsid w:val="003B5712"/>
    <w:rsid w:val="003B5E65"/>
    <w:rsid w:val="003B7D03"/>
    <w:rsid w:val="003C59DC"/>
    <w:rsid w:val="003C7799"/>
    <w:rsid w:val="003D5EC0"/>
    <w:rsid w:val="003D673F"/>
    <w:rsid w:val="003E0710"/>
    <w:rsid w:val="003E157F"/>
    <w:rsid w:val="003E2C1E"/>
    <w:rsid w:val="003E3346"/>
    <w:rsid w:val="003E396E"/>
    <w:rsid w:val="003E5C11"/>
    <w:rsid w:val="003E5C27"/>
    <w:rsid w:val="003E6DF7"/>
    <w:rsid w:val="003E6F51"/>
    <w:rsid w:val="003F1CE1"/>
    <w:rsid w:val="003F2070"/>
    <w:rsid w:val="003F5959"/>
    <w:rsid w:val="003F7BE7"/>
    <w:rsid w:val="0040000D"/>
    <w:rsid w:val="00401D2A"/>
    <w:rsid w:val="00405789"/>
    <w:rsid w:val="00407C5D"/>
    <w:rsid w:val="00410044"/>
    <w:rsid w:val="00410DCF"/>
    <w:rsid w:val="0041136B"/>
    <w:rsid w:val="00412970"/>
    <w:rsid w:val="004149B7"/>
    <w:rsid w:val="0041605E"/>
    <w:rsid w:val="00416ED5"/>
    <w:rsid w:val="00416FA3"/>
    <w:rsid w:val="00417C36"/>
    <w:rsid w:val="00420E5D"/>
    <w:rsid w:val="00422F64"/>
    <w:rsid w:val="0042713F"/>
    <w:rsid w:val="004303BC"/>
    <w:rsid w:val="00430CB0"/>
    <w:rsid w:val="004319FA"/>
    <w:rsid w:val="004326EA"/>
    <w:rsid w:val="0043459E"/>
    <w:rsid w:val="00441878"/>
    <w:rsid w:val="00441BD7"/>
    <w:rsid w:val="00443D06"/>
    <w:rsid w:val="00444CDB"/>
    <w:rsid w:val="00450733"/>
    <w:rsid w:val="00452FCD"/>
    <w:rsid w:val="004539FA"/>
    <w:rsid w:val="00454A14"/>
    <w:rsid w:val="004552EB"/>
    <w:rsid w:val="004578AC"/>
    <w:rsid w:val="00457EE1"/>
    <w:rsid w:val="00460615"/>
    <w:rsid w:val="00461040"/>
    <w:rsid w:val="004626EE"/>
    <w:rsid w:val="004630C9"/>
    <w:rsid w:val="00465B9E"/>
    <w:rsid w:val="00465E0B"/>
    <w:rsid w:val="004661E6"/>
    <w:rsid w:val="00466DD7"/>
    <w:rsid w:val="00467793"/>
    <w:rsid w:val="00467FDA"/>
    <w:rsid w:val="004704A3"/>
    <w:rsid w:val="00470881"/>
    <w:rsid w:val="0047425A"/>
    <w:rsid w:val="00474664"/>
    <w:rsid w:val="00477539"/>
    <w:rsid w:val="00481E7C"/>
    <w:rsid w:val="0049205A"/>
    <w:rsid w:val="00493CC2"/>
    <w:rsid w:val="004A0C14"/>
    <w:rsid w:val="004A47A5"/>
    <w:rsid w:val="004A5BF6"/>
    <w:rsid w:val="004A6194"/>
    <w:rsid w:val="004A7094"/>
    <w:rsid w:val="004B3316"/>
    <w:rsid w:val="004B5F48"/>
    <w:rsid w:val="004B649D"/>
    <w:rsid w:val="004C0EE3"/>
    <w:rsid w:val="004C2F84"/>
    <w:rsid w:val="004C41F7"/>
    <w:rsid w:val="004C5C6A"/>
    <w:rsid w:val="004D20BC"/>
    <w:rsid w:val="004D2D8B"/>
    <w:rsid w:val="004D3925"/>
    <w:rsid w:val="004D3FC1"/>
    <w:rsid w:val="004E026D"/>
    <w:rsid w:val="004E0395"/>
    <w:rsid w:val="004E2C9C"/>
    <w:rsid w:val="004E3198"/>
    <w:rsid w:val="004E4459"/>
    <w:rsid w:val="004E5F40"/>
    <w:rsid w:val="004F0815"/>
    <w:rsid w:val="004F0D64"/>
    <w:rsid w:val="004F2B23"/>
    <w:rsid w:val="004F5444"/>
    <w:rsid w:val="004F5BD6"/>
    <w:rsid w:val="004F5BFE"/>
    <w:rsid w:val="004F5C45"/>
    <w:rsid w:val="00500AD9"/>
    <w:rsid w:val="00501C42"/>
    <w:rsid w:val="00507717"/>
    <w:rsid w:val="00510C58"/>
    <w:rsid w:val="00511613"/>
    <w:rsid w:val="00514A49"/>
    <w:rsid w:val="00515F18"/>
    <w:rsid w:val="005203ED"/>
    <w:rsid w:val="005204F5"/>
    <w:rsid w:val="00525E6A"/>
    <w:rsid w:val="00526047"/>
    <w:rsid w:val="00527586"/>
    <w:rsid w:val="00531F07"/>
    <w:rsid w:val="00532C97"/>
    <w:rsid w:val="00533F29"/>
    <w:rsid w:val="00534454"/>
    <w:rsid w:val="005354F7"/>
    <w:rsid w:val="005379E2"/>
    <w:rsid w:val="005420B3"/>
    <w:rsid w:val="00545CE6"/>
    <w:rsid w:val="005505C1"/>
    <w:rsid w:val="00550DE8"/>
    <w:rsid w:val="005602FB"/>
    <w:rsid w:val="00564458"/>
    <w:rsid w:val="005653CB"/>
    <w:rsid w:val="00566869"/>
    <w:rsid w:val="00575E47"/>
    <w:rsid w:val="005779B4"/>
    <w:rsid w:val="0058159A"/>
    <w:rsid w:val="005821FF"/>
    <w:rsid w:val="005840D7"/>
    <w:rsid w:val="00587947"/>
    <w:rsid w:val="0059411C"/>
    <w:rsid w:val="0059554F"/>
    <w:rsid w:val="0059598D"/>
    <w:rsid w:val="005969C3"/>
    <w:rsid w:val="0059735D"/>
    <w:rsid w:val="005A29DF"/>
    <w:rsid w:val="005A3390"/>
    <w:rsid w:val="005A4164"/>
    <w:rsid w:val="005A5024"/>
    <w:rsid w:val="005B2250"/>
    <w:rsid w:val="005B5C1E"/>
    <w:rsid w:val="005B6127"/>
    <w:rsid w:val="005B7737"/>
    <w:rsid w:val="005C4061"/>
    <w:rsid w:val="005D039A"/>
    <w:rsid w:val="005D2540"/>
    <w:rsid w:val="005E14FE"/>
    <w:rsid w:val="005E2CEC"/>
    <w:rsid w:val="005E4512"/>
    <w:rsid w:val="005E4F5B"/>
    <w:rsid w:val="005E5194"/>
    <w:rsid w:val="005F0019"/>
    <w:rsid w:val="005F1448"/>
    <w:rsid w:val="005F27A8"/>
    <w:rsid w:val="005F2C81"/>
    <w:rsid w:val="005F2E97"/>
    <w:rsid w:val="005F32A7"/>
    <w:rsid w:val="005F4FBA"/>
    <w:rsid w:val="005F6FF6"/>
    <w:rsid w:val="006018FC"/>
    <w:rsid w:val="00604450"/>
    <w:rsid w:val="00604C17"/>
    <w:rsid w:val="00605567"/>
    <w:rsid w:val="00605915"/>
    <w:rsid w:val="00605C93"/>
    <w:rsid w:val="00610F5E"/>
    <w:rsid w:val="00611FD8"/>
    <w:rsid w:val="00616BA1"/>
    <w:rsid w:val="00622D39"/>
    <w:rsid w:val="00624702"/>
    <w:rsid w:val="00625161"/>
    <w:rsid w:val="00636115"/>
    <w:rsid w:val="006414DD"/>
    <w:rsid w:val="00641ADD"/>
    <w:rsid w:val="00641EC5"/>
    <w:rsid w:val="0064230A"/>
    <w:rsid w:val="006430F1"/>
    <w:rsid w:val="006451FF"/>
    <w:rsid w:val="00653530"/>
    <w:rsid w:val="006536DD"/>
    <w:rsid w:val="006628AF"/>
    <w:rsid w:val="00663B5B"/>
    <w:rsid w:val="006655A1"/>
    <w:rsid w:val="0067420E"/>
    <w:rsid w:val="00674AD8"/>
    <w:rsid w:val="00677629"/>
    <w:rsid w:val="00683582"/>
    <w:rsid w:val="00685B8F"/>
    <w:rsid w:val="00685E99"/>
    <w:rsid w:val="0069230C"/>
    <w:rsid w:val="00692C41"/>
    <w:rsid w:val="00692D0A"/>
    <w:rsid w:val="00693462"/>
    <w:rsid w:val="006978A0"/>
    <w:rsid w:val="006A1408"/>
    <w:rsid w:val="006A52B1"/>
    <w:rsid w:val="006B1CF8"/>
    <w:rsid w:val="006B1FC1"/>
    <w:rsid w:val="006B393D"/>
    <w:rsid w:val="006B5664"/>
    <w:rsid w:val="006B612B"/>
    <w:rsid w:val="006B75BB"/>
    <w:rsid w:val="006B7D0A"/>
    <w:rsid w:val="006C33F0"/>
    <w:rsid w:val="006C5A43"/>
    <w:rsid w:val="006D1C39"/>
    <w:rsid w:val="006D2B04"/>
    <w:rsid w:val="006D3BE2"/>
    <w:rsid w:val="006D611F"/>
    <w:rsid w:val="006E28EE"/>
    <w:rsid w:val="006E41F3"/>
    <w:rsid w:val="006E46F8"/>
    <w:rsid w:val="006E51AB"/>
    <w:rsid w:val="006E5BA7"/>
    <w:rsid w:val="006E677C"/>
    <w:rsid w:val="006E6C47"/>
    <w:rsid w:val="006E7B8B"/>
    <w:rsid w:val="00702328"/>
    <w:rsid w:val="00703739"/>
    <w:rsid w:val="00705AC7"/>
    <w:rsid w:val="00705B33"/>
    <w:rsid w:val="00711475"/>
    <w:rsid w:val="0071185C"/>
    <w:rsid w:val="00711DBD"/>
    <w:rsid w:val="0071450B"/>
    <w:rsid w:val="007154FC"/>
    <w:rsid w:val="0071571F"/>
    <w:rsid w:val="0071584B"/>
    <w:rsid w:val="0071791F"/>
    <w:rsid w:val="007256FA"/>
    <w:rsid w:val="00727662"/>
    <w:rsid w:val="00731096"/>
    <w:rsid w:val="00734196"/>
    <w:rsid w:val="007372A7"/>
    <w:rsid w:val="00741B1E"/>
    <w:rsid w:val="00741E72"/>
    <w:rsid w:val="00742F24"/>
    <w:rsid w:val="0074719B"/>
    <w:rsid w:val="00750FB7"/>
    <w:rsid w:val="00751800"/>
    <w:rsid w:val="00757A11"/>
    <w:rsid w:val="007643B9"/>
    <w:rsid w:val="007651B0"/>
    <w:rsid w:val="0076679D"/>
    <w:rsid w:val="00766CD1"/>
    <w:rsid w:val="00772C5D"/>
    <w:rsid w:val="007748D4"/>
    <w:rsid w:val="00776236"/>
    <w:rsid w:val="00780317"/>
    <w:rsid w:val="0078181C"/>
    <w:rsid w:val="007821ED"/>
    <w:rsid w:val="007822D0"/>
    <w:rsid w:val="00783CD6"/>
    <w:rsid w:val="00785FFE"/>
    <w:rsid w:val="0078740E"/>
    <w:rsid w:val="0079170B"/>
    <w:rsid w:val="00793C77"/>
    <w:rsid w:val="00794033"/>
    <w:rsid w:val="00794319"/>
    <w:rsid w:val="00795B43"/>
    <w:rsid w:val="007A00B2"/>
    <w:rsid w:val="007A0465"/>
    <w:rsid w:val="007A07A7"/>
    <w:rsid w:val="007A1B67"/>
    <w:rsid w:val="007A3B56"/>
    <w:rsid w:val="007A5B63"/>
    <w:rsid w:val="007B0448"/>
    <w:rsid w:val="007B0866"/>
    <w:rsid w:val="007B22F7"/>
    <w:rsid w:val="007B26FF"/>
    <w:rsid w:val="007B3195"/>
    <w:rsid w:val="007B33CC"/>
    <w:rsid w:val="007B38AA"/>
    <w:rsid w:val="007B485A"/>
    <w:rsid w:val="007B496E"/>
    <w:rsid w:val="007B7561"/>
    <w:rsid w:val="007C1DEA"/>
    <w:rsid w:val="007C2194"/>
    <w:rsid w:val="007C3D59"/>
    <w:rsid w:val="007D18A8"/>
    <w:rsid w:val="007D309A"/>
    <w:rsid w:val="007D50DD"/>
    <w:rsid w:val="007E04BE"/>
    <w:rsid w:val="007E120D"/>
    <w:rsid w:val="007E366C"/>
    <w:rsid w:val="007E44E5"/>
    <w:rsid w:val="007E44E8"/>
    <w:rsid w:val="007F1658"/>
    <w:rsid w:val="007F6DF3"/>
    <w:rsid w:val="007F6EBB"/>
    <w:rsid w:val="00800308"/>
    <w:rsid w:val="008013F4"/>
    <w:rsid w:val="00803655"/>
    <w:rsid w:val="00803993"/>
    <w:rsid w:val="00807750"/>
    <w:rsid w:val="0080782B"/>
    <w:rsid w:val="00810948"/>
    <w:rsid w:val="008120D6"/>
    <w:rsid w:val="00812B6B"/>
    <w:rsid w:val="008139C1"/>
    <w:rsid w:val="0081428E"/>
    <w:rsid w:val="008209AE"/>
    <w:rsid w:val="00826061"/>
    <w:rsid w:val="00826DCF"/>
    <w:rsid w:val="00831202"/>
    <w:rsid w:val="008317E5"/>
    <w:rsid w:val="0083182E"/>
    <w:rsid w:val="00831EF0"/>
    <w:rsid w:val="0083369D"/>
    <w:rsid w:val="0083473E"/>
    <w:rsid w:val="00834DFC"/>
    <w:rsid w:val="0083574A"/>
    <w:rsid w:val="00836190"/>
    <w:rsid w:val="00836CAE"/>
    <w:rsid w:val="00841C02"/>
    <w:rsid w:val="008449CD"/>
    <w:rsid w:val="008462DE"/>
    <w:rsid w:val="0085627D"/>
    <w:rsid w:val="0086276D"/>
    <w:rsid w:val="00863D5E"/>
    <w:rsid w:val="008677AF"/>
    <w:rsid w:val="00870E83"/>
    <w:rsid w:val="00872801"/>
    <w:rsid w:val="008764D4"/>
    <w:rsid w:val="00877CEE"/>
    <w:rsid w:val="00877DA5"/>
    <w:rsid w:val="0088092E"/>
    <w:rsid w:val="00880F69"/>
    <w:rsid w:val="008820F6"/>
    <w:rsid w:val="008826E6"/>
    <w:rsid w:val="008842C1"/>
    <w:rsid w:val="00894A2E"/>
    <w:rsid w:val="00894B5D"/>
    <w:rsid w:val="00896841"/>
    <w:rsid w:val="008A08BC"/>
    <w:rsid w:val="008A4181"/>
    <w:rsid w:val="008B1A83"/>
    <w:rsid w:val="008B1C48"/>
    <w:rsid w:val="008B54B8"/>
    <w:rsid w:val="008D03BA"/>
    <w:rsid w:val="008D1F9E"/>
    <w:rsid w:val="008D2188"/>
    <w:rsid w:val="008D33EF"/>
    <w:rsid w:val="008D33F0"/>
    <w:rsid w:val="008D38CF"/>
    <w:rsid w:val="008D40EC"/>
    <w:rsid w:val="008D4A5F"/>
    <w:rsid w:val="008E24EC"/>
    <w:rsid w:val="008E48E9"/>
    <w:rsid w:val="008E5820"/>
    <w:rsid w:val="008E6A27"/>
    <w:rsid w:val="008E6B9F"/>
    <w:rsid w:val="008E7FFE"/>
    <w:rsid w:val="008F23B4"/>
    <w:rsid w:val="008F4EA3"/>
    <w:rsid w:val="009000D6"/>
    <w:rsid w:val="00902B52"/>
    <w:rsid w:val="0090310E"/>
    <w:rsid w:val="0090576F"/>
    <w:rsid w:val="00906752"/>
    <w:rsid w:val="009107BD"/>
    <w:rsid w:val="00910E79"/>
    <w:rsid w:val="00912934"/>
    <w:rsid w:val="00914593"/>
    <w:rsid w:val="009149F5"/>
    <w:rsid w:val="00914B2D"/>
    <w:rsid w:val="00915C63"/>
    <w:rsid w:val="009166AC"/>
    <w:rsid w:val="00917D9B"/>
    <w:rsid w:val="0092188D"/>
    <w:rsid w:val="00921CB3"/>
    <w:rsid w:val="00924F0A"/>
    <w:rsid w:val="009265F7"/>
    <w:rsid w:val="0092660D"/>
    <w:rsid w:val="00926CB1"/>
    <w:rsid w:val="00927BFC"/>
    <w:rsid w:val="009303AD"/>
    <w:rsid w:val="009354DA"/>
    <w:rsid w:val="00937E83"/>
    <w:rsid w:val="00945DE7"/>
    <w:rsid w:val="00946618"/>
    <w:rsid w:val="00950BE2"/>
    <w:rsid w:val="009537E7"/>
    <w:rsid w:val="009553DB"/>
    <w:rsid w:val="00961657"/>
    <w:rsid w:val="00964DA1"/>
    <w:rsid w:val="00964F5A"/>
    <w:rsid w:val="0096568E"/>
    <w:rsid w:val="00971BCE"/>
    <w:rsid w:val="0097201D"/>
    <w:rsid w:val="00972D5B"/>
    <w:rsid w:val="00975FFE"/>
    <w:rsid w:val="00977755"/>
    <w:rsid w:val="00977798"/>
    <w:rsid w:val="0098018F"/>
    <w:rsid w:val="009815AA"/>
    <w:rsid w:val="00984B94"/>
    <w:rsid w:val="00985A4E"/>
    <w:rsid w:val="00985DD2"/>
    <w:rsid w:val="009917A9"/>
    <w:rsid w:val="00995ACE"/>
    <w:rsid w:val="00995C2B"/>
    <w:rsid w:val="00996B50"/>
    <w:rsid w:val="009A0591"/>
    <w:rsid w:val="009A1AC8"/>
    <w:rsid w:val="009A1E2A"/>
    <w:rsid w:val="009A203F"/>
    <w:rsid w:val="009B02D1"/>
    <w:rsid w:val="009B1AA5"/>
    <w:rsid w:val="009C1718"/>
    <w:rsid w:val="009C2218"/>
    <w:rsid w:val="009C37B9"/>
    <w:rsid w:val="009C670F"/>
    <w:rsid w:val="009C6C2F"/>
    <w:rsid w:val="009C71D5"/>
    <w:rsid w:val="009C71D6"/>
    <w:rsid w:val="009D0D69"/>
    <w:rsid w:val="009D4863"/>
    <w:rsid w:val="009D6553"/>
    <w:rsid w:val="009D74BA"/>
    <w:rsid w:val="009D7F58"/>
    <w:rsid w:val="009E0BBF"/>
    <w:rsid w:val="009E0C25"/>
    <w:rsid w:val="009E1A6C"/>
    <w:rsid w:val="009E5821"/>
    <w:rsid w:val="009E6E9B"/>
    <w:rsid w:val="009F03F1"/>
    <w:rsid w:val="009F166F"/>
    <w:rsid w:val="009F20FD"/>
    <w:rsid w:val="009F316C"/>
    <w:rsid w:val="009F68AD"/>
    <w:rsid w:val="00A02EA3"/>
    <w:rsid w:val="00A03D5D"/>
    <w:rsid w:val="00A0415D"/>
    <w:rsid w:val="00A05A2D"/>
    <w:rsid w:val="00A1016E"/>
    <w:rsid w:val="00A17B5E"/>
    <w:rsid w:val="00A17E70"/>
    <w:rsid w:val="00A21B05"/>
    <w:rsid w:val="00A221B4"/>
    <w:rsid w:val="00A23764"/>
    <w:rsid w:val="00A26DF5"/>
    <w:rsid w:val="00A26FDB"/>
    <w:rsid w:val="00A2742C"/>
    <w:rsid w:val="00A27840"/>
    <w:rsid w:val="00A317AB"/>
    <w:rsid w:val="00A329F4"/>
    <w:rsid w:val="00A3788F"/>
    <w:rsid w:val="00A43500"/>
    <w:rsid w:val="00A444F9"/>
    <w:rsid w:val="00A457FE"/>
    <w:rsid w:val="00A4671C"/>
    <w:rsid w:val="00A5273A"/>
    <w:rsid w:val="00A545D0"/>
    <w:rsid w:val="00A546C3"/>
    <w:rsid w:val="00A55000"/>
    <w:rsid w:val="00A56D28"/>
    <w:rsid w:val="00A579E7"/>
    <w:rsid w:val="00A6345D"/>
    <w:rsid w:val="00A64BB0"/>
    <w:rsid w:val="00A65E07"/>
    <w:rsid w:val="00A67B13"/>
    <w:rsid w:val="00A73E9F"/>
    <w:rsid w:val="00A73F63"/>
    <w:rsid w:val="00A816D4"/>
    <w:rsid w:val="00A82FF5"/>
    <w:rsid w:val="00A876A3"/>
    <w:rsid w:val="00A9122C"/>
    <w:rsid w:val="00A91B02"/>
    <w:rsid w:val="00A93370"/>
    <w:rsid w:val="00AA016D"/>
    <w:rsid w:val="00AA023F"/>
    <w:rsid w:val="00AA32FD"/>
    <w:rsid w:val="00AA3735"/>
    <w:rsid w:val="00AA394F"/>
    <w:rsid w:val="00AB1030"/>
    <w:rsid w:val="00AB1258"/>
    <w:rsid w:val="00AB488C"/>
    <w:rsid w:val="00AB7AD0"/>
    <w:rsid w:val="00AC3A2F"/>
    <w:rsid w:val="00AC43FC"/>
    <w:rsid w:val="00AC57F3"/>
    <w:rsid w:val="00AD0A90"/>
    <w:rsid w:val="00AD1533"/>
    <w:rsid w:val="00AD705A"/>
    <w:rsid w:val="00AE1888"/>
    <w:rsid w:val="00AE2077"/>
    <w:rsid w:val="00AE5CB7"/>
    <w:rsid w:val="00AE7D1B"/>
    <w:rsid w:val="00AF3AC0"/>
    <w:rsid w:val="00AF425B"/>
    <w:rsid w:val="00AF6A0F"/>
    <w:rsid w:val="00AF7B34"/>
    <w:rsid w:val="00B02B52"/>
    <w:rsid w:val="00B03B19"/>
    <w:rsid w:val="00B0785D"/>
    <w:rsid w:val="00B14602"/>
    <w:rsid w:val="00B14A1F"/>
    <w:rsid w:val="00B15AE8"/>
    <w:rsid w:val="00B16F8A"/>
    <w:rsid w:val="00B17A88"/>
    <w:rsid w:val="00B21C9E"/>
    <w:rsid w:val="00B25013"/>
    <w:rsid w:val="00B25973"/>
    <w:rsid w:val="00B26C93"/>
    <w:rsid w:val="00B26DA0"/>
    <w:rsid w:val="00B275C8"/>
    <w:rsid w:val="00B277C1"/>
    <w:rsid w:val="00B27819"/>
    <w:rsid w:val="00B2782F"/>
    <w:rsid w:val="00B27905"/>
    <w:rsid w:val="00B30115"/>
    <w:rsid w:val="00B315CD"/>
    <w:rsid w:val="00B3385C"/>
    <w:rsid w:val="00B34191"/>
    <w:rsid w:val="00B35D33"/>
    <w:rsid w:val="00B36488"/>
    <w:rsid w:val="00B373C5"/>
    <w:rsid w:val="00B437EB"/>
    <w:rsid w:val="00B47EC7"/>
    <w:rsid w:val="00B54ABC"/>
    <w:rsid w:val="00B5566F"/>
    <w:rsid w:val="00B56EEC"/>
    <w:rsid w:val="00B57908"/>
    <w:rsid w:val="00B63398"/>
    <w:rsid w:val="00B70948"/>
    <w:rsid w:val="00B70F2B"/>
    <w:rsid w:val="00B740F1"/>
    <w:rsid w:val="00B751E2"/>
    <w:rsid w:val="00B77265"/>
    <w:rsid w:val="00B80E45"/>
    <w:rsid w:val="00B826B0"/>
    <w:rsid w:val="00B83588"/>
    <w:rsid w:val="00B83C89"/>
    <w:rsid w:val="00B84D3D"/>
    <w:rsid w:val="00B91A3D"/>
    <w:rsid w:val="00B9252F"/>
    <w:rsid w:val="00B93BF9"/>
    <w:rsid w:val="00B9484E"/>
    <w:rsid w:val="00B9488B"/>
    <w:rsid w:val="00B949F1"/>
    <w:rsid w:val="00B974E8"/>
    <w:rsid w:val="00BA14D7"/>
    <w:rsid w:val="00BA4B02"/>
    <w:rsid w:val="00BA5E4B"/>
    <w:rsid w:val="00BA6AF9"/>
    <w:rsid w:val="00BB4CB2"/>
    <w:rsid w:val="00BB5B5F"/>
    <w:rsid w:val="00BC24C0"/>
    <w:rsid w:val="00BC4457"/>
    <w:rsid w:val="00BC7BCF"/>
    <w:rsid w:val="00BD005F"/>
    <w:rsid w:val="00BD1A97"/>
    <w:rsid w:val="00BD31B6"/>
    <w:rsid w:val="00BD5C30"/>
    <w:rsid w:val="00BD779F"/>
    <w:rsid w:val="00BE1E67"/>
    <w:rsid w:val="00BE2812"/>
    <w:rsid w:val="00BE32D3"/>
    <w:rsid w:val="00BE564B"/>
    <w:rsid w:val="00BF02FD"/>
    <w:rsid w:val="00BF2E14"/>
    <w:rsid w:val="00BF3526"/>
    <w:rsid w:val="00BF4B41"/>
    <w:rsid w:val="00C01F14"/>
    <w:rsid w:val="00C04155"/>
    <w:rsid w:val="00C06697"/>
    <w:rsid w:val="00C105E4"/>
    <w:rsid w:val="00C12868"/>
    <w:rsid w:val="00C17CA7"/>
    <w:rsid w:val="00C20C6A"/>
    <w:rsid w:val="00C20FE7"/>
    <w:rsid w:val="00C2460D"/>
    <w:rsid w:val="00C255F6"/>
    <w:rsid w:val="00C319B6"/>
    <w:rsid w:val="00C31AF2"/>
    <w:rsid w:val="00C3520D"/>
    <w:rsid w:val="00C36198"/>
    <w:rsid w:val="00C369CC"/>
    <w:rsid w:val="00C405CB"/>
    <w:rsid w:val="00C41085"/>
    <w:rsid w:val="00C42854"/>
    <w:rsid w:val="00C44ABA"/>
    <w:rsid w:val="00C4621C"/>
    <w:rsid w:val="00C50BF9"/>
    <w:rsid w:val="00C51831"/>
    <w:rsid w:val="00C54CE3"/>
    <w:rsid w:val="00C56816"/>
    <w:rsid w:val="00C57A76"/>
    <w:rsid w:val="00C608EC"/>
    <w:rsid w:val="00C63501"/>
    <w:rsid w:val="00C6439F"/>
    <w:rsid w:val="00C66D45"/>
    <w:rsid w:val="00C726D4"/>
    <w:rsid w:val="00C72AD9"/>
    <w:rsid w:val="00C74255"/>
    <w:rsid w:val="00C744BD"/>
    <w:rsid w:val="00C76302"/>
    <w:rsid w:val="00C76EBA"/>
    <w:rsid w:val="00C86F90"/>
    <w:rsid w:val="00C93351"/>
    <w:rsid w:val="00C97883"/>
    <w:rsid w:val="00CA116F"/>
    <w:rsid w:val="00CA518E"/>
    <w:rsid w:val="00CB4B82"/>
    <w:rsid w:val="00CB565D"/>
    <w:rsid w:val="00CB6A9E"/>
    <w:rsid w:val="00CB7168"/>
    <w:rsid w:val="00CC0205"/>
    <w:rsid w:val="00CC4318"/>
    <w:rsid w:val="00CC6020"/>
    <w:rsid w:val="00CC63B2"/>
    <w:rsid w:val="00CC7084"/>
    <w:rsid w:val="00CC7505"/>
    <w:rsid w:val="00CD2640"/>
    <w:rsid w:val="00CD2A8E"/>
    <w:rsid w:val="00CD2D4F"/>
    <w:rsid w:val="00CD6476"/>
    <w:rsid w:val="00CD7BA9"/>
    <w:rsid w:val="00CE20DD"/>
    <w:rsid w:val="00CE32FA"/>
    <w:rsid w:val="00CE47FC"/>
    <w:rsid w:val="00CE60D4"/>
    <w:rsid w:val="00CE6A8C"/>
    <w:rsid w:val="00CF0CC1"/>
    <w:rsid w:val="00CF43D8"/>
    <w:rsid w:val="00CF49AC"/>
    <w:rsid w:val="00CF526E"/>
    <w:rsid w:val="00CF75AD"/>
    <w:rsid w:val="00CF7B08"/>
    <w:rsid w:val="00D01D9A"/>
    <w:rsid w:val="00D02F6A"/>
    <w:rsid w:val="00D04099"/>
    <w:rsid w:val="00D049F2"/>
    <w:rsid w:val="00D1027A"/>
    <w:rsid w:val="00D10663"/>
    <w:rsid w:val="00D12DCC"/>
    <w:rsid w:val="00D13B6E"/>
    <w:rsid w:val="00D14EAD"/>
    <w:rsid w:val="00D161B7"/>
    <w:rsid w:val="00D165D9"/>
    <w:rsid w:val="00D16E4D"/>
    <w:rsid w:val="00D17ECD"/>
    <w:rsid w:val="00D20338"/>
    <w:rsid w:val="00D23E57"/>
    <w:rsid w:val="00D25D5E"/>
    <w:rsid w:val="00D26766"/>
    <w:rsid w:val="00D26F7F"/>
    <w:rsid w:val="00D27199"/>
    <w:rsid w:val="00D30929"/>
    <w:rsid w:val="00D31B93"/>
    <w:rsid w:val="00D322E8"/>
    <w:rsid w:val="00D32DDF"/>
    <w:rsid w:val="00D33C3E"/>
    <w:rsid w:val="00D4465E"/>
    <w:rsid w:val="00D45430"/>
    <w:rsid w:val="00D4633E"/>
    <w:rsid w:val="00D46EE9"/>
    <w:rsid w:val="00D521D5"/>
    <w:rsid w:val="00D5482A"/>
    <w:rsid w:val="00D57D95"/>
    <w:rsid w:val="00D60914"/>
    <w:rsid w:val="00D6769D"/>
    <w:rsid w:val="00D749F5"/>
    <w:rsid w:val="00D76AFE"/>
    <w:rsid w:val="00D831C8"/>
    <w:rsid w:val="00D8493D"/>
    <w:rsid w:val="00D90897"/>
    <w:rsid w:val="00D90A9D"/>
    <w:rsid w:val="00D93B3E"/>
    <w:rsid w:val="00D9573B"/>
    <w:rsid w:val="00D96F66"/>
    <w:rsid w:val="00DA41BB"/>
    <w:rsid w:val="00DA4247"/>
    <w:rsid w:val="00DB0160"/>
    <w:rsid w:val="00DB0840"/>
    <w:rsid w:val="00DB0DEC"/>
    <w:rsid w:val="00DB4546"/>
    <w:rsid w:val="00DB61FE"/>
    <w:rsid w:val="00DB752B"/>
    <w:rsid w:val="00DC0A06"/>
    <w:rsid w:val="00DC151A"/>
    <w:rsid w:val="00DD00FA"/>
    <w:rsid w:val="00DD15C1"/>
    <w:rsid w:val="00DD21AB"/>
    <w:rsid w:val="00DD2458"/>
    <w:rsid w:val="00DD283A"/>
    <w:rsid w:val="00DE364D"/>
    <w:rsid w:val="00DE4681"/>
    <w:rsid w:val="00DE6EBF"/>
    <w:rsid w:val="00DE74A6"/>
    <w:rsid w:val="00DF7ED8"/>
    <w:rsid w:val="00E00C03"/>
    <w:rsid w:val="00E0182D"/>
    <w:rsid w:val="00E022B8"/>
    <w:rsid w:val="00E023E3"/>
    <w:rsid w:val="00E050EC"/>
    <w:rsid w:val="00E06E7C"/>
    <w:rsid w:val="00E07F2A"/>
    <w:rsid w:val="00E13F1B"/>
    <w:rsid w:val="00E13F3B"/>
    <w:rsid w:val="00E155BA"/>
    <w:rsid w:val="00E15F4E"/>
    <w:rsid w:val="00E166E3"/>
    <w:rsid w:val="00E17D81"/>
    <w:rsid w:val="00E20A27"/>
    <w:rsid w:val="00E2108C"/>
    <w:rsid w:val="00E21417"/>
    <w:rsid w:val="00E2433D"/>
    <w:rsid w:val="00E25FAA"/>
    <w:rsid w:val="00E27704"/>
    <w:rsid w:val="00E27D3A"/>
    <w:rsid w:val="00E307F1"/>
    <w:rsid w:val="00E3122A"/>
    <w:rsid w:val="00E33031"/>
    <w:rsid w:val="00E364EB"/>
    <w:rsid w:val="00E37EF6"/>
    <w:rsid w:val="00E40113"/>
    <w:rsid w:val="00E4086C"/>
    <w:rsid w:val="00E41136"/>
    <w:rsid w:val="00E42D7F"/>
    <w:rsid w:val="00E43E20"/>
    <w:rsid w:val="00E44C29"/>
    <w:rsid w:val="00E45625"/>
    <w:rsid w:val="00E45E94"/>
    <w:rsid w:val="00E467E1"/>
    <w:rsid w:val="00E5391F"/>
    <w:rsid w:val="00E53A02"/>
    <w:rsid w:val="00E53D11"/>
    <w:rsid w:val="00E54523"/>
    <w:rsid w:val="00E56433"/>
    <w:rsid w:val="00E569EA"/>
    <w:rsid w:val="00E61D84"/>
    <w:rsid w:val="00E63639"/>
    <w:rsid w:val="00E64366"/>
    <w:rsid w:val="00E66087"/>
    <w:rsid w:val="00E672BD"/>
    <w:rsid w:val="00E67F2F"/>
    <w:rsid w:val="00E70259"/>
    <w:rsid w:val="00E72819"/>
    <w:rsid w:val="00E777E9"/>
    <w:rsid w:val="00E811DE"/>
    <w:rsid w:val="00E82253"/>
    <w:rsid w:val="00E82930"/>
    <w:rsid w:val="00E8298C"/>
    <w:rsid w:val="00E83C3C"/>
    <w:rsid w:val="00E93AC5"/>
    <w:rsid w:val="00E976F4"/>
    <w:rsid w:val="00EA4658"/>
    <w:rsid w:val="00EA4698"/>
    <w:rsid w:val="00EA645A"/>
    <w:rsid w:val="00EB0097"/>
    <w:rsid w:val="00EB1B2A"/>
    <w:rsid w:val="00EB2E76"/>
    <w:rsid w:val="00EB5D82"/>
    <w:rsid w:val="00EB7772"/>
    <w:rsid w:val="00EB7FBE"/>
    <w:rsid w:val="00EC2495"/>
    <w:rsid w:val="00EC5096"/>
    <w:rsid w:val="00EC5395"/>
    <w:rsid w:val="00EC56B5"/>
    <w:rsid w:val="00EC73E0"/>
    <w:rsid w:val="00EC77A0"/>
    <w:rsid w:val="00ED247A"/>
    <w:rsid w:val="00ED2574"/>
    <w:rsid w:val="00ED42D8"/>
    <w:rsid w:val="00ED4824"/>
    <w:rsid w:val="00EE00AB"/>
    <w:rsid w:val="00EE18C4"/>
    <w:rsid w:val="00EE31FF"/>
    <w:rsid w:val="00EE43DD"/>
    <w:rsid w:val="00EE6810"/>
    <w:rsid w:val="00EF1FA9"/>
    <w:rsid w:val="00EF4080"/>
    <w:rsid w:val="00EF75A6"/>
    <w:rsid w:val="00F007A0"/>
    <w:rsid w:val="00F01463"/>
    <w:rsid w:val="00F01F0F"/>
    <w:rsid w:val="00F01F7C"/>
    <w:rsid w:val="00F11B27"/>
    <w:rsid w:val="00F127CB"/>
    <w:rsid w:val="00F127DD"/>
    <w:rsid w:val="00F15E3B"/>
    <w:rsid w:val="00F15F53"/>
    <w:rsid w:val="00F16534"/>
    <w:rsid w:val="00F171F1"/>
    <w:rsid w:val="00F22CCD"/>
    <w:rsid w:val="00F23B7C"/>
    <w:rsid w:val="00F24AB0"/>
    <w:rsid w:val="00F24F6B"/>
    <w:rsid w:val="00F456D2"/>
    <w:rsid w:val="00F47B4A"/>
    <w:rsid w:val="00F51658"/>
    <w:rsid w:val="00F51A38"/>
    <w:rsid w:val="00F51D2B"/>
    <w:rsid w:val="00F55A04"/>
    <w:rsid w:val="00F5756D"/>
    <w:rsid w:val="00F57596"/>
    <w:rsid w:val="00F63772"/>
    <w:rsid w:val="00F6603A"/>
    <w:rsid w:val="00F67D31"/>
    <w:rsid w:val="00F71090"/>
    <w:rsid w:val="00F710B0"/>
    <w:rsid w:val="00F72D83"/>
    <w:rsid w:val="00F72DA0"/>
    <w:rsid w:val="00F73FC8"/>
    <w:rsid w:val="00F7524D"/>
    <w:rsid w:val="00F76EFA"/>
    <w:rsid w:val="00F771F9"/>
    <w:rsid w:val="00F80066"/>
    <w:rsid w:val="00F81120"/>
    <w:rsid w:val="00F81BF2"/>
    <w:rsid w:val="00F915DF"/>
    <w:rsid w:val="00F97189"/>
    <w:rsid w:val="00FA1675"/>
    <w:rsid w:val="00FA4D05"/>
    <w:rsid w:val="00FA7A50"/>
    <w:rsid w:val="00FA7C20"/>
    <w:rsid w:val="00FB03A3"/>
    <w:rsid w:val="00FB1F47"/>
    <w:rsid w:val="00FB71BD"/>
    <w:rsid w:val="00FB7BE4"/>
    <w:rsid w:val="00FB7D65"/>
    <w:rsid w:val="00FC0D68"/>
    <w:rsid w:val="00FC2185"/>
    <w:rsid w:val="00FC4B6D"/>
    <w:rsid w:val="00FC659C"/>
    <w:rsid w:val="00FC6E1A"/>
    <w:rsid w:val="00FC7E7C"/>
    <w:rsid w:val="00FD0D96"/>
    <w:rsid w:val="00FD1885"/>
    <w:rsid w:val="00FD353D"/>
    <w:rsid w:val="00FD561E"/>
    <w:rsid w:val="00FD653B"/>
    <w:rsid w:val="00FE1DC8"/>
    <w:rsid w:val="00FE2DF5"/>
    <w:rsid w:val="00FE71AF"/>
    <w:rsid w:val="00FE7213"/>
    <w:rsid w:val="00FE7FC4"/>
    <w:rsid w:val="00FF06A3"/>
    <w:rsid w:val="00FF1B90"/>
    <w:rsid w:val="00FF5A1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14:docId w14:val="2359D1F3"/>
  <w15:chartTrackingRefBased/>
  <w15:docId w15:val="{D2D0FFB6-5825-403F-A977-46DE33DF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DF5"/>
    <w:pPr>
      <w:keepLines/>
      <w:spacing w:before="240" w:after="0" w:line="276" w:lineRule="auto"/>
    </w:pPr>
    <w:rPr>
      <w:sz w:val="24"/>
    </w:rPr>
  </w:style>
  <w:style w:type="paragraph" w:styleId="Heading1">
    <w:name w:val="heading 1"/>
    <w:basedOn w:val="Normal"/>
    <w:next w:val="Normal"/>
    <w:link w:val="Heading1Char"/>
    <w:uiPriority w:val="1"/>
    <w:qFormat/>
    <w:rsid w:val="00465B9E"/>
    <w:pPr>
      <w:keepNext/>
      <w:pageBreakBefore/>
      <w:spacing w:after="720" w:line="240" w:lineRule="auto"/>
      <w:outlineLvl w:val="0"/>
    </w:pPr>
    <w:rPr>
      <w:rFonts w:asciiTheme="majorHAnsi" w:eastAsiaTheme="majorEastAsia" w:hAnsiTheme="majorHAnsi" w:cstheme="majorBidi"/>
      <w:color w:val="FFFFFF" w:themeColor="background1"/>
      <w:sz w:val="56"/>
      <w:szCs w:val="52"/>
      <w:bdr w:val="single" w:sz="48" w:space="0" w:color="009C98" w:themeColor="accent1"/>
      <w:shd w:val="clear" w:color="auto" w:fill="009C98" w:themeFill="accent1"/>
    </w:rPr>
  </w:style>
  <w:style w:type="paragraph" w:styleId="Heading2">
    <w:name w:val="heading 2"/>
    <w:basedOn w:val="Heading1"/>
    <w:next w:val="Normal"/>
    <w:link w:val="Heading2Char"/>
    <w:uiPriority w:val="1"/>
    <w:unhideWhenUsed/>
    <w:qFormat/>
    <w:rsid w:val="002D221B"/>
    <w:pPr>
      <w:pageBreakBefore w:val="0"/>
      <w:pBdr>
        <w:top w:val="single" w:sz="24" w:space="9" w:color="009C98" w:themeColor="accent1"/>
      </w:pBdr>
      <w:spacing w:before="720" w:after="60"/>
      <w:outlineLvl w:val="1"/>
    </w:pPr>
    <w:rPr>
      <w:b/>
      <w:color w:val="0B4E60" w:themeColor="text2"/>
      <w:sz w:val="36"/>
      <w:szCs w:val="32"/>
      <w:bdr w:val="none" w:sz="0" w:space="0" w:color="auto"/>
      <w:shd w:val="clear" w:color="auto" w:fill="auto"/>
    </w:rPr>
  </w:style>
  <w:style w:type="paragraph" w:styleId="Heading3">
    <w:name w:val="heading 3"/>
    <w:basedOn w:val="Heading2"/>
    <w:next w:val="Normal"/>
    <w:link w:val="Heading3Char"/>
    <w:uiPriority w:val="1"/>
    <w:unhideWhenUsed/>
    <w:qFormat/>
    <w:rsid w:val="004E2C9C"/>
    <w:pPr>
      <w:pBdr>
        <w:top w:val="none" w:sz="0" w:space="0" w:color="auto"/>
      </w:pBdr>
      <w:spacing w:before="400" w:after="40"/>
      <w:outlineLvl w:val="2"/>
    </w:pPr>
    <w:rPr>
      <w:color w:val="auto"/>
      <w:sz w:val="32"/>
      <w:szCs w:val="30"/>
    </w:rPr>
  </w:style>
  <w:style w:type="paragraph" w:styleId="Heading4">
    <w:name w:val="heading 4"/>
    <w:basedOn w:val="Heading3"/>
    <w:next w:val="Normal"/>
    <w:link w:val="Heading4Char"/>
    <w:uiPriority w:val="1"/>
    <w:unhideWhenUsed/>
    <w:qFormat/>
    <w:rsid w:val="002D221B"/>
    <w:pPr>
      <w:spacing w:before="360"/>
      <w:outlineLvl w:val="3"/>
    </w:pPr>
    <w:rPr>
      <w:color w:val="004E4B" w:themeColor="accent1" w:themeShade="80"/>
      <w:sz w:val="28"/>
      <w:szCs w:val="29"/>
    </w:rPr>
  </w:style>
  <w:style w:type="paragraph" w:styleId="Heading5">
    <w:name w:val="heading 5"/>
    <w:basedOn w:val="Normal"/>
    <w:next w:val="Normal"/>
    <w:link w:val="Heading5Char1"/>
    <w:uiPriority w:val="9"/>
    <w:unhideWhenUsed/>
    <w:rsid w:val="004E2C9C"/>
    <w:pPr>
      <w:keepNext/>
      <w:spacing w:before="160"/>
      <w:outlineLvl w:val="4"/>
    </w:pPr>
    <w:rPr>
      <w:rFonts w:asciiTheme="majorHAnsi" w:eastAsiaTheme="majorEastAsia" w:hAnsiTheme="majorHAnsi" w:cstheme="majorBidi"/>
      <w:b/>
    </w:rPr>
  </w:style>
  <w:style w:type="paragraph" w:styleId="Heading6">
    <w:name w:val="heading 6"/>
    <w:basedOn w:val="Normal"/>
    <w:next w:val="Normal"/>
    <w:link w:val="Heading6Char1"/>
    <w:uiPriority w:val="9"/>
    <w:semiHidden/>
    <w:unhideWhenUsed/>
    <w:rsid w:val="004E2C9C"/>
    <w:pPr>
      <w:keepNext/>
      <w:spacing w:before="4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3B7D03"/>
    <w:pPr>
      <w:keepNext/>
      <w:numPr>
        <w:ilvl w:val="6"/>
        <w:numId w:val="4"/>
      </w:numPr>
      <w:spacing w:before="40"/>
      <w:outlineLvl w:val="6"/>
    </w:pPr>
    <w:rPr>
      <w:rFonts w:asciiTheme="majorHAnsi" w:eastAsiaTheme="majorEastAsia" w:hAnsiTheme="majorHAnsi" w:cstheme="majorBidi"/>
      <w:i/>
      <w:iCs/>
      <w:color w:val="004D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
    <w:qFormat/>
    <w:rsid w:val="004A5BF6"/>
    <w:pPr>
      <w:pBdr>
        <w:top w:val="single" w:sz="48" w:space="0" w:color="009C98" w:themeColor="accent1"/>
        <w:left w:val="single" w:sz="48" w:space="0" w:color="009C98" w:themeColor="accent1"/>
        <w:bottom w:val="single" w:sz="48" w:space="0" w:color="009C98" w:themeColor="accent1"/>
        <w:right w:val="single" w:sz="48" w:space="0" w:color="009C98" w:themeColor="accent1"/>
      </w:pBdr>
      <w:shd w:val="clear" w:color="auto" w:fill="009C98" w:themeFill="accent1"/>
      <w:spacing w:line="216" w:lineRule="auto"/>
      <w:contextualSpacing/>
    </w:pPr>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character" w:customStyle="1" w:styleId="TitleChar">
    <w:name w:val="Title Char"/>
    <w:basedOn w:val="DefaultParagraphFont"/>
    <w:link w:val="Title"/>
    <w:uiPriority w:val="9"/>
    <w:rsid w:val="00457EE1"/>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paragraph" w:styleId="Header">
    <w:name w:val="header"/>
    <w:basedOn w:val="Normal"/>
    <w:link w:val="HeaderChar"/>
    <w:uiPriority w:val="99"/>
    <w:unhideWhenUsed/>
    <w:rsid w:val="00A26DF5"/>
    <w:pPr>
      <w:tabs>
        <w:tab w:val="center" w:pos="4513"/>
        <w:tab w:val="right" w:pos="9026"/>
      </w:tabs>
      <w:spacing w:line="240" w:lineRule="auto"/>
    </w:pPr>
  </w:style>
  <w:style w:type="character" w:customStyle="1" w:styleId="HeaderChar">
    <w:name w:val="Header Char"/>
    <w:basedOn w:val="DefaultParagraphFont"/>
    <w:link w:val="Header"/>
    <w:uiPriority w:val="99"/>
    <w:rsid w:val="00A26DF5"/>
    <w:rPr>
      <w:sz w:val="24"/>
    </w:rPr>
  </w:style>
  <w:style w:type="paragraph" w:styleId="Footer">
    <w:name w:val="footer"/>
    <w:basedOn w:val="Normal"/>
    <w:link w:val="FooterChar"/>
    <w:uiPriority w:val="99"/>
    <w:unhideWhenUsed/>
    <w:rsid w:val="00A26DF5"/>
    <w:pPr>
      <w:tabs>
        <w:tab w:val="center" w:pos="4513"/>
        <w:tab w:val="right" w:pos="9026"/>
      </w:tabs>
      <w:spacing w:line="240" w:lineRule="auto"/>
    </w:pPr>
    <w:rPr>
      <w:color w:val="0B4E60" w:themeColor="text2"/>
    </w:rPr>
  </w:style>
  <w:style w:type="character" w:customStyle="1" w:styleId="FooterChar">
    <w:name w:val="Footer Char"/>
    <w:basedOn w:val="DefaultParagraphFont"/>
    <w:link w:val="Footer"/>
    <w:uiPriority w:val="99"/>
    <w:rsid w:val="00A26DF5"/>
    <w:rPr>
      <w:color w:val="0B4E60" w:themeColor="text2"/>
      <w:sz w:val="24"/>
    </w:rPr>
  </w:style>
  <w:style w:type="character" w:customStyle="1" w:styleId="Heading1Char">
    <w:name w:val="Heading 1 Char"/>
    <w:basedOn w:val="DefaultParagraphFont"/>
    <w:link w:val="Heading1"/>
    <w:uiPriority w:val="1"/>
    <w:rsid w:val="00465B9E"/>
    <w:rPr>
      <w:rFonts w:asciiTheme="majorHAnsi" w:eastAsiaTheme="majorEastAsia" w:hAnsiTheme="majorHAnsi" w:cstheme="majorBidi"/>
      <w:color w:val="FFFFFF" w:themeColor="background1"/>
      <w:sz w:val="56"/>
      <w:szCs w:val="52"/>
      <w:bdr w:val="single" w:sz="48" w:space="0" w:color="009C98" w:themeColor="accent1"/>
    </w:rPr>
  </w:style>
  <w:style w:type="character" w:customStyle="1" w:styleId="Heading2Char">
    <w:name w:val="Heading 2 Char"/>
    <w:basedOn w:val="DefaultParagraphFont"/>
    <w:link w:val="Heading2"/>
    <w:uiPriority w:val="1"/>
    <w:rsid w:val="002D221B"/>
    <w:rPr>
      <w:rFonts w:asciiTheme="majorHAnsi" w:eastAsiaTheme="majorEastAsia" w:hAnsiTheme="majorHAnsi" w:cstheme="majorBidi"/>
      <w:b/>
      <w:color w:val="0B4E60" w:themeColor="text2"/>
      <w:sz w:val="36"/>
      <w:szCs w:val="32"/>
    </w:rPr>
  </w:style>
  <w:style w:type="character" w:customStyle="1" w:styleId="Heading3Char">
    <w:name w:val="Heading 3 Char"/>
    <w:basedOn w:val="DefaultParagraphFont"/>
    <w:link w:val="Heading3"/>
    <w:uiPriority w:val="1"/>
    <w:rsid w:val="004E2C9C"/>
    <w:rPr>
      <w:rFonts w:asciiTheme="majorHAnsi" w:eastAsiaTheme="majorEastAsia" w:hAnsiTheme="majorHAnsi" w:cstheme="majorBidi"/>
      <w:b/>
      <w:sz w:val="32"/>
      <w:szCs w:val="30"/>
    </w:rPr>
  </w:style>
  <w:style w:type="character" w:customStyle="1" w:styleId="Heading4Char">
    <w:name w:val="Heading 4 Char"/>
    <w:basedOn w:val="DefaultParagraphFont"/>
    <w:link w:val="Heading4"/>
    <w:uiPriority w:val="1"/>
    <w:rsid w:val="002D221B"/>
    <w:rPr>
      <w:rFonts w:asciiTheme="majorHAnsi" w:eastAsiaTheme="majorEastAsia" w:hAnsiTheme="majorHAnsi" w:cstheme="majorBidi"/>
      <w:b/>
      <w:color w:val="004E4B" w:themeColor="accent1" w:themeShade="80"/>
      <w:sz w:val="28"/>
      <w:szCs w:val="29"/>
    </w:rPr>
  </w:style>
  <w:style w:type="paragraph" w:styleId="Subtitle">
    <w:name w:val="Subtitle"/>
    <w:basedOn w:val="Title"/>
    <w:next w:val="Normal"/>
    <w:link w:val="SubtitleChar"/>
    <w:uiPriority w:val="10"/>
    <w:qFormat/>
    <w:rsid w:val="00972D5B"/>
    <w:rPr>
      <w:sz w:val="44"/>
      <w:szCs w:val="44"/>
    </w:rPr>
  </w:style>
  <w:style w:type="character" w:customStyle="1" w:styleId="SubtitleChar">
    <w:name w:val="Subtitle Char"/>
    <w:basedOn w:val="DefaultParagraphFont"/>
    <w:link w:val="Subtitle"/>
    <w:uiPriority w:val="10"/>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Footnote Text Char1, Char"/>
    <w:basedOn w:val="Normal"/>
    <w:link w:val="FootnoteTextChar"/>
    <w:uiPriority w:val="99"/>
    <w:unhideWhenUsed/>
    <w:qFormat/>
    <w:rsid w:val="00A26DF5"/>
    <w:pPr>
      <w:spacing w:before="160" w:after="120" w:line="240" w:lineRule="auto"/>
    </w:pPr>
    <w:rPr>
      <w:noProof/>
      <w:color w:val="0B4E60" w:themeColor="text2"/>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Footnote Text Char1 Char, Char Char"/>
    <w:basedOn w:val="DefaultParagraphFont"/>
    <w:link w:val="FootnoteText"/>
    <w:uiPriority w:val="99"/>
    <w:rsid w:val="00A26DF5"/>
    <w:rPr>
      <w:noProof/>
      <w:color w:val="0B4E60" w:themeColor="text2"/>
      <w:sz w:val="24"/>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38266E"/>
    <w:rPr>
      <w:vertAlign w:val="superscript"/>
    </w:rPr>
  </w:style>
  <w:style w:type="character" w:styleId="Emphasis">
    <w:name w:val="Emphasis"/>
    <w:basedOn w:val="DefaultParagraphFont"/>
    <w:uiPriority w:val="20"/>
    <w:rsid w:val="00A26DF5"/>
    <w:rPr>
      <w:b/>
      <w:i w:val="0"/>
      <w:iCs/>
      <w:sz w:val="24"/>
    </w:rPr>
  </w:style>
  <w:style w:type="character" w:styleId="IntenseEmphasis">
    <w:name w:val="Intense Emphasis"/>
    <w:basedOn w:val="DefaultParagraphFont"/>
    <w:uiPriority w:val="21"/>
    <w:rsid w:val="00A26DF5"/>
    <w:rPr>
      <w:b/>
      <w:i w:val="0"/>
      <w:iCs/>
      <w:color w:val="007471" w:themeColor="accent1" w:themeShade="BF"/>
    </w:rPr>
  </w:style>
  <w:style w:type="numbering" w:customStyle="1" w:styleId="StyleOutlinenumberedLatinHeadingsArialComplexHeadi1">
    <w:name w:val="Style Outline numbered (Latin) +Headings (Arial) (Complex) +Headi...1"/>
    <w:basedOn w:val="NoList"/>
    <w:rsid w:val="004E2C9C"/>
    <w:pPr>
      <w:numPr>
        <w:numId w:val="15"/>
      </w:numPr>
    </w:pPr>
  </w:style>
  <w:style w:type="character" w:styleId="Hyperlink">
    <w:name w:val="Hyperlink"/>
    <w:basedOn w:val="DefaultParagraphFont"/>
    <w:uiPriority w:val="99"/>
    <w:unhideWhenUsed/>
    <w:rsid w:val="00277333"/>
    <w:rPr>
      <w:color w:val="auto"/>
      <w:u w:val="single" w:color="009C98" w:themeColor="accent1"/>
    </w:rPr>
  </w:style>
  <w:style w:type="character" w:styleId="FollowedHyperlink">
    <w:name w:val="FollowedHyperlink"/>
    <w:basedOn w:val="DefaultParagraphFont"/>
    <w:uiPriority w:val="99"/>
    <w:semiHidden/>
    <w:unhideWhenUsed/>
    <w:rsid w:val="00277333"/>
    <w:rPr>
      <w:color w:val="auto"/>
      <w:u w:val="single" w:color="009C98" w:themeColor="accent1"/>
    </w:rPr>
  </w:style>
  <w:style w:type="paragraph" w:styleId="Quote">
    <w:name w:val="Quote"/>
    <w:basedOn w:val="Normal"/>
    <w:next w:val="Normal"/>
    <w:link w:val="QuoteChar"/>
    <w:uiPriority w:val="29"/>
    <w:qFormat/>
    <w:rsid w:val="00A82FF5"/>
    <w:pPr>
      <w:ind w:left="680" w:right="963"/>
    </w:pPr>
  </w:style>
  <w:style w:type="character" w:customStyle="1" w:styleId="QuoteChar">
    <w:name w:val="Quote Char"/>
    <w:basedOn w:val="DefaultParagraphFont"/>
    <w:link w:val="Quote"/>
    <w:uiPriority w:val="29"/>
    <w:rsid w:val="00A82FF5"/>
    <w:rPr>
      <w:sz w:val="24"/>
    </w:rPr>
  </w:style>
  <w:style w:type="paragraph" w:styleId="IntenseQuote">
    <w:name w:val="Intense Quote"/>
    <w:basedOn w:val="Normal"/>
    <w:next w:val="Normal"/>
    <w:link w:val="IntenseQuoteChar"/>
    <w:uiPriority w:val="30"/>
    <w:rsid w:val="00B14602"/>
    <w:pPr>
      <w:pBdr>
        <w:top w:val="single" w:sz="18" w:space="12" w:color="009C98" w:themeColor="accent1"/>
        <w:bottom w:val="single" w:sz="18" w:space="12" w:color="009C98" w:themeColor="accent1"/>
      </w:pBdr>
      <w:spacing w:before="360" w:after="480"/>
      <w:ind w:left="454" w:right="454"/>
    </w:pPr>
  </w:style>
  <w:style w:type="character" w:customStyle="1" w:styleId="IntenseQuoteChar">
    <w:name w:val="Intense Quote Char"/>
    <w:basedOn w:val="DefaultParagraphFont"/>
    <w:link w:val="IntenseQuote"/>
    <w:uiPriority w:val="30"/>
    <w:rsid w:val="00B14602"/>
    <w:rPr>
      <w:sz w:val="28"/>
    </w:rPr>
  </w:style>
  <w:style w:type="paragraph" w:styleId="ListParagraph">
    <w:name w:val="List Paragraph"/>
    <w:basedOn w:val="Normal"/>
    <w:uiPriority w:val="34"/>
    <w:rsid w:val="00E3122A"/>
    <w:pPr>
      <w:spacing w:before="60"/>
      <w:ind w:left="227"/>
    </w:pPr>
  </w:style>
  <w:style w:type="paragraph" w:styleId="NoSpacing">
    <w:name w:val="No Spacing"/>
    <w:uiPriority w:val="1"/>
    <w:semiHidden/>
    <w:rsid w:val="00B14602"/>
    <w:pPr>
      <w:spacing w:after="0" w:line="240" w:lineRule="auto"/>
    </w:pPr>
    <w:rPr>
      <w:sz w:val="28"/>
    </w:rPr>
  </w:style>
  <w:style w:type="paragraph" w:styleId="ListBullet">
    <w:name w:val="List Bullet"/>
    <w:basedOn w:val="ListParagraph"/>
    <w:uiPriority w:val="1"/>
    <w:qFormat/>
    <w:rsid w:val="001253D3"/>
    <w:pPr>
      <w:numPr>
        <w:numId w:val="13"/>
      </w:numPr>
    </w:pPr>
  </w:style>
  <w:style w:type="paragraph" w:styleId="ListBullet2">
    <w:name w:val="List Bullet 2"/>
    <w:basedOn w:val="Normal"/>
    <w:uiPriority w:val="99"/>
    <w:unhideWhenUsed/>
    <w:rsid w:val="00B14602"/>
    <w:pPr>
      <w:numPr>
        <w:numId w:val="1"/>
      </w:numPr>
      <w:contextualSpacing/>
    </w:pPr>
  </w:style>
  <w:style w:type="paragraph" w:styleId="ListBullet3">
    <w:name w:val="List Bullet 3"/>
    <w:basedOn w:val="Normal"/>
    <w:uiPriority w:val="99"/>
    <w:unhideWhenUsed/>
    <w:rsid w:val="00B14602"/>
    <w:pPr>
      <w:numPr>
        <w:numId w:val="2"/>
      </w:numPr>
      <w:contextualSpacing/>
    </w:pPr>
  </w:style>
  <w:style w:type="paragraph" w:styleId="ListBullet4">
    <w:name w:val="List Bullet 4"/>
    <w:basedOn w:val="Normal"/>
    <w:uiPriority w:val="99"/>
    <w:unhideWhenUsed/>
    <w:rsid w:val="00B14602"/>
    <w:pPr>
      <w:numPr>
        <w:numId w:val="3"/>
      </w:numPr>
      <w:contextualSpacing/>
    </w:pPr>
  </w:style>
  <w:style w:type="paragraph" w:styleId="List">
    <w:name w:val="List"/>
    <w:basedOn w:val="Normal"/>
    <w:uiPriority w:val="99"/>
    <w:unhideWhenUsed/>
    <w:rsid w:val="00A26DF5"/>
    <w:pPr>
      <w:ind w:left="283" w:hanging="283"/>
      <w:contextualSpacing/>
    </w:pPr>
  </w:style>
  <w:style w:type="paragraph" w:customStyle="1" w:styleId="Figureparagraphnocaption">
    <w:name w:val="Figure paragraph no caption"/>
    <w:basedOn w:val="Normal"/>
    <w:uiPriority w:val="3"/>
    <w:semiHidden/>
    <w:unhideWhenUsed/>
    <w:qFormat/>
    <w:rsid w:val="00880F69"/>
    <w:pPr>
      <w:spacing w:after="480"/>
    </w:pPr>
  </w:style>
  <w:style w:type="character" w:customStyle="1" w:styleId="Howtousethistemplate">
    <w:name w:val="How to use this template"/>
    <w:basedOn w:val="DefaultParagraphFont"/>
    <w:uiPriority w:val="99"/>
    <w:rsid w:val="00A82FF5"/>
    <w:rPr>
      <w:color w:val="722856" w:themeColor="accent5"/>
      <w:sz w:val="24"/>
    </w:rPr>
  </w:style>
  <w:style w:type="paragraph" w:styleId="Date">
    <w:name w:val="Date"/>
    <w:basedOn w:val="Subtitle"/>
    <w:next w:val="Normal"/>
    <w:link w:val="DateChar"/>
    <w:uiPriority w:val="11"/>
    <w:qFormat/>
    <w:rsid w:val="00F171F1"/>
  </w:style>
  <w:style w:type="character" w:customStyle="1" w:styleId="DateChar">
    <w:name w:val="Date Char"/>
    <w:basedOn w:val="DefaultParagraphFont"/>
    <w:link w:val="Date"/>
    <w:uiPriority w:val="11"/>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TOC2">
    <w:name w:val="toc 2"/>
    <w:basedOn w:val="Normal"/>
    <w:next w:val="Normal"/>
    <w:autoRedefine/>
    <w:uiPriority w:val="39"/>
    <w:unhideWhenUsed/>
    <w:rsid w:val="00A82FF5"/>
    <w:pPr>
      <w:spacing w:after="100"/>
      <w:ind w:left="280"/>
    </w:pPr>
  </w:style>
  <w:style w:type="paragraph" w:styleId="TOC1">
    <w:name w:val="toc 1"/>
    <w:basedOn w:val="Normal"/>
    <w:next w:val="Normal"/>
    <w:autoRedefine/>
    <w:uiPriority w:val="39"/>
    <w:unhideWhenUsed/>
    <w:rsid w:val="00A82FF5"/>
    <w:pPr>
      <w:spacing w:after="100"/>
    </w:pPr>
    <w:rPr>
      <w:b/>
    </w:rPr>
  </w:style>
  <w:style w:type="paragraph" w:styleId="ListNumber">
    <w:name w:val="List Number"/>
    <w:basedOn w:val="Normal"/>
    <w:uiPriority w:val="1"/>
    <w:qFormat/>
    <w:rsid w:val="00230678"/>
    <w:pPr>
      <w:numPr>
        <w:numId w:val="6"/>
      </w:numPr>
      <w:spacing w:before="60"/>
      <w:contextualSpacing/>
    </w:pPr>
  </w:style>
  <w:style w:type="paragraph" w:customStyle="1" w:styleId="FigureTabletitle">
    <w:name w:val="Figure / Table title"/>
    <w:basedOn w:val="Normal"/>
    <w:uiPriority w:val="2"/>
    <w:qFormat/>
    <w:rsid w:val="00A26DF5"/>
    <w:pPr>
      <w:keepNext/>
      <w:spacing w:before="480" w:after="120"/>
    </w:pPr>
    <w:rPr>
      <w:b/>
    </w:rPr>
  </w:style>
  <w:style w:type="paragraph" w:customStyle="1" w:styleId="FigureTablesource">
    <w:name w:val="Figure / Table source"/>
    <w:basedOn w:val="Normal"/>
    <w:uiPriority w:val="3"/>
    <w:qFormat/>
    <w:rsid w:val="00D93B3E"/>
    <w:pPr>
      <w:spacing w:after="360"/>
    </w:pPr>
    <w:rPr>
      <w:szCs w:val="24"/>
    </w:rPr>
  </w:style>
  <w:style w:type="table" w:styleId="TableGrid">
    <w:name w:val="Table Grid"/>
    <w:basedOn w:val="TableNormal"/>
    <w:uiPriority w:val="39"/>
    <w:rsid w:val="00EF1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Boxtitle"/>
    <w:uiPriority w:val="5"/>
    <w:qFormat/>
    <w:rsid w:val="00A26DF5"/>
    <w:rPr>
      <w:b w:val="0"/>
    </w:rPr>
  </w:style>
  <w:style w:type="paragraph" w:customStyle="1" w:styleId="Boxtitle">
    <w:name w:val="Box title"/>
    <w:basedOn w:val="FigureTabletitle"/>
    <w:uiPriority w:val="4"/>
    <w:qFormat/>
    <w:rsid w:val="004E2C9C"/>
    <w:pPr>
      <w:pBdr>
        <w:top w:val="single" w:sz="24" w:space="8" w:color="DDDE45" w:themeColor="accent3"/>
        <w:left w:val="single" w:sz="24" w:space="4" w:color="F1F1B4" w:themeColor="accent3" w:themeTint="66"/>
        <w:bottom w:val="single" w:sz="48" w:space="1" w:color="F1F1B4" w:themeColor="accent3" w:themeTint="66"/>
        <w:right w:val="single" w:sz="24" w:space="4" w:color="F1F1B4" w:themeColor="accent3" w:themeTint="66"/>
      </w:pBdr>
      <w:shd w:val="clear" w:color="auto" w:fill="F1F1B4" w:themeFill="accent3" w:themeFillTint="66"/>
      <w:spacing w:before="400" w:after="240"/>
      <w:ind w:left="142" w:right="198"/>
    </w:pPr>
  </w:style>
  <w:style w:type="paragraph" w:customStyle="1" w:styleId="Boxsource">
    <w:name w:val="Box source"/>
    <w:basedOn w:val="Boxtext"/>
    <w:uiPriority w:val="6"/>
    <w:rsid w:val="004E2C9C"/>
    <w:pPr>
      <w:spacing w:after="400"/>
    </w:pPr>
  </w:style>
  <w:style w:type="character" w:customStyle="1" w:styleId="Heading7Char">
    <w:name w:val="Heading 7 Char"/>
    <w:basedOn w:val="DefaultParagraphFont"/>
    <w:link w:val="Heading7"/>
    <w:uiPriority w:val="9"/>
    <w:semiHidden/>
    <w:rsid w:val="003B7D03"/>
    <w:rPr>
      <w:rFonts w:asciiTheme="majorHAnsi" w:eastAsiaTheme="majorEastAsia" w:hAnsiTheme="majorHAnsi" w:cstheme="majorBidi"/>
      <w:i/>
      <w:iCs/>
      <w:color w:val="004D4B" w:themeColor="accent1" w:themeShade="7F"/>
      <w:sz w:val="24"/>
    </w:rPr>
  </w:style>
  <w:style w:type="paragraph" w:customStyle="1" w:styleId="Boxstandfirst">
    <w:name w:val="Box standfirst"/>
    <w:basedOn w:val="Boxtext"/>
    <w:uiPriority w:val="6"/>
    <w:unhideWhenUsed/>
    <w:rsid w:val="00A26DF5"/>
    <w:pPr>
      <w:spacing w:before="0"/>
    </w:pPr>
    <w:rPr>
      <w:color w:val="0B4E60" w:themeColor="text2"/>
    </w:rPr>
  </w:style>
  <w:style w:type="paragraph" w:customStyle="1" w:styleId="TableParagraph">
    <w:name w:val="Table Paragraph"/>
    <w:basedOn w:val="FigureTabletitle"/>
    <w:uiPriority w:val="1"/>
    <w:rsid w:val="00A82FF5"/>
    <w:pPr>
      <w:spacing w:before="120"/>
    </w:pPr>
    <w:rPr>
      <w:rFonts w:asciiTheme="majorHAnsi" w:hAnsiTheme="majorHAnsi" w:cstheme="majorHAnsi"/>
      <w:b w:val="0"/>
      <w:szCs w:val="28"/>
    </w:rPr>
  </w:style>
  <w:style w:type="paragraph" w:styleId="BodyText">
    <w:name w:val="Body Text"/>
    <w:basedOn w:val="Normal"/>
    <w:link w:val="BodyTextChar"/>
    <w:uiPriority w:val="99"/>
    <w:semiHidden/>
    <w:unhideWhenUsed/>
    <w:rsid w:val="00A82FF5"/>
    <w:pPr>
      <w:spacing w:after="120"/>
    </w:pPr>
  </w:style>
  <w:style w:type="character" w:customStyle="1" w:styleId="BodyTextChar">
    <w:name w:val="Body Text Char"/>
    <w:basedOn w:val="DefaultParagraphFont"/>
    <w:link w:val="BodyText"/>
    <w:uiPriority w:val="99"/>
    <w:semiHidden/>
    <w:rsid w:val="00A82FF5"/>
    <w:rPr>
      <w:sz w:val="24"/>
    </w:rPr>
  </w:style>
  <w:style w:type="paragraph" w:styleId="TOC3">
    <w:name w:val="toc 3"/>
    <w:basedOn w:val="Normal"/>
    <w:next w:val="Normal"/>
    <w:autoRedefine/>
    <w:uiPriority w:val="39"/>
    <w:unhideWhenUsed/>
    <w:rsid w:val="00A82FF5"/>
    <w:pPr>
      <w:spacing w:after="100"/>
      <w:ind w:left="560"/>
    </w:pPr>
  </w:style>
  <w:style w:type="numbering" w:customStyle="1" w:styleId="StyleBulletedSymbolsymbolLeft063cmHanging063cm1">
    <w:name w:val="Style Bulleted Symbol (symbol) Left:  0.63 cm Hanging:  0.63 cm1"/>
    <w:basedOn w:val="NoList"/>
    <w:rsid w:val="00841C02"/>
    <w:pPr>
      <w:numPr>
        <w:numId w:val="5"/>
      </w:numPr>
    </w:pPr>
  </w:style>
  <w:style w:type="numbering" w:customStyle="1" w:styleId="StyleNumberedLeft0cmHanging127cm">
    <w:name w:val="Style Numbered Left:  0 cm Hanging:  1.27 cm"/>
    <w:basedOn w:val="NoList"/>
    <w:rsid w:val="00420E5D"/>
    <w:pPr>
      <w:numPr>
        <w:numId w:val="7"/>
      </w:numPr>
    </w:pPr>
  </w:style>
  <w:style w:type="character" w:customStyle="1" w:styleId="Heading5Char">
    <w:name w:val="Heading 5 Char"/>
    <w:basedOn w:val="DefaultParagraphFont"/>
    <w:uiPriority w:val="9"/>
    <w:semiHidden/>
    <w:rsid w:val="004A47A5"/>
    <w:rPr>
      <w:rFonts w:asciiTheme="majorHAnsi" w:eastAsiaTheme="majorEastAsia" w:hAnsiTheme="majorHAnsi" w:cstheme="majorBidi"/>
      <w:color w:val="007471" w:themeColor="accent1" w:themeShade="BF"/>
      <w:sz w:val="28"/>
    </w:rPr>
  </w:style>
  <w:style w:type="character" w:customStyle="1" w:styleId="Heading6Char">
    <w:name w:val="Heading 6 Char"/>
    <w:basedOn w:val="DefaultParagraphFont"/>
    <w:uiPriority w:val="9"/>
    <w:semiHidden/>
    <w:rsid w:val="004A47A5"/>
    <w:rPr>
      <w:rFonts w:asciiTheme="majorHAnsi" w:eastAsiaTheme="majorEastAsia" w:hAnsiTheme="majorHAnsi" w:cstheme="majorBidi"/>
      <w:color w:val="004D4B" w:themeColor="accent1" w:themeShade="7F"/>
      <w:sz w:val="28"/>
    </w:rPr>
  </w:style>
  <w:style w:type="character" w:customStyle="1" w:styleId="Heading8Char">
    <w:name w:val="Heading 8 Char"/>
    <w:basedOn w:val="DefaultParagraphFont"/>
    <w:uiPriority w:val="9"/>
    <w:semiHidden/>
    <w:rsid w:val="004A47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uiPriority w:val="9"/>
    <w:semiHidden/>
    <w:rsid w:val="004A47A5"/>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A457FE"/>
    <w:rPr>
      <w:sz w:val="16"/>
      <w:szCs w:val="16"/>
    </w:rPr>
  </w:style>
  <w:style w:type="paragraph" w:styleId="CommentText">
    <w:name w:val="annotation text"/>
    <w:basedOn w:val="Normal"/>
    <w:link w:val="CommentTextChar"/>
    <w:uiPriority w:val="99"/>
    <w:unhideWhenUsed/>
    <w:rsid w:val="00A457FE"/>
    <w:pPr>
      <w:spacing w:line="240" w:lineRule="auto"/>
    </w:pPr>
    <w:rPr>
      <w:sz w:val="20"/>
      <w:szCs w:val="20"/>
    </w:rPr>
  </w:style>
  <w:style w:type="character" w:customStyle="1" w:styleId="CommentTextChar">
    <w:name w:val="Comment Text Char"/>
    <w:basedOn w:val="DefaultParagraphFont"/>
    <w:link w:val="CommentText"/>
    <w:uiPriority w:val="99"/>
    <w:rsid w:val="00A457FE"/>
    <w:rPr>
      <w:sz w:val="20"/>
      <w:szCs w:val="20"/>
    </w:rPr>
  </w:style>
  <w:style w:type="paragraph" w:styleId="CommentSubject">
    <w:name w:val="annotation subject"/>
    <w:basedOn w:val="CommentText"/>
    <w:next w:val="CommentText"/>
    <w:link w:val="CommentSubjectChar"/>
    <w:uiPriority w:val="99"/>
    <w:semiHidden/>
    <w:unhideWhenUsed/>
    <w:rsid w:val="00A457FE"/>
    <w:rPr>
      <w:b/>
      <w:bCs/>
    </w:rPr>
  </w:style>
  <w:style w:type="character" w:customStyle="1" w:styleId="CommentSubjectChar">
    <w:name w:val="Comment Subject Char"/>
    <w:basedOn w:val="CommentTextChar"/>
    <w:link w:val="CommentSubject"/>
    <w:uiPriority w:val="99"/>
    <w:semiHidden/>
    <w:rsid w:val="00A457FE"/>
    <w:rPr>
      <w:b/>
      <w:bCs/>
      <w:sz w:val="20"/>
      <w:szCs w:val="20"/>
    </w:rPr>
  </w:style>
  <w:style w:type="paragraph" w:styleId="BalloonText">
    <w:name w:val="Balloon Text"/>
    <w:basedOn w:val="Normal"/>
    <w:link w:val="BalloonTextChar"/>
    <w:uiPriority w:val="99"/>
    <w:semiHidden/>
    <w:unhideWhenUsed/>
    <w:rsid w:val="00A457F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FE"/>
    <w:rPr>
      <w:rFonts w:ascii="Segoe UI" w:hAnsi="Segoe UI" w:cs="Segoe UI"/>
      <w:sz w:val="18"/>
      <w:szCs w:val="18"/>
    </w:rPr>
  </w:style>
  <w:style w:type="numbering" w:customStyle="1" w:styleId="StyleBulletedLatinCourierNewLeft19cmHanging063">
    <w:name w:val="Style Bulleted (Latin) Courier New Left:  1.9 cm Hanging:  0.63 ..."/>
    <w:basedOn w:val="NoList"/>
    <w:rsid w:val="009D0D69"/>
    <w:pPr>
      <w:numPr>
        <w:numId w:val="8"/>
      </w:numPr>
    </w:pPr>
  </w:style>
  <w:style w:type="character" w:styleId="PlaceholderText">
    <w:name w:val="Placeholder Text"/>
    <w:basedOn w:val="DefaultParagraphFont"/>
    <w:uiPriority w:val="99"/>
    <w:semiHidden/>
    <w:rsid w:val="00A82FF5"/>
    <w:rPr>
      <w:color w:val="808080"/>
      <w:sz w:val="24"/>
    </w:rPr>
  </w:style>
  <w:style w:type="paragraph" w:customStyle="1" w:styleId="Standfirst">
    <w:name w:val="Standfirst"/>
    <w:basedOn w:val="Normal"/>
    <w:uiPriority w:val="3"/>
    <w:semiHidden/>
    <w:unhideWhenUsed/>
    <w:rsid w:val="00A82FF5"/>
    <w:rPr>
      <w:color w:val="0B4E60" w:themeColor="text2"/>
    </w:rPr>
  </w:style>
  <w:style w:type="paragraph" w:styleId="TOC6">
    <w:name w:val="toc 6"/>
    <w:basedOn w:val="Normal"/>
    <w:next w:val="Normal"/>
    <w:autoRedefine/>
    <w:uiPriority w:val="39"/>
    <w:semiHidden/>
    <w:unhideWhenUsed/>
    <w:rsid w:val="00A82FF5"/>
    <w:pPr>
      <w:spacing w:after="100"/>
      <w:ind w:left="1400"/>
    </w:pPr>
  </w:style>
  <w:style w:type="character" w:customStyle="1" w:styleId="Heading5Char1">
    <w:name w:val="Heading 5 Char1"/>
    <w:basedOn w:val="DefaultParagraphFont"/>
    <w:link w:val="Heading5"/>
    <w:uiPriority w:val="9"/>
    <w:rsid w:val="004E2C9C"/>
    <w:rPr>
      <w:rFonts w:asciiTheme="majorHAnsi" w:eastAsiaTheme="majorEastAsia" w:hAnsiTheme="majorHAnsi" w:cstheme="majorBidi"/>
      <w:b/>
      <w:sz w:val="24"/>
    </w:rPr>
  </w:style>
  <w:style w:type="paragraph" w:styleId="TOCHeading">
    <w:name w:val="TOC Heading"/>
    <w:basedOn w:val="Normal"/>
    <w:next w:val="Normal"/>
    <w:uiPriority w:val="39"/>
    <w:unhideWhenUsed/>
    <w:qFormat/>
    <w:rsid w:val="00A82FF5"/>
    <w:rPr>
      <w:color w:val="009C98" w:themeColor="accent1"/>
      <w:sz w:val="52"/>
      <w:szCs w:val="56"/>
    </w:rPr>
  </w:style>
  <w:style w:type="paragraph" w:customStyle="1" w:styleId="Author">
    <w:name w:val="Author"/>
    <w:basedOn w:val="Normal"/>
    <w:uiPriority w:val="12"/>
    <w:rsid w:val="00E15F4E"/>
    <w:rPr>
      <w:sz w:val="36"/>
    </w:rPr>
  </w:style>
  <w:style w:type="paragraph" w:customStyle="1" w:styleId="Boxbullets">
    <w:name w:val="Box bullets"/>
    <w:basedOn w:val="Boxtext"/>
    <w:uiPriority w:val="6"/>
    <w:qFormat/>
    <w:rsid w:val="00A82FF5"/>
    <w:pPr>
      <w:numPr>
        <w:numId w:val="12"/>
      </w:numPr>
    </w:pPr>
  </w:style>
  <w:style w:type="paragraph" w:customStyle="1" w:styleId="Boxnumberedlist">
    <w:name w:val="Box numbered list"/>
    <w:basedOn w:val="Boxtext"/>
    <w:uiPriority w:val="6"/>
    <w:rsid w:val="00A82FF5"/>
    <w:pPr>
      <w:numPr>
        <w:numId w:val="9"/>
      </w:numPr>
      <w:ind w:left="709" w:hanging="567"/>
    </w:pPr>
  </w:style>
  <w:style w:type="numbering" w:customStyle="1" w:styleId="Basicbulletlist">
    <w:name w:val="Basic bullet list"/>
    <w:uiPriority w:val="99"/>
    <w:rsid w:val="00283666"/>
    <w:pPr>
      <w:numPr>
        <w:numId w:val="10"/>
      </w:numPr>
    </w:pPr>
  </w:style>
  <w:style w:type="numbering" w:customStyle="1" w:styleId="Boxbulletlist">
    <w:name w:val="Box bullet list"/>
    <w:uiPriority w:val="99"/>
    <w:rsid w:val="00283666"/>
    <w:pPr>
      <w:numPr>
        <w:numId w:val="11"/>
      </w:numPr>
    </w:pPr>
  </w:style>
  <w:style w:type="table" w:customStyle="1" w:styleId="EHRCTable1">
    <w:name w:val="EHRC Table 1"/>
    <w:basedOn w:val="TableNormal"/>
    <w:uiPriority w:val="99"/>
    <w:rsid w:val="00CC0205"/>
    <w:pPr>
      <w:spacing w:after="60" w:line="264" w:lineRule="auto"/>
      <w:jc w:val="right"/>
    </w:pPr>
    <w:rPr>
      <w:sz w:val="28"/>
    </w:rPr>
    <w:tblPr>
      <w:tblBorders>
        <w:top w:val="single" w:sz="4" w:space="0" w:color="7DCAC7" w:themeColor="background2"/>
        <w:bottom w:val="single" w:sz="2" w:space="0" w:color="7DCAC7" w:themeColor="background2"/>
        <w:insideH w:val="single" w:sz="2" w:space="0" w:color="7DCAC7" w:themeColor="background2"/>
        <w:insideV w:val="single" w:sz="2" w:space="0" w:color="7DCAC7" w:themeColor="background2"/>
      </w:tblBorders>
    </w:tblPr>
    <w:tcPr>
      <w:shd w:val="clear" w:color="auto" w:fill="auto"/>
      <w:tcMar>
        <w:top w:w="57" w:type="dxa"/>
        <w:bottom w:w="57" w:type="dxa"/>
      </w:tcMar>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table" w:customStyle="1" w:styleId="EHRCTable2">
    <w:name w:val="EHRC Table 2"/>
    <w:basedOn w:val="EHRCTable1"/>
    <w:uiPriority w:val="99"/>
    <w:rsid w:val="00CC0205"/>
    <w:pPr>
      <w:spacing w:after="0" w:line="240" w:lineRule="auto"/>
      <w:jc w:val="left"/>
    </w:pPr>
    <w:tblPr/>
    <w:tcPr>
      <w:shd w:val="clear" w:color="auto" w:fill="auto"/>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paragraph" w:styleId="EndnoteText">
    <w:name w:val="endnote text"/>
    <w:basedOn w:val="Normal"/>
    <w:link w:val="EndnoteTextChar"/>
    <w:uiPriority w:val="99"/>
    <w:unhideWhenUsed/>
    <w:rsid w:val="00A26DF5"/>
    <w:pPr>
      <w:spacing w:before="0" w:line="240" w:lineRule="auto"/>
    </w:pPr>
    <w:rPr>
      <w:szCs w:val="20"/>
    </w:rPr>
  </w:style>
  <w:style w:type="character" w:customStyle="1" w:styleId="EndnoteTextChar">
    <w:name w:val="Endnote Text Char"/>
    <w:basedOn w:val="DefaultParagraphFont"/>
    <w:link w:val="EndnoteText"/>
    <w:uiPriority w:val="99"/>
    <w:rsid w:val="00A26DF5"/>
    <w:rPr>
      <w:sz w:val="24"/>
      <w:szCs w:val="20"/>
    </w:rPr>
  </w:style>
  <w:style w:type="character" w:styleId="PageNumber">
    <w:name w:val="page number"/>
    <w:basedOn w:val="DefaultParagraphFont"/>
    <w:uiPriority w:val="99"/>
    <w:semiHidden/>
    <w:unhideWhenUsed/>
    <w:rsid w:val="00A82FF5"/>
    <w:rPr>
      <w:color w:val="0B4E60" w:themeColor="text2"/>
      <w:sz w:val="24"/>
    </w:rPr>
  </w:style>
  <w:style w:type="paragraph" w:customStyle="1" w:styleId="Casestudytext">
    <w:name w:val="Case study text"/>
    <w:basedOn w:val="Boxtext"/>
    <w:uiPriority w:val="8"/>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spacing w:after="400"/>
    </w:pPr>
  </w:style>
  <w:style w:type="paragraph" w:customStyle="1" w:styleId="Casestudysource">
    <w:name w:val="Case study source"/>
    <w:basedOn w:val="Boxsource"/>
    <w:uiPriority w:val="8"/>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pPr>
    <w:rPr>
      <w:color w:val="0B4E60" w:themeColor="text2"/>
    </w:rPr>
  </w:style>
  <w:style w:type="paragraph" w:customStyle="1" w:styleId="Casestudytitle">
    <w:name w:val="Case study title"/>
    <w:basedOn w:val="Boxtitle"/>
    <w:uiPriority w:val="7"/>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0B4E60" w:themeFill="text2"/>
      <w:tabs>
        <w:tab w:val="left" w:pos="7938"/>
      </w:tabs>
      <w:spacing w:after="120"/>
    </w:pPr>
  </w:style>
  <w:style w:type="paragraph" w:customStyle="1" w:styleId="Documenttype">
    <w:name w:val="Document type"/>
    <w:basedOn w:val="Date"/>
    <w:rsid w:val="00A444F9"/>
    <w:pPr>
      <w:pBdr>
        <w:top w:val="single" w:sz="48" w:space="0" w:color="0B4E60" w:themeColor="text2"/>
        <w:left w:val="single" w:sz="48" w:space="0" w:color="0B4E60" w:themeColor="text2"/>
        <w:bottom w:val="single" w:sz="48" w:space="0" w:color="0B4E60" w:themeColor="text2"/>
        <w:right w:val="single" w:sz="48" w:space="0" w:color="0B4E60" w:themeColor="text2"/>
      </w:pBdr>
      <w:shd w:val="clear" w:color="auto" w:fill="0B4E60" w:themeFill="text2"/>
    </w:pPr>
    <w:rPr>
      <w:sz w:val="40"/>
      <w:bdr w:val="single" w:sz="48" w:space="0" w:color="0B4E60" w:themeColor="text2"/>
      <w:shd w:val="clear" w:color="auto" w:fill="auto"/>
    </w:rPr>
  </w:style>
  <w:style w:type="paragraph" w:customStyle="1" w:styleId="Documentstatus">
    <w:name w:val="Document status"/>
    <w:basedOn w:val="Author"/>
    <w:rsid w:val="00605567"/>
    <w:rPr>
      <w:sz w:val="32"/>
    </w:rPr>
  </w:style>
  <w:style w:type="paragraph" w:styleId="BodyText2">
    <w:name w:val="Body Text 2"/>
    <w:basedOn w:val="Normal"/>
    <w:link w:val="BodyText2Char"/>
    <w:uiPriority w:val="99"/>
    <w:semiHidden/>
    <w:unhideWhenUsed/>
    <w:rsid w:val="00A82FF5"/>
    <w:pPr>
      <w:spacing w:after="120" w:line="480" w:lineRule="auto"/>
    </w:pPr>
  </w:style>
  <w:style w:type="character" w:customStyle="1" w:styleId="BodyText2Char">
    <w:name w:val="Body Text 2 Char"/>
    <w:basedOn w:val="DefaultParagraphFont"/>
    <w:link w:val="BodyText2"/>
    <w:uiPriority w:val="99"/>
    <w:semiHidden/>
    <w:rsid w:val="00A82FF5"/>
    <w:rPr>
      <w:sz w:val="24"/>
    </w:rPr>
  </w:style>
  <w:style w:type="paragraph" w:styleId="BodyTextFirstIndent">
    <w:name w:val="Body Text First Indent"/>
    <w:basedOn w:val="BodyText"/>
    <w:link w:val="BodyTextFirstIndentChar"/>
    <w:uiPriority w:val="99"/>
    <w:semiHidden/>
    <w:unhideWhenUsed/>
    <w:rsid w:val="00A82FF5"/>
    <w:pPr>
      <w:spacing w:after="0"/>
      <w:ind w:firstLine="360"/>
    </w:pPr>
  </w:style>
  <w:style w:type="character" w:customStyle="1" w:styleId="BodyTextFirstIndentChar">
    <w:name w:val="Body Text First Indent Char"/>
    <w:basedOn w:val="BodyTextChar"/>
    <w:link w:val="BodyTextFirstIndent"/>
    <w:uiPriority w:val="99"/>
    <w:semiHidden/>
    <w:rsid w:val="00A82FF5"/>
    <w:rPr>
      <w:sz w:val="24"/>
    </w:rPr>
  </w:style>
  <w:style w:type="paragraph" w:styleId="BodyTextIndent">
    <w:name w:val="Body Text Indent"/>
    <w:basedOn w:val="Normal"/>
    <w:link w:val="BodyTextIndentChar"/>
    <w:uiPriority w:val="99"/>
    <w:semiHidden/>
    <w:unhideWhenUsed/>
    <w:rsid w:val="00A82FF5"/>
    <w:pPr>
      <w:spacing w:after="120"/>
      <w:ind w:left="283"/>
    </w:pPr>
  </w:style>
  <w:style w:type="character" w:customStyle="1" w:styleId="BodyTextIndentChar">
    <w:name w:val="Body Text Indent Char"/>
    <w:basedOn w:val="DefaultParagraphFont"/>
    <w:link w:val="BodyTextIndent"/>
    <w:uiPriority w:val="99"/>
    <w:semiHidden/>
    <w:rsid w:val="00A82FF5"/>
    <w:rPr>
      <w:sz w:val="24"/>
    </w:rPr>
  </w:style>
  <w:style w:type="paragraph" w:styleId="BodyTextFirstIndent2">
    <w:name w:val="Body Text First Indent 2"/>
    <w:basedOn w:val="BodyTextIndent"/>
    <w:link w:val="BodyTextFirstIndent2Char"/>
    <w:uiPriority w:val="99"/>
    <w:semiHidden/>
    <w:unhideWhenUsed/>
    <w:rsid w:val="00A82FF5"/>
    <w:pPr>
      <w:spacing w:after="0"/>
      <w:ind w:left="360" w:firstLine="360"/>
    </w:pPr>
  </w:style>
  <w:style w:type="character" w:customStyle="1" w:styleId="BodyTextFirstIndent2Char">
    <w:name w:val="Body Text First Indent 2 Char"/>
    <w:basedOn w:val="BodyTextIndentChar"/>
    <w:link w:val="BodyTextFirstIndent2"/>
    <w:uiPriority w:val="99"/>
    <w:semiHidden/>
    <w:rsid w:val="00A82FF5"/>
    <w:rPr>
      <w:sz w:val="24"/>
    </w:rPr>
  </w:style>
  <w:style w:type="paragraph" w:styleId="BodyTextIndent2">
    <w:name w:val="Body Text Indent 2"/>
    <w:basedOn w:val="Normal"/>
    <w:link w:val="BodyTextIndent2Char"/>
    <w:uiPriority w:val="99"/>
    <w:semiHidden/>
    <w:unhideWhenUsed/>
    <w:rsid w:val="00A82FF5"/>
    <w:pPr>
      <w:spacing w:after="120" w:line="480" w:lineRule="auto"/>
      <w:ind w:left="283"/>
    </w:pPr>
  </w:style>
  <w:style w:type="character" w:customStyle="1" w:styleId="BodyTextIndent2Char">
    <w:name w:val="Body Text Indent 2 Char"/>
    <w:basedOn w:val="DefaultParagraphFont"/>
    <w:link w:val="BodyTextIndent2"/>
    <w:uiPriority w:val="99"/>
    <w:semiHidden/>
    <w:rsid w:val="00A82FF5"/>
    <w:rPr>
      <w:sz w:val="24"/>
    </w:rPr>
  </w:style>
  <w:style w:type="paragraph" w:styleId="TOC7">
    <w:name w:val="toc 7"/>
    <w:basedOn w:val="Normal"/>
    <w:next w:val="Normal"/>
    <w:autoRedefine/>
    <w:uiPriority w:val="39"/>
    <w:semiHidden/>
    <w:unhideWhenUsed/>
    <w:rsid w:val="00A82FF5"/>
    <w:pPr>
      <w:spacing w:after="100"/>
      <w:ind w:left="1680"/>
    </w:pPr>
  </w:style>
  <w:style w:type="paragraph" w:styleId="TOC8">
    <w:name w:val="toc 8"/>
    <w:basedOn w:val="Normal"/>
    <w:next w:val="Normal"/>
    <w:autoRedefine/>
    <w:uiPriority w:val="39"/>
    <w:semiHidden/>
    <w:unhideWhenUsed/>
    <w:rsid w:val="00A82FF5"/>
    <w:pPr>
      <w:spacing w:after="100"/>
      <w:ind w:left="1960"/>
    </w:pPr>
  </w:style>
  <w:style w:type="paragraph" w:styleId="TOC9">
    <w:name w:val="toc 9"/>
    <w:basedOn w:val="Normal"/>
    <w:next w:val="Normal"/>
    <w:autoRedefine/>
    <w:uiPriority w:val="39"/>
    <w:semiHidden/>
    <w:unhideWhenUsed/>
    <w:rsid w:val="00A82FF5"/>
    <w:pPr>
      <w:spacing w:after="100"/>
      <w:ind w:left="2240"/>
    </w:pPr>
  </w:style>
  <w:style w:type="paragraph" w:styleId="TOC5">
    <w:name w:val="toc 5"/>
    <w:basedOn w:val="Normal"/>
    <w:next w:val="Normal"/>
    <w:autoRedefine/>
    <w:uiPriority w:val="39"/>
    <w:semiHidden/>
    <w:unhideWhenUsed/>
    <w:rsid w:val="00A82FF5"/>
    <w:pPr>
      <w:spacing w:after="100"/>
      <w:ind w:left="1120"/>
    </w:pPr>
  </w:style>
  <w:style w:type="paragraph" w:styleId="TOC4">
    <w:name w:val="toc 4"/>
    <w:basedOn w:val="Normal"/>
    <w:next w:val="Normal"/>
    <w:autoRedefine/>
    <w:uiPriority w:val="39"/>
    <w:semiHidden/>
    <w:unhideWhenUsed/>
    <w:rsid w:val="00A82FF5"/>
    <w:pPr>
      <w:spacing w:after="100"/>
      <w:ind w:left="840"/>
    </w:pPr>
  </w:style>
  <w:style w:type="paragraph" w:styleId="TOAHeading">
    <w:name w:val="toa heading"/>
    <w:basedOn w:val="Normal"/>
    <w:next w:val="Normal"/>
    <w:uiPriority w:val="99"/>
    <w:semiHidden/>
    <w:unhideWhenUsed/>
    <w:rsid w:val="00A82FF5"/>
    <w:pPr>
      <w:spacing w:before="120"/>
    </w:pPr>
    <w:rPr>
      <w:rFonts w:asciiTheme="majorHAnsi" w:eastAsiaTheme="majorEastAsia" w:hAnsiTheme="majorHAnsi" w:cstheme="majorBidi"/>
      <w:b/>
      <w:bCs/>
      <w:szCs w:val="24"/>
    </w:rPr>
  </w:style>
  <w:style w:type="paragraph" w:styleId="TableofFigures">
    <w:name w:val="table of figures"/>
    <w:basedOn w:val="Normal"/>
    <w:next w:val="Normal"/>
    <w:uiPriority w:val="99"/>
    <w:semiHidden/>
    <w:unhideWhenUsed/>
    <w:rsid w:val="00A82FF5"/>
  </w:style>
  <w:style w:type="paragraph" w:styleId="TableofAuthorities">
    <w:name w:val="table of authorities"/>
    <w:basedOn w:val="Normal"/>
    <w:next w:val="Normal"/>
    <w:uiPriority w:val="99"/>
    <w:semiHidden/>
    <w:unhideWhenUsed/>
    <w:rsid w:val="00A82FF5"/>
    <w:pPr>
      <w:ind w:left="280" w:hanging="280"/>
    </w:pPr>
  </w:style>
  <w:style w:type="character" w:styleId="SubtleReference">
    <w:name w:val="Subtle Reference"/>
    <w:basedOn w:val="DefaultParagraphFont"/>
    <w:uiPriority w:val="31"/>
    <w:rsid w:val="00A82FF5"/>
    <w:rPr>
      <w:smallCaps/>
      <w:color w:val="5A5A5A" w:themeColor="text1" w:themeTint="A5"/>
      <w:sz w:val="24"/>
    </w:rPr>
  </w:style>
  <w:style w:type="character" w:styleId="Strong">
    <w:name w:val="Strong"/>
    <w:basedOn w:val="DefaultParagraphFont"/>
    <w:uiPriority w:val="22"/>
    <w:rsid w:val="00A82FF5"/>
    <w:rPr>
      <w:b/>
      <w:bCs/>
      <w:sz w:val="24"/>
    </w:rPr>
  </w:style>
  <w:style w:type="paragraph" w:styleId="Signature">
    <w:name w:val="Signature"/>
    <w:basedOn w:val="Normal"/>
    <w:link w:val="SignatureChar"/>
    <w:uiPriority w:val="99"/>
    <w:semiHidden/>
    <w:unhideWhenUsed/>
    <w:rsid w:val="00A82FF5"/>
    <w:pPr>
      <w:spacing w:before="0" w:line="240" w:lineRule="auto"/>
      <w:ind w:left="4252"/>
    </w:pPr>
  </w:style>
  <w:style w:type="character" w:customStyle="1" w:styleId="SignatureChar">
    <w:name w:val="Signature Char"/>
    <w:basedOn w:val="DefaultParagraphFont"/>
    <w:link w:val="Signature"/>
    <w:uiPriority w:val="99"/>
    <w:semiHidden/>
    <w:rsid w:val="00A82FF5"/>
    <w:rPr>
      <w:sz w:val="24"/>
    </w:rPr>
  </w:style>
  <w:style w:type="paragraph" w:styleId="NormalIndent">
    <w:name w:val="Normal Indent"/>
    <w:basedOn w:val="Normal"/>
    <w:uiPriority w:val="99"/>
    <w:semiHidden/>
    <w:unhideWhenUsed/>
    <w:rsid w:val="00A82FF5"/>
    <w:pPr>
      <w:ind w:left="720"/>
    </w:pPr>
  </w:style>
  <w:style w:type="paragraph" w:styleId="NoteHeading">
    <w:name w:val="Note Heading"/>
    <w:basedOn w:val="Normal"/>
    <w:next w:val="Normal"/>
    <w:link w:val="NoteHeadingChar"/>
    <w:uiPriority w:val="99"/>
    <w:semiHidden/>
    <w:unhideWhenUsed/>
    <w:rsid w:val="00A82FF5"/>
    <w:pPr>
      <w:spacing w:before="0" w:line="240" w:lineRule="auto"/>
    </w:pPr>
  </w:style>
  <w:style w:type="character" w:customStyle="1" w:styleId="NoteHeadingChar">
    <w:name w:val="Note Heading Char"/>
    <w:basedOn w:val="DefaultParagraphFont"/>
    <w:link w:val="NoteHeading"/>
    <w:uiPriority w:val="99"/>
    <w:semiHidden/>
    <w:rsid w:val="00A82FF5"/>
    <w:rPr>
      <w:sz w:val="24"/>
    </w:rPr>
  </w:style>
  <w:style w:type="numbering" w:customStyle="1" w:styleId="StyleOutlinenumberedLatinHeadingsArialComplexHeadi">
    <w:name w:val="Style Outline numbered (Latin) +Headings (Arial) (Complex) +Headi..."/>
    <w:basedOn w:val="NoList"/>
    <w:rsid w:val="00A82FF5"/>
    <w:pPr>
      <w:numPr>
        <w:numId w:val="14"/>
      </w:numPr>
    </w:pPr>
  </w:style>
  <w:style w:type="numbering" w:customStyle="1" w:styleId="StyleOutlinenumberedLatinHeadingsArialComplexHeadi2">
    <w:name w:val="Style Outline numbered (Latin) +Headings (Arial) (Complex) +Headi...2"/>
    <w:basedOn w:val="NoList"/>
    <w:rsid w:val="004E2C9C"/>
    <w:pPr>
      <w:numPr>
        <w:numId w:val="16"/>
      </w:numPr>
    </w:pPr>
  </w:style>
  <w:style w:type="character" w:customStyle="1" w:styleId="Heading6Char1">
    <w:name w:val="Heading 6 Char1"/>
    <w:basedOn w:val="DefaultParagraphFont"/>
    <w:link w:val="Heading6"/>
    <w:uiPriority w:val="9"/>
    <w:semiHidden/>
    <w:rsid w:val="004E2C9C"/>
    <w:rPr>
      <w:rFonts w:asciiTheme="majorHAnsi" w:eastAsiaTheme="majorEastAsia" w:hAnsiTheme="majorHAnsi" w:cstheme="majorBidi"/>
      <w:sz w:val="24"/>
    </w:rPr>
  </w:style>
  <w:style w:type="character" w:styleId="HTMLCite">
    <w:name w:val="HTML Cite"/>
    <w:basedOn w:val="DefaultParagraphFont"/>
    <w:uiPriority w:val="99"/>
    <w:semiHidden/>
    <w:unhideWhenUsed/>
    <w:rsid w:val="00A82FF5"/>
    <w:rPr>
      <w:i/>
      <w:iCs/>
      <w:sz w:val="24"/>
    </w:rPr>
  </w:style>
  <w:style w:type="paragraph" w:styleId="NormalWeb">
    <w:name w:val="Normal (Web)"/>
    <w:basedOn w:val="Normal"/>
    <w:uiPriority w:val="99"/>
    <w:semiHidden/>
    <w:unhideWhenUsed/>
    <w:rsid w:val="00A444F9"/>
    <w:pPr>
      <w:keepLines w:val="0"/>
      <w:spacing w:before="100" w:beforeAutospacing="1" w:after="100" w:afterAutospacing="1" w:line="240" w:lineRule="auto"/>
    </w:pPr>
    <w:rPr>
      <w:rFonts w:ascii="Times New Roman" w:eastAsia="Times New Roman" w:hAnsi="Times New Roman" w:cs="Times New Roman"/>
      <w:szCs w:val="24"/>
      <w:lang w:eastAsia="en-GB"/>
    </w:rPr>
  </w:style>
  <w:style w:type="character" w:styleId="EndnoteReference">
    <w:name w:val="endnote reference"/>
    <w:basedOn w:val="DefaultParagraphFont"/>
    <w:uiPriority w:val="99"/>
    <w:semiHidden/>
    <w:unhideWhenUsed/>
    <w:rsid w:val="0022138B"/>
    <w:rPr>
      <w:vertAlign w:val="superscript"/>
    </w:rPr>
  </w:style>
  <w:style w:type="paragraph" w:styleId="Revision">
    <w:name w:val="Revision"/>
    <w:hidden/>
    <w:uiPriority w:val="99"/>
    <w:semiHidden/>
    <w:rsid w:val="00443D06"/>
    <w:pPr>
      <w:spacing w:after="0" w:line="240" w:lineRule="auto"/>
    </w:pPr>
    <w:rPr>
      <w:sz w:val="24"/>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D049F2"/>
    <w:pPr>
      <w:keepLines w:val="0"/>
      <w:spacing w:before="0" w:after="160" w:line="240" w:lineRule="exact"/>
      <w:jc w:val="both"/>
    </w:pPr>
    <w:rPr>
      <w:sz w:val="22"/>
      <w:vertAlign w:val="superscript"/>
    </w:rPr>
  </w:style>
  <w:style w:type="paragraph" w:customStyle="1" w:styleId="Parabeforeanother">
    <w:name w:val="&gt; Para before another"/>
    <w:basedOn w:val="Normal"/>
    <w:qFormat/>
    <w:rsid w:val="00E53D11"/>
    <w:pPr>
      <w:keepLines w:val="0"/>
      <w:spacing w:before="0" w:after="160" w:line="312" w:lineRule="auto"/>
    </w:pPr>
    <w:rPr>
      <w:rFonts w:ascii="Arial" w:eastAsia="Calibri" w:hAnsi="Arial" w:cs="Arial"/>
      <w:szCs w:val="24"/>
    </w:rPr>
  </w:style>
  <w:style w:type="paragraph" w:customStyle="1" w:styleId="Parabeforenewsection">
    <w:name w:val="&gt; Para before new section"/>
    <w:basedOn w:val="Parabeforeanother"/>
    <w:qFormat/>
    <w:rsid w:val="00E53D11"/>
    <w:pPr>
      <w:spacing w:after="680"/>
    </w:pPr>
    <w:rPr>
      <w:rFonts w:cs="Times New Roman"/>
    </w:rPr>
  </w:style>
  <w:style w:type="paragraph" w:customStyle="1" w:styleId="Default">
    <w:name w:val="Default"/>
    <w:rsid w:val="00E53D1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4GChar">
    <w:name w:val="4_G Char"/>
    <w:aliases w:val="Footnote Reference1 Char,Footnotes refss Char,ftref Char,BVI fnr Char,BVI fnr Car Car Char,BVI fnr Car Char,BVI fnr Car Car Car Car Char,BVI fnr Char Car Car Car Char,ftref,BVI fnr Car Car,BVI fnr Car"/>
    <w:basedOn w:val="Normal"/>
    <w:uiPriority w:val="99"/>
    <w:rsid w:val="00E53D11"/>
    <w:pPr>
      <w:keepLines w:val="0"/>
      <w:spacing w:before="0" w:after="160" w:line="240" w:lineRule="exact"/>
      <w:jc w:val="both"/>
    </w:pPr>
    <w:rPr>
      <w:sz w:val="22"/>
      <w:vertAlign w:val="superscript"/>
    </w:rPr>
  </w:style>
  <w:style w:type="paragraph" w:customStyle="1" w:styleId="Parabeforebulletsnumberedlist">
    <w:name w:val="&gt; Para before bullets/numbered list"/>
    <w:basedOn w:val="Normal"/>
    <w:qFormat/>
    <w:rsid w:val="00BA6AF9"/>
    <w:pPr>
      <w:keepLines w:val="0"/>
      <w:spacing w:before="0" w:after="60" w:line="312" w:lineRule="auto"/>
    </w:pPr>
    <w:rPr>
      <w:rFonts w:ascii="Arial" w:eastAsia="Calibri" w:hAnsi="Arial" w:cs="Times New Roman"/>
      <w:szCs w:val="24"/>
    </w:rPr>
  </w:style>
  <w:style w:type="paragraph" w:customStyle="1" w:styleId="Bullet-followedbyothers">
    <w:name w:val="&gt; Bullet - followed by others"/>
    <w:basedOn w:val="Normal"/>
    <w:qFormat/>
    <w:rsid w:val="00BA6AF9"/>
    <w:pPr>
      <w:keepLines w:val="0"/>
      <w:numPr>
        <w:numId w:val="18"/>
      </w:numPr>
      <w:spacing w:before="0" w:after="40" w:line="312" w:lineRule="auto"/>
    </w:pPr>
    <w:rPr>
      <w:rFonts w:ascii="Arial" w:eastAsia="Calibri" w:hAnsi="Arial" w:cs="Times New Roman"/>
      <w:szCs w:val="24"/>
    </w:rPr>
  </w:style>
  <w:style w:type="paragraph" w:customStyle="1" w:styleId="Bullet-lastingroup">
    <w:name w:val="&gt; Bullet - last in group"/>
    <w:basedOn w:val="Bullet-followedbyothers"/>
    <w:qFormat/>
    <w:rsid w:val="00BA6AF9"/>
    <w:pPr>
      <w:spacing w:after="240"/>
    </w:pPr>
  </w:style>
  <w:style w:type="character" w:customStyle="1" w:styleId="UnresolvedMention1">
    <w:name w:val="Unresolved Mention1"/>
    <w:basedOn w:val="DefaultParagraphFont"/>
    <w:uiPriority w:val="99"/>
    <w:semiHidden/>
    <w:unhideWhenUsed/>
    <w:rsid w:val="00394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07654">
      <w:bodyDiv w:val="1"/>
      <w:marLeft w:val="0"/>
      <w:marRight w:val="0"/>
      <w:marTop w:val="0"/>
      <w:marBottom w:val="0"/>
      <w:divBdr>
        <w:top w:val="none" w:sz="0" w:space="0" w:color="auto"/>
        <w:left w:val="none" w:sz="0" w:space="0" w:color="auto"/>
        <w:bottom w:val="none" w:sz="0" w:space="0" w:color="auto"/>
        <w:right w:val="none" w:sz="0" w:space="0" w:color="auto"/>
      </w:divBdr>
    </w:div>
    <w:div w:id="296179592">
      <w:bodyDiv w:val="1"/>
      <w:marLeft w:val="0"/>
      <w:marRight w:val="0"/>
      <w:marTop w:val="0"/>
      <w:marBottom w:val="0"/>
      <w:divBdr>
        <w:top w:val="none" w:sz="0" w:space="0" w:color="auto"/>
        <w:left w:val="none" w:sz="0" w:space="0" w:color="auto"/>
        <w:bottom w:val="none" w:sz="0" w:space="0" w:color="auto"/>
        <w:right w:val="none" w:sz="0" w:space="0" w:color="auto"/>
      </w:divBdr>
    </w:div>
    <w:div w:id="789209403">
      <w:bodyDiv w:val="1"/>
      <w:marLeft w:val="0"/>
      <w:marRight w:val="0"/>
      <w:marTop w:val="0"/>
      <w:marBottom w:val="0"/>
      <w:divBdr>
        <w:top w:val="none" w:sz="0" w:space="0" w:color="auto"/>
        <w:left w:val="none" w:sz="0" w:space="0" w:color="auto"/>
        <w:bottom w:val="none" w:sz="0" w:space="0" w:color="auto"/>
        <w:right w:val="none" w:sz="0" w:space="0" w:color="auto"/>
      </w:divBdr>
    </w:div>
    <w:div w:id="140117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mailto:correspondence@equalityhumanrights.com"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rrespondence@equalityhumanrights.com" TargetMode="External"/><Relationship Id="rId2" Type="http://schemas.openxmlformats.org/officeDocument/2006/relationships/customXml" Target="../customXml/item2.xml"/><Relationship Id="rId16" Type="http://schemas.openxmlformats.org/officeDocument/2006/relationships/hyperlink" Target="https://www.equalityhumanrights.com/en" TargetMode="External"/><Relationship Id="rId20" Type="http://schemas.openxmlformats.org/officeDocument/2006/relationships/hyperlink" Target="http://www.equalityadvisoryservice.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equalityhumanrights.com/en/newsletter-sig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http://www.equalityhumanrights.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gov.wales/programme-government" TargetMode="External"/><Relationship Id="rId13" Type="http://schemas.openxmlformats.org/officeDocument/2006/relationships/hyperlink" Target="https://tbinternet.ohchr.org/_layouts/15/treatybodyexternal/Download.aspx?symbolno=CEDAW/C/GBR/CO/8&amp;Lang=En" TargetMode="External"/><Relationship Id="rId18" Type="http://schemas.openxmlformats.org/officeDocument/2006/relationships/hyperlink" Target="https://committees.parliament.uk/oralevidence/1369/default/" TargetMode="External"/><Relationship Id="rId26" Type="http://schemas.openxmlformats.org/officeDocument/2006/relationships/hyperlink" Target="https://www.equalityhumanrights.com/sites/default/files/eu-withdrawal-bill-legal-advice-jason-coppel-qc.pdf" TargetMode="External"/><Relationship Id="rId39" Type="http://schemas.openxmlformats.org/officeDocument/2006/relationships/hyperlink" Target="https://senedd.wales/laid%20documents/cr-ld13405-r/cr-ld13405-r-e.pdf" TargetMode="External"/><Relationship Id="rId3" Type="http://schemas.openxmlformats.org/officeDocument/2006/relationships/hyperlink" Target="https://www.gov.uk/government/publications/third-universal-periodic-review-uks-mid-term-report-on-recommendations" TargetMode="External"/><Relationship Id="rId21" Type="http://schemas.openxmlformats.org/officeDocument/2006/relationships/hyperlink" Target="https://assets.publishing.service.gov.uk/government/uploads/system/uploads/attachment_data/file/953348/ihrar-call-for-evdience.pdf" TargetMode="External"/><Relationship Id="rId34" Type="http://schemas.openxmlformats.org/officeDocument/2006/relationships/hyperlink" Target="https://gov.wales/response-to-phase-2-gender-equality-review-report-and-roadmap-html" TargetMode="External"/><Relationship Id="rId42" Type="http://schemas.openxmlformats.org/officeDocument/2006/relationships/hyperlink" Target="https://record.assembly.wales/Plenary/6258" TargetMode="External"/><Relationship Id="rId7" Type="http://schemas.openxmlformats.org/officeDocument/2006/relationships/hyperlink" Target="https://movingforward.wales/leading-on-equalities.html" TargetMode="External"/><Relationship Id="rId12" Type="http://schemas.openxmlformats.org/officeDocument/2006/relationships/hyperlink" Target="https://www.gov.scot/publications/protecting-scotland-renewing-scotland-governments-programme-scotland-2020-2021/" TargetMode="External"/><Relationship Id="rId17" Type="http://schemas.openxmlformats.org/officeDocument/2006/relationships/hyperlink" Target="https://assets.publishing.service.gov.uk/government/uploads/system/uploads/attachment_data/file/962423/Call-for-Evidence.pdf" TargetMode="External"/><Relationship Id="rId25" Type="http://schemas.openxmlformats.org/officeDocument/2006/relationships/hyperlink" Target="https://www.equalityhumanrights.com/sites/default/files/ihrar_call_for_evidence_response.docx" TargetMode="External"/><Relationship Id="rId33" Type="http://schemas.openxmlformats.org/officeDocument/2006/relationships/hyperlink" Target="https://gov.wales/welsh-government-accepts-deeds-not-words-gender-review-report" TargetMode="External"/><Relationship Id="rId38" Type="http://schemas.openxmlformats.org/officeDocument/2006/relationships/hyperlink" Target="https://www.parliament.uk/globalassets/documents/commons-committees/women-and-equalities/Correspondence/190123-Chair-CEDAW-committee-CEDAW-inquiry.pdf" TargetMode="External"/><Relationship Id="rId46" Type="http://schemas.openxmlformats.org/officeDocument/2006/relationships/hyperlink" Target="https://committees.parliament.uk/publications/4597/documents/46478/default/" TargetMode="External"/><Relationship Id="rId2" Type="http://schemas.openxmlformats.org/officeDocument/2006/relationships/hyperlink" Target="https://tbinternet.ohchr.org/_layouts/15/treatybodyexternal/Download.aspx?symbolno=CEDAW/C/GBR/CO/8&amp;Lang=En" TargetMode="External"/><Relationship Id="rId16" Type="http://schemas.openxmlformats.org/officeDocument/2006/relationships/hyperlink" Target="https://www.gov.uk/guidance/independent-human-rights-act-review" TargetMode="External"/><Relationship Id="rId20" Type="http://schemas.openxmlformats.org/officeDocument/2006/relationships/hyperlink" Target="https://www.legislation.gov.uk/ukpga/1998/42/section/7" TargetMode="External"/><Relationship Id="rId29" Type="http://schemas.openxmlformats.org/officeDocument/2006/relationships/hyperlink" Target="https://www.gov.uk/government/publications/gender-equality-at-every-stage-a-roadmap-for-change" TargetMode="External"/><Relationship Id="rId41" Type="http://schemas.openxmlformats.org/officeDocument/2006/relationships/hyperlink" Target="https://www.ohchr.org/Documents/Publications/HR_PUB_16_1_NMRF_Study.pdf" TargetMode="External"/><Relationship Id="rId1" Type="http://schemas.openxmlformats.org/officeDocument/2006/relationships/hyperlink" Target="https://tbinternet.ohchr.org/_layouts/15/treatybodyexternal/Download.aspx?symbolno=CEDAW/C/GBR/CO/8&amp;Lang=En" TargetMode="External"/><Relationship Id="rId6" Type="http://schemas.openxmlformats.org/officeDocument/2006/relationships/hyperlink" Target="https://record.assembly.wales/Plenary/6258" TargetMode="External"/><Relationship Id="rId11" Type="http://schemas.openxmlformats.org/officeDocument/2006/relationships/hyperlink" Target="https://www.gov.scot/publications/national-taskforce-human-rights-leadership-report/pages/4/" TargetMode="External"/><Relationship Id="rId24" Type="http://schemas.openxmlformats.org/officeDocument/2006/relationships/hyperlink" Target="https://www.equalityhumanrights.com/sites/default/files/ihrar_call_for_evidence_response.docx" TargetMode="External"/><Relationship Id="rId32" Type="http://schemas.openxmlformats.org/officeDocument/2006/relationships/hyperlink" Target="https://chwaraeteg.com/wp-content/uploads/2019/09/Gender-Equality-a-roadmap-for-Wales.pdf" TargetMode="External"/><Relationship Id="rId37" Type="http://schemas.openxmlformats.org/officeDocument/2006/relationships/hyperlink" Target="https://lib.ohchr.org/HRBodies/UPR/Documents/Session27/GB/UKHCLetter.pdf" TargetMode="External"/><Relationship Id="rId40" Type="http://schemas.openxmlformats.org/officeDocument/2006/relationships/hyperlink" Target="https://www.equalityhumanrights.com/sites/default/files/britain_and_the_convention_against_torture.pdf" TargetMode="External"/><Relationship Id="rId45" Type="http://schemas.openxmlformats.org/officeDocument/2006/relationships/hyperlink" Target="https://humanrightstracker.com/en/" TargetMode="External"/><Relationship Id="rId5" Type="http://schemas.openxmlformats.org/officeDocument/2006/relationships/hyperlink" Target="https://record.assembly.wales/Plenary/5664" TargetMode="External"/><Relationship Id="rId15" Type="http://schemas.openxmlformats.org/officeDocument/2006/relationships/hyperlink" Target="https://www.gov.uk/guidance/independent-human-rights-act-review" TargetMode="External"/><Relationship Id="rId23" Type="http://schemas.openxmlformats.org/officeDocument/2006/relationships/hyperlink" Target="https://www.equalityhumanrights.com/sites/default/files/20210219_jchr_written_evidence_-_hra_review_-_final.docx" TargetMode="External"/><Relationship Id="rId28" Type="http://schemas.openxmlformats.org/officeDocument/2006/relationships/hyperlink" Target="https://tbinternet.ohchr.org/_layouts/15/treatybodyexternal/Download.aspx?symbolno=CEDAW/C/GBR/CO/8&amp;Lang=En" TargetMode="External"/><Relationship Id="rId36" Type="http://schemas.openxmlformats.org/officeDocument/2006/relationships/hyperlink" Target="https://gov.wales/programme-government" TargetMode="External"/><Relationship Id="rId10" Type="http://schemas.openxmlformats.org/officeDocument/2006/relationships/hyperlink" Target="https://www.gov.scot/binaries/content/documents/govscot/publications/corporate-report/2020/12/scottish-governments-response-first-ministers-national-advisory-council-women-girls-nacwg-2019-report-recommendations/documents/scottish-governments-response-first-ministers-national-advisory-council-women-girls/scottish-governments-response-first-ministers-national-advisory-council-women-girls/govscot%3Adocument/scottish-governments-response-first-ministers-national-advisory-council-women-girls.pdf" TargetMode="External"/><Relationship Id="rId19" Type="http://schemas.openxmlformats.org/officeDocument/2006/relationships/hyperlink" Target="https://www.legislation.gov.uk/ukpga/1998/42/section/6" TargetMode="External"/><Relationship Id="rId31" Type="http://schemas.openxmlformats.org/officeDocument/2006/relationships/hyperlink" Target="https://chwaraeteg.com/wp-content/uploads/2019/09/Deeds-Not-Word-full-report.pdf" TargetMode="External"/><Relationship Id="rId44" Type="http://schemas.openxmlformats.org/officeDocument/2006/relationships/hyperlink" Target="https://humanrightsleadership.scot/wp-content/uploads/2018/12/First-Ministers-Advisory-Group-on-Human-Rights-Leadership-Final-report-for-publication.pdf" TargetMode="External"/><Relationship Id="rId4" Type="http://schemas.openxmlformats.org/officeDocument/2006/relationships/hyperlink" Target="https://hansard.parliament.uk/Lords/2020-11-16/debates/AFADC7C6-A00C-4E42-B588-8033FEA0B84A/UNConventionOnTheRightsOfTheChild" TargetMode="External"/><Relationship Id="rId9" Type="http://schemas.openxmlformats.org/officeDocument/2006/relationships/hyperlink" Target="https://humanrightsleadership.scot/wp-content/uploads/2018/12/First-Ministers-Advisory-Group-on-Human-Rights-Leadership-Final-report-for-publication.pdf" TargetMode="External"/><Relationship Id="rId14" Type="http://schemas.openxmlformats.org/officeDocument/2006/relationships/hyperlink" Target="https://assets.publishing.service.gov.uk/government/uploads/system/uploads/attachment_data/file/786626/The_Future_Relationship_between_the_United_Kingdom_and_the_European_Union_120319.pdf" TargetMode="External"/><Relationship Id="rId22" Type="http://schemas.openxmlformats.org/officeDocument/2006/relationships/hyperlink" Target="https://committees.parliament.uk/oralevidence/1250/pdf/" TargetMode="External"/><Relationship Id="rId27" Type="http://schemas.openxmlformats.org/officeDocument/2006/relationships/hyperlink" Target="https://www.equalityhumanrights.com/en/what-are-human-rights/how-are-your-rights-protected/what-charter-fundamental-rights-european-union-0" TargetMode="External"/><Relationship Id="rId30" Type="http://schemas.openxmlformats.org/officeDocument/2006/relationships/hyperlink" Target="https://assets.publishing.service.gov.uk/government/uploads/system/uploads/attachment_data/file/814080/GEO_GEEE_Strategy_Gender_Equality_Monitor_tagged.pdf" TargetMode="External"/><Relationship Id="rId35" Type="http://schemas.openxmlformats.org/officeDocument/2006/relationships/hyperlink" Target="https://gov.wales/sites/default/files/publications/2020-03/advancing-gender-equality-plan.pdf" TargetMode="External"/><Relationship Id="rId43" Type="http://schemas.openxmlformats.org/officeDocument/2006/relationships/hyperlink" Target="https://www.gov.scot/publications/national-taskforce-human-rights-leadership-report/pages/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6E5A3386A964DB6AF84FE33A62CFA84"/>
        <w:category>
          <w:name w:val="General"/>
          <w:gallery w:val="placeholder"/>
        </w:category>
        <w:types>
          <w:type w:val="bbPlcHdr"/>
        </w:types>
        <w:behaviors>
          <w:behavior w:val="content"/>
        </w:behaviors>
        <w:guid w:val="{1CBC26BE-B82E-4A9C-B519-6CA0D640405A}"/>
      </w:docPartPr>
      <w:docPartBody>
        <w:p w:rsidR="00B225C6" w:rsidRDefault="00B225C6">
          <w:pPr>
            <w:pStyle w:val="26E5A3386A964DB6AF84FE33A62CFA84"/>
          </w:pPr>
          <w:r>
            <w:rPr>
              <w:sz w:val="36"/>
              <w:szCs w:val="36"/>
            </w:rPr>
            <w:t>Document type [</w:t>
          </w:r>
          <w:r w:rsidRPr="008139C1">
            <w:rPr>
              <w:sz w:val="36"/>
              <w:szCs w:val="36"/>
            </w:rPr>
            <w:t xml:space="preserve">e.g. Internal </w:t>
          </w:r>
          <w:r>
            <w:rPr>
              <w:sz w:val="36"/>
              <w:szCs w:val="36"/>
            </w:rPr>
            <w:t>document, Research report, Guidance]</w:t>
          </w:r>
        </w:p>
      </w:docPartBody>
    </w:docPart>
    <w:docPart>
      <w:docPartPr>
        <w:name w:val="F6D2AA80ECC94F198E294B03C49A8C5E"/>
        <w:category>
          <w:name w:val="General"/>
          <w:gallery w:val="placeholder"/>
        </w:category>
        <w:types>
          <w:type w:val="bbPlcHdr"/>
        </w:types>
        <w:behaviors>
          <w:behavior w:val="content"/>
        </w:behaviors>
        <w:guid w:val="{BCCC70BA-8E00-474C-A09A-CE4103D5AA36}"/>
      </w:docPartPr>
      <w:docPartBody>
        <w:p w:rsidR="00B225C6" w:rsidRDefault="00B225C6">
          <w:pPr>
            <w:pStyle w:val="F6D2AA80ECC94F198E294B03C49A8C5E"/>
          </w:pPr>
          <w:r w:rsidRPr="00605567">
            <w:t>Document title</w:t>
          </w:r>
        </w:p>
      </w:docPartBody>
    </w:docPart>
    <w:docPart>
      <w:docPartPr>
        <w:name w:val="4FF02A4FA13E491A8579388196A778FA"/>
        <w:category>
          <w:name w:val="General"/>
          <w:gallery w:val="placeholder"/>
        </w:category>
        <w:types>
          <w:type w:val="bbPlcHdr"/>
        </w:types>
        <w:behaviors>
          <w:behavior w:val="content"/>
        </w:behaviors>
        <w:guid w:val="{307D9050-D185-4E54-B01B-D3B21C22C968}"/>
      </w:docPartPr>
      <w:docPartBody>
        <w:p w:rsidR="00B225C6" w:rsidRDefault="00B225C6">
          <w:pPr>
            <w:pStyle w:val="4FF02A4FA13E491A8579388196A778FA"/>
          </w:pPr>
          <w:r w:rsidRPr="00465B9E">
            <w:rPr>
              <w:rStyle w:val="PlaceholderText"/>
            </w:rPr>
            <w:t>Click or tap to select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5C6"/>
    <w:rsid w:val="00046116"/>
    <w:rsid w:val="00124E6E"/>
    <w:rsid w:val="00241B38"/>
    <w:rsid w:val="003F5C49"/>
    <w:rsid w:val="004757A1"/>
    <w:rsid w:val="004C0B1F"/>
    <w:rsid w:val="006878FA"/>
    <w:rsid w:val="007B03EC"/>
    <w:rsid w:val="0086560B"/>
    <w:rsid w:val="009B6D5A"/>
    <w:rsid w:val="00B225C6"/>
    <w:rsid w:val="00B97330"/>
    <w:rsid w:val="00BC7BD0"/>
    <w:rsid w:val="00DD69D2"/>
    <w:rsid w:val="00DE1757"/>
    <w:rsid w:val="00E64AEA"/>
    <w:rsid w:val="00FC16E1"/>
    <w:rsid w:val="00FF4F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E5A3386A964DB6AF84FE33A62CFA84">
    <w:name w:val="26E5A3386A964DB6AF84FE33A62CFA84"/>
  </w:style>
  <w:style w:type="character" w:styleId="PlaceholderText">
    <w:name w:val="Placeholder Text"/>
    <w:basedOn w:val="DefaultParagraphFont"/>
    <w:uiPriority w:val="99"/>
    <w:semiHidden/>
    <w:rPr>
      <w:color w:val="808080"/>
      <w:sz w:val="24"/>
    </w:rPr>
  </w:style>
  <w:style w:type="paragraph" w:customStyle="1" w:styleId="F6D2AA80ECC94F198E294B03C49A8C5E">
    <w:name w:val="F6D2AA80ECC94F198E294B03C49A8C5E"/>
  </w:style>
  <w:style w:type="paragraph" w:customStyle="1" w:styleId="4FF02A4FA13E491A8579388196A778FA">
    <w:name w:val="4FF02A4FA13E491A8579388196A778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HRC Arial">
  <a:themeElements>
    <a:clrScheme name="EHRC primary teal">
      <a:dk1>
        <a:sysClr val="windowText" lastClr="000000"/>
      </a:dk1>
      <a:lt1>
        <a:sysClr val="window" lastClr="FFFFFF"/>
      </a:lt1>
      <a:dk2>
        <a:srgbClr val="0B4E60"/>
      </a:dk2>
      <a:lt2>
        <a:srgbClr val="7DCAC7"/>
      </a:lt2>
      <a:accent1>
        <a:srgbClr val="009C98"/>
      </a:accent1>
      <a:accent2>
        <a:srgbClr val="64A230"/>
      </a:accent2>
      <a:accent3>
        <a:srgbClr val="DDDE45"/>
      </a:accent3>
      <a:accent4>
        <a:srgbClr val="E0AACC"/>
      </a:accent4>
      <a:accent5>
        <a:srgbClr val="722856"/>
      </a:accent5>
      <a:accent6>
        <a:srgbClr val="8B9292"/>
      </a:accent6>
      <a:hlink>
        <a:srgbClr val="009C98"/>
      </a:hlink>
      <a:folHlink>
        <a:srgbClr val="009C9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BAD7E-9946-4E07-B0DD-54ADD140BE7F}">
  <ds:schemaRefs>
    <ds:schemaRef ds:uri="http://schemas.microsoft.com/sharepoint/v3/contenttype/forms"/>
  </ds:schemaRefs>
</ds:datastoreItem>
</file>

<file path=customXml/itemProps2.xml><?xml version="1.0" encoding="utf-8"?>
<ds:datastoreItem xmlns:ds="http://schemas.openxmlformats.org/officeDocument/2006/customXml" ds:itemID="{0A478A4D-0D7E-444A-9ACF-9C1D4CDAF10D}"/>
</file>

<file path=customXml/itemProps3.xml><?xml version="1.0" encoding="utf-8"?>
<ds:datastoreItem xmlns:ds="http://schemas.openxmlformats.org/officeDocument/2006/customXml" ds:itemID="{94F4714A-0E4B-4A05-8498-B18F6DA79093}">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www.w3.org/XML/1998/namespace"/>
  </ds:schemaRefs>
</ds:datastoreItem>
</file>

<file path=customXml/itemProps4.xml><?xml version="1.0" encoding="utf-8"?>
<ds:datastoreItem xmlns:ds="http://schemas.openxmlformats.org/officeDocument/2006/customXml" ds:itemID="{01B761A3-6A97-4919-BFA8-CE8B2A2E5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2682</Words>
  <Characters>15288</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Great Britain and the Convention on the Elimination of Discrimination against Women</vt:lpstr>
    </vt:vector>
  </TitlesOfParts>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Great Britain and the Convention on the Elimination of Discrimination against Women</dc:title>
  <dc:subject/>
  <dc:creator>Ross Mathers</dc:creator>
  <cp:keywords/>
  <dc:description/>
  <cp:lastModifiedBy>JAMAL Bashar</cp:lastModifiedBy>
  <cp:revision>2</cp:revision>
  <dcterms:created xsi:type="dcterms:W3CDTF">2021-07-29T15:44:00Z</dcterms:created>
  <dcterms:modified xsi:type="dcterms:W3CDTF">2021-07-29T15:44:00Z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