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FB0AE" w14:textId="1A7FF03B" w:rsidR="008377D5" w:rsidRDefault="002E7AA0" w:rsidP="00EB2E4B">
      <w:bookmarkStart w:id="0" w:name="_GoBack"/>
      <w:bookmarkEnd w:id="0"/>
      <w:r>
        <w:t xml:space="preserve">Addendum to the </w:t>
      </w:r>
      <w:r w:rsidR="00385434">
        <w:t xml:space="preserve">Thematic Report on the Basic Health and Welfare Rights of Children aged 0-5 years in </w:t>
      </w:r>
      <w:r w:rsidR="00727CF0">
        <w:t>Aotearoa</w:t>
      </w:r>
      <w:r w:rsidR="008377D5">
        <w:t xml:space="preserve"> New Zealand</w:t>
      </w:r>
    </w:p>
    <w:p w14:paraId="54BB8C0F" w14:textId="77777777" w:rsidR="00DB1EFC" w:rsidRDefault="00DB1EFC" w:rsidP="00EB2E4B"/>
    <w:p w14:paraId="0FCEF38E" w14:textId="317AC967" w:rsidR="002051E0" w:rsidRDefault="00DB1EFC" w:rsidP="00EB2E4B">
      <w:r>
        <w:t>To the United Nations Committee on the Rights of the Child</w:t>
      </w:r>
      <w:r w:rsidR="00F73563">
        <w:t xml:space="preserve"> information related to </w:t>
      </w:r>
      <w:r w:rsidR="00F73563">
        <w:rPr>
          <w:rFonts w:eastAsia="Times New Roman"/>
        </w:rPr>
        <w:t>reporting for the 93rd pre-sessional working group</w:t>
      </w:r>
      <w:r>
        <w:t xml:space="preserve">.  </w:t>
      </w:r>
    </w:p>
    <w:p w14:paraId="580A540E" w14:textId="4E117C00" w:rsidR="00DB1EFC" w:rsidRDefault="00DB1EFC" w:rsidP="00EB2E4B">
      <w:r>
        <w:t>It has come to our attention that there is an error</w:t>
      </w:r>
      <w:r w:rsidR="00D425E4">
        <w:t xml:space="preserve"> on page 24 of our report.  We sincerely apologise for this</w:t>
      </w:r>
      <w:r w:rsidR="00727CF0">
        <w:t xml:space="preserve"> unintended</w:t>
      </w:r>
      <w:r w:rsidR="00D425E4">
        <w:t xml:space="preserve"> error</w:t>
      </w:r>
      <w:r w:rsidR="00727CF0">
        <w:t xml:space="preserve"> and are very genuine in our efforts to provide accurate information to the Committee.</w:t>
      </w:r>
      <w:r w:rsidR="00727CF0">
        <w:rPr>
          <w:rStyle w:val="FootnoteReference"/>
        </w:rPr>
        <w:footnoteReference w:id="1"/>
      </w:r>
    </w:p>
    <w:p w14:paraId="3AE773AB" w14:textId="5C4EB029" w:rsidR="00D425E4" w:rsidRDefault="00D425E4" w:rsidP="00EB2E4B"/>
    <w:p w14:paraId="51C9024A" w14:textId="6BCD3201" w:rsidR="00D425E4" w:rsidRDefault="00D425E4" w:rsidP="00EB2E4B">
      <w:r>
        <w:t>The</w:t>
      </w:r>
      <w:r w:rsidR="0067646C">
        <w:t xml:space="preserve"> child poverty measure </w:t>
      </w:r>
      <w:r w:rsidR="0067646C" w:rsidRPr="00BC76FB">
        <w:rPr>
          <w:i/>
          <w:iCs/>
        </w:rPr>
        <w:t xml:space="preserve">‘187,300 (16.3%) children are living in households with less than 50% of the median equivalised disposable household income </w:t>
      </w:r>
      <w:r w:rsidR="0067646C" w:rsidRPr="00BC76FB">
        <w:rPr>
          <w:i/>
          <w:iCs/>
          <w:highlight w:val="yellow"/>
        </w:rPr>
        <w:t>before</w:t>
      </w:r>
      <w:r w:rsidR="0067646C" w:rsidRPr="00BC76FB">
        <w:rPr>
          <w:i/>
          <w:iCs/>
        </w:rPr>
        <w:t xml:space="preserve"> housing costs’</w:t>
      </w:r>
      <w:r w:rsidR="0067646C">
        <w:t xml:space="preserve"> </w:t>
      </w:r>
      <w:r w:rsidR="00A8782B">
        <w:t xml:space="preserve">should read as </w:t>
      </w:r>
      <w:r w:rsidR="00CC353E" w:rsidRPr="00BC76FB">
        <w:rPr>
          <w:i/>
          <w:iCs/>
        </w:rPr>
        <w:t xml:space="preserve">‘187,300 (16.3%) children are living in households with less than 50% of the median equivalised disposable household income </w:t>
      </w:r>
      <w:r w:rsidR="00CC353E" w:rsidRPr="00BC76FB">
        <w:rPr>
          <w:i/>
          <w:iCs/>
          <w:highlight w:val="yellow"/>
        </w:rPr>
        <w:t>after</w:t>
      </w:r>
      <w:r w:rsidR="00CC353E" w:rsidRPr="00BC76FB">
        <w:rPr>
          <w:i/>
          <w:iCs/>
        </w:rPr>
        <w:t xml:space="preserve"> housing costs</w:t>
      </w:r>
      <w:r w:rsidR="00BC76FB">
        <w:rPr>
          <w:i/>
          <w:iCs/>
        </w:rPr>
        <w:t>’</w:t>
      </w:r>
      <w:r w:rsidR="00CC353E" w:rsidRPr="00BC76FB">
        <w:rPr>
          <w:i/>
          <w:iCs/>
        </w:rPr>
        <w:t>.</w:t>
      </w:r>
    </w:p>
    <w:p w14:paraId="6C0939D6" w14:textId="7FDF5EF3" w:rsidR="00CC353E" w:rsidRDefault="00CC353E" w:rsidP="00BA7224">
      <w:r w:rsidRPr="00BA7224">
        <w:t xml:space="preserve">It has also been requested that we </w:t>
      </w:r>
      <w:r w:rsidR="00BA7224">
        <w:t xml:space="preserve">use </w:t>
      </w:r>
      <w:r w:rsidR="00576958">
        <w:t>‘</w:t>
      </w:r>
      <w:r w:rsidR="000C3CEC" w:rsidRPr="00BA7224">
        <w:t xml:space="preserve">Primary Measure </w:t>
      </w:r>
      <w:r w:rsidR="00BA7224" w:rsidRPr="00BA7224">
        <w:t>A</w:t>
      </w:r>
      <w:r w:rsidR="00A157DB">
        <w:t>:</w:t>
      </w:r>
      <w:r w:rsidR="00BA7224" w:rsidRPr="00BA7224">
        <w:t xml:space="preserve"> </w:t>
      </w:r>
      <w:r w:rsidR="00BA7224" w:rsidRPr="00A157DB">
        <w:t>Percentage of children living in households with less than 50% of the median equivalised disposable household income before housing costs are deducted</w:t>
      </w:r>
      <w:r w:rsidRPr="00BA7224">
        <w:t xml:space="preserve"> </w:t>
      </w:r>
      <w:r w:rsidR="00576958">
        <w:t>– 156,700 children (13.6%) as year ended June 2021.</w:t>
      </w:r>
      <w:r w:rsidR="00A157DB">
        <w:t>’</w:t>
      </w:r>
      <w:r w:rsidR="00A157DB">
        <w:rPr>
          <w:rStyle w:val="FootnoteReference"/>
        </w:rPr>
        <w:footnoteReference w:id="2"/>
      </w:r>
    </w:p>
    <w:p w14:paraId="44F04CDF" w14:textId="17A4F954" w:rsidR="00DB1EFC" w:rsidRDefault="00576958" w:rsidP="00EB2E4B">
      <w:r>
        <w:t xml:space="preserve">We have provided additional information to </w:t>
      </w:r>
      <w:r w:rsidR="00931D6F">
        <w:t>give greater context to our statement ‘Income inad</w:t>
      </w:r>
      <w:r w:rsidR="00613E25">
        <w:t xml:space="preserve">equacy is a significant issue in Aotearoa ...’  We make this claim not only in relation to </w:t>
      </w:r>
      <w:r w:rsidR="00E558AE">
        <w:t>Primary Measure A, but also in relation to the findings of income modelling by Fairer Futures</w:t>
      </w:r>
      <w:r w:rsidR="00E558AE">
        <w:rPr>
          <w:rStyle w:val="FootnoteReference"/>
        </w:rPr>
        <w:footnoteReference w:id="3"/>
      </w:r>
      <w:r w:rsidR="00E558AE">
        <w:t xml:space="preserve"> on levels of income adequacy related families receiving welfare.</w:t>
      </w:r>
    </w:p>
    <w:p w14:paraId="46256839" w14:textId="77777777" w:rsidR="005672F7" w:rsidRDefault="005672F7" w:rsidP="00EB2E4B"/>
    <w:p w14:paraId="5A7252CD" w14:textId="0984C117" w:rsidR="008377D5" w:rsidRPr="00894DF2" w:rsidRDefault="008377D5" w:rsidP="00EB2E4B">
      <w:pPr>
        <w:rPr>
          <w:b/>
          <w:bCs/>
        </w:rPr>
      </w:pPr>
      <w:r w:rsidRPr="00894DF2">
        <w:rPr>
          <w:b/>
          <w:bCs/>
        </w:rPr>
        <w:t xml:space="preserve">P24 – </w:t>
      </w:r>
      <w:r w:rsidR="00385434" w:rsidRPr="00894DF2">
        <w:rPr>
          <w:b/>
          <w:bCs/>
        </w:rPr>
        <w:t xml:space="preserve">Amended Text </w:t>
      </w:r>
    </w:p>
    <w:p w14:paraId="46220136" w14:textId="77777777" w:rsidR="008377D5" w:rsidRDefault="008377D5" w:rsidP="00EB2E4B"/>
    <w:p w14:paraId="69DE1279" w14:textId="444D2365" w:rsidR="00EB2E4B" w:rsidRDefault="00EB2E4B" w:rsidP="00EB2E4B">
      <w:r>
        <w:t xml:space="preserve">Income inadequacy is a significant issue in </w:t>
      </w:r>
      <w:proofErr w:type="spellStart"/>
      <w:r>
        <w:t>Aotearoa</w:t>
      </w:r>
      <w:proofErr w:type="spellEnd"/>
      <w:r>
        <w:t xml:space="preserve"> contributing to our continuing rates of child poverty. Latest child poverty figures show 15</w:t>
      </w:r>
      <w:r w:rsidR="0068286E">
        <w:t>6</w:t>
      </w:r>
      <w:r>
        <w:t>,</w:t>
      </w:r>
      <w:r w:rsidR="0068286E">
        <w:t>7</w:t>
      </w:r>
      <w:r>
        <w:t xml:space="preserve">00  (13.6%) children were living in households with less than 50% of the median equivalised disposable household income before housing costs </w:t>
      </w:r>
      <w:r w:rsidR="00BE2607">
        <w:t xml:space="preserve">for </w:t>
      </w:r>
      <w:r>
        <w:t>the year ended June 2021.</w:t>
      </w:r>
      <w:r>
        <w:rPr>
          <w:rStyle w:val="FootnoteReference"/>
        </w:rPr>
        <w:footnoteReference w:id="4"/>
      </w:r>
      <w:r>
        <w:t xml:space="preserve">   </w:t>
      </w:r>
    </w:p>
    <w:p w14:paraId="077798E8" w14:textId="7C2F83F2" w:rsidR="00EB2E4B" w:rsidRDefault="00EB2E4B" w:rsidP="00EB2E4B">
      <w:r>
        <w:t>This figure jumps to 236,900 (20.6%) children living in households with less than 50% of the median equivalised disposable household income after housing costs.</w:t>
      </w:r>
      <w:r w:rsidR="00BE2607">
        <w:rPr>
          <w:rStyle w:val="FootnoteReference"/>
        </w:rPr>
        <w:footnoteReference w:id="5"/>
      </w:r>
      <w:r>
        <w:t xml:space="preserve">  11 percent of children (125,700) experienced material hardship.  </w:t>
      </w:r>
    </w:p>
    <w:p w14:paraId="1231B3CE" w14:textId="796B7DD6" w:rsidR="00EB2E4B" w:rsidRDefault="00EB2E4B" w:rsidP="00EB2E4B">
      <w:r>
        <w:lastRenderedPageBreak/>
        <w:t>Statistics NZ reported that two of the three intermediate child poverty reduction targets were met in the year ending June 2021.  However high levels of hardship persist for Māori, Pasifika, and disabled children</w:t>
      </w:r>
      <w:r w:rsidRPr="00BE2607">
        <w:rPr>
          <w:vertAlign w:val="superscript"/>
        </w:rPr>
        <w:t>124 125</w:t>
      </w:r>
      <w:r>
        <w:t xml:space="preserve"> and is having a direct impact on housing, health, education, and wellbeing outcomes. </w:t>
      </w:r>
    </w:p>
    <w:p w14:paraId="27CA5834" w14:textId="0A6EE188" w:rsidR="00385434" w:rsidRDefault="00385434" w:rsidP="00385434">
      <w:pPr>
        <w:pStyle w:val="xmsolistparagraph"/>
        <w:spacing w:before="240"/>
        <w:ind w:left="0"/>
      </w:pPr>
      <w:r>
        <w:t>Modelling by Fairer Futures</w:t>
      </w:r>
      <w:r>
        <w:rPr>
          <w:rStyle w:val="FootnoteReference"/>
        </w:rPr>
        <w:footnoteReference w:id="6"/>
      </w:r>
      <w:r>
        <w:t xml:space="preserve"> on levels of income adequacy related</w:t>
      </w:r>
      <w:r w:rsidR="00740AEB">
        <w:t xml:space="preserve"> to</w:t>
      </w:r>
      <w:r>
        <w:t xml:space="preserve"> families </w:t>
      </w:r>
      <w:r w:rsidR="00687C83">
        <w:t>receiving</w:t>
      </w:r>
      <w:r>
        <w:t xml:space="preserve"> welfare, found that</w:t>
      </w:r>
      <w:r w:rsidR="00727CF0">
        <w:t>:</w:t>
      </w:r>
    </w:p>
    <w:p w14:paraId="72134DFE" w14:textId="39823E1A" w:rsidR="00385434" w:rsidRDefault="00385434" w:rsidP="00385434">
      <w:pPr>
        <w:pStyle w:val="xmsolistparagraph"/>
        <w:numPr>
          <w:ilvl w:val="0"/>
          <w:numId w:val="1"/>
        </w:numPr>
        <w:spacing w:before="240"/>
        <w:rPr>
          <w:rFonts w:eastAsia="Times New Roman"/>
        </w:rPr>
      </w:pPr>
      <w:r>
        <w:rPr>
          <w:rFonts w:eastAsia="Times New Roman"/>
          <w:color w:val="000000"/>
        </w:rPr>
        <w:t>12 of the 13 households modelled would not be able to meet their total costs in 2022 (the exception being the sole parent/1 child family eligible for Best Start and sharing accommodation); if even low repayments of debt are included, none of the 13 model households would be able to meet their total costs.</w:t>
      </w:r>
    </w:p>
    <w:p w14:paraId="69A3F40B" w14:textId="77777777" w:rsidR="00385434" w:rsidRDefault="00385434" w:rsidP="00385434">
      <w:pPr>
        <w:pStyle w:val="xmsolistparagraph"/>
        <w:numPr>
          <w:ilvl w:val="0"/>
          <w:numId w:val="1"/>
        </w:numPr>
        <w:spacing w:before="240"/>
        <w:rPr>
          <w:rFonts w:eastAsia="Times New Roman"/>
        </w:rPr>
      </w:pPr>
      <w:r>
        <w:rPr>
          <w:rFonts w:eastAsia="Times New Roman"/>
          <w:color w:val="000000"/>
        </w:rPr>
        <w:t xml:space="preserve">9 of 13 households modelled would not be able to meet their core costs in 2022 (the exceptions being sole parent/1 child families who receive Best Start, share accommodation or both; and the sole parent/3 children family receiving the income-related rent subsidy). </w:t>
      </w:r>
    </w:p>
    <w:p w14:paraId="51D6440E" w14:textId="7B4F6653" w:rsidR="00385434" w:rsidRDefault="00385434" w:rsidP="00385434">
      <w:pPr>
        <w:pStyle w:val="xmsolistparagraph"/>
        <w:numPr>
          <w:ilvl w:val="0"/>
          <w:numId w:val="1"/>
        </w:numPr>
        <w:spacing w:before="240"/>
        <w:rPr>
          <w:rFonts w:eastAsia="Times New Roman"/>
        </w:rPr>
      </w:pPr>
      <w:r>
        <w:rPr>
          <w:rFonts w:eastAsia="Times New Roman"/>
          <w:color w:val="000000"/>
        </w:rPr>
        <w:t>Incomes look to be particularly inadequate for those renting privately: for example, without debt repayments, the model couple with three children would require an additional 29% income ($307 a week, $16,000 a year) to meet their total costs; the sole parent with three children would require an additional 23% income ($239 a week) and the single adult living alone receiving Jobseeker due to a health condition or disability would require an additional 28% income ($146 a week).</w:t>
      </w:r>
    </w:p>
    <w:p w14:paraId="2BC76BA9" w14:textId="23FDA2CE" w:rsidR="00385434" w:rsidRDefault="00385434" w:rsidP="00EB2E4B"/>
    <w:p w14:paraId="2D733412" w14:textId="2F373DB8" w:rsidR="00B00354" w:rsidRDefault="00EB2E4B" w:rsidP="00EB2E4B">
      <w:r>
        <w:t>The cost of housing is taking a considerable toll on the income levels of families, and the standard of living they can achieve based on their income.  In addition, many New Zealand families are struggling to cope with record high inflation rates, currently at 7.3%.</w:t>
      </w:r>
      <w:r w:rsidRPr="00E9255B">
        <w:rPr>
          <w:vertAlign w:val="superscript"/>
        </w:rPr>
        <w:t>126</w:t>
      </w:r>
      <w:r>
        <w:t xml:space="preserve">   </w:t>
      </w:r>
    </w:p>
    <w:p w14:paraId="754786B2" w14:textId="3EC8883A" w:rsidR="00F73563" w:rsidRDefault="00F73563" w:rsidP="00EB2E4B"/>
    <w:p w14:paraId="2E1EEDE4" w14:textId="127791AE" w:rsidR="00F73563" w:rsidRDefault="00F73563" w:rsidP="00EB2E4B">
      <w:r>
        <w:t xml:space="preserve">Should you wish to receive any further information or clarification, please contact Jacqui Southey, Save the Children New Zealand, </w:t>
      </w:r>
      <w:hyperlink r:id="rId8" w:history="1">
        <w:r w:rsidRPr="00C6744F">
          <w:rPr>
            <w:rStyle w:val="Hyperlink"/>
          </w:rPr>
          <w:t>jacqui.southey@scnz.org.nz</w:t>
        </w:r>
      </w:hyperlink>
      <w:r>
        <w:t xml:space="preserve"> </w:t>
      </w:r>
    </w:p>
    <w:sectPr w:rsidR="00F735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24B32" w14:textId="77777777" w:rsidR="001F7113" w:rsidRDefault="001F7113" w:rsidP="00EB2E4B">
      <w:pPr>
        <w:spacing w:after="0" w:line="240" w:lineRule="auto"/>
      </w:pPr>
      <w:r>
        <w:separator/>
      </w:r>
    </w:p>
  </w:endnote>
  <w:endnote w:type="continuationSeparator" w:id="0">
    <w:p w14:paraId="651C7F02" w14:textId="77777777" w:rsidR="001F7113" w:rsidRDefault="001F7113" w:rsidP="00EB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B45EC" w14:textId="77777777" w:rsidR="001F7113" w:rsidRDefault="001F7113" w:rsidP="00EB2E4B">
      <w:pPr>
        <w:spacing w:after="0" w:line="240" w:lineRule="auto"/>
      </w:pPr>
      <w:r>
        <w:separator/>
      </w:r>
    </w:p>
  </w:footnote>
  <w:footnote w:type="continuationSeparator" w:id="0">
    <w:p w14:paraId="4562F8CC" w14:textId="77777777" w:rsidR="001F7113" w:rsidRDefault="001F7113" w:rsidP="00EB2E4B">
      <w:pPr>
        <w:spacing w:after="0" w:line="240" w:lineRule="auto"/>
      </w:pPr>
      <w:r>
        <w:continuationSeparator/>
      </w:r>
    </w:p>
  </w:footnote>
  <w:footnote w:id="1">
    <w:p w14:paraId="709840AF" w14:textId="77777777" w:rsidR="00727CF0" w:rsidRDefault="00727CF0" w:rsidP="00727CF0">
      <w:pPr>
        <w:pStyle w:val="FootnoteText"/>
      </w:pPr>
      <w:r>
        <w:rPr>
          <w:rStyle w:val="FootnoteReference"/>
        </w:rPr>
        <w:footnoteRef/>
      </w:r>
      <w:r>
        <w:t xml:space="preserve"> Contact Jacqui Southey, Save the Children New Zealand, should further information be required, </w:t>
      </w:r>
      <w:hyperlink r:id="rId1" w:history="1">
        <w:r w:rsidRPr="00C6744F">
          <w:rPr>
            <w:rStyle w:val="Hyperlink"/>
          </w:rPr>
          <w:t>jacqui.southey@scnz.org.nz</w:t>
        </w:r>
      </w:hyperlink>
      <w:r>
        <w:t xml:space="preserve"> </w:t>
      </w:r>
    </w:p>
  </w:footnote>
  <w:footnote w:id="2">
    <w:p w14:paraId="374A8DC8" w14:textId="7518E47C" w:rsidR="00A157DB" w:rsidRDefault="00A157DB">
      <w:pPr>
        <w:pStyle w:val="FootnoteText"/>
      </w:pPr>
      <w:r>
        <w:rPr>
          <w:rStyle w:val="FootnoteReference"/>
        </w:rPr>
        <w:footnoteRef/>
      </w:r>
      <w:r>
        <w:t xml:space="preserve"> </w:t>
      </w:r>
      <w:r w:rsidR="00C13DAA">
        <w:t xml:space="preserve">Retrieved from </w:t>
      </w:r>
      <w:hyperlink r:id="rId2" w:history="1">
        <w:r w:rsidR="00C13DAA" w:rsidRPr="00C13DAA">
          <w:rPr>
            <w:rStyle w:val="Hyperlink"/>
          </w:rPr>
          <w:t>https://www.stats.govt.nz/news/child-poverty-statistics-show-all-measures-trending-downwards-over-the-last-three-years</w:t>
        </w:r>
      </w:hyperlink>
      <w:r w:rsidR="00C13DAA">
        <w:t xml:space="preserve"> </w:t>
      </w:r>
    </w:p>
  </w:footnote>
  <w:footnote w:id="3">
    <w:p w14:paraId="03570A8A" w14:textId="77777777" w:rsidR="00E558AE" w:rsidRDefault="00E558AE" w:rsidP="00E558AE">
      <w:pPr>
        <w:pStyle w:val="FootnoteText"/>
      </w:pPr>
      <w:r>
        <w:rPr>
          <w:rStyle w:val="FootnoteReference"/>
        </w:rPr>
        <w:footnoteRef/>
      </w:r>
      <w:r>
        <w:t xml:space="preserve"> Retrieved from </w:t>
      </w:r>
      <w:hyperlink r:id="rId3" w:history="1">
        <w:r w:rsidRPr="00C6744F">
          <w:rPr>
            <w:rStyle w:val="Hyperlink"/>
          </w:rPr>
          <w:t>https://fairerfuture.org.nz/liveable-incomes-2022</w:t>
        </w:r>
      </w:hyperlink>
      <w:r>
        <w:t xml:space="preserve"> </w:t>
      </w:r>
    </w:p>
  </w:footnote>
  <w:footnote w:id="4">
    <w:p w14:paraId="03E9523D" w14:textId="59D92AE0" w:rsidR="00EB2E4B" w:rsidRDefault="00EB2E4B">
      <w:pPr>
        <w:pStyle w:val="FootnoteText"/>
      </w:pPr>
      <w:r>
        <w:rPr>
          <w:rStyle w:val="FootnoteReference"/>
        </w:rPr>
        <w:footnoteRef/>
      </w:r>
      <w:r>
        <w:t xml:space="preserve"> </w:t>
      </w:r>
      <w:r w:rsidR="00385434">
        <w:t xml:space="preserve">Retrieved from </w:t>
      </w:r>
      <w:hyperlink r:id="rId4" w:history="1">
        <w:r w:rsidR="00385434" w:rsidRPr="00C6744F">
          <w:rPr>
            <w:rStyle w:val="Hyperlink"/>
          </w:rPr>
          <w:t>https://www.stats.govt.nz/news/child-poverty-statistics-show-all-measures-trending-downwards-over-the-last-three-years</w:t>
        </w:r>
      </w:hyperlink>
      <w:r w:rsidR="00385434">
        <w:t xml:space="preserve"> </w:t>
      </w:r>
    </w:p>
  </w:footnote>
  <w:footnote w:id="5">
    <w:p w14:paraId="45E5DDF7" w14:textId="34C7DB31" w:rsidR="00BE2607" w:rsidRDefault="00BE2607">
      <w:pPr>
        <w:pStyle w:val="FootnoteText"/>
      </w:pPr>
      <w:r>
        <w:rPr>
          <w:rStyle w:val="FootnoteReference"/>
        </w:rPr>
        <w:footnoteRef/>
      </w:r>
      <w:r>
        <w:t xml:space="preserve"> Supplementary measure </w:t>
      </w:r>
      <w:r w:rsidR="0098541F">
        <w:t xml:space="preserve">‘g’, retrieved from </w:t>
      </w:r>
      <w:hyperlink r:id="rId5" w:history="1">
        <w:r w:rsidR="0098541F" w:rsidRPr="00C6744F">
          <w:rPr>
            <w:rStyle w:val="Hyperlink"/>
          </w:rPr>
          <w:t>https://www.stats.govt.nz/news/child-poverty-statistics-show-all-measures-trending-downwards-over-the-last-three-years</w:t>
        </w:r>
      </w:hyperlink>
      <w:r w:rsidR="0098541F">
        <w:t xml:space="preserve"> </w:t>
      </w:r>
    </w:p>
  </w:footnote>
  <w:footnote w:id="6">
    <w:p w14:paraId="19C43274" w14:textId="285678A3" w:rsidR="00385434" w:rsidRDefault="00385434">
      <w:pPr>
        <w:pStyle w:val="FootnoteText"/>
      </w:pPr>
      <w:r>
        <w:rPr>
          <w:rStyle w:val="FootnoteReference"/>
        </w:rPr>
        <w:footnoteRef/>
      </w:r>
      <w:r>
        <w:t xml:space="preserve"> Retrieved from </w:t>
      </w:r>
      <w:hyperlink r:id="rId6" w:history="1">
        <w:r w:rsidRPr="00C6744F">
          <w:rPr>
            <w:rStyle w:val="Hyperlink"/>
          </w:rPr>
          <w:t>https://fairerfuture.org.nz/liveable-incomes-2022</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765A"/>
    <w:multiLevelType w:val="multilevel"/>
    <w:tmpl w:val="734832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comments="0" w:insDel="0" w:formatting="0"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E4B"/>
    <w:rsid w:val="000C3CEC"/>
    <w:rsid w:val="001F7113"/>
    <w:rsid w:val="002051E0"/>
    <w:rsid w:val="00295A8D"/>
    <w:rsid w:val="002E7AA0"/>
    <w:rsid w:val="003577E3"/>
    <w:rsid w:val="00385434"/>
    <w:rsid w:val="00471E7D"/>
    <w:rsid w:val="005672F7"/>
    <w:rsid w:val="00576958"/>
    <w:rsid w:val="00613E25"/>
    <w:rsid w:val="0067646C"/>
    <w:rsid w:val="0068286E"/>
    <w:rsid w:val="00687C83"/>
    <w:rsid w:val="00727CF0"/>
    <w:rsid w:val="00740AEB"/>
    <w:rsid w:val="007E3ADE"/>
    <w:rsid w:val="008377D5"/>
    <w:rsid w:val="00894DF2"/>
    <w:rsid w:val="00931D6F"/>
    <w:rsid w:val="0098541F"/>
    <w:rsid w:val="00A157DB"/>
    <w:rsid w:val="00A8782B"/>
    <w:rsid w:val="00B00354"/>
    <w:rsid w:val="00BA7224"/>
    <w:rsid w:val="00BC76FB"/>
    <w:rsid w:val="00BE2607"/>
    <w:rsid w:val="00C13DAA"/>
    <w:rsid w:val="00CC353E"/>
    <w:rsid w:val="00D425E4"/>
    <w:rsid w:val="00DB1EFC"/>
    <w:rsid w:val="00E558AE"/>
    <w:rsid w:val="00E9255B"/>
    <w:rsid w:val="00EB2E4B"/>
    <w:rsid w:val="00F7356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A662"/>
  <w15:chartTrackingRefBased/>
  <w15:docId w15:val="{00855773-15AA-46B0-B1C9-EE5D7C8EF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EB2E4B"/>
    <w:pPr>
      <w:spacing w:after="0" w:line="240" w:lineRule="auto"/>
    </w:pPr>
  </w:style>
  <w:style w:type="paragraph" w:styleId="FootnoteText">
    <w:name w:val="footnote text"/>
    <w:basedOn w:val="Normal"/>
    <w:link w:val="FootnoteTextChar"/>
    <w:uiPriority w:val="99"/>
    <w:semiHidden/>
    <w:unhideWhenUsed/>
    <w:rsid w:val="00EB2E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2E4B"/>
    <w:rPr>
      <w:sz w:val="20"/>
      <w:szCs w:val="20"/>
    </w:rPr>
  </w:style>
  <w:style w:type="character" w:styleId="FootnoteReference">
    <w:name w:val="footnote reference"/>
    <w:basedOn w:val="DefaultParagraphFont"/>
    <w:uiPriority w:val="99"/>
    <w:semiHidden/>
    <w:unhideWhenUsed/>
    <w:rsid w:val="00EB2E4B"/>
    <w:rPr>
      <w:vertAlign w:val="superscript"/>
    </w:rPr>
  </w:style>
  <w:style w:type="character" w:styleId="Hyperlink">
    <w:name w:val="Hyperlink"/>
    <w:basedOn w:val="DefaultParagraphFont"/>
    <w:uiPriority w:val="99"/>
    <w:unhideWhenUsed/>
    <w:rsid w:val="00385434"/>
    <w:rPr>
      <w:color w:val="0563C1" w:themeColor="hyperlink"/>
      <w:u w:val="single"/>
    </w:rPr>
  </w:style>
  <w:style w:type="character" w:customStyle="1" w:styleId="UnresolvedMention">
    <w:name w:val="Unresolved Mention"/>
    <w:basedOn w:val="DefaultParagraphFont"/>
    <w:uiPriority w:val="99"/>
    <w:semiHidden/>
    <w:unhideWhenUsed/>
    <w:rsid w:val="00385434"/>
    <w:rPr>
      <w:color w:val="605E5C"/>
      <w:shd w:val="clear" w:color="auto" w:fill="E1DFDD"/>
    </w:rPr>
  </w:style>
  <w:style w:type="paragraph" w:customStyle="1" w:styleId="xmsolistparagraph">
    <w:name w:val="x_msolistparagraph"/>
    <w:basedOn w:val="Normal"/>
    <w:rsid w:val="00385434"/>
    <w:pPr>
      <w:spacing w:line="252" w:lineRule="auto"/>
      <w:ind w:left="720"/>
    </w:pPr>
    <w:rPr>
      <w:rFonts w:ascii="Calibri" w:hAnsi="Calibri" w:cs="Calibri"/>
      <w:lang w:eastAsia="en-NZ"/>
    </w:rPr>
  </w:style>
  <w:style w:type="paragraph" w:styleId="BalloonText">
    <w:name w:val="Balloon Text"/>
    <w:basedOn w:val="Normal"/>
    <w:link w:val="BalloonTextChar"/>
    <w:uiPriority w:val="99"/>
    <w:semiHidden/>
    <w:unhideWhenUsed/>
    <w:rsid w:val="00E925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5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cqui.southey@scnz.org.nz"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fairerfuture.org.nz/liveable-incomes-2022" TargetMode="External"/><Relationship Id="rId2" Type="http://schemas.openxmlformats.org/officeDocument/2006/relationships/hyperlink" Target="https://www.stats.govt.nz/news/child-poverty-statistics-show-all-measures-trending-downwards-over-the-last-three-years" TargetMode="External"/><Relationship Id="rId1" Type="http://schemas.openxmlformats.org/officeDocument/2006/relationships/hyperlink" Target="mailto:jacqui.southey@scnz.org.nz" TargetMode="External"/><Relationship Id="rId6" Type="http://schemas.openxmlformats.org/officeDocument/2006/relationships/hyperlink" Target="https://fairerfuture.org.nz/liveable-incomes-2022" TargetMode="External"/><Relationship Id="rId5" Type="http://schemas.openxmlformats.org/officeDocument/2006/relationships/hyperlink" Target="https://www.stats.govt.nz/news/child-poverty-statistics-show-all-measures-trending-downwards-over-the-last-three-years" TargetMode="External"/><Relationship Id="rId4" Type="http://schemas.openxmlformats.org/officeDocument/2006/relationships/hyperlink" Target="https://www.stats.govt.nz/news/child-poverty-statistics-show-all-measures-trending-downwards-over-the-last-three-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542F05-9883-47A0-9323-C78C77B172C3}">
  <ds:schemaRefs>
    <ds:schemaRef ds:uri="http://schemas.openxmlformats.org/officeDocument/2006/bibliography"/>
  </ds:schemaRefs>
</ds:datastoreItem>
</file>

<file path=customXml/itemProps2.xml><?xml version="1.0" encoding="utf-8"?>
<ds:datastoreItem xmlns:ds="http://schemas.openxmlformats.org/officeDocument/2006/customXml" ds:itemID="{2E71B78D-5991-49D0-8F37-B3F6D89458ED}"/>
</file>

<file path=customXml/itemProps3.xml><?xml version="1.0" encoding="utf-8"?>
<ds:datastoreItem xmlns:ds="http://schemas.openxmlformats.org/officeDocument/2006/customXml" ds:itemID="{1B2D6DD1-4C65-43A6-8FED-683201C4BB73}"/>
</file>

<file path=customXml/itemProps4.xml><?xml version="1.0" encoding="utf-8"?>
<ds:datastoreItem xmlns:ds="http://schemas.openxmlformats.org/officeDocument/2006/customXml" ds:itemID="{D31D1CFA-F142-401F-8BFF-96CFEC999158}"/>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3353</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Southey</dc:creator>
  <cp:keywords/>
  <dc:description/>
  <cp:lastModifiedBy>BOIT James</cp:lastModifiedBy>
  <cp:revision>2</cp:revision>
  <dcterms:created xsi:type="dcterms:W3CDTF">2022-09-23T14:36:00Z</dcterms:created>
  <dcterms:modified xsi:type="dcterms:W3CDTF">2022-09-23T14:36:00Z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