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3CEEB79E" w:rsidR="008120D1" w:rsidRDefault="008120D1" w:rsidP="007F7529">
      <w:pPr>
        <w:spacing w:after="120"/>
        <w:rPr>
          <w:rFonts w:asciiTheme="majorHAnsi" w:hAnsiTheme="majorHAnsi" w:cstheme="majorHAnsi"/>
          <w:b/>
          <w:sz w:val="34"/>
          <w:szCs w:val="34"/>
        </w:rPr>
      </w:pPr>
      <w:bookmarkStart w:id="0" w:name="_GoBack"/>
      <w:bookmarkEnd w:id="0"/>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7D5227">
        <w:rPr>
          <w:rFonts w:asciiTheme="majorHAnsi" w:hAnsiTheme="majorHAnsi" w:cstheme="majorHAnsi"/>
          <w:b/>
          <w:sz w:val="34"/>
          <w:szCs w:val="34"/>
          <w:u w:val="single"/>
        </w:rPr>
        <w:t>Jamaica</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11</w:t>
      </w:r>
      <w:r w:rsidR="00E64999" w:rsidRPr="00E64999">
        <w:rPr>
          <w:rFonts w:asciiTheme="majorHAnsi" w:hAnsiTheme="majorHAnsi" w:cstheme="majorHAnsi"/>
          <w:b/>
          <w:sz w:val="34"/>
          <w:szCs w:val="34"/>
          <w:vertAlign w:val="superscript"/>
        </w:rPr>
        <w:t>th</w:t>
      </w:r>
      <w:r w:rsidR="00E64999">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April</w:t>
      </w:r>
      <w:r w:rsidR="00A53A7A" w:rsidRPr="001119F0">
        <w:rPr>
          <w:rFonts w:asciiTheme="majorHAnsi" w:hAnsiTheme="majorHAnsi" w:cstheme="majorHAnsi"/>
          <w:b/>
          <w:sz w:val="34"/>
          <w:szCs w:val="34"/>
        </w:rPr>
        <w:t xml:space="preserve"> 201</w:t>
      </w:r>
      <w:r w:rsidR="00E64999">
        <w:rPr>
          <w:rFonts w:asciiTheme="majorHAnsi" w:hAnsiTheme="majorHAnsi" w:cstheme="majorHAnsi"/>
          <w:b/>
          <w:sz w:val="34"/>
          <w:szCs w:val="34"/>
        </w:rPr>
        <w:t>9</w:t>
      </w:r>
    </w:p>
    <w:p w14:paraId="4508A740" w14:textId="4100B367"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E95B06">
        <w:rPr>
          <w:rFonts w:asciiTheme="majorHAnsi" w:hAnsiTheme="majorHAnsi" w:cstheme="majorHAnsi"/>
        </w:rPr>
        <w:t>February</w:t>
      </w:r>
      <w:r w:rsidR="009B471D" w:rsidRPr="001119F0">
        <w:rPr>
          <w:rFonts w:asciiTheme="majorHAnsi" w:hAnsiTheme="majorHAnsi" w:cstheme="majorHAnsi"/>
        </w:rPr>
        <w:t xml:space="preserve"> 201</w:t>
      </w:r>
      <w:r w:rsidR="00E64999">
        <w:rPr>
          <w:rFonts w:asciiTheme="majorHAnsi" w:hAnsiTheme="majorHAnsi" w:cstheme="majorHAnsi"/>
        </w:rPr>
        <w:t>9</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2810F1">
          <w:rPr>
            <w:rStyle w:val="Hyperlink"/>
            <w:rFonts w:asciiTheme="majorHAnsi" w:hAnsiTheme="majorHAnsi" w:cstheme="majorHAnsi"/>
            <w:color w:val="0096A3"/>
          </w:rPr>
          <w:t>www.endcorporalpunishment.org</w:t>
        </w:r>
        <w:r w:rsidR="00716B5D" w:rsidRPr="002810F1">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2F528D">
        <w:rPr>
          <w:rFonts w:asciiTheme="majorHAnsi" w:hAnsiTheme="majorHAnsi" w:cstheme="majorHAnsi"/>
          <w:b/>
          <w:sz w:val="26"/>
          <w:szCs w:val="26"/>
        </w:rPr>
        <w:t>S</w:t>
      </w:r>
      <w:r w:rsidRPr="002F528D">
        <w:rPr>
          <w:rFonts w:asciiTheme="majorHAnsi" w:hAnsiTheme="majorHAnsi" w:cstheme="majorHAnsi"/>
          <w:b/>
          <w:sz w:val="26"/>
          <w:szCs w:val="26"/>
        </w:rPr>
        <w:t>ummary</w:t>
      </w:r>
    </w:p>
    <w:p w14:paraId="57CD7F46" w14:textId="60E50A1B"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lastRenderedPageBreak/>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2F528D">
        <w:rPr>
          <w:rFonts w:asciiTheme="majorHAnsi" w:hAnsiTheme="majorHAnsi" w:cstheme="majorHAnsi"/>
        </w:rPr>
        <w:t>Jamaica</w:t>
      </w:r>
      <w:r w:rsidR="005D45A4" w:rsidRPr="001119F0">
        <w:rPr>
          <w:rFonts w:asciiTheme="majorHAnsi" w:hAnsiTheme="majorHAnsi" w:cstheme="majorHAnsi"/>
        </w:rPr>
        <w:t xml:space="preserve"> </w:t>
      </w:r>
      <w:r w:rsidR="00106569" w:rsidRPr="001119F0">
        <w:rPr>
          <w:rFonts w:asciiTheme="majorHAnsi" w:hAnsiTheme="majorHAnsi" w:cstheme="majorHAnsi"/>
        </w:rPr>
        <w:t xml:space="preserve">is unlawful </w:t>
      </w:r>
      <w:r w:rsidR="00E42BCC" w:rsidRPr="001119F0">
        <w:rPr>
          <w:rFonts w:asciiTheme="majorHAnsi" w:hAnsiTheme="majorHAnsi" w:cstheme="majorHAnsi"/>
        </w:rPr>
        <w:t xml:space="preserve">in </w:t>
      </w:r>
      <w:r w:rsidR="002F528D">
        <w:rPr>
          <w:rFonts w:asciiTheme="majorHAnsi" w:hAnsiTheme="majorHAnsi" w:cstheme="majorHAnsi"/>
        </w:rPr>
        <w:t>alternative care</w:t>
      </w:r>
      <w:r w:rsidR="00301753">
        <w:rPr>
          <w:rFonts w:asciiTheme="majorHAnsi" w:hAnsiTheme="majorHAnsi" w:cstheme="majorHAnsi"/>
        </w:rPr>
        <w:t>, in some day care settings</w:t>
      </w:r>
      <w:r w:rsidR="002F528D">
        <w:rPr>
          <w:rFonts w:asciiTheme="majorHAnsi" w:hAnsiTheme="majorHAnsi" w:cstheme="majorHAnsi"/>
        </w:rPr>
        <w:t xml:space="preserve"> and in the penal system</w:t>
      </w:r>
      <w:r w:rsidR="00BB1960">
        <w:rPr>
          <w:rFonts w:asciiTheme="majorHAnsi" w:hAnsiTheme="majorHAnsi" w:cstheme="majorHAnsi"/>
        </w:rPr>
        <w:t xml:space="preserve">, </w:t>
      </w:r>
      <w:r w:rsidR="00106569" w:rsidRPr="001119F0">
        <w:rPr>
          <w:rFonts w:asciiTheme="majorHAnsi" w:hAnsiTheme="majorHAnsi" w:cstheme="majorHAnsi"/>
        </w:rPr>
        <w:t xml:space="preserve">but it is not yet </w:t>
      </w:r>
      <w:r w:rsidR="001B7D95" w:rsidRPr="001119F0">
        <w:rPr>
          <w:rFonts w:asciiTheme="majorHAnsi" w:hAnsiTheme="majorHAnsi" w:cstheme="majorHAnsi"/>
        </w:rPr>
        <w:t xml:space="preserve">fully </w:t>
      </w:r>
      <w:r w:rsidR="00106569" w:rsidRPr="001119F0">
        <w:rPr>
          <w:rFonts w:asciiTheme="majorHAnsi" w:hAnsiTheme="majorHAnsi" w:cstheme="majorHAnsi"/>
        </w:rPr>
        <w:t xml:space="preserve">prohibited </w:t>
      </w:r>
      <w:r w:rsidR="00B05968" w:rsidRPr="001119F0">
        <w:rPr>
          <w:rFonts w:asciiTheme="majorHAnsi" w:hAnsiTheme="majorHAnsi" w:cstheme="majorHAnsi"/>
        </w:rPr>
        <w:t xml:space="preserve">in </w:t>
      </w:r>
      <w:r w:rsidR="002F528D">
        <w:rPr>
          <w:rFonts w:asciiTheme="majorHAnsi" w:hAnsiTheme="majorHAnsi" w:cstheme="majorHAnsi"/>
        </w:rPr>
        <w:t xml:space="preserve">the home, in day care </w:t>
      </w:r>
      <w:r w:rsidR="00301753">
        <w:rPr>
          <w:rFonts w:asciiTheme="majorHAnsi" w:hAnsiTheme="majorHAnsi" w:cstheme="majorHAnsi"/>
        </w:rPr>
        <w:t>for children aged six and over,</w:t>
      </w:r>
      <w:r w:rsidR="002F528D">
        <w:rPr>
          <w:rFonts w:asciiTheme="majorHAnsi" w:hAnsiTheme="majorHAnsi" w:cstheme="majorHAnsi"/>
        </w:rPr>
        <w:t xml:space="preserve"> and in schools</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w:t>
      </w:r>
    </w:p>
    <w:p w14:paraId="79D69036" w14:textId="75095961" w:rsidR="004D7A67"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 Persons with Disabilities will:</w:t>
      </w:r>
    </w:p>
    <w:p w14:paraId="7B48E400" w14:textId="5501DAF0" w:rsidR="007F7529" w:rsidRPr="001119F0" w:rsidRDefault="007F7529" w:rsidP="00521973">
      <w:pPr>
        <w:numPr>
          <w:ilvl w:val="0"/>
          <w:numId w:val="6"/>
        </w:numPr>
        <w:spacing w:after="120"/>
        <w:rPr>
          <w:rFonts w:asciiTheme="majorHAnsi" w:hAnsiTheme="majorHAnsi" w:cstheme="majorHAnsi"/>
          <w:iCs/>
        </w:rPr>
      </w:pPr>
      <w:r w:rsidRPr="001119F0">
        <w:rPr>
          <w:rFonts w:asciiTheme="majorHAnsi" w:hAnsiTheme="majorHAnsi" w:cstheme="majorHAnsi"/>
          <w:iCs/>
        </w:rPr>
        <w:t>include the issue of corporal puni</w:t>
      </w:r>
      <w:r w:rsidR="00B05968" w:rsidRPr="001119F0">
        <w:rPr>
          <w:rFonts w:asciiTheme="majorHAnsi" w:hAnsiTheme="majorHAnsi" w:cstheme="majorHAnsi"/>
          <w:iCs/>
        </w:rPr>
        <w:t>shment in its List of Issues</w:t>
      </w:r>
      <w:r w:rsidR="005F2E16" w:rsidRPr="001119F0">
        <w:rPr>
          <w:rFonts w:asciiTheme="majorHAnsi" w:hAnsiTheme="majorHAnsi" w:cstheme="majorHAnsi"/>
          <w:iCs/>
        </w:rPr>
        <w:t xml:space="preserve"> for</w:t>
      </w:r>
      <w:r w:rsidR="00B05968" w:rsidRPr="001119F0">
        <w:rPr>
          <w:rFonts w:asciiTheme="majorHAnsi" w:hAnsiTheme="majorHAnsi" w:cstheme="majorHAnsi"/>
          <w:iCs/>
        </w:rPr>
        <w:t xml:space="preserve"> </w:t>
      </w:r>
      <w:r w:rsidR="002F528D">
        <w:rPr>
          <w:rFonts w:asciiTheme="majorHAnsi" w:hAnsiTheme="majorHAnsi" w:cstheme="majorHAnsi"/>
          <w:iCs/>
        </w:rPr>
        <w:t>Jamaica</w:t>
      </w:r>
      <w:r w:rsidRPr="001119F0">
        <w:rPr>
          <w:rFonts w:asciiTheme="majorHAnsi" w:hAnsiTheme="majorHAnsi" w:cstheme="majorHAnsi"/>
          <w:iCs/>
        </w:rPr>
        <w:t>, in particular asking</w:t>
      </w:r>
      <w:r w:rsidR="00DC20AE" w:rsidRPr="001119F0">
        <w:rPr>
          <w:rFonts w:asciiTheme="majorHAnsi" w:hAnsiTheme="majorHAnsi" w:cstheme="majorHAnsi"/>
          <w:iCs/>
        </w:rPr>
        <w:t>:</w:t>
      </w:r>
      <w:r w:rsidRPr="001119F0">
        <w:rPr>
          <w:rFonts w:asciiTheme="majorHAnsi" w:hAnsiTheme="majorHAnsi" w:cstheme="majorHAnsi"/>
          <w:iCs/>
        </w:rPr>
        <w:t xml:space="preserve"> </w:t>
      </w:r>
      <w:r w:rsidR="00DC20AE" w:rsidRPr="001119F0">
        <w:rPr>
          <w:rFonts w:asciiTheme="majorHAnsi" w:hAnsiTheme="majorHAnsi" w:cstheme="majorHAnsi"/>
          <w:iCs/>
        </w:rPr>
        <w:t>“</w:t>
      </w:r>
      <w:r w:rsidR="00B7483C" w:rsidRPr="001119F0">
        <w:rPr>
          <w:rFonts w:asciiTheme="majorHAnsi" w:hAnsiTheme="majorHAnsi" w:cstheme="majorHAnsi"/>
          <w:b/>
          <w:iCs/>
        </w:rPr>
        <w:t xml:space="preserve">what </w:t>
      </w:r>
      <w:r w:rsidR="00BB1960">
        <w:rPr>
          <w:rFonts w:asciiTheme="majorHAnsi" w:hAnsiTheme="majorHAnsi" w:cstheme="majorHAnsi"/>
          <w:b/>
          <w:iCs/>
        </w:rPr>
        <w:t>progress is being made on enacting legislation prohibiting all corporal punishment o</w:t>
      </w:r>
      <w:r w:rsidR="00D27EAE">
        <w:rPr>
          <w:rFonts w:asciiTheme="majorHAnsi" w:hAnsiTheme="majorHAnsi" w:cstheme="majorHAnsi"/>
          <w:b/>
          <w:iCs/>
        </w:rPr>
        <w:t>f children,</w:t>
      </w:r>
      <w:r w:rsidR="00BB1960">
        <w:rPr>
          <w:rFonts w:asciiTheme="majorHAnsi" w:hAnsiTheme="majorHAnsi" w:cstheme="majorHAnsi"/>
          <w:b/>
          <w:iCs/>
        </w:rPr>
        <w:t xml:space="preserve"> including in the home</w:t>
      </w:r>
      <w:r w:rsidR="00B7483C" w:rsidRPr="001119F0">
        <w:rPr>
          <w:rFonts w:asciiTheme="majorHAnsi" w:hAnsiTheme="majorHAnsi" w:cstheme="majorHAnsi"/>
          <w:b/>
          <w:iCs/>
        </w:rPr>
        <w:t>?</w:t>
      </w:r>
      <w:r w:rsidR="00B7483C" w:rsidRPr="001119F0">
        <w:rPr>
          <w:rFonts w:asciiTheme="majorHAnsi" w:hAnsiTheme="majorHAnsi" w:cstheme="majorHAnsi"/>
          <w:iCs/>
        </w:rPr>
        <w:t>”</w:t>
      </w:r>
    </w:p>
    <w:p w14:paraId="4FA79421" w14:textId="3C42D543" w:rsidR="00E4774B" w:rsidRPr="001119F0" w:rsidRDefault="00E4774B" w:rsidP="007A21C3">
      <w:pPr>
        <w:numPr>
          <w:ilvl w:val="0"/>
          <w:numId w:val="6"/>
        </w:numPr>
        <w:spacing w:after="120"/>
        <w:rPr>
          <w:rFonts w:asciiTheme="majorHAnsi" w:hAnsiTheme="majorHAnsi" w:cstheme="majorHAnsi"/>
          <w:iCs/>
        </w:rPr>
      </w:pPr>
      <w:r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2F528D">
        <w:rPr>
          <w:rFonts w:asciiTheme="majorHAnsi" w:hAnsiTheme="majorHAnsi" w:cstheme="majorHAnsi"/>
          <w:iCs/>
        </w:rPr>
        <w:t>Jamaica</w:t>
      </w:r>
      <w:r w:rsidR="007F7529" w:rsidRPr="001119F0">
        <w:rPr>
          <w:rFonts w:asciiTheme="majorHAnsi" w:hAnsiTheme="majorHAnsi" w:cstheme="majorHAnsi"/>
          <w:iCs/>
        </w:rPr>
        <w:t xml:space="preserve">, in the Committee’s concluding observations on the </w:t>
      </w:r>
      <w:r w:rsidR="00BC6C90" w:rsidRPr="001119F0">
        <w:rPr>
          <w:rFonts w:asciiTheme="majorHAnsi" w:hAnsiTheme="majorHAnsi" w:cstheme="majorHAnsi"/>
          <w:iCs/>
        </w:rPr>
        <w:t>initial</w:t>
      </w:r>
      <w:r w:rsidR="00833827"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521973" w:rsidRPr="001119F0">
        <w:rPr>
          <w:rFonts w:asciiTheme="majorHAnsi" w:hAnsiTheme="majorHAnsi" w:cstheme="majorHAnsi"/>
          <w:b/>
          <w:iCs/>
        </w:rPr>
        <w:t>an explicit prohibition of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2810F1">
        <w:rPr>
          <w:rFonts w:asciiTheme="majorHAnsi" w:hAnsiTheme="majorHAnsi" w:cstheme="majorHAnsi"/>
          <w:b/>
          <w:iCs/>
        </w:rPr>
        <w:t xml:space="preserve"> and</w:t>
      </w:r>
      <w:r w:rsidR="00DF42D1" w:rsidRPr="001119F0">
        <w:rPr>
          <w:rFonts w:asciiTheme="majorHAnsi" w:hAnsiTheme="majorHAnsi" w:cstheme="majorHAnsi"/>
          <w:b/>
          <w:iCs/>
        </w:rPr>
        <w:t xml:space="preserve"> in all settings</w:t>
      </w:r>
      <w:r w:rsidR="00D27EAE">
        <w:rPr>
          <w:rFonts w:asciiTheme="majorHAnsi" w:hAnsiTheme="majorHAnsi" w:cstheme="majorHAnsi"/>
          <w:b/>
          <w:iCs/>
        </w:rPr>
        <w:t xml:space="preserve"> </w:t>
      </w:r>
      <w:r w:rsidR="002F528D">
        <w:rPr>
          <w:rFonts w:asciiTheme="majorHAnsi" w:hAnsiTheme="majorHAnsi" w:cstheme="majorHAnsi"/>
          <w:b/>
          <w:iCs/>
        </w:rPr>
        <w:t>including the home</w:t>
      </w:r>
      <w:r w:rsidR="00521973" w:rsidRPr="001119F0">
        <w:rPr>
          <w:rFonts w:asciiTheme="majorHAnsi" w:hAnsiTheme="majorHAnsi" w:cstheme="majorHAnsi"/>
          <w:b/>
          <w:iCs/>
        </w:rPr>
        <w:t xml:space="preserve">, </w:t>
      </w:r>
      <w:r w:rsidR="00DF42D1" w:rsidRPr="001119F0">
        <w:rPr>
          <w:rFonts w:asciiTheme="majorHAnsi" w:hAnsiTheme="majorHAnsi" w:cstheme="majorHAnsi"/>
          <w:b/>
          <w:iCs/>
        </w:rPr>
        <w:t xml:space="preserve">is </w:t>
      </w:r>
      <w:r w:rsidR="002E2D70" w:rsidRPr="001119F0">
        <w:rPr>
          <w:rFonts w:asciiTheme="majorHAnsi" w:hAnsiTheme="majorHAnsi" w:cstheme="majorHAnsi"/>
          <w:b/>
          <w:iCs/>
        </w:rPr>
        <w:t>drafted and enacted as a matter of priority</w:t>
      </w:r>
      <w:r w:rsidR="00DF42D1"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00833827"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lastRenderedPageBreak/>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69BC4F98"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1B2F6E">
        <w:rPr>
          <w:rFonts w:asciiTheme="majorHAnsi" w:hAnsiTheme="majorHAnsi" w:cstheme="majorHAnsi"/>
        </w:rPr>
        <w:t>Despite this obligation</w:t>
      </w:r>
      <w:r w:rsidR="001B2F6E" w:rsidRPr="00D27EAE">
        <w:rPr>
          <w:rFonts w:asciiTheme="majorHAnsi" w:hAnsiTheme="majorHAnsi" w:cstheme="majorHAnsi"/>
        </w:rPr>
        <w:t xml:space="preserve">, </w:t>
      </w:r>
      <w:r w:rsidR="00C53B1C">
        <w:rPr>
          <w:rFonts w:asciiTheme="majorHAnsi" w:hAnsiTheme="majorHAnsi" w:cstheme="majorHAnsi"/>
        </w:rPr>
        <w:t>Jamaica’s</w:t>
      </w:r>
      <w:r w:rsidR="001B2F6E" w:rsidRPr="00D27EAE">
        <w:rPr>
          <w:rFonts w:asciiTheme="majorHAnsi" w:hAnsiTheme="majorHAnsi" w:cstheme="majorHAnsi"/>
        </w:rPr>
        <w:t xml:space="preserve"> initial state report does not address corporal punishment of children.</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1"/>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w:t>
      </w:r>
      <w:r w:rsidR="007F7529" w:rsidRPr="001119F0">
        <w:rPr>
          <w:rFonts w:asciiTheme="majorHAnsi" w:hAnsiTheme="majorHAnsi" w:cstheme="majorHAnsi"/>
        </w:rPr>
        <w:lastRenderedPageBreak/>
        <w:t xml:space="preserve">“right”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5FB3DDE"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t>6</w:t>
      </w:r>
      <w:r w:rsidR="00E511FD" w:rsidRPr="001119F0">
        <w:rPr>
          <w:rFonts w:asciiTheme="majorHAnsi" w:hAnsiTheme="majorHAnsi" w:cstheme="majorHAnsi"/>
        </w:rPr>
        <w:t xml:space="preserve">. The </w:t>
      </w:r>
      <w:r w:rsidR="004866EF">
        <w:rPr>
          <w:rFonts w:asciiTheme="majorHAnsi" w:hAnsiTheme="majorHAnsi" w:cstheme="majorHAnsi"/>
        </w:rPr>
        <w:t>2030</w:t>
      </w:r>
      <w:r w:rsidR="00E511FD" w:rsidRPr="001119F0">
        <w:rPr>
          <w:rFonts w:asciiTheme="majorHAnsi" w:hAnsiTheme="majorHAnsi" w:cstheme="majorHAnsi"/>
        </w:rPr>
        <w:t xml:space="preserve"> Sustainable Development Goals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0DA8EA0C"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312D2C">
        <w:rPr>
          <w:rFonts w:asciiTheme="majorHAnsi" w:hAnsiTheme="majorHAnsi" w:cstheme="majorHAnsi"/>
          <w:sz w:val="26"/>
          <w:szCs w:val="26"/>
          <w:lang w:val="en-GB"/>
        </w:rPr>
        <w:t>Jamaica</w:t>
      </w:r>
    </w:p>
    <w:p w14:paraId="610CF94D" w14:textId="31EC90EB"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E2521E">
        <w:rPr>
          <w:rFonts w:asciiTheme="majorHAnsi" w:hAnsiTheme="majorHAnsi" w:cstheme="majorHAnsi"/>
        </w:rPr>
        <w:t>Jamaica</w:t>
      </w:r>
      <w:r w:rsidR="004866EF" w:rsidRPr="004866EF">
        <w:rPr>
          <w:rFonts w:asciiTheme="majorHAnsi" w:hAnsiTheme="majorHAnsi" w:cstheme="majorHAnsi"/>
        </w:rPr>
        <w:t xml:space="preserve">, corporal punishment of children is unlawful in </w:t>
      </w:r>
      <w:r w:rsidR="00E2521E">
        <w:rPr>
          <w:rFonts w:asciiTheme="majorHAnsi" w:hAnsiTheme="majorHAnsi" w:cstheme="majorHAnsi"/>
        </w:rPr>
        <w:t>alternative care settings</w:t>
      </w:r>
      <w:r w:rsidR="00301753">
        <w:rPr>
          <w:rFonts w:asciiTheme="majorHAnsi" w:hAnsiTheme="majorHAnsi" w:cstheme="majorHAnsi"/>
        </w:rPr>
        <w:t>, in early childhood institutions</w:t>
      </w:r>
      <w:r w:rsidR="00E2521E">
        <w:rPr>
          <w:rFonts w:asciiTheme="majorHAnsi" w:hAnsiTheme="majorHAnsi" w:cstheme="majorHAnsi"/>
        </w:rPr>
        <w:t xml:space="preserve"> and in the penal system</w:t>
      </w:r>
      <w:r w:rsidR="00284C98">
        <w:rPr>
          <w:rFonts w:asciiTheme="majorHAnsi" w:hAnsiTheme="majorHAnsi" w:cstheme="majorHAnsi"/>
        </w:rPr>
        <w:t xml:space="preserve"> but it </w:t>
      </w:r>
      <w:r w:rsidR="004866EF" w:rsidRPr="004866EF">
        <w:rPr>
          <w:rFonts w:asciiTheme="majorHAnsi" w:hAnsiTheme="majorHAnsi" w:cstheme="majorHAnsi"/>
        </w:rPr>
        <w:t xml:space="preserve">is still lawful in </w:t>
      </w:r>
      <w:r w:rsidR="00284C98">
        <w:rPr>
          <w:rFonts w:asciiTheme="majorHAnsi" w:hAnsiTheme="majorHAnsi" w:cstheme="majorHAnsi"/>
        </w:rPr>
        <w:t>the home</w:t>
      </w:r>
      <w:r w:rsidR="00E2521E">
        <w:rPr>
          <w:rFonts w:asciiTheme="majorHAnsi" w:hAnsiTheme="majorHAnsi" w:cstheme="majorHAnsi"/>
        </w:rPr>
        <w:t xml:space="preserve">, in </w:t>
      </w:r>
      <w:r w:rsidR="00301753">
        <w:rPr>
          <w:rFonts w:asciiTheme="majorHAnsi" w:hAnsiTheme="majorHAnsi" w:cstheme="majorHAnsi"/>
        </w:rPr>
        <w:t>other</w:t>
      </w:r>
      <w:r w:rsidR="00E2521E">
        <w:rPr>
          <w:rFonts w:asciiTheme="majorHAnsi" w:hAnsiTheme="majorHAnsi" w:cstheme="majorHAnsi"/>
        </w:rPr>
        <w:t xml:space="preserve"> day care settings and most schools</w:t>
      </w:r>
      <w:r w:rsidR="00284C98">
        <w:rPr>
          <w:rFonts w:asciiTheme="majorHAnsi" w:hAnsiTheme="majorHAnsi" w:cstheme="majorHAnsi"/>
        </w:rPr>
        <w:t>.</w:t>
      </w:r>
    </w:p>
    <w:p w14:paraId="18127C3E" w14:textId="5E77B192" w:rsidR="00312D2C" w:rsidRPr="00312D2C" w:rsidRDefault="00620321" w:rsidP="00312D2C">
      <w:pPr>
        <w:autoSpaceDE w:val="0"/>
        <w:autoSpaceDN w:val="0"/>
        <w:adjustRightInd w:val="0"/>
        <w:spacing w:after="120"/>
        <w:rPr>
          <w:rFonts w:asciiTheme="majorHAnsi" w:hAnsiTheme="majorHAnsi" w:cstheme="majorHAnsi"/>
          <w:iCs/>
        </w:rPr>
      </w:pPr>
      <w:r w:rsidRPr="001119F0">
        <w:rPr>
          <w:rFonts w:asciiTheme="majorHAnsi" w:hAnsiTheme="majorHAnsi" w:cstheme="majorHAnsi"/>
        </w:rPr>
        <w:t xml:space="preserve">8. </w:t>
      </w:r>
      <w:r w:rsidRPr="001119F0">
        <w:rPr>
          <w:rFonts w:asciiTheme="majorHAnsi" w:hAnsiTheme="majorHAnsi" w:cstheme="majorHAnsi"/>
          <w:i/>
        </w:rPr>
        <w:t>Corporal punishment is lawful in the home</w:t>
      </w:r>
      <w:r w:rsidR="00312D2C">
        <w:rPr>
          <w:rFonts w:asciiTheme="majorHAnsi" w:hAnsiTheme="majorHAnsi" w:cstheme="majorHAnsi"/>
          <w:iCs/>
        </w:rPr>
        <w:t xml:space="preserve"> </w:t>
      </w:r>
      <w:r w:rsidR="00312D2C" w:rsidRPr="00312D2C">
        <w:rPr>
          <w:rFonts w:asciiTheme="majorHAnsi" w:hAnsiTheme="majorHAnsi" w:cstheme="majorHAnsi"/>
          <w:iCs/>
        </w:rPr>
        <w:t xml:space="preserve">under the common law right to inflict “reasonable and moderate” punishment. Article 9 of the Child Care and Protection Act 2004 punishes “cruelty to children”, including assault and physical or mental ill-treatment “in a manner likely to cause that child unnecessary suffering or injury to health”, but it does not prohibit all corporal punishment and allows by inference the infliction of “necessary” suffering. Provisions against violence and abuse in the Offences Against the Person Act 1864, the Domestic Violence Act 1996 and the Constitution 1962 and its Charter of Fundamental Rights and Freedoms 2011 are not interpreted as prohibiting corporal punishment in childrearing. In 2012, Parliament passed the National Parenting </w:t>
      </w:r>
      <w:r w:rsidR="00312D2C" w:rsidRPr="00312D2C">
        <w:rPr>
          <w:rFonts w:asciiTheme="majorHAnsi" w:hAnsiTheme="majorHAnsi" w:cstheme="majorHAnsi"/>
          <w:iCs/>
        </w:rPr>
        <w:lastRenderedPageBreak/>
        <w:t>Support Commission Act 2012, which aims to support implementation of the National Parenting Policy. The Act does not prohibit corporal punishment in childrearing: we have yet to establish whether or not the issue is addressed in the National Parenting Policy.</w:t>
      </w:r>
    </w:p>
    <w:p w14:paraId="18351CBC" w14:textId="304370F7" w:rsidR="00312D2C" w:rsidRPr="00312D2C" w:rsidRDefault="00B8457E" w:rsidP="00312D2C">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9. </w:t>
      </w:r>
      <w:r w:rsidR="00312D2C" w:rsidRPr="00312D2C">
        <w:rPr>
          <w:rFonts w:asciiTheme="majorHAnsi" w:hAnsiTheme="majorHAnsi" w:cstheme="majorHAnsi"/>
          <w:iCs/>
        </w:rPr>
        <w:t xml:space="preserve">The Child Care and Protection Act 2004 is being reviewed. In December 2013, a draft “Policy to Amend the CCPA” was issued which includes an analysis of “gaps and anomalies” </w:t>
      </w:r>
      <w:r>
        <w:rPr>
          <w:rFonts w:asciiTheme="majorHAnsi" w:hAnsiTheme="majorHAnsi" w:cstheme="majorHAnsi"/>
          <w:iCs/>
        </w:rPr>
        <w:t>in the Act. The draft identified</w:t>
      </w:r>
      <w:r w:rsidR="00312D2C" w:rsidRPr="00312D2C">
        <w:rPr>
          <w:rFonts w:asciiTheme="majorHAnsi" w:hAnsiTheme="majorHAnsi" w:cstheme="majorHAnsi"/>
          <w:iCs/>
        </w:rPr>
        <w:t xml:space="preserve"> article 9 as the key provision on cruelty to children but </w:t>
      </w:r>
      <w:r>
        <w:rPr>
          <w:rFonts w:asciiTheme="majorHAnsi" w:hAnsiTheme="majorHAnsi" w:cstheme="majorHAnsi"/>
          <w:iCs/>
        </w:rPr>
        <w:t>did</w:t>
      </w:r>
      <w:r w:rsidR="00312D2C" w:rsidRPr="00312D2C">
        <w:rPr>
          <w:rFonts w:asciiTheme="majorHAnsi" w:hAnsiTheme="majorHAnsi" w:cstheme="majorHAnsi"/>
          <w:iCs/>
        </w:rPr>
        <w:t xml:space="preserve"> not identify any shortcomings in this provision and makes no recommendations for its amendment.</w:t>
      </w:r>
      <w:r w:rsidR="00312D2C" w:rsidRPr="00312D2C">
        <w:rPr>
          <w:rFonts w:asciiTheme="majorHAnsi" w:hAnsiTheme="majorHAnsi" w:cstheme="majorHAnsi"/>
          <w:iCs/>
          <w:vertAlign w:val="superscript"/>
        </w:rPr>
        <w:footnoteReference w:id="2"/>
      </w:r>
      <w:r w:rsidR="00312D2C" w:rsidRPr="00312D2C">
        <w:rPr>
          <w:rFonts w:asciiTheme="majorHAnsi" w:hAnsiTheme="majorHAnsi" w:cstheme="majorHAnsi"/>
          <w:iCs/>
        </w:rPr>
        <w:t xml:space="preserve"> A Parliamentary Joint Select Committee </w:t>
      </w:r>
      <w:r>
        <w:rPr>
          <w:rFonts w:asciiTheme="majorHAnsi" w:hAnsiTheme="majorHAnsi" w:cstheme="majorHAnsi"/>
          <w:iCs/>
        </w:rPr>
        <w:t>was</w:t>
      </w:r>
      <w:r w:rsidR="00312D2C" w:rsidRPr="00312D2C">
        <w:rPr>
          <w:rFonts w:asciiTheme="majorHAnsi" w:hAnsiTheme="majorHAnsi" w:cstheme="majorHAnsi"/>
          <w:iCs/>
        </w:rPr>
        <w:t xml:space="preserve"> appointed to review the Act (and other laws): it commenced work in September 2014 and received a detailed submission from the Office of the Children’s Advocate which included the issue of prohibition of corporal punishment in all settings; the Ministry of Youth and Culture, together with the Child Development Agency, has also reviewed the Act.</w:t>
      </w:r>
      <w:r w:rsidR="00312D2C" w:rsidRPr="00312D2C">
        <w:rPr>
          <w:rFonts w:asciiTheme="majorHAnsi" w:hAnsiTheme="majorHAnsi" w:cstheme="majorHAnsi"/>
          <w:iCs/>
          <w:vertAlign w:val="superscript"/>
        </w:rPr>
        <w:footnoteReference w:id="3"/>
      </w:r>
      <w:r w:rsidR="00312D2C" w:rsidRPr="00312D2C">
        <w:rPr>
          <w:rFonts w:asciiTheme="majorHAnsi" w:hAnsiTheme="majorHAnsi" w:cstheme="majorHAnsi"/>
          <w:iCs/>
        </w:rPr>
        <w:t xml:space="preserve"> Following national consultation on amendments to the Child Care and Protection Act, it </w:t>
      </w:r>
      <w:r>
        <w:rPr>
          <w:rFonts w:asciiTheme="majorHAnsi" w:hAnsiTheme="majorHAnsi" w:cstheme="majorHAnsi"/>
          <w:iCs/>
        </w:rPr>
        <w:t>was</w:t>
      </w:r>
      <w:r w:rsidR="00312D2C" w:rsidRPr="00312D2C">
        <w:rPr>
          <w:rFonts w:asciiTheme="majorHAnsi" w:hAnsiTheme="majorHAnsi" w:cstheme="majorHAnsi"/>
          <w:iCs/>
        </w:rPr>
        <w:t xml:space="preserve"> recommended that corporal punishment is prohibited in all education settings before being prohibited in the home.</w:t>
      </w:r>
      <w:r w:rsidR="00312D2C" w:rsidRPr="00312D2C">
        <w:rPr>
          <w:rFonts w:asciiTheme="majorHAnsi" w:hAnsiTheme="majorHAnsi" w:cstheme="majorHAnsi"/>
          <w:iCs/>
          <w:vertAlign w:val="superscript"/>
        </w:rPr>
        <w:footnoteReference w:id="4"/>
      </w:r>
      <w:r w:rsidR="00312D2C" w:rsidRPr="00312D2C">
        <w:rPr>
          <w:rFonts w:asciiTheme="majorHAnsi" w:hAnsiTheme="majorHAnsi" w:cstheme="majorHAnsi"/>
          <w:iCs/>
        </w:rPr>
        <w:t xml:space="preserve"> As at January 2015, the proposed recommendations to the Act were before the Cabinet.</w:t>
      </w:r>
      <w:r w:rsidR="00312D2C" w:rsidRPr="00312D2C">
        <w:rPr>
          <w:rFonts w:asciiTheme="majorHAnsi" w:hAnsiTheme="majorHAnsi" w:cstheme="majorHAnsi"/>
          <w:iCs/>
          <w:vertAlign w:val="superscript"/>
        </w:rPr>
        <w:footnoteReference w:id="5"/>
      </w:r>
      <w:r w:rsidR="00312D2C" w:rsidRPr="00312D2C">
        <w:rPr>
          <w:rFonts w:asciiTheme="majorHAnsi" w:hAnsiTheme="majorHAnsi" w:cstheme="majorHAnsi"/>
          <w:iCs/>
        </w:rPr>
        <w:t xml:space="preserve"> The Offences Against the Person Act and the Domestic Violence Act are </w:t>
      </w:r>
      <w:r w:rsidR="00312D2C" w:rsidRPr="00312D2C">
        <w:rPr>
          <w:rFonts w:asciiTheme="majorHAnsi" w:hAnsiTheme="majorHAnsi" w:cstheme="majorHAnsi"/>
          <w:iCs/>
        </w:rPr>
        <w:lastRenderedPageBreak/>
        <w:t>also under review.</w:t>
      </w:r>
      <w:r w:rsidR="00312D2C" w:rsidRPr="00312D2C">
        <w:rPr>
          <w:rFonts w:asciiTheme="majorHAnsi" w:hAnsiTheme="majorHAnsi" w:cstheme="majorHAnsi"/>
          <w:iCs/>
          <w:vertAlign w:val="superscript"/>
        </w:rPr>
        <w:footnoteReference w:id="6"/>
      </w:r>
      <w:r w:rsidR="00312D2C" w:rsidRPr="00312D2C">
        <w:rPr>
          <w:rFonts w:asciiTheme="majorHAnsi" w:hAnsiTheme="majorHAnsi" w:cstheme="majorHAnsi"/>
          <w:iCs/>
        </w:rPr>
        <w:t xml:space="preserve"> But in May 2015 Youth and Culture Minister Lisa Hanna reportedly stated that despite calls from the UN Committee on the Rights of the Child to prohibit all corporal punishment, no action would be taken until the issue “is completely ventilated through public discourse”.</w:t>
      </w:r>
      <w:r w:rsidR="00312D2C" w:rsidRPr="00312D2C">
        <w:rPr>
          <w:rFonts w:asciiTheme="majorHAnsi" w:hAnsiTheme="majorHAnsi" w:cstheme="majorHAnsi"/>
          <w:iCs/>
          <w:vertAlign w:val="superscript"/>
        </w:rPr>
        <w:footnoteReference w:id="7"/>
      </w:r>
    </w:p>
    <w:p w14:paraId="5B3F8829" w14:textId="0D99E2D9" w:rsidR="00312D2C" w:rsidRDefault="00B8457E" w:rsidP="00312D2C">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10. </w:t>
      </w:r>
      <w:r w:rsidR="00312D2C" w:rsidRPr="00312D2C">
        <w:rPr>
          <w:rFonts w:asciiTheme="majorHAnsi" w:hAnsiTheme="majorHAnsi" w:cstheme="majorHAnsi"/>
          <w:iCs/>
        </w:rPr>
        <w:t>In reporting to the Universal Periodic Review of Jamaica in 2015, the Government stated that prohibition of corporal punishment “is a culturally sensitive issue that is under consideration, and no definitive position has been taken on that matter”.</w:t>
      </w:r>
      <w:r w:rsidR="00312D2C" w:rsidRPr="00312D2C">
        <w:rPr>
          <w:rFonts w:asciiTheme="majorHAnsi" w:hAnsiTheme="majorHAnsi" w:cstheme="majorHAnsi"/>
          <w:iCs/>
          <w:vertAlign w:val="superscript"/>
        </w:rPr>
        <w:footnoteReference w:id="8"/>
      </w:r>
      <w:r w:rsidR="00312D2C" w:rsidRPr="00312D2C">
        <w:rPr>
          <w:rFonts w:asciiTheme="majorHAnsi" w:hAnsiTheme="majorHAnsi" w:cstheme="majorHAnsi"/>
          <w:iCs/>
        </w:rPr>
        <w:t xml:space="preserve"> The Government went on to reject recommendations to prohibit corporal punishment in all settings including the home (see below).</w:t>
      </w:r>
      <w:r w:rsidR="00312D2C" w:rsidRPr="00312D2C">
        <w:rPr>
          <w:rFonts w:asciiTheme="majorHAnsi" w:hAnsiTheme="majorHAnsi" w:cstheme="majorHAnsi"/>
          <w:iCs/>
          <w:vertAlign w:val="superscript"/>
        </w:rPr>
        <w:footnoteReference w:id="9"/>
      </w:r>
      <w:r w:rsidR="00312D2C" w:rsidRPr="00312D2C">
        <w:rPr>
          <w:rFonts w:asciiTheme="majorHAnsi" w:hAnsiTheme="majorHAnsi" w:cstheme="majorHAnsi"/>
          <w:iCs/>
        </w:rPr>
        <w:t xml:space="preserve"> In November 2017, Prime Minister Andrew Holness gave a speech to the House of Representatives in which he highlighted his stance against all forms of corporal punishment and called for a debate in Parliament on prohibition in all settings.</w:t>
      </w:r>
      <w:r w:rsidR="00312D2C" w:rsidRPr="00312D2C">
        <w:rPr>
          <w:rFonts w:asciiTheme="majorHAnsi" w:hAnsiTheme="majorHAnsi" w:cstheme="majorHAnsi"/>
          <w:iCs/>
          <w:vertAlign w:val="superscript"/>
        </w:rPr>
        <w:footnoteReference w:id="10"/>
      </w:r>
      <w:r w:rsidR="00312D2C" w:rsidRPr="00312D2C">
        <w:rPr>
          <w:rFonts w:asciiTheme="majorHAnsi" w:hAnsiTheme="majorHAnsi" w:cstheme="majorHAnsi"/>
          <w:iCs/>
        </w:rPr>
        <w:t xml:space="preserve"> A report published in December 2018 by a Joint Select Committee appointed to review various pieces of legislation, including the Child Care and Protection Act 2004, recommended that corporal punishment of </w:t>
      </w:r>
      <w:r w:rsidR="00312D2C" w:rsidRPr="00312D2C">
        <w:rPr>
          <w:rFonts w:asciiTheme="majorHAnsi" w:hAnsiTheme="majorHAnsi" w:cstheme="majorHAnsi"/>
          <w:iCs/>
        </w:rPr>
        <w:lastRenderedPageBreak/>
        <w:t>children is prohibited in “all schools, public institutions for the care, instruction or guidance of children who were in the care of the State, and in all public places”. The report also stated that while some members of the Committee had advocated for a full ban, they had conceded that “a policy position would have to be developed on that issue before that approach could be taken”.</w:t>
      </w:r>
      <w:r>
        <w:rPr>
          <w:rFonts w:asciiTheme="majorHAnsi" w:hAnsiTheme="majorHAnsi" w:cstheme="majorHAnsi"/>
          <w:iCs/>
        </w:rPr>
        <w:t xml:space="preserve"> </w:t>
      </w:r>
      <w:r w:rsidR="00312D2C" w:rsidRPr="00312D2C">
        <w:rPr>
          <w:rFonts w:asciiTheme="majorHAnsi" w:hAnsiTheme="majorHAnsi" w:cstheme="majorHAnsi"/>
          <w:iCs/>
        </w:rPr>
        <w:t>Jamaica is a Pathfinder country with the Global Partnership to End Violence Against Children, which was established in 2016. This commits the Government to three to five years of accelerated action towards the achievement of Target 16.2 of the Sustainable Development Goals.</w:t>
      </w:r>
    </w:p>
    <w:p w14:paraId="3ED45E26" w14:textId="4FD9EFF3" w:rsidR="00312D2C" w:rsidRPr="00312D2C" w:rsidRDefault="00B8457E" w:rsidP="00312D2C">
      <w:pPr>
        <w:autoSpaceDE w:val="0"/>
        <w:autoSpaceDN w:val="0"/>
        <w:adjustRightInd w:val="0"/>
        <w:spacing w:after="120"/>
        <w:rPr>
          <w:rFonts w:asciiTheme="majorHAnsi" w:hAnsiTheme="majorHAnsi" w:cstheme="majorHAnsi"/>
        </w:rPr>
      </w:pPr>
      <w:r>
        <w:rPr>
          <w:rFonts w:asciiTheme="majorHAnsi" w:hAnsiTheme="majorHAnsi" w:cstheme="majorHAnsi"/>
        </w:rPr>
        <w:t>11</w:t>
      </w:r>
      <w:r w:rsidR="00620321" w:rsidRPr="001119F0">
        <w:rPr>
          <w:rFonts w:asciiTheme="majorHAnsi" w:hAnsiTheme="majorHAnsi" w:cstheme="majorHAnsi"/>
        </w:rPr>
        <w:t xml:space="preserve">. </w:t>
      </w:r>
      <w:r w:rsidR="00620321" w:rsidRPr="001119F0">
        <w:rPr>
          <w:rFonts w:asciiTheme="majorHAnsi" w:hAnsiTheme="majorHAnsi" w:cstheme="majorHAnsi"/>
          <w:i/>
        </w:rPr>
        <w:t xml:space="preserve">Corporal punishment is </w:t>
      </w:r>
      <w:r w:rsidR="00312D2C" w:rsidRPr="005832BA">
        <w:rPr>
          <w:rFonts w:asciiTheme="majorHAnsi" w:hAnsiTheme="majorHAnsi" w:cstheme="majorHAnsi"/>
          <w:i/>
        </w:rPr>
        <w:t>unlawful in alternative care settings</w:t>
      </w:r>
      <w:r w:rsidR="00312D2C" w:rsidRPr="00312D2C">
        <w:rPr>
          <w:rFonts w:asciiTheme="majorHAnsi" w:hAnsiTheme="majorHAnsi" w:cstheme="majorHAnsi"/>
        </w:rPr>
        <w:t>. It is prohibited in institutions and other forms of childcare in article 62 of the Child Care and Protection Act 2004: “A child in a place of safety, children’s home or child in the care of a fit person shall have the following rights – ... (d) to be free from corporal punishment….” Permitted disciplinary measures in children’s homes are prescribed by the Child Care and Protection (Children’s Homes) Regulations No. 22 2005, which states in article 17: “(1) No licensee or member of staff of any children's home shall strike, cuff, slap or use any other form of physical violence towards any child who resides or is at the home. (2) No child at a children’s home shall be permitted to administer any form of punishment upon any other child at the home.”</w:t>
      </w:r>
    </w:p>
    <w:p w14:paraId="19A88641" w14:textId="2C696911" w:rsidR="00312D2C" w:rsidRPr="00312D2C" w:rsidRDefault="00D63AA6" w:rsidP="00312D2C">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B8457E">
        <w:rPr>
          <w:rFonts w:asciiTheme="majorHAnsi" w:hAnsiTheme="majorHAnsi" w:cstheme="majorHAnsi"/>
        </w:rPr>
        <w:t>2</w:t>
      </w:r>
      <w:r w:rsidRPr="001119F0">
        <w:rPr>
          <w:rFonts w:asciiTheme="majorHAnsi" w:hAnsiTheme="majorHAnsi" w:cstheme="majorHAnsi"/>
        </w:rPr>
        <w:t xml:space="preserve">. </w:t>
      </w:r>
      <w:r w:rsidRPr="001119F0">
        <w:rPr>
          <w:rFonts w:asciiTheme="majorHAnsi" w:hAnsiTheme="majorHAnsi" w:cstheme="majorHAnsi"/>
          <w:i/>
        </w:rPr>
        <w:t xml:space="preserve">Corporal punishment </w:t>
      </w:r>
      <w:r w:rsidR="005832BA">
        <w:rPr>
          <w:rFonts w:asciiTheme="majorHAnsi" w:hAnsiTheme="majorHAnsi" w:cstheme="majorHAnsi"/>
          <w:i/>
        </w:rPr>
        <w:t>appears to be</w:t>
      </w:r>
      <w:r w:rsidR="005869E5" w:rsidRPr="001119F0">
        <w:rPr>
          <w:rFonts w:asciiTheme="majorHAnsi" w:hAnsiTheme="majorHAnsi" w:cstheme="majorHAnsi"/>
          <w:i/>
        </w:rPr>
        <w:t xml:space="preserve"> </w:t>
      </w:r>
      <w:r w:rsidR="005832BA">
        <w:rPr>
          <w:rFonts w:asciiTheme="majorHAnsi" w:hAnsiTheme="majorHAnsi" w:cstheme="majorHAnsi"/>
          <w:i/>
        </w:rPr>
        <w:t>un</w:t>
      </w:r>
      <w:r w:rsidRPr="001119F0">
        <w:rPr>
          <w:rFonts w:asciiTheme="majorHAnsi" w:hAnsiTheme="majorHAnsi" w:cstheme="majorHAnsi"/>
          <w:i/>
        </w:rPr>
        <w:t>lawful in</w:t>
      </w:r>
      <w:r w:rsidR="005832BA">
        <w:rPr>
          <w:rFonts w:asciiTheme="majorHAnsi" w:hAnsiTheme="majorHAnsi" w:cstheme="majorHAnsi"/>
          <w:i/>
        </w:rPr>
        <w:t xml:space="preserve"> some but not all day care settings</w:t>
      </w:r>
      <w:r w:rsidR="00312D2C" w:rsidRPr="00312D2C">
        <w:rPr>
          <w:rFonts w:asciiTheme="majorHAnsi" w:hAnsiTheme="majorHAnsi" w:cstheme="majorHAnsi"/>
        </w:rPr>
        <w:t>. It is prohibited in early childhood institutions in the Act to Provide for the Regulation and Management of Early Childhood Institutions and for other Connected Matters 2005 (art. 16(1)): “Corporal pun</w:t>
      </w:r>
      <w:r w:rsidR="00312D2C" w:rsidRPr="00312D2C">
        <w:rPr>
          <w:rFonts w:asciiTheme="majorHAnsi" w:hAnsiTheme="majorHAnsi" w:cstheme="majorHAnsi"/>
        </w:rPr>
        <w:lastRenderedPageBreak/>
        <w:t>ishment shall not be inflicted on a child in an early childhood institution.” An early childhood institution is defined in the Act as “a setting that provides developmentally appropriate care, stimulation, education and socialisation, for children under the age of six years, including day care centres and basic schools” (art. 2). There appears to be no explicit prohibition in relation to other forms of day care, including day care for older children.</w:t>
      </w:r>
    </w:p>
    <w:p w14:paraId="44A27A37" w14:textId="2B4DDFCE" w:rsidR="00312D2C" w:rsidRPr="00312D2C" w:rsidRDefault="00D63AA6" w:rsidP="00312D2C">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B8457E">
        <w:rPr>
          <w:rFonts w:asciiTheme="majorHAnsi" w:hAnsiTheme="majorHAnsi" w:cstheme="majorHAnsi"/>
        </w:rPr>
        <w:t>3</w:t>
      </w:r>
      <w:r w:rsidRPr="001119F0">
        <w:rPr>
          <w:rFonts w:asciiTheme="majorHAnsi" w:hAnsiTheme="majorHAnsi" w:cstheme="majorHAnsi"/>
        </w:rPr>
        <w:t xml:space="preserve">. </w:t>
      </w:r>
      <w:bookmarkStart w:id="1" w:name="OLE_LINK44"/>
      <w:bookmarkStart w:id="2" w:name="OLE_LINK45"/>
      <w:r w:rsidRPr="001119F0">
        <w:rPr>
          <w:rFonts w:asciiTheme="majorHAnsi" w:hAnsiTheme="majorHAnsi" w:cstheme="majorHAnsi"/>
          <w:i/>
        </w:rPr>
        <w:t xml:space="preserve">Corporal punishment is </w:t>
      </w:r>
      <w:r w:rsidR="00DA5C89">
        <w:rPr>
          <w:rFonts w:asciiTheme="majorHAnsi" w:hAnsiTheme="majorHAnsi" w:cstheme="majorHAnsi"/>
          <w:i/>
        </w:rPr>
        <w:t>lawful</w:t>
      </w:r>
      <w:r w:rsidRPr="001119F0">
        <w:rPr>
          <w:rFonts w:asciiTheme="majorHAnsi" w:hAnsiTheme="majorHAnsi" w:cstheme="majorHAnsi"/>
          <w:i/>
        </w:rPr>
        <w:t xml:space="preserve"> in </w:t>
      </w:r>
      <w:r w:rsidR="00533416">
        <w:rPr>
          <w:rFonts w:asciiTheme="majorHAnsi" w:hAnsiTheme="majorHAnsi" w:cstheme="majorHAnsi"/>
          <w:i/>
        </w:rPr>
        <w:t xml:space="preserve">most </w:t>
      </w:r>
      <w:r w:rsidRPr="001119F0">
        <w:rPr>
          <w:rFonts w:asciiTheme="majorHAnsi" w:hAnsiTheme="majorHAnsi" w:cstheme="majorHAnsi"/>
          <w:i/>
        </w:rPr>
        <w:t>school</w:t>
      </w:r>
      <w:bookmarkEnd w:id="1"/>
      <w:bookmarkEnd w:id="2"/>
      <w:r w:rsidR="005832BA">
        <w:rPr>
          <w:rFonts w:asciiTheme="majorHAnsi" w:hAnsiTheme="majorHAnsi" w:cstheme="majorHAnsi"/>
          <w:i/>
        </w:rPr>
        <w:t>s</w:t>
      </w:r>
      <w:r w:rsidR="00312D2C" w:rsidRPr="00312D2C">
        <w:rPr>
          <w:rFonts w:asciiTheme="majorHAnsi" w:hAnsiTheme="majorHAnsi" w:cstheme="majorHAnsi"/>
        </w:rPr>
        <w:t xml:space="preserve">, with the exception of “basic schools” (see </w:t>
      </w:r>
      <w:r w:rsidR="005832BA">
        <w:rPr>
          <w:rFonts w:asciiTheme="majorHAnsi" w:hAnsiTheme="majorHAnsi" w:cstheme="majorHAnsi"/>
        </w:rPr>
        <w:t>above</w:t>
      </w:r>
      <w:r w:rsidR="00312D2C" w:rsidRPr="00312D2C">
        <w:rPr>
          <w:rFonts w:asciiTheme="majorHAnsi" w:hAnsiTheme="majorHAnsi" w:cstheme="majorHAnsi"/>
        </w:rPr>
        <w:t xml:space="preserve">). </w:t>
      </w:r>
      <w:r w:rsidR="002810F1" w:rsidRPr="002810F1">
        <w:rPr>
          <w:rFonts w:asciiTheme="majorHAnsi" w:hAnsiTheme="majorHAnsi" w:cstheme="majorHAnsi"/>
        </w:rPr>
        <w:t xml:space="preserve">Basic schools are defined by the Early Childhood Act 2005 as “a school that offers a course of educational training for students under the age of six years”. </w:t>
      </w:r>
      <w:r w:rsidR="00312D2C" w:rsidRPr="00312D2C">
        <w:rPr>
          <w:rFonts w:asciiTheme="majorHAnsi" w:hAnsiTheme="majorHAnsi" w:cstheme="majorHAnsi"/>
        </w:rPr>
        <w:t>There is no provision for it in the Education Act 1965 or in the Education Regulations 1980, but a teacher is justified in administering “moderate and reasonable” corporal punishment under common law.</w:t>
      </w:r>
      <w:r w:rsidR="00312D2C" w:rsidRPr="00312D2C">
        <w:rPr>
          <w:rFonts w:asciiTheme="majorHAnsi" w:hAnsiTheme="majorHAnsi" w:cstheme="majorHAnsi"/>
          <w:vertAlign w:val="superscript"/>
        </w:rPr>
        <w:footnoteReference w:id="11"/>
      </w:r>
      <w:r w:rsidR="00312D2C" w:rsidRPr="00312D2C">
        <w:rPr>
          <w:rFonts w:asciiTheme="majorHAnsi" w:hAnsiTheme="majorHAnsi" w:cstheme="majorHAnsi"/>
        </w:rPr>
        <w:t xml:space="preserve"> </w:t>
      </w:r>
    </w:p>
    <w:p w14:paraId="70BB30C5" w14:textId="7D2FE5C7" w:rsidR="00312D2C" w:rsidRPr="00312D2C" w:rsidRDefault="00B8457E" w:rsidP="00312D2C">
      <w:pPr>
        <w:autoSpaceDE w:val="0"/>
        <w:autoSpaceDN w:val="0"/>
        <w:adjustRightInd w:val="0"/>
        <w:spacing w:after="120"/>
        <w:rPr>
          <w:rFonts w:asciiTheme="majorHAnsi" w:hAnsiTheme="majorHAnsi" w:cstheme="majorHAnsi"/>
        </w:rPr>
      </w:pPr>
      <w:r>
        <w:rPr>
          <w:rFonts w:asciiTheme="majorHAnsi" w:hAnsiTheme="majorHAnsi" w:cstheme="majorHAnsi"/>
        </w:rPr>
        <w:t xml:space="preserve">14. </w:t>
      </w:r>
      <w:r w:rsidR="00312D2C" w:rsidRPr="00312D2C">
        <w:rPr>
          <w:rFonts w:asciiTheme="majorHAnsi" w:hAnsiTheme="majorHAnsi" w:cstheme="majorHAnsi"/>
        </w:rPr>
        <w:t>The Government has stated its intention to abolish corporal punishment in schools and has informed all public schools not to use it.</w:t>
      </w:r>
      <w:r w:rsidR="00312D2C" w:rsidRPr="00312D2C">
        <w:rPr>
          <w:rFonts w:asciiTheme="majorHAnsi" w:hAnsiTheme="majorHAnsi" w:cstheme="majorHAnsi"/>
          <w:vertAlign w:val="superscript"/>
        </w:rPr>
        <w:footnoteReference w:id="12"/>
      </w:r>
      <w:r w:rsidR="00312D2C" w:rsidRPr="00312D2C">
        <w:rPr>
          <w:rFonts w:asciiTheme="majorHAnsi" w:hAnsiTheme="majorHAnsi" w:cstheme="majorHAnsi"/>
        </w:rPr>
        <w:t xml:space="preserve"> In 2011, the Government stated it was seeking law reform to abolish corporal punishment through the development of a safe school policy to be tabled in Parliament for approval.</w:t>
      </w:r>
      <w:r w:rsidR="00312D2C" w:rsidRPr="00312D2C">
        <w:rPr>
          <w:rFonts w:asciiTheme="majorHAnsi" w:hAnsiTheme="majorHAnsi" w:cstheme="majorHAnsi"/>
          <w:vertAlign w:val="superscript"/>
        </w:rPr>
        <w:footnoteReference w:id="13"/>
      </w:r>
      <w:r w:rsidR="00312D2C" w:rsidRPr="00312D2C">
        <w:rPr>
          <w:rFonts w:asciiTheme="majorHAnsi" w:hAnsiTheme="majorHAnsi" w:cstheme="majorHAnsi"/>
        </w:rPr>
        <w:t xml:space="preserve"> It appears that no Bill which would prohibit corporal punishment in schools has yet been tabled in Parliament.</w:t>
      </w:r>
      <w:r w:rsidR="00312D2C" w:rsidRPr="00312D2C">
        <w:rPr>
          <w:rFonts w:asciiTheme="majorHAnsi" w:hAnsiTheme="majorHAnsi" w:cstheme="majorHAnsi"/>
          <w:vertAlign w:val="superscript"/>
        </w:rPr>
        <w:footnoteReference w:id="14"/>
      </w:r>
      <w:r w:rsidR="00312D2C" w:rsidRPr="00312D2C">
        <w:rPr>
          <w:rFonts w:asciiTheme="majorHAnsi" w:hAnsiTheme="majorHAnsi" w:cstheme="majorHAnsi"/>
        </w:rPr>
        <w:t xml:space="preserve"> In February 2016, Minister of Education Ronald Thwaites reportedly urged teachers not to beat children because of not doing </w:t>
      </w:r>
      <w:r w:rsidR="00312D2C" w:rsidRPr="00312D2C">
        <w:rPr>
          <w:rFonts w:asciiTheme="majorHAnsi" w:hAnsiTheme="majorHAnsi" w:cstheme="majorHAnsi"/>
        </w:rPr>
        <w:lastRenderedPageBreak/>
        <w:t>homework or getting something wrong in class, but maintained that there is a place for corporal punishment under some circumstances.</w:t>
      </w:r>
      <w:r w:rsidR="00312D2C" w:rsidRPr="00312D2C">
        <w:rPr>
          <w:rFonts w:asciiTheme="majorHAnsi" w:hAnsiTheme="majorHAnsi" w:cstheme="majorHAnsi"/>
          <w:vertAlign w:val="superscript"/>
        </w:rPr>
        <w:footnoteReference w:id="15"/>
      </w:r>
      <w:r w:rsidR="00312D2C" w:rsidRPr="00312D2C">
        <w:rPr>
          <w:rFonts w:asciiTheme="majorHAnsi" w:hAnsiTheme="majorHAnsi" w:cstheme="majorHAnsi"/>
        </w:rPr>
        <w:t xml:space="preserve"> In October 2016, the Government reported to the Human Rights Committee that the Safe Schools Policy was under review and that one of the recommendation examined was the “removal” of corporal punishment from all public schools.</w:t>
      </w:r>
      <w:r w:rsidR="00312D2C" w:rsidRPr="00312D2C">
        <w:rPr>
          <w:rFonts w:asciiTheme="majorHAnsi" w:hAnsiTheme="majorHAnsi" w:cstheme="majorHAnsi"/>
          <w:vertAlign w:val="superscript"/>
        </w:rPr>
        <w:footnoteReference w:id="16"/>
      </w:r>
      <w:r w:rsidR="00312D2C" w:rsidRPr="00312D2C">
        <w:rPr>
          <w:rFonts w:asciiTheme="majorHAnsi" w:hAnsiTheme="majorHAnsi" w:cstheme="majorHAnsi"/>
        </w:rPr>
        <w:t xml:space="preserve"> The Prime Minister Andrew Holness declared during his presentation of the Budget in March 2017 that a Bill to amend the Education Act and explicitly prohibit corporal punishment in schools would be prepared.</w:t>
      </w:r>
      <w:r w:rsidR="00312D2C" w:rsidRPr="00312D2C">
        <w:rPr>
          <w:rFonts w:asciiTheme="majorHAnsi" w:hAnsiTheme="majorHAnsi" w:cstheme="majorHAnsi"/>
          <w:vertAlign w:val="superscript"/>
        </w:rPr>
        <w:footnoteReference w:id="17"/>
      </w:r>
    </w:p>
    <w:p w14:paraId="2BEEA46B" w14:textId="2FDD080C" w:rsidR="00312D2C" w:rsidRPr="00312D2C" w:rsidRDefault="00D63AA6" w:rsidP="00312D2C">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D66B58">
        <w:rPr>
          <w:rFonts w:asciiTheme="majorHAnsi" w:hAnsiTheme="majorHAnsi" w:cstheme="majorHAnsi"/>
        </w:rPr>
        <w:t>5</w:t>
      </w:r>
      <w:r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00D66B58">
        <w:rPr>
          <w:rFonts w:asciiTheme="majorHAnsi" w:hAnsiTheme="majorHAnsi" w:cstheme="majorHAnsi"/>
          <w:i/>
        </w:rPr>
        <w:t>un</w:t>
      </w:r>
      <w:r w:rsidR="004866EF" w:rsidRPr="00077E55">
        <w:rPr>
          <w:rFonts w:asciiTheme="majorHAnsi" w:hAnsiTheme="majorHAnsi" w:cstheme="majorHAnsi"/>
          <w:i/>
        </w:rPr>
        <w:t>lawful as a disciplinary measure in penal institutions</w:t>
      </w:r>
      <w:r w:rsidR="0003240E" w:rsidRPr="0003240E">
        <w:rPr>
          <w:rFonts w:asciiTheme="majorHAnsi" w:hAnsiTheme="majorHAnsi" w:cstheme="majorHAnsi"/>
        </w:rPr>
        <w:t xml:space="preserve"> </w:t>
      </w:r>
      <w:r w:rsidR="00312D2C" w:rsidRPr="00312D2C">
        <w:rPr>
          <w:rFonts w:asciiTheme="majorHAnsi" w:hAnsiTheme="majorHAnsi" w:cstheme="majorHAnsi"/>
        </w:rPr>
        <w:t>under article 62 of the Chil</w:t>
      </w:r>
      <w:r w:rsidR="005832BA">
        <w:rPr>
          <w:rFonts w:asciiTheme="majorHAnsi" w:hAnsiTheme="majorHAnsi" w:cstheme="majorHAnsi"/>
        </w:rPr>
        <w:t xml:space="preserve">d Care and Protection Act 2004. </w:t>
      </w:r>
      <w:r w:rsidR="00312D2C" w:rsidRPr="00312D2C">
        <w:rPr>
          <w:rFonts w:asciiTheme="majorHAnsi" w:hAnsiTheme="majorHAnsi" w:cstheme="majorHAnsi"/>
        </w:rPr>
        <w:t>The Flogging Regulation Act 1903, which provided for disciplinary corporal punishment, was repealed in the Law Reform (Flogging and Whipping) (Abolition) Act 2013.</w:t>
      </w:r>
    </w:p>
    <w:p w14:paraId="20660612" w14:textId="52163F13" w:rsidR="00312D2C" w:rsidRPr="00312D2C" w:rsidRDefault="00D63AA6" w:rsidP="00312D2C">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D66B58">
        <w:rPr>
          <w:rFonts w:asciiTheme="majorHAnsi" w:hAnsiTheme="majorHAnsi" w:cstheme="majorHAnsi"/>
        </w:rPr>
        <w:t>6</w:t>
      </w:r>
      <w:r w:rsidRPr="001119F0">
        <w:rPr>
          <w:rFonts w:asciiTheme="majorHAnsi" w:hAnsiTheme="majorHAnsi" w:cstheme="majorHAnsi"/>
        </w:rPr>
        <w:t>.</w:t>
      </w:r>
      <w:r w:rsidR="002B3F16" w:rsidRPr="002B3F16">
        <w:rPr>
          <w:rFonts w:asciiTheme="majorHAnsi" w:hAnsiTheme="majorHAnsi" w:cstheme="majorHAnsi"/>
        </w:rPr>
        <w:t xml:space="preserve"> </w:t>
      </w:r>
      <w:r w:rsidR="0003240E" w:rsidRPr="00D66B58">
        <w:rPr>
          <w:rFonts w:asciiTheme="majorHAnsi" w:hAnsiTheme="majorHAnsi" w:cstheme="majorHAnsi"/>
          <w:i/>
        </w:rPr>
        <w:t xml:space="preserve">Corporal punishment is </w:t>
      </w:r>
      <w:r w:rsidR="00312D2C" w:rsidRPr="005832BA">
        <w:rPr>
          <w:rFonts w:asciiTheme="majorHAnsi" w:hAnsiTheme="majorHAnsi" w:cstheme="majorHAnsi"/>
          <w:i/>
        </w:rPr>
        <w:t>unlawful as a sentence for crime</w:t>
      </w:r>
      <w:r w:rsidR="00312D2C" w:rsidRPr="00312D2C">
        <w:rPr>
          <w:rFonts w:asciiTheme="majorHAnsi" w:hAnsiTheme="majorHAnsi" w:cstheme="majorHAnsi"/>
        </w:rPr>
        <w:t>. It was ruled unconstitutional by the Jamaican Court of Appeal in December 1998 and there is no provision for it in the Criminal Justice (Reform) Act 1978, the Corrections Act 1985 and the Child Care and Protection Act 2004. The Law Reform (Flogging and Whipping) (Abolition) Act 2013 states in article 2: “(1) The imposition of flogging or whipping as a pen</w:t>
      </w:r>
      <w:r w:rsidR="00312D2C" w:rsidRPr="00312D2C">
        <w:rPr>
          <w:rFonts w:asciiTheme="majorHAnsi" w:hAnsiTheme="majorHAnsi" w:cstheme="majorHAnsi"/>
        </w:rPr>
        <w:lastRenderedPageBreak/>
        <w:t>alty for any offence is abolished. (2) Every reference to flogging or whipping, as a penalty for an offence, appearing in any enactment, is declared to be of no effect….” The Act repeals the Flogging Regulation Act 1903 and the Crime (Prevention of) Act 1942. Provisions for whipping in the Obeah Act 1898 and the Larceny Act 1942 were repealed in the Obeah (Amendment) Act 2013 and the Larceny (Amendment) Act 2013 respectively.</w:t>
      </w:r>
    </w:p>
    <w:p w14:paraId="09A091E1" w14:textId="77777777" w:rsidR="00312D2C" w:rsidRPr="001119F0" w:rsidRDefault="00312D2C" w:rsidP="00312D2C">
      <w:pPr>
        <w:autoSpaceDE w:val="0"/>
        <w:autoSpaceDN w:val="0"/>
        <w:adjustRightInd w:val="0"/>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2C026049" w14:textId="42FFE765" w:rsidR="0003240E" w:rsidRPr="0003240E" w:rsidRDefault="00B8457E" w:rsidP="0003240E">
      <w:pPr>
        <w:spacing w:after="240"/>
        <w:rPr>
          <w:rFonts w:asciiTheme="majorHAnsi" w:hAnsiTheme="majorHAnsi" w:cstheme="majorHAnsi"/>
          <w:bCs/>
        </w:rPr>
      </w:pPr>
      <w:r>
        <w:rPr>
          <w:rFonts w:asciiTheme="majorHAnsi" w:hAnsiTheme="majorHAnsi" w:cstheme="majorHAnsi"/>
        </w:rPr>
        <w:t>17</w:t>
      </w:r>
      <w:r w:rsidR="00F67CC5" w:rsidRPr="001119F0">
        <w:rPr>
          <w:rFonts w:asciiTheme="majorHAnsi" w:hAnsiTheme="majorHAnsi" w:cstheme="majorHAnsi"/>
        </w:rPr>
        <w:t xml:space="preserve">. </w:t>
      </w:r>
      <w:r w:rsidR="007D5227" w:rsidRPr="007D5227">
        <w:rPr>
          <w:rFonts w:asciiTheme="majorHAnsi" w:hAnsiTheme="majorHAnsi" w:cstheme="majorHAnsi"/>
          <w:bCs/>
        </w:rPr>
        <w:t xml:space="preserve">The </w:t>
      </w:r>
      <w:r w:rsidR="007D5227" w:rsidRPr="000827FD">
        <w:rPr>
          <w:rFonts w:asciiTheme="majorHAnsi" w:hAnsiTheme="majorHAnsi" w:cstheme="majorHAnsi"/>
          <w:bCs/>
          <w:i/>
        </w:rPr>
        <w:t>Committee on the Rights of the Child</w:t>
      </w:r>
      <w:r w:rsidR="007D5227" w:rsidRPr="007D5227">
        <w:rPr>
          <w:rFonts w:asciiTheme="majorHAnsi" w:hAnsiTheme="majorHAnsi" w:cstheme="majorHAnsi"/>
          <w:bCs/>
        </w:rPr>
        <w:t xml:space="preserve"> first raised the issue of protecting children from corporal punishment in Jamaica in 1995, in its concluding observations on the state party’s initial report.</w:t>
      </w:r>
      <w:r w:rsidR="007D5227" w:rsidRPr="007D5227">
        <w:rPr>
          <w:rFonts w:asciiTheme="majorHAnsi" w:hAnsiTheme="majorHAnsi" w:cstheme="majorHAnsi"/>
          <w:bCs/>
          <w:vertAlign w:val="superscript"/>
        </w:rPr>
        <w:footnoteReference w:id="18"/>
      </w:r>
      <w:r w:rsidR="007D5227" w:rsidRPr="007D5227">
        <w:rPr>
          <w:rFonts w:asciiTheme="majorHAnsi" w:hAnsiTheme="majorHAnsi" w:cstheme="majorHAnsi"/>
          <w:bCs/>
        </w:rPr>
        <w:t xml:space="preserve"> Following examination of the second report in 2003, the Committee again expressed its concerns, recommending that corporal punishment be prohibited “in all contexts in society” and with some emphasis on prohibiting its use in schools.</w:t>
      </w:r>
      <w:r w:rsidR="007D5227" w:rsidRPr="007D5227">
        <w:rPr>
          <w:rFonts w:asciiTheme="majorHAnsi" w:hAnsiTheme="majorHAnsi" w:cstheme="majorHAnsi"/>
          <w:bCs/>
          <w:vertAlign w:val="superscript"/>
        </w:rPr>
        <w:footnoteReference w:id="19"/>
      </w:r>
      <w:r w:rsidR="007D5227" w:rsidRPr="007D5227">
        <w:rPr>
          <w:rFonts w:asciiTheme="majorHAnsi" w:hAnsiTheme="majorHAnsi" w:cstheme="majorHAnsi"/>
          <w:bCs/>
        </w:rPr>
        <w:t xml:space="preserve"> </w:t>
      </w:r>
      <w:r w:rsidR="000827FD">
        <w:rPr>
          <w:rFonts w:asciiTheme="majorHAnsi" w:hAnsiTheme="majorHAnsi" w:cstheme="majorHAnsi"/>
          <w:bCs/>
        </w:rPr>
        <w:t>Most recently in 2015, the Committee recommended the explicit prohibition of corporal punishment in all settings.</w:t>
      </w:r>
      <w:r w:rsidR="000827FD">
        <w:rPr>
          <w:rStyle w:val="FootnoteReference"/>
          <w:rFonts w:asciiTheme="majorHAnsi" w:hAnsiTheme="majorHAnsi" w:cstheme="majorHAnsi"/>
          <w:bCs/>
        </w:rPr>
        <w:footnoteReference w:id="20"/>
      </w:r>
    </w:p>
    <w:p w14:paraId="3D2C037C" w14:textId="1BD7D10D" w:rsidR="007D5227" w:rsidRPr="007D5227" w:rsidRDefault="00B8457E" w:rsidP="007D5227">
      <w:pPr>
        <w:spacing w:after="240"/>
        <w:rPr>
          <w:rFonts w:asciiTheme="majorHAnsi" w:hAnsiTheme="majorHAnsi" w:cstheme="majorHAnsi"/>
          <w:bCs/>
        </w:rPr>
      </w:pPr>
      <w:r>
        <w:rPr>
          <w:rFonts w:asciiTheme="majorHAnsi" w:hAnsiTheme="majorHAnsi" w:cstheme="majorHAnsi"/>
          <w:bCs/>
        </w:rPr>
        <w:t>18</w:t>
      </w:r>
      <w:r w:rsidR="00D66B58" w:rsidRPr="00D465CC">
        <w:rPr>
          <w:rFonts w:asciiTheme="majorHAnsi" w:hAnsiTheme="majorHAnsi" w:cstheme="majorHAnsi"/>
          <w:bCs/>
        </w:rPr>
        <w:t xml:space="preserve">. </w:t>
      </w:r>
      <w:r w:rsidR="007D5227" w:rsidRPr="007D5227">
        <w:rPr>
          <w:rFonts w:asciiTheme="majorHAnsi" w:hAnsiTheme="majorHAnsi" w:cstheme="majorHAnsi"/>
          <w:bCs/>
        </w:rPr>
        <w:t xml:space="preserve">The </w:t>
      </w:r>
      <w:r w:rsidR="007D5227" w:rsidRPr="000827FD">
        <w:rPr>
          <w:rFonts w:asciiTheme="majorHAnsi" w:hAnsiTheme="majorHAnsi" w:cstheme="majorHAnsi"/>
          <w:bCs/>
          <w:i/>
        </w:rPr>
        <w:t>Committee on Economic, Social and Cultural Rights</w:t>
      </w:r>
      <w:r w:rsidR="007D5227" w:rsidRPr="007D5227">
        <w:rPr>
          <w:rFonts w:asciiTheme="majorHAnsi" w:hAnsiTheme="majorHAnsi" w:cstheme="majorHAnsi"/>
          <w:bCs/>
        </w:rPr>
        <w:t xml:space="preserve"> expressed concern at children in Jamaica being flogged at home and in schools in </w:t>
      </w:r>
      <w:r w:rsidR="007D5227" w:rsidRPr="007D5227">
        <w:rPr>
          <w:rFonts w:asciiTheme="majorHAnsi" w:hAnsiTheme="majorHAnsi" w:cstheme="majorHAnsi"/>
          <w:bCs/>
        </w:rPr>
        <w:lastRenderedPageBreak/>
        <w:t>its concluding observations on the state party’s initial report in 2001.</w:t>
      </w:r>
      <w:r w:rsidR="007D5227" w:rsidRPr="007D5227">
        <w:rPr>
          <w:rFonts w:asciiTheme="majorHAnsi" w:hAnsiTheme="majorHAnsi" w:cstheme="majorHAnsi"/>
          <w:bCs/>
          <w:vertAlign w:val="superscript"/>
        </w:rPr>
        <w:footnoteReference w:id="21"/>
      </w:r>
      <w:r w:rsidR="007D5227" w:rsidRPr="007D5227">
        <w:rPr>
          <w:rFonts w:asciiTheme="majorHAnsi" w:hAnsiTheme="majorHAnsi" w:cstheme="majorHAnsi"/>
          <w:bCs/>
        </w:rPr>
        <w:t xml:space="preserve"> In 2013, the Committee recommended that Jamaica “prohibit all forms of corporal punishment in all settings, including within the family”.</w:t>
      </w:r>
      <w:r w:rsidR="007D5227" w:rsidRPr="007D5227">
        <w:rPr>
          <w:rFonts w:asciiTheme="majorHAnsi" w:hAnsiTheme="majorHAnsi" w:cstheme="majorHAnsi"/>
          <w:bCs/>
          <w:vertAlign w:val="superscript"/>
        </w:rPr>
        <w:footnoteReference w:id="22"/>
      </w:r>
    </w:p>
    <w:p w14:paraId="123FFDFA" w14:textId="0E09B9BD" w:rsidR="007D5227" w:rsidRDefault="00B8457E" w:rsidP="007D5227">
      <w:pPr>
        <w:spacing w:after="240"/>
        <w:rPr>
          <w:rFonts w:asciiTheme="majorHAnsi" w:hAnsiTheme="majorHAnsi" w:cstheme="majorHAnsi"/>
          <w:bCs/>
        </w:rPr>
      </w:pPr>
      <w:r>
        <w:rPr>
          <w:rFonts w:asciiTheme="majorHAnsi" w:hAnsiTheme="majorHAnsi" w:cstheme="majorHAnsi"/>
          <w:bCs/>
        </w:rPr>
        <w:t>19.</w:t>
      </w:r>
      <w:r w:rsidR="008120D1">
        <w:rPr>
          <w:rFonts w:asciiTheme="majorHAnsi" w:hAnsiTheme="majorHAnsi" w:cstheme="majorHAnsi"/>
          <w:bCs/>
        </w:rPr>
        <w:t xml:space="preserve"> </w:t>
      </w:r>
      <w:r w:rsidR="007D5227" w:rsidRPr="007D5227">
        <w:rPr>
          <w:rFonts w:asciiTheme="majorHAnsi" w:hAnsiTheme="majorHAnsi" w:cstheme="majorHAnsi"/>
          <w:bCs/>
        </w:rPr>
        <w:t xml:space="preserve">In 1997, the </w:t>
      </w:r>
      <w:r w:rsidR="007D5227" w:rsidRPr="000827FD">
        <w:rPr>
          <w:rFonts w:asciiTheme="majorHAnsi" w:hAnsiTheme="majorHAnsi" w:cstheme="majorHAnsi"/>
          <w:bCs/>
          <w:i/>
        </w:rPr>
        <w:t>Human Rights Committee</w:t>
      </w:r>
      <w:r w:rsidR="007D5227" w:rsidRPr="007D5227">
        <w:rPr>
          <w:rFonts w:asciiTheme="majorHAnsi" w:hAnsiTheme="majorHAnsi" w:cstheme="majorHAnsi"/>
          <w:bCs/>
        </w:rPr>
        <w:t xml:space="preserve"> recommended to Jamaica that the Flogging Regulation Act 1903 and the Crime (Prevention of) Act 1942, which provided for penal corporal punishment, be repealed.</w:t>
      </w:r>
      <w:r w:rsidR="007D5227" w:rsidRPr="007D5227">
        <w:rPr>
          <w:rFonts w:asciiTheme="majorHAnsi" w:hAnsiTheme="majorHAnsi" w:cstheme="majorHAnsi"/>
          <w:bCs/>
          <w:vertAlign w:val="superscript"/>
        </w:rPr>
        <w:footnoteReference w:id="23"/>
      </w:r>
      <w:r w:rsidR="007D5227" w:rsidRPr="007D5227">
        <w:rPr>
          <w:rFonts w:asciiTheme="majorHAnsi" w:hAnsiTheme="majorHAnsi" w:cstheme="majorHAnsi"/>
          <w:bCs/>
        </w:rPr>
        <w:t xml:space="preserve"> In 2011, the Committee reiterated this recommendation and also expressed concern at the legality of corporal punishment in schools and the home.</w:t>
      </w:r>
      <w:r w:rsidR="007D5227" w:rsidRPr="007D5227">
        <w:rPr>
          <w:rFonts w:asciiTheme="majorHAnsi" w:hAnsiTheme="majorHAnsi" w:cstheme="majorHAnsi"/>
          <w:bCs/>
          <w:vertAlign w:val="superscript"/>
        </w:rPr>
        <w:footnoteReference w:id="24"/>
      </w:r>
      <w:r w:rsidR="007D5227" w:rsidRPr="007D5227">
        <w:rPr>
          <w:rFonts w:asciiTheme="majorHAnsi" w:hAnsiTheme="majorHAnsi" w:cstheme="majorHAnsi"/>
          <w:bCs/>
        </w:rPr>
        <w:t xml:space="preserve"> As noted above, the penal corporal punishment provisions were finally repealed in 2013 (see paras. 2.8 and 2.9).</w:t>
      </w:r>
      <w:r w:rsidR="007D5227">
        <w:rPr>
          <w:rFonts w:asciiTheme="majorHAnsi" w:hAnsiTheme="majorHAnsi" w:cstheme="majorHAnsi"/>
          <w:bCs/>
        </w:rPr>
        <w:t xml:space="preserve"> </w:t>
      </w:r>
      <w:r w:rsidR="000827FD">
        <w:rPr>
          <w:rFonts w:asciiTheme="majorHAnsi" w:hAnsiTheme="majorHAnsi" w:cstheme="majorHAnsi"/>
          <w:bCs/>
        </w:rPr>
        <w:t>In its concluding observations on the fourth report, in 2016, the Committee recommended that Jamaica put an end to corporal punishment in all settings.</w:t>
      </w:r>
      <w:r w:rsidR="000827FD">
        <w:rPr>
          <w:rStyle w:val="FootnoteReference"/>
          <w:rFonts w:asciiTheme="majorHAnsi" w:hAnsiTheme="majorHAnsi" w:cstheme="majorHAnsi"/>
          <w:bCs/>
        </w:rPr>
        <w:footnoteReference w:id="25"/>
      </w:r>
    </w:p>
    <w:p w14:paraId="3E77CE58" w14:textId="36421E8C" w:rsidR="000827FD" w:rsidRPr="000827FD" w:rsidRDefault="00B8457E" w:rsidP="000827FD">
      <w:pPr>
        <w:spacing w:after="240"/>
        <w:rPr>
          <w:rFonts w:asciiTheme="majorHAnsi" w:hAnsiTheme="majorHAnsi" w:cstheme="majorHAnsi"/>
          <w:bCs/>
        </w:rPr>
      </w:pPr>
      <w:r>
        <w:rPr>
          <w:rFonts w:asciiTheme="majorHAnsi" w:hAnsiTheme="majorHAnsi" w:cstheme="majorHAnsi"/>
          <w:bCs/>
        </w:rPr>
        <w:t xml:space="preserve">20. </w:t>
      </w:r>
      <w:r w:rsidR="007D5227" w:rsidRPr="007D5227">
        <w:rPr>
          <w:rFonts w:asciiTheme="majorHAnsi" w:hAnsiTheme="majorHAnsi" w:cstheme="majorHAnsi"/>
          <w:bCs/>
        </w:rPr>
        <w:t xml:space="preserve">Jamaica was examined in the first cycle of the </w:t>
      </w:r>
      <w:r w:rsidR="00127339" w:rsidRPr="00127339">
        <w:rPr>
          <w:rFonts w:asciiTheme="majorHAnsi" w:hAnsiTheme="majorHAnsi" w:cstheme="majorHAnsi"/>
          <w:bCs/>
          <w:i/>
        </w:rPr>
        <w:t>Universal Periodic Review</w:t>
      </w:r>
      <w:r w:rsidR="007D5227" w:rsidRPr="007D5227">
        <w:rPr>
          <w:rFonts w:asciiTheme="majorHAnsi" w:hAnsiTheme="majorHAnsi" w:cstheme="majorHAnsi"/>
          <w:bCs/>
        </w:rPr>
        <w:t xml:space="preserve"> in 2010 (session 9). The Government accepted the recommendation to prohibit corporal punishment in detention centres.</w:t>
      </w:r>
      <w:r w:rsidR="007D5227" w:rsidRPr="007D5227">
        <w:rPr>
          <w:rFonts w:asciiTheme="majorHAnsi" w:hAnsiTheme="majorHAnsi" w:cstheme="majorHAnsi"/>
          <w:bCs/>
          <w:vertAlign w:val="superscript"/>
        </w:rPr>
        <w:footnoteReference w:id="26"/>
      </w:r>
      <w:r w:rsidR="007D5227" w:rsidRPr="007D5227">
        <w:rPr>
          <w:rFonts w:asciiTheme="majorHAnsi" w:hAnsiTheme="majorHAnsi" w:cstheme="majorHAnsi"/>
          <w:bCs/>
        </w:rPr>
        <w:t xml:space="preserve"> </w:t>
      </w:r>
      <w:r w:rsidR="00F80858">
        <w:rPr>
          <w:rFonts w:asciiTheme="majorHAnsi" w:hAnsiTheme="majorHAnsi" w:cstheme="majorHAnsi"/>
          <w:bCs/>
        </w:rPr>
        <w:t>During the</w:t>
      </w:r>
      <w:r w:rsidR="000827FD">
        <w:rPr>
          <w:rFonts w:asciiTheme="majorHAnsi" w:hAnsiTheme="majorHAnsi" w:cstheme="majorHAnsi"/>
          <w:bCs/>
        </w:rPr>
        <w:t xml:space="preserve"> </w:t>
      </w:r>
      <w:r w:rsidR="000827FD">
        <w:rPr>
          <w:rFonts w:asciiTheme="majorHAnsi" w:hAnsiTheme="majorHAnsi" w:cstheme="majorHAnsi"/>
          <w:bCs/>
        </w:rPr>
        <w:lastRenderedPageBreak/>
        <w:t xml:space="preserve">second cycle </w:t>
      </w:r>
      <w:r w:rsidR="00F80858">
        <w:rPr>
          <w:rFonts w:asciiTheme="majorHAnsi" w:hAnsiTheme="majorHAnsi" w:cstheme="majorHAnsi"/>
          <w:bCs/>
        </w:rPr>
        <w:t>examination i</w:t>
      </w:r>
      <w:r w:rsidR="000827FD">
        <w:rPr>
          <w:rFonts w:asciiTheme="majorHAnsi" w:hAnsiTheme="majorHAnsi" w:cstheme="majorHAnsi"/>
          <w:bCs/>
        </w:rPr>
        <w:t>n 2015</w:t>
      </w:r>
      <w:r w:rsidR="00F80858">
        <w:rPr>
          <w:rFonts w:asciiTheme="majorHAnsi" w:hAnsiTheme="majorHAnsi" w:cstheme="majorHAnsi"/>
          <w:bCs/>
        </w:rPr>
        <w:t>, the Government rejected the recommendations made on the prohibition of corporal punishment of children</w:t>
      </w:r>
      <w:r w:rsidR="000827FD">
        <w:rPr>
          <w:rFonts w:asciiTheme="majorHAnsi" w:hAnsiTheme="majorHAnsi" w:cstheme="majorHAnsi"/>
          <w:bCs/>
        </w:rPr>
        <w:t>.</w:t>
      </w:r>
      <w:r w:rsidR="000827FD" w:rsidRPr="000827FD">
        <w:rPr>
          <w:rFonts w:asciiTheme="majorHAnsi" w:hAnsiTheme="majorHAnsi" w:cstheme="majorHAnsi"/>
          <w:bCs/>
          <w:vertAlign w:val="superscript"/>
        </w:rPr>
        <w:footnoteReference w:id="27"/>
      </w:r>
    </w:p>
    <w:p w14:paraId="54D77F4D" w14:textId="73677C69" w:rsidR="00D27EAE" w:rsidRDefault="00D27EAE" w:rsidP="007A21C3">
      <w:pPr>
        <w:rPr>
          <w:rFonts w:asciiTheme="majorHAnsi" w:hAnsiTheme="majorHAnsi" w:cstheme="majorHAnsi"/>
          <w:i/>
          <w:iCs/>
        </w:rPr>
      </w:pPr>
    </w:p>
    <w:p w14:paraId="7F764872" w14:textId="77777777" w:rsidR="00127339" w:rsidRDefault="00127339" w:rsidP="007A21C3">
      <w:pPr>
        <w:rPr>
          <w:rFonts w:asciiTheme="majorHAnsi" w:hAnsiTheme="majorHAnsi" w:cstheme="majorHAnsi"/>
          <w:i/>
          <w:iCs/>
        </w:rPr>
      </w:pPr>
    </w:p>
    <w:p w14:paraId="73A734C1" w14:textId="0D757AF4"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380BA1" w:rsidP="007A21C3">
      <w:pPr>
        <w:rPr>
          <w:rFonts w:asciiTheme="majorHAnsi" w:hAnsiTheme="majorHAnsi" w:cstheme="majorHAnsi"/>
          <w:i/>
          <w:iCs/>
        </w:rPr>
      </w:pPr>
      <w:hyperlink r:id="rId14" w:history="1">
        <w:r w:rsidR="009C24BF" w:rsidRPr="003E35BE">
          <w:rPr>
            <w:rStyle w:val="Hyperlink"/>
            <w:rFonts w:asciiTheme="majorHAnsi" w:eastAsia="Calibri" w:hAnsiTheme="majorHAnsi" w:cstheme="majorHAnsi"/>
            <w:bCs/>
            <w:i/>
            <w:color w:val="0096A3"/>
          </w:rPr>
          <w:t>www.endcorporalpunishment.org</w:t>
        </w:r>
      </w:hyperlink>
      <w:r w:rsidR="009C24BF" w:rsidRPr="001119F0">
        <w:rPr>
          <w:rFonts w:asciiTheme="majorHAnsi" w:hAnsiTheme="majorHAnsi" w:cstheme="majorHAnsi"/>
          <w:i/>
          <w:iCs/>
        </w:rPr>
        <w:t xml:space="preserve">; </w:t>
      </w:r>
      <w:hyperlink r:id="rId15" w:history="1">
        <w:r w:rsidR="009C24BF" w:rsidRPr="003E35BE">
          <w:rPr>
            <w:rStyle w:val="Hyperlink"/>
            <w:rFonts w:asciiTheme="majorHAnsi" w:eastAsia="Calibri" w:hAnsiTheme="majorHAnsi" w:cstheme="majorHAnsi"/>
            <w:bCs/>
            <w:i/>
            <w:color w:val="0096A3"/>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10177" w14:textId="77777777" w:rsidR="00BB6C06" w:rsidRDefault="00BB6C06">
      <w:r>
        <w:separator/>
      </w:r>
    </w:p>
  </w:endnote>
  <w:endnote w:type="continuationSeparator" w:id="0">
    <w:p w14:paraId="45885442" w14:textId="77777777" w:rsidR="00BB6C06" w:rsidRDefault="00BB6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00000000" w:usb1="00000000" w:usb2="00000000" w:usb3="00000000" w:csb0="000001F7"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26F82FFE"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380BA1">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DF7C56" w14:textId="77777777" w:rsidR="00BB6C06" w:rsidRDefault="00BB6C06">
      <w:r>
        <w:separator/>
      </w:r>
    </w:p>
  </w:footnote>
  <w:footnote w:type="continuationSeparator" w:id="0">
    <w:p w14:paraId="34644F5F" w14:textId="77777777" w:rsidR="00BB6C06" w:rsidRDefault="00BB6C06">
      <w:r>
        <w:continuationSeparator/>
      </w:r>
    </w:p>
  </w:footnote>
  <w:footnote w:id="1">
    <w:p w14:paraId="7306DD3C" w14:textId="3EA8A1D4" w:rsidR="007F7529" w:rsidRPr="00B02568" w:rsidRDefault="007F7529" w:rsidP="007F7529">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Pinheiro, P. S. (2006), </w:t>
      </w:r>
      <w:r w:rsidRPr="00B02568">
        <w:rPr>
          <w:rFonts w:asciiTheme="majorHAnsi" w:hAnsiTheme="majorHAnsi" w:cstheme="majorHAnsi"/>
          <w:i/>
        </w:rPr>
        <w:t>World Report on Violence against Children</w:t>
      </w:r>
      <w:r w:rsidRPr="00B02568">
        <w:rPr>
          <w:rFonts w:asciiTheme="majorHAnsi" w:hAnsiTheme="majorHAnsi" w:cstheme="majorHAnsi"/>
        </w:rPr>
        <w:t>, Geneva: United Nations. See also Krug E. G. et al (eds) (2002),</w:t>
      </w:r>
      <w:r w:rsidRPr="00B02568">
        <w:rPr>
          <w:rFonts w:asciiTheme="majorHAnsi" w:hAnsiTheme="majorHAnsi" w:cstheme="majorHAnsi"/>
          <w:i/>
          <w:iCs/>
        </w:rPr>
        <w:t xml:space="preserve"> World Report on Violence and Health, </w:t>
      </w:r>
      <w:r w:rsidRPr="00B02568">
        <w:rPr>
          <w:rFonts w:asciiTheme="majorHAnsi" w:hAnsiTheme="majorHAnsi" w:cstheme="majorHAnsi"/>
        </w:rPr>
        <w:t>Geneva: World Health Organisation</w:t>
      </w:r>
    </w:p>
  </w:footnote>
  <w:footnote w:id="2">
    <w:p w14:paraId="358CC04B" w14:textId="77777777" w:rsidR="00312D2C" w:rsidRPr="00B02568" w:rsidRDefault="00312D2C" w:rsidP="00312D2C">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Ministry of Youth and Culture (2013), </w:t>
      </w:r>
      <w:r w:rsidRPr="00B02568">
        <w:rPr>
          <w:rFonts w:asciiTheme="majorHAnsi" w:hAnsiTheme="majorHAnsi" w:cstheme="majorHAnsi"/>
          <w:i/>
        </w:rPr>
        <w:t>A Policy to Amend the Child Care and Protection Act &amp; Children’s Homes Regulations</w:t>
      </w:r>
      <w:r w:rsidRPr="00B02568">
        <w:rPr>
          <w:rFonts w:asciiTheme="majorHAnsi" w:hAnsiTheme="majorHAnsi" w:cstheme="majorHAnsi"/>
        </w:rPr>
        <w:t>, Child Development Agency, Revised Draft dated 31 December 2013</w:t>
      </w:r>
    </w:p>
  </w:footnote>
  <w:footnote w:id="3">
    <w:p w14:paraId="73B9CAF2" w14:textId="77777777" w:rsidR="00312D2C" w:rsidRPr="00B02568" w:rsidRDefault="00312D2C" w:rsidP="00312D2C">
      <w:pPr>
        <w:pStyle w:val="FootnoteText"/>
        <w:rPr>
          <w:rFonts w:asciiTheme="majorHAnsi" w:hAnsiTheme="majorHAnsi" w:cstheme="majorHAnsi"/>
          <w:lang w:val="en-US"/>
        </w:rPr>
      </w:pPr>
      <w:r w:rsidRPr="00B02568">
        <w:rPr>
          <w:rStyle w:val="FootnoteReference"/>
          <w:rFonts w:asciiTheme="majorHAnsi" w:hAnsiTheme="majorHAnsi" w:cstheme="majorHAnsi"/>
        </w:rPr>
        <w:footnoteRef/>
      </w:r>
      <w:r w:rsidRPr="00B02568">
        <w:rPr>
          <w:rFonts w:asciiTheme="majorHAnsi" w:hAnsiTheme="majorHAnsi" w:cstheme="majorHAnsi"/>
        </w:rPr>
        <w:t xml:space="preserve"> </w:t>
      </w:r>
      <w:r w:rsidRPr="00B02568">
        <w:rPr>
          <w:rFonts w:asciiTheme="majorHAnsi" w:eastAsiaTheme="minorHAnsi" w:hAnsiTheme="majorHAnsi" w:cstheme="majorHAnsi"/>
          <w:lang w:val="en-US"/>
        </w:rPr>
        <w:t>11 December 2014, CRC/C/JAM/Q/3-4/Add.1, Reply to list of issues, paras. 1 and 2</w:t>
      </w:r>
    </w:p>
  </w:footnote>
  <w:footnote w:id="4">
    <w:p w14:paraId="39AB8D9E" w14:textId="77777777" w:rsidR="00312D2C" w:rsidRPr="00B02568" w:rsidRDefault="00312D2C" w:rsidP="00312D2C">
      <w:pPr>
        <w:pStyle w:val="FootnoteText"/>
        <w:rPr>
          <w:rFonts w:asciiTheme="majorHAnsi" w:hAnsiTheme="majorHAnsi" w:cstheme="majorHAnsi"/>
          <w:lang w:val="en-US"/>
        </w:rPr>
      </w:pPr>
      <w:r w:rsidRPr="00B02568">
        <w:rPr>
          <w:rStyle w:val="FootnoteReference"/>
          <w:rFonts w:asciiTheme="majorHAnsi" w:hAnsiTheme="majorHAnsi" w:cstheme="majorHAnsi"/>
        </w:rPr>
        <w:footnoteRef/>
      </w:r>
      <w:r w:rsidRPr="00B02568">
        <w:rPr>
          <w:rFonts w:asciiTheme="majorHAnsi" w:hAnsiTheme="majorHAnsi" w:cstheme="majorHAnsi"/>
        </w:rPr>
        <w:t xml:space="preserve"> </w:t>
      </w:r>
      <w:r w:rsidRPr="00B02568">
        <w:rPr>
          <w:rFonts w:asciiTheme="majorHAnsi" w:hAnsiTheme="majorHAnsi" w:cstheme="majorHAnsi"/>
          <w:lang w:val="en-US"/>
        </w:rPr>
        <w:t>ibid., para. 22</w:t>
      </w:r>
    </w:p>
  </w:footnote>
  <w:footnote w:id="5">
    <w:p w14:paraId="0564A8DD" w14:textId="77777777" w:rsidR="00312D2C" w:rsidRPr="00B02568" w:rsidRDefault="00312D2C" w:rsidP="00312D2C">
      <w:pPr>
        <w:pStyle w:val="FootnoteText"/>
        <w:rPr>
          <w:rFonts w:asciiTheme="majorHAnsi" w:hAnsiTheme="majorHAnsi" w:cstheme="majorHAnsi"/>
          <w:lang w:val="en-US"/>
        </w:rPr>
      </w:pPr>
      <w:r w:rsidRPr="00B02568">
        <w:rPr>
          <w:rStyle w:val="FootnoteReference"/>
          <w:rFonts w:asciiTheme="majorHAnsi" w:hAnsiTheme="majorHAnsi" w:cstheme="majorHAnsi"/>
        </w:rPr>
        <w:footnoteRef/>
      </w:r>
      <w:r w:rsidRPr="00B02568">
        <w:rPr>
          <w:rFonts w:asciiTheme="majorHAnsi" w:hAnsiTheme="majorHAnsi" w:cstheme="majorHAnsi"/>
        </w:rPr>
        <w:t xml:space="preserve"> </w:t>
      </w:r>
      <w:r w:rsidRPr="00B02568">
        <w:rPr>
          <w:rFonts w:asciiTheme="majorHAnsi" w:eastAsiaTheme="minorHAnsi" w:hAnsiTheme="majorHAnsi" w:cstheme="majorHAnsi"/>
          <w:lang w:val="en-US"/>
        </w:rPr>
        <w:t>27 January 2015, CRC/C/SR.1951, Summary record of 1951st meeting, para. 3</w:t>
      </w:r>
    </w:p>
  </w:footnote>
  <w:footnote w:id="6">
    <w:p w14:paraId="01AEDE30" w14:textId="77777777" w:rsidR="00312D2C" w:rsidRPr="00B02568" w:rsidRDefault="00312D2C" w:rsidP="00312D2C">
      <w:pPr>
        <w:pStyle w:val="FootnoteText"/>
        <w:rPr>
          <w:rFonts w:asciiTheme="majorHAnsi" w:hAnsiTheme="majorHAnsi" w:cstheme="majorHAnsi"/>
          <w:lang w:val="en-US"/>
        </w:rPr>
      </w:pPr>
      <w:r w:rsidRPr="00B02568">
        <w:rPr>
          <w:rStyle w:val="FootnoteReference"/>
          <w:rFonts w:asciiTheme="majorHAnsi" w:hAnsiTheme="majorHAnsi" w:cstheme="majorHAnsi"/>
        </w:rPr>
        <w:footnoteRef/>
      </w:r>
      <w:r w:rsidRPr="00B02568">
        <w:rPr>
          <w:rFonts w:asciiTheme="majorHAnsi" w:hAnsiTheme="majorHAnsi" w:cstheme="majorHAnsi"/>
        </w:rPr>
        <w:t xml:space="preserve"> </w:t>
      </w:r>
      <w:hyperlink r:id="rId1" w:history="1">
        <w:r w:rsidRPr="00B02568">
          <w:rPr>
            <w:rStyle w:val="Hyperlink"/>
            <w:rFonts w:asciiTheme="majorHAnsi" w:hAnsiTheme="majorHAnsi" w:cstheme="majorHAnsi"/>
          </w:rPr>
          <w:t>www.japarliament.gov.jm/index.php?option=com_content&amp;view=article&amp;id=1338&amp;Itemid=55</w:t>
        </w:r>
      </w:hyperlink>
      <w:r w:rsidRPr="00B02568">
        <w:rPr>
          <w:rFonts w:asciiTheme="majorHAnsi" w:hAnsiTheme="majorHAnsi" w:cstheme="majorHAnsi"/>
        </w:rPr>
        <w:t>, accessed 7 May 2015</w:t>
      </w:r>
    </w:p>
  </w:footnote>
  <w:footnote w:id="7">
    <w:p w14:paraId="2C8E77E2" w14:textId="77777777" w:rsidR="00312D2C" w:rsidRPr="00B02568" w:rsidRDefault="00312D2C" w:rsidP="00312D2C">
      <w:pPr>
        <w:pStyle w:val="FootnoteText"/>
        <w:rPr>
          <w:rFonts w:asciiTheme="majorHAnsi" w:hAnsiTheme="majorHAnsi" w:cstheme="majorHAnsi"/>
          <w:lang w:val="en-US"/>
        </w:rPr>
      </w:pPr>
      <w:r w:rsidRPr="00B02568">
        <w:rPr>
          <w:rStyle w:val="FootnoteReference"/>
          <w:rFonts w:asciiTheme="majorHAnsi" w:hAnsiTheme="majorHAnsi" w:cstheme="majorHAnsi"/>
        </w:rPr>
        <w:footnoteRef/>
      </w:r>
      <w:r w:rsidRPr="00B02568">
        <w:rPr>
          <w:rFonts w:asciiTheme="majorHAnsi" w:hAnsiTheme="majorHAnsi" w:cstheme="majorHAnsi"/>
        </w:rPr>
        <w:t xml:space="preserve"> </w:t>
      </w:r>
      <w:hyperlink r:id="rId2" w:history="1">
        <w:r w:rsidRPr="00B02568">
          <w:rPr>
            <w:rStyle w:val="Hyperlink"/>
            <w:rFonts w:asciiTheme="majorHAnsi" w:hAnsiTheme="majorHAnsi" w:cstheme="majorHAnsi"/>
          </w:rPr>
          <w:t>jamaica-gleaner.com/article/lead-stories/20150511/youth-ministry-not-ready-ban-corporal-punishment</w:t>
        </w:r>
      </w:hyperlink>
      <w:r w:rsidRPr="00B02568">
        <w:rPr>
          <w:rFonts w:asciiTheme="majorHAnsi" w:hAnsiTheme="majorHAnsi" w:cstheme="majorHAnsi"/>
        </w:rPr>
        <w:t>, accessed 14 May 2015</w:t>
      </w:r>
    </w:p>
  </w:footnote>
  <w:footnote w:id="8">
    <w:p w14:paraId="7099E587" w14:textId="77777777" w:rsidR="00312D2C" w:rsidRPr="00B02568" w:rsidRDefault="00312D2C" w:rsidP="00312D2C">
      <w:pPr>
        <w:pStyle w:val="FootnoteText"/>
        <w:rPr>
          <w:rFonts w:asciiTheme="majorHAnsi" w:hAnsiTheme="majorHAnsi" w:cstheme="majorHAnsi"/>
          <w:lang w:val="en-US"/>
        </w:rPr>
      </w:pPr>
      <w:r w:rsidRPr="00B02568">
        <w:rPr>
          <w:rStyle w:val="FootnoteReference"/>
          <w:rFonts w:asciiTheme="majorHAnsi" w:hAnsiTheme="majorHAnsi" w:cstheme="majorHAnsi"/>
        </w:rPr>
        <w:footnoteRef/>
      </w:r>
      <w:r w:rsidRPr="00B02568">
        <w:rPr>
          <w:rFonts w:asciiTheme="majorHAnsi" w:hAnsiTheme="majorHAnsi" w:cstheme="majorHAnsi"/>
        </w:rPr>
        <w:t xml:space="preserve"> </w:t>
      </w:r>
      <w:r w:rsidRPr="00B02568">
        <w:rPr>
          <w:rFonts w:asciiTheme="majorHAnsi" w:eastAsiaTheme="minorHAnsi" w:hAnsiTheme="majorHAnsi" w:cstheme="majorHAnsi"/>
          <w:lang w:val="en-US"/>
        </w:rPr>
        <w:t>27 April 2015, A/HRC/WG.6/22/JAM/1, National report to the UPR, para. 94</w:t>
      </w:r>
    </w:p>
  </w:footnote>
  <w:footnote w:id="9">
    <w:p w14:paraId="5B076760" w14:textId="77777777" w:rsidR="00312D2C" w:rsidRPr="00B02568" w:rsidRDefault="00312D2C" w:rsidP="00312D2C">
      <w:pPr>
        <w:pStyle w:val="FootnoteText"/>
        <w:rPr>
          <w:rFonts w:asciiTheme="majorHAnsi" w:hAnsiTheme="majorHAnsi" w:cstheme="majorHAnsi"/>
          <w:lang w:val="en-US"/>
        </w:rPr>
      </w:pPr>
      <w:r w:rsidRPr="00B02568">
        <w:rPr>
          <w:rStyle w:val="FootnoteReference"/>
          <w:rFonts w:asciiTheme="majorHAnsi" w:hAnsiTheme="majorHAnsi" w:cstheme="majorHAnsi"/>
        </w:rPr>
        <w:footnoteRef/>
      </w:r>
      <w:r w:rsidRPr="00B02568">
        <w:rPr>
          <w:rFonts w:asciiTheme="majorHAnsi" w:hAnsiTheme="majorHAnsi" w:cstheme="majorHAnsi"/>
        </w:rPr>
        <w:t xml:space="preserve"> </w:t>
      </w:r>
      <w:r w:rsidRPr="00B02568">
        <w:rPr>
          <w:rFonts w:asciiTheme="majorHAnsi" w:eastAsiaTheme="minorHAnsi" w:hAnsiTheme="majorHAnsi" w:cstheme="majorHAnsi"/>
          <w:lang w:val="en-US"/>
        </w:rPr>
        <w:t>20 July 2015, A/HRC/30/15, Report of the working group, paras. 120(6), 121(53) and 121(54); 25 September 2015, A/HRC/30/15/Add.1, Report of the working group: Addendum</w:t>
      </w:r>
    </w:p>
  </w:footnote>
  <w:footnote w:id="10">
    <w:p w14:paraId="4615A71D" w14:textId="77777777" w:rsidR="00312D2C" w:rsidRPr="00B02568" w:rsidRDefault="00312D2C" w:rsidP="00312D2C">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See </w:t>
      </w:r>
      <w:hyperlink r:id="rId3" w:history="1">
        <w:r w:rsidRPr="00B02568">
          <w:rPr>
            <w:rStyle w:val="Hyperlink"/>
            <w:rFonts w:asciiTheme="majorHAnsi" w:hAnsiTheme="majorHAnsi" w:cstheme="majorHAnsi"/>
          </w:rPr>
          <w:t>http://www.jamaicaobserver.com/news/holness-wants-end-to-corporal-punishment-calls-for-debate_116413?profile=1373</w:t>
        </w:r>
      </w:hyperlink>
      <w:r w:rsidRPr="00B02568">
        <w:rPr>
          <w:rFonts w:asciiTheme="majorHAnsi" w:hAnsiTheme="majorHAnsi" w:cstheme="majorHAnsi"/>
        </w:rPr>
        <w:t>, accessed 8 November 2017</w:t>
      </w:r>
    </w:p>
  </w:footnote>
  <w:footnote w:id="11">
    <w:p w14:paraId="584AE249" w14:textId="77777777" w:rsidR="00312D2C" w:rsidRPr="00B02568" w:rsidRDefault="00312D2C" w:rsidP="00312D2C">
      <w:pPr>
        <w:pStyle w:val="FootnoteText"/>
        <w:rPr>
          <w:rFonts w:asciiTheme="majorHAnsi" w:hAnsiTheme="majorHAnsi" w:cstheme="majorHAnsi"/>
          <w:lang w:val="en-US"/>
        </w:rPr>
      </w:pPr>
      <w:r w:rsidRPr="00B02568">
        <w:rPr>
          <w:rStyle w:val="FootnoteReference"/>
          <w:rFonts w:asciiTheme="majorHAnsi" w:hAnsiTheme="majorHAnsi" w:cstheme="majorHAnsi"/>
        </w:rPr>
        <w:footnoteRef/>
      </w:r>
      <w:r w:rsidRPr="00B02568">
        <w:rPr>
          <w:rFonts w:asciiTheme="majorHAnsi" w:hAnsiTheme="majorHAnsi" w:cstheme="majorHAnsi"/>
        </w:rPr>
        <w:t xml:space="preserve"> </w:t>
      </w:r>
      <w:r w:rsidRPr="00B02568">
        <w:rPr>
          <w:rFonts w:asciiTheme="majorHAnsi" w:hAnsiTheme="majorHAnsi" w:cstheme="majorHAnsi"/>
          <w:i/>
        </w:rPr>
        <w:t xml:space="preserve">Ryan v Fildes </w:t>
      </w:r>
      <w:r w:rsidRPr="00B02568">
        <w:rPr>
          <w:rFonts w:asciiTheme="majorHAnsi" w:hAnsiTheme="majorHAnsi" w:cstheme="majorHAnsi"/>
        </w:rPr>
        <w:t>[1983] 3 All E.R.517</w:t>
      </w:r>
    </w:p>
  </w:footnote>
  <w:footnote w:id="12">
    <w:p w14:paraId="4BD7F9F0" w14:textId="77777777" w:rsidR="00312D2C" w:rsidRPr="00B02568" w:rsidRDefault="00312D2C" w:rsidP="00312D2C">
      <w:pPr>
        <w:pStyle w:val="FootnoteText"/>
        <w:rPr>
          <w:rFonts w:asciiTheme="majorHAnsi" w:hAnsiTheme="majorHAnsi" w:cstheme="majorHAnsi"/>
          <w:lang w:val="en-US"/>
        </w:rPr>
      </w:pPr>
      <w:r w:rsidRPr="00B02568">
        <w:rPr>
          <w:rStyle w:val="FootnoteReference"/>
          <w:rFonts w:asciiTheme="majorHAnsi" w:hAnsiTheme="majorHAnsi" w:cstheme="majorHAnsi"/>
        </w:rPr>
        <w:footnoteRef/>
      </w:r>
      <w:r w:rsidRPr="00B02568">
        <w:rPr>
          <w:rFonts w:asciiTheme="majorHAnsi" w:hAnsiTheme="majorHAnsi" w:cstheme="majorHAnsi"/>
        </w:rPr>
        <w:t xml:space="preserve"> Ministry of Education School Bulletin 94/08</w:t>
      </w:r>
    </w:p>
  </w:footnote>
  <w:footnote w:id="13">
    <w:p w14:paraId="379C49D9" w14:textId="77777777" w:rsidR="00312D2C" w:rsidRPr="00B02568" w:rsidRDefault="00312D2C" w:rsidP="00312D2C">
      <w:pPr>
        <w:pStyle w:val="FootnoteText"/>
        <w:rPr>
          <w:rFonts w:asciiTheme="majorHAnsi" w:hAnsiTheme="majorHAnsi" w:cstheme="majorHAnsi"/>
          <w:lang w:val="en-US"/>
        </w:rPr>
      </w:pPr>
      <w:r w:rsidRPr="00B02568">
        <w:rPr>
          <w:rStyle w:val="FootnoteReference"/>
          <w:rFonts w:asciiTheme="majorHAnsi" w:hAnsiTheme="majorHAnsi" w:cstheme="majorHAnsi"/>
        </w:rPr>
        <w:footnoteRef/>
      </w:r>
      <w:r w:rsidRPr="00B02568">
        <w:rPr>
          <w:rFonts w:asciiTheme="majorHAnsi" w:hAnsiTheme="majorHAnsi" w:cstheme="majorHAnsi"/>
        </w:rPr>
        <w:t xml:space="preserve"> 11 July 2011, CCPR/C/JAM/Q/3/Add.1, Written reply to Human Rights Committee list of issues, para. 83</w:t>
      </w:r>
    </w:p>
  </w:footnote>
  <w:footnote w:id="14">
    <w:p w14:paraId="01C9E5A0" w14:textId="77777777" w:rsidR="00312D2C" w:rsidRPr="00B02568" w:rsidRDefault="00312D2C" w:rsidP="00312D2C">
      <w:pPr>
        <w:pStyle w:val="FootnoteText"/>
        <w:rPr>
          <w:rFonts w:asciiTheme="majorHAnsi" w:hAnsiTheme="majorHAnsi" w:cstheme="majorHAnsi"/>
          <w:lang w:val="en-US"/>
        </w:rPr>
      </w:pPr>
      <w:r w:rsidRPr="00B02568">
        <w:rPr>
          <w:rStyle w:val="FootnoteReference"/>
          <w:rFonts w:asciiTheme="majorHAnsi" w:hAnsiTheme="majorHAnsi" w:cstheme="majorHAnsi"/>
        </w:rPr>
        <w:footnoteRef/>
      </w:r>
      <w:r w:rsidRPr="00B02568">
        <w:rPr>
          <w:rFonts w:asciiTheme="majorHAnsi" w:hAnsiTheme="majorHAnsi" w:cstheme="majorHAnsi"/>
        </w:rPr>
        <w:t xml:space="preserve"> </w:t>
      </w:r>
      <w:hyperlink r:id="rId4" w:history="1">
        <w:r w:rsidRPr="00B02568">
          <w:rPr>
            <w:rStyle w:val="Hyperlink"/>
            <w:rFonts w:asciiTheme="majorHAnsi" w:hAnsiTheme="majorHAnsi" w:cstheme="majorHAnsi"/>
          </w:rPr>
          <w:t>http://www.japarliament.gov.jm</w:t>
        </w:r>
      </w:hyperlink>
      <w:r w:rsidRPr="00B02568">
        <w:rPr>
          <w:rFonts w:asciiTheme="majorHAnsi" w:hAnsiTheme="majorHAnsi" w:cstheme="majorHAnsi"/>
        </w:rPr>
        <w:t>, accessed 7 May 2015</w:t>
      </w:r>
    </w:p>
  </w:footnote>
  <w:footnote w:id="15">
    <w:p w14:paraId="397ACBCB" w14:textId="77777777" w:rsidR="00312D2C" w:rsidRPr="00B02568" w:rsidRDefault="00312D2C" w:rsidP="00312D2C">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w:t>
      </w:r>
      <w:r w:rsidRPr="00B02568">
        <w:rPr>
          <w:rFonts w:asciiTheme="majorHAnsi" w:hAnsiTheme="majorHAnsi" w:cstheme="majorHAnsi"/>
          <w:i/>
        </w:rPr>
        <w:t>The Jamaican Gleaner</w:t>
      </w:r>
      <w:r w:rsidRPr="00B02568">
        <w:rPr>
          <w:rFonts w:asciiTheme="majorHAnsi" w:hAnsiTheme="majorHAnsi" w:cstheme="majorHAnsi"/>
        </w:rPr>
        <w:t xml:space="preserve">, 14 February 2016, </w:t>
      </w:r>
      <w:hyperlink r:id="rId5" w:history="1">
        <w:r w:rsidRPr="00B02568">
          <w:rPr>
            <w:rStyle w:val="Hyperlink"/>
            <w:rFonts w:asciiTheme="majorHAnsi" w:hAnsiTheme="majorHAnsi" w:cstheme="majorHAnsi"/>
          </w:rPr>
          <w:t>http://jamaica-gleaner.com/article/news/20160214/short-sharp-shock-education-minister-not-opposed-some-corporal-punishment</w:t>
        </w:r>
      </w:hyperlink>
      <w:r w:rsidRPr="00B02568">
        <w:rPr>
          <w:rFonts w:asciiTheme="majorHAnsi" w:hAnsiTheme="majorHAnsi" w:cstheme="majorHAnsi"/>
        </w:rPr>
        <w:t>, accessed 15 February 2016</w:t>
      </w:r>
    </w:p>
  </w:footnote>
  <w:footnote w:id="16">
    <w:p w14:paraId="36E90C15" w14:textId="77777777" w:rsidR="00312D2C" w:rsidRPr="00B02568" w:rsidRDefault="00312D2C" w:rsidP="00312D2C">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18 October 2016, CCPR/C/JAM/Q/4/Add.1, Reply to the list of issues on fourth report, para. 122</w:t>
      </w:r>
    </w:p>
  </w:footnote>
  <w:footnote w:id="17">
    <w:p w14:paraId="25814A3D" w14:textId="77777777" w:rsidR="00312D2C" w:rsidRPr="00B02568" w:rsidRDefault="00312D2C" w:rsidP="00312D2C">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See </w:t>
      </w:r>
      <w:hyperlink r:id="rId6" w:history="1">
        <w:r w:rsidRPr="00B02568">
          <w:rPr>
            <w:rStyle w:val="Hyperlink"/>
            <w:rFonts w:asciiTheme="majorHAnsi" w:hAnsiTheme="majorHAnsi" w:cstheme="majorHAnsi"/>
          </w:rPr>
          <w:t>http://linkis.com/rjrnewsonline.com/lo/KkqY6</w:t>
        </w:r>
      </w:hyperlink>
      <w:r w:rsidRPr="00B02568">
        <w:rPr>
          <w:rFonts w:asciiTheme="majorHAnsi" w:hAnsiTheme="majorHAnsi" w:cstheme="majorHAnsi"/>
        </w:rPr>
        <w:t>, accessed 22 March 2017</w:t>
      </w:r>
    </w:p>
  </w:footnote>
  <w:footnote w:id="18">
    <w:p w14:paraId="08B16EF2" w14:textId="77777777" w:rsidR="007D5227" w:rsidRPr="00B02568" w:rsidRDefault="007D5227" w:rsidP="007D5227">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15 February 1995, CRC/C/15/Add.32, Concluding observations on initial report, para. 7</w:t>
      </w:r>
    </w:p>
  </w:footnote>
  <w:footnote w:id="19">
    <w:p w14:paraId="19F9E79F" w14:textId="77777777" w:rsidR="007D5227" w:rsidRPr="00B02568" w:rsidRDefault="007D5227" w:rsidP="007D5227">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4 July 2003, CRC/C/15/Add.210, Concluding observations on second report, paras. 33, 48 and 49</w:t>
      </w:r>
    </w:p>
  </w:footnote>
  <w:footnote w:id="20">
    <w:p w14:paraId="6E5CF6D1" w14:textId="78099015" w:rsidR="000827FD" w:rsidRPr="00B02568" w:rsidRDefault="000827FD">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w:t>
      </w:r>
      <w:r w:rsidRPr="00B02568">
        <w:rPr>
          <w:rFonts w:asciiTheme="majorHAnsi" w:eastAsiaTheme="minorHAnsi" w:hAnsiTheme="majorHAnsi" w:cstheme="majorHAnsi"/>
          <w:color w:val="000000"/>
          <w:lang w:val="en-US"/>
        </w:rPr>
        <w:t>4 February 2015, CRC/C/JAM/CO/3-4 Advance Unedited Version, Concluding observations on third-fourth report, paras. 30 and 31</w:t>
      </w:r>
    </w:p>
  </w:footnote>
  <w:footnote w:id="21">
    <w:p w14:paraId="5C8E9039" w14:textId="77777777" w:rsidR="007D5227" w:rsidRPr="00B02568" w:rsidRDefault="007D5227" w:rsidP="007D5227">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30 November 2001, E/C.12/1/Add.75, Concluding observations on second report, para.14</w:t>
      </w:r>
    </w:p>
  </w:footnote>
  <w:footnote w:id="22">
    <w:p w14:paraId="643FD54A" w14:textId="77777777" w:rsidR="007D5227" w:rsidRPr="00B02568" w:rsidRDefault="007D5227" w:rsidP="007D5227">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10 June 2013, E/C.12/JAM/CO/3-4, Concluding observations on third/fourth report, para. 20</w:t>
      </w:r>
    </w:p>
  </w:footnote>
  <w:footnote w:id="23">
    <w:p w14:paraId="3BFF2C2C" w14:textId="77777777" w:rsidR="007D5227" w:rsidRPr="00B02568" w:rsidRDefault="007D5227" w:rsidP="007D5227">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19 November 1997, CCPR/C/79/Add.83, Concluding observations on second report, para. 15</w:t>
      </w:r>
    </w:p>
  </w:footnote>
  <w:footnote w:id="24">
    <w:p w14:paraId="474E7158" w14:textId="77777777" w:rsidR="007D5227" w:rsidRPr="00B02568" w:rsidRDefault="007D5227" w:rsidP="007D5227">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17 November 2011, CCPR/C/JAM/CO/3, Concluding observations on third report, para. 20</w:t>
      </w:r>
    </w:p>
  </w:footnote>
  <w:footnote w:id="25">
    <w:p w14:paraId="78714E7A" w14:textId="7E9EE62F" w:rsidR="000827FD" w:rsidRPr="00B02568" w:rsidRDefault="000827FD">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22 November 2016, CCPR/C/JAM/CO/4, Concluding observations on fourth report, paras. 45 and 46</w:t>
      </w:r>
    </w:p>
  </w:footnote>
  <w:footnote w:id="26">
    <w:p w14:paraId="1BEA32EB" w14:textId="77777777" w:rsidR="007D5227" w:rsidRPr="00B02568" w:rsidRDefault="007D5227" w:rsidP="007D5227">
      <w:pPr>
        <w:pStyle w:val="FootnoteText"/>
        <w:rPr>
          <w:rFonts w:asciiTheme="majorHAnsi" w:hAnsiTheme="majorHAnsi" w:cstheme="majorHAnsi"/>
          <w:lang w:val="en-US"/>
        </w:rPr>
      </w:pPr>
      <w:r w:rsidRPr="00B02568">
        <w:rPr>
          <w:rStyle w:val="FootnoteReference"/>
          <w:rFonts w:asciiTheme="majorHAnsi" w:hAnsiTheme="majorHAnsi" w:cstheme="majorHAnsi"/>
        </w:rPr>
        <w:footnoteRef/>
      </w:r>
      <w:r w:rsidRPr="00B02568">
        <w:rPr>
          <w:rFonts w:asciiTheme="majorHAnsi" w:hAnsiTheme="majorHAnsi" w:cstheme="majorHAnsi"/>
        </w:rPr>
        <w:t xml:space="preserve"> 4 January 2011, A/HRC/16/14, Report of the working group, para. 99(10)</w:t>
      </w:r>
    </w:p>
  </w:footnote>
  <w:footnote w:id="27">
    <w:p w14:paraId="417E9FF6" w14:textId="568E6FE5" w:rsidR="000827FD" w:rsidRPr="00B02568" w:rsidRDefault="000827FD" w:rsidP="000827FD">
      <w:pPr>
        <w:pStyle w:val="FootnoteText"/>
        <w:rPr>
          <w:rFonts w:asciiTheme="majorHAnsi" w:hAnsiTheme="majorHAnsi" w:cstheme="majorHAnsi"/>
        </w:rPr>
      </w:pPr>
      <w:r w:rsidRPr="00B02568">
        <w:rPr>
          <w:rStyle w:val="FootnoteReference"/>
          <w:rFonts w:asciiTheme="majorHAnsi" w:hAnsiTheme="majorHAnsi" w:cstheme="majorHAnsi"/>
        </w:rPr>
        <w:footnoteRef/>
      </w:r>
      <w:r w:rsidRPr="00B02568">
        <w:rPr>
          <w:rFonts w:asciiTheme="majorHAnsi" w:hAnsiTheme="majorHAnsi" w:cstheme="majorHAnsi"/>
        </w:rPr>
        <w:t xml:space="preserve"> </w:t>
      </w:r>
      <w:r w:rsidRPr="00B02568">
        <w:rPr>
          <w:rFonts w:asciiTheme="majorHAnsi" w:eastAsiaTheme="minorHAnsi" w:hAnsiTheme="majorHAnsi" w:cstheme="majorHAnsi"/>
          <w:lang w:val="en-US"/>
        </w:rPr>
        <w:t>20 July 2015, A/HRC/30/15, Report of the working group, paras. 120(6), 121(53) and 121(54)</w:t>
      </w:r>
      <w:r w:rsidR="00F80858" w:rsidRPr="00B02568">
        <w:rPr>
          <w:rFonts w:asciiTheme="majorHAnsi" w:eastAsiaTheme="minorHAnsi" w:hAnsiTheme="majorHAnsi" w:cstheme="majorHAnsi"/>
          <w:lang w:val="en-US"/>
        </w:rPr>
        <w:t>; 25 September 2015, A/HRC/30/15/Add.1,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0DE2"/>
    <w:rsid w:val="000214C5"/>
    <w:rsid w:val="000217BF"/>
    <w:rsid w:val="000217FB"/>
    <w:rsid w:val="0002547D"/>
    <w:rsid w:val="000265D6"/>
    <w:rsid w:val="00030FED"/>
    <w:rsid w:val="0003240E"/>
    <w:rsid w:val="000338A8"/>
    <w:rsid w:val="000533A7"/>
    <w:rsid w:val="00075396"/>
    <w:rsid w:val="00077E55"/>
    <w:rsid w:val="000827FD"/>
    <w:rsid w:val="000859C9"/>
    <w:rsid w:val="0008612D"/>
    <w:rsid w:val="000932B3"/>
    <w:rsid w:val="000A3923"/>
    <w:rsid w:val="000D7F80"/>
    <w:rsid w:val="000E558E"/>
    <w:rsid w:val="00106569"/>
    <w:rsid w:val="001117DC"/>
    <w:rsid w:val="001119F0"/>
    <w:rsid w:val="00126D81"/>
    <w:rsid w:val="00127339"/>
    <w:rsid w:val="0014131F"/>
    <w:rsid w:val="00142366"/>
    <w:rsid w:val="00143759"/>
    <w:rsid w:val="00147F85"/>
    <w:rsid w:val="00150855"/>
    <w:rsid w:val="00162F5A"/>
    <w:rsid w:val="001768A1"/>
    <w:rsid w:val="00181FAC"/>
    <w:rsid w:val="001847FF"/>
    <w:rsid w:val="00186788"/>
    <w:rsid w:val="00187327"/>
    <w:rsid w:val="001919DD"/>
    <w:rsid w:val="001947F2"/>
    <w:rsid w:val="001A0102"/>
    <w:rsid w:val="001B2F6E"/>
    <w:rsid w:val="001B43AF"/>
    <w:rsid w:val="001B7D95"/>
    <w:rsid w:val="001C55D9"/>
    <w:rsid w:val="001D1655"/>
    <w:rsid w:val="001D56D4"/>
    <w:rsid w:val="001E140B"/>
    <w:rsid w:val="001E2769"/>
    <w:rsid w:val="001F05A0"/>
    <w:rsid w:val="001F68F0"/>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10F1"/>
    <w:rsid w:val="00284C98"/>
    <w:rsid w:val="00285A47"/>
    <w:rsid w:val="002A01E3"/>
    <w:rsid w:val="002A06FC"/>
    <w:rsid w:val="002A3229"/>
    <w:rsid w:val="002A7206"/>
    <w:rsid w:val="002B20D3"/>
    <w:rsid w:val="002B3F16"/>
    <w:rsid w:val="002C5DAB"/>
    <w:rsid w:val="002D6FD4"/>
    <w:rsid w:val="002E09C9"/>
    <w:rsid w:val="002E2D70"/>
    <w:rsid w:val="002E4E5B"/>
    <w:rsid w:val="002E61CE"/>
    <w:rsid w:val="002F528D"/>
    <w:rsid w:val="00301753"/>
    <w:rsid w:val="00306C1D"/>
    <w:rsid w:val="00307A90"/>
    <w:rsid w:val="00312228"/>
    <w:rsid w:val="00312D2C"/>
    <w:rsid w:val="00315F04"/>
    <w:rsid w:val="00316151"/>
    <w:rsid w:val="00322E14"/>
    <w:rsid w:val="00327C1C"/>
    <w:rsid w:val="00347EAC"/>
    <w:rsid w:val="00353CF1"/>
    <w:rsid w:val="00353EF8"/>
    <w:rsid w:val="00361051"/>
    <w:rsid w:val="003617F3"/>
    <w:rsid w:val="0036194C"/>
    <w:rsid w:val="003653BB"/>
    <w:rsid w:val="00373271"/>
    <w:rsid w:val="003757DE"/>
    <w:rsid w:val="003764A5"/>
    <w:rsid w:val="00380BA1"/>
    <w:rsid w:val="00382A8F"/>
    <w:rsid w:val="003942F0"/>
    <w:rsid w:val="003A1FDA"/>
    <w:rsid w:val="003A2D7A"/>
    <w:rsid w:val="003B1533"/>
    <w:rsid w:val="003C2A68"/>
    <w:rsid w:val="003D4B76"/>
    <w:rsid w:val="003D6A85"/>
    <w:rsid w:val="003E1F72"/>
    <w:rsid w:val="003E35BE"/>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866EF"/>
    <w:rsid w:val="00490379"/>
    <w:rsid w:val="004B3464"/>
    <w:rsid w:val="004B5EB3"/>
    <w:rsid w:val="004C28F8"/>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33416"/>
    <w:rsid w:val="00543B9A"/>
    <w:rsid w:val="0055414A"/>
    <w:rsid w:val="0057626F"/>
    <w:rsid w:val="00581B3E"/>
    <w:rsid w:val="00581D48"/>
    <w:rsid w:val="005832BA"/>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48C5"/>
    <w:rsid w:val="0070646C"/>
    <w:rsid w:val="00712118"/>
    <w:rsid w:val="00716B5D"/>
    <w:rsid w:val="0072294E"/>
    <w:rsid w:val="00725D25"/>
    <w:rsid w:val="00741FF7"/>
    <w:rsid w:val="00751244"/>
    <w:rsid w:val="00752380"/>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D5227"/>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3972"/>
    <w:rsid w:val="00917147"/>
    <w:rsid w:val="00921E92"/>
    <w:rsid w:val="00923377"/>
    <w:rsid w:val="009242B2"/>
    <w:rsid w:val="00925C21"/>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2C0A"/>
    <w:rsid w:val="009F5901"/>
    <w:rsid w:val="009F5C73"/>
    <w:rsid w:val="00A1392E"/>
    <w:rsid w:val="00A141B8"/>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2568"/>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483C"/>
    <w:rsid w:val="00B75C6A"/>
    <w:rsid w:val="00B81094"/>
    <w:rsid w:val="00B84358"/>
    <w:rsid w:val="00B8457E"/>
    <w:rsid w:val="00B84812"/>
    <w:rsid w:val="00B86C92"/>
    <w:rsid w:val="00B87C69"/>
    <w:rsid w:val="00B92BC6"/>
    <w:rsid w:val="00B95040"/>
    <w:rsid w:val="00B9545D"/>
    <w:rsid w:val="00B97015"/>
    <w:rsid w:val="00BA2A8D"/>
    <w:rsid w:val="00BA754F"/>
    <w:rsid w:val="00BB1960"/>
    <w:rsid w:val="00BB5726"/>
    <w:rsid w:val="00BB6C06"/>
    <w:rsid w:val="00BB7182"/>
    <w:rsid w:val="00BB7F9F"/>
    <w:rsid w:val="00BC68F4"/>
    <w:rsid w:val="00BC6C90"/>
    <w:rsid w:val="00BD259A"/>
    <w:rsid w:val="00BE0FA6"/>
    <w:rsid w:val="00BE37BF"/>
    <w:rsid w:val="00BF1402"/>
    <w:rsid w:val="00C004A4"/>
    <w:rsid w:val="00C17385"/>
    <w:rsid w:val="00C237B1"/>
    <w:rsid w:val="00C245E4"/>
    <w:rsid w:val="00C252DE"/>
    <w:rsid w:val="00C278E1"/>
    <w:rsid w:val="00C36B63"/>
    <w:rsid w:val="00C37622"/>
    <w:rsid w:val="00C518E3"/>
    <w:rsid w:val="00C51CB0"/>
    <w:rsid w:val="00C53B1C"/>
    <w:rsid w:val="00C63547"/>
    <w:rsid w:val="00C64EA1"/>
    <w:rsid w:val="00C82792"/>
    <w:rsid w:val="00C84FBA"/>
    <w:rsid w:val="00C91BB2"/>
    <w:rsid w:val="00C96E68"/>
    <w:rsid w:val="00C973D3"/>
    <w:rsid w:val="00C97A90"/>
    <w:rsid w:val="00C97C42"/>
    <w:rsid w:val="00CB457A"/>
    <w:rsid w:val="00CB7DD5"/>
    <w:rsid w:val="00CC09E1"/>
    <w:rsid w:val="00CC6D48"/>
    <w:rsid w:val="00CD349E"/>
    <w:rsid w:val="00CE015B"/>
    <w:rsid w:val="00CF1491"/>
    <w:rsid w:val="00CF1D97"/>
    <w:rsid w:val="00CF3C9D"/>
    <w:rsid w:val="00CF6F86"/>
    <w:rsid w:val="00D04D81"/>
    <w:rsid w:val="00D14AE4"/>
    <w:rsid w:val="00D25FCE"/>
    <w:rsid w:val="00D27EAE"/>
    <w:rsid w:val="00D36C44"/>
    <w:rsid w:val="00D465CC"/>
    <w:rsid w:val="00D46AF1"/>
    <w:rsid w:val="00D5594E"/>
    <w:rsid w:val="00D63AA6"/>
    <w:rsid w:val="00D64999"/>
    <w:rsid w:val="00D66B58"/>
    <w:rsid w:val="00D67B66"/>
    <w:rsid w:val="00D90209"/>
    <w:rsid w:val="00D91C58"/>
    <w:rsid w:val="00DA14D6"/>
    <w:rsid w:val="00DA17C8"/>
    <w:rsid w:val="00DA5C89"/>
    <w:rsid w:val="00DB0F27"/>
    <w:rsid w:val="00DC20AE"/>
    <w:rsid w:val="00DE4FD8"/>
    <w:rsid w:val="00DF2A6A"/>
    <w:rsid w:val="00DF42D1"/>
    <w:rsid w:val="00DF56D0"/>
    <w:rsid w:val="00DF6FBF"/>
    <w:rsid w:val="00DF749A"/>
    <w:rsid w:val="00DF7F1C"/>
    <w:rsid w:val="00E066AC"/>
    <w:rsid w:val="00E120C8"/>
    <w:rsid w:val="00E1292E"/>
    <w:rsid w:val="00E218F1"/>
    <w:rsid w:val="00E236B6"/>
    <w:rsid w:val="00E2521E"/>
    <w:rsid w:val="00E262BB"/>
    <w:rsid w:val="00E33299"/>
    <w:rsid w:val="00E34297"/>
    <w:rsid w:val="00E348D1"/>
    <w:rsid w:val="00E37399"/>
    <w:rsid w:val="00E42BCC"/>
    <w:rsid w:val="00E439B3"/>
    <w:rsid w:val="00E4774B"/>
    <w:rsid w:val="00E511FD"/>
    <w:rsid w:val="00E5715B"/>
    <w:rsid w:val="00E64999"/>
    <w:rsid w:val="00E745E0"/>
    <w:rsid w:val="00E74E94"/>
    <w:rsid w:val="00E82131"/>
    <w:rsid w:val="00E90F1D"/>
    <w:rsid w:val="00E91687"/>
    <w:rsid w:val="00E9361C"/>
    <w:rsid w:val="00E95B06"/>
    <w:rsid w:val="00E97452"/>
    <w:rsid w:val="00EA05DA"/>
    <w:rsid w:val="00EA123E"/>
    <w:rsid w:val="00EA3676"/>
    <w:rsid w:val="00EB16D4"/>
    <w:rsid w:val="00EC3476"/>
    <w:rsid w:val="00ED3374"/>
    <w:rsid w:val="00EE5770"/>
    <w:rsid w:val="00EF577B"/>
    <w:rsid w:val="00EF6C4C"/>
    <w:rsid w:val="00EF6D99"/>
    <w:rsid w:val="00F03CDA"/>
    <w:rsid w:val="00F238AE"/>
    <w:rsid w:val="00F27919"/>
    <w:rsid w:val="00F325F7"/>
    <w:rsid w:val="00F401E2"/>
    <w:rsid w:val="00F51705"/>
    <w:rsid w:val="00F63112"/>
    <w:rsid w:val="00F67CC5"/>
    <w:rsid w:val="00F7085F"/>
    <w:rsid w:val="00F70EFA"/>
    <w:rsid w:val="00F72865"/>
    <w:rsid w:val="00F80858"/>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98513860">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1831798">
      <w:bodyDiv w:val="1"/>
      <w:marLeft w:val="0"/>
      <w:marRight w:val="0"/>
      <w:marTop w:val="0"/>
      <w:marBottom w:val="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3573544">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27586476">
      <w:bodyDiv w:val="1"/>
      <w:marLeft w:val="0"/>
      <w:marRight w:val="0"/>
      <w:marTop w:val="0"/>
      <w:marBottom w:val="0"/>
      <w:divBdr>
        <w:top w:val="none" w:sz="0" w:space="0" w:color="auto"/>
        <w:left w:val="none" w:sz="0" w:space="0" w:color="auto"/>
        <w:bottom w:val="none" w:sz="0" w:space="0" w:color="auto"/>
        <w:right w:val="none" w:sz="0" w:space="0" w:color="auto"/>
      </w:divBdr>
    </w:div>
    <w:div w:id="1343505633">
      <w:bodyDiv w:val="1"/>
      <w:marLeft w:val="0"/>
      <w:marRight w:val="0"/>
      <w:marTop w:val="0"/>
      <w:marBottom w:val="0"/>
      <w:divBdr>
        <w:top w:val="none" w:sz="0" w:space="0" w:color="auto"/>
        <w:left w:val="none" w:sz="0" w:space="0" w:color="auto"/>
        <w:bottom w:val="none" w:sz="0" w:space="0" w:color="auto"/>
        <w:right w:val="none" w:sz="0" w:space="0" w:color="auto"/>
      </w:divBdr>
    </w:div>
    <w:div w:id="1424260128">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jamaicaobserver.com/news/holness-wants-end-to-corporal-punishment-calls-for-debate_116413?profile=1373" TargetMode="External"/><Relationship Id="rId2" Type="http://schemas.openxmlformats.org/officeDocument/2006/relationships/hyperlink" Target="http://jamaica-gleaner.com/article/lead-stories/20150511/youth-ministry-not-ready-ban-corporal-punishment" TargetMode="External"/><Relationship Id="rId1" Type="http://schemas.openxmlformats.org/officeDocument/2006/relationships/hyperlink" Target="http://www.japarliament.gov.jm/index.php?option=com_content&amp;view=article&amp;id=1338&amp;Itemid=55" TargetMode="External"/><Relationship Id="rId6" Type="http://schemas.openxmlformats.org/officeDocument/2006/relationships/hyperlink" Target="http://linkis.com/rjrnewsonline.com/lo/KkqY6" TargetMode="External"/><Relationship Id="rId5" Type="http://schemas.openxmlformats.org/officeDocument/2006/relationships/hyperlink" Target="http://jamaica-gleaner.com/article/news/20160214/short-sharp-shock-education-minister-not-opposed-some-corporal-punishment" TargetMode="External"/><Relationship Id="rId4" Type="http://schemas.openxmlformats.org/officeDocument/2006/relationships/hyperlink" Target="http://www.japarliament.gov.j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574D5-768C-42B9-B145-84C143D00D3D}"/>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101527D1-71F8-455B-B6D9-EFEB835EF6CB}"/>
</file>

<file path=customXml/itemProps4.xml><?xml version="1.0" encoding="utf-8"?>
<ds:datastoreItem xmlns:ds="http://schemas.openxmlformats.org/officeDocument/2006/customXml" ds:itemID="{9F940709-281A-4027-A6D8-49F49707798E}"/>
</file>

<file path=customXml/itemProps5.xml><?xml version="1.0" encoding="utf-8"?>
<ds:datastoreItem xmlns:ds="http://schemas.openxmlformats.org/officeDocument/2006/customXml" ds:itemID="{52DFABF7-C81B-4593-A847-F8300D1AD58C}"/>
</file>

<file path=docProps/app.xml><?xml version="1.0" encoding="utf-8"?>
<Properties xmlns="http://schemas.openxmlformats.org/officeDocument/2006/extended-properties" xmlns:vt="http://schemas.openxmlformats.org/officeDocument/2006/docPropsVTypes">
  <Template>Normal.dotm</Template>
  <TotalTime>0</TotalTime>
  <Pages>5</Pages>
  <Words>2325</Words>
  <Characters>13257</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15551</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CAILLOT Lucille</cp:lastModifiedBy>
  <cp:revision>2</cp:revision>
  <cp:lastPrinted>2005-01-04T10:45:00Z</cp:lastPrinted>
  <dcterms:created xsi:type="dcterms:W3CDTF">2019-02-11T12:43:00Z</dcterms:created>
  <dcterms:modified xsi:type="dcterms:W3CDTF">2019-02-11T12:43:00Z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