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1A9" w:rsidRPr="005904EC" w:rsidRDefault="008B31A9" w:rsidP="000137DF">
      <w:pPr>
        <w:spacing w:before="120" w:after="240"/>
        <w:jc w:val="center"/>
        <w:rPr>
          <w:rFonts w:ascii="Arial" w:hAnsi="Arial" w:cs="Arial"/>
          <w:b/>
          <w:sz w:val="24"/>
          <w:szCs w:val="24"/>
        </w:rPr>
      </w:pPr>
      <w:r>
        <w:rPr>
          <w:rFonts w:ascii="Arial" w:hAnsi="Arial"/>
          <w:b/>
          <w:sz w:val="24"/>
          <w:szCs w:val="24"/>
        </w:rPr>
        <w:t>Réponse écrite aux questions posées par le Comité pour l’élimination de la discrimination raciale lors du dialogue interactif qui s’est tenu avec le Canada les 14 et 15 août 2017</w:t>
      </w:r>
    </w:p>
    <w:p w:rsidR="00C660DE" w:rsidRDefault="00C660DE" w:rsidP="008A3A16">
      <w:pPr>
        <w:spacing w:before="120" w:after="240"/>
        <w:rPr>
          <w:rFonts w:ascii="Arial" w:hAnsi="Arial" w:cs="Arial"/>
          <w:sz w:val="24"/>
          <w:szCs w:val="24"/>
        </w:rPr>
      </w:pPr>
    </w:p>
    <w:p w:rsidR="008B31A9" w:rsidRPr="00D01FE7" w:rsidRDefault="008B31A9" w:rsidP="008A3A16">
      <w:pPr>
        <w:spacing w:before="120" w:after="240"/>
        <w:rPr>
          <w:rFonts w:ascii="Arial" w:hAnsi="Arial" w:cs="Arial"/>
          <w:sz w:val="24"/>
          <w:szCs w:val="24"/>
        </w:rPr>
      </w:pPr>
      <w:r>
        <w:rPr>
          <w:rFonts w:ascii="Arial" w:hAnsi="Arial"/>
          <w:sz w:val="24"/>
          <w:szCs w:val="24"/>
        </w:rPr>
        <w:t>Le Canada est heureux de répondre par écrit aux questions posées par le Comité lors du dialogue interactif avec le Canada. Veuillez noter que le Canada s’est efforcé de répondre aux questions de la manière la plus exhaustive possible dans le temps imparti, et qu’il reconnaît que certaines des réponses peuvent être incomplètes. Le Canada espère que ces renseignements supplémentaires seront utiles au Comité. Le Canada remercie le Comité pour l’occasion qui lui a été offerte de participer au dialogue interactif des 14 et 15 août, et attend avec intérêt de recevoir les observations finales du Comité.</w:t>
      </w:r>
    </w:p>
    <w:p w:rsidR="008B31A9" w:rsidRPr="005904EC" w:rsidRDefault="008B31A9" w:rsidP="005246FA">
      <w:pPr>
        <w:pStyle w:val="ListParagraph"/>
        <w:keepNext/>
        <w:numPr>
          <w:ilvl w:val="0"/>
          <w:numId w:val="27"/>
        </w:numPr>
        <w:spacing w:before="120" w:after="240"/>
        <w:ind w:left="540" w:hanging="540"/>
        <w:rPr>
          <w:rFonts w:ascii="Arial" w:hAnsi="Arial" w:cs="Arial"/>
          <w:b/>
          <w:sz w:val="24"/>
          <w:szCs w:val="24"/>
        </w:rPr>
      </w:pPr>
      <w:r>
        <w:rPr>
          <w:rFonts w:ascii="Arial" w:hAnsi="Arial"/>
          <w:b/>
          <w:sz w:val="24"/>
          <w:szCs w:val="24"/>
        </w:rPr>
        <w:t xml:space="preserve">De quelle façon la Stratégie nationale de lutte contre la pauvreté prend-elle en compte la situation des Canadiens d’ascendance africaine? </w:t>
      </w:r>
    </w:p>
    <w:p w:rsidR="00A0174F" w:rsidRPr="00A0174F" w:rsidRDefault="00A0174F" w:rsidP="005246FA">
      <w:pPr>
        <w:spacing w:before="120" w:after="240"/>
        <w:ind w:left="540"/>
        <w:rPr>
          <w:rFonts w:ascii="Arial" w:hAnsi="Arial" w:cs="Arial"/>
          <w:sz w:val="24"/>
          <w:szCs w:val="24"/>
        </w:rPr>
      </w:pPr>
      <w:r>
        <w:rPr>
          <w:rFonts w:ascii="Arial" w:hAnsi="Arial"/>
          <w:sz w:val="24"/>
          <w:szCs w:val="24"/>
        </w:rPr>
        <w:t xml:space="preserve">La pauvreté est un problème complexe qui affecte plus de 3 millions de Canadiens. </w:t>
      </w:r>
      <w:r w:rsidR="00F077B6">
        <w:rPr>
          <w:rFonts w:ascii="Arial" w:hAnsi="Arial"/>
          <w:sz w:val="24"/>
          <w:szCs w:val="24"/>
        </w:rPr>
        <w:t xml:space="preserve">Elle </w:t>
      </w:r>
      <w:proofErr w:type="gramStart"/>
      <w:r w:rsidR="00F077B6">
        <w:rPr>
          <w:rFonts w:ascii="Arial" w:hAnsi="Arial"/>
          <w:sz w:val="24"/>
          <w:szCs w:val="24"/>
        </w:rPr>
        <w:t>a</w:t>
      </w:r>
      <w:proofErr w:type="gramEnd"/>
      <w:r w:rsidR="00F077B6">
        <w:rPr>
          <w:rFonts w:ascii="Arial" w:hAnsi="Arial"/>
          <w:sz w:val="24"/>
          <w:szCs w:val="24"/>
        </w:rPr>
        <w:t xml:space="preserve"> </w:t>
      </w:r>
      <w:r w:rsidR="00E41621">
        <w:rPr>
          <w:rFonts w:ascii="Arial" w:hAnsi="Arial"/>
          <w:sz w:val="24"/>
          <w:szCs w:val="24"/>
        </w:rPr>
        <w:t xml:space="preserve">de nombreux visages - </w:t>
      </w:r>
      <w:r w:rsidR="00F077B6">
        <w:rPr>
          <w:rFonts w:ascii="Arial" w:hAnsi="Arial"/>
          <w:sz w:val="24"/>
          <w:szCs w:val="24"/>
        </w:rPr>
        <w:t>elle touche</w:t>
      </w:r>
      <w:r>
        <w:rPr>
          <w:rFonts w:ascii="Arial" w:hAnsi="Arial"/>
          <w:sz w:val="24"/>
          <w:szCs w:val="24"/>
        </w:rPr>
        <w:t xml:space="preserve"> les enfants et les familles, les aînés, les </w:t>
      </w:r>
      <w:r w:rsidR="00F077B6">
        <w:rPr>
          <w:rFonts w:ascii="Arial" w:hAnsi="Arial"/>
          <w:sz w:val="24"/>
          <w:szCs w:val="24"/>
        </w:rPr>
        <w:t>peuples</w:t>
      </w:r>
      <w:r>
        <w:rPr>
          <w:rFonts w:ascii="Arial" w:hAnsi="Arial"/>
          <w:sz w:val="24"/>
          <w:szCs w:val="24"/>
        </w:rPr>
        <w:t xml:space="preserve"> autochtones, les personnes handicapées et les immigrants. La pauvreté est également une question qui touche de façon disproportionnée les minorités visibles, dont les Canadiens d’ascendance africaine. </w:t>
      </w:r>
    </w:p>
    <w:p w:rsidR="00A0174F" w:rsidRPr="00A0174F" w:rsidRDefault="00A0174F" w:rsidP="005246FA">
      <w:pPr>
        <w:spacing w:before="120" w:after="240"/>
        <w:ind w:left="540"/>
        <w:rPr>
          <w:rFonts w:ascii="Arial" w:hAnsi="Arial" w:cs="Arial"/>
          <w:sz w:val="24"/>
          <w:szCs w:val="24"/>
        </w:rPr>
      </w:pPr>
      <w:r>
        <w:rPr>
          <w:rFonts w:ascii="Arial" w:hAnsi="Arial"/>
          <w:sz w:val="24"/>
          <w:szCs w:val="24"/>
        </w:rPr>
        <w:t xml:space="preserve">Le Canada est déterminé à réduire la pauvreté en concrétisant sa vision à long terme d’un pays diversifié, prospère et inclusif, où chaque personne peut accéder au soutien dont elle a besoin pour participer à la société dans toute la mesure de son potentiel, sur le plan </w:t>
      </w:r>
      <w:r w:rsidR="003C4248">
        <w:rPr>
          <w:rFonts w:ascii="Arial" w:hAnsi="Arial"/>
          <w:sz w:val="24"/>
          <w:szCs w:val="24"/>
        </w:rPr>
        <w:t xml:space="preserve">tant </w:t>
      </w:r>
      <w:r>
        <w:rPr>
          <w:rFonts w:ascii="Arial" w:hAnsi="Arial"/>
          <w:sz w:val="24"/>
          <w:szCs w:val="24"/>
        </w:rPr>
        <w:t xml:space="preserve">social </w:t>
      </w:r>
      <w:r w:rsidR="003C4248">
        <w:rPr>
          <w:rFonts w:ascii="Arial" w:hAnsi="Arial"/>
          <w:sz w:val="24"/>
          <w:szCs w:val="24"/>
        </w:rPr>
        <w:t>qu’</w:t>
      </w:r>
      <w:r>
        <w:rPr>
          <w:rFonts w:ascii="Arial" w:hAnsi="Arial"/>
          <w:sz w:val="24"/>
          <w:szCs w:val="24"/>
        </w:rPr>
        <w:t xml:space="preserve">économique. </w:t>
      </w:r>
    </w:p>
    <w:p w:rsidR="00A0174F" w:rsidRDefault="00A0174F" w:rsidP="005246FA">
      <w:pPr>
        <w:autoSpaceDE w:val="0"/>
        <w:autoSpaceDN w:val="0"/>
        <w:spacing w:before="120" w:after="240" w:line="240" w:lineRule="auto"/>
        <w:ind w:left="540"/>
        <w:rPr>
          <w:rFonts w:ascii="Arial" w:hAnsi="Arial" w:cs="Arial"/>
          <w:sz w:val="24"/>
          <w:szCs w:val="24"/>
        </w:rPr>
      </w:pPr>
      <w:r>
        <w:rPr>
          <w:rFonts w:ascii="Arial" w:hAnsi="Arial"/>
          <w:sz w:val="24"/>
          <w:szCs w:val="24"/>
        </w:rPr>
        <w:t>L’engagement du gouvernement du Canada à élaborer une Stratégie canadienne de réduction de la pauvreté s’appuiera sur les efforts passés et répondra aux défis persistants qui subsistent. La Stratégie canadienne de réduction de la pauvreté s’harmonisera avec les stratégies de réduction de la pauvreté provinciales et municipales existantes.</w:t>
      </w:r>
    </w:p>
    <w:p w:rsidR="00A0174F" w:rsidRPr="00A0174F" w:rsidRDefault="00A0174F" w:rsidP="005246FA">
      <w:pPr>
        <w:spacing w:before="120" w:after="240"/>
        <w:ind w:left="540"/>
        <w:rPr>
          <w:rFonts w:ascii="Arial" w:hAnsi="Arial" w:cs="Arial"/>
          <w:b/>
          <w:bCs/>
          <w:caps/>
          <w:sz w:val="24"/>
          <w:szCs w:val="24"/>
        </w:rPr>
      </w:pPr>
      <w:r>
        <w:rPr>
          <w:rFonts w:ascii="Arial" w:hAnsi="Arial"/>
          <w:sz w:val="24"/>
          <w:szCs w:val="24"/>
        </w:rPr>
        <w:t>Le Canada a mené un processus de consultation à l’échelle nationale afin de donner aux Canadien</w:t>
      </w:r>
      <w:r w:rsidR="005C148E">
        <w:rPr>
          <w:rFonts w:ascii="Arial" w:hAnsi="Arial"/>
          <w:sz w:val="24"/>
          <w:szCs w:val="24"/>
        </w:rPr>
        <w:t xml:space="preserve">s l’occasion </w:t>
      </w:r>
      <w:r>
        <w:rPr>
          <w:rFonts w:ascii="Arial" w:hAnsi="Arial"/>
          <w:sz w:val="24"/>
          <w:szCs w:val="24"/>
        </w:rPr>
        <w:t>de faire connaître leur point de vue sur la réduction de la pauvreté au moyen de discussions en ligne, de débats communautaires, de groupes de discus</w:t>
      </w:r>
      <w:r w:rsidR="005C148E">
        <w:rPr>
          <w:rFonts w:ascii="Arial" w:hAnsi="Arial"/>
          <w:sz w:val="24"/>
          <w:szCs w:val="24"/>
        </w:rPr>
        <w:t xml:space="preserve">sion et de tables rondes avec </w:t>
      </w:r>
      <w:r w:rsidR="00AB18A1">
        <w:rPr>
          <w:rFonts w:ascii="Arial" w:hAnsi="Arial"/>
          <w:sz w:val="24"/>
          <w:szCs w:val="24"/>
        </w:rPr>
        <w:t>le</w:t>
      </w:r>
      <w:r>
        <w:rPr>
          <w:rFonts w:ascii="Arial" w:hAnsi="Arial"/>
          <w:sz w:val="24"/>
          <w:szCs w:val="24"/>
        </w:rPr>
        <w:t xml:space="preserve"> </w:t>
      </w:r>
      <w:r w:rsidR="00AB18A1">
        <w:rPr>
          <w:rFonts w:ascii="Arial" w:hAnsi="Arial"/>
          <w:sz w:val="24"/>
          <w:szCs w:val="24"/>
        </w:rPr>
        <w:t>M</w:t>
      </w:r>
      <w:r>
        <w:rPr>
          <w:rFonts w:ascii="Arial" w:hAnsi="Arial"/>
          <w:sz w:val="24"/>
          <w:szCs w:val="24"/>
        </w:rPr>
        <w:t>inistre. Des Canadiens d’ascendance africaine ont participé à ces séances. De plus, l’honorable Jean</w:t>
      </w:r>
      <w:r>
        <w:rPr>
          <w:rFonts w:ascii="Arial" w:hAnsi="Arial"/>
          <w:sz w:val="24"/>
          <w:szCs w:val="24"/>
        </w:rPr>
        <w:noBreakHyphen/>
        <w:t>Yves Duclos, ministre fédéral de la Famille, des Enfants et du Développement social, a organisé une table ronde à Halifax qui a porté principalement sur la pauvreté racialisée.</w:t>
      </w:r>
    </w:p>
    <w:p w:rsidR="00A0174F" w:rsidRPr="00A0174F" w:rsidRDefault="00A0174F" w:rsidP="005246FA">
      <w:pPr>
        <w:spacing w:before="120" w:after="240"/>
        <w:ind w:left="540"/>
        <w:rPr>
          <w:rFonts w:ascii="Arial" w:hAnsi="Arial" w:cs="Arial"/>
          <w:sz w:val="24"/>
          <w:szCs w:val="24"/>
        </w:rPr>
      </w:pPr>
      <w:r>
        <w:rPr>
          <w:rFonts w:ascii="Arial" w:hAnsi="Arial"/>
          <w:sz w:val="24"/>
          <w:szCs w:val="24"/>
        </w:rPr>
        <w:lastRenderedPageBreak/>
        <w:t>Les commentaires et la rétroaction recueillis auprès des Canadiens fourniront de précieux renseignements pour l</w:t>
      </w:r>
      <w:r w:rsidR="005E0BB4">
        <w:rPr>
          <w:rFonts w:ascii="Arial" w:hAnsi="Arial"/>
          <w:sz w:val="24"/>
          <w:szCs w:val="24"/>
        </w:rPr>
        <w:t>’</w:t>
      </w:r>
      <w:r>
        <w:rPr>
          <w:rFonts w:ascii="Arial" w:hAnsi="Arial"/>
          <w:sz w:val="24"/>
          <w:szCs w:val="24"/>
        </w:rPr>
        <w:t xml:space="preserve">élaboration de la Stratégie de réduction de la pauvreté. Ces commentaires aideront le gouvernement à comprendre les domaines prioritaires de la Stratégie et ce qui est important pour les Canadiens. </w:t>
      </w:r>
    </w:p>
    <w:p w:rsidR="008B31A9" w:rsidRPr="005904EC" w:rsidRDefault="008B31A9" w:rsidP="005246FA">
      <w:pPr>
        <w:pStyle w:val="ListParagraph"/>
        <w:keepNext/>
        <w:numPr>
          <w:ilvl w:val="0"/>
          <w:numId w:val="27"/>
        </w:numPr>
        <w:spacing w:before="120" w:after="240"/>
        <w:ind w:left="540" w:hanging="540"/>
        <w:rPr>
          <w:b/>
        </w:rPr>
      </w:pPr>
      <w:r>
        <w:rPr>
          <w:rFonts w:ascii="Arial" w:hAnsi="Arial"/>
          <w:b/>
          <w:sz w:val="24"/>
          <w:szCs w:val="24"/>
        </w:rPr>
        <w:t xml:space="preserve">Renseignements sur les inspecteurs du travail du Programme des travailleurs étrangers temporaires </w:t>
      </w:r>
    </w:p>
    <w:p w:rsidR="008D2FD2" w:rsidRPr="00D01FE7" w:rsidRDefault="008D2FD2" w:rsidP="005246FA">
      <w:pPr>
        <w:spacing w:before="120" w:after="240"/>
        <w:ind w:left="540"/>
        <w:rPr>
          <w:rFonts w:ascii="Arial" w:hAnsi="Arial" w:cs="Arial"/>
          <w:sz w:val="24"/>
          <w:szCs w:val="24"/>
        </w:rPr>
      </w:pPr>
      <w:r>
        <w:rPr>
          <w:rFonts w:ascii="Arial" w:hAnsi="Arial"/>
          <w:sz w:val="24"/>
          <w:szCs w:val="24"/>
        </w:rPr>
        <w:t xml:space="preserve">Le gouvernement du Canada s’est engagé à prendre des mesures additionnelles pour que les travailleurs étrangers, tout particulièrement les travailleurs vulnérables, ne soient pas victimes de mauvais traitements ni soumis à des conditions de travail dangereuses </w:t>
      </w:r>
      <w:r w:rsidR="00AB18A1">
        <w:rPr>
          <w:rFonts w:ascii="Arial" w:hAnsi="Arial"/>
          <w:sz w:val="24"/>
          <w:szCs w:val="24"/>
        </w:rPr>
        <w:t>lors</w:t>
      </w:r>
      <w:r>
        <w:rPr>
          <w:rFonts w:ascii="Arial" w:hAnsi="Arial"/>
          <w:sz w:val="24"/>
          <w:szCs w:val="24"/>
        </w:rPr>
        <w:t>qu’ils travaillent temporairement au Canada.</w:t>
      </w:r>
    </w:p>
    <w:p w:rsidR="008D2FD2" w:rsidRPr="00D01FE7" w:rsidRDefault="008D2FD2" w:rsidP="005246FA">
      <w:pPr>
        <w:spacing w:before="120" w:after="240"/>
        <w:ind w:left="540"/>
        <w:rPr>
          <w:rFonts w:ascii="Arial" w:hAnsi="Arial" w:cs="Arial"/>
          <w:sz w:val="24"/>
          <w:szCs w:val="24"/>
        </w:rPr>
      </w:pPr>
      <w:r>
        <w:rPr>
          <w:rFonts w:ascii="Arial" w:hAnsi="Arial"/>
          <w:sz w:val="24"/>
          <w:szCs w:val="24"/>
        </w:rPr>
        <w:t>Au Canada, les gouverneme</w:t>
      </w:r>
      <w:r w:rsidR="005C148E">
        <w:rPr>
          <w:rFonts w:ascii="Arial" w:hAnsi="Arial"/>
          <w:sz w:val="24"/>
          <w:szCs w:val="24"/>
        </w:rPr>
        <w:t>nts provinciaux et territoriaux</w:t>
      </w:r>
      <w:r>
        <w:rPr>
          <w:rFonts w:ascii="Arial" w:hAnsi="Arial"/>
          <w:sz w:val="24"/>
          <w:szCs w:val="24"/>
        </w:rPr>
        <w:t xml:space="preserve"> sont chargés de l’administration et de l’application des normes relatives au travail, à l’emploi et à la santé et la sécurité au travail, en vertu de leurs cadres respectifs.</w:t>
      </w:r>
    </w:p>
    <w:p w:rsidR="0028556D" w:rsidRPr="0028556D" w:rsidRDefault="008D2FD2" w:rsidP="00BC6ACC">
      <w:pPr>
        <w:spacing w:before="120" w:after="240"/>
        <w:ind w:left="540"/>
        <w:rPr>
          <w:rFonts w:ascii="Arial" w:hAnsi="Arial" w:cs="Arial"/>
          <w:sz w:val="24"/>
          <w:szCs w:val="24"/>
        </w:rPr>
      </w:pPr>
      <w:r>
        <w:rPr>
          <w:rFonts w:ascii="Arial" w:hAnsi="Arial"/>
          <w:sz w:val="24"/>
          <w:szCs w:val="24"/>
        </w:rPr>
        <w:t xml:space="preserve">Le Programme des travailleurs étrangers temporaires (PTET), qui est un programme fédéral, effectue des inspections sur place pour voir si les employeurs respectent les exigences du programme, telles que les conditions énoncées dans la </w:t>
      </w:r>
      <w:r>
        <w:rPr>
          <w:rFonts w:ascii="Arial" w:hAnsi="Arial"/>
          <w:i/>
          <w:sz w:val="24"/>
          <w:szCs w:val="24"/>
        </w:rPr>
        <w:t>Loi sur l’immigration et la protection des réfugiés</w:t>
      </w:r>
      <w:r>
        <w:rPr>
          <w:rFonts w:ascii="Arial" w:hAnsi="Arial"/>
          <w:sz w:val="24"/>
          <w:szCs w:val="24"/>
        </w:rPr>
        <w:t xml:space="preserve"> et le </w:t>
      </w:r>
      <w:r w:rsidRPr="0004550E">
        <w:rPr>
          <w:rFonts w:ascii="Arial" w:hAnsi="Arial"/>
          <w:sz w:val="24"/>
          <w:szCs w:val="24"/>
        </w:rPr>
        <w:t>Règlement sur l’immigration et la protection des réfugiés</w:t>
      </w:r>
      <w:r>
        <w:rPr>
          <w:rFonts w:ascii="Arial" w:hAnsi="Arial"/>
          <w:sz w:val="24"/>
          <w:szCs w:val="24"/>
        </w:rPr>
        <w:t xml:space="preserve"> (législation fédérale) et autres exigences du programme convenues par l’employeur dans l’étude d’impact sur le marché du travail favorable. </w:t>
      </w:r>
    </w:p>
    <w:p w:rsidR="0052445B" w:rsidRDefault="007B11BB" w:rsidP="005246FA">
      <w:pPr>
        <w:spacing w:before="120" w:after="240"/>
        <w:ind w:left="540"/>
        <w:rPr>
          <w:rFonts w:ascii="Arial" w:hAnsi="Arial" w:cs="Arial"/>
          <w:b/>
          <w:i/>
          <w:sz w:val="24"/>
          <w:szCs w:val="24"/>
        </w:rPr>
      </w:pPr>
      <w:r>
        <w:rPr>
          <w:rFonts w:ascii="Arial" w:hAnsi="Arial"/>
          <w:b/>
          <w:i/>
          <w:sz w:val="24"/>
          <w:szCs w:val="24"/>
        </w:rPr>
        <w:t xml:space="preserve">Conditions et exigences supplémentaires </w:t>
      </w:r>
    </w:p>
    <w:p w:rsidR="008D2FD2" w:rsidRPr="00D01FE7" w:rsidRDefault="008D2FD2" w:rsidP="005246FA">
      <w:pPr>
        <w:spacing w:before="120" w:after="240"/>
        <w:ind w:left="540"/>
        <w:rPr>
          <w:rFonts w:ascii="Arial" w:hAnsi="Arial" w:cs="Arial"/>
          <w:sz w:val="24"/>
          <w:szCs w:val="24"/>
        </w:rPr>
      </w:pPr>
      <w:r>
        <w:rPr>
          <w:rFonts w:ascii="Arial" w:hAnsi="Arial"/>
          <w:sz w:val="24"/>
          <w:szCs w:val="24"/>
        </w:rPr>
        <w:t>Pour les secteurs agricoles et à bas salaire dans lesquels les travailleurs sont particulièrement vulnérables, le programme prévoit des conditions et des exigences supplémentaires que les employeurs doivent respecter, comme le fait de signer un contrat de travail, de fournir une assurance maladie privée pendant le délai de carence de l</w:t>
      </w:r>
      <w:r w:rsidR="005E0BB4">
        <w:rPr>
          <w:rFonts w:ascii="Arial" w:hAnsi="Arial"/>
          <w:sz w:val="24"/>
          <w:szCs w:val="24"/>
        </w:rPr>
        <w:t>’</w:t>
      </w:r>
      <w:r>
        <w:rPr>
          <w:rFonts w:ascii="Arial" w:hAnsi="Arial"/>
          <w:sz w:val="24"/>
          <w:szCs w:val="24"/>
        </w:rPr>
        <w:t>assurance provinciale, d</w:t>
      </w:r>
      <w:r w:rsidR="005E0BB4">
        <w:rPr>
          <w:rFonts w:ascii="Arial" w:hAnsi="Arial"/>
          <w:sz w:val="24"/>
          <w:szCs w:val="24"/>
        </w:rPr>
        <w:t>’</w:t>
      </w:r>
      <w:r>
        <w:rPr>
          <w:rFonts w:ascii="Arial" w:hAnsi="Arial"/>
          <w:sz w:val="24"/>
          <w:szCs w:val="24"/>
        </w:rPr>
        <w:t>avoir une assurance professionnelle et contre les accidents du travail, d</w:t>
      </w:r>
      <w:r w:rsidR="005E0BB4">
        <w:rPr>
          <w:rFonts w:ascii="Arial" w:hAnsi="Arial"/>
          <w:sz w:val="24"/>
          <w:szCs w:val="24"/>
        </w:rPr>
        <w:t>’</w:t>
      </w:r>
      <w:r>
        <w:rPr>
          <w:rFonts w:ascii="Arial" w:hAnsi="Arial"/>
          <w:sz w:val="24"/>
          <w:szCs w:val="24"/>
        </w:rPr>
        <w:t xml:space="preserve">assurer le transport aller-retour et, le cas échéant, de fournir un hébergement convenable et </w:t>
      </w:r>
      <w:r w:rsidR="00270AEC">
        <w:rPr>
          <w:rFonts w:ascii="Arial" w:hAnsi="Arial"/>
          <w:sz w:val="24"/>
          <w:szCs w:val="24"/>
        </w:rPr>
        <w:t>abordable</w:t>
      </w:r>
      <w:r>
        <w:rPr>
          <w:rFonts w:ascii="Arial" w:hAnsi="Arial"/>
          <w:sz w:val="24"/>
          <w:szCs w:val="24"/>
        </w:rPr>
        <w:t>.</w:t>
      </w:r>
    </w:p>
    <w:p w:rsidR="008D2FD2" w:rsidRPr="00D01FE7" w:rsidRDefault="008D2FD2" w:rsidP="005246FA">
      <w:pPr>
        <w:spacing w:before="120" w:after="240"/>
        <w:ind w:left="540"/>
        <w:rPr>
          <w:rFonts w:ascii="Arial" w:hAnsi="Arial" w:cs="Arial"/>
          <w:sz w:val="24"/>
          <w:szCs w:val="24"/>
        </w:rPr>
      </w:pPr>
      <w:r>
        <w:rPr>
          <w:rFonts w:ascii="Arial" w:hAnsi="Arial"/>
          <w:sz w:val="24"/>
          <w:szCs w:val="24"/>
        </w:rPr>
        <w:t>Dans les situations où une entente signée entre un employeur et une aide familiale prévoit que l’employé réside au domicile privé de l’employeur, l’employeur n’est pas autorisé à déduire l</w:t>
      </w:r>
      <w:r w:rsidR="005E0BB4">
        <w:rPr>
          <w:rFonts w:ascii="Arial" w:hAnsi="Arial"/>
          <w:sz w:val="24"/>
          <w:szCs w:val="24"/>
        </w:rPr>
        <w:t>’</w:t>
      </w:r>
      <w:r>
        <w:rPr>
          <w:rFonts w:ascii="Arial" w:hAnsi="Arial"/>
          <w:sz w:val="24"/>
          <w:szCs w:val="24"/>
        </w:rPr>
        <w:t>hébergement du salaire de l</w:t>
      </w:r>
      <w:r w:rsidR="005E0BB4">
        <w:rPr>
          <w:rFonts w:ascii="Arial" w:hAnsi="Arial"/>
          <w:sz w:val="24"/>
          <w:szCs w:val="24"/>
        </w:rPr>
        <w:t>’</w:t>
      </w:r>
      <w:r>
        <w:rPr>
          <w:rFonts w:ascii="Arial" w:hAnsi="Arial"/>
          <w:sz w:val="24"/>
          <w:szCs w:val="24"/>
        </w:rPr>
        <w:t xml:space="preserve">aide familiale.  </w:t>
      </w:r>
    </w:p>
    <w:p w:rsidR="008D2FD2" w:rsidRPr="00D01FE7" w:rsidRDefault="008D2FD2" w:rsidP="005246FA">
      <w:pPr>
        <w:spacing w:before="120" w:after="240"/>
        <w:ind w:left="540"/>
        <w:rPr>
          <w:rFonts w:ascii="Arial" w:hAnsi="Arial" w:cs="Arial"/>
          <w:sz w:val="24"/>
          <w:szCs w:val="24"/>
        </w:rPr>
      </w:pPr>
      <w:r>
        <w:rPr>
          <w:rFonts w:ascii="Arial" w:hAnsi="Arial"/>
          <w:sz w:val="24"/>
          <w:szCs w:val="24"/>
        </w:rPr>
        <w:t>De plus, les employeurs qui participent aux quatre secteurs agricoles primaires doivent respecter plusieurs exigences en matière d’hébergement visant à garantir le bien-être des travailleurs pendant leur séjour au Canada. Ces exigences sont les suivantes :</w:t>
      </w:r>
    </w:p>
    <w:p w:rsidR="008D2FD2" w:rsidRPr="00C660DE" w:rsidRDefault="008D2FD2" w:rsidP="00C660DE">
      <w:pPr>
        <w:pStyle w:val="ListParagraph"/>
        <w:numPr>
          <w:ilvl w:val="0"/>
          <w:numId w:val="39"/>
        </w:numPr>
        <w:spacing w:before="120" w:after="240"/>
        <w:rPr>
          <w:rFonts w:ascii="Arial" w:hAnsi="Arial" w:cs="Arial"/>
          <w:sz w:val="24"/>
          <w:szCs w:val="24"/>
        </w:rPr>
      </w:pPr>
      <w:r>
        <w:rPr>
          <w:rFonts w:ascii="Arial" w:hAnsi="Arial"/>
          <w:sz w:val="24"/>
          <w:szCs w:val="24"/>
        </w:rPr>
        <w:lastRenderedPageBreak/>
        <w:t>les logements sont soumis à une inspection annuelle pour vérifier qu</w:t>
      </w:r>
      <w:r w:rsidR="005E0BB4">
        <w:rPr>
          <w:rFonts w:ascii="Arial" w:hAnsi="Arial"/>
          <w:sz w:val="24"/>
          <w:szCs w:val="24"/>
        </w:rPr>
        <w:t>’</w:t>
      </w:r>
      <w:r>
        <w:rPr>
          <w:rFonts w:ascii="Arial" w:hAnsi="Arial"/>
          <w:sz w:val="24"/>
          <w:szCs w:val="24"/>
        </w:rPr>
        <w:t>ils respectent les normes provinciales ou municipales;</w:t>
      </w:r>
    </w:p>
    <w:p w:rsidR="008D2FD2" w:rsidRPr="00C660DE" w:rsidRDefault="008D2FD2" w:rsidP="00C660DE">
      <w:pPr>
        <w:pStyle w:val="ListParagraph"/>
        <w:numPr>
          <w:ilvl w:val="0"/>
          <w:numId w:val="39"/>
        </w:numPr>
        <w:spacing w:before="120" w:after="240"/>
        <w:rPr>
          <w:rFonts w:ascii="Arial" w:hAnsi="Arial" w:cs="Arial"/>
          <w:sz w:val="24"/>
          <w:szCs w:val="24"/>
        </w:rPr>
      </w:pPr>
      <w:r>
        <w:rPr>
          <w:rFonts w:ascii="Arial" w:hAnsi="Arial"/>
          <w:sz w:val="24"/>
          <w:szCs w:val="24"/>
        </w:rPr>
        <w:t>dans le cadre du Programme des travailleurs agricoles saisonniers, fournir un hébergement sans frais aux employés (sauf en Colombie-Britannique où le coût est partagé par l’employeur et le travailleur étranger);</w:t>
      </w:r>
    </w:p>
    <w:p w:rsidR="008D2FD2" w:rsidRPr="00C660DE" w:rsidRDefault="008D2FD2" w:rsidP="00C660DE">
      <w:pPr>
        <w:pStyle w:val="ListParagraph"/>
        <w:numPr>
          <w:ilvl w:val="0"/>
          <w:numId w:val="39"/>
        </w:numPr>
        <w:spacing w:before="120" w:after="240"/>
        <w:rPr>
          <w:rFonts w:ascii="Arial" w:hAnsi="Arial" w:cs="Arial"/>
          <w:sz w:val="24"/>
          <w:szCs w:val="24"/>
        </w:rPr>
      </w:pPr>
      <w:r>
        <w:rPr>
          <w:rFonts w:ascii="Arial" w:hAnsi="Arial"/>
          <w:sz w:val="24"/>
          <w:szCs w:val="24"/>
        </w:rPr>
        <w:t>pour le secteur agricole, fournir un logement convenable et abordable (approuvé par l’organisme provincial ou municipal ou un service d</w:t>
      </w:r>
      <w:r w:rsidR="005E0BB4">
        <w:rPr>
          <w:rFonts w:ascii="Arial" w:hAnsi="Arial"/>
          <w:sz w:val="24"/>
          <w:szCs w:val="24"/>
        </w:rPr>
        <w:t>’</w:t>
      </w:r>
      <w:r>
        <w:rPr>
          <w:rFonts w:ascii="Arial" w:hAnsi="Arial"/>
          <w:sz w:val="24"/>
          <w:szCs w:val="24"/>
        </w:rPr>
        <w:t>inspection privé) à un coût inférieur ou égal à 30 $ par semaine pour les travailleurs à bas salaire et inférieur ou égal à 30 % du salaire du travailleur pour les travailleurs à salaire élevé.</w:t>
      </w:r>
    </w:p>
    <w:p w:rsidR="00340776" w:rsidRPr="00962CC9" w:rsidRDefault="00340776" w:rsidP="005246FA">
      <w:pPr>
        <w:spacing w:before="120" w:after="240"/>
        <w:ind w:left="540"/>
        <w:rPr>
          <w:rFonts w:ascii="Arial" w:hAnsi="Arial" w:cs="Arial"/>
          <w:b/>
          <w:i/>
          <w:sz w:val="24"/>
          <w:szCs w:val="24"/>
        </w:rPr>
      </w:pPr>
      <w:r>
        <w:rPr>
          <w:rFonts w:ascii="Arial" w:hAnsi="Arial"/>
          <w:b/>
          <w:i/>
          <w:sz w:val="24"/>
          <w:szCs w:val="24"/>
        </w:rPr>
        <w:t>Inspections effectuées au titre du programme</w:t>
      </w:r>
    </w:p>
    <w:p w:rsidR="008D2FD2" w:rsidRPr="00D01FE7" w:rsidRDefault="00FD6E9A" w:rsidP="005246FA">
      <w:pPr>
        <w:spacing w:before="120" w:after="240"/>
        <w:ind w:left="540"/>
        <w:rPr>
          <w:rFonts w:ascii="Arial" w:hAnsi="Arial" w:cs="Arial"/>
          <w:sz w:val="24"/>
          <w:szCs w:val="24"/>
        </w:rPr>
      </w:pPr>
      <w:r>
        <w:rPr>
          <w:rFonts w:ascii="Arial" w:hAnsi="Arial"/>
          <w:sz w:val="24"/>
          <w:szCs w:val="24"/>
        </w:rPr>
        <w:t>Les inspections sont la pierre angulaire du régime de conformité du programme, et leur nombre augmente d</w:t>
      </w:r>
      <w:r w:rsidR="005E0BB4">
        <w:rPr>
          <w:rFonts w:ascii="Arial" w:hAnsi="Arial"/>
          <w:sz w:val="24"/>
          <w:szCs w:val="24"/>
        </w:rPr>
        <w:t>’</w:t>
      </w:r>
      <w:r>
        <w:rPr>
          <w:rFonts w:ascii="Arial" w:hAnsi="Arial"/>
          <w:sz w:val="24"/>
          <w:szCs w:val="24"/>
        </w:rPr>
        <w:t xml:space="preserve">année en année depuis leur introduction; ainsi, 2 117 inspections ont été réalisées en 2014-2015, 3 531 en 2015-2016 et 2 300 en 2016-2017 en date du 30 novembre 2016. </w:t>
      </w:r>
    </w:p>
    <w:p w:rsidR="008D2FD2" w:rsidRPr="00D01FE7" w:rsidRDefault="008D2FD2" w:rsidP="005246FA">
      <w:pPr>
        <w:spacing w:before="120" w:after="240"/>
        <w:ind w:left="540"/>
        <w:rPr>
          <w:rFonts w:ascii="Arial" w:hAnsi="Arial" w:cs="Arial"/>
          <w:sz w:val="24"/>
          <w:szCs w:val="24"/>
        </w:rPr>
      </w:pPr>
      <w:r>
        <w:rPr>
          <w:rFonts w:ascii="Arial" w:hAnsi="Arial"/>
          <w:sz w:val="24"/>
          <w:szCs w:val="24"/>
        </w:rPr>
        <w:t>Au 30 juin 2017, le nombre d’inspections des lieux terminées s’élevait à 140 et le nombre d’inspections des lieux en cours était de 495.</w:t>
      </w:r>
    </w:p>
    <w:p w:rsidR="008D2FD2" w:rsidRPr="00D01FE7" w:rsidRDefault="008D2FD2" w:rsidP="005246FA">
      <w:pPr>
        <w:spacing w:before="120" w:after="240"/>
        <w:ind w:left="540"/>
        <w:rPr>
          <w:rFonts w:ascii="Arial" w:hAnsi="Arial" w:cs="Arial"/>
          <w:sz w:val="24"/>
          <w:szCs w:val="24"/>
        </w:rPr>
      </w:pPr>
      <w:r>
        <w:rPr>
          <w:rFonts w:ascii="Arial" w:hAnsi="Arial"/>
          <w:sz w:val="24"/>
          <w:szCs w:val="24"/>
        </w:rPr>
        <w:t xml:space="preserve">La non-conformité aux exigences du programme entraîne </w:t>
      </w:r>
      <w:r w:rsidR="00C53BA9">
        <w:rPr>
          <w:rFonts w:ascii="Arial" w:hAnsi="Arial"/>
          <w:sz w:val="24"/>
          <w:szCs w:val="24"/>
        </w:rPr>
        <w:t xml:space="preserve">une </w:t>
      </w:r>
      <w:r>
        <w:rPr>
          <w:rFonts w:ascii="Arial" w:hAnsi="Arial"/>
          <w:sz w:val="24"/>
          <w:szCs w:val="24"/>
        </w:rPr>
        <w:t>étude d’impact sur le marché du travail défavorable</w:t>
      </w:r>
      <w:r w:rsidR="00C53BA9">
        <w:rPr>
          <w:rFonts w:ascii="Arial" w:hAnsi="Arial"/>
          <w:sz w:val="24"/>
          <w:szCs w:val="24"/>
        </w:rPr>
        <w:t xml:space="preserve"> et peut entrainer une</w:t>
      </w:r>
      <w:r>
        <w:rPr>
          <w:rFonts w:ascii="Arial" w:hAnsi="Arial"/>
          <w:sz w:val="24"/>
          <w:szCs w:val="24"/>
        </w:rPr>
        <w:t xml:space="preserve"> sanction pécuniaire administrative, </w:t>
      </w:r>
      <w:r w:rsidR="00C53BA9">
        <w:rPr>
          <w:rFonts w:ascii="Arial" w:hAnsi="Arial"/>
          <w:sz w:val="24"/>
          <w:szCs w:val="24"/>
        </w:rPr>
        <w:t xml:space="preserve">une </w:t>
      </w:r>
      <w:r>
        <w:rPr>
          <w:rFonts w:ascii="Arial" w:hAnsi="Arial"/>
          <w:sz w:val="24"/>
          <w:szCs w:val="24"/>
        </w:rPr>
        <w:t xml:space="preserve">interdiction </w:t>
      </w:r>
      <w:r w:rsidR="00E6069F">
        <w:rPr>
          <w:rFonts w:ascii="Arial" w:hAnsi="Arial"/>
          <w:sz w:val="24"/>
          <w:szCs w:val="24"/>
        </w:rPr>
        <w:t>et</w:t>
      </w:r>
      <w:r>
        <w:rPr>
          <w:rFonts w:ascii="Arial" w:hAnsi="Arial"/>
          <w:sz w:val="24"/>
          <w:szCs w:val="24"/>
        </w:rPr>
        <w:t xml:space="preserve"> </w:t>
      </w:r>
      <w:r w:rsidR="00C53BA9">
        <w:rPr>
          <w:rFonts w:ascii="Arial" w:hAnsi="Arial"/>
          <w:sz w:val="24"/>
          <w:szCs w:val="24"/>
        </w:rPr>
        <w:t>la non-</w:t>
      </w:r>
      <w:r>
        <w:rPr>
          <w:rFonts w:ascii="Arial" w:hAnsi="Arial"/>
          <w:sz w:val="24"/>
          <w:szCs w:val="24"/>
        </w:rPr>
        <w:t>publication du nom de l’employeur sur un site Web public.</w:t>
      </w:r>
    </w:p>
    <w:p w:rsidR="008D2FD2" w:rsidRDefault="008D2FD2" w:rsidP="005246FA">
      <w:pPr>
        <w:spacing w:before="120" w:after="240"/>
        <w:ind w:left="540"/>
        <w:rPr>
          <w:rFonts w:ascii="Arial" w:hAnsi="Arial" w:cs="Arial"/>
          <w:sz w:val="24"/>
          <w:szCs w:val="24"/>
        </w:rPr>
      </w:pPr>
      <w:r>
        <w:rPr>
          <w:rFonts w:ascii="Arial" w:hAnsi="Arial"/>
          <w:sz w:val="24"/>
          <w:szCs w:val="24"/>
        </w:rPr>
        <w:t>Le plan décrivant la marche à suivre pour le Programme annoncé le 10 avril 2017 prévoit l</w:t>
      </w:r>
      <w:r w:rsidR="005E0BB4">
        <w:rPr>
          <w:rFonts w:ascii="Arial" w:hAnsi="Arial"/>
          <w:sz w:val="24"/>
          <w:szCs w:val="24"/>
        </w:rPr>
        <w:t>’</w:t>
      </w:r>
      <w:r>
        <w:rPr>
          <w:rFonts w:ascii="Arial" w:hAnsi="Arial"/>
          <w:sz w:val="24"/>
          <w:szCs w:val="24"/>
        </w:rPr>
        <w:t>augmentation du nombre d</w:t>
      </w:r>
      <w:r w:rsidR="005E0BB4">
        <w:rPr>
          <w:rFonts w:ascii="Arial" w:hAnsi="Arial"/>
          <w:sz w:val="24"/>
          <w:szCs w:val="24"/>
        </w:rPr>
        <w:t>’</w:t>
      </w:r>
      <w:r>
        <w:rPr>
          <w:rFonts w:ascii="Arial" w:hAnsi="Arial"/>
          <w:sz w:val="24"/>
          <w:szCs w:val="24"/>
        </w:rPr>
        <w:t>inspections de lieux de travail employant des travailleurs étrangers, plus particulièrement dans les secteurs employant les travailleurs les plus vulnérables, comme le secteur agricole primaire et celui des aides familiales, ainsi que des mesures visant à informer les travailleurs de leurs droits et responsabilités conformément au Programme.</w:t>
      </w:r>
    </w:p>
    <w:p w:rsidR="00BC6ACC" w:rsidRPr="00BC6ACC" w:rsidRDefault="00BC6ACC" w:rsidP="005246FA">
      <w:pPr>
        <w:spacing w:before="120" w:after="240"/>
        <w:ind w:left="540"/>
        <w:rPr>
          <w:rFonts w:ascii="Arial" w:hAnsi="Arial" w:cs="Arial"/>
          <w:b/>
          <w:i/>
          <w:sz w:val="24"/>
          <w:szCs w:val="24"/>
        </w:rPr>
      </w:pPr>
      <w:r>
        <w:rPr>
          <w:rFonts w:ascii="Arial" w:hAnsi="Arial"/>
          <w:b/>
          <w:i/>
          <w:sz w:val="24"/>
          <w:szCs w:val="24"/>
        </w:rPr>
        <w:t>Inspections par les gouvernements provinciaux et territoriaux</w:t>
      </w:r>
    </w:p>
    <w:p w:rsidR="00BC6ACC" w:rsidRDefault="00BC6ACC" w:rsidP="00BC6ACC">
      <w:pPr>
        <w:spacing w:before="120" w:after="240"/>
        <w:ind w:left="540"/>
        <w:rPr>
          <w:rFonts w:ascii="Arial" w:hAnsi="Arial" w:cs="Arial"/>
          <w:sz w:val="24"/>
          <w:szCs w:val="24"/>
        </w:rPr>
      </w:pPr>
      <w:r>
        <w:rPr>
          <w:rFonts w:ascii="Arial" w:hAnsi="Arial"/>
          <w:sz w:val="24"/>
          <w:szCs w:val="24"/>
        </w:rPr>
        <w:t xml:space="preserve">Les provinces et les territoires réalisent leurs propres inspections conformément à leurs codes ou à la réglementation régissant le travail et l’emploi.  </w:t>
      </w:r>
    </w:p>
    <w:p w:rsidR="00BC6ACC" w:rsidRDefault="00BC6ACC" w:rsidP="00BC6ACC">
      <w:pPr>
        <w:spacing w:before="120" w:after="240"/>
        <w:ind w:left="540"/>
        <w:rPr>
          <w:rFonts w:ascii="Arial" w:hAnsi="Arial" w:cs="Arial"/>
          <w:sz w:val="24"/>
          <w:szCs w:val="24"/>
        </w:rPr>
      </w:pPr>
      <w:r>
        <w:rPr>
          <w:rFonts w:ascii="Arial" w:hAnsi="Arial"/>
          <w:sz w:val="24"/>
          <w:szCs w:val="24"/>
        </w:rPr>
        <w:t>Par exemple, en Alberta, les inspections des lieux de travail servent à s</w:t>
      </w:r>
      <w:r w:rsidR="005E0BB4">
        <w:rPr>
          <w:rFonts w:ascii="Arial" w:hAnsi="Arial"/>
          <w:sz w:val="24"/>
          <w:szCs w:val="24"/>
        </w:rPr>
        <w:t>’</w:t>
      </w:r>
      <w:r>
        <w:rPr>
          <w:rFonts w:ascii="Arial" w:hAnsi="Arial"/>
          <w:sz w:val="24"/>
          <w:szCs w:val="24"/>
        </w:rPr>
        <w:t>assurer que les employeurs de travailleurs étrangers temporaires respectent l’</w:t>
      </w:r>
      <w:proofErr w:type="spellStart"/>
      <w:r>
        <w:rPr>
          <w:rFonts w:ascii="Arial" w:hAnsi="Arial"/>
          <w:i/>
          <w:sz w:val="24"/>
          <w:szCs w:val="24"/>
        </w:rPr>
        <w:t>Employment</w:t>
      </w:r>
      <w:proofErr w:type="spellEnd"/>
      <w:r>
        <w:rPr>
          <w:rFonts w:ascii="Arial" w:hAnsi="Arial"/>
          <w:i/>
          <w:sz w:val="24"/>
          <w:szCs w:val="24"/>
        </w:rPr>
        <w:t xml:space="preserve"> Standards Code</w:t>
      </w:r>
      <w:r>
        <w:rPr>
          <w:rFonts w:ascii="Arial" w:hAnsi="Arial"/>
          <w:sz w:val="24"/>
          <w:szCs w:val="24"/>
        </w:rPr>
        <w:t xml:space="preserve"> de la province. Le Code cible et inspecte</w:t>
      </w:r>
      <w:r w:rsidR="005E0BB4">
        <w:rPr>
          <w:rFonts w:ascii="Arial" w:hAnsi="Arial"/>
          <w:sz w:val="24"/>
          <w:szCs w:val="24"/>
        </w:rPr>
        <w:t>, de manière</w:t>
      </w:r>
      <w:r>
        <w:rPr>
          <w:rFonts w:ascii="Arial" w:hAnsi="Arial"/>
          <w:sz w:val="24"/>
          <w:szCs w:val="24"/>
        </w:rPr>
        <w:t xml:space="preserve"> proactive</w:t>
      </w:r>
      <w:r w:rsidR="005E0BB4">
        <w:rPr>
          <w:rFonts w:ascii="Arial" w:hAnsi="Arial"/>
          <w:sz w:val="24"/>
          <w:szCs w:val="24"/>
        </w:rPr>
        <w:t>,</w:t>
      </w:r>
      <w:r>
        <w:rPr>
          <w:rFonts w:ascii="Arial" w:hAnsi="Arial"/>
          <w:sz w:val="24"/>
          <w:szCs w:val="24"/>
        </w:rPr>
        <w:t xml:space="preserve"> les industries, les employeurs et les zones géographiques de l’Alberta recourant le plus aux populations de travailleurs étrangers temporaires.</w:t>
      </w:r>
    </w:p>
    <w:p w:rsidR="00BC6ACC" w:rsidRPr="002E3E55" w:rsidRDefault="00BC6ACC" w:rsidP="00BC6ACC">
      <w:pPr>
        <w:spacing w:before="120" w:after="240"/>
        <w:ind w:left="540"/>
        <w:rPr>
          <w:rFonts w:ascii="Arial" w:hAnsi="Arial" w:cs="Arial"/>
          <w:sz w:val="24"/>
          <w:szCs w:val="24"/>
        </w:rPr>
      </w:pPr>
      <w:r>
        <w:rPr>
          <w:rFonts w:ascii="Arial" w:hAnsi="Arial"/>
          <w:sz w:val="24"/>
          <w:szCs w:val="24"/>
        </w:rPr>
        <w:lastRenderedPageBreak/>
        <w:t xml:space="preserve">En Ontario, en plus de mener des enquêtes rigoureuses sur les plaintes déposées par les employés, y compris les travailleurs étrangers temporaires qui estiment que leurs droits en vertu de la </w:t>
      </w:r>
      <w:r>
        <w:rPr>
          <w:rFonts w:ascii="Arial" w:hAnsi="Arial"/>
          <w:i/>
          <w:sz w:val="24"/>
          <w:szCs w:val="24"/>
        </w:rPr>
        <w:t>Loi de 2000 sur les normes d’emploi</w:t>
      </w:r>
      <w:r>
        <w:rPr>
          <w:rFonts w:ascii="Arial" w:hAnsi="Arial"/>
          <w:sz w:val="24"/>
          <w:szCs w:val="24"/>
        </w:rPr>
        <w:t xml:space="preserve"> ont été enfreints, les agents chargés du respect des normes d’emploi font appliquer la loi et ses règlements dans les lieux de travail de toute la province en effectuant des inspections. La stratégie d</w:t>
      </w:r>
      <w:r w:rsidR="005E0BB4">
        <w:rPr>
          <w:rFonts w:ascii="Arial" w:hAnsi="Arial"/>
          <w:sz w:val="24"/>
          <w:szCs w:val="24"/>
        </w:rPr>
        <w:t>’</w:t>
      </w:r>
      <w:r>
        <w:rPr>
          <w:rFonts w:ascii="Arial" w:hAnsi="Arial"/>
          <w:sz w:val="24"/>
          <w:szCs w:val="24"/>
        </w:rPr>
        <w:t>application de la loi proactive du gouvernement consiste à se concentrer sur des secteurs en particulier afin de réaliser des inspections dans des domaines connus pour avoir enfreint les normes d’emploi par le passé.</w:t>
      </w:r>
    </w:p>
    <w:p w:rsidR="00BC6ACC" w:rsidRPr="00457300" w:rsidRDefault="00BC6ACC" w:rsidP="00BC6ACC">
      <w:pPr>
        <w:spacing w:before="120" w:after="240"/>
        <w:ind w:left="540"/>
        <w:rPr>
          <w:rFonts w:ascii="Arial" w:hAnsi="Arial" w:cs="Arial"/>
          <w:sz w:val="24"/>
          <w:szCs w:val="24"/>
        </w:rPr>
      </w:pPr>
      <w:r>
        <w:rPr>
          <w:rFonts w:ascii="Arial" w:hAnsi="Arial"/>
          <w:sz w:val="24"/>
          <w:szCs w:val="24"/>
        </w:rPr>
        <w:t xml:space="preserve">Les inspections visent à assurer la conformité à la Loi et ses règlements, ainsi qu’à informer les employeurs de leurs obligations. </w:t>
      </w:r>
    </w:p>
    <w:p w:rsidR="00BC6ACC" w:rsidRPr="0028556D" w:rsidRDefault="00BC6ACC" w:rsidP="00BC6ACC">
      <w:pPr>
        <w:spacing w:before="120" w:after="240"/>
        <w:ind w:left="540"/>
        <w:rPr>
          <w:rFonts w:ascii="Arial" w:hAnsi="Arial" w:cs="Arial"/>
          <w:sz w:val="24"/>
          <w:szCs w:val="24"/>
        </w:rPr>
      </w:pPr>
      <w:r>
        <w:rPr>
          <w:rFonts w:ascii="Arial" w:hAnsi="Arial"/>
          <w:sz w:val="24"/>
          <w:szCs w:val="24"/>
        </w:rPr>
        <w:t xml:space="preserve">Au Québec, dans le </w:t>
      </w:r>
      <w:r w:rsidR="009F4733">
        <w:rPr>
          <w:rFonts w:ascii="Arial" w:hAnsi="Arial"/>
          <w:sz w:val="24"/>
          <w:szCs w:val="24"/>
        </w:rPr>
        <w:t>volet</w:t>
      </w:r>
      <w:r>
        <w:rPr>
          <w:rFonts w:ascii="Arial" w:hAnsi="Arial"/>
          <w:sz w:val="24"/>
          <w:szCs w:val="24"/>
        </w:rPr>
        <w:t xml:space="preserve"> agricole, un</w:t>
      </w:r>
      <w:r w:rsidR="009F4733">
        <w:rPr>
          <w:rFonts w:ascii="Arial" w:hAnsi="Arial"/>
          <w:sz w:val="24"/>
          <w:szCs w:val="24"/>
        </w:rPr>
        <w:t>e entente</w:t>
      </w:r>
      <w:r>
        <w:rPr>
          <w:rFonts w:ascii="Arial" w:hAnsi="Arial"/>
          <w:sz w:val="24"/>
          <w:szCs w:val="24"/>
        </w:rPr>
        <w:t xml:space="preserve"> avec l</w:t>
      </w:r>
      <w:r w:rsidR="009F4733">
        <w:rPr>
          <w:rFonts w:ascii="Arial" w:hAnsi="Arial"/>
          <w:sz w:val="24"/>
          <w:szCs w:val="24"/>
        </w:rPr>
        <w:t>’organisme</w:t>
      </w:r>
      <w:r>
        <w:rPr>
          <w:rFonts w:ascii="Arial" w:hAnsi="Arial"/>
          <w:sz w:val="24"/>
          <w:szCs w:val="24"/>
        </w:rPr>
        <w:t xml:space="preserve"> Fondation des entreprises pour le recrutement de la main-d</w:t>
      </w:r>
      <w:r w:rsidR="005E0BB4">
        <w:rPr>
          <w:rFonts w:ascii="Arial" w:hAnsi="Arial"/>
          <w:sz w:val="24"/>
          <w:szCs w:val="24"/>
        </w:rPr>
        <w:t>’</w:t>
      </w:r>
      <w:r>
        <w:rPr>
          <w:rFonts w:ascii="Arial" w:hAnsi="Arial"/>
          <w:sz w:val="24"/>
          <w:szCs w:val="24"/>
        </w:rPr>
        <w:t>œuvre étrangère, dont les employeurs sont membres, permet à la Commission des normes, de l’équité, de la santé et de la sécurité du travail d</w:t>
      </w:r>
      <w:r w:rsidR="005E0BB4">
        <w:rPr>
          <w:rFonts w:ascii="Arial" w:hAnsi="Arial"/>
          <w:sz w:val="24"/>
          <w:szCs w:val="24"/>
        </w:rPr>
        <w:t>’</w:t>
      </w:r>
      <w:r>
        <w:rPr>
          <w:rFonts w:ascii="Arial" w:hAnsi="Arial"/>
          <w:sz w:val="24"/>
          <w:szCs w:val="24"/>
        </w:rPr>
        <w:t xml:space="preserve">obtenir la liste des employeurs </w:t>
      </w:r>
      <w:r w:rsidR="009F4733">
        <w:rPr>
          <w:rFonts w:ascii="Arial" w:hAnsi="Arial"/>
          <w:sz w:val="24"/>
          <w:szCs w:val="24"/>
        </w:rPr>
        <w:t xml:space="preserve">qui font affaire </w:t>
      </w:r>
      <w:r>
        <w:rPr>
          <w:rFonts w:ascii="Arial" w:hAnsi="Arial"/>
          <w:sz w:val="24"/>
          <w:szCs w:val="24"/>
        </w:rPr>
        <w:t xml:space="preserve">avec la Fondation et de réaliser des inspections surprises sur les lieux de travail (environ </w:t>
      </w:r>
      <w:r w:rsidR="00E6069F">
        <w:rPr>
          <w:rFonts w:ascii="Arial" w:hAnsi="Arial"/>
          <w:sz w:val="24"/>
          <w:szCs w:val="24"/>
        </w:rPr>
        <w:t xml:space="preserve">cent </w:t>
      </w:r>
      <w:r>
        <w:rPr>
          <w:rFonts w:ascii="Arial" w:hAnsi="Arial"/>
          <w:sz w:val="24"/>
          <w:szCs w:val="24"/>
        </w:rPr>
        <w:t xml:space="preserve">soixante par année). Dans le </w:t>
      </w:r>
      <w:r w:rsidR="009F4733">
        <w:rPr>
          <w:rFonts w:ascii="Arial" w:hAnsi="Arial"/>
          <w:sz w:val="24"/>
          <w:szCs w:val="24"/>
        </w:rPr>
        <w:t xml:space="preserve">volet </w:t>
      </w:r>
      <w:r>
        <w:rPr>
          <w:rFonts w:ascii="Arial" w:hAnsi="Arial"/>
          <w:sz w:val="24"/>
          <w:szCs w:val="24"/>
        </w:rPr>
        <w:t>de la transformation des aliments, la Commission réalise des inspections surprises à partir des listes d’employeurs reçues ou de dénonciations.</w:t>
      </w:r>
    </w:p>
    <w:p w:rsidR="00BC6ACC" w:rsidRPr="0028556D" w:rsidRDefault="00BC6ACC" w:rsidP="00BC6ACC">
      <w:pPr>
        <w:spacing w:before="120" w:after="240"/>
        <w:ind w:left="540"/>
        <w:rPr>
          <w:rFonts w:ascii="Arial" w:hAnsi="Arial" w:cs="Arial"/>
          <w:sz w:val="24"/>
          <w:szCs w:val="24"/>
        </w:rPr>
      </w:pPr>
      <w:r>
        <w:rPr>
          <w:rFonts w:ascii="Arial" w:hAnsi="Arial"/>
          <w:sz w:val="24"/>
          <w:szCs w:val="24"/>
        </w:rPr>
        <w:t>En outre, étant donné que de bonnes relations ont été établies avec les consulats du Guatemala, du Mexique et du Honduras, toute plainte des ressortissants de ces pays à leur consulat est transmise à la Commission.</w:t>
      </w:r>
    </w:p>
    <w:p w:rsidR="00D56464" w:rsidRPr="005904EC" w:rsidRDefault="00187785" w:rsidP="005246FA">
      <w:pPr>
        <w:pStyle w:val="ListParagraph"/>
        <w:keepNext/>
        <w:numPr>
          <w:ilvl w:val="0"/>
          <w:numId w:val="27"/>
        </w:numPr>
        <w:spacing w:before="120" w:after="240"/>
        <w:ind w:left="540" w:hanging="540"/>
        <w:rPr>
          <w:rFonts w:ascii="Arial" w:hAnsi="Arial" w:cs="Arial"/>
          <w:b/>
          <w:sz w:val="24"/>
          <w:szCs w:val="24"/>
        </w:rPr>
      </w:pPr>
      <w:r>
        <w:rPr>
          <w:rFonts w:ascii="Arial" w:hAnsi="Arial"/>
          <w:b/>
          <w:sz w:val="24"/>
          <w:szCs w:val="24"/>
        </w:rPr>
        <w:t>Renseignements au sujet des mesures prises par l’Ontario dans la lutte contre la déculturation des enfants pris en charge par les agences de protection de la jeunesse</w:t>
      </w:r>
    </w:p>
    <w:p w:rsidR="00F551CC" w:rsidRDefault="00B4658C" w:rsidP="005246FA">
      <w:pPr>
        <w:spacing w:before="120" w:after="240"/>
        <w:ind w:left="540"/>
        <w:rPr>
          <w:rFonts w:ascii="Arial" w:hAnsi="Arial" w:cs="Arial"/>
          <w:sz w:val="24"/>
          <w:szCs w:val="24"/>
        </w:rPr>
      </w:pPr>
      <w:r>
        <w:rPr>
          <w:rFonts w:ascii="Arial" w:hAnsi="Arial"/>
          <w:sz w:val="24"/>
          <w:szCs w:val="24"/>
        </w:rPr>
        <w:t>Le gouvernement de l’Ontario s’est engagé à ce que ses agences de protection de la jeunesse produisent des résultats positifs pour les enfants et les jeunes qui y sont pris en charge, et qu’ils reconnaissent et intègrent la diversité de l’Ontario dans leurs actions. C’est pourquoi le gouvernement demandera aux agences de recueillir des données agrégées sur l’identité des enfants et des jeunes bénéficiant de leurs services et de leur protection</w:t>
      </w:r>
      <w:r w:rsidR="00BE1E43">
        <w:rPr>
          <w:rFonts w:ascii="Arial" w:hAnsi="Arial"/>
          <w:sz w:val="24"/>
          <w:szCs w:val="24"/>
        </w:rPr>
        <w:t>, d’en faire rapport</w:t>
      </w:r>
      <w:r>
        <w:rPr>
          <w:rFonts w:ascii="Arial" w:hAnsi="Arial"/>
          <w:sz w:val="24"/>
          <w:szCs w:val="24"/>
        </w:rPr>
        <w:t>, et</w:t>
      </w:r>
      <w:r w:rsidR="00BE1E43">
        <w:rPr>
          <w:rFonts w:ascii="Arial" w:hAnsi="Arial"/>
          <w:sz w:val="24"/>
          <w:szCs w:val="24"/>
        </w:rPr>
        <w:t xml:space="preserve"> </w:t>
      </w:r>
      <w:r>
        <w:rPr>
          <w:rFonts w:ascii="Arial" w:hAnsi="Arial"/>
          <w:sz w:val="24"/>
          <w:szCs w:val="24"/>
        </w:rPr>
        <w:t xml:space="preserve">dans un avenir proche </w:t>
      </w:r>
      <w:r w:rsidR="00BE1E43">
        <w:rPr>
          <w:rFonts w:ascii="Arial" w:hAnsi="Arial"/>
          <w:sz w:val="24"/>
          <w:szCs w:val="24"/>
        </w:rPr>
        <w:t xml:space="preserve">d’aider </w:t>
      </w:r>
      <w:r>
        <w:rPr>
          <w:rFonts w:ascii="Arial" w:hAnsi="Arial"/>
          <w:sz w:val="24"/>
          <w:szCs w:val="24"/>
        </w:rPr>
        <w:t xml:space="preserve">les agences </w:t>
      </w:r>
      <w:r w:rsidR="00BE1E43">
        <w:rPr>
          <w:rFonts w:ascii="Arial" w:hAnsi="Arial"/>
          <w:sz w:val="24"/>
          <w:szCs w:val="24"/>
        </w:rPr>
        <w:t xml:space="preserve">dans la planification d’une approche systémique </w:t>
      </w:r>
      <w:r>
        <w:rPr>
          <w:rFonts w:ascii="Arial" w:hAnsi="Arial"/>
          <w:sz w:val="24"/>
          <w:szCs w:val="24"/>
        </w:rPr>
        <w:t xml:space="preserve">et </w:t>
      </w:r>
      <w:r w:rsidR="00BE1E43">
        <w:rPr>
          <w:rFonts w:ascii="Arial" w:hAnsi="Arial"/>
          <w:sz w:val="24"/>
          <w:szCs w:val="24"/>
        </w:rPr>
        <w:t xml:space="preserve">la fourniture </w:t>
      </w:r>
      <w:r>
        <w:rPr>
          <w:rFonts w:ascii="Arial" w:hAnsi="Arial"/>
          <w:sz w:val="24"/>
          <w:szCs w:val="24"/>
        </w:rPr>
        <w:t xml:space="preserve">de services culturels adéquats. </w:t>
      </w:r>
    </w:p>
    <w:p w:rsidR="00B4658C" w:rsidRPr="00D56464" w:rsidRDefault="00B4658C" w:rsidP="005246FA">
      <w:pPr>
        <w:spacing w:before="120" w:after="240"/>
        <w:ind w:left="540"/>
        <w:rPr>
          <w:rFonts w:ascii="Arial" w:hAnsi="Arial" w:cs="Arial"/>
          <w:sz w:val="24"/>
          <w:szCs w:val="24"/>
        </w:rPr>
      </w:pPr>
      <w:r>
        <w:rPr>
          <w:rFonts w:ascii="Arial" w:hAnsi="Arial"/>
          <w:sz w:val="24"/>
          <w:szCs w:val="24"/>
        </w:rPr>
        <w:t>Certaines agences recueillent déjà des données sur la race ou l</w:t>
      </w:r>
      <w:r w:rsidR="005E0BB4">
        <w:rPr>
          <w:rFonts w:ascii="Arial" w:hAnsi="Arial"/>
          <w:sz w:val="24"/>
          <w:szCs w:val="24"/>
        </w:rPr>
        <w:t>’</w:t>
      </w:r>
      <w:r>
        <w:rPr>
          <w:rFonts w:ascii="Arial" w:hAnsi="Arial"/>
          <w:sz w:val="24"/>
          <w:szCs w:val="24"/>
        </w:rPr>
        <w:t>origine ethnique, mais cette pratique doit être normalisée et étendue à toutes les agences. Les agences seront soutenues dans la mise en œuvre de la directive en matière de politique; elles recevront notamment une formation leur montrant comment recueillir des données sur l’identité des enfants d’une manière appropriée et sensible.</w:t>
      </w:r>
    </w:p>
    <w:p w:rsidR="00B4658C" w:rsidRPr="00D56464" w:rsidRDefault="00B4658C" w:rsidP="005246FA">
      <w:pPr>
        <w:spacing w:before="120" w:after="240"/>
        <w:ind w:left="540"/>
        <w:rPr>
          <w:rFonts w:ascii="Arial" w:hAnsi="Arial" w:cs="Arial"/>
          <w:sz w:val="24"/>
          <w:szCs w:val="24"/>
        </w:rPr>
      </w:pPr>
      <w:r>
        <w:rPr>
          <w:rFonts w:ascii="Arial" w:hAnsi="Arial"/>
          <w:sz w:val="24"/>
          <w:szCs w:val="24"/>
        </w:rPr>
        <w:lastRenderedPageBreak/>
        <w:t>La collecte de données sur l’identité permettra de mieux comprendre les incidences des services de protection de l’enfance sur diverses collectivités, de renforcer l’équité des agences de protection de l’enfance pour tous les enfants, les jeunes et les familles de l’Ontario.</w:t>
      </w:r>
    </w:p>
    <w:p w:rsidR="00F22C1D" w:rsidRDefault="00D304EE" w:rsidP="005246FA">
      <w:pPr>
        <w:pStyle w:val="ListParagraph"/>
        <w:keepNext/>
        <w:numPr>
          <w:ilvl w:val="0"/>
          <w:numId w:val="27"/>
        </w:numPr>
        <w:spacing w:before="120" w:after="240"/>
        <w:ind w:left="540" w:hanging="540"/>
        <w:rPr>
          <w:rFonts w:ascii="Arial" w:hAnsi="Arial" w:cs="Arial"/>
          <w:b/>
          <w:sz w:val="24"/>
          <w:szCs w:val="24"/>
        </w:rPr>
      </w:pPr>
      <w:r>
        <w:rPr>
          <w:rFonts w:ascii="Arial" w:hAnsi="Arial"/>
          <w:b/>
          <w:sz w:val="24"/>
          <w:szCs w:val="24"/>
        </w:rPr>
        <w:t>Renseignements sur l</w:t>
      </w:r>
      <w:r w:rsidR="005E0BB4">
        <w:rPr>
          <w:rFonts w:ascii="Arial" w:hAnsi="Arial"/>
          <w:b/>
          <w:sz w:val="24"/>
          <w:szCs w:val="24"/>
        </w:rPr>
        <w:t>’</w:t>
      </w:r>
      <w:r>
        <w:rPr>
          <w:rFonts w:ascii="Arial" w:hAnsi="Arial"/>
          <w:b/>
          <w:sz w:val="24"/>
          <w:szCs w:val="24"/>
        </w:rPr>
        <w:t xml:space="preserve">avancement de la mise en œuvre des appels à l’action de la Commission de vérité et réconciliation du Canada </w:t>
      </w:r>
    </w:p>
    <w:p w:rsidR="00D304EE" w:rsidRPr="00D304EE" w:rsidRDefault="00D304EE" w:rsidP="005246FA">
      <w:pPr>
        <w:spacing w:before="120" w:after="240"/>
        <w:ind w:left="540"/>
        <w:rPr>
          <w:rFonts w:ascii="Arial" w:hAnsi="Arial" w:cs="Arial"/>
          <w:sz w:val="24"/>
          <w:szCs w:val="24"/>
        </w:rPr>
      </w:pPr>
      <w:r>
        <w:rPr>
          <w:rFonts w:ascii="Arial" w:hAnsi="Arial"/>
          <w:sz w:val="24"/>
          <w:szCs w:val="24"/>
        </w:rPr>
        <w:t xml:space="preserve">La Commission de vérité et réconciliation du Canada (CVR) est une composante de la Convention de règlement relative aux pensionnats indiens, convention historique entrée en vigueur en septembre 2007. Le 2 juin 2015, la CVR a déposé un sommaire de son rapport final, qui comportait 94 appels à l’action. </w:t>
      </w:r>
    </w:p>
    <w:p w:rsidR="00D304EE" w:rsidRPr="00D304EE" w:rsidRDefault="00D304EE" w:rsidP="005246FA">
      <w:pPr>
        <w:spacing w:before="120" w:after="240"/>
        <w:ind w:left="540"/>
        <w:rPr>
          <w:rFonts w:ascii="Arial" w:hAnsi="Arial" w:cs="Arial"/>
          <w:sz w:val="24"/>
          <w:szCs w:val="24"/>
        </w:rPr>
      </w:pPr>
      <w:r>
        <w:rPr>
          <w:rFonts w:ascii="Arial" w:hAnsi="Arial"/>
          <w:sz w:val="24"/>
          <w:szCs w:val="24"/>
        </w:rPr>
        <w:t xml:space="preserve">En acceptant le rapport, le premier ministre du Canada, Justin Trudeau, a pris un engagement ferme de « renouveler la relation avec les Autochtones en se fondant sur la reconnaissance des droits, le respect, la coopération et le partenariat ». Dans le cadre des efforts déployés en faveur de la réconciliation, il a été convenu de mettre en œuvre les 94 appels à l’action, qui s’adressent à de multiples parties : le gouvernement du Canada, les gouvernements provinciaux et territoriaux, les </w:t>
      </w:r>
      <w:r w:rsidR="00BA6098">
        <w:rPr>
          <w:rFonts w:ascii="Arial" w:hAnsi="Arial"/>
          <w:sz w:val="24"/>
          <w:szCs w:val="24"/>
        </w:rPr>
        <w:t>gouvernements</w:t>
      </w:r>
      <w:r>
        <w:rPr>
          <w:rFonts w:ascii="Arial" w:hAnsi="Arial"/>
          <w:sz w:val="24"/>
          <w:szCs w:val="24"/>
        </w:rPr>
        <w:t xml:space="preserve"> autochtones, les Églises et d</w:t>
      </w:r>
      <w:r w:rsidR="005E0BB4">
        <w:rPr>
          <w:rFonts w:ascii="Arial" w:hAnsi="Arial"/>
          <w:sz w:val="24"/>
          <w:szCs w:val="24"/>
        </w:rPr>
        <w:t>’</w:t>
      </w:r>
      <w:r>
        <w:rPr>
          <w:rFonts w:ascii="Arial" w:hAnsi="Arial"/>
          <w:sz w:val="24"/>
          <w:szCs w:val="24"/>
        </w:rPr>
        <w:t>autres organismes privés et publics.</w:t>
      </w:r>
    </w:p>
    <w:p w:rsidR="00D304EE" w:rsidRPr="00D304EE" w:rsidRDefault="00D304EE" w:rsidP="005246FA">
      <w:pPr>
        <w:spacing w:before="120" w:after="240"/>
        <w:ind w:left="540"/>
        <w:rPr>
          <w:rFonts w:ascii="Arial" w:hAnsi="Arial" w:cs="Arial"/>
          <w:sz w:val="24"/>
          <w:szCs w:val="24"/>
        </w:rPr>
      </w:pPr>
      <w:r>
        <w:rPr>
          <w:rFonts w:ascii="Arial" w:hAnsi="Arial"/>
          <w:sz w:val="24"/>
          <w:szCs w:val="24"/>
        </w:rPr>
        <w:t xml:space="preserve">Les appels à l’action portent sur 22 catégories : la protection de l’enfance, l’éducation, la langue et la culture, la santé, la justice, les gouvernements canadiens et la Déclaration des Nations Unies sur les droits des peuples autochtones, </w:t>
      </w:r>
      <w:r w:rsidR="00BA6098">
        <w:rPr>
          <w:rFonts w:ascii="Arial" w:hAnsi="Arial"/>
          <w:sz w:val="24"/>
          <w:szCs w:val="24"/>
        </w:rPr>
        <w:t xml:space="preserve">la </w:t>
      </w:r>
      <w:r>
        <w:rPr>
          <w:rFonts w:ascii="Arial" w:hAnsi="Arial"/>
          <w:sz w:val="24"/>
          <w:szCs w:val="24"/>
        </w:rPr>
        <w:t xml:space="preserve">proclamation royale et </w:t>
      </w:r>
      <w:r w:rsidR="00BA6098">
        <w:rPr>
          <w:rFonts w:ascii="Arial" w:hAnsi="Arial"/>
          <w:sz w:val="24"/>
          <w:szCs w:val="24"/>
        </w:rPr>
        <w:t xml:space="preserve">le </w:t>
      </w:r>
      <w:r>
        <w:rPr>
          <w:rFonts w:ascii="Arial" w:hAnsi="Arial"/>
          <w:sz w:val="24"/>
          <w:szCs w:val="24"/>
        </w:rPr>
        <w:t xml:space="preserve">pacte de réconciliation, les parties à la Convention de règlement et la </w:t>
      </w:r>
      <w:r w:rsidR="00BA6098" w:rsidRPr="00BA6098">
        <w:rPr>
          <w:rFonts w:ascii="Arial" w:hAnsi="Arial"/>
          <w:sz w:val="24"/>
          <w:szCs w:val="24"/>
        </w:rPr>
        <w:t>DNUDPA,</w:t>
      </w:r>
      <w:r w:rsidR="00BA6098">
        <w:rPr>
          <w:rFonts w:ascii="Arial" w:hAnsi="Arial"/>
          <w:sz w:val="24"/>
          <w:szCs w:val="24"/>
        </w:rPr>
        <w:t xml:space="preserve"> l’équité pour les A</w:t>
      </w:r>
      <w:r>
        <w:rPr>
          <w:rFonts w:ascii="Arial" w:hAnsi="Arial"/>
          <w:sz w:val="24"/>
          <w:szCs w:val="24"/>
        </w:rPr>
        <w:t xml:space="preserve">utochtones dans le système judiciaire, le Conseil national de réconciliation, </w:t>
      </w:r>
      <w:r w:rsidR="00BA6098">
        <w:rPr>
          <w:rFonts w:ascii="Arial" w:hAnsi="Arial"/>
          <w:sz w:val="24"/>
          <w:szCs w:val="24"/>
        </w:rPr>
        <w:t xml:space="preserve">des </w:t>
      </w:r>
      <w:r w:rsidR="00BA6098" w:rsidRPr="00BA6098">
        <w:rPr>
          <w:rFonts w:ascii="Arial" w:hAnsi="Arial"/>
          <w:sz w:val="24"/>
          <w:szCs w:val="24"/>
        </w:rPr>
        <w:t>séances de perfectionnement professionnel et de formation</w:t>
      </w:r>
      <w:r w:rsidR="00BA6098">
        <w:rPr>
          <w:rFonts w:ascii="Arial" w:hAnsi="Arial"/>
          <w:sz w:val="24"/>
          <w:szCs w:val="24"/>
        </w:rPr>
        <w:t xml:space="preserve"> </w:t>
      </w:r>
      <w:r>
        <w:rPr>
          <w:rFonts w:ascii="Arial" w:hAnsi="Arial"/>
          <w:sz w:val="24"/>
          <w:szCs w:val="24"/>
        </w:rPr>
        <w:t>de sensibilisation à l’intention des fonctionnaires, les excuses de l’Église et la réconciliation, l’éducation pour la réconciliation, le</w:t>
      </w:r>
      <w:r w:rsidR="00017618">
        <w:rPr>
          <w:rFonts w:ascii="Arial" w:hAnsi="Arial"/>
          <w:sz w:val="24"/>
          <w:szCs w:val="24"/>
        </w:rPr>
        <w:t>s</w:t>
      </w:r>
      <w:r>
        <w:rPr>
          <w:rFonts w:ascii="Arial" w:hAnsi="Arial"/>
          <w:sz w:val="24"/>
          <w:szCs w:val="24"/>
        </w:rPr>
        <w:t xml:space="preserve"> </w:t>
      </w:r>
      <w:r w:rsidR="00017618">
        <w:rPr>
          <w:rFonts w:ascii="Arial" w:hAnsi="Arial"/>
          <w:sz w:val="24"/>
          <w:szCs w:val="24"/>
        </w:rPr>
        <w:t xml:space="preserve">programmes </w:t>
      </w:r>
      <w:r>
        <w:rPr>
          <w:rFonts w:ascii="Arial" w:hAnsi="Arial"/>
          <w:sz w:val="24"/>
          <w:szCs w:val="24"/>
        </w:rPr>
        <w:t xml:space="preserve">pour les jeunes, les musées et les archives, </w:t>
      </w:r>
      <w:r w:rsidR="00017618">
        <w:rPr>
          <w:rFonts w:ascii="Arial" w:hAnsi="Arial"/>
          <w:sz w:val="24"/>
          <w:szCs w:val="24"/>
        </w:rPr>
        <w:t xml:space="preserve">les renseignements relatifs aux </w:t>
      </w:r>
      <w:r>
        <w:rPr>
          <w:rFonts w:ascii="Arial" w:hAnsi="Arial"/>
          <w:sz w:val="24"/>
          <w:szCs w:val="24"/>
        </w:rPr>
        <w:t xml:space="preserve">enfants disparus et </w:t>
      </w:r>
      <w:r w:rsidR="00017618">
        <w:rPr>
          <w:rFonts w:ascii="Arial" w:hAnsi="Arial"/>
          <w:sz w:val="24"/>
          <w:szCs w:val="24"/>
        </w:rPr>
        <w:t>à</w:t>
      </w:r>
      <w:r>
        <w:rPr>
          <w:rFonts w:ascii="Arial" w:hAnsi="Arial"/>
          <w:sz w:val="24"/>
          <w:szCs w:val="24"/>
        </w:rPr>
        <w:t xml:space="preserve"> l’inhumation, le Centre national pour la vérité et réconciliation, la commémoration, les médias, les sports, les entreprises</w:t>
      </w:r>
      <w:r w:rsidR="00017618">
        <w:rPr>
          <w:rFonts w:ascii="Arial" w:hAnsi="Arial"/>
          <w:sz w:val="24"/>
          <w:szCs w:val="24"/>
        </w:rPr>
        <w:t xml:space="preserve"> et</w:t>
      </w:r>
      <w:r>
        <w:rPr>
          <w:rFonts w:ascii="Arial" w:hAnsi="Arial"/>
          <w:sz w:val="24"/>
          <w:szCs w:val="24"/>
        </w:rPr>
        <w:t xml:space="preserve"> les nouveaux arrivants au Canada.</w:t>
      </w:r>
    </w:p>
    <w:p w:rsidR="00D304EE" w:rsidRPr="00D304EE" w:rsidRDefault="00D304EE" w:rsidP="005246FA">
      <w:pPr>
        <w:spacing w:before="120" w:after="240"/>
        <w:ind w:left="540"/>
        <w:rPr>
          <w:rFonts w:ascii="Arial" w:hAnsi="Arial" w:cs="Arial"/>
          <w:sz w:val="24"/>
          <w:szCs w:val="24"/>
        </w:rPr>
      </w:pPr>
      <w:r>
        <w:rPr>
          <w:rFonts w:ascii="Arial" w:hAnsi="Arial"/>
          <w:sz w:val="24"/>
          <w:szCs w:val="24"/>
        </w:rPr>
        <w:t>La responsabilité de la mise en œuvre des appels à l’action est ainsi répartie :</w:t>
      </w:r>
    </w:p>
    <w:p w:rsidR="00D304EE" w:rsidRPr="005246FA" w:rsidRDefault="00D304EE" w:rsidP="005246FA">
      <w:pPr>
        <w:pStyle w:val="ListParagraph"/>
        <w:numPr>
          <w:ilvl w:val="0"/>
          <w:numId w:val="30"/>
        </w:numPr>
        <w:spacing w:before="120" w:after="240"/>
        <w:rPr>
          <w:rFonts w:ascii="Arial" w:hAnsi="Arial" w:cs="Arial"/>
          <w:sz w:val="24"/>
          <w:szCs w:val="24"/>
        </w:rPr>
      </w:pPr>
      <w:r>
        <w:rPr>
          <w:rFonts w:ascii="Arial" w:hAnsi="Arial"/>
          <w:sz w:val="24"/>
          <w:szCs w:val="24"/>
        </w:rPr>
        <w:t>45 appels à l’action devant être dirigés par le gouvernement fédéral;</w:t>
      </w:r>
    </w:p>
    <w:p w:rsidR="00D304EE" w:rsidRPr="005246FA" w:rsidRDefault="00D304EE" w:rsidP="005246FA">
      <w:pPr>
        <w:pStyle w:val="ListParagraph"/>
        <w:numPr>
          <w:ilvl w:val="0"/>
          <w:numId w:val="30"/>
        </w:numPr>
        <w:spacing w:before="120" w:after="240"/>
        <w:rPr>
          <w:rFonts w:ascii="Arial" w:hAnsi="Arial" w:cs="Arial"/>
          <w:sz w:val="24"/>
          <w:szCs w:val="24"/>
        </w:rPr>
      </w:pPr>
      <w:r>
        <w:rPr>
          <w:rFonts w:ascii="Arial" w:hAnsi="Arial"/>
          <w:sz w:val="24"/>
          <w:szCs w:val="24"/>
        </w:rPr>
        <w:t>3 appels à l’action devant être dirigés par les gouvernements provinciaux et territoriaux;</w:t>
      </w:r>
    </w:p>
    <w:p w:rsidR="00D304EE" w:rsidRPr="005246FA" w:rsidRDefault="00D304EE" w:rsidP="005246FA">
      <w:pPr>
        <w:pStyle w:val="ListParagraph"/>
        <w:numPr>
          <w:ilvl w:val="0"/>
          <w:numId w:val="30"/>
        </w:numPr>
        <w:spacing w:before="120" w:after="240"/>
        <w:rPr>
          <w:rFonts w:ascii="Arial" w:hAnsi="Arial" w:cs="Arial"/>
          <w:sz w:val="24"/>
          <w:szCs w:val="24"/>
        </w:rPr>
      </w:pPr>
      <w:r>
        <w:rPr>
          <w:rFonts w:ascii="Arial" w:hAnsi="Arial"/>
          <w:sz w:val="24"/>
          <w:szCs w:val="24"/>
        </w:rPr>
        <w:t>30 appels à l’action devant être dirigés conjointement par les administrations fédérale, provinciale</w:t>
      </w:r>
      <w:r w:rsidR="00BA6098">
        <w:rPr>
          <w:rFonts w:ascii="Arial" w:hAnsi="Arial"/>
          <w:sz w:val="24"/>
          <w:szCs w:val="24"/>
        </w:rPr>
        <w:t>s</w:t>
      </w:r>
      <w:r>
        <w:rPr>
          <w:rFonts w:ascii="Arial" w:hAnsi="Arial"/>
          <w:sz w:val="24"/>
          <w:szCs w:val="24"/>
        </w:rPr>
        <w:t>, territoriale</w:t>
      </w:r>
      <w:r w:rsidR="00BA6098">
        <w:rPr>
          <w:rFonts w:ascii="Arial" w:hAnsi="Arial"/>
          <w:sz w:val="24"/>
          <w:szCs w:val="24"/>
        </w:rPr>
        <w:t>s</w:t>
      </w:r>
      <w:r>
        <w:rPr>
          <w:rFonts w:ascii="Arial" w:hAnsi="Arial"/>
          <w:sz w:val="24"/>
          <w:szCs w:val="24"/>
        </w:rPr>
        <w:t>, autochtone</w:t>
      </w:r>
      <w:r w:rsidR="00BA6098">
        <w:rPr>
          <w:rFonts w:ascii="Arial" w:hAnsi="Arial"/>
          <w:sz w:val="24"/>
          <w:szCs w:val="24"/>
        </w:rPr>
        <w:t>s</w:t>
      </w:r>
      <w:r>
        <w:rPr>
          <w:rFonts w:ascii="Arial" w:hAnsi="Arial"/>
          <w:sz w:val="24"/>
          <w:szCs w:val="24"/>
        </w:rPr>
        <w:t xml:space="preserve"> ou municipale</w:t>
      </w:r>
      <w:r w:rsidR="00BA6098">
        <w:rPr>
          <w:rFonts w:ascii="Arial" w:hAnsi="Arial"/>
          <w:sz w:val="24"/>
          <w:szCs w:val="24"/>
        </w:rPr>
        <w:t>s</w:t>
      </w:r>
      <w:r>
        <w:rPr>
          <w:rFonts w:ascii="Arial" w:hAnsi="Arial"/>
          <w:sz w:val="24"/>
          <w:szCs w:val="24"/>
        </w:rPr>
        <w:t xml:space="preserve">; </w:t>
      </w:r>
    </w:p>
    <w:p w:rsidR="00D304EE" w:rsidRPr="005246FA" w:rsidRDefault="00D304EE" w:rsidP="005246FA">
      <w:pPr>
        <w:pStyle w:val="ListParagraph"/>
        <w:numPr>
          <w:ilvl w:val="0"/>
          <w:numId w:val="30"/>
        </w:numPr>
        <w:spacing w:before="120" w:after="240"/>
        <w:rPr>
          <w:rFonts w:ascii="Arial" w:hAnsi="Arial" w:cs="Arial"/>
          <w:sz w:val="24"/>
          <w:szCs w:val="24"/>
        </w:rPr>
      </w:pPr>
      <w:r>
        <w:rPr>
          <w:rFonts w:ascii="Arial" w:hAnsi="Arial"/>
          <w:sz w:val="24"/>
          <w:szCs w:val="24"/>
        </w:rPr>
        <w:lastRenderedPageBreak/>
        <w:t>6 appels à l’action devant être dirigés par des institutions religieuses;</w:t>
      </w:r>
    </w:p>
    <w:p w:rsidR="00D304EE" w:rsidRPr="005246FA" w:rsidRDefault="00D304EE" w:rsidP="005246FA">
      <w:pPr>
        <w:pStyle w:val="ListParagraph"/>
        <w:numPr>
          <w:ilvl w:val="0"/>
          <w:numId w:val="30"/>
        </w:numPr>
        <w:spacing w:before="120" w:after="240"/>
        <w:rPr>
          <w:rFonts w:ascii="Arial" w:hAnsi="Arial" w:cs="Arial"/>
          <w:sz w:val="24"/>
          <w:szCs w:val="24"/>
        </w:rPr>
      </w:pPr>
      <w:r>
        <w:rPr>
          <w:rFonts w:ascii="Arial" w:hAnsi="Arial"/>
          <w:sz w:val="24"/>
          <w:szCs w:val="24"/>
        </w:rPr>
        <w:t>10 appels à l’action devant être dirigés par d</w:t>
      </w:r>
      <w:r w:rsidR="005E0BB4">
        <w:rPr>
          <w:rFonts w:ascii="Arial" w:hAnsi="Arial"/>
          <w:sz w:val="24"/>
          <w:szCs w:val="24"/>
        </w:rPr>
        <w:t>’</w:t>
      </w:r>
      <w:r>
        <w:rPr>
          <w:rFonts w:ascii="Arial" w:hAnsi="Arial"/>
          <w:sz w:val="24"/>
          <w:szCs w:val="24"/>
        </w:rPr>
        <w:t>autres organismes (p. ex.</w:t>
      </w:r>
      <w:r w:rsidR="00BA6098">
        <w:rPr>
          <w:rFonts w:ascii="Arial" w:hAnsi="Arial"/>
          <w:sz w:val="24"/>
          <w:szCs w:val="24"/>
        </w:rPr>
        <w:t>,</w:t>
      </w:r>
      <w:r>
        <w:rPr>
          <w:rFonts w:ascii="Arial" w:hAnsi="Arial"/>
          <w:sz w:val="24"/>
          <w:szCs w:val="24"/>
        </w:rPr>
        <w:t> des universités, des associations professionnelles).</w:t>
      </w:r>
    </w:p>
    <w:p w:rsidR="00D304EE" w:rsidRPr="00D304EE" w:rsidRDefault="00D304EE" w:rsidP="005246FA">
      <w:pPr>
        <w:spacing w:before="120" w:after="240"/>
        <w:ind w:left="540"/>
        <w:rPr>
          <w:rFonts w:ascii="Arial" w:hAnsi="Arial" w:cs="Arial"/>
          <w:sz w:val="24"/>
          <w:szCs w:val="24"/>
        </w:rPr>
      </w:pPr>
      <w:r>
        <w:rPr>
          <w:rFonts w:ascii="Arial" w:hAnsi="Arial"/>
          <w:sz w:val="24"/>
          <w:szCs w:val="24"/>
        </w:rPr>
        <w:t xml:space="preserve">Depuis le 2 juin 2015, des ministères et organismes fédéraux se sont mobilisés pour mettre en œuvre les appels </w:t>
      </w:r>
      <w:r w:rsidR="00BA6098">
        <w:rPr>
          <w:rFonts w:ascii="Arial" w:hAnsi="Arial"/>
          <w:sz w:val="24"/>
          <w:szCs w:val="24"/>
        </w:rPr>
        <w:t xml:space="preserve">à l’action qui les concernent. </w:t>
      </w:r>
      <w:r>
        <w:rPr>
          <w:rFonts w:ascii="Arial" w:hAnsi="Arial"/>
          <w:sz w:val="24"/>
          <w:szCs w:val="24"/>
        </w:rPr>
        <w:t>En date du 30 juin 2017, le gouvernement du Canada avait réalisé des progrès concernant les deux tiers des appels à l’action pour lesquels il existe une responsabilité fédérale ou partagée. Un rapport public sur cette question sera publié sous peu.</w:t>
      </w:r>
    </w:p>
    <w:p w:rsidR="00D304EE" w:rsidRDefault="00D304EE" w:rsidP="005246FA">
      <w:pPr>
        <w:spacing w:before="120" w:after="240"/>
        <w:ind w:left="540"/>
        <w:rPr>
          <w:rFonts w:ascii="Arial" w:hAnsi="Arial" w:cs="Arial"/>
          <w:sz w:val="24"/>
          <w:szCs w:val="24"/>
        </w:rPr>
      </w:pPr>
      <w:r>
        <w:rPr>
          <w:rFonts w:ascii="Arial" w:hAnsi="Arial"/>
          <w:sz w:val="24"/>
          <w:szCs w:val="24"/>
        </w:rPr>
        <w:t xml:space="preserve">Le Canada a fait des investissements sans précédent pour assurer le bien-être des enfants et des familles dans les réserves, améliorer la qualité de l’éducation des enfants des Premières Nations ainsi que pour répondre sans tarder aux besoins en matière de logement dans les réserves. </w:t>
      </w:r>
    </w:p>
    <w:p w:rsidR="00165485" w:rsidRPr="00165485" w:rsidRDefault="00165485" w:rsidP="005246FA">
      <w:pPr>
        <w:spacing w:before="120" w:after="240"/>
        <w:ind w:left="540"/>
        <w:rPr>
          <w:rFonts w:ascii="Arial" w:hAnsi="Arial" w:cs="Arial"/>
          <w:b/>
          <w:i/>
          <w:sz w:val="24"/>
          <w:szCs w:val="24"/>
        </w:rPr>
      </w:pPr>
      <w:r>
        <w:rPr>
          <w:rFonts w:ascii="Arial" w:hAnsi="Arial"/>
          <w:b/>
          <w:i/>
          <w:sz w:val="24"/>
          <w:szCs w:val="24"/>
        </w:rPr>
        <w:t>Mesures de mise en œuvre prises par les provinces et les territoires</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 xml:space="preserve">Pour la première fois en Colombie-Britannique, les lettres de mandat exigent que chaque ministre tienne compte des répercussions de la Commission de vérité et réconciliation sur les politiques, les programmes et les lois dont ils sont responsables. </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La lettre de mandat du Procureur général de la Colombie-Britannique de juillet 2017 énonce l’engagement à traiter les appels à l</w:t>
      </w:r>
      <w:r w:rsidR="005E0BB4">
        <w:rPr>
          <w:rFonts w:ascii="Arial" w:hAnsi="Arial"/>
          <w:sz w:val="24"/>
          <w:szCs w:val="24"/>
        </w:rPr>
        <w:t>’</w:t>
      </w:r>
      <w:r>
        <w:rPr>
          <w:rFonts w:ascii="Arial" w:hAnsi="Arial"/>
          <w:sz w:val="24"/>
          <w:szCs w:val="24"/>
        </w:rPr>
        <w:t xml:space="preserve">action de la Commission </w:t>
      </w:r>
      <w:r w:rsidR="00BA6098">
        <w:rPr>
          <w:rFonts w:ascii="Arial" w:hAnsi="Arial"/>
          <w:sz w:val="24"/>
          <w:szCs w:val="24"/>
        </w:rPr>
        <w:t xml:space="preserve">de </w:t>
      </w:r>
      <w:r>
        <w:rPr>
          <w:rFonts w:ascii="Arial" w:hAnsi="Arial"/>
          <w:sz w:val="24"/>
          <w:szCs w:val="24"/>
        </w:rPr>
        <w:t>vérité et réconciliation. C’est pourquoi le ministère d</w:t>
      </w:r>
      <w:r w:rsidR="00670056">
        <w:rPr>
          <w:rFonts w:ascii="Arial" w:hAnsi="Arial"/>
          <w:sz w:val="24"/>
          <w:szCs w:val="24"/>
        </w:rPr>
        <w:t xml:space="preserve">u Procureur </w:t>
      </w:r>
      <w:r w:rsidR="001E357D">
        <w:rPr>
          <w:rFonts w:ascii="Arial" w:hAnsi="Arial"/>
          <w:sz w:val="24"/>
          <w:szCs w:val="24"/>
        </w:rPr>
        <w:t>général</w:t>
      </w:r>
      <w:r>
        <w:rPr>
          <w:rFonts w:ascii="Arial" w:hAnsi="Arial"/>
          <w:sz w:val="24"/>
          <w:szCs w:val="24"/>
        </w:rPr>
        <w:t xml:space="preserve"> participe à des discussions et à des </w:t>
      </w:r>
      <w:r w:rsidRPr="00BA6098">
        <w:rPr>
          <w:rFonts w:ascii="Arial" w:hAnsi="Arial"/>
          <w:sz w:val="24"/>
          <w:szCs w:val="24"/>
        </w:rPr>
        <w:t xml:space="preserve">analyses fédérales-provinciales-territoriales concernant les appels à l’action de la Commission </w:t>
      </w:r>
      <w:r w:rsidR="00BA6098" w:rsidRPr="00BA6098">
        <w:rPr>
          <w:rFonts w:ascii="Arial" w:hAnsi="Arial"/>
          <w:sz w:val="24"/>
          <w:szCs w:val="24"/>
        </w:rPr>
        <w:t xml:space="preserve">de </w:t>
      </w:r>
      <w:r w:rsidRPr="00BA6098">
        <w:rPr>
          <w:rFonts w:ascii="Arial" w:hAnsi="Arial"/>
          <w:sz w:val="24"/>
          <w:szCs w:val="24"/>
        </w:rPr>
        <w:t>vérité et</w:t>
      </w:r>
      <w:r>
        <w:rPr>
          <w:rFonts w:ascii="Arial" w:hAnsi="Arial"/>
          <w:sz w:val="24"/>
          <w:szCs w:val="24"/>
        </w:rPr>
        <w:t xml:space="preserve"> réconciliation, dans le but de définir des pratiques exemplaires, de réfléchir à d’autres possibilités </w:t>
      </w:r>
      <w:r w:rsidR="00BA33E0">
        <w:rPr>
          <w:rFonts w:ascii="Arial" w:hAnsi="Arial"/>
          <w:sz w:val="24"/>
          <w:szCs w:val="24"/>
        </w:rPr>
        <w:t xml:space="preserve">dans la </w:t>
      </w:r>
      <w:r>
        <w:rPr>
          <w:rFonts w:ascii="Arial" w:hAnsi="Arial"/>
          <w:sz w:val="24"/>
          <w:szCs w:val="24"/>
        </w:rPr>
        <w:t xml:space="preserve">lutte contre la surreprésentation des populations autochtones en milieu carcéral et </w:t>
      </w:r>
      <w:r w:rsidR="00BA33E0">
        <w:rPr>
          <w:rFonts w:ascii="Arial" w:hAnsi="Arial"/>
          <w:sz w:val="24"/>
          <w:szCs w:val="24"/>
        </w:rPr>
        <w:t xml:space="preserve">de faire des progrès </w:t>
      </w:r>
      <w:r>
        <w:rPr>
          <w:rFonts w:ascii="Arial" w:hAnsi="Arial"/>
          <w:sz w:val="24"/>
          <w:szCs w:val="24"/>
        </w:rPr>
        <w:t xml:space="preserve"> sur le chemin de la réconciliation.</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En Colombie-Britannique, le personnel et les médiateurs de la Division des services de justice à la famille ont reçu une formation et de</w:t>
      </w:r>
      <w:r w:rsidR="001E357D">
        <w:rPr>
          <w:rFonts w:ascii="Arial" w:hAnsi="Arial"/>
          <w:sz w:val="24"/>
          <w:szCs w:val="24"/>
        </w:rPr>
        <w:t xml:space="preserve"> l’éducation</w:t>
      </w:r>
      <w:r>
        <w:rPr>
          <w:rFonts w:ascii="Arial" w:hAnsi="Arial"/>
          <w:sz w:val="24"/>
          <w:szCs w:val="24"/>
        </w:rPr>
        <w:t xml:space="preserve"> en réponse à l’appel à l’action n</w:t>
      </w:r>
      <w:r>
        <w:rPr>
          <w:rFonts w:ascii="Arial" w:hAnsi="Arial"/>
          <w:sz w:val="24"/>
          <w:szCs w:val="24"/>
          <w:vertAlign w:val="superscript"/>
        </w:rPr>
        <w:t>o</w:t>
      </w:r>
      <w:r>
        <w:rPr>
          <w:rFonts w:ascii="Arial" w:hAnsi="Arial"/>
          <w:sz w:val="24"/>
          <w:szCs w:val="24"/>
        </w:rPr>
        <w:t xml:space="preserve"> 57 de la </w:t>
      </w:r>
      <w:r w:rsidR="00BA6098">
        <w:rPr>
          <w:rFonts w:ascii="Arial" w:hAnsi="Arial"/>
          <w:sz w:val="24"/>
          <w:szCs w:val="24"/>
        </w:rPr>
        <w:t>Commission de vérité</w:t>
      </w:r>
      <w:r>
        <w:rPr>
          <w:rFonts w:ascii="Arial" w:hAnsi="Arial"/>
          <w:sz w:val="24"/>
          <w:szCs w:val="24"/>
        </w:rPr>
        <w:t xml:space="preserve"> et réconciliation.</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 xml:space="preserve">Comme l’y invite le rapport final de la </w:t>
      </w:r>
      <w:r w:rsidR="00BA6098">
        <w:rPr>
          <w:rFonts w:ascii="Arial" w:hAnsi="Arial"/>
          <w:sz w:val="24"/>
          <w:szCs w:val="24"/>
        </w:rPr>
        <w:t>Commission de vérité</w:t>
      </w:r>
      <w:r>
        <w:rPr>
          <w:rFonts w:ascii="Arial" w:hAnsi="Arial"/>
          <w:sz w:val="24"/>
          <w:szCs w:val="24"/>
        </w:rPr>
        <w:t xml:space="preserve"> et réconciliation, l</w:t>
      </w:r>
      <w:r w:rsidR="00F14D0B">
        <w:rPr>
          <w:rFonts w:ascii="Arial" w:hAnsi="Arial"/>
          <w:sz w:val="24"/>
          <w:szCs w:val="24"/>
        </w:rPr>
        <w:t xml:space="preserve">e </w:t>
      </w:r>
      <w:r>
        <w:rPr>
          <w:rFonts w:ascii="Arial" w:hAnsi="Arial"/>
          <w:sz w:val="24"/>
          <w:szCs w:val="24"/>
        </w:rPr>
        <w:t xml:space="preserve">gouvernement de l’Alberta </w:t>
      </w:r>
      <w:r w:rsidR="00F14D0B">
        <w:rPr>
          <w:rFonts w:ascii="Arial" w:hAnsi="Arial"/>
          <w:sz w:val="24"/>
          <w:szCs w:val="24"/>
        </w:rPr>
        <w:t xml:space="preserve">dans l’ensemble </w:t>
      </w:r>
      <w:r>
        <w:rPr>
          <w:rFonts w:ascii="Arial" w:hAnsi="Arial"/>
          <w:sz w:val="24"/>
          <w:szCs w:val="24"/>
        </w:rPr>
        <w:t>s</w:t>
      </w:r>
      <w:r w:rsidR="005E0BB4">
        <w:rPr>
          <w:rFonts w:ascii="Arial" w:hAnsi="Arial"/>
          <w:sz w:val="24"/>
          <w:szCs w:val="24"/>
        </w:rPr>
        <w:t>’</w:t>
      </w:r>
      <w:r>
        <w:rPr>
          <w:rFonts w:ascii="Arial" w:hAnsi="Arial"/>
          <w:sz w:val="24"/>
          <w:szCs w:val="24"/>
        </w:rPr>
        <w:t xml:space="preserve">appuie sur la Déclaration des Nations Unies sur les droits des peuples autochtones en tant que cadre de réconciliation. </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L</w:t>
      </w:r>
      <w:r w:rsidR="005E0BB4">
        <w:rPr>
          <w:rFonts w:ascii="Arial" w:hAnsi="Arial"/>
          <w:sz w:val="24"/>
          <w:szCs w:val="24"/>
        </w:rPr>
        <w:t>’</w:t>
      </w:r>
      <w:r>
        <w:rPr>
          <w:rFonts w:ascii="Arial" w:hAnsi="Arial"/>
          <w:sz w:val="24"/>
          <w:szCs w:val="24"/>
        </w:rPr>
        <w:t xml:space="preserve">année dernière, tous les ministres de l’Alberta ont réalisé un examen des politiques, des programmes et des textes de loi en vigueur à la lumière des principes et des objectifs énoncés dans la Déclaration et des appels à l’action de la </w:t>
      </w:r>
      <w:r w:rsidR="00BA6098">
        <w:rPr>
          <w:rFonts w:ascii="Arial" w:hAnsi="Arial"/>
          <w:sz w:val="24"/>
          <w:szCs w:val="24"/>
        </w:rPr>
        <w:t>Commission de vérité</w:t>
      </w:r>
      <w:r>
        <w:rPr>
          <w:rFonts w:ascii="Arial" w:hAnsi="Arial"/>
          <w:sz w:val="24"/>
          <w:szCs w:val="24"/>
        </w:rPr>
        <w:t xml:space="preserve"> et réconciliation. Le gouvernement de l’Alberta s’emploie </w:t>
      </w:r>
      <w:r>
        <w:rPr>
          <w:rFonts w:ascii="Arial" w:hAnsi="Arial"/>
          <w:sz w:val="24"/>
          <w:szCs w:val="24"/>
        </w:rPr>
        <w:lastRenderedPageBreak/>
        <w:t xml:space="preserve">actuellement à </w:t>
      </w:r>
      <w:r w:rsidR="00D959DC">
        <w:rPr>
          <w:rFonts w:ascii="Arial" w:hAnsi="Arial"/>
          <w:sz w:val="24"/>
          <w:szCs w:val="24"/>
        </w:rPr>
        <w:t xml:space="preserve">discuter avec </w:t>
      </w:r>
      <w:r>
        <w:rPr>
          <w:rFonts w:ascii="Arial" w:hAnsi="Arial"/>
          <w:sz w:val="24"/>
          <w:szCs w:val="24"/>
        </w:rPr>
        <w:t xml:space="preserve">les collectivités et les organisations autochtones </w:t>
      </w:r>
      <w:r w:rsidR="00D959DC">
        <w:rPr>
          <w:rFonts w:ascii="Arial" w:hAnsi="Arial"/>
          <w:sz w:val="24"/>
          <w:szCs w:val="24"/>
        </w:rPr>
        <w:t xml:space="preserve">sur </w:t>
      </w:r>
      <w:r>
        <w:rPr>
          <w:rFonts w:ascii="Arial" w:hAnsi="Arial"/>
          <w:sz w:val="24"/>
          <w:szCs w:val="24"/>
        </w:rPr>
        <w:t xml:space="preserve">une série de propositions </w:t>
      </w:r>
      <w:r w:rsidR="002C030E">
        <w:rPr>
          <w:rFonts w:ascii="Arial" w:hAnsi="Arial"/>
          <w:sz w:val="24"/>
          <w:szCs w:val="24"/>
        </w:rPr>
        <w:t xml:space="preserve">relatives à </w:t>
      </w:r>
      <w:r>
        <w:rPr>
          <w:rFonts w:ascii="Arial" w:hAnsi="Arial"/>
          <w:sz w:val="24"/>
          <w:szCs w:val="24"/>
        </w:rPr>
        <w:t>la Déclaration.</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 xml:space="preserve">Le gouvernement du Manitoba a </w:t>
      </w:r>
      <w:r w:rsidR="00F14D0B">
        <w:rPr>
          <w:rFonts w:ascii="Arial" w:hAnsi="Arial"/>
          <w:sz w:val="24"/>
          <w:szCs w:val="24"/>
        </w:rPr>
        <w:t xml:space="preserve">promulgué </w:t>
      </w:r>
      <w:r>
        <w:rPr>
          <w:rFonts w:ascii="Arial" w:hAnsi="Arial"/>
          <w:sz w:val="24"/>
          <w:szCs w:val="24"/>
        </w:rPr>
        <w:t xml:space="preserve">la </w:t>
      </w:r>
      <w:r>
        <w:rPr>
          <w:rFonts w:ascii="Arial" w:hAnsi="Arial"/>
          <w:i/>
          <w:sz w:val="24"/>
          <w:szCs w:val="24"/>
        </w:rPr>
        <w:t>Loi sur la réconciliation</w:t>
      </w:r>
      <w:r>
        <w:rPr>
          <w:rFonts w:ascii="Arial" w:hAnsi="Arial"/>
          <w:sz w:val="24"/>
          <w:szCs w:val="24"/>
        </w:rPr>
        <w:t xml:space="preserve"> qui sera le fondement législatif des activités du gouvernement du Manitoba liées à la réconciliation et aux appels à l’action de la </w:t>
      </w:r>
      <w:r w:rsidR="00BA6098">
        <w:rPr>
          <w:rFonts w:ascii="Arial" w:hAnsi="Arial"/>
          <w:sz w:val="24"/>
          <w:szCs w:val="24"/>
        </w:rPr>
        <w:t>Commission de vérité</w:t>
      </w:r>
      <w:r w:rsidR="00B80117">
        <w:rPr>
          <w:rFonts w:ascii="Arial" w:hAnsi="Arial"/>
          <w:sz w:val="24"/>
          <w:szCs w:val="24"/>
        </w:rPr>
        <w:t xml:space="preserve"> et réconciliation. La L</w:t>
      </w:r>
      <w:r>
        <w:rPr>
          <w:rFonts w:ascii="Arial" w:hAnsi="Arial"/>
          <w:sz w:val="24"/>
          <w:szCs w:val="24"/>
        </w:rPr>
        <w:t xml:space="preserve">oi établit un mécanisme transparent de surveillance et d’évaluation des mesures prises par le gouvernement du Manitoba, y compris des mesures visant à </w:t>
      </w:r>
      <w:r w:rsidR="00D959DC">
        <w:rPr>
          <w:rFonts w:ascii="Arial" w:hAnsi="Arial"/>
          <w:sz w:val="24"/>
          <w:szCs w:val="24"/>
        </w:rPr>
        <w:t xml:space="preserve">impliquer </w:t>
      </w:r>
      <w:r>
        <w:rPr>
          <w:rFonts w:ascii="Arial" w:hAnsi="Arial"/>
          <w:sz w:val="24"/>
          <w:szCs w:val="24"/>
        </w:rPr>
        <w:t xml:space="preserve">les peuples et les nations autochtones dans le processus. </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Au cours de la prochaine année, le Manitoba lancera un processus d</w:t>
      </w:r>
      <w:r w:rsidR="003A134F">
        <w:rPr>
          <w:rFonts w:ascii="Arial" w:hAnsi="Arial"/>
          <w:sz w:val="24"/>
          <w:szCs w:val="24"/>
        </w:rPr>
        <w:t>e consultation</w:t>
      </w:r>
      <w:r>
        <w:rPr>
          <w:rFonts w:ascii="Arial" w:hAnsi="Arial"/>
          <w:sz w:val="24"/>
          <w:szCs w:val="24"/>
        </w:rPr>
        <w:t xml:space="preserve"> public avec les nations et les peuples autochtones afin de formuler les priorités et le cadre de réconciliation et d</w:t>
      </w:r>
      <w:r w:rsidR="005E0BB4">
        <w:rPr>
          <w:rFonts w:ascii="Arial" w:hAnsi="Arial"/>
          <w:sz w:val="24"/>
          <w:szCs w:val="24"/>
        </w:rPr>
        <w:t>’</w:t>
      </w:r>
      <w:r>
        <w:rPr>
          <w:rFonts w:ascii="Arial" w:hAnsi="Arial"/>
          <w:sz w:val="24"/>
          <w:szCs w:val="24"/>
        </w:rPr>
        <w:t>orienter l’élaboration de la stratégie de réconciliation au Manitoba. Cet effort sera le fruit d</w:t>
      </w:r>
      <w:r w:rsidR="005E0BB4">
        <w:rPr>
          <w:rFonts w:ascii="Arial" w:hAnsi="Arial"/>
          <w:sz w:val="24"/>
          <w:szCs w:val="24"/>
        </w:rPr>
        <w:t>’</w:t>
      </w:r>
      <w:r>
        <w:rPr>
          <w:rFonts w:ascii="Arial" w:hAnsi="Arial"/>
          <w:sz w:val="24"/>
          <w:szCs w:val="24"/>
        </w:rPr>
        <w:t>une coll</w:t>
      </w:r>
      <w:r w:rsidR="00B80117">
        <w:rPr>
          <w:rFonts w:ascii="Arial" w:hAnsi="Arial"/>
          <w:sz w:val="24"/>
          <w:szCs w:val="24"/>
        </w:rPr>
        <w:t>aboration entre Autochtones et n</w:t>
      </w:r>
      <w:r>
        <w:rPr>
          <w:rFonts w:ascii="Arial" w:hAnsi="Arial"/>
          <w:sz w:val="24"/>
          <w:szCs w:val="24"/>
        </w:rPr>
        <w:t>on-Autochtones au Manitoba, et dans tous les secteurs de la société.</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En réponse à l’appel à l’action n</w:t>
      </w:r>
      <w:r>
        <w:rPr>
          <w:rFonts w:ascii="Arial" w:hAnsi="Arial"/>
          <w:sz w:val="24"/>
          <w:szCs w:val="24"/>
          <w:vertAlign w:val="superscript"/>
        </w:rPr>
        <w:t>o</w:t>
      </w:r>
      <w:r>
        <w:rPr>
          <w:rFonts w:ascii="Arial" w:hAnsi="Arial"/>
          <w:sz w:val="24"/>
          <w:szCs w:val="24"/>
        </w:rPr>
        <w:t> 57, une formation destinée à tous les fonctionnaires du Manitoba est en cours d’élaboration.</w:t>
      </w:r>
    </w:p>
    <w:p w:rsidR="00165485" w:rsidRPr="00165485" w:rsidRDefault="00165485" w:rsidP="00165485">
      <w:pPr>
        <w:spacing w:before="120" w:after="240"/>
        <w:ind w:left="540"/>
        <w:rPr>
          <w:rFonts w:ascii="Arial" w:hAnsi="Arial" w:cs="Arial"/>
          <w:sz w:val="24"/>
          <w:szCs w:val="24"/>
        </w:rPr>
      </w:pPr>
      <w:r>
        <w:rPr>
          <w:rFonts w:ascii="Arial" w:hAnsi="Arial"/>
          <w:sz w:val="24"/>
          <w:szCs w:val="24"/>
        </w:rPr>
        <w:t xml:space="preserve">Depuis octobre 2015, un groupe de travail autochtone sur la justice pour la vérité et la réconciliation a été mis en place pour que les ministères du gouvernement des Territoires du Nord-Ouest poursuivent leur engagement à mettre en œuvre les appels à l’action de la Commission.  </w:t>
      </w:r>
    </w:p>
    <w:p w:rsidR="008B31A9" w:rsidRDefault="006E453D" w:rsidP="007B0949">
      <w:pPr>
        <w:pStyle w:val="ListParagraph"/>
        <w:keepNext/>
        <w:numPr>
          <w:ilvl w:val="0"/>
          <w:numId w:val="27"/>
        </w:numPr>
        <w:spacing w:before="360" w:after="240"/>
        <w:ind w:left="547" w:hanging="547"/>
        <w:rPr>
          <w:rFonts w:ascii="Arial" w:hAnsi="Arial" w:cs="Arial"/>
          <w:b/>
          <w:sz w:val="24"/>
          <w:szCs w:val="24"/>
        </w:rPr>
      </w:pPr>
      <w:r>
        <w:rPr>
          <w:rFonts w:ascii="Arial" w:hAnsi="Arial"/>
          <w:b/>
          <w:sz w:val="24"/>
          <w:szCs w:val="24"/>
        </w:rPr>
        <w:t>Renseignements au sujet du Tribunal des revendications particulières</w:t>
      </w:r>
    </w:p>
    <w:p w:rsidR="007B650C" w:rsidRPr="007B650C" w:rsidRDefault="007B650C" w:rsidP="005246FA">
      <w:pPr>
        <w:spacing w:before="120" w:after="240"/>
        <w:ind w:left="540"/>
        <w:rPr>
          <w:rFonts w:ascii="Arial" w:hAnsi="Arial" w:cs="Arial"/>
          <w:sz w:val="24"/>
          <w:szCs w:val="24"/>
        </w:rPr>
      </w:pPr>
      <w:r>
        <w:rPr>
          <w:rFonts w:ascii="Arial" w:hAnsi="Arial"/>
          <w:sz w:val="24"/>
          <w:szCs w:val="24"/>
        </w:rPr>
        <w:t>Le Service canadien d’appui a</w:t>
      </w:r>
      <w:r w:rsidR="00637E2F">
        <w:rPr>
          <w:rFonts w:ascii="Arial" w:hAnsi="Arial"/>
          <w:sz w:val="24"/>
          <w:szCs w:val="24"/>
        </w:rPr>
        <w:t>ux tribunaux administratifs (SC</w:t>
      </w:r>
      <w:r>
        <w:rPr>
          <w:rFonts w:ascii="Arial" w:hAnsi="Arial"/>
          <w:sz w:val="24"/>
          <w:szCs w:val="24"/>
        </w:rPr>
        <w:t>ATA) a été institué le 1</w:t>
      </w:r>
      <w:r>
        <w:rPr>
          <w:rFonts w:ascii="Arial" w:hAnsi="Arial"/>
          <w:sz w:val="24"/>
          <w:szCs w:val="24"/>
          <w:vertAlign w:val="superscript"/>
        </w:rPr>
        <w:t>er</w:t>
      </w:r>
      <w:r>
        <w:rPr>
          <w:rFonts w:ascii="Arial" w:hAnsi="Arial"/>
          <w:sz w:val="24"/>
          <w:szCs w:val="24"/>
        </w:rPr>
        <w:t xml:space="preserve"> novembre 2014 au moment de l’entrée en vigueur de la </w:t>
      </w:r>
      <w:r>
        <w:rPr>
          <w:rFonts w:ascii="Arial" w:hAnsi="Arial"/>
          <w:i/>
          <w:sz w:val="24"/>
          <w:szCs w:val="24"/>
        </w:rPr>
        <w:t>Loi sur le Service canadien d’appui aux tribunaux administratifs</w:t>
      </w:r>
      <w:r>
        <w:rPr>
          <w:rFonts w:ascii="Arial" w:hAnsi="Arial"/>
          <w:sz w:val="24"/>
          <w:szCs w:val="24"/>
        </w:rPr>
        <w:t>. Il a pour but de fournir des services de soutien et des installations à 11 tribunaux administratifs fédéraux – y compris le Tribunal des revendications particulières – au moyen d’un guichet unique et intégré.</w:t>
      </w:r>
    </w:p>
    <w:p w:rsidR="007B650C" w:rsidRPr="007B650C" w:rsidRDefault="007B650C" w:rsidP="005246FA">
      <w:pPr>
        <w:spacing w:before="120" w:after="240"/>
        <w:ind w:left="540"/>
        <w:rPr>
          <w:rFonts w:ascii="Arial" w:hAnsi="Arial" w:cs="Arial"/>
          <w:sz w:val="24"/>
          <w:szCs w:val="24"/>
        </w:rPr>
      </w:pPr>
      <w:r>
        <w:rPr>
          <w:rFonts w:ascii="Arial" w:hAnsi="Arial"/>
          <w:sz w:val="24"/>
          <w:szCs w:val="24"/>
        </w:rPr>
        <w:t>Ces services comprennent les servic</w:t>
      </w:r>
      <w:r w:rsidRPr="00621303">
        <w:rPr>
          <w:rFonts w:ascii="Arial" w:hAnsi="Arial"/>
          <w:sz w:val="24"/>
          <w:szCs w:val="24"/>
        </w:rPr>
        <w:t>es spécialisés nécessaires pour soutenir le mandat de chaque tribunal (</w:t>
      </w:r>
      <w:r w:rsidR="00621303" w:rsidRPr="00621303">
        <w:rPr>
          <w:rFonts w:ascii="Arial" w:hAnsi="Arial"/>
          <w:sz w:val="24"/>
          <w:szCs w:val="24"/>
        </w:rPr>
        <w:t>p. ex.,</w:t>
      </w:r>
      <w:r w:rsidRPr="00621303">
        <w:rPr>
          <w:rFonts w:ascii="Arial" w:hAnsi="Arial"/>
          <w:sz w:val="24"/>
          <w:szCs w:val="24"/>
        </w:rPr>
        <w:t> service</w:t>
      </w:r>
      <w:r>
        <w:rPr>
          <w:rFonts w:ascii="Arial" w:hAnsi="Arial"/>
          <w:sz w:val="24"/>
          <w:szCs w:val="24"/>
        </w:rPr>
        <w:t xml:space="preserve"> de greffe, recherche et analyse, services juridiques et toute autre activité liée au mandat ou aux dossiers particuliers d’un tribunal), ainsi que les services internes (</w:t>
      </w:r>
      <w:r w:rsidR="00621303">
        <w:rPr>
          <w:rFonts w:ascii="Arial" w:hAnsi="Arial"/>
          <w:sz w:val="24"/>
          <w:szCs w:val="24"/>
        </w:rPr>
        <w:t>p. ex.,</w:t>
      </w:r>
      <w:r>
        <w:rPr>
          <w:rFonts w:ascii="Arial" w:hAnsi="Arial"/>
          <w:sz w:val="24"/>
          <w:szCs w:val="24"/>
        </w:rPr>
        <w:t> services financiers, ressources humaines, gestion et technologie de l’information, aménagement des locaux, sécurité et communications).</w:t>
      </w:r>
    </w:p>
    <w:p w:rsidR="007B650C" w:rsidRPr="007B650C" w:rsidRDefault="00637E2F" w:rsidP="005246FA">
      <w:pPr>
        <w:spacing w:before="120" w:after="240"/>
        <w:ind w:left="540"/>
        <w:rPr>
          <w:rFonts w:ascii="Arial" w:hAnsi="Arial" w:cs="Arial"/>
          <w:sz w:val="24"/>
          <w:szCs w:val="24"/>
        </w:rPr>
      </w:pPr>
      <w:r>
        <w:rPr>
          <w:rFonts w:ascii="Arial" w:hAnsi="Arial"/>
          <w:sz w:val="24"/>
          <w:szCs w:val="24"/>
        </w:rPr>
        <w:t>En assurant ces services, le SC</w:t>
      </w:r>
      <w:r w:rsidR="007B650C">
        <w:rPr>
          <w:rFonts w:ascii="Arial" w:hAnsi="Arial"/>
          <w:sz w:val="24"/>
          <w:szCs w:val="24"/>
        </w:rPr>
        <w:t xml:space="preserve">ATA permet aux tribunaux d’exercer leurs pouvoirs et de s’acquitter des obligations et des fonctions qui leur incombent en vertu des lois, des règles et des règlements en vigueur.  </w:t>
      </w:r>
    </w:p>
    <w:p w:rsidR="007B650C" w:rsidRPr="007B650C" w:rsidRDefault="007B650C" w:rsidP="005246FA">
      <w:pPr>
        <w:spacing w:before="120" w:after="240"/>
        <w:ind w:left="540"/>
        <w:rPr>
          <w:rFonts w:ascii="Arial" w:hAnsi="Arial" w:cs="Arial"/>
          <w:sz w:val="24"/>
          <w:szCs w:val="24"/>
        </w:rPr>
      </w:pPr>
      <w:r>
        <w:rPr>
          <w:rFonts w:ascii="Arial" w:hAnsi="Arial"/>
          <w:sz w:val="24"/>
          <w:szCs w:val="24"/>
        </w:rPr>
        <w:lastRenderedPageBreak/>
        <w:t>Le Tribunal des revendications particulières (TRP), constitué en octobre 2008, s’inscrit dans la politique « La justice, enfin » du gouvernement du Canada, établie de concert avec l’Assemblée des Premières Nations. Son but est d’accélérer le règlement des revendications particulières des Premières Nations déposées contre la Couronne concernant les terres de réserve, d’autres biens et la réalisation de</w:t>
      </w:r>
      <w:r w:rsidR="00621303">
        <w:rPr>
          <w:rFonts w:ascii="Arial" w:hAnsi="Arial"/>
          <w:sz w:val="24"/>
          <w:szCs w:val="24"/>
        </w:rPr>
        <w:t>s promesses contenues dans les t</w:t>
      </w:r>
      <w:r>
        <w:rPr>
          <w:rFonts w:ascii="Arial" w:hAnsi="Arial"/>
          <w:sz w:val="24"/>
          <w:szCs w:val="24"/>
        </w:rPr>
        <w:t xml:space="preserve">raités.  </w:t>
      </w:r>
    </w:p>
    <w:p w:rsidR="007B650C" w:rsidRPr="007B650C" w:rsidRDefault="007B650C" w:rsidP="005246FA">
      <w:pPr>
        <w:spacing w:before="120" w:after="240"/>
        <w:ind w:left="540"/>
        <w:rPr>
          <w:rFonts w:ascii="Arial" w:hAnsi="Arial" w:cs="Arial"/>
          <w:sz w:val="24"/>
          <w:szCs w:val="24"/>
        </w:rPr>
      </w:pPr>
      <w:r>
        <w:rPr>
          <w:rFonts w:ascii="Arial" w:hAnsi="Arial"/>
          <w:sz w:val="24"/>
          <w:szCs w:val="24"/>
        </w:rPr>
        <w:t>Les revendications soumises au Tribunal sont complexes, tant sur le plan des faits que de l’application de la loi. La plupart d’entre elles font l’objet d’une audience sur le fond quant à la validité et, si elle est jugée valide, quant à l’indemnisation. Les requêtes préliminaires portant sur la compétence, la recevabilité d’éléments de preuve et d’autres questions sont fréquentes. Le dossier comprend fréquemment l’histoire orale, des témoignages d’experts et une documentation volumineuse s’étendant parfois sur tout un siècle.</w:t>
      </w:r>
    </w:p>
    <w:p w:rsidR="007B650C" w:rsidRPr="007B650C" w:rsidRDefault="007B650C" w:rsidP="005246FA">
      <w:pPr>
        <w:spacing w:before="120" w:after="240"/>
        <w:ind w:left="540"/>
        <w:rPr>
          <w:rFonts w:ascii="Arial" w:hAnsi="Arial" w:cs="Arial"/>
          <w:sz w:val="24"/>
          <w:szCs w:val="24"/>
        </w:rPr>
      </w:pPr>
      <w:r>
        <w:rPr>
          <w:rFonts w:ascii="Arial" w:hAnsi="Arial"/>
          <w:sz w:val="24"/>
          <w:szCs w:val="24"/>
        </w:rPr>
        <w:t xml:space="preserve">Depuis sa création, le TRP a tenu plus de 602 conférences de gestion des cas et 63 audiences. À l’heure actuelle, le Tribunal compte 70 réclamations actives et 15 réclamations inactives.  </w:t>
      </w:r>
    </w:p>
    <w:p w:rsidR="007B650C" w:rsidRPr="007B650C" w:rsidRDefault="007B650C" w:rsidP="005246FA">
      <w:pPr>
        <w:spacing w:before="120" w:after="240"/>
        <w:ind w:left="540"/>
        <w:rPr>
          <w:rFonts w:ascii="Arial" w:hAnsi="Arial" w:cs="Arial"/>
          <w:sz w:val="24"/>
          <w:szCs w:val="24"/>
        </w:rPr>
      </w:pPr>
      <w:r w:rsidRPr="00621303">
        <w:rPr>
          <w:rFonts w:ascii="Arial" w:hAnsi="Arial" w:cs="Arial"/>
          <w:sz w:val="24"/>
          <w:szCs w:val="24"/>
        </w:rPr>
        <w:t>Dans le</w:t>
      </w:r>
      <w:r>
        <w:t xml:space="preserve"> </w:t>
      </w:r>
      <w:hyperlink r:id="rId8" w:history="1">
        <w:r>
          <w:rPr>
            <w:rFonts w:ascii="Arial" w:hAnsi="Arial"/>
            <w:color w:val="0000FF"/>
            <w:sz w:val="24"/>
            <w:szCs w:val="24"/>
            <w:u w:val="single"/>
          </w:rPr>
          <w:t>Rapport annuel de 2016</w:t>
        </w:r>
      </w:hyperlink>
      <w:r>
        <w:rPr>
          <w:rFonts w:ascii="Arial" w:hAnsi="Arial"/>
          <w:sz w:val="24"/>
          <w:szCs w:val="24"/>
        </w:rPr>
        <w:t xml:space="preserve"> du TRP, le Tribunal a signalé qu’il avait connu un arriéré de cas, qu’il attribuait à un nombre insuffisant de membres nécessaires pour instruire les réclamations en temps opportun.   </w:t>
      </w:r>
    </w:p>
    <w:p w:rsidR="007B650C" w:rsidRPr="007B650C" w:rsidRDefault="007B650C" w:rsidP="005246FA">
      <w:pPr>
        <w:spacing w:before="120" w:after="240"/>
        <w:ind w:left="540"/>
        <w:rPr>
          <w:rFonts w:ascii="Arial" w:hAnsi="Arial" w:cs="Arial"/>
          <w:sz w:val="24"/>
          <w:szCs w:val="24"/>
        </w:rPr>
      </w:pPr>
      <w:r>
        <w:rPr>
          <w:rFonts w:ascii="Arial" w:hAnsi="Arial"/>
          <w:sz w:val="24"/>
          <w:szCs w:val="24"/>
        </w:rPr>
        <w:t>Conformément à sa loi habilitante, le TRP est formé d’un maximum de six membres à temps plein ou d’une combinaison équivalente de membres à temps partiel et à temps plein, nommés par le gouverneur en conseil suivant la recommandation du ministre de la Justice et du ministre des Affaires autochtones et du Nord, à partir d’une liste de juges de la Cour supérieure.</w:t>
      </w:r>
    </w:p>
    <w:p w:rsidR="007B650C" w:rsidRPr="005246FA" w:rsidRDefault="007B650C" w:rsidP="005246FA">
      <w:pPr>
        <w:spacing w:before="120" w:after="240"/>
        <w:ind w:left="540"/>
        <w:rPr>
          <w:rFonts w:ascii="Arial" w:hAnsi="Arial" w:cs="Arial"/>
          <w:sz w:val="24"/>
          <w:szCs w:val="24"/>
        </w:rPr>
      </w:pPr>
      <w:r>
        <w:rPr>
          <w:rFonts w:ascii="Arial" w:hAnsi="Arial"/>
          <w:sz w:val="24"/>
          <w:szCs w:val="24"/>
        </w:rPr>
        <w:t>Le Tribunal est actuellement composé d’un</w:t>
      </w:r>
      <w:r w:rsidR="00621303">
        <w:rPr>
          <w:rFonts w:ascii="Arial" w:hAnsi="Arial"/>
          <w:sz w:val="24"/>
          <w:szCs w:val="24"/>
        </w:rPr>
        <w:t xml:space="preserve"> président à temps plein et de quatre</w:t>
      </w:r>
      <w:r>
        <w:rPr>
          <w:rFonts w:ascii="Arial" w:hAnsi="Arial"/>
          <w:sz w:val="24"/>
          <w:szCs w:val="24"/>
        </w:rPr>
        <w:t xml:space="preserve"> membres à temps partiel, dont </w:t>
      </w:r>
      <w:r w:rsidR="00621303">
        <w:rPr>
          <w:rFonts w:ascii="Arial" w:hAnsi="Arial"/>
          <w:sz w:val="24"/>
          <w:szCs w:val="24"/>
        </w:rPr>
        <w:t>trois</w:t>
      </w:r>
      <w:r>
        <w:rPr>
          <w:rFonts w:ascii="Arial" w:hAnsi="Arial"/>
          <w:sz w:val="24"/>
          <w:szCs w:val="24"/>
        </w:rPr>
        <w:t> nouveaux membres nommés en mai 2016.</w:t>
      </w:r>
    </w:p>
    <w:p w:rsidR="007B650C" w:rsidRPr="005246FA" w:rsidRDefault="007B650C" w:rsidP="005246FA">
      <w:pPr>
        <w:spacing w:before="120" w:after="240"/>
        <w:ind w:left="540"/>
        <w:rPr>
          <w:rFonts w:ascii="Arial" w:hAnsi="Arial" w:cs="Arial"/>
          <w:sz w:val="24"/>
          <w:szCs w:val="24"/>
        </w:rPr>
      </w:pPr>
      <w:r>
        <w:rPr>
          <w:rFonts w:ascii="Arial" w:hAnsi="Arial"/>
          <w:sz w:val="24"/>
          <w:szCs w:val="24"/>
        </w:rPr>
        <w:t xml:space="preserve">Le budget historique du TRP de 2,9 millions de dollars, récemment confirmé dans le budget fédéral de 2017, est suffisant pour couvrir ses activités et appuyer le nombre de membres existants.   </w:t>
      </w:r>
    </w:p>
    <w:p w:rsidR="007B650C" w:rsidRPr="005246FA" w:rsidRDefault="007B650C" w:rsidP="005246FA">
      <w:pPr>
        <w:spacing w:before="120" w:after="240"/>
        <w:ind w:left="540"/>
        <w:rPr>
          <w:rFonts w:ascii="Arial" w:hAnsi="Arial" w:cs="Arial"/>
          <w:sz w:val="24"/>
          <w:szCs w:val="24"/>
        </w:rPr>
      </w:pPr>
      <w:r>
        <w:rPr>
          <w:rFonts w:ascii="Arial" w:hAnsi="Arial"/>
          <w:sz w:val="24"/>
          <w:szCs w:val="24"/>
        </w:rPr>
        <w:t xml:space="preserve">Si d’autres membres étaient nommés au TRP pour accélérer davantage le règlement des </w:t>
      </w:r>
      <w:r w:rsidRPr="00637E2F">
        <w:rPr>
          <w:rFonts w:ascii="Arial" w:hAnsi="Arial"/>
          <w:sz w:val="24"/>
          <w:szCs w:val="24"/>
        </w:rPr>
        <w:t>revendications particulières, le SCATA collaborerait</w:t>
      </w:r>
      <w:r>
        <w:rPr>
          <w:rFonts w:ascii="Arial" w:hAnsi="Arial"/>
          <w:sz w:val="24"/>
          <w:szCs w:val="24"/>
        </w:rPr>
        <w:t xml:space="preserve"> avec le président et les organismes centraux pour obtenir un financement supplémentaire, au besoin. </w:t>
      </w:r>
    </w:p>
    <w:p w:rsidR="007E2778" w:rsidRDefault="006E453D" w:rsidP="00440E30">
      <w:pPr>
        <w:pStyle w:val="ListParagraph"/>
        <w:keepNext/>
        <w:numPr>
          <w:ilvl w:val="0"/>
          <w:numId w:val="27"/>
        </w:numPr>
        <w:spacing w:before="120" w:after="240"/>
        <w:ind w:left="540" w:hanging="540"/>
        <w:rPr>
          <w:rFonts w:ascii="Arial" w:hAnsi="Arial" w:cs="Arial"/>
          <w:b/>
          <w:sz w:val="24"/>
          <w:szCs w:val="24"/>
        </w:rPr>
      </w:pPr>
      <w:r>
        <w:rPr>
          <w:rFonts w:ascii="Arial" w:hAnsi="Arial"/>
          <w:b/>
          <w:sz w:val="24"/>
          <w:szCs w:val="24"/>
        </w:rPr>
        <w:lastRenderedPageBreak/>
        <w:t>Renseignements concernant le consentement préalable</w:t>
      </w:r>
      <w:r w:rsidR="00AC1CFC">
        <w:rPr>
          <w:rFonts w:ascii="Arial" w:hAnsi="Arial"/>
          <w:b/>
          <w:sz w:val="24"/>
          <w:szCs w:val="24"/>
        </w:rPr>
        <w:t>, donné librement et en connaissance de cause</w:t>
      </w:r>
    </w:p>
    <w:p w:rsidR="006E453D" w:rsidRPr="006E453D" w:rsidRDefault="006E453D" w:rsidP="00332BA4">
      <w:pPr>
        <w:ind w:left="540"/>
        <w:rPr>
          <w:rFonts w:ascii="Arial" w:hAnsi="Arial" w:cs="Arial"/>
          <w:b/>
          <w:i/>
          <w:sz w:val="24"/>
          <w:szCs w:val="24"/>
        </w:rPr>
      </w:pPr>
      <w:r>
        <w:rPr>
          <w:rFonts w:ascii="Arial" w:hAnsi="Arial"/>
          <w:b/>
          <w:i/>
          <w:sz w:val="24"/>
          <w:szCs w:val="24"/>
        </w:rPr>
        <w:t xml:space="preserve">Approche adoptée par le Canada à l’égard du </w:t>
      </w:r>
      <w:r w:rsidR="00AC1CFC">
        <w:rPr>
          <w:rFonts w:ascii="Arial" w:hAnsi="Arial"/>
          <w:b/>
          <w:i/>
          <w:sz w:val="24"/>
          <w:szCs w:val="24"/>
        </w:rPr>
        <w:t>consentement préalable, donné librement et en connaissance de cause</w:t>
      </w:r>
    </w:p>
    <w:p w:rsidR="007573F8" w:rsidRPr="007573F8" w:rsidRDefault="007573F8" w:rsidP="007573F8">
      <w:pPr>
        <w:ind w:left="540"/>
        <w:rPr>
          <w:rFonts w:ascii="Arial" w:hAnsi="Arial" w:cs="Arial"/>
          <w:sz w:val="24"/>
          <w:szCs w:val="24"/>
        </w:rPr>
      </w:pPr>
      <w:r>
        <w:rPr>
          <w:rFonts w:ascii="Arial" w:hAnsi="Arial"/>
          <w:sz w:val="24"/>
          <w:szCs w:val="24"/>
        </w:rPr>
        <w:t>Au cours du dialogue interactif du Canada avec le Comité, la délégation a fourni des renseignements sur l’approche du Canada en matière de consentement</w:t>
      </w:r>
      <w:r w:rsidR="000759BD" w:rsidRPr="000759BD">
        <w:rPr>
          <w:rFonts w:ascii="Arial" w:hAnsi="Arial"/>
          <w:sz w:val="24"/>
          <w:szCs w:val="24"/>
        </w:rPr>
        <w:t xml:space="preserve"> préalable</w:t>
      </w:r>
      <w:r w:rsidR="00AC1CFC">
        <w:rPr>
          <w:rFonts w:ascii="Arial" w:hAnsi="Arial"/>
          <w:sz w:val="24"/>
          <w:szCs w:val="24"/>
        </w:rPr>
        <w:t>, donné librement et en connaissance de cause</w:t>
      </w:r>
      <w:r>
        <w:rPr>
          <w:rFonts w:ascii="Arial" w:hAnsi="Arial"/>
          <w:sz w:val="24"/>
          <w:szCs w:val="24"/>
        </w:rPr>
        <w:t>.</w:t>
      </w:r>
      <w:r w:rsidR="00B3169F">
        <w:rPr>
          <w:rFonts w:ascii="Arial" w:hAnsi="Arial"/>
          <w:sz w:val="24"/>
          <w:szCs w:val="24"/>
        </w:rPr>
        <w:t xml:space="preserve"> </w:t>
      </w:r>
    </w:p>
    <w:p w:rsidR="007573F8" w:rsidRPr="004F0CBA" w:rsidRDefault="007573F8" w:rsidP="007573F8">
      <w:pPr>
        <w:ind w:left="540"/>
        <w:rPr>
          <w:rFonts w:ascii="Arial" w:hAnsi="Arial" w:cs="Arial"/>
          <w:sz w:val="24"/>
          <w:szCs w:val="24"/>
        </w:rPr>
      </w:pPr>
      <w:r>
        <w:rPr>
          <w:rFonts w:ascii="Arial" w:hAnsi="Arial"/>
          <w:sz w:val="24"/>
          <w:szCs w:val="24"/>
        </w:rPr>
        <w:t xml:space="preserve">Comme cela est mentionné dans </w:t>
      </w:r>
      <w:r w:rsidR="00B3169F">
        <w:rPr>
          <w:rFonts w:ascii="Arial" w:hAnsi="Arial"/>
          <w:sz w:val="24"/>
          <w:szCs w:val="24"/>
        </w:rPr>
        <w:t xml:space="preserve">la </w:t>
      </w:r>
      <w:r w:rsidR="00B3169F" w:rsidRPr="00B3169F">
        <w:rPr>
          <w:rFonts w:ascii="Arial" w:hAnsi="Arial"/>
          <w:sz w:val="24"/>
          <w:szCs w:val="24"/>
        </w:rPr>
        <w:t xml:space="preserve">déclaration </w:t>
      </w:r>
      <w:r w:rsidR="00B3169F">
        <w:rPr>
          <w:rFonts w:ascii="Arial" w:hAnsi="Arial"/>
          <w:sz w:val="24"/>
          <w:szCs w:val="24"/>
        </w:rPr>
        <w:t xml:space="preserve">d’ouverture </w:t>
      </w:r>
      <w:r w:rsidR="00B3169F" w:rsidRPr="00B3169F">
        <w:rPr>
          <w:rFonts w:ascii="Arial" w:hAnsi="Arial"/>
          <w:sz w:val="24"/>
          <w:szCs w:val="24"/>
        </w:rPr>
        <w:t>du</w:t>
      </w:r>
      <w:r>
        <w:rPr>
          <w:rFonts w:ascii="Arial" w:hAnsi="Arial"/>
          <w:sz w:val="24"/>
          <w:szCs w:val="24"/>
        </w:rPr>
        <w:t xml:space="preserve"> Canada, le gouvernement du Canada a rendu public, le 1</w:t>
      </w:r>
      <w:r w:rsidR="004F0CBA">
        <w:rPr>
          <w:rFonts w:ascii="Arial" w:hAnsi="Arial"/>
          <w:sz w:val="24"/>
          <w:szCs w:val="24"/>
        </w:rPr>
        <w:t>4 juillet 2017, un ensemble de p</w:t>
      </w:r>
      <w:r>
        <w:rPr>
          <w:rFonts w:ascii="Arial" w:hAnsi="Arial"/>
          <w:sz w:val="24"/>
          <w:szCs w:val="24"/>
        </w:rPr>
        <w:t>rincipes régissant la relation du gouvernement du Canada avec les peuples autochtones. Les dix principes sont fondés sur la reconnaissance des peuples, des gouvernements, des lois et des droits autochtones, y compris le droit à l</w:t>
      </w:r>
      <w:r w:rsidR="005E0BB4">
        <w:rPr>
          <w:rFonts w:ascii="Arial" w:hAnsi="Arial"/>
          <w:sz w:val="24"/>
          <w:szCs w:val="24"/>
        </w:rPr>
        <w:t>’</w:t>
      </w:r>
      <w:r>
        <w:rPr>
          <w:rFonts w:ascii="Arial" w:hAnsi="Arial"/>
          <w:sz w:val="24"/>
          <w:szCs w:val="24"/>
        </w:rPr>
        <w:t xml:space="preserve">autodétermination et le droit inhérent à </w:t>
      </w:r>
      <w:r w:rsidRPr="004F0CBA">
        <w:rPr>
          <w:rFonts w:ascii="Arial" w:hAnsi="Arial"/>
          <w:sz w:val="24"/>
          <w:szCs w:val="24"/>
        </w:rPr>
        <w:t>l</w:t>
      </w:r>
      <w:r w:rsidR="005E0BB4" w:rsidRPr="004F0CBA">
        <w:rPr>
          <w:rFonts w:ascii="Arial" w:hAnsi="Arial"/>
          <w:sz w:val="24"/>
          <w:szCs w:val="24"/>
        </w:rPr>
        <w:t>’</w:t>
      </w:r>
      <w:r w:rsidRPr="004F0CBA">
        <w:rPr>
          <w:rFonts w:ascii="Arial" w:hAnsi="Arial"/>
          <w:sz w:val="24"/>
          <w:szCs w:val="24"/>
        </w:rPr>
        <w:t xml:space="preserve">autonomie gouvernementale. </w:t>
      </w:r>
    </w:p>
    <w:p w:rsidR="007573F8" w:rsidRPr="007573F8" w:rsidRDefault="007573F8" w:rsidP="007573F8">
      <w:pPr>
        <w:ind w:left="540"/>
        <w:rPr>
          <w:rFonts w:ascii="Arial" w:hAnsi="Arial" w:cs="Arial"/>
          <w:sz w:val="24"/>
          <w:szCs w:val="24"/>
        </w:rPr>
      </w:pPr>
      <w:r w:rsidRPr="004F0CBA">
        <w:rPr>
          <w:rFonts w:ascii="Arial" w:hAnsi="Arial"/>
          <w:sz w:val="24"/>
          <w:szCs w:val="24"/>
        </w:rPr>
        <w:t xml:space="preserve">Pour </w:t>
      </w:r>
      <w:r w:rsidR="004F0CBA" w:rsidRPr="004F0CBA">
        <w:rPr>
          <w:rFonts w:ascii="Arial" w:hAnsi="Arial"/>
          <w:sz w:val="24"/>
          <w:szCs w:val="24"/>
        </w:rPr>
        <w:t xml:space="preserve">obtenir </w:t>
      </w:r>
      <w:r w:rsidRPr="004F0CBA">
        <w:rPr>
          <w:rFonts w:ascii="Arial" w:hAnsi="Arial"/>
          <w:sz w:val="24"/>
          <w:szCs w:val="24"/>
        </w:rPr>
        <w:t xml:space="preserve">plus de détails sur l’approche du Canada en matière de </w:t>
      </w:r>
      <w:r w:rsidR="00AC1CFC">
        <w:rPr>
          <w:rFonts w:ascii="Arial" w:hAnsi="Arial"/>
          <w:sz w:val="24"/>
          <w:szCs w:val="24"/>
        </w:rPr>
        <w:t>consentement</w:t>
      </w:r>
      <w:r w:rsidR="00AC1CFC" w:rsidRPr="000759BD">
        <w:rPr>
          <w:rFonts w:ascii="Arial" w:hAnsi="Arial"/>
          <w:sz w:val="24"/>
          <w:szCs w:val="24"/>
        </w:rPr>
        <w:t xml:space="preserve"> préalable</w:t>
      </w:r>
      <w:r w:rsidR="00AC1CFC">
        <w:rPr>
          <w:rFonts w:ascii="Arial" w:hAnsi="Arial"/>
          <w:sz w:val="24"/>
          <w:szCs w:val="24"/>
        </w:rPr>
        <w:t>, donné librement et en connaissance de cause</w:t>
      </w:r>
      <w:r w:rsidRPr="004F0CBA">
        <w:rPr>
          <w:rFonts w:ascii="Arial" w:hAnsi="Arial"/>
          <w:sz w:val="24"/>
          <w:szCs w:val="24"/>
        </w:rPr>
        <w:t xml:space="preserve">, </w:t>
      </w:r>
      <w:r w:rsidR="00AC1CFC" w:rsidRPr="004F0CBA">
        <w:rPr>
          <w:rFonts w:ascii="Arial" w:hAnsi="Arial"/>
          <w:sz w:val="24"/>
          <w:szCs w:val="24"/>
        </w:rPr>
        <w:t>veuillez</w:t>
      </w:r>
      <w:r w:rsidR="00AC1CFC">
        <w:rPr>
          <w:rFonts w:ascii="Arial" w:hAnsi="Arial"/>
          <w:sz w:val="24"/>
          <w:szCs w:val="24"/>
        </w:rPr>
        <w:t>-vous</w:t>
      </w:r>
      <w:r w:rsidR="00ED5208">
        <w:rPr>
          <w:rFonts w:ascii="Arial" w:hAnsi="Arial"/>
          <w:sz w:val="24"/>
          <w:szCs w:val="24"/>
        </w:rPr>
        <w:t xml:space="preserve"> </w:t>
      </w:r>
      <w:r w:rsidR="004F0CBA">
        <w:rPr>
          <w:rFonts w:ascii="Arial" w:hAnsi="Arial"/>
          <w:sz w:val="24"/>
          <w:szCs w:val="24"/>
        </w:rPr>
        <w:t>reporter au p</w:t>
      </w:r>
      <w:r>
        <w:rPr>
          <w:rFonts w:ascii="Arial" w:hAnsi="Arial"/>
          <w:sz w:val="24"/>
          <w:szCs w:val="24"/>
        </w:rPr>
        <w:t>rincipe 6 :</w:t>
      </w:r>
    </w:p>
    <w:p w:rsidR="007573F8" w:rsidRPr="007573F8" w:rsidRDefault="007573F8" w:rsidP="006F1645">
      <w:pPr>
        <w:ind w:left="1440"/>
        <w:rPr>
          <w:rFonts w:ascii="Arial" w:hAnsi="Arial" w:cs="Arial"/>
          <w:sz w:val="24"/>
          <w:szCs w:val="24"/>
        </w:rPr>
      </w:pPr>
      <w:r>
        <w:rPr>
          <w:rFonts w:ascii="Arial" w:hAnsi="Arial"/>
          <w:sz w:val="24"/>
          <w:szCs w:val="24"/>
        </w:rPr>
        <w:t xml:space="preserve">Le gouvernement du Canada reconnaît qu’un engagement </w:t>
      </w:r>
      <w:r w:rsidR="00AC1CFC">
        <w:rPr>
          <w:rFonts w:ascii="Arial" w:hAnsi="Arial"/>
          <w:sz w:val="24"/>
          <w:szCs w:val="24"/>
        </w:rPr>
        <w:t xml:space="preserve">significatif </w:t>
      </w:r>
      <w:r>
        <w:rPr>
          <w:rFonts w:ascii="Arial" w:hAnsi="Arial"/>
          <w:sz w:val="24"/>
          <w:szCs w:val="24"/>
        </w:rPr>
        <w:t xml:space="preserve">important avec les peuples autochtones vise à obtenir leur consentement </w:t>
      </w:r>
      <w:r w:rsidR="00AC1CFC" w:rsidRPr="000759BD">
        <w:rPr>
          <w:rFonts w:ascii="Arial" w:hAnsi="Arial"/>
          <w:sz w:val="24"/>
          <w:szCs w:val="24"/>
        </w:rPr>
        <w:t>préalable</w:t>
      </w:r>
      <w:r w:rsidR="00AC1CFC">
        <w:rPr>
          <w:rFonts w:ascii="Arial" w:hAnsi="Arial"/>
          <w:sz w:val="24"/>
          <w:szCs w:val="24"/>
        </w:rPr>
        <w:t>, donné librement et en connaissance de cause</w:t>
      </w:r>
      <w:r>
        <w:rPr>
          <w:rFonts w:ascii="Arial" w:hAnsi="Arial"/>
          <w:sz w:val="24"/>
          <w:szCs w:val="24"/>
        </w:rPr>
        <w:t xml:space="preserve">, lorsque le Canada propose de prendre des mesures ayant une incidence sur eux </w:t>
      </w:r>
      <w:r w:rsidR="00AC1CFC">
        <w:rPr>
          <w:rFonts w:ascii="Arial" w:hAnsi="Arial"/>
          <w:sz w:val="24"/>
          <w:szCs w:val="24"/>
        </w:rPr>
        <w:t>et</w:t>
      </w:r>
      <w:r>
        <w:rPr>
          <w:rFonts w:ascii="Arial" w:hAnsi="Arial"/>
          <w:sz w:val="24"/>
          <w:szCs w:val="24"/>
        </w:rPr>
        <w:t xml:space="preserve"> sur leurs droits, leurs terres, leurs territoires et leurs ressources.</w:t>
      </w:r>
    </w:p>
    <w:p w:rsidR="007573F8" w:rsidRPr="007573F8" w:rsidRDefault="007573F8" w:rsidP="006F1645">
      <w:pPr>
        <w:ind w:left="1440"/>
        <w:rPr>
          <w:rFonts w:ascii="Arial" w:hAnsi="Arial" w:cs="Arial"/>
          <w:sz w:val="24"/>
          <w:szCs w:val="24"/>
        </w:rPr>
      </w:pPr>
      <w:r>
        <w:rPr>
          <w:rFonts w:ascii="Arial" w:hAnsi="Arial"/>
          <w:sz w:val="24"/>
          <w:szCs w:val="24"/>
        </w:rPr>
        <w:t>Ce principe reconnaît que l’engagement du gouvernement du Canada envers une nouvelle relation de nation à nation, de gouvernement à gouvernement et entre les Inuits et la Couronne repose</w:t>
      </w:r>
      <w:r w:rsidR="00AC1CFC">
        <w:rPr>
          <w:rFonts w:ascii="Arial" w:hAnsi="Arial"/>
          <w:sz w:val="24"/>
          <w:szCs w:val="24"/>
        </w:rPr>
        <w:t>, sans toutefois s’y limiter,</w:t>
      </w:r>
      <w:r>
        <w:rPr>
          <w:rFonts w:ascii="Arial" w:hAnsi="Arial"/>
          <w:sz w:val="24"/>
          <w:szCs w:val="24"/>
        </w:rPr>
        <w:t xml:space="preserve"> sur </w:t>
      </w:r>
      <w:r w:rsidR="00AC1CFC">
        <w:rPr>
          <w:rFonts w:ascii="Arial" w:hAnsi="Arial"/>
          <w:sz w:val="24"/>
          <w:szCs w:val="24"/>
        </w:rPr>
        <w:t>le devoir juridique de consultation</w:t>
      </w:r>
      <w:r>
        <w:rPr>
          <w:rFonts w:ascii="Arial" w:hAnsi="Arial"/>
          <w:sz w:val="24"/>
          <w:szCs w:val="24"/>
        </w:rPr>
        <w:t xml:space="preserve">. En ce qui concerne </w:t>
      </w:r>
      <w:r w:rsidR="00AC1CFC">
        <w:rPr>
          <w:rFonts w:ascii="Arial" w:hAnsi="Arial"/>
          <w:sz w:val="24"/>
          <w:szCs w:val="24"/>
        </w:rPr>
        <w:t xml:space="preserve">la mise en œuvre </w:t>
      </w:r>
      <w:r>
        <w:rPr>
          <w:rFonts w:ascii="Arial" w:hAnsi="Arial"/>
          <w:sz w:val="24"/>
          <w:szCs w:val="24"/>
        </w:rPr>
        <w:t xml:space="preserve">de cet engagement, le gouvernement reconnaît le droit des peuples autochtones à </w:t>
      </w:r>
      <w:r w:rsidR="00AC1CFC">
        <w:rPr>
          <w:rFonts w:ascii="Arial" w:hAnsi="Arial"/>
          <w:sz w:val="24"/>
          <w:szCs w:val="24"/>
        </w:rPr>
        <w:t xml:space="preserve">prendre part </w:t>
      </w:r>
      <w:r>
        <w:rPr>
          <w:rFonts w:ascii="Arial" w:hAnsi="Arial"/>
          <w:sz w:val="24"/>
          <w:szCs w:val="24"/>
        </w:rPr>
        <w:t xml:space="preserve">à la prise de décisions sur les questions qui touchent leurs droits, par l’intermédiaire de leurs propres institutions représentatives, </w:t>
      </w:r>
      <w:r w:rsidR="00AC1CFC">
        <w:rPr>
          <w:rFonts w:ascii="Arial" w:hAnsi="Arial"/>
          <w:sz w:val="24"/>
          <w:szCs w:val="24"/>
        </w:rPr>
        <w:t xml:space="preserve">et </w:t>
      </w:r>
      <w:r>
        <w:rPr>
          <w:rFonts w:ascii="Arial" w:hAnsi="Arial"/>
          <w:sz w:val="24"/>
          <w:szCs w:val="24"/>
        </w:rPr>
        <w:t xml:space="preserve">la nécessité de les consulter et de collaborer de bonne foi avec eux en vue d’obtenir leur </w:t>
      </w:r>
      <w:r w:rsidR="00AC1CFC">
        <w:rPr>
          <w:rFonts w:ascii="Arial" w:hAnsi="Arial"/>
          <w:sz w:val="24"/>
          <w:szCs w:val="24"/>
        </w:rPr>
        <w:t>consentement</w:t>
      </w:r>
      <w:r w:rsidR="00AC1CFC" w:rsidRPr="000759BD">
        <w:rPr>
          <w:rFonts w:ascii="Arial" w:hAnsi="Arial"/>
          <w:sz w:val="24"/>
          <w:szCs w:val="24"/>
        </w:rPr>
        <w:t xml:space="preserve"> préalable</w:t>
      </w:r>
      <w:r w:rsidR="00AC1CFC">
        <w:rPr>
          <w:rFonts w:ascii="Arial" w:hAnsi="Arial"/>
          <w:sz w:val="24"/>
          <w:szCs w:val="24"/>
        </w:rPr>
        <w:t>, donné librement et en connaissance de cause</w:t>
      </w:r>
      <w:r>
        <w:rPr>
          <w:rFonts w:ascii="Arial" w:hAnsi="Arial"/>
          <w:sz w:val="24"/>
          <w:szCs w:val="24"/>
        </w:rPr>
        <w:t>.</w:t>
      </w:r>
    </w:p>
    <w:p w:rsidR="007573F8" w:rsidRPr="007573F8" w:rsidRDefault="007573F8" w:rsidP="006F1645">
      <w:pPr>
        <w:ind w:left="1440"/>
        <w:rPr>
          <w:rFonts w:ascii="Arial" w:hAnsi="Arial" w:cs="Arial"/>
          <w:sz w:val="24"/>
          <w:szCs w:val="24"/>
        </w:rPr>
      </w:pPr>
      <w:r>
        <w:rPr>
          <w:rFonts w:ascii="Arial" w:hAnsi="Arial"/>
          <w:sz w:val="24"/>
          <w:szCs w:val="24"/>
        </w:rPr>
        <w:t xml:space="preserve">La Cour suprême du Canada a précisé que la norme </w:t>
      </w:r>
      <w:r w:rsidR="00AC1CFC">
        <w:rPr>
          <w:rFonts w:ascii="Arial" w:hAnsi="Arial"/>
          <w:sz w:val="24"/>
          <w:szCs w:val="24"/>
        </w:rPr>
        <w:t xml:space="preserve">d’exigence </w:t>
      </w:r>
      <w:r>
        <w:rPr>
          <w:rFonts w:ascii="Arial" w:hAnsi="Arial"/>
          <w:sz w:val="24"/>
          <w:szCs w:val="24"/>
        </w:rPr>
        <w:t xml:space="preserve">concernant l’obtention du consentement des peuples autochtones est plus ferme lorsqu’il s’agit de terres visées par un titre ancestral. La Cour suprême du Canada a confirmé que le titre ancestral donne à son détenteur le droit d’utiliser, de contrôler et de gérer les terres, </w:t>
      </w:r>
      <w:r w:rsidR="00AC1CFC">
        <w:rPr>
          <w:rFonts w:ascii="Arial" w:hAnsi="Arial"/>
          <w:sz w:val="24"/>
          <w:szCs w:val="24"/>
        </w:rPr>
        <w:t xml:space="preserve">et </w:t>
      </w:r>
      <w:r>
        <w:rPr>
          <w:rFonts w:ascii="Arial" w:hAnsi="Arial"/>
          <w:sz w:val="24"/>
          <w:szCs w:val="24"/>
        </w:rPr>
        <w:t xml:space="preserve"> le droit aux avantages économiques que procurent les terres et leurs ressources. La nation autochtone, en tant que détentrice légitime du titre, choisit la façon dont elle souhaite utiliser et gérer ses terres, tant pour des activités </w:t>
      </w:r>
      <w:r>
        <w:rPr>
          <w:rFonts w:ascii="Arial" w:hAnsi="Arial"/>
          <w:sz w:val="24"/>
          <w:szCs w:val="24"/>
        </w:rPr>
        <w:lastRenderedPageBreak/>
        <w:t>traditionnelles qu’à des fins modernes, pourvu que soit respectée la limite selon laquelle les terres ne peuvent être aménagées d’une façon qui priverait les générations futures de leurs avantages.</w:t>
      </w:r>
    </w:p>
    <w:p w:rsidR="007573F8" w:rsidRPr="007573F8" w:rsidRDefault="007573F8" w:rsidP="006F1645">
      <w:pPr>
        <w:ind w:left="1440"/>
        <w:rPr>
          <w:rFonts w:ascii="Arial" w:hAnsi="Arial" w:cs="Arial"/>
          <w:sz w:val="24"/>
          <w:szCs w:val="24"/>
        </w:rPr>
      </w:pPr>
      <w:r>
        <w:rPr>
          <w:rFonts w:ascii="Arial" w:hAnsi="Arial"/>
          <w:sz w:val="24"/>
          <w:szCs w:val="24"/>
        </w:rPr>
        <w:t xml:space="preserve">L’importance du </w:t>
      </w:r>
      <w:r w:rsidR="00AC1CFC">
        <w:rPr>
          <w:rFonts w:ascii="Arial" w:hAnsi="Arial"/>
          <w:sz w:val="24"/>
          <w:szCs w:val="24"/>
        </w:rPr>
        <w:t>consentement</w:t>
      </w:r>
      <w:r w:rsidR="00AC1CFC" w:rsidRPr="000759BD">
        <w:rPr>
          <w:rFonts w:ascii="Arial" w:hAnsi="Arial"/>
          <w:sz w:val="24"/>
          <w:szCs w:val="24"/>
        </w:rPr>
        <w:t xml:space="preserve"> préalable</w:t>
      </w:r>
      <w:r w:rsidR="00AC1CFC">
        <w:rPr>
          <w:rFonts w:ascii="Arial" w:hAnsi="Arial"/>
          <w:sz w:val="24"/>
          <w:szCs w:val="24"/>
        </w:rPr>
        <w:t>, donné librement et en connaissance de cause</w:t>
      </w:r>
      <w:r>
        <w:rPr>
          <w:rFonts w:ascii="Arial" w:hAnsi="Arial"/>
          <w:sz w:val="24"/>
          <w:szCs w:val="24"/>
        </w:rPr>
        <w:t xml:space="preserve">, </w:t>
      </w:r>
      <w:r w:rsidR="00AC1CFC">
        <w:rPr>
          <w:rFonts w:ascii="Arial" w:hAnsi="Arial"/>
          <w:sz w:val="24"/>
          <w:szCs w:val="24"/>
        </w:rPr>
        <w:t xml:space="preserve">souligné </w:t>
      </w:r>
      <w:r>
        <w:rPr>
          <w:rFonts w:ascii="Arial" w:hAnsi="Arial"/>
          <w:sz w:val="24"/>
          <w:szCs w:val="24"/>
        </w:rPr>
        <w:t xml:space="preserve">par la Déclaration des Nations </w:t>
      </w:r>
      <w:r w:rsidR="00090D66">
        <w:rPr>
          <w:rFonts w:ascii="Arial" w:hAnsi="Arial"/>
          <w:sz w:val="24"/>
          <w:szCs w:val="24"/>
        </w:rPr>
        <w:t>Unies</w:t>
      </w:r>
      <w:r>
        <w:rPr>
          <w:rFonts w:ascii="Arial" w:hAnsi="Arial"/>
          <w:sz w:val="24"/>
          <w:szCs w:val="24"/>
        </w:rPr>
        <w:t xml:space="preserve">, va au-delà du cadre des terres </w:t>
      </w:r>
      <w:r w:rsidR="00AC1CFC">
        <w:rPr>
          <w:rFonts w:ascii="Arial" w:hAnsi="Arial"/>
          <w:sz w:val="24"/>
          <w:szCs w:val="24"/>
        </w:rPr>
        <w:t xml:space="preserve">faisant l’objet </w:t>
      </w:r>
      <w:r w:rsidR="00090D66">
        <w:rPr>
          <w:rFonts w:ascii="Arial" w:hAnsi="Arial"/>
          <w:sz w:val="24"/>
          <w:szCs w:val="24"/>
        </w:rPr>
        <w:t>du titre</w:t>
      </w:r>
      <w:r>
        <w:rPr>
          <w:rFonts w:ascii="Arial" w:hAnsi="Arial"/>
          <w:sz w:val="24"/>
          <w:szCs w:val="24"/>
        </w:rPr>
        <w:t xml:space="preserve"> ancestral. À cette fin, le gouvernement du Canada cherchera des occasions d’élaborer des processus et des approches visant à obtenir le consentement des Autochtones et de mettre en place des mécanismes créatifs et novateurs qui contribueront à améliorer la collaboration, les consensus et de nouvelles façons de travailler ensemble. On s’assurera ainsi que les peuples autochtones et leurs gouvernements ont un rôle à jouer dans la prise des décisions publiques au sein du cadre constitutionnel canadien, et on veillera à ce que les droits, les intérêts et les aspirations des Autochtones soient reconnus </w:t>
      </w:r>
      <w:r w:rsidR="00AC1CFC">
        <w:rPr>
          <w:rFonts w:ascii="Arial" w:hAnsi="Arial"/>
          <w:sz w:val="24"/>
          <w:szCs w:val="24"/>
        </w:rPr>
        <w:t>en matière de</w:t>
      </w:r>
      <w:r>
        <w:rPr>
          <w:rFonts w:ascii="Arial" w:hAnsi="Arial"/>
          <w:sz w:val="24"/>
          <w:szCs w:val="24"/>
        </w:rPr>
        <w:t xml:space="preserve"> prises de décisions.</w:t>
      </w:r>
    </w:p>
    <w:p w:rsidR="007573F8" w:rsidRPr="007573F8" w:rsidRDefault="009E7823" w:rsidP="007573F8">
      <w:pPr>
        <w:ind w:left="540"/>
        <w:rPr>
          <w:rFonts w:ascii="Arial" w:hAnsi="Arial" w:cs="Arial"/>
          <w:sz w:val="24"/>
          <w:szCs w:val="24"/>
        </w:rPr>
      </w:pPr>
      <w:r>
        <w:rPr>
          <w:rFonts w:ascii="Arial" w:hAnsi="Arial"/>
          <w:sz w:val="24"/>
          <w:szCs w:val="24"/>
        </w:rPr>
        <w:t>Les dix</w:t>
      </w:r>
      <w:r w:rsidR="007573F8">
        <w:rPr>
          <w:rFonts w:ascii="Arial" w:hAnsi="Arial"/>
          <w:sz w:val="24"/>
          <w:szCs w:val="24"/>
        </w:rPr>
        <w:t xml:space="preserve"> principes, y com</w:t>
      </w:r>
      <w:r>
        <w:rPr>
          <w:rFonts w:ascii="Arial" w:hAnsi="Arial"/>
          <w:sz w:val="24"/>
          <w:szCs w:val="24"/>
        </w:rPr>
        <w:t>pris le p</w:t>
      </w:r>
      <w:r w:rsidR="007573F8">
        <w:rPr>
          <w:rFonts w:ascii="Arial" w:hAnsi="Arial"/>
          <w:sz w:val="24"/>
          <w:szCs w:val="24"/>
        </w:rPr>
        <w:t xml:space="preserve">rincipe 6, sont utilisés par le gouvernement du Canada dans le cadre d’un examen des lois, des politiques et des pratiques opérationnelles. Cet examen vise à faire en sorte que le Canada remplisse ses obligations constitutionnelles en ce qui concerne les droits ancestraux et les droits issus de traités, et respecte les normes internationales en matière de droits de la personne, y compris la Déclaration des Nations Unies sur les droits des peuples autochtones (DNUDPA). </w:t>
      </w:r>
      <w:r w:rsidR="00AC1CFC">
        <w:rPr>
          <w:rFonts w:ascii="Arial" w:hAnsi="Arial"/>
          <w:sz w:val="24"/>
          <w:szCs w:val="24"/>
        </w:rPr>
        <w:t xml:space="preserve">Cet examen </w:t>
      </w:r>
      <w:r w:rsidR="007573F8">
        <w:rPr>
          <w:rFonts w:ascii="Arial" w:hAnsi="Arial"/>
          <w:sz w:val="24"/>
          <w:szCs w:val="24"/>
        </w:rPr>
        <w:t>est mené par un groupe de travail formé de six ministres, et il comprendra la possibilité d’élaborer de nouvelles lois et politiques, y compris dans le cadre de la mise en œuvre de la DNUDPA. L’examen prévoit la participation des peuples autochtones et l’établissement de partenariats avec ces derniers.</w:t>
      </w:r>
    </w:p>
    <w:p w:rsidR="006E453D" w:rsidRPr="006E453D" w:rsidRDefault="009E7823" w:rsidP="00090D66">
      <w:pPr>
        <w:keepNext/>
        <w:ind w:left="547"/>
        <w:rPr>
          <w:rFonts w:ascii="Arial" w:hAnsi="Arial" w:cs="Arial"/>
          <w:b/>
          <w:i/>
          <w:sz w:val="24"/>
          <w:szCs w:val="24"/>
        </w:rPr>
      </w:pPr>
      <w:r>
        <w:rPr>
          <w:rFonts w:ascii="Arial" w:hAnsi="Arial"/>
          <w:b/>
          <w:i/>
          <w:sz w:val="24"/>
          <w:szCs w:val="24"/>
        </w:rPr>
        <w:t>É</w:t>
      </w:r>
      <w:r w:rsidR="006E453D">
        <w:rPr>
          <w:rFonts w:ascii="Arial" w:hAnsi="Arial"/>
          <w:b/>
          <w:i/>
          <w:sz w:val="24"/>
          <w:szCs w:val="24"/>
        </w:rPr>
        <w:t>tablissement d’un consensus par la consultation</w:t>
      </w:r>
    </w:p>
    <w:p w:rsidR="00332BA4" w:rsidRPr="00332BA4" w:rsidRDefault="009E7823" w:rsidP="00332BA4">
      <w:pPr>
        <w:ind w:left="540"/>
        <w:rPr>
          <w:rFonts w:ascii="Arial" w:hAnsi="Arial" w:cs="Arial"/>
          <w:sz w:val="24"/>
          <w:szCs w:val="24"/>
        </w:rPr>
      </w:pPr>
      <w:r>
        <w:rPr>
          <w:rFonts w:ascii="Arial" w:hAnsi="Arial"/>
          <w:sz w:val="24"/>
          <w:szCs w:val="24"/>
        </w:rPr>
        <w:t>Les p</w:t>
      </w:r>
      <w:r w:rsidR="00332BA4">
        <w:rPr>
          <w:rFonts w:ascii="Arial" w:hAnsi="Arial"/>
          <w:sz w:val="24"/>
          <w:szCs w:val="24"/>
        </w:rPr>
        <w:t>rincipes régissant la relation du gouvernement du Canada avec les peuples autochtones récemment publiés énoncent clairement que le gouvernement du Canada reconnaît qu’un engagement significatif avec les peuples autochtones vise à obtenir leur consentement préalable, donné librement et en connaissance de cause lorsque le Canada propose de prendre des mesures ayant une incidence sur eux et sur leurs droits, y compris leurs terres, leurs territoires et leurs ressources.</w:t>
      </w:r>
    </w:p>
    <w:p w:rsidR="00332BA4" w:rsidRPr="00332BA4" w:rsidRDefault="00332BA4" w:rsidP="00332BA4">
      <w:pPr>
        <w:ind w:left="540"/>
        <w:rPr>
          <w:rFonts w:ascii="Arial" w:hAnsi="Arial" w:cs="Arial"/>
          <w:sz w:val="24"/>
          <w:szCs w:val="24"/>
        </w:rPr>
      </w:pPr>
      <w:r>
        <w:rPr>
          <w:rFonts w:ascii="Arial" w:hAnsi="Arial"/>
          <w:sz w:val="24"/>
          <w:szCs w:val="24"/>
        </w:rPr>
        <w:t>Il existe plusieurs exemples récents de consensus obtenus dans le cadre de consultations liées à des projets de développement de ressources, y compris des projets tels que le projet de GNL Woodfiber, le projet de mine d’or Brucejack, le projet de carrière de Black Point, le projet des sables bitumineux à Joslyn et le projet de terminal d’exportation de LNG Canada.</w:t>
      </w:r>
    </w:p>
    <w:p w:rsidR="00332BA4" w:rsidRPr="00332BA4" w:rsidRDefault="00332BA4" w:rsidP="00332BA4">
      <w:pPr>
        <w:ind w:left="540"/>
        <w:rPr>
          <w:rFonts w:ascii="Arial" w:hAnsi="Arial" w:cs="Arial"/>
          <w:sz w:val="24"/>
          <w:szCs w:val="24"/>
        </w:rPr>
      </w:pPr>
      <w:r>
        <w:rPr>
          <w:rFonts w:ascii="Arial" w:hAnsi="Arial"/>
          <w:sz w:val="24"/>
          <w:szCs w:val="24"/>
        </w:rPr>
        <w:lastRenderedPageBreak/>
        <w:t>Parallèlement, le gouvernement est déterminé à rechercher des possibilités de créer des processus et des approches visant à obtenir le consentement, ainsi que des mécanismes créatifs et novateurs qui contribueront à renforcer la collaboration, les consensus et les nouvelles façons de travailler avec les peuples autochtones. Nous nous sommes engagés à veiller à ce que les peuples autochtones et leurs gouvernements jouent un rôle dans la prise de décision publique dans le cadre constitutionnel du Canada, et à ce que les droits, les intérêts et les aspirations des Autochtones soient reconnus dans la prise de décision</w:t>
      </w:r>
      <w:r w:rsidR="00AB0CB1">
        <w:rPr>
          <w:rFonts w:ascii="Arial" w:hAnsi="Arial"/>
          <w:sz w:val="24"/>
          <w:szCs w:val="24"/>
        </w:rPr>
        <w:t>s</w:t>
      </w:r>
      <w:r>
        <w:rPr>
          <w:rFonts w:ascii="Arial" w:hAnsi="Arial"/>
          <w:sz w:val="24"/>
          <w:szCs w:val="24"/>
        </w:rPr>
        <w:t>.</w:t>
      </w:r>
    </w:p>
    <w:p w:rsidR="00332BA4" w:rsidRPr="00332BA4" w:rsidRDefault="002E3B18" w:rsidP="00332BA4">
      <w:pPr>
        <w:ind w:left="540"/>
        <w:rPr>
          <w:rFonts w:ascii="Arial" w:hAnsi="Arial" w:cs="Arial"/>
          <w:sz w:val="24"/>
          <w:szCs w:val="24"/>
        </w:rPr>
      </w:pPr>
      <w:r>
        <w:rPr>
          <w:rFonts w:ascii="Arial" w:hAnsi="Arial"/>
          <w:sz w:val="24"/>
          <w:szCs w:val="24"/>
        </w:rPr>
        <w:t>Dans le cadre de cet effort,</w:t>
      </w:r>
      <w:r w:rsidR="00332BA4">
        <w:rPr>
          <w:rFonts w:ascii="Arial" w:hAnsi="Arial"/>
          <w:sz w:val="24"/>
          <w:szCs w:val="24"/>
        </w:rPr>
        <w:t xml:space="preserve"> l’examen actuel des processus relatifs aux évaluations environnementales au Canada propose d’être réceptifs aux droits, à la compétence et à la prise de décisions des Autochtones, tout en reconnaissant que le gouvernement s’est engagé à renouveler la relation avec les peuples autochtones, de nation à nation, entre les Inuits et la Couronne et de gouvernement à gouvernement. Cette nouvelle relation est fondée sur la reconnaissance des droits, le respect, la coopération et le partenariat.</w:t>
      </w:r>
    </w:p>
    <w:p w:rsidR="0083745B" w:rsidRPr="007E2778" w:rsidRDefault="0083745B" w:rsidP="00440E30">
      <w:pPr>
        <w:pStyle w:val="ListParagraph"/>
        <w:keepNext/>
        <w:numPr>
          <w:ilvl w:val="0"/>
          <w:numId w:val="27"/>
        </w:numPr>
        <w:spacing w:before="120" w:after="240"/>
        <w:ind w:left="540" w:hanging="540"/>
        <w:rPr>
          <w:rFonts w:ascii="Arial" w:hAnsi="Arial" w:cs="Arial"/>
          <w:b/>
          <w:sz w:val="24"/>
          <w:szCs w:val="24"/>
        </w:rPr>
      </w:pPr>
      <w:r>
        <w:rPr>
          <w:rFonts w:ascii="Arial" w:hAnsi="Arial"/>
          <w:b/>
          <w:sz w:val="24"/>
          <w:szCs w:val="24"/>
        </w:rPr>
        <w:t xml:space="preserve">Renseignements sur </w:t>
      </w:r>
      <w:r w:rsidR="003E6A94">
        <w:rPr>
          <w:rFonts w:ascii="Arial" w:hAnsi="Arial"/>
          <w:b/>
          <w:sz w:val="24"/>
          <w:szCs w:val="24"/>
        </w:rPr>
        <w:t>le délai de prescription</w:t>
      </w:r>
      <w:r>
        <w:rPr>
          <w:rFonts w:ascii="Arial" w:hAnsi="Arial"/>
          <w:b/>
          <w:sz w:val="24"/>
          <w:szCs w:val="24"/>
        </w:rPr>
        <w:t xml:space="preserve"> concernant la catastrophe du Mount Polley</w:t>
      </w:r>
    </w:p>
    <w:p w:rsidR="0083745B" w:rsidRPr="0083745B" w:rsidRDefault="0083745B" w:rsidP="005246FA">
      <w:pPr>
        <w:pStyle w:val="ListParagraph"/>
        <w:keepNext/>
        <w:spacing w:before="120" w:after="240"/>
        <w:ind w:left="540"/>
        <w:rPr>
          <w:rFonts w:ascii="Arial" w:hAnsi="Arial" w:cs="Arial"/>
          <w:sz w:val="24"/>
          <w:szCs w:val="24"/>
        </w:rPr>
      </w:pPr>
      <w:r>
        <w:rPr>
          <w:rFonts w:ascii="Arial" w:hAnsi="Arial"/>
          <w:sz w:val="24"/>
          <w:szCs w:val="24"/>
        </w:rPr>
        <w:t>Les gouvernements fédéral et provinciaux prennent très au sérieux la protection de l’environnement. Le service des agents de conservation de la Colombie</w:t>
      </w:r>
      <w:r w:rsidR="008E4A2A">
        <w:rPr>
          <w:rFonts w:ascii="Arial" w:hAnsi="Arial"/>
          <w:sz w:val="24"/>
          <w:szCs w:val="24"/>
        </w:rPr>
        <w:noBreakHyphen/>
      </w:r>
      <w:r>
        <w:rPr>
          <w:rFonts w:ascii="Arial" w:hAnsi="Arial"/>
          <w:sz w:val="24"/>
          <w:szCs w:val="24"/>
        </w:rPr>
        <w:t>Britannique, Pêches et Océans Canada et Environnement et Changement climatique Canada mènent une enquête sur la rupture du barrage du bassin de résidus sur le site minier de Mount Polley.</w:t>
      </w:r>
    </w:p>
    <w:p w:rsidR="0083745B" w:rsidRPr="0083745B" w:rsidRDefault="0083745B" w:rsidP="005246FA">
      <w:pPr>
        <w:pStyle w:val="ListParagraph"/>
        <w:keepNext/>
        <w:spacing w:before="120" w:after="240"/>
        <w:ind w:left="540"/>
        <w:rPr>
          <w:rFonts w:ascii="Arial" w:hAnsi="Arial" w:cs="Arial"/>
          <w:sz w:val="24"/>
          <w:szCs w:val="24"/>
        </w:rPr>
      </w:pPr>
      <w:r>
        <w:rPr>
          <w:rFonts w:ascii="Arial" w:hAnsi="Arial"/>
          <w:sz w:val="24"/>
          <w:szCs w:val="24"/>
        </w:rPr>
        <w:t xml:space="preserve">À ce jour, des preuves ont été recueillies </w:t>
      </w:r>
      <w:r w:rsidR="008E4A2A">
        <w:rPr>
          <w:rFonts w:ascii="Arial" w:hAnsi="Arial"/>
          <w:sz w:val="24"/>
          <w:szCs w:val="24"/>
        </w:rPr>
        <w:t>concernant la rupture en vertu de</w:t>
      </w:r>
      <w:r>
        <w:rPr>
          <w:rFonts w:ascii="Arial" w:hAnsi="Arial"/>
          <w:sz w:val="24"/>
          <w:szCs w:val="24"/>
        </w:rPr>
        <w:t xml:space="preserve"> la </w:t>
      </w:r>
      <w:r>
        <w:rPr>
          <w:rFonts w:ascii="Arial" w:hAnsi="Arial"/>
          <w:i/>
          <w:sz w:val="24"/>
          <w:szCs w:val="24"/>
        </w:rPr>
        <w:t>Loi sur la gestion de l’environnement</w:t>
      </w:r>
      <w:r>
        <w:rPr>
          <w:rFonts w:ascii="Arial" w:hAnsi="Arial"/>
          <w:sz w:val="24"/>
          <w:szCs w:val="24"/>
        </w:rPr>
        <w:t xml:space="preserve"> de la province et de la </w:t>
      </w:r>
      <w:r>
        <w:rPr>
          <w:rFonts w:ascii="Arial" w:hAnsi="Arial"/>
          <w:i/>
          <w:sz w:val="24"/>
          <w:szCs w:val="24"/>
        </w:rPr>
        <w:t>Loi sur les pêches</w:t>
      </w:r>
      <w:r>
        <w:rPr>
          <w:rFonts w:ascii="Arial" w:hAnsi="Arial"/>
          <w:sz w:val="24"/>
          <w:szCs w:val="24"/>
        </w:rPr>
        <w:t xml:space="preserve"> du gouvernement fédéral. Dans le cas où des accusations seraient recommandées, tous les renseignements recueillis au cours de cette enquête seraient examinés par le Service des poursuites pénales du Canada.</w:t>
      </w:r>
    </w:p>
    <w:p w:rsidR="0083745B" w:rsidRPr="0083745B" w:rsidRDefault="0053301B" w:rsidP="005246FA">
      <w:pPr>
        <w:pStyle w:val="ListParagraph"/>
        <w:keepNext/>
        <w:spacing w:before="120" w:after="240"/>
        <w:ind w:left="540"/>
        <w:rPr>
          <w:rFonts w:ascii="Arial" w:hAnsi="Arial" w:cs="Arial"/>
          <w:sz w:val="24"/>
          <w:szCs w:val="24"/>
        </w:rPr>
      </w:pPr>
      <w:r>
        <w:rPr>
          <w:rFonts w:ascii="Arial" w:hAnsi="Arial"/>
          <w:sz w:val="24"/>
          <w:szCs w:val="24"/>
        </w:rPr>
        <w:t>Les paragraphes 25(1) et 36</w:t>
      </w:r>
      <w:r w:rsidR="0083745B">
        <w:rPr>
          <w:rFonts w:ascii="Arial" w:hAnsi="Arial"/>
          <w:sz w:val="24"/>
          <w:szCs w:val="24"/>
        </w:rPr>
        <w:t xml:space="preserve">(3) de la </w:t>
      </w:r>
      <w:r w:rsidR="0083745B">
        <w:rPr>
          <w:rFonts w:ascii="Arial" w:hAnsi="Arial"/>
          <w:i/>
          <w:sz w:val="24"/>
          <w:szCs w:val="24"/>
        </w:rPr>
        <w:t>Loi sur les pêches</w:t>
      </w:r>
      <w:r w:rsidR="0083745B">
        <w:rPr>
          <w:rFonts w:ascii="Arial" w:hAnsi="Arial"/>
          <w:sz w:val="24"/>
          <w:szCs w:val="24"/>
        </w:rPr>
        <w:t xml:space="preserve"> – interdiction générale de détruire l’habitat du poisson et d’immerger ou de rejeter une substance nocive dans des eaux où vivent des poissons, respectivement – énoncent les accusations classiques de pollution. En vertu de l’article 82 de la </w:t>
      </w:r>
      <w:r w:rsidR="0083745B">
        <w:rPr>
          <w:rFonts w:ascii="Arial" w:hAnsi="Arial"/>
          <w:i/>
          <w:sz w:val="24"/>
          <w:szCs w:val="24"/>
        </w:rPr>
        <w:t>Loi sur les pêches</w:t>
      </w:r>
      <w:r w:rsidR="0083745B">
        <w:rPr>
          <w:rFonts w:ascii="Arial" w:hAnsi="Arial"/>
          <w:sz w:val="24"/>
          <w:szCs w:val="24"/>
        </w:rPr>
        <w:t xml:space="preserve"> fédérale, il y a un délai de prescription de 5 ans dans le cadre duquel la Couronne pe</w:t>
      </w:r>
      <w:r w:rsidR="005E0BB4">
        <w:rPr>
          <w:rFonts w:ascii="Arial" w:hAnsi="Arial"/>
          <w:sz w:val="24"/>
          <w:szCs w:val="24"/>
        </w:rPr>
        <w:t xml:space="preserve">ut procéder par voie sommaire. </w:t>
      </w:r>
      <w:r w:rsidR="0083745B">
        <w:rPr>
          <w:rFonts w:ascii="Arial" w:hAnsi="Arial"/>
          <w:sz w:val="24"/>
          <w:szCs w:val="24"/>
        </w:rPr>
        <w:t xml:space="preserve">Il n’y a pas de délai de prescription dans le cas où la Couronne procède par voie de mise en accusation en vertu de la </w:t>
      </w:r>
      <w:r w:rsidR="0083745B">
        <w:rPr>
          <w:rFonts w:ascii="Arial" w:hAnsi="Arial"/>
          <w:i/>
          <w:sz w:val="24"/>
          <w:szCs w:val="24"/>
        </w:rPr>
        <w:t>Loi sur les pêches</w:t>
      </w:r>
      <w:r w:rsidR="0083745B">
        <w:rPr>
          <w:rFonts w:ascii="Arial" w:hAnsi="Arial"/>
          <w:sz w:val="24"/>
          <w:szCs w:val="24"/>
        </w:rPr>
        <w:t xml:space="preserve">.   </w:t>
      </w:r>
    </w:p>
    <w:p w:rsidR="0083745B" w:rsidRPr="0083745B" w:rsidRDefault="0083745B" w:rsidP="005246FA">
      <w:pPr>
        <w:pStyle w:val="ListParagraph"/>
        <w:keepNext/>
        <w:spacing w:before="120" w:after="240"/>
        <w:ind w:left="540"/>
        <w:rPr>
          <w:rFonts w:ascii="Arial" w:hAnsi="Arial" w:cs="Arial"/>
          <w:sz w:val="24"/>
          <w:szCs w:val="24"/>
        </w:rPr>
      </w:pPr>
      <w:r>
        <w:rPr>
          <w:rFonts w:ascii="Arial" w:hAnsi="Arial"/>
          <w:sz w:val="24"/>
          <w:szCs w:val="24"/>
        </w:rPr>
        <w:t>En vertu de l’article 124 de la</w:t>
      </w:r>
      <w:r>
        <w:rPr>
          <w:rFonts w:ascii="Arial" w:hAnsi="Arial"/>
          <w:i/>
          <w:sz w:val="24"/>
          <w:szCs w:val="24"/>
        </w:rPr>
        <w:t xml:space="preserve"> Loi sur la gestion de l’environnement</w:t>
      </w:r>
      <w:r>
        <w:rPr>
          <w:rFonts w:ascii="Arial" w:hAnsi="Arial"/>
          <w:sz w:val="24"/>
          <w:szCs w:val="24"/>
        </w:rPr>
        <w:t xml:space="preserve"> de la C</w:t>
      </w:r>
      <w:r w:rsidR="0053301B">
        <w:rPr>
          <w:rFonts w:ascii="Arial" w:hAnsi="Arial"/>
          <w:sz w:val="24"/>
          <w:szCs w:val="24"/>
        </w:rPr>
        <w:t>olombie</w:t>
      </w:r>
      <w:r>
        <w:rPr>
          <w:rFonts w:ascii="Arial" w:hAnsi="Arial"/>
          <w:sz w:val="24"/>
          <w:szCs w:val="24"/>
        </w:rPr>
        <w:t>-B</w:t>
      </w:r>
      <w:r w:rsidR="0053301B">
        <w:rPr>
          <w:rFonts w:ascii="Arial" w:hAnsi="Arial"/>
          <w:sz w:val="24"/>
          <w:szCs w:val="24"/>
        </w:rPr>
        <w:t>ritannique</w:t>
      </w:r>
      <w:r>
        <w:rPr>
          <w:rFonts w:ascii="Arial" w:hAnsi="Arial"/>
          <w:sz w:val="24"/>
          <w:szCs w:val="24"/>
        </w:rPr>
        <w:t>, loi aux termes de laquelle des accusations pourraient être portées dans l’affaire du Mount Polley, il y a un délai de prescription de 3 ans après la date à laquelle ont eu lieu les faits sur lesquels les renseignements sont fondés, ou </w:t>
      </w:r>
      <w:r w:rsidR="0053301B">
        <w:rPr>
          <w:rFonts w:ascii="Arial" w:hAnsi="Arial"/>
          <w:sz w:val="24"/>
          <w:szCs w:val="24"/>
        </w:rPr>
        <w:t xml:space="preserve">de </w:t>
      </w:r>
      <w:r>
        <w:rPr>
          <w:rFonts w:ascii="Arial" w:hAnsi="Arial"/>
          <w:sz w:val="24"/>
          <w:szCs w:val="24"/>
        </w:rPr>
        <w:t>18</w:t>
      </w:r>
      <w:r w:rsidR="0053301B">
        <w:rPr>
          <w:rFonts w:ascii="Arial" w:hAnsi="Arial"/>
          <w:sz w:val="24"/>
          <w:szCs w:val="24"/>
        </w:rPr>
        <w:t> </w:t>
      </w:r>
      <w:r>
        <w:rPr>
          <w:rFonts w:ascii="Arial" w:hAnsi="Arial"/>
          <w:sz w:val="24"/>
          <w:szCs w:val="24"/>
        </w:rPr>
        <w:t xml:space="preserve">mois après que les faits ont été connus si un certificat spécial est délivré par le </w:t>
      </w:r>
      <w:r>
        <w:rPr>
          <w:rFonts w:ascii="Arial" w:hAnsi="Arial"/>
          <w:sz w:val="24"/>
          <w:szCs w:val="24"/>
        </w:rPr>
        <w:lastRenderedPageBreak/>
        <w:t xml:space="preserve">ministre de l’Environnement de la </w:t>
      </w:r>
      <w:r w:rsidR="0053301B">
        <w:rPr>
          <w:rFonts w:ascii="Arial" w:hAnsi="Arial"/>
          <w:sz w:val="24"/>
          <w:szCs w:val="24"/>
        </w:rPr>
        <w:t>Colombie-Britannique</w:t>
      </w:r>
      <w:r>
        <w:rPr>
          <w:rFonts w:ascii="Arial" w:hAnsi="Arial"/>
          <w:sz w:val="24"/>
          <w:szCs w:val="24"/>
        </w:rPr>
        <w:t>. Ce délai s’applique toujours lorsque la Couronne procède par voie de mise en accusation.</w:t>
      </w:r>
      <w:r w:rsidR="0053301B">
        <w:rPr>
          <w:rFonts w:ascii="Arial" w:hAnsi="Arial"/>
          <w:sz w:val="24"/>
          <w:szCs w:val="24"/>
        </w:rPr>
        <w:t xml:space="preserve"> </w:t>
      </w:r>
    </w:p>
    <w:p w:rsidR="005246FA" w:rsidRDefault="005246FA" w:rsidP="005246FA">
      <w:pPr>
        <w:pStyle w:val="ListParagraph"/>
        <w:keepNext/>
        <w:numPr>
          <w:ilvl w:val="0"/>
          <w:numId w:val="27"/>
        </w:numPr>
        <w:spacing w:before="120" w:after="240"/>
        <w:ind w:left="540" w:hanging="540"/>
        <w:rPr>
          <w:rFonts w:ascii="Arial" w:hAnsi="Arial" w:cs="Arial"/>
          <w:b/>
          <w:sz w:val="24"/>
          <w:szCs w:val="24"/>
        </w:rPr>
      </w:pPr>
      <w:r>
        <w:rPr>
          <w:rFonts w:ascii="Arial" w:hAnsi="Arial"/>
          <w:b/>
          <w:sz w:val="24"/>
          <w:szCs w:val="24"/>
        </w:rPr>
        <w:t>Qui accorde le droit à des partenaires non autochtones (</w:t>
      </w:r>
      <w:r w:rsidR="00621303">
        <w:rPr>
          <w:rFonts w:ascii="Arial" w:hAnsi="Arial"/>
          <w:b/>
          <w:sz w:val="24"/>
          <w:szCs w:val="24"/>
        </w:rPr>
        <w:t>p. ex.,</w:t>
      </w:r>
      <w:r>
        <w:rPr>
          <w:rFonts w:ascii="Arial" w:hAnsi="Arial"/>
          <w:b/>
          <w:sz w:val="24"/>
          <w:szCs w:val="24"/>
        </w:rPr>
        <w:t xml:space="preserve"> des sociétés d’extraction de ressources) de poursuivre leurs activités sans </w:t>
      </w:r>
      <w:r w:rsidR="00015717">
        <w:rPr>
          <w:rFonts w:ascii="Arial" w:hAnsi="Arial"/>
          <w:b/>
          <w:sz w:val="24"/>
          <w:szCs w:val="24"/>
        </w:rPr>
        <w:t xml:space="preserve">même </w:t>
      </w:r>
      <w:r>
        <w:rPr>
          <w:rFonts w:ascii="Arial" w:hAnsi="Arial"/>
          <w:b/>
          <w:sz w:val="24"/>
          <w:szCs w:val="24"/>
        </w:rPr>
        <w:t xml:space="preserve">les </w:t>
      </w:r>
      <w:r w:rsidR="0053301B">
        <w:rPr>
          <w:rFonts w:ascii="Arial" w:hAnsi="Arial"/>
          <w:b/>
          <w:sz w:val="24"/>
          <w:szCs w:val="24"/>
        </w:rPr>
        <w:t xml:space="preserve">suspendre </w:t>
      </w:r>
      <w:r>
        <w:rPr>
          <w:rFonts w:ascii="Arial" w:hAnsi="Arial"/>
          <w:b/>
          <w:sz w:val="24"/>
          <w:szCs w:val="24"/>
        </w:rPr>
        <w:t>lorsqu’un différend n’est pas résolu ou qu’un traité est toujours devant les tribunaux?</w:t>
      </w:r>
    </w:p>
    <w:p w:rsidR="003E714D" w:rsidRPr="003E714D" w:rsidRDefault="003E714D" w:rsidP="003E714D">
      <w:pPr>
        <w:keepNext/>
        <w:spacing w:before="120" w:after="240"/>
        <w:ind w:left="540"/>
        <w:rPr>
          <w:rFonts w:ascii="Arial" w:hAnsi="Arial" w:cs="Arial"/>
          <w:sz w:val="24"/>
          <w:szCs w:val="24"/>
        </w:rPr>
      </w:pPr>
      <w:r>
        <w:rPr>
          <w:rFonts w:ascii="Arial" w:hAnsi="Arial"/>
          <w:sz w:val="24"/>
          <w:szCs w:val="24"/>
        </w:rPr>
        <w:t>Le devoir légal de consulter se pose lorsque la Couronne (fédérale et provinciale) examine toute conduite pouvant avoir une incidence sur les droits ancestraux ou issus de traités établis ou revendiqués.</w:t>
      </w:r>
    </w:p>
    <w:p w:rsidR="003E714D" w:rsidRPr="003E714D" w:rsidRDefault="003E714D" w:rsidP="003E714D">
      <w:pPr>
        <w:keepNext/>
        <w:spacing w:before="120" w:after="240"/>
        <w:ind w:left="540"/>
        <w:rPr>
          <w:rFonts w:ascii="Arial" w:hAnsi="Arial" w:cs="Arial"/>
          <w:sz w:val="24"/>
          <w:szCs w:val="24"/>
        </w:rPr>
      </w:pPr>
      <w:r>
        <w:rPr>
          <w:rFonts w:ascii="Arial" w:hAnsi="Arial"/>
          <w:sz w:val="24"/>
          <w:szCs w:val="24"/>
        </w:rPr>
        <w:t xml:space="preserve">Les grands projets peuvent avoir une incidence négative sur les droits ancestraux ou issus de traités établis ou revendiqués, comme l’affirme l’article 35 de la </w:t>
      </w:r>
      <w:r>
        <w:rPr>
          <w:rFonts w:ascii="Arial" w:hAnsi="Arial"/>
          <w:i/>
          <w:sz w:val="24"/>
          <w:szCs w:val="24"/>
        </w:rPr>
        <w:t>Loi constitutionnelle de 1982</w:t>
      </w:r>
      <w:r>
        <w:rPr>
          <w:rFonts w:ascii="Arial" w:hAnsi="Arial"/>
          <w:sz w:val="24"/>
          <w:szCs w:val="24"/>
        </w:rPr>
        <w:t>; par conséquent, il est essentiel de mener une consultation exhaustive concernant ces projets.</w:t>
      </w:r>
    </w:p>
    <w:p w:rsidR="003E714D" w:rsidRPr="003E714D" w:rsidRDefault="003E714D" w:rsidP="003E714D">
      <w:pPr>
        <w:keepNext/>
        <w:spacing w:before="120" w:after="240"/>
        <w:ind w:left="540"/>
        <w:rPr>
          <w:rFonts w:ascii="Arial" w:hAnsi="Arial" w:cs="Arial"/>
          <w:sz w:val="24"/>
          <w:szCs w:val="24"/>
        </w:rPr>
      </w:pPr>
      <w:r>
        <w:rPr>
          <w:rFonts w:ascii="Arial" w:hAnsi="Arial"/>
          <w:sz w:val="24"/>
          <w:szCs w:val="24"/>
        </w:rPr>
        <w:t>L’approche de consultation du Canada à l’égard des grands projets permet un engagement précoce des groupes autochtones, fournit du soutien pour leur participation aux consultations et intègre leur contribution à la prise de décision</w:t>
      </w:r>
      <w:r w:rsidR="00015717">
        <w:rPr>
          <w:rFonts w:ascii="Arial" w:hAnsi="Arial"/>
          <w:sz w:val="24"/>
          <w:szCs w:val="24"/>
        </w:rPr>
        <w:t>s</w:t>
      </w:r>
      <w:r>
        <w:rPr>
          <w:rFonts w:ascii="Arial" w:hAnsi="Arial"/>
          <w:sz w:val="24"/>
          <w:szCs w:val="24"/>
        </w:rPr>
        <w:t xml:space="preserve"> éclairée et aux résultats des projets, tout en respectant les obligations légales en matière de consultation. Avant la construction et l’exploitation de tout projet, les incidences potentielles sur les droits économiques, sociaux et culturels sont déterminées, évaluées et, le cas échéant, réglées dans le cadre de cette approche. </w:t>
      </w:r>
    </w:p>
    <w:p w:rsidR="003E714D" w:rsidRPr="003E714D" w:rsidRDefault="003E714D" w:rsidP="003E714D">
      <w:pPr>
        <w:keepNext/>
        <w:spacing w:before="120" w:after="240"/>
        <w:ind w:left="540"/>
        <w:rPr>
          <w:rFonts w:ascii="Arial" w:hAnsi="Arial" w:cs="Arial"/>
          <w:sz w:val="24"/>
          <w:szCs w:val="24"/>
        </w:rPr>
      </w:pPr>
      <w:r>
        <w:rPr>
          <w:rFonts w:ascii="Arial" w:hAnsi="Arial"/>
          <w:sz w:val="24"/>
          <w:szCs w:val="24"/>
        </w:rPr>
        <w:t>Des mécanismes de conformité et de suivi garantissent que des mesures d’atténuation sont appliquées durant tout le cycle de vie du projet et que les groupes autochtones y participent. Dans certains cas, des processus de consultation particuliers, en dehors des examens réglementaires, peuvent être utilisés pour renforcer les relations ou pour mieux comprendre et traiter les intérêts des peuples autochtones.</w:t>
      </w:r>
    </w:p>
    <w:p w:rsidR="003E714D" w:rsidRPr="003E714D" w:rsidRDefault="003E714D" w:rsidP="003E714D">
      <w:pPr>
        <w:keepNext/>
        <w:spacing w:before="120" w:after="240"/>
        <w:ind w:left="540"/>
        <w:rPr>
          <w:rFonts w:ascii="Arial" w:hAnsi="Arial" w:cs="Arial"/>
          <w:sz w:val="24"/>
          <w:szCs w:val="24"/>
        </w:rPr>
      </w:pPr>
      <w:r>
        <w:rPr>
          <w:rFonts w:ascii="Arial" w:hAnsi="Arial"/>
          <w:sz w:val="24"/>
          <w:szCs w:val="24"/>
        </w:rPr>
        <w:t xml:space="preserve">Reconnaissant qu’il y a place à </w:t>
      </w:r>
      <w:r w:rsidR="00D76E57">
        <w:rPr>
          <w:rFonts w:ascii="Arial" w:hAnsi="Arial"/>
          <w:sz w:val="24"/>
          <w:szCs w:val="24"/>
        </w:rPr>
        <w:t>l’</w:t>
      </w:r>
      <w:r>
        <w:rPr>
          <w:rFonts w:ascii="Arial" w:hAnsi="Arial"/>
          <w:sz w:val="24"/>
          <w:szCs w:val="24"/>
        </w:rPr>
        <w:t>amélioration, le gouvernement du Canada examine actuellement les processus environnementaux et réglementaires généralement utilisés pour respecter l’obligation de consulter dans le cadre des grands projets d’exploitation des ressources. Cet examen a pour but d’établir de nouveaux processus équitables et fondés sur la science, de respecter les droits des peuples autochtones, de fournir une certitude aux entreprises et de protéger l’environnement du Canada pour les générations à venir.</w:t>
      </w:r>
    </w:p>
    <w:p w:rsidR="003E714D" w:rsidRPr="003E714D" w:rsidRDefault="003E714D" w:rsidP="003E714D">
      <w:pPr>
        <w:keepNext/>
        <w:spacing w:before="120" w:after="240"/>
        <w:ind w:left="540"/>
        <w:rPr>
          <w:rFonts w:ascii="Arial" w:hAnsi="Arial" w:cs="Arial"/>
          <w:sz w:val="24"/>
          <w:szCs w:val="24"/>
        </w:rPr>
      </w:pPr>
      <w:r>
        <w:rPr>
          <w:rFonts w:ascii="Arial" w:hAnsi="Arial"/>
          <w:sz w:val="24"/>
          <w:szCs w:val="24"/>
        </w:rPr>
        <w:t>Les efforts déployés par le Canada sont renforcés par les approches adoptées par l’industrie privée. Bien qu’aucun</w:t>
      </w:r>
      <w:r w:rsidR="00221AC4">
        <w:rPr>
          <w:rFonts w:ascii="Arial" w:hAnsi="Arial"/>
          <w:sz w:val="24"/>
          <w:szCs w:val="24"/>
        </w:rPr>
        <w:t>e d’entre elles n’est</w:t>
      </w:r>
      <w:r>
        <w:rPr>
          <w:rFonts w:ascii="Arial" w:hAnsi="Arial"/>
          <w:sz w:val="24"/>
          <w:szCs w:val="24"/>
        </w:rPr>
        <w:t xml:space="preserve"> expressément soutenu par le gouvernement du Canada, certains </w:t>
      </w:r>
      <w:r w:rsidR="00221AC4">
        <w:rPr>
          <w:rFonts w:ascii="Arial" w:hAnsi="Arial"/>
          <w:sz w:val="24"/>
          <w:szCs w:val="24"/>
        </w:rPr>
        <w:t xml:space="preserve">secteurs de ressources naturelles </w:t>
      </w:r>
      <w:r>
        <w:rPr>
          <w:rFonts w:ascii="Arial" w:hAnsi="Arial"/>
          <w:sz w:val="24"/>
          <w:szCs w:val="24"/>
        </w:rPr>
        <w:t xml:space="preserve">ont mis en </w:t>
      </w:r>
      <w:r>
        <w:rPr>
          <w:rFonts w:ascii="Arial" w:hAnsi="Arial"/>
          <w:sz w:val="24"/>
          <w:szCs w:val="24"/>
        </w:rPr>
        <w:lastRenderedPageBreak/>
        <w:t xml:space="preserve">place des normes ou des exigences en matière de responsabilité d’entreprise qui incluent des critères de rendement social et culturel. En voici des exemples : </w:t>
      </w:r>
    </w:p>
    <w:p w:rsidR="003E714D" w:rsidRPr="00A11BE3" w:rsidRDefault="003E714D" w:rsidP="00A11BE3">
      <w:pPr>
        <w:pStyle w:val="ListParagraph"/>
        <w:keepNext/>
        <w:numPr>
          <w:ilvl w:val="0"/>
          <w:numId w:val="31"/>
        </w:numPr>
        <w:spacing w:before="120" w:after="240"/>
        <w:rPr>
          <w:rFonts w:ascii="Arial" w:hAnsi="Arial" w:cs="Arial"/>
          <w:sz w:val="24"/>
          <w:szCs w:val="24"/>
        </w:rPr>
      </w:pPr>
      <w:r>
        <w:rPr>
          <w:rFonts w:ascii="Arial" w:hAnsi="Arial"/>
          <w:sz w:val="24"/>
          <w:szCs w:val="24"/>
        </w:rPr>
        <w:t>Le cadre de l’initiative Vers le développement minier durable de l’Association minière du Canada exige que toutes les entreprises membres évaluent chaque année leur rendement par rapport à des indicateurs, y compris un protocole de sensibilisation communautaire et autochtone. Les indicateurs de rendement décrits dans ce protocole visent à s’assurer que les sociétés engagent un dialogue concret avec les collectivités d’intérêt et que leur rétroaction est prise en compte dans la prise de décision</w:t>
      </w:r>
      <w:r w:rsidR="007C45A3">
        <w:rPr>
          <w:rFonts w:ascii="Arial" w:hAnsi="Arial"/>
          <w:sz w:val="24"/>
          <w:szCs w:val="24"/>
        </w:rPr>
        <w:t>s</w:t>
      </w:r>
      <w:r>
        <w:rPr>
          <w:rFonts w:ascii="Arial" w:hAnsi="Arial"/>
          <w:sz w:val="24"/>
          <w:szCs w:val="24"/>
        </w:rPr>
        <w:t xml:space="preserve">. Les sociétés </w:t>
      </w:r>
      <w:r w:rsidR="005E0BB4">
        <w:rPr>
          <w:rFonts w:ascii="Arial" w:hAnsi="Arial"/>
          <w:sz w:val="24"/>
          <w:szCs w:val="24"/>
        </w:rPr>
        <w:t xml:space="preserve">doivent </w:t>
      </w:r>
      <w:r>
        <w:rPr>
          <w:rFonts w:ascii="Arial" w:hAnsi="Arial"/>
          <w:sz w:val="24"/>
          <w:szCs w:val="24"/>
        </w:rPr>
        <w:t>également démontrer qu’elles ont mis en place un mécanisme clair pour recevoir les plaintes et les préoccupations des collectivités et assurer des réponses efficaces.</w:t>
      </w:r>
    </w:p>
    <w:p w:rsidR="009557F3" w:rsidRPr="003E714D" w:rsidRDefault="003E714D" w:rsidP="00A11BE3">
      <w:pPr>
        <w:pStyle w:val="ListParagraph"/>
        <w:keepNext/>
        <w:numPr>
          <w:ilvl w:val="0"/>
          <w:numId w:val="31"/>
        </w:numPr>
        <w:spacing w:before="120" w:after="240"/>
        <w:rPr>
          <w:rFonts w:ascii="Arial" w:hAnsi="Arial" w:cs="Arial"/>
          <w:sz w:val="24"/>
          <w:szCs w:val="24"/>
        </w:rPr>
      </w:pPr>
      <w:r>
        <w:rPr>
          <w:rFonts w:ascii="Arial" w:hAnsi="Arial"/>
          <w:sz w:val="24"/>
          <w:szCs w:val="24"/>
        </w:rPr>
        <w:t>L’Association canadienne des prospecteurs et entrepreneurs a mis au point e3 Plus : Un cadre pour l’exploration minérale responsable – une ressource d’information sur laquelle les prospecteurs sont encouragés à fonder leurs politiques et programmes de responsabilité sociale d’entreprise. Le cadre e3 Plus est constitué de huit principes pour une exploration responsable, de notes d’orientation sur la mise en œuvre de ces principes et de trois trousses d’outils sur Internet dans les domaines de la responsabilité sociale, de l’intendance environnementale et de la santé et de la sécurité. Les notes d’orientation visent à aider les praticiens à convertir les principes en action.</w:t>
      </w:r>
    </w:p>
    <w:p w:rsidR="00F547DE" w:rsidRDefault="00A11BE3" w:rsidP="00F547DE">
      <w:pPr>
        <w:pStyle w:val="ListParagraph"/>
        <w:keepNext/>
        <w:numPr>
          <w:ilvl w:val="0"/>
          <w:numId w:val="27"/>
        </w:numPr>
        <w:spacing w:before="120" w:after="240"/>
        <w:ind w:left="540" w:hanging="540"/>
        <w:rPr>
          <w:rFonts w:ascii="Arial" w:hAnsi="Arial" w:cs="Arial"/>
          <w:b/>
          <w:sz w:val="24"/>
          <w:szCs w:val="24"/>
        </w:rPr>
      </w:pPr>
      <w:r>
        <w:rPr>
          <w:rFonts w:ascii="Arial" w:hAnsi="Arial"/>
          <w:b/>
          <w:sz w:val="24"/>
          <w:szCs w:val="24"/>
        </w:rPr>
        <w:t>Quel est le processus menant à l’autonomie gouvernementale?</w:t>
      </w:r>
    </w:p>
    <w:p w:rsidR="007B0949" w:rsidRPr="00F547DE" w:rsidRDefault="00F547DE" w:rsidP="007B0949">
      <w:pPr>
        <w:keepNext/>
        <w:spacing w:before="120" w:after="240"/>
        <w:ind w:left="540"/>
        <w:rPr>
          <w:rFonts w:ascii="Arial" w:hAnsi="Arial" w:cs="Arial"/>
          <w:sz w:val="24"/>
          <w:szCs w:val="24"/>
        </w:rPr>
      </w:pPr>
      <w:r>
        <w:rPr>
          <w:rFonts w:ascii="Arial" w:hAnsi="Arial"/>
          <w:sz w:val="24"/>
          <w:szCs w:val="24"/>
        </w:rPr>
        <w:t>Le Canada reconnaît que le droit inhérent à l’autonomie gouvernementale est un droit ancestral existant au sens de l’article 35 de la</w:t>
      </w:r>
      <w:r>
        <w:rPr>
          <w:rFonts w:ascii="Arial" w:hAnsi="Arial"/>
          <w:i/>
          <w:sz w:val="24"/>
          <w:szCs w:val="24"/>
        </w:rPr>
        <w:t xml:space="preserve"> Loi constitutionnelle de 1982</w:t>
      </w:r>
      <w:r>
        <w:rPr>
          <w:rFonts w:ascii="Arial" w:hAnsi="Arial"/>
          <w:sz w:val="24"/>
          <w:szCs w:val="24"/>
        </w:rPr>
        <w:t>. De même, il reconnaît que ce droit inhérent peut découler de traités ainsi que des relations qu’entretient la Couronne avec les Premières Nations visées par un traité. La reconnaissance de ce droit inhérent repose sur l’idée que les Autochtones du Canada ont le droit de gouverner eux-mêmes les affaires interne</w:t>
      </w:r>
      <w:r w:rsidR="00D76E57">
        <w:rPr>
          <w:rFonts w:ascii="Arial" w:hAnsi="Arial"/>
          <w:sz w:val="24"/>
          <w:szCs w:val="24"/>
        </w:rPr>
        <w:t xml:space="preserve">s </w:t>
      </w:r>
      <w:r>
        <w:rPr>
          <w:rFonts w:ascii="Arial" w:hAnsi="Arial"/>
          <w:sz w:val="24"/>
          <w:szCs w:val="24"/>
        </w:rPr>
        <w:t>de leurs collectivités conformément à leurs particularités culturelles, à leur identité, à leurs</w:t>
      </w:r>
      <w:r w:rsidR="007B0949">
        <w:rPr>
          <w:rFonts w:ascii="Arial" w:hAnsi="Arial"/>
          <w:sz w:val="24"/>
          <w:szCs w:val="24"/>
        </w:rPr>
        <w:t xml:space="preserve"> traditions, à leurs langues et à leurs institutions, et à leur relation spéciale avec leurs terres et leurs ressources.</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Le Canada reconnaît que le droit inhérent à l’autonomie gouvernementale peut être exécutoire par les tribunaux et qu’il existe des opinions différentes au sujet de la nature, de la portée et du contenu du droit inhérent. Cependant, un litige relatif au droit inhérent serait long, coûteux et engendrerait possiblement des conflits. En tout état de cause, les tribunaux sont susceptibles de fournir des conseils généraux aux parties concernées, en leur laissant l’élaboration des détails des dispositions.</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 xml:space="preserve">C’est pourquoi le Canada est convaincu qu’un litige est une mesure de dernier recours. Il est évident que la négociation entre les gouvernements et les peuples </w:t>
      </w:r>
      <w:r>
        <w:rPr>
          <w:rFonts w:ascii="Arial" w:hAnsi="Arial"/>
          <w:sz w:val="24"/>
          <w:szCs w:val="24"/>
        </w:rPr>
        <w:lastRenderedPageBreak/>
        <w:t>autochtones est le moyen le plus pratique et efficace pour mettre en œuvre le droit inhérent à l’autonomie gouvernementale.</w:t>
      </w:r>
    </w:p>
    <w:p w:rsidR="007B0949" w:rsidRDefault="007B0949" w:rsidP="007B0949">
      <w:pPr>
        <w:keepNext/>
        <w:spacing w:before="120" w:after="240"/>
        <w:ind w:left="540"/>
        <w:rPr>
          <w:rFonts w:ascii="Arial" w:hAnsi="Arial" w:cs="Arial"/>
          <w:sz w:val="24"/>
          <w:szCs w:val="24"/>
        </w:rPr>
      </w:pPr>
      <w:r>
        <w:rPr>
          <w:rFonts w:ascii="Arial" w:hAnsi="Arial"/>
          <w:sz w:val="24"/>
          <w:szCs w:val="24"/>
        </w:rPr>
        <w:t xml:space="preserve">Il ne faut pas s’attendre à ce que la mise en œuvre de l’autonomie gouvernementale soit uniforme; par ailleurs, les accords devraient répondre aux besoins uniques des groupes autochtones. Le Canada doit également prendre en considération leurs circonstances politiques, juridiques, historiques, culturelles et sociales particulières. Plusieurs types d’ententes sur l’autonomie gouvernementale peuvent être négociés : </w:t>
      </w:r>
    </w:p>
    <w:p w:rsidR="007B0949" w:rsidRPr="00F547DE" w:rsidRDefault="007B0949" w:rsidP="007B0949">
      <w:pPr>
        <w:pStyle w:val="ListParagraph"/>
        <w:keepNext/>
        <w:numPr>
          <w:ilvl w:val="0"/>
          <w:numId w:val="45"/>
        </w:numPr>
        <w:spacing w:before="120" w:after="240"/>
        <w:rPr>
          <w:rFonts w:ascii="Arial" w:hAnsi="Arial" w:cs="Arial"/>
          <w:sz w:val="24"/>
          <w:szCs w:val="24"/>
        </w:rPr>
      </w:pPr>
      <w:r>
        <w:rPr>
          <w:rFonts w:ascii="Arial" w:hAnsi="Arial"/>
          <w:sz w:val="24"/>
          <w:szCs w:val="24"/>
        </w:rPr>
        <w:t>des ententes globales distinctes : couvrant une gamme complète de sujets et reconnaissant une gamme complète de compétences en matière de pouvoir de légiférer. Un exemple de ce type d’entente est l’Accord sur la gouvernance conclu entre la Nation des Dakota de Sioux Valley, le Canada et le Manitoba;</w:t>
      </w:r>
    </w:p>
    <w:p w:rsidR="007B0949" w:rsidRPr="00F547DE" w:rsidRDefault="007B0949" w:rsidP="007B0949">
      <w:pPr>
        <w:pStyle w:val="ListParagraph"/>
        <w:keepNext/>
        <w:numPr>
          <w:ilvl w:val="0"/>
          <w:numId w:val="45"/>
        </w:numPr>
        <w:spacing w:before="120" w:after="240"/>
        <w:rPr>
          <w:rFonts w:ascii="Arial" w:hAnsi="Arial" w:cs="Arial"/>
          <w:sz w:val="24"/>
          <w:szCs w:val="24"/>
        </w:rPr>
      </w:pPr>
      <w:r>
        <w:rPr>
          <w:rFonts w:ascii="Arial" w:hAnsi="Arial"/>
          <w:sz w:val="24"/>
          <w:szCs w:val="24"/>
        </w:rPr>
        <w:t xml:space="preserve">des ententes sectorielles : reconnaître l’autonomie gouvernementale dans un seul domaine, comme l’éducation ou la santé et les services à la famille, comme la </w:t>
      </w:r>
      <w:r>
        <w:rPr>
          <w:rFonts w:ascii="Arial" w:hAnsi="Arial"/>
          <w:i/>
          <w:sz w:val="24"/>
          <w:szCs w:val="24"/>
        </w:rPr>
        <w:t xml:space="preserve">Loi sur l’éducation des Mi’kmaq </w:t>
      </w:r>
      <w:r>
        <w:rPr>
          <w:rFonts w:ascii="Arial" w:hAnsi="Arial"/>
          <w:sz w:val="24"/>
          <w:szCs w:val="24"/>
        </w:rPr>
        <w:t xml:space="preserve">de la Nouvelle-Écosse, la </w:t>
      </w:r>
      <w:r>
        <w:rPr>
          <w:rFonts w:ascii="Arial" w:hAnsi="Arial"/>
          <w:i/>
          <w:sz w:val="24"/>
          <w:szCs w:val="24"/>
        </w:rPr>
        <w:t>Loi sur la compétence des Premières Nations en matière d’éducation en Colombie-Britannique</w:t>
      </w:r>
      <w:r>
        <w:rPr>
          <w:rFonts w:ascii="Arial" w:hAnsi="Arial"/>
          <w:sz w:val="24"/>
          <w:szCs w:val="24"/>
        </w:rPr>
        <w:t xml:space="preserve"> et l’</w:t>
      </w:r>
      <w:r>
        <w:rPr>
          <w:rFonts w:ascii="Arial" w:hAnsi="Arial"/>
          <w:i/>
          <w:sz w:val="24"/>
          <w:szCs w:val="24"/>
        </w:rPr>
        <w:t>Entente sur l’éducation de la Nation Anishinabek</w:t>
      </w:r>
      <w:r>
        <w:rPr>
          <w:rFonts w:ascii="Arial" w:hAnsi="Arial"/>
          <w:sz w:val="24"/>
          <w:szCs w:val="24"/>
        </w:rPr>
        <w:t xml:space="preserve"> en Ontario (en cours de ratification);</w:t>
      </w:r>
    </w:p>
    <w:p w:rsidR="007B0949" w:rsidRPr="00F547DE" w:rsidRDefault="007B0949" w:rsidP="007B0949">
      <w:pPr>
        <w:pStyle w:val="ListParagraph"/>
        <w:keepNext/>
        <w:numPr>
          <w:ilvl w:val="0"/>
          <w:numId w:val="45"/>
        </w:numPr>
        <w:spacing w:before="120" w:after="240"/>
        <w:rPr>
          <w:rFonts w:ascii="Arial" w:hAnsi="Arial" w:cs="Arial"/>
          <w:sz w:val="24"/>
          <w:szCs w:val="24"/>
        </w:rPr>
      </w:pPr>
      <w:r>
        <w:rPr>
          <w:rFonts w:ascii="Arial" w:hAnsi="Arial"/>
          <w:sz w:val="24"/>
          <w:szCs w:val="24"/>
        </w:rPr>
        <w:t>des ententes de règlement des revendications : des modalités relatives à l’autonomie gouvernementale se négocient de concert avec les ententes sur les revendications territoriales globales, comme l’Accord définitif Nisga’a en Colombie-Britannique;</w:t>
      </w:r>
    </w:p>
    <w:p w:rsidR="007B0949" w:rsidRPr="00F547DE" w:rsidRDefault="007B0949" w:rsidP="007B0949">
      <w:pPr>
        <w:pStyle w:val="ListParagraph"/>
        <w:keepNext/>
        <w:numPr>
          <w:ilvl w:val="0"/>
          <w:numId w:val="45"/>
        </w:numPr>
        <w:spacing w:before="120" w:after="240"/>
        <w:rPr>
          <w:rFonts w:ascii="Arial" w:hAnsi="Arial" w:cs="Arial"/>
          <w:sz w:val="24"/>
          <w:szCs w:val="24"/>
        </w:rPr>
      </w:pPr>
      <w:r>
        <w:rPr>
          <w:rFonts w:ascii="Arial" w:hAnsi="Arial"/>
          <w:sz w:val="24"/>
          <w:szCs w:val="24"/>
        </w:rPr>
        <w:t>des ententes touchant le gouvernement populaire : font référence à l’exercice de l’autonomie gouvernementale des Autochtones dans le contexte d’accords publics plus larges comme dans le cas du Nunavut.</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Le Canada est prêt à entamer des négociations avec des représentants dûment mandatés des groupes autochtones et des provinces concernées afin d’établir des processus mutuellement acceptables à l’échelle locale, régionale, provinciale ou des traités. Parmi les facteurs importants pour déterminer ce qui peut être négocié, notons la taille du groupe et les économies d’échelle réalisables. Le processus menant à la conclusion d’une entente d’autonomie gouvernementale ou d’une entente sur les revendications territoriales globales suit six étapes :</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1.</w:t>
      </w:r>
      <w:r>
        <w:rPr>
          <w:rFonts w:ascii="Arial" w:hAnsi="Arial"/>
          <w:sz w:val="24"/>
          <w:szCs w:val="24"/>
        </w:rPr>
        <w:tab/>
        <w:t>Dépôt d’une revendication</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2.</w:t>
      </w:r>
      <w:r>
        <w:rPr>
          <w:rFonts w:ascii="Arial" w:hAnsi="Arial"/>
          <w:sz w:val="24"/>
          <w:szCs w:val="24"/>
        </w:rPr>
        <w:tab/>
        <w:t>Acceptation</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3.</w:t>
      </w:r>
      <w:r>
        <w:rPr>
          <w:rFonts w:ascii="Arial" w:hAnsi="Arial"/>
          <w:sz w:val="24"/>
          <w:szCs w:val="24"/>
        </w:rPr>
        <w:tab/>
        <w:t>Entente-cadre</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4.</w:t>
      </w:r>
      <w:r>
        <w:rPr>
          <w:rFonts w:ascii="Arial" w:hAnsi="Arial"/>
          <w:sz w:val="24"/>
          <w:szCs w:val="24"/>
        </w:rPr>
        <w:tab/>
        <w:t>Entente de principe</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lastRenderedPageBreak/>
        <w:t>5.</w:t>
      </w:r>
      <w:r>
        <w:rPr>
          <w:rFonts w:ascii="Arial" w:hAnsi="Arial"/>
          <w:sz w:val="24"/>
          <w:szCs w:val="24"/>
        </w:rPr>
        <w:tab/>
        <w:t>Entente définitive et ratification</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6.</w:t>
      </w:r>
      <w:r>
        <w:rPr>
          <w:rFonts w:ascii="Arial" w:hAnsi="Arial"/>
          <w:sz w:val="24"/>
          <w:szCs w:val="24"/>
        </w:rPr>
        <w:tab/>
        <w:t>Mise en œuvre</w:t>
      </w:r>
    </w:p>
    <w:p w:rsidR="007B0949" w:rsidRPr="00F547DE" w:rsidRDefault="007B0949" w:rsidP="007B0949">
      <w:pPr>
        <w:keepNext/>
        <w:spacing w:before="120" w:after="240"/>
        <w:ind w:left="540"/>
        <w:rPr>
          <w:rFonts w:ascii="Arial" w:hAnsi="Arial" w:cs="Arial"/>
          <w:sz w:val="24"/>
          <w:szCs w:val="24"/>
        </w:rPr>
      </w:pPr>
      <w:r>
        <w:rPr>
          <w:rFonts w:ascii="Arial" w:hAnsi="Arial"/>
          <w:sz w:val="24"/>
          <w:szCs w:val="24"/>
        </w:rPr>
        <w:t>Depuis que le Canada a commencé à négocier des ententes sur l’autonomie gouvernementale, 27 ententes d’autonomie gouvernementale ont été signées, dont 17 sont des ententes distinctes et 10 sont combinées avec une entente sur les revendications territoriales globales. En ce moment, on compte environ 90 tables de négociation sur l’autonomie gouvernementale au Canada. Toutes ces tables se trouvent à différentes étapes du processus de négociation et, dans la plupart des cas, les négociations portent aussi sur les revendications territoriales globales.</w:t>
      </w:r>
    </w:p>
    <w:p w:rsidR="007B0949" w:rsidRPr="00F547DE" w:rsidRDefault="007B0949" w:rsidP="007B0949">
      <w:pPr>
        <w:pStyle w:val="ListParagraph"/>
        <w:keepNext/>
        <w:numPr>
          <w:ilvl w:val="0"/>
          <w:numId w:val="27"/>
        </w:numPr>
        <w:spacing w:before="120" w:after="240"/>
        <w:ind w:left="540" w:hanging="540"/>
        <w:rPr>
          <w:rFonts w:ascii="Arial" w:hAnsi="Arial" w:cs="Arial"/>
          <w:b/>
          <w:sz w:val="24"/>
          <w:szCs w:val="24"/>
        </w:rPr>
      </w:pPr>
      <w:r>
        <w:rPr>
          <w:rFonts w:ascii="Arial" w:hAnsi="Arial"/>
          <w:b/>
          <w:sz w:val="24"/>
          <w:szCs w:val="24"/>
        </w:rPr>
        <w:t xml:space="preserve">Renseignements sur l’application des Règles Mandela pour le traitement des détenus </w:t>
      </w:r>
    </w:p>
    <w:p w:rsidR="007B0949" w:rsidRPr="009557F3" w:rsidRDefault="007B0949" w:rsidP="007B0949">
      <w:pPr>
        <w:pStyle w:val="Body"/>
        <w:spacing w:before="120" w:after="240"/>
        <w:ind w:left="540"/>
        <w:rPr>
          <w:rFonts w:ascii="Arial" w:eastAsiaTheme="minorHAnsi" w:hAnsi="Arial" w:cs="Arial"/>
          <w:color w:val="auto"/>
          <w:sz w:val="24"/>
          <w:szCs w:val="24"/>
          <w:bdr w:val="none" w:sz="0" w:space="0" w:color="auto"/>
        </w:rPr>
      </w:pPr>
      <w:r>
        <w:rPr>
          <w:rFonts w:ascii="Arial" w:hAnsi="Arial"/>
          <w:color w:val="auto"/>
          <w:sz w:val="24"/>
          <w:szCs w:val="24"/>
          <w:bdr w:val="none" w:sz="0" w:space="0" w:color="auto"/>
        </w:rPr>
        <w:t>Huit importants domaines des Règles Mandela ont été révisés et intégrés au mandat et aux opérations du Service correctionnel du Canada du gouvernement du Canada</w:t>
      </w:r>
      <w:r w:rsidR="00281134">
        <w:rPr>
          <w:rFonts w:ascii="Arial" w:hAnsi="Arial"/>
          <w:color w:val="auto"/>
          <w:sz w:val="24"/>
          <w:szCs w:val="24"/>
          <w:bdr w:val="none" w:sz="0" w:space="0" w:color="auto"/>
        </w:rPr>
        <w:t xml:space="preserve"> (SCC)</w:t>
      </w:r>
      <w:r>
        <w:rPr>
          <w:rFonts w:ascii="Arial" w:hAnsi="Arial"/>
          <w:color w:val="auto"/>
          <w:sz w:val="24"/>
          <w:szCs w:val="24"/>
          <w:bdr w:val="none" w:sz="0" w:space="0" w:color="auto"/>
        </w:rPr>
        <w:t xml:space="preserve">. Le texte suivant en italique représente la façon dont la révision a été effectuée. </w:t>
      </w:r>
    </w:p>
    <w:p w:rsidR="007B0949" w:rsidRPr="009557F3" w:rsidRDefault="007B0949" w:rsidP="007B0949">
      <w:pPr>
        <w:pStyle w:val="Body"/>
        <w:numPr>
          <w:ilvl w:val="1"/>
          <w:numId w:val="8"/>
        </w:numPr>
        <w:spacing w:before="120" w:after="240"/>
        <w:ind w:left="900"/>
        <w:rPr>
          <w:rFonts w:ascii="Arial" w:eastAsia="Arial" w:hAnsi="Arial" w:cs="Arial"/>
          <w:b/>
          <w:bCs/>
          <w:sz w:val="24"/>
          <w:szCs w:val="24"/>
          <w:u w:color="000000"/>
        </w:rPr>
      </w:pPr>
      <w:r>
        <w:rPr>
          <w:rFonts w:ascii="Arial" w:hAnsi="Arial"/>
          <w:b/>
          <w:bCs/>
          <w:sz w:val="24"/>
          <w:szCs w:val="24"/>
          <w:u w:color="000000"/>
        </w:rPr>
        <w:t>Respect de la dignité inhérente aux détenus</w:t>
      </w:r>
    </w:p>
    <w:p w:rsidR="007B0949" w:rsidRPr="009557F3" w:rsidRDefault="007B0949" w:rsidP="007B0949">
      <w:pPr>
        <w:pStyle w:val="Body"/>
        <w:spacing w:before="120" w:after="240"/>
        <w:ind w:left="540"/>
        <w:rPr>
          <w:rFonts w:ascii="Arial" w:eastAsia="Arial" w:hAnsi="Arial" w:cs="Arial"/>
          <w:sz w:val="24"/>
          <w:szCs w:val="24"/>
          <w:u w:color="000000"/>
        </w:rPr>
      </w:pPr>
      <w:r>
        <w:rPr>
          <w:rFonts w:ascii="Arial" w:hAnsi="Arial"/>
          <w:sz w:val="24"/>
          <w:szCs w:val="24"/>
          <w:u w:color="000000"/>
        </w:rPr>
        <w:t>Le principe du traitement dans le respect de la dignité et de la valeur en tant qu’être humain et l’interdiction de la torture et d’autres peines ou traitements cruels, inhumains ou dégradants ont été intégrés dans l’ensemble des Règles, y compris comme principe de base de la Règle 6 et comme conseils pour les fouilles des détenus.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Charte canadienne des droits et libertés;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 xml:space="preserve">Un des principes directeurs du SCC, enchâssé dans la </w:t>
      </w:r>
      <w:r w:rsidRPr="00C544A0">
        <w:rPr>
          <w:rFonts w:ascii="Arial" w:hAnsi="Arial"/>
          <w:sz w:val="24"/>
          <w:szCs w:val="24"/>
          <w:u w:color="00B050"/>
        </w:rPr>
        <w:t>Loi sur le système correctionnel et la mise en liberté sous condition</w:t>
      </w:r>
      <w:r>
        <w:rPr>
          <w:rFonts w:ascii="Arial" w:hAnsi="Arial"/>
          <w:i/>
          <w:sz w:val="24"/>
          <w:szCs w:val="24"/>
          <w:u w:color="00B050"/>
        </w:rPr>
        <w:t xml:space="preserve"> est que le Service « prend les mesures qui, compte tenu de la protection de la société, des agents et des délinquants, ne vont pas au-delà de ce qui est nécessaire et proportionnel aux objectifs de la présente loi; </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Mission et valeurs du SCC;</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Les paramètres pour la fouille des délinquants, des aires de l’établissement et des visiteurs sont décrits dans la loi et la politique.</w:t>
      </w:r>
    </w:p>
    <w:p w:rsidR="007B0949" w:rsidRPr="009557F3" w:rsidRDefault="007B0949" w:rsidP="007B0949">
      <w:pPr>
        <w:pStyle w:val="Body"/>
        <w:numPr>
          <w:ilvl w:val="1"/>
          <w:numId w:val="8"/>
        </w:numPr>
        <w:spacing w:before="120" w:after="240"/>
        <w:ind w:left="900"/>
        <w:rPr>
          <w:rFonts w:ascii="Arial" w:eastAsia="Arial" w:hAnsi="Arial" w:cs="Arial"/>
          <w:b/>
          <w:bCs/>
          <w:sz w:val="24"/>
          <w:szCs w:val="24"/>
          <w:u w:color="000000"/>
        </w:rPr>
      </w:pPr>
      <w:r>
        <w:rPr>
          <w:rFonts w:ascii="Arial" w:hAnsi="Arial"/>
          <w:b/>
          <w:bCs/>
          <w:sz w:val="24"/>
          <w:szCs w:val="24"/>
          <w:u w:color="000000"/>
        </w:rPr>
        <w:t>Services médicaux et soins de santé</w:t>
      </w:r>
    </w:p>
    <w:p w:rsidR="007B0949" w:rsidRPr="009557F3" w:rsidRDefault="007B0949" w:rsidP="007B0949">
      <w:pPr>
        <w:pStyle w:val="Body"/>
        <w:spacing w:before="120" w:after="240"/>
        <w:ind w:left="540"/>
        <w:rPr>
          <w:rFonts w:ascii="Arial" w:eastAsia="Arial" w:hAnsi="Arial" w:cs="Arial"/>
          <w:sz w:val="24"/>
          <w:szCs w:val="24"/>
          <w:u w:color="000000"/>
        </w:rPr>
      </w:pPr>
      <w:r>
        <w:rPr>
          <w:rFonts w:ascii="Arial" w:hAnsi="Arial"/>
          <w:sz w:val="24"/>
          <w:szCs w:val="24"/>
          <w:u w:color="000000"/>
        </w:rPr>
        <w:t xml:space="preserve">Les Règles précisent que l’État est responsable des soins de santé des détenus et que leur qualité devrait être égale à celle offerte dans la communauté. Ces services devraient être établis en étroite relation avec l’administration générale de </w:t>
      </w:r>
      <w:r>
        <w:rPr>
          <w:rFonts w:ascii="Arial" w:hAnsi="Arial"/>
          <w:sz w:val="24"/>
          <w:szCs w:val="24"/>
          <w:u w:color="000000"/>
        </w:rPr>
        <w:lastRenderedPageBreak/>
        <w:t>la santé publique. Il existe des lignes directrices détaillées sur les soins de santé en milieu pénitentiaire et sur le rôle du personnel de santé.</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Pr>
          <w:rFonts w:ascii="Arial" w:hAnsi="Arial"/>
          <w:i/>
          <w:sz w:val="24"/>
          <w:szCs w:val="24"/>
          <w:u w:color="00B050"/>
        </w:rPr>
        <w:t>Le SCC veille à ce que chaque détenu reçoive les soins de santé essentiels conformément aux normes professionnelles reconnues;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Pr>
          <w:rFonts w:ascii="Arial" w:hAnsi="Arial"/>
          <w:i/>
          <w:sz w:val="24"/>
          <w:szCs w:val="24"/>
          <w:u w:color="00B050"/>
        </w:rPr>
        <w:t>Pour garantir cela, les soins de santé offerts par le SCC sont accrédités par l’organisation non gouvernementale qui accrédite les soins de santé pour tous les Canadiens;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Pr>
          <w:rFonts w:ascii="Arial" w:hAnsi="Arial"/>
          <w:i/>
          <w:sz w:val="24"/>
          <w:szCs w:val="24"/>
          <w:u w:color="00B050"/>
        </w:rPr>
        <w:t>Les cinq régions disposent d’un établissement hospitalier;</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Pr>
          <w:rFonts w:ascii="Arial" w:hAnsi="Arial"/>
          <w:i/>
          <w:sz w:val="24"/>
          <w:szCs w:val="24"/>
          <w:u w:color="00B050"/>
        </w:rPr>
        <w:t>Les délinquants ont accès à un traitement médical externe au besoin;</w:t>
      </w:r>
    </w:p>
    <w:p w:rsidR="007B0949" w:rsidRPr="009557F3" w:rsidRDefault="007B0949" w:rsidP="00141694">
      <w:pPr>
        <w:pStyle w:val="ListParagraph"/>
        <w:numPr>
          <w:ilvl w:val="0"/>
          <w:numId w:val="18"/>
        </w:numPr>
        <w:pBdr>
          <w:top w:val="nil"/>
          <w:left w:val="nil"/>
          <w:bottom w:val="nil"/>
          <w:right w:val="nil"/>
          <w:between w:val="nil"/>
          <w:bar w:val="nil"/>
        </w:pBdr>
        <w:spacing w:before="120" w:after="240"/>
        <w:rPr>
          <w:rFonts w:ascii="Arial" w:eastAsia="Arial" w:hAnsi="Arial" w:cs="Arial"/>
          <w:i/>
          <w:sz w:val="24"/>
          <w:szCs w:val="24"/>
          <w:u w:color="00B050"/>
        </w:rPr>
      </w:pPr>
      <w:r>
        <w:rPr>
          <w:rFonts w:ascii="Arial" w:hAnsi="Arial"/>
          <w:i/>
          <w:sz w:val="24"/>
          <w:szCs w:val="24"/>
          <w:u w:color="00B050"/>
        </w:rPr>
        <w:t xml:space="preserve">Le paragraphe 4(g) de la </w:t>
      </w:r>
      <w:r w:rsidR="00141694" w:rsidRPr="00141694">
        <w:rPr>
          <w:rFonts w:ascii="Arial" w:hAnsi="Arial"/>
          <w:i/>
          <w:sz w:val="24"/>
          <w:szCs w:val="24"/>
          <w:u w:color="00B050"/>
        </w:rPr>
        <w:t>Loi sur le système correctionnel et la mise en liberté sous condition</w:t>
      </w:r>
      <w:r>
        <w:rPr>
          <w:rFonts w:ascii="Arial" w:hAnsi="Arial"/>
          <w:i/>
          <w:sz w:val="24"/>
          <w:szCs w:val="24"/>
          <w:u w:color="00B050"/>
        </w:rPr>
        <w:t xml:space="preserve"> exige du Service que ses directives d’orientation générale, programmes et pratiques respectent les différences ethniques, culturelles et linguistiques, ainsi qu’entre les sexes, et tiennent compte des besoins propres aux femmes, aux Autochtones, aux personnes nécessitant des soins de santé mentale et à d’autres groupes. </w:t>
      </w:r>
    </w:p>
    <w:p w:rsidR="007B0949" w:rsidRPr="009557F3" w:rsidRDefault="007B0949" w:rsidP="007B0949">
      <w:pPr>
        <w:pStyle w:val="Body"/>
        <w:numPr>
          <w:ilvl w:val="1"/>
          <w:numId w:val="8"/>
        </w:numPr>
        <w:spacing w:before="120" w:after="240"/>
        <w:ind w:left="900"/>
        <w:rPr>
          <w:rFonts w:ascii="Arial" w:eastAsia="Arial" w:hAnsi="Arial" w:cs="Arial"/>
          <w:b/>
          <w:bCs/>
          <w:sz w:val="24"/>
          <w:szCs w:val="24"/>
          <w:u w:color="000000"/>
        </w:rPr>
      </w:pPr>
      <w:r>
        <w:rPr>
          <w:rFonts w:ascii="Arial" w:hAnsi="Arial"/>
          <w:b/>
          <w:bCs/>
          <w:sz w:val="24"/>
          <w:szCs w:val="24"/>
          <w:u w:color="000000"/>
        </w:rPr>
        <w:t>Mesures disciplinaires et sanctions</w:t>
      </w:r>
    </w:p>
    <w:p w:rsidR="007B0949" w:rsidRPr="009557F3" w:rsidRDefault="007B0949" w:rsidP="007B0949">
      <w:pPr>
        <w:pStyle w:val="Body"/>
        <w:spacing w:before="120" w:after="240"/>
        <w:ind w:left="540"/>
        <w:rPr>
          <w:rFonts w:ascii="Arial" w:eastAsia="Arial" w:hAnsi="Arial" w:cs="Arial"/>
          <w:sz w:val="24"/>
          <w:szCs w:val="24"/>
          <w:u w:color="000000"/>
        </w:rPr>
      </w:pPr>
      <w:r>
        <w:rPr>
          <w:rFonts w:ascii="Arial" w:hAnsi="Arial"/>
          <w:sz w:val="24"/>
          <w:szCs w:val="24"/>
          <w:u w:color="000000"/>
        </w:rPr>
        <w:t>Parmi les changements majeurs dans ce domaine, notons les lignes directrices actualisées sur les recours à des moyens de contrainte, les garanties procédurales dans les procédures disciplinaires et des éclaircissements quant aux sanctions disciplinaires interdites (p. ex., la restriction de l’eau potable). Comme principe fondamental, le personnel pénitentiaire est encouragé à utiliser des mécanismes de prévention des conflits pour prévenir les infractions disciplinaires et résoudre les conflits. Des restrictions concernant l’utilisation de l’isolement cellulaire (qui est également défini) sont incluses pour la première fois dans une norme internationale.</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 xml:space="preserve">Guidé par la législation et la politique du SCC </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Président indépendant chargé de traiter les accusations gaves</w:t>
      </w:r>
    </w:p>
    <w:p w:rsidR="007B0949" w:rsidRPr="009557F3" w:rsidRDefault="007B0949" w:rsidP="007B0949">
      <w:pPr>
        <w:pStyle w:val="Body"/>
        <w:numPr>
          <w:ilvl w:val="1"/>
          <w:numId w:val="8"/>
        </w:numPr>
        <w:spacing w:before="120" w:after="240"/>
        <w:ind w:left="900"/>
        <w:rPr>
          <w:rFonts w:ascii="Arial" w:eastAsia="Arial" w:hAnsi="Arial" w:cs="Arial"/>
          <w:b/>
          <w:bCs/>
          <w:sz w:val="24"/>
          <w:szCs w:val="24"/>
          <w:u w:color="000000"/>
        </w:rPr>
      </w:pPr>
      <w:r>
        <w:rPr>
          <w:rFonts w:ascii="Arial" w:hAnsi="Arial"/>
          <w:b/>
          <w:bCs/>
          <w:sz w:val="24"/>
          <w:szCs w:val="24"/>
          <w:u w:color="000000"/>
        </w:rPr>
        <w:t>Enquêtes sur les décès et la torture en détention</w:t>
      </w:r>
    </w:p>
    <w:p w:rsidR="007B0949" w:rsidRPr="009557F3" w:rsidRDefault="007B0949" w:rsidP="007B0949">
      <w:pPr>
        <w:pStyle w:val="Body"/>
        <w:spacing w:before="120" w:after="240"/>
        <w:ind w:left="540"/>
        <w:rPr>
          <w:rFonts w:ascii="Arial" w:eastAsia="Arial" w:hAnsi="Arial" w:cs="Arial"/>
          <w:sz w:val="24"/>
          <w:szCs w:val="24"/>
          <w:u w:color="000000"/>
        </w:rPr>
      </w:pPr>
      <w:r>
        <w:rPr>
          <w:rFonts w:ascii="Arial" w:hAnsi="Arial"/>
          <w:sz w:val="24"/>
          <w:szCs w:val="24"/>
          <w:u w:color="000000"/>
        </w:rPr>
        <w:t>Les dispositions mises à jour comprennent les obligations de l’établissement en cas de décès, de disparition ou de blessure grave. Il s’agit notamment des obligations relatives aux rapports, aux enquêtes et à la notification de la famille ou des amis. Les exigences en matière de gestion des dossiers des prisonniers ont également été modifiées pour reconnaître leur rôle dans l’enregistrement des incidents et des plaintes.</w:t>
      </w:r>
    </w:p>
    <w:p w:rsidR="007B0949" w:rsidRPr="009557F3" w:rsidRDefault="007B0949" w:rsidP="007B0949">
      <w:pPr>
        <w:pStyle w:val="ListParagraph"/>
        <w:keepNext/>
        <w:numPr>
          <w:ilvl w:val="0"/>
          <w:numId w:val="18"/>
        </w:numPr>
        <w:pBdr>
          <w:top w:val="nil"/>
          <w:left w:val="nil"/>
          <w:bottom w:val="nil"/>
          <w:right w:val="nil"/>
          <w:between w:val="nil"/>
          <w:bar w:val="nil"/>
        </w:pBdr>
        <w:spacing w:before="120" w:after="240"/>
        <w:ind w:left="907"/>
        <w:rPr>
          <w:rFonts w:ascii="Arial" w:hAnsi="Arial" w:cs="Arial"/>
          <w:i/>
          <w:sz w:val="24"/>
          <w:szCs w:val="24"/>
          <w:u w:color="00B050"/>
        </w:rPr>
      </w:pPr>
      <w:r>
        <w:rPr>
          <w:rFonts w:ascii="Arial" w:hAnsi="Arial"/>
          <w:i/>
          <w:sz w:val="24"/>
          <w:szCs w:val="24"/>
          <w:u w:color="00B050"/>
        </w:rPr>
        <w:lastRenderedPageBreak/>
        <w:t>Direction des enquêtes sur les incidents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Enquête automatique sur les décès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Les blessures classées comme étant des lésions corporelles graves sont examinées par la Direction des enquêtes sur les incidents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Enquête indépendante du coroner</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 xml:space="preserve">Bureau de l’enquêteur correctionnel indépendant </w:t>
      </w:r>
    </w:p>
    <w:p w:rsidR="007B0949" w:rsidRPr="009557F3" w:rsidRDefault="007B0949" w:rsidP="007B0949">
      <w:pPr>
        <w:pStyle w:val="Body"/>
        <w:numPr>
          <w:ilvl w:val="1"/>
          <w:numId w:val="8"/>
        </w:numPr>
        <w:spacing w:before="120" w:after="240"/>
        <w:ind w:left="900"/>
        <w:rPr>
          <w:rFonts w:ascii="Arial" w:eastAsia="Arial" w:hAnsi="Arial" w:cs="Arial"/>
          <w:b/>
          <w:bCs/>
          <w:sz w:val="24"/>
          <w:szCs w:val="24"/>
          <w:u w:color="000000"/>
        </w:rPr>
      </w:pPr>
      <w:r>
        <w:rPr>
          <w:rFonts w:ascii="Arial" w:hAnsi="Arial"/>
          <w:b/>
          <w:bCs/>
          <w:sz w:val="24"/>
          <w:szCs w:val="24"/>
          <w:u w:color="000000"/>
        </w:rPr>
        <w:t>Protection des groupes vulnérables</w:t>
      </w:r>
    </w:p>
    <w:p w:rsidR="007B0949" w:rsidRPr="009557F3" w:rsidRDefault="007B0949" w:rsidP="007B0949">
      <w:pPr>
        <w:pStyle w:val="Body"/>
        <w:spacing w:before="120" w:after="240"/>
        <w:ind w:left="540"/>
        <w:rPr>
          <w:rFonts w:ascii="Arial" w:eastAsia="Arial" w:hAnsi="Arial" w:cs="Arial"/>
          <w:sz w:val="24"/>
          <w:szCs w:val="24"/>
          <w:u w:color="000000"/>
        </w:rPr>
      </w:pPr>
      <w:r>
        <w:rPr>
          <w:rFonts w:ascii="Arial" w:hAnsi="Arial"/>
          <w:sz w:val="24"/>
          <w:szCs w:val="24"/>
          <w:u w:color="000000"/>
        </w:rPr>
        <w:t>Les révisions aux dispositions relatives aux détenus ayant des vulnérabilités particulières ont été limitées, mais dans l’ensemble, les Règles indiquent désormais que les prisons doivent déterminer les besoins individuels des détenus et que les mesures prises pour tenir compte de ces besoins ne doivent pas être considérées comme étant discriminatoires. Certaines dispositions concernant les enfants emprisonnés avec leurs parents ont été ajoutées, et la terminologie périmée sur les détenus handicapés a été modifiée.</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Secteur des femmes délinquantes et programmes mère-enfant</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Direction des initiatives pour les Autochtones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Direction de la santé mentale</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Processus d’évaluation permettant de déterminer les besoins des prisonniers, élaboration d’un plan correctionnel individualisé, programmes, rapport sur les progrès</w:t>
      </w:r>
    </w:p>
    <w:p w:rsidR="007B0949" w:rsidRPr="009557F3" w:rsidRDefault="007B0949" w:rsidP="007B0949">
      <w:pPr>
        <w:pStyle w:val="Body"/>
        <w:numPr>
          <w:ilvl w:val="1"/>
          <w:numId w:val="8"/>
        </w:numPr>
        <w:spacing w:before="120" w:after="240"/>
        <w:ind w:left="900"/>
        <w:rPr>
          <w:rFonts w:ascii="Arial" w:eastAsia="Arial" w:hAnsi="Arial" w:cs="Arial"/>
          <w:b/>
          <w:bCs/>
          <w:sz w:val="24"/>
          <w:szCs w:val="24"/>
          <w:u w:color="000000"/>
        </w:rPr>
      </w:pPr>
      <w:r>
        <w:rPr>
          <w:rFonts w:ascii="Arial" w:hAnsi="Arial"/>
          <w:b/>
          <w:bCs/>
          <w:sz w:val="24"/>
          <w:szCs w:val="24"/>
          <w:u w:color="000000"/>
        </w:rPr>
        <w:t>Accès à un avocat</w:t>
      </w:r>
    </w:p>
    <w:p w:rsidR="007B0949" w:rsidRPr="009557F3" w:rsidRDefault="007B0949" w:rsidP="007B0949">
      <w:pPr>
        <w:pStyle w:val="Body"/>
        <w:spacing w:before="120" w:after="240"/>
        <w:ind w:left="540"/>
        <w:rPr>
          <w:rFonts w:ascii="Arial" w:eastAsia="Arial" w:hAnsi="Arial" w:cs="Arial"/>
          <w:sz w:val="24"/>
          <w:szCs w:val="24"/>
          <w:u w:color="000000"/>
        </w:rPr>
      </w:pPr>
      <w:r>
        <w:rPr>
          <w:rFonts w:ascii="Arial" w:hAnsi="Arial"/>
          <w:sz w:val="24"/>
          <w:szCs w:val="24"/>
          <w:u w:color="000000"/>
        </w:rPr>
        <w:t xml:space="preserve">Les dispositions ont été mises à jour et élargies pour couvrir non seulement la détention avant le procès et les procédures pénales, mais aussi les exigences relatives aux avocats de manière plus approfondie en fonction des principes et des lignes directrices de l’ONU de 2012 sur </w:t>
      </w:r>
      <w:r w:rsidR="009717E3">
        <w:rPr>
          <w:rFonts w:ascii="Arial" w:hAnsi="Arial"/>
          <w:sz w:val="24"/>
          <w:szCs w:val="24"/>
          <w:u w:color="000000"/>
        </w:rPr>
        <w:t>l</w:t>
      </w:r>
      <w:r w:rsidR="009717E3">
        <w:rPr>
          <w:rFonts w:ascii="Arial" w:hAnsi="Arial"/>
          <w:sz w:val="24"/>
          <w:szCs w:val="24"/>
        </w:rPr>
        <w:t>’</w:t>
      </w:r>
      <w:r w:rsidR="009717E3">
        <w:rPr>
          <w:rFonts w:ascii="Arial" w:hAnsi="Arial"/>
          <w:sz w:val="24"/>
          <w:szCs w:val="24"/>
          <w:u w:color="000000"/>
        </w:rPr>
        <w:t xml:space="preserve">aide </w:t>
      </w:r>
      <w:r>
        <w:rPr>
          <w:rFonts w:ascii="Arial" w:hAnsi="Arial"/>
          <w:sz w:val="24"/>
          <w:szCs w:val="24"/>
          <w:u w:color="000000"/>
        </w:rPr>
        <w:t>juridique. Les Règles indiquent également que les prisonniers sont autorisés à conserver en leur possession leurs documents relatifs à leurs procédures judiciaires.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 xml:space="preserve">Accès à des avocats ou à de </w:t>
      </w:r>
      <w:r w:rsidR="009717E3">
        <w:rPr>
          <w:rFonts w:ascii="Arial" w:hAnsi="Arial"/>
          <w:i/>
          <w:sz w:val="24"/>
          <w:szCs w:val="24"/>
          <w:u w:color="00B050"/>
        </w:rPr>
        <w:t xml:space="preserve">l’aide </w:t>
      </w:r>
      <w:r>
        <w:rPr>
          <w:rFonts w:ascii="Arial" w:hAnsi="Arial"/>
          <w:i/>
          <w:sz w:val="24"/>
          <w:szCs w:val="24"/>
          <w:u w:color="00B050"/>
        </w:rPr>
        <w:t>juridique</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Les prisonniers sont autorisés à conserver en leur possession leurs documents juridiques.</w:t>
      </w:r>
    </w:p>
    <w:p w:rsidR="007B0949" w:rsidRPr="009557F3" w:rsidRDefault="007B0949" w:rsidP="004A55CD">
      <w:pPr>
        <w:pStyle w:val="Body"/>
        <w:keepNext/>
        <w:numPr>
          <w:ilvl w:val="1"/>
          <w:numId w:val="8"/>
        </w:numPr>
        <w:spacing w:before="120" w:after="240"/>
        <w:ind w:left="907"/>
        <w:rPr>
          <w:rFonts w:ascii="Arial" w:eastAsia="Arial" w:hAnsi="Arial" w:cs="Arial"/>
          <w:b/>
          <w:bCs/>
          <w:sz w:val="24"/>
          <w:szCs w:val="24"/>
          <w:u w:color="000000"/>
        </w:rPr>
      </w:pPr>
      <w:r>
        <w:rPr>
          <w:rFonts w:ascii="Arial" w:hAnsi="Arial"/>
          <w:b/>
          <w:bCs/>
          <w:sz w:val="24"/>
          <w:szCs w:val="24"/>
          <w:u w:color="000000"/>
        </w:rPr>
        <w:lastRenderedPageBreak/>
        <w:t>Plaintes et inspection indépendante</w:t>
      </w:r>
    </w:p>
    <w:p w:rsidR="007B0949" w:rsidRPr="009557F3" w:rsidRDefault="007B0949" w:rsidP="007B0949">
      <w:pPr>
        <w:pStyle w:val="Body"/>
        <w:spacing w:before="120" w:after="240"/>
        <w:ind w:left="540"/>
        <w:rPr>
          <w:rFonts w:ascii="Arial" w:eastAsia="Arial" w:hAnsi="Arial" w:cs="Arial"/>
          <w:sz w:val="24"/>
          <w:szCs w:val="24"/>
          <w:u w:color="000000"/>
        </w:rPr>
      </w:pPr>
      <w:r>
        <w:rPr>
          <w:rFonts w:ascii="Arial" w:hAnsi="Arial"/>
          <w:sz w:val="24"/>
          <w:szCs w:val="24"/>
          <w:u w:color="000000"/>
        </w:rPr>
        <w:t>Les dispositions relatives à l’information concernant les prisonniers et à l’accès aux mécanismes de plainte ont été mises à jour, ainsi que la protection contre les représailles, l’intimidation ou d’autres conséquences négatives à la suite d’une plainte. Les incidences du contrôle externe ont été reconnues, et l’exigence d’un double système d’inspections régulières, internes et effectuées par un organisme indépendant, a été adoptée. Les règles révisées précisent les pouvoirs des inspecteurs et exigent des rapports d’inspection écrits; on y encourage également la publication de ces rapports.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Division des recours des délinquants</w:t>
      </w:r>
    </w:p>
    <w:p w:rsidR="007B0949" w:rsidRPr="009557F3" w:rsidRDefault="007B0949" w:rsidP="007B0949">
      <w:pPr>
        <w:pStyle w:val="ListParagraph"/>
        <w:numPr>
          <w:ilvl w:val="1"/>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rPr>
        <w:t>Mission :</w:t>
      </w:r>
      <w:r>
        <w:rPr>
          <w:rFonts w:ascii="Arial" w:hAnsi="Arial"/>
          <w:i/>
          <w:sz w:val="24"/>
          <w:szCs w:val="24"/>
          <w:u w:color="00B050"/>
        </w:rPr>
        <w:t xml:space="preserve"> Appuyer le respect de la primauté du droit et des droits des délinquants en assurant un accès rapide à un mécanisme de recours juste et efficace et en recommandant des mesures correctives dans les cas de mauvais traitement ou d’injustice. Veiller à ce que les problèmes, les préoccupations et les attentes des délinquants soient portés à l’attention des gestionnaires fonctionnels et hiérarchiques du Service en fournissant des renseignements sur les tendances et des questions précises, établis à la lumière des griefs déposés par les délinquants.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 xml:space="preserve">Bureau de l’enquêteur correctionnel indépendant </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Le SCC peut faire l’objet d’une enquête par le vérificateur général du Canada</w:t>
      </w:r>
    </w:p>
    <w:p w:rsidR="007B0949" w:rsidRPr="009557F3" w:rsidRDefault="007B0949" w:rsidP="007B0949">
      <w:pPr>
        <w:pStyle w:val="Body"/>
        <w:numPr>
          <w:ilvl w:val="1"/>
          <w:numId w:val="8"/>
        </w:numPr>
        <w:spacing w:before="120" w:after="240"/>
        <w:ind w:left="900"/>
        <w:rPr>
          <w:rFonts w:ascii="Arial" w:eastAsia="Arial" w:hAnsi="Arial" w:cs="Arial"/>
          <w:b/>
          <w:bCs/>
          <w:sz w:val="24"/>
          <w:szCs w:val="24"/>
          <w:u w:color="000000"/>
        </w:rPr>
      </w:pPr>
      <w:r>
        <w:rPr>
          <w:rFonts w:ascii="Arial" w:hAnsi="Arial"/>
          <w:b/>
          <w:bCs/>
          <w:sz w:val="24"/>
          <w:szCs w:val="24"/>
          <w:u w:color="000000"/>
        </w:rPr>
        <w:t>Formation du personnel</w:t>
      </w:r>
    </w:p>
    <w:p w:rsidR="007B0949" w:rsidRPr="009557F3" w:rsidRDefault="007B0949" w:rsidP="007B0949">
      <w:pPr>
        <w:pStyle w:val="Body"/>
        <w:spacing w:before="120" w:after="240"/>
        <w:ind w:left="540"/>
        <w:rPr>
          <w:rFonts w:ascii="Arial" w:eastAsia="Arial" w:hAnsi="Arial" w:cs="Arial"/>
          <w:sz w:val="24"/>
          <w:szCs w:val="24"/>
          <w:u w:color="000000"/>
        </w:rPr>
      </w:pPr>
      <w:r>
        <w:rPr>
          <w:rFonts w:ascii="Arial" w:hAnsi="Arial"/>
          <w:sz w:val="24"/>
          <w:szCs w:val="24"/>
          <w:u w:color="000000"/>
        </w:rPr>
        <w:t xml:space="preserve">Les dispositions sur la formation ont été mises à jour afin de clarifier la nécessité d’une formation destinée au personnel avant son entrée en service, ainsi que d’une formation continue en cours d’emploi, qui devraient toutes deux refléter les pratiques exemplaires contemporaines fondées sur des données probantes. Dans la liste des exigences en matière de formation, figurent la sécurité et la sûreté, le concept de sécurité dynamique, l’utilisation de la force et </w:t>
      </w:r>
      <w:bookmarkStart w:id="0" w:name="_GoBack"/>
      <w:r w:rsidR="00670056">
        <w:rPr>
          <w:rFonts w:ascii="Arial" w:hAnsi="Arial"/>
          <w:sz w:val="24"/>
          <w:szCs w:val="24"/>
          <w:u w:color="000000"/>
        </w:rPr>
        <w:t>d</w:t>
      </w:r>
      <w:r>
        <w:rPr>
          <w:rFonts w:ascii="Arial" w:hAnsi="Arial"/>
          <w:sz w:val="24"/>
          <w:szCs w:val="24"/>
          <w:u w:color="000000"/>
        </w:rPr>
        <w:t xml:space="preserve">es instruments de </w:t>
      </w:r>
      <w:r w:rsidR="006654AA">
        <w:rPr>
          <w:rFonts w:ascii="Arial" w:hAnsi="Arial"/>
          <w:sz w:val="24"/>
          <w:szCs w:val="24"/>
          <w:u w:color="000000"/>
        </w:rPr>
        <w:t>contrainte</w:t>
      </w:r>
      <w:bookmarkEnd w:id="0"/>
      <w:r>
        <w:rPr>
          <w:rFonts w:ascii="Arial" w:hAnsi="Arial"/>
          <w:sz w:val="24"/>
          <w:szCs w:val="24"/>
          <w:u w:color="000000"/>
        </w:rPr>
        <w:t>, ainsi que la gestion des délinquants violents, en tenant compte des techniques de prévention et de désamorçage.</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Normes nationales de formation</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 xml:space="preserve">Programme de formation correctionnelle </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Programme d’orientation des nouveaux employés</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Formation initiale des agents de libération conditionnelle</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t xml:space="preserve">Formation spécialisée pour des postes précis, par exemple pour l’équipe d’intervention en cas d’urgence institutionnelle, la formation axée sur les femmes, la gestion de crise </w:t>
      </w:r>
    </w:p>
    <w:p w:rsidR="007B0949" w:rsidRPr="009557F3" w:rsidRDefault="007B0949" w:rsidP="007B0949">
      <w:pPr>
        <w:pStyle w:val="ListParagraph"/>
        <w:numPr>
          <w:ilvl w:val="0"/>
          <w:numId w:val="18"/>
        </w:numPr>
        <w:pBdr>
          <w:top w:val="nil"/>
          <w:left w:val="nil"/>
          <w:bottom w:val="nil"/>
          <w:right w:val="nil"/>
          <w:between w:val="nil"/>
          <w:bar w:val="nil"/>
        </w:pBdr>
        <w:spacing w:before="120" w:after="240"/>
        <w:rPr>
          <w:rFonts w:ascii="Arial" w:hAnsi="Arial" w:cs="Arial"/>
          <w:i/>
          <w:sz w:val="24"/>
          <w:szCs w:val="24"/>
          <w:u w:color="00B050"/>
        </w:rPr>
      </w:pPr>
      <w:r>
        <w:rPr>
          <w:rFonts w:ascii="Arial" w:hAnsi="Arial"/>
          <w:i/>
          <w:sz w:val="24"/>
          <w:szCs w:val="24"/>
          <w:u w:color="00B050"/>
        </w:rPr>
        <w:lastRenderedPageBreak/>
        <w:t>Programme de perfectionnement en leadership</w:t>
      </w:r>
    </w:p>
    <w:p w:rsidR="007B0949" w:rsidRPr="009557F3" w:rsidRDefault="007B0949" w:rsidP="007B0949">
      <w:pPr>
        <w:spacing w:before="120" w:after="240"/>
        <w:rPr>
          <w:rFonts w:ascii="Arial" w:hAnsi="Arial" w:cs="Arial"/>
          <w:sz w:val="24"/>
          <w:szCs w:val="24"/>
        </w:rPr>
      </w:pPr>
    </w:p>
    <w:p w:rsidR="001876F5" w:rsidRPr="009557F3" w:rsidRDefault="00F547DE" w:rsidP="007B0949">
      <w:pPr>
        <w:keepNext/>
        <w:spacing w:before="120" w:after="240"/>
        <w:ind w:left="540"/>
        <w:rPr>
          <w:rFonts w:ascii="Arial" w:hAnsi="Arial" w:cs="Arial"/>
          <w:i/>
          <w:sz w:val="24"/>
          <w:szCs w:val="24"/>
          <w:u w:color="00B050"/>
        </w:rPr>
      </w:pPr>
      <w:r>
        <w:rPr>
          <w:rFonts w:ascii="Arial" w:hAnsi="Arial"/>
          <w:sz w:val="24"/>
          <w:szCs w:val="24"/>
        </w:rPr>
        <w:t xml:space="preserve"> </w:t>
      </w:r>
    </w:p>
    <w:p w:rsidR="008B31A9" w:rsidRPr="009557F3" w:rsidRDefault="008B31A9" w:rsidP="008A3A16">
      <w:pPr>
        <w:spacing w:before="120" w:after="240"/>
        <w:rPr>
          <w:rFonts w:ascii="Arial" w:hAnsi="Arial" w:cs="Arial"/>
          <w:sz w:val="24"/>
          <w:szCs w:val="24"/>
        </w:rPr>
      </w:pPr>
    </w:p>
    <w:sectPr w:rsidR="008B31A9" w:rsidRPr="009557F3" w:rsidSect="007B094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C12" w:rsidRDefault="00883C12" w:rsidP="005904EC">
      <w:pPr>
        <w:spacing w:after="0" w:line="240" w:lineRule="auto"/>
      </w:pPr>
      <w:r>
        <w:separator/>
      </w:r>
    </w:p>
  </w:endnote>
  <w:endnote w:type="continuationSeparator" w:id="0">
    <w:p w:rsidR="00883C12" w:rsidRDefault="00883C12" w:rsidP="0059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4253291"/>
      <w:docPartObj>
        <w:docPartGallery w:val="Page Numbers (Bottom of Page)"/>
        <w:docPartUnique/>
      </w:docPartObj>
    </w:sdtPr>
    <w:sdtEndPr>
      <w:rPr>
        <w:noProof/>
      </w:rPr>
    </w:sdtEndPr>
    <w:sdtContent>
      <w:p w:rsidR="005904EC" w:rsidRDefault="005904EC">
        <w:pPr>
          <w:pStyle w:val="Footer"/>
          <w:jc w:val="right"/>
        </w:pPr>
        <w:r>
          <w:fldChar w:fldCharType="begin"/>
        </w:r>
        <w:r>
          <w:instrText xml:space="preserve"> PAGE   \* MERGEFORMAT </w:instrText>
        </w:r>
        <w:r>
          <w:fldChar w:fldCharType="separate"/>
        </w:r>
        <w:r w:rsidR="00670056">
          <w:rPr>
            <w:noProof/>
          </w:rPr>
          <w:t>19</w:t>
        </w:r>
        <w:r>
          <w:fldChar w:fldCharType="end"/>
        </w:r>
      </w:p>
    </w:sdtContent>
  </w:sdt>
  <w:p w:rsidR="005904EC" w:rsidRDefault="005904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C12" w:rsidRDefault="00883C12" w:rsidP="005904EC">
      <w:pPr>
        <w:spacing w:after="0" w:line="240" w:lineRule="auto"/>
      </w:pPr>
      <w:r>
        <w:separator/>
      </w:r>
    </w:p>
  </w:footnote>
  <w:footnote w:type="continuationSeparator" w:id="0">
    <w:p w:rsidR="00883C12" w:rsidRDefault="00883C12" w:rsidP="005904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E5003"/>
    <w:multiLevelType w:val="hybridMultilevel"/>
    <w:tmpl w:val="AB8ED15C"/>
    <w:lvl w:ilvl="0" w:tplc="2D0ED87A">
      <w:start w:val="6"/>
      <w:numFmt w:val="bullet"/>
      <w:lvlText w:val=""/>
      <w:lvlJc w:val="left"/>
      <w:pPr>
        <w:ind w:left="90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F6316"/>
    <w:multiLevelType w:val="hybridMultilevel"/>
    <w:tmpl w:val="2C6A4156"/>
    <w:styleLink w:val="ImportedStyle4"/>
    <w:lvl w:ilvl="0" w:tplc="ECE0DE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8CE630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AEC6EA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5470D94C">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B11042F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D4695AC">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94504B9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9F44506">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F268B1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2BB6D8A"/>
    <w:multiLevelType w:val="hybridMultilevel"/>
    <w:tmpl w:val="30D4AA08"/>
    <w:lvl w:ilvl="0" w:tplc="C6FC685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3A74152"/>
    <w:multiLevelType w:val="multilevel"/>
    <w:tmpl w:val="30348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D145B"/>
    <w:multiLevelType w:val="hybridMultilevel"/>
    <w:tmpl w:val="57665DB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093327EB"/>
    <w:multiLevelType w:val="hybridMultilevel"/>
    <w:tmpl w:val="FCCCBB36"/>
    <w:lvl w:ilvl="0" w:tplc="04090001">
      <w:start w:val="1"/>
      <w:numFmt w:val="bullet"/>
      <w:lvlText w:val=""/>
      <w:lvlJc w:val="left"/>
      <w:pPr>
        <w:ind w:left="900" w:hanging="360"/>
      </w:pPr>
      <w:rPr>
        <w:rFonts w:ascii="Symbol" w:hAnsi="Symbol" w:hint="default"/>
      </w:rPr>
    </w:lvl>
    <w:lvl w:ilvl="1" w:tplc="9E3CE856">
      <w:start w:val="6"/>
      <w:numFmt w:val="bullet"/>
      <w:lvlText w:val="•"/>
      <w:lvlJc w:val="left"/>
      <w:pPr>
        <w:ind w:left="1620" w:hanging="360"/>
      </w:pPr>
      <w:rPr>
        <w:rFonts w:ascii="Arial" w:eastAsiaTheme="minorHAnsi" w:hAnsi="Arial" w:cs="Aria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0A8D62D7"/>
    <w:multiLevelType w:val="hybridMultilevel"/>
    <w:tmpl w:val="4DA40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CA1192"/>
    <w:multiLevelType w:val="hybridMultilevel"/>
    <w:tmpl w:val="7C762E2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0F777B3D"/>
    <w:multiLevelType w:val="hybridMultilevel"/>
    <w:tmpl w:val="3B78E93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19F2462"/>
    <w:multiLevelType w:val="hybridMultilevel"/>
    <w:tmpl w:val="5E1EF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381A52"/>
    <w:multiLevelType w:val="hybridMultilevel"/>
    <w:tmpl w:val="CDFE2AA4"/>
    <w:lvl w:ilvl="0" w:tplc="DDA830AE">
      <w:start w:val="1"/>
      <w:numFmt w:val="decimal"/>
      <w:lvlText w:val="%1."/>
      <w:lvlJc w:val="left"/>
      <w:pPr>
        <w:ind w:left="1980" w:hanging="90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135F48BF"/>
    <w:multiLevelType w:val="hybridMultilevel"/>
    <w:tmpl w:val="1B90C7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89704D"/>
    <w:multiLevelType w:val="hybridMultilevel"/>
    <w:tmpl w:val="2000E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873CA3"/>
    <w:multiLevelType w:val="hybridMultilevel"/>
    <w:tmpl w:val="F0BCF5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B471E95"/>
    <w:multiLevelType w:val="multilevel"/>
    <w:tmpl w:val="CD2465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69470D"/>
    <w:multiLevelType w:val="hybridMultilevel"/>
    <w:tmpl w:val="1F323EFA"/>
    <w:lvl w:ilvl="0" w:tplc="8B88600A">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8F5428"/>
    <w:multiLevelType w:val="hybridMultilevel"/>
    <w:tmpl w:val="B4E0A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AF3CBA"/>
    <w:multiLevelType w:val="hybridMultilevel"/>
    <w:tmpl w:val="0ED0B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C0078C"/>
    <w:multiLevelType w:val="hybridMultilevel"/>
    <w:tmpl w:val="2AEE3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602B69"/>
    <w:multiLevelType w:val="multilevel"/>
    <w:tmpl w:val="38F2E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5D2324"/>
    <w:multiLevelType w:val="hybridMultilevel"/>
    <w:tmpl w:val="BB089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2F13D0"/>
    <w:multiLevelType w:val="hybridMultilevel"/>
    <w:tmpl w:val="9DAEC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EE6C88"/>
    <w:multiLevelType w:val="hybridMultilevel"/>
    <w:tmpl w:val="E048EE22"/>
    <w:lvl w:ilvl="0" w:tplc="0409000F">
      <w:start w:val="1"/>
      <w:numFmt w:val="decimal"/>
      <w:lvlText w:val="%1."/>
      <w:lvlJc w:val="left"/>
      <w:pPr>
        <w:ind w:left="360" w:hanging="360"/>
      </w:p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EE640C5"/>
    <w:multiLevelType w:val="hybridMultilevel"/>
    <w:tmpl w:val="04D26818"/>
    <w:lvl w:ilvl="0" w:tplc="0412A874">
      <w:start w:val="1"/>
      <w:numFmt w:val="bullet"/>
      <w:lvlText w:val="o"/>
      <w:lvlJc w:val="left"/>
      <w:pPr>
        <w:ind w:left="9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24" w15:restartNumberingAfterBreak="0">
    <w:nsid w:val="44704021"/>
    <w:multiLevelType w:val="hybridMultilevel"/>
    <w:tmpl w:val="C108F4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934B24"/>
    <w:multiLevelType w:val="hybridMultilevel"/>
    <w:tmpl w:val="EF6ED460"/>
    <w:lvl w:ilvl="0" w:tplc="DDA830AE">
      <w:start w:val="1"/>
      <w:numFmt w:val="decimal"/>
      <w:lvlText w:val="%1."/>
      <w:lvlJc w:val="left"/>
      <w:pPr>
        <w:ind w:left="1440" w:hanging="90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46AE4F39"/>
    <w:multiLevelType w:val="hybridMultilevel"/>
    <w:tmpl w:val="06BA5F5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4BC161AD"/>
    <w:multiLevelType w:val="hybridMultilevel"/>
    <w:tmpl w:val="51CA3974"/>
    <w:lvl w:ilvl="0" w:tplc="2D0ED87A">
      <w:start w:val="6"/>
      <w:numFmt w:val="bullet"/>
      <w:lvlText w:val=""/>
      <w:lvlJc w:val="left"/>
      <w:pPr>
        <w:ind w:left="900" w:hanging="360"/>
      </w:pPr>
      <w:rPr>
        <w:rFonts w:ascii="Symbol" w:eastAsiaTheme="minorHAnsi" w:hAnsi="Symbo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4E066EF7"/>
    <w:multiLevelType w:val="hybridMultilevel"/>
    <w:tmpl w:val="B18E0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EA0AD5"/>
    <w:multiLevelType w:val="hybridMultilevel"/>
    <w:tmpl w:val="2C6A4156"/>
    <w:numStyleLink w:val="ImportedStyle4"/>
  </w:abstractNum>
  <w:abstractNum w:abstractNumId="30" w15:restartNumberingAfterBreak="0">
    <w:nsid w:val="55E61CD0"/>
    <w:multiLevelType w:val="hybridMultilevel"/>
    <w:tmpl w:val="39FCF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D719E9"/>
    <w:multiLevelType w:val="hybridMultilevel"/>
    <w:tmpl w:val="8098D744"/>
    <w:lvl w:ilvl="0" w:tplc="DDA830AE">
      <w:start w:val="1"/>
      <w:numFmt w:val="decimal"/>
      <w:lvlText w:val="%1."/>
      <w:lvlJc w:val="left"/>
      <w:pPr>
        <w:ind w:left="1080" w:hanging="90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4A467E"/>
    <w:multiLevelType w:val="hybridMultilevel"/>
    <w:tmpl w:val="2B8E2B6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15:restartNumberingAfterBreak="0">
    <w:nsid w:val="59F2673B"/>
    <w:multiLevelType w:val="hybridMultilevel"/>
    <w:tmpl w:val="42AAE14C"/>
    <w:lvl w:ilvl="0" w:tplc="04090001">
      <w:start w:val="1"/>
      <w:numFmt w:val="bullet"/>
      <w:lvlText w:val=""/>
      <w:lvlJc w:val="left"/>
      <w:pPr>
        <w:ind w:left="144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5A6B55"/>
    <w:multiLevelType w:val="hybridMultilevel"/>
    <w:tmpl w:val="E13073FE"/>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5" w15:restartNumberingAfterBreak="0">
    <w:nsid w:val="658977A2"/>
    <w:multiLevelType w:val="hybridMultilevel"/>
    <w:tmpl w:val="8BD88420"/>
    <w:lvl w:ilvl="0" w:tplc="040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CD175A"/>
    <w:multiLevelType w:val="hybridMultilevel"/>
    <w:tmpl w:val="351E24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7" w15:restartNumberingAfterBreak="0">
    <w:nsid w:val="695B086C"/>
    <w:multiLevelType w:val="hybridMultilevel"/>
    <w:tmpl w:val="8EE8D9B4"/>
    <w:lvl w:ilvl="0" w:tplc="0BA62FEC">
      <w:start w:val="1"/>
      <w:numFmt w:val="decimal"/>
      <w:lvlText w:val="%1."/>
      <w:lvlJc w:val="left"/>
      <w:pPr>
        <w:ind w:left="360" w:hanging="360"/>
      </w:pPr>
      <w:rPr>
        <w:rFonts w:hint="default"/>
        <w:sz w:val="24"/>
      </w:rPr>
    </w:lvl>
    <w:lvl w:ilvl="1" w:tplc="04090011">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971674A"/>
    <w:multiLevelType w:val="hybridMultilevel"/>
    <w:tmpl w:val="C380B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8D6AAF"/>
    <w:multiLevelType w:val="hybridMultilevel"/>
    <w:tmpl w:val="1D685E66"/>
    <w:lvl w:ilvl="0" w:tplc="2D0ED87A">
      <w:start w:val="6"/>
      <w:numFmt w:val="bullet"/>
      <w:lvlText w:val=""/>
      <w:lvlJc w:val="left"/>
      <w:pPr>
        <w:ind w:left="90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C52546"/>
    <w:multiLevelType w:val="hybridMultilevel"/>
    <w:tmpl w:val="60B09DE8"/>
    <w:lvl w:ilvl="0" w:tplc="C6FC685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D4F3DCE"/>
    <w:multiLevelType w:val="hybridMultilevel"/>
    <w:tmpl w:val="7CECF5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2" w15:restartNumberingAfterBreak="0">
    <w:nsid w:val="70216983"/>
    <w:multiLevelType w:val="hybridMultilevel"/>
    <w:tmpl w:val="4AA4DA96"/>
    <w:lvl w:ilvl="0" w:tplc="C6FC685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61D09EB"/>
    <w:multiLevelType w:val="hybridMultilevel"/>
    <w:tmpl w:val="7FDCB794"/>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start w:val="1"/>
      <w:numFmt w:val="bullet"/>
      <w:lvlText w:val=""/>
      <w:lvlJc w:val="left"/>
      <w:pPr>
        <w:ind w:left="2940" w:hanging="360"/>
      </w:pPr>
      <w:rPr>
        <w:rFonts w:ascii="Symbol" w:hAnsi="Symbol" w:hint="default"/>
      </w:rPr>
    </w:lvl>
    <w:lvl w:ilvl="4" w:tplc="10090003">
      <w:start w:val="1"/>
      <w:numFmt w:val="bullet"/>
      <w:lvlText w:val="o"/>
      <w:lvlJc w:val="left"/>
      <w:pPr>
        <w:ind w:left="3660" w:hanging="360"/>
      </w:pPr>
      <w:rPr>
        <w:rFonts w:ascii="Courier New" w:hAnsi="Courier New" w:cs="Courier New" w:hint="default"/>
      </w:rPr>
    </w:lvl>
    <w:lvl w:ilvl="5" w:tplc="10090005">
      <w:start w:val="1"/>
      <w:numFmt w:val="bullet"/>
      <w:lvlText w:val=""/>
      <w:lvlJc w:val="left"/>
      <w:pPr>
        <w:ind w:left="4380" w:hanging="360"/>
      </w:pPr>
      <w:rPr>
        <w:rFonts w:ascii="Wingdings" w:hAnsi="Wingdings" w:hint="default"/>
      </w:rPr>
    </w:lvl>
    <w:lvl w:ilvl="6" w:tplc="10090001">
      <w:start w:val="1"/>
      <w:numFmt w:val="bullet"/>
      <w:lvlText w:val=""/>
      <w:lvlJc w:val="left"/>
      <w:pPr>
        <w:ind w:left="5100" w:hanging="360"/>
      </w:pPr>
      <w:rPr>
        <w:rFonts w:ascii="Symbol" w:hAnsi="Symbol" w:hint="default"/>
      </w:rPr>
    </w:lvl>
    <w:lvl w:ilvl="7" w:tplc="10090003">
      <w:start w:val="1"/>
      <w:numFmt w:val="bullet"/>
      <w:lvlText w:val="o"/>
      <w:lvlJc w:val="left"/>
      <w:pPr>
        <w:ind w:left="5820" w:hanging="360"/>
      </w:pPr>
      <w:rPr>
        <w:rFonts w:ascii="Courier New" w:hAnsi="Courier New" w:cs="Courier New" w:hint="default"/>
      </w:rPr>
    </w:lvl>
    <w:lvl w:ilvl="8" w:tplc="10090005">
      <w:start w:val="1"/>
      <w:numFmt w:val="bullet"/>
      <w:lvlText w:val=""/>
      <w:lvlJc w:val="left"/>
      <w:pPr>
        <w:ind w:left="6540" w:hanging="360"/>
      </w:pPr>
      <w:rPr>
        <w:rFonts w:ascii="Wingdings" w:hAnsi="Wingdings" w:hint="default"/>
      </w:rPr>
    </w:lvl>
  </w:abstractNum>
  <w:num w:numId="1">
    <w:abstractNumId w:val="11"/>
  </w:num>
  <w:num w:numId="2">
    <w:abstractNumId w:val="24"/>
  </w:num>
  <w:num w:numId="3">
    <w:abstractNumId w:val="20"/>
  </w:num>
  <w:num w:numId="4">
    <w:abstractNumId w:val="28"/>
  </w:num>
  <w:num w:numId="5">
    <w:abstractNumId w:val="1"/>
  </w:num>
  <w:num w:numId="6">
    <w:abstractNumId w:val="29"/>
  </w:num>
  <w:num w:numId="7">
    <w:abstractNumId w:val="16"/>
  </w:num>
  <w:num w:numId="8">
    <w:abstractNumId w:val="22"/>
  </w:num>
  <w:num w:numId="9">
    <w:abstractNumId w:val="36"/>
  </w:num>
  <w:num w:numId="10">
    <w:abstractNumId w:val="43"/>
  </w:num>
  <w:num w:numId="11">
    <w:abstractNumId w:val="41"/>
  </w:num>
  <w:num w:numId="12">
    <w:abstractNumId w:val="38"/>
  </w:num>
  <w:num w:numId="13">
    <w:abstractNumId w:val="19"/>
  </w:num>
  <w:num w:numId="14">
    <w:abstractNumId w:val="14"/>
  </w:num>
  <w:num w:numId="15">
    <w:abstractNumId w:val="3"/>
  </w:num>
  <w:num w:numId="16">
    <w:abstractNumId w:val="15"/>
  </w:num>
  <w:num w:numId="17">
    <w:abstractNumId w:val="30"/>
  </w:num>
  <w:num w:numId="18">
    <w:abstractNumId w:val="34"/>
  </w:num>
  <w:num w:numId="19">
    <w:abstractNumId w:val="13"/>
  </w:num>
  <w:num w:numId="20">
    <w:abstractNumId w:val="21"/>
  </w:num>
  <w:num w:numId="21">
    <w:abstractNumId w:val="6"/>
  </w:num>
  <w:num w:numId="22">
    <w:abstractNumId w:val="42"/>
  </w:num>
  <w:num w:numId="23">
    <w:abstractNumId w:val="40"/>
  </w:num>
  <w:num w:numId="24">
    <w:abstractNumId w:val="2"/>
  </w:num>
  <w:num w:numId="25">
    <w:abstractNumId w:val="35"/>
  </w:num>
  <w:num w:numId="26">
    <w:abstractNumId w:val="22"/>
    <w:lvlOverride w:ilvl="0">
      <w:lvl w:ilvl="0" w:tplc="0409000F">
        <w:start w:val="1"/>
        <w:numFmt w:val="decimal"/>
        <w:lvlText w:val="%1."/>
        <w:lvlJc w:val="left"/>
        <w:pPr>
          <w:ind w:left="360" w:hanging="360"/>
        </w:pPr>
        <w:rPr>
          <w:rFonts w:hint="default"/>
        </w:rPr>
      </w:lvl>
    </w:lvlOverride>
    <w:lvlOverride w:ilvl="1">
      <w:lvl w:ilvl="1" w:tplc="04090011"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7">
    <w:abstractNumId w:val="37"/>
  </w:num>
  <w:num w:numId="28">
    <w:abstractNumId w:val="18"/>
  </w:num>
  <w:num w:numId="29">
    <w:abstractNumId w:val="23"/>
  </w:num>
  <w:num w:numId="30">
    <w:abstractNumId w:val="33"/>
  </w:num>
  <w:num w:numId="31">
    <w:abstractNumId w:val="5"/>
  </w:num>
  <w:num w:numId="32">
    <w:abstractNumId w:val="25"/>
  </w:num>
  <w:num w:numId="33">
    <w:abstractNumId w:val="10"/>
  </w:num>
  <w:num w:numId="34">
    <w:abstractNumId w:val="31"/>
  </w:num>
  <w:num w:numId="35">
    <w:abstractNumId w:val="7"/>
  </w:num>
  <w:num w:numId="36">
    <w:abstractNumId w:val="4"/>
  </w:num>
  <w:num w:numId="37">
    <w:abstractNumId w:val="8"/>
  </w:num>
  <w:num w:numId="38">
    <w:abstractNumId w:val="27"/>
  </w:num>
  <w:num w:numId="39">
    <w:abstractNumId w:val="0"/>
  </w:num>
  <w:num w:numId="40">
    <w:abstractNumId w:val="17"/>
  </w:num>
  <w:num w:numId="41">
    <w:abstractNumId w:val="9"/>
  </w:num>
  <w:num w:numId="42">
    <w:abstractNumId w:val="12"/>
  </w:num>
  <w:num w:numId="43">
    <w:abstractNumId w:val="39"/>
  </w:num>
  <w:num w:numId="44">
    <w:abstractNumId w:val="32"/>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D10304B-9F71-42D4-896D-2DAD63B32D33}"/>
    <w:docVar w:name="dgnword-eventsink" w:val="408337048"/>
  </w:docVars>
  <w:rsids>
    <w:rsidRoot w:val="008B31A9"/>
    <w:rsid w:val="00012864"/>
    <w:rsid w:val="000137DF"/>
    <w:rsid w:val="00015717"/>
    <w:rsid w:val="00017618"/>
    <w:rsid w:val="000364A9"/>
    <w:rsid w:val="0004550E"/>
    <w:rsid w:val="000759BD"/>
    <w:rsid w:val="00090D66"/>
    <w:rsid w:val="00141694"/>
    <w:rsid w:val="0015604E"/>
    <w:rsid w:val="00165485"/>
    <w:rsid w:val="001876F5"/>
    <w:rsid w:val="00187785"/>
    <w:rsid w:val="001E357D"/>
    <w:rsid w:val="001F6B18"/>
    <w:rsid w:val="00221AC4"/>
    <w:rsid w:val="0026053A"/>
    <w:rsid w:val="00270AEC"/>
    <w:rsid w:val="00281134"/>
    <w:rsid w:val="0028556D"/>
    <w:rsid w:val="002C030E"/>
    <w:rsid w:val="002E3B18"/>
    <w:rsid w:val="002E3E55"/>
    <w:rsid w:val="003076C2"/>
    <w:rsid w:val="00332BA4"/>
    <w:rsid w:val="00340776"/>
    <w:rsid w:val="003510FC"/>
    <w:rsid w:val="003A134F"/>
    <w:rsid w:val="003A40F3"/>
    <w:rsid w:val="003A75E3"/>
    <w:rsid w:val="003C4248"/>
    <w:rsid w:val="003C68E1"/>
    <w:rsid w:val="003E65FA"/>
    <w:rsid w:val="003E6A94"/>
    <w:rsid w:val="003E714D"/>
    <w:rsid w:val="004330B6"/>
    <w:rsid w:val="00457300"/>
    <w:rsid w:val="004A55CD"/>
    <w:rsid w:val="004F0CBA"/>
    <w:rsid w:val="0052445B"/>
    <w:rsid w:val="005246FA"/>
    <w:rsid w:val="0053301B"/>
    <w:rsid w:val="0055346C"/>
    <w:rsid w:val="00576148"/>
    <w:rsid w:val="005904EC"/>
    <w:rsid w:val="005C148E"/>
    <w:rsid w:val="005E0BB4"/>
    <w:rsid w:val="00621303"/>
    <w:rsid w:val="00632CCD"/>
    <w:rsid w:val="00637E2F"/>
    <w:rsid w:val="0065252F"/>
    <w:rsid w:val="006654AA"/>
    <w:rsid w:val="00670056"/>
    <w:rsid w:val="006E453D"/>
    <w:rsid w:val="006F1645"/>
    <w:rsid w:val="006F1F7E"/>
    <w:rsid w:val="00744CCE"/>
    <w:rsid w:val="00745FB5"/>
    <w:rsid w:val="007573F8"/>
    <w:rsid w:val="007B0949"/>
    <w:rsid w:val="007B11BB"/>
    <w:rsid w:val="007B650C"/>
    <w:rsid w:val="007C45A3"/>
    <w:rsid w:val="007D4581"/>
    <w:rsid w:val="007E2778"/>
    <w:rsid w:val="008040A8"/>
    <w:rsid w:val="00820F71"/>
    <w:rsid w:val="00823B26"/>
    <w:rsid w:val="0083745B"/>
    <w:rsid w:val="00855961"/>
    <w:rsid w:val="00877A84"/>
    <w:rsid w:val="00883C12"/>
    <w:rsid w:val="00886DC0"/>
    <w:rsid w:val="008A3A16"/>
    <w:rsid w:val="008B31A9"/>
    <w:rsid w:val="008D2FD2"/>
    <w:rsid w:val="008D7C7E"/>
    <w:rsid w:val="008E4A2A"/>
    <w:rsid w:val="009557F3"/>
    <w:rsid w:val="00962CC9"/>
    <w:rsid w:val="009717E3"/>
    <w:rsid w:val="009B758A"/>
    <w:rsid w:val="009E7823"/>
    <w:rsid w:val="009F4733"/>
    <w:rsid w:val="00A0174F"/>
    <w:rsid w:val="00A11BE3"/>
    <w:rsid w:val="00A56DA2"/>
    <w:rsid w:val="00AB0CB1"/>
    <w:rsid w:val="00AB18A1"/>
    <w:rsid w:val="00AB37A8"/>
    <w:rsid w:val="00AB49E9"/>
    <w:rsid w:val="00AC1CFC"/>
    <w:rsid w:val="00AD161B"/>
    <w:rsid w:val="00B079B8"/>
    <w:rsid w:val="00B11A0E"/>
    <w:rsid w:val="00B3169F"/>
    <w:rsid w:val="00B4658C"/>
    <w:rsid w:val="00B80117"/>
    <w:rsid w:val="00BA33E0"/>
    <w:rsid w:val="00BA6098"/>
    <w:rsid w:val="00BC239F"/>
    <w:rsid w:val="00BC6ACC"/>
    <w:rsid w:val="00BD0994"/>
    <w:rsid w:val="00BE1E43"/>
    <w:rsid w:val="00C2446E"/>
    <w:rsid w:val="00C42B03"/>
    <w:rsid w:val="00C53BA9"/>
    <w:rsid w:val="00C544A0"/>
    <w:rsid w:val="00C660DE"/>
    <w:rsid w:val="00C862C2"/>
    <w:rsid w:val="00C90F77"/>
    <w:rsid w:val="00CB5B9D"/>
    <w:rsid w:val="00CB5F37"/>
    <w:rsid w:val="00D01FE7"/>
    <w:rsid w:val="00D304EE"/>
    <w:rsid w:val="00D56464"/>
    <w:rsid w:val="00D76E57"/>
    <w:rsid w:val="00D959DC"/>
    <w:rsid w:val="00DD1B33"/>
    <w:rsid w:val="00DD66C8"/>
    <w:rsid w:val="00E41621"/>
    <w:rsid w:val="00E6069F"/>
    <w:rsid w:val="00ED5208"/>
    <w:rsid w:val="00ED7BE0"/>
    <w:rsid w:val="00F077B6"/>
    <w:rsid w:val="00F14D0B"/>
    <w:rsid w:val="00F22C1D"/>
    <w:rsid w:val="00F4612B"/>
    <w:rsid w:val="00F547DE"/>
    <w:rsid w:val="00F551CC"/>
    <w:rsid w:val="00F61ECD"/>
    <w:rsid w:val="00FD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F944CF-A844-40F7-B2D6-F708C53EE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1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bullets"/>
    <w:basedOn w:val="Normal"/>
    <w:link w:val="ListParagraphChar"/>
    <w:uiPriority w:val="34"/>
    <w:qFormat/>
    <w:rsid w:val="008B31A9"/>
    <w:pPr>
      <w:spacing w:after="0" w:line="240" w:lineRule="auto"/>
      <w:ind w:left="720"/>
    </w:pPr>
    <w:rPr>
      <w:rFonts w:ascii="Calibri" w:hAnsi="Calibri" w:cs="Calibri"/>
    </w:rPr>
  </w:style>
  <w:style w:type="paragraph" w:styleId="NoSpacing">
    <w:name w:val="No Spacing"/>
    <w:uiPriority w:val="1"/>
    <w:qFormat/>
    <w:rsid w:val="008D2FD2"/>
    <w:pPr>
      <w:spacing w:after="0" w:line="240" w:lineRule="auto"/>
    </w:pPr>
  </w:style>
  <w:style w:type="table" w:styleId="TableGrid">
    <w:name w:val="Table Grid"/>
    <w:basedOn w:val="TableNormal"/>
    <w:uiPriority w:val="59"/>
    <w:rsid w:val="008D2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2FD2"/>
    <w:rPr>
      <w:color w:val="0563C1" w:themeColor="hyperlink"/>
      <w:u w:val="single"/>
    </w:rPr>
  </w:style>
  <w:style w:type="paragraph" w:customStyle="1" w:styleId="Body">
    <w:name w:val="Body"/>
    <w:rsid w:val="001876F5"/>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numbering" w:customStyle="1" w:styleId="ImportedStyle4">
    <w:name w:val="Imported Style 4"/>
    <w:rsid w:val="001876F5"/>
    <w:pPr>
      <w:numPr>
        <w:numId w:val="5"/>
      </w:numPr>
    </w:pPr>
  </w:style>
  <w:style w:type="paragraph" w:styleId="PlainText">
    <w:name w:val="Plain Text"/>
    <w:basedOn w:val="Normal"/>
    <w:link w:val="PlainTextChar"/>
    <w:uiPriority w:val="99"/>
    <w:semiHidden/>
    <w:unhideWhenUsed/>
    <w:rsid w:val="00745FB5"/>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745FB5"/>
    <w:rPr>
      <w:rFonts w:ascii="Calibri" w:hAnsi="Calibri"/>
      <w:szCs w:val="21"/>
    </w:rPr>
  </w:style>
  <w:style w:type="character" w:customStyle="1" w:styleId="ListParagraphChar">
    <w:name w:val="List Paragraph Char"/>
    <w:aliases w:val="table bullets Char"/>
    <w:basedOn w:val="DefaultParagraphFont"/>
    <w:link w:val="ListParagraph"/>
    <w:uiPriority w:val="34"/>
    <w:qFormat/>
    <w:locked/>
    <w:rsid w:val="00A0174F"/>
    <w:rPr>
      <w:rFonts w:ascii="Calibri" w:hAnsi="Calibri" w:cs="Calibri"/>
    </w:rPr>
  </w:style>
  <w:style w:type="paragraph" w:styleId="Header">
    <w:name w:val="header"/>
    <w:basedOn w:val="Normal"/>
    <w:link w:val="HeaderChar"/>
    <w:uiPriority w:val="99"/>
    <w:unhideWhenUsed/>
    <w:rsid w:val="005904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4EC"/>
    <w:rPr>
      <w:lang w:val="fr-CA"/>
    </w:rPr>
  </w:style>
  <w:style w:type="paragraph" w:styleId="Footer">
    <w:name w:val="footer"/>
    <w:basedOn w:val="Normal"/>
    <w:link w:val="FooterChar"/>
    <w:uiPriority w:val="99"/>
    <w:unhideWhenUsed/>
    <w:rsid w:val="00590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4EC"/>
    <w:rPr>
      <w:lang w:val="fr-CA"/>
    </w:rPr>
  </w:style>
  <w:style w:type="paragraph" w:styleId="NormalWeb">
    <w:name w:val="Normal (Web)"/>
    <w:basedOn w:val="Normal"/>
    <w:rsid w:val="007B650C"/>
    <w:pPr>
      <w:spacing w:before="100" w:beforeAutospacing="1" w:after="100" w:afterAutospacing="1" w:line="240" w:lineRule="auto"/>
    </w:pPr>
    <w:rPr>
      <w:rFonts w:ascii="Verdana" w:eastAsia="Times New Roman" w:hAnsi="Verdana" w:cs="Times New Roman"/>
      <w:sz w:val="24"/>
      <w:szCs w:val="24"/>
      <w:lang w:eastAsia="en-CA"/>
    </w:rPr>
  </w:style>
  <w:style w:type="paragraph" w:styleId="BalloonText">
    <w:name w:val="Balloon Text"/>
    <w:basedOn w:val="Normal"/>
    <w:link w:val="BalloonTextChar"/>
    <w:uiPriority w:val="99"/>
    <w:semiHidden/>
    <w:unhideWhenUsed/>
    <w:rsid w:val="000455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50E"/>
    <w:rPr>
      <w:rFonts w:ascii="Segoe UI" w:hAnsi="Segoe UI" w:cs="Segoe UI"/>
      <w:sz w:val="18"/>
      <w:szCs w:val="18"/>
    </w:rPr>
  </w:style>
  <w:style w:type="character" w:styleId="LineNumber">
    <w:name w:val="line number"/>
    <w:basedOn w:val="DefaultParagraphFont"/>
    <w:uiPriority w:val="99"/>
    <w:semiHidden/>
    <w:unhideWhenUsed/>
    <w:rsid w:val="007B0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608785">
      <w:bodyDiv w:val="1"/>
      <w:marLeft w:val="0"/>
      <w:marRight w:val="0"/>
      <w:marTop w:val="0"/>
      <w:marBottom w:val="0"/>
      <w:divBdr>
        <w:top w:val="none" w:sz="0" w:space="0" w:color="auto"/>
        <w:left w:val="none" w:sz="0" w:space="0" w:color="auto"/>
        <w:bottom w:val="none" w:sz="0" w:space="0" w:color="auto"/>
        <w:right w:val="none" w:sz="0" w:space="0" w:color="auto"/>
      </w:divBdr>
    </w:div>
    <w:div w:id="1588417398">
      <w:bodyDiv w:val="1"/>
      <w:marLeft w:val="0"/>
      <w:marRight w:val="0"/>
      <w:marTop w:val="0"/>
      <w:marBottom w:val="0"/>
      <w:divBdr>
        <w:top w:val="none" w:sz="0" w:space="0" w:color="auto"/>
        <w:left w:val="none" w:sz="0" w:space="0" w:color="auto"/>
        <w:bottom w:val="none" w:sz="0" w:space="0" w:color="auto"/>
        <w:right w:val="none" w:sz="0" w:space="0" w:color="auto"/>
      </w:divBdr>
    </w:div>
    <w:div w:id="190278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t-trp.ca/pdf/2016_Annual_Report-fra.pdf"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1F428E-6EC2-4BFA-946D-949C46DCE7AD}"/>
</file>

<file path=customXml/itemProps2.xml><?xml version="1.0" encoding="utf-8"?>
<ds:datastoreItem xmlns:ds="http://schemas.openxmlformats.org/officeDocument/2006/customXml" ds:itemID="{438AF971-5E4A-44EF-A536-CD0F52075192}"/>
</file>

<file path=customXml/itemProps3.xml><?xml version="1.0" encoding="utf-8"?>
<ds:datastoreItem xmlns:ds="http://schemas.openxmlformats.org/officeDocument/2006/customXml" ds:itemID="{BF05C5C7-6240-4A60-9FEF-7A1E743995A6}"/>
</file>

<file path=customXml/itemProps4.xml><?xml version="1.0" encoding="utf-8"?>
<ds:datastoreItem xmlns:ds="http://schemas.openxmlformats.org/officeDocument/2006/customXml" ds:itemID="{9A37F300-5103-4C41-9FF1-F80763C64427}"/>
</file>

<file path=docProps/app.xml><?xml version="1.0" encoding="utf-8"?>
<Properties xmlns="http://schemas.openxmlformats.org/officeDocument/2006/extended-properties" xmlns:vt="http://schemas.openxmlformats.org/officeDocument/2006/docPropsVTypes">
  <Template>Normal</Template>
  <TotalTime>186</TotalTime>
  <Pages>19</Pages>
  <Words>6744</Words>
  <Characters>38445</Characters>
  <Application>Microsoft Office Word</Application>
  <DocSecurity>0</DocSecurity>
  <Lines>320</Lines>
  <Paragraphs>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45099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dc:creator>
  <cp:keywords/>
  <dc:description/>
  <cp:lastModifiedBy>PCH</cp:lastModifiedBy>
  <cp:revision>4</cp:revision>
  <dcterms:created xsi:type="dcterms:W3CDTF">2017-09-15T13:03:00Z</dcterms:created>
  <dcterms:modified xsi:type="dcterms:W3CDTF">2017-09-18T18:11:00Z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