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832F0" w14:textId="77777777" w:rsidR="000641DC" w:rsidRDefault="003B714E" w:rsidP="003B714E">
      <w:pPr>
        <w:rPr>
          <w:rFonts w:ascii="Verdana" w:hAnsi="Verdana"/>
          <w:b/>
          <w:bCs/>
          <w:sz w:val="36"/>
          <w:szCs w:val="36"/>
        </w:rPr>
      </w:pPr>
      <w:bookmarkStart w:id="0" w:name="_GoBack"/>
      <w:bookmarkEnd w:id="0"/>
      <w:r w:rsidRPr="003B714E">
        <w:rPr>
          <w:rFonts w:ascii="Verdana" w:hAnsi="Verdana"/>
          <w:b/>
          <w:bCs/>
          <w:sz w:val="36"/>
          <w:szCs w:val="36"/>
        </w:rPr>
        <w:t>Opening Statement</w:t>
      </w:r>
      <w:r>
        <w:rPr>
          <w:rFonts w:ascii="Verdana" w:hAnsi="Verdana"/>
          <w:b/>
          <w:bCs/>
          <w:sz w:val="36"/>
          <w:szCs w:val="36"/>
        </w:rPr>
        <w:t xml:space="preserve"> </w:t>
      </w:r>
    </w:p>
    <w:p w14:paraId="326E5F5C" w14:textId="670631FA" w:rsidR="003B714E" w:rsidRPr="003B714E" w:rsidRDefault="003B714E" w:rsidP="003B714E">
      <w:pPr>
        <w:rPr>
          <w:rFonts w:ascii="Verdana" w:hAnsi="Verdana"/>
          <w:b/>
          <w:bCs/>
          <w:sz w:val="32"/>
          <w:szCs w:val="32"/>
        </w:rPr>
      </w:pPr>
      <w:r w:rsidRPr="003B714E">
        <w:rPr>
          <w:rFonts w:ascii="Verdana" w:hAnsi="Verdana"/>
          <w:b/>
          <w:bCs/>
          <w:sz w:val="32"/>
          <w:szCs w:val="32"/>
        </w:rPr>
        <w:t>New Zealand Aotearoa UNCRC</w:t>
      </w:r>
    </w:p>
    <w:p w14:paraId="4F4D2DFA" w14:textId="77777777" w:rsidR="003B714E" w:rsidRPr="003B714E" w:rsidRDefault="003B714E" w:rsidP="003B714E">
      <w:pPr>
        <w:rPr>
          <w:rFonts w:ascii="Verdana" w:hAnsi="Verdana"/>
          <w:b/>
          <w:bCs/>
          <w:sz w:val="28"/>
          <w:szCs w:val="28"/>
        </w:rPr>
      </w:pPr>
      <w:r w:rsidRPr="003B714E">
        <w:rPr>
          <w:rFonts w:ascii="Verdana" w:hAnsi="Verdana"/>
          <w:b/>
          <w:bCs/>
          <w:sz w:val="28"/>
          <w:szCs w:val="28"/>
        </w:rPr>
        <w:t>Introduction</w:t>
      </w:r>
    </w:p>
    <w:p w14:paraId="3B60A121" w14:textId="77777777" w:rsidR="00B80537" w:rsidRPr="00B80537" w:rsidRDefault="003B714E" w:rsidP="00B80537">
      <w:pPr>
        <w:numPr>
          <w:ilvl w:val="0"/>
          <w:numId w:val="10"/>
        </w:numPr>
        <w:rPr>
          <w:rFonts w:ascii="Verdana" w:hAnsi="Verdana"/>
          <w:sz w:val="24"/>
          <w:szCs w:val="24"/>
          <w:lang w:val="mi-NZ"/>
        </w:rPr>
      </w:pPr>
      <w:r w:rsidRPr="00B80537">
        <w:rPr>
          <w:rFonts w:ascii="Verdana" w:hAnsi="Verdana"/>
          <w:sz w:val="24"/>
          <w:szCs w:val="24"/>
          <w:lang w:val="en-US"/>
        </w:rPr>
        <w:t xml:space="preserve">Thank you, Madam Chair. </w:t>
      </w:r>
    </w:p>
    <w:p w14:paraId="28476CC9" w14:textId="231C76EF" w:rsidR="00B80537" w:rsidRPr="00AD7931" w:rsidRDefault="00B80537" w:rsidP="00B80537">
      <w:pPr>
        <w:numPr>
          <w:ilvl w:val="0"/>
          <w:numId w:val="10"/>
        </w:numPr>
        <w:rPr>
          <w:rFonts w:ascii="Verdana" w:hAnsi="Verdana"/>
          <w:sz w:val="24"/>
          <w:szCs w:val="24"/>
          <w:lang w:val="mi-NZ"/>
        </w:rPr>
      </w:pPr>
      <w:r w:rsidRPr="00AD7931">
        <w:rPr>
          <w:rFonts w:ascii="Verdana" w:hAnsi="Verdana"/>
          <w:sz w:val="24"/>
          <w:szCs w:val="24"/>
          <w:lang w:val="mi-NZ"/>
        </w:rPr>
        <w:t xml:space="preserve">Kei ngā mana, kei ngā ihi, kei ngā tapu – tēnā koutou. E te </w:t>
      </w:r>
      <w:r w:rsidR="000E407E">
        <w:rPr>
          <w:rFonts w:ascii="Verdana" w:hAnsi="Verdana"/>
          <w:sz w:val="24"/>
          <w:szCs w:val="24"/>
          <w:lang w:val="mi-NZ"/>
        </w:rPr>
        <w:t xml:space="preserve">Komiti </w:t>
      </w:r>
      <w:r w:rsidR="00C2671E">
        <w:rPr>
          <w:rFonts w:ascii="Verdana" w:hAnsi="Verdana"/>
          <w:sz w:val="24"/>
          <w:szCs w:val="24"/>
          <w:lang w:val="mi-NZ"/>
        </w:rPr>
        <w:t>Tika Tangata</w:t>
      </w:r>
      <w:r w:rsidRPr="00AD7931">
        <w:rPr>
          <w:rFonts w:ascii="Verdana" w:hAnsi="Verdana"/>
          <w:sz w:val="24"/>
          <w:szCs w:val="24"/>
          <w:lang w:val="mi-NZ"/>
        </w:rPr>
        <w:t>, nei rā ngā mihi o ngā Iwi o Aotearoa ki ā koutou, tēnā koutou.</w:t>
      </w:r>
    </w:p>
    <w:p w14:paraId="47F8A938" w14:textId="08830289" w:rsidR="003B714E" w:rsidRPr="00B80537" w:rsidRDefault="003B714E" w:rsidP="00FD461B">
      <w:pPr>
        <w:numPr>
          <w:ilvl w:val="0"/>
          <w:numId w:val="10"/>
        </w:numPr>
        <w:rPr>
          <w:rFonts w:ascii="Verdana" w:hAnsi="Verdana"/>
          <w:sz w:val="24"/>
          <w:szCs w:val="24"/>
        </w:rPr>
      </w:pPr>
      <w:r w:rsidRPr="00B80537">
        <w:rPr>
          <w:rFonts w:ascii="Verdana" w:hAnsi="Verdana"/>
          <w:sz w:val="24"/>
          <w:szCs w:val="24"/>
        </w:rPr>
        <w:t>On behalf of the Government of New Zealand, I would like to first thank the Committee for this opportunity to present the work that New Zealand is doing for our children and young people</w:t>
      </w:r>
      <w:r w:rsidR="007230D2" w:rsidRPr="00B80537">
        <w:rPr>
          <w:rFonts w:ascii="Verdana" w:hAnsi="Verdana"/>
          <w:sz w:val="24"/>
          <w:szCs w:val="24"/>
        </w:rPr>
        <w:t xml:space="preserve">. </w:t>
      </w:r>
      <w:r w:rsidRPr="00B80537">
        <w:rPr>
          <w:rFonts w:ascii="Verdana" w:hAnsi="Verdana"/>
          <w:sz w:val="24"/>
          <w:szCs w:val="24"/>
        </w:rPr>
        <w:t xml:space="preserve"> </w:t>
      </w:r>
    </w:p>
    <w:p w14:paraId="298097CC" w14:textId="0C9FD103" w:rsid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We view this dialogue as an important forum that provides valuable insights to what we have done and what more we can do.</w:t>
      </w:r>
    </w:p>
    <w:p w14:paraId="6A221EF4" w14:textId="288DBDDB" w:rsidR="00C663D0" w:rsidRPr="003B714E" w:rsidRDefault="00C663D0" w:rsidP="003B714E">
      <w:pPr>
        <w:numPr>
          <w:ilvl w:val="0"/>
          <w:numId w:val="10"/>
        </w:numPr>
        <w:rPr>
          <w:rFonts w:ascii="Verdana" w:hAnsi="Verdana"/>
          <w:sz w:val="24"/>
          <w:szCs w:val="24"/>
          <w:lang w:val="en-US"/>
        </w:rPr>
      </w:pPr>
      <w:r>
        <w:rPr>
          <w:rFonts w:ascii="Verdana" w:hAnsi="Verdana"/>
          <w:sz w:val="24"/>
          <w:szCs w:val="24"/>
          <w:lang w:val="en-US"/>
        </w:rPr>
        <w:t>I would like to acknowledge the attendance of the New Zealand Civil Society leaders who are present today.</w:t>
      </w:r>
    </w:p>
    <w:p w14:paraId="454C2767" w14:textId="77777777"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 xml:space="preserve">Before I speak further to New Zealand’s activities, I would like to first introduce the delegation. </w:t>
      </w:r>
    </w:p>
    <w:p w14:paraId="15908066" w14:textId="77777777"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 xml:space="preserve">Joining me are: </w:t>
      </w:r>
    </w:p>
    <w:p w14:paraId="639A84B2" w14:textId="77777777" w:rsidR="003B714E" w:rsidRPr="003B714E" w:rsidRDefault="003B714E" w:rsidP="003B714E">
      <w:pPr>
        <w:numPr>
          <w:ilvl w:val="0"/>
          <w:numId w:val="11"/>
        </w:numPr>
        <w:rPr>
          <w:rFonts w:ascii="Verdana" w:hAnsi="Verdana"/>
          <w:sz w:val="24"/>
          <w:szCs w:val="24"/>
        </w:rPr>
      </w:pPr>
      <w:r w:rsidRPr="003B714E">
        <w:rPr>
          <w:rFonts w:ascii="Verdana" w:hAnsi="Verdana"/>
          <w:sz w:val="24"/>
          <w:szCs w:val="24"/>
        </w:rPr>
        <w:t xml:space="preserve">Molly Elliott from the Ministry of Social Development. Molly is the General Manager of the Regional Social and Inquiries Policy Group. </w:t>
      </w:r>
    </w:p>
    <w:p w14:paraId="39E190FB" w14:textId="4B19B795" w:rsidR="003B714E" w:rsidRPr="003B714E" w:rsidRDefault="003B714E" w:rsidP="003B714E">
      <w:pPr>
        <w:numPr>
          <w:ilvl w:val="0"/>
          <w:numId w:val="11"/>
        </w:numPr>
        <w:rPr>
          <w:rFonts w:ascii="Verdana" w:hAnsi="Verdana"/>
          <w:sz w:val="24"/>
          <w:szCs w:val="24"/>
        </w:rPr>
      </w:pPr>
      <w:r w:rsidRPr="003B714E">
        <w:rPr>
          <w:rFonts w:ascii="Verdana" w:hAnsi="Verdana"/>
          <w:sz w:val="24"/>
          <w:szCs w:val="24"/>
        </w:rPr>
        <w:t>Steve Barnes from the Ministry of Health</w:t>
      </w:r>
      <w:r w:rsidR="003C338D">
        <w:rPr>
          <w:rFonts w:ascii="Verdana" w:hAnsi="Verdana"/>
          <w:sz w:val="24"/>
          <w:szCs w:val="24"/>
        </w:rPr>
        <w:t>,</w:t>
      </w:r>
      <w:r w:rsidRPr="003B714E">
        <w:rPr>
          <w:rFonts w:ascii="Verdana" w:hAnsi="Verdana"/>
          <w:sz w:val="24"/>
          <w:szCs w:val="24"/>
        </w:rPr>
        <w:t xml:space="preserve"> Manatū Hauora. Steve is the Group Manager leading the Family and Community Health Policy team. </w:t>
      </w:r>
    </w:p>
    <w:p w14:paraId="1D83D1BD" w14:textId="07458550" w:rsidR="003B714E" w:rsidRPr="003B714E" w:rsidRDefault="003B714E" w:rsidP="003B714E">
      <w:pPr>
        <w:numPr>
          <w:ilvl w:val="0"/>
          <w:numId w:val="11"/>
        </w:numPr>
        <w:rPr>
          <w:rFonts w:ascii="Verdana" w:hAnsi="Verdana"/>
          <w:sz w:val="24"/>
          <w:szCs w:val="24"/>
        </w:rPr>
      </w:pPr>
      <w:r w:rsidRPr="003B714E">
        <w:rPr>
          <w:rFonts w:ascii="Verdana" w:hAnsi="Verdana"/>
          <w:sz w:val="24"/>
          <w:szCs w:val="24"/>
        </w:rPr>
        <w:t>Paula Attrill from Oranga Tamariki</w:t>
      </w:r>
      <w:r w:rsidR="00E44CE7">
        <w:rPr>
          <w:rFonts w:ascii="Verdana" w:hAnsi="Verdana"/>
          <w:sz w:val="24"/>
          <w:szCs w:val="24"/>
        </w:rPr>
        <w:t>,</w:t>
      </w:r>
      <w:r w:rsidRPr="003B714E">
        <w:rPr>
          <w:rFonts w:ascii="Verdana" w:hAnsi="Verdana"/>
          <w:sz w:val="24"/>
          <w:szCs w:val="24"/>
        </w:rPr>
        <w:t xml:space="preserve"> the Ministry for Children. Paula is the General Manager for International Casework and Adoption </w:t>
      </w:r>
      <w:r w:rsidR="00541ECA">
        <w:rPr>
          <w:rFonts w:ascii="Verdana" w:hAnsi="Verdana"/>
          <w:sz w:val="24"/>
          <w:szCs w:val="24"/>
        </w:rPr>
        <w:t>Services</w:t>
      </w:r>
      <w:r w:rsidRPr="003B714E">
        <w:rPr>
          <w:rFonts w:ascii="Verdana" w:hAnsi="Verdana"/>
          <w:sz w:val="24"/>
          <w:szCs w:val="24"/>
        </w:rPr>
        <w:t xml:space="preserve">. </w:t>
      </w:r>
    </w:p>
    <w:p w14:paraId="6512105B" w14:textId="77777777" w:rsidR="003B714E" w:rsidRPr="003B714E" w:rsidRDefault="003B714E" w:rsidP="003B714E">
      <w:pPr>
        <w:numPr>
          <w:ilvl w:val="0"/>
          <w:numId w:val="11"/>
        </w:numPr>
        <w:rPr>
          <w:rFonts w:ascii="Verdana" w:hAnsi="Verdana"/>
          <w:sz w:val="24"/>
          <w:szCs w:val="24"/>
        </w:rPr>
      </w:pPr>
      <w:r w:rsidRPr="003B714E">
        <w:rPr>
          <w:rFonts w:ascii="Verdana" w:hAnsi="Verdana"/>
          <w:sz w:val="24"/>
          <w:szCs w:val="24"/>
        </w:rPr>
        <w:t xml:space="preserve">Dr David Wales, who is the National Director of Learning Support at the Ministry of Education. </w:t>
      </w:r>
    </w:p>
    <w:p w14:paraId="010A64F4" w14:textId="473B7734" w:rsidR="003B714E" w:rsidRPr="003B714E" w:rsidRDefault="003B714E" w:rsidP="003B714E">
      <w:pPr>
        <w:numPr>
          <w:ilvl w:val="0"/>
          <w:numId w:val="11"/>
        </w:numPr>
        <w:rPr>
          <w:rFonts w:ascii="Verdana" w:hAnsi="Verdana"/>
          <w:sz w:val="24"/>
          <w:szCs w:val="24"/>
        </w:rPr>
      </w:pPr>
      <w:r w:rsidRPr="003B714E">
        <w:rPr>
          <w:rFonts w:ascii="Verdana" w:hAnsi="Verdana"/>
          <w:sz w:val="24"/>
          <w:szCs w:val="24"/>
        </w:rPr>
        <w:t>And Kristie Carter from Te Puni Kōkiri</w:t>
      </w:r>
      <w:r w:rsidR="00E44CE7">
        <w:rPr>
          <w:rFonts w:ascii="Verdana" w:hAnsi="Verdana"/>
          <w:sz w:val="24"/>
          <w:szCs w:val="24"/>
        </w:rPr>
        <w:t>,</w:t>
      </w:r>
      <w:r w:rsidRPr="003B714E">
        <w:rPr>
          <w:rFonts w:ascii="Verdana" w:hAnsi="Verdana"/>
          <w:sz w:val="24"/>
          <w:szCs w:val="24"/>
        </w:rPr>
        <w:t xml:space="preserve"> the Ministry of Māori </w:t>
      </w:r>
      <w:r w:rsidR="00E44CE7">
        <w:rPr>
          <w:rFonts w:ascii="Verdana" w:hAnsi="Verdana"/>
          <w:sz w:val="24"/>
          <w:szCs w:val="24"/>
        </w:rPr>
        <w:t>D</w:t>
      </w:r>
      <w:r w:rsidRPr="003B714E">
        <w:rPr>
          <w:rFonts w:ascii="Verdana" w:hAnsi="Verdana"/>
          <w:sz w:val="24"/>
          <w:szCs w:val="24"/>
        </w:rPr>
        <w:t>evelopment. Kristie is the Director of the Data and Insights team.</w:t>
      </w:r>
    </w:p>
    <w:p w14:paraId="06CF9BB7" w14:textId="184A5B91"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I am Chappie Te Kani, the Chief Executive Officer at Oranga Tamariki</w:t>
      </w:r>
      <w:r w:rsidR="000641DC">
        <w:rPr>
          <w:rFonts w:ascii="Verdana" w:hAnsi="Verdana"/>
          <w:sz w:val="24"/>
          <w:szCs w:val="24"/>
          <w:lang w:val="en-US"/>
        </w:rPr>
        <w:t xml:space="preserve">,  </w:t>
      </w:r>
      <w:r w:rsidRPr="003B714E">
        <w:rPr>
          <w:rFonts w:ascii="Verdana" w:hAnsi="Verdana"/>
          <w:sz w:val="24"/>
          <w:szCs w:val="24"/>
          <w:lang w:val="en-US"/>
        </w:rPr>
        <w:t xml:space="preserve">the Ministry for Children, and I am honored to present New Zealand’s Sixth Periodic Report under the Convention on the Rights of the Child. </w:t>
      </w:r>
    </w:p>
    <w:p w14:paraId="6595825D" w14:textId="0D6ECB12" w:rsidR="003B714E" w:rsidRPr="003B714E" w:rsidRDefault="003B714E" w:rsidP="003B714E">
      <w:pPr>
        <w:numPr>
          <w:ilvl w:val="0"/>
          <w:numId w:val="10"/>
        </w:numPr>
        <w:rPr>
          <w:rFonts w:ascii="Verdana" w:hAnsi="Verdana"/>
          <w:sz w:val="24"/>
          <w:szCs w:val="24"/>
        </w:rPr>
      </w:pPr>
      <w:r w:rsidRPr="003B714E">
        <w:rPr>
          <w:rFonts w:ascii="Verdana" w:hAnsi="Verdana"/>
          <w:sz w:val="24"/>
          <w:szCs w:val="24"/>
        </w:rPr>
        <w:lastRenderedPageBreak/>
        <w:t xml:space="preserve">I also would like to take a moment to provide brief comments on </w:t>
      </w:r>
      <w:r w:rsidR="00E44CE7">
        <w:rPr>
          <w:rFonts w:ascii="Verdana" w:hAnsi="Verdana"/>
          <w:sz w:val="24"/>
          <w:szCs w:val="24"/>
        </w:rPr>
        <w:t xml:space="preserve">some of the </w:t>
      </w:r>
      <w:r w:rsidRPr="003B714E">
        <w:rPr>
          <w:rFonts w:ascii="Verdana" w:hAnsi="Verdana"/>
          <w:sz w:val="24"/>
          <w:szCs w:val="24"/>
        </w:rPr>
        <w:t xml:space="preserve">terminology that will be used in my opening statement and in our responses given that te reo Māori </w:t>
      </w:r>
      <w:r w:rsidRPr="00AD7931">
        <w:rPr>
          <w:rFonts w:ascii="Verdana" w:hAnsi="Verdana"/>
          <w:sz w:val="24"/>
          <w:szCs w:val="24"/>
        </w:rPr>
        <w:t xml:space="preserve">is </w:t>
      </w:r>
      <w:r w:rsidR="0024658A" w:rsidRPr="00AD7931">
        <w:rPr>
          <w:rFonts w:ascii="Verdana" w:hAnsi="Verdana"/>
          <w:sz w:val="24"/>
          <w:szCs w:val="24"/>
        </w:rPr>
        <w:t xml:space="preserve">the indigenous language </w:t>
      </w:r>
      <w:r w:rsidR="0024658A">
        <w:rPr>
          <w:rFonts w:ascii="Verdana" w:hAnsi="Verdana"/>
          <w:sz w:val="24"/>
          <w:szCs w:val="24"/>
        </w:rPr>
        <w:t xml:space="preserve">and </w:t>
      </w:r>
      <w:r w:rsidRPr="003B714E">
        <w:rPr>
          <w:rFonts w:ascii="Verdana" w:hAnsi="Verdana"/>
          <w:sz w:val="24"/>
          <w:szCs w:val="24"/>
        </w:rPr>
        <w:t xml:space="preserve">one of the official languages of New Zealand. </w:t>
      </w:r>
    </w:p>
    <w:p w14:paraId="33B708AF" w14:textId="77777777" w:rsidR="003B714E" w:rsidRPr="003B714E" w:rsidRDefault="003B714E" w:rsidP="003B714E">
      <w:pPr>
        <w:numPr>
          <w:ilvl w:val="0"/>
          <w:numId w:val="2"/>
        </w:numPr>
        <w:rPr>
          <w:rFonts w:ascii="Verdana" w:hAnsi="Verdana"/>
          <w:sz w:val="24"/>
          <w:szCs w:val="24"/>
        </w:rPr>
      </w:pPr>
      <w:r w:rsidRPr="003B714E">
        <w:rPr>
          <w:rFonts w:ascii="Verdana" w:hAnsi="Verdana"/>
          <w:sz w:val="24"/>
          <w:szCs w:val="24"/>
        </w:rPr>
        <w:t>Firstly, the indigenous Māori name for New Zealand is ‘Aotearoa’, and New Zealanders use this term interchangeably with ‘New Zealand’ or use them both together as ‘Aotearoa New Zealand’.</w:t>
      </w:r>
    </w:p>
    <w:p w14:paraId="644E2D88" w14:textId="197A854D" w:rsidR="008661D9" w:rsidRPr="005F4C1F" w:rsidRDefault="003B714E" w:rsidP="003B714E">
      <w:pPr>
        <w:numPr>
          <w:ilvl w:val="0"/>
          <w:numId w:val="2"/>
        </w:numPr>
        <w:rPr>
          <w:rFonts w:ascii="Verdana" w:hAnsi="Verdana"/>
          <w:sz w:val="24"/>
          <w:szCs w:val="24"/>
        </w:rPr>
      </w:pPr>
      <w:r w:rsidRPr="005F4C1F">
        <w:rPr>
          <w:rFonts w:ascii="Verdana" w:hAnsi="Verdana"/>
          <w:sz w:val="24"/>
          <w:szCs w:val="24"/>
        </w:rPr>
        <w:t>Secondly</w:t>
      </w:r>
      <w:r w:rsidR="00901275">
        <w:rPr>
          <w:rFonts w:ascii="Verdana" w:hAnsi="Verdana"/>
          <w:sz w:val="24"/>
          <w:szCs w:val="24"/>
        </w:rPr>
        <w:t xml:space="preserve">, it is common for New Zealanders to use Māori </w:t>
      </w:r>
      <w:r w:rsidR="000E407E">
        <w:rPr>
          <w:rFonts w:ascii="Verdana" w:hAnsi="Verdana"/>
          <w:sz w:val="24"/>
          <w:szCs w:val="24"/>
        </w:rPr>
        <w:t xml:space="preserve">language </w:t>
      </w:r>
      <w:r w:rsidR="00901275">
        <w:rPr>
          <w:rFonts w:ascii="Verdana" w:hAnsi="Verdana"/>
          <w:sz w:val="24"/>
          <w:szCs w:val="24"/>
        </w:rPr>
        <w:t xml:space="preserve">terms in regular English conversation. While we will endeavour to provide English </w:t>
      </w:r>
      <w:r w:rsidR="000E407E">
        <w:rPr>
          <w:rFonts w:ascii="Verdana" w:hAnsi="Verdana"/>
          <w:sz w:val="24"/>
          <w:szCs w:val="24"/>
        </w:rPr>
        <w:t xml:space="preserve">equivalents whenever we use a Māori term, we </w:t>
      </w:r>
      <w:r w:rsidR="001C5080">
        <w:rPr>
          <w:rFonts w:ascii="Verdana" w:hAnsi="Verdana"/>
          <w:sz w:val="24"/>
          <w:szCs w:val="24"/>
        </w:rPr>
        <w:t>apologise</w:t>
      </w:r>
      <w:r w:rsidR="000E407E">
        <w:rPr>
          <w:rFonts w:ascii="Verdana" w:hAnsi="Verdana"/>
          <w:sz w:val="24"/>
          <w:szCs w:val="24"/>
        </w:rPr>
        <w:t xml:space="preserve"> if we omit any, and invite the Committee to seek further clarity where required.  </w:t>
      </w:r>
    </w:p>
    <w:p w14:paraId="35977600" w14:textId="597B168F" w:rsidR="008539EF" w:rsidRDefault="006908AD" w:rsidP="003B714E">
      <w:pPr>
        <w:numPr>
          <w:ilvl w:val="0"/>
          <w:numId w:val="2"/>
        </w:numPr>
        <w:rPr>
          <w:rFonts w:ascii="Verdana" w:hAnsi="Verdana"/>
          <w:sz w:val="24"/>
          <w:szCs w:val="24"/>
        </w:rPr>
      </w:pPr>
      <w:r>
        <w:rPr>
          <w:rFonts w:ascii="Verdana" w:hAnsi="Verdana"/>
          <w:sz w:val="24"/>
          <w:szCs w:val="24"/>
        </w:rPr>
        <w:t>Thirdly, t</w:t>
      </w:r>
      <w:r w:rsidR="008539EF">
        <w:rPr>
          <w:rFonts w:ascii="Verdana" w:hAnsi="Verdana"/>
          <w:sz w:val="24"/>
          <w:szCs w:val="24"/>
        </w:rPr>
        <w:t xml:space="preserve">he Treaty of Waitangi is New Zealand’s founding document and is often referred to as Te Tiriti </w:t>
      </w:r>
      <w:r>
        <w:rPr>
          <w:rFonts w:ascii="Verdana" w:hAnsi="Verdana"/>
          <w:sz w:val="24"/>
          <w:szCs w:val="24"/>
        </w:rPr>
        <w:t xml:space="preserve">o Waitangi </w:t>
      </w:r>
      <w:r w:rsidR="00611683">
        <w:rPr>
          <w:rFonts w:ascii="Verdana" w:hAnsi="Verdana"/>
          <w:sz w:val="24"/>
          <w:szCs w:val="24"/>
        </w:rPr>
        <w:t>or “in line with the Government</w:t>
      </w:r>
      <w:r w:rsidR="001C5080">
        <w:rPr>
          <w:rFonts w:ascii="Verdana" w:hAnsi="Verdana"/>
          <w:sz w:val="24"/>
          <w:szCs w:val="24"/>
        </w:rPr>
        <w:t>’</w:t>
      </w:r>
      <w:r w:rsidR="00611683">
        <w:rPr>
          <w:rFonts w:ascii="Verdana" w:hAnsi="Verdana"/>
          <w:sz w:val="24"/>
          <w:szCs w:val="24"/>
        </w:rPr>
        <w:t>s obligations under Te Tiriti”</w:t>
      </w:r>
      <w:r w:rsidR="00A16720">
        <w:rPr>
          <w:rFonts w:ascii="Verdana" w:hAnsi="Verdana"/>
          <w:sz w:val="24"/>
          <w:szCs w:val="24"/>
        </w:rPr>
        <w:t xml:space="preserve">. </w:t>
      </w:r>
      <w:r w:rsidR="00611683">
        <w:rPr>
          <w:rFonts w:ascii="Verdana" w:hAnsi="Verdana"/>
          <w:sz w:val="24"/>
          <w:szCs w:val="24"/>
        </w:rPr>
        <w:t xml:space="preserve"> </w:t>
      </w:r>
    </w:p>
    <w:p w14:paraId="4ED10293" w14:textId="54B54FBA" w:rsidR="005370F3" w:rsidRPr="003B714E" w:rsidRDefault="006908AD" w:rsidP="003B714E">
      <w:pPr>
        <w:numPr>
          <w:ilvl w:val="0"/>
          <w:numId w:val="2"/>
        </w:numPr>
        <w:rPr>
          <w:rFonts w:ascii="Verdana" w:hAnsi="Verdana"/>
          <w:sz w:val="24"/>
          <w:szCs w:val="24"/>
        </w:rPr>
      </w:pPr>
      <w:r>
        <w:rPr>
          <w:rFonts w:ascii="Verdana" w:hAnsi="Verdana"/>
          <w:sz w:val="24"/>
          <w:szCs w:val="24"/>
        </w:rPr>
        <w:t xml:space="preserve">Lastly, </w:t>
      </w:r>
      <w:r w:rsidR="008539EF">
        <w:rPr>
          <w:rFonts w:ascii="Verdana" w:hAnsi="Verdana"/>
          <w:sz w:val="24"/>
          <w:szCs w:val="24"/>
        </w:rPr>
        <w:t xml:space="preserve">many </w:t>
      </w:r>
      <w:r>
        <w:rPr>
          <w:rFonts w:ascii="Verdana" w:hAnsi="Verdana"/>
          <w:sz w:val="24"/>
          <w:szCs w:val="24"/>
        </w:rPr>
        <w:t>of New Zealand Aotearoa’s g</w:t>
      </w:r>
      <w:r w:rsidR="008539EF">
        <w:rPr>
          <w:rFonts w:ascii="Verdana" w:hAnsi="Verdana"/>
          <w:sz w:val="24"/>
          <w:szCs w:val="24"/>
        </w:rPr>
        <w:t xml:space="preserve">overnment </w:t>
      </w:r>
      <w:r w:rsidR="00F54DFC">
        <w:rPr>
          <w:rFonts w:ascii="Verdana" w:hAnsi="Verdana"/>
          <w:sz w:val="24"/>
          <w:szCs w:val="24"/>
        </w:rPr>
        <w:t>m</w:t>
      </w:r>
      <w:r w:rsidR="008539EF">
        <w:rPr>
          <w:rFonts w:ascii="Verdana" w:hAnsi="Verdana"/>
          <w:sz w:val="24"/>
          <w:szCs w:val="24"/>
        </w:rPr>
        <w:t>inistries are referred to in their Māori names in reference to Te Tiriti</w:t>
      </w:r>
      <w:r>
        <w:rPr>
          <w:rFonts w:ascii="Verdana" w:hAnsi="Verdana"/>
          <w:sz w:val="24"/>
          <w:szCs w:val="24"/>
        </w:rPr>
        <w:t xml:space="preserve"> such as Oranga Tamariki – Ministry for Children, Manatū Hauora – Ministry of Health and </w:t>
      </w:r>
      <w:r w:rsidRPr="006908AD">
        <w:rPr>
          <w:rFonts w:ascii="Verdana" w:hAnsi="Verdana"/>
          <w:sz w:val="24"/>
          <w:szCs w:val="24"/>
        </w:rPr>
        <w:t>Te Puni Kōkiri</w:t>
      </w:r>
      <w:r w:rsidR="00F54DFC">
        <w:rPr>
          <w:rFonts w:ascii="Verdana" w:hAnsi="Verdana"/>
          <w:sz w:val="24"/>
          <w:szCs w:val="24"/>
        </w:rPr>
        <w:t xml:space="preserve"> – </w:t>
      </w:r>
      <w:r w:rsidRPr="006908AD">
        <w:rPr>
          <w:rFonts w:ascii="Verdana" w:hAnsi="Verdana"/>
          <w:sz w:val="24"/>
          <w:szCs w:val="24"/>
        </w:rPr>
        <w:t>the Ministry of Māori Development</w:t>
      </w:r>
      <w:r>
        <w:rPr>
          <w:rFonts w:ascii="Verdana" w:hAnsi="Verdana"/>
          <w:sz w:val="24"/>
          <w:szCs w:val="24"/>
        </w:rPr>
        <w:t xml:space="preserve">. </w:t>
      </w:r>
      <w:r w:rsidR="008539EF">
        <w:rPr>
          <w:rFonts w:ascii="Verdana" w:hAnsi="Verdana"/>
          <w:sz w:val="24"/>
          <w:szCs w:val="24"/>
        </w:rPr>
        <w:t xml:space="preserve"> </w:t>
      </w:r>
    </w:p>
    <w:p w14:paraId="7625E10D" w14:textId="77777777" w:rsidR="003B714E" w:rsidRPr="003B714E" w:rsidRDefault="003B714E" w:rsidP="003B714E">
      <w:pPr>
        <w:rPr>
          <w:rFonts w:ascii="Verdana" w:hAnsi="Verdana"/>
          <w:b/>
          <w:bCs/>
          <w:sz w:val="28"/>
          <w:szCs w:val="28"/>
        </w:rPr>
      </w:pPr>
      <w:r w:rsidRPr="003B714E">
        <w:rPr>
          <w:rFonts w:ascii="Verdana" w:hAnsi="Verdana"/>
          <w:b/>
          <w:bCs/>
          <w:sz w:val="28"/>
          <w:szCs w:val="28"/>
        </w:rPr>
        <w:t>The situation in New Zealand</w:t>
      </w:r>
    </w:p>
    <w:p w14:paraId="6F78349D" w14:textId="1D5D8438" w:rsidR="00F54DFC" w:rsidRDefault="00611683" w:rsidP="003B714E">
      <w:pPr>
        <w:numPr>
          <w:ilvl w:val="0"/>
          <w:numId w:val="10"/>
        </w:numPr>
        <w:rPr>
          <w:rFonts w:ascii="Verdana" w:hAnsi="Verdana"/>
          <w:sz w:val="24"/>
          <w:szCs w:val="24"/>
          <w:lang w:val="en-US"/>
        </w:rPr>
      </w:pPr>
      <w:r>
        <w:rPr>
          <w:rFonts w:ascii="Verdana" w:hAnsi="Verdana"/>
          <w:sz w:val="24"/>
          <w:szCs w:val="24"/>
          <w:lang w:val="en-US"/>
        </w:rPr>
        <w:t xml:space="preserve">New Zealand has a population of 5.1 million people, of whom </w:t>
      </w:r>
      <w:r w:rsidR="00D9133F">
        <w:rPr>
          <w:rFonts w:ascii="Verdana" w:hAnsi="Verdana"/>
          <w:sz w:val="24"/>
          <w:szCs w:val="24"/>
          <w:lang w:val="en-US"/>
        </w:rPr>
        <w:t>approximately</w:t>
      </w:r>
      <w:r>
        <w:rPr>
          <w:rFonts w:ascii="Verdana" w:hAnsi="Verdana"/>
          <w:sz w:val="24"/>
          <w:szCs w:val="24"/>
          <w:lang w:val="en-US"/>
        </w:rPr>
        <w:t xml:space="preserve"> 1.</w:t>
      </w:r>
      <w:r w:rsidR="00CA5E77">
        <w:rPr>
          <w:rFonts w:ascii="Verdana" w:hAnsi="Verdana"/>
          <w:sz w:val="24"/>
          <w:szCs w:val="24"/>
          <w:lang w:val="en-US"/>
        </w:rPr>
        <w:t>28</w:t>
      </w:r>
      <w:r>
        <w:rPr>
          <w:rFonts w:ascii="Verdana" w:hAnsi="Verdana"/>
          <w:sz w:val="24"/>
          <w:szCs w:val="24"/>
          <w:lang w:val="en-US"/>
        </w:rPr>
        <w:t xml:space="preserve"> million or </w:t>
      </w:r>
      <w:r w:rsidR="00CA5E77">
        <w:rPr>
          <w:rFonts w:ascii="Verdana" w:hAnsi="Verdana"/>
          <w:sz w:val="24"/>
          <w:szCs w:val="24"/>
          <w:lang w:val="en-US"/>
        </w:rPr>
        <w:t>25</w:t>
      </w:r>
      <w:r w:rsidR="00F54DFC">
        <w:rPr>
          <w:rFonts w:ascii="Verdana" w:hAnsi="Verdana"/>
          <w:sz w:val="24"/>
          <w:szCs w:val="24"/>
          <w:lang w:val="en-US"/>
        </w:rPr>
        <w:t xml:space="preserve"> percent</w:t>
      </w:r>
      <w:r>
        <w:rPr>
          <w:rFonts w:ascii="Verdana" w:hAnsi="Verdana"/>
          <w:sz w:val="24"/>
          <w:szCs w:val="24"/>
          <w:lang w:val="en-US"/>
        </w:rPr>
        <w:t xml:space="preserve"> are under the age of </w:t>
      </w:r>
      <w:r w:rsidR="00CA5E77">
        <w:rPr>
          <w:rFonts w:ascii="Verdana" w:hAnsi="Verdana"/>
          <w:sz w:val="24"/>
          <w:szCs w:val="24"/>
          <w:lang w:val="en-US"/>
        </w:rPr>
        <w:t>19</w:t>
      </w:r>
      <w:r w:rsidR="00F54DFC">
        <w:rPr>
          <w:rFonts w:ascii="Verdana" w:hAnsi="Verdana"/>
          <w:sz w:val="24"/>
          <w:szCs w:val="24"/>
          <w:lang w:val="en-US"/>
        </w:rPr>
        <w:t xml:space="preserve"> years old</w:t>
      </w:r>
      <w:r>
        <w:rPr>
          <w:rFonts w:ascii="Verdana" w:hAnsi="Verdana"/>
          <w:sz w:val="24"/>
          <w:szCs w:val="24"/>
          <w:lang w:val="en-US"/>
        </w:rPr>
        <w:t xml:space="preserve">. </w:t>
      </w:r>
    </w:p>
    <w:p w14:paraId="5CAB93F7" w14:textId="15B0BF04" w:rsidR="00611683" w:rsidRDefault="00F54DFC" w:rsidP="003B714E">
      <w:pPr>
        <w:numPr>
          <w:ilvl w:val="0"/>
          <w:numId w:val="10"/>
        </w:numPr>
        <w:rPr>
          <w:rFonts w:ascii="Verdana" w:hAnsi="Verdana"/>
          <w:sz w:val="24"/>
          <w:szCs w:val="24"/>
          <w:lang w:val="en-US"/>
        </w:rPr>
      </w:pPr>
      <w:r>
        <w:rPr>
          <w:rFonts w:ascii="Verdana" w:hAnsi="Verdana"/>
          <w:sz w:val="24"/>
          <w:szCs w:val="24"/>
          <w:lang w:val="en-US"/>
        </w:rPr>
        <w:t>Aotearoa</w:t>
      </w:r>
      <w:r w:rsidR="00611683">
        <w:rPr>
          <w:rFonts w:ascii="Verdana" w:hAnsi="Verdana"/>
          <w:sz w:val="24"/>
          <w:szCs w:val="24"/>
          <w:lang w:val="en-US"/>
        </w:rPr>
        <w:t xml:space="preserve"> is a welfare state </w:t>
      </w:r>
      <w:r w:rsidR="007230D2">
        <w:rPr>
          <w:rFonts w:ascii="Verdana" w:hAnsi="Verdana"/>
          <w:sz w:val="24"/>
          <w:szCs w:val="24"/>
          <w:lang w:val="en-US"/>
        </w:rPr>
        <w:t>with a publicly funded mandatory education system</w:t>
      </w:r>
      <w:r w:rsidR="00611683">
        <w:rPr>
          <w:rFonts w:ascii="Verdana" w:hAnsi="Verdana"/>
          <w:sz w:val="24"/>
          <w:szCs w:val="24"/>
          <w:lang w:val="en-US"/>
        </w:rPr>
        <w:t xml:space="preserve"> </w:t>
      </w:r>
      <w:r w:rsidR="008661D9">
        <w:rPr>
          <w:rFonts w:ascii="Verdana" w:hAnsi="Verdana"/>
          <w:sz w:val="24"/>
          <w:szCs w:val="24"/>
          <w:lang w:val="en-US"/>
        </w:rPr>
        <w:t>and</w:t>
      </w:r>
      <w:r w:rsidR="007230D2">
        <w:rPr>
          <w:rFonts w:ascii="Verdana" w:hAnsi="Verdana"/>
          <w:sz w:val="24"/>
          <w:szCs w:val="24"/>
          <w:lang w:val="en-US"/>
        </w:rPr>
        <w:t xml:space="preserve"> tertiary education available to all young people who meet educational requirements. We have a public health system</w:t>
      </w:r>
      <w:r>
        <w:rPr>
          <w:rFonts w:ascii="Verdana" w:hAnsi="Verdana"/>
          <w:sz w:val="24"/>
          <w:szCs w:val="24"/>
          <w:lang w:val="en-US"/>
        </w:rPr>
        <w:t>,</w:t>
      </w:r>
      <w:r w:rsidR="007230D2">
        <w:rPr>
          <w:rFonts w:ascii="Verdana" w:hAnsi="Verdana"/>
          <w:sz w:val="24"/>
          <w:szCs w:val="24"/>
          <w:lang w:val="en-US"/>
        </w:rPr>
        <w:t xml:space="preserve"> which is free to children under the age of 14 </w:t>
      </w:r>
      <w:r>
        <w:rPr>
          <w:rFonts w:ascii="Verdana" w:hAnsi="Verdana"/>
          <w:sz w:val="24"/>
          <w:szCs w:val="24"/>
          <w:lang w:val="en-US"/>
        </w:rPr>
        <w:t xml:space="preserve">years old </w:t>
      </w:r>
      <w:r w:rsidR="007230D2">
        <w:rPr>
          <w:rFonts w:ascii="Verdana" w:hAnsi="Verdana"/>
          <w:sz w:val="24"/>
          <w:szCs w:val="24"/>
          <w:lang w:val="en-US"/>
        </w:rPr>
        <w:t>and a child protection system called Oranga Tamariki</w:t>
      </w:r>
      <w:r w:rsidR="00AD7931">
        <w:rPr>
          <w:rFonts w:ascii="Verdana" w:hAnsi="Verdana"/>
          <w:sz w:val="24"/>
          <w:szCs w:val="24"/>
          <w:lang w:val="en-US"/>
        </w:rPr>
        <w:t>, the Ministry for Children</w:t>
      </w:r>
      <w:r w:rsidR="007230D2">
        <w:rPr>
          <w:rFonts w:ascii="Verdana" w:hAnsi="Verdana"/>
          <w:sz w:val="24"/>
          <w:szCs w:val="24"/>
          <w:lang w:val="en-US"/>
        </w:rPr>
        <w:t xml:space="preserve">. </w:t>
      </w:r>
    </w:p>
    <w:p w14:paraId="2637A85C" w14:textId="154E7C41"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 xml:space="preserve">Our efforts to implement the Convention on the Rights of the Child and our commitment to tamariki is based on </w:t>
      </w:r>
      <w:r w:rsidR="00FC298D">
        <w:rPr>
          <w:rFonts w:ascii="Verdana" w:hAnsi="Verdana"/>
          <w:sz w:val="24"/>
          <w:szCs w:val="24"/>
          <w:lang w:val="en-US"/>
        </w:rPr>
        <w:t>two</w:t>
      </w:r>
      <w:r w:rsidRPr="003B714E">
        <w:rPr>
          <w:rFonts w:ascii="Verdana" w:hAnsi="Verdana"/>
          <w:sz w:val="24"/>
          <w:szCs w:val="24"/>
          <w:lang w:val="en-US"/>
        </w:rPr>
        <w:t xml:space="preserve"> main ideal</w:t>
      </w:r>
      <w:r w:rsidR="00FC298D">
        <w:rPr>
          <w:rFonts w:ascii="Verdana" w:hAnsi="Verdana"/>
          <w:sz w:val="24"/>
          <w:szCs w:val="24"/>
          <w:lang w:val="en-US"/>
        </w:rPr>
        <w:t>s</w:t>
      </w:r>
      <w:r w:rsidRPr="003B714E">
        <w:rPr>
          <w:rFonts w:ascii="Verdana" w:hAnsi="Verdana"/>
          <w:sz w:val="24"/>
          <w:szCs w:val="24"/>
          <w:lang w:val="en-US"/>
        </w:rPr>
        <w:t xml:space="preserve">: to make New Zealand </w:t>
      </w:r>
      <w:r w:rsidR="00AD7931">
        <w:rPr>
          <w:rFonts w:ascii="Verdana" w:hAnsi="Verdana"/>
          <w:sz w:val="24"/>
          <w:szCs w:val="24"/>
          <w:lang w:val="en-US"/>
        </w:rPr>
        <w:t xml:space="preserve">a great place </w:t>
      </w:r>
      <w:r w:rsidRPr="003B714E">
        <w:rPr>
          <w:rFonts w:ascii="Verdana" w:hAnsi="Verdana"/>
          <w:sz w:val="24"/>
          <w:szCs w:val="24"/>
          <w:lang w:val="en-US"/>
        </w:rPr>
        <w:t xml:space="preserve">to be a child, and to start and raise a family. </w:t>
      </w:r>
    </w:p>
    <w:p w14:paraId="55809FBD" w14:textId="20CDAA42" w:rsidR="003B714E" w:rsidRPr="00F54DFC" w:rsidRDefault="003B714E" w:rsidP="007A5AF9">
      <w:pPr>
        <w:numPr>
          <w:ilvl w:val="0"/>
          <w:numId w:val="10"/>
        </w:numPr>
        <w:rPr>
          <w:rFonts w:ascii="Verdana" w:hAnsi="Verdana"/>
          <w:sz w:val="24"/>
          <w:szCs w:val="24"/>
          <w:lang w:val="en-US"/>
        </w:rPr>
      </w:pPr>
      <w:r w:rsidRPr="00F54DFC">
        <w:rPr>
          <w:rFonts w:ascii="Verdana" w:hAnsi="Verdana"/>
          <w:sz w:val="24"/>
          <w:szCs w:val="24"/>
          <w:lang w:val="en-US"/>
        </w:rPr>
        <w:t xml:space="preserve">However, </w:t>
      </w:r>
      <w:r w:rsidR="00541ECA" w:rsidRPr="00F54DFC">
        <w:rPr>
          <w:rFonts w:ascii="Verdana" w:hAnsi="Verdana"/>
          <w:sz w:val="24"/>
          <w:szCs w:val="24"/>
          <w:lang w:val="en-US"/>
        </w:rPr>
        <w:t>l</w:t>
      </w:r>
      <w:r w:rsidRPr="00F54DFC">
        <w:rPr>
          <w:rFonts w:ascii="Verdana" w:hAnsi="Verdana"/>
          <w:sz w:val="24"/>
          <w:szCs w:val="24"/>
          <w:lang w:val="en-US"/>
        </w:rPr>
        <w:t xml:space="preserve">ike much of the world, the COVID-19 pandemic affected everyone, with children and young people being among those who were hit the hardest. </w:t>
      </w:r>
      <w:r w:rsidR="00AD7931">
        <w:rPr>
          <w:rFonts w:ascii="Verdana" w:hAnsi="Verdana"/>
          <w:sz w:val="24"/>
          <w:szCs w:val="24"/>
          <w:lang w:val="en-US"/>
        </w:rPr>
        <w:t>We acknowledge that the pandemic has exacerbated some of the issues children and young people face</w:t>
      </w:r>
      <w:r w:rsidR="00AA7FD1">
        <w:rPr>
          <w:rFonts w:ascii="Verdana" w:hAnsi="Verdana"/>
          <w:sz w:val="24"/>
          <w:szCs w:val="24"/>
          <w:lang w:val="en-US"/>
        </w:rPr>
        <w:t>, particularly those in vulnerable circumstances</w:t>
      </w:r>
      <w:r w:rsidR="00AD7931">
        <w:rPr>
          <w:rFonts w:ascii="Verdana" w:hAnsi="Verdana"/>
          <w:sz w:val="24"/>
          <w:szCs w:val="24"/>
          <w:lang w:val="en-US"/>
        </w:rPr>
        <w:t xml:space="preserve">.  </w:t>
      </w:r>
    </w:p>
    <w:p w14:paraId="427D0288" w14:textId="77777777"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lastRenderedPageBreak/>
        <w:t xml:space="preserve">Prior to the pandemic, New Zealand was experiencing progress in reducing child poverty. </w:t>
      </w:r>
    </w:p>
    <w:p w14:paraId="50D6F253" w14:textId="2FA7E383"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 xml:space="preserve">In 2018, </w:t>
      </w:r>
      <w:r w:rsidR="00E44CE7">
        <w:rPr>
          <w:rFonts w:ascii="Verdana" w:hAnsi="Verdana"/>
          <w:sz w:val="24"/>
          <w:szCs w:val="24"/>
          <w:lang w:val="en-US"/>
        </w:rPr>
        <w:t xml:space="preserve">approximately </w:t>
      </w:r>
      <w:r w:rsidRPr="003B714E">
        <w:rPr>
          <w:rFonts w:ascii="Verdana" w:hAnsi="Verdana"/>
          <w:sz w:val="24"/>
          <w:szCs w:val="24"/>
          <w:lang w:val="en-US"/>
        </w:rPr>
        <w:t xml:space="preserve">16.5 percent of children were living in households whose disposable incomes were less than 50 percent </w:t>
      </w:r>
      <w:r w:rsidR="00B80537">
        <w:rPr>
          <w:rFonts w:ascii="Verdana" w:hAnsi="Verdana"/>
          <w:sz w:val="24"/>
          <w:szCs w:val="24"/>
          <w:lang w:val="en-US"/>
        </w:rPr>
        <w:t>of</w:t>
      </w:r>
      <w:r w:rsidRPr="003B714E">
        <w:rPr>
          <w:rFonts w:ascii="Verdana" w:hAnsi="Verdana"/>
          <w:sz w:val="24"/>
          <w:szCs w:val="24"/>
          <w:lang w:val="en-US"/>
        </w:rPr>
        <w:t xml:space="preserve"> the median before housing costs. In 2021, this rate was reduced to 13.6 percent.  </w:t>
      </w:r>
    </w:p>
    <w:p w14:paraId="611B289A" w14:textId="77777777"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In terms of actual numbers:</w:t>
      </w:r>
    </w:p>
    <w:p w14:paraId="69F17C9A" w14:textId="2D6C45E1" w:rsidR="003B714E" w:rsidRPr="003B714E" w:rsidRDefault="003B714E" w:rsidP="003B714E">
      <w:pPr>
        <w:numPr>
          <w:ilvl w:val="0"/>
          <w:numId w:val="3"/>
        </w:numPr>
        <w:rPr>
          <w:rFonts w:ascii="Verdana" w:hAnsi="Verdana"/>
          <w:sz w:val="24"/>
          <w:szCs w:val="24"/>
          <w:lang w:val="en-US"/>
        </w:rPr>
      </w:pPr>
      <w:r w:rsidRPr="003B714E">
        <w:rPr>
          <w:rFonts w:ascii="Verdana" w:hAnsi="Verdana"/>
          <w:sz w:val="24"/>
          <w:szCs w:val="24"/>
          <w:lang w:val="en-US"/>
        </w:rPr>
        <w:t xml:space="preserve">approximately 26,000 children had been lifted out of the first measure of child poverty, which calculates the percentage of children living in households with less than 50 percent median  income </w:t>
      </w:r>
      <w:r w:rsidRPr="003B714E">
        <w:rPr>
          <w:rFonts w:ascii="Verdana" w:hAnsi="Verdana"/>
          <w:sz w:val="24"/>
          <w:szCs w:val="24"/>
          <w:u w:val="single"/>
          <w:lang w:val="en-US"/>
        </w:rPr>
        <w:t>before</w:t>
      </w:r>
      <w:r w:rsidRPr="003B714E">
        <w:rPr>
          <w:rFonts w:ascii="Verdana" w:hAnsi="Verdana"/>
          <w:sz w:val="24"/>
          <w:szCs w:val="24"/>
          <w:lang w:val="en-US"/>
        </w:rPr>
        <w:t xml:space="preserve"> housing costs are deducted; </w:t>
      </w:r>
    </w:p>
    <w:p w14:paraId="704605EC" w14:textId="2DC19E62" w:rsidR="003B714E" w:rsidRPr="003B714E" w:rsidRDefault="003B714E" w:rsidP="003B714E">
      <w:pPr>
        <w:numPr>
          <w:ilvl w:val="0"/>
          <w:numId w:val="3"/>
        </w:numPr>
        <w:rPr>
          <w:rFonts w:ascii="Verdana" w:hAnsi="Verdana"/>
          <w:sz w:val="24"/>
          <w:szCs w:val="24"/>
          <w:lang w:val="en-US"/>
        </w:rPr>
      </w:pPr>
      <w:r w:rsidRPr="003B714E">
        <w:rPr>
          <w:rFonts w:ascii="Verdana" w:hAnsi="Verdana"/>
          <w:sz w:val="24"/>
          <w:szCs w:val="24"/>
          <w:lang w:val="en-US"/>
        </w:rPr>
        <w:t xml:space="preserve">approximately 66,000 children had been lifted out of </w:t>
      </w:r>
      <w:r w:rsidR="00B80537">
        <w:rPr>
          <w:rFonts w:ascii="Verdana" w:hAnsi="Verdana"/>
          <w:sz w:val="24"/>
          <w:szCs w:val="24"/>
          <w:lang w:val="en-US"/>
        </w:rPr>
        <w:t xml:space="preserve">poverty on </w:t>
      </w:r>
      <w:r w:rsidRPr="003B714E">
        <w:rPr>
          <w:rFonts w:ascii="Verdana" w:hAnsi="Verdana"/>
          <w:sz w:val="24"/>
          <w:szCs w:val="24"/>
          <w:lang w:val="en-US"/>
        </w:rPr>
        <w:t xml:space="preserve">the second measure, which calculates the percentage of children living in households with less than 50 percent median income </w:t>
      </w:r>
      <w:r w:rsidRPr="003B714E">
        <w:rPr>
          <w:rFonts w:ascii="Verdana" w:hAnsi="Verdana"/>
          <w:sz w:val="24"/>
          <w:szCs w:val="24"/>
          <w:u w:val="single"/>
          <w:lang w:val="en-US"/>
        </w:rPr>
        <w:t>after</w:t>
      </w:r>
      <w:r w:rsidRPr="003B714E">
        <w:rPr>
          <w:rFonts w:ascii="Verdana" w:hAnsi="Verdana"/>
          <w:sz w:val="24"/>
          <w:szCs w:val="24"/>
          <w:lang w:val="en-US"/>
        </w:rPr>
        <w:t xml:space="preserve"> housing costs are deducted; and </w:t>
      </w:r>
    </w:p>
    <w:p w14:paraId="495E10BE" w14:textId="77777777" w:rsidR="003B714E" w:rsidRPr="003B714E" w:rsidRDefault="003B714E" w:rsidP="003B714E">
      <w:pPr>
        <w:numPr>
          <w:ilvl w:val="0"/>
          <w:numId w:val="3"/>
        </w:numPr>
        <w:rPr>
          <w:rFonts w:ascii="Verdana" w:hAnsi="Verdana"/>
          <w:sz w:val="24"/>
          <w:szCs w:val="24"/>
          <w:lang w:val="en-US"/>
        </w:rPr>
      </w:pPr>
      <w:r w:rsidRPr="003B714E">
        <w:rPr>
          <w:rFonts w:ascii="Verdana" w:hAnsi="Verdana"/>
          <w:sz w:val="24"/>
          <w:szCs w:val="24"/>
          <w:lang w:val="en-US"/>
        </w:rPr>
        <w:t>approximately 22,000 children were no longer experiencing material hardship compared to the year that ended in June 2018.</w:t>
      </w:r>
    </w:p>
    <w:p w14:paraId="38B512FA" w14:textId="77777777"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Although these statistics present a positive story, we acknowledge that these numbers are still too high and more must be done.</w:t>
      </w:r>
    </w:p>
    <w:p w14:paraId="15A5E561" w14:textId="77777777" w:rsidR="003B714E" w:rsidRPr="003B714E" w:rsidRDefault="003B714E" w:rsidP="003B714E">
      <w:pPr>
        <w:numPr>
          <w:ilvl w:val="0"/>
          <w:numId w:val="10"/>
        </w:numPr>
        <w:rPr>
          <w:rFonts w:ascii="Verdana" w:hAnsi="Verdana"/>
          <w:sz w:val="24"/>
          <w:szCs w:val="24"/>
          <w:lang w:val="en-US"/>
        </w:rPr>
      </w:pPr>
      <w:r w:rsidRPr="003B714E">
        <w:rPr>
          <w:rFonts w:ascii="Verdana" w:hAnsi="Verdana"/>
          <w:sz w:val="24"/>
          <w:szCs w:val="24"/>
          <w:lang w:val="en-US"/>
        </w:rPr>
        <w:t>And we are doing more.</w:t>
      </w:r>
    </w:p>
    <w:p w14:paraId="185D6493" w14:textId="77777777" w:rsidR="003B714E" w:rsidRPr="003B714E" w:rsidRDefault="003B714E" w:rsidP="003B714E">
      <w:pPr>
        <w:rPr>
          <w:rFonts w:ascii="Verdana" w:hAnsi="Verdana"/>
          <w:b/>
          <w:bCs/>
          <w:sz w:val="28"/>
          <w:szCs w:val="28"/>
        </w:rPr>
      </w:pPr>
      <w:r w:rsidRPr="003B714E">
        <w:rPr>
          <w:rFonts w:ascii="Verdana" w:hAnsi="Verdana"/>
          <w:b/>
          <w:bCs/>
          <w:sz w:val="28"/>
          <w:szCs w:val="28"/>
        </w:rPr>
        <w:t xml:space="preserve">New Zealand’s Commitment to the Convention on the Rights of the Child </w:t>
      </w:r>
    </w:p>
    <w:p w14:paraId="51E826EE" w14:textId="7AB11E36" w:rsidR="003B714E" w:rsidRPr="003B714E" w:rsidRDefault="003B714E" w:rsidP="003B714E">
      <w:pPr>
        <w:numPr>
          <w:ilvl w:val="0"/>
          <w:numId w:val="10"/>
        </w:numPr>
        <w:rPr>
          <w:rFonts w:ascii="Verdana" w:hAnsi="Verdana"/>
          <w:sz w:val="24"/>
          <w:szCs w:val="24"/>
        </w:rPr>
      </w:pPr>
      <w:r w:rsidRPr="003B714E">
        <w:rPr>
          <w:rFonts w:ascii="Verdana" w:hAnsi="Verdana"/>
          <w:sz w:val="24"/>
          <w:szCs w:val="24"/>
        </w:rPr>
        <w:t xml:space="preserve">Since New Zealand’s last </w:t>
      </w:r>
      <w:r w:rsidR="00F54DFC">
        <w:rPr>
          <w:rFonts w:ascii="Verdana" w:hAnsi="Verdana"/>
          <w:sz w:val="24"/>
          <w:szCs w:val="24"/>
        </w:rPr>
        <w:t>e</w:t>
      </w:r>
      <w:r w:rsidRPr="003B714E">
        <w:rPr>
          <w:rFonts w:ascii="Verdana" w:hAnsi="Verdana"/>
          <w:sz w:val="24"/>
          <w:szCs w:val="24"/>
        </w:rPr>
        <w:t xml:space="preserve">xamination in 2016, we have made progress in advancing children’s rights, particularly in policy and strategy, and legislative reforms, in line with the Committee’s recommendations. </w:t>
      </w:r>
    </w:p>
    <w:p w14:paraId="7E8FFE91" w14:textId="30A34D5D" w:rsidR="00F03C18" w:rsidRDefault="00F03C18" w:rsidP="000641DC">
      <w:pPr>
        <w:pStyle w:val="ListParagraph"/>
        <w:numPr>
          <w:ilvl w:val="0"/>
          <w:numId w:val="10"/>
        </w:numPr>
        <w:contextualSpacing w:val="0"/>
        <w:rPr>
          <w:rFonts w:ascii="Verdana" w:hAnsi="Verdana"/>
          <w:sz w:val="24"/>
          <w:szCs w:val="24"/>
        </w:rPr>
      </w:pPr>
      <w:r>
        <w:rPr>
          <w:rFonts w:ascii="Verdana" w:hAnsi="Verdana"/>
          <w:sz w:val="24"/>
          <w:szCs w:val="24"/>
        </w:rPr>
        <w:t>In 2017, a new Ministry called Oranga Tamariki, was set up to be responsible for children in the care and protection system</w:t>
      </w:r>
      <w:r w:rsidR="00F54DFC">
        <w:rPr>
          <w:rFonts w:ascii="Verdana" w:hAnsi="Verdana"/>
          <w:sz w:val="24"/>
          <w:szCs w:val="24"/>
        </w:rPr>
        <w:t xml:space="preserve">. </w:t>
      </w:r>
      <w:r>
        <w:rPr>
          <w:rFonts w:ascii="Verdana" w:hAnsi="Verdana"/>
          <w:sz w:val="24"/>
          <w:szCs w:val="24"/>
        </w:rPr>
        <w:t xml:space="preserve"> </w:t>
      </w:r>
    </w:p>
    <w:p w14:paraId="5FA9E0EA" w14:textId="77777777" w:rsidR="00D175C2" w:rsidRDefault="003B714E" w:rsidP="000641DC">
      <w:pPr>
        <w:pStyle w:val="ListParagraph"/>
        <w:numPr>
          <w:ilvl w:val="0"/>
          <w:numId w:val="10"/>
        </w:numPr>
        <w:contextualSpacing w:val="0"/>
        <w:rPr>
          <w:rFonts w:ascii="Verdana" w:hAnsi="Verdana"/>
          <w:sz w:val="24"/>
          <w:szCs w:val="24"/>
        </w:rPr>
      </w:pPr>
      <w:r w:rsidRPr="000641DC">
        <w:rPr>
          <w:rFonts w:ascii="Verdana" w:hAnsi="Verdana"/>
          <w:sz w:val="24"/>
          <w:szCs w:val="24"/>
        </w:rPr>
        <w:t>In 2018 and 2019, we announced a series of initiatives aimed at improving the health and wellbeing of children and young people</w:t>
      </w:r>
      <w:r w:rsidR="005F6899">
        <w:rPr>
          <w:rFonts w:ascii="Verdana" w:hAnsi="Verdana"/>
          <w:sz w:val="24"/>
          <w:szCs w:val="24"/>
        </w:rPr>
        <w:t xml:space="preserve"> and added </w:t>
      </w:r>
      <w:r w:rsidR="00F03C18">
        <w:rPr>
          <w:rFonts w:ascii="Verdana" w:hAnsi="Verdana"/>
          <w:sz w:val="24"/>
          <w:szCs w:val="24"/>
        </w:rPr>
        <w:t xml:space="preserve">the </w:t>
      </w:r>
      <w:r w:rsidR="005F6899">
        <w:rPr>
          <w:rFonts w:ascii="Verdana" w:hAnsi="Verdana"/>
          <w:sz w:val="24"/>
          <w:szCs w:val="24"/>
        </w:rPr>
        <w:t>C</w:t>
      </w:r>
      <w:r w:rsidR="00F03C18">
        <w:rPr>
          <w:rFonts w:ascii="Verdana" w:hAnsi="Verdana"/>
          <w:sz w:val="24"/>
          <w:szCs w:val="24"/>
        </w:rPr>
        <w:t xml:space="preserve">onvention on the </w:t>
      </w:r>
      <w:r w:rsidR="005F6899">
        <w:rPr>
          <w:rFonts w:ascii="Verdana" w:hAnsi="Verdana"/>
          <w:sz w:val="24"/>
          <w:szCs w:val="24"/>
        </w:rPr>
        <w:t>R</w:t>
      </w:r>
      <w:r w:rsidR="00F03C18">
        <w:rPr>
          <w:rFonts w:ascii="Verdana" w:hAnsi="Verdana"/>
          <w:sz w:val="24"/>
          <w:szCs w:val="24"/>
        </w:rPr>
        <w:t xml:space="preserve">ights of the </w:t>
      </w:r>
      <w:r w:rsidR="005F6899">
        <w:rPr>
          <w:rFonts w:ascii="Verdana" w:hAnsi="Verdana"/>
          <w:sz w:val="24"/>
          <w:szCs w:val="24"/>
        </w:rPr>
        <w:t>C</w:t>
      </w:r>
      <w:r w:rsidR="00F03C18">
        <w:rPr>
          <w:rFonts w:ascii="Verdana" w:hAnsi="Verdana"/>
          <w:sz w:val="24"/>
          <w:szCs w:val="24"/>
        </w:rPr>
        <w:t>hild</w:t>
      </w:r>
      <w:r w:rsidR="005F6899">
        <w:rPr>
          <w:rFonts w:ascii="Verdana" w:hAnsi="Verdana"/>
          <w:sz w:val="24"/>
          <w:szCs w:val="24"/>
        </w:rPr>
        <w:t xml:space="preserve"> into our primary child protection legislation</w:t>
      </w:r>
      <w:r w:rsidRPr="000641DC">
        <w:rPr>
          <w:rFonts w:ascii="Verdana" w:hAnsi="Verdana"/>
          <w:sz w:val="24"/>
          <w:szCs w:val="24"/>
        </w:rPr>
        <w:t xml:space="preserve">. </w:t>
      </w:r>
    </w:p>
    <w:p w14:paraId="522A55E5" w14:textId="184118C7" w:rsidR="003B714E" w:rsidRPr="000641DC" w:rsidRDefault="00D175C2" w:rsidP="000641DC">
      <w:pPr>
        <w:pStyle w:val="ListParagraph"/>
        <w:numPr>
          <w:ilvl w:val="0"/>
          <w:numId w:val="10"/>
        </w:numPr>
        <w:rPr>
          <w:rFonts w:ascii="Verdana" w:hAnsi="Verdana"/>
          <w:sz w:val="24"/>
          <w:szCs w:val="24"/>
        </w:rPr>
      </w:pPr>
      <w:r>
        <w:rPr>
          <w:rFonts w:ascii="Verdana" w:hAnsi="Verdana"/>
          <w:sz w:val="24"/>
          <w:szCs w:val="24"/>
        </w:rPr>
        <w:t xml:space="preserve">Some of these </w:t>
      </w:r>
      <w:r w:rsidR="005F6899">
        <w:rPr>
          <w:rFonts w:ascii="Verdana" w:hAnsi="Verdana"/>
          <w:sz w:val="24"/>
          <w:szCs w:val="24"/>
        </w:rPr>
        <w:t>initiatives</w:t>
      </w:r>
      <w:r w:rsidR="003B714E" w:rsidRPr="000641DC">
        <w:rPr>
          <w:rFonts w:ascii="Verdana" w:hAnsi="Verdana"/>
          <w:sz w:val="24"/>
          <w:szCs w:val="24"/>
        </w:rPr>
        <w:t xml:space="preserve"> include</w:t>
      </w:r>
      <w:r>
        <w:rPr>
          <w:rFonts w:ascii="Verdana" w:hAnsi="Verdana"/>
          <w:sz w:val="24"/>
          <w:szCs w:val="24"/>
        </w:rPr>
        <w:t xml:space="preserve"> but are not limited to</w:t>
      </w:r>
      <w:r w:rsidR="003B714E" w:rsidRPr="000641DC">
        <w:rPr>
          <w:rFonts w:ascii="Verdana" w:hAnsi="Verdana"/>
          <w:sz w:val="24"/>
          <w:szCs w:val="24"/>
        </w:rPr>
        <w:t>:</w:t>
      </w:r>
    </w:p>
    <w:p w14:paraId="3D2E1F70" w14:textId="7F3DF787" w:rsidR="003B714E" w:rsidRPr="003B714E" w:rsidRDefault="003C338D" w:rsidP="000641DC">
      <w:pPr>
        <w:numPr>
          <w:ilvl w:val="0"/>
          <w:numId w:val="5"/>
        </w:numPr>
        <w:ind w:left="1080"/>
        <w:rPr>
          <w:rFonts w:ascii="Verdana" w:hAnsi="Verdana"/>
          <w:sz w:val="24"/>
          <w:szCs w:val="24"/>
        </w:rPr>
      </w:pPr>
      <w:r>
        <w:rPr>
          <w:rFonts w:ascii="Verdana" w:hAnsi="Verdana"/>
          <w:sz w:val="24"/>
          <w:szCs w:val="24"/>
        </w:rPr>
        <w:t>T</w:t>
      </w:r>
      <w:r w:rsidR="003B714E" w:rsidRPr="003B714E">
        <w:rPr>
          <w:rFonts w:ascii="Verdana" w:hAnsi="Verdana"/>
          <w:sz w:val="24"/>
          <w:szCs w:val="24"/>
        </w:rPr>
        <w:t>he introduction of the $5.5 billion Families Package in 2018, which provided additional financial assistance to low- and middle-income families with children. Among the measures introduced were:</w:t>
      </w:r>
    </w:p>
    <w:p w14:paraId="2D78DF16" w14:textId="48E94D33" w:rsidR="003B714E" w:rsidRPr="003B714E" w:rsidRDefault="003B714E" w:rsidP="000641DC">
      <w:pPr>
        <w:numPr>
          <w:ilvl w:val="1"/>
          <w:numId w:val="5"/>
        </w:numPr>
        <w:ind w:left="1800"/>
        <w:rPr>
          <w:rFonts w:ascii="Verdana" w:hAnsi="Verdana"/>
          <w:sz w:val="24"/>
          <w:szCs w:val="24"/>
        </w:rPr>
      </w:pPr>
      <w:r w:rsidRPr="003B714E">
        <w:rPr>
          <w:rFonts w:ascii="Verdana" w:hAnsi="Verdana"/>
          <w:sz w:val="24"/>
          <w:szCs w:val="24"/>
        </w:rPr>
        <w:lastRenderedPageBreak/>
        <w:t xml:space="preserve">increasing the Family Tax Credit and raising the </w:t>
      </w:r>
      <w:r w:rsidR="00B96499">
        <w:rPr>
          <w:rFonts w:ascii="Verdana" w:hAnsi="Verdana"/>
          <w:sz w:val="24"/>
          <w:szCs w:val="24"/>
        </w:rPr>
        <w:t xml:space="preserve">threshold of income permitted before the benefit called </w:t>
      </w:r>
      <w:r w:rsidRPr="003B714E">
        <w:rPr>
          <w:rFonts w:ascii="Verdana" w:hAnsi="Verdana"/>
          <w:sz w:val="24"/>
          <w:szCs w:val="24"/>
        </w:rPr>
        <w:t xml:space="preserve">Working for Families </w:t>
      </w:r>
      <w:r w:rsidR="00B96499">
        <w:rPr>
          <w:rFonts w:ascii="Verdana" w:hAnsi="Verdana"/>
          <w:sz w:val="24"/>
          <w:szCs w:val="24"/>
        </w:rPr>
        <w:t xml:space="preserve">is </w:t>
      </w:r>
      <w:r w:rsidR="00B96499" w:rsidRPr="003B714E">
        <w:rPr>
          <w:rFonts w:ascii="Verdana" w:hAnsi="Verdana"/>
          <w:sz w:val="24"/>
          <w:szCs w:val="24"/>
        </w:rPr>
        <w:t>abate</w:t>
      </w:r>
      <w:r w:rsidR="00B96499">
        <w:rPr>
          <w:rFonts w:ascii="Verdana" w:hAnsi="Verdana"/>
          <w:sz w:val="24"/>
          <w:szCs w:val="24"/>
        </w:rPr>
        <w:t>d</w:t>
      </w:r>
      <w:r w:rsidRPr="003B714E">
        <w:rPr>
          <w:rFonts w:ascii="Verdana" w:hAnsi="Verdana"/>
          <w:sz w:val="24"/>
          <w:szCs w:val="24"/>
        </w:rPr>
        <w:t xml:space="preserve">; </w:t>
      </w:r>
    </w:p>
    <w:p w14:paraId="111308D7" w14:textId="77777777" w:rsidR="003B714E" w:rsidRPr="003B714E" w:rsidRDefault="003B714E" w:rsidP="000641DC">
      <w:pPr>
        <w:numPr>
          <w:ilvl w:val="1"/>
          <w:numId w:val="5"/>
        </w:numPr>
        <w:ind w:left="1800"/>
        <w:rPr>
          <w:rFonts w:ascii="Verdana" w:hAnsi="Verdana"/>
          <w:sz w:val="24"/>
          <w:szCs w:val="24"/>
        </w:rPr>
      </w:pPr>
      <w:r w:rsidRPr="003B714E">
        <w:rPr>
          <w:rFonts w:ascii="Verdana" w:hAnsi="Verdana"/>
          <w:sz w:val="24"/>
          <w:szCs w:val="24"/>
        </w:rPr>
        <w:t xml:space="preserve">introducing the Best Start tax credit to help families with costs in a child’s early years; and </w:t>
      </w:r>
    </w:p>
    <w:p w14:paraId="2246DC46" w14:textId="77777777" w:rsidR="003B714E" w:rsidRPr="003B714E" w:rsidRDefault="003B714E" w:rsidP="000641DC">
      <w:pPr>
        <w:numPr>
          <w:ilvl w:val="1"/>
          <w:numId w:val="5"/>
        </w:numPr>
        <w:ind w:left="1800"/>
        <w:rPr>
          <w:rFonts w:ascii="Verdana" w:hAnsi="Verdana"/>
          <w:sz w:val="24"/>
          <w:szCs w:val="24"/>
        </w:rPr>
      </w:pPr>
      <w:r w:rsidRPr="003B714E">
        <w:rPr>
          <w:rFonts w:ascii="Verdana" w:hAnsi="Verdana"/>
          <w:sz w:val="24"/>
          <w:szCs w:val="24"/>
        </w:rPr>
        <w:t xml:space="preserve">increasing paid parental leave to 26 weeks as well as the rate of Orphan’s Benefit, Unsupported Child’s Benefit and Foster Care Allowance. </w:t>
      </w:r>
    </w:p>
    <w:p w14:paraId="137D3DCD" w14:textId="5681EE53" w:rsidR="003B714E" w:rsidRPr="003B714E" w:rsidRDefault="003C338D" w:rsidP="000641DC">
      <w:pPr>
        <w:numPr>
          <w:ilvl w:val="0"/>
          <w:numId w:val="4"/>
        </w:numPr>
        <w:ind w:left="1080"/>
        <w:rPr>
          <w:rFonts w:ascii="Verdana" w:hAnsi="Verdana"/>
          <w:sz w:val="24"/>
          <w:szCs w:val="24"/>
        </w:rPr>
      </w:pPr>
      <w:r>
        <w:rPr>
          <w:rFonts w:ascii="Verdana" w:hAnsi="Verdana"/>
          <w:sz w:val="24"/>
          <w:szCs w:val="24"/>
        </w:rPr>
        <w:t>T</w:t>
      </w:r>
      <w:r w:rsidR="003B714E" w:rsidRPr="003B714E">
        <w:rPr>
          <w:rFonts w:ascii="Verdana" w:hAnsi="Verdana"/>
          <w:sz w:val="24"/>
          <w:szCs w:val="24"/>
        </w:rPr>
        <w:t>he expansion of free doctors’ visits from 13 years old to those under 14 years old in 2018.</w:t>
      </w:r>
    </w:p>
    <w:p w14:paraId="46B8A92E" w14:textId="16C89DDD" w:rsidR="003B714E" w:rsidRPr="003B714E" w:rsidRDefault="003C338D" w:rsidP="000641DC">
      <w:pPr>
        <w:numPr>
          <w:ilvl w:val="0"/>
          <w:numId w:val="4"/>
        </w:numPr>
        <w:ind w:left="1080"/>
        <w:rPr>
          <w:rFonts w:ascii="Verdana" w:hAnsi="Verdana"/>
          <w:sz w:val="24"/>
          <w:szCs w:val="24"/>
        </w:rPr>
      </w:pPr>
      <w:r>
        <w:rPr>
          <w:rFonts w:ascii="Verdana" w:hAnsi="Verdana"/>
          <w:sz w:val="24"/>
          <w:szCs w:val="24"/>
        </w:rPr>
        <w:t>A</w:t>
      </w:r>
      <w:r w:rsidR="004327E9">
        <w:rPr>
          <w:rFonts w:ascii="Verdana" w:hAnsi="Verdana"/>
          <w:sz w:val="24"/>
          <w:szCs w:val="24"/>
        </w:rPr>
        <w:t>nd t</w:t>
      </w:r>
      <w:r w:rsidR="003B714E" w:rsidRPr="003B714E">
        <w:rPr>
          <w:rFonts w:ascii="Verdana" w:hAnsi="Verdana"/>
          <w:sz w:val="24"/>
          <w:szCs w:val="24"/>
        </w:rPr>
        <w:t>he passing of the Residential Tenancies (Health Homes Standards) Regulations in 2019 to address cold, damp and draughty rentals to help ensure that children living in rentals are in warm, dry</w:t>
      </w:r>
      <w:r w:rsidR="007120FC">
        <w:rPr>
          <w:rFonts w:ascii="Verdana" w:hAnsi="Verdana"/>
          <w:sz w:val="24"/>
          <w:szCs w:val="24"/>
        </w:rPr>
        <w:t xml:space="preserve"> and</w:t>
      </w:r>
      <w:r w:rsidR="003B714E" w:rsidRPr="003B714E">
        <w:rPr>
          <w:rFonts w:ascii="Verdana" w:hAnsi="Verdana"/>
          <w:sz w:val="24"/>
          <w:szCs w:val="24"/>
        </w:rPr>
        <w:t xml:space="preserve"> healthy homes. </w:t>
      </w:r>
    </w:p>
    <w:p w14:paraId="7D29185A" w14:textId="1001A164" w:rsidR="002C7715" w:rsidRPr="000641DC" w:rsidRDefault="002C7715" w:rsidP="002C7715">
      <w:pPr>
        <w:pStyle w:val="ListParagraph"/>
        <w:numPr>
          <w:ilvl w:val="0"/>
          <w:numId w:val="10"/>
        </w:numPr>
        <w:rPr>
          <w:rFonts w:ascii="Verdana" w:hAnsi="Verdana"/>
          <w:sz w:val="24"/>
          <w:szCs w:val="24"/>
        </w:rPr>
      </w:pPr>
      <w:r>
        <w:rPr>
          <w:rFonts w:ascii="Verdana" w:hAnsi="Verdana"/>
          <w:sz w:val="24"/>
          <w:szCs w:val="24"/>
        </w:rPr>
        <w:t>In 2018</w:t>
      </w:r>
      <w:r w:rsidR="009A30B3">
        <w:rPr>
          <w:rFonts w:ascii="Verdana" w:hAnsi="Verdana"/>
          <w:sz w:val="24"/>
          <w:szCs w:val="24"/>
        </w:rPr>
        <w:t>,</w:t>
      </w:r>
      <w:r>
        <w:rPr>
          <w:rFonts w:ascii="Verdana" w:hAnsi="Verdana"/>
          <w:sz w:val="24"/>
          <w:szCs w:val="24"/>
        </w:rPr>
        <w:t xml:space="preserve"> we passed the Child Poverty Reduction Act and amended the Children’s Act (2014).</w:t>
      </w:r>
      <w:r w:rsidRPr="000641DC">
        <w:rPr>
          <w:rFonts w:ascii="Verdana" w:hAnsi="Verdana"/>
          <w:sz w:val="24"/>
          <w:szCs w:val="24"/>
        </w:rPr>
        <w:t xml:space="preserve"> </w:t>
      </w:r>
      <w:r>
        <w:rPr>
          <w:rFonts w:ascii="Verdana" w:hAnsi="Verdana"/>
          <w:sz w:val="24"/>
          <w:szCs w:val="24"/>
        </w:rPr>
        <w:t xml:space="preserve">The Child Poverty Reduction legislation holds current and future </w:t>
      </w:r>
      <w:r w:rsidR="00F71920">
        <w:rPr>
          <w:rFonts w:ascii="Verdana" w:hAnsi="Verdana"/>
          <w:sz w:val="24"/>
          <w:szCs w:val="24"/>
        </w:rPr>
        <w:t>g</w:t>
      </w:r>
      <w:r>
        <w:rPr>
          <w:rFonts w:ascii="Verdana" w:hAnsi="Verdana"/>
          <w:sz w:val="24"/>
          <w:szCs w:val="24"/>
        </w:rPr>
        <w:t>overnments to account and</w:t>
      </w:r>
      <w:r w:rsidRPr="000641DC">
        <w:rPr>
          <w:rFonts w:ascii="Verdana" w:hAnsi="Verdana"/>
          <w:sz w:val="24"/>
          <w:szCs w:val="24"/>
        </w:rPr>
        <w:t xml:space="preserve"> requires </w:t>
      </w:r>
      <w:r>
        <w:rPr>
          <w:rFonts w:ascii="Verdana" w:hAnsi="Verdana"/>
          <w:sz w:val="24"/>
          <w:szCs w:val="24"/>
        </w:rPr>
        <w:t>them</w:t>
      </w:r>
      <w:r w:rsidRPr="000641DC">
        <w:rPr>
          <w:rFonts w:ascii="Verdana" w:hAnsi="Verdana"/>
          <w:sz w:val="24"/>
          <w:szCs w:val="24"/>
        </w:rPr>
        <w:t xml:space="preserve"> to:</w:t>
      </w:r>
    </w:p>
    <w:p w14:paraId="2C982A1C" w14:textId="77777777" w:rsidR="002C7715" w:rsidRPr="003B714E" w:rsidRDefault="002C7715" w:rsidP="002C7715">
      <w:pPr>
        <w:numPr>
          <w:ilvl w:val="0"/>
          <w:numId w:val="6"/>
        </w:numPr>
        <w:rPr>
          <w:rFonts w:ascii="Verdana" w:hAnsi="Verdana"/>
          <w:sz w:val="24"/>
          <w:szCs w:val="24"/>
        </w:rPr>
      </w:pPr>
      <w:r w:rsidRPr="003B714E">
        <w:rPr>
          <w:rFonts w:ascii="Verdana" w:hAnsi="Verdana"/>
          <w:sz w:val="24"/>
          <w:szCs w:val="24"/>
        </w:rPr>
        <w:t>set long-term 10-year and intermediate 3-year targets on a defined set of child poverty measures</w:t>
      </w:r>
      <w:r>
        <w:rPr>
          <w:rFonts w:ascii="Verdana" w:hAnsi="Verdana"/>
          <w:sz w:val="24"/>
          <w:szCs w:val="24"/>
        </w:rPr>
        <w:t>, some of which I have already highlighted</w:t>
      </w:r>
      <w:r w:rsidRPr="003B714E">
        <w:rPr>
          <w:rFonts w:ascii="Verdana" w:hAnsi="Verdana"/>
          <w:sz w:val="24"/>
          <w:szCs w:val="24"/>
        </w:rPr>
        <w:t>;</w:t>
      </w:r>
    </w:p>
    <w:p w14:paraId="64943FEC" w14:textId="77777777" w:rsidR="002C7715" w:rsidRPr="003B714E" w:rsidRDefault="002C7715" w:rsidP="002C7715">
      <w:pPr>
        <w:numPr>
          <w:ilvl w:val="0"/>
          <w:numId w:val="6"/>
        </w:numPr>
        <w:rPr>
          <w:rFonts w:ascii="Verdana" w:hAnsi="Verdana"/>
          <w:sz w:val="24"/>
          <w:szCs w:val="24"/>
        </w:rPr>
      </w:pPr>
      <w:r w:rsidRPr="003B714E">
        <w:rPr>
          <w:rFonts w:ascii="Verdana" w:hAnsi="Verdana"/>
          <w:sz w:val="24"/>
          <w:szCs w:val="24"/>
        </w:rPr>
        <w:t xml:space="preserve">report annually on the set of child poverty measures; </w:t>
      </w:r>
    </w:p>
    <w:p w14:paraId="26653314" w14:textId="6CB9A00F" w:rsidR="002C7715" w:rsidRPr="003B714E" w:rsidRDefault="002C7715" w:rsidP="002C7715">
      <w:pPr>
        <w:numPr>
          <w:ilvl w:val="0"/>
          <w:numId w:val="6"/>
        </w:numPr>
        <w:rPr>
          <w:rFonts w:ascii="Verdana" w:hAnsi="Verdana"/>
          <w:sz w:val="24"/>
          <w:szCs w:val="24"/>
        </w:rPr>
      </w:pPr>
      <w:r w:rsidRPr="003B714E">
        <w:rPr>
          <w:rFonts w:ascii="Verdana" w:hAnsi="Verdana"/>
          <w:sz w:val="24"/>
          <w:szCs w:val="24"/>
        </w:rPr>
        <w:t xml:space="preserve">report each budget day on how the budget will reduce child poverty and how the </w:t>
      </w:r>
      <w:r w:rsidR="007120FC">
        <w:rPr>
          <w:rFonts w:ascii="Verdana" w:hAnsi="Verdana"/>
          <w:sz w:val="24"/>
          <w:szCs w:val="24"/>
        </w:rPr>
        <w:t>G</w:t>
      </w:r>
      <w:r w:rsidRPr="003B714E">
        <w:rPr>
          <w:rFonts w:ascii="Verdana" w:hAnsi="Verdana"/>
          <w:sz w:val="24"/>
          <w:szCs w:val="24"/>
        </w:rPr>
        <w:t>overnment is progressing towards its targets; and</w:t>
      </w:r>
    </w:p>
    <w:p w14:paraId="75A4375B" w14:textId="1D552562" w:rsidR="002C7715" w:rsidRPr="000B77B9" w:rsidRDefault="002C7715" w:rsidP="000B77B9">
      <w:pPr>
        <w:numPr>
          <w:ilvl w:val="0"/>
          <w:numId w:val="6"/>
        </w:numPr>
        <w:rPr>
          <w:rFonts w:ascii="Verdana" w:hAnsi="Verdana"/>
          <w:sz w:val="24"/>
          <w:szCs w:val="24"/>
        </w:rPr>
      </w:pPr>
      <w:r w:rsidRPr="003B714E">
        <w:rPr>
          <w:rFonts w:ascii="Verdana" w:hAnsi="Verdana"/>
          <w:sz w:val="24"/>
          <w:szCs w:val="24"/>
        </w:rPr>
        <w:t xml:space="preserve">report on its position on child poverty indicators. </w:t>
      </w:r>
    </w:p>
    <w:p w14:paraId="353F1D08" w14:textId="2F5927C0" w:rsidR="003B714E" w:rsidRPr="000641DC" w:rsidRDefault="002C7715" w:rsidP="000641DC">
      <w:pPr>
        <w:pStyle w:val="ListParagraph"/>
        <w:numPr>
          <w:ilvl w:val="0"/>
          <w:numId w:val="10"/>
        </w:numPr>
        <w:contextualSpacing w:val="0"/>
        <w:rPr>
          <w:rFonts w:ascii="Verdana" w:hAnsi="Verdana"/>
          <w:sz w:val="24"/>
          <w:szCs w:val="24"/>
        </w:rPr>
      </w:pPr>
      <w:r>
        <w:rPr>
          <w:rFonts w:ascii="Verdana" w:hAnsi="Verdana"/>
          <w:sz w:val="24"/>
          <w:szCs w:val="24"/>
        </w:rPr>
        <w:t>T</w:t>
      </w:r>
      <w:r w:rsidRPr="000641DC">
        <w:rPr>
          <w:rFonts w:ascii="Verdana" w:hAnsi="Verdana"/>
          <w:sz w:val="24"/>
          <w:szCs w:val="24"/>
        </w:rPr>
        <w:t xml:space="preserve">he Child and Youth Wellbeing Strategy was introduced </w:t>
      </w:r>
      <w:r>
        <w:rPr>
          <w:rFonts w:ascii="Verdana" w:hAnsi="Verdana"/>
          <w:sz w:val="24"/>
          <w:szCs w:val="24"/>
        </w:rPr>
        <w:t>in 2019 and proves to be one of o</w:t>
      </w:r>
      <w:r w:rsidR="003B714E" w:rsidRPr="000641DC">
        <w:rPr>
          <w:rFonts w:ascii="Verdana" w:hAnsi="Verdana"/>
          <w:sz w:val="24"/>
          <w:szCs w:val="24"/>
        </w:rPr>
        <w:t>ur most significant achievement</w:t>
      </w:r>
      <w:r>
        <w:rPr>
          <w:rFonts w:ascii="Verdana" w:hAnsi="Verdana"/>
          <w:sz w:val="24"/>
          <w:szCs w:val="24"/>
        </w:rPr>
        <w:t>s in bringing a focus on child and youth wellbeing</w:t>
      </w:r>
      <w:r w:rsidR="003B714E" w:rsidRPr="000641DC">
        <w:rPr>
          <w:rFonts w:ascii="Verdana" w:hAnsi="Verdana"/>
          <w:sz w:val="24"/>
          <w:szCs w:val="24"/>
        </w:rPr>
        <w:t xml:space="preserve">. </w:t>
      </w:r>
    </w:p>
    <w:p w14:paraId="51499525" w14:textId="77777777" w:rsidR="003B714E" w:rsidRPr="000641DC" w:rsidRDefault="003B714E" w:rsidP="000641DC">
      <w:pPr>
        <w:pStyle w:val="ListParagraph"/>
        <w:numPr>
          <w:ilvl w:val="0"/>
          <w:numId w:val="10"/>
        </w:numPr>
        <w:contextualSpacing w:val="0"/>
        <w:rPr>
          <w:rFonts w:ascii="Verdana" w:hAnsi="Verdana"/>
          <w:sz w:val="24"/>
          <w:szCs w:val="24"/>
        </w:rPr>
      </w:pPr>
      <w:r w:rsidRPr="000641DC">
        <w:rPr>
          <w:rFonts w:ascii="Verdana" w:hAnsi="Verdana"/>
          <w:sz w:val="24"/>
          <w:szCs w:val="24"/>
        </w:rPr>
        <w:t>This overarching, whole-of-government policy framework aims to make New Zealand a place where all children and young people are loved, confident, happy, healthy, and are empowered to reach their full potential.</w:t>
      </w:r>
    </w:p>
    <w:p w14:paraId="0EEB9319" w14:textId="77777777" w:rsidR="003B714E" w:rsidRPr="000641DC" w:rsidRDefault="003B714E" w:rsidP="000641DC">
      <w:pPr>
        <w:pStyle w:val="ListParagraph"/>
        <w:numPr>
          <w:ilvl w:val="0"/>
          <w:numId w:val="10"/>
        </w:numPr>
        <w:contextualSpacing w:val="0"/>
        <w:rPr>
          <w:rFonts w:ascii="Verdana" w:hAnsi="Verdana"/>
          <w:sz w:val="24"/>
          <w:szCs w:val="24"/>
        </w:rPr>
      </w:pPr>
      <w:r w:rsidRPr="000641DC">
        <w:rPr>
          <w:rFonts w:ascii="Verdana" w:hAnsi="Verdana"/>
          <w:sz w:val="24"/>
          <w:szCs w:val="24"/>
        </w:rPr>
        <w:t xml:space="preserve">It strives to ensure younger and future generations have the opportunity to thrive and prosper. </w:t>
      </w:r>
    </w:p>
    <w:p w14:paraId="7E76D3B6" w14:textId="77777777" w:rsidR="003B714E" w:rsidRPr="000641DC" w:rsidRDefault="003B714E" w:rsidP="000641DC">
      <w:pPr>
        <w:pStyle w:val="ListParagraph"/>
        <w:numPr>
          <w:ilvl w:val="0"/>
          <w:numId w:val="10"/>
        </w:numPr>
        <w:contextualSpacing w:val="0"/>
        <w:rPr>
          <w:rFonts w:ascii="Verdana" w:hAnsi="Verdana"/>
          <w:sz w:val="24"/>
          <w:szCs w:val="24"/>
        </w:rPr>
      </w:pPr>
      <w:r w:rsidRPr="000641DC">
        <w:rPr>
          <w:rFonts w:ascii="Verdana" w:hAnsi="Verdana"/>
          <w:sz w:val="24"/>
          <w:szCs w:val="24"/>
        </w:rPr>
        <w:t>More than 10,000 New Zealanders helped in developing the Strategy, including over 6000 children and young people who told us what makes for a good life and what gets in the way.</w:t>
      </w:r>
    </w:p>
    <w:p w14:paraId="112AEB2A" w14:textId="77777777" w:rsidR="003B714E" w:rsidRPr="000641DC" w:rsidRDefault="003B714E" w:rsidP="000641DC">
      <w:pPr>
        <w:pStyle w:val="ListParagraph"/>
        <w:numPr>
          <w:ilvl w:val="0"/>
          <w:numId w:val="10"/>
        </w:numPr>
        <w:contextualSpacing w:val="0"/>
        <w:rPr>
          <w:rFonts w:ascii="Verdana" w:hAnsi="Verdana"/>
          <w:sz w:val="24"/>
          <w:szCs w:val="24"/>
        </w:rPr>
      </w:pPr>
      <w:r w:rsidRPr="000641DC">
        <w:rPr>
          <w:rFonts w:ascii="Verdana" w:hAnsi="Verdana"/>
          <w:sz w:val="24"/>
          <w:szCs w:val="24"/>
        </w:rPr>
        <w:lastRenderedPageBreak/>
        <w:t>To realise the aspirations that we and New Zealanders have set out, a Programme of Action was created. It sets out the Government’s policies, initiatives, programmes, and plans to achieve the vision and desired outcomes of the Strategy.</w:t>
      </w:r>
    </w:p>
    <w:p w14:paraId="368C7723" w14:textId="77777777" w:rsidR="003B714E" w:rsidRPr="000641DC" w:rsidRDefault="003B714E" w:rsidP="000641DC">
      <w:pPr>
        <w:pStyle w:val="ListParagraph"/>
        <w:numPr>
          <w:ilvl w:val="0"/>
          <w:numId w:val="10"/>
        </w:numPr>
        <w:contextualSpacing w:val="0"/>
        <w:rPr>
          <w:rFonts w:ascii="Verdana" w:hAnsi="Verdana"/>
          <w:sz w:val="24"/>
          <w:szCs w:val="24"/>
        </w:rPr>
      </w:pPr>
      <w:r w:rsidRPr="000641DC">
        <w:rPr>
          <w:rFonts w:ascii="Verdana" w:hAnsi="Verdana"/>
          <w:sz w:val="24"/>
          <w:szCs w:val="24"/>
        </w:rPr>
        <w:t>The Wellbeing Budget of 2019 demonstrated the Government’s commitment to children and young people.</w:t>
      </w:r>
    </w:p>
    <w:p w14:paraId="45C33B21" w14:textId="77777777" w:rsidR="003B714E" w:rsidRPr="000641DC" w:rsidRDefault="003B714E" w:rsidP="000641DC">
      <w:pPr>
        <w:pStyle w:val="ListParagraph"/>
        <w:numPr>
          <w:ilvl w:val="0"/>
          <w:numId w:val="10"/>
        </w:numPr>
        <w:rPr>
          <w:rFonts w:ascii="Verdana" w:hAnsi="Verdana"/>
          <w:sz w:val="24"/>
          <w:szCs w:val="24"/>
        </w:rPr>
      </w:pPr>
      <w:r w:rsidRPr="000641DC">
        <w:rPr>
          <w:rFonts w:ascii="Verdana" w:hAnsi="Verdana"/>
          <w:sz w:val="24"/>
          <w:szCs w:val="24"/>
        </w:rPr>
        <w:t>More than $3.5 billion was committed with funding allocated to:</w:t>
      </w:r>
    </w:p>
    <w:p w14:paraId="6DC02A6A" w14:textId="77777777" w:rsidR="003B714E" w:rsidRPr="003B714E" w:rsidRDefault="003B714E" w:rsidP="003B714E">
      <w:pPr>
        <w:numPr>
          <w:ilvl w:val="0"/>
          <w:numId w:val="7"/>
        </w:numPr>
        <w:rPr>
          <w:rFonts w:ascii="Verdana" w:hAnsi="Verdana"/>
          <w:sz w:val="24"/>
          <w:szCs w:val="24"/>
        </w:rPr>
      </w:pPr>
      <w:r w:rsidRPr="003B714E">
        <w:rPr>
          <w:rFonts w:ascii="Verdana" w:hAnsi="Verdana"/>
          <w:sz w:val="24"/>
          <w:szCs w:val="24"/>
        </w:rPr>
        <w:t>addressing family and sexual violence;</w:t>
      </w:r>
    </w:p>
    <w:p w14:paraId="00282504" w14:textId="77777777" w:rsidR="003B714E" w:rsidRPr="003B714E" w:rsidRDefault="003B714E" w:rsidP="003B714E">
      <w:pPr>
        <w:numPr>
          <w:ilvl w:val="0"/>
          <w:numId w:val="7"/>
        </w:numPr>
        <w:rPr>
          <w:rFonts w:ascii="Verdana" w:hAnsi="Verdana"/>
          <w:sz w:val="24"/>
          <w:szCs w:val="24"/>
        </w:rPr>
      </w:pPr>
      <w:r w:rsidRPr="003B714E">
        <w:rPr>
          <w:rFonts w:ascii="Verdana" w:hAnsi="Verdana"/>
          <w:sz w:val="24"/>
          <w:szCs w:val="24"/>
        </w:rPr>
        <w:t>breaking the cycle for children in State care and helping young people live independently;</w:t>
      </w:r>
    </w:p>
    <w:p w14:paraId="1F20AB59" w14:textId="32AB98D7" w:rsidR="003B714E" w:rsidRPr="003B714E" w:rsidRDefault="003B714E" w:rsidP="003B714E">
      <w:pPr>
        <w:numPr>
          <w:ilvl w:val="0"/>
          <w:numId w:val="7"/>
        </w:numPr>
        <w:rPr>
          <w:rFonts w:ascii="Verdana" w:hAnsi="Verdana"/>
          <w:sz w:val="24"/>
          <w:szCs w:val="24"/>
        </w:rPr>
      </w:pPr>
      <w:r w:rsidRPr="003B714E">
        <w:rPr>
          <w:rFonts w:ascii="Verdana" w:hAnsi="Verdana"/>
          <w:sz w:val="24"/>
          <w:szCs w:val="24"/>
        </w:rPr>
        <w:t xml:space="preserve">increasing funding to schools </w:t>
      </w:r>
      <w:r w:rsidR="00C2671E">
        <w:rPr>
          <w:rFonts w:ascii="Verdana" w:hAnsi="Verdana"/>
          <w:sz w:val="24"/>
          <w:szCs w:val="24"/>
        </w:rPr>
        <w:t>in lower socioeconomic areas</w:t>
      </w:r>
      <w:r w:rsidR="007120FC">
        <w:rPr>
          <w:rFonts w:ascii="Verdana" w:hAnsi="Verdana"/>
          <w:sz w:val="24"/>
          <w:szCs w:val="24"/>
        </w:rPr>
        <w:t>,</w:t>
      </w:r>
      <w:r w:rsidR="00C2671E">
        <w:rPr>
          <w:rFonts w:ascii="Verdana" w:hAnsi="Verdana"/>
          <w:sz w:val="24"/>
          <w:szCs w:val="24"/>
        </w:rPr>
        <w:t xml:space="preserve"> </w:t>
      </w:r>
      <w:r w:rsidR="0082268A">
        <w:rPr>
          <w:rFonts w:ascii="Verdana" w:hAnsi="Verdana"/>
          <w:sz w:val="24"/>
          <w:szCs w:val="24"/>
        </w:rPr>
        <w:t>known as deciles 1 to 7</w:t>
      </w:r>
      <w:r w:rsidR="007120FC">
        <w:rPr>
          <w:rFonts w:ascii="Verdana" w:hAnsi="Verdana"/>
          <w:sz w:val="24"/>
          <w:szCs w:val="24"/>
        </w:rPr>
        <w:t>,</w:t>
      </w:r>
      <w:r w:rsidR="0082268A">
        <w:rPr>
          <w:rFonts w:ascii="Verdana" w:hAnsi="Verdana"/>
          <w:sz w:val="24"/>
          <w:szCs w:val="24"/>
        </w:rPr>
        <w:t xml:space="preserve"> </w:t>
      </w:r>
      <w:r w:rsidRPr="003B714E">
        <w:rPr>
          <w:rFonts w:ascii="Verdana" w:hAnsi="Verdana"/>
          <w:sz w:val="24"/>
          <w:szCs w:val="24"/>
        </w:rPr>
        <w:t>in order to reduce the financial pressures on parents; and</w:t>
      </w:r>
    </w:p>
    <w:p w14:paraId="435A4535" w14:textId="67D1237E" w:rsidR="003B714E" w:rsidRPr="005F4C1F" w:rsidRDefault="00C2671E" w:rsidP="003B714E">
      <w:pPr>
        <w:numPr>
          <w:ilvl w:val="0"/>
          <w:numId w:val="7"/>
        </w:numPr>
        <w:rPr>
          <w:rFonts w:ascii="Verdana" w:hAnsi="Verdana"/>
          <w:sz w:val="24"/>
          <w:szCs w:val="24"/>
        </w:rPr>
      </w:pPr>
      <w:r>
        <w:rPr>
          <w:rFonts w:ascii="Verdana" w:hAnsi="Verdana"/>
          <w:sz w:val="24"/>
          <w:szCs w:val="24"/>
        </w:rPr>
        <w:t xml:space="preserve">linking </w:t>
      </w:r>
      <w:r w:rsidR="003B714E" w:rsidRPr="003B714E">
        <w:rPr>
          <w:rFonts w:ascii="Verdana" w:hAnsi="Verdana"/>
          <w:sz w:val="24"/>
          <w:szCs w:val="24"/>
        </w:rPr>
        <w:t xml:space="preserve">main benefit </w:t>
      </w:r>
      <w:r>
        <w:rPr>
          <w:rFonts w:ascii="Verdana" w:hAnsi="Verdana"/>
          <w:sz w:val="24"/>
          <w:szCs w:val="24"/>
        </w:rPr>
        <w:t xml:space="preserve">levels to inflation </w:t>
      </w:r>
      <w:r w:rsidR="007120FC">
        <w:rPr>
          <w:rFonts w:ascii="Verdana" w:hAnsi="Verdana"/>
          <w:sz w:val="24"/>
          <w:szCs w:val="24"/>
        </w:rPr>
        <w:t>(</w:t>
      </w:r>
      <w:r w:rsidR="0082268A">
        <w:rPr>
          <w:rFonts w:ascii="Verdana" w:hAnsi="Verdana"/>
          <w:sz w:val="24"/>
          <w:szCs w:val="24"/>
        </w:rPr>
        <w:t>index</w:t>
      </w:r>
      <w:r w:rsidR="007120FC">
        <w:rPr>
          <w:rFonts w:ascii="Verdana" w:hAnsi="Verdana"/>
          <w:sz w:val="24"/>
          <w:szCs w:val="24"/>
        </w:rPr>
        <w:t>ation)</w:t>
      </w:r>
      <w:r w:rsidR="0082268A">
        <w:rPr>
          <w:rFonts w:ascii="Verdana" w:hAnsi="Verdana"/>
          <w:sz w:val="24"/>
          <w:szCs w:val="24"/>
        </w:rPr>
        <w:t xml:space="preserve"> </w:t>
      </w:r>
      <w:r w:rsidR="003B714E" w:rsidRPr="003B714E">
        <w:rPr>
          <w:rFonts w:ascii="Verdana" w:hAnsi="Verdana"/>
          <w:sz w:val="24"/>
          <w:szCs w:val="24"/>
        </w:rPr>
        <w:t xml:space="preserve">and removing punitive tax measures as </w:t>
      </w:r>
      <w:r w:rsidR="003B714E" w:rsidRPr="005F4C1F">
        <w:rPr>
          <w:rFonts w:ascii="Verdana" w:hAnsi="Verdana"/>
          <w:sz w:val="24"/>
          <w:szCs w:val="24"/>
        </w:rPr>
        <w:t>means to lift family incomes.</w:t>
      </w:r>
    </w:p>
    <w:p w14:paraId="083C6097" w14:textId="77777777" w:rsidR="00D9133F" w:rsidRPr="005F4C1F" w:rsidRDefault="00D9133F" w:rsidP="00D9133F">
      <w:pPr>
        <w:pStyle w:val="ListParagraph"/>
        <w:numPr>
          <w:ilvl w:val="0"/>
          <w:numId w:val="10"/>
        </w:numPr>
        <w:spacing w:line="257" w:lineRule="auto"/>
        <w:contextualSpacing w:val="0"/>
        <w:rPr>
          <w:rFonts w:ascii="Verdana" w:hAnsi="Verdana"/>
          <w:sz w:val="24"/>
          <w:szCs w:val="24"/>
        </w:rPr>
      </w:pPr>
      <w:r w:rsidRPr="005F4C1F">
        <w:rPr>
          <w:rFonts w:ascii="Verdana" w:hAnsi="Verdana"/>
          <w:sz w:val="24"/>
          <w:szCs w:val="24"/>
        </w:rPr>
        <w:t>Beyond these announcements, we are continuously examining how to improve existing systems and structures.</w:t>
      </w:r>
    </w:p>
    <w:p w14:paraId="09197BD6" w14:textId="0F706EDF" w:rsidR="00D9133F" w:rsidRPr="005F4C1F" w:rsidRDefault="00D9133F" w:rsidP="00BE51AD">
      <w:pPr>
        <w:pStyle w:val="ListParagraph"/>
        <w:numPr>
          <w:ilvl w:val="0"/>
          <w:numId w:val="10"/>
        </w:numPr>
        <w:spacing w:line="256" w:lineRule="auto"/>
        <w:contextualSpacing w:val="0"/>
        <w:rPr>
          <w:rFonts w:ascii="Verdana" w:hAnsi="Verdana"/>
          <w:sz w:val="24"/>
          <w:szCs w:val="24"/>
        </w:rPr>
      </w:pPr>
      <w:r w:rsidRPr="005F4C1F">
        <w:rPr>
          <w:rFonts w:ascii="Verdana" w:hAnsi="Verdana"/>
          <w:sz w:val="24"/>
          <w:szCs w:val="24"/>
        </w:rPr>
        <w:t xml:space="preserve">For instance, the education sector is undergoing a fundamental change. </w:t>
      </w:r>
    </w:p>
    <w:p w14:paraId="0A3EF090" w14:textId="23D04CA8" w:rsidR="00A16219" w:rsidRPr="00A16219" w:rsidRDefault="00A16219" w:rsidP="003D0DA6">
      <w:pPr>
        <w:pStyle w:val="ListParagraph"/>
        <w:numPr>
          <w:ilvl w:val="0"/>
          <w:numId w:val="10"/>
        </w:numPr>
        <w:spacing w:line="256" w:lineRule="auto"/>
        <w:contextualSpacing w:val="0"/>
        <w:rPr>
          <w:rFonts w:ascii="Verdana" w:hAnsi="Verdana"/>
          <w:sz w:val="24"/>
          <w:szCs w:val="24"/>
        </w:rPr>
      </w:pPr>
      <w:r w:rsidRPr="00A16219">
        <w:rPr>
          <w:rFonts w:ascii="Verdana" w:hAnsi="Verdana"/>
          <w:sz w:val="24"/>
          <w:szCs w:val="24"/>
        </w:rPr>
        <w:t xml:space="preserve">In 2019, following extensive public consultation on the future of education in Aotearoa, the Government released its vision, which reflects the aspirations of New Zealanders </w:t>
      </w:r>
      <w:r>
        <w:rPr>
          <w:rFonts w:ascii="Verdana" w:hAnsi="Verdana"/>
          <w:sz w:val="24"/>
          <w:szCs w:val="24"/>
        </w:rPr>
        <w:t>to have</w:t>
      </w:r>
      <w:r w:rsidRPr="00A16219">
        <w:rPr>
          <w:rFonts w:ascii="Verdana" w:hAnsi="Verdana"/>
          <w:sz w:val="24"/>
          <w:szCs w:val="24"/>
        </w:rPr>
        <w:t xml:space="preserve"> a more inclusive, equitable, connected and future-focused NZ learning system</w:t>
      </w:r>
      <w:r>
        <w:rPr>
          <w:rFonts w:ascii="Verdana" w:hAnsi="Verdana"/>
          <w:sz w:val="24"/>
          <w:szCs w:val="24"/>
        </w:rPr>
        <w:t xml:space="preserve">. </w:t>
      </w:r>
    </w:p>
    <w:p w14:paraId="2B9F7910" w14:textId="7F102DAC" w:rsidR="00A16219" w:rsidRDefault="00A16219" w:rsidP="00A16219">
      <w:pPr>
        <w:pStyle w:val="ListParagraph"/>
        <w:numPr>
          <w:ilvl w:val="0"/>
          <w:numId w:val="10"/>
        </w:numPr>
        <w:spacing w:line="256" w:lineRule="auto"/>
        <w:contextualSpacing w:val="0"/>
        <w:rPr>
          <w:rFonts w:ascii="Verdana" w:hAnsi="Verdana"/>
          <w:sz w:val="24"/>
          <w:szCs w:val="24"/>
        </w:rPr>
      </w:pPr>
      <w:r w:rsidRPr="000E0DA3">
        <w:rPr>
          <w:rFonts w:ascii="Verdana" w:hAnsi="Verdana"/>
          <w:sz w:val="24"/>
          <w:szCs w:val="24"/>
        </w:rPr>
        <w:t xml:space="preserve">This vision is advanced by </w:t>
      </w:r>
      <w:r>
        <w:rPr>
          <w:rFonts w:ascii="Verdana" w:hAnsi="Verdana"/>
          <w:sz w:val="24"/>
          <w:szCs w:val="24"/>
        </w:rPr>
        <w:t>five</w:t>
      </w:r>
      <w:r w:rsidRPr="000E0DA3">
        <w:rPr>
          <w:rFonts w:ascii="Verdana" w:hAnsi="Verdana"/>
          <w:sz w:val="24"/>
          <w:szCs w:val="24"/>
        </w:rPr>
        <w:t xml:space="preserve"> overarching objectives for the education system, from early learning through schooling to tertiary and lifelong learning</w:t>
      </w:r>
      <w:r>
        <w:rPr>
          <w:rFonts w:ascii="Verdana" w:hAnsi="Verdana"/>
          <w:sz w:val="24"/>
          <w:szCs w:val="24"/>
        </w:rPr>
        <w:t>. The objectives are:</w:t>
      </w:r>
    </w:p>
    <w:p w14:paraId="1FF42FDC" w14:textId="49FB8B34" w:rsidR="00A16219" w:rsidRPr="00997B5F" w:rsidRDefault="00A16219" w:rsidP="00A16219">
      <w:pPr>
        <w:pStyle w:val="ListParagraph"/>
        <w:numPr>
          <w:ilvl w:val="1"/>
          <w:numId w:val="10"/>
        </w:numPr>
        <w:ind w:left="1077" w:hanging="357"/>
        <w:contextualSpacing w:val="0"/>
        <w:rPr>
          <w:rFonts w:ascii="Verdana" w:hAnsi="Verdana"/>
          <w:sz w:val="24"/>
          <w:szCs w:val="24"/>
        </w:rPr>
      </w:pPr>
      <w:r>
        <w:rPr>
          <w:rFonts w:ascii="Verdana" w:hAnsi="Verdana"/>
          <w:sz w:val="24"/>
          <w:szCs w:val="24"/>
        </w:rPr>
        <w:t>l</w:t>
      </w:r>
      <w:r w:rsidRPr="00997B5F">
        <w:rPr>
          <w:rFonts w:ascii="Verdana" w:hAnsi="Verdana"/>
          <w:sz w:val="24"/>
          <w:szCs w:val="24"/>
        </w:rPr>
        <w:t>earners with their whānau are at the centre of education</w:t>
      </w:r>
      <w:r>
        <w:rPr>
          <w:rFonts w:ascii="Verdana" w:hAnsi="Verdana"/>
          <w:sz w:val="24"/>
          <w:szCs w:val="24"/>
        </w:rPr>
        <w:t>;</w:t>
      </w:r>
    </w:p>
    <w:p w14:paraId="75DCC49D" w14:textId="3488344E" w:rsidR="00A16219" w:rsidRPr="00997B5F" w:rsidRDefault="00A16219" w:rsidP="00A16219">
      <w:pPr>
        <w:pStyle w:val="ListParagraph"/>
        <w:numPr>
          <w:ilvl w:val="1"/>
          <w:numId w:val="10"/>
        </w:numPr>
        <w:ind w:left="1077" w:hanging="357"/>
        <w:contextualSpacing w:val="0"/>
        <w:rPr>
          <w:rFonts w:ascii="Verdana" w:hAnsi="Verdana"/>
          <w:sz w:val="24"/>
          <w:szCs w:val="24"/>
        </w:rPr>
      </w:pPr>
      <w:r>
        <w:rPr>
          <w:rFonts w:ascii="Verdana" w:hAnsi="Verdana"/>
          <w:sz w:val="24"/>
          <w:szCs w:val="24"/>
        </w:rPr>
        <w:t>g</w:t>
      </w:r>
      <w:r w:rsidRPr="00997B5F">
        <w:rPr>
          <w:rFonts w:ascii="Verdana" w:hAnsi="Verdana"/>
          <w:sz w:val="24"/>
          <w:szCs w:val="24"/>
        </w:rPr>
        <w:t>reater education opportunities and outcomes are within reach for every learner</w:t>
      </w:r>
      <w:r>
        <w:rPr>
          <w:rFonts w:ascii="Verdana" w:hAnsi="Verdana"/>
          <w:sz w:val="24"/>
          <w:szCs w:val="24"/>
        </w:rPr>
        <w:t>;</w:t>
      </w:r>
    </w:p>
    <w:p w14:paraId="316FB5FE" w14:textId="0E874C7D" w:rsidR="00A16219" w:rsidRPr="00997B5F" w:rsidRDefault="00A16219" w:rsidP="00A16219">
      <w:pPr>
        <w:pStyle w:val="ListParagraph"/>
        <w:numPr>
          <w:ilvl w:val="1"/>
          <w:numId w:val="10"/>
        </w:numPr>
        <w:ind w:left="1077" w:hanging="357"/>
        <w:contextualSpacing w:val="0"/>
        <w:rPr>
          <w:rFonts w:ascii="Verdana" w:hAnsi="Verdana"/>
          <w:sz w:val="24"/>
          <w:szCs w:val="24"/>
        </w:rPr>
      </w:pPr>
      <w:r>
        <w:rPr>
          <w:rFonts w:ascii="Verdana" w:hAnsi="Verdana"/>
          <w:sz w:val="24"/>
          <w:szCs w:val="24"/>
        </w:rPr>
        <w:t>q</w:t>
      </w:r>
      <w:r w:rsidRPr="00997B5F">
        <w:rPr>
          <w:rFonts w:ascii="Verdana" w:hAnsi="Verdana"/>
          <w:sz w:val="24"/>
          <w:szCs w:val="24"/>
        </w:rPr>
        <w:t>uality teaching and leadership makes the difference for ākonga</w:t>
      </w:r>
      <w:r>
        <w:rPr>
          <w:rFonts w:ascii="Verdana" w:hAnsi="Verdana"/>
          <w:sz w:val="24"/>
          <w:szCs w:val="24"/>
        </w:rPr>
        <w:t>—</w:t>
      </w:r>
      <w:r w:rsidRPr="00997B5F">
        <w:rPr>
          <w:rFonts w:ascii="Verdana" w:hAnsi="Verdana"/>
          <w:sz w:val="24"/>
          <w:szCs w:val="24"/>
        </w:rPr>
        <w:t xml:space="preserve">learners and their </w:t>
      </w:r>
      <w:r>
        <w:rPr>
          <w:rFonts w:ascii="Verdana" w:hAnsi="Verdana"/>
          <w:sz w:val="24"/>
          <w:szCs w:val="24"/>
        </w:rPr>
        <w:t>kaiako—</w:t>
      </w:r>
      <w:r w:rsidRPr="00997B5F">
        <w:rPr>
          <w:rFonts w:ascii="Verdana" w:hAnsi="Verdana"/>
          <w:sz w:val="24"/>
          <w:szCs w:val="24"/>
        </w:rPr>
        <w:t>teachers</w:t>
      </w:r>
      <w:r>
        <w:rPr>
          <w:rFonts w:ascii="Verdana" w:hAnsi="Verdana"/>
          <w:sz w:val="24"/>
          <w:szCs w:val="24"/>
        </w:rPr>
        <w:t>;</w:t>
      </w:r>
    </w:p>
    <w:p w14:paraId="25A5ADF6" w14:textId="14788FB7" w:rsidR="00A16219" w:rsidRPr="00997B5F" w:rsidRDefault="00A16219" w:rsidP="00A16219">
      <w:pPr>
        <w:pStyle w:val="ListParagraph"/>
        <w:numPr>
          <w:ilvl w:val="1"/>
          <w:numId w:val="10"/>
        </w:numPr>
        <w:ind w:left="1077" w:hanging="357"/>
        <w:contextualSpacing w:val="0"/>
        <w:rPr>
          <w:rFonts w:ascii="Verdana" w:hAnsi="Verdana"/>
          <w:sz w:val="24"/>
          <w:szCs w:val="24"/>
        </w:rPr>
      </w:pPr>
      <w:r>
        <w:rPr>
          <w:rFonts w:ascii="Verdana" w:hAnsi="Verdana"/>
          <w:sz w:val="24"/>
          <w:szCs w:val="24"/>
        </w:rPr>
        <w:t>l</w:t>
      </w:r>
      <w:r w:rsidRPr="00997B5F">
        <w:rPr>
          <w:rFonts w:ascii="Verdana" w:hAnsi="Verdana"/>
          <w:sz w:val="24"/>
          <w:szCs w:val="24"/>
        </w:rPr>
        <w:t>earning needs to be relevant to the lives of N</w:t>
      </w:r>
      <w:r>
        <w:rPr>
          <w:rFonts w:ascii="Verdana" w:hAnsi="Verdana"/>
          <w:sz w:val="24"/>
          <w:szCs w:val="24"/>
        </w:rPr>
        <w:t xml:space="preserve">ew </w:t>
      </w:r>
      <w:r w:rsidRPr="00997B5F">
        <w:rPr>
          <w:rFonts w:ascii="Verdana" w:hAnsi="Verdana"/>
          <w:sz w:val="24"/>
          <w:szCs w:val="24"/>
        </w:rPr>
        <w:t>Ze</w:t>
      </w:r>
      <w:r>
        <w:rPr>
          <w:rFonts w:ascii="Verdana" w:hAnsi="Verdana"/>
          <w:sz w:val="24"/>
          <w:szCs w:val="24"/>
        </w:rPr>
        <w:t>alanders</w:t>
      </w:r>
      <w:r w:rsidRPr="00997B5F">
        <w:rPr>
          <w:rFonts w:ascii="Verdana" w:hAnsi="Verdana"/>
          <w:sz w:val="24"/>
          <w:szCs w:val="24"/>
        </w:rPr>
        <w:t xml:space="preserve"> today and throughout their lives, as we meet the changing opportunities and challenges of the future of work</w:t>
      </w:r>
      <w:r>
        <w:rPr>
          <w:rFonts w:ascii="Verdana" w:hAnsi="Verdana"/>
          <w:sz w:val="24"/>
          <w:szCs w:val="24"/>
        </w:rPr>
        <w:t>; and</w:t>
      </w:r>
    </w:p>
    <w:p w14:paraId="600F844A" w14:textId="7BCB8CCF" w:rsidR="00A16219" w:rsidRDefault="00F71920" w:rsidP="00A16219">
      <w:pPr>
        <w:pStyle w:val="ListParagraph"/>
        <w:numPr>
          <w:ilvl w:val="1"/>
          <w:numId w:val="10"/>
        </w:numPr>
        <w:ind w:left="1077" w:hanging="357"/>
        <w:contextualSpacing w:val="0"/>
        <w:rPr>
          <w:rFonts w:ascii="Verdana" w:hAnsi="Verdana"/>
          <w:sz w:val="24"/>
          <w:szCs w:val="24"/>
        </w:rPr>
      </w:pPr>
      <w:r>
        <w:rPr>
          <w:rFonts w:ascii="Verdana" w:hAnsi="Verdana"/>
          <w:sz w:val="24"/>
          <w:szCs w:val="24"/>
        </w:rPr>
        <w:lastRenderedPageBreak/>
        <w:t xml:space="preserve">that </w:t>
      </w:r>
      <w:r w:rsidR="00A16219">
        <w:rPr>
          <w:rFonts w:ascii="Verdana" w:hAnsi="Verdana"/>
          <w:sz w:val="24"/>
          <w:szCs w:val="24"/>
        </w:rPr>
        <w:t>we</w:t>
      </w:r>
      <w:r w:rsidR="00A16219" w:rsidRPr="00997B5F">
        <w:rPr>
          <w:rFonts w:ascii="Verdana" w:hAnsi="Verdana"/>
          <w:sz w:val="24"/>
          <w:szCs w:val="24"/>
        </w:rPr>
        <w:t xml:space="preserve"> need a world class inclusive public education system that meets the needs of our diverse population, now and in the future. </w:t>
      </w:r>
    </w:p>
    <w:p w14:paraId="65D77D27" w14:textId="325C8E6A" w:rsidR="00A16219" w:rsidRPr="005F4C1F" w:rsidRDefault="00D9133F" w:rsidP="00EB509F">
      <w:pPr>
        <w:pStyle w:val="ListParagraph"/>
        <w:numPr>
          <w:ilvl w:val="0"/>
          <w:numId w:val="10"/>
        </w:numPr>
        <w:contextualSpacing w:val="0"/>
        <w:rPr>
          <w:rFonts w:ascii="Verdana" w:hAnsi="Verdana"/>
          <w:sz w:val="24"/>
          <w:szCs w:val="24"/>
        </w:rPr>
      </w:pPr>
      <w:r w:rsidRPr="005F4C1F">
        <w:rPr>
          <w:rFonts w:ascii="Verdana" w:hAnsi="Verdana"/>
          <w:sz w:val="24"/>
          <w:szCs w:val="24"/>
        </w:rPr>
        <w:t>The Education and Training Act was passed in 2020 to bring this</w:t>
      </w:r>
      <w:r w:rsidR="00A16219" w:rsidRPr="005F4C1F">
        <w:rPr>
          <w:rFonts w:ascii="Verdana" w:hAnsi="Verdana"/>
          <w:sz w:val="24"/>
          <w:szCs w:val="24"/>
        </w:rPr>
        <w:t xml:space="preserve"> vision in</w:t>
      </w:r>
      <w:r w:rsidRPr="005F4C1F">
        <w:rPr>
          <w:rFonts w:ascii="Verdana" w:hAnsi="Verdana"/>
          <w:sz w:val="24"/>
          <w:szCs w:val="24"/>
        </w:rPr>
        <w:t xml:space="preserve">to effect. </w:t>
      </w:r>
      <w:r w:rsidR="00A16219" w:rsidRPr="005F4C1F">
        <w:rPr>
          <w:rFonts w:ascii="Verdana" w:hAnsi="Verdana"/>
          <w:sz w:val="24"/>
          <w:szCs w:val="24"/>
        </w:rPr>
        <w:t xml:space="preserve"> </w:t>
      </w:r>
    </w:p>
    <w:p w14:paraId="259EE9F7" w14:textId="169ED17E" w:rsidR="00A13CB0" w:rsidRDefault="003B714E" w:rsidP="000641DC">
      <w:pPr>
        <w:pStyle w:val="ListParagraph"/>
        <w:numPr>
          <w:ilvl w:val="0"/>
          <w:numId w:val="10"/>
        </w:numPr>
        <w:contextualSpacing w:val="0"/>
        <w:rPr>
          <w:rFonts w:ascii="Verdana" w:hAnsi="Verdana"/>
          <w:sz w:val="24"/>
          <w:szCs w:val="24"/>
        </w:rPr>
      </w:pPr>
      <w:r w:rsidRPr="000641DC">
        <w:rPr>
          <w:rFonts w:ascii="Verdana" w:hAnsi="Verdana"/>
          <w:sz w:val="24"/>
          <w:szCs w:val="24"/>
        </w:rPr>
        <w:t xml:space="preserve">And our work to improve the lives of children and young people continues today. </w:t>
      </w:r>
    </w:p>
    <w:p w14:paraId="791DDC3D" w14:textId="54E79DA5" w:rsidR="003B714E" w:rsidRPr="000641DC" w:rsidRDefault="003B714E" w:rsidP="000641DC">
      <w:pPr>
        <w:pStyle w:val="ListParagraph"/>
        <w:numPr>
          <w:ilvl w:val="0"/>
          <w:numId w:val="10"/>
        </w:numPr>
        <w:contextualSpacing w:val="0"/>
        <w:rPr>
          <w:rFonts w:ascii="Verdana" w:hAnsi="Verdana"/>
          <w:sz w:val="24"/>
          <w:szCs w:val="24"/>
        </w:rPr>
      </w:pPr>
      <w:r w:rsidRPr="000641DC">
        <w:rPr>
          <w:rFonts w:ascii="Verdana" w:hAnsi="Verdana"/>
          <w:sz w:val="24"/>
          <w:szCs w:val="24"/>
        </w:rPr>
        <w:t xml:space="preserve">In the past 12 months, </w:t>
      </w:r>
      <w:r w:rsidR="00A13CB0">
        <w:rPr>
          <w:rFonts w:ascii="Verdana" w:hAnsi="Verdana"/>
          <w:sz w:val="24"/>
          <w:szCs w:val="24"/>
        </w:rPr>
        <w:t>Aotearoa</w:t>
      </w:r>
      <w:r w:rsidRPr="000641DC">
        <w:rPr>
          <w:rFonts w:ascii="Verdana" w:hAnsi="Verdana"/>
          <w:sz w:val="24"/>
          <w:szCs w:val="24"/>
        </w:rPr>
        <w:t xml:space="preserve"> has introduced the following efforts:</w:t>
      </w:r>
    </w:p>
    <w:p w14:paraId="09971623" w14:textId="29C97D32" w:rsidR="003B714E" w:rsidRPr="00F8053B" w:rsidRDefault="003B714E" w:rsidP="00F8053B">
      <w:pPr>
        <w:pStyle w:val="ListParagraph"/>
        <w:numPr>
          <w:ilvl w:val="0"/>
          <w:numId w:val="7"/>
        </w:numPr>
        <w:ind w:left="1077" w:hanging="357"/>
        <w:contextualSpacing w:val="0"/>
        <w:rPr>
          <w:rFonts w:ascii="Verdana" w:hAnsi="Verdana"/>
          <w:sz w:val="24"/>
          <w:szCs w:val="24"/>
        </w:rPr>
      </w:pPr>
      <w:r w:rsidRPr="00F8053B">
        <w:rPr>
          <w:rFonts w:ascii="Verdana" w:hAnsi="Verdana"/>
          <w:sz w:val="24"/>
          <w:szCs w:val="24"/>
        </w:rPr>
        <w:t>The passing of the Oversight of Oranga Tamariki System Bill, which provides an independent monitoring and complaints oversight regime for Oranga Tamariki</w:t>
      </w:r>
      <w:r w:rsidR="004327E9" w:rsidRPr="00F8053B">
        <w:rPr>
          <w:rFonts w:ascii="Verdana" w:hAnsi="Verdana"/>
          <w:sz w:val="24"/>
          <w:szCs w:val="24"/>
        </w:rPr>
        <w:t>,</w:t>
      </w:r>
      <w:r w:rsidRPr="00F8053B">
        <w:rPr>
          <w:rFonts w:ascii="Verdana" w:hAnsi="Verdana"/>
          <w:sz w:val="24"/>
          <w:szCs w:val="24"/>
        </w:rPr>
        <w:t xml:space="preserve"> the Ministry for Children.</w:t>
      </w:r>
    </w:p>
    <w:p w14:paraId="0438E781" w14:textId="77777777" w:rsidR="003B714E" w:rsidRPr="00F8053B" w:rsidRDefault="003B714E" w:rsidP="00F8053B">
      <w:pPr>
        <w:pStyle w:val="ListParagraph"/>
        <w:numPr>
          <w:ilvl w:val="0"/>
          <w:numId w:val="7"/>
        </w:numPr>
        <w:ind w:left="1077" w:hanging="357"/>
        <w:contextualSpacing w:val="0"/>
        <w:rPr>
          <w:rFonts w:ascii="Verdana" w:hAnsi="Verdana"/>
          <w:sz w:val="24"/>
          <w:szCs w:val="24"/>
        </w:rPr>
      </w:pPr>
      <w:r w:rsidRPr="00F8053B">
        <w:rPr>
          <w:rFonts w:ascii="Verdana" w:hAnsi="Verdana"/>
          <w:sz w:val="24"/>
          <w:szCs w:val="24"/>
        </w:rPr>
        <w:t>The enactment of the Children and Young People's Commission Bill, which will commence in July this year to create the Child and Young Peoples Commission to replace the Office of the Children’s Commissioner. This change will allow for greater advocacy of issues related to children and young people.</w:t>
      </w:r>
    </w:p>
    <w:p w14:paraId="1615E87A" w14:textId="77777777" w:rsidR="003B714E" w:rsidRPr="00F8053B" w:rsidRDefault="003B714E" w:rsidP="00F8053B">
      <w:pPr>
        <w:pStyle w:val="ListParagraph"/>
        <w:numPr>
          <w:ilvl w:val="0"/>
          <w:numId w:val="7"/>
        </w:numPr>
        <w:ind w:left="1077" w:hanging="357"/>
        <w:contextualSpacing w:val="0"/>
        <w:rPr>
          <w:rFonts w:ascii="Verdana" w:hAnsi="Verdana"/>
          <w:sz w:val="24"/>
          <w:szCs w:val="24"/>
        </w:rPr>
      </w:pPr>
      <w:r w:rsidRPr="00F8053B">
        <w:rPr>
          <w:rFonts w:ascii="Verdana" w:hAnsi="Verdana"/>
          <w:sz w:val="24"/>
          <w:szCs w:val="24"/>
        </w:rPr>
        <w:t>The introduction of the Accessibility for New Zealanders Bill in 2022 to address systemic accessibility barriers that prevent disabled people with accessibility needs from living independently and participating in all areas of life.</w:t>
      </w:r>
    </w:p>
    <w:p w14:paraId="21D9A19D" w14:textId="5824267C" w:rsidR="00694CA2" w:rsidRDefault="003B714E" w:rsidP="00F8053B">
      <w:pPr>
        <w:pStyle w:val="ListParagraph"/>
        <w:numPr>
          <w:ilvl w:val="0"/>
          <w:numId w:val="7"/>
        </w:numPr>
        <w:ind w:left="1077" w:hanging="357"/>
        <w:contextualSpacing w:val="0"/>
        <w:rPr>
          <w:rFonts w:ascii="Verdana" w:hAnsi="Verdana"/>
          <w:sz w:val="24"/>
          <w:szCs w:val="24"/>
        </w:rPr>
      </w:pPr>
      <w:r w:rsidRPr="00F8053B">
        <w:rPr>
          <w:rFonts w:ascii="Verdana" w:hAnsi="Verdana"/>
          <w:sz w:val="24"/>
          <w:szCs w:val="24"/>
        </w:rPr>
        <w:t xml:space="preserve">The Wellbeing Budget of 2022, which focused on keeping New Zealanders safe from COVID-19 </w:t>
      </w:r>
      <w:r w:rsidR="00D9133F">
        <w:rPr>
          <w:rFonts w:ascii="Verdana" w:hAnsi="Verdana"/>
          <w:sz w:val="24"/>
          <w:szCs w:val="24"/>
        </w:rPr>
        <w:t xml:space="preserve">and </w:t>
      </w:r>
      <w:r w:rsidRPr="00F8053B">
        <w:rPr>
          <w:rFonts w:ascii="Verdana" w:hAnsi="Verdana"/>
          <w:sz w:val="24"/>
          <w:szCs w:val="24"/>
        </w:rPr>
        <w:t>accelerate recovery from its impacts</w:t>
      </w:r>
      <w:r w:rsidR="00D9133F">
        <w:rPr>
          <w:rFonts w:ascii="Verdana" w:hAnsi="Verdana"/>
          <w:sz w:val="24"/>
          <w:szCs w:val="24"/>
        </w:rPr>
        <w:t>,</w:t>
      </w:r>
      <w:r w:rsidRPr="00F8053B">
        <w:rPr>
          <w:rFonts w:ascii="Verdana" w:hAnsi="Verdana"/>
          <w:sz w:val="24"/>
          <w:szCs w:val="24"/>
        </w:rPr>
        <w:t xml:space="preserve"> </w:t>
      </w:r>
      <w:r w:rsidR="00D9133F">
        <w:rPr>
          <w:rFonts w:ascii="Verdana" w:hAnsi="Verdana"/>
          <w:sz w:val="24"/>
          <w:szCs w:val="24"/>
        </w:rPr>
        <w:t>include further investments to address</w:t>
      </w:r>
      <w:r w:rsidRPr="00F8053B">
        <w:rPr>
          <w:rFonts w:ascii="Verdana" w:hAnsi="Verdana"/>
          <w:sz w:val="24"/>
          <w:szCs w:val="24"/>
        </w:rPr>
        <w:t xml:space="preserve"> child poverty and health. </w:t>
      </w:r>
    </w:p>
    <w:p w14:paraId="78F4157F" w14:textId="77777777" w:rsidR="00694CA2" w:rsidRPr="00F8053B" w:rsidRDefault="00694CA2" w:rsidP="00694CA2">
      <w:pPr>
        <w:pStyle w:val="ListParagraph"/>
        <w:numPr>
          <w:ilvl w:val="0"/>
          <w:numId w:val="7"/>
        </w:numPr>
        <w:ind w:left="1077" w:hanging="357"/>
        <w:contextualSpacing w:val="0"/>
        <w:rPr>
          <w:rFonts w:ascii="Verdana" w:hAnsi="Verdana"/>
          <w:sz w:val="24"/>
          <w:szCs w:val="24"/>
        </w:rPr>
      </w:pPr>
      <w:r w:rsidRPr="00F8053B">
        <w:rPr>
          <w:rFonts w:ascii="Verdana" w:hAnsi="Verdana"/>
          <w:sz w:val="24"/>
          <w:szCs w:val="24"/>
        </w:rPr>
        <w:t>The health system has been reformed with the passing of the Pae Ora (Healthy Futures) Act 2022, which established a nationwide health service and Te Aka Whai Ora, a dedicated Māori Health Authority. The reformed health system has a clear mandate to protect, promote and improve the health of New Zealanders and achieve equity in health outcomes among New Zealand’s population groups.</w:t>
      </w:r>
    </w:p>
    <w:p w14:paraId="61845507" w14:textId="69CD4BC5" w:rsidR="003B714E" w:rsidRPr="00F8053B" w:rsidRDefault="003B714E" w:rsidP="00F8053B">
      <w:pPr>
        <w:pStyle w:val="ListParagraph"/>
        <w:numPr>
          <w:ilvl w:val="0"/>
          <w:numId w:val="7"/>
        </w:numPr>
        <w:ind w:left="1077" w:hanging="357"/>
        <w:contextualSpacing w:val="0"/>
        <w:rPr>
          <w:rFonts w:ascii="Verdana" w:hAnsi="Verdana"/>
          <w:sz w:val="24"/>
          <w:szCs w:val="24"/>
        </w:rPr>
      </w:pPr>
      <w:r w:rsidRPr="00F8053B">
        <w:rPr>
          <w:rFonts w:ascii="Verdana" w:hAnsi="Verdana"/>
          <w:sz w:val="24"/>
          <w:szCs w:val="24"/>
        </w:rPr>
        <w:t>The Budget allocated $1</w:t>
      </w:r>
      <w:r w:rsidR="000B77B9" w:rsidRPr="00F8053B">
        <w:rPr>
          <w:rFonts w:ascii="Verdana" w:hAnsi="Verdana"/>
          <w:sz w:val="24"/>
          <w:szCs w:val="24"/>
        </w:rPr>
        <w:t>4</w:t>
      </w:r>
      <w:r w:rsidRPr="00F8053B">
        <w:rPr>
          <w:rFonts w:ascii="Verdana" w:hAnsi="Verdana"/>
          <w:sz w:val="24"/>
          <w:szCs w:val="24"/>
        </w:rPr>
        <w:t>.</w:t>
      </w:r>
      <w:r w:rsidR="000B77B9" w:rsidRPr="00F8053B">
        <w:rPr>
          <w:rFonts w:ascii="Verdana" w:hAnsi="Verdana"/>
          <w:sz w:val="24"/>
          <w:szCs w:val="24"/>
        </w:rPr>
        <w:t>9</w:t>
      </w:r>
      <w:r w:rsidRPr="00F8053B">
        <w:rPr>
          <w:rFonts w:ascii="Verdana" w:hAnsi="Verdana"/>
          <w:sz w:val="24"/>
          <w:szCs w:val="24"/>
        </w:rPr>
        <w:t xml:space="preserve"> </w:t>
      </w:r>
      <w:r w:rsidR="000B77B9" w:rsidRPr="00F8053B">
        <w:rPr>
          <w:rFonts w:ascii="Verdana" w:hAnsi="Verdana"/>
          <w:sz w:val="24"/>
          <w:szCs w:val="24"/>
        </w:rPr>
        <w:t xml:space="preserve">billion for Vote Health over </w:t>
      </w:r>
      <w:r w:rsidR="00A13CB0">
        <w:rPr>
          <w:rFonts w:ascii="Verdana" w:hAnsi="Verdana"/>
          <w:sz w:val="24"/>
          <w:szCs w:val="24"/>
        </w:rPr>
        <w:t>four</w:t>
      </w:r>
      <w:r w:rsidR="000B77B9" w:rsidRPr="00F8053B">
        <w:rPr>
          <w:rFonts w:ascii="Verdana" w:hAnsi="Verdana"/>
          <w:sz w:val="24"/>
          <w:szCs w:val="24"/>
        </w:rPr>
        <w:t xml:space="preserve"> years, including $168 million over four years for Te Aka Whai Ora</w:t>
      </w:r>
      <w:r w:rsidR="00694CA2">
        <w:rPr>
          <w:rFonts w:ascii="Verdana" w:hAnsi="Verdana"/>
          <w:sz w:val="24"/>
          <w:szCs w:val="24"/>
        </w:rPr>
        <w:t>’s direct commissioning of services</w:t>
      </w:r>
      <w:r w:rsidRPr="00F8053B">
        <w:rPr>
          <w:rFonts w:ascii="Verdana" w:hAnsi="Verdana"/>
          <w:sz w:val="24"/>
          <w:szCs w:val="24"/>
        </w:rPr>
        <w:t>, $1 billion to better support Māori health, education, economic outcomes and cultural wellbeing, $1 billion to the cost</w:t>
      </w:r>
      <w:r w:rsidRPr="00F8053B">
        <w:rPr>
          <w:rFonts w:ascii="Verdana" w:hAnsi="Verdana"/>
          <w:sz w:val="24"/>
          <w:szCs w:val="24"/>
        </w:rPr>
        <w:noBreakHyphen/>
        <w:t>of</w:t>
      </w:r>
      <w:r w:rsidRPr="00F8053B">
        <w:rPr>
          <w:rFonts w:ascii="Verdana" w:hAnsi="Verdana"/>
          <w:sz w:val="24"/>
          <w:szCs w:val="24"/>
        </w:rPr>
        <w:noBreakHyphen/>
        <w:t>living package targeted to assist low- and middle-income households</w:t>
      </w:r>
      <w:r w:rsidR="000B77B9" w:rsidRPr="00F8053B">
        <w:rPr>
          <w:rFonts w:ascii="Verdana" w:hAnsi="Verdana"/>
          <w:sz w:val="24"/>
          <w:szCs w:val="24"/>
        </w:rPr>
        <w:t xml:space="preserve"> and $89.</w:t>
      </w:r>
      <w:r w:rsidR="00A13CB0">
        <w:rPr>
          <w:rFonts w:ascii="Verdana" w:hAnsi="Verdana"/>
          <w:sz w:val="24"/>
          <w:szCs w:val="24"/>
        </w:rPr>
        <w:t>3</w:t>
      </w:r>
      <w:r w:rsidR="000B77B9" w:rsidRPr="00F8053B">
        <w:rPr>
          <w:rFonts w:ascii="Verdana" w:hAnsi="Verdana"/>
          <w:sz w:val="24"/>
          <w:szCs w:val="24"/>
        </w:rPr>
        <w:t>4</w:t>
      </w:r>
      <w:r w:rsidR="00A13CB0">
        <w:rPr>
          <w:rFonts w:ascii="Verdana" w:hAnsi="Verdana"/>
          <w:sz w:val="24"/>
          <w:szCs w:val="24"/>
        </w:rPr>
        <w:t xml:space="preserve"> million</w:t>
      </w:r>
      <w:r w:rsidR="000B77B9" w:rsidRPr="00F8053B">
        <w:rPr>
          <w:rFonts w:ascii="Verdana" w:hAnsi="Verdana"/>
          <w:sz w:val="24"/>
          <w:szCs w:val="24"/>
        </w:rPr>
        <w:t xml:space="preserve"> for Mana Ak</w:t>
      </w:r>
      <w:r w:rsidR="00A13CB0">
        <w:rPr>
          <w:rFonts w:ascii="Verdana" w:hAnsi="Verdana"/>
          <w:sz w:val="24"/>
          <w:szCs w:val="24"/>
        </w:rPr>
        <w:t>e,</w:t>
      </w:r>
      <w:r w:rsidR="000B77B9" w:rsidRPr="00F8053B">
        <w:rPr>
          <w:rFonts w:ascii="Verdana" w:hAnsi="Verdana"/>
          <w:sz w:val="24"/>
          <w:szCs w:val="24"/>
        </w:rPr>
        <w:t xml:space="preserve"> which </w:t>
      </w:r>
      <w:r w:rsidR="00B96499">
        <w:rPr>
          <w:rFonts w:ascii="Verdana" w:hAnsi="Verdana"/>
          <w:sz w:val="24"/>
          <w:szCs w:val="24"/>
        </w:rPr>
        <w:t xml:space="preserve">is </w:t>
      </w:r>
      <w:r w:rsidR="00A13CB0">
        <w:rPr>
          <w:rFonts w:ascii="Verdana" w:hAnsi="Verdana"/>
          <w:sz w:val="24"/>
          <w:szCs w:val="24"/>
        </w:rPr>
        <w:t>a holistic mental health programme for children years 1 to 8</w:t>
      </w:r>
      <w:r w:rsidR="00694CA2">
        <w:rPr>
          <w:rFonts w:ascii="Verdana" w:hAnsi="Verdana"/>
          <w:sz w:val="24"/>
          <w:szCs w:val="24"/>
        </w:rPr>
        <w:t xml:space="preserve"> and is estimated to</w:t>
      </w:r>
      <w:r w:rsidR="000B77B9" w:rsidRPr="00F8053B">
        <w:rPr>
          <w:rFonts w:ascii="Verdana" w:hAnsi="Verdana"/>
          <w:sz w:val="24"/>
          <w:szCs w:val="24"/>
        </w:rPr>
        <w:t xml:space="preserve"> reach 195,000 kids</w:t>
      </w:r>
      <w:r w:rsidRPr="00F8053B">
        <w:rPr>
          <w:rFonts w:ascii="Verdana" w:hAnsi="Verdana"/>
          <w:sz w:val="24"/>
          <w:szCs w:val="24"/>
        </w:rPr>
        <w:t xml:space="preserve">.  </w:t>
      </w:r>
    </w:p>
    <w:p w14:paraId="34DDA654" w14:textId="0FA4D6A3" w:rsidR="00F8053B" w:rsidRPr="00F8053B" w:rsidRDefault="000B77B9" w:rsidP="000E0DA3">
      <w:pPr>
        <w:pStyle w:val="ListParagraph"/>
        <w:numPr>
          <w:ilvl w:val="0"/>
          <w:numId w:val="7"/>
        </w:numPr>
        <w:ind w:left="1077" w:hanging="357"/>
        <w:contextualSpacing w:val="0"/>
        <w:rPr>
          <w:rFonts w:ascii="Verdana" w:hAnsi="Verdana"/>
          <w:sz w:val="24"/>
          <w:szCs w:val="24"/>
        </w:rPr>
      </w:pPr>
      <w:r w:rsidRPr="00F8053B">
        <w:rPr>
          <w:rFonts w:ascii="Verdana" w:hAnsi="Verdana"/>
          <w:sz w:val="24"/>
          <w:szCs w:val="24"/>
        </w:rPr>
        <w:t>The establishment of Whaikaha</w:t>
      </w:r>
      <w:r w:rsidR="00694CA2">
        <w:rPr>
          <w:rFonts w:ascii="Verdana" w:hAnsi="Verdana"/>
          <w:sz w:val="24"/>
          <w:szCs w:val="24"/>
        </w:rPr>
        <w:t>,</w:t>
      </w:r>
      <w:r w:rsidRPr="00F8053B">
        <w:rPr>
          <w:rFonts w:ascii="Verdana" w:hAnsi="Verdana"/>
          <w:sz w:val="24"/>
          <w:szCs w:val="24"/>
        </w:rPr>
        <w:t xml:space="preserve"> the Ministry of Disabled People</w:t>
      </w:r>
      <w:r w:rsidR="00694CA2">
        <w:rPr>
          <w:rFonts w:ascii="Verdana" w:hAnsi="Verdana"/>
          <w:sz w:val="24"/>
          <w:szCs w:val="24"/>
        </w:rPr>
        <w:t xml:space="preserve"> in mid-2022</w:t>
      </w:r>
      <w:r w:rsidRPr="00F8053B">
        <w:rPr>
          <w:rFonts w:ascii="Verdana" w:hAnsi="Verdana"/>
          <w:sz w:val="24"/>
          <w:szCs w:val="24"/>
        </w:rPr>
        <w:t>. Whaikaha has a mandate to lead and coordinate disability policy across government, including improving outcomes for disabled people in areas such as employment, education, health and wellbeing.</w:t>
      </w:r>
    </w:p>
    <w:p w14:paraId="2CBEDD0A" w14:textId="203BA45D" w:rsidR="003B714E" w:rsidRPr="003B714E" w:rsidRDefault="004327E9" w:rsidP="003B714E">
      <w:pPr>
        <w:rPr>
          <w:rFonts w:ascii="Verdana" w:hAnsi="Verdana"/>
          <w:b/>
          <w:bCs/>
          <w:sz w:val="28"/>
          <w:szCs w:val="28"/>
        </w:rPr>
      </w:pPr>
      <w:r>
        <w:rPr>
          <w:rFonts w:ascii="Verdana" w:hAnsi="Verdana"/>
          <w:b/>
          <w:bCs/>
          <w:sz w:val="28"/>
          <w:szCs w:val="28"/>
        </w:rPr>
        <w:t>Further i</w:t>
      </w:r>
      <w:r w:rsidR="003B714E" w:rsidRPr="003B714E">
        <w:rPr>
          <w:rFonts w:ascii="Verdana" w:hAnsi="Verdana"/>
          <w:b/>
          <w:bCs/>
          <w:sz w:val="28"/>
          <w:szCs w:val="28"/>
        </w:rPr>
        <w:t>mprovements to be made</w:t>
      </w:r>
    </w:p>
    <w:p w14:paraId="313286E6" w14:textId="616923BB" w:rsidR="003B714E" w:rsidRPr="000641DC" w:rsidRDefault="003B714E" w:rsidP="00E44CE7">
      <w:pPr>
        <w:pStyle w:val="ListParagraph"/>
        <w:numPr>
          <w:ilvl w:val="0"/>
          <w:numId w:val="10"/>
        </w:numPr>
        <w:contextualSpacing w:val="0"/>
        <w:rPr>
          <w:rFonts w:ascii="Verdana" w:hAnsi="Verdana"/>
          <w:sz w:val="24"/>
          <w:szCs w:val="24"/>
        </w:rPr>
      </w:pPr>
      <w:r w:rsidRPr="000641DC">
        <w:rPr>
          <w:rFonts w:ascii="Verdana" w:hAnsi="Verdana"/>
          <w:sz w:val="24"/>
          <w:szCs w:val="24"/>
        </w:rPr>
        <w:t>Despite these positive measures, we recognise that we can do more to combat child poverty</w:t>
      </w:r>
      <w:r w:rsidR="002C7715">
        <w:rPr>
          <w:rFonts w:ascii="Verdana" w:hAnsi="Verdana"/>
          <w:sz w:val="24"/>
          <w:szCs w:val="24"/>
        </w:rPr>
        <w:t xml:space="preserve"> and the cost of living</w:t>
      </w:r>
      <w:r w:rsidRPr="000641DC">
        <w:rPr>
          <w:rFonts w:ascii="Verdana" w:hAnsi="Verdana"/>
          <w:sz w:val="24"/>
          <w:szCs w:val="24"/>
        </w:rPr>
        <w:t xml:space="preserve"> and </w:t>
      </w:r>
      <w:r w:rsidR="002C7715">
        <w:rPr>
          <w:rFonts w:ascii="Verdana" w:hAnsi="Verdana"/>
          <w:sz w:val="24"/>
          <w:szCs w:val="24"/>
        </w:rPr>
        <w:t xml:space="preserve">to </w:t>
      </w:r>
      <w:r w:rsidRPr="000641DC">
        <w:rPr>
          <w:rFonts w:ascii="Verdana" w:hAnsi="Verdana"/>
          <w:sz w:val="24"/>
          <w:szCs w:val="24"/>
        </w:rPr>
        <w:t xml:space="preserve">empower our young people. </w:t>
      </w:r>
    </w:p>
    <w:p w14:paraId="041A952F" w14:textId="77777777" w:rsidR="00EB509F" w:rsidRPr="00E44CE7" w:rsidRDefault="00EB509F" w:rsidP="00EB509F">
      <w:pPr>
        <w:pStyle w:val="ListParagraph"/>
        <w:numPr>
          <w:ilvl w:val="0"/>
          <w:numId w:val="10"/>
        </w:numPr>
        <w:contextualSpacing w:val="0"/>
        <w:rPr>
          <w:rFonts w:ascii="Verdana" w:hAnsi="Verdana"/>
          <w:sz w:val="24"/>
          <w:szCs w:val="24"/>
        </w:rPr>
      </w:pPr>
      <w:r w:rsidRPr="00E44CE7">
        <w:rPr>
          <w:rFonts w:ascii="Verdana" w:hAnsi="Verdana"/>
          <w:sz w:val="24"/>
          <w:szCs w:val="24"/>
        </w:rPr>
        <w:t>New Zealand recognises that it has three reservations to the Convention on the Rights of the Child, which relate to:</w:t>
      </w:r>
    </w:p>
    <w:p w14:paraId="0AD9D211" w14:textId="77777777" w:rsidR="00EB509F" w:rsidRPr="003B714E" w:rsidRDefault="00EB509F" w:rsidP="00EB509F">
      <w:pPr>
        <w:numPr>
          <w:ilvl w:val="0"/>
          <w:numId w:val="1"/>
        </w:numPr>
        <w:rPr>
          <w:rFonts w:ascii="Verdana" w:hAnsi="Verdana"/>
          <w:sz w:val="24"/>
          <w:szCs w:val="24"/>
        </w:rPr>
      </w:pPr>
      <w:r w:rsidRPr="003B714E">
        <w:rPr>
          <w:rFonts w:ascii="Verdana" w:hAnsi="Verdana"/>
          <w:sz w:val="24"/>
          <w:szCs w:val="24"/>
        </w:rPr>
        <w:t>age-mixing in custody;</w:t>
      </w:r>
    </w:p>
    <w:p w14:paraId="615C98AB" w14:textId="77777777" w:rsidR="00EB509F" w:rsidRPr="003B714E" w:rsidRDefault="00EB509F" w:rsidP="00EB509F">
      <w:pPr>
        <w:numPr>
          <w:ilvl w:val="0"/>
          <w:numId w:val="1"/>
        </w:numPr>
        <w:rPr>
          <w:rFonts w:ascii="Verdana" w:hAnsi="Verdana"/>
          <w:sz w:val="24"/>
          <w:szCs w:val="24"/>
        </w:rPr>
      </w:pPr>
      <w:r w:rsidRPr="003B714E">
        <w:rPr>
          <w:rFonts w:ascii="Verdana" w:hAnsi="Verdana"/>
          <w:sz w:val="24"/>
          <w:szCs w:val="24"/>
        </w:rPr>
        <w:t>legislating for a minimum age of employment; and</w:t>
      </w:r>
    </w:p>
    <w:p w14:paraId="1A56D770" w14:textId="0BDA21DA" w:rsidR="00EB509F" w:rsidRPr="00EB509F" w:rsidRDefault="00EB509F" w:rsidP="00EB509F">
      <w:pPr>
        <w:numPr>
          <w:ilvl w:val="0"/>
          <w:numId w:val="1"/>
        </w:numPr>
        <w:rPr>
          <w:rFonts w:ascii="Verdana" w:hAnsi="Verdana"/>
          <w:sz w:val="24"/>
          <w:szCs w:val="24"/>
        </w:rPr>
      </w:pPr>
      <w:r w:rsidRPr="003B714E">
        <w:rPr>
          <w:rFonts w:ascii="Verdana" w:hAnsi="Verdana"/>
          <w:sz w:val="24"/>
          <w:szCs w:val="24"/>
        </w:rPr>
        <w:t>children unlawfully in New Zealand.</w:t>
      </w:r>
    </w:p>
    <w:p w14:paraId="30D18927" w14:textId="475A56C6" w:rsidR="00EB509F" w:rsidRPr="00EB509F" w:rsidRDefault="00EB509F" w:rsidP="00DE63DB">
      <w:pPr>
        <w:pStyle w:val="ListParagraph"/>
        <w:numPr>
          <w:ilvl w:val="0"/>
          <w:numId w:val="10"/>
        </w:numPr>
        <w:contextualSpacing w:val="0"/>
        <w:rPr>
          <w:rFonts w:ascii="Verdana" w:hAnsi="Verdana"/>
          <w:sz w:val="24"/>
          <w:szCs w:val="24"/>
        </w:rPr>
      </w:pPr>
      <w:r w:rsidRPr="00EB509F">
        <w:rPr>
          <w:rFonts w:ascii="Verdana" w:hAnsi="Verdana"/>
          <w:sz w:val="24"/>
          <w:szCs w:val="24"/>
        </w:rPr>
        <w:t>We look forward to discussing the</w:t>
      </w:r>
      <w:r w:rsidR="002D5D02">
        <w:rPr>
          <w:rFonts w:ascii="Verdana" w:hAnsi="Verdana"/>
          <w:sz w:val="24"/>
          <w:szCs w:val="24"/>
        </w:rPr>
        <w:t>m</w:t>
      </w:r>
      <w:r w:rsidRPr="00EB509F">
        <w:rPr>
          <w:rFonts w:ascii="Verdana" w:hAnsi="Verdana"/>
          <w:sz w:val="24"/>
          <w:szCs w:val="24"/>
        </w:rPr>
        <w:t xml:space="preserve"> with you in more detail.</w:t>
      </w:r>
    </w:p>
    <w:p w14:paraId="7A6DFD38" w14:textId="4A516D0E" w:rsidR="003B714E" w:rsidRPr="000641DC" w:rsidRDefault="003B714E" w:rsidP="00E44CE7">
      <w:pPr>
        <w:pStyle w:val="ListParagraph"/>
        <w:numPr>
          <w:ilvl w:val="0"/>
          <w:numId w:val="10"/>
        </w:numPr>
        <w:contextualSpacing w:val="0"/>
        <w:rPr>
          <w:rFonts w:ascii="Verdana" w:hAnsi="Verdana"/>
          <w:sz w:val="24"/>
          <w:szCs w:val="24"/>
        </w:rPr>
      </w:pPr>
      <w:r w:rsidRPr="000641DC">
        <w:rPr>
          <w:rFonts w:ascii="Verdana" w:hAnsi="Verdana"/>
          <w:sz w:val="24"/>
          <w:szCs w:val="24"/>
        </w:rPr>
        <w:t>Currently, New Zealand is undertaking initiatives</w:t>
      </w:r>
      <w:r w:rsidR="004327E9">
        <w:rPr>
          <w:rFonts w:ascii="Verdana" w:hAnsi="Verdana"/>
          <w:sz w:val="24"/>
          <w:szCs w:val="24"/>
        </w:rPr>
        <w:t>, which</w:t>
      </w:r>
      <w:r w:rsidRPr="000641DC">
        <w:rPr>
          <w:rFonts w:ascii="Verdana" w:hAnsi="Verdana"/>
          <w:sz w:val="24"/>
          <w:szCs w:val="24"/>
        </w:rPr>
        <w:t xml:space="preserve"> includ</w:t>
      </w:r>
      <w:r w:rsidR="004327E9">
        <w:rPr>
          <w:rFonts w:ascii="Verdana" w:hAnsi="Verdana"/>
          <w:sz w:val="24"/>
          <w:szCs w:val="24"/>
        </w:rPr>
        <w:t>e</w:t>
      </w:r>
      <w:r w:rsidRPr="000641DC">
        <w:rPr>
          <w:rFonts w:ascii="Verdana" w:hAnsi="Verdana"/>
          <w:sz w:val="24"/>
          <w:szCs w:val="24"/>
        </w:rPr>
        <w:t xml:space="preserve"> but </w:t>
      </w:r>
      <w:r w:rsidR="004327E9">
        <w:rPr>
          <w:rFonts w:ascii="Verdana" w:hAnsi="Verdana"/>
          <w:sz w:val="24"/>
          <w:szCs w:val="24"/>
        </w:rPr>
        <w:t xml:space="preserve">are </w:t>
      </w:r>
      <w:r w:rsidRPr="000641DC">
        <w:rPr>
          <w:rFonts w:ascii="Verdana" w:hAnsi="Verdana"/>
          <w:sz w:val="24"/>
          <w:szCs w:val="24"/>
        </w:rPr>
        <w:t xml:space="preserve">not limited to:  </w:t>
      </w:r>
    </w:p>
    <w:p w14:paraId="68983B1D" w14:textId="03E0AC7F" w:rsidR="003B714E" w:rsidRPr="003B714E" w:rsidRDefault="003B714E" w:rsidP="003B714E">
      <w:pPr>
        <w:numPr>
          <w:ilvl w:val="0"/>
          <w:numId w:val="9"/>
        </w:numPr>
        <w:rPr>
          <w:rFonts w:ascii="Verdana" w:hAnsi="Verdana"/>
          <w:sz w:val="24"/>
          <w:szCs w:val="24"/>
        </w:rPr>
      </w:pPr>
      <w:r w:rsidRPr="003B714E">
        <w:rPr>
          <w:rFonts w:ascii="Verdana" w:hAnsi="Verdana"/>
          <w:sz w:val="24"/>
          <w:szCs w:val="24"/>
        </w:rPr>
        <w:t xml:space="preserve">improving family contexts, </w:t>
      </w:r>
      <w:r w:rsidR="00B96499">
        <w:rPr>
          <w:rFonts w:ascii="Verdana" w:hAnsi="Verdana"/>
          <w:sz w:val="24"/>
          <w:szCs w:val="24"/>
        </w:rPr>
        <w:t>Māori tribal and family contexts (</w:t>
      </w:r>
      <w:r w:rsidRPr="003B714E">
        <w:rPr>
          <w:rFonts w:ascii="Verdana" w:hAnsi="Verdana"/>
          <w:sz w:val="24"/>
          <w:szCs w:val="24"/>
        </w:rPr>
        <w:t>iwi, hapū, whānau</w:t>
      </w:r>
      <w:r w:rsidR="00B96499">
        <w:rPr>
          <w:rFonts w:ascii="Verdana" w:hAnsi="Verdana"/>
          <w:sz w:val="24"/>
          <w:szCs w:val="24"/>
        </w:rPr>
        <w:t>)</w:t>
      </w:r>
      <w:r w:rsidRPr="003B714E">
        <w:rPr>
          <w:rFonts w:ascii="Verdana" w:hAnsi="Verdana"/>
          <w:sz w:val="24"/>
          <w:szCs w:val="24"/>
        </w:rPr>
        <w:t>, and individuals within a collective</w:t>
      </w:r>
      <w:r w:rsidR="002C7715">
        <w:rPr>
          <w:rFonts w:ascii="Verdana" w:hAnsi="Verdana"/>
          <w:sz w:val="24"/>
          <w:szCs w:val="24"/>
        </w:rPr>
        <w:t xml:space="preserve"> and taking a </w:t>
      </w:r>
      <w:r w:rsidR="00B96499">
        <w:rPr>
          <w:rFonts w:ascii="Verdana" w:hAnsi="Verdana"/>
          <w:sz w:val="24"/>
          <w:szCs w:val="24"/>
        </w:rPr>
        <w:t>whānau</w:t>
      </w:r>
      <w:r w:rsidR="0082268A">
        <w:rPr>
          <w:rFonts w:ascii="Verdana" w:hAnsi="Verdana"/>
          <w:sz w:val="24"/>
          <w:szCs w:val="24"/>
        </w:rPr>
        <w:t xml:space="preserve"> or family</w:t>
      </w:r>
      <w:r w:rsidR="002C7715">
        <w:rPr>
          <w:rFonts w:ascii="Verdana" w:hAnsi="Verdana"/>
          <w:sz w:val="24"/>
          <w:szCs w:val="24"/>
        </w:rPr>
        <w:t>-centred approach</w:t>
      </w:r>
      <w:r w:rsidRPr="003B714E">
        <w:rPr>
          <w:rFonts w:ascii="Verdana" w:hAnsi="Verdana"/>
          <w:sz w:val="24"/>
          <w:szCs w:val="24"/>
        </w:rPr>
        <w:t>;</w:t>
      </w:r>
    </w:p>
    <w:p w14:paraId="3320A56C" w14:textId="4647C8BF" w:rsidR="003B714E" w:rsidRPr="003B714E" w:rsidRDefault="003B714E" w:rsidP="003B714E">
      <w:pPr>
        <w:numPr>
          <w:ilvl w:val="0"/>
          <w:numId w:val="9"/>
        </w:numPr>
        <w:rPr>
          <w:rFonts w:ascii="Verdana" w:hAnsi="Verdana"/>
          <w:sz w:val="24"/>
          <w:szCs w:val="24"/>
        </w:rPr>
      </w:pPr>
      <w:r w:rsidRPr="003B714E">
        <w:rPr>
          <w:rFonts w:ascii="Verdana" w:hAnsi="Verdana"/>
          <w:sz w:val="24"/>
          <w:szCs w:val="24"/>
        </w:rPr>
        <w:t>reducing overrepresentations of Māori, Pacific people</w:t>
      </w:r>
      <w:r w:rsidR="0084510E">
        <w:rPr>
          <w:rFonts w:ascii="Verdana" w:hAnsi="Verdana"/>
          <w:sz w:val="24"/>
          <w:szCs w:val="24"/>
        </w:rPr>
        <w:t>s</w:t>
      </w:r>
      <w:r w:rsidRPr="003B714E">
        <w:rPr>
          <w:rFonts w:ascii="Verdana" w:hAnsi="Verdana"/>
          <w:sz w:val="24"/>
          <w:szCs w:val="24"/>
        </w:rPr>
        <w:t xml:space="preserve">, and other demographics in poverty and youth crime statistics; </w:t>
      </w:r>
    </w:p>
    <w:p w14:paraId="0676EA91" w14:textId="77777777" w:rsidR="003B714E" w:rsidRPr="003B714E" w:rsidRDefault="003B714E" w:rsidP="003B714E">
      <w:pPr>
        <w:numPr>
          <w:ilvl w:val="0"/>
          <w:numId w:val="9"/>
        </w:numPr>
        <w:rPr>
          <w:rFonts w:ascii="Verdana" w:hAnsi="Verdana"/>
          <w:sz w:val="24"/>
          <w:szCs w:val="24"/>
        </w:rPr>
      </w:pPr>
      <w:r w:rsidRPr="003B714E">
        <w:rPr>
          <w:rFonts w:ascii="Verdana" w:hAnsi="Verdana"/>
          <w:sz w:val="24"/>
          <w:szCs w:val="24"/>
        </w:rPr>
        <w:t>addressing challenges in providing safe and affordable housing;</w:t>
      </w:r>
    </w:p>
    <w:p w14:paraId="1B117759" w14:textId="77777777" w:rsidR="003B714E" w:rsidRPr="003B714E" w:rsidRDefault="003B714E" w:rsidP="003B714E">
      <w:pPr>
        <w:numPr>
          <w:ilvl w:val="0"/>
          <w:numId w:val="9"/>
        </w:numPr>
        <w:rPr>
          <w:rFonts w:ascii="Verdana" w:hAnsi="Verdana"/>
          <w:sz w:val="24"/>
          <w:szCs w:val="24"/>
        </w:rPr>
      </w:pPr>
      <w:r w:rsidRPr="003B714E">
        <w:rPr>
          <w:rFonts w:ascii="Verdana" w:hAnsi="Verdana"/>
          <w:sz w:val="24"/>
          <w:szCs w:val="24"/>
        </w:rPr>
        <w:t>addressing challenges of attendance in education settings; and</w:t>
      </w:r>
    </w:p>
    <w:p w14:paraId="081C4D6E" w14:textId="77777777" w:rsidR="003B714E" w:rsidRPr="003B714E" w:rsidRDefault="003B714E" w:rsidP="003B714E">
      <w:pPr>
        <w:numPr>
          <w:ilvl w:val="0"/>
          <w:numId w:val="9"/>
        </w:numPr>
        <w:rPr>
          <w:rFonts w:ascii="Verdana" w:hAnsi="Verdana"/>
          <w:sz w:val="24"/>
          <w:szCs w:val="24"/>
        </w:rPr>
      </w:pPr>
      <w:r w:rsidRPr="003B714E">
        <w:rPr>
          <w:rFonts w:ascii="Verdana" w:hAnsi="Verdana"/>
          <w:sz w:val="24"/>
          <w:szCs w:val="24"/>
        </w:rPr>
        <w:t>improving mental health and wellbeing among young people.</w:t>
      </w:r>
    </w:p>
    <w:p w14:paraId="40D31C00" w14:textId="77777777" w:rsidR="003B714E" w:rsidRPr="00E44CE7" w:rsidRDefault="003B714E" w:rsidP="00E44CE7">
      <w:pPr>
        <w:pStyle w:val="ListParagraph"/>
        <w:numPr>
          <w:ilvl w:val="0"/>
          <w:numId w:val="10"/>
        </w:numPr>
        <w:contextualSpacing w:val="0"/>
        <w:rPr>
          <w:rFonts w:ascii="Verdana" w:hAnsi="Verdana"/>
          <w:sz w:val="24"/>
          <w:szCs w:val="24"/>
        </w:rPr>
      </w:pPr>
      <w:r w:rsidRPr="00E44CE7">
        <w:rPr>
          <w:rFonts w:ascii="Verdana" w:hAnsi="Verdana"/>
          <w:sz w:val="24"/>
          <w:szCs w:val="24"/>
        </w:rPr>
        <w:t xml:space="preserve">We also have implemented additional measures to safeguard the health and wellbeing of children as a result of the COVID-19 pandemic, and our response continues to evolve. </w:t>
      </w:r>
    </w:p>
    <w:p w14:paraId="7DE5F7D3" w14:textId="04F1EFA9" w:rsidR="003B714E" w:rsidRPr="00E44CE7" w:rsidRDefault="003B714E" w:rsidP="00E44CE7">
      <w:pPr>
        <w:pStyle w:val="ListParagraph"/>
        <w:numPr>
          <w:ilvl w:val="0"/>
          <w:numId w:val="10"/>
        </w:numPr>
        <w:contextualSpacing w:val="0"/>
        <w:rPr>
          <w:rFonts w:ascii="Verdana" w:hAnsi="Verdana"/>
          <w:sz w:val="24"/>
          <w:szCs w:val="24"/>
        </w:rPr>
      </w:pPr>
      <w:r w:rsidRPr="00E44CE7">
        <w:rPr>
          <w:rFonts w:ascii="Verdana" w:hAnsi="Verdana"/>
          <w:sz w:val="24"/>
          <w:szCs w:val="24"/>
        </w:rPr>
        <w:t xml:space="preserve">We found that COVID-19 exacerbated some existing inequities, particularly for Māori and Pacific </w:t>
      </w:r>
      <w:r w:rsidR="00B96499">
        <w:rPr>
          <w:rFonts w:ascii="Verdana" w:hAnsi="Verdana"/>
          <w:sz w:val="24"/>
          <w:szCs w:val="24"/>
        </w:rPr>
        <w:t xml:space="preserve">island </w:t>
      </w:r>
      <w:r w:rsidRPr="00E44CE7">
        <w:rPr>
          <w:rFonts w:ascii="Verdana" w:hAnsi="Verdana"/>
          <w:sz w:val="24"/>
          <w:szCs w:val="24"/>
        </w:rPr>
        <w:t xml:space="preserve">people in education, work and health. We will discuss the initiatives that we have undertaken to address these further in the review. </w:t>
      </w:r>
    </w:p>
    <w:p w14:paraId="7A206469" w14:textId="0AC3A7AD" w:rsidR="00FB184F" w:rsidRDefault="00FB184F" w:rsidP="00FB184F">
      <w:pPr>
        <w:pStyle w:val="ListParagraph"/>
        <w:numPr>
          <w:ilvl w:val="0"/>
          <w:numId w:val="10"/>
        </w:numPr>
        <w:contextualSpacing w:val="0"/>
        <w:rPr>
          <w:rFonts w:ascii="Verdana" w:hAnsi="Verdana"/>
          <w:sz w:val="24"/>
          <w:szCs w:val="24"/>
        </w:rPr>
      </w:pPr>
      <w:r>
        <w:rPr>
          <w:rFonts w:ascii="Verdana" w:hAnsi="Verdana"/>
          <w:sz w:val="24"/>
          <w:szCs w:val="24"/>
        </w:rPr>
        <w:t xml:space="preserve">Overall, </w:t>
      </w:r>
      <w:r w:rsidRPr="00FB184F">
        <w:rPr>
          <w:rFonts w:ascii="Verdana" w:hAnsi="Verdana"/>
          <w:sz w:val="24"/>
          <w:szCs w:val="24"/>
        </w:rPr>
        <w:t>New Zealand is committed to ensuring that all children and young people have the opportunity and ability to reach their full potential.</w:t>
      </w:r>
    </w:p>
    <w:p w14:paraId="07F6F672" w14:textId="30E0BD4F" w:rsidR="00E44CE7" w:rsidRPr="005F4C1F" w:rsidRDefault="00FB184F" w:rsidP="00FB184F">
      <w:pPr>
        <w:pStyle w:val="ListParagraph"/>
        <w:numPr>
          <w:ilvl w:val="0"/>
          <w:numId w:val="10"/>
        </w:numPr>
        <w:contextualSpacing w:val="0"/>
        <w:rPr>
          <w:rFonts w:ascii="Verdana" w:hAnsi="Verdana"/>
          <w:sz w:val="24"/>
          <w:szCs w:val="24"/>
        </w:rPr>
      </w:pPr>
      <w:r w:rsidRPr="005F4C1F">
        <w:rPr>
          <w:rFonts w:ascii="Verdana" w:hAnsi="Verdana"/>
          <w:sz w:val="24"/>
          <w:szCs w:val="24"/>
        </w:rPr>
        <w:t xml:space="preserve">We </w:t>
      </w:r>
      <w:r w:rsidR="008661D9" w:rsidRPr="005F4C1F">
        <w:rPr>
          <w:rFonts w:ascii="Verdana" w:hAnsi="Verdana"/>
          <w:sz w:val="24"/>
          <w:szCs w:val="24"/>
        </w:rPr>
        <w:t>acknowledge that</w:t>
      </w:r>
      <w:r w:rsidR="003B714E" w:rsidRPr="005F4C1F">
        <w:rPr>
          <w:rFonts w:ascii="Verdana" w:hAnsi="Verdana"/>
          <w:sz w:val="24"/>
          <w:szCs w:val="24"/>
        </w:rPr>
        <w:t xml:space="preserve"> challenges</w:t>
      </w:r>
      <w:r w:rsidR="008661D9" w:rsidRPr="005F4C1F">
        <w:rPr>
          <w:rFonts w:ascii="Verdana" w:hAnsi="Verdana"/>
          <w:sz w:val="24"/>
          <w:szCs w:val="24"/>
        </w:rPr>
        <w:t xml:space="preserve"> remain, yet we have established a strong foundation to accelerate progress. Through these actions we can</w:t>
      </w:r>
      <w:r w:rsidR="003B714E" w:rsidRPr="005F4C1F">
        <w:rPr>
          <w:rFonts w:ascii="Verdana" w:hAnsi="Verdana"/>
          <w:sz w:val="24"/>
          <w:szCs w:val="24"/>
        </w:rPr>
        <w:t xml:space="preserve"> make New Zealand </w:t>
      </w:r>
      <w:r w:rsidR="0084510E">
        <w:rPr>
          <w:rFonts w:ascii="Verdana" w:hAnsi="Verdana"/>
          <w:sz w:val="24"/>
          <w:szCs w:val="24"/>
        </w:rPr>
        <w:t>a great place</w:t>
      </w:r>
      <w:r w:rsidR="003B714E" w:rsidRPr="005F4C1F">
        <w:rPr>
          <w:rFonts w:ascii="Verdana" w:hAnsi="Verdana"/>
          <w:sz w:val="24"/>
          <w:szCs w:val="24"/>
        </w:rPr>
        <w:t xml:space="preserve"> to be a child</w:t>
      </w:r>
      <w:r w:rsidR="0084510E">
        <w:rPr>
          <w:rFonts w:ascii="Verdana" w:hAnsi="Verdana"/>
          <w:sz w:val="24"/>
          <w:szCs w:val="24"/>
        </w:rPr>
        <w:t>,</w:t>
      </w:r>
      <w:r w:rsidR="003B714E" w:rsidRPr="005F4C1F">
        <w:rPr>
          <w:rFonts w:ascii="Verdana" w:hAnsi="Verdana"/>
          <w:sz w:val="24"/>
          <w:szCs w:val="24"/>
        </w:rPr>
        <w:t xml:space="preserve"> and to start and raise a family.</w:t>
      </w:r>
    </w:p>
    <w:p w14:paraId="0DB1CBD1" w14:textId="5D463523" w:rsidR="00A16720" w:rsidRDefault="00EB509F" w:rsidP="00EB509F">
      <w:pPr>
        <w:pStyle w:val="ListParagraph"/>
        <w:numPr>
          <w:ilvl w:val="0"/>
          <w:numId w:val="10"/>
        </w:numPr>
        <w:contextualSpacing w:val="0"/>
        <w:rPr>
          <w:rFonts w:ascii="Verdana" w:hAnsi="Verdana"/>
          <w:sz w:val="24"/>
          <w:szCs w:val="24"/>
        </w:rPr>
      </w:pPr>
      <w:r w:rsidRPr="00EB509F">
        <w:rPr>
          <w:rFonts w:ascii="Verdana" w:hAnsi="Verdana"/>
          <w:sz w:val="24"/>
          <w:szCs w:val="24"/>
        </w:rPr>
        <w:t xml:space="preserve">Nā </w:t>
      </w:r>
      <w:r w:rsidR="00B96499" w:rsidRPr="00EB509F">
        <w:rPr>
          <w:rFonts w:ascii="Verdana" w:hAnsi="Verdana"/>
          <w:sz w:val="24"/>
          <w:szCs w:val="24"/>
        </w:rPr>
        <w:t>t</w:t>
      </w:r>
      <w:r w:rsidR="00B96499">
        <w:rPr>
          <w:rFonts w:ascii="Verdana" w:hAnsi="Verdana"/>
          <w:sz w:val="24"/>
          <w:szCs w:val="24"/>
        </w:rPr>
        <w:t>ō</w:t>
      </w:r>
      <w:r w:rsidR="00B96499" w:rsidRPr="00EB509F">
        <w:rPr>
          <w:rFonts w:ascii="Verdana" w:hAnsi="Verdana"/>
          <w:sz w:val="24"/>
          <w:szCs w:val="24"/>
        </w:rPr>
        <w:t xml:space="preserve"> </w:t>
      </w:r>
      <w:r w:rsidRPr="00EB509F">
        <w:rPr>
          <w:rFonts w:ascii="Verdana" w:hAnsi="Verdana"/>
          <w:sz w:val="24"/>
          <w:szCs w:val="24"/>
        </w:rPr>
        <w:t xml:space="preserve">rourou, nā taku rourou, ka ora ai te iwi. With your food basket and my food basket, the people will thrive. </w:t>
      </w:r>
    </w:p>
    <w:p w14:paraId="1F30F90D" w14:textId="697177F9" w:rsidR="00EB509F" w:rsidRPr="00EB509F" w:rsidRDefault="00EB509F" w:rsidP="00EB509F">
      <w:pPr>
        <w:pStyle w:val="ListParagraph"/>
        <w:numPr>
          <w:ilvl w:val="0"/>
          <w:numId w:val="10"/>
        </w:numPr>
        <w:contextualSpacing w:val="0"/>
        <w:rPr>
          <w:rFonts w:ascii="Verdana" w:hAnsi="Verdana"/>
          <w:sz w:val="24"/>
          <w:szCs w:val="24"/>
        </w:rPr>
      </w:pPr>
      <w:r w:rsidRPr="00EB509F">
        <w:rPr>
          <w:rFonts w:ascii="Verdana" w:hAnsi="Verdana"/>
          <w:sz w:val="24"/>
          <w:szCs w:val="24"/>
        </w:rPr>
        <w:t>This Māori proverb or whakatauk</w:t>
      </w:r>
      <w:r w:rsidR="00B96499">
        <w:rPr>
          <w:rFonts w:ascii="Verdana" w:hAnsi="Verdana"/>
          <w:sz w:val="24"/>
          <w:szCs w:val="24"/>
        </w:rPr>
        <w:t>ī</w:t>
      </w:r>
      <w:r w:rsidRPr="00EB509F">
        <w:rPr>
          <w:rFonts w:ascii="Verdana" w:hAnsi="Verdana"/>
          <w:sz w:val="24"/>
          <w:szCs w:val="24"/>
        </w:rPr>
        <w:t xml:space="preserve"> acknowledges that everyone has something to offer, a piece of the puzzle, and by working together we can flourish and therefore thrive. </w:t>
      </w:r>
    </w:p>
    <w:p w14:paraId="4D0358EC" w14:textId="61EAF86B" w:rsidR="0024658A" w:rsidRPr="00B96499" w:rsidRDefault="00EB509F" w:rsidP="0024658A">
      <w:pPr>
        <w:pStyle w:val="ListParagraph"/>
        <w:numPr>
          <w:ilvl w:val="0"/>
          <w:numId w:val="10"/>
        </w:numPr>
        <w:contextualSpacing w:val="0"/>
        <w:rPr>
          <w:rFonts w:ascii="Verdana" w:hAnsi="Verdana"/>
          <w:sz w:val="24"/>
          <w:szCs w:val="24"/>
          <w:lang w:val="mi-NZ"/>
        </w:rPr>
      </w:pPr>
      <w:r w:rsidRPr="00EB509F">
        <w:rPr>
          <w:rFonts w:ascii="Verdana" w:hAnsi="Verdana"/>
          <w:sz w:val="24"/>
          <w:szCs w:val="24"/>
        </w:rPr>
        <w:t>Tēnā koutou, tēnā koutou, tēnā koutou katoa.</w:t>
      </w:r>
      <w:r w:rsidR="0024658A" w:rsidRPr="0024658A">
        <w:rPr>
          <w:rFonts w:ascii="Calibri" w:hAnsi="Calibri" w:cs="Calibri"/>
          <w:lang w:val="mi-NZ" w:eastAsia="en-NZ"/>
        </w:rPr>
        <w:t xml:space="preserve"> </w:t>
      </w:r>
    </w:p>
    <w:p w14:paraId="0E491C95" w14:textId="7B41C82F" w:rsidR="00B96499" w:rsidRPr="0024658A" w:rsidRDefault="00B96499" w:rsidP="0024658A">
      <w:pPr>
        <w:pStyle w:val="ListParagraph"/>
        <w:numPr>
          <w:ilvl w:val="0"/>
          <w:numId w:val="10"/>
        </w:numPr>
        <w:rPr>
          <w:rFonts w:ascii="Verdana" w:hAnsi="Verdana"/>
          <w:sz w:val="24"/>
          <w:szCs w:val="24"/>
          <w:lang w:val="mi-NZ"/>
        </w:rPr>
      </w:pPr>
      <w:r>
        <w:rPr>
          <w:rFonts w:ascii="Verdana" w:hAnsi="Verdana"/>
          <w:sz w:val="24"/>
          <w:szCs w:val="24"/>
          <w:lang w:val="mi-NZ"/>
        </w:rPr>
        <w:t xml:space="preserve">In the Māori tradition: not once, not twice, but three times I thank you. </w:t>
      </w:r>
    </w:p>
    <w:p w14:paraId="1B9A7D90" w14:textId="1BCAB878" w:rsidR="003B714E" w:rsidRPr="00B96499" w:rsidRDefault="003B714E" w:rsidP="00B80537">
      <w:pPr>
        <w:rPr>
          <w:rFonts w:ascii="Verdana" w:hAnsi="Verdana"/>
        </w:rPr>
      </w:pPr>
    </w:p>
    <w:sectPr w:rsidR="003B714E" w:rsidRPr="00B964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0FD0" w14:textId="77777777" w:rsidR="007D50A6" w:rsidRDefault="007D50A6" w:rsidP="003B714E">
      <w:pPr>
        <w:spacing w:after="0" w:line="240" w:lineRule="auto"/>
      </w:pPr>
      <w:r>
        <w:separator/>
      </w:r>
    </w:p>
  </w:endnote>
  <w:endnote w:type="continuationSeparator" w:id="0">
    <w:p w14:paraId="1C09860B" w14:textId="77777777" w:rsidR="007D50A6" w:rsidRDefault="007D50A6" w:rsidP="003B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85384"/>
      <w:docPartObj>
        <w:docPartGallery w:val="Page Numbers (Bottom of Page)"/>
        <w:docPartUnique/>
      </w:docPartObj>
    </w:sdtPr>
    <w:sdtEndPr>
      <w:rPr>
        <w:noProof/>
      </w:rPr>
    </w:sdtEndPr>
    <w:sdtContent>
      <w:p w14:paraId="31A593B5" w14:textId="2EB82311" w:rsidR="00CF0288" w:rsidRDefault="00CF0288">
        <w:pPr>
          <w:pStyle w:val="Footer"/>
          <w:jc w:val="right"/>
        </w:pPr>
        <w:r>
          <w:fldChar w:fldCharType="begin"/>
        </w:r>
        <w:r>
          <w:instrText xml:space="preserve"> PAGE   \* MERGEFORMAT </w:instrText>
        </w:r>
        <w:r>
          <w:fldChar w:fldCharType="separate"/>
        </w:r>
        <w:r w:rsidR="00F629C2">
          <w:rPr>
            <w:noProof/>
          </w:rPr>
          <w:t>2</w:t>
        </w:r>
        <w:r>
          <w:rPr>
            <w:noProof/>
          </w:rPr>
          <w:fldChar w:fldCharType="end"/>
        </w:r>
      </w:p>
    </w:sdtContent>
  </w:sdt>
  <w:p w14:paraId="48D17F9A" w14:textId="77777777" w:rsidR="00B626D6" w:rsidRDefault="00B6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7B89" w14:textId="77777777" w:rsidR="007D50A6" w:rsidRDefault="007D50A6" w:rsidP="003B714E">
      <w:pPr>
        <w:spacing w:after="0" w:line="240" w:lineRule="auto"/>
      </w:pPr>
      <w:r>
        <w:separator/>
      </w:r>
    </w:p>
  </w:footnote>
  <w:footnote w:type="continuationSeparator" w:id="0">
    <w:p w14:paraId="257C0038" w14:textId="77777777" w:rsidR="007D50A6" w:rsidRDefault="007D50A6" w:rsidP="003B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866D" w14:textId="6A449931" w:rsidR="00730BBA" w:rsidRDefault="00791C81">
    <w:pPr>
      <w:pStyle w:val="Header"/>
    </w:pPr>
    <w:r>
      <w:t>Final – 2</w:t>
    </w:r>
    <w:r w:rsidR="00C663D0">
      <w:t xml:space="preserve">6 </w:t>
    </w:r>
    <w:r>
      <w:t>Jan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CAF"/>
    <w:multiLevelType w:val="hybridMultilevel"/>
    <w:tmpl w:val="21643E5A"/>
    <w:lvl w:ilvl="0" w:tplc="B89E12C0">
      <w:start w:val="1"/>
      <w:numFmt w:val="decimal"/>
      <w:lvlText w:val="%1."/>
      <w:lvlJc w:val="left"/>
      <w:pPr>
        <w:ind w:left="493" w:hanging="49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9C3090"/>
    <w:multiLevelType w:val="hybridMultilevel"/>
    <w:tmpl w:val="975655B4"/>
    <w:lvl w:ilvl="0" w:tplc="B89E12C0">
      <w:start w:val="1"/>
      <w:numFmt w:val="decimal"/>
      <w:lvlText w:val="%1."/>
      <w:lvlJc w:val="left"/>
      <w:pPr>
        <w:ind w:left="493" w:hanging="49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BB4079"/>
    <w:multiLevelType w:val="hybridMultilevel"/>
    <w:tmpl w:val="566AB2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75F4039"/>
    <w:multiLevelType w:val="hybridMultilevel"/>
    <w:tmpl w:val="A16AD7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5AF7140"/>
    <w:multiLevelType w:val="hybridMultilevel"/>
    <w:tmpl w:val="D0F61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B4131B"/>
    <w:multiLevelType w:val="hybridMultilevel"/>
    <w:tmpl w:val="4A60CB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33E118D"/>
    <w:multiLevelType w:val="hybridMultilevel"/>
    <w:tmpl w:val="09508A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B9A4F6E"/>
    <w:multiLevelType w:val="hybridMultilevel"/>
    <w:tmpl w:val="D7C652CC"/>
    <w:lvl w:ilvl="0" w:tplc="B89E12C0">
      <w:start w:val="1"/>
      <w:numFmt w:val="decimal"/>
      <w:lvlText w:val="%1."/>
      <w:lvlJc w:val="left"/>
      <w:pPr>
        <w:ind w:left="493" w:hanging="49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E1E3ECF"/>
    <w:multiLevelType w:val="hybridMultilevel"/>
    <w:tmpl w:val="892CC3C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23B1C46"/>
    <w:multiLevelType w:val="hybridMultilevel"/>
    <w:tmpl w:val="E35243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06F7A62"/>
    <w:multiLevelType w:val="hybridMultilevel"/>
    <w:tmpl w:val="87E2798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52F12BE0"/>
    <w:multiLevelType w:val="hybridMultilevel"/>
    <w:tmpl w:val="BD527FA6"/>
    <w:lvl w:ilvl="0" w:tplc="B89E12C0">
      <w:start w:val="1"/>
      <w:numFmt w:val="decimal"/>
      <w:lvlText w:val="%1."/>
      <w:lvlJc w:val="left"/>
      <w:pPr>
        <w:ind w:left="493" w:hanging="49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9D3709"/>
    <w:multiLevelType w:val="hybridMultilevel"/>
    <w:tmpl w:val="9D4E3846"/>
    <w:lvl w:ilvl="0" w:tplc="B89E12C0">
      <w:start w:val="1"/>
      <w:numFmt w:val="decimal"/>
      <w:lvlText w:val="%1."/>
      <w:lvlJc w:val="left"/>
      <w:pPr>
        <w:ind w:left="493" w:hanging="493"/>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6AB1C53"/>
    <w:multiLevelType w:val="hybridMultilevel"/>
    <w:tmpl w:val="A1E07BF4"/>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0A26E3E"/>
    <w:multiLevelType w:val="hybridMultilevel"/>
    <w:tmpl w:val="3A1808A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2F63F71"/>
    <w:multiLevelType w:val="hybridMultilevel"/>
    <w:tmpl w:val="3920E9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3D79D0"/>
    <w:multiLevelType w:val="hybridMultilevel"/>
    <w:tmpl w:val="E174BA04"/>
    <w:lvl w:ilvl="0" w:tplc="B89E12C0">
      <w:start w:val="1"/>
      <w:numFmt w:val="decimal"/>
      <w:lvlText w:val="%1."/>
      <w:lvlJc w:val="left"/>
      <w:pPr>
        <w:ind w:left="493" w:hanging="49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4"/>
  </w:num>
  <w:num w:numId="5">
    <w:abstractNumId w:val="15"/>
  </w:num>
  <w:num w:numId="6">
    <w:abstractNumId w:val="6"/>
  </w:num>
  <w:num w:numId="7">
    <w:abstractNumId w:val="10"/>
  </w:num>
  <w:num w:numId="8">
    <w:abstractNumId w:val="9"/>
  </w:num>
  <w:num w:numId="9">
    <w:abstractNumId w:val="8"/>
  </w:num>
  <w:num w:numId="10">
    <w:abstractNumId w:val="12"/>
  </w:num>
  <w:num w:numId="11">
    <w:abstractNumId w:val="5"/>
  </w:num>
  <w:num w:numId="12">
    <w:abstractNumId w:val="7"/>
  </w:num>
  <w:num w:numId="13">
    <w:abstractNumId w:val="0"/>
  </w:num>
  <w:num w:numId="14">
    <w:abstractNumId w:val="1"/>
  </w:num>
  <w:num w:numId="15">
    <w:abstractNumId w:val="16"/>
  </w:num>
  <w:num w:numId="16">
    <w:abstractNumId w:val="11"/>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4E"/>
    <w:rsid w:val="00036264"/>
    <w:rsid w:val="000641DC"/>
    <w:rsid w:val="000B77B9"/>
    <w:rsid w:val="000E0DA3"/>
    <w:rsid w:val="000E407E"/>
    <w:rsid w:val="001C5080"/>
    <w:rsid w:val="0024658A"/>
    <w:rsid w:val="002C7715"/>
    <w:rsid w:val="002D5D02"/>
    <w:rsid w:val="002E017E"/>
    <w:rsid w:val="002E67CD"/>
    <w:rsid w:val="003B714E"/>
    <w:rsid w:val="003C338D"/>
    <w:rsid w:val="004209B1"/>
    <w:rsid w:val="004327E9"/>
    <w:rsid w:val="005370F3"/>
    <w:rsid w:val="00541ECA"/>
    <w:rsid w:val="005C7168"/>
    <w:rsid w:val="005F4C1F"/>
    <w:rsid w:val="005F6899"/>
    <w:rsid w:val="00611683"/>
    <w:rsid w:val="006908AD"/>
    <w:rsid w:val="00694CA2"/>
    <w:rsid w:val="00695DB4"/>
    <w:rsid w:val="007120FC"/>
    <w:rsid w:val="007230D2"/>
    <w:rsid w:val="00730BBA"/>
    <w:rsid w:val="00791C81"/>
    <w:rsid w:val="007D50A6"/>
    <w:rsid w:val="0082268A"/>
    <w:rsid w:val="0084510E"/>
    <w:rsid w:val="008539EF"/>
    <w:rsid w:val="008661D9"/>
    <w:rsid w:val="00901275"/>
    <w:rsid w:val="00997B5F"/>
    <w:rsid w:val="009A30B3"/>
    <w:rsid w:val="00A13CB0"/>
    <w:rsid w:val="00A16219"/>
    <w:rsid w:val="00A16720"/>
    <w:rsid w:val="00A6274A"/>
    <w:rsid w:val="00A73F95"/>
    <w:rsid w:val="00AA7FD1"/>
    <w:rsid w:val="00AD7931"/>
    <w:rsid w:val="00B626D6"/>
    <w:rsid w:val="00B80537"/>
    <w:rsid w:val="00B96499"/>
    <w:rsid w:val="00C2671E"/>
    <w:rsid w:val="00C663D0"/>
    <w:rsid w:val="00CA5E77"/>
    <w:rsid w:val="00CF0288"/>
    <w:rsid w:val="00D175C2"/>
    <w:rsid w:val="00D9133F"/>
    <w:rsid w:val="00E44CE7"/>
    <w:rsid w:val="00EB509F"/>
    <w:rsid w:val="00EF339D"/>
    <w:rsid w:val="00F03C18"/>
    <w:rsid w:val="00F54DFC"/>
    <w:rsid w:val="00F629C2"/>
    <w:rsid w:val="00F71920"/>
    <w:rsid w:val="00F71CCE"/>
    <w:rsid w:val="00F8053B"/>
    <w:rsid w:val="00FA02F6"/>
    <w:rsid w:val="00FB184F"/>
    <w:rsid w:val="00FC298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7B6C7"/>
  <w15:chartTrackingRefBased/>
  <w15:docId w15:val="{7CF29BB9-DF02-4A06-9962-BC489264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DC"/>
    <w:pPr>
      <w:ind w:left="720"/>
      <w:contextualSpacing/>
    </w:pPr>
  </w:style>
  <w:style w:type="paragraph" w:styleId="Header">
    <w:name w:val="header"/>
    <w:basedOn w:val="Normal"/>
    <w:link w:val="HeaderChar"/>
    <w:uiPriority w:val="99"/>
    <w:unhideWhenUsed/>
    <w:rsid w:val="00730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BA"/>
  </w:style>
  <w:style w:type="paragraph" w:styleId="Footer">
    <w:name w:val="footer"/>
    <w:basedOn w:val="Normal"/>
    <w:link w:val="FooterChar"/>
    <w:uiPriority w:val="99"/>
    <w:unhideWhenUsed/>
    <w:rsid w:val="00730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BA"/>
  </w:style>
  <w:style w:type="paragraph" w:styleId="Revision">
    <w:name w:val="Revision"/>
    <w:hidden/>
    <w:uiPriority w:val="99"/>
    <w:semiHidden/>
    <w:rsid w:val="002C7715"/>
    <w:pPr>
      <w:spacing w:after="0" w:line="240" w:lineRule="auto"/>
    </w:pPr>
  </w:style>
  <w:style w:type="character" w:customStyle="1" w:styleId="Heading1Char">
    <w:name w:val="Heading 1 Char"/>
    <w:basedOn w:val="DefaultParagraphFont"/>
    <w:link w:val="Heading1"/>
    <w:uiPriority w:val="9"/>
    <w:rsid w:val="00EB509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73F95"/>
    <w:rPr>
      <w:sz w:val="16"/>
      <w:szCs w:val="16"/>
    </w:rPr>
  </w:style>
  <w:style w:type="paragraph" w:styleId="CommentText">
    <w:name w:val="annotation text"/>
    <w:basedOn w:val="Normal"/>
    <w:link w:val="CommentTextChar"/>
    <w:uiPriority w:val="99"/>
    <w:semiHidden/>
    <w:unhideWhenUsed/>
    <w:rsid w:val="00A73F95"/>
    <w:pPr>
      <w:spacing w:line="240" w:lineRule="auto"/>
    </w:pPr>
    <w:rPr>
      <w:sz w:val="20"/>
      <w:szCs w:val="20"/>
    </w:rPr>
  </w:style>
  <w:style w:type="character" w:customStyle="1" w:styleId="CommentTextChar">
    <w:name w:val="Comment Text Char"/>
    <w:basedOn w:val="DefaultParagraphFont"/>
    <w:link w:val="CommentText"/>
    <w:uiPriority w:val="99"/>
    <w:semiHidden/>
    <w:rsid w:val="00A73F95"/>
    <w:rPr>
      <w:sz w:val="20"/>
      <w:szCs w:val="20"/>
    </w:rPr>
  </w:style>
  <w:style w:type="paragraph" w:styleId="CommentSubject">
    <w:name w:val="annotation subject"/>
    <w:basedOn w:val="CommentText"/>
    <w:next w:val="CommentText"/>
    <w:link w:val="CommentSubjectChar"/>
    <w:uiPriority w:val="99"/>
    <w:semiHidden/>
    <w:unhideWhenUsed/>
    <w:rsid w:val="00A73F95"/>
    <w:rPr>
      <w:b/>
      <w:bCs/>
    </w:rPr>
  </w:style>
  <w:style w:type="character" w:customStyle="1" w:styleId="CommentSubjectChar">
    <w:name w:val="Comment Subject Char"/>
    <w:basedOn w:val="CommentTextChar"/>
    <w:link w:val="CommentSubject"/>
    <w:uiPriority w:val="99"/>
    <w:semiHidden/>
    <w:rsid w:val="00A73F95"/>
    <w:rPr>
      <w:b/>
      <w:bCs/>
      <w:sz w:val="20"/>
      <w:szCs w:val="20"/>
    </w:rPr>
  </w:style>
  <w:style w:type="paragraph" w:styleId="BalloonText">
    <w:name w:val="Balloon Text"/>
    <w:basedOn w:val="Normal"/>
    <w:link w:val="BalloonTextChar"/>
    <w:uiPriority w:val="99"/>
    <w:semiHidden/>
    <w:unhideWhenUsed/>
    <w:rsid w:val="00B9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6349">
      <w:bodyDiv w:val="1"/>
      <w:marLeft w:val="0"/>
      <w:marRight w:val="0"/>
      <w:marTop w:val="0"/>
      <w:marBottom w:val="0"/>
      <w:divBdr>
        <w:top w:val="none" w:sz="0" w:space="0" w:color="auto"/>
        <w:left w:val="none" w:sz="0" w:space="0" w:color="auto"/>
        <w:bottom w:val="none" w:sz="0" w:space="0" w:color="auto"/>
        <w:right w:val="none" w:sz="0" w:space="0" w:color="auto"/>
      </w:divBdr>
    </w:div>
    <w:div w:id="272398218">
      <w:bodyDiv w:val="1"/>
      <w:marLeft w:val="0"/>
      <w:marRight w:val="0"/>
      <w:marTop w:val="0"/>
      <w:marBottom w:val="0"/>
      <w:divBdr>
        <w:top w:val="none" w:sz="0" w:space="0" w:color="auto"/>
        <w:left w:val="none" w:sz="0" w:space="0" w:color="auto"/>
        <w:bottom w:val="none" w:sz="0" w:space="0" w:color="auto"/>
        <w:right w:val="none" w:sz="0" w:space="0" w:color="auto"/>
      </w:divBdr>
    </w:div>
    <w:div w:id="455493519">
      <w:bodyDiv w:val="1"/>
      <w:marLeft w:val="0"/>
      <w:marRight w:val="0"/>
      <w:marTop w:val="0"/>
      <w:marBottom w:val="0"/>
      <w:divBdr>
        <w:top w:val="none" w:sz="0" w:space="0" w:color="auto"/>
        <w:left w:val="none" w:sz="0" w:space="0" w:color="auto"/>
        <w:bottom w:val="none" w:sz="0" w:space="0" w:color="auto"/>
        <w:right w:val="none" w:sz="0" w:space="0" w:color="auto"/>
      </w:divBdr>
    </w:div>
    <w:div w:id="559755601">
      <w:bodyDiv w:val="1"/>
      <w:marLeft w:val="0"/>
      <w:marRight w:val="0"/>
      <w:marTop w:val="0"/>
      <w:marBottom w:val="0"/>
      <w:divBdr>
        <w:top w:val="none" w:sz="0" w:space="0" w:color="auto"/>
        <w:left w:val="none" w:sz="0" w:space="0" w:color="auto"/>
        <w:bottom w:val="none" w:sz="0" w:space="0" w:color="auto"/>
        <w:right w:val="none" w:sz="0" w:space="0" w:color="auto"/>
      </w:divBdr>
    </w:div>
    <w:div w:id="687292601">
      <w:bodyDiv w:val="1"/>
      <w:marLeft w:val="0"/>
      <w:marRight w:val="0"/>
      <w:marTop w:val="0"/>
      <w:marBottom w:val="0"/>
      <w:divBdr>
        <w:top w:val="none" w:sz="0" w:space="0" w:color="auto"/>
        <w:left w:val="none" w:sz="0" w:space="0" w:color="auto"/>
        <w:bottom w:val="none" w:sz="0" w:space="0" w:color="auto"/>
        <w:right w:val="none" w:sz="0" w:space="0" w:color="auto"/>
      </w:divBdr>
    </w:div>
    <w:div w:id="813134805">
      <w:bodyDiv w:val="1"/>
      <w:marLeft w:val="0"/>
      <w:marRight w:val="0"/>
      <w:marTop w:val="0"/>
      <w:marBottom w:val="0"/>
      <w:divBdr>
        <w:top w:val="none" w:sz="0" w:space="0" w:color="auto"/>
        <w:left w:val="none" w:sz="0" w:space="0" w:color="auto"/>
        <w:bottom w:val="none" w:sz="0" w:space="0" w:color="auto"/>
        <w:right w:val="none" w:sz="0" w:space="0" w:color="auto"/>
      </w:divBdr>
    </w:div>
    <w:div w:id="1142387444">
      <w:bodyDiv w:val="1"/>
      <w:marLeft w:val="0"/>
      <w:marRight w:val="0"/>
      <w:marTop w:val="0"/>
      <w:marBottom w:val="0"/>
      <w:divBdr>
        <w:top w:val="none" w:sz="0" w:space="0" w:color="auto"/>
        <w:left w:val="none" w:sz="0" w:space="0" w:color="auto"/>
        <w:bottom w:val="none" w:sz="0" w:space="0" w:color="auto"/>
        <w:right w:val="none" w:sz="0" w:space="0" w:color="auto"/>
      </w:divBdr>
    </w:div>
    <w:div w:id="1305162767">
      <w:bodyDiv w:val="1"/>
      <w:marLeft w:val="0"/>
      <w:marRight w:val="0"/>
      <w:marTop w:val="0"/>
      <w:marBottom w:val="0"/>
      <w:divBdr>
        <w:top w:val="none" w:sz="0" w:space="0" w:color="auto"/>
        <w:left w:val="none" w:sz="0" w:space="0" w:color="auto"/>
        <w:bottom w:val="none" w:sz="0" w:space="0" w:color="auto"/>
        <w:right w:val="none" w:sz="0" w:space="0" w:color="auto"/>
      </w:divBdr>
    </w:div>
    <w:div w:id="1337926472">
      <w:bodyDiv w:val="1"/>
      <w:marLeft w:val="0"/>
      <w:marRight w:val="0"/>
      <w:marTop w:val="0"/>
      <w:marBottom w:val="0"/>
      <w:divBdr>
        <w:top w:val="none" w:sz="0" w:space="0" w:color="auto"/>
        <w:left w:val="none" w:sz="0" w:space="0" w:color="auto"/>
        <w:bottom w:val="none" w:sz="0" w:space="0" w:color="auto"/>
        <w:right w:val="none" w:sz="0" w:space="0" w:color="auto"/>
      </w:divBdr>
    </w:div>
    <w:div w:id="1558710364">
      <w:bodyDiv w:val="1"/>
      <w:marLeft w:val="0"/>
      <w:marRight w:val="0"/>
      <w:marTop w:val="0"/>
      <w:marBottom w:val="0"/>
      <w:divBdr>
        <w:top w:val="none" w:sz="0" w:space="0" w:color="auto"/>
        <w:left w:val="none" w:sz="0" w:space="0" w:color="auto"/>
        <w:bottom w:val="none" w:sz="0" w:space="0" w:color="auto"/>
        <w:right w:val="none" w:sz="0" w:space="0" w:color="auto"/>
      </w:divBdr>
    </w:div>
    <w:div w:id="1718818531">
      <w:bodyDiv w:val="1"/>
      <w:marLeft w:val="0"/>
      <w:marRight w:val="0"/>
      <w:marTop w:val="0"/>
      <w:marBottom w:val="0"/>
      <w:divBdr>
        <w:top w:val="none" w:sz="0" w:space="0" w:color="auto"/>
        <w:left w:val="none" w:sz="0" w:space="0" w:color="auto"/>
        <w:bottom w:val="none" w:sz="0" w:space="0" w:color="auto"/>
        <w:right w:val="none" w:sz="0" w:space="0" w:color="auto"/>
      </w:divBdr>
    </w:div>
    <w:div w:id="19955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322E-53CC-4C67-8507-4E3E812A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2109</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Opetaia</dc:creator>
  <cp:keywords/>
  <dc:description/>
  <cp:lastModifiedBy>BOIT James</cp:lastModifiedBy>
  <cp:revision>2</cp:revision>
  <cp:lastPrinted>2023-01-20T01:49:00Z</cp:lastPrinted>
  <dcterms:created xsi:type="dcterms:W3CDTF">2023-01-26T11:15:00Z</dcterms:created>
  <dcterms:modified xsi:type="dcterms:W3CDTF">2023-01-26T11:15:00Z</dcterms:modified>
</cp:coreProperties>
</file>