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A3959" w14:textId="0ADFDA12" w:rsidR="00C64232" w:rsidRPr="00C64232" w:rsidRDefault="00C64232" w:rsidP="005A76CA">
      <w:pPr>
        <w:jc w:val="center"/>
        <w:rPr>
          <w:rFonts w:ascii="Times New Roman" w:hAnsi="Times New Roman" w:cs="Times New Roman"/>
          <w:b/>
          <w:bCs/>
          <w:sz w:val="24"/>
          <w:szCs w:val="24"/>
        </w:rPr>
      </w:pPr>
      <w:r>
        <w:rPr>
          <w:rFonts w:ascii="Times New Roman" w:hAnsi="Times New Roman"/>
          <w:b/>
          <w:sz w:val="24"/>
        </w:rPr>
        <w:t>ANNEX I</w:t>
      </w:r>
    </w:p>
    <w:p w14:paraId="661B4A29" w14:textId="623E3F31" w:rsidR="00C64232" w:rsidRPr="00C64232" w:rsidRDefault="00C64232" w:rsidP="00C64232">
      <w:pPr>
        <w:rPr>
          <w:rFonts w:ascii="Times New Roman" w:hAnsi="Times New Roman" w:cs="Times New Roman"/>
          <w:b/>
          <w:bCs/>
        </w:rPr>
      </w:pPr>
      <w:r>
        <w:rPr>
          <w:rFonts w:ascii="Times New Roman" w:hAnsi="Times New Roman"/>
          <w:b/>
        </w:rPr>
        <w:t>Question 1 - Data on corruption investigations, procedures and convictions in Lava-Jato Operation</w:t>
      </w:r>
    </w:p>
    <w:tbl>
      <w:tblPr>
        <w:tblpPr w:leftFromText="141" w:rightFromText="141" w:bottomFromText="160" w:vertAnchor="text" w:horzAnchor="margin" w:tblpY="95"/>
        <w:tblW w:w="5404" w:type="dxa"/>
        <w:tblCellMar>
          <w:left w:w="70" w:type="dxa"/>
          <w:right w:w="70" w:type="dxa"/>
        </w:tblCellMar>
        <w:tblLook w:val="04A0" w:firstRow="1" w:lastRow="0" w:firstColumn="1" w:lastColumn="0" w:noHBand="0" w:noVBand="1"/>
      </w:tblPr>
      <w:tblGrid>
        <w:gridCol w:w="3239"/>
        <w:gridCol w:w="2165"/>
      </w:tblGrid>
      <w:tr w:rsidR="00C64232" w14:paraId="58D7DEFF" w14:textId="77777777" w:rsidTr="00D6415F">
        <w:trPr>
          <w:trHeight w:val="454"/>
        </w:trPr>
        <w:tc>
          <w:tcPr>
            <w:tcW w:w="3239" w:type="dxa"/>
            <w:noWrap/>
            <w:vAlign w:val="bottom"/>
            <w:hideMark/>
          </w:tcPr>
          <w:p w14:paraId="3FF8FFE7" w14:textId="77777777" w:rsidR="00C64232" w:rsidRDefault="00C64232" w:rsidP="00D6415F"/>
        </w:tc>
        <w:tc>
          <w:tcPr>
            <w:tcW w:w="2165" w:type="dxa"/>
            <w:tcBorders>
              <w:top w:val="single" w:sz="4" w:space="0" w:color="auto"/>
              <w:left w:val="single" w:sz="4" w:space="0" w:color="auto"/>
              <w:bottom w:val="single" w:sz="4" w:space="0" w:color="auto"/>
              <w:right w:val="single" w:sz="4" w:space="0" w:color="auto"/>
            </w:tcBorders>
            <w:shd w:val="clear" w:color="auto" w:fill="F4B084"/>
            <w:vAlign w:val="bottom"/>
            <w:hideMark/>
          </w:tcPr>
          <w:p w14:paraId="4E7E282B" w14:textId="77777777" w:rsidR="00C64232" w:rsidRDefault="00C64232" w:rsidP="00D6415F">
            <w:pPr>
              <w:spacing w:after="0" w:line="240" w:lineRule="auto"/>
              <w:jc w:val="center"/>
              <w:rPr>
                <w:rFonts w:ascii="Calibri" w:eastAsia="Times New Roman" w:hAnsi="Calibri" w:cs="Calibri"/>
                <w:b/>
                <w:bCs/>
                <w:color w:val="000000"/>
              </w:rPr>
            </w:pPr>
            <w:r>
              <w:rPr>
                <w:rFonts w:ascii="Calibri" w:hAnsi="Calibri"/>
                <w:b/>
                <w:color w:val="000000"/>
              </w:rPr>
              <w:t xml:space="preserve">FEDERAL REGIONAL COURT 2 </w:t>
            </w:r>
          </w:p>
        </w:tc>
      </w:tr>
      <w:tr w:rsidR="00C64232" w14:paraId="7DC2CC34" w14:textId="77777777" w:rsidTr="00D6415F">
        <w:trPr>
          <w:trHeight w:val="227"/>
        </w:trPr>
        <w:tc>
          <w:tcPr>
            <w:tcW w:w="3239" w:type="dxa"/>
            <w:noWrap/>
            <w:vAlign w:val="bottom"/>
            <w:hideMark/>
          </w:tcPr>
          <w:p w14:paraId="6C92D39F" w14:textId="77777777" w:rsidR="00C64232" w:rsidRDefault="00C64232" w:rsidP="00D6415F">
            <w:pPr>
              <w:rPr>
                <w:rFonts w:ascii="Calibri" w:eastAsia="Times New Roman" w:hAnsi="Calibri" w:cs="Calibri"/>
                <w:b/>
                <w:bCs/>
                <w:color w:val="000000"/>
                <w:lang w:eastAsia="pt-BR"/>
              </w:rPr>
            </w:pPr>
          </w:p>
        </w:tc>
        <w:tc>
          <w:tcPr>
            <w:tcW w:w="2165" w:type="dxa"/>
            <w:tcBorders>
              <w:top w:val="nil"/>
              <w:left w:val="single" w:sz="4" w:space="0" w:color="auto"/>
              <w:bottom w:val="single" w:sz="4" w:space="0" w:color="auto"/>
              <w:right w:val="single" w:sz="4" w:space="0" w:color="auto"/>
            </w:tcBorders>
            <w:shd w:val="clear" w:color="auto" w:fill="D6DCE4"/>
            <w:noWrap/>
            <w:vAlign w:val="bottom"/>
            <w:hideMark/>
          </w:tcPr>
          <w:p w14:paraId="57CD65AF" w14:textId="70D62066" w:rsidR="00C64232" w:rsidRDefault="00221FFE" w:rsidP="00D6415F">
            <w:pPr>
              <w:spacing w:after="0" w:line="240" w:lineRule="auto"/>
              <w:rPr>
                <w:rFonts w:ascii="Calibri" w:eastAsia="Times New Roman" w:hAnsi="Calibri" w:cs="Calibri"/>
                <w:color w:val="000000"/>
              </w:rPr>
            </w:pPr>
            <w:r>
              <w:rPr>
                <w:rFonts w:ascii="Calibri" w:hAnsi="Calibri"/>
                <w:color w:val="000000"/>
              </w:rPr>
              <w:t>COURT OF APPEALS</w:t>
            </w:r>
          </w:p>
        </w:tc>
      </w:tr>
      <w:tr w:rsidR="00C64232" w14:paraId="26D23680" w14:textId="77777777" w:rsidTr="00D6415F">
        <w:trPr>
          <w:trHeight w:val="227"/>
        </w:trPr>
        <w:tc>
          <w:tcPr>
            <w:tcW w:w="323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520DABB" w14:textId="61A5EAFB" w:rsidR="00C64232" w:rsidRDefault="00C64232" w:rsidP="00D6415F">
            <w:pPr>
              <w:spacing w:after="0" w:line="240" w:lineRule="auto"/>
              <w:rPr>
                <w:rFonts w:ascii="Calibri" w:eastAsia="Times New Roman" w:hAnsi="Calibri" w:cs="Calibri"/>
                <w:color w:val="000000"/>
              </w:rPr>
            </w:pPr>
            <w:r>
              <w:rPr>
                <w:rFonts w:ascii="Calibri" w:hAnsi="Calibri"/>
                <w:color w:val="000000"/>
              </w:rPr>
              <w:t xml:space="preserve">COMPLAINTS </w:t>
            </w:r>
            <w:r w:rsidR="00D6415F">
              <w:rPr>
                <w:rFonts w:ascii="Calibri" w:hAnsi="Calibri"/>
                <w:color w:val="000000"/>
              </w:rPr>
              <w:t xml:space="preserve"> LODGED</w:t>
            </w:r>
          </w:p>
        </w:tc>
        <w:tc>
          <w:tcPr>
            <w:tcW w:w="2165" w:type="dxa"/>
            <w:tcBorders>
              <w:top w:val="nil"/>
              <w:left w:val="nil"/>
              <w:bottom w:val="single" w:sz="4" w:space="0" w:color="auto"/>
              <w:right w:val="single" w:sz="4" w:space="0" w:color="auto"/>
            </w:tcBorders>
            <w:shd w:val="clear" w:color="auto" w:fill="F2F2F2"/>
            <w:noWrap/>
            <w:vAlign w:val="bottom"/>
            <w:hideMark/>
          </w:tcPr>
          <w:p w14:paraId="48740AE1"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2</w:t>
            </w:r>
          </w:p>
        </w:tc>
      </w:tr>
      <w:tr w:rsidR="00C64232" w14:paraId="44301566" w14:textId="77777777" w:rsidTr="00D6415F">
        <w:trPr>
          <w:trHeight w:val="227"/>
        </w:trPr>
        <w:tc>
          <w:tcPr>
            <w:tcW w:w="3239" w:type="dxa"/>
            <w:tcBorders>
              <w:top w:val="nil"/>
              <w:left w:val="single" w:sz="4" w:space="0" w:color="auto"/>
              <w:bottom w:val="single" w:sz="4" w:space="0" w:color="auto"/>
              <w:right w:val="single" w:sz="4" w:space="0" w:color="auto"/>
            </w:tcBorders>
            <w:shd w:val="clear" w:color="auto" w:fill="F2F2F2"/>
            <w:noWrap/>
            <w:vAlign w:val="bottom"/>
            <w:hideMark/>
          </w:tcPr>
          <w:p w14:paraId="6981A164" w14:textId="50495132" w:rsidR="00C64232" w:rsidRDefault="00C64232" w:rsidP="00D6415F">
            <w:pPr>
              <w:spacing w:after="0" w:line="240" w:lineRule="auto"/>
              <w:rPr>
                <w:rFonts w:ascii="Calibri" w:eastAsia="Times New Roman" w:hAnsi="Calibri" w:cs="Calibri"/>
                <w:color w:val="000000"/>
              </w:rPr>
            </w:pPr>
            <w:r>
              <w:rPr>
                <w:rFonts w:ascii="Calibri" w:hAnsi="Calibri"/>
                <w:color w:val="000000"/>
              </w:rPr>
              <w:t>INDICTED</w:t>
            </w:r>
          </w:p>
        </w:tc>
        <w:tc>
          <w:tcPr>
            <w:tcW w:w="2165" w:type="dxa"/>
            <w:tcBorders>
              <w:top w:val="nil"/>
              <w:left w:val="nil"/>
              <w:bottom w:val="single" w:sz="4" w:space="0" w:color="auto"/>
              <w:right w:val="single" w:sz="4" w:space="0" w:color="auto"/>
            </w:tcBorders>
            <w:shd w:val="clear" w:color="auto" w:fill="F2F2F2"/>
            <w:noWrap/>
            <w:vAlign w:val="bottom"/>
            <w:hideMark/>
          </w:tcPr>
          <w:p w14:paraId="2D1971D0"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48</w:t>
            </w:r>
          </w:p>
        </w:tc>
      </w:tr>
      <w:tr w:rsidR="00C64232" w14:paraId="3C4F97B9" w14:textId="77777777" w:rsidTr="00D6415F">
        <w:trPr>
          <w:trHeight w:val="227"/>
        </w:trPr>
        <w:tc>
          <w:tcPr>
            <w:tcW w:w="3239" w:type="dxa"/>
            <w:tcBorders>
              <w:top w:val="nil"/>
              <w:left w:val="single" w:sz="4" w:space="0" w:color="auto"/>
              <w:bottom w:val="single" w:sz="4" w:space="0" w:color="auto"/>
              <w:right w:val="single" w:sz="4" w:space="0" w:color="auto"/>
            </w:tcBorders>
            <w:shd w:val="clear" w:color="auto" w:fill="F2F2F2"/>
            <w:noWrap/>
            <w:vAlign w:val="bottom"/>
            <w:hideMark/>
          </w:tcPr>
          <w:p w14:paraId="03B1C5EC" w14:textId="77777777" w:rsidR="00C64232" w:rsidRDefault="00C64232" w:rsidP="00D6415F">
            <w:pPr>
              <w:spacing w:after="0" w:line="240" w:lineRule="auto"/>
              <w:rPr>
                <w:rFonts w:ascii="Calibri" w:eastAsia="Times New Roman" w:hAnsi="Calibri" w:cs="Calibri"/>
                <w:color w:val="000000"/>
              </w:rPr>
            </w:pPr>
            <w:r>
              <w:rPr>
                <w:rFonts w:ascii="Calibri" w:hAnsi="Calibri"/>
                <w:color w:val="000000"/>
              </w:rPr>
              <w:t xml:space="preserve">ASSIGNED CASES </w:t>
            </w:r>
          </w:p>
        </w:tc>
        <w:tc>
          <w:tcPr>
            <w:tcW w:w="2165" w:type="dxa"/>
            <w:tcBorders>
              <w:top w:val="nil"/>
              <w:left w:val="nil"/>
              <w:bottom w:val="single" w:sz="4" w:space="0" w:color="auto"/>
              <w:right w:val="single" w:sz="4" w:space="0" w:color="auto"/>
            </w:tcBorders>
            <w:shd w:val="clear" w:color="auto" w:fill="F2F2F2"/>
            <w:noWrap/>
            <w:vAlign w:val="bottom"/>
            <w:hideMark/>
          </w:tcPr>
          <w:p w14:paraId="5602965F"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554</w:t>
            </w:r>
          </w:p>
        </w:tc>
      </w:tr>
      <w:tr w:rsidR="00C64232" w14:paraId="42398A7C" w14:textId="77777777" w:rsidTr="00D6415F">
        <w:trPr>
          <w:trHeight w:val="227"/>
        </w:trPr>
        <w:tc>
          <w:tcPr>
            <w:tcW w:w="3239" w:type="dxa"/>
            <w:tcBorders>
              <w:top w:val="nil"/>
              <w:left w:val="single" w:sz="4" w:space="0" w:color="auto"/>
              <w:bottom w:val="single" w:sz="4" w:space="0" w:color="auto"/>
              <w:right w:val="single" w:sz="4" w:space="0" w:color="auto"/>
            </w:tcBorders>
            <w:shd w:val="clear" w:color="auto" w:fill="F2F2F2"/>
            <w:noWrap/>
            <w:vAlign w:val="bottom"/>
            <w:hideMark/>
          </w:tcPr>
          <w:p w14:paraId="547C6C8C" w14:textId="77777777" w:rsidR="00C64232" w:rsidRDefault="00C64232" w:rsidP="00D6415F">
            <w:pPr>
              <w:spacing w:after="0" w:line="240" w:lineRule="auto"/>
              <w:rPr>
                <w:rFonts w:ascii="Calibri" w:eastAsia="Times New Roman" w:hAnsi="Calibri" w:cs="Calibri"/>
                <w:color w:val="000000"/>
              </w:rPr>
            </w:pPr>
            <w:r>
              <w:rPr>
                <w:rFonts w:ascii="Calibri" w:hAnsi="Calibri"/>
                <w:color w:val="000000"/>
              </w:rPr>
              <w:t>DECLARATION IN HABEAS CORPUS</w:t>
            </w:r>
          </w:p>
        </w:tc>
        <w:tc>
          <w:tcPr>
            <w:tcW w:w="2165" w:type="dxa"/>
            <w:tcBorders>
              <w:top w:val="nil"/>
              <w:left w:val="nil"/>
              <w:bottom w:val="single" w:sz="4" w:space="0" w:color="auto"/>
              <w:right w:val="single" w:sz="4" w:space="0" w:color="auto"/>
            </w:tcBorders>
            <w:shd w:val="clear" w:color="auto" w:fill="F2F2F2"/>
            <w:noWrap/>
            <w:vAlign w:val="bottom"/>
            <w:hideMark/>
          </w:tcPr>
          <w:p w14:paraId="445D169E"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325</w:t>
            </w:r>
          </w:p>
        </w:tc>
      </w:tr>
      <w:tr w:rsidR="00C64232" w14:paraId="25896BFD" w14:textId="77777777" w:rsidTr="00D6415F">
        <w:trPr>
          <w:trHeight w:val="227"/>
        </w:trPr>
        <w:tc>
          <w:tcPr>
            <w:tcW w:w="3239" w:type="dxa"/>
            <w:tcBorders>
              <w:top w:val="nil"/>
              <w:left w:val="single" w:sz="4" w:space="0" w:color="auto"/>
              <w:bottom w:val="single" w:sz="4" w:space="0" w:color="auto"/>
              <w:right w:val="single" w:sz="4" w:space="0" w:color="auto"/>
            </w:tcBorders>
            <w:shd w:val="clear" w:color="auto" w:fill="F2F2F2"/>
            <w:noWrap/>
            <w:vAlign w:val="bottom"/>
            <w:hideMark/>
          </w:tcPr>
          <w:p w14:paraId="34827DC8" w14:textId="77777777" w:rsidR="00C64232" w:rsidRDefault="00C64232" w:rsidP="00D6415F">
            <w:pPr>
              <w:spacing w:after="0" w:line="240" w:lineRule="auto"/>
              <w:rPr>
                <w:rFonts w:ascii="Calibri" w:eastAsia="Times New Roman" w:hAnsi="Calibri" w:cs="Calibri"/>
                <w:color w:val="000000"/>
              </w:rPr>
            </w:pPr>
            <w:r>
              <w:rPr>
                <w:rFonts w:ascii="Calibri" w:hAnsi="Calibri"/>
                <w:color w:val="000000"/>
              </w:rPr>
              <w:t>DECLARATION IN APPEALS</w:t>
            </w:r>
          </w:p>
        </w:tc>
        <w:tc>
          <w:tcPr>
            <w:tcW w:w="2165" w:type="dxa"/>
            <w:tcBorders>
              <w:top w:val="nil"/>
              <w:left w:val="nil"/>
              <w:bottom w:val="single" w:sz="4" w:space="0" w:color="auto"/>
              <w:right w:val="single" w:sz="4" w:space="0" w:color="auto"/>
            </w:tcBorders>
            <w:shd w:val="clear" w:color="auto" w:fill="F2F2F2"/>
            <w:noWrap/>
            <w:vAlign w:val="bottom"/>
            <w:hideMark/>
          </w:tcPr>
          <w:p w14:paraId="0D20271E"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136</w:t>
            </w:r>
          </w:p>
        </w:tc>
      </w:tr>
      <w:tr w:rsidR="00C64232" w14:paraId="5C102603" w14:textId="77777777" w:rsidTr="00D6415F">
        <w:trPr>
          <w:trHeight w:val="227"/>
        </w:trPr>
        <w:tc>
          <w:tcPr>
            <w:tcW w:w="3239" w:type="dxa"/>
            <w:tcBorders>
              <w:top w:val="nil"/>
              <w:left w:val="single" w:sz="4" w:space="0" w:color="auto"/>
              <w:bottom w:val="single" w:sz="4" w:space="0" w:color="auto"/>
              <w:right w:val="single" w:sz="4" w:space="0" w:color="auto"/>
            </w:tcBorders>
            <w:shd w:val="clear" w:color="auto" w:fill="F2F2F2"/>
            <w:noWrap/>
            <w:vAlign w:val="bottom"/>
            <w:hideMark/>
          </w:tcPr>
          <w:p w14:paraId="24008455" w14:textId="77777777" w:rsidR="00C64232" w:rsidRDefault="00C64232" w:rsidP="00D6415F">
            <w:pPr>
              <w:spacing w:after="0" w:line="240" w:lineRule="auto"/>
              <w:rPr>
                <w:rFonts w:ascii="Calibri" w:eastAsia="Times New Roman" w:hAnsi="Calibri" w:cs="Calibri"/>
                <w:color w:val="000000"/>
              </w:rPr>
            </w:pPr>
            <w:r>
              <w:rPr>
                <w:rFonts w:ascii="Calibri" w:hAnsi="Calibri"/>
                <w:color w:val="000000"/>
              </w:rPr>
              <w:t>JUDGED APPEALS</w:t>
            </w:r>
          </w:p>
        </w:tc>
        <w:tc>
          <w:tcPr>
            <w:tcW w:w="2165" w:type="dxa"/>
            <w:tcBorders>
              <w:top w:val="nil"/>
              <w:left w:val="nil"/>
              <w:bottom w:val="single" w:sz="4" w:space="0" w:color="auto"/>
              <w:right w:val="single" w:sz="4" w:space="0" w:color="auto"/>
            </w:tcBorders>
            <w:shd w:val="clear" w:color="auto" w:fill="F2F2F2"/>
            <w:noWrap/>
            <w:vAlign w:val="bottom"/>
            <w:hideMark/>
          </w:tcPr>
          <w:p w14:paraId="42E165EE"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1</w:t>
            </w:r>
          </w:p>
        </w:tc>
      </w:tr>
    </w:tbl>
    <w:p w14:paraId="48BDA9B3" w14:textId="728F3706" w:rsidR="00C64232" w:rsidRDefault="00C64232" w:rsidP="00C64232">
      <w:pPr>
        <w:rPr>
          <w:rFonts w:ascii="Times New Roman" w:hAnsi="Times New Roman" w:cs="Times New Roman"/>
          <w:b/>
          <w:bCs/>
        </w:rPr>
      </w:pPr>
    </w:p>
    <w:p w14:paraId="7B3EDDA2" w14:textId="35C984D1" w:rsidR="00C64232" w:rsidRDefault="00C64232" w:rsidP="00C64232">
      <w:pPr>
        <w:rPr>
          <w:rFonts w:ascii="Times New Roman" w:hAnsi="Times New Roman" w:cs="Times New Roman"/>
          <w:b/>
          <w:bCs/>
        </w:rPr>
      </w:pPr>
    </w:p>
    <w:p w14:paraId="0EF90E3C" w14:textId="03A3D224" w:rsidR="00C64232" w:rsidRDefault="00C64232" w:rsidP="00C64232">
      <w:pPr>
        <w:rPr>
          <w:rFonts w:ascii="Times New Roman" w:hAnsi="Times New Roman" w:cs="Times New Roman"/>
          <w:b/>
          <w:bCs/>
        </w:rPr>
      </w:pPr>
    </w:p>
    <w:p w14:paraId="3EC1675A" w14:textId="1CA6AAFC" w:rsidR="00C64232" w:rsidRDefault="00C64232" w:rsidP="00C64232">
      <w:pPr>
        <w:rPr>
          <w:rFonts w:ascii="Times New Roman" w:hAnsi="Times New Roman" w:cs="Times New Roman"/>
          <w:b/>
          <w:bCs/>
        </w:rPr>
      </w:pPr>
    </w:p>
    <w:p w14:paraId="40FA3D5E" w14:textId="5B112559" w:rsidR="00C64232" w:rsidRDefault="00C64232" w:rsidP="00C64232">
      <w:pPr>
        <w:rPr>
          <w:rFonts w:ascii="Times New Roman" w:hAnsi="Times New Roman" w:cs="Times New Roman"/>
          <w:b/>
          <w:bCs/>
        </w:rPr>
      </w:pPr>
    </w:p>
    <w:p w14:paraId="3BD2BE3E" w14:textId="1ED9347B" w:rsidR="00C64232" w:rsidRDefault="00C64232" w:rsidP="00C64232">
      <w:pPr>
        <w:rPr>
          <w:rFonts w:ascii="Times New Roman" w:hAnsi="Times New Roman" w:cs="Times New Roman"/>
          <w:b/>
          <w:bCs/>
        </w:rPr>
      </w:pPr>
    </w:p>
    <w:p w14:paraId="1D6902CB" w14:textId="609CE283" w:rsidR="00C64232" w:rsidRDefault="00C64232" w:rsidP="00C64232">
      <w:pPr>
        <w:rPr>
          <w:rFonts w:ascii="Times New Roman" w:hAnsi="Times New Roman" w:cs="Times New Roman"/>
          <w:b/>
          <w:bCs/>
        </w:rPr>
      </w:pPr>
    </w:p>
    <w:tbl>
      <w:tblPr>
        <w:tblpPr w:leftFromText="141" w:rightFromText="141" w:bottomFromText="160" w:vertAnchor="text" w:horzAnchor="margin" w:tblpY="-42"/>
        <w:tblW w:w="5200" w:type="dxa"/>
        <w:tblCellMar>
          <w:left w:w="70" w:type="dxa"/>
          <w:right w:w="70" w:type="dxa"/>
        </w:tblCellMar>
        <w:tblLook w:val="04A0" w:firstRow="1" w:lastRow="0" w:firstColumn="1" w:lastColumn="0" w:noHBand="0" w:noVBand="1"/>
      </w:tblPr>
      <w:tblGrid>
        <w:gridCol w:w="2620"/>
        <w:gridCol w:w="2580"/>
      </w:tblGrid>
      <w:tr w:rsidR="00C64232" w14:paraId="60FFB687" w14:textId="77777777" w:rsidTr="00C64232">
        <w:trPr>
          <w:trHeight w:val="600"/>
        </w:trPr>
        <w:tc>
          <w:tcPr>
            <w:tcW w:w="2620" w:type="dxa"/>
            <w:noWrap/>
            <w:vAlign w:val="bottom"/>
            <w:hideMark/>
          </w:tcPr>
          <w:p w14:paraId="58967C53" w14:textId="77777777" w:rsidR="00C64232" w:rsidRDefault="00C64232" w:rsidP="00C64232"/>
        </w:tc>
        <w:tc>
          <w:tcPr>
            <w:tcW w:w="2580" w:type="dxa"/>
            <w:tcBorders>
              <w:top w:val="single" w:sz="4" w:space="0" w:color="auto"/>
              <w:left w:val="single" w:sz="4" w:space="0" w:color="auto"/>
              <w:bottom w:val="single" w:sz="4" w:space="0" w:color="auto"/>
              <w:right w:val="single" w:sz="4" w:space="0" w:color="auto"/>
            </w:tcBorders>
            <w:shd w:val="clear" w:color="auto" w:fill="F4B084"/>
            <w:vAlign w:val="bottom"/>
            <w:hideMark/>
          </w:tcPr>
          <w:p w14:paraId="202C5D30" w14:textId="77777777" w:rsidR="00C64232" w:rsidRDefault="00C64232" w:rsidP="00C64232">
            <w:pPr>
              <w:spacing w:after="0" w:line="240" w:lineRule="auto"/>
              <w:jc w:val="center"/>
              <w:rPr>
                <w:rFonts w:ascii="Calibri" w:eastAsia="Times New Roman" w:hAnsi="Calibri" w:cs="Calibri"/>
                <w:b/>
                <w:bCs/>
                <w:color w:val="000000"/>
              </w:rPr>
            </w:pPr>
            <w:r>
              <w:rPr>
                <w:rFonts w:ascii="Calibri" w:hAnsi="Calibri"/>
                <w:b/>
                <w:color w:val="000000"/>
              </w:rPr>
              <w:t xml:space="preserve">FEDERAL REGIONAL COURT 4 </w:t>
            </w:r>
          </w:p>
        </w:tc>
      </w:tr>
      <w:tr w:rsidR="00C64232" w14:paraId="4630787D" w14:textId="77777777" w:rsidTr="00C64232">
        <w:trPr>
          <w:trHeight w:val="300"/>
        </w:trPr>
        <w:tc>
          <w:tcPr>
            <w:tcW w:w="2620" w:type="dxa"/>
            <w:noWrap/>
            <w:vAlign w:val="bottom"/>
            <w:hideMark/>
          </w:tcPr>
          <w:p w14:paraId="4D0A4CCF" w14:textId="77777777" w:rsidR="00C64232" w:rsidRDefault="00C64232" w:rsidP="00C64232">
            <w:pPr>
              <w:rPr>
                <w:rFonts w:ascii="Calibri" w:eastAsia="Times New Roman" w:hAnsi="Calibri" w:cs="Calibri"/>
                <w:b/>
                <w:bCs/>
                <w:color w:val="000000"/>
                <w:lang w:eastAsia="pt-BR"/>
              </w:rPr>
            </w:pPr>
          </w:p>
        </w:tc>
        <w:tc>
          <w:tcPr>
            <w:tcW w:w="2580" w:type="dxa"/>
            <w:tcBorders>
              <w:top w:val="nil"/>
              <w:left w:val="single" w:sz="4" w:space="0" w:color="auto"/>
              <w:bottom w:val="single" w:sz="4" w:space="0" w:color="auto"/>
              <w:right w:val="single" w:sz="4" w:space="0" w:color="auto"/>
            </w:tcBorders>
            <w:shd w:val="clear" w:color="auto" w:fill="D6DCE4"/>
            <w:noWrap/>
            <w:vAlign w:val="bottom"/>
            <w:hideMark/>
          </w:tcPr>
          <w:p w14:paraId="1F316D07" w14:textId="353477D3" w:rsidR="00C64232" w:rsidRDefault="00221FFE" w:rsidP="00C64232">
            <w:pPr>
              <w:spacing w:after="0" w:line="240" w:lineRule="auto"/>
              <w:rPr>
                <w:rFonts w:ascii="Calibri" w:eastAsia="Times New Roman" w:hAnsi="Calibri" w:cs="Calibri"/>
                <w:color w:val="000000"/>
              </w:rPr>
            </w:pPr>
            <w:r>
              <w:rPr>
                <w:rFonts w:ascii="Calibri" w:hAnsi="Calibri"/>
                <w:color w:val="000000"/>
              </w:rPr>
              <w:t>COURT OF APPEALS</w:t>
            </w:r>
          </w:p>
        </w:tc>
      </w:tr>
      <w:tr w:rsidR="00C64232" w14:paraId="7EFD75DB" w14:textId="77777777" w:rsidTr="00C64232">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C8B302C" w14:textId="77777777" w:rsidR="00C64232" w:rsidRDefault="00C64232" w:rsidP="00C64232">
            <w:pPr>
              <w:spacing w:after="0" w:line="240" w:lineRule="auto"/>
              <w:rPr>
                <w:rFonts w:ascii="Calibri" w:eastAsia="Times New Roman" w:hAnsi="Calibri" w:cs="Calibri"/>
                <w:color w:val="000000"/>
              </w:rPr>
            </w:pPr>
            <w:r>
              <w:rPr>
                <w:rFonts w:ascii="Calibri" w:hAnsi="Calibri"/>
                <w:color w:val="000000"/>
              </w:rPr>
              <w:t xml:space="preserve">ASSIGNED CASES </w:t>
            </w:r>
          </w:p>
        </w:tc>
        <w:tc>
          <w:tcPr>
            <w:tcW w:w="2580" w:type="dxa"/>
            <w:tcBorders>
              <w:top w:val="nil"/>
              <w:left w:val="nil"/>
              <w:bottom w:val="single" w:sz="4" w:space="0" w:color="auto"/>
              <w:right w:val="single" w:sz="4" w:space="0" w:color="auto"/>
            </w:tcBorders>
            <w:shd w:val="clear" w:color="auto" w:fill="F2F2F2"/>
            <w:noWrap/>
            <w:vAlign w:val="bottom"/>
            <w:hideMark/>
          </w:tcPr>
          <w:p w14:paraId="12C3DCE2"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980</w:t>
            </w:r>
          </w:p>
        </w:tc>
      </w:tr>
      <w:tr w:rsidR="00C64232" w14:paraId="7886EA79" w14:textId="77777777" w:rsidTr="00C64232">
        <w:trPr>
          <w:trHeight w:val="300"/>
        </w:trPr>
        <w:tc>
          <w:tcPr>
            <w:tcW w:w="2620" w:type="dxa"/>
            <w:tcBorders>
              <w:top w:val="nil"/>
              <w:left w:val="single" w:sz="4" w:space="0" w:color="auto"/>
              <w:bottom w:val="single" w:sz="4" w:space="0" w:color="auto"/>
              <w:right w:val="single" w:sz="4" w:space="0" w:color="auto"/>
            </w:tcBorders>
            <w:shd w:val="clear" w:color="auto" w:fill="F2F2F2"/>
            <w:noWrap/>
            <w:vAlign w:val="bottom"/>
            <w:hideMark/>
          </w:tcPr>
          <w:p w14:paraId="5C9F55C2" w14:textId="77777777" w:rsidR="00C64232" w:rsidRDefault="00C64232" w:rsidP="00C64232">
            <w:pPr>
              <w:spacing w:after="0" w:line="240" w:lineRule="auto"/>
              <w:rPr>
                <w:rFonts w:ascii="Calibri" w:eastAsia="Times New Roman" w:hAnsi="Calibri" w:cs="Calibri"/>
                <w:color w:val="000000"/>
              </w:rPr>
            </w:pPr>
            <w:r>
              <w:rPr>
                <w:rFonts w:ascii="Calibri" w:hAnsi="Calibri"/>
                <w:color w:val="000000"/>
              </w:rPr>
              <w:t>DECLARATION IN HABEAS CORPUS</w:t>
            </w:r>
          </w:p>
        </w:tc>
        <w:tc>
          <w:tcPr>
            <w:tcW w:w="2580" w:type="dxa"/>
            <w:tcBorders>
              <w:top w:val="nil"/>
              <w:left w:val="nil"/>
              <w:bottom w:val="single" w:sz="4" w:space="0" w:color="auto"/>
              <w:right w:val="single" w:sz="4" w:space="0" w:color="auto"/>
            </w:tcBorders>
            <w:shd w:val="clear" w:color="auto" w:fill="F2F2F2"/>
            <w:noWrap/>
            <w:vAlign w:val="bottom"/>
            <w:hideMark/>
          </w:tcPr>
          <w:p w14:paraId="67A9CF69"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453</w:t>
            </w:r>
          </w:p>
        </w:tc>
      </w:tr>
      <w:tr w:rsidR="00C64232" w14:paraId="37CAF31B" w14:textId="77777777" w:rsidTr="00C64232">
        <w:trPr>
          <w:trHeight w:val="300"/>
        </w:trPr>
        <w:tc>
          <w:tcPr>
            <w:tcW w:w="2620" w:type="dxa"/>
            <w:tcBorders>
              <w:top w:val="nil"/>
              <w:left w:val="single" w:sz="4" w:space="0" w:color="auto"/>
              <w:bottom w:val="single" w:sz="4" w:space="0" w:color="auto"/>
              <w:right w:val="single" w:sz="4" w:space="0" w:color="auto"/>
            </w:tcBorders>
            <w:shd w:val="clear" w:color="auto" w:fill="F2F2F2"/>
            <w:noWrap/>
            <w:vAlign w:val="bottom"/>
            <w:hideMark/>
          </w:tcPr>
          <w:p w14:paraId="6ADE2368" w14:textId="77777777" w:rsidR="00C64232" w:rsidRDefault="00C64232" w:rsidP="00C64232">
            <w:pPr>
              <w:spacing w:after="0" w:line="240" w:lineRule="auto"/>
              <w:rPr>
                <w:rFonts w:ascii="Calibri" w:eastAsia="Times New Roman" w:hAnsi="Calibri" w:cs="Calibri"/>
                <w:color w:val="000000"/>
              </w:rPr>
            </w:pPr>
            <w:r>
              <w:rPr>
                <w:rFonts w:ascii="Calibri" w:hAnsi="Calibri"/>
                <w:color w:val="000000"/>
              </w:rPr>
              <w:t>JUDGED APPEALS</w:t>
            </w:r>
          </w:p>
        </w:tc>
        <w:tc>
          <w:tcPr>
            <w:tcW w:w="2580" w:type="dxa"/>
            <w:tcBorders>
              <w:top w:val="nil"/>
              <w:left w:val="nil"/>
              <w:bottom w:val="single" w:sz="4" w:space="0" w:color="auto"/>
              <w:right w:val="single" w:sz="4" w:space="0" w:color="auto"/>
            </w:tcBorders>
            <w:shd w:val="clear" w:color="auto" w:fill="F2F2F2"/>
            <w:noWrap/>
            <w:vAlign w:val="bottom"/>
            <w:hideMark/>
          </w:tcPr>
          <w:p w14:paraId="67014BEF"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44</w:t>
            </w:r>
          </w:p>
        </w:tc>
      </w:tr>
    </w:tbl>
    <w:p w14:paraId="7DAAA157" w14:textId="7FDD2022" w:rsidR="00C64232" w:rsidRDefault="00C64232" w:rsidP="00C64232">
      <w:pPr>
        <w:rPr>
          <w:rFonts w:ascii="Times New Roman" w:hAnsi="Times New Roman" w:cs="Times New Roman"/>
          <w:b/>
          <w:bCs/>
        </w:rPr>
      </w:pPr>
    </w:p>
    <w:p w14:paraId="6126A392" w14:textId="225E158C" w:rsidR="00C64232" w:rsidRDefault="00C64232" w:rsidP="00C64232">
      <w:pPr>
        <w:rPr>
          <w:rFonts w:ascii="Times New Roman" w:hAnsi="Times New Roman" w:cs="Times New Roman"/>
          <w:b/>
          <w:bCs/>
        </w:rPr>
      </w:pPr>
    </w:p>
    <w:p w14:paraId="0E6D58DB" w14:textId="13F6777E" w:rsidR="00C64232" w:rsidRDefault="00C64232" w:rsidP="00C64232">
      <w:pPr>
        <w:rPr>
          <w:rFonts w:ascii="Times New Roman" w:hAnsi="Times New Roman" w:cs="Times New Roman"/>
          <w:b/>
          <w:bCs/>
        </w:rPr>
      </w:pPr>
    </w:p>
    <w:p w14:paraId="7152DD82" w14:textId="1308C209" w:rsidR="00C64232" w:rsidRDefault="00C64232" w:rsidP="00C64232">
      <w:pPr>
        <w:rPr>
          <w:rFonts w:ascii="Times New Roman" w:hAnsi="Times New Roman" w:cs="Times New Roman"/>
          <w:b/>
          <w:bCs/>
        </w:rPr>
      </w:pPr>
    </w:p>
    <w:p w14:paraId="520885D8" w14:textId="77777777" w:rsidR="00C64232" w:rsidRPr="00C64232" w:rsidRDefault="00C64232" w:rsidP="00C64232">
      <w:pPr>
        <w:rPr>
          <w:rFonts w:ascii="Times New Roman" w:hAnsi="Times New Roman" w:cs="Times New Roman"/>
          <w:b/>
          <w:bCs/>
        </w:rPr>
      </w:pPr>
    </w:p>
    <w:tbl>
      <w:tblPr>
        <w:tblW w:w="8269" w:type="dxa"/>
        <w:tblInd w:w="5" w:type="dxa"/>
        <w:tblCellMar>
          <w:left w:w="70" w:type="dxa"/>
          <w:right w:w="70" w:type="dxa"/>
        </w:tblCellMar>
        <w:tblLook w:val="04A0" w:firstRow="1" w:lastRow="0" w:firstColumn="1" w:lastColumn="0" w:noHBand="0" w:noVBand="1"/>
      </w:tblPr>
      <w:tblGrid>
        <w:gridCol w:w="2726"/>
        <w:gridCol w:w="1822"/>
        <w:gridCol w:w="2078"/>
        <w:gridCol w:w="1643"/>
      </w:tblGrid>
      <w:tr w:rsidR="00C64232" w14:paraId="6B2795D6" w14:textId="77777777" w:rsidTr="00221FFE">
        <w:trPr>
          <w:trHeight w:val="131"/>
        </w:trPr>
        <w:tc>
          <w:tcPr>
            <w:tcW w:w="2726" w:type="dxa"/>
            <w:noWrap/>
            <w:vAlign w:val="bottom"/>
            <w:hideMark/>
          </w:tcPr>
          <w:p w14:paraId="36986260" w14:textId="77777777" w:rsidR="00C64232" w:rsidRDefault="00C64232"/>
        </w:tc>
        <w:tc>
          <w:tcPr>
            <w:tcW w:w="1822" w:type="dxa"/>
            <w:tcBorders>
              <w:top w:val="single" w:sz="4" w:space="0" w:color="auto"/>
              <w:left w:val="single" w:sz="4" w:space="0" w:color="auto"/>
              <w:bottom w:val="single" w:sz="4" w:space="0" w:color="auto"/>
              <w:right w:val="single" w:sz="4" w:space="0" w:color="auto"/>
            </w:tcBorders>
            <w:shd w:val="clear" w:color="auto" w:fill="F4B084"/>
            <w:noWrap/>
            <w:vAlign w:val="bottom"/>
            <w:hideMark/>
          </w:tcPr>
          <w:p w14:paraId="0F02D106" w14:textId="77777777" w:rsidR="00C64232" w:rsidRDefault="00C64232">
            <w:pPr>
              <w:spacing w:after="0" w:line="240" w:lineRule="auto"/>
              <w:jc w:val="center"/>
              <w:rPr>
                <w:rFonts w:ascii="Calibri" w:eastAsia="Times New Roman" w:hAnsi="Calibri" w:cs="Calibri"/>
                <w:b/>
                <w:bCs/>
                <w:color w:val="000000"/>
              </w:rPr>
            </w:pPr>
            <w:r>
              <w:rPr>
                <w:rFonts w:ascii="Calibri" w:hAnsi="Calibri"/>
                <w:b/>
                <w:color w:val="000000"/>
              </w:rPr>
              <w:t>CURITIBA</w:t>
            </w:r>
          </w:p>
        </w:tc>
        <w:tc>
          <w:tcPr>
            <w:tcW w:w="2078" w:type="dxa"/>
            <w:tcBorders>
              <w:top w:val="single" w:sz="4" w:space="0" w:color="auto"/>
              <w:left w:val="nil"/>
              <w:bottom w:val="single" w:sz="4" w:space="0" w:color="auto"/>
              <w:right w:val="single" w:sz="4" w:space="0" w:color="auto"/>
            </w:tcBorders>
            <w:shd w:val="clear" w:color="auto" w:fill="F4B084"/>
            <w:noWrap/>
            <w:vAlign w:val="bottom"/>
            <w:hideMark/>
          </w:tcPr>
          <w:p w14:paraId="7A1985FA" w14:textId="77777777" w:rsidR="00C64232" w:rsidRDefault="00C64232">
            <w:pPr>
              <w:spacing w:after="0" w:line="240" w:lineRule="auto"/>
              <w:jc w:val="center"/>
              <w:rPr>
                <w:rFonts w:ascii="Calibri" w:eastAsia="Times New Roman" w:hAnsi="Calibri" w:cs="Calibri"/>
                <w:b/>
                <w:bCs/>
                <w:color w:val="000000"/>
              </w:rPr>
            </w:pPr>
            <w:r>
              <w:rPr>
                <w:rFonts w:ascii="Calibri" w:hAnsi="Calibri"/>
                <w:b/>
                <w:color w:val="000000"/>
              </w:rPr>
              <w:t>RIO DE JANEIRO</w:t>
            </w:r>
          </w:p>
        </w:tc>
        <w:tc>
          <w:tcPr>
            <w:tcW w:w="1643" w:type="dxa"/>
            <w:tcBorders>
              <w:top w:val="single" w:sz="4" w:space="0" w:color="auto"/>
              <w:left w:val="nil"/>
              <w:bottom w:val="single" w:sz="4" w:space="0" w:color="auto"/>
              <w:right w:val="single" w:sz="4" w:space="0" w:color="auto"/>
            </w:tcBorders>
            <w:shd w:val="clear" w:color="auto" w:fill="F4B084"/>
            <w:noWrap/>
            <w:vAlign w:val="bottom"/>
            <w:hideMark/>
          </w:tcPr>
          <w:p w14:paraId="4035CDDE" w14:textId="77777777" w:rsidR="00C64232" w:rsidRDefault="00C64232">
            <w:pPr>
              <w:spacing w:after="0" w:line="240" w:lineRule="auto"/>
              <w:jc w:val="center"/>
              <w:rPr>
                <w:rFonts w:ascii="Calibri" w:eastAsia="Times New Roman" w:hAnsi="Calibri" w:cs="Calibri"/>
                <w:b/>
                <w:bCs/>
                <w:color w:val="000000"/>
              </w:rPr>
            </w:pPr>
            <w:r>
              <w:rPr>
                <w:rFonts w:ascii="Calibri" w:hAnsi="Calibri"/>
                <w:b/>
                <w:color w:val="000000"/>
              </w:rPr>
              <w:t>SÃO PAULO</w:t>
            </w:r>
          </w:p>
        </w:tc>
      </w:tr>
      <w:tr w:rsidR="00221FFE" w14:paraId="1F6F3FCA" w14:textId="77777777" w:rsidTr="00221FFE">
        <w:trPr>
          <w:trHeight w:val="131"/>
        </w:trPr>
        <w:tc>
          <w:tcPr>
            <w:tcW w:w="2726" w:type="dxa"/>
            <w:noWrap/>
            <w:vAlign w:val="bottom"/>
            <w:hideMark/>
          </w:tcPr>
          <w:p w14:paraId="68AC2AED" w14:textId="77777777" w:rsidR="00221FFE" w:rsidRDefault="00221FFE">
            <w:pPr>
              <w:rPr>
                <w:rFonts w:ascii="Calibri" w:eastAsia="Times New Roman" w:hAnsi="Calibri" w:cs="Calibri"/>
                <w:b/>
                <w:bCs/>
                <w:color w:val="000000"/>
                <w:lang w:eastAsia="pt-BR"/>
              </w:rPr>
            </w:pPr>
          </w:p>
        </w:tc>
        <w:tc>
          <w:tcPr>
            <w:tcW w:w="5543" w:type="dxa"/>
            <w:gridSpan w:val="3"/>
            <w:tcBorders>
              <w:top w:val="nil"/>
              <w:left w:val="single" w:sz="4" w:space="0" w:color="auto"/>
              <w:bottom w:val="single" w:sz="4" w:space="0" w:color="auto"/>
              <w:right w:val="single" w:sz="4" w:space="0" w:color="auto"/>
            </w:tcBorders>
            <w:shd w:val="clear" w:color="auto" w:fill="D6DCE4"/>
            <w:noWrap/>
            <w:vAlign w:val="bottom"/>
            <w:hideMark/>
          </w:tcPr>
          <w:p w14:paraId="10B24D48" w14:textId="77777777" w:rsidR="00221FFE" w:rsidRDefault="00221FFE">
            <w:pPr>
              <w:spacing w:after="0" w:line="240" w:lineRule="auto"/>
              <w:rPr>
                <w:rFonts w:ascii="Calibri" w:eastAsia="Times New Roman" w:hAnsi="Calibri" w:cs="Calibri"/>
                <w:color w:val="000000"/>
              </w:rPr>
            </w:pPr>
            <w:r>
              <w:rPr>
                <w:rFonts w:ascii="Calibri" w:hAnsi="Calibri"/>
                <w:color w:val="000000"/>
              </w:rPr>
              <w:t> </w:t>
            </w:r>
          </w:p>
          <w:p w14:paraId="0EC07566" w14:textId="08647392" w:rsidR="00221FFE" w:rsidRDefault="00221FFE">
            <w:pPr>
              <w:spacing w:after="0" w:line="240" w:lineRule="auto"/>
              <w:jc w:val="center"/>
              <w:rPr>
                <w:rFonts w:ascii="Calibri" w:eastAsia="Times New Roman" w:hAnsi="Calibri" w:cs="Calibri"/>
                <w:color w:val="000000"/>
              </w:rPr>
            </w:pPr>
            <w:r>
              <w:rPr>
                <w:rFonts w:ascii="Calibri" w:hAnsi="Calibri"/>
                <w:color w:val="000000"/>
              </w:rPr>
              <w:t>FIRST INSTANCE</w:t>
            </w:r>
          </w:p>
          <w:p w14:paraId="5DE7C4A1" w14:textId="3E0CDE7F" w:rsidR="00221FFE" w:rsidRDefault="00221FFE">
            <w:pPr>
              <w:spacing w:after="0" w:line="240" w:lineRule="auto"/>
              <w:rPr>
                <w:rFonts w:ascii="Calibri" w:eastAsia="Times New Roman" w:hAnsi="Calibri" w:cs="Calibri"/>
                <w:color w:val="000000"/>
              </w:rPr>
            </w:pPr>
            <w:r>
              <w:rPr>
                <w:rFonts w:ascii="Calibri" w:hAnsi="Calibri"/>
                <w:color w:val="000000"/>
              </w:rPr>
              <w:t> </w:t>
            </w:r>
          </w:p>
        </w:tc>
      </w:tr>
      <w:tr w:rsidR="00C64232" w14:paraId="537A6DF8" w14:textId="77777777" w:rsidTr="00221FFE">
        <w:trPr>
          <w:trHeight w:val="169"/>
        </w:trPr>
        <w:tc>
          <w:tcPr>
            <w:tcW w:w="27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9EEE00F" w14:textId="38E5AEEC" w:rsidR="00C64232" w:rsidRDefault="00C64232">
            <w:pPr>
              <w:spacing w:after="0" w:line="240" w:lineRule="auto"/>
              <w:rPr>
                <w:rFonts w:ascii="Calibri" w:eastAsia="Times New Roman" w:hAnsi="Calibri" w:cs="Calibri"/>
                <w:color w:val="000000"/>
              </w:rPr>
            </w:pPr>
            <w:r>
              <w:rPr>
                <w:rFonts w:ascii="Calibri" w:hAnsi="Calibri"/>
                <w:color w:val="000000"/>
              </w:rPr>
              <w:t xml:space="preserve">COMPLAINTS </w:t>
            </w:r>
            <w:r w:rsidR="00221FFE">
              <w:rPr>
                <w:rFonts w:ascii="Calibri" w:hAnsi="Calibri"/>
                <w:color w:val="000000"/>
              </w:rPr>
              <w:t>LODGED</w:t>
            </w:r>
          </w:p>
        </w:tc>
        <w:tc>
          <w:tcPr>
            <w:tcW w:w="1822" w:type="dxa"/>
            <w:tcBorders>
              <w:top w:val="nil"/>
              <w:left w:val="nil"/>
              <w:bottom w:val="single" w:sz="4" w:space="0" w:color="auto"/>
              <w:right w:val="single" w:sz="4" w:space="0" w:color="auto"/>
            </w:tcBorders>
            <w:shd w:val="clear" w:color="auto" w:fill="F2F2F2"/>
            <w:noWrap/>
            <w:vAlign w:val="bottom"/>
            <w:hideMark/>
          </w:tcPr>
          <w:p w14:paraId="2C16515A"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130</w:t>
            </w:r>
          </w:p>
        </w:tc>
        <w:tc>
          <w:tcPr>
            <w:tcW w:w="2078" w:type="dxa"/>
            <w:tcBorders>
              <w:top w:val="nil"/>
              <w:left w:val="nil"/>
              <w:bottom w:val="single" w:sz="4" w:space="0" w:color="auto"/>
              <w:right w:val="single" w:sz="4" w:space="0" w:color="auto"/>
            </w:tcBorders>
            <w:shd w:val="clear" w:color="auto" w:fill="F2F2F2"/>
            <w:noWrap/>
            <w:vAlign w:val="bottom"/>
            <w:hideMark/>
          </w:tcPr>
          <w:p w14:paraId="6F3BC27C"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104</w:t>
            </w:r>
          </w:p>
        </w:tc>
        <w:tc>
          <w:tcPr>
            <w:tcW w:w="1643" w:type="dxa"/>
            <w:tcBorders>
              <w:top w:val="nil"/>
              <w:left w:val="nil"/>
              <w:bottom w:val="single" w:sz="4" w:space="0" w:color="auto"/>
              <w:right w:val="single" w:sz="4" w:space="0" w:color="auto"/>
            </w:tcBorders>
            <w:shd w:val="clear" w:color="auto" w:fill="F2F2F2"/>
            <w:noWrap/>
            <w:vAlign w:val="bottom"/>
            <w:hideMark/>
          </w:tcPr>
          <w:p w14:paraId="62A0F240"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9</w:t>
            </w:r>
          </w:p>
        </w:tc>
      </w:tr>
      <w:tr w:rsidR="00C64232" w14:paraId="05D309CD" w14:textId="77777777" w:rsidTr="00221FFE">
        <w:trPr>
          <w:trHeight w:val="169"/>
        </w:trPr>
        <w:tc>
          <w:tcPr>
            <w:tcW w:w="2726" w:type="dxa"/>
            <w:tcBorders>
              <w:top w:val="nil"/>
              <w:left w:val="single" w:sz="4" w:space="0" w:color="auto"/>
              <w:bottom w:val="single" w:sz="4" w:space="0" w:color="auto"/>
              <w:right w:val="single" w:sz="4" w:space="0" w:color="auto"/>
            </w:tcBorders>
            <w:shd w:val="clear" w:color="auto" w:fill="F2F2F2"/>
            <w:noWrap/>
            <w:vAlign w:val="bottom"/>
            <w:hideMark/>
          </w:tcPr>
          <w:p w14:paraId="1AD9B271" w14:textId="77777777" w:rsidR="00C64232" w:rsidRDefault="00C64232">
            <w:pPr>
              <w:spacing w:after="0" w:line="240" w:lineRule="auto"/>
              <w:rPr>
                <w:rFonts w:ascii="Calibri" w:eastAsia="Times New Roman" w:hAnsi="Calibri" w:cs="Calibri"/>
                <w:color w:val="000000"/>
              </w:rPr>
            </w:pPr>
            <w:r>
              <w:rPr>
                <w:rFonts w:ascii="Calibri" w:hAnsi="Calibri"/>
                <w:color w:val="000000"/>
              </w:rPr>
              <w:t xml:space="preserve">CRIMINAL ACTIONS </w:t>
            </w:r>
          </w:p>
        </w:tc>
        <w:tc>
          <w:tcPr>
            <w:tcW w:w="1822" w:type="dxa"/>
            <w:tcBorders>
              <w:top w:val="nil"/>
              <w:left w:val="nil"/>
              <w:bottom w:val="single" w:sz="4" w:space="0" w:color="auto"/>
              <w:right w:val="single" w:sz="4" w:space="0" w:color="auto"/>
            </w:tcBorders>
            <w:shd w:val="clear" w:color="auto" w:fill="F2F2F2"/>
            <w:noWrap/>
            <w:vAlign w:val="bottom"/>
            <w:hideMark/>
          </w:tcPr>
          <w:p w14:paraId="2C9F4962"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179</w:t>
            </w:r>
          </w:p>
        </w:tc>
        <w:tc>
          <w:tcPr>
            <w:tcW w:w="2078" w:type="dxa"/>
            <w:tcBorders>
              <w:top w:val="nil"/>
              <w:left w:val="nil"/>
              <w:bottom w:val="single" w:sz="4" w:space="0" w:color="auto"/>
              <w:right w:val="single" w:sz="4" w:space="0" w:color="auto"/>
            </w:tcBorders>
            <w:shd w:val="clear" w:color="auto" w:fill="F2F2F2"/>
            <w:noWrap/>
            <w:vAlign w:val="bottom"/>
            <w:hideMark/>
          </w:tcPr>
          <w:p w14:paraId="75CEEE25"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104</w:t>
            </w:r>
          </w:p>
        </w:tc>
        <w:tc>
          <w:tcPr>
            <w:tcW w:w="1643" w:type="dxa"/>
            <w:tcBorders>
              <w:top w:val="nil"/>
              <w:left w:val="nil"/>
              <w:bottom w:val="single" w:sz="4" w:space="0" w:color="auto"/>
              <w:right w:val="single" w:sz="4" w:space="0" w:color="auto"/>
            </w:tcBorders>
            <w:shd w:val="clear" w:color="auto" w:fill="F2F2F2"/>
            <w:noWrap/>
            <w:vAlign w:val="bottom"/>
            <w:hideMark/>
          </w:tcPr>
          <w:p w14:paraId="1E92EE77"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9</w:t>
            </w:r>
          </w:p>
        </w:tc>
      </w:tr>
      <w:tr w:rsidR="00C64232" w14:paraId="23E3683A" w14:textId="77777777" w:rsidTr="00221FFE">
        <w:trPr>
          <w:trHeight w:val="156"/>
        </w:trPr>
        <w:tc>
          <w:tcPr>
            <w:tcW w:w="2726" w:type="dxa"/>
            <w:tcBorders>
              <w:top w:val="nil"/>
              <w:left w:val="single" w:sz="4" w:space="0" w:color="auto"/>
              <w:bottom w:val="single" w:sz="4" w:space="0" w:color="auto"/>
              <w:right w:val="single" w:sz="4" w:space="0" w:color="auto"/>
            </w:tcBorders>
            <w:shd w:val="clear" w:color="auto" w:fill="F2F2F2"/>
            <w:noWrap/>
            <w:vAlign w:val="bottom"/>
            <w:hideMark/>
          </w:tcPr>
          <w:p w14:paraId="0C2BA44A" w14:textId="77777777" w:rsidR="00C64232" w:rsidRDefault="00C64232">
            <w:pPr>
              <w:spacing w:after="0" w:line="240" w:lineRule="auto"/>
              <w:rPr>
                <w:rFonts w:ascii="Calibri" w:eastAsia="Times New Roman" w:hAnsi="Calibri" w:cs="Calibri"/>
                <w:color w:val="000000"/>
              </w:rPr>
            </w:pPr>
            <w:r>
              <w:rPr>
                <w:rFonts w:ascii="Calibri" w:hAnsi="Calibri"/>
                <w:color w:val="000000"/>
              </w:rPr>
              <w:t>CONVICTED (1</w:t>
            </w:r>
            <w:r>
              <w:rPr>
                <w:rFonts w:ascii="Calibri" w:hAnsi="Calibri"/>
                <w:color w:val="000000"/>
                <w:vertAlign w:val="superscript"/>
              </w:rPr>
              <w:t>st</w:t>
            </w:r>
            <w:r>
              <w:rPr>
                <w:rFonts w:ascii="Calibri" w:hAnsi="Calibri"/>
                <w:color w:val="000000"/>
              </w:rPr>
              <w:t xml:space="preserve"> and 2</w:t>
            </w:r>
            <w:r>
              <w:rPr>
                <w:rFonts w:ascii="Calibri" w:hAnsi="Calibri"/>
                <w:color w:val="000000"/>
                <w:vertAlign w:val="superscript"/>
              </w:rPr>
              <w:t>nd</w:t>
            </w:r>
            <w:r>
              <w:rPr>
                <w:rFonts w:ascii="Calibri" w:hAnsi="Calibri"/>
                <w:color w:val="000000"/>
              </w:rPr>
              <w:t xml:space="preserve"> instances)</w:t>
            </w:r>
          </w:p>
        </w:tc>
        <w:tc>
          <w:tcPr>
            <w:tcW w:w="1822" w:type="dxa"/>
            <w:tcBorders>
              <w:top w:val="nil"/>
              <w:left w:val="nil"/>
              <w:bottom w:val="single" w:sz="4" w:space="0" w:color="auto"/>
              <w:right w:val="single" w:sz="4" w:space="0" w:color="auto"/>
            </w:tcBorders>
            <w:shd w:val="clear" w:color="auto" w:fill="F2F2F2"/>
            <w:noWrap/>
            <w:vAlign w:val="bottom"/>
            <w:hideMark/>
          </w:tcPr>
          <w:p w14:paraId="014A61CF"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174</w:t>
            </w:r>
          </w:p>
        </w:tc>
        <w:tc>
          <w:tcPr>
            <w:tcW w:w="2078" w:type="dxa"/>
            <w:tcBorders>
              <w:top w:val="nil"/>
              <w:left w:val="nil"/>
              <w:bottom w:val="single" w:sz="4" w:space="0" w:color="auto"/>
              <w:right w:val="single" w:sz="4" w:space="0" w:color="auto"/>
            </w:tcBorders>
            <w:shd w:val="clear" w:color="auto" w:fill="F2F2F2"/>
            <w:noWrap/>
            <w:vAlign w:val="bottom"/>
            <w:hideMark/>
          </w:tcPr>
          <w:p w14:paraId="1D96FB26"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183</w:t>
            </w:r>
          </w:p>
        </w:tc>
        <w:tc>
          <w:tcPr>
            <w:tcW w:w="1643" w:type="dxa"/>
            <w:tcBorders>
              <w:top w:val="nil"/>
              <w:left w:val="nil"/>
              <w:bottom w:val="single" w:sz="4" w:space="0" w:color="auto"/>
              <w:right w:val="single" w:sz="4" w:space="0" w:color="auto"/>
            </w:tcBorders>
            <w:shd w:val="clear" w:color="auto" w:fill="F2F2F2"/>
            <w:noWrap/>
            <w:vAlign w:val="bottom"/>
            <w:hideMark/>
          </w:tcPr>
          <w:p w14:paraId="442D9614"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4</w:t>
            </w:r>
          </w:p>
        </w:tc>
      </w:tr>
      <w:tr w:rsidR="00C64232" w14:paraId="361BB970" w14:textId="77777777" w:rsidTr="00221FFE">
        <w:trPr>
          <w:trHeight w:val="169"/>
        </w:trPr>
        <w:tc>
          <w:tcPr>
            <w:tcW w:w="2726" w:type="dxa"/>
            <w:tcBorders>
              <w:top w:val="nil"/>
              <w:left w:val="single" w:sz="4" w:space="0" w:color="auto"/>
              <w:bottom w:val="single" w:sz="4" w:space="0" w:color="auto"/>
              <w:right w:val="single" w:sz="4" w:space="0" w:color="auto"/>
            </w:tcBorders>
            <w:shd w:val="clear" w:color="auto" w:fill="F2F2F2"/>
            <w:noWrap/>
            <w:vAlign w:val="bottom"/>
            <w:hideMark/>
          </w:tcPr>
          <w:p w14:paraId="66224AE4" w14:textId="77777777" w:rsidR="00C64232" w:rsidRDefault="00C64232">
            <w:pPr>
              <w:spacing w:after="0" w:line="240" w:lineRule="auto"/>
              <w:rPr>
                <w:rFonts w:ascii="Calibri" w:eastAsia="Times New Roman" w:hAnsi="Calibri" w:cs="Calibri"/>
                <w:color w:val="000000"/>
              </w:rPr>
            </w:pPr>
            <w:r>
              <w:rPr>
                <w:rFonts w:ascii="Calibri" w:hAnsi="Calibri"/>
                <w:color w:val="000000"/>
              </w:rPr>
              <w:t xml:space="preserve">COOPERATION AGREEMENTS </w:t>
            </w:r>
          </w:p>
        </w:tc>
        <w:tc>
          <w:tcPr>
            <w:tcW w:w="1822" w:type="dxa"/>
            <w:tcBorders>
              <w:top w:val="nil"/>
              <w:left w:val="nil"/>
              <w:bottom w:val="single" w:sz="4" w:space="0" w:color="auto"/>
              <w:right w:val="single" w:sz="4" w:space="0" w:color="auto"/>
            </w:tcBorders>
            <w:shd w:val="clear" w:color="auto" w:fill="F2F2F2"/>
            <w:noWrap/>
            <w:vAlign w:val="bottom"/>
            <w:hideMark/>
          </w:tcPr>
          <w:p w14:paraId="4C9FF427"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209</w:t>
            </w:r>
          </w:p>
        </w:tc>
        <w:tc>
          <w:tcPr>
            <w:tcW w:w="2078" w:type="dxa"/>
            <w:tcBorders>
              <w:top w:val="nil"/>
              <w:left w:val="nil"/>
              <w:bottom w:val="single" w:sz="4" w:space="0" w:color="auto"/>
              <w:right w:val="single" w:sz="4" w:space="0" w:color="auto"/>
            </w:tcBorders>
            <w:shd w:val="clear" w:color="auto" w:fill="F2F2F2"/>
            <w:noWrap/>
            <w:vAlign w:val="bottom"/>
            <w:hideMark/>
          </w:tcPr>
          <w:p w14:paraId="2F666884"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180</w:t>
            </w:r>
          </w:p>
        </w:tc>
        <w:tc>
          <w:tcPr>
            <w:tcW w:w="1643" w:type="dxa"/>
            <w:tcBorders>
              <w:top w:val="nil"/>
              <w:left w:val="nil"/>
              <w:bottom w:val="single" w:sz="4" w:space="0" w:color="auto"/>
              <w:right w:val="single" w:sz="4" w:space="0" w:color="auto"/>
            </w:tcBorders>
            <w:shd w:val="clear" w:color="auto" w:fill="F2F2F2"/>
            <w:noWrap/>
            <w:vAlign w:val="bottom"/>
            <w:hideMark/>
          </w:tcPr>
          <w:p w14:paraId="06C45C75"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10</w:t>
            </w:r>
          </w:p>
        </w:tc>
      </w:tr>
      <w:tr w:rsidR="00C64232" w14:paraId="10FFB194" w14:textId="77777777" w:rsidTr="00221FFE">
        <w:trPr>
          <w:trHeight w:val="176"/>
        </w:trPr>
        <w:tc>
          <w:tcPr>
            <w:tcW w:w="2726" w:type="dxa"/>
            <w:tcBorders>
              <w:top w:val="nil"/>
              <w:left w:val="single" w:sz="4" w:space="0" w:color="auto"/>
              <w:bottom w:val="single" w:sz="4" w:space="0" w:color="auto"/>
              <w:right w:val="single" w:sz="4" w:space="0" w:color="auto"/>
            </w:tcBorders>
            <w:shd w:val="clear" w:color="auto" w:fill="F2F2F2"/>
            <w:noWrap/>
            <w:vAlign w:val="bottom"/>
            <w:hideMark/>
          </w:tcPr>
          <w:p w14:paraId="60A5DBB9" w14:textId="77777777" w:rsidR="00C64232" w:rsidRDefault="00C64232">
            <w:pPr>
              <w:spacing w:after="0" w:line="240" w:lineRule="auto"/>
              <w:rPr>
                <w:rFonts w:ascii="Calibri" w:eastAsia="Times New Roman" w:hAnsi="Calibri" w:cs="Calibri"/>
                <w:color w:val="000000"/>
              </w:rPr>
            </w:pPr>
            <w:r>
              <w:rPr>
                <w:rFonts w:ascii="Calibri" w:hAnsi="Calibri"/>
                <w:color w:val="000000"/>
              </w:rPr>
              <w:t xml:space="preserve">LENIENCY AGREEMENTS </w:t>
            </w:r>
          </w:p>
        </w:tc>
        <w:tc>
          <w:tcPr>
            <w:tcW w:w="1822" w:type="dxa"/>
            <w:tcBorders>
              <w:top w:val="nil"/>
              <w:left w:val="nil"/>
              <w:bottom w:val="single" w:sz="4" w:space="0" w:color="auto"/>
              <w:right w:val="single" w:sz="4" w:space="0" w:color="auto"/>
            </w:tcBorders>
            <w:shd w:val="clear" w:color="auto" w:fill="F2F2F2"/>
            <w:noWrap/>
            <w:vAlign w:val="bottom"/>
            <w:hideMark/>
          </w:tcPr>
          <w:p w14:paraId="55EB2079"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17</w:t>
            </w:r>
          </w:p>
        </w:tc>
        <w:tc>
          <w:tcPr>
            <w:tcW w:w="2078" w:type="dxa"/>
            <w:tcBorders>
              <w:top w:val="nil"/>
              <w:left w:val="nil"/>
              <w:bottom w:val="single" w:sz="4" w:space="0" w:color="auto"/>
              <w:right w:val="single" w:sz="4" w:space="0" w:color="auto"/>
            </w:tcBorders>
            <w:shd w:val="clear" w:color="auto" w:fill="F2F2F2"/>
            <w:noWrap/>
            <w:vAlign w:val="bottom"/>
            <w:hideMark/>
          </w:tcPr>
          <w:p w14:paraId="38499ABF"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9</w:t>
            </w:r>
          </w:p>
        </w:tc>
        <w:tc>
          <w:tcPr>
            <w:tcW w:w="1643" w:type="dxa"/>
            <w:tcBorders>
              <w:top w:val="nil"/>
              <w:left w:val="nil"/>
              <w:bottom w:val="single" w:sz="4" w:space="0" w:color="auto"/>
              <w:right w:val="single" w:sz="4" w:space="0" w:color="auto"/>
            </w:tcBorders>
            <w:shd w:val="clear" w:color="auto" w:fill="F2F2F2"/>
            <w:noWrap/>
            <w:vAlign w:val="bottom"/>
            <w:hideMark/>
          </w:tcPr>
          <w:p w14:paraId="7AC27497"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2</w:t>
            </w:r>
          </w:p>
        </w:tc>
      </w:tr>
      <w:tr w:rsidR="00C64232" w14:paraId="2CD34B96" w14:textId="77777777" w:rsidTr="00221FFE">
        <w:trPr>
          <w:trHeight w:val="176"/>
        </w:trPr>
        <w:tc>
          <w:tcPr>
            <w:tcW w:w="2726" w:type="dxa"/>
            <w:tcBorders>
              <w:top w:val="nil"/>
              <w:left w:val="single" w:sz="4" w:space="0" w:color="auto"/>
              <w:bottom w:val="single" w:sz="4" w:space="0" w:color="auto"/>
              <w:right w:val="single" w:sz="4" w:space="0" w:color="auto"/>
            </w:tcBorders>
            <w:shd w:val="clear" w:color="auto" w:fill="F2F2F2"/>
            <w:noWrap/>
            <w:vAlign w:val="bottom"/>
            <w:hideMark/>
          </w:tcPr>
          <w:p w14:paraId="3C4C43D2" w14:textId="77777777" w:rsidR="00C64232" w:rsidRDefault="00C64232">
            <w:pPr>
              <w:spacing w:after="0" w:line="240" w:lineRule="auto"/>
              <w:rPr>
                <w:rFonts w:ascii="Calibri" w:eastAsia="Times New Roman" w:hAnsi="Calibri" w:cs="Calibri"/>
                <w:color w:val="000000"/>
              </w:rPr>
            </w:pPr>
            <w:r>
              <w:rPr>
                <w:rFonts w:ascii="Calibri" w:hAnsi="Calibri"/>
                <w:color w:val="000000"/>
              </w:rPr>
              <w:t>TOTAL OF OPERATIONS</w:t>
            </w:r>
          </w:p>
        </w:tc>
        <w:tc>
          <w:tcPr>
            <w:tcW w:w="1822" w:type="dxa"/>
            <w:tcBorders>
              <w:top w:val="nil"/>
              <w:left w:val="nil"/>
              <w:bottom w:val="single" w:sz="4" w:space="0" w:color="auto"/>
              <w:right w:val="single" w:sz="4" w:space="0" w:color="auto"/>
            </w:tcBorders>
            <w:shd w:val="clear" w:color="auto" w:fill="F2F2F2"/>
            <w:noWrap/>
            <w:vAlign w:val="bottom"/>
            <w:hideMark/>
          </w:tcPr>
          <w:p w14:paraId="54D2ACF3"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79</w:t>
            </w:r>
          </w:p>
        </w:tc>
        <w:tc>
          <w:tcPr>
            <w:tcW w:w="2078" w:type="dxa"/>
            <w:tcBorders>
              <w:top w:val="nil"/>
              <w:left w:val="nil"/>
              <w:bottom w:val="single" w:sz="4" w:space="0" w:color="auto"/>
              <w:right w:val="single" w:sz="4" w:space="0" w:color="auto"/>
            </w:tcBorders>
            <w:shd w:val="clear" w:color="auto" w:fill="F2F2F2"/>
            <w:noWrap/>
            <w:vAlign w:val="bottom"/>
            <w:hideMark/>
          </w:tcPr>
          <w:p w14:paraId="3141C211"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56</w:t>
            </w:r>
          </w:p>
        </w:tc>
        <w:tc>
          <w:tcPr>
            <w:tcW w:w="1643" w:type="dxa"/>
            <w:tcBorders>
              <w:top w:val="nil"/>
              <w:left w:val="nil"/>
              <w:bottom w:val="single" w:sz="4" w:space="0" w:color="auto"/>
              <w:right w:val="single" w:sz="4" w:space="0" w:color="auto"/>
            </w:tcBorders>
            <w:shd w:val="clear" w:color="auto" w:fill="F2F2F2"/>
            <w:noWrap/>
            <w:vAlign w:val="bottom"/>
            <w:hideMark/>
          </w:tcPr>
          <w:p w14:paraId="42BECD35"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6</w:t>
            </w:r>
          </w:p>
        </w:tc>
      </w:tr>
    </w:tbl>
    <w:p w14:paraId="03508550" w14:textId="77777777" w:rsidR="00C64232" w:rsidRPr="00C64232" w:rsidRDefault="00C64232">
      <w:pPr>
        <w:rPr>
          <w:rFonts w:ascii="Times New Roman" w:hAnsi="Times New Roman" w:cs="Times New Roman"/>
        </w:rPr>
      </w:pPr>
    </w:p>
    <w:tbl>
      <w:tblPr>
        <w:tblpPr w:leftFromText="141" w:rightFromText="141" w:vertAnchor="text" w:tblpY="1"/>
        <w:tblOverlap w:val="never"/>
        <w:tblW w:w="5452" w:type="dxa"/>
        <w:tblCellMar>
          <w:left w:w="70" w:type="dxa"/>
          <w:right w:w="70" w:type="dxa"/>
        </w:tblCellMar>
        <w:tblLook w:val="04A0" w:firstRow="1" w:lastRow="0" w:firstColumn="1" w:lastColumn="0" w:noHBand="0" w:noVBand="1"/>
      </w:tblPr>
      <w:tblGrid>
        <w:gridCol w:w="2747"/>
        <w:gridCol w:w="2705"/>
      </w:tblGrid>
      <w:tr w:rsidR="00C64232" w14:paraId="0D798F97" w14:textId="77777777" w:rsidTr="00714DE5">
        <w:trPr>
          <w:trHeight w:val="271"/>
        </w:trPr>
        <w:tc>
          <w:tcPr>
            <w:tcW w:w="2747" w:type="dxa"/>
            <w:noWrap/>
            <w:vAlign w:val="bottom"/>
            <w:hideMark/>
          </w:tcPr>
          <w:p w14:paraId="2187A1A2" w14:textId="77777777" w:rsidR="00C64232" w:rsidRDefault="00C64232" w:rsidP="00714DE5"/>
        </w:tc>
        <w:tc>
          <w:tcPr>
            <w:tcW w:w="2705" w:type="dxa"/>
            <w:tcBorders>
              <w:top w:val="single" w:sz="4" w:space="0" w:color="auto"/>
              <w:left w:val="single" w:sz="4" w:space="0" w:color="auto"/>
              <w:bottom w:val="single" w:sz="4" w:space="0" w:color="auto"/>
              <w:right w:val="single" w:sz="4" w:space="0" w:color="auto"/>
            </w:tcBorders>
            <w:shd w:val="clear" w:color="auto" w:fill="F4B084"/>
            <w:noWrap/>
            <w:vAlign w:val="bottom"/>
            <w:hideMark/>
          </w:tcPr>
          <w:p w14:paraId="6B509539" w14:textId="77777777" w:rsidR="00C64232" w:rsidRDefault="00C64232" w:rsidP="00714DE5">
            <w:pPr>
              <w:spacing w:after="0" w:line="240" w:lineRule="auto"/>
              <w:jc w:val="center"/>
              <w:rPr>
                <w:rFonts w:ascii="Calibri" w:eastAsia="Times New Roman" w:hAnsi="Calibri" w:cs="Calibri"/>
                <w:b/>
                <w:bCs/>
                <w:color w:val="000000"/>
              </w:rPr>
            </w:pPr>
            <w:r>
              <w:rPr>
                <w:rFonts w:ascii="Calibri" w:hAnsi="Calibri"/>
                <w:b/>
                <w:color w:val="000000"/>
              </w:rPr>
              <w:t>BRASÍLIA</w:t>
            </w:r>
          </w:p>
        </w:tc>
      </w:tr>
      <w:tr w:rsidR="00C64232" w14:paraId="547E9C65" w14:textId="77777777" w:rsidTr="00714DE5">
        <w:trPr>
          <w:trHeight w:val="271"/>
        </w:trPr>
        <w:tc>
          <w:tcPr>
            <w:tcW w:w="2747" w:type="dxa"/>
            <w:noWrap/>
            <w:vAlign w:val="bottom"/>
            <w:hideMark/>
          </w:tcPr>
          <w:p w14:paraId="0B864C48" w14:textId="77777777" w:rsidR="00C64232" w:rsidRDefault="00C64232" w:rsidP="00714DE5">
            <w:pPr>
              <w:rPr>
                <w:rFonts w:ascii="Calibri" w:eastAsia="Times New Roman" w:hAnsi="Calibri" w:cs="Calibri"/>
                <w:b/>
                <w:bCs/>
                <w:color w:val="000000"/>
                <w:lang w:eastAsia="pt-BR"/>
              </w:rPr>
            </w:pPr>
          </w:p>
        </w:tc>
        <w:tc>
          <w:tcPr>
            <w:tcW w:w="2705" w:type="dxa"/>
            <w:tcBorders>
              <w:top w:val="nil"/>
              <w:left w:val="single" w:sz="4" w:space="0" w:color="auto"/>
              <w:bottom w:val="single" w:sz="4" w:space="0" w:color="auto"/>
              <w:right w:val="single" w:sz="4" w:space="0" w:color="auto"/>
            </w:tcBorders>
            <w:shd w:val="clear" w:color="auto" w:fill="D6DCE4"/>
            <w:noWrap/>
            <w:vAlign w:val="bottom"/>
            <w:hideMark/>
          </w:tcPr>
          <w:p w14:paraId="3A291104" w14:textId="5E746255" w:rsidR="00C64232" w:rsidRDefault="00C64232" w:rsidP="00221FFE">
            <w:pPr>
              <w:spacing w:after="0" w:line="240" w:lineRule="auto"/>
              <w:rPr>
                <w:rFonts w:ascii="Calibri" w:eastAsia="Times New Roman" w:hAnsi="Calibri" w:cs="Calibri"/>
                <w:color w:val="000000"/>
              </w:rPr>
            </w:pPr>
            <w:r>
              <w:rPr>
                <w:rFonts w:ascii="Calibri" w:hAnsi="Calibri"/>
                <w:color w:val="000000"/>
              </w:rPr>
              <w:t>STJ</w:t>
            </w:r>
            <w:r w:rsidR="009E174D">
              <w:rPr>
                <w:rFonts w:ascii="Calibri" w:hAnsi="Calibri"/>
                <w:color w:val="000000"/>
              </w:rPr>
              <w:t xml:space="preserve"> -</w:t>
            </w:r>
            <w:r>
              <w:rPr>
                <w:rFonts w:ascii="Calibri" w:hAnsi="Calibri"/>
                <w:color w:val="000000"/>
              </w:rPr>
              <w:t xml:space="preserve"> SUPERIOR </w:t>
            </w:r>
            <w:r w:rsidR="00221FFE">
              <w:rPr>
                <w:rFonts w:ascii="Calibri" w:hAnsi="Calibri"/>
                <w:color w:val="000000"/>
              </w:rPr>
              <w:t xml:space="preserve"> COURT OF APPEALS</w:t>
            </w:r>
          </w:p>
        </w:tc>
      </w:tr>
      <w:tr w:rsidR="00C64232" w14:paraId="6031AA85" w14:textId="77777777" w:rsidTr="00714DE5">
        <w:trPr>
          <w:trHeight w:val="353"/>
        </w:trPr>
        <w:tc>
          <w:tcPr>
            <w:tcW w:w="2747"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842B5A5" w14:textId="77777777" w:rsidR="00C64232" w:rsidRDefault="00C64232" w:rsidP="00714DE5">
            <w:pPr>
              <w:spacing w:after="0" w:line="240" w:lineRule="auto"/>
              <w:rPr>
                <w:rFonts w:ascii="Calibri" w:eastAsia="Times New Roman" w:hAnsi="Calibri" w:cs="Calibri"/>
                <w:color w:val="000000"/>
              </w:rPr>
            </w:pPr>
            <w:r>
              <w:rPr>
                <w:rFonts w:ascii="Calibri" w:hAnsi="Calibri"/>
                <w:color w:val="000000"/>
              </w:rPr>
              <w:t>DECLARATION IN HABEAS CORPUS</w:t>
            </w:r>
          </w:p>
        </w:tc>
        <w:tc>
          <w:tcPr>
            <w:tcW w:w="2705" w:type="dxa"/>
            <w:tcBorders>
              <w:top w:val="nil"/>
              <w:left w:val="nil"/>
              <w:bottom w:val="single" w:sz="4" w:space="0" w:color="auto"/>
              <w:right w:val="single" w:sz="4" w:space="0" w:color="auto"/>
            </w:tcBorders>
            <w:shd w:val="clear" w:color="auto" w:fill="F2F2F2"/>
            <w:noWrap/>
            <w:vAlign w:val="bottom"/>
            <w:hideMark/>
          </w:tcPr>
          <w:p w14:paraId="523F4472" w14:textId="77777777" w:rsidR="00C64232" w:rsidRDefault="00C64232" w:rsidP="00714DE5">
            <w:pPr>
              <w:spacing w:after="0" w:line="240" w:lineRule="auto"/>
              <w:jc w:val="center"/>
              <w:rPr>
                <w:rFonts w:ascii="Calibri" w:eastAsia="Times New Roman" w:hAnsi="Calibri" w:cs="Calibri"/>
                <w:color w:val="000000"/>
              </w:rPr>
            </w:pPr>
            <w:r>
              <w:rPr>
                <w:rFonts w:ascii="Calibri" w:hAnsi="Calibri"/>
                <w:color w:val="000000"/>
              </w:rPr>
              <w:t>49</w:t>
            </w:r>
          </w:p>
        </w:tc>
      </w:tr>
      <w:tr w:rsidR="00C64232" w14:paraId="592D97B0" w14:textId="77777777" w:rsidTr="00714DE5">
        <w:trPr>
          <w:trHeight w:val="353"/>
        </w:trPr>
        <w:tc>
          <w:tcPr>
            <w:tcW w:w="2747" w:type="dxa"/>
            <w:tcBorders>
              <w:top w:val="nil"/>
              <w:left w:val="single" w:sz="4" w:space="0" w:color="auto"/>
              <w:bottom w:val="single" w:sz="4" w:space="0" w:color="auto"/>
              <w:right w:val="single" w:sz="4" w:space="0" w:color="auto"/>
            </w:tcBorders>
            <w:shd w:val="clear" w:color="auto" w:fill="F2F2F2"/>
            <w:noWrap/>
            <w:vAlign w:val="bottom"/>
            <w:hideMark/>
          </w:tcPr>
          <w:p w14:paraId="6C6799BD" w14:textId="77777777" w:rsidR="00C64232" w:rsidRDefault="00C64232" w:rsidP="00714DE5">
            <w:pPr>
              <w:spacing w:after="0" w:line="240" w:lineRule="auto"/>
              <w:rPr>
                <w:rFonts w:ascii="Calibri" w:eastAsia="Times New Roman" w:hAnsi="Calibri" w:cs="Calibri"/>
                <w:color w:val="000000"/>
              </w:rPr>
            </w:pPr>
            <w:r>
              <w:rPr>
                <w:rFonts w:ascii="Calibri" w:hAnsi="Calibri"/>
                <w:color w:val="000000"/>
              </w:rPr>
              <w:t>CRIMINAL ACTIONS</w:t>
            </w:r>
          </w:p>
        </w:tc>
        <w:tc>
          <w:tcPr>
            <w:tcW w:w="2705" w:type="dxa"/>
            <w:tcBorders>
              <w:top w:val="nil"/>
              <w:left w:val="nil"/>
              <w:bottom w:val="single" w:sz="4" w:space="0" w:color="auto"/>
              <w:right w:val="single" w:sz="4" w:space="0" w:color="auto"/>
            </w:tcBorders>
            <w:shd w:val="clear" w:color="auto" w:fill="F2F2F2"/>
            <w:noWrap/>
            <w:vAlign w:val="bottom"/>
            <w:hideMark/>
          </w:tcPr>
          <w:p w14:paraId="5D81D74D" w14:textId="77777777" w:rsidR="00C64232" w:rsidRDefault="00C64232" w:rsidP="00714DE5">
            <w:pPr>
              <w:spacing w:after="0" w:line="240" w:lineRule="auto"/>
              <w:jc w:val="center"/>
              <w:rPr>
                <w:rFonts w:ascii="Calibri" w:eastAsia="Times New Roman" w:hAnsi="Calibri" w:cs="Calibri"/>
                <w:color w:val="000000"/>
              </w:rPr>
            </w:pPr>
            <w:r>
              <w:rPr>
                <w:rFonts w:ascii="Calibri" w:hAnsi="Calibri"/>
                <w:color w:val="000000"/>
              </w:rPr>
              <w:t>2</w:t>
            </w:r>
          </w:p>
        </w:tc>
      </w:tr>
      <w:tr w:rsidR="00C64232" w14:paraId="2B8B38FC" w14:textId="77777777" w:rsidTr="00714DE5">
        <w:trPr>
          <w:trHeight w:val="326"/>
        </w:trPr>
        <w:tc>
          <w:tcPr>
            <w:tcW w:w="2747" w:type="dxa"/>
            <w:tcBorders>
              <w:top w:val="nil"/>
              <w:left w:val="single" w:sz="4" w:space="0" w:color="auto"/>
              <w:bottom w:val="single" w:sz="4" w:space="0" w:color="auto"/>
              <w:right w:val="single" w:sz="4" w:space="0" w:color="auto"/>
            </w:tcBorders>
            <w:shd w:val="clear" w:color="auto" w:fill="F2F2F2"/>
            <w:noWrap/>
            <w:vAlign w:val="bottom"/>
            <w:hideMark/>
          </w:tcPr>
          <w:p w14:paraId="4521184C" w14:textId="77777777" w:rsidR="00C64232" w:rsidRDefault="00C64232" w:rsidP="00714DE5">
            <w:pPr>
              <w:spacing w:after="0" w:line="240" w:lineRule="auto"/>
              <w:rPr>
                <w:rFonts w:ascii="Calibri" w:eastAsia="Times New Roman" w:hAnsi="Calibri" w:cs="Calibri"/>
                <w:color w:val="000000"/>
              </w:rPr>
            </w:pPr>
            <w:r>
              <w:rPr>
                <w:rFonts w:ascii="Calibri" w:hAnsi="Calibri"/>
                <w:color w:val="000000"/>
              </w:rPr>
              <w:t>INDICTED</w:t>
            </w:r>
          </w:p>
        </w:tc>
        <w:tc>
          <w:tcPr>
            <w:tcW w:w="2705" w:type="dxa"/>
            <w:tcBorders>
              <w:top w:val="nil"/>
              <w:left w:val="nil"/>
              <w:bottom w:val="single" w:sz="4" w:space="0" w:color="auto"/>
              <w:right w:val="single" w:sz="4" w:space="0" w:color="auto"/>
            </w:tcBorders>
            <w:shd w:val="clear" w:color="auto" w:fill="F2F2F2"/>
            <w:noWrap/>
            <w:vAlign w:val="bottom"/>
            <w:hideMark/>
          </w:tcPr>
          <w:p w14:paraId="21AE01E3" w14:textId="77777777" w:rsidR="00C64232" w:rsidRDefault="00C64232" w:rsidP="00714DE5">
            <w:pPr>
              <w:spacing w:after="0" w:line="240" w:lineRule="auto"/>
              <w:jc w:val="center"/>
              <w:rPr>
                <w:rFonts w:ascii="Calibri" w:eastAsia="Times New Roman" w:hAnsi="Calibri" w:cs="Calibri"/>
                <w:color w:val="000000"/>
              </w:rPr>
            </w:pPr>
            <w:r>
              <w:rPr>
                <w:rFonts w:ascii="Calibri" w:hAnsi="Calibri"/>
                <w:color w:val="000000"/>
              </w:rPr>
              <w:t>7</w:t>
            </w:r>
          </w:p>
        </w:tc>
      </w:tr>
    </w:tbl>
    <w:p w14:paraId="7024F225" w14:textId="77777777" w:rsidR="00714DE5" w:rsidRDefault="00714DE5" w:rsidP="00C64232"/>
    <w:p w14:paraId="1235F7DE" w14:textId="77777777" w:rsidR="00714DE5" w:rsidRPr="00714DE5" w:rsidRDefault="00714DE5" w:rsidP="00714DE5"/>
    <w:p w14:paraId="3C3A2E2F" w14:textId="77777777" w:rsidR="00714DE5" w:rsidRDefault="00714DE5" w:rsidP="00714DE5">
      <w:pPr>
        <w:jc w:val="center"/>
      </w:pPr>
    </w:p>
    <w:p w14:paraId="739C56F0" w14:textId="3B72BFF0" w:rsidR="00714DE5" w:rsidRDefault="00714DE5" w:rsidP="00C64232">
      <w:r>
        <w:br w:type="textWrapping" w:clear="all"/>
      </w:r>
    </w:p>
    <w:tbl>
      <w:tblPr>
        <w:tblW w:w="5404" w:type="dxa"/>
        <w:tblCellMar>
          <w:left w:w="70" w:type="dxa"/>
          <w:right w:w="70" w:type="dxa"/>
        </w:tblCellMar>
        <w:tblLook w:val="04A0" w:firstRow="1" w:lastRow="0" w:firstColumn="1" w:lastColumn="0" w:noHBand="0" w:noVBand="1"/>
      </w:tblPr>
      <w:tblGrid>
        <w:gridCol w:w="2662"/>
        <w:gridCol w:w="2742"/>
      </w:tblGrid>
      <w:tr w:rsidR="00C64232" w14:paraId="3735B4A4" w14:textId="77777777" w:rsidTr="00C64232">
        <w:trPr>
          <w:trHeight w:val="220"/>
        </w:trPr>
        <w:tc>
          <w:tcPr>
            <w:tcW w:w="2662" w:type="dxa"/>
            <w:noWrap/>
            <w:vAlign w:val="bottom"/>
            <w:hideMark/>
          </w:tcPr>
          <w:p w14:paraId="0EFCC6EB" w14:textId="77777777" w:rsidR="00C64232" w:rsidRDefault="00C64232"/>
        </w:tc>
        <w:tc>
          <w:tcPr>
            <w:tcW w:w="2742" w:type="dxa"/>
            <w:tcBorders>
              <w:top w:val="single" w:sz="4" w:space="0" w:color="auto"/>
              <w:left w:val="single" w:sz="4" w:space="0" w:color="auto"/>
              <w:bottom w:val="single" w:sz="4" w:space="0" w:color="auto"/>
              <w:right w:val="single" w:sz="4" w:space="0" w:color="auto"/>
            </w:tcBorders>
            <w:shd w:val="clear" w:color="auto" w:fill="F4B084"/>
            <w:noWrap/>
            <w:vAlign w:val="bottom"/>
            <w:hideMark/>
          </w:tcPr>
          <w:p w14:paraId="1267E7D6" w14:textId="77777777" w:rsidR="00C64232" w:rsidRDefault="00C64232">
            <w:pPr>
              <w:spacing w:after="0" w:line="240" w:lineRule="auto"/>
              <w:jc w:val="center"/>
              <w:rPr>
                <w:rFonts w:ascii="Calibri" w:eastAsia="Times New Roman" w:hAnsi="Calibri" w:cs="Calibri"/>
                <w:b/>
                <w:bCs/>
                <w:color w:val="000000"/>
              </w:rPr>
            </w:pPr>
            <w:r>
              <w:rPr>
                <w:rFonts w:ascii="Calibri" w:hAnsi="Calibri"/>
                <w:b/>
                <w:color w:val="000000"/>
              </w:rPr>
              <w:t xml:space="preserve">BRASÍLIA </w:t>
            </w:r>
          </w:p>
        </w:tc>
      </w:tr>
      <w:tr w:rsidR="00C64232" w14:paraId="7CA3E8A7" w14:textId="77777777" w:rsidTr="00714DE5">
        <w:trPr>
          <w:trHeight w:val="220"/>
        </w:trPr>
        <w:tc>
          <w:tcPr>
            <w:tcW w:w="2662" w:type="dxa"/>
            <w:tcBorders>
              <w:top w:val="single" w:sz="4" w:space="0" w:color="auto"/>
            </w:tcBorders>
            <w:noWrap/>
            <w:vAlign w:val="bottom"/>
            <w:hideMark/>
          </w:tcPr>
          <w:p w14:paraId="225FBE63" w14:textId="77777777" w:rsidR="00C64232" w:rsidRDefault="00C64232">
            <w:pPr>
              <w:rPr>
                <w:rFonts w:ascii="Calibri" w:eastAsia="Times New Roman" w:hAnsi="Calibri" w:cs="Calibri"/>
                <w:b/>
                <w:bCs/>
                <w:color w:val="000000"/>
                <w:lang w:eastAsia="pt-BR"/>
              </w:rPr>
            </w:pPr>
          </w:p>
        </w:tc>
        <w:tc>
          <w:tcPr>
            <w:tcW w:w="2742" w:type="dxa"/>
            <w:tcBorders>
              <w:top w:val="single" w:sz="4" w:space="0" w:color="auto"/>
              <w:left w:val="single" w:sz="4" w:space="0" w:color="auto"/>
              <w:bottom w:val="single" w:sz="4" w:space="0" w:color="auto"/>
              <w:right w:val="single" w:sz="4" w:space="0" w:color="auto"/>
            </w:tcBorders>
            <w:shd w:val="clear" w:color="auto" w:fill="D6DCE4"/>
            <w:noWrap/>
            <w:vAlign w:val="bottom"/>
            <w:hideMark/>
          </w:tcPr>
          <w:p w14:paraId="4E17A864" w14:textId="31ED4579" w:rsidR="00C64232" w:rsidRDefault="00C64232" w:rsidP="00221FFE">
            <w:pPr>
              <w:spacing w:after="0" w:line="240" w:lineRule="auto"/>
              <w:jc w:val="center"/>
              <w:rPr>
                <w:rFonts w:ascii="Calibri" w:eastAsia="Times New Roman" w:hAnsi="Calibri" w:cs="Calibri"/>
                <w:color w:val="000000"/>
              </w:rPr>
            </w:pPr>
            <w:r>
              <w:rPr>
                <w:rFonts w:ascii="Calibri" w:hAnsi="Calibri"/>
                <w:color w:val="000000"/>
              </w:rPr>
              <w:t>STF</w:t>
            </w:r>
            <w:r w:rsidR="009E174D">
              <w:rPr>
                <w:rFonts w:ascii="Calibri" w:hAnsi="Calibri"/>
                <w:color w:val="000000"/>
              </w:rPr>
              <w:t xml:space="preserve"> -</w:t>
            </w:r>
            <w:r>
              <w:rPr>
                <w:rFonts w:ascii="Calibri" w:hAnsi="Calibri"/>
                <w:color w:val="000000"/>
              </w:rPr>
              <w:t xml:space="preserve"> </w:t>
            </w:r>
            <w:r w:rsidR="00221FFE">
              <w:rPr>
                <w:rFonts w:ascii="Calibri" w:hAnsi="Calibri"/>
                <w:color w:val="000000"/>
              </w:rPr>
              <w:t>CONSTITUTIONAL COURT OF APPEALS</w:t>
            </w:r>
          </w:p>
        </w:tc>
      </w:tr>
      <w:tr w:rsidR="00C64232" w14:paraId="3A24C692" w14:textId="77777777" w:rsidTr="00C64232">
        <w:trPr>
          <w:trHeight w:val="287"/>
        </w:trPr>
        <w:tc>
          <w:tcPr>
            <w:tcW w:w="2662"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7215730" w14:textId="27BCBCB0" w:rsidR="00C64232" w:rsidRDefault="00313C1A">
            <w:pPr>
              <w:spacing w:after="0" w:line="240" w:lineRule="auto"/>
              <w:rPr>
                <w:rFonts w:ascii="Calibri" w:eastAsia="Times New Roman" w:hAnsi="Calibri" w:cs="Calibri"/>
                <w:color w:val="000000"/>
              </w:rPr>
            </w:pPr>
            <w:r>
              <w:rPr>
                <w:rFonts w:ascii="Calibri" w:hAnsi="Calibri"/>
                <w:color w:val="000000"/>
              </w:rPr>
              <w:t>INQUIRIES</w:t>
            </w:r>
          </w:p>
        </w:tc>
        <w:tc>
          <w:tcPr>
            <w:tcW w:w="2742" w:type="dxa"/>
            <w:tcBorders>
              <w:top w:val="nil"/>
              <w:left w:val="nil"/>
              <w:bottom w:val="single" w:sz="4" w:space="0" w:color="auto"/>
              <w:right w:val="single" w:sz="4" w:space="0" w:color="auto"/>
            </w:tcBorders>
            <w:shd w:val="clear" w:color="auto" w:fill="F2F2F2"/>
            <w:noWrap/>
            <w:vAlign w:val="bottom"/>
            <w:hideMark/>
          </w:tcPr>
          <w:p w14:paraId="151AA47B"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71</w:t>
            </w:r>
          </w:p>
        </w:tc>
      </w:tr>
      <w:tr w:rsidR="00C64232" w14:paraId="09486ECF" w14:textId="77777777" w:rsidTr="00C64232">
        <w:trPr>
          <w:trHeight w:val="287"/>
        </w:trPr>
        <w:tc>
          <w:tcPr>
            <w:tcW w:w="2662" w:type="dxa"/>
            <w:tcBorders>
              <w:top w:val="nil"/>
              <w:left w:val="single" w:sz="4" w:space="0" w:color="auto"/>
              <w:bottom w:val="single" w:sz="4" w:space="0" w:color="auto"/>
              <w:right w:val="single" w:sz="4" w:space="0" w:color="auto"/>
            </w:tcBorders>
            <w:shd w:val="clear" w:color="auto" w:fill="F2F2F2"/>
            <w:noWrap/>
            <w:vAlign w:val="bottom"/>
            <w:hideMark/>
          </w:tcPr>
          <w:p w14:paraId="2FE2983F" w14:textId="0E9F7765" w:rsidR="00C64232" w:rsidRDefault="00C64232">
            <w:pPr>
              <w:spacing w:after="0" w:line="240" w:lineRule="auto"/>
              <w:rPr>
                <w:rFonts w:ascii="Calibri" w:eastAsia="Times New Roman" w:hAnsi="Calibri" w:cs="Calibri"/>
                <w:color w:val="000000"/>
              </w:rPr>
            </w:pPr>
            <w:r>
              <w:rPr>
                <w:rFonts w:ascii="Calibri" w:hAnsi="Calibri"/>
                <w:color w:val="000000"/>
              </w:rPr>
              <w:t xml:space="preserve">COMPLAINTS </w:t>
            </w:r>
            <w:r w:rsidR="00313C1A">
              <w:rPr>
                <w:rFonts w:ascii="Calibri" w:hAnsi="Calibri"/>
                <w:color w:val="000000"/>
              </w:rPr>
              <w:t>LODGED</w:t>
            </w:r>
          </w:p>
        </w:tc>
        <w:tc>
          <w:tcPr>
            <w:tcW w:w="2742" w:type="dxa"/>
            <w:tcBorders>
              <w:top w:val="nil"/>
              <w:left w:val="nil"/>
              <w:bottom w:val="single" w:sz="4" w:space="0" w:color="auto"/>
              <w:right w:val="single" w:sz="4" w:space="0" w:color="auto"/>
            </w:tcBorders>
            <w:shd w:val="clear" w:color="auto" w:fill="F2F2F2"/>
            <w:noWrap/>
            <w:vAlign w:val="bottom"/>
            <w:hideMark/>
          </w:tcPr>
          <w:p w14:paraId="22F76E1F"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45</w:t>
            </w:r>
          </w:p>
        </w:tc>
      </w:tr>
      <w:tr w:rsidR="00C64232" w14:paraId="47778413" w14:textId="77777777" w:rsidTr="00C64232">
        <w:trPr>
          <w:trHeight w:val="265"/>
        </w:trPr>
        <w:tc>
          <w:tcPr>
            <w:tcW w:w="2662" w:type="dxa"/>
            <w:tcBorders>
              <w:top w:val="nil"/>
              <w:left w:val="single" w:sz="4" w:space="0" w:color="auto"/>
              <w:bottom w:val="single" w:sz="4" w:space="0" w:color="auto"/>
              <w:right w:val="single" w:sz="4" w:space="0" w:color="auto"/>
            </w:tcBorders>
            <w:shd w:val="clear" w:color="auto" w:fill="F2F2F2"/>
            <w:noWrap/>
            <w:vAlign w:val="bottom"/>
            <w:hideMark/>
          </w:tcPr>
          <w:p w14:paraId="3ACFC2FB" w14:textId="16B40DCC" w:rsidR="00C64232" w:rsidRDefault="00C64232">
            <w:pPr>
              <w:spacing w:after="0" w:line="240" w:lineRule="auto"/>
              <w:rPr>
                <w:rFonts w:ascii="Calibri" w:eastAsia="Times New Roman" w:hAnsi="Calibri" w:cs="Calibri"/>
                <w:color w:val="000000"/>
              </w:rPr>
            </w:pPr>
            <w:r>
              <w:rPr>
                <w:rFonts w:ascii="Calibri" w:hAnsi="Calibri"/>
                <w:color w:val="000000"/>
              </w:rPr>
              <w:t>INDICTED</w:t>
            </w:r>
          </w:p>
        </w:tc>
        <w:tc>
          <w:tcPr>
            <w:tcW w:w="2742" w:type="dxa"/>
            <w:tcBorders>
              <w:top w:val="nil"/>
              <w:left w:val="nil"/>
              <w:bottom w:val="single" w:sz="4" w:space="0" w:color="auto"/>
              <w:right w:val="single" w:sz="4" w:space="0" w:color="auto"/>
            </w:tcBorders>
            <w:shd w:val="clear" w:color="auto" w:fill="F2F2F2"/>
            <w:noWrap/>
            <w:vAlign w:val="bottom"/>
            <w:hideMark/>
          </w:tcPr>
          <w:p w14:paraId="4F77F179" w14:textId="77777777" w:rsidR="00C64232" w:rsidRDefault="00C64232" w:rsidP="00B8701B">
            <w:pPr>
              <w:spacing w:after="0" w:line="240" w:lineRule="auto"/>
              <w:jc w:val="center"/>
              <w:rPr>
                <w:rFonts w:ascii="Calibri" w:eastAsia="Times New Roman" w:hAnsi="Calibri" w:cs="Calibri"/>
                <w:color w:val="000000"/>
              </w:rPr>
            </w:pPr>
            <w:r>
              <w:rPr>
                <w:rFonts w:ascii="Calibri" w:hAnsi="Calibri"/>
                <w:color w:val="000000"/>
              </w:rPr>
              <w:t>126</w:t>
            </w:r>
          </w:p>
        </w:tc>
      </w:tr>
    </w:tbl>
    <w:p w14:paraId="2649108B" w14:textId="01837547" w:rsidR="00714DE5" w:rsidRPr="009E174D" w:rsidRDefault="00714DE5" w:rsidP="005A76CA">
      <w:pPr>
        <w:jc w:val="both"/>
        <w:rPr>
          <w:rFonts w:cstheme="minorHAnsi"/>
          <w:sz w:val="18"/>
          <w:szCs w:val="18"/>
          <w:lang w:val="fr-FR"/>
        </w:rPr>
      </w:pPr>
      <w:r w:rsidRPr="009E174D">
        <w:rPr>
          <w:sz w:val="18"/>
          <w:lang w:val="fr-FR"/>
        </w:rPr>
        <w:t>Source: https://www.mpf.mp.br/grandes-casos/lava-jato</w:t>
      </w:r>
    </w:p>
    <w:p w14:paraId="3633F326" w14:textId="77777777" w:rsidR="00714DE5" w:rsidRPr="009E174D" w:rsidRDefault="00714DE5" w:rsidP="005A76CA">
      <w:pPr>
        <w:jc w:val="both"/>
        <w:rPr>
          <w:rFonts w:ascii="Times New Roman" w:hAnsi="Times New Roman" w:cs="Times New Roman"/>
          <w:b/>
          <w:bCs/>
          <w:lang w:val="fr-FR"/>
        </w:rPr>
      </w:pPr>
    </w:p>
    <w:p w14:paraId="4A62003D" w14:textId="12EA00F8" w:rsidR="00C64232" w:rsidRPr="00C64232" w:rsidRDefault="00C64232" w:rsidP="005A76CA">
      <w:pPr>
        <w:jc w:val="both"/>
        <w:rPr>
          <w:rFonts w:ascii="Times New Roman" w:hAnsi="Times New Roman" w:cs="Times New Roman"/>
          <w:b/>
          <w:bCs/>
        </w:rPr>
      </w:pPr>
      <w:r>
        <w:rPr>
          <w:rFonts w:ascii="Times New Roman" w:hAnsi="Times New Roman"/>
          <w:b/>
        </w:rPr>
        <w:t>Question 3 - Legislative Measures to combat discrimination</w:t>
      </w:r>
    </w:p>
    <w:tbl>
      <w:tblPr>
        <w:tblStyle w:val="Tabelacomgrade"/>
        <w:tblW w:w="9351" w:type="dxa"/>
        <w:tblLook w:val="04A0" w:firstRow="1" w:lastRow="0" w:firstColumn="1" w:lastColumn="0" w:noHBand="0" w:noVBand="1"/>
      </w:tblPr>
      <w:tblGrid>
        <w:gridCol w:w="9351"/>
      </w:tblGrid>
      <w:tr w:rsidR="00C64232" w:rsidRPr="00D20096" w14:paraId="579C427B" w14:textId="77777777" w:rsidTr="00C64232">
        <w:trPr>
          <w:trHeight w:val="417"/>
        </w:trPr>
        <w:tc>
          <w:tcPr>
            <w:tcW w:w="9351" w:type="dxa"/>
            <w:shd w:val="clear" w:color="auto" w:fill="A8D08D" w:themeFill="accent6" w:themeFillTint="99"/>
          </w:tcPr>
          <w:p w14:paraId="2F652DD6" w14:textId="1482161E" w:rsidR="00C64232" w:rsidRPr="00D20096" w:rsidRDefault="00C64232" w:rsidP="00313C1A">
            <w:pPr>
              <w:tabs>
                <w:tab w:val="left" w:pos="2880"/>
                <w:tab w:val="center" w:pos="6889"/>
                <w:tab w:val="center" w:pos="7140"/>
                <w:tab w:val="left" w:pos="11508"/>
              </w:tabs>
              <w:rPr>
                <w:rFonts w:asciiTheme="majorHAnsi" w:hAnsiTheme="majorHAnsi" w:cstheme="majorHAnsi"/>
                <w:b/>
                <w:bCs/>
                <w:sz w:val="20"/>
                <w:szCs w:val="20"/>
              </w:rPr>
            </w:pPr>
            <w:r>
              <w:rPr>
                <w:rFonts w:asciiTheme="majorHAnsi" w:hAnsiTheme="majorHAnsi"/>
                <w:b/>
                <w:sz w:val="20"/>
              </w:rPr>
              <w:tab/>
              <w:t>ANTIDISCRIMINAT</w:t>
            </w:r>
            <w:r w:rsidR="00313C1A">
              <w:rPr>
                <w:rFonts w:asciiTheme="majorHAnsi" w:hAnsiTheme="majorHAnsi"/>
                <w:b/>
                <w:sz w:val="20"/>
              </w:rPr>
              <w:t>ION</w:t>
            </w:r>
            <w:r>
              <w:rPr>
                <w:rFonts w:asciiTheme="majorHAnsi" w:hAnsiTheme="majorHAnsi"/>
                <w:b/>
                <w:sz w:val="20"/>
              </w:rPr>
              <w:t xml:space="preserve"> MEASURES</w:t>
            </w:r>
          </w:p>
        </w:tc>
      </w:tr>
    </w:tbl>
    <w:tbl>
      <w:tblPr>
        <w:tblW w:w="9351" w:type="dxa"/>
        <w:tblLayout w:type="fixed"/>
        <w:tblCellMar>
          <w:left w:w="70" w:type="dxa"/>
          <w:right w:w="70" w:type="dxa"/>
        </w:tblCellMar>
        <w:tblLook w:val="04A0" w:firstRow="1" w:lastRow="0" w:firstColumn="1" w:lastColumn="0" w:noHBand="0" w:noVBand="1"/>
      </w:tblPr>
      <w:tblGrid>
        <w:gridCol w:w="2830"/>
        <w:gridCol w:w="6521"/>
      </w:tblGrid>
      <w:tr w:rsidR="00C64232" w:rsidRPr="00D20096" w14:paraId="484534D5" w14:textId="77777777" w:rsidTr="14B7E38C">
        <w:trPr>
          <w:trHeight w:val="180"/>
        </w:trPr>
        <w:tc>
          <w:tcPr>
            <w:tcW w:w="2830" w:type="dxa"/>
            <w:tcBorders>
              <w:top w:val="single" w:sz="4" w:space="0" w:color="auto"/>
              <w:left w:val="single" w:sz="4" w:space="0" w:color="auto"/>
              <w:bottom w:val="single" w:sz="4" w:space="0" w:color="auto"/>
              <w:right w:val="single" w:sz="4" w:space="0" w:color="auto"/>
            </w:tcBorders>
            <w:shd w:val="clear" w:color="auto" w:fill="C6E0B4"/>
            <w:noWrap/>
            <w:vAlign w:val="bottom"/>
            <w:hideMark/>
          </w:tcPr>
          <w:p w14:paraId="20AF5D6D" w14:textId="77777777" w:rsidR="00C64232" w:rsidRPr="00D20096"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RACE</w:t>
            </w:r>
          </w:p>
        </w:tc>
        <w:tc>
          <w:tcPr>
            <w:tcW w:w="6521" w:type="dxa"/>
            <w:tcBorders>
              <w:top w:val="single" w:sz="4" w:space="0" w:color="auto"/>
              <w:left w:val="nil"/>
              <w:bottom w:val="single" w:sz="4" w:space="0" w:color="auto"/>
              <w:right w:val="single" w:sz="4" w:space="0" w:color="auto"/>
            </w:tcBorders>
            <w:shd w:val="clear" w:color="auto" w:fill="C6E0B4"/>
            <w:noWrap/>
            <w:vAlign w:val="bottom"/>
            <w:hideMark/>
          </w:tcPr>
          <w:p w14:paraId="029FD1ED" w14:textId="77777777" w:rsidR="00C64232" w:rsidRPr="00D20096"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 </w:t>
            </w:r>
          </w:p>
        </w:tc>
      </w:tr>
      <w:tr w:rsidR="006E0153" w:rsidRPr="00D20096" w14:paraId="1C03EF41" w14:textId="77777777" w:rsidTr="14B7E38C">
        <w:trPr>
          <w:trHeight w:val="618"/>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7F8181" w14:textId="7D9FA941"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11,096, </w:t>
            </w:r>
            <w:r w:rsidR="00313C1A">
              <w:rPr>
                <w:rFonts w:asciiTheme="majorHAnsi" w:hAnsiTheme="majorHAnsi"/>
                <w:color w:val="000000"/>
                <w:sz w:val="20"/>
              </w:rPr>
              <w:t>of</w:t>
            </w:r>
            <w:r>
              <w:rPr>
                <w:rFonts w:asciiTheme="majorHAnsi" w:hAnsiTheme="majorHAnsi"/>
                <w:color w:val="000000"/>
                <w:sz w:val="20"/>
              </w:rPr>
              <w:t xml:space="preserve"> January 13</w:t>
            </w:r>
            <w:r>
              <w:rPr>
                <w:rFonts w:asciiTheme="majorHAnsi" w:hAnsiTheme="majorHAnsi"/>
                <w:color w:val="000000"/>
                <w:sz w:val="20"/>
                <w:vertAlign w:val="superscript"/>
              </w:rPr>
              <w:t>th</w:t>
            </w:r>
            <w:r>
              <w:rPr>
                <w:rFonts w:asciiTheme="majorHAnsi" w:hAnsiTheme="majorHAnsi"/>
                <w:color w:val="000000"/>
                <w:sz w:val="20"/>
              </w:rPr>
              <w:t>, 2005</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5697E39D" w14:textId="768F10B0"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Alters Law N. 10,981, </w:t>
            </w:r>
            <w:r w:rsidR="00CC22B7">
              <w:rPr>
                <w:rFonts w:asciiTheme="majorHAnsi" w:hAnsiTheme="majorHAnsi"/>
                <w:color w:val="000000"/>
                <w:sz w:val="20"/>
              </w:rPr>
              <w:t>of</w:t>
            </w:r>
            <w:r>
              <w:rPr>
                <w:rFonts w:asciiTheme="majorHAnsi" w:hAnsiTheme="majorHAnsi"/>
                <w:color w:val="000000"/>
                <w:sz w:val="20"/>
              </w:rPr>
              <w:t xml:space="preserve"> July 9</w:t>
            </w:r>
            <w:r>
              <w:rPr>
                <w:rFonts w:asciiTheme="majorHAnsi" w:hAnsiTheme="majorHAnsi"/>
                <w:color w:val="000000"/>
                <w:sz w:val="20"/>
                <w:vertAlign w:val="superscript"/>
              </w:rPr>
              <w:t>th</w:t>
            </w:r>
            <w:r>
              <w:rPr>
                <w:rFonts w:asciiTheme="majorHAnsi" w:hAnsiTheme="majorHAnsi"/>
                <w:color w:val="000000"/>
                <w:sz w:val="20"/>
              </w:rPr>
              <w:t xml:space="preserve">, </w:t>
            </w:r>
            <w:r w:rsidR="006B4317">
              <w:rPr>
                <w:rFonts w:asciiTheme="majorHAnsi" w:hAnsiTheme="majorHAnsi"/>
                <w:color w:val="000000"/>
                <w:sz w:val="20"/>
              </w:rPr>
              <w:t>2004,</w:t>
            </w:r>
            <w:r>
              <w:rPr>
                <w:rFonts w:asciiTheme="majorHAnsi" w:hAnsiTheme="majorHAnsi"/>
                <w:color w:val="000000"/>
                <w:sz w:val="20"/>
              </w:rPr>
              <w:t xml:space="preserve"> and </w:t>
            </w:r>
            <w:r w:rsidR="00CC22B7">
              <w:rPr>
                <w:rFonts w:asciiTheme="majorHAnsi" w:hAnsiTheme="majorHAnsi"/>
                <w:color w:val="000000"/>
                <w:sz w:val="20"/>
              </w:rPr>
              <w:t>provides</w:t>
            </w:r>
            <w:r>
              <w:rPr>
                <w:rFonts w:asciiTheme="majorHAnsi" w:hAnsiTheme="majorHAnsi"/>
                <w:color w:val="000000"/>
                <w:sz w:val="20"/>
              </w:rPr>
              <w:t xml:space="preserve"> color/race criter</w:t>
            </w:r>
            <w:r w:rsidR="00CC22B7">
              <w:rPr>
                <w:rFonts w:asciiTheme="majorHAnsi" w:hAnsiTheme="majorHAnsi"/>
                <w:color w:val="000000"/>
                <w:sz w:val="20"/>
              </w:rPr>
              <w:t>ia</w:t>
            </w:r>
            <w:r>
              <w:rPr>
                <w:rFonts w:asciiTheme="majorHAnsi" w:hAnsiTheme="majorHAnsi"/>
                <w:color w:val="000000"/>
                <w:sz w:val="20"/>
              </w:rPr>
              <w:t xml:space="preserve"> to access higher education courses scholarships.</w:t>
            </w:r>
          </w:p>
        </w:tc>
      </w:tr>
      <w:tr w:rsidR="006E0153" w:rsidRPr="00D20096" w14:paraId="5589323D" w14:textId="77777777" w:rsidTr="14B7E38C">
        <w:trPr>
          <w:trHeight w:val="464"/>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FE55B2" w14:textId="6980390E" w:rsidR="006E0153" w:rsidRPr="00D20096" w:rsidRDefault="006E0153" w:rsidP="00313C1A">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11,340, </w:t>
            </w:r>
            <w:r w:rsidR="00313C1A">
              <w:rPr>
                <w:rFonts w:asciiTheme="majorHAnsi" w:hAnsiTheme="majorHAnsi"/>
                <w:color w:val="000000"/>
                <w:sz w:val="20"/>
              </w:rPr>
              <w:t>of</w:t>
            </w:r>
            <w:r>
              <w:rPr>
                <w:rFonts w:asciiTheme="majorHAnsi" w:hAnsiTheme="majorHAnsi"/>
                <w:color w:val="000000"/>
                <w:sz w:val="20"/>
              </w:rPr>
              <w:t xml:space="preserve"> August 7</w:t>
            </w:r>
            <w:r>
              <w:rPr>
                <w:rFonts w:asciiTheme="majorHAnsi" w:hAnsiTheme="majorHAnsi"/>
                <w:color w:val="000000"/>
                <w:sz w:val="20"/>
                <w:vertAlign w:val="superscript"/>
              </w:rPr>
              <w:t>th</w:t>
            </w:r>
            <w:r>
              <w:rPr>
                <w:rFonts w:asciiTheme="majorHAnsi" w:hAnsiTheme="majorHAnsi"/>
                <w:color w:val="000000"/>
                <w:sz w:val="20"/>
              </w:rPr>
              <w:t xml:space="preserve">, 2006 </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012A79A4" w14:textId="4DFC685D" w:rsidR="006E0153" w:rsidRPr="00D20096" w:rsidRDefault="006E0153" w:rsidP="00EB238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Considers</w:t>
            </w:r>
            <w:r w:rsidR="00EB238F">
              <w:rPr>
                <w:rFonts w:asciiTheme="majorHAnsi" w:hAnsiTheme="majorHAnsi"/>
                <w:color w:val="000000"/>
                <w:sz w:val="20"/>
              </w:rPr>
              <w:t xml:space="preserve"> </w:t>
            </w:r>
            <w:r>
              <w:rPr>
                <w:rFonts w:asciiTheme="majorHAnsi" w:hAnsiTheme="majorHAnsi"/>
                <w:color w:val="000000"/>
                <w:sz w:val="20"/>
              </w:rPr>
              <w:t>gender and race equality policies</w:t>
            </w:r>
            <w:r w:rsidR="00EB238F">
              <w:rPr>
                <w:rFonts w:asciiTheme="majorHAnsi" w:hAnsiTheme="majorHAnsi"/>
                <w:color w:val="000000"/>
                <w:sz w:val="20"/>
              </w:rPr>
              <w:t xml:space="preserve"> as integrated measures</w:t>
            </w:r>
            <w:r>
              <w:rPr>
                <w:rFonts w:asciiTheme="majorHAnsi" w:hAnsiTheme="majorHAnsi"/>
                <w:color w:val="000000"/>
                <w:sz w:val="20"/>
              </w:rPr>
              <w:t xml:space="preserve"> </w:t>
            </w:r>
            <w:r w:rsidR="00EB238F">
              <w:rPr>
                <w:rFonts w:asciiTheme="majorHAnsi" w:hAnsiTheme="majorHAnsi"/>
                <w:color w:val="000000"/>
                <w:sz w:val="20"/>
              </w:rPr>
              <w:t>to</w:t>
            </w:r>
            <w:r>
              <w:rPr>
                <w:rFonts w:asciiTheme="majorHAnsi" w:hAnsiTheme="majorHAnsi"/>
                <w:color w:val="000000"/>
                <w:sz w:val="20"/>
              </w:rPr>
              <w:t xml:space="preserve"> preve</w:t>
            </w:r>
            <w:r w:rsidR="00EB238F">
              <w:rPr>
                <w:rFonts w:asciiTheme="majorHAnsi" w:hAnsiTheme="majorHAnsi"/>
                <w:color w:val="000000"/>
                <w:sz w:val="20"/>
              </w:rPr>
              <w:t>nt</w:t>
            </w:r>
            <w:r>
              <w:rPr>
                <w:rFonts w:asciiTheme="majorHAnsi" w:hAnsiTheme="majorHAnsi"/>
                <w:color w:val="000000"/>
                <w:sz w:val="20"/>
              </w:rPr>
              <w:t xml:space="preserve"> violence against women</w:t>
            </w:r>
          </w:p>
        </w:tc>
      </w:tr>
      <w:tr w:rsidR="006E0153" w:rsidRPr="00D20096" w14:paraId="31FB1987" w14:textId="77777777" w:rsidTr="14B7E38C">
        <w:trPr>
          <w:trHeight w:val="618"/>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B5927B4" w14:textId="673C9525" w:rsidR="006E0153" w:rsidRPr="00D20096" w:rsidRDefault="006E0153" w:rsidP="00313C1A">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11,645, </w:t>
            </w:r>
            <w:r w:rsidR="00313C1A">
              <w:rPr>
                <w:rFonts w:asciiTheme="majorHAnsi" w:hAnsiTheme="majorHAnsi"/>
                <w:color w:val="000000"/>
                <w:sz w:val="20"/>
              </w:rPr>
              <w:t>of</w:t>
            </w:r>
            <w:r w:rsidR="008803FA">
              <w:rPr>
                <w:rFonts w:asciiTheme="majorHAnsi" w:hAnsiTheme="majorHAnsi"/>
                <w:color w:val="000000"/>
                <w:sz w:val="20"/>
              </w:rPr>
              <w:t xml:space="preserve"> </w:t>
            </w:r>
            <w:r>
              <w:rPr>
                <w:rFonts w:asciiTheme="majorHAnsi" w:hAnsiTheme="majorHAnsi"/>
                <w:color w:val="000000"/>
                <w:sz w:val="20"/>
              </w:rPr>
              <w:t>March 10</w:t>
            </w:r>
            <w:r>
              <w:rPr>
                <w:rFonts w:asciiTheme="majorHAnsi" w:hAnsiTheme="majorHAnsi"/>
                <w:color w:val="000000"/>
                <w:sz w:val="20"/>
                <w:vertAlign w:val="superscript"/>
              </w:rPr>
              <w:t>th</w:t>
            </w:r>
            <w:r>
              <w:rPr>
                <w:rFonts w:asciiTheme="majorHAnsi" w:hAnsiTheme="majorHAnsi"/>
                <w:color w:val="000000"/>
                <w:sz w:val="20"/>
              </w:rPr>
              <w:t>, 2009</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7654E5A6" w14:textId="1BEC24B5" w:rsidR="006E0153" w:rsidRPr="00D20096" w:rsidRDefault="006E0153" w:rsidP="009E174D">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Alters Law N. 9,394, </w:t>
            </w:r>
            <w:r w:rsidR="00CC22B7">
              <w:rPr>
                <w:rFonts w:asciiTheme="majorHAnsi" w:hAnsiTheme="majorHAnsi"/>
                <w:color w:val="000000"/>
                <w:sz w:val="20"/>
              </w:rPr>
              <w:t>of</w:t>
            </w:r>
            <w:r>
              <w:rPr>
                <w:rFonts w:asciiTheme="majorHAnsi" w:hAnsiTheme="majorHAnsi"/>
                <w:color w:val="000000"/>
                <w:sz w:val="20"/>
              </w:rPr>
              <w:t xml:space="preserve"> December 20</w:t>
            </w:r>
            <w:r>
              <w:rPr>
                <w:rFonts w:asciiTheme="majorHAnsi" w:hAnsiTheme="majorHAnsi"/>
                <w:color w:val="000000"/>
                <w:sz w:val="20"/>
                <w:vertAlign w:val="superscript"/>
              </w:rPr>
              <w:t>th</w:t>
            </w:r>
            <w:r>
              <w:rPr>
                <w:rFonts w:asciiTheme="majorHAnsi" w:hAnsiTheme="majorHAnsi"/>
                <w:color w:val="000000"/>
                <w:sz w:val="20"/>
              </w:rPr>
              <w:t>, 1996, to include in the</w:t>
            </w:r>
            <w:r w:rsidR="00EB238F">
              <w:rPr>
                <w:rFonts w:asciiTheme="majorHAnsi" w:hAnsiTheme="majorHAnsi"/>
                <w:color w:val="000000"/>
                <w:sz w:val="20"/>
              </w:rPr>
              <w:t xml:space="preserve"> </w:t>
            </w:r>
            <w:r>
              <w:rPr>
                <w:rFonts w:asciiTheme="majorHAnsi" w:hAnsiTheme="majorHAnsi"/>
                <w:color w:val="000000"/>
                <w:sz w:val="20"/>
              </w:rPr>
              <w:t xml:space="preserve">educational </w:t>
            </w:r>
            <w:r w:rsidR="00EB238F">
              <w:rPr>
                <w:rFonts w:asciiTheme="majorHAnsi" w:hAnsiTheme="majorHAnsi"/>
                <w:color w:val="000000"/>
                <w:sz w:val="20"/>
              </w:rPr>
              <w:t>system’s official curriculum</w:t>
            </w:r>
            <w:r>
              <w:rPr>
                <w:rFonts w:asciiTheme="majorHAnsi" w:hAnsiTheme="majorHAnsi"/>
                <w:color w:val="000000"/>
                <w:sz w:val="20"/>
              </w:rPr>
              <w:t xml:space="preserve"> the </w:t>
            </w:r>
            <w:r w:rsidR="006368A4" w:rsidRPr="006368A4">
              <w:rPr>
                <w:rFonts w:asciiTheme="majorHAnsi" w:hAnsiTheme="majorHAnsi"/>
                <w:color w:val="000000"/>
                <w:sz w:val="20"/>
              </w:rPr>
              <w:t xml:space="preserve">theme </w:t>
            </w:r>
            <w:r>
              <w:rPr>
                <w:rFonts w:asciiTheme="majorHAnsi" w:hAnsiTheme="majorHAnsi"/>
                <w:color w:val="000000"/>
                <w:sz w:val="20"/>
              </w:rPr>
              <w:t>“Afro-Brazilian and Indigenous History and Culture”.</w:t>
            </w:r>
          </w:p>
        </w:tc>
      </w:tr>
      <w:tr w:rsidR="006E0153" w:rsidRPr="00D20096" w14:paraId="395A7C9E" w14:textId="77777777" w:rsidTr="14B7E38C">
        <w:trPr>
          <w:trHeight w:val="773"/>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0F0C37" w14:textId="3AB955EC" w:rsidR="006E0153" w:rsidRPr="00D20096" w:rsidRDefault="006E0153" w:rsidP="00313C1A">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12,033, </w:t>
            </w:r>
            <w:r w:rsidR="00313C1A">
              <w:rPr>
                <w:rFonts w:asciiTheme="majorHAnsi" w:hAnsiTheme="majorHAnsi"/>
                <w:color w:val="000000"/>
                <w:sz w:val="20"/>
              </w:rPr>
              <w:t>of</w:t>
            </w:r>
            <w:r w:rsidR="008803FA">
              <w:rPr>
                <w:rFonts w:asciiTheme="majorHAnsi" w:hAnsiTheme="majorHAnsi"/>
                <w:color w:val="000000"/>
                <w:sz w:val="20"/>
              </w:rPr>
              <w:t xml:space="preserve"> </w:t>
            </w:r>
            <w:r>
              <w:rPr>
                <w:rFonts w:asciiTheme="majorHAnsi" w:hAnsiTheme="majorHAnsi"/>
                <w:color w:val="000000"/>
                <w:sz w:val="20"/>
              </w:rPr>
              <w:t>September 29</w:t>
            </w:r>
            <w:r>
              <w:rPr>
                <w:rFonts w:asciiTheme="majorHAnsi" w:hAnsiTheme="majorHAnsi"/>
                <w:color w:val="000000"/>
                <w:sz w:val="20"/>
                <w:vertAlign w:val="superscript"/>
              </w:rPr>
              <w:t>th</w:t>
            </w:r>
            <w:r>
              <w:rPr>
                <w:rFonts w:asciiTheme="majorHAnsi" w:hAnsiTheme="majorHAnsi"/>
                <w:color w:val="000000"/>
                <w:sz w:val="20"/>
              </w:rPr>
              <w:t>, 2009</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215447FD" w14:textId="639D12EE" w:rsidR="006E0153" w:rsidRPr="00D20096" w:rsidRDefault="00D04A35" w:rsidP="009E174D">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Alters</w:t>
            </w:r>
            <w:r w:rsidR="006E0153">
              <w:rPr>
                <w:rFonts w:asciiTheme="majorHAnsi" w:hAnsiTheme="majorHAnsi"/>
                <w:color w:val="000000"/>
                <w:sz w:val="20"/>
              </w:rPr>
              <w:t xml:space="preserve"> the criminal procedures </w:t>
            </w:r>
            <w:r>
              <w:rPr>
                <w:rFonts w:asciiTheme="majorHAnsi" w:hAnsiTheme="majorHAnsi"/>
                <w:color w:val="000000"/>
                <w:sz w:val="20"/>
              </w:rPr>
              <w:t>related to crimes of insulting speech</w:t>
            </w:r>
            <w:r w:rsidR="006E0153">
              <w:rPr>
                <w:rFonts w:asciiTheme="majorHAnsi" w:hAnsiTheme="majorHAnsi"/>
                <w:color w:val="000000"/>
                <w:sz w:val="20"/>
              </w:rPr>
              <w:t xml:space="preserve"> concerning race, color, ethnicity, religion, origin or condition or elderly person or person with disability.</w:t>
            </w:r>
          </w:p>
        </w:tc>
      </w:tr>
      <w:tr w:rsidR="006E0153" w:rsidRPr="00D20096" w14:paraId="3E943448" w14:textId="77777777" w:rsidTr="14B7E38C">
        <w:trPr>
          <w:trHeight w:val="618"/>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6B8CB8" w14:textId="21C0B3BF"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12,288, </w:t>
            </w:r>
            <w:r w:rsidR="008803FA">
              <w:rPr>
                <w:rFonts w:asciiTheme="majorHAnsi" w:hAnsiTheme="majorHAnsi"/>
                <w:color w:val="000000"/>
                <w:sz w:val="20"/>
              </w:rPr>
              <w:t>of</w:t>
            </w:r>
            <w:r>
              <w:rPr>
                <w:rFonts w:asciiTheme="majorHAnsi" w:hAnsiTheme="majorHAnsi"/>
                <w:color w:val="000000"/>
                <w:sz w:val="20"/>
              </w:rPr>
              <w:t xml:space="preserve"> July 20</w:t>
            </w:r>
            <w:r>
              <w:rPr>
                <w:rFonts w:asciiTheme="majorHAnsi" w:hAnsiTheme="majorHAnsi"/>
                <w:color w:val="000000"/>
                <w:sz w:val="20"/>
                <w:vertAlign w:val="superscript"/>
              </w:rPr>
              <w:t>th</w:t>
            </w:r>
            <w:r>
              <w:rPr>
                <w:rFonts w:asciiTheme="majorHAnsi" w:hAnsiTheme="majorHAnsi"/>
                <w:color w:val="000000"/>
                <w:sz w:val="20"/>
              </w:rPr>
              <w:t>, 2010</w:t>
            </w:r>
          </w:p>
        </w:tc>
        <w:tc>
          <w:tcPr>
            <w:tcW w:w="6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3C024815" w14:textId="77777777"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Institutes the Racial Equality Statute</w:t>
            </w:r>
          </w:p>
        </w:tc>
      </w:tr>
      <w:tr w:rsidR="006E0153" w:rsidRPr="00D20096" w14:paraId="29C9539E" w14:textId="77777777" w:rsidTr="14B7E38C">
        <w:trPr>
          <w:trHeight w:val="464"/>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A68226" w14:textId="78BC6A91"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12,519, </w:t>
            </w:r>
            <w:r w:rsidR="008803FA">
              <w:rPr>
                <w:rFonts w:asciiTheme="majorHAnsi" w:hAnsiTheme="majorHAnsi"/>
                <w:color w:val="000000"/>
                <w:sz w:val="20"/>
              </w:rPr>
              <w:t>of</w:t>
            </w:r>
            <w:r>
              <w:rPr>
                <w:rFonts w:asciiTheme="majorHAnsi" w:hAnsiTheme="majorHAnsi"/>
                <w:color w:val="000000"/>
                <w:sz w:val="20"/>
              </w:rPr>
              <w:t xml:space="preserve"> November 10</w:t>
            </w:r>
            <w:r>
              <w:rPr>
                <w:rFonts w:asciiTheme="majorHAnsi" w:hAnsiTheme="majorHAnsi"/>
                <w:color w:val="000000"/>
                <w:sz w:val="20"/>
                <w:vertAlign w:val="superscript"/>
              </w:rPr>
              <w:t>th</w:t>
            </w:r>
            <w:r>
              <w:rPr>
                <w:rFonts w:asciiTheme="majorHAnsi" w:hAnsiTheme="majorHAnsi"/>
                <w:color w:val="000000"/>
                <w:sz w:val="20"/>
              </w:rPr>
              <w:t>, 2011</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4CDBDD65" w14:textId="6F51481D" w:rsidR="006E0153" w:rsidRPr="00D20096" w:rsidRDefault="006E0153" w:rsidP="006368A4">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Establishes the National Day of Zumbi and </w:t>
            </w:r>
            <w:r w:rsidR="006368A4" w:rsidRPr="006368A4">
              <w:rPr>
                <w:rFonts w:asciiTheme="majorHAnsi" w:hAnsiTheme="majorHAnsi"/>
                <w:color w:val="000000"/>
                <w:sz w:val="20"/>
              </w:rPr>
              <w:t>Black Consciousness</w:t>
            </w:r>
            <w:r w:rsidR="006368A4">
              <w:rPr>
                <w:rFonts w:asciiTheme="majorHAnsi" w:hAnsiTheme="majorHAnsi"/>
                <w:color w:val="000000"/>
                <w:sz w:val="20"/>
              </w:rPr>
              <w:t>.</w:t>
            </w:r>
          </w:p>
        </w:tc>
      </w:tr>
      <w:tr w:rsidR="006E0153" w:rsidRPr="00D20096" w14:paraId="0090BD61" w14:textId="77777777" w:rsidTr="14B7E38C">
        <w:trPr>
          <w:trHeight w:val="464"/>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99ABC4" w14:textId="1C488217"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12,711, </w:t>
            </w:r>
            <w:r w:rsidR="008803FA">
              <w:rPr>
                <w:rFonts w:asciiTheme="majorHAnsi" w:hAnsiTheme="majorHAnsi"/>
                <w:color w:val="000000"/>
                <w:sz w:val="20"/>
              </w:rPr>
              <w:t>of</w:t>
            </w:r>
            <w:r>
              <w:rPr>
                <w:rFonts w:asciiTheme="majorHAnsi" w:hAnsiTheme="majorHAnsi"/>
                <w:color w:val="000000"/>
                <w:sz w:val="20"/>
              </w:rPr>
              <w:t xml:space="preserve"> August 29</w:t>
            </w:r>
            <w:r>
              <w:rPr>
                <w:rFonts w:asciiTheme="majorHAnsi" w:hAnsiTheme="majorHAnsi"/>
                <w:color w:val="000000"/>
                <w:sz w:val="20"/>
                <w:vertAlign w:val="superscript"/>
              </w:rPr>
              <w:t>th</w:t>
            </w:r>
            <w:r>
              <w:rPr>
                <w:rFonts w:asciiTheme="majorHAnsi" w:hAnsiTheme="majorHAnsi"/>
                <w:color w:val="000000"/>
                <w:sz w:val="20"/>
              </w:rPr>
              <w:t xml:space="preserve">, 2012 </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415F501A" w14:textId="24B36215" w:rsidR="006E0153" w:rsidRPr="00D20096" w:rsidRDefault="006E0153" w:rsidP="00426306">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University Admission Quota Law; University Quota Law; Social Quota Law (</w:t>
            </w:r>
            <w:r w:rsidR="00426306">
              <w:rPr>
                <w:rFonts w:asciiTheme="majorHAnsi" w:hAnsiTheme="majorHAnsi"/>
                <w:color w:val="000000"/>
                <w:sz w:val="20"/>
              </w:rPr>
              <w:t xml:space="preserve">creates </w:t>
            </w:r>
            <w:r>
              <w:rPr>
                <w:rFonts w:asciiTheme="majorHAnsi" w:hAnsiTheme="majorHAnsi"/>
                <w:color w:val="000000"/>
                <w:sz w:val="20"/>
              </w:rPr>
              <w:t>quotas based on color/race)</w:t>
            </w:r>
            <w:r w:rsidR="00A176BE">
              <w:rPr>
                <w:rFonts w:asciiTheme="majorHAnsi" w:hAnsiTheme="majorHAnsi"/>
                <w:color w:val="000000"/>
                <w:sz w:val="20"/>
              </w:rPr>
              <w:t>.</w:t>
            </w:r>
          </w:p>
        </w:tc>
      </w:tr>
      <w:tr w:rsidR="006E0153" w:rsidRPr="00D20096" w14:paraId="2BDE7B08" w14:textId="77777777" w:rsidTr="14B7E38C">
        <w:trPr>
          <w:trHeight w:val="618"/>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BBDF41A" w14:textId="10C67C2D"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12,796, </w:t>
            </w:r>
            <w:r w:rsidR="008803FA">
              <w:rPr>
                <w:rFonts w:asciiTheme="majorHAnsi" w:hAnsiTheme="majorHAnsi"/>
                <w:color w:val="000000"/>
                <w:sz w:val="20"/>
              </w:rPr>
              <w:t>of</w:t>
            </w:r>
            <w:r>
              <w:rPr>
                <w:rFonts w:asciiTheme="majorHAnsi" w:hAnsiTheme="majorHAnsi"/>
                <w:color w:val="000000"/>
                <w:sz w:val="20"/>
              </w:rPr>
              <w:t xml:space="preserve"> April 4</w:t>
            </w:r>
            <w:r>
              <w:rPr>
                <w:rFonts w:asciiTheme="majorHAnsi" w:hAnsiTheme="majorHAnsi"/>
                <w:color w:val="000000"/>
                <w:sz w:val="20"/>
                <w:vertAlign w:val="superscript"/>
              </w:rPr>
              <w:t>th</w:t>
            </w:r>
            <w:r>
              <w:rPr>
                <w:rFonts w:asciiTheme="majorHAnsi" w:hAnsiTheme="majorHAnsi"/>
                <w:color w:val="000000"/>
                <w:sz w:val="20"/>
              </w:rPr>
              <w:t>, 2013</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514A5652" w14:textId="7CE866B3"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Establishes that teachers</w:t>
            </w:r>
            <w:r w:rsidR="006B4317">
              <w:rPr>
                <w:rFonts w:asciiTheme="majorHAnsi" w:hAnsiTheme="majorHAnsi"/>
                <w:color w:val="000000"/>
                <w:sz w:val="20"/>
              </w:rPr>
              <w:t>’</w:t>
            </w:r>
            <w:r>
              <w:rPr>
                <w:rFonts w:asciiTheme="majorHAnsi" w:hAnsiTheme="majorHAnsi"/>
                <w:color w:val="000000"/>
                <w:sz w:val="20"/>
              </w:rPr>
              <w:t xml:space="preserve"> formation must take into account racial-ethnic diversity.</w:t>
            </w:r>
          </w:p>
        </w:tc>
      </w:tr>
      <w:tr w:rsidR="006E0153" w:rsidRPr="00D20096" w14:paraId="4F8C207B" w14:textId="77777777" w:rsidTr="14B7E38C">
        <w:trPr>
          <w:trHeight w:val="411"/>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22A352" w14:textId="299674D5"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12,852, </w:t>
            </w:r>
            <w:r w:rsidR="008803FA">
              <w:rPr>
                <w:rFonts w:asciiTheme="majorHAnsi" w:hAnsiTheme="majorHAnsi"/>
                <w:color w:val="000000"/>
                <w:sz w:val="20"/>
              </w:rPr>
              <w:t>of</w:t>
            </w:r>
            <w:r>
              <w:rPr>
                <w:rFonts w:asciiTheme="majorHAnsi" w:hAnsiTheme="majorHAnsi"/>
                <w:color w:val="000000"/>
                <w:sz w:val="20"/>
              </w:rPr>
              <w:t xml:space="preserve"> August 5</w:t>
            </w:r>
            <w:r>
              <w:rPr>
                <w:rFonts w:asciiTheme="majorHAnsi" w:hAnsiTheme="majorHAnsi"/>
                <w:color w:val="000000"/>
                <w:sz w:val="20"/>
                <w:vertAlign w:val="superscript"/>
              </w:rPr>
              <w:t>th</w:t>
            </w:r>
            <w:r>
              <w:rPr>
                <w:rFonts w:asciiTheme="majorHAnsi" w:hAnsiTheme="majorHAnsi"/>
                <w:color w:val="000000"/>
                <w:sz w:val="20"/>
              </w:rPr>
              <w:t>, 2013</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78E04A37" w14:textId="714BF8AD" w:rsidR="006E0153" w:rsidRPr="00D20096" w:rsidRDefault="00426306" w:rsidP="003347F4">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Estabilishes</w:t>
            </w:r>
            <w:r w:rsidR="006E0153">
              <w:rPr>
                <w:rFonts w:asciiTheme="majorHAnsi" w:hAnsiTheme="majorHAnsi"/>
                <w:color w:val="000000"/>
                <w:sz w:val="20"/>
              </w:rPr>
              <w:t>, among other measure</w:t>
            </w:r>
            <w:r>
              <w:rPr>
                <w:rFonts w:asciiTheme="majorHAnsi" w:hAnsiTheme="majorHAnsi"/>
                <w:color w:val="000000"/>
                <w:sz w:val="20"/>
              </w:rPr>
              <w:t>s</w:t>
            </w:r>
            <w:r w:rsidR="006E0153">
              <w:rPr>
                <w:rFonts w:asciiTheme="majorHAnsi" w:hAnsiTheme="majorHAnsi"/>
                <w:color w:val="000000"/>
                <w:sz w:val="20"/>
              </w:rPr>
              <w:t>, the right to educational affirmative action</w:t>
            </w:r>
            <w:r w:rsidR="003347F4">
              <w:rPr>
                <w:rFonts w:asciiTheme="majorHAnsi" w:hAnsiTheme="majorHAnsi"/>
                <w:color w:val="000000"/>
                <w:sz w:val="20"/>
              </w:rPr>
              <w:t xml:space="preserve"> policies</w:t>
            </w:r>
            <w:r w:rsidR="006E0153">
              <w:rPr>
                <w:rFonts w:asciiTheme="majorHAnsi" w:hAnsiTheme="majorHAnsi"/>
                <w:color w:val="000000"/>
                <w:sz w:val="20"/>
              </w:rPr>
              <w:t xml:space="preserve"> for black</w:t>
            </w:r>
            <w:r w:rsidR="003347F4">
              <w:rPr>
                <w:rFonts w:asciiTheme="majorHAnsi" w:hAnsiTheme="majorHAnsi"/>
                <w:color w:val="000000"/>
                <w:sz w:val="20"/>
              </w:rPr>
              <w:t xml:space="preserve"> youth</w:t>
            </w:r>
            <w:r w:rsidR="006E0153">
              <w:rPr>
                <w:rFonts w:asciiTheme="majorHAnsi" w:hAnsiTheme="majorHAnsi"/>
                <w:color w:val="000000"/>
                <w:sz w:val="20"/>
              </w:rPr>
              <w:t>.</w:t>
            </w:r>
          </w:p>
        </w:tc>
      </w:tr>
      <w:tr w:rsidR="006E0153" w:rsidRPr="00D20096" w14:paraId="13433F39" w14:textId="77777777" w:rsidTr="14B7E38C">
        <w:trPr>
          <w:trHeight w:val="618"/>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C6FC4E" w14:textId="0A900893"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12,987, </w:t>
            </w:r>
            <w:r w:rsidR="008803FA">
              <w:rPr>
                <w:rFonts w:asciiTheme="majorHAnsi" w:hAnsiTheme="majorHAnsi"/>
                <w:color w:val="000000"/>
                <w:sz w:val="20"/>
              </w:rPr>
              <w:t>of</w:t>
            </w:r>
            <w:r>
              <w:rPr>
                <w:rFonts w:asciiTheme="majorHAnsi" w:hAnsiTheme="majorHAnsi"/>
                <w:color w:val="000000"/>
                <w:sz w:val="20"/>
              </w:rPr>
              <w:t xml:space="preserve"> June 2</w:t>
            </w:r>
            <w:r>
              <w:rPr>
                <w:rFonts w:asciiTheme="majorHAnsi" w:hAnsiTheme="majorHAnsi"/>
                <w:color w:val="000000"/>
                <w:sz w:val="20"/>
                <w:vertAlign w:val="superscript"/>
              </w:rPr>
              <w:t>nd</w:t>
            </w:r>
            <w:r>
              <w:rPr>
                <w:rFonts w:asciiTheme="majorHAnsi" w:hAnsiTheme="majorHAnsi"/>
                <w:color w:val="000000"/>
                <w:sz w:val="20"/>
              </w:rPr>
              <w:t>, 2014</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65CA0C35" w14:textId="77777777"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Establishes the National Tereza de Benguela and Black Women National Day.</w:t>
            </w:r>
          </w:p>
        </w:tc>
      </w:tr>
      <w:tr w:rsidR="006E0153" w:rsidRPr="00D20096" w14:paraId="2BCCA05C" w14:textId="77777777" w:rsidTr="14B7E38C">
        <w:trPr>
          <w:trHeight w:val="350"/>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DD2BC0" w14:textId="52A5AF77"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12,990, </w:t>
            </w:r>
            <w:r w:rsidR="008803FA">
              <w:rPr>
                <w:rFonts w:asciiTheme="majorHAnsi" w:hAnsiTheme="majorHAnsi"/>
                <w:color w:val="000000"/>
                <w:sz w:val="20"/>
              </w:rPr>
              <w:t>of</w:t>
            </w:r>
            <w:r>
              <w:rPr>
                <w:rFonts w:asciiTheme="majorHAnsi" w:hAnsiTheme="majorHAnsi"/>
                <w:color w:val="000000"/>
                <w:sz w:val="20"/>
              </w:rPr>
              <w:t xml:space="preserve"> June 9</w:t>
            </w:r>
            <w:r>
              <w:rPr>
                <w:rFonts w:asciiTheme="majorHAnsi" w:hAnsiTheme="majorHAnsi"/>
                <w:color w:val="000000"/>
                <w:sz w:val="20"/>
                <w:vertAlign w:val="superscript"/>
              </w:rPr>
              <w:t>th</w:t>
            </w:r>
            <w:r>
              <w:rPr>
                <w:rFonts w:asciiTheme="majorHAnsi" w:hAnsiTheme="majorHAnsi"/>
                <w:color w:val="000000"/>
                <w:sz w:val="20"/>
              </w:rPr>
              <w:t>, 2014</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60E42782" w14:textId="278424E7" w:rsidR="006E0153" w:rsidRPr="009E174D" w:rsidRDefault="006E0153" w:rsidP="009E174D">
            <w:pPr>
              <w:spacing w:after="0" w:line="240" w:lineRule="auto"/>
              <w:rPr>
                <w:rFonts w:asciiTheme="majorHAnsi" w:hAnsiTheme="majorHAnsi"/>
                <w:color w:val="000000"/>
                <w:sz w:val="20"/>
              </w:rPr>
            </w:pPr>
            <w:r>
              <w:rPr>
                <w:rFonts w:asciiTheme="majorHAnsi" w:hAnsiTheme="majorHAnsi"/>
                <w:color w:val="000000"/>
                <w:sz w:val="20"/>
              </w:rPr>
              <w:t xml:space="preserve">Public </w:t>
            </w:r>
            <w:r w:rsidR="00305FDC" w:rsidRPr="009E174D">
              <w:rPr>
                <w:rFonts w:asciiTheme="majorHAnsi" w:hAnsiTheme="majorHAnsi"/>
                <w:color w:val="000000"/>
                <w:sz w:val="20"/>
              </w:rPr>
              <w:t>Tender</w:t>
            </w:r>
            <w:r w:rsidRPr="009E174D">
              <w:rPr>
                <w:rFonts w:asciiTheme="majorHAnsi" w:hAnsiTheme="majorHAnsi"/>
                <w:color w:val="000000"/>
                <w:sz w:val="20"/>
              </w:rPr>
              <w:t xml:space="preserve"> </w:t>
            </w:r>
            <w:r>
              <w:rPr>
                <w:rFonts w:asciiTheme="majorHAnsi" w:hAnsiTheme="majorHAnsi"/>
                <w:color w:val="000000"/>
                <w:sz w:val="20"/>
              </w:rPr>
              <w:t>Quota Law; Public Service Quota Law</w:t>
            </w:r>
            <w:r w:rsidR="00426306">
              <w:rPr>
                <w:rFonts w:asciiTheme="majorHAnsi" w:hAnsiTheme="majorHAnsi"/>
                <w:color w:val="000000"/>
                <w:sz w:val="20"/>
              </w:rPr>
              <w:t>.</w:t>
            </w:r>
          </w:p>
        </w:tc>
      </w:tr>
      <w:tr w:rsidR="006E0153" w:rsidRPr="00D20096" w14:paraId="5CB70B53" w14:textId="77777777" w:rsidTr="14B7E38C">
        <w:trPr>
          <w:trHeight w:val="308"/>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30C61B" w14:textId="4C360A2A"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13,488, </w:t>
            </w:r>
            <w:r w:rsidR="008803FA">
              <w:rPr>
                <w:rFonts w:asciiTheme="majorHAnsi" w:hAnsiTheme="majorHAnsi"/>
                <w:color w:val="000000"/>
                <w:sz w:val="20"/>
              </w:rPr>
              <w:t>of</w:t>
            </w:r>
            <w:r>
              <w:rPr>
                <w:rFonts w:asciiTheme="majorHAnsi" w:hAnsiTheme="majorHAnsi"/>
                <w:color w:val="000000"/>
                <w:sz w:val="20"/>
              </w:rPr>
              <w:t xml:space="preserve"> October 6</w:t>
            </w:r>
            <w:r>
              <w:rPr>
                <w:rFonts w:asciiTheme="majorHAnsi" w:hAnsiTheme="majorHAnsi"/>
                <w:color w:val="000000"/>
                <w:sz w:val="20"/>
                <w:vertAlign w:val="superscript"/>
              </w:rPr>
              <w:t>th</w:t>
            </w:r>
            <w:r>
              <w:rPr>
                <w:rFonts w:asciiTheme="majorHAnsi" w:hAnsiTheme="majorHAnsi"/>
                <w:color w:val="000000"/>
                <w:sz w:val="20"/>
              </w:rPr>
              <w:t>, 2017</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3E2CEE19" w14:textId="6475C77E"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Promote</w:t>
            </w:r>
            <w:r w:rsidR="006B4317">
              <w:rPr>
                <w:rFonts w:asciiTheme="majorHAnsi" w:hAnsiTheme="majorHAnsi"/>
                <w:color w:val="000000"/>
                <w:sz w:val="20"/>
              </w:rPr>
              <w:t>s</w:t>
            </w:r>
            <w:r>
              <w:rPr>
                <w:rFonts w:asciiTheme="majorHAnsi" w:hAnsiTheme="majorHAnsi"/>
                <w:color w:val="000000"/>
                <w:sz w:val="20"/>
              </w:rPr>
              <w:t xml:space="preserve"> reform in the electoral political framework </w:t>
            </w:r>
          </w:p>
        </w:tc>
      </w:tr>
      <w:tr w:rsidR="006E0153" w:rsidRPr="00D20096" w14:paraId="679DDC8D" w14:textId="77777777" w:rsidTr="14B7E38C">
        <w:trPr>
          <w:trHeight w:val="1083"/>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3A4B9C" w14:textId="5030D40F"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13,675, </w:t>
            </w:r>
            <w:r w:rsidR="008803FA">
              <w:rPr>
                <w:rFonts w:asciiTheme="majorHAnsi" w:hAnsiTheme="majorHAnsi"/>
                <w:color w:val="000000"/>
                <w:sz w:val="20"/>
              </w:rPr>
              <w:t>of</w:t>
            </w:r>
            <w:r>
              <w:rPr>
                <w:rFonts w:asciiTheme="majorHAnsi" w:hAnsiTheme="majorHAnsi"/>
                <w:color w:val="000000"/>
                <w:sz w:val="20"/>
              </w:rPr>
              <w:t xml:space="preserve"> June 11</w:t>
            </w:r>
            <w:r>
              <w:rPr>
                <w:rFonts w:asciiTheme="majorHAnsi" w:hAnsiTheme="majorHAnsi"/>
                <w:color w:val="000000"/>
                <w:sz w:val="20"/>
                <w:vertAlign w:val="superscript"/>
              </w:rPr>
              <w:t>th</w:t>
            </w:r>
            <w:r>
              <w:rPr>
                <w:rFonts w:asciiTheme="majorHAnsi" w:hAnsiTheme="majorHAnsi"/>
                <w:color w:val="000000"/>
                <w:sz w:val="20"/>
              </w:rPr>
              <w:t>, 2018</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5873A56B" w14:textId="4FC04CF5" w:rsidR="006E0153" w:rsidRPr="009E174D" w:rsidRDefault="00426306" w:rsidP="009E174D">
            <w:pPr>
              <w:spacing w:after="0" w:line="240" w:lineRule="auto"/>
              <w:rPr>
                <w:rFonts w:asciiTheme="majorHAnsi" w:hAnsiTheme="majorHAnsi"/>
                <w:color w:val="000000" w:themeColor="text1"/>
                <w:sz w:val="20"/>
                <w:szCs w:val="20"/>
              </w:rPr>
            </w:pPr>
            <w:r w:rsidRPr="009E174D">
              <w:rPr>
                <w:rFonts w:asciiTheme="majorHAnsi" w:hAnsiTheme="majorHAnsi"/>
                <w:color w:val="000000" w:themeColor="text1"/>
                <w:sz w:val="20"/>
                <w:szCs w:val="20"/>
              </w:rPr>
              <w:t xml:space="preserve">Establishes </w:t>
            </w:r>
            <w:r w:rsidR="006E0153" w:rsidRPr="009E174D">
              <w:rPr>
                <w:rFonts w:asciiTheme="majorHAnsi" w:hAnsiTheme="majorHAnsi"/>
                <w:color w:val="000000" w:themeColor="text1"/>
                <w:sz w:val="20"/>
                <w:szCs w:val="20"/>
              </w:rPr>
              <w:t>as a Public Security National Policy</w:t>
            </w:r>
            <w:r w:rsidR="00FB7879" w:rsidRPr="009E174D">
              <w:rPr>
                <w:rFonts w:asciiTheme="majorHAnsi" w:hAnsiTheme="majorHAnsi"/>
                <w:color w:val="000000" w:themeColor="text1"/>
                <w:sz w:val="20"/>
                <w:szCs w:val="20"/>
              </w:rPr>
              <w:t xml:space="preserve"> goal</w:t>
            </w:r>
            <w:r w:rsidR="006E0153" w:rsidRPr="009E174D">
              <w:rPr>
                <w:rFonts w:asciiTheme="majorHAnsi" w:hAnsiTheme="majorHAnsi"/>
                <w:color w:val="000000" w:themeColor="text1"/>
                <w:sz w:val="20"/>
                <w:szCs w:val="20"/>
              </w:rPr>
              <w:t xml:space="preserve"> to “stimulate and support the implementation of actions</w:t>
            </w:r>
            <w:r w:rsidR="00FB7879" w:rsidRPr="009E174D">
              <w:rPr>
                <w:rFonts w:asciiTheme="majorHAnsi" w:hAnsiTheme="majorHAnsi"/>
                <w:color w:val="000000" w:themeColor="text1"/>
                <w:sz w:val="20"/>
                <w:szCs w:val="20"/>
              </w:rPr>
              <w:t xml:space="preserve"> to prevent violence and criminality</w:t>
            </w:r>
            <w:r w:rsidR="006E0153" w:rsidRPr="009E174D">
              <w:rPr>
                <w:rFonts w:asciiTheme="majorHAnsi" w:hAnsiTheme="majorHAnsi"/>
                <w:color w:val="000000" w:themeColor="text1"/>
                <w:sz w:val="20"/>
                <w:szCs w:val="20"/>
              </w:rPr>
              <w:t xml:space="preserve">, </w:t>
            </w:r>
            <w:r w:rsidRPr="009E174D">
              <w:rPr>
                <w:rFonts w:asciiTheme="majorHAnsi" w:hAnsiTheme="majorHAnsi"/>
                <w:color w:val="000000" w:themeColor="text1"/>
                <w:sz w:val="20"/>
                <w:szCs w:val="20"/>
              </w:rPr>
              <w:t xml:space="preserve">with </w:t>
            </w:r>
            <w:r w:rsidR="006E0153" w:rsidRPr="009E174D">
              <w:rPr>
                <w:rFonts w:asciiTheme="majorHAnsi" w:hAnsiTheme="majorHAnsi"/>
                <w:color w:val="000000" w:themeColor="text1"/>
                <w:sz w:val="20"/>
                <w:szCs w:val="20"/>
              </w:rPr>
              <w:t xml:space="preserve">priority to those </w:t>
            </w:r>
            <w:r w:rsidRPr="009E174D">
              <w:rPr>
                <w:rFonts w:asciiTheme="majorHAnsi" w:hAnsiTheme="majorHAnsi"/>
                <w:color w:val="000000" w:themeColor="text1"/>
                <w:sz w:val="20"/>
                <w:szCs w:val="20"/>
              </w:rPr>
              <w:t>concerning</w:t>
            </w:r>
            <w:r w:rsidR="006E0153" w:rsidRPr="009E174D">
              <w:rPr>
                <w:rFonts w:asciiTheme="majorHAnsi" w:hAnsiTheme="majorHAnsi"/>
                <w:color w:val="000000" w:themeColor="text1"/>
                <w:sz w:val="20"/>
                <w:szCs w:val="20"/>
              </w:rPr>
              <w:t xml:space="preserve"> the </w:t>
            </w:r>
            <w:r w:rsidRPr="009E174D">
              <w:rPr>
                <w:rFonts w:asciiTheme="majorHAnsi" w:hAnsiTheme="majorHAnsi"/>
                <w:color w:val="000000" w:themeColor="text1"/>
                <w:sz w:val="20"/>
                <w:szCs w:val="20"/>
              </w:rPr>
              <w:t xml:space="preserve">death </w:t>
            </w:r>
            <w:r w:rsidR="00DD19A0" w:rsidRPr="009E174D">
              <w:rPr>
                <w:rFonts w:asciiTheme="majorHAnsi" w:hAnsiTheme="majorHAnsi"/>
                <w:color w:val="000000" w:themeColor="text1"/>
                <w:sz w:val="20"/>
                <w:szCs w:val="20"/>
              </w:rPr>
              <w:t xml:space="preserve">of </w:t>
            </w:r>
            <w:r w:rsidR="006E0153" w:rsidRPr="009E174D">
              <w:rPr>
                <w:rFonts w:asciiTheme="majorHAnsi" w:hAnsiTheme="majorHAnsi"/>
                <w:color w:val="000000" w:themeColor="text1"/>
                <w:sz w:val="20"/>
                <w:szCs w:val="20"/>
              </w:rPr>
              <w:t>young black people, wo</w:t>
            </w:r>
            <w:r w:rsidR="009E174D" w:rsidRPr="009E174D">
              <w:rPr>
                <w:rFonts w:asciiTheme="majorHAnsi" w:hAnsiTheme="majorHAnsi"/>
                <w:color w:val="000000" w:themeColor="text1"/>
                <w:sz w:val="20"/>
                <w:szCs w:val="20"/>
              </w:rPr>
              <w:t>men and other vulnerable groups.</w:t>
            </w:r>
          </w:p>
        </w:tc>
      </w:tr>
      <w:tr w:rsidR="006E0153" w:rsidRPr="00D20096" w14:paraId="35D78615" w14:textId="77777777" w:rsidTr="14B7E38C">
        <w:trPr>
          <w:trHeight w:val="618"/>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22EF88" w14:textId="6260ADBF"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14,113, </w:t>
            </w:r>
            <w:r w:rsidR="008803FA">
              <w:rPr>
                <w:rFonts w:asciiTheme="majorHAnsi" w:hAnsiTheme="majorHAnsi"/>
                <w:color w:val="000000"/>
                <w:sz w:val="20"/>
              </w:rPr>
              <w:t>of</w:t>
            </w:r>
            <w:r>
              <w:rPr>
                <w:rFonts w:asciiTheme="majorHAnsi" w:hAnsiTheme="majorHAnsi"/>
                <w:color w:val="000000"/>
                <w:sz w:val="20"/>
              </w:rPr>
              <w:t xml:space="preserve"> December 25</w:t>
            </w:r>
            <w:r>
              <w:rPr>
                <w:rFonts w:asciiTheme="majorHAnsi" w:hAnsiTheme="majorHAnsi"/>
                <w:color w:val="000000"/>
                <w:sz w:val="20"/>
                <w:vertAlign w:val="superscript"/>
              </w:rPr>
              <w:t>th</w:t>
            </w:r>
            <w:r>
              <w:rPr>
                <w:rFonts w:asciiTheme="majorHAnsi" w:hAnsiTheme="majorHAnsi"/>
                <w:color w:val="000000"/>
                <w:sz w:val="20"/>
              </w:rPr>
              <w:t>, 2020</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0D4BF3E0" w14:textId="532D3C30" w:rsidR="006E0153" w:rsidRPr="00D20096" w:rsidRDefault="006E0153"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Regulates the Fund for Mai</w:t>
            </w:r>
            <w:r w:rsidR="502B8EEC" w:rsidRPr="34416ECA">
              <w:rPr>
                <w:rFonts w:asciiTheme="majorHAnsi" w:hAnsiTheme="majorHAnsi"/>
                <w:color w:val="000000" w:themeColor="text1"/>
                <w:sz w:val="20"/>
                <w:szCs w:val="20"/>
              </w:rPr>
              <w:t>ntenance</w:t>
            </w:r>
            <w:r w:rsidRPr="34416ECA">
              <w:rPr>
                <w:rFonts w:asciiTheme="majorHAnsi" w:hAnsiTheme="majorHAnsi"/>
                <w:color w:val="000000" w:themeColor="text1"/>
                <w:sz w:val="20"/>
                <w:szCs w:val="20"/>
              </w:rPr>
              <w:t xml:space="preserve"> and Develop</w:t>
            </w:r>
            <w:r w:rsidR="5AFD44C0" w:rsidRPr="34416ECA">
              <w:rPr>
                <w:rFonts w:asciiTheme="majorHAnsi" w:hAnsiTheme="majorHAnsi"/>
                <w:color w:val="000000" w:themeColor="text1"/>
                <w:sz w:val="20"/>
                <w:szCs w:val="20"/>
              </w:rPr>
              <w:t>ment</w:t>
            </w:r>
            <w:r w:rsidR="00426306">
              <w:rPr>
                <w:rFonts w:asciiTheme="majorHAnsi" w:hAnsiTheme="majorHAnsi"/>
                <w:color w:val="000000" w:themeColor="text1"/>
                <w:sz w:val="20"/>
                <w:szCs w:val="20"/>
              </w:rPr>
              <w:t xml:space="preserve"> of</w:t>
            </w:r>
            <w:r w:rsidRPr="34416ECA">
              <w:rPr>
                <w:rFonts w:asciiTheme="majorHAnsi" w:hAnsiTheme="majorHAnsi"/>
                <w:color w:val="000000" w:themeColor="text1"/>
                <w:sz w:val="20"/>
                <w:szCs w:val="20"/>
              </w:rPr>
              <w:t xml:space="preserve"> Basic Education and Valorization of Education Professionals (Fundeb)</w:t>
            </w:r>
          </w:p>
        </w:tc>
      </w:tr>
      <w:tr w:rsidR="006E0153" w:rsidRPr="00D20096" w14:paraId="475F273F" w14:textId="77777777" w:rsidTr="14B7E38C">
        <w:trPr>
          <w:trHeight w:val="553"/>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3FA5D4" w14:textId="096AE06C"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14,192, </w:t>
            </w:r>
            <w:r w:rsidR="008803FA">
              <w:rPr>
                <w:rFonts w:asciiTheme="majorHAnsi" w:hAnsiTheme="majorHAnsi"/>
                <w:color w:val="000000"/>
                <w:sz w:val="20"/>
              </w:rPr>
              <w:t>of</w:t>
            </w:r>
            <w:r>
              <w:rPr>
                <w:rFonts w:asciiTheme="majorHAnsi" w:hAnsiTheme="majorHAnsi"/>
                <w:color w:val="000000"/>
                <w:sz w:val="20"/>
              </w:rPr>
              <w:t xml:space="preserve"> August 4</w:t>
            </w:r>
            <w:r>
              <w:rPr>
                <w:rFonts w:asciiTheme="majorHAnsi" w:hAnsiTheme="majorHAnsi"/>
                <w:color w:val="000000"/>
                <w:sz w:val="20"/>
                <w:vertAlign w:val="superscript"/>
              </w:rPr>
              <w:t>th</w:t>
            </w:r>
            <w:r>
              <w:rPr>
                <w:rFonts w:asciiTheme="majorHAnsi" w:hAnsiTheme="majorHAnsi"/>
                <w:color w:val="000000"/>
                <w:sz w:val="20"/>
              </w:rPr>
              <w:t>, 2021</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2CC97375" w14:textId="07ED10B0" w:rsidR="006E0153" w:rsidRPr="00D20096" w:rsidRDefault="006E0153"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Establishes regulation to prevent, restrain and combat political violence against women</w:t>
            </w:r>
          </w:p>
        </w:tc>
      </w:tr>
      <w:tr w:rsidR="006E0153" w:rsidRPr="00D20096" w14:paraId="6A8504A4" w14:textId="77777777" w:rsidTr="14B7E38C">
        <w:trPr>
          <w:trHeight w:val="928"/>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716A43" w14:textId="643040AF"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14,197, </w:t>
            </w:r>
            <w:r w:rsidR="008803FA">
              <w:rPr>
                <w:rFonts w:asciiTheme="majorHAnsi" w:hAnsiTheme="majorHAnsi"/>
                <w:color w:val="000000"/>
                <w:sz w:val="20"/>
              </w:rPr>
              <w:t>of</w:t>
            </w:r>
            <w:r>
              <w:rPr>
                <w:rFonts w:asciiTheme="majorHAnsi" w:hAnsiTheme="majorHAnsi"/>
                <w:color w:val="000000"/>
                <w:sz w:val="20"/>
              </w:rPr>
              <w:t xml:space="preserve"> September 1</w:t>
            </w:r>
            <w:r>
              <w:rPr>
                <w:rFonts w:asciiTheme="majorHAnsi" w:hAnsiTheme="majorHAnsi"/>
                <w:color w:val="000000"/>
                <w:sz w:val="20"/>
                <w:vertAlign w:val="superscript"/>
              </w:rPr>
              <w:t>st</w:t>
            </w:r>
            <w:r>
              <w:rPr>
                <w:rFonts w:asciiTheme="majorHAnsi" w:hAnsiTheme="majorHAnsi"/>
                <w:color w:val="000000"/>
                <w:sz w:val="20"/>
              </w:rPr>
              <w:t>, 2021</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22066608" w14:textId="2A2E7548" w:rsidR="006E0153" w:rsidRPr="00D20096" w:rsidRDefault="006E0153"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It defines as crime the conduct of “Restricting, preventing or hindering, by</w:t>
            </w:r>
            <w:r w:rsidR="1415F405" w:rsidRPr="34416ECA">
              <w:rPr>
                <w:rFonts w:asciiTheme="majorHAnsi" w:hAnsiTheme="majorHAnsi"/>
                <w:color w:val="000000" w:themeColor="text1"/>
                <w:sz w:val="20"/>
                <w:szCs w:val="20"/>
              </w:rPr>
              <w:t xml:space="preserve"> using</w:t>
            </w:r>
            <w:r w:rsidRPr="34416ECA">
              <w:rPr>
                <w:rFonts w:asciiTheme="majorHAnsi" w:hAnsiTheme="majorHAnsi"/>
                <w:color w:val="000000" w:themeColor="text1"/>
                <w:sz w:val="20"/>
                <w:szCs w:val="20"/>
              </w:rPr>
              <w:t xml:space="preserve"> physical, sexual or psychological violence, the exercise of political rights to any person for reasons or sex, race, color, ethnicity, religion or national origin”</w:t>
            </w:r>
          </w:p>
        </w:tc>
      </w:tr>
      <w:tr w:rsidR="006E0153" w:rsidRPr="00D20096" w14:paraId="1A288D84" w14:textId="77777777" w:rsidTr="14B7E38C">
        <w:trPr>
          <w:trHeight w:val="522"/>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C0FE937" w14:textId="535620B9"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lastRenderedPageBreak/>
              <w:t xml:space="preserve">Law N. 14,232, </w:t>
            </w:r>
            <w:r w:rsidR="008803FA">
              <w:rPr>
                <w:rFonts w:asciiTheme="majorHAnsi" w:hAnsiTheme="majorHAnsi"/>
                <w:color w:val="000000"/>
                <w:sz w:val="20"/>
              </w:rPr>
              <w:t>of</w:t>
            </w:r>
            <w:r>
              <w:rPr>
                <w:rFonts w:asciiTheme="majorHAnsi" w:hAnsiTheme="majorHAnsi"/>
                <w:color w:val="000000"/>
                <w:sz w:val="20"/>
              </w:rPr>
              <w:t xml:space="preserve"> October 28</w:t>
            </w:r>
            <w:r>
              <w:rPr>
                <w:rFonts w:asciiTheme="majorHAnsi" w:hAnsiTheme="majorHAnsi"/>
                <w:color w:val="000000"/>
                <w:sz w:val="20"/>
                <w:vertAlign w:val="superscript"/>
              </w:rPr>
              <w:t>th</w:t>
            </w:r>
            <w:r>
              <w:rPr>
                <w:rFonts w:asciiTheme="majorHAnsi" w:hAnsiTheme="majorHAnsi"/>
                <w:color w:val="000000"/>
                <w:sz w:val="20"/>
              </w:rPr>
              <w:t>, 2021</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59728A18" w14:textId="77777777" w:rsidR="006E0153" w:rsidRPr="00D20096" w:rsidRDefault="006E0153"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Institutes the National Policy of Data and Information concerning Violence Against Women (PNAINFO)</w:t>
            </w:r>
          </w:p>
        </w:tc>
      </w:tr>
      <w:tr w:rsidR="006E0153" w:rsidRPr="00D20096" w14:paraId="7CDF6754" w14:textId="77777777" w:rsidTr="14B7E38C">
        <w:trPr>
          <w:trHeight w:val="492"/>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C9CFC8" w14:textId="2A3243AF"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14,276, </w:t>
            </w:r>
            <w:r w:rsidR="008803FA">
              <w:rPr>
                <w:rFonts w:asciiTheme="majorHAnsi" w:hAnsiTheme="majorHAnsi"/>
                <w:color w:val="000000"/>
                <w:sz w:val="20"/>
              </w:rPr>
              <w:t>of</w:t>
            </w:r>
            <w:r>
              <w:rPr>
                <w:rFonts w:asciiTheme="majorHAnsi" w:hAnsiTheme="majorHAnsi"/>
                <w:color w:val="000000"/>
                <w:sz w:val="20"/>
              </w:rPr>
              <w:t xml:space="preserve"> December 27</w:t>
            </w:r>
            <w:r>
              <w:rPr>
                <w:rFonts w:asciiTheme="majorHAnsi" w:hAnsiTheme="majorHAnsi"/>
                <w:color w:val="000000"/>
                <w:sz w:val="20"/>
                <w:vertAlign w:val="superscript"/>
              </w:rPr>
              <w:t>th</w:t>
            </w:r>
            <w:r>
              <w:rPr>
                <w:rFonts w:asciiTheme="majorHAnsi" w:hAnsiTheme="majorHAnsi"/>
                <w:color w:val="000000"/>
                <w:sz w:val="20"/>
              </w:rPr>
              <w:t>, 2021</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7934E26D" w14:textId="79F25105" w:rsidR="006E0153" w:rsidRPr="00D20096" w:rsidRDefault="006E0153"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Alters Law N. 14,113, </w:t>
            </w:r>
            <w:r w:rsidR="63F6E27F"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December 25th, 2020, providing indicators to measure learning </w:t>
            </w:r>
            <w:r w:rsidR="61B3B340" w:rsidRPr="34416ECA">
              <w:rPr>
                <w:rFonts w:asciiTheme="majorHAnsi" w:hAnsiTheme="majorHAnsi"/>
                <w:color w:val="000000" w:themeColor="text1"/>
                <w:sz w:val="20"/>
                <w:szCs w:val="20"/>
              </w:rPr>
              <w:t>equity</w:t>
            </w:r>
            <w:r w:rsidRPr="34416ECA">
              <w:rPr>
                <w:rFonts w:asciiTheme="majorHAnsi" w:hAnsiTheme="majorHAnsi"/>
                <w:color w:val="000000" w:themeColor="text1"/>
                <w:sz w:val="20"/>
                <w:szCs w:val="20"/>
              </w:rPr>
              <w:t>, considering racial inequalities.</w:t>
            </w:r>
          </w:p>
        </w:tc>
      </w:tr>
      <w:tr w:rsidR="006E0153" w:rsidRPr="00D20096" w14:paraId="7FB9DF57" w14:textId="77777777" w:rsidTr="14B7E38C">
        <w:trPr>
          <w:trHeight w:val="568"/>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8C0BE9" w14:textId="601B27D9"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14,291, </w:t>
            </w:r>
            <w:r w:rsidR="008803FA">
              <w:rPr>
                <w:rFonts w:asciiTheme="majorHAnsi" w:hAnsiTheme="majorHAnsi"/>
                <w:color w:val="000000"/>
                <w:sz w:val="20"/>
              </w:rPr>
              <w:t>of</w:t>
            </w:r>
            <w:r>
              <w:rPr>
                <w:rFonts w:asciiTheme="majorHAnsi" w:hAnsiTheme="majorHAnsi"/>
                <w:color w:val="000000"/>
                <w:sz w:val="20"/>
              </w:rPr>
              <w:t xml:space="preserve"> January 3</w:t>
            </w:r>
            <w:r>
              <w:rPr>
                <w:rFonts w:asciiTheme="majorHAnsi" w:hAnsiTheme="majorHAnsi"/>
                <w:color w:val="000000"/>
                <w:sz w:val="20"/>
                <w:vertAlign w:val="superscript"/>
              </w:rPr>
              <w:t>rd</w:t>
            </w:r>
            <w:r>
              <w:rPr>
                <w:rFonts w:asciiTheme="majorHAnsi" w:hAnsiTheme="majorHAnsi"/>
                <w:color w:val="000000"/>
                <w:sz w:val="20"/>
              </w:rPr>
              <w:t>, 2022</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14B1B001" w14:textId="0CD49391" w:rsidR="006E0153" w:rsidRPr="00D20096" w:rsidRDefault="006E0153"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Alters Law N. 9,096, </w:t>
            </w:r>
            <w:r w:rsidR="65B1F21D"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September 19</w:t>
            </w:r>
            <w:r w:rsidRPr="34416ECA">
              <w:rPr>
                <w:rFonts w:asciiTheme="majorHAnsi" w:hAnsiTheme="majorHAnsi"/>
                <w:color w:val="000000" w:themeColor="text1"/>
                <w:sz w:val="20"/>
                <w:szCs w:val="20"/>
                <w:vertAlign w:val="superscript"/>
              </w:rPr>
              <w:t>th</w:t>
            </w:r>
            <w:r w:rsidRPr="34416ECA">
              <w:rPr>
                <w:rFonts w:asciiTheme="majorHAnsi" w:hAnsiTheme="majorHAnsi"/>
                <w:color w:val="000000" w:themeColor="text1"/>
                <w:sz w:val="20"/>
                <w:szCs w:val="20"/>
              </w:rPr>
              <w:t>, 1995, promotes and spread women, young and black people political participation.</w:t>
            </w:r>
          </w:p>
        </w:tc>
      </w:tr>
      <w:tr w:rsidR="006E0153" w:rsidRPr="00D20096" w14:paraId="1D43EEDE" w14:textId="77777777" w:rsidTr="14B7E38C">
        <w:trPr>
          <w:trHeight w:val="86"/>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BA09AA" w14:textId="77777777"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12,966/2014</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34117861" w14:textId="77777777"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Includes the protection of honor and dignity of racial, ethnic or religious groups.</w:t>
            </w:r>
          </w:p>
        </w:tc>
      </w:tr>
      <w:tr w:rsidR="006E0153" w:rsidRPr="00D20096" w14:paraId="4C8DB1F0" w14:textId="77777777" w:rsidTr="14B7E38C">
        <w:trPr>
          <w:trHeight w:val="260"/>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2F7504" w14:textId="77777777" w:rsidR="006E0153" w:rsidRPr="00D20096" w:rsidRDefault="006E015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12981/2014</w:t>
            </w:r>
          </w:p>
        </w:tc>
        <w:tc>
          <w:tcPr>
            <w:tcW w:w="652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A90767" w14:textId="50214CBF" w:rsidR="006E0153" w:rsidRPr="00D20096" w:rsidRDefault="38C24014" w:rsidP="14B7E38C">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 xml:space="preserve">Formalizes in the national territory the </w:t>
            </w:r>
            <w:r w:rsidR="2BE5462E" w:rsidRPr="14B7E38C">
              <w:rPr>
                <w:rFonts w:asciiTheme="majorHAnsi" w:hAnsiTheme="majorHAnsi"/>
                <w:color w:val="000000" w:themeColor="text1"/>
                <w:sz w:val="20"/>
                <w:szCs w:val="20"/>
              </w:rPr>
              <w:t>“Hino à Negritude” (</w:t>
            </w:r>
            <w:r w:rsidRPr="14B7E38C">
              <w:rPr>
                <w:rFonts w:asciiTheme="majorHAnsi" w:hAnsiTheme="majorHAnsi"/>
                <w:color w:val="000000" w:themeColor="text1"/>
                <w:sz w:val="20"/>
                <w:szCs w:val="20"/>
              </w:rPr>
              <w:t>Blackness Hymn</w:t>
            </w:r>
            <w:r w:rsidR="64B7943B" w:rsidRPr="14B7E38C">
              <w:rPr>
                <w:rFonts w:asciiTheme="majorHAnsi" w:hAnsiTheme="majorHAnsi"/>
                <w:color w:val="000000" w:themeColor="text1"/>
                <w:sz w:val="20"/>
                <w:szCs w:val="20"/>
              </w:rPr>
              <w:t>)</w:t>
            </w:r>
            <w:r w:rsidRPr="14B7E38C">
              <w:rPr>
                <w:rFonts w:asciiTheme="majorHAnsi" w:hAnsiTheme="majorHAnsi"/>
                <w:color w:val="000000" w:themeColor="text1"/>
                <w:sz w:val="20"/>
                <w:szCs w:val="20"/>
              </w:rPr>
              <w:t>.</w:t>
            </w:r>
          </w:p>
        </w:tc>
      </w:tr>
      <w:tr w:rsidR="00B978ED" w:rsidRPr="00D20096" w14:paraId="2BD5A89E" w14:textId="77777777" w:rsidTr="14B7E38C">
        <w:trPr>
          <w:trHeight w:val="260"/>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6574C8C" w14:textId="522DCC16" w:rsidR="00B978ED" w:rsidRPr="00D20096" w:rsidRDefault="00B978ED"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Decree N. 10,932, </w:t>
            </w:r>
            <w:r w:rsidR="008803FA">
              <w:rPr>
                <w:rFonts w:asciiTheme="majorHAnsi" w:hAnsiTheme="majorHAnsi"/>
                <w:color w:val="000000"/>
                <w:sz w:val="20"/>
              </w:rPr>
              <w:t>of</w:t>
            </w:r>
            <w:r>
              <w:rPr>
                <w:rFonts w:asciiTheme="majorHAnsi" w:hAnsiTheme="majorHAnsi"/>
                <w:color w:val="000000"/>
                <w:sz w:val="20"/>
              </w:rPr>
              <w:t xml:space="preserve"> January 10</w:t>
            </w:r>
            <w:r>
              <w:rPr>
                <w:rFonts w:asciiTheme="majorHAnsi" w:hAnsiTheme="majorHAnsi"/>
                <w:color w:val="000000"/>
                <w:sz w:val="20"/>
                <w:vertAlign w:val="superscript"/>
              </w:rPr>
              <w:t>th</w:t>
            </w:r>
            <w:r>
              <w:rPr>
                <w:rFonts w:asciiTheme="majorHAnsi" w:hAnsiTheme="majorHAnsi"/>
                <w:color w:val="000000"/>
                <w:sz w:val="20"/>
              </w:rPr>
              <w:t>, 2022</w:t>
            </w:r>
          </w:p>
        </w:tc>
        <w:tc>
          <w:tcPr>
            <w:tcW w:w="65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E206529" w14:textId="77777777" w:rsidR="00B978ED" w:rsidRPr="00D20096" w:rsidRDefault="00B978ED"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Enacts the Inter-American Convention against Racism and All Forms of Discrimination and Intolerance.</w:t>
            </w:r>
          </w:p>
        </w:tc>
      </w:tr>
    </w:tbl>
    <w:p w14:paraId="57347855" w14:textId="77777777" w:rsidR="00C64232" w:rsidRPr="00D20096" w:rsidRDefault="00C64232" w:rsidP="00C64232">
      <w:pPr>
        <w:tabs>
          <w:tab w:val="left" w:pos="2880"/>
          <w:tab w:val="center" w:pos="6889"/>
        </w:tabs>
        <w:rPr>
          <w:rFonts w:asciiTheme="majorHAnsi" w:hAnsiTheme="majorHAnsi" w:cstheme="majorHAnsi"/>
          <w:b/>
          <w:bCs/>
          <w:sz w:val="20"/>
          <w:szCs w:val="20"/>
        </w:rPr>
      </w:pPr>
    </w:p>
    <w:tbl>
      <w:tblPr>
        <w:tblStyle w:val="Tabelacomgrade"/>
        <w:tblW w:w="9351" w:type="dxa"/>
        <w:tblLook w:val="04A0" w:firstRow="1" w:lastRow="0" w:firstColumn="1" w:lastColumn="0" w:noHBand="0" w:noVBand="1"/>
      </w:tblPr>
      <w:tblGrid>
        <w:gridCol w:w="9351"/>
      </w:tblGrid>
      <w:tr w:rsidR="00C64232" w:rsidRPr="00D20096" w14:paraId="7C73BB29" w14:textId="77777777" w:rsidTr="00472DE1">
        <w:tc>
          <w:tcPr>
            <w:tcW w:w="9351" w:type="dxa"/>
            <w:shd w:val="clear" w:color="auto" w:fill="A8D08D" w:themeFill="accent6" w:themeFillTint="99"/>
          </w:tcPr>
          <w:p w14:paraId="12F92E59" w14:textId="41FB3A7D" w:rsidR="00C64232" w:rsidRPr="00D20096" w:rsidRDefault="00CF505C" w:rsidP="00D6415F">
            <w:pPr>
              <w:tabs>
                <w:tab w:val="left" w:pos="2880"/>
                <w:tab w:val="center" w:pos="6889"/>
              </w:tabs>
              <w:rPr>
                <w:rFonts w:asciiTheme="majorHAnsi" w:hAnsiTheme="majorHAnsi" w:cstheme="majorHAnsi"/>
                <w:b/>
                <w:bCs/>
                <w:sz w:val="20"/>
                <w:szCs w:val="20"/>
              </w:rPr>
            </w:pPr>
            <w:r>
              <w:rPr>
                <w:rFonts w:asciiTheme="majorHAnsi" w:hAnsiTheme="majorHAnsi"/>
                <w:b/>
                <w:sz w:val="20"/>
              </w:rPr>
              <w:t xml:space="preserve">ANTIDISCRIMINATION </w:t>
            </w:r>
            <w:r w:rsidR="00C64232">
              <w:rPr>
                <w:rFonts w:asciiTheme="majorHAnsi" w:hAnsiTheme="majorHAnsi"/>
                <w:b/>
                <w:sz w:val="20"/>
              </w:rPr>
              <w:t>MEASURES</w:t>
            </w:r>
          </w:p>
        </w:tc>
      </w:tr>
    </w:tbl>
    <w:tbl>
      <w:tblPr>
        <w:tblW w:w="9351" w:type="dxa"/>
        <w:tblCellMar>
          <w:left w:w="70" w:type="dxa"/>
          <w:right w:w="70" w:type="dxa"/>
        </w:tblCellMar>
        <w:tblLook w:val="04A0" w:firstRow="1" w:lastRow="0" w:firstColumn="1" w:lastColumn="0" w:noHBand="0" w:noVBand="1"/>
      </w:tblPr>
      <w:tblGrid>
        <w:gridCol w:w="2830"/>
        <w:gridCol w:w="6521"/>
      </w:tblGrid>
      <w:tr w:rsidR="00C64232" w:rsidRPr="002870D3" w14:paraId="316B4626" w14:textId="77777777" w:rsidTr="00586A83">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EE001E3" w14:textId="77777777" w:rsidR="00C64232" w:rsidRPr="002870D3"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 xml:space="preserve">SEXUAL ORIENTATION </w:t>
            </w:r>
          </w:p>
        </w:tc>
        <w:tc>
          <w:tcPr>
            <w:tcW w:w="6521" w:type="dxa"/>
            <w:tcBorders>
              <w:top w:val="single" w:sz="4" w:space="0" w:color="auto"/>
              <w:left w:val="nil"/>
              <w:bottom w:val="single" w:sz="4" w:space="0" w:color="auto"/>
              <w:right w:val="single" w:sz="4" w:space="0" w:color="auto"/>
            </w:tcBorders>
            <w:shd w:val="clear" w:color="000000" w:fill="C6E0B4"/>
            <w:noWrap/>
            <w:vAlign w:val="bottom"/>
            <w:hideMark/>
          </w:tcPr>
          <w:p w14:paraId="72B5542D" w14:textId="77777777" w:rsidR="00C64232" w:rsidRPr="002870D3"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 </w:t>
            </w:r>
          </w:p>
        </w:tc>
      </w:tr>
      <w:tr w:rsidR="00C64232" w:rsidRPr="002870D3" w14:paraId="1C102421" w14:textId="77777777" w:rsidTr="00472DE1">
        <w:trPr>
          <w:trHeight w:val="2805"/>
        </w:trPr>
        <w:tc>
          <w:tcPr>
            <w:tcW w:w="2830" w:type="dxa"/>
            <w:tcBorders>
              <w:top w:val="nil"/>
              <w:left w:val="single" w:sz="4" w:space="0" w:color="auto"/>
              <w:bottom w:val="single" w:sz="4" w:space="0" w:color="auto"/>
              <w:right w:val="single" w:sz="4" w:space="0" w:color="auto"/>
            </w:tcBorders>
            <w:shd w:val="clear" w:color="000000" w:fill="F2F2F2"/>
            <w:noWrap/>
            <w:vAlign w:val="center"/>
            <w:hideMark/>
          </w:tcPr>
          <w:p w14:paraId="7B6EE6C2" w14:textId="5DFFA6B9" w:rsidR="00C64232" w:rsidRPr="002870D3" w:rsidRDefault="00C64232"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12,343, </w:t>
            </w:r>
            <w:r w:rsidR="008803FA">
              <w:rPr>
                <w:rFonts w:asciiTheme="majorHAnsi" w:hAnsiTheme="majorHAnsi"/>
                <w:color w:val="000000"/>
                <w:sz w:val="20"/>
              </w:rPr>
              <w:t>of</w:t>
            </w:r>
            <w:r>
              <w:rPr>
                <w:rFonts w:asciiTheme="majorHAnsi" w:hAnsiTheme="majorHAnsi"/>
                <w:color w:val="000000"/>
                <w:sz w:val="20"/>
              </w:rPr>
              <w:t xml:space="preserve"> December 2</w:t>
            </w:r>
            <w:r>
              <w:rPr>
                <w:rFonts w:asciiTheme="majorHAnsi" w:hAnsiTheme="majorHAnsi"/>
                <w:color w:val="000000"/>
                <w:sz w:val="20"/>
                <w:vertAlign w:val="superscript"/>
              </w:rPr>
              <w:t>nd</w:t>
            </w:r>
            <w:r>
              <w:rPr>
                <w:rFonts w:asciiTheme="majorHAnsi" w:hAnsiTheme="majorHAnsi"/>
                <w:color w:val="000000"/>
                <w:sz w:val="20"/>
              </w:rPr>
              <w:t>, 2010</w:t>
            </w:r>
          </w:p>
        </w:tc>
        <w:tc>
          <w:tcPr>
            <w:tcW w:w="6521" w:type="dxa"/>
            <w:tcBorders>
              <w:top w:val="nil"/>
              <w:left w:val="nil"/>
              <w:bottom w:val="single" w:sz="4" w:space="0" w:color="auto"/>
              <w:right w:val="single" w:sz="4" w:space="0" w:color="auto"/>
            </w:tcBorders>
            <w:shd w:val="clear" w:color="000000" w:fill="F2F2F2"/>
            <w:vAlign w:val="center"/>
            <w:hideMark/>
          </w:tcPr>
          <w:p w14:paraId="6897A134" w14:textId="66DC38E3" w:rsidR="00C64232" w:rsidRPr="002870D3" w:rsidRDefault="00C64232" w:rsidP="003B306C">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Establishes the National Culture Plane - PNC, creates the National System of Cultural Information and Indicators - SNIIC and makes other provisions. </w:t>
            </w:r>
            <w:r w:rsidR="003B306C">
              <w:rPr>
                <w:rFonts w:asciiTheme="majorHAnsi" w:hAnsiTheme="majorHAnsi"/>
                <w:color w:val="000000"/>
                <w:sz w:val="20"/>
              </w:rPr>
              <w:t xml:space="preserve">Determines </w:t>
            </w:r>
            <w:r>
              <w:rPr>
                <w:rFonts w:asciiTheme="majorHAnsi" w:hAnsiTheme="majorHAnsi"/>
                <w:color w:val="000000"/>
                <w:sz w:val="20"/>
              </w:rPr>
              <w:t xml:space="preserve">as </w:t>
            </w:r>
            <w:r w:rsidR="003B306C">
              <w:rPr>
                <w:rFonts w:asciiTheme="majorHAnsi" w:hAnsiTheme="majorHAnsi"/>
                <w:color w:val="000000"/>
                <w:sz w:val="20"/>
              </w:rPr>
              <w:t>the</w:t>
            </w:r>
            <w:r>
              <w:rPr>
                <w:rFonts w:asciiTheme="majorHAnsi" w:hAnsiTheme="majorHAnsi"/>
                <w:color w:val="000000"/>
                <w:sz w:val="20"/>
              </w:rPr>
              <w:t xml:space="preserve"> plan</w:t>
            </w:r>
            <w:r w:rsidR="003B306C">
              <w:rPr>
                <w:rFonts w:asciiTheme="majorHAnsi" w:hAnsiTheme="majorHAnsi"/>
                <w:color w:val="000000"/>
                <w:sz w:val="20"/>
              </w:rPr>
              <w:t>’s</w:t>
            </w:r>
            <w:r>
              <w:rPr>
                <w:rFonts w:asciiTheme="majorHAnsi" w:hAnsiTheme="majorHAnsi"/>
                <w:color w:val="000000"/>
                <w:sz w:val="20"/>
              </w:rPr>
              <w:t xml:space="preserve"> strategy </w:t>
            </w:r>
            <w:r w:rsidR="003B306C">
              <w:rPr>
                <w:rFonts w:asciiTheme="majorHAnsi" w:hAnsiTheme="majorHAnsi"/>
                <w:color w:val="000000"/>
                <w:sz w:val="20"/>
              </w:rPr>
              <w:t xml:space="preserve">to </w:t>
            </w:r>
            <w:r>
              <w:rPr>
                <w:rFonts w:asciiTheme="majorHAnsi" w:hAnsiTheme="majorHAnsi"/>
                <w:color w:val="000000"/>
                <w:sz w:val="20"/>
              </w:rPr>
              <w:t>“Implement acknowledgment, preservation, fostering and dissemination and cultural expression program from and to the groups that form the Brazilian society, particularly those subject to discrimination and marginalization</w:t>
            </w:r>
            <w:r w:rsidR="003B306C">
              <w:rPr>
                <w:rFonts w:asciiTheme="majorHAnsi" w:hAnsiTheme="majorHAnsi"/>
                <w:color w:val="000000"/>
                <w:sz w:val="20"/>
              </w:rPr>
              <w:t>”</w:t>
            </w:r>
            <w:r>
              <w:rPr>
                <w:rFonts w:asciiTheme="majorHAnsi" w:hAnsiTheme="majorHAnsi"/>
                <w:color w:val="000000"/>
                <w:sz w:val="20"/>
              </w:rPr>
              <w:t>.</w:t>
            </w:r>
          </w:p>
        </w:tc>
      </w:tr>
    </w:tbl>
    <w:p w14:paraId="61B85433" w14:textId="77777777" w:rsidR="00C64232" w:rsidRPr="00D20096" w:rsidRDefault="00C64232" w:rsidP="00C64232">
      <w:pPr>
        <w:tabs>
          <w:tab w:val="left" w:pos="2880"/>
          <w:tab w:val="center" w:pos="6889"/>
        </w:tabs>
        <w:rPr>
          <w:rFonts w:asciiTheme="majorHAnsi" w:hAnsiTheme="majorHAnsi" w:cstheme="majorHAnsi"/>
          <w:b/>
          <w:bCs/>
          <w:sz w:val="20"/>
          <w:szCs w:val="20"/>
        </w:rPr>
      </w:pPr>
    </w:p>
    <w:tbl>
      <w:tblPr>
        <w:tblStyle w:val="Tabelacomgrade"/>
        <w:tblW w:w="9351" w:type="dxa"/>
        <w:tblLook w:val="04A0" w:firstRow="1" w:lastRow="0" w:firstColumn="1" w:lastColumn="0" w:noHBand="0" w:noVBand="1"/>
      </w:tblPr>
      <w:tblGrid>
        <w:gridCol w:w="9351"/>
      </w:tblGrid>
      <w:tr w:rsidR="00C64232" w:rsidRPr="00D20096" w14:paraId="780D012C" w14:textId="77777777" w:rsidTr="00472DE1">
        <w:tc>
          <w:tcPr>
            <w:tcW w:w="9351" w:type="dxa"/>
            <w:shd w:val="clear" w:color="auto" w:fill="A8D08D" w:themeFill="accent6" w:themeFillTint="99"/>
          </w:tcPr>
          <w:p w14:paraId="778302BD" w14:textId="297F4E6F" w:rsidR="00C64232" w:rsidRPr="00D20096" w:rsidRDefault="00CF505C" w:rsidP="00D6415F">
            <w:pPr>
              <w:tabs>
                <w:tab w:val="left" w:pos="2880"/>
                <w:tab w:val="center" w:pos="6889"/>
              </w:tabs>
              <w:ind w:right="-141"/>
              <w:rPr>
                <w:rFonts w:asciiTheme="majorHAnsi" w:hAnsiTheme="majorHAnsi" w:cstheme="majorHAnsi"/>
                <w:b/>
                <w:bCs/>
                <w:sz w:val="20"/>
                <w:szCs w:val="20"/>
              </w:rPr>
            </w:pPr>
            <w:r>
              <w:rPr>
                <w:rFonts w:asciiTheme="majorHAnsi" w:hAnsiTheme="majorHAnsi"/>
                <w:b/>
                <w:sz w:val="20"/>
              </w:rPr>
              <w:t xml:space="preserve">ANTIDISCRIMINATION </w:t>
            </w:r>
            <w:r w:rsidR="00C64232">
              <w:rPr>
                <w:rFonts w:asciiTheme="majorHAnsi" w:hAnsiTheme="majorHAnsi"/>
                <w:b/>
                <w:sz w:val="20"/>
              </w:rPr>
              <w:t>MEASURES</w:t>
            </w:r>
          </w:p>
        </w:tc>
      </w:tr>
    </w:tbl>
    <w:tbl>
      <w:tblPr>
        <w:tblW w:w="9351" w:type="dxa"/>
        <w:tblCellMar>
          <w:left w:w="70" w:type="dxa"/>
          <w:right w:w="70" w:type="dxa"/>
        </w:tblCellMar>
        <w:tblLook w:val="04A0" w:firstRow="1" w:lastRow="0" w:firstColumn="1" w:lastColumn="0" w:noHBand="0" w:noVBand="1"/>
      </w:tblPr>
      <w:tblGrid>
        <w:gridCol w:w="2830"/>
        <w:gridCol w:w="6521"/>
      </w:tblGrid>
      <w:tr w:rsidR="00C64232" w:rsidRPr="005F04B3" w14:paraId="426A8E0C" w14:textId="77777777" w:rsidTr="34416ECA">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C6E0B4"/>
            <w:noWrap/>
            <w:vAlign w:val="bottom"/>
            <w:hideMark/>
          </w:tcPr>
          <w:p w14:paraId="25F2E035" w14:textId="77777777" w:rsidR="00C64232" w:rsidRPr="005F04B3"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INDIGENOUS PEOPLES</w:t>
            </w:r>
          </w:p>
        </w:tc>
        <w:tc>
          <w:tcPr>
            <w:tcW w:w="6521" w:type="dxa"/>
            <w:tcBorders>
              <w:top w:val="single" w:sz="4" w:space="0" w:color="auto"/>
              <w:left w:val="nil"/>
              <w:bottom w:val="single" w:sz="4" w:space="0" w:color="auto"/>
              <w:right w:val="single" w:sz="4" w:space="0" w:color="auto"/>
            </w:tcBorders>
            <w:shd w:val="clear" w:color="auto" w:fill="C6E0B4"/>
            <w:noWrap/>
            <w:vAlign w:val="bottom"/>
            <w:hideMark/>
          </w:tcPr>
          <w:p w14:paraId="71902865" w14:textId="77777777" w:rsidR="00C64232" w:rsidRPr="005F04B3"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 </w:t>
            </w:r>
          </w:p>
        </w:tc>
      </w:tr>
      <w:tr w:rsidR="003A6673" w:rsidRPr="005F04B3" w14:paraId="1CE571D0" w14:textId="77777777" w:rsidTr="34416ECA">
        <w:trPr>
          <w:trHeight w:val="56"/>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DC35F2" w14:textId="77777777" w:rsidR="003A6673" w:rsidRPr="005F04B3" w:rsidRDefault="003A667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11645/2008</w:t>
            </w:r>
          </w:p>
        </w:tc>
        <w:tc>
          <w:tcPr>
            <w:tcW w:w="6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2D0E692B" w14:textId="1490F6EA" w:rsidR="003A6673" w:rsidRPr="005F04B3" w:rsidRDefault="45C11D65"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Alters Law N. 9,394, </w:t>
            </w:r>
            <w:r w:rsidR="44A11B6B"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December 20th, 1996, changed by Law N. 10,639, </w:t>
            </w:r>
            <w:r w:rsidR="79BCAD57"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January 9</w:t>
            </w:r>
            <w:r w:rsidRPr="34416ECA">
              <w:rPr>
                <w:rFonts w:asciiTheme="majorHAnsi" w:hAnsiTheme="majorHAnsi"/>
                <w:color w:val="000000" w:themeColor="text1"/>
                <w:sz w:val="20"/>
                <w:szCs w:val="20"/>
                <w:vertAlign w:val="superscript"/>
              </w:rPr>
              <w:t>th</w:t>
            </w:r>
            <w:r w:rsidRPr="34416ECA">
              <w:rPr>
                <w:rFonts w:asciiTheme="majorHAnsi" w:hAnsiTheme="majorHAnsi"/>
                <w:color w:val="000000" w:themeColor="text1"/>
                <w:sz w:val="20"/>
                <w:szCs w:val="20"/>
              </w:rPr>
              <w:t>, 2003, which establishes the national education guidelines and framework, to include in the education official network curriculum the obligation to address the subject “Afro-Brazilian and Indigenous History and Culture”.</w:t>
            </w:r>
          </w:p>
        </w:tc>
      </w:tr>
      <w:tr w:rsidR="003A6673" w:rsidRPr="005F04B3" w14:paraId="1B24418F" w14:textId="77777777" w:rsidTr="34416ECA">
        <w:trPr>
          <w:trHeight w:val="739"/>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4BEE36" w14:textId="185D1C6B" w:rsidR="003A6673" w:rsidRPr="005F04B3" w:rsidRDefault="003A667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13,123, </w:t>
            </w:r>
            <w:r w:rsidR="008803FA">
              <w:rPr>
                <w:rFonts w:asciiTheme="majorHAnsi" w:hAnsiTheme="majorHAnsi"/>
                <w:color w:val="000000"/>
                <w:sz w:val="20"/>
              </w:rPr>
              <w:t>of</w:t>
            </w:r>
            <w:r>
              <w:rPr>
                <w:rFonts w:asciiTheme="majorHAnsi" w:hAnsiTheme="majorHAnsi"/>
                <w:color w:val="000000"/>
                <w:sz w:val="20"/>
              </w:rPr>
              <w:t xml:space="preserve"> May 20</w:t>
            </w:r>
            <w:r>
              <w:rPr>
                <w:rFonts w:asciiTheme="majorHAnsi" w:hAnsiTheme="majorHAnsi"/>
                <w:color w:val="000000"/>
                <w:sz w:val="20"/>
                <w:vertAlign w:val="superscript"/>
              </w:rPr>
              <w:t>th</w:t>
            </w:r>
            <w:r>
              <w:rPr>
                <w:rFonts w:asciiTheme="majorHAnsi" w:hAnsiTheme="majorHAnsi"/>
                <w:color w:val="000000"/>
                <w:sz w:val="20"/>
              </w:rPr>
              <w:t>, 2015</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60FE698D" w14:textId="7BA6AB16" w:rsidR="003A6673" w:rsidRPr="005F04B3" w:rsidRDefault="003A6673" w:rsidP="003B306C">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Promotes protection of the traditional knowledge associated to the genetic heritage of indigenous </w:t>
            </w:r>
            <w:r w:rsidR="003B306C">
              <w:rPr>
                <w:rFonts w:asciiTheme="majorHAnsi" w:hAnsiTheme="majorHAnsi"/>
                <w:color w:val="000000"/>
                <w:sz w:val="20"/>
              </w:rPr>
              <w:t>peoples</w:t>
            </w:r>
            <w:r>
              <w:rPr>
                <w:rFonts w:asciiTheme="majorHAnsi" w:hAnsiTheme="majorHAnsi"/>
                <w:color w:val="000000"/>
                <w:sz w:val="20"/>
              </w:rPr>
              <w:t>, traditional communities or traditional farmer against illegal use and exploitation.</w:t>
            </w:r>
          </w:p>
        </w:tc>
      </w:tr>
      <w:tr w:rsidR="003A6673" w:rsidRPr="005F04B3" w14:paraId="065E668E" w14:textId="77777777" w:rsidTr="34416ECA">
        <w:trPr>
          <w:trHeight w:val="951"/>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F3BDAD" w14:textId="43FE6799" w:rsidR="003A6673" w:rsidRPr="005F04B3" w:rsidRDefault="003A667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13,901, </w:t>
            </w:r>
            <w:r w:rsidR="008803FA">
              <w:rPr>
                <w:rFonts w:asciiTheme="majorHAnsi" w:hAnsiTheme="majorHAnsi"/>
                <w:color w:val="000000"/>
                <w:sz w:val="20"/>
              </w:rPr>
              <w:t>of</w:t>
            </w:r>
            <w:r>
              <w:rPr>
                <w:rFonts w:asciiTheme="majorHAnsi" w:hAnsiTheme="majorHAnsi"/>
                <w:color w:val="000000"/>
                <w:sz w:val="20"/>
              </w:rPr>
              <w:t xml:space="preserve"> November 11</w:t>
            </w:r>
            <w:r>
              <w:rPr>
                <w:rFonts w:asciiTheme="majorHAnsi" w:hAnsiTheme="majorHAnsi"/>
                <w:color w:val="000000"/>
                <w:sz w:val="20"/>
                <w:vertAlign w:val="superscript"/>
              </w:rPr>
              <w:t>th</w:t>
            </w:r>
            <w:r>
              <w:rPr>
                <w:rFonts w:asciiTheme="majorHAnsi" w:hAnsiTheme="majorHAnsi"/>
                <w:color w:val="000000"/>
                <w:sz w:val="20"/>
              </w:rPr>
              <w:t>, 2019</w:t>
            </w:r>
          </w:p>
        </w:tc>
        <w:tc>
          <w:tcPr>
            <w:tcW w:w="6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19C06E91" w14:textId="7011C3BB" w:rsidR="003A6673" w:rsidRPr="005F04B3" w:rsidRDefault="45C11D65" w:rsidP="00CF505C">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Introduces new wording for Law N. 13,844, </w:t>
            </w:r>
            <w:r w:rsidR="295FBEE0"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June 18th, 2019, providing rights for indigenous people</w:t>
            </w:r>
            <w:r w:rsidR="00CF505C">
              <w:rPr>
                <w:rFonts w:asciiTheme="majorHAnsi" w:hAnsiTheme="majorHAnsi"/>
                <w:color w:val="000000" w:themeColor="text1"/>
                <w:sz w:val="20"/>
                <w:szCs w:val="20"/>
              </w:rPr>
              <w:t>s</w:t>
            </w:r>
            <w:r w:rsidRPr="34416ECA">
              <w:rPr>
                <w:rFonts w:asciiTheme="majorHAnsi" w:hAnsiTheme="majorHAnsi"/>
                <w:color w:val="000000" w:themeColor="text1"/>
                <w:sz w:val="20"/>
                <w:szCs w:val="20"/>
              </w:rPr>
              <w:t xml:space="preserve">, including </w:t>
            </w:r>
            <w:r w:rsidR="00CF505C">
              <w:rPr>
                <w:rFonts w:asciiTheme="majorHAnsi" w:hAnsiTheme="majorHAnsi"/>
                <w:color w:val="000000" w:themeColor="text1"/>
                <w:sz w:val="20"/>
                <w:szCs w:val="20"/>
              </w:rPr>
              <w:t xml:space="preserve">those related to </w:t>
            </w:r>
            <w:r w:rsidRPr="34416ECA">
              <w:rPr>
                <w:rFonts w:asciiTheme="majorHAnsi" w:hAnsiTheme="majorHAnsi"/>
                <w:color w:val="000000" w:themeColor="text1"/>
                <w:sz w:val="20"/>
                <w:szCs w:val="20"/>
              </w:rPr>
              <w:t>monitoring health actions developed on behalf of the indigenous communities.</w:t>
            </w:r>
          </w:p>
        </w:tc>
      </w:tr>
      <w:tr w:rsidR="003A6673" w:rsidRPr="005F04B3" w14:paraId="7DF2AEEC" w14:textId="77777777" w:rsidTr="34416ECA">
        <w:trPr>
          <w:trHeight w:val="733"/>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E90F9B3" w14:textId="748EDF02" w:rsidR="003A6673" w:rsidRPr="005F04B3" w:rsidRDefault="003A667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14,021, </w:t>
            </w:r>
            <w:r w:rsidR="008803FA">
              <w:rPr>
                <w:rFonts w:asciiTheme="majorHAnsi" w:hAnsiTheme="majorHAnsi"/>
                <w:color w:val="000000"/>
                <w:sz w:val="20"/>
              </w:rPr>
              <w:t>of</w:t>
            </w:r>
            <w:r>
              <w:rPr>
                <w:rFonts w:asciiTheme="majorHAnsi" w:hAnsiTheme="majorHAnsi"/>
                <w:color w:val="000000"/>
                <w:sz w:val="20"/>
              </w:rPr>
              <w:t xml:space="preserve"> July 7</w:t>
            </w:r>
            <w:r>
              <w:rPr>
                <w:rFonts w:asciiTheme="majorHAnsi" w:hAnsiTheme="majorHAnsi"/>
                <w:color w:val="000000"/>
                <w:sz w:val="20"/>
                <w:vertAlign w:val="superscript"/>
              </w:rPr>
              <w:t>th</w:t>
            </w:r>
            <w:r>
              <w:rPr>
                <w:rFonts w:asciiTheme="majorHAnsi" w:hAnsiTheme="majorHAnsi"/>
                <w:color w:val="000000"/>
                <w:sz w:val="20"/>
              </w:rPr>
              <w:t>, 2020</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4AC836FF" w14:textId="44405BB2" w:rsidR="003A6673" w:rsidRPr="005F04B3" w:rsidRDefault="003A6673" w:rsidP="00CF505C">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Provides social protection measure</w:t>
            </w:r>
            <w:r w:rsidR="00CF505C">
              <w:rPr>
                <w:rFonts w:asciiTheme="majorHAnsi" w:hAnsiTheme="majorHAnsi"/>
                <w:color w:val="000000"/>
                <w:sz w:val="20"/>
              </w:rPr>
              <w:t>s</w:t>
            </w:r>
            <w:r>
              <w:rPr>
                <w:rFonts w:asciiTheme="majorHAnsi" w:hAnsiTheme="majorHAnsi"/>
                <w:color w:val="000000"/>
                <w:sz w:val="20"/>
              </w:rPr>
              <w:t xml:space="preserve"> for</w:t>
            </w:r>
            <w:r w:rsidR="00CF505C">
              <w:rPr>
                <w:rFonts w:asciiTheme="majorHAnsi" w:hAnsiTheme="majorHAnsi"/>
                <w:color w:val="000000"/>
                <w:sz w:val="20"/>
              </w:rPr>
              <w:t xml:space="preserve"> the prevention of</w:t>
            </w:r>
            <w:r>
              <w:rPr>
                <w:rFonts w:asciiTheme="majorHAnsi" w:hAnsiTheme="majorHAnsi"/>
                <w:color w:val="000000"/>
                <w:sz w:val="20"/>
              </w:rPr>
              <w:t xml:space="preserve"> COVID-19 infection and dissemination in indigenous territories;</w:t>
            </w:r>
          </w:p>
        </w:tc>
      </w:tr>
      <w:tr w:rsidR="003A6673" w:rsidRPr="005F04B3" w14:paraId="7E91D532" w14:textId="77777777" w:rsidTr="34416ECA">
        <w:trPr>
          <w:trHeight w:val="553"/>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2D8F37" w14:textId="740A9A39" w:rsidR="003A6673" w:rsidRPr="005F04B3" w:rsidRDefault="003A667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14,402, </w:t>
            </w:r>
            <w:r w:rsidR="008803FA">
              <w:rPr>
                <w:rFonts w:asciiTheme="majorHAnsi" w:hAnsiTheme="majorHAnsi"/>
                <w:color w:val="000000"/>
                <w:sz w:val="20"/>
              </w:rPr>
              <w:t>of</w:t>
            </w:r>
            <w:r>
              <w:rPr>
                <w:rFonts w:asciiTheme="majorHAnsi" w:hAnsiTheme="majorHAnsi"/>
                <w:color w:val="000000"/>
                <w:sz w:val="20"/>
              </w:rPr>
              <w:t xml:space="preserve"> July 8</w:t>
            </w:r>
            <w:r>
              <w:rPr>
                <w:rFonts w:asciiTheme="majorHAnsi" w:hAnsiTheme="majorHAnsi"/>
                <w:color w:val="000000"/>
                <w:sz w:val="20"/>
                <w:vertAlign w:val="superscript"/>
              </w:rPr>
              <w:t>th</w:t>
            </w:r>
            <w:r>
              <w:rPr>
                <w:rFonts w:asciiTheme="majorHAnsi" w:hAnsiTheme="majorHAnsi"/>
                <w:color w:val="000000"/>
                <w:sz w:val="20"/>
              </w:rPr>
              <w:t>, 2022</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08DC1803" w14:textId="55CB5F63" w:rsidR="003A6673" w:rsidRPr="005F04B3" w:rsidRDefault="45C11D65"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Establishes the Indigenous People</w:t>
            </w:r>
            <w:r w:rsidR="00CF505C">
              <w:rPr>
                <w:rFonts w:asciiTheme="majorHAnsi" w:hAnsiTheme="majorHAnsi"/>
                <w:color w:val="000000" w:themeColor="text1"/>
                <w:sz w:val="20"/>
                <w:szCs w:val="20"/>
              </w:rPr>
              <w:t>s</w:t>
            </w:r>
            <w:r w:rsidRPr="34416ECA">
              <w:rPr>
                <w:rFonts w:asciiTheme="majorHAnsi" w:hAnsiTheme="majorHAnsi"/>
                <w:color w:val="000000" w:themeColor="text1"/>
                <w:sz w:val="20"/>
                <w:szCs w:val="20"/>
              </w:rPr>
              <w:t xml:space="preserve"> Day and revoke Decree-Law N. 5,540, </w:t>
            </w:r>
            <w:r w:rsidR="51D6B58E"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June 2</w:t>
            </w:r>
            <w:r w:rsidRPr="34416ECA">
              <w:rPr>
                <w:rFonts w:asciiTheme="majorHAnsi" w:hAnsiTheme="majorHAnsi"/>
                <w:color w:val="000000" w:themeColor="text1"/>
                <w:sz w:val="20"/>
                <w:szCs w:val="20"/>
                <w:vertAlign w:val="superscript"/>
              </w:rPr>
              <w:t>nd</w:t>
            </w:r>
            <w:r w:rsidRPr="34416ECA">
              <w:rPr>
                <w:rFonts w:asciiTheme="majorHAnsi" w:hAnsiTheme="majorHAnsi"/>
                <w:color w:val="000000" w:themeColor="text1"/>
                <w:sz w:val="20"/>
                <w:szCs w:val="20"/>
              </w:rPr>
              <w:t>, 1943.</w:t>
            </w:r>
          </w:p>
        </w:tc>
      </w:tr>
      <w:tr w:rsidR="003A6673" w:rsidRPr="005F04B3" w14:paraId="662A92F4" w14:textId="77777777" w:rsidTr="34416ECA">
        <w:trPr>
          <w:trHeight w:val="358"/>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ACE284" w14:textId="77777777" w:rsidR="003A6673" w:rsidRPr="005F04B3" w:rsidRDefault="003A667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11696/2008</w:t>
            </w:r>
          </w:p>
        </w:tc>
        <w:tc>
          <w:tcPr>
            <w:tcW w:w="6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727AA576" w14:textId="7E065538" w:rsidR="003A6673" w:rsidRPr="005F04B3" w:rsidRDefault="003A667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Establishes National Day of the Indigenous People</w:t>
            </w:r>
            <w:r w:rsidR="00CF505C">
              <w:rPr>
                <w:rFonts w:asciiTheme="majorHAnsi" w:hAnsiTheme="majorHAnsi"/>
                <w:color w:val="000000"/>
                <w:sz w:val="20"/>
              </w:rPr>
              <w:t>s</w:t>
            </w:r>
            <w:r>
              <w:rPr>
                <w:rFonts w:asciiTheme="majorHAnsi" w:hAnsiTheme="majorHAnsi"/>
                <w:color w:val="000000"/>
                <w:sz w:val="20"/>
              </w:rPr>
              <w:t xml:space="preserve"> Fight.</w:t>
            </w:r>
          </w:p>
        </w:tc>
      </w:tr>
      <w:tr w:rsidR="003A6673" w:rsidRPr="005F04B3" w14:paraId="27BB9878" w14:textId="77777777" w:rsidTr="34416ECA">
        <w:trPr>
          <w:trHeight w:val="917"/>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549AD9" w14:textId="77777777" w:rsidR="003A6673" w:rsidRPr="005F04B3" w:rsidRDefault="003A667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12416/2011</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6AC52223" w14:textId="76173B58" w:rsidR="003A6673" w:rsidRPr="005F04B3" w:rsidRDefault="45C11D65"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Alters Law N. 9,394, </w:t>
            </w:r>
            <w:r w:rsidR="7DCC09B5"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December 20th, 1996 (National Education Guidelines and Framework Law), to rule over higher education provision for indigenous peoples.</w:t>
            </w:r>
          </w:p>
        </w:tc>
      </w:tr>
      <w:tr w:rsidR="00932B0B" w:rsidRPr="005F04B3" w14:paraId="4E027F5F" w14:textId="77777777" w:rsidTr="34416ECA">
        <w:trPr>
          <w:trHeight w:val="917"/>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63AFD7" w14:textId="744C8BC3" w:rsidR="00932B0B" w:rsidRPr="005F04B3" w:rsidRDefault="00932B0B" w:rsidP="00932B0B">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lastRenderedPageBreak/>
              <w:t xml:space="preserve">Decree N. 6,040/2007 </w:t>
            </w:r>
            <w:r w:rsidR="008803FA">
              <w:rPr>
                <w:rFonts w:asciiTheme="majorHAnsi" w:hAnsiTheme="majorHAnsi"/>
                <w:color w:val="000000"/>
                <w:sz w:val="20"/>
              </w:rPr>
              <w:t>of</w:t>
            </w:r>
            <w:r>
              <w:rPr>
                <w:rFonts w:asciiTheme="majorHAnsi" w:hAnsiTheme="majorHAnsi"/>
                <w:color w:val="000000"/>
                <w:sz w:val="20"/>
              </w:rPr>
              <w:t xml:space="preserve"> February 7</w:t>
            </w:r>
            <w:r>
              <w:rPr>
                <w:rFonts w:asciiTheme="majorHAnsi" w:hAnsiTheme="majorHAnsi"/>
                <w:color w:val="000000"/>
                <w:sz w:val="20"/>
                <w:vertAlign w:val="superscript"/>
              </w:rPr>
              <w:t>th</w:t>
            </w:r>
            <w:r>
              <w:rPr>
                <w:rFonts w:asciiTheme="majorHAnsi" w:hAnsiTheme="majorHAnsi"/>
                <w:color w:val="000000"/>
                <w:sz w:val="20"/>
              </w:rPr>
              <w:t>, 2007</w:t>
            </w:r>
          </w:p>
        </w:tc>
        <w:tc>
          <w:tcPr>
            <w:tcW w:w="65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5DD007" w14:textId="4417E0D0" w:rsidR="00932B0B" w:rsidRPr="005F04B3" w:rsidRDefault="00CF505C" w:rsidP="00CF505C">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Establishes </w:t>
            </w:r>
            <w:r w:rsidR="00932B0B">
              <w:rPr>
                <w:rFonts w:asciiTheme="majorHAnsi" w:hAnsiTheme="majorHAnsi"/>
                <w:color w:val="000000"/>
                <w:sz w:val="20"/>
              </w:rPr>
              <w:t>the National Policy</w:t>
            </w:r>
            <w:r>
              <w:rPr>
                <w:rFonts w:asciiTheme="majorHAnsi" w:hAnsiTheme="majorHAnsi"/>
                <w:color w:val="000000"/>
                <w:sz w:val="20"/>
              </w:rPr>
              <w:t xml:space="preserve"> for</w:t>
            </w:r>
            <w:r w:rsidR="00932B0B">
              <w:rPr>
                <w:rFonts w:asciiTheme="majorHAnsi" w:hAnsiTheme="majorHAnsi"/>
                <w:color w:val="000000"/>
                <w:sz w:val="20"/>
              </w:rPr>
              <w:t xml:space="preserve"> </w:t>
            </w:r>
            <w:r>
              <w:rPr>
                <w:rFonts w:asciiTheme="majorHAnsi" w:hAnsiTheme="majorHAnsi"/>
                <w:color w:val="000000"/>
                <w:sz w:val="20"/>
              </w:rPr>
              <w:t xml:space="preserve">Sustainable Development </w:t>
            </w:r>
            <w:r w:rsidR="00932B0B">
              <w:rPr>
                <w:rFonts w:asciiTheme="majorHAnsi" w:hAnsiTheme="majorHAnsi"/>
                <w:color w:val="000000"/>
                <w:sz w:val="20"/>
              </w:rPr>
              <w:t>of Traditional People</w:t>
            </w:r>
            <w:r>
              <w:rPr>
                <w:rFonts w:asciiTheme="majorHAnsi" w:hAnsiTheme="majorHAnsi"/>
                <w:color w:val="000000"/>
                <w:sz w:val="20"/>
              </w:rPr>
              <w:t>s</w:t>
            </w:r>
            <w:r w:rsidR="00932B0B">
              <w:rPr>
                <w:rFonts w:asciiTheme="majorHAnsi" w:hAnsiTheme="majorHAnsi"/>
                <w:color w:val="000000"/>
                <w:sz w:val="20"/>
              </w:rPr>
              <w:t xml:space="preserve"> and Communities.</w:t>
            </w:r>
          </w:p>
        </w:tc>
      </w:tr>
      <w:tr w:rsidR="00932B0B" w:rsidRPr="005F04B3" w14:paraId="404D97EF" w14:textId="77777777" w:rsidTr="34416ECA">
        <w:trPr>
          <w:trHeight w:val="917"/>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50E9A1" w14:textId="631872D0" w:rsidR="00932B0B" w:rsidRPr="005F04B3" w:rsidRDefault="00932B0B" w:rsidP="008803FA">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Decree N. 10,088, </w:t>
            </w:r>
            <w:r w:rsidR="008803FA">
              <w:rPr>
                <w:rFonts w:asciiTheme="majorHAnsi" w:hAnsiTheme="majorHAnsi"/>
                <w:color w:val="000000"/>
                <w:sz w:val="20"/>
              </w:rPr>
              <w:t>of</w:t>
            </w:r>
            <w:r>
              <w:rPr>
                <w:rFonts w:asciiTheme="majorHAnsi" w:hAnsiTheme="majorHAnsi"/>
                <w:color w:val="000000"/>
                <w:sz w:val="20"/>
              </w:rPr>
              <w:t xml:space="preserve"> November 5</w:t>
            </w:r>
            <w:r>
              <w:rPr>
                <w:rFonts w:asciiTheme="majorHAnsi" w:hAnsiTheme="majorHAnsi"/>
                <w:color w:val="000000"/>
                <w:sz w:val="20"/>
                <w:vertAlign w:val="superscript"/>
              </w:rPr>
              <w:t>th</w:t>
            </w:r>
            <w:r>
              <w:rPr>
                <w:rFonts w:asciiTheme="majorHAnsi" w:hAnsiTheme="majorHAnsi"/>
                <w:color w:val="000000"/>
                <w:sz w:val="20"/>
              </w:rPr>
              <w:t>, 2019</w:t>
            </w:r>
          </w:p>
        </w:tc>
        <w:tc>
          <w:tcPr>
            <w:tcW w:w="6521" w:type="dxa"/>
            <w:tcBorders>
              <w:top w:val="nil"/>
              <w:left w:val="nil"/>
              <w:bottom w:val="single" w:sz="4" w:space="0" w:color="auto"/>
              <w:right w:val="single" w:sz="4" w:space="0" w:color="auto"/>
            </w:tcBorders>
            <w:shd w:val="clear" w:color="auto" w:fill="F2F2F2" w:themeFill="background1" w:themeFillShade="F2"/>
            <w:vAlign w:val="center"/>
          </w:tcPr>
          <w:p w14:paraId="5C1F8567" w14:textId="6CEE402C" w:rsidR="00932B0B" w:rsidRPr="005F04B3" w:rsidRDefault="00932B0B" w:rsidP="00CF505C">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Consolidates regulatory acts issued by the Federal Executive </w:t>
            </w:r>
            <w:r w:rsidR="00CF505C">
              <w:rPr>
                <w:rFonts w:asciiTheme="majorHAnsi" w:hAnsiTheme="majorHAnsi"/>
                <w:color w:val="000000"/>
                <w:sz w:val="20"/>
              </w:rPr>
              <w:t>Branch to enact</w:t>
            </w:r>
            <w:r>
              <w:rPr>
                <w:rFonts w:asciiTheme="majorHAnsi" w:hAnsiTheme="majorHAnsi"/>
                <w:color w:val="000000"/>
                <w:sz w:val="20"/>
              </w:rPr>
              <w:t xml:space="preserve"> ILO conventions and recommendations, ratified by the Federative Republic of Brazil.</w:t>
            </w:r>
          </w:p>
        </w:tc>
      </w:tr>
      <w:tr w:rsidR="00932B0B" w:rsidRPr="005F04B3" w14:paraId="3C43F0F1" w14:textId="77777777" w:rsidTr="34416ECA">
        <w:trPr>
          <w:trHeight w:val="917"/>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82F5CA" w14:textId="0B20C2E9" w:rsidR="00932B0B" w:rsidRPr="005F04B3" w:rsidRDefault="00932B0B" w:rsidP="00932B0B">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Decree N. 5,753, </w:t>
            </w:r>
            <w:r w:rsidR="008803FA">
              <w:rPr>
                <w:rFonts w:asciiTheme="majorHAnsi" w:hAnsiTheme="majorHAnsi"/>
                <w:color w:val="000000"/>
                <w:sz w:val="20"/>
              </w:rPr>
              <w:t>of</w:t>
            </w:r>
            <w:r>
              <w:rPr>
                <w:rFonts w:asciiTheme="majorHAnsi" w:hAnsiTheme="majorHAnsi"/>
                <w:color w:val="000000"/>
                <w:sz w:val="20"/>
              </w:rPr>
              <w:t xml:space="preserve"> April 12</w:t>
            </w:r>
            <w:r>
              <w:rPr>
                <w:rFonts w:asciiTheme="majorHAnsi" w:hAnsiTheme="majorHAnsi"/>
                <w:color w:val="000000"/>
                <w:sz w:val="20"/>
                <w:vertAlign w:val="superscript"/>
              </w:rPr>
              <w:t>th</w:t>
            </w:r>
            <w:r>
              <w:rPr>
                <w:rFonts w:asciiTheme="majorHAnsi" w:hAnsiTheme="majorHAnsi"/>
                <w:color w:val="000000"/>
                <w:sz w:val="20"/>
              </w:rPr>
              <w:t>, 2006</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C144F" w14:textId="4A7B9479" w:rsidR="00932B0B" w:rsidRPr="005F04B3" w:rsidRDefault="00932B0B" w:rsidP="00932B0B">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Enacts the Convention for the Safeguarding of the Intangible Cultural Heritage, adopted in Paris, on October 17</w:t>
            </w:r>
            <w:r>
              <w:rPr>
                <w:rFonts w:asciiTheme="majorHAnsi" w:hAnsiTheme="majorHAnsi"/>
                <w:color w:val="000000"/>
                <w:sz w:val="20"/>
                <w:vertAlign w:val="superscript"/>
              </w:rPr>
              <w:t>th</w:t>
            </w:r>
            <w:r>
              <w:rPr>
                <w:rFonts w:asciiTheme="majorHAnsi" w:hAnsiTheme="majorHAnsi"/>
                <w:color w:val="000000"/>
                <w:sz w:val="20"/>
              </w:rPr>
              <w:t>, 2003, and signed on November 3</w:t>
            </w:r>
            <w:r>
              <w:rPr>
                <w:rFonts w:asciiTheme="majorHAnsi" w:hAnsiTheme="majorHAnsi"/>
                <w:color w:val="000000"/>
                <w:sz w:val="20"/>
                <w:vertAlign w:val="superscript"/>
              </w:rPr>
              <w:t>rd</w:t>
            </w:r>
            <w:r>
              <w:rPr>
                <w:rFonts w:asciiTheme="majorHAnsi" w:hAnsiTheme="majorHAnsi"/>
                <w:color w:val="000000"/>
                <w:sz w:val="20"/>
              </w:rPr>
              <w:t>, 2003.</w:t>
            </w:r>
          </w:p>
        </w:tc>
      </w:tr>
      <w:tr w:rsidR="00932B0B" w:rsidRPr="005F04B3" w14:paraId="137BDEB8" w14:textId="77777777" w:rsidTr="34416ECA">
        <w:trPr>
          <w:trHeight w:val="917"/>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7A2542" w14:textId="02E21FEB" w:rsidR="00932B0B" w:rsidRPr="005F04B3" w:rsidRDefault="00932B0B" w:rsidP="008803FA">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Decree N. 6,177, </w:t>
            </w:r>
            <w:r w:rsidR="008803FA">
              <w:rPr>
                <w:rFonts w:asciiTheme="majorHAnsi" w:hAnsiTheme="majorHAnsi"/>
                <w:color w:val="000000"/>
                <w:sz w:val="20"/>
              </w:rPr>
              <w:t>of</w:t>
            </w:r>
            <w:r>
              <w:rPr>
                <w:rFonts w:asciiTheme="majorHAnsi" w:hAnsiTheme="majorHAnsi"/>
                <w:color w:val="000000"/>
                <w:sz w:val="20"/>
              </w:rPr>
              <w:t xml:space="preserve"> August 1</w:t>
            </w:r>
            <w:r>
              <w:rPr>
                <w:rFonts w:asciiTheme="majorHAnsi" w:hAnsiTheme="majorHAnsi"/>
                <w:color w:val="000000"/>
                <w:sz w:val="20"/>
                <w:vertAlign w:val="superscript"/>
              </w:rPr>
              <w:t>st</w:t>
            </w:r>
            <w:r>
              <w:rPr>
                <w:rFonts w:asciiTheme="majorHAnsi" w:hAnsiTheme="majorHAnsi"/>
                <w:color w:val="000000"/>
                <w:sz w:val="20"/>
              </w:rPr>
              <w:t>, 2007</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F41950" w14:textId="533A837D" w:rsidR="00932B0B" w:rsidRPr="005F04B3" w:rsidRDefault="00932B0B" w:rsidP="00932B0B">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Enacts the Convention on the Protection and Promotion of the Diversity of Cultural Expressions, signed in Paris, on October 20</w:t>
            </w:r>
            <w:r>
              <w:rPr>
                <w:rFonts w:asciiTheme="majorHAnsi" w:hAnsiTheme="majorHAnsi"/>
                <w:color w:val="000000"/>
                <w:sz w:val="20"/>
                <w:vertAlign w:val="superscript"/>
              </w:rPr>
              <w:t>th</w:t>
            </w:r>
            <w:r>
              <w:rPr>
                <w:rFonts w:asciiTheme="majorHAnsi" w:hAnsiTheme="majorHAnsi"/>
                <w:color w:val="000000"/>
                <w:sz w:val="20"/>
              </w:rPr>
              <w:t>, 2005.</w:t>
            </w:r>
          </w:p>
        </w:tc>
      </w:tr>
    </w:tbl>
    <w:p w14:paraId="2B71513A" w14:textId="77777777" w:rsidR="00472DE1" w:rsidRPr="00D20096" w:rsidRDefault="00472DE1" w:rsidP="00C64232">
      <w:pPr>
        <w:rPr>
          <w:rFonts w:asciiTheme="majorHAnsi" w:hAnsiTheme="majorHAnsi" w:cstheme="majorHAnsi"/>
          <w:sz w:val="20"/>
          <w:szCs w:val="20"/>
        </w:rPr>
      </w:pPr>
    </w:p>
    <w:tbl>
      <w:tblPr>
        <w:tblStyle w:val="Tabelacomgrade"/>
        <w:tblW w:w="9351" w:type="dxa"/>
        <w:tblLook w:val="04A0" w:firstRow="1" w:lastRow="0" w:firstColumn="1" w:lastColumn="0" w:noHBand="0" w:noVBand="1"/>
      </w:tblPr>
      <w:tblGrid>
        <w:gridCol w:w="9351"/>
      </w:tblGrid>
      <w:tr w:rsidR="00C64232" w:rsidRPr="00D20096" w14:paraId="36101934" w14:textId="77777777" w:rsidTr="00472DE1">
        <w:tc>
          <w:tcPr>
            <w:tcW w:w="9351" w:type="dxa"/>
            <w:shd w:val="clear" w:color="auto" w:fill="A8D08D" w:themeFill="accent6" w:themeFillTint="99"/>
          </w:tcPr>
          <w:p w14:paraId="0AA9FB08" w14:textId="37EF217C" w:rsidR="00C64232" w:rsidRPr="00D20096" w:rsidRDefault="00CF505C" w:rsidP="00D6415F">
            <w:pPr>
              <w:rPr>
                <w:rFonts w:asciiTheme="majorHAnsi" w:hAnsiTheme="majorHAnsi" w:cstheme="majorHAnsi"/>
                <w:sz w:val="20"/>
                <w:szCs w:val="20"/>
              </w:rPr>
            </w:pPr>
            <w:r>
              <w:rPr>
                <w:rFonts w:asciiTheme="majorHAnsi" w:hAnsiTheme="majorHAnsi"/>
                <w:b/>
                <w:sz w:val="20"/>
              </w:rPr>
              <w:t xml:space="preserve">ANTIDISCRIMINATION </w:t>
            </w:r>
            <w:r w:rsidR="00C64232">
              <w:rPr>
                <w:rFonts w:asciiTheme="majorHAnsi" w:hAnsiTheme="majorHAnsi"/>
                <w:b/>
                <w:sz w:val="20"/>
              </w:rPr>
              <w:t>MEASURES</w:t>
            </w:r>
          </w:p>
        </w:tc>
      </w:tr>
    </w:tbl>
    <w:tbl>
      <w:tblPr>
        <w:tblW w:w="9351" w:type="dxa"/>
        <w:tblCellMar>
          <w:left w:w="70" w:type="dxa"/>
          <w:right w:w="70" w:type="dxa"/>
        </w:tblCellMar>
        <w:tblLook w:val="04A0" w:firstRow="1" w:lastRow="0" w:firstColumn="1" w:lastColumn="0" w:noHBand="0" w:noVBand="1"/>
      </w:tblPr>
      <w:tblGrid>
        <w:gridCol w:w="2830"/>
        <w:gridCol w:w="6521"/>
      </w:tblGrid>
      <w:tr w:rsidR="00C64232" w:rsidRPr="00C206EE" w14:paraId="552C30DB" w14:textId="77777777" w:rsidTr="14B7E38C">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C6E0B4"/>
            <w:noWrap/>
            <w:vAlign w:val="bottom"/>
            <w:hideMark/>
          </w:tcPr>
          <w:p w14:paraId="22A3BBAE" w14:textId="77777777" w:rsidR="00C64232" w:rsidRPr="00C206EE"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PEOPLE WITH DISABILITIES</w:t>
            </w:r>
          </w:p>
        </w:tc>
        <w:tc>
          <w:tcPr>
            <w:tcW w:w="6521" w:type="dxa"/>
            <w:tcBorders>
              <w:top w:val="single" w:sz="4" w:space="0" w:color="auto"/>
              <w:left w:val="nil"/>
              <w:bottom w:val="single" w:sz="4" w:space="0" w:color="auto"/>
              <w:right w:val="single" w:sz="4" w:space="0" w:color="auto"/>
            </w:tcBorders>
            <w:shd w:val="clear" w:color="auto" w:fill="C6E0B4"/>
            <w:noWrap/>
            <w:vAlign w:val="bottom"/>
            <w:hideMark/>
          </w:tcPr>
          <w:p w14:paraId="7E63C93D" w14:textId="77777777" w:rsidR="00C64232" w:rsidRPr="00C206EE"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 </w:t>
            </w:r>
          </w:p>
        </w:tc>
      </w:tr>
      <w:tr w:rsidR="00932B0B" w:rsidRPr="00C206EE" w14:paraId="1046128D" w14:textId="77777777" w:rsidTr="14B7E38C">
        <w:trPr>
          <w:trHeight w:val="842"/>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AF41C5" w14:textId="6BE464D8"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Supplementary Law N. 142, </w:t>
            </w:r>
            <w:r w:rsidR="008803FA">
              <w:rPr>
                <w:rFonts w:asciiTheme="majorHAnsi" w:hAnsiTheme="majorHAnsi"/>
                <w:color w:val="000000"/>
                <w:sz w:val="20"/>
              </w:rPr>
              <w:t>of</w:t>
            </w:r>
            <w:r>
              <w:rPr>
                <w:rFonts w:asciiTheme="majorHAnsi" w:hAnsiTheme="majorHAnsi"/>
                <w:color w:val="000000"/>
                <w:sz w:val="20"/>
              </w:rPr>
              <w:t xml:space="preserve"> May 8</w:t>
            </w:r>
            <w:r>
              <w:rPr>
                <w:rFonts w:asciiTheme="majorHAnsi" w:hAnsiTheme="majorHAnsi"/>
                <w:color w:val="000000"/>
                <w:sz w:val="20"/>
                <w:vertAlign w:val="superscript"/>
              </w:rPr>
              <w:t>th</w:t>
            </w:r>
            <w:r>
              <w:rPr>
                <w:rFonts w:asciiTheme="majorHAnsi" w:hAnsiTheme="majorHAnsi"/>
                <w:color w:val="000000"/>
                <w:sz w:val="20"/>
              </w:rPr>
              <w:t>, 2013</w:t>
            </w:r>
          </w:p>
        </w:tc>
        <w:tc>
          <w:tcPr>
            <w:tcW w:w="6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337AFCEE" w14:textId="33FD984C" w:rsidR="00932B0B" w:rsidRPr="00C206EE" w:rsidRDefault="7C127433" w:rsidP="34416ECA">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 xml:space="preserve">Regulates Paragraph 1 </w:t>
            </w:r>
            <w:r w:rsidR="3450C301" w:rsidRPr="14B7E38C">
              <w:rPr>
                <w:rFonts w:asciiTheme="majorHAnsi" w:hAnsiTheme="majorHAnsi"/>
                <w:color w:val="000000" w:themeColor="text1"/>
                <w:sz w:val="20"/>
                <w:szCs w:val="20"/>
              </w:rPr>
              <w:t>of</w:t>
            </w:r>
            <w:r w:rsidRPr="14B7E38C">
              <w:rPr>
                <w:rFonts w:asciiTheme="majorHAnsi" w:hAnsiTheme="majorHAnsi"/>
                <w:color w:val="000000" w:themeColor="text1"/>
                <w:sz w:val="20"/>
                <w:szCs w:val="20"/>
              </w:rPr>
              <w:t xml:space="preserve"> Article 201 of the Federal Constitution, regarding retirement of people with disabilities insured by the General Social </w:t>
            </w:r>
            <w:r w:rsidR="00932B0B" w:rsidRPr="14B7E38C">
              <w:rPr>
                <w:rFonts w:asciiTheme="majorHAnsi" w:hAnsiTheme="majorHAnsi"/>
                <w:color w:val="000000" w:themeColor="text1"/>
                <w:sz w:val="20"/>
                <w:szCs w:val="20"/>
              </w:rPr>
              <w:t>Welfare</w:t>
            </w:r>
            <w:r w:rsidR="006B4317" w:rsidRPr="14B7E38C">
              <w:rPr>
                <w:rFonts w:asciiTheme="majorHAnsi" w:hAnsiTheme="majorHAnsi"/>
                <w:color w:val="000000" w:themeColor="text1"/>
                <w:sz w:val="20"/>
                <w:szCs w:val="20"/>
              </w:rPr>
              <w:t xml:space="preserve"> System</w:t>
            </w:r>
            <w:r w:rsidRPr="14B7E38C">
              <w:rPr>
                <w:rFonts w:asciiTheme="majorHAnsi" w:hAnsiTheme="majorHAnsi"/>
                <w:color w:val="000000" w:themeColor="text1"/>
                <w:sz w:val="20"/>
                <w:szCs w:val="20"/>
              </w:rPr>
              <w:t xml:space="preserve"> (RGPS, in Portuguese)</w:t>
            </w:r>
          </w:p>
        </w:tc>
      </w:tr>
      <w:tr w:rsidR="00932B0B" w:rsidRPr="00C206EE" w14:paraId="52B01B43" w14:textId="77777777" w:rsidTr="14B7E38C">
        <w:trPr>
          <w:trHeight w:val="614"/>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4267C3" w14:textId="458A028D"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11</w:t>
            </w:r>
            <w:r w:rsidR="006B4317">
              <w:rPr>
                <w:rFonts w:asciiTheme="majorHAnsi" w:hAnsiTheme="majorHAnsi"/>
                <w:color w:val="000000"/>
                <w:sz w:val="20"/>
              </w:rPr>
              <w:t>,</w:t>
            </w:r>
            <w:r>
              <w:rPr>
                <w:rFonts w:asciiTheme="majorHAnsi" w:hAnsiTheme="majorHAnsi"/>
                <w:color w:val="000000"/>
                <w:sz w:val="20"/>
              </w:rPr>
              <w:t>096/2005</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6D939B0C" w14:textId="22C86FC2" w:rsidR="00932B0B" w:rsidRPr="00C206EE" w:rsidRDefault="7C127433" w:rsidP="34416ECA">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Introduces the University for All Program - PROUNI, regulates the operation of social assistance charitable organization</w:t>
            </w:r>
            <w:r w:rsidR="00932B0B" w:rsidRPr="14B7E38C">
              <w:rPr>
                <w:rFonts w:asciiTheme="majorHAnsi" w:hAnsiTheme="majorHAnsi"/>
                <w:color w:val="000000" w:themeColor="text1"/>
                <w:sz w:val="20"/>
                <w:szCs w:val="20"/>
              </w:rPr>
              <w:t>s</w:t>
            </w:r>
            <w:r w:rsidRPr="14B7E38C">
              <w:rPr>
                <w:rFonts w:asciiTheme="majorHAnsi" w:hAnsiTheme="majorHAnsi"/>
                <w:color w:val="000000" w:themeColor="text1"/>
                <w:sz w:val="20"/>
                <w:szCs w:val="20"/>
              </w:rPr>
              <w:t xml:space="preserve"> in the higher education; alters Law N. 10,891, </w:t>
            </w:r>
            <w:r w:rsidR="5A77183A" w:rsidRPr="14B7E38C">
              <w:rPr>
                <w:rFonts w:asciiTheme="majorHAnsi" w:hAnsiTheme="majorHAnsi"/>
                <w:color w:val="000000" w:themeColor="text1"/>
                <w:sz w:val="20"/>
                <w:szCs w:val="20"/>
              </w:rPr>
              <w:t>of</w:t>
            </w:r>
            <w:r w:rsidRPr="14B7E38C">
              <w:rPr>
                <w:rFonts w:asciiTheme="majorHAnsi" w:hAnsiTheme="majorHAnsi"/>
                <w:color w:val="000000" w:themeColor="text1"/>
                <w:sz w:val="20"/>
                <w:szCs w:val="20"/>
              </w:rPr>
              <w:t xml:space="preserve"> July 9th, 2004, and gives other provisions.</w:t>
            </w:r>
          </w:p>
        </w:tc>
      </w:tr>
      <w:tr w:rsidR="00932B0B" w:rsidRPr="00C206EE" w14:paraId="61EB6E7E" w14:textId="77777777" w:rsidTr="14B7E38C">
        <w:trPr>
          <w:trHeight w:val="567"/>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12B594" w14:textId="77777777"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11,126/2005</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6DCCB93E" w14:textId="77777777"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Provides over the right of the visually impaired person to enter and remain in collective use facilities accompanied by guide dog. </w:t>
            </w:r>
          </w:p>
        </w:tc>
      </w:tr>
      <w:tr w:rsidR="00932B0B" w:rsidRPr="00C206EE" w14:paraId="3194657D" w14:textId="77777777" w:rsidTr="14B7E38C">
        <w:trPr>
          <w:trHeight w:val="411"/>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FAB210" w14:textId="5A90A58D"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11</w:t>
            </w:r>
            <w:r w:rsidR="006B4317">
              <w:rPr>
                <w:rFonts w:asciiTheme="majorHAnsi" w:hAnsiTheme="majorHAnsi"/>
                <w:color w:val="000000"/>
                <w:sz w:val="20"/>
              </w:rPr>
              <w:t>,</w:t>
            </w:r>
            <w:r>
              <w:rPr>
                <w:rFonts w:asciiTheme="majorHAnsi" w:hAnsiTheme="majorHAnsi"/>
                <w:color w:val="000000"/>
                <w:sz w:val="20"/>
              </w:rPr>
              <w:t>133/2005</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6F8DE4EE" w14:textId="4D48EAFA" w:rsidR="00932B0B" w:rsidRPr="00C206EE" w:rsidRDefault="16BCEA9D" w:rsidP="14B7E38C">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Establishes</w:t>
            </w:r>
            <w:r w:rsidR="009E174D">
              <w:rPr>
                <w:rFonts w:asciiTheme="majorHAnsi" w:hAnsiTheme="majorHAnsi"/>
                <w:color w:val="000000" w:themeColor="text1"/>
                <w:sz w:val="20"/>
                <w:szCs w:val="20"/>
              </w:rPr>
              <w:t xml:space="preserve"> </w:t>
            </w:r>
            <w:r w:rsidR="00932B0B" w:rsidRPr="14B7E38C">
              <w:rPr>
                <w:rFonts w:asciiTheme="majorHAnsi" w:hAnsiTheme="majorHAnsi"/>
                <w:color w:val="000000" w:themeColor="text1"/>
                <w:sz w:val="20"/>
                <w:szCs w:val="20"/>
              </w:rPr>
              <w:t xml:space="preserve">the National Day of People with Disabilities Fight. </w:t>
            </w:r>
          </w:p>
        </w:tc>
      </w:tr>
      <w:tr w:rsidR="00932B0B" w:rsidRPr="00C206EE" w14:paraId="4943AAAE" w14:textId="77777777" w:rsidTr="14B7E38C">
        <w:trPr>
          <w:trHeight w:val="666"/>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063CF6" w14:textId="7A2BF340"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11</w:t>
            </w:r>
            <w:r w:rsidR="006B4317">
              <w:rPr>
                <w:rFonts w:asciiTheme="majorHAnsi" w:hAnsiTheme="majorHAnsi"/>
                <w:color w:val="000000"/>
                <w:sz w:val="20"/>
              </w:rPr>
              <w:t>,</w:t>
            </w:r>
            <w:r>
              <w:rPr>
                <w:rFonts w:asciiTheme="majorHAnsi" w:hAnsiTheme="majorHAnsi"/>
                <w:color w:val="000000"/>
                <w:sz w:val="20"/>
              </w:rPr>
              <w:t>180/2005</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7B5D66F4" w14:textId="56FA8F83" w:rsidR="00932B0B" w:rsidRPr="00C206EE" w:rsidRDefault="7173EB56" w:rsidP="34416ECA">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Establishes</w:t>
            </w:r>
            <w:r w:rsidR="7C127433" w:rsidRPr="14B7E38C">
              <w:rPr>
                <w:rFonts w:asciiTheme="majorHAnsi" w:hAnsiTheme="majorHAnsi"/>
                <w:color w:val="000000" w:themeColor="text1"/>
                <w:sz w:val="20"/>
                <w:szCs w:val="20"/>
              </w:rPr>
              <w:t xml:space="preserve"> the School of Factory Project, authorizing the concession of permanence scholarships to students benefiting from the University for All Program - PROUNI and alters Law N. 5,537, </w:t>
            </w:r>
            <w:r w:rsidR="799E795C" w:rsidRPr="14B7E38C">
              <w:rPr>
                <w:rFonts w:asciiTheme="majorHAnsi" w:hAnsiTheme="majorHAnsi"/>
                <w:color w:val="000000" w:themeColor="text1"/>
                <w:sz w:val="20"/>
                <w:szCs w:val="20"/>
              </w:rPr>
              <w:t>of</w:t>
            </w:r>
            <w:r w:rsidR="7C127433" w:rsidRPr="14B7E38C">
              <w:rPr>
                <w:rFonts w:asciiTheme="majorHAnsi" w:hAnsiTheme="majorHAnsi"/>
                <w:color w:val="000000" w:themeColor="text1"/>
                <w:sz w:val="20"/>
                <w:szCs w:val="20"/>
              </w:rPr>
              <w:t xml:space="preserve"> November 21</w:t>
            </w:r>
            <w:r w:rsidR="7C127433" w:rsidRPr="14B7E38C">
              <w:rPr>
                <w:rFonts w:asciiTheme="majorHAnsi" w:hAnsiTheme="majorHAnsi"/>
                <w:color w:val="000000" w:themeColor="text1"/>
                <w:sz w:val="20"/>
                <w:szCs w:val="20"/>
                <w:vertAlign w:val="superscript"/>
              </w:rPr>
              <w:t>st</w:t>
            </w:r>
            <w:r w:rsidR="7C127433" w:rsidRPr="14B7E38C">
              <w:rPr>
                <w:rFonts w:asciiTheme="majorHAnsi" w:hAnsiTheme="majorHAnsi"/>
                <w:color w:val="000000" w:themeColor="text1"/>
                <w:sz w:val="20"/>
                <w:szCs w:val="20"/>
              </w:rPr>
              <w:t xml:space="preserve">, </w:t>
            </w:r>
            <w:r w:rsidR="006B4317" w:rsidRPr="14B7E38C">
              <w:rPr>
                <w:rFonts w:asciiTheme="majorHAnsi" w:hAnsiTheme="majorHAnsi"/>
                <w:color w:val="000000" w:themeColor="text1"/>
                <w:sz w:val="20"/>
                <w:szCs w:val="20"/>
              </w:rPr>
              <w:t>1968,</w:t>
            </w:r>
            <w:r w:rsidR="7C127433" w:rsidRPr="14B7E38C">
              <w:rPr>
                <w:rFonts w:asciiTheme="majorHAnsi" w:hAnsiTheme="majorHAnsi"/>
                <w:color w:val="000000" w:themeColor="text1"/>
                <w:sz w:val="20"/>
                <w:szCs w:val="20"/>
              </w:rPr>
              <w:t xml:space="preserve"> and the Consolidation of Labor Laws - CLT</w:t>
            </w:r>
          </w:p>
        </w:tc>
      </w:tr>
      <w:tr w:rsidR="00932B0B" w:rsidRPr="00C206EE" w14:paraId="1BFFFFC0" w14:textId="77777777" w:rsidTr="14B7E38C">
        <w:trPr>
          <w:trHeight w:val="1104"/>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F7C1C8" w14:textId="031FE713"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11</w:t>
            </w:r>
            <w:r w:rsidR="006B4317">
              <w:rPr>
                <w:rFonts w:asciiTheme="majorHAnsi" w:hAnsiTheme="majorHAnsi"/>
                <w:color w:val="000000"/>
                <w:sz w:val="20"/>
              </w:rPr>
              <w:t>,</w:t>
            </w:r>
            <w:r>
              <w:rPr>
                <w:rFonts w:asciiTheme="majorHAnsi" w:hAnsiTheme="majorHAnsi"/>
                <w:color w:val="000000"/>
                <w:sz w:val="20"/>
              </w:rPr>
              <w:t>982/2009</w:t>
            </w:r>
          </w:p>
        </w:tc>
        <w:tc>
          <w:tcPr>
            <w:tcW w:w="6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12D1F711" w14:textId="3E45B179" w:rsidR="00932B0B" w:rsidRPr="00C206EE" w:rsidRDefault="7C127433" w:rsidP="00CF505C">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Adds paragraph to Law N. 10,098, </w:t>
            </w:r>
            <w:r w:rsidR="16174FF2"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December 19</w:t>
            </w:r>
            <w:r w:rsidRPr="34416ECA">
              <w:rPr>
                <w:rFonts w:asciiTheme="majorHAnsi" w:hAnsiTheme="majorHAnsi"/>
                <w:color w:val="000000" w:themeColor="text1"/>
                <w:sz w:val="20"/>
                <w:szCs w:val="20"/>
                <w:vertAlign w:val="superscript"/>
              </w:rPr>
              <w:t>th</w:t>
            </w:r>
            <w:r w:rsidRPr="34416ECA">
              <w:rPr>
                <w:rFonts w:asciiTheme="majorHAnsi" w:hAnsiTheme="majorHAnsi"/>
                <w:color w:val="000000" w:themeColor="text1"/>
                <w:sz w:val="20"/>
                <w:szCs w:val="20"/>
              </w:rPr>
              <w:t>, 2000, to determine the adaptation of part of attractions and equipment from amusement parks to people with disability or with reduced mobility.</w:t>
            </w:r>
          </w:p>
        </w:tc>
      </w:tr>
      <w:tr w:rsidR="00932B0B" w:rsidRPr="00C206EE" w14:paraId="29E9E6A7" w14:textId="77777777" w:rsidTr="14B7E38C">
        <w:trPr>
          <w:trHeight w:val="707"/>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03218C" w14:textId="79F06B16"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12</w:t>
            </w:r>
            <w:r w:rsidR="006B4317">
              <w:rPr>
                <w:rFonts w:asciiTheme="majorHAnsi" w:hAnsiTheme="majorHAnsi"/>
                <w:color w:val="000000"/>
                <w:sz w:val="20"/>
              </w:rPr>
              <w:t>,</w:t>
            </w:r>
            <w:r>
              <w:rPr>
                <w:rFonts w:asciiTheme="majorHAnsi" w:hAnsiTheme="majorHAnsi"/>
                <w:color w:val="000000"/>
                <w:sz w:val="20"/>
              </w:rPr>
              <w:t>764/2012</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5E2AC58F" w14:textId="12B634F1" w:rsidR="00932B0B" w:rsidRPr="00C206EE" w:rsidRDefault="7C127433"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Establishes the National Policy of Protection of the Rights of the Person with Autism Spectrum Disorder; and alters Paragraph 3 of Article 98 from Law N. 8,112, </w:t>
            </w:r>
            <w:r w:rsidR="49DEB32D"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December 11</w:t>
            </w:r>
            <w:r w:rsidRPr="34416ECA">
              <w:rPr>
                <w:rFonts w:asciiTheme="majorHAnsi" w:hAnsiTheme="majorHAnsi"/>
                <w:color w:val="000000" w:themeColor="text1"/>
                <w:sz w:val="20"/>
                <w:szCs w:val="20"/>
                <w:vertAlign w:val="superscript"/>
              </w:rPr>
              <w:t>th</w:t>
            </w:r>
            <w:r w:rsidRPr="34416ECA">
              <w:rPr>
                <w:rFonts w:asciiTheme="majorHAnsi" w:hAnsiTheme="majorHAnsi"/>
                <w:color w:val="000000" w:themeColor="text1"/>
                <w:sz w:val="20"/>
                <w:szCs w:val="20"/>
              </w:rPr>
              <w:t xml:space="preserve">,1990. </w:t>
            </w:r>
          </w:p>
        </w:tc>
      </w:tr>
      <w:tr w:rsidR="00932B0B" w:rsidRPr="00C206EE" w14:paraId="61C03D0E" w14:textId="77777777" w:rsidTr="14B7E38C">
        <w:trPr>
          <w:trHeight w:val="819"/>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D425722" w14:textId="77777777"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12955/2014</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45156B40" w14:textId="4002B405" w:rsidR="00932B0B" w:rsidRPr="00C206EE" w:rsidRDefault="7C127433"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Introduces Paragraph 9 to Article 47 </w:t>
            </w:r>
            <w:r w:rsidR="3480FD27" w:rsidRPr="34416ECA">
              <w:rPr>
                <w:rFonts w:asciiTheme="majorHAnsi" w:hAnsiTheme="majorHAnsi"/>
                <w:color w:val="000000" w:themeColor="text1"/>
                <w:sz w:val="20"/>
                <w:szCs w:val="20"/>
              </w:rPr>
              <w:t>from</w:t>
            </w:r>
            <w:r w:rsidRPr="34416ECA">
              <w:rPr>
                <w:rFonts w:asciiTheme="majorHAnsi" w:hAnsiTheme="majorHAnsi"/>
                <w:color w:val="000000" w:themeColor="text1"/>
                <w:sz w:val="20"/>
                <w:szCs w:val="20"/>
              </w:rPr>
              <w:t xml:space="preserve"> Law N. 8,069, </w:t>
            </w:r>
            <w:r w:rsidR="0A8E04AA"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July 13th, 1990, in order to establish priority to the adoption procedures in which the adopted person is a child or adolescent with disability or chronic condition.</w:t>
            </w:r>
          </w:p>
        </w:tc>
      </w:tr>
      <w:tr w:rsidR="00932B0B" w:rsidRPr="00C206EE" w14:paraId="4EBE308C" w14:textId="77777777" w:rsidTr="14B7E38C">
        <w:trPr>
          <w:trHeight w:val="542"/>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F334E1" w14:textId="77777777"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13146/2015</w:t>
            </w:r>
          </w:p>
        </w:tc>
        <w:tc>
          <w:tcPr>
            <w:tcW w:w="6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5B4059B4" w14:textId="77777777"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Established the Brazilian Law of People with Disabilities Inclusion (Statute of the Person with Disability).</w:t>
            </w:r>
          </w:p>
        </w:tc>
      </w:tr>
      <w:tr w:rsidR="00932B0B" w:rsidRPr="00C206EE" w14:paraId="4A09E342" w14:textId="77777777" w:rsidTr="14B7E38C">
        <w:trPr>
          <w:trHeight w:val="194"/>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5942BF" w14:textId="77777777"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13472/2017</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08629C11" w14:textId="77777777"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Institutes the National Day of Combating Prejudice against People with Dwarfism.</w:t>
            </w:r>
          </w:p>
        </w:tc>
      </w:tr>
      <w:tr w:rsidR="00932B0B" w:rsidRPr="00C206EE" w14:paraId="25BB373B" w14:textId="77777777" w:rsidTr="14B7E38C">
        <w:trPr>
          <w:trHeight w:val="594"/>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86045D2" w14:textId="77777777"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 13585/2017</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20638A3E" w14:textId="6CA84F68" w:rsidR="00932B0B" w:rsidRPr="00C206EE" w:rsidRDefault="00932B0B"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Institutes the National Week of the Person with </w:t>
            </w:r>
            <w:r w:rsidR="006B4317">
              <w:rPr>
                <w:rFonts w:asciiTheme="majorHAnsi" w:hAnsiTheme="majorHAnsi"/>
                <w:color w:val="000000"/>
                <w:sz w:val="20"/>
              </w:rPr>
              <w:t>Intellectual</w:t>
            </w:r>
            <w:r>
              <w:rPr>
                <w:rFonts w:asciiTheme="majorHAnsi" w:hAnsiTheme="majorHAnsi"/>
                <w:color w:val="000000"/>
                <w:sz w:val="20"/>
              </w:rPr>
              <w:t xml:space="preserve"> and Multiple Disability.</w:t>
            </w:r>
          </w:p>
        </w:tc>
      </w:tr>
      <w:tr w:rsidR="00197B7E" w:rsidRPr="00C206EE" w14:paraId="319A768F" w14:textId="77777777" w:rsidTr="14B7E38C">
        <w:trPr>
          <w:trHeight w:val="594"/>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E5C5F32" w14:textId="3E809218" w:rsidR="00197B7E" w:rsidRPr="00C206EE" w:rsidRDefault="00197B7E" w:rsidP="00197B7E">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Legislative Decree N. 186/2008</w:t>
            </w:r>
          </w:p>
        </w:tc>
        <w:tc>
          <w:tcPr>
            <w:tcW w:w="6521" w:type="dxa"/>
            <w:tcBorders>
              <w:top w:val="nil"/>
              <w:left w:val="nil"/>
              <w:bottom w:val="single" w:sz="4" w:space="0" w:color="auto"/>
              <w:right w:val="single" w:sz="4" w:space="0" w:color="auto"/>
            </w:tcBorders>
            <w:shd w:val="clear" w:color="auto" w:fill="F2F2F2" w:themeFill="background1" w:themeFillShade="F2"/>
            <w:vAlign w:val="center"/>
          </w:tcPr>
          <w:p w14:paraId="68BCE497" w14:textId="657189AB" w:rsidR="00197B7E" w:rsidRPr="00C206EE" w:rsidRDefault="00197B7E" w:rsidP="00197B7E">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Approves the Convention on the Rights of Persons with Disabilities text and its Optional Protocol, signed in New York, on March 30</w:t>
            </w:r>
            <w:r>
              <w:rPr>
                <w:rFonts w:asciiTheme="majorHAnsi" w:hAnsiTheme="majorHAnsi"/>
                <w:color w:val="000000"/>
                <w:sz w:val="20"/>
                <w:vertAlign w:val="superscript"/>
              </w:rPr>
              <w:t>th</w:t>
            </w:r>
            <w:r>
              <w:rPr>
                <w:rFonts w:asciiTheme="majorHAnsi" w:hAnsiTheme="majorHAnsi"/>
                <w:color w:val="000000"/>
                <w:sz w:val="20"/>
              </w:rPr>
              <w:t>, 2007.</w:t>
            </w:r>
          </w:p>
        </w:tc>
      </w:tr>
      <w:tr w:rsidR="00197B7E" w:rsidRPr="00C206EE" w14:paraId="223DFA76" w14:textId="77777777" w:rsidTr="14B7E38C">
        <w:trPr>
          <w:trHeight w:val="1314"/>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A428995" w14:textId="77777777" w:rsidR="00197B7E" w:rsidRPr="00C206EE" w:rsidRDefault="00197B7E" w:rsidP="00197B7E">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lastRenderedPageBreak/>
              <w:t>Chamber of Deputies Resolution 1/2015</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05A4E6FC" w14:textId="0C8E57BC" w:rsidR="00197B7E" w:rsidRPr="00C206EE" w:rsidRDefault="00197B7E" w:rsidP="009E174D">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Alters Paragraph 2 from Article 25 and Paragraph 2 from Article 26 and introduces the item XXIII to Article 32, all from the Chamber of Deputies Internal Regulation, approved by Resolution N. 17, of 1989. (Establishes new exception to the non</w:t>
            </w:r>
            <w:r w:rsidR="009E174D">
              <w:rPr>
                <w:rFonts w:asciiTheme="majorHAnsi" w:hAnsiTheme="majorHAnsi"/>
                <w:color w:val="000000"/>
                <w:sz w:val="20"/>
              </w:rPr>
              <w:t>-</w:t>
            </w:r>
            <w:r>
              <w:rPr>
                <w:rFonts w:asciiTheme="majorHAnsi" w:hAnsiTheme="majorHAnsi"/>
                <w:color w:val="000000"/>
                <w:sz w:val="20"/>
              </w:rPr>
              <w:t xml:space="preserve">cumulativity in Permanent Commissions openings and create the Commission for the Defense of Rights of People with Disabilities). </w:t>
            </w:r>
          </w:p>
        </w:tc>
      </w:tr>
    </w:tbl>
    <w:p w14:paraId="0A89482F" w14:textId="697D6730" w:rsidR="00B8701B" w:rsidRPr="00D20096" w:rsidRDefault="00B8701B" w:rsidP="00C64232">
      <w:pPr>
        <w:rPr>
          <w:rFonts w:asciiTheme="majorHAnsi" w:hAnsiTheme="majorHAnsi" w:cstheme="majorHAnsi"/>
          <w:sz w:val="20"/>
          <w:szCs w:val="20"/>
        </w:rPr>
      </w:pPr>
    </w:p>
    <w:tbl>
      <w:tblPr>
        <w:tblStyle w:val="Tabelacomgrade"/>
        <w:tblW w:w="9351" w:type="dxa"/>
        <w:tblLook w:val="04A0" w:firstRow="1" w:lastRow="0" w:firstColumn="1" w:lastColumn="0" w:noHBand="0" w:noVBand="1"/>
      </w:tblPr>
      <w:tblGrid>
        <w:gridCol w:w="9351"/>
      </w:tblGrid>
      <w:tr w:rsidR="00C64232" w:rsidRPr="00D20096" w14:paraId="06D99592" w14:textId="77777777" w:rsidTr="00472DE1">
        <w:tc>
          <w:tcPr>
            <w:tcW w:w="9351" w:type="dxa"/>
            <w:shd w:val="clear" w:color="auto" w:fill="A8D08D" w:themeFill="accent6" w:themeFillTint="99"/>
          </w:tcPr>
          <w:p w14:paraId="070285F4" w14:textId="42C101DA" w:rsidR="00C64232" w:rsidRPr="00D20096" w:rsidRDefault="00CF505C" w:rsidP="00D6415F">
            <w:pPr>
              <w:rPr>
                <w:rFonts w:asciiTheme="majorHAnsi" w:hAnsiTheme="majorHAnsi" w:cstheme="majorHAnsi"/>
                <w:sz w:val="20"/>
                <w:szCs w:val="20"/>
              </w:rPr>
            </w:pPr>
            <w:r>
              <w:rPr>
                <w:rFonts w:asciiTheme="majorHAnsi" w:hAnsiTheme="majorHAnsi"/>
                <w:b/>
                <w:sz w:val="20"/>
              </w:rPr>
              <w:t xml:space="preserve">ANTIDISCRIMINATION </w:t>
            </w:r>
            <w:r w:rsidR="00C64232">
              <w:rPr>
                <w:rFonts w:asciiTheme="majorHAnsi" w:hAnsiTheme="majorHAnsi"/>
                <w:b/>
                <w:sz w:val="20"/>
              </w:rPr>
              <w:t>MEASURES</w:t>
            </w:r>
          </w:p>
        </w:tc>
      </w:tr>
    </w:tbl>
    <w:tbl>
      <w:tblPr>
        <w:tblW w:w="9351" w:type="dxa"/>
        <w:tblCellMar>
          <w:left w:w="70" w:type="dxa"/>
          <w:right w:w="70" w:type="dxa"/>
        </w:tblCellMar>
        <w:tblLook w:val="04A0" w:firstRow="1" w:lastRow="0" w:firstColumn="1" w:lastColumn="0" w:noHBand="0" w:noVBand="1"/>
      </w:tblPr>
      <w:tblGrid>
        <w:gridCol w:w="2830"/>
        <w:gridCol w:w="6521"/>
      </w:tblGrid>
      <w:tr w:rsidR="00C64232" w:rsidRPr="00B10CBC" w14:paraId="58707667" w14:textId="77777777" w:rsidTr="14B7E38C">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C6E0B4"/>
            <w:noWrap/>
            <w:vAlign w:val="bottom"/>
            <w:hideMark/>
          </w:tcPr>
          <w:p w14:paraId="644BB0CB" w14:textId="77777777" w:rsidR="00C64232" w:rsidRPr="00B10CBC"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GENDER</w:t>
            </w:r>
          </w:p>
        </w:tc>
        <w:tc>
          <w:tcPr>
            <w:tcW w:w="6521" w:type="dxa"/>
            <w:tcBorders>
              <w:top w:val="single" w:sz="4" w:space="0" w:color="auto"/>
              <w:left w:val="nil"/>
              <w:bottom w:val="single" w:sz="4" w:space="0" w:color="auto"/>
              <w:right w:val="single" w:sz="4" w:space="0" w:color="auto"/>
            </w:tcBorders>
            <w:shd w:val="clear" w:color="auto" w:fill="C6E0B4"/>
            <w:noWrap/>
            <w:vAlign w:val="bottom"/>
            <w:hideMark/>
          </w:tcPr>
          <w:p w14:paraId="46CA42C6" w14:textId="77777777" w:rsidR="00C64232" w:rsidRPr="00B10CBC"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 </w:t>
            </w:r>
          </w:p>
        </w:tc>
      </w:tr>
      <w:tr w:rsidR="00405E43" w:rsidRPr="00B10CBC" w14:paraId="62FEA3B6" w14:textId="77777777" w:rsidTr="14B7E38C">
        <w:trPr>
          <w:trHeight w:val="869"/>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9F0928" w14:textId="0170E077" w:rsidR="00405E43" w:rsidRPr="00B10CBC" w:rsidRDefault="00405E4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Constitutional Amendment N. 111, </w:t>
            </w:r>
            <w:r w:rsidR="008803FA">
              <w:rPr>
                <w:rFonts w:asciiTheme="majorHAnsi" w:hAnsiTheme="majorHAnsi"/>
                <w:color w:val="000000"/>
                <w:sz w:val="20"/>
              </w:rPr>
              <w:t>of</w:t>
            </w:r>
            <w:r>
              <w:rPr>
                <w:rFonts w:asciiTheme="majorHAnsi" w:hAnsiTheme="majorHAnsi"/>
                <w:color w:val="000000"/>
                <w:sz w:val="20"/>
              </w:rPr>
              <w:t xml:space="preserve"> September 28</w:t>
            </w:r>
            <w:r>
              <w:rPr>
                <w:rFonts w:asciiTheme="majorHAnsi" w:hAnsiTheme="majorHAnsi"/>
                <w:color w:val="000000"/>
                <w:sz w:val="20"/>
                <w:vertAlign w:val="superscript"/>
              </w:rPr>
              <w:t>th</w:t>
            </w:r>
            <w:r>
              <w:rPr>
                <w:rFonts w:asciiTheme="majorHAnsi" w:hAnsiTheme="majorHAnsi"/>
                <w:color w:val="000000"/>
                <w:sz w:val="20"/>
              </w:rPr>
              <w:t>, 2022</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442F3B31" w14:textId="022124FC" w:rsidR="00405E43" w:rsidRPr="00B10CBC" w:rsidRDefault="7BA1F31B" w:rsidP="00CF505C">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Establishes that the votes given in favor of women or black candidates for the Chamber of Deputies for the elections from 2022 to 2030 will be</w:t>
            </w:r>
            <w:r w:rsidR="7A841F6D" w:rsidRPr="14B7E38C">
              <w:rPr>
                <w:rFonts w:asciiTheme="majorHAnsi" w:hAnsiTheme="majorHAnsi"/>
                <w:color w:val="000000" w:themeColor="text1"/>
                <w:sz w:val="20"/>
                <w:szCs w:val="20"/>
              </w:rPr>
              <w:t xml:space="preserve"> </w:t>
            </w:r>
            <w:r w:rsidRPr="14B7E38C">
              <w:rPr>
                <w:rFonts w:asciiTheme="majorHAnsi" w:hAnsiTheme="majorHAnsi"/>
                <w:color w:val="000000" w:themeColor="text1"/>
                <w:sz w:val="20"/>
                <w:szCs w:val="20"/>
              </w:rPr>
              <w:t>counted</w:t>
            </w:r>
            <w:r w:rsidR="0058308F">
              <w:rPr>
                <w:rFonts w:asciiTheme="majorHAnsi" w:hAnsiTheme="majorHAnsi"/>
                <w:color w:val="000000" w:themeColor="text1"/>
                <w:sz w:val="20"/>
                <w:szCs w:val="20"/>
              </w:rPr>
              <w:t xml:space="preserve"> double,</w:t>
            </w:r>
            <w:r w:rsidR="0058308F">
              <w:t xml:space="preserve"> </w:t>
            </w:r>
            <w:r w:rsidR="0058308F" w:rsidRPr="0058308F">
              <w:rPr>
                <w:rFonts w:asciiTheme="majorHAnsi" w:hAnsiTheme="majorHAnsi"/>
                <w:color w:val="000000" w:themeColor="text1"/>
                <w:sz w:val="20"/>
                <w:szCs w:val="20"/>
              </w:rPr>
              <w:t>for the purpose of calculating political parties access to public electoral funds.</w:t>
            </w:r>
            <w:r w:rsidR="165517BE" w:rsidRPr="14B7E38C">
              <w:rPr>
                <w:rFonts w:asciiTheme="majorHAnsi" w:hAnsiTheme="majorHAnsi"/>
                <w:color w:val="000000" w:themeColor="text1"/>
                <w:sz w:val="20"/>
                <w:szCs w:val="20"/>
              </w:rPr>
              <w:t>.</w:t>
            </w:r>
          </w:p>
        </w:tc>
      </w:tr>
      <w:tr w:rsidR="00405E43" w:rsidRPr="00B10CBC" w14:paraId="510B571E" w14:textId="77777777" w:rsidTr="14B7E38C">
        <w:trPr>
          <w:trHeight w:val="334"/>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DB5FF2" w14:textId="4C949882" w:rsidR="00405E43" w:rsidRPr="00B10CBC" w:rsidRDefault="00405E43"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Constitutional Amendment N. 117, </w:t>
            </w:r>
            <w:r w:rsidR="008803FA">
              <w:rPr>
                <w:rFonts w:asciiTheme="majorHAnsi" w:hAnsiTheme="majorHAnsi"/>
                <w:color w:val="000000"/>
                <w:sz w:val="20"/>
              </w:rPr>
              <w:t>of</w:t>
            </w:r>
            <w:r>
              <w:rPr>
                <w:rFonts w:asciiTheme="majorHAnsi" w:hAnsiTheme="majorHAnsi"/>
                <w:color w:val="000000"/>
                <w:sz w:val="20"/>
              </w:rPr>
              <w:t xml:space="preserve"> April 5</w:t>
            </w:r>
            <w:r>
              <w:rPr>
                <w:rFonts w:asciiTheme="majorHAnsi" w:hAnsiTheme="majorHAnsi"/>
                <w:color w:val="000000"/>
                <w:sz w:val="20"/>
                <w:vertAlign w:val="superscript"/>
              </w:rPr>
              <w:t>th</w:t>
            </w:r>
            <w:r>
              <w:rPr>
                <w:rFonts w:asciiTheme="majorHAnsi" w:hAnsiTheme="majorHAnsi"/>
                <w:color w:val="000000"/>
                <w:sz w:val="20"/>
              </w:rPr>
              <w:t>, 2022</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43FCB728" w14:textId="7BAB9F92" w:rsidR="00405E43" w:rsidRPr="00B10CBC" w:rsidRDefault="7BA1F31B" w:rsidP="14B7E38C">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Alters Article 17 of the Federal Constitution to impose to the political parties the allocation of resources from the political party fund in the promotion and spread of women</w:t>
            </w:r>
            <w:r w:rsidR="1CAAA878" w:rsidRPr="14B7E38C">
              <w:rPr>
                <w:rFonts w:asciiTheme="majorHAnsi" w:hAnsiTheme="majorHAnsi"/>
                <w:color w:val="000000" w:themeColor="text1"/>
                <w:sz w:val="20"/>
                <w:szCs w:val="20"/>
              </w:rPr>
              <w:t>’s political</w:t>
            </w:r>
            <w:r w:rsidRPr="14B7E38C">
              <w:rPr>
                <w:rFonts w:asciiTheme="majorHAnsi" w:hAnsiTheme="majorHAnsi"/>
                <w:color w:val="000000" w:themeColor="text1"/>
                <w:sz w:val="20"/>
                <w:szCs w:val="20"/>
              </w:rPr>
              <w:t xml:space="preserve"> participation.</w:t>
            </w:r>
          </w:p>
        </w:tc>
      </w:tr>
      <w:tr w:rsidR="004B5E91" w:rsidRPr="00B10CBC" w14:paraId="5C0F81EF" w14:textId="77777777" w:rsidTr="14B7E38C">
        <w:trPr>
          <w:trHeight w:val="999"/>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0514C9" w14:textId="77777777"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11.340/2006</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6DFB483F" w14:textId="77777777"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Creates mechanism to restrain domestic and family violence against women, provides over the creation of Domestic and Family Violence Against Women Courts; alters the Criminal Procedure Code, the Criminal Code and the Criminal Enforcement Law; and gives other provisions.</w:t>
            </w:r>
          </w:p>
        </w:tc>
      </w:tr>
      <w:tr w:rsidR="004B5E91" w:rsidRPr="00B10CBC" w14:paraId="757A362C" w14:textId="77777777" w:rsidTr="14B7E38C">
        <w:trPr>
          <w:trHeight w:val="761"/>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F8A123" w14:textId="77777777"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13.112/15</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324AAA76" w14:textId="44D1A374" w:rsidR="004B5E91" w:rsidRPr="00B10CBC" w:rsidRDefault="03A71EB0" w:rsidP="14B7E38C">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 xml:space="preserve">Alters items 1 and 2 from Article 52 of Law N. 6,015, </w:t>
            </w:r>
            <w:r w:rsidR="4BB2699E" w:rsidRPr="14B7E38C">
              <w:rPr>
                <w:rFonts w:asciiTheme="majorHAnsi" w:hAnsiTheme="majorHAnsi"/>
                <w:color w:val="000000" w:themeColor="text1"/>
                <w:sz w:val="20"/>
                <w:szCs w:val="20"/>
              </w:rPr>
              <w:t>of</w:t>
            </w:r>
            <w:r w:rsidRPr="14B7E38C">
              <w:rPr>
                <w:rFonts w:asciiTheme="majorHAnsi" w:hAnsiTheme="majorHAnsi"/>
                <w:color w:val="000000" w:themeColor="text1"/>
                <w:sz w:val="20"/>
                <w:szCs w:val="20"/>
              </w:rPr>
              <w:t xml:space="preserve"> December 31</w:t>
            </w:r>
            <w:r w:rsidRPr="14B7E38C">
              <w:rPr>
                <w:rFonts w:asciiTheme="majorHAnsi" w:hAnsiTheme="majorHAnsi"/>
                <w:color w:val="000000" w:themeColor="text1"/>
                <w:sz w:val="20"/>
                <w:szCs w:val="20"/>
                <w:vertAlign w:val="superscript"/>
              </w:rPr>
              <w:t>st</w:t>
            </w:r>
            <w:r w:rsidRPr="14B7E38C">
              <w:rPr>
                <w:rFonts w:asciiTheme="majorHAnsi" w:hAnsiTheme="majorHAnsi"/>
                <w:color w:val="000000" w:themeColor="text1"/>
                <w:sz w:val="20"/>
                <w:szCs w:val="20"/>
              </w:rPr>
              <w:t>, 1973, to allow for women, on equal</w:t>
            </w:r>
            <w:r w:rsidR="035D2349" w:rsidRPr="14B7E38C">
              <w:rPr>
                <w:rFonts w:asciiTheme="majorHAnsi" w:hAnsiTheme="majorHAnsi"/>
                <w:color w:val="000000" w:themeColor="text1"/>
                <w:sz w:val="20"/>
                <w:szCs w:val="20"/>
              </w:rPr>
              <w:t>ity</w:t>
            </w:r>
            <w:r w:rsidRPr="14B7E38C">
              <w:rPr>
                <w:rFonts w:asciiTheme="majorHAnsi" w:hAnsiTheme="majorHAnsi"/>
                <w:color w:val="000000" w:themeColor="text1"/>
                <w:sz w:val="20"/>
                <w:szCs w:val="20"/>
              </w:rPr>
              <w:t xml:space="preserve"> </w:t>
            </w:r>
            <w:r w:rsidR="7CF68CE4" w:rsidRPr="14B7E38C">
              <w:rPr>
                <w:rFonts w:asciiTheme="majorHAnsi" w:hAnsiTheme="majorHAnsi"/>
                <w:color w:val="000000" w:themeColor="text1"/>
                <w:sz w:val="20"/>
                <w:szCs w:val="20"/>
              </w:rPr>
              <w:t>conditions</w:t>
            </w:r>
            <w:r w:rsidRPr="14B7E38C">
              <w:rPr>
                <w:rFonts w:asciiTheme="majorHAnsi" w:hAnsiTheme="majorHAnsi"/>
                <w:color w:val="000000" w:themeColor="text1"/>
                <w:sz w:val="20"/>
                <w:szCs w:val="20"/>
              </w:rPr>
              <w:t xml:space="preserve">, to register the birth of </w:t>
            </w:r>
            <w:r w:rsidR="799B009E" w:rsidRPr="14B7E38C">
              <w:rPr>
                <w:rFonts w:asciiTheme="majorHAnsi" w:hAnsiTheme="majorHAnsi"/>
                <w:color w:val="000000" w:themeColor="text1"/>
                <w:sz w:val="20"/>
                <w:szCs w:val="20"/>
              </w:rPr>
              <w:t>their</w:t>
            </w:r>
            <w:r w:rsidRPr="14B7E38C">
              <w:rPr>
                <w:rFonts w:asciiTheme="majorHAnsi" w:hAnsiTheme="majorHAnsi"/>
                <w:color w:val="000000" w:themeColor="text1"/>
                <w:sz w:val="20"/>
                <w:szCs w:val="20"/>
              </w:rPr>
              <w:t xml:space="preserve"> child.</w:t>
            </w:r>
          </w:p>
        </w:tc>
      </w:tr>
      <w:tr w:rsidR="004B5E91" w:rsidRPr="00B10CBC" w14:paraId="336F41A7" w14:textId="77777777" w:rsidTr="14B7E38C">
        <w:trPr>
          <w:trHeight w:val="729"/>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7D36DC" w14:textId="77777777"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13.431/2017</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1AAE7FF3" w14:textId="3E75A822" w:rsidR="004B5E91" w:rsidRPr="00B10CBC" w:rsidRDefault="7C1D047A" w:rsidP="34416ECA">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 xml:space="preserve">Establishes the system of rights security for children and </w:t>
            </w:r>
            <w:r w:rsidR="006B4317" w:rsidRPr="14B7E38C">
              <w:rPr>
                <w:rFonts w:asciiTheme="majorHAnsi" w:hAnsiTheme="majorHAnsi"/>
                <w:color w:val="000000" w:themeColor="text1"/>
                <w:sz w:val="20"/>
                <w:szCs w:val="20"/>
              </w:rPr>
              <w:t>adolescent</w:t>
            </w:r>
            <w:r w:rsidRPr="14B7E38C">
              <w:rPr>
                <w:rFonts w:asciiTheme="majorHAnsi" w:hAnsiTheme="majorHAnsi"/>
                <w:color w:val="000000" w:themeColor="text1"/>
                <w:sz w:val="20"/>
                <w:szCs w:val="20"/>
              </w:rPr>
              <w:t xml:space="preserve"> victims or witnesses of violence and alters Law N. 8,069, </w:t>
            </w:r>
            <w:r w:rsidR="495A43F5" w:rsidRPr="14B7E38C">
              <w:rPr>
                <w:rFonts w:asciiTheme="majorHAnsi" w:hAnsiTheme="majorHAnsi"/>
                <w:color w:val="000000" w:themeColor="text1"/>
                <w:sz w:val="20"/>
                <w:szCs w:val="20"/>
              </w:rPr>
              <w:t>of</w:t>
            </w:r>
            <w:r w:rsidRPr="14B7E38C">
              <w:rPr>
                <w:rFonts w:asciiTheme="majorHAnsi" w:hAnsiTheme="majorHAnsi"/>
                <w:color w:val="000000" w:themeColor="text1"/>
                <w:sz w:val="20"/>
                <w:szCs w:val="20"/>
              </w:rPr>
              <w:t xml:space="preserve"> July 13</w:t>
            </w:r>
            <w:r w:rsidRPr="14B7E38C">
              <w:rPr>
                <w:rFonts w:asciiTheme="majorHAnsi" w:hAnsiTheme="majorHAnsi"/>
                <w:color w:val="000000" w:themeColor="text1"/>
                <w:sz w:val="20"/>
                <w:szCs w:val="20"/>
                <w:vertAlign w:val="superscript"/>
              </w:rPr>
              <w:t>th</w:t>
            </w:r>
            <w:r w:rsidRPr="14B7E38C">
              <w:rPr>
                <w:rFonts w:asciiTheme="majorHAnsi" w:hAnsiTheme="majorHAnsi"/>
                <w:color w:val="000000" w:themeColor="text1"/>
                <w:sz w:val="20"/>
                <w:szCs w:val="20"/>
              </w:rPr>
              <w:t>,</w:t>
            </w:r>
            <w:r w:rsidR="009E174D">
              <w:rPr>
                <w:rFonts w:asciiTheme="majorHAnsi" w:hAnsiTheme="majorHAnsi"/>
                <w:color w:val="000000" w:themeColor="text1"/>
                <w:sz w:val="20"/>
                <w:szCs w:val="20"/>
              </w:rPr>
              <w:t xml:space="preserve"> </w:t>
            </w:r>
            <w:r w:rsidRPr="14B7E38C">
              <w:rPr>
                <w:rFonts w:asciiTheme="majorHAnsi" w:hAnsiTheme="majorHAnsi"/>
                <w:color w:val="000000" w:themeColor="text1"/>
                <w:sz w:val="20"/>
                <w:szCs w:val="20"/>
              </w:rPr>
              <w:t>1990. (Statute of the Child and Adolescent).</w:t>
            </w:r>
          </w:p>
        </w:tc>
      </w:tr>
      <w:tr w:rsidR="004B5E91" w:rsidRPr="00B10CBC" w14:paraId="549709CD" w14:textId="77777777" w:rsidTr="14B7E38C">
        <w:trPr>
          <w:trHeight w:val="765"/>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367C3C" w14:textId="4A1F3DC4"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11,106, </w:t>
            </w:r>
            <w:r w:rsidR="008803FA">
              <w:rPr>
                <w:rFonts w:asciiTheme="majorHAnsi" w:hAnsiTheme="majorHAnsi"/>
                <w:color w:val="000000"/>
                <w:sz w:val="20"/>
              </w:rPr>
              <w:t>of</w:t>
            </w:r>
            <w:r>
              <w:rPr>
                <w:rFonts w:asciiTheme="majorHAnsi" w:hAnsiTheme="majorHAnsi"/>
                <w:color w:val="000000"/>
                <w:sz w:val="20"/>
              </w:rPr>
              <w:t xml:space="preserve"> March 28</w:t>
            </w:r>
            <w:r>
              <w:rPr>
                <w:rFonts w:asciiTheme="majorHAnsi" w:hAnsiTheme="majorHAnsi"/>
                <w:color w:val="000000"/>
                <w:sz w:val="20"/>
                <w:vertAlign w:val="superscript"/>
              </w:rPr>
              <w:t>th</w:t>
            </w:r>
            <w:r>
              <w:rPr>
                <w:rFonts w:asciiTheme="majorHAnsi" w:hAnsiTheme="majorHAnsi"/>
                <w:color w:val="000000"/>
                <w:sz w:val="20"/>
              </w:rPr>
              <w:t>, 2005</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1B48D819" w14:textId="2B91747A" w:rsidR="004B5E91" w:rsidRPr="00B10CBC" w:rsidRDefault="13A3359A"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Alters Articles 148, 215, 216, 226, 227, 231 and introduces Article 231-A to Decree-Law N. 2,848, </w:t>
            </w:r>
            <w:r w:rsidR="411DEFC9"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December 7</w:t>
            </w:r>
            <w:r w:rsidRPr="34416ECA">
              <w:rPr>
                <w:rFonts w:asciiTheme="majorHAnsi" w:hAnsiTheme="majorHAnsi"/>
                <w:color w:val="000000" w:themeColor="text1"/>
                <w:sz w:val="20"/>
                <w:szCs w:val="20"/>
                <w:vertAlign w:val="superscript"/>
              </w:rPr>
              <w:t>th</w:t>
            </w:r>
            <w:r w:rsidRPr="34416ECA">
              <w:rPr>
                <w:rFonts w:asciiTheme="majorHAnsi" w:hAnsiTheme="majorHAnsi"/>
                <w:color w:val="000000" w:themeColor="text1"/>
                <w:sz w:val="20"/>
                <w:szCs w:val="20"/>
              </w:rPr>
              <w:t>, 1940 (Criminal Code)</w:t>
            </w:r>
          </w:p>
        </w:tc>
      </w:tr>
      <w:tr w:rsidR="004B5E91" w:rsidRPr="00B10CBC" w14:paraId="4B8B2CF2" w14:textId="77777777" w:rsidTr="14B7E38C">
        <w:trPr>
          <w:trHeight w:val="988"/>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5FEBB1" w14:textId="062E31DC"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11,112, </w:t>
            </w:r>
            <w:r w:rsidR="008803FA">
              <w:rPr>
                <w:rFonts w:asciiTheme="majorHAnsi" w:hAnsiTheme="majorHAnsi"/>
                <w:color w:val="000000"/>
                <w:sz w:val="20"/>
              </w:rPr>
              <w:t>of</w:t>
            </w:r>
            <w:r>
              <w:rPr>
                <w:rFonts w:asciiTheme="majorHAnsi" w:hAnsiTheme="majorHAnsi"/>
                <w:color w:val="000000"/>
                <w:sz w:val="20"/>
              </w:rPr>
              <w:t xml:space="preserve"> May 13</w:t>
            </w:r>
            <w:r>
              <w:rPr>
                <w:rFonts w:asciiTheme="majorHAnsi" w:hAnsiTheme="majorHAnsi"/>
                <w:color w:val="000000"/>
                <w:sz w:val="20"/>
                <w:vertAlign w:val="superscript"/>
              </w:rPr>
              <w:t>th</w:t>
            </w:r>
            <w:r>
              <w:rPr>
                <w:rFonts w:asciiTheme="majorHAnsi" w:hAnsiTheme="majorHAnsi"/>
                <w:color w:val="000000"/>
                <w:sz w:val="20"/>
              </w:rPr>
              <w:t>, 2005</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17E1C68F" w14:textId="4302CFB2" w:rsidR="004B5E91" w:rsidRPr="00B10CBC" w:rsidRDefault="7C1D047A" w:rsidP="34416ECA">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 xml:space="preserve">Alters Article 1,121 </w:t>
            </w:r>
            <w:r w:rsidR="27B16C28" w:rsidRPr="14B7E38C">
              <w:rPr>
                <w:rFonts w:asciiTheme="majorHAnsi" w:hAnsiTheme="majorHAnsi"/>
                <w:color w:val="000000" w:themeColor="text1"/>
                <w:sz w:val="20"/>
                <w:szCs w:val="20"/>
              </w:rPr>
              <w:t>from</w:t>
            </w:r>
            <w:r w:rsidRPr="14B7E38C">
              <w:rPr>
                <w:rFonts w:asciiTheme="majorHAnsi" w:hAnsiTheme="majorHAnsi"/>
                <w:color w:val="000000" w:themeColor="text1"/>
                <w:sz w:val="20"/>
                <w:szCs w:val="20"/>
              </w:rPr>
              <w:t xml:space="preserve"> Law N. 5,869, </w:t>
            </w:r>
            <w:r w:rsidR="24800FE1" w:rsidRPr="14B7E38C">
              <w:rPr>
                <w:rFonts w:asciiTheme="majorHAnsi" w:hAnsiTheme="majorHAnsi"/>
                <w:color w:val="000000" w:themeColor="text1"/>
                <w:sz w:val="20"/>
                <w:szCs w:val="20"/>
              </w:rPr>
              <w:t>of</w:t>
            </w:r>
            <w:r w:rsidRPr="14B7E38C">
              <w:rPr>
                <w:rFonts w:asciiTheme="majorHAnsi" w:hAnsiTheme="majorHAnsi"/>
                <w:color w:val="000000" w:themeColor="text1"/>
                <w:sz w:val="20"/>
                <w:szCs w:val="20"/>
              </w:rPr>
              <w:t xml:space="preserve"> January 11</w:t>
            </w:r>
            <w:r w:rsidRPr="14B7E38C">
              <w:rPr>
                <w:rFonts w:asciiTheme="majorHAnsi" w:hAnsiTheme="majorHAnsi"/>
                <w:color w:val="000000" w:themeColor="text1"/>
                <w:sz w:val="20"/>
                <w:szCs w:val="20"/>
                <w:vertAlign w:val="superscript"/>
              </w:rPr>
              <w:t>th</w:t>
            </w:r>
            <w:r w:rsidRPr="14B7E38C">
              <w:rPr>
                <w:rFonts w:asciiTheme="majorHAnsi" w:hAnsiTheme="majorHAnsi"/>
                <w:color w:val="000000" w:themeColor="text1"/>
                <w:sz w:val="20"/>
                <w:szCs w:val="20"/>
              </w:rPr>
              <w:t xml:space="preserve">, 1973 (Civil Procedure Code), to </w:t>
            </w:r>
            <w:r w:rsidR="006B4317" w:rsidRPr="14B7E38C">
              <w:rPr>
                <w:rFonts w:asciiTheme="majorHAnsi" w:hAnsiTheme="majorHAnsi"/>
                <w:color w:val="000000" w:themeColor="text1"/>
                <w:sz w:val="20"/>
                <w:szCs w:val="20"/>
              </w:rPr>
              <w:t>include</w:t>
            </w:r>
            <w:r w:rsidRPr="14B7E38C">
              <w:rPr>
                <w:rFonts w:asciiTheme="majorHAnsi" w:hAnsiTheme="majorHAnsi"/>
                <w:color w:val="000000" w:themeColor="text1"/>
                <w:sz w:val="20"/>
                <w:szCs w:val="20"/>
              </w:rPr>
              <w:t xml:space="preserve"> as indispensable requirement to the consensual separation application, the agreement among the spouses regarding the visitation schedule of the minor children.</w:t>
            </w:r>
          </w:p>
        </w:tc>
      </w:tr>
      <w:tr w:rsidR="004B5E91" w:rsidRPr="00B10CBC" w14:paraId="5A3C209E" w14:textId="77777777" w:rsidTr="14B7E38C">
        <w:trPr>
          <w:trHeight w:val="1122"/>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482751" w14:textId="5DE6BB73"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14,192, </w:t>
            </w:r>
            <w:r w:rsidR="008803FA">
              <w:rPr>
                <w:rFonts w:asciiTheme="majorHAnsi" w:hAnsiTheme="majorHAnsi"/>
                <w:color w:val="000000"/>
                <w:sz w:val="20"/>
              </w:rPr>
              <w:t>of</w:t>
            </w:r>
            <w:r>
              <w:rPr>
                <w:rFonts w:asciiTheme="majorHAnsi" w:hAnsiTheme="majorHAnsi"/>
                <w:color w:val="000000"/>
                <w:sz w:val="20"/>
              </w:rPr>
              <w:t xml:space="preserve"> August 4</w:t>
            </w:r>
            <w:r>
              <w:rPr>
                <w:rFonts w:asciiTheme="majorHAnsi" w:hAnsiTheme="majorHAnsi"/>
                <w:color w:val="000000"/>
                <w:sz w:val="20"/>
                <w:vertAlign w:val="superscript"/>
              </w:rPr>
              <w:t>th</w:t>
            </w:r>
            <w:r>
              <w:rPr>
                <w:rFonts w:asciiTheme="majorHAnsi" w:hAnsiTheme="majorHAnsi"/>
                <w:color w:val="000000"/>
                <w:sz w:val="20"/>
              </w:rPr>
              <w:t>, 2021</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2C191B61" w14:textId="11BD25AB" w:rsidR="004B5E91" w:rsidRPr="00B10CBC" w:rsidRDefault="13A3359A" w:rsidP="009E174D">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Established regulations to </w:t>
            </w:r>
            <w:r w:rsidR="009E174D" w:rsidRPr="34416ECA">
              <w:rPr>
                <w:rFonts w:asciiTheme="majorHAnsi" w:hAnsiTheme="majorHAnsi"/>
                <w:color w:val="000000" w:themeColor="text1"/>
                <w:sz w:val="20"/>
                <w:szCs w:val="20"/>
              </w:rPr>
              <w:t>prevent</w:t>
            </w:r>
            <w:r w:rsidR="009E174D">
              <w:rPr>
                <w:rFonts w:asciiTheme="majorHAnsi" w:hAnsiTheme="majorHAnsi"/>
                <w:color w:val="000000" w:themeColor="text1"/>
                <w:sz w:val="20"/>
                <w:szCs w:val="20"/>
              </w:rPr>
              <w:t>,</w:t>
            </w:r>
            <w:r w:rsidRPr="34416ECA">
              <w:rPr>
                <w:rFonts w:asciiTheme="majorHAnsi" w:hAnsiTheme="majorHAnsi"/>
                <w:color w:val="000000" w:themeColor="text1"/>
                <w:sz w:val="20"/>
                <w:szCs w:val="20"/>
              </w:rPr>
              <w:t xml:space="preserve"> restrain and combat political violence against women; and alter</w:t>
            </w:r>
            <w:r w:rsidR="009E174D">
              <w:rPr>
                <w:rFonts w:asciiTheme="majorHAnsi" w:hAnsiTheme="majorHAnsi"/>
                <w:color w:val="000000" w:themeColor="text1"/>
                <w:sz w:val="20"/>
                <w:szCs w:val="20"/>
              </w:rPr>
              <w:t>ed</w:t>
            </w:r>
            <w:r w:rsidRPr="34416ECA">
              <w:rPr>
                <w:rFonts w:asciiTheme="majorHAnsi" w:hAnsiTheme="majorHAnsi"/>
                <w:color w:val="000000" w:themeColor="text1"/>
                <w:sz w:val="20"/>
                <w:szCs w:val="20"/>
              </w:rPr>
              <w:t xml:space="preserve"> Law N. 4,737, </w:t>
            </w:r>
            <w:r w:rsidR="1E693B9D"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July 15</w:t>
            </w:r>
            <w:r w:rsidRPr="34416ECA">
              <w:rPr>
                <w:rFonts w:asciiTheme="majorHAnsi" w:hAnsiTheme="majorHAnsi"/>
                <w:color w:val="000000" w:themeColor="text1"/>
                <w:sz w:val="20"/>
                <w:szCs w:val="20"/>
                <w:vertAlign w:val="superscript"/>
              </w:rPr>
              <w:t>th</w:t>
            </w:r>
            <w:r w:rsidRPr="34416ECA">
              <w:rPr>
                <w:rFonts w:asciiTheme="majorHAnsi" w:hAnsiTheme="majorHAnsi"/>
                <w:color w:val="000000" w:themeColor="text1"/>
                <w:sz w:val="20"/>
                <w:szCs w:val="20"/>
              </w:rPr>
              <w:t xml:space="preserve">, 1965 (Electoral Code), Law N. 9,096, </w:t>
            </w:r>
            <w:r w:rsidR="2A701773"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September 19</w:t>
            </w:r>
            <w:r w:rsidRPr="34416ECA">
              <w:rPr>
                <w:rFonts w:asciiTheme="majorHAnsi" w:hAnsiTheme="majorHAnsi"/>
                <w:color w:val="000000" w:themeColor="text1"/>
                <w:sz w:val="20"/>
                <w:szCs w:val="20"/>
                <w:vertAlign w:val="superscript"/>
              </w:rPr>
              <w:t>th</w:t>
            </w:r>
            <w:r w:rsidRPr="34416ECA">
              <w:rPr>
                <w:rFonts w:asciiTheme="majorHAnsi" w:hAnsiTheme="majorHAnsi"/>
                <w:color w:val="000000" w:themeColor="text1"/>
                <w:sz w:val="20"/>
                <w:szCs w:val="20"/>
              </w:rPr>
              <w:t xml:space="preserve">, 1995 (Political Parties Law), and Law N. 9,504, </w:t>
            </w:r>
            <w:r w:rsidR="20706262"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September 30</w:t>
            </w:r>
            <w:r w:rsidRPr="34416ECA">
              <w:rPr>
                <w:rFonts w:asciiTheme="majorHAnsi" w:hAnsiTheme="majorHAnsi"/>
                <w:color w:val="000000" w:themeColor="text1"/>
                <w:sz w:val="20"/>
                <w:szCs w:val="20"/>
                <w:vertAlign w:val="superscript"/>
              </w:rPr>
              <w:t>th</w:t>
            </w:r>
            <w:r w:rsidRPr="34416ECA">
              <w:rPr>
                <w:rFonts w:asciiTheme="majorHAnsi" w:hAnsiTheme="majorHAnsi"/>
                <w:color w:val="000000" w:themeColor="text1"/>
                <w:sz w:val="20"/>
                <w:szCs w:val="20"/>
              </w:rPr>
              <w:t xml:space="preserve">, 1997. </w:t>
            </w:r>
          </w:p>
        </w:tc>
      </w:tr>
      <w:tr w:rsidR="004B5E91" w:rsidRPr="00B10CBC" w14:paraId="5680D6BF" w14:textId="77777777" w:rsidTr="14B7E38C">
        <w:trPr>
          <w:trHeight w:val="765"/>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BC3912" w14:textId="534D677A"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10,886, </w:t>
            </w:r>
            <w:r w:rsidR="008803FA">
              <w:rPr>
                <w:rFonts w:asciiTheme="majorHAnsi" w:hAnsiTheme="majorHAnsi"/>
                <w:color w:val="000000"/>
                <w:sz w:val="20"/>
              </w:rPr>
              <w:t>of</w:t>
            </w:r>
            <w:r>
              <w:rPr>
                <w:rFonts w:asciiTheme="majorHAnsi" w:hAnsiTheme="majorHAnsi"/>
                <w:color w:val="000000"/>
                <w:sz w:val="20"/>
              </w:rPr>
              <w:t xml:space="preserve"> June 17</w:t>
            </w:r>
            <w:r>
              <w:rPr>
                <w:rFonts w:asciiTheme="majorHAnsi" w:hAnsiTheme="majorHAnsi"/>
                <w:color w:val="000000"/>
                <w:sz w:val="20"/>
                <w:vertAlign w:val="superscript"/>
              </w:rPr>
              <w:t>th</w:t>
            </w:r>
            <w:r>
              <w:rPr>
                <w:rFonts w:asciiTheme="majorHAnsi" w:hAnsiTheme="majorHAnsi"/>
                <w:color w:val="000000"/>
                <w:sz w:val="20"/>
              </w:rPr>
              <w:t>, 2004</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02E6420E" w14:textId="5B87A2E3" w:rsidR="004B5E91" w:rsidRPr="00B10CBC" w:rsidRDefault="13A3359A"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Adds paragraphs to Article 129 of Decree-Law N. 2,848, </w:t>
            </w:r>
            <w:r w:rsidR="4CFB9817"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December 7</w:t>
            </w:r>
            <w:r w:rsidRPr="34416ECA">
              <w:rPr>
                <w:rFonts w:asciiTheme="majorHAnsi" w:hAnsiTheme="majorHAnsi"/>
                <w:color w:val="000000" w:themeColor="text1"/>
                <w:sz w:val="20"/>
                <w:szCs w:val="20"/>
                <w:vertAlign w:val="superscript"/>
              </w:rPr>
              <w:t>th</w:t>
            </w:r>
            <w:r w:rsidRPr="34416ECA">
              <w:rPr>
                <w:rFonts w:asciiTheme="majorHAnsi" w:hAnsiTheme="majorHAnsi"/>
                <w:color w:val="000000" w:themeColor="text1"/>
                <w:sz w:val="20"/>
                <w:szCs w:val="20"/>
              </w:rPr>
              <w:t>, 1940 (Criminal Code), introducing the special type called “Domestic Violence”.</w:t>
            </w:r>
          </w:p>
        </w:tc>
      </w:tr>
      <w:tr w:rsidR="004B5E91" w:rsidRPr="00B10CBC" w14:paraId="5657C082" w14:textId="77777777" w:rsidTr="14B7E38C">
        <w:trPr>
          <w:trHeight w:val="1020"/>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7BB380E" w14:textId="7D80CA0F"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11,108, </w:t>
            </w:r>
            <w:r w:rsidR="008803FA">
              <w:rPr>
                <w:rFonts w:asciiTheme="majorHAnsi" w:hAnsiTheme="majorHAnsi"/>
                <w:color w:val="000000"/>
                <w:sz w:val="20"/>
              </w:rPr>
              <w:t>of</w:t>
            </w:r>
            <w:r>
              <w:rPr>
                <w:rFonts w:asciiTheme="majorHAnsi" w:hAnsiTheme="majorHAnsi"/>
                <w:color w:val="000000"/>
                <w:sz w:val="20"/>
              </w:rPr>
              <w:t xml:space="preserve"> April 7</w:t>
            </w:r>
            <w:r>
              <w:rPr>
                <w:rFonts w:asciiTheme="majorHAnsi" w:hAnsiTheme="majorHAnsi"/>
                <w:color w:val="000000"/>
                <w:sz w:val="20"/>
                <w:vertAlign w:val="superscript"/>
              </w:rPr>
              <w:t>th</w:t>
            </w:r>
            <w:r>
              <w:rPr>
                <w:rFonts w:asciiTheme="majorHAnsi" w:hAnsiTheme="majorHAnsi"/>
                <w:color w:val="000000"/>
                <w:sz w:val="20"/>
              </w:rPr>
              <w:t>, 2005</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54623352" w14:textId="205ABE15" w:rsidR="004B5E91" w:rsidRPr="00B10CBC" w:rsidRDefault="7C1D047A" w:rsidP="009E174D">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 xml:space="preserve">Alters Law N. 8,080, </w:t>
            </w:r>
            <w:r w:rsidR="6DD882A4" w:rsidRPr="14B7E38C">
              <w:rPr>
                <w:rFonts w:asciiTheme="majorHAnsi" w:hAnsiTheme="majorHAnsi"/>
                <w:color w:val="000000" w:themeColor="text1"/>
                <w:sz w:val="20"/>
                <w:szCs w:val="20"/>
              </w:rPr>
              <w:t>of</w:t>
            </w:r>
            <w:r w:rsidRPr="14B7E38C">
              <w:rPr>
                <w:rFonts w:asciiTheme="majorHAnsi" w:hAnsiTheme="majorHAnsi"/>
                <w:color w:val="000000" w:themeColor="text1"/>
                <w:sz w:val="20"/>
                <w:szCs w:val="20"/>
              </w:rPr>
              <w:t xml:space="preserve"> September 19th, 1990, to ensure the mothers the right to a companion presence during labor, delivery and immediate postpartum, within</w:t>
            </w:r>
            <w:r w:rsidR="3C0A913A" w:rsidRPr="14B7E38C">
              <w:rPr>
                <w:rFonts w:asciiTheme="majorHAnsi" w:hAnsiTheme="majorHAnsi"/>
                <w:color w:val="000000" w:themeColor="text1"/>
                <w:sz w:val="20"/>
                <w:szCs w:val="20"/>
              </w:rPr>
              <w:t xml:space="preserve"> the scope of the</w:t>
            </w:r>
            <w:r w:rsidRPr="14B7E38C">
              <w:rPr>
                <w:rFonts w:asciiTheme="majorHAnsi" w:hAnsiTheme="majorHAnsi"/>
                <w:color w:val="000000" w:themeColor="text1"/>
                <w:sz w:val="20"/>
                <w:szCs w:val="20"/>
              </w:rPr>
              <w:t xml:space="preserve"> </w:t>
            </w:r>
            <w:r w:rsidR="0058308F">
              <w:rPr>
                <w:rFonts w:asciiTheme="majorHAnsi" w:hAnsiTheme="majorHAnsi"/>
                <w:color w:val="000000" w:themeColor="text1"/>
                <w:sz w:val="20"/>
                <w:szCs w:val="20"/>
              </w:rPr>
              <w:t>Unified</w:t>
            </w:r>
            <w:r w:rsidR="0058308F" w:rsidRPr="14B7E38C">
              <w:rPr>
                <w:rFonts w:asciiTheme="majorHAnsi" w:hAnsiTheme="majorHAnsi"/>
                <w:color w:val="000000" w:themeColor="text1"/>
                <w:sz w:val="20"/>
                <w:szCs w:val="20"/>
              </w:rPr>
              <w:t xml:space="preserve"> </w:t>
            </w:r>
            <w:r w:rsidRPr="14B7E38C">
              <w:rPr>
                <w:rFonts w:asciiTheme="majorHAnsi" w:hAnsiTheme="majorHAnsi"/>
                <w:color w:val="000000" w:themeColor="text1"/>
                <w:sz w:val="20"/>
                <w:szCs w:val="20"/>
              </w:rPr>
              <w:t>Health System (SUS).</w:t>
            </w:r>
          </w:p>
        </w:tc>
      </w:tr>
      <w:tr w:rsidR="004B5E91" w:rsidRPr="00B10CBC" w14:paraId="74EFD406" w14:textId="77777777" w:rsidTr="14B7E38C">
        <w:trPr>
          <w:trHeight w:val="803"/>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810E65" w14:textId="77A0E50C"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11,441, </w:t>
            </w:r>
            <w:r w:rsidR="008803FA">
              <w:rPr>
                <w:rFonts w:asciiTheme="majorHAnsi" w:hAnsiTheme="majorHAnsi"/>
                <w:color w:val="000000"/>
                <w:sz w:val="20"/>
              </w:rPr>
              <w:t>of</w:t>
            </w:r>
            <w:r>
              <w:rPr>
                <w:rFonts w:asciiTheme="majorHAnsi" w:hAnsiTheme="majorHAnsi"/>
                <w:color w:val="000000"/>
                <w:sz w:val="20"/>
              </w:rPr>
              <w:t xml:space="preserve"> January 4</w:t>
            </w:r>
            <w:r>
              <w:rPr>
                <w:rFonts w:asciiTheme="majorHAnsi" w:hAnsiTheme="majorHAnsi"/>
                <w:color w:val="000000"/>
                <w:sz w:val="20"/>
                <w:vertAlign w:val="superscript"/>
              </w:rPr>
              <w:t>th</w:t>
            </w:r>
            <w:r>
              <w:rPr>
                <w:rFonts w:asciiTheme="majorHAnsi" w:hAnsiTheme="majorHAnsi"/>
                <w:color w:val="000000"/>
                <w:sz w:val="20"/>
              </w:rPr>
              <w:t>, 2007</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15122A5C" w14:textId="31DC1E52" w:rsidR="004B5E91" w:rsidRPr="00B10CBC" w:rsidRDefault="7C1D047A" w:rsidP="34416ECA">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 xml:space="preserve">Alter provision from Law N. 5,869, </w:t>
            </w:r>
            <w:r w:rsidR="6F7C0280" w:rsidRPr="14B7E38C">
              <w:rPr>
                <w:rFonts w:asciiTheme="majorHAnsi" w:hAnsiTheme="majorHAnsi"/>
                <w:color w:val="000000" w:themeColor="text1"/>
                <w:sz w:val="20"/>
                <w:szCs w:val="20"/>
              </w:rPr>
              <w:t>of</w:t>
            </w:r>
            <w:r w:rsidRPr="14B7E38C">
              <w:rPr>
                <w:rFonts w:asciiTheme="majorHAnsi" w:hAnsiTheme="majorHAnsi"/>
                <w:color w:val="000000" w:themeColor="text1"/>
                <w:sz w:val="20"/>
                <w:szCs w:val="20"/>
              </w:rPr>
              <w:t xml:space="preserve"> January 11</w:t>
            </w:r>
            <w:r w:rsidRPr="14B7E38C">
              <w:rPr>
                <w:rFonts w:asciiTheme="majorHAnsi" w:hAnsiTheme="majorHAnsi"/>
                <w:color w:val="000000" w:themeColor="text1"/>
                <w:sz w:val="20"/>
                <w:szCs w:val="20"/>
                <w:vertAlign w:val="superscript"/>
              </w:rPr>
              <w:t>th</w:t>
            </w:r>
            <w:r w:rsidRPr="14B7E38C">
              <w:rPr>
                <w:rFonts w:asciiTheme="majorHAnsi" w:hAnsiTheme="majorHAnsi"/>
                <w:color w:val="000000" w:themeColor="text1"/>
                <w:sz w:val="20"/>
                <w:szCs w:val="20"/>
              </w:rPr>
              <w:t xml:space="preserve">, 1973 (Brazilian Civil Procedure Code), allowing for the execution of inventory, sharing, consensual separation and consensual divorce </w:t>
            </w:r>
            <w:r w:rsidR="5AF5D528" w:rsidRPr="14B7E38C">
              <w:rPr>
                <w:rFonts w:asciiTheme="majorHAnsi" w:hAnsiTheme="majorHAnsi"/>
                <w:color w:val="000000" w:themeColor="text1"/>
                <w:sz w:val="20"/>
                <w:szCs w:val="20"/>
              </w:rPr>
              <w:t xml:space="preserve">by </w:t>
            </w:r>
            <w:r w:rsidRPr="14B7E38C">
              <w:rPr>
                <w:rFonts w:asciiTheme="majorHAnsi" w:hAnsiTheme="majorHAnsi"/>
                <w:color w:val="000000" w:themeColor="text1"/>
                <w:sz w:val="20"/>
                <w:szCs w:val="20"/>
              </w:rPr>
              <w:t>administrative</w:t>
            </w:r>
            <w:r w:rsidR="5B176FBF" w:rsidRPr="14B7E38C">
              <w:rPr>
                <w:rFonts w:asciiTheme="majorHAnsi" w:hAnsiTheme="majorHAnsi"/>
                <w:color w:val="000000" w:themeColor="text1"/>
                <w:sz w:val="20"/>
                <w:szCs w:val="20"/>
              </w:rPr>
              <w:t xml:space="preserve"> means.</w:t>
            </w:r>
          </w:p>
        </w:tc>
      </w:tr>
      <w:tr w:rsidR="004B5E91" w:rsidRPr="00B10CBC" w14:paraId="2DA1FF46" w14:textId="77777777" w:rsidTr="14B7E38C">
        <w:trPr>
          <w:trHeight w:val="634"/>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A5EAC2" w14:textId="648403C8"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11,634, </w:t>
            </w:r>
            <w:r w:rsidR="008803FA">
              <w:rPr>
                <w:rFonts w:asciiTheme="majorHAnsi" w:hAnsiTheme="majorHAnsi"/>
                <w:color w:val="000000"/>
                <w:sz w:val="20"/>
              </w:rPr>
              <w:t>of</w:t>
            </w:r>
            <w:r>
              <w:rPr>
                <w:rFonts w:asciiTheme="majorHAnsi" w:hAnsiTheme="majorHAnsi"/>
                <w:color w:val="000000"/>
                <w:sz w:val="20"/>
              </w:rPr>
              <w:t xml:space="preserve"> December 27</w:t>
            </w:r>
            <w:r>
              <w:rPr>
                <w:rFonts w:asciiTheme="majorHAnsi" w:hAnsiTheme="majorHAnsi"/>
                <w:color w:val="000000"/>
                <w:sz w:val="20"/>
                <w:vertAlign w:val="superscript"/>
              </w:rPr>
              <w:t>th</w:t>
            </w:r>
            <w:r>
              <w:rPr>
                <w:rFonts w:asciiTheme="majorHAnsi" w:hAnsiTheme="majorHAnsi"/>
                <w:color w:val="000000"/>
                <w:sz w:val="20"/>
              </w:rPr>
              <w:t>, 2007</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0B2BE2A1" w14:textId="075600E9" w:rsidR="004B5E91" w:rsidRPr="00B10CBC" w:rsidRDefault="0058308F" w:rsidP="0058308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Establishes </w:t>
            </w:r>
            <w:r w:rsidR="004B5E91">
              <w:rPr>
                <w:rFonts w:asciiTheme="majorHAnsi" w:hAnsiTheme="majorHAnsi"/>
                <w:color w:val="000000"/>
                <w:sz w:val="20"/>
              </w:rPr>
              <w:t>the right of the pregnant person the maternity</w:t>
            </w:r>
            <w:r>
              <w:rPr>
                <w:rFonts w:asciiTheme="majorHAnsi" w:hAnsiTheme="majorHAnsi"/>
                <w:color w:val="000000"/>
                <w:sz w:val="20"/>
              </w:rPr>
              <w:t xml:space="preserve"> facility </w:t>
            </w:r>
            <w:r w:rsidR="004B5E91">
              <w:rPr>
                <w:rFonts w:asciiTheme="majorHAnsi" w:hAnsiTheme="majorHAnsi"/>
                <w:color w:val="000000"/>
                <w:sz w:val="20"/>
              </w:rPr>
              <w:t xml:space="preserve">in which </w:t>
            </w:r>
            <w:r>
              <w:rPr>
                <w:rFonts w:asciiTheme="majorHAnsi" w:hAnsiTheme="majorHAnsi"/>
                <w:color w:val="000000"/>
                <w:sz w:val="20"/>
              </w:rPr>
              <w:t xml:space="preserve">she </w:t>
            </w:r>
            <w:r w:rsidR="004B5E91">
              <w:rPr>
                <w:rFonts w:asciiTheme="majorHAnsi" w:hAnsiTheme="majorHAnsi"/>
                <w:color w:val="000000"/>
                <w:sz w:val="20"/>
              </w:rPr>
              <w:t xml:space="preserve">will receive assistance within the </w:t>
            </w:r>
            <w:r>
              <w:rPr>
                <w:rFonts w:asciiTheme="majorHAnsi" w:hAnsiTheme="majorHAnsi"/>
                <w:color w:val="000000"/>
                <w:sz w:val="20"/>
              </w:rPr>
              <w:t xml:space="preserve">Unified </w:t>
            </w:r>
            <w:r w:rsidR="004B5E91">
              <w:rPr>
                <w:rFonts w:asciiTheme="majorHAnsi" w:hAnsiTheme="majorHAnsi"/>
                <w:color w:val="000000"/>
                <w:sz w:val="20"/>
              </w:rPr>
              <w:t>Health System.</w:t>
            </w:r>
          </w:p>
        </w:tc>
      </w:tr>
      <w:tr w:rsidR="004B5E91" w:rsidRPr="00B10CBC" w14:paraId="6CB13843" w14:textId="77777777" w:rsidTr="14B7E38C">
        <w:trPr>
          <w:trHeight w:val="830"/>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CAF087" w14:textId="096DA578"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11,664, </w:t>
            </w:r>
            <w:r w:rsidR="008803FA">
              <w:rPr>
                <w:rFonts w:asciiTheme="majorHAnsi" w:hAnsiTheme="majorHAnsi"/>
                <w:color w:val="000000"/>
                <w:sz w:val="20"/>
              </w:rPr>
              <w:t>of</w:t>
            </w:r>
            <w:r>
              <w:rPr>
                <w:rFonts w:asciiTheme="majorHAnsi" w:hAnsiTheme="majorHAnsi"/>
                <w:color w:val="000000"/>
                <w:sz w:val="20"/>
              </w:rPr>
              <w:t xml:space="preserve"> April 29</w:t>
            </w:r>
            <w:r>
              <w:rPr>
                <w:rFonts w:asciiTheme="majorHAnsi" w:hAnsiTheme="majorHAnsi"/>
                <w:color w:val="000000"/>
                <w:sz w:val="20"/>
                <w:vertAlign w:val="superscript"/>
              </w:rPr>
              <w:t>th</w:t>
            </w:r>
            <w:r>
              <w:rPr>
                <w:rFonts w:asciiTheme="majorHAnsi" w:hAnsiTheme="majorHAnsi"/>
                <w:color w:val="000000"/>
                <w:sz w:val="20"/>
              </w:rPr>
              <w:t>, 2008</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167A4B8E" w14:textId="7176E183" w:rsidR="004B5E91" w:rsidRPr="00B10CBC" w:rsidRDefault="0058308F" w:rsidP="0058308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Establishes </w:t>
            </w:r>
            <w:r w:rsidR="004B5E91">
              <w:rPr>
                <w:rFonts w:asciiTheme="majorHAnsi" w:hAnsiTheme="majorHAnsi"/>
                <w:color w:val="000000"/>
                <w:sz w:val="20"/>
              </w:rPr>
              <w:t xml:space="preserve">the implementation of health </w:t>
            </w:r>
            <w:r w:rsidR="009E174D">
              <w:rPr>
                <w:rFonts w:asciiTheme="majorHAnsi" w:hAnsiTheme="majorHAnsi"/>
                <w:color w:val="000000"/>
                <w:sz w:val="20"/>
              </w:rPr>
              <w:t>actions that</w:t>
            </w:r>
            <w:r w:rsidR="004B5E91">
              <w:rPr>
                <w:rFonts w:asciiTheme="majorHAnsi" w:hAnsiTheme="majorHAnsi"/>
                <w:color w:val="000000"/>
                <w:sz w:val="20"/>
              </w:rPr>
              <w:t xml:space="preserve"> secure the prevention, detection, treatment and follow-up of uterine cervix and breast cancers, within the </w:t>
            </w:r>
            <w:r>
              <w:rPr>
                <w:rFonts w:asciiTheme="majorHAnsi" w:hAnsiTheme="majorHAnsi"/>
                <w:color w:val="000000"/>
                <w:sz w:val="20"/>
              </w:rPr>
              <w:t xml:space="preserve">Unified </w:t>
            </w:r>
            <w:r w:rsidR="004B5E91">
              <w:rPr>
                <w:rFonts w:asciiTheme="majorHAnsi" w:hAnsiTheme="majorHAnsi"/>
                <w:color w:val="000000"/>
                <w:sz w:val="20"/>
              </w:rPr>
              <w:t>Health System (SUS).</w:t>
            </w:r>
          </w:p>
        </w:tc>
      </w:tr>
      <w:tr w:rsidR="004B5E91" w:rsidRPr="00B10CBC" w14:paraId="370E18CA" w14:textId="77777777" w:rsidTr="14B7E38C">
        <w:trPr>
          <w:trHeight w:val="348"/>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C84C96" w14:textId="32635152"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11,695, </w:t>
            </w:r>
            <w:r w:rsidR="008803FA">
              <w:rPr>
                <w:rFonts w:asciiTheme="majorHAnsi" w:hAnsiTheme="majorHAnsi"/>
                <w:color w:val="000000"/>
                <w:sz w:val="20"/>
              </w:rPr>
              <w:t>of</w:t>
            </w:r>
            <w:r>
              <w:rPr>
                <w:rFonts w:asciiTheme="majorHAnsi" w:hAnsiTheme="majorHAnsi"/>
                <w:color w:val="000000"/>
                <w:sz w:val="20"/>
              </w:rPr>
              <w:t xml:space="preserve"> May 12</w:t>
            </w:r>
            <w:r>
              <w:rPr>
                <w:rFonts w:asciiTheme="majorHAnsi" w:hAnsiTheme="majorHAnsi"/>
                <w:color w:val="000000"/>
                <w:sz w:val="20"/>
                <w:vertAlign w:val="superscript"/>
              </w:rPr>
              <w:t>th</w:t>
            </w:r>
            <w:r>
              <w:rPr>
                <w:rFonts w:asciiTheme="majorHAnsi" w:hAnsiTheme="majorHAnsi"/>
                <w:color w:val="000000"/>
                <w:sz w:val="20"/>
              </w:rPr>
              <w:t>, 2008</w:t>
            </w:r>
          </w:p>
        </w:tc>
        <w:tc>
          <w:tcPr>
            <w:tcW w:w="6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502F0636" w14:textId="77777777"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Introduces the National Mammography Day.</w:t>
            </w:r>
          </w:p>
        </w:tc>
      </w:tr>
      <w:tr w:rsidR="004B5E91" w:rsidRPr="00B10CBC" w14:paraId="35EE5ED7" w14:textId="77777777" w:rsidTr="14B7E38C">
        <w:trPr>
          <w:trHeight w:val="778"/>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2D9C8B0" w14:textId="27337847"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lastRenderedPageBreak/>
              <w:t xml:space="preserve">Law N. 11,770, </w:t>
            </w:r>
            <w:r w:rsidR="008803FA">
              <w:rPr>
                <w:rFonts w:asciiTheme="majorHAnsi" w:hAnsiTheme="majorHAnsi"/>
                <w:color w:val="000000"/>
                <w:sz w:val="20"/>
              </w:rPr>
              <w:t>of</w:t>
            </w:r>
            <w:r>
              <w:rPr>
                <w:rFonts w:asciiTheme="majorHAnsi" w:hAnsiTheme="majorHAnsi"/>
                <w:color w:val="000000"/>
                <w:sz w:val="20"/>
              </w:rPr>
              <w:t xml:space="preserve"> September 9</w:t>
            </w:r>
            <w:r>
              <w:rPr>
                <w:rFonts w:asciiTheme="majorHAnsi" w:hAnsiTheme="majorHAnsi"/>
                <w:color w:val="000000"/>
                <w:sz w:val="20"/>
                <w:vertAlign w:val="superscript"/>
              </w:rPr>
              <w:t>th</w:t>
            </w:r>
            <w:r>
              <w:rPr>
                <w:rFonts w:asciiTheme="majorHAnsi" w:hAnsiTheme="majorHAnsi"/>
                <w:color w:val="000000"/>
                <w:sz w:val="20"/>
              </w:rPr>
              <w:t>, 2008</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F4D077" w14:textId="7C9A0C30" w:rsidR="004B5E91" w:rsidRPr="00B10CBC" w:rsidRDefault="13A3359A"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Creates the Citizen Company Program, destined to extend the maternity leave through tax incentives, and alters Law N. 8,212, </w:t>
            </w:r>
            <w:r w:rsidR="1B4BA714"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July 24</w:t>
            </w:r>
            <w:r w:rsidRPr="34416ECA">
              <w:rPr>
                <w:rFonts w:asciiTheme="majorHAnsi" w:hAnsiTheme="majorHAnsi"/>
                <w:color w:val="000000" w:themeColor="text1"/>
                <w:sz w:val="20"/>
                <w:szCs w:val="20"/>
                <w:vertAlign w:val="superscript"/>
              </w:rPr>
              <w:t>th</w:t>
            </w:r>
            <w:r w:rsidRPr="34416ECA">
              <w:rPr>
                <w:rFonts w:asciiTheme="majorHAnsi" w:hAnsiTheme="majorHAnsi"/>
                <w:color w:val="000000" w:themeColor="text1"/>
                <w:sz w:val="20"/>
                <w:szCs w:val="20"/>
              </w:rPr>
              <w:t>, 1991.</w:t>
            </w:r>
          </w:p>
        </w:tc>
      </w:tr>
      <w:tr w:rsidR="004B5E91" w:rsidRPr="00B10CBC" w14:paraId="4F555CED" w14:textId="77777777" w:rsidTr="14B7E38C">
        <w:trPr>
          <w:trHeight w:val="607"/>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B93061" w14:textId="3CD289D2"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11,804, </w:t>
            </w:r>
            <w:r w:rsidR="008803FA">
              <w:rPr>
                <w:rFonts w:asciiTheme="majorHAnsi" w:hAnsiTheme="majorHAnsi"/>
                <w:color w:val="000000"/>
                <w:sz w:val="20"/>
              </w:rPr>
              <w:t>of</w:t>
            </w:r>
            <w:r>
              <w:rPr>
                <w:rFonts w:asciiTheme="majorHAnsi" w:hAnsiTheme="majorHAnsi"/>
                <w:color w:val="000000"/>
                <w:sz w:val="20"/>
              </w:rPr>
              <w:t xml:space="preserve"> November 5</w:t>
            </w:r>
            <w:r>
              <w:rPr>
                <w:rFonts w:asciiTheme="majorHAnsi" w:hAnsiTheme="majorHAnsi"/>
                <w:color w:val="000000"/>
                <w:sz w:val="20"/>
                <w:vertAlign w:val="superscript"/>
              </w:rPr>
              <w:t>th</w:t>
            </w:r>
            <w:r>
              <w:rPr>
                <w:rFonts w:asciiTheme="majorHAnsi" w:hAnsiTheme="majorHAnsi"/>
                <w:color w:val="000000"/>
                <w:sz w:val="20"/>
              </w:rPr>
              <w:t>, 2008</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81BDA6" w14:textId="580475BC" w:rsidR="004B5E91" w:rsidRPr="00B10CBC" w:rsidRDefault="03A71EB0" w:rsidP="0058308F">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 xml:space="preserve">Regulates the right to pregnancy </w:t>
            </w:r>
            <w:r w:rsidR="009E174D" w:rsidRPr="14B7E38C">
              <w:rPr>
                <w:rFonts w:asciiTheme="majorHAnsi" w:hAnsiTheme="majorHAnsi"/>
                <w:color w:val="000000" w:themeColor="text1"/>
                <w:sz w:val="20"/>
                <w:szCs w:val="20"/>
              </w:rPr>
              <w:t>alimonies.</w:t>
            </w:r>
          </w:p>
        </w:tc>
      </w:tr>
      <w:tr w:rsidR="004B5E91" w:rsidRPr="00B10CBC" w14:paraId="7A0E127D" w14:textId="77777777" w:rsidTr="14B7E38C">
        <w:trPr>
          <w:trHeight w:val="562"/>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DABEDA" w14:textId="730CBE36"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11,924, </w:t>
            </w:r>
            <w:r w:rsidR="008803FA">
              <w:rPr>
                <w:rFonts w:asciiTheme="majorHAnsi" w:hAnsiTheme="majorHAnsi"/>
                <w:color w:val="000000"/>
                <w:sz w:val="20"/>
              </w:rPr>
              <w:t>of</w:t>
            </w:r>
            <w:r>
              <w:rPr>
                <w:rFonts w:asciiTheme="majorHAnsi" w:hAnsiTheme="majorHAnsi"/>
                <w:color w:val="000000"/>
                <w:sz w:val="20"/>
              </w:rPr>
              <w:t xml:space="preserve"> April 17</w:t>
            </w:r>
            <w:r>
              <w:rPr>
                <w:rFonts w:asciiTheme="majorHAnsi" w:hAnsiTheme="majorHAnsi"/>
                <w:color w:val="000000"/>
                <w:sz w:val="20"/>
                <w:vertAlign w:val="superscript"/>
              </w:rPr>
              <w:t>th</w:t>
            </w:r>
            <w:r>
              <w:rPr>
                <w:rFonts w:asciiTheme="majorHAnsi" w:hAnsiTheme="majorHAnsi"/>
                <w:color w:val="000000"/>
                <w:sz w:val="20"/>
              </w:rPr>
              <w:t>, 2009</w:t>
            </w:r>
          </w:p>
        </w:tc>
        <w:tc>
          <w:tcPr>
            <w:tcW w:w="652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D86101" w14:textId="13B1C597" w:rsidR="004B5E91" w:rsidRPr="00B10CBC" w:rsidRDefault="13A3359A"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Alters Article 57 </w:t>
            </w:r>
            <w:r w:rsidR="0A2F369D" w:rsidRPr="34416ECA">
              <w:rPr>
                <w:rFonts w:asciiTheme="majorHAnsi" w:hAnsiTheme="majorHAnsi"/>
                <w:color w:val="000000" w:themeColor="text1"/>
                <w:sz w:val="20"/>
                <w:szCs w:val="20"/>
              </w:rPr>
              <w:t>from</w:t>
            </w:r>
            <w:r w:rsidRPr="34416ECA">
              <w:rPr>
                <w:rFonts w:asciiTheme="majorHAnsi" w:hAnsiTheme="majorHAnsi"/>
                <w:color w:val="000000" w:themeColor="text1"/>
                <w:sz w:val="20"/>
                <w:szCs w:val="20"/>
              </w:rPr>
              <w:t xml:space="preserve"> Law N. 6,015, </w:t>
            </w:r>
            <w:r w:rsidR="05D085BD"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December 31</w:t>
            </w:r>
            <w:r w:rsidRPr="34416ECA">
              <w:rPr>
                <w:rFonts w:asciiTheme="majorHAnsi" w:hAnsiTheme="majorHAnsi"/>
                <w:color w:val="000000" w:themeColor="text1"/>
                <w:sz w:val="20"/>
                <w:szCs w:val="20"/>
                <w:vertAlign w:val="superscript"/>
              </w:rPr>
              <w:t>st</w:t>
            </w:r>
            <w:r w:rsidRPr="34416ECA">
              <w:rPr>
                <w:rFonts w:asciiTheme="majorHAnsi" w:hAnsiTheme="majorHAnsi"/>
                <w:color w:val="000000" w:themeColor="text1"/>
                <w:sz w:val="20"/>
                <w:szCs w:val="20"/>
              </w:rPr>
              <w:t>, 1973, to authorize stepchildren to adopt the family name of their stepparents.</w:t>
            </w:r>
          </w:p>
        </w:tc>
      </w:tr>
      <w:tr w:rsidR="004B5E91" w:rsidRPr="00B10CBC" w14:paraId="62367A0A" w14:textId="77777777" w:rsidTr="14B7E38C">
        <w:trPr>
          <w:trHeight w:val="836"/>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8E84F48" w14:textId="25F5E542"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11,942, </w:t>
            </w:r>
            <w:r w:rsidR="008803FA">
              <w:rPr>
                <w:rFonts w:asciiTheme="majorHAnsi" w:hAnsiTheme="majorHAnsi"/>
                <w:color w:val="000000"/>
                <w:sz w:val="20"/>
              </w:rPr>
              <w:t>of</w:t>
            </w:r>
            <w:r>
              <w:rPr>
                <w:rFonts w:asciiTheme="majorHAnsi" w:hAnsiTheme="majorHAnsi"/>
                <w:color w:val="000000"/>
                <w:sz w:val="20"/>
              </w:rPr>
              <w:t xml:space="preserve"> May 28</w:t>
            </w:r>
            <w:r>
              <w:rPr>
                <w:rFonts w:asciiTheme="majorHAnsi" w:hAnsiTheme="majorHAnsi"/>
                <w:color w:val="000000"/>
                <w:sz w:val="20"/>
                <w:vertAlign w:val="superscript"/>
              </w:rPr>
              <w:t>th</w:t>
            </w:r>
            <w:r>
              <w:rPr>
                <w:rFonts w:asciiTheme="majorHAnsi" w:hAnsiTheme="majorHAnsi"/>
                <w:color w:val="000000"/>
                <w:sz w:val="20"/>
              </w:rPr>
              <w:t>, 2009</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53363906" w14:textId="0359F3BA" w:rsidR="004B5E91" w:rsidRPr="00B10CBC" w:rsidRDefault="13A3359A"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Gives new wording to the Articles 14, 83 and 89 </w:t>
            </w:r>
            <w:r w:rsidR="79F19C7C" w:rsidRPr="34416ECA">
              <w:rPr>
                <w:rFonts w:asciiTheme="majorHAnsi" w:hAnsiTheme="majorHAnsi"/>
                <w:color w:val="000000" w:themeColor="text1"/>
                <w:sz w:val="20"/>
                <w:szCs w:val="20"/>
              </w:rPr>
              <w:t>from</w:t>
            </w:r>
            <w:r w:rsidRPr="34416ECA">
              <w:rPr>
                <w:rFonts w:asciiTheme="majorHAnsi" w:hAnsiTheme="majorHAnsi"/>
                <w:color w:val="000000" w:themeColor="text1"/>
                <w:sz w:val="20"/>
                <w:szCs w:val="20"/>
              </w:rPr>
              <w:t xml:space="preserve"> Law N. 7,210, </w:t>
            </w:r>
            <w:r w:rsidR="132E5E46" w:rsidRPr="34416ECA">
              <w:rPr>
                <w:rFonts w:asciiTheme="majorHAnsi" w:hAnsiTheme="majorHAnsi"/>
                <w:color w:val="000000" w:themeColor="text1"/>
                <w:sz w:val="20"/>
                <w:szCs w:val="20"/>
              </w:rPr>
              <w:t>of</w:t>
            </w:r>
            <w:r w:rsidR="006B4317" w:rsidRPr="34416ECA">
              <w:rPr>
                <w:rFonts w:asciiTheme="majorHAnsi" w:hAnsiTheme="majorHAnsi"/>
                <w:color w:val="000000" w:themeColor="text1"/>
                <w:sz w:val="20"/>
                <w:szCs w:val="20"/>
              </w:rPr>
              <w:t xml:space="preserve"> July 11</w:t>
            </w:r>
            <w:r w:rsidR="006B4317" w:rsidRPr="34416ECA">
              <w:rPr>
                <w:rFonts w:asciiTheme="majorHAnsi" w:hAnsiTheme="majorHAnsi"/>
                <w:color w:val="000000" w:themeColor="text1"/>
                <w:sz w:val="20"/>
                <w:szCs w:val="20"/>
                <w:vertAlign w:val="superscript"/>
              </w:rPr>
              <w:t>th</w:t>
            </w:r>
            <w:r w:rsidR="006B4317" w:rsidRPr="34416ECA">
              <w:rPr>
                <w:rFonts w:asciiTheme="majorHAnsi" w:hAnsiTheme="majorHAnsi"/>
                <w:color w:val="000000" w:themeColor="text1"/>
                <w:sz w:val="20"/>
                <w:szCs w:val="20"/>
              </w:rPr>
              <w:t>, 1984 (Criminal Law Enforcement)</w:t>
            </w:r>
            <w:r w:rsidRPr="34416ECA">
              <w:rPr>
                <w:rFonts w:asciiTheme="majorHAnsi" w:hAnsiTheme="majorHAnsi"/>
                <w:color w:val="000000" w:themeColor="text1"/>
                <w:sz w:val="20"/>
                <w:szCs w:val="20"/>
              </w:rPr>
              <w:t xml:space="preserve"> to secure imprisoned mothers and their newborns minimum assistance conditions.</w:t>
            </w:r>
          </w:p>
        </w:tc>
      </w:tr>
      <w:tr w:rsidR="004B5E91" w:rsidRPr="00B10CBC" w14:paraId="58C16A48" w14:textId="77777777" w:rsidTr="14B7E38C">
        <w:trPr>
          <w:trHeight w:val="525"/>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F4A9D2" w14:textId="2CE7CE0F"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12,004, </w:t>
            </w:r>
            <w:r w:rsidR="008803FA">
              <w:rPr>
                <w:rFonts w:asciiTheme="majorHAnsi" w:hAnsiTheme="majorHAnsi"/>
                <w:color w:val="000000"/>
                <w:sz w:val="20"/>
              </w:rPr>
              <w:t>of</w:t>
            </w:r>
            <w:r>
              <w:rPr>
                <w:rFonts w:asciiTheme="majorHAnsi" w:hAnsiTheme="majorHAnsi"/>
                <w:color w:val="000000"/>
                <w:sz w:val="20"/>
              </w:rPr>
              <w:t xml:space="preserve"> July 29</w:t>
            </w:r>
            <w:r>
              <w:rPr>
                <w:rFonts w:asciiTheme="majorHAnsi" w:hAnsiTheme="majorHAnsi"/>
                <w:color w:val="000000"/>
                <w:sz w:val="20"/>
                <w:vertAlign w:val="superscript"/>
              </w:rPr>
              <w:t>th</w:t>
            </w:r>
            <w:r>
              <w:rPr>
                <w:rFonts w:asciiTheme="majorHAnsi" w:hAnsiTheme="majorHAnsi"/>
                <w:color w:val="000000"/>
                <w:sz w:val="20"/>
              </w:rPr>
              <w:t>, 2009</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6B23D579" w14:textId="53D8E4B9" w:rsidR="004B5E91" w:rsidRPr="00B10CBC" w:rsidRDefault="13A3359A"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Alters Law N. 8,560, </w:t>
            </w:r>
            <w:r w:rsidR="552C1602"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December 29th, 1992, which regulates the paternity investigation of children born out of wedlock and gives other provisions.</w:t>
            </w:r>
          </w:p>
        </w:tc>
      </w:tr>
      <w:tr w:rsidR="004B5E91" w:rsidRPr="00B10CBC" w14:paraId="6E8639F8" w14:textId="77777777" w:rsidTr="14B7E38C">
        <w:trPr>
          <w:trHeight w:val="833"/>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173895" w14:textId="42CB6DCA"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12,034, </w:t>
            </w:r>
            <w:r w:rsidR="008803FA">
              <w:rPr>
                <w:rFonts w:asciiTheme="majorHAnsi" w:hAnsiTheme="majorHAnsi"/>
                <w:color w:val="000000"/>
                <w:sz w:val="20"/>
              </w:rPr>
              <w:t>of</w:t>
            </w:r>
            <w:r>
              <w:rPr>
                <w:rFonts w:asciiTheme="majorHAnsi" w:hAnsiTheme="majorHAnsi"/>
                <w:color w:val="000000"/>
                <w:sz w:val="20"/>
              </w:rPr>
              <w:t xml:space="preserve"> September 29</w:t>
            </w:r>
            <w:r>
              <w:rPr>
                <w:rFonts w:asciiTheme="majorHAnsi" w:hAnsiTheme="majorHAnsi"/>
                <w:color w:val="000000"/>
                <w:sz w:val="20"/>
                <w:vertAlign w:val="superscript"/>
              </w:rPr>
              <w:t>th</w:t>
            </w:r>
            <w:r>
              <w:rPr>
                <w:rFonts w:asciiTheme="majorHAnsi" w:hAnsiTheme="majorHAnsi"/>
                <w:color w:val="000000"/>
                <w:sz w:val="20"/>
              </w:rPr>
              <w:t>, 2009</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08E2593D" w14:textId="345FD116" w:rsidR="004B5E91" w:rsidRPr="00B10CBC" w:rsidRDefault="13A3359A" w:rsidP="34416ECA">
            <w:pPr>
              <w:spacing w:after="0" w:line="240" w:lineRule="auto"/>
              <w:rPr>
                <w:rFonts w:asciiTheme="majorHAnsi" w:eastAsia="Times New Roman" w:hAnsiTheme="majorHAnsi" w:cstheme="majorBidi"/>
                <w:color w:val="000000"/>
                <w:sz w:val="20"/>
                <w:szCs w:val="20"/>
              </w:rPr>
            </w:pPr>
            <w:r w:rsidRPr="34416ECA">
              <w:rPr>
                <w:rFonts w:asciiTheme="majorHAnsi" w:hAnsiTheme="majorHAnsi"/>
                <w:color w:val="000000" w:themeColor="text1"/>
                <w:sz w:val="20"/>
                <w:szCs w:val="20"/>
              </w:rPr>
              <w:t xml:space="preserve">Alters Laws N. 9,096, </w:t>
            </w:r>
            <w:r w:rsidR="2E912DA4"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September 19</w:t>
            </w:r>
            <w:r w:rsidRPr="34416ECA">
              <w:rPr>
                <w:rFonts w:asciiTheme="majorHAnsi" w:hAnsiTheme="majorHAnsi"/>
                <w:color w:val="000000" w:themeColor="text1"/>
                <w:sz w:val="20"/>
                <w:szCs w:val="20"/>
                <w:vertAlign w:val="superscript"/>
              </w:rPr>
              <w:t>th</w:t>
            </w:r>
            <w:r w:rsidRPr="34416ECA">
              <w:rPr>
                <w:rFonts w:asciiTheme="majorHAnsi" w:hAnsiTheme="majorHAnsi"/>
                <w:color w:val="000000" w:themeColor="text1"/>
                <w:sz w:val="20"/>
                <w:szCs w:val="20"/>
              </w:rPr>
              <w:t xml:space="preserve">, 1995 (Political Parties Law), 9,504, </w:t>
            </w:r>
            <w:r w:rsidR="0484648F"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September 30</w:t>
            </w:r>
            <w:r w:rsidRPr="34416ECA">
              <w:rPr>
                <w:rFonts w:asciiTheme="majorHAnsi" w:hAnsiTheme="majorHAnsi"/>
                <w:color w:val="000000" w:themeColor="text1"/>
                <w:sz w:val="20"/>
                <w:szCs w:val="20"/>
                <w:vertAlign w:val="superscript"/>
              </w:rPr>
              <w:t>th</w:t>
            </w:r>
            <w:r w:rsidRPr="34416ECA">
              <w:rPr>
                <w:rFonts w:asciiTheme="majorHAnsi" w:hAnsiTheme="majorHAnsi"/>
                <w:color w:val="000000" w:themeColor="text1"/>
                <w:sz w:val="20"/>
                <w:szCs w:val="20"/>
              </w:rPr>
              <w:t xml:space="preserve">, 1997, which establishes elections regulations, and 4,737, </w:t>
            </w:r>
            <w:r w:rsidR="1EDEDA98" w:rsidRPr="34416ECA">
              <w:rPr>
                <w:rFonts w:asciiTheme="majorHAnsi" w:hAnsiTheme="majorHAnsi"/>
                <w:color w:val="000000" w:themeColor="text1"/>
                <w:sz w:val="20"/>
                <w:szCs w:val="20"/>
              </w:rPr>
              <w:t>of</w:t>
            </w:r>
            <w:r w:rsidRPr="34416ECA">
              <w:rPr>
                <w:rFonts w:asciiTheme="majorHAnsi" w:hAnsiTheme="majorHAnsi"/>
                <w:color w:val="000000" w:themeColor="text1"/>
                <w:sz w:val="20"/>
                <w:szCs w:val="20"/>
              </w:rPr>
              <w:t xml:space="preserve"> July 15</w:t>
            </w:r>
            <w:r w:rsidRPr="34416ECA">
              <w:rPr>
                <w:rFonts w:asciiTheme="majorHAnsi" w:hAnsiTheme="majorHAnsi"/>
                <w:color w:val="000000" w:themeColor="text1"/>
                <w:sz w:val="20"/>
                <w:szCs w:val="20"/>
                <w:vertAlign w:val="superscript"/>
              </w:rPr>
              <w:t>th</w:t>
            </w:r>
            <w:r w:rsidRPr="34416ECA">
              <w:rPr>
                <w:rFonts w:asciiTheme="majorHAnsi" w:hAnsiTheme="majorHAnsi"/>
                <w:color w:val="000000" w:themeColor="text1"/>
                <w:sz w:val="20"/>
                <w:szCs w:val="20"/>
              </w:rPr>
              <w:t>, 1965 - Electoral Code.</w:t>
            </w:r>
          </w:p>
        </w:tc>
      </w:tr>
      <w:tr w:rsidR="004B5E91" w:rsidRPr="00B10CBC" w14:paraId="0B1436E1" w14:textId="77777777" w:rsidTr="14B7E38C">
        <w:trPr>
          <w:trHeight w:val="875"/>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6AE3DE" w14:textId="77777777"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13.025/14</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55B49064" w14:textId="1D72B0B2" w:rsidR="004B5E91" w:rsidRPr="00B10CBC" w:rsidRDefault="03A71EB0" w:rsidP="14B7E38C">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 xml:space="preserve">Alters Article 1 </w:t>
            </w:r>
            <w:r w:rsidR="36FF4663" w:rsidRPr="14B7E38C">
              <w:rPr>
                <w:rFonts w:asciiTheme="majorHAnsi" w:hAnsiTheme="majorHAnsi"/>
                <w:color w:val="000000" w:themeColor="text1"/>
                <w:sz w:val="20"/>
                <w:szCs w:val="20"/>
              </w:rPr>
              <w:t>from</w:t>
            </w:r>
            <w:r w:rsidRPr="14B7E38C">
              <w:rPr>
                <w:rFonts w:asciiTheme="majorHAnsi" w:hAnsiTheme="majorHAnsi"/>
                <w:color w:val="000000" w:themeColor="text1"/>
                <w:sz w:val="20"/>
                <w:szCs w:val="20"/>
              </w:rPr>
              <w:t xml:space="preserve"> Law N. 10,714, </w:t>
            </w:r>
            <w:r w:rsidR="2763BC70" w:rsidRPr="14B7E38C">
              <w:rPr>
                <w:rFonts w:asciiTheme="majorHAnsi" w:hAnsiTheme="majorHAnsi"/>
                <w:color w:val="000000" w:themeColor="text1"/>
                <w:sz w:val="20"/>
                <w:szCs w:val="20"/>
              </w:rPr>
              <w:t>of</w:t>
            </w:r>
            <w:r w:rsidRPr="14B7E38C">
              <w:rPr>
                <w:rFonts w:asciiTheme="majorHAnsi" w:hAnsiTheme="majorHAnsi"/>
                <w:color w:val="000000" w:themeColor="text1"/>
                <w:sz w:val="20"/>
                <w:szCs w:val="20"/>
              </w:rPr>
              <w:t xml:space="preserve"> August 13</w:t>
            </w:r>
            <w:r w:rsidRPr="14B7E38C">
              <w:rPr>
                <w:rFonts w:asciiTheme="majorHAnsi" w:hAnsiTheme="majorHAnsi"/>
                <w:color w:val="000000" w:themeColor="text1"/>
                <w:sz w:val="20"/>
                <w:szCs w:val="20"/>
                <w:vertAlign w:val="superscript"/>
              </w:rPr>
              <w:t>th</w:t>
            </w:r>
            <w:r w:rsidRPr="14B7E38C">
              <w:rPr>
                <w:rFonts w:asciiTheme="majorHAnsi" w:hAnsiTheme="majorHAnsi"/>
                <w:color w:val="000000" w:themeColor="text1"/>
                <w:sz w:val="20"/>
                <w:szCs w:val="20"/>
              </w:rPr>
              <w:t>, 2003, which authorizes the Executive Power to provide, in national level, a phone number destined to receive violence against women reports.</w:t>
            </w:r>
          </w:p>
        </w:tc>
      </w:tr>
      <w:tr w:rsidR="004B5E91" w:rsidRPr="00B10CBC" w14:paraId="244E6FA9" w14:textId="77777777" w:rsidTr="14B7E38C">
        <w:trPr>
          <w:trHeight w:val="607"/>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8A1475" w14:textId="77777777"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13.272/16</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493F8141" w14:textId="77777777"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Establishes the year of 2016 as the Year of Women Political and Sport Empowerment.</w:t>
            </w:r>
          </w:p>
        </w:tc>
      </w:tr>
      <w:tr w:rsidR="004B5E91" w:rsidRPr="00B10CBC" w14:paraId="6F3814F6" w14:textId="77777777" w:rsidTr="14B7E38C">
        <w:trPr>
          <w:trHeight w:val="553"/>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1E6016" w14:textId="77777777"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13.421/2017</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585926F3" w14:textId="53F16651" w:rsidR="004B5E91" w:rsidRPr="00B10CBC" w:rsidRDefault="0058308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Creates</w:t>
            </w:r>
            <w:r w:rsidR="004B5E91">
              <w:rPr>
                <w:rFonts w:asciiTheme="majorHAnsi" w:hAnsiTheme="majorHAnsi"/>
                <w:color w:val="000000"/>
                <w:sz w:val="20"/>
              </w:rPr>
              <w:t xml:space="preserve"> the National Week for Non-Violence against Women and gives other provisions.</w:t>
            </w:r>
          </w:p>
        </w:tc>
      </w:tr>
      <w:tr w:rsidR="004B5E91" w:rsidRPr="00B10CBC" w14:paraId="247AEDE5" w14:textId="77777777" w:rsidTr="14B7E38C">
        <w:trPr>
          <w:trHeight w:val="1134"/>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8915A8" w14:textId="6EEF2078"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13,642, </w:t>
            </w:r>
            <w:r w:rsidR="008803FA">
              <w:rPr>
                <w:rFonts w:asciiTheme="majorHAnsi" w:hAnsiTheme="majorHAnsi"/>
                <w:color w:val="000000"/>
                <w:sz w:val="20"/>
              </w:rPr>
              <w:t>of</w:t>
            </w:r>
            <w:r>
              <w:rPr>
                <w:rFonts w:asciiTheme="majorHAnsi" w:hAnsiTheme="majorHAnsi"/>
                <w:color w:val="000000"/>
                <w:sz w:val="20"/>
              </w:rPr>
              <w:t xml:space="preserve"> April 3</w:t>
            </w:r>
            <w:r>
              <w:rPr>
                <w:rFonts w:asciiTheme="majorHAnsi" w:hAnsiTheme="majorHAnsi"/>
                <w:color w:val="000000"/>
                <w:sz w:val="20"/>
                <w:vertAlign w:val="superscript"/>
              </w:rPr>
              <w:t>rd</w:t>
            </w:r>
            <w:r>
              <w:rPr>
                <w:rFonts w:asciiTheme="majorHAnsi" w:hAnsiTheme="majorHAnsi"/>
                <w:color w:val="000000"/>
                <w:sz w:val="20"/>
              </w:rPr>
              <w:t>, 2018</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0710A447" w14:textId="60111D2E" w:rsidR="004B5E91" w:rsidRPr="00B10CBC" w:rsidRDefault="03A71EB0" w:rsidP="0058308F">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 xml:space="preserve">Alters Law N. 10,446, </w:t>
            </w:r>
            <w:r w:rsidR="62F49A8A" w:rsidRPr="14B7E38C">
              <w:rPr>
                <w:rFonts w:asciiTheme="majorHAnsi" w:hAnsiTheme="majorHAnsi"/>
                <w:color w:val="000000" w:themeColor="text1"/>
                <w:sz w:val="20"/>
                <w:szCs w:val="20"/>
              </w:rPr>
              <w:t>of</w:t>
            </w:r>
            <w:r w:rsidRPr="14B7E38C">
              <w:rPr>
                <w:rFonts w:asciiTheme="majorHAnsi" w:hAnsiTheme="majorHAnsi"/>
                <w:color w:val="000000" w:themeColor="text1"/>
                <w:sz w:val="20"/>
                <w:szCs w:val="20"/>
              </w:rPr>
              <w:t xml:space="preserve"> May 8</w:t>
            </w:r>
            <w:r w:rsidRPr="14B7E38C">
              <w:rPr>
                <w:rFonts w:asciiTheme="majorHAnsi" w:hAnsiTheme="majorHAnsi"/>
                <w:color w:val="000000" w:themeColor="text1"/>
                <w:sz w:val="20"/>
                <w:szCs w:val="20"/>
                <w:vertAlign w:val="superscript"/>
              </w:rPr>
              <w:t>th</w:t>
            </w:r>
            <w:r w:rsidRPr="14B7E38C">
              <w:rPr>
                <w:rFonts w:asciiTheme="majorHAnsi" w:hAnsiTheme="majorHAnsi"/>
                <w:color w:val="000000" w:themeColor="text1"/>
                <w:sz w:val="20"/>
                <w:szCs w:val="20"/>
              </w:rPr>
              <w:t xml:space="preserve">, 2002, to introduce responsibility to the Federal Police regarding the investigation of crimes practiced through the World Wide Web </w:t>
            </w:r>
            <w:r w:rsidR="0058308F">
              <w:rPr>
                <w:rFonts w:asciiTheme="majorHAnsi" w:hAnsiTheme="majorHAnsi"/>
                <w:color w:val="000000" w:themeColor="text1"/>
                <w:sz w:val="20"/>
                <w:szCs w:val="20"/>
              </w:rPr>
              <w:t xml:space="preserve">that </w:t>
            </w:r>
            <w:r w:rsidRPr="14B7E38C">
              <w:rPr>
                <w:rFonts w:asciiTheme="majorHAnsi" w:hAnsiTheme="majorHAnsi"/>
                <w:color w:val="000000" w:themeColor="text1"/>
                <w:sz w:val="20"/>
                <w:szCs w:val="20"/>
              </w:rPr>
              <w:t>spread misogynist contents or spread hate or aversion to women.</w:t>
            </w:r>
          </w:p>
        </w:tc>
      </w:tr>
      <w:tr w:rsidR="004B5E91" w:rsidRPr="00B10CBC" w14:paraId="2DAFB30C" w14:textId="77777777" w:rsidTr="14B7E38C">
        <w:trPr>
          <w:trHeight w:val="1068"/>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052337" w14:textId="77777777" w:rsidR="004B5E91" w:rsidRPr="00B10CBC" w:rsidRDefault="004B5E91"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13.104/15</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2F24B139" w14:textId="157F99B0" w:rsidR="004B5E91" w:rsidRPr="00B10CBC" w:rsidRDefault="03A71EB0" w:rsidP="14B7E38C">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 xml:space="preserve">Alters Article 121 </w:t>
            </w:r>
            <w:r w:rsidR="54F69E2D" w:rsidRPr="14B7E38C">
              <w:rPr>
                <w:rFonts w:asciiTheme="majorHAnsi" w:hAnsiTheme="majorHAnsi"/>
                <w:color w:val="000000" w:themeColor="text1"/>
                <w:sz w:val="20"/>
                <w:szCs w:val="20"/>
              </w:rPr>
              <w:t>from</w:t>
            </w:r>
            <w:r w:rsidRPr="14B7E38C">
              <w:rPr>
                <w:rFonts w:asciiTheme="majorHAnsi" w:hAnsiTheme="majorHAnsi"/>
                <w:color w:val="000000" w:themeColor="text1"/>
                <w:sz w:val="20"/>
                <w:szCs w:val="20"/>
              </w:rPr>
              <w:t xml:space="preserve"> Decree-Law N. 2,848, </w:t>
            </w:r>
            <w:r w:rsidR="75A42B94" w:rsidRPr="14B7E38C">
              <w:rPr>
                <w:rFonts w:asciiTheme="majorHAnsi" w:hAnsiTheme="majorHAnsi"/>
                <w:color w:val="000000" w:themeColor="text1"/>
                <w:sz w:val="20"/>
                <w:szCs w:val="20"/>
              </w:rPr>
              <w:t>of</w:t>
            </w:r>
            <w:r w:rsidRPr="14B7E38C">
              <w:rPr>
                <w:rFonts w:asciiTheme="majorHAnsi" w:hAnsiTheme="majorHAnsi"/>
                <w:color w:val="000000" w:themeColor="text1"/>
                <w:sz w:val="20"/>
                <w:szCs w:val="20"/>
              </w:rPr>
              <w:t xml:space="preserve"> December 7</w:t>
            </w:r>
            <w:r w:rsidRPr="14B7E38C">
              <w:rPr>
                <w:rFonts w:asciiTheme="majorHAnsi" w:hAnsiTheme="majorHAnsi"/>
                <w:color w:val="000000" w:themeColor="text1"/>
                <w:sz w:val="20"/>
                <w:szCs w:val="20"/>
                <w:vertAlign w:val="superscript"/>
              </w:rPr>
              <w:t>th</w:t>
            </w:r>
            <w:r w:rsidRPr="14B7E38C">
              <w:rPr>
                <w:rFonts w:asciiTheme="majorHAnsi" w:hAnsiTheme="majorHAnsi"/>
                <w:color w:val="000000" w:themeColor="text1"/>
                <w:sz w:val="20"/>
                <w:szCs w:val="20"/>
              </w:rPr>
              <w:t>, 2940 - Criminal Code, to introduce feminicide as an aggravating circumstance of murder, and Article 1 of Law N. 8,072, from July 25</w:t>
            </w:r>
            <w:r w:rsidRPr="14B7E38C">
              <w:rPr>
                <w:rFonts w:asciiTheme="majorHAnsi" w:hAnsiTheme="majorHAnsi"/>
                <w:color w:val="000000" w:themeColor="text1"/>
                <w:sz w:val="20"/>
                <w:szCs w:val="20"/>
                <w:vertAlign w:val="superscript"/>
              </w:rPr>
              <w:t>th</w:t>
            </w:r>
            <w:r w:rsidRPr="14B7E38C">
              <w:rPr>
                <w:rFonts w:asciiTheme="majorHAnsi" w:hAnsiTheme="majorHAnsi"/>
                <w:color w:val="000000" w:themeColor="text1"/>
                <w:sz w:val="20"/>
                <w:szCs w:val="20"/>
              </w:rPr>
              <w:t>, 1990, to include feminicide in the list of heinous crimes.</w:t>
            </w:r>
          </w:p>
        </w:tc>
      </w:tr>
      <w:tr w:rsidR="009B42FA" w:rsidRPr="00B10CBC" w14:paraId="13BC025B" w14:textId="77777777" w:rsidTr="14B7E38C">
        <w:trPr>
          <w:trHeight w:val="765"/>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B1F1FA" w14:textId="77777777" w:rsidR="009B42FA" w:rsidRPr="00B10CBC" w:rsidRDefault="009B42FA"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Resolution N. 10/2009</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0F9CF6FD" w14:textId="77777777" w:rsidR="009B42FA" w:rsidRPr="00B10CBC" w:rsidRDefault="009B42FA"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Creates the Special Women Procuratorate, altering the Chamber of Deputies Internal Regulation, approved by Resolution N. 17 of 1989, and gives other provisions.</w:t>
            </w:r>
          </w:p>
        </w:tc>
      </w:tr>
      <w:tr w:rsidR="009B42FA" w:rsidRPr="00B10CBC" w14:paraId="1E909F65" w14:textId="77777777" w:rsidTr="14B7E38C">
        <w:trPr>
          <w:trHeight w:val="426"/>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B32A9C" w14:textId="77777777" w:rsidR="009B42FA" w:rsidRPr="00B10CBC" w:rsidRDefault="009B42FA"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Resolution N. 15/2016</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2A767C70" w14:textId="77777777" w:rsidR="009B42FA" w:rsidRPr="00B10CBC" w:rsidRDefault="009B42FA"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Creates the Women Rights Defense Commission and the Elderly People Rights Defense Commission.</w:t>
            </w:r>
          </w:p>
        </w:tc>
      </w:tr>
      <w:tr w:rsidR="009B42FA" w:rsidRPr="00B10CBC" w14:paraId="0A67D348" w14:textId="77777777" w:rsidTr="14B7E38C">
        <w:trPr>
          <w:trHeight w:val="325"/>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3F9CD7" w14:textId="77777777" w:rsidR="009B42FA" w:rsidRPr="00B10CBC" w:rsidRDefault="009B42FA"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Resolution N. 21/2017</w:t>
            </w:r>
          </w:p>
        </w:tc>
        <w:tc>
          <w:tcPr>
            <w:tcW w:w="6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7C70B1F4" w14:textId="5B37A4F7" w:rsidR="009B42FA" w:rsidRPr="00B10CBC" w:rsidRDefault="7BD5F3A2" w:rsidP="14B7E38C">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In</w:t>
            </w:r>
            <w:r w:rsidR="4B46C51C" w:rsidRPr="14B7E38C">
              <w:rPr>
                <w:rFonts w:asciiTheme="majorHAnsi" w:hAnsiTheme="majorHAnsi"/>
                <w:color w:val="000000" w:themeColor="text1"/>
                <w:sz w:val="20"/>
                <w:szCs w:val="20"/>
              </w:rPr>
              <w:t>stitutes</w:t>
            </w:r>
            <w:r w:rsidRPr="14B7E38C">
              <w:rPr>
                <w:rFonts w:asciiTheme="majorHAnsi" w:hAnsiTheme="majorHAnsi"/>
                <w:color w:val="000000" w:themeColor="text1"/>
                <w:sz w:val="20"/>
                <w:szCs w:val="20"/>
              </w:rPr>
              <w:t xml:space="preserve"> </w:t>
            </w:r>
            <w:r w:rsidR="0058308F">
              <w:rPr>
                <w:rFonts w:asciiTheme="majorHAnsi" w:hAnsiTheme="majorHAnsi"/>
                <w:color w:val="000000" w:themeColor="text1"/>
                <w:sz w:val="20"/>
                <w:szCs w:val="20"/>
              </w:rPr>
              <w:t xml:space="preserve">the </w:t>
            </w:r>
            <w:r w:rsidRPr="14B7E38C">
              <w:rPr>
                <w:rFonts w:asciiTheme="majorHAnsi" w:hAnsiTheme="majorHAnsi"/>
                <w:color w:val="000000" w:themeColor="text1"/>
                <w:sz w:val="20"/>
                <w:szCs w:val="20"/>
              </w:rPr>
              <w:t>Mietta Santiago Medal.</w:t>
            </w:r>
          </w:p>
        </w:tc>
      </w:tr>
    </w:tbl>
    <w:p w14:paraId="281A2DCC" w14:textId="77777777" w:rsidR="00C64232" w:rsidRPr="00D20096" w:rsidRDefault="00C64232" w:rsidP="00C64232">
      <w:pPr>
        <w:rPr>
          <w:rFonts w:asciiTheme="majorHAnsi" w:hAnsiTheme="majorHAnsi" w:cstheme="majorHAnsi"/>
          <w:sz w:val="20"/>
          <w:szCs w:val="20"/>
        </w:rPr>
      </w:pPr>
    </w:p>
    <w:tbl>
      <w:tblPr>
        <w:tblStyle w:val="Tabelacomgrade"/>
        <w:tblW w:w="9351" w:type="dxa"/>
        <w:tblLook w:val="04A0" w:firstRow="1" w:lastRow="0" w:firstColumn="1" w:lastColumn="0" w:noHBand="0" w:noVBand="1"/>
      </w:tblPr>
      <w:tblGrid>
        <w:gridCol w:w="9351"/>
      </w:tblGrid>
      <w:tr w:rsidR="00C64232" w:rsidRPr="00D20096" w14:paraId="4FDC38DB" w14:textId="77777777" w:rsidTr="00C4574C">
        <w:tc>
          <w:tcPr>
            <w:tcW w:w="9351" w:type="dxa"/>
            <w:shd w:val="clear" w:color="auto" w:fill="A8D08D" w:themeFill="accent6" w:themeFillTint="99"/>
          </w:tcPr>
          <w:p w14:paraId="133E15EF" w14:textId="00C08222" w:rsidR="00C64232" w:rsidRPr="00D20096" w:rsidRDefault="00CF505C" w:rsidP="00D6415F">
            <w:pPr>
              <w:rPr>
                <w:rFonts w:asciiTheme="majorHAnsi" w:hAnsiTheme="majorHAnsi" w:cstheme="majorHAnsi"/>
                <w:sz w:val="20"/>
                <w:szCs w:val="20"/>
              </w:rPr>
            </w:pPr>
            <w:r>
              <w:rPr>
                <w:rFonts w:asciiTheme="majorHAnsi" w:hAnsiTheme="majorHAnsi"/>
                <w:b/>
                <w:sz w:val="20"/>
              </w:rPr>
              <w:t xml:space="preserve">ANTIDISCRIMINATION </w:t>
            </w:r>
            <w:r w:rsidR="00C64232">
              <w:rPr>
                <w:rFonts w:asciiTheme="majorHAnsi" w:hAnsiTheme="majorHAnsi"/>
                <w:b/>
                <w:sz w:val="20"/>
              </w:rPr>
              <w:t>MEASURES</w:t>
            </w:r>
          </w:p>
        </w:tc>
      </w:tr>
    </w:tbl>
    <w:tbl>
      <w:tblPr>
        <w:tblW w:w="9351" w:type="dxa"/>
        <w:tblCellMar>
          <w:left w:w="70" w:type="dxa"/>
          <w:right w:w="70" w:type="dxa"/>
        </w:tblCellMar>
        <w:tblLook w:val="04A0" w:firstRow="1" w:lastRow="0" w:firstColumn="1" w:lastColumn="0" w:noHBand="0" w:noVBand="1"/>
      </w:tblPr>
      <w:tblGrid>
        <w:gridCol w:w="2830"/>
        <w:gridCol w:w="6521"/>
      </w:tblGrid>
      <w:tr w:rsidR="00C64232" w:rsidRPr="005106D1" w14:paraId="19E2E307" w14:textId="77777777" w:rsidTr="14B7E38C">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C6E0B4"/>
            <w:noWrap/>
            <w:vAlign w:val="bottom"/>
            <w:hideMark/>
          </w:tcPr>
          <w:p w14:paraId="4E7E0AE4" w14:textId="77777777" w:rsidR="00C64232" w:rsidRPr="005106D1"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RELIGION</w:t>
            </w:r>
          </w:p>
        </w:tc>
        <w:tc>
          <w:tcPr>
            <w:tcW w:w="6521" w:type="dxa"/>
            <w:tcBorders>
              <w:top w:val="single" w:sz="4" w:space="0" w:color="auto"/>
              <w:left w:val="nil"/>
              <w:bottom w:val="single" w:sz="4" w:space="0" w:color="auto"/>
              <w:right w:val="single" w:sz="4" w:space="0" w:color="auto"/>
            </w:tcBorders>
            <w:shd w:val="clear" w:color="auto" w:fill="C6E0B4"/>
            <w:vAlign w:val="bottom"/>
            <w:hideMark/>
          </w:tcPr>
          <w:p w14:paraId="5474A4CB" w14:textId="77777777" w:rsidR="00C64232" w:rsidRPr="005106D1"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 </w:t>
            </w:r>
          </w:p>
        </w:tc>
      </w:tr>
      <w:tr w:rsidR="00C64232" w:rsidRPr="005106D1" w14:paraId="0FCA2515" w14:textId="77777777" w:rsidTr="14B7E38C">
        <w:trPr>
          <w:trHeight w:val="704"/>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2C50DF" w14:textId="77777777" w:rsidR="00C64232" w:rsidRPr="005106D1" w:rsidRDefault="00C64232"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Ordinary Law N.12966/2014</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2F273FDF" w14:textId="744D0321" w:rsidR="00C64232" w:rsidRPr="005106D1" w:rsidRDefault="00C64232" w:rsidP="14B7E38C">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 xml:space="preserve">Alters Law N. 7,347, </w:t>
            </w:r>
            <w:r w:rsidR="65B5CA12" w:rsidRPr="14B7E38C">
              <w:rPr>
                <w:rFonts w:asciiTheme="majorHAnsi" w:hAnsiTheme="majorHAnsi"/>
                <w:color w:val="000000" w:themeColor="text1"/>
                <w:sz w:val="20"/>
                <w:szCs w:val="20"/>
              </w:rPr>
              <w:t>of</w:t>
            </w:r>
            <w:r w:rsidRPr="14B7E38C">
              <w:rPr>
                <w:rFonts w:asciiTheme="majorHAnsi" w:hAnsiTheme="majorHAnsi"/>
                <w:color w:val="000000" w:themeColor="text1"/>
                <w:sz w:val="20"/>
                <w:szCs w:val="20"/>
              </w:rPr>
              <w:t xml:space="preserve"> July 24</w:t>
            </w:r>
            <w:r w:rsidRPr="14B7E38C">
              <w:rPr>
                <w:rFonts w:asciiTheme="majorHAnsi" w:hAnsiTheme="majorHAnsi"/>
                <w:color w:val="000000" w:themeColor="text1"/>
                <w:sz w:val="20"/>
                <w:szCs w:val="20"/>
                <w:vertAlign w:val="superscript"/>
              </w:rPr>
              <w:t>th</w:t>
            </w:r>
            <w:r w:rsidRPr="14B7E38C">
              <w:rPr>
                <w:rFonts w:asciiTheme="majorHAnsi" w:hAnsiTheme="majorHAnsi"/>
                <w:color w:val="000000" w:themeColor="text1"/>
                <w:sz w:val="20"/>
                <w:szCs w:val="20"/>
              </w:rPr>
              <w:t>, 1985 (Public Civil Action Law), to include protection of honor and dignity of racial, ethnic or religious groups.</w:t>
            </w:r>
          </w:p>
        </w:tc>
      </w:tr>
      <w:tr w:rsidR="00C64232" w:rsidRPr="005106D1" w14:paraId="2AE8BB5B" w14:textId="77777777" w:rsidTr="14B7E38C">
        <w:trPr>
          <w:trHeight w:val="446"/>
        </w:trPr>
        <w:tc>
          <w:tcPr>
            <w:tcW w:w="2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FD4CA7" w14:textId="77777777" w:rsidR="00C64232" w:rsidRPr="005106D1" w:rsidRDefault="00C64232"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11.635/2007</w:t>
            </w:r>
          </w:p>
        </w:tc>
        <w:tc>
          <w:tcPr>
            <w:tcW w:w="6521" w:type="dxa"/>
            <w:tcBorders>
              <w:top w:val="nil"/>
              <w:left w:val="nil"/>
              <w:bottom w:val="single" w:sz="4" w:space="0" w:color="auto"/>
              <w:right w:val="single" w:sz="4" w:space="0" w:color="auto"/>
            </w:tcBorders>
            <w:shd w:val="clear" w:color="auto" w:fill="F2F2F2" w:themeFill="background1" w:themeFillShade="F2"/>
            <w:vAlign w:val="center"/>
            <w:hideMark/>
          </w:tcPr>
          <w:p w14:paraId="08727B16" w14:textId="77777777" w:rsidR="00C64232" w:rsidRPr="005106D1" w:rsidRDefault="00C64232"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Establishes National Day of Fight Against Religious Intolerance.</w:t>
            </w:r>
          </w:p>
        </w:tc>
      </w:tr>
    </w:tbl>
    <w:p w14:paraId="78327D79" w14:textId="77777777" w:rsidR="00087043" w:rsidRPr="00D20096" w:rsidRDefault="00087043" w:rsidP="00C64232">
      <w:pPr>
        <w:rPr>
          <w:rFonts w:asciiTheme="majorHAnsi" w:hAnsiTheme="majorHAnsi" w:cstheme="majorHAnsi"/>
          <w:sz w:val="20"/>
          <w:szCs w:val="20"/>
        </w:rPr>
      </w:pPr>
    </w:p>
    <w:tbl>
      <w:tblPr>
        <w:tblStyle w:val="Tabelacomgrade"/>
        <w:tblW w:w="9351" w:type="dxa"/>
        <w:tblLook w:val="04A0" w:firstRow="1" w:lastRow="0" w:firstColumn="1" w:lastColumn="0" w:noHBand="0" w:noVBand="1"/>
      </w:tblPr>
      <w:tblGrid>
        <w:gridCol w:w="9351"/>
      </w:tblGrid>
      <w:tr w:rsidR="00C64232" w:rsidRPr="00D20096" w14:paraId="33C08139" w14:textId="77777777" w:rsidTr="00E31C8A">
        <w:tc>
          <w:tcPr>
            <w:tcW w:w="9351" w:type="dxa"/>
            <w:shd w:val="clear" w:color="auto" w:fill="A8D08D" w:themeFill="accent6" w:themeFillTint="99"/>
          </w:tcPr>
          <w:p w14:paraId="71751556" w14:textId="497DEC58" w:rsidR="00C64232" w:rsidRPr="00D20096" w:rsidRDefault="00CF505C" w:rsidP="00D6415F">
            <w:pPr>
              <w:rPr>
                <w:rFonts w:asciiTheme="majorHAnsi" w:hAnsiTheme="majorHAnsi" w:cstheme="majorHAnsi"/>
                <w:sz w:val="20"/>
                <w:szCs w:val="20"/>
              </w:rPr>
            </w:pPr>
            <w:r>
              <w:rPr>
                <w:rFonts w:asciiTheme="majorHAnsi" w:hAnsiTheme="majorHAnsi"/>
                <w:b/>
                <w:sz w:val="20"/>
              </w:rPr>
              <w:t xml:space="preserve">ANTIDISCRIMINATION </w:t>
            </w:r>
            <w:r w:rsidR="00C64232">
              <w:rPr>
                <w:rFonts w:asciiTheme="majorHAnsi" w:hAnsiTheme="majorHAnsi"/>
                <w:b/>
                <w:sz w:val="20"/>
              </w:rPr>
              <w:t>MEASURES</w:t>
            </w:r>
          </w:p>
        </w:tc>
      </w:tr>
    </w:tbl>
    <w:tbl>
      <w:tblPr>
        <w:tblW w:w="9338" w:type="dxa"/>
        <w:tblCellMar>
          <w:left w:w="70" w:type="dxa"/>
          <w:right w:w="70" w:type="dxa"/>
        </w:tblCellMar>
        <w:tblLook w:val="04A0" w:firstRow="1" w:lastRow="0" w:firstColumn="1" w:lastColumn="0" w:noHBand="0" w:noVBand="1"/>
      </w:tblPr>
      <w:tblGrid>
        <w:gridCol w:w="2826"/>
        <w:gridCol w:w="6512"/>
      </w:tblGrid>
      <w:tr w:rsidR="00C64232" w:rsidRPr="00BD53DD" w14:paraId="348D6942" w14:textId="77777777" w:rsidTr="00586A83">
        <w:trPr>
          <w:trHeight w:val="192"/>
        </w:trPr>
        <w:tc>
          <w:tcPr>
            <w:tcW w:w="282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B2A40A5" w14:textId="77777777" w:rsidR="00C64232" w:rsidRPr="00BD53DD"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SOCIOECONOMIC STATUS</w:t>
            </w:r>
          </w:p>
        </w:tc>
        <w:tc>
          <w:tcPr>
            <w:tcW w:w="6512" w:type="dxa"/>
            <w:tcBorders>
              <w:top w:val="single" w:sz="4" w:space="0" w:color="auto"/>
              <w:left w:val="nil"/>
              <w:bottom w:val="single" w:sz="4" w:space="0" w:color="auto"/>
              <w:right w:val="single" w:sz="4" w:space="0" w:color="auto"/>
            </w:tcBorders>
            <w:shd w:val="clear" w:color="000000" w:fill="C6E0B4"/>
            <w:noWrap/>
            <w:vAlign w:val="bottom"/>
            <w:hideMark/>
          </w:tcPr>
          <w:p w14:paraId="1EFEEB16" w14:textId="77777777" w:rsidR="00C64232" w:rsidRPr="00BD53DD"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 </w:t>
            </w:r>
          </w:p>
        </w:tc>
      </w:tr>
      <w:tr w:rsidR="00C64232" w:rsidRPr="00BD53DD" w14:paraId="2692F125" w14:textId="77777777" w:rsidTr="00087043">
        <w:trPr>
          <w:trHeight w:val="827"/>
        </w:trPr>
        <w:tc>
          <w:tcPr>
            <w:tcW w:w="2826" w:type="dxa"/>
            <w:tcBorders>
              <w:top w:val="nil"/>
              <w:left w:val="single" w:sz="4" w:space="0" w:color="auto"/>
              <w:bottom w:val="single" w:sz="4" w:space="0" w:color="auto"/>
              <w:right w:val="single" w:sz="4" w:space="0" w:color="auto"/>
            </w:tcBorders>
            <w:shd w:val="clear" w:color="000000" w:fill="F2F2F2"/>
            <w:vAlign w:val="center"/>
            <w:hideMark/>
          </w:tcPr>
          <w:p w14:paraId="300BE0A5" w14:textId="7EE0CBCC" w:rsidR="00C64232" w:rsidRPr="00BD53DD" w:rsidRDefault="00C64232"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lastRenderedPageBreak/>
              <w:t xml:space="preserve">Law N. 12,711, </w:t>
            </w:r>
            <w:r w:rsidR="008803FA">
              <w:rPr>
                <w:rFonts w:asciiTheme="majorHAnsi" w:hAnsiTheme="majorHAnsi"/>
                <w:color w:val="000000"/>
                <w:sz w:val="20"/>
              </w:rPr>
              <w:t>of</w:t>
            </w:r>
            <w:r>
              <w:rPr>
                <w:rFonts w:asciiTheme="majorHAnsi" w:hAnsiTheme="majorHAnsi"/>
                <w:color w:val="000000"/>
                <w:sz w:val="20"/>
              </w:rPr>
              <w:t xml:space="preserve"> August 29</w:t>
            </w:r>
            <w:r>
              <w:rPr>
                <w:rFonts w:asciiTheme="majorHAnsi" w:hAnsiTheme="majorHAnsi"/>
                <w:color w:val="000000"/>
                <w:sz w:val="20"/>
                <w:vertAlign w:val="superscript"/>
              </w:rPr>
              <w:t>th</w:t>
            </w:r>
            <w:r>
              <w:rPr>
                <w:rFonts w:asciiTheme="majorHAnsi" w:hAnsiTheme="majorHAnsi"/>
                <w:color w:val="000000"/>
                <w:sz w:val="20"/>
              </w:rPr>
              <w:t>, 2012</w:t>
            </w:r>
          </w:p>
        </w:tc>
        <w:tc>
          <w:tcPr>
            <w:tcW w:w="6512" w:type="dxa"/>
            <w:tcBorders>
              <w:top w:val="nil"/>
              <w:left w:val="nil"/>
              <w:bottom w:val="single" w:sz="4" w:space="0" w:color="auto"/>
              <w:right w:val="single" w:sz="4" w:space="0" w:color="auto"/>
            </w:tcBorders>
            <w:shd w:val="clear" w:color="000000" w:fill="F2F2F2"/>
            <w:noWrap/>
            <w:vAlign w:val="center"/>
            <w:hideMark/>
          </w:tcPr>
          <w:p w14:paraId="52B5E159" w14:textId="3E258783" w:rsidR="00C64232" w:rsidRPr="00BD53DD" w:rsidRDefault="00D82CBA" w:rsidP="009E174D">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Regulates </w:t>
            </w:r>
            <w:r w:rsidR="00C64232">
              <w:rPr>
                <w:rFonts w:asciiTheme="majorHAnsi" w:hAnsiTheme="majorHAnsi"/>
                <w:color w:val="000000"/>
                <w:sz w:val="20"/>
              </w:rPr>
              <w:t>the admission in federal universities and secondary technical education federal institutes.</w:t>
            </w:r>
          </w:p>
        </w:tc>
      </w:tr>
    </w:tbl>
    <w:p w14:paraId="70528275" w14:textId="77777777" w:rsidR="006B0774" w:rsidRPr="00D20096" w:rsidRDefault="006B0774" w:rsidP="00C64232">
      <w:pPr>
        <w:rPr>
          <w:rFonts w:asciiTheme="majorHAnsi" w:hAnsiTheme="majorHAnsi" w:cstheme="majorHAnsi"/>
          <w:sz w:val="20"/>
          <w:szCs w:val="20"/>
        </w:rPr>
      </w:pPr>
    </w:p>
    <w:tbl>
      <w:tblPr>
        <w:tblStyle w:val="Tabelacomgrade"/>
        <w:tblW w:w="9373" w:type="dxa"/>
        <w:tblLook w:val="04A0" w:firstRow="1" w:lastRow="0" w:firstColumn="1" w:lastColumn="0" w:noHBand="0" w:noVBand="1"/>
      </w:tblPr>
      <w:tblGrid>
        <w:gridCol w:w="9373"/>
      </w:tblGrid>
      <w:tr w:rsidR="00C64232" w:rsidRPr="00D20096" w14:paraId="7686F9EA" w14:textId="77777777" w:rsidTr="00E31C8A">
        <w:trPr>
          <w:trHeight w:val="249"/>
        </w:trPr>
        <w:tc>
          <w:tcPr>
            <w:tcW w:w="9373" w:type="dxa"/>
            <w:shd w:val="clear" w:color="auto" w:fill="A8D08D" w:themeFill="accent6" w:themeFillTint="99"/>
          </w:tcPr>
          <w:p w14:paraId="1A66D85C" w14:textId="1D9C3726" w:rsidR="00C64232" w:rsidRPr="00D20096" w:rsidRDefault="00CF505C" w:rsidP="00D6415F">
            <w:pPr>
              <w:rPr>
                <w:rFonts w:asciiTheme="majorHAnsi" w:hAnsiTheme="majorHAnsi" w:cstheme="majorHAnsi"/>
                <w:sz w:val="20"/>
                <w:szCs w:val="20"/>
              </w:rPr>
            </w:pPr>
            <w:r>
              <w:rPr>
                <w:rFonts w:asciiTheme="majorHAnsi" w:hAnsiTheme="majorHAnsi"/>
                <w:b/>
                <w:sz w:val="20"/>
              </w:rPr>
              <w:t xml:space="preserve">ANTIDISCRIMINATION </w:t>
            </w:r>
            <w:r w:rsidR="00C64232">
              <w:rPr>
                <w:rFonts w:asciiTheme="majorHAnsi" w:hAnsiTheme="majorHAnsi"/>
                <w:b/>
                <w:sz w:val="20"/>
              </w:rPr>
              <w:t>MEASURES</w:t>
            </w:r>
          </w:p>
        </w:tc>
      </w:tr>
    </w:tbl>
    <w:tbl>
      <w:tblPr>
        <w:tblW w:w="9364" w:type="dxa"/>
        <w:tblCellMar>
          <w:left w:w="70" w:type="dxa"/>
          <w:right w:w="70" w:type="dxa"/>
        </w:tblCellMar>
        <w:tblLook w:val="04A0" w:firstRow="1" w:lastRow="0" w:firstColumn="1" w:lastColumn="0" w:noHBand="0" w:noVBand="1"/>
      </w:tblPr>
      <w:tblGrid>
        <w:gridCol w:w="2857"/>
        <w:gridCol w:w="6507"/>
      </w:tblGrid>
      <w:tr w:rsidR="00C64232" w:rsidRPr="00D20096" w14:paraId="14B1918D" w14:textId="77777777" w:rsidTr="14B7E38C">
        <w:trPr>
          <w:trHeight w:val="270"/>
        </w:trPr>
        <w:tc>
          <w:tcPr>
            <w:tcW w:w="2857" w:type="dxa"/>
            <w:tcBorders>
              <w:top w:val="single" w:sz="4" w:space="0" w:color="auto"/>
              <w:left w:val="single" w:sz="4" w:space="0" w:color="auto"/>
              <w:bottom w:val="single" w:sz="4" w:space="0" w:color="auto"/>
              <w:right w:val="single" w:sz="4" w:space="0" w:color="auto"/>
            </w:tcBorders>
            <w:shd w:val="clear" w:color="auto" w:fill="C6E0B4"/>
            <w:noWrap/>
            <w:vAlign w:val="bottom"/>
            <w:hideMark/>
          </w:tcPr>
          <w:p w14:paraId="332E8490" w14:textId="77777777" w:rsidR="00C64232" w:rsidRPr="00D20096" w:rsidRDefault="00C64232" w:rsidP="00D6415F">
            <w:pPr>
              <w:spacing w:after="0" w:line="240" w:lineRule="auto"/>
              <w:jc w:val="center"/>
              <w:rPr>
                <w:rFonts w:asciiTheme="majorHAnsi" w:eastAsia="Times New Roman" w:hAnsiTheme="majorHAnsi" w:cstheme="majorHAnsi"/>
                <w:b/>
                <w:bCs/>
                <w:color w:val="000000"/>
                <w:sz w:val="20"/>
                <w:szCs w:val="20"/>
              </w:rPr>
            </w:pPr>
            <w:r>
              <w:rPr>
                <w:rFonts w:asciiTheme="majorHAnsi" w:hAnsiTheme="majorHAnsi"/>
                <w:b/>
                <w:color w:val="000000"/>
                <w:sz w:val="20"/>
              </w:rPr>
              <w:t>ETHNICITY</w:t>
            </w:r>
          </w:p>
        </w:tc>
        <w:tc>
          <w:tcPr>
            <w:tcW w:w="6507" w:type="dxa"/>
            <w:tcBorders>
              <w:top w:val="single" w:sz="4" w:space="0" w:color="auto"/>
              <w:left w:val="nil"/>
              <w:bottom w:val="single" w:sz="4" w:space="0" w:color="auto"/>
              <w:right w:val="single" w:sz="4" w:space="0" w:color="auto"/>
            </w:tcBorders>
            <w:shd w:val="clear" w:color="auto" w:fill="C6E0B4"/>
            <w:noWrap/>
            <w:vAlign w:val="bottom"/>
            <w:hideMark/>
          </w:tcPr>
          <w:p w14:paraId="1AA05A36" w14:textId="77777777" w:rsidR="00C64232" w:rsidRPr="00D20096" w:rsidRDefault="00C64232"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w:t>
            </w:r>
          </w:p>
        </w:tc>
      </w:tr>
      <w:tr w:rsidR="0068157F" w:rsidRPr="00D20096" w14:paraId="68995E9C" w14:textId="77777777" w:rsidTr="14B7E38C">
        <w:trPr>
          <w:trHeight w:val="843"/>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CD1E64" w14:textId="77777777"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1988 Federal Constitution, Article 5</w:t>
            </w:r>
          </w:p>
        </w:tc>
        <w:tc>
          <w:tcPr>
            <w:tcW w:w="6507" w:type="dxa"/>
            <w:tcBorders>
              <w:top w:val="nil"/>
              <w:left w:val="nil"/>
              <w:bottom w:val="single" w:sz="4" w:space="0" w:color="auto"/>
              <w:right w:val="single" w:sz="4" w:space="0" w:color="auto"/>
            </w:tcBorders>
            <w:shd w:val="clear" w:color="auto" w:fill="F2F2F2" w:themeFill="background1" w:themeFillShade="F2"/>
            <w:vAlign w:val="center"/>
            <w:hideMark/>
          </w:tcPr>
          <w:p w14:paraId="4313C5D5" w14:textId="03827AD8" w:rsidR="0068157F" w:rsidRPr="00D20096" w:rsidRDefault="692D0DF5" w:rsidP="14B7E38C">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Set of rights, among which</w:t>
            </w:r>
            <w:r w:rsidR="00D82CBA">
              <w:rPr>
                <w:rFonts w:asciiTheme="majorHAnsi" w:hAnsiTheme="majorHAnsi"/>
                <w:color w:val="000000" w:themeColor="text1"/>
                <w:sz w:val="20"/>
                <w:szCs w:val="20"/>
              </w:rPr>
              <w:t xml:space="preserve"> are</w:t>
            </w:r>
            <w:r w:rsidRPr="14B7E38C">
              <w:rPr>
                <w:rFonts w:asciiTheme="majorHAnsi" w:hAnsiTheme="majorHAnsi"/>
                <w:color w:val="000000" w:themeColor="text1"/>
                <w:sz w:val="20"/>
                <w:szCs w:val="20"/>
              </w:rPr>
              <w:t>: gender equality and the right of freedom of expression, manifestation of though</w:t>
            </w:r>
            <w:r w:rsidR="39779205" w:rsidRPr="14B7E38C">
              <w:rPr>
                <w:rFonts w:asciiTheme="majorHAnsi" w:hAnsiTheme="majorHAnsi"/>
                <w:color w:val="000000" w:themeColor="text1"/>
                <w:sz w:val="20"/>
                <w:szCs w:val="20"/>
              </w:rPr>
              <w:t>t</w:t>
            </w:r>
            <w:r w:rsidRPr="14B7E38C">
              <w:rPr>
                <w:rFonts w:asciiTheme="majorHAnsi" w:hAnsiTheme="majorHAnsi"/>
                <w:color w:val="000000" w:themeColor="text1"/>
                <w:sz w:val="20"/>
                <w:szCs w:val="20"/>
              </w:rPr>
              <w:t>, conscience, religious belief or political conviction.</w:t>
            </w:r>
          </w:p>
        </w:tc>
      </w:tr>
      <w:tr w:rsidR="0068157F" w:rsidRPr="00D20096" w14:paraId="52C02344" w14:textId="77777777" w:rsidTr="14B7E38C">
        <w:trPr>
          <w:trHeight w:val="973"/>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FB2F64" w14:textId="0AB317A5"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12</w:t>
            </w:r>
            <w:r w:rsidR="006B4317">
              <w:rPr>
                <w:rFonts w:asciiTheme="majorHAnsi" w:hAnsiTheme="majorHAnsi"/>
                <w:color w:val="000000"/>
                <w:sz w:val="20"/>
              </w:rPr>
              <w:t>,</w:t>
            </w:r>
            <w:r>
              <w:rPr>
                <w:rFonts w:asciiTheme="majorHAnsi" w:hAnsiTheme="majorHAnsi"/>
                <w:color w:val="000000"/>
                <w:sz w:val="20"/>
              </w:rPr>
              <w:t>288/2010</w:t>
            </w:r>
          </w:p>
        </w:tc>
        <w:tc>
          <w:tcPr>
            <w:tcW w:w="6507" w:type="dxa"/>
            <w:tcBorders>
              <w:top w:val="nil"/>
              <w:left w:val="nil"/>
              <w:bottom w:val="single" w:sz="4" w:space="0" w:color="auto"/>
              <w:right w:val="single" w:sz="4" w:space="0" w:color="auto"/>
            </w:tcBorders>
            <w:shd w:val="clear" w:color="auto" w:fill="F2F2F2" w:themeFill="background1" w:themeFillShade="F2"/>
            <w:vAlign w:val="center"/>
            <w:hideMark/>
          </w:tcPr>
          <w:p w14:paraId="0155C701" w14:textId="77777777"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Aims at “ensuring the black population the accomplishment of equal opportunities, the defense on individual, collective and common ethnic rights and the fight against discrimination and other forms of ethnic intolerance”.</w:t>
            </w:r>
          </w:p>
        </w:tc>
      </w:tr>
      <w:tr w:rsidR="0068157F" w:rsidRPr="00D20096" w14:paraId="3E6023C1" w14:textId="77777777" w:rsidTr="14B7E38C">
        <w:trPr>
          <w:trHeight w:val="849"/>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015C07F" w14:textId="4FFC85B4"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9</w:t>
            </w:r>
            <w:r w:rsidR="006B4317">
              <w:rPr>
                <w:rFonts w:asciiTheme="majorHAnsi" w:hAnsiTheme="majorHAnsi"/>
                <w:color w:val="000000"/>
                <w:sz w:val="20"/>
              </w:rPr>
              <w:t>,</w:t>
            </w:r>
            <w:r>
              <w:rPr>
                <w:rFonts w:asciiTheme="majorHAnsi" w:hAnsiTheme="majorHAnsi"/>
                <w:color w:val="000000"/>
                <w:sz w:val="20"/>
              </w:rPr>
              <w:t>029/1995</w:t>
            </w:r>
          </w:p>
        </w:tc>
        <w:tc>
          <w:tcPr>
            <w:tcW w:w="6507" w:type="dxa"/>
            <w:tcBorders>
              <w:top w:val="nil"/>
              <w:left w:val="nil"/>
              <w:bottom w:val="single" w:sz="4" w:space="0" w:color="auto"/>
              <w:right w:val="single" w:sz="4" w:space="0" w:color="auto"/>
            </w:tcBorders>
            <w:shd w:val="clear" w:color="auto" w:fill="F2F2F2" w:themeFill="background1" w:themeFillShade="F2"/>
            <w:vAlign w:val="center"/>
            <w:hideMark/>
          </w:tcPr>
          <w:p w14:paraId="4D869071" w14:textId="77777777"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Prohibits broadly the adoption of any discriminatory practice in job access or maintenance, for reasons of sex, origin, race, color, civil state or age. </w:t>
            </w:r>
          </w:p>
        </w:tc>
      </w:tr>
      <w:tr w:rsidR="0068157F" w:rsidRPr="00D20096" w14:paraId="33A54575" w14:textId="77777777" w:rsidTr="14B7E38C">
        <w:trPr>
          <w:trHeight w:val="988"/>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94881C0" w14:textId="0CFC624F"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2,848, </w:t>
            </w:r>
            <w:r w:rsidR="008803FA">
              <w:rPr>
                <w:rFonts w:asciiTheme="majorHAnsi" w:hAnsiTheme="majorHAnsi"/>
                <w:color w:val="000000"/>
                <w:sz w:val="20"/>
              </w:rPr>
              <w:t>of</w:t>
            </w:r>
            <w:r>
              <w:rPr>
                <w:rFonts w:asciiTheme="majorHAnsi" w:hAnsiTheme="majorHAnsi"/>
                <w:color w:val="000000"/>
                <w:sz w:val="20"/>
              </w:rPr>
              <w:t xml:space="preserve"> December 7</w:t>
            </w:r>
            <w:r>
              <w:rPr>
                <w:rFonts w:asciiTheme="majorHAnsi" w:hAnsiTheme="majorHAnsi"/>
                <w:color w:val="000000"/>
                <w:sz w:val="20"/>
                <w:vertAlign w:val="superscript"/>
              </w:rPr>
              <w:t>th</w:t>
            </w:r>
            <w:r>
              <w:rPr>
                <w:rFonts w:asciiTheme="majorHAnsi" w:hAnsiTheme="majorHAnsi"/>
                <w:color w:val="000000"/>
                <w:sz w:val="20"/>
              </w:rPr>
              <w:t>, 1940</w:t>
            </w:r>
          </w:p>
        </w:tc>
        <w:tc>
          <w:tcPr>
            <w:tcW w:w="6507" w:type="dxa"/>
            <w:tcBorders>
              <w:top w:val="nil"/>
              <w:left w:val="nil"/>
              <w:bottom w:val="single" w:sz="4" w:space="0" w:color="auto"/>
              <w:right w:val="single" w:sz="4" w:space="0" w:color="auto"/>
            </w:tcBorders>
            <w:shd w:val="clear" w:color="auto" w:fill="F2F2F2" w:themeFill="background1" w:themeFillShade="F2"/>
            <w:vAlign w:val="center"/>
            <w:hideMark/>
          </w:tcPr>
          <w:p w14:paraId="3DA66609" w14:textId="49541856" w:rsidR="0068157F" w:rsidRPr="00D20096" w:rsidRDefault="00D82CBA"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Establishes the </w:t>
            </w:r>
            <w:r w:rsidR="0068157F">
              <w:rPr>
                <w:rFonts w:asciiTheme="majorHAnsi" w:hAnsiTheme="majorHAnsi"/>
                <w:color w:val="000000"/>
                <w:sz w:val="20"/>
              </w:rPr>
              <w:t>punishment</w:t>
            </w:r>
            <w:r>
              <w:rPr>
                <w:rFonts w:asciiTheme="majorHAnsi" w:hAnsiTheme="majorHAnsi"/>
                <w:color w:val="000000"/>
                <w:sz w:val="20"/>
              </w:rPr>
              <w:t>,</w:t>
            </w:r>
            <w:r w:rsidR="0068157F">
              <w:rPr>
                <w:rFonts w:asciiTheme="majorHAnsi" w:hAnsiTheme="majorHAnsi"/>
                <w:color w:val="000000"/>
                <w:sz w:val="20"/>
              </w:rPr>
              <w:t xml:space="preserve"> from one to three years of imprisonment and fine</w:t>
            </w:r>
            <w:r>
              <w:rPr>
                <w:rFonts w:asciiTheme="majorHAnsi" w:hAnsiTheme="majorHAnsi"/>
                <w:color w:val="000000"/>
                <w:sz w:val="20"/>
              </w:rPr>
              <w:t>,</w:t>
            </w:r>
            <w:r w:rsidR="0068157F">
              <w:rPr>
                <w:rFonts w:asciiTheme="majorHAnsi" w:hAnsiTheme="majorHAnsi"/>
                <w:color w:val="000000"/>
                <w:sz w:val="20"/>
              </w:rPr>
              <w:t xml:space="preserve"> for those who insult someone “when the insult involves the use of elements pertaining race, color, ethnicity, religion, origin or the condition of elderly person or person with disability”.</w:t>
            </w:r>
          </w:p>
        </w:tc>
      </w:tr>
      <w:tr w:rsidR="0068157F" w:rsidRPr="00D20096" w14:paraId="2CA38CE9" w14:textId="77777777" w:rsidTr="14B7E38C">
        <w:trPr>
          <w:trHeight w:val="715"/>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6665957" w14:textId="3A367874"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11,326, </w:t>
            </w:r>
            <w:r w:rsidR="008803FA">
              <w:rPr>
                <w:rFonts w:asciiTheme="majorHAnsi" w:hAnsiTheme="majorHAnsi"/>
                <w:color w:val="000000"/>
                <w:sz w:val="20"/>
              </w:rPr>
              <w:t>of</w:t>
            </w:r>
            <w:r>
              <w:rPr>
                <w:rFonts w:asciiTheme="majorHAnsi" w:hAnsiTheme="majorHAnsi"/>
                <w:color w:val="000000"/>
                <w:sz w:val="20"/>
              </w:rPr>
              <w:t xml:space="preserve"> July 24</w:t>
            </w:r>
            <w:r>
              <w:rPr>
                <w:rFonts w:asciiTheme="majorHAnsi" w:hAnsiTheme="majorHAnsi"/>
                <w:color w:val="000000"/>
                <w:sz w:val="20"/>
                <w:vertAlign w:val="superscript"/>
              </w:rPr>
              <w:t>th</w:t>
            </w:r>
            <w:r>
              <w:rPr>
                <w:rFonts w:asciiTheme="majorHAnsi" w:hAnsiTheme="majorHAnsi"/>
                <w:color w:val="000000"/>
                <w:sz w:val="20"/>
              </w:rPr>
              <w:t>, 2006</w:t>
            </w:r>
          </w:p>
        </w:tc>
        <w:tc>
          <w:tcPr>
            <w:tcW w:w="6507" w:type="dxa"/>
            <w:tcBorders>
              <w:top w:val="nil"/>
              <w:left w:val="nil"/>
              <w:bottom w:val="single" w:sz="4" w:space="0" w:color="auto"/>
              <w:right w:val="single" w:sz="4" w:space="0" w:color="auto"/>
            </w:tcBorders>
            <w:shd w:val="clear" w:color="auto" w:fill="F2F2F2" w:themeFill="background1" w:themeFillShade="F2"/>
            <w:vAlign w:val="center"/>
            <w:hideMark/>
          </w:tcPr>
          <w:p w14:paraId="7F7E5583" w14:textId="2A29B533" w:rsidR="0068157F" w:rsidRPr="00D20096" w:rsidRDefault="692D0DF5" w:rsidP="14B7E38C">
            <w:pPr>
              <w:spacing w:after="0" w:line="240" w:lineRule="auto"/>
              <w:rPr>
                <w:rFonts w:asciiTheme="majorHAnsi" w:eastAsia="Times New Roman" w:hAnsiTheme="majorHAnsi" w:cstheme="majorBidi"/>
                <w:color w:val="202124"/>
                <w:sz w:val="20"/>
                <w:szCs w:val="20"/>
              </w:rPr>
            </w:pPr>
            <w:r w:rsidRPr="14B7E38C">
              <w:rPr>
                <w:rFonts w:asciiTheme="majorHAnsi" w:hAnsiTheme="majorHAnsi"/>
                <w:color w:val="202124"/>
                <w:sz w:val="20"/>
                <w:szCs w:val="20"/>
              </w:rPr>
              <w:t>Establishes the guidelines for the development of the National</w:t>
            </w:r>
            <w:r w:rsidR="22A52579" w:rsidRPr="14B7E38C">
              <w:rPr>
                <w:rFonts w:asciiTheme="majorHAnsi" w:hAnsiTheme="majorHAnsi"/>
                <w:color w:val="202124"/>
                <w:sz w:val="20"/>
                <w:szCs w:val="20"/>
              </w:rPr>
              <w:t xml:space="preserve"> Policy </w:t>
            </w:r>
            <w:r w:rsidR="009E174D" w:rsidRPr="14B7E38C">
              <w:rPr>
                <w:rFonts w:asciiTheme="majorHAnsi" w:hAnsiTheme="majorHAnsi"/>
                <w:color w:val="202124"/>
                <w:sz w:val="20"/>
                <w:szCs w:val="20"/>
              </w:rPr>
              <w:t>on Family</w:t>
            </w:r>
            <w:r w:rsidRPr="14B7E38C">
              <w:rPr>
                <w:rFonts w:asciiTheme="majorHAnsi" w:hAnsiTheme="majorHAnsi"/>
                <w:color w:val="202124"/>
                <w:sz w:val="20"/>
                <w:szCs w:val="20"/>
              </w:rPr>
              <w:t xml:space="preserve"> Agriculture and </w:t>
            </w:r>
            <w:r w:rsidR="09670EDF" w:rsidRPr="14B7E38C">
              <w:rPr>
                <w:rFonts w:asciiTheme="majorHAnsi" w:hAnsiTheme="majorHAnsi"/>
                <w:color w:val="202124"/>
                <w:sz w:val="20"/>
                <w:szCs w:val="20"/>
              </w:rPr>
              <w:t>Rural Family Enterprise</w:t>
            </w:r>
            <w:r w:rsidR="009E174D" w:rsidRPr="14B7E38C">
              <w:rPr>
                <w:rFonts w:asciiTheme="majorHAnsi" w:hAnsiTheme="majorHAnsi"/>
                <w:color w:val="202124"/>
                <w:sz w:val="20"/>
                <w:szCs w:val="20"/>
              </w:rPr>
              <w:t>.</w:t>
            </w:r>
          </w:p>
        </w:tc>
      </w:tr>
      <w:tr w:rsidR="0068157F" w:rsidRPr="00D20096" w14:paraId="5EA980B8" w14:textId="77777777" w:rsidTr="14B7E38C">
        <w:trPr>
          <w:trHeight w:val="544"/>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961861D" w14:textId="7C08AD7A"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11</w:t>
            </w:r>
            <w:r w:rsidR="006B4317">
              <w:rPr>
                <w:rFonts w:asciiTheme="majorHAnsi" w:hAnsiTheme="majorHAnsi"/>
                <w:color w:val="000000"/>
                <w:sz w:val="20"/>
              </w:rPr>
              <w:t>,</w:t>
            </w:r>
            <w:r>
              <w:rPr>
                <w:rFonts w:asciiTheme="majorHAnsi" w:hAnsiTheme="majorHAnsi"/>
                <w:color w:val="000000"/>
                <w:sz w:val="20"/>
              </w:rPr>
              <w:t>645/2008</w:t>
            </w:r>
          </w:p>
        </w:tc>
        <w:tc>
          <w:tcPr>
            <w:tcW w:w="6507" w:type="dxa"/>
            <w:tcBorders>
              <w:top w:val="nil"/>
              <w:left w:val="nil"/>
              <w:bottom w:val="single" w:sz="4" w:space="0" w:color="auto"/>
              <w:right w:val="single" w:sz="4" w:space="0" w:color="auto"/>
            </w:tcBorders>
            <w:shd w:val="clear" w:color="auto" w:fill="F2F2F2" w:themeFill="background1" w:themeFillShade="F2"/>
            <w:vAlign w:val="center"/>
            <w:hideMark/>
          </w:tcPr>
          <w:p w14:paraId="4D62B43E" w14:textId="77777777"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Stipulates as compulsory the study of indigenous and Afro-Brazilian history and culture in primary and secondary school establishments.</w:t>
            </w:r>
          </w:p>
        </w:tc>
      </w:tr>
      <w:tr w:rsidR="0068157F" w:rsidRPr="00D20096" w14:paraId="124498BD" w14:textId="77777777" w:rsidTr="14B7E38C">
        <w:trPr>
          <w:trHeight w:val="920"/>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7BBF6A6" w14:textId="78D93649"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12</w:t>
            </w:r>
            <w:r w:rsidR="006B4317">
              <w:rPr>
                <w:rFonts w:asciiTheme="majorHAnsi" w:hAnsiTheme="majorHAnsi"/>
                <w:color w:val="000000"/>
                <w:sz w:val="20"/>
              </w:rPr>
              <w:t>,</w:t>
            </w:r>
            <w:r>
              <w:rPr>
                <w:rFonts w:asciiTheme="majorHAnsi" w:hAnsiTheme="majorHAnsi"/>
                <w:color w:val="000000"/>
                <w:sz w:val="20"/>
              </w:rPr>
              <w:t>711/2012</w:t>
            </w:r>
          </w:p>
        </w:tc>
        <w:tc>
          <w:tcPr>
            <w:tcW w:w="6507" w:type="dxa"/>
            <w:tcBorders>
              <w:top w:val="nil"/>
              <w:left w:val="nil"/>
              <w:bottom w:val="single" w:sz="4" w:space="0" w:color="auto"/>
              <w:right w:val="single" w:sz="4" w:space="0" w:color="auto"/>
            </w:tcBorders>
            <w:shd w:val="clear" w:color="auto" w:fill="F2F2F2" w:themeFill="background1" w:themeFillShade="F2"/>
            <w:vAlign w:val="center"/>
            <w:hideMark/>
          </w:tcPr>
          <w:p w14:paraId="70F2160B" w14:textId="5F4B3372" w:rsidR="0068157F" w:rsidRPr="00D20096" w:rsidRDefault="41FA6644" w:rsidP="00D82CBA">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 xml:space="preserve"> </w:t>
            </w:r>
            <w:r w:rsidR="00D82CBA">
              <w:rPr>
                <w:rFonts w:asciiTheme="majorHAnsi" w:hAnsiTheme="majorHAnsi"/>
                <w:color w:val="000000" w:themeColor="text1"/>
                <w:sz w:val="20"/>
                <w:szCs w:val="20"/>
              </w:rPr>
              <w:t>Regulates</w:t>
            </w:r>
            <w:r w:rsidRPr="14B7E38C">
              <w:rPr>
                <w:rFonts w:asciiTheme="majorHAnsi" w:hAnsiTheme="majorHAnsi"/>
                <w:color w:val="000000" w:themeColor="text1"/>
                <w:sz w:val="20"/>
                <w:szCs w:val="20"/>
              </w:rPr>
              <w:t xml:space="preserve"> admission to federal universities and federal institutions of secondary technical education and makes other provisions.</w:t>
            </w:r>
            <w:r w:rsidR="00D82CBA">
              <w:rPr>
                <w:rFonts w:asciiTheme="majorHAnsi" w:hAnsiTheme="majorHAnsi"/>
                <w:color w:val="000000" w:themeColor="text1"/>
                <w:sz w:val="20"/>
                <w:szCs w:val="20"/>
              </w:rPr>
              <w:t xml:space="preserve"> </w:t>
            </w:r>
            <w:r w:rsidR="00D82CBA">
              <w:rPr>
                <w:rFonts w:asciiTheme="majorHAnsi" w:hAnsiTheme="majorHAnsi"/>
                <w:color w:val="000000"/>
                <w:sz w:val="20"/>
              </w:rPr>
              <w:t>University Admission Quota Law; University Quota Law; Social Quota Law (creates quotas based on color/race).</w:t>
            </w:r>
          </w:p>
        </w:tc>
      </w:tr>
      <w:tr w:rsidR="0068157F" w:rsidRPr="00D20096" w14:paraId="6FC62D80" w14:textId="77777777" w:rsidTr="14B7E38C">
        <w:trPr>
          <w:trHeight w:val="978"/>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CA43E22" w14:textId="4CFDC37F"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12</w:t>
            </w:r>
            <w:r w:rsidR="006B4317">
              <w:rPr>
                <w:rFonts w:asciiTheme="majorHAnsi" w:hAnsiTheme="majorHAnsi"/>
                <w:color w:val="000000"/>
                <w:sz w:val="20"/>
              </w:rPr>
              <w:t>,</w:t>
            </w:r>
            <w:r>
              <w:rPr>
                <w:rFonts w:asciiTheme="majorHAnsi" w:hAnsiTheme="majorHAnsi"/>
                <w:color w:val="000000"/>
                <w:sz w:val="20"/>
              </w:rPr>
              <w:t>873/2013</w:t>
            </w:r>
          </w:p>
        </w:tc>
        <w:tc>
          <w:tcPr>
            <w:tcW w:w="6507" w:type="dxa"/>
            <w:tcBorders>
              <w:top w:val="nil"/>
              <w:left w:val="nil"/>
              <w:bottom w:val="single" w:sz="4" w:space="0" w:color="auto"/>
              <w:right w:val="single" w:sz="4" w:space="0" w:color="auto"/>
            </w:tcBorders>
            <w:shd w:val="clear" w:color="auto" w:fill="F2F2F2" w:themeFill="background1" w:themeFillShade="F2"/>
            <w:vAlign w:val="center"/>
            <w:hideMark/>
          </w:tcPr>
          <w:p w14:paraId="73F09662" w14:textId="518C4D6B"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Aims at promoting access to water for human and animal consumption and for food production, through the implementation of social technologies, destined to </w:t>
            </w:r>
            <w:r w:rsidR="006B4317">
              <w:rPr>
                <w:rFonts w:asciiTheme="majorHAnsi" w:hAnsiTheme="majorHAnsi"/>
                <w:color w:val="000000"/>
                <w:sz w:val="20"/>
              </w:rPr>
              <w:t>low-income</w:t>
            </w:r>
            <w:r>
              <w:rPr>
                <w:rFonts w:asciiTheme="majorHAnsi" w:hAnsiTheme="majorHAnsi"/>
                <w:color w:val="000000"/>
                <w:sz w:val="20"/>
              </w:rPr>
              <w:t xml:space="preserve"> rural families affected by drought or routine lack of water.  </w:t>
            </w:r>
          </w:p>
        </w:tc>
      </w:tr>
      <w:tr w:rsidR="0068157F" w:rsidRPr="00D20096" w14:paraId="22B71993" w14:textId="77777777" w:rsidTr="14B7E38C">
        <w:trPr>
          <w:trHeight w:val="920"/>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0CC8A1A" w14:textId="3B6C46A2"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12</w:t>
            </w:r>
            <w:r w:rsidR="006B4317">
              <w:rPr>
                <w:rFonts w:asciiTheme="majorHAnsi" w:hAnsiTheme="majorHAnsi"/>
                <w:color w:val="000000"/>
                <w:sz w:val="20"/>
              </w:rPr>
              <w:t>,</w:t>
            </w:r>
            <w:r>
              <w:rPr>
                <w:rFonts w:asciiTheme="majorHAnsi" w:hAnsiTheme="majorHAnsi"/>
                <w:color w:val="000000"/>
                <w:sz w:val="20"/>
              </w:rPr>
              <w:t xml:space="preserve">990/2014 </w:t>
            </w:r>
          </w:p>
        </w:tc>
        <w:tc>
          <w:tcPr>
            <w:tcW w:w="6507" w:type="dxa"/>
            <w:tcBorders>
              <w:top w:val="nil"/>
              <w:left w:val="nil"/>
              <w:bottom w:val="single" w:sz="4" w:space="0" w:color="auto"/>
              <w:right w:val="single" w:sz="4" w:space="0" w:color="auto"/>
            </w:tcBorders>
            <w:shd w:val="clear" w:color="auto" w:fill="F2F2F2" w:themeFill="background1" w:themeFillShade="F2"/>
            <w:vAlign w:val="center"/>
            <w:hideMark/>
          </w:tcPr>
          <w:p w14:paraId="61DAD1FF" w14:textId="77777777"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Establishes reserve of openings for black and indigenous people, respectively, for admission in Higher Education Federal Institutions and Public bodies in the federal level.</w:t>
            </w:r>
          </w:p>
        </w:tc>
      </w:tr>
      <w:tr w:rsidR="0068157F" w:rsidRPr="00D20096" w14:paraId="721EFB05" w14:textId="77777777" w:rsidTr="14B7E38C">
        <w:trPr>
          <w:trHeight w:val="883"/>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55CF27E" w14:textId="6301883C"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6,001, </w:t>
            </w:r>
            <w:r w:rsidR="008803FA">
              <w:rPr>
                <w:rFonts w:asciiTheme="majorHAnsi" w:hAnsiTheme="majorHAnsi"/>
                <w:color w:val="000000"/>
                <w:sz w:val="20"/>
              </w:rPr>
              <w:t>of</w:t>
            </w:r>
            <w:r>
              <w:rPr>
                <w:rFonts w:asciiTheme="majorHAnsi" w:hAnsiTheme="majorHAnsi"/>
                <w:color w:val="000000"/>
                <w:sz w:val="20"/>
              </w:rPr>
              <w:t xml:space="preserve"> December 19</w:t>
            </w:r>
            <w:r>
              <w:rPr>
                <w:rFonts w:asciiTheme="majorHAnsi" w:hAnsiTheme="majorHAnsi"/>
                <w:color w:val="000000"/>
                <w:sz w:val="20"/>
                <w:vertAlign w:val="superscript"/>
              </w:rPr>
              <w:t>th</w:t>
            </w:r>
            <w:r>
              <w:rPr>
                <w:rFonts w:asciiTheme="majorHAnsi" w:hAnsiTheme="majorHAnsi"/>
                <w:color w:val="000000"/>
                <w:sz w:val="20"/>
              </w:rPr>
              <w:t>, 1973</w:t>
            </w:r>
          </w:p>
        </w:tc>
        <w:tc>
          <w:tcPr>
            <w:tcW w:w="6507" w:type="dxa"/>
            <w:tcBorders>
              <w:top w:val="nil"/>
              <w:left w:val="nil"/>
              <w:bottom w:val="single" w:sz="4" w:space="0" w:color="auto"/>
              <w:right w:val="single" w:sz="4" w:space="0" w:color="auto"/>
            </w:tcBorders>
            <w:shd w:val="clear" w:color="auto" w:fill="F2F2F2" w:themeFill="background1" w:themeFillShade="F2"/>
            <w:vAlign w:val="center"/>
            <w:hideMark/>
          </w:tcPr>
          <w:p w14:paraId="39CFC0AA" w14:textId="599AE4BA" w:rsidR="0068157F" w:rsidRPr="00D20096" w:rsidRDefault="692D0DF5" w:rsidP="00D82CBA">
            <w:pPr>
              <w:spacing w:after="0" w:line="240" w:lineRule="auto"/>
              <w:rPr>
                <w:rFonts w:asciiTheme="majorHAnsi" w:eastAsia="Times New Roman" w:hAnsiTheme="majorHAnsi" w:cstheme="majorBidi"/>
                <w:color w:val="000000"/>
                <w:sz w:val="20"/>
                <w:szCs w:val="20"/>
              </w:rPr>
            </w:pPr>
            <w:r w:rsidRPr="14B7E38C">
              <w:rPr>
                <w:rFonts w:asciiTheme="majorHAnsi" w:hAnsiTheme="majorHAnsi"/>
                <w:color w:val="000000" w:themeColor="text1"/>
                <w:sz w:val="20"/>
                <w:szCs w:val="20"/>
              </w:rPr>
              <w:t>Regulates the legal situation of indigenous people</w:t>
            </w:r>
            <w:r w:rsidR="00D82CBA">
              <w:rPr>
                <w:rFonts w:asciiTheme="majorHAnsi" w:hAnsiTheme="majorHAnsi"/>
                <w:color w:val="000000" w:themeColor="text1"/>
                <w:sz w:val="20"/>
                <w:szCs w:val="20"/>
              </w:rPr>
              <w:t>s</w:t>
            </w:r>
            <w:r w:rsidRPr="14B7E38C">
              <w:rPr>
                <w:rFonts w:asciiTheme="majorHAnsi" w:hAnsiTheme="majorHAnsi"/>
                <w:color w:val="000000" w:themeColor="text1"/>
                <w:sz w:val="20"/>
                <w:szCs w:val="20"/>
              </w:rPr>
              <w:t xml:space="preserve"> and indigenous communities, </w:t>
            </w:r>
            <w:r w:rsidR="52ED899C" w:rsidRPr="14B7E38C">
              <w:rPr>
                <w:rFonts w:asciiTheme="majorHAnsi" w:hAnsiTheme="majorHAnsi"/>
                <w:color w:val="000000" w:themeColor="text1"/>
                <w:sz w:val="20"/>
                <w:szCs w:val="20"/>
              </w:rPr>
              <w:t xml:space="preserve">with the </w:t>
            </w:r>
            <w:r w:rsidR="00D82CBA">
              <w:rPr>
                <w:rFonts w:asciiTheme="majorHAnsi" w:hAnsiTheme="majorHAnsi"/>
                <w:color w:val="000000" w:themeColor="text1"/>
                <w:sz w:val="20"/>
                <w:szCs w:val="20"/>
              </w:rPr>
              <w:t xml:space="preserve">objective of </w:t>
            </w:r>
            <w:r w:rsidRPr="14B7E38C">
              <w:rPr>
                <w:rFonts w:asciiTheme="majorHAnsi" w:hAnsiTheme="majorHAnsi"/>
                <w:color w:val="000000" w:themeColor="text1"/>
                <w:sz w:val="20"/>
                <w:szCs w:val="20"/>
              </w:rPr>
              <w:t>preserving their culture and integrating them progressively and harmoniously, to the national communion.</w:t>
            </w:r>
          </w:p>
        </w:tc>
      </w:tr>
      <w:tr w:rsidR="0068157F" w:rsidRPr="00D20096" w14:paraId="717222D2" w14:textId="77777777" w:rsidTr="14B7E38C">
        <w:trPr>
          <w:trHeight w:val="543"/>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90D0AD" w14:textId="17585C34"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Law N. 7</w:t>
            </w:r>
            <w:r w:rsidR="006B4317">
              <w:rPr>
                <w:rFonts w:asciiTheme="majorHAnsi" w:hAnsiTheme="majorHAnsi"/>
                <w:color w:val="000000"/>
                <w:sz w:val="20"/>
              </w:rPr>
              <w:t>,</w:t>
            </w:r>
            <w:r>
              <w:rPr>
                <w:rFonts w:asciiTheme="majorHAnsi" w:hAnsiTheme="majorHAnsi"/>
                <w:color w:val="000000"/>
                <w:sz w:val="20"/>
              </w:rPr>
              <w:t>716/1989</w:t>
            </w:r>
          </w:p>
        </w:tc>
        <w:tc>
          <w:tcPr>
            <w:tcW w:w="6507" w:type="dxa"/>
            <w:tcBorders>
              <w:top w:val="nil"/>
              <w:left w:val="nil"/>
              <w:bottom w:val="single" w:sz="4" w:space="0" w:color="auto"/>
              <w:right w:val="single" w:sz="4" w:space="0" w:color="auto"/>
            </w:tcBorders>
            <w:shd w:val="clear" w:color="auto" w:fill="F2F2F2" w:themeFill="background1" w:themeFillShade="F2"/>
            <w:vAlign w:val="center"/>
            <w:hideMark/>
          </w:tcPr>
          <w:p w14:paraId="33A23904" w14:textId="77777777" w:rsidR="0068157F" w:rsidRPr="00D20096" w:rsidRDefault="0068157F" w:rsidP="00D6415F">
            <w:pPr>
              <w:spacing w:after="0" w:line="240" w:lineRule="auto"/>
              <w:rPr>
                <w:rFonts w:asciiTheme="majorHAnsi" w:eastAsia="Times New Roman" w:hAnsiTheme="majorHAnsi" w:cstheme="majorHAnsi"/>
                <w:color w:val="202124"/>
                <w:sz w:val="20"/>
                <w:szCs w:val="20"/>
              </w:rPr>
            </w:pPr>
            <w:r>
              <w:rPr>
                <w:rFonts w:asciiTheme="majorHAnsi" w:hAnsiTheme="majorHAnsi"/>
                <w:color w:val="202124"/>
                <w:sz w:val="20"/>
              </w:rPr>
              <w:t>Define crimes arising from race or color prejudice.</w:t>
            </w:r>
          </w:p>
        </w:tc>
      </w:tr>
      <w:tr w:rsidR="0068157F" w:rsidRPr="00D20096" w14:paraId="05F39E23" w14:textId="77777777" w:rsidTr="14B7E38C">
        <w:trPr>
          <w:trHeight w:val="919"/>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2AEC05C" w14:textId="264589AA" w:rsidR="0068157F" w:rsidRPr="00D20096" w:rsidRDefault="0068157F" w:rsidP="00D6415F">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Law N. 8,742, </w:t>
            </w:r>
            <w:r w:rsidR="008803FA">
              <w:rPr>
                <w:rFonts w:asciiTheme="majorHAnsi" w:hAnsiTheme="majorHAnsi"/>
                <w:color w:val="000000"/>
                <w:sz w:val="20"/>
              </w:rPr>
              <w:t>of</w:t>
            </w:r>
            <w:r>
              <w:rPr>
                <w:rFonts w:asciiTheme="majorHAnsi" w:hAnsiTheme="majorHAnsi"/>
                <w:color w:val="000000"/>
                <w:sz w:val="20"/>
              </w:rPr>
              <w:t xml:space="preserve"> December 7</w:t>
            </w:r>
            <w:r>
              <w:rPr>
                <w:rFonts w:asciiTheme="majorHAnsi" w:hAnsiTheme="majorHAnsi"/>
                <w:color w:val="000000"/>
                <w:sz w:val="20"/>
                <w:vertAlign w:val="superscript"/>
              </w:rPr>
              <w:t>th</w:t>
            </w:r>
            <w:r>
              <w:rPr>
                <w:rFonts w:asciiTheme="majorHAnsi" w:hAnsiTheme="majorHAnsi"/>
                <w:color w:val="000000"/>
                <w:sz w:val="20"/>
              </w:rPr>
              <w:t>, 1993</w:t>
            </w:r>
          </w:p>
        </w:tc>
        <w:tc>
          <w:tcPr>
            <w:tcW w:w="650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5165CD1" w14:textId="77777777" w:rsidR="0068157F" w:rsidRPr="00D20096" w:rsidRDefault="0068157F" w:rsidP="00D6415F">
            <w:pPr>
              <w:spacing w:after="0" w:line="240" w:lineRule="auto"/>
              <w:rPr>
                <w:rFonts w:asciiTheme="majorHAnsi" w:eastAsia="Times New Roman" w:hAnsiTheme="majorHAnsi" w:cstheme="majorHAnsi"/>
                <w:color w:val="202124"/>
                <w:sz w:val="20"/>
                <w:szCs w:val="20"/>
              </w:rPr>
            </w:pPr>
            <w:r>
              <w:rPr>
                <w:rFonts w:asciiTheme="majorHAnsi" w:hAnsiTheme="majorHAnsi"/>
                <w:color w:val="202124"/>
                <w:sz w:val="20"/>
              </w:rPr>
              <w:t>Sets the social minimum, carried out through an integrated set of actions from the public initiative and society, to secure the meet of basic needs.</w:t>
            </w:r>
          </w:p>
        </w:tc>
      </w:tr>
      <w:tr w:rsidR="00586A83" w:rsidRPr="00D20096" w14:paraId="5BDDAEFA" w14:textId="77777777" w:rsidTr="14B7E38C">
        <w:trPr>
          <w:trHeight w:val="919"/>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7FF512" w14:textId="4DDA5F4A" w:rsidR="00586A83" w:rsidRPr="00D20096" w:rsidRDefault="00586A83" w:rsidP="00586A83">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Decree N. 10</w:t>
            </w:r>
            <w:r w:rsidR="006B4317">
              <w:rPr>
                <w:rFonts w:asciiTheme="majorHAnsi" w:hAnsiTheme="majorHAnsi"/>
                <w:color w:val="000000"/>
                <w:sz w:val="20"/>
              </w:rPr>
              <w:t>,</w:t>
            </w:r>
            <w:r>
              <w:rPr>
                <w:rFonts w:asciiTheme="majorHAnsi" w:hAnsiTheme="majorHAnsi"/>
                <w:color w:val="000000"/>
                <w:sz w:val="20"/>
              </w:rPr>
              <w:t>932/2022</w:t>
            </w:r>
          </w:p>
        </w:tc>
        <w:tc>
          <w:tcPr>
            <w:tcW w:w="650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E9B550" w14:textId="0ADE3EB6" w:rsidR="00586A83" w:rsidRPr="00D20096" w:rsidRDefault="00586A83" w:rsidP="00586A83">
            <w:pPr>
              <w:spacing w:after="0" w:line="240" w:lineRule="auto"/>
              <w:rPr>
                <w:rFonts w:asciiTheme="majorHAnsi" w:eastAsia="Times New Roman" w:hAnsiTheme="majorHAnsi" w:cstheme="majorHAnsi"/>
                <w:color w:val="202124"/>
                <w:sz w:val="20"/>
                <w:szCs w:val="20"/>
              </w:rPr>
            </w:pPr>
            <w:r>
              <w:rPr>
                <w:rFonts w:asciiTheme="majorHAnsi" w:hAnsiTheme="majorHAnsi"/>
                <w:color w:val="000000"/>
                <w:sz w:val="20"/>
              </w:rPr>
              <w:t>Ratification of the Inter-American Convention against Racism and All Forms of Discrimination and Intolerance</w:t>
            </w:r>
          </w:p>
        </w:tc>
      </w:tr>
      <w:tr w:rsidR="00586A83" w:rsidRPr="00D20096" w14:paraId="175D1BEF" w14:textId="77777777" w:rsidTr="14B7E38C">
        <w:trPr>
          <w:trHeight w:val="919"/>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2CC4A9" w14:textId="38ADE1EB" w:rsidR="00586A83" w:rsidRPr="00D20096" w:rsidRDefault="00586A83" w:rsidP="00586A83">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Decree N. 65</w:t>
            </w:r>
            <w:r w:rsidR="006B4317">
              <w:rPr>
                <w:rFonts w:asciiTheme="majorHAnsi" w:hAnsiTheme="majorHAnsi"/>
                <w:color w:val="000000"/>
                <w:sz w:val="20"/>
              </w:rPr>
              <w:t>,</w:t>
            </w:r>
            <w:r>
              <w:rPr>
                <w:rFonts w:asciiTheme="majorHAnsi" w:hAnsiTheme="majorHAnsi"/>
                <w:color w:val="000000"/>
                <w:sz w:val="20"/>
              </w:rPr>
              <w:t>810/1969</w:t>
            </w:r>
          </w:p>
        </w:tc>
        <w:tc>
          <w:tcPr>
            <w:tcW w:w="6507" w:type="dxa"/>
            <w:tcBorders>
              <w:top w:val="nil"/>
              <w:left w:val="nil"/>
              <w:bottom w:val="single" w:sz="4" w:space="0" w:color="auto"/>
              <w:right w:val="single" w:sz="4" w:space="0" w:color="auto"/>
            </w:tcBorders>
            <w:shd w:val="clear" w:color="auto" w:fill="F2F2F2" w:themeFill="background1" w:themeFillShade="F2"/>
            <w:vAlign w:val="center"/>
          </w:tcPr>
          <w:p w14:paraId="418145BC" w14:textId="6BB8075B" w:rsidR="00586A83" w:rsidRPr="00D20096" w:rsidRDefault="00586A83" w:rsidP="00586A83">
            <w:pPr>
              <w:spacing w:after="0" w:line="240" w:lineRule="auto"/>
              <w:rPr>
                <w:rFonts w:asciiTheme="majorHAnsi" w:eastAsia="Times New Roman" w:hAnsiTheme="majorHAnsi" w:cstheme="majorHAnsi"/>
                <w:color w:val="000000"/>
                <w:sz w:val="20"/>
                <w:szCs w:val="20"/>
              </w:rPr>
            </w:pPr>
            <w:r>
              <w:rPr>
                <w:rFonts w:asciiTheme="majorHAnsi" w:hAnsiTheme="majorHAnsi"/>
                <w:color w:val="000000"/>
                <w:sz w:val="20"/>
              </w:rPr>
              <w:t xml:space="preserve">Ratification of the International Convention on the Elimination of All Forms of Racial Discrimination </w:t>
            </w:r>
          </w:p>
        </w:tc>
      </w:tr>
    </w:tbl>
    <w:p w14:paraId="4922B567" w14:textId="6E194823" w:rsidR="00C64232" w:rsidRDefault="00C64232">
      <w:pPr>
        <w:rPr>
          <w:rFonts w:ascii="Times New Roman" w:hAnsi="Times New Roman" w:cs="Times New Roman"/>
        </w:rPr>
      </w:pPr>
    </w:p>
    <w:p w14:paraId="5AF165CB" w14:textId="5B84234C" w:rsidR="00D35078" w:rsidRDefault="00D35078">
      <w:pPr>
        <w:rPr>
          <w:rFonts w:ascii="Times New Roman" w:hAnsi="Times New Roman" w:cs="Times New Roman"/>
        </w:rPr>
      </w:pPr>
    </w:p>
    <w:p w14:paraId="774B02C2" w14:textId="13B5B8C0" w:rsidR="00D35078" w:rsidRDefault="00D35078">
      <w:pPr>
        <w:rPr>
          <w:rFonts w:ascii="Times New Roman" w:hAnsi="Times New Roman" w:cs="Times New Roman"/>
        </w:rPr>
      </w:pPr>
    </w:p>
    <w:p w14:paraId="3D7D635C" w14:textId="0E599073" w:rsidR="00D35078" w:rsidRDefault="00D35078">
      <w:pPr>
        <w:rPr>
          <w:rFonts w:ascii="Times New Roman" w:hAnsi="Times New Roman" w:cs="Times New Roman"/>
        </w:rPr>
      </w:pPr>
    </w:p>
    <w:p w14:paraId="1D073EF5" w14:textId="77777777" w:rsidR="00D35078" w:rsidRDefault="00D35078">
      <w:pPr>
        <w:rPr>
          <w:rFonts w:ascii="Times New Roman" w:hAnsi="Times New Roman" w:cs="Times New Roman"/>
        </w:rPr>
      </w:pPr>
    </w:p>
    <w:p w14:paraId="7DFB35CC" w14:textId="54ACAB1F" w:rsidR="00901534" w:rsidRDefault="00901534">
      <w:pPr>
        <w:rPr>
          <w:rFonts w:ascii="Times New Roman" w:hAnsi="Times New Roman" w:cs="Times New Roman"/>
          <w:b/>
          <w:bCs/>
        </w:rPr>
      </w:pPr>
    </w:p>
    <w:p w14:paraId="47372200" w14:textId="038432E9" w:rsidR="00A04912" w:rsidRPr="00C64232" w:rsidRDefault="00D93B95" w:rsidP="00B32684">
      <w:pPr>
        <w:jc w:val="both"/>
        <w:rPr>
          <w:rFonts w:ascii="Times New Roman" w:hAnsi="Times New Roman" w:cs="Times New Roman"/>
          <w:b/>
          <w:bCs/>
        </w:rPr>
      </w:pPr>
      <w:r>
        <w:rPr>
          <w:rFonts w:ascii="Times New Roman" w:hAnsi="Times New Roman"/>
          <w:b/>
        </w:rPr>
        <w:t>Question 8 - Assistance provided to women in situation of violence at the House of Brazilian Women (CMB)</w:t>
      </w:r>
    </w:p>
    <w:tbl>
      <w:tblPr>
        <w:tblpPr w:leftFromText="141" w:rightFromText="141" w:vertAnchor="text" w:horzAnchor="margin" w:tblpXSpec="center" w:tblpY="11"/>
        <w:tblW w:w="934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1586"/>
        <w:gridCol w:w="1824"/>
        <w:gridCol w:w="2126"/>
        <w:gridCol w:w="2544"/>
      </w:tblGrid>
      <w:tr w:rsidR="00B32684" w:rsidRPr="00C64232" w14:paraId="0E48B761" w14:textId="77777777" w:rsidTr="00B32684">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D74A0C6" w14:textId="77777777" w:rsidR="00B32684" w:rsidRPr="00C64232" w:rsidRDefault="00B32684" w:rsidP="00B32684">
            <w:pPr>
              <w:pStyle w:val="PargrafodaLista"/>
              <w:tabs>
                <w:tab w:val="left" w:pos="1835"/>
              </w:tabs>
              <w:spacing w:before="91" w:line="249" w:lineRule="auto"/>
              <w:ind w:left="142" w:right="-1"/>
              <w:jc w:val="center"/>
              <w:rPr>
                <w:b/>
                <w:bCs/>
                <w:sz w:val="18"/>
                <w:szCs w:val="18"/>
              </w:rPr>
            </w:pPr>
            <w:r>
              <w:rPr>
                <w:b/>
                <w:sz w:val="18"/>
              </w:rPr>
              <w:t>ASSISTANCES SERVICED</w:t>
            </w:r>
          </w:p>
        </w:tc>
      </w:tr>
      <w:tr w:rsidR="00B32684" w:rsidRPr="00C64232" w14:paraId="1D4716AD" w14:textId="77777777" w:rsidTr="00B32684">
        <w:trPr>
          <w:tblCellSpacing w:w="0" w:type="dxa"/>
        </w:trPr>
        <w:tc>
          <w:tcPr>
            <w:tcW w:w="126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AFC9D9" w14:textId="77777777" w:rsidR="00B32684" w:rsidRPr="00C64232" w:rsidRDefault="00B32684" w:rsidP="00B32684">
            <w:pPr>
              <w:tabs>
                <w:tab w:val="left" w:pos="1835"/>
              </w:tabs>
              <w:spacing w:before="91" w:line="249" w:lineRule="auto"/>
              <w:ind w:left="142" w:right="-1"/>
              <w:jc w:val="center"/>
              <w:rPr>
                <w:rFonts w:ascii="Times New Roman" w:hAnsi="Times New Roman" w:cs="Times New Roman"/>
                <w:b/>
                <w:bCs/>
                <w:sz w:val="18"/>
                <w:szCs w:val="18"/>
              </w:rPr>
            </w:pPr>
            <w:r>
              <w:rPr>
                <w:rFonts w:ascii="Times New Roman" w:hAnsi="Times New Roman"/>
                <w:b/>
                <w:sz w:val="18"/>
              </w:rPr>
              <w:t>CMB</w:t>
            </w:r>
          </w:p>
        </w:tc>
        <w:tc>
          <w:tcPr>
            <w:tcW w:w="15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DF59DA" w14:textId="77777777" w:rsidR="00B32684" w:rsidRPr="00C64232" w:rsidRDefault="00B32684" w:rsidP="00B32684">
            <w:pPr>
              <w:pStyle w:val="PargrafodaLista"/>
              <w:tabs>
                <w:tab w:val="left" w:pos="1835"/>
              </w:tabs>
              <w:spacing w:before="91" w:line="249" w:lineRule="auto"/>
              <w:ind w:left="142" w:right="-1"/>
              <w:jc w:val="center"/>
              <w:rPr>
                <w:b/>
                <w:bCs/>
                <w:sz w:val="18"/>
                <w:szCs w:val="18"/>
              </w:rPr>
            </w:pPr>
            <w:r>
              <w:rPr>
                <w:b/>
                <w:sz w:val="18"/>
              </w:rPr>
              <w:t>2019</w:t>
            </w:r>
          </w:p>
        </w:tc>
        <w:tc>
          <w:tcPr>
            <w:tcW w:w="182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3870019" w14:textId="77777777" w:rsidR="00B32684" w:rsidRPr="00C64232" w:rsidRDefault="00B32684" w:rsidP="00B32684">
            <w:pPr>
              <w:pStyle w:val="PargrafodaLista"/>
              <w:tabs>
                <w:tab w:val="left" w:pos="1835"/>
              </w:tabs>
              <w:spacing w:before="91" w:line="249" w:lineRule="auto"/>
              <w:ind w:left="142" w:right="-1"/>
              <w:jc w:val="center"/>
              <w:rPr>
                <w:b/>
                <w:bCs/>
                <w:sz w:val="18"/>
                <w:szCs w:val="18"/>
              </w:rPr>
            </w:pPr>
            <w:r>
              <w:rPr>
                <w:b/>
                <w:sz w:val="18"/>
              </w:rPr>
              <w:t>2020</w:t>
            </w:r>
          </w:p>
        </w:tc>
        <w:tc>
          <w:tcPr>
            <w:tcW w:w="212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1B9B52" w14:textId="77777777" w:rsidR="00B32684" w:rsidRPr="00C64232" w:rsidRDefault="00B32684" w:rsidP="00B32684">
            <w:pPr>
              <w:pStyle w:val="PargrafodaLista"/>
              <w:tabs>
                <w:tab w:val="left" w:pos="1835"/>
              </w:tabs>
              <w:spacing w:before="91" w:line="249" w:lineRule="auto"/>
              <w:ind w:left="142" w:right="-1"/>
              <w:jc w:val="center"/>
              <w:rPr>
                <w:b/>
                <w:bCs/>
                <w:sz w:val="18"/>
                <w:szCs w:val="18"/>
              </w:rPr>
            </w:pPr>
            <w:r>
              <w:rPr>
                <w:b/>
                <w:sz w:val="18"/>
              </w:rPr>
              <w:t>2021</w:t>
            </w:r>
          </w:p>
        </w:tc>
        <w:tc>
          <w:tcPr>
            <w:tcW w:w="254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7226345" w14:textId="77777777" w:rsidR="00B32684" w:rsidRPr="00C64232" w:rsidRDefault="00B32684" w:rsidP="00B32684">
            <w:pPr>
              <w:pStyle w:val="PargrafodaLista"/>
              <w:tabs>
                <w:tab w:val="left" w:pos="1835"/>
              </w:tabs>
              <w:spacing w:before="91" w:line="249" w:lineRule="auto"/>
              <w:ind w:left="142" w:right="-1"/>
              <w:jc w:val="center"/>
              <w:rPr>
                <w:b/>
                <w:bCs/>
                <w:sz w:val="18"/>
                <w:szCs w:val="18"/>
              </w:rPr>
            </w:pPr>
            <w:r>
              <w:rPr>
                <w:b/>
                <w:sz w:val="18"/>
              </w:rPr>
              <w:t>2022 - until May</w:t>
            </w:r>
          </w:p>
        </w:tc>
      </w:tr>
      <w:tr w:rsidR="00B32684" w:rsidRPr="00C64232" w14:paraId="5F15CA60" w14:textId="77777777" w:rsidTr="00B32684">
        <w:trPr>
          <w:tblCellSpacing w:w="0" w:type="dxa"/>
        </w:trPr>
        <w:tc>
          <w:tcPr>
            <w:tcW w:w="126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B3D9EB3" w14:textId="77777777" w:rsidR="00B32684" w:rsidRPr="005460F4" w:rsidRDefault="00B32684" w:rsidP="00B32684">
            <w:pPr>
              <w:tabs>
                <w:tab w:val="left" w:pos="1835"/>
              </w:tabs>
              <w:spacing w:before="91" w:after="0" w:line="249" w:lineRule="auto"/>
              <w:ind w:left="142" w:right="-1"/>
              <w:jc w:val="center"/>
              <w:rPr>
                <w:rFonts w:ascii="Times New Roman" w:hAnsi="Times New Roman" w:cs="Times New Roman"/>
                <w:sz w:val="18"/>
                <w:szCs w:val="18"/>
              </w:rPr>
            </w:pPr>
            <w:r>
              <w:rPr>
                <w:rFonts w:ascii="Times New Roman" w:hAnsi="Times New Roman"/>
                <w:sz w:val="18"/>
              </w:rPr>
              <w:t>Campo Grande/MS</w:t>
            </w:r>
          </w:p>
        </w:tc>
        <w:tc>
          <w:tcPr>
            <w:tcW w:w="15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FE072E"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146203</w:t>
            </w:r>
          </w:p>
        </w:tc>
        <w:tc>
          <w:tcPr>
            <w:tcW w:w="182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D66347F"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109853</w:t>
            </w:r>
          </w:p>
        </w:tc>
        <w:tc>
          <w:tcPr>
            <w:tcW w:w="212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F8BC3C"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165378</w:t>
            </w:r>
          </w:p>
        </w:tc>
        <w:tc>
          <w:tcPr>
            <w:tcW w:w="254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55A2A4E"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82404</w:t>
            </w:r>
          </w:p>
        </w:tc>
      </w:tr>
      <w:tr w:rsidR="00B32684" w:rsidRPr="00C64232" w14:paraId="104784F0" w14:textId="77777777" w:rsidTr="00B32684">
        <w:trPr>
          <w:trHeight w:val="445"/>
          <w:tblCellSpacing w:w="0" w:type="dxa"/>
        </w:trPr>
        <w:tc>
          <w:tcPr>
            <w:tcW w:w="126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201AF1F" w14:textId="77777777" w:rsidR="00B32684" w:rsidRPr="005460F4" w:rsidRDefault="00B32684" w:rsidP="00B32684">
            <w:pPr>
              <w:tabs>
                <w:tab w:val="left" w:pos="1835"/>
              </w:tabs>
              <w:spacing w:before="91" w:after="0" w:line="249" w:lineRule="auto"/>
              <w:ind w:left="142" w:right="-1"/>
              <w:jc w:val="center"/>
              <w:rPr>
                <w:rFonts w:ascii="Times New Roman" w:hAnsi="Times New Roman" w:cs="Times New Roman"/>
                <w:sz w:val="18"/>
                <w:szCs w:val="18"/>
              </w:rPr>
            </w:pPr>
            <w:r>
              <w:rPr>
                <w:rFonts w:ascii="Times New Roman" w:hAnsi="Times New Roman"/>
                <w:sz w:val="18"/>
              </w:rPr>
              <w:t>Brasília/DF</w:t>
            </w:r>
          </w:p>
        </w:tc>
        <w:tc>
          <w:tcPr>
            <w:tcW w:w="15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A827D4"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w:t>
            </w:r>
          </w:p>
        </w:tc>
        <w:tc>
          <w:tcPr>
            <w:tcW w:w="182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F0CDB9D"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w:t>
            </w:r>
          </w:p>
        </w:tc>
        <w:tc>
          <w:tcPr>
            <w:tcW w:w="212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B51E995"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2493</w:t>
            </w:r>
          </w:p>
        </w:tc>
        <w:tc>
          <w:tcPr>
            <w:tcW w:w="254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07AC0E9" w14:textId="77777777" w:rsidR="00B32684" w:rsidRPr="005460F4" w:rsidRDefault="00B32684" w:rsidP="00B32684">
            <w:pPr>
              <w:spacing w:before="91" w:after="0" w:line="249" w:lineRule="auto"/>
              <w:ind w:left="142" w:right="-1"/>
              <w:jc w:val="center"/>
              <w:rPr>
                <w:rFonts w:ascii="Times New Roman" w:hAnsi="Times New Roman" w:cs="Times New Roman"/>
                <w:sz w:val="18"/>
                <w:szCs w:val="18"/>
              </w:rPr>
            </w:pPr>
            <w:r>
              <w:rPr>
                <w:rFonts w:ascii="Times New Roman" w:hAnsi="Times New Roman"/>
                <w:sz w:val="18"/>
              </w:rPr>
              <w:t>1963</w:t>
            </w:r>
          </w:p>
        </w:tc>
      </w:tr>
      <w:tr w:rsidR="00B32684" w:rsidRPr="00C64232" w14:paraId="655C3948" w14:textId="77777777" w:rsidTr="00B32684">
        <w:trPr>
          <w:tblCellSpacing w:w="0" w:type="dxa"/>
        </w:trPr>
        <w:tc>
          <w:tcPr>
            <w:tcW w:w="126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2C399F2" w14:textId="77777777" w:rsidR="00B32684" w:rsidRPr="005460F4" w:rsidRDefault="00B32684" w:rsidP="00B32684">
            <w:pPr>
              <w:tabs>
                <w:tab w:val="left" w:pos="1835"/>
              </w:tabs>
              <w:spacing w:before="91" w:after="0" w:line="249" w:lineRule="auto"/>
              <w:ind w:left="142" w:right="-1"/>
              <w:jc w:val="center"/>
              <w:rPr>
                <w:rFonts w:ascii="Times New Roman" w:hAnsi="Times New Roman" w:cs="Times New Roman"/>
                <w:sz w:val="18"/>
                <w:szCs w:val="18"/>
              </w:rPr>
            </w:pPr>
            <w:r>
              <w:rPr>
                <w:rFonts w:ascii="Times New Roman" w:hAnsi="Times New Roman"/>
                <w:sz w:val="18"/>
              </w:rPr>
              <w:t>Curitiba/PR</w:t>
            </w:r>
          </w:p>
        </w:tc>
        <w:tc>
          <w:tcPr>
            <w:tcW w:w="15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F59994"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32018</w:t>
            </w:r>
          </w:p>
        </w:tc>
        <w:tc>
          <w:tcPr>
            <w:tcW w:w="182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D11933E"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24354</w:t>
            </w:r>
          </w:p>
        </w:tc>
        <w:tc>
          <w:tcPr>
            <w:tcW w:w="212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64A6825"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27024</w:t>
            </w:r>
          </w:p>
        </w:tc>
        <w:tc>
          <w:tcPr>
            <w:tcW w:w="254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F8A3D3E"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17281</w:t>
            </w:r>
          </w:p>
        </w:tc>
      </w:tr>
      <w:tr w:rsidR="00B32684" w:rsidRPr="00C64232" w14:paraId="0449FCF0" w14:textId="77777777" w:rsidTr="00B32684">
        <w:trPr>
          <w:tblCellSpacing w:w="0" w:type="dxa"/>
        </w:trPr>
        <w:tc>
          <w:tcPr>
            <w:tcW w:w="126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0E5D1E" w14:textId="77777777" w:rsidR="00B32684" w:rsidRPr="005460F4" w:rsidRDefault="00B32684" w:rsidP="00B32684">
            <w:pPr>
              <w:tabs>
                <w:tab w:val="left" w:pos="1835"/>
              </w:tabs>
              <w:spacing w:before="91" w:after="0" w:line="249" w:lineRule="auto"/>
              <w:ind w:left="142" w:right="-1"/>
              <w:jc w:val="center"/>
              <w:rPr>
                <w:rFonts w:ascii="Times New Roman" w:hAnsi="Times New Roman" w:cs="Times New Roman"/>
                <w:sz w:val="18"/>
                <w:szCs w:val="18"/>
              </w:rPr>
            </w:pPr>
            <w:r>
              <w:rPr>
                <w:rFonts w:ascii="Times New Roman" w:hAnsi="Times New Roman"/>
                <w:sz w:val="18"/>
              </w:rPr>
              <w:t>São Paulo/SP</w:t>
            </w:r>
          </w:p>
        </w:tc>
        <w:tc>
          <w:tcPr>
            <w:tcW w:w="15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8171933"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2819</w:t>
            </w:r>
          </w:p>
        </w:tc>
        <w:tc>
          <w:tcPr>
            <w:tcW w:w="182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92E7014"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20368</w:t>
            </w:r>
          </w:p>
        </w:tc>
        <w:tc>
          <w:tcPr>
            <w:tcW w:w="212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58E6BBC"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35427</w:t>
            </w:r>
          </w:p>
        </w:tc>
        <w:tc>
          <w:tcPr>
            <w:tcW w:w="254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3C7D52D"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1961</w:t>
            </w:r>
          </w:p>
        </w:tc>
      </w:tr>
      <w:tr w:rsidR="00B32684" w:rsidRPr="00C64232" w14:paraId="7183C599" w14:textId="77777777" w:rsidTr="00B32684">
        <w:trPr>
          <w:tblCellSpacing w:w="0" w:type="dxa"/>
        </w:trPr>
        <w:tc>
          <w:tcPr>
            <w:tcW w:w="126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57931A5" w14:textId="77777777" w:rsidR="00B32684" w:rsidRPr="005460F4" w:rsidRDefault="00B32684" w:rsidP="00B32684">
            <w:pPr>
              <w:tabs>
                <w:tab w:val="left" w:pos="1835"/>
              </w:tabs>
              <w:spacing w:before="91" w:after="0" w:line="249" w:lineRule="auto"/>
              <w:ind w:left="142" w:right="-1"/>
              <w:jc w:val="center"/>
              <w:rPr>
                <w:rFonts w:ascii="Times New Roman" w:hAnsi="Times New Roman" w:cs="Times New Roman"/>
                <w:sz w:val="18"/>
                <w:szCs w:val="18"/>
              </w:rPr>
            </w:pPr>
            <w:r>
              <w:rPr>
                <w:rFonts w:ascii="Times New Roman" w:hAnsi="Times New Roman"/>
                <w:sz w:val="18"/>
              </w:rPr>
              <w:t>Fortaleza/CE</w:t>
            </w:r>
          </w:p>
        </w:tc>
        <w:tc>
          <w:tcPr>
            <w:tcW w:w="15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5725218"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31848</w:t>
            </w:r>
          </w:p>
        </w:tc>
        <w:tc>
          <w:tcPr>
            <w:tcW w:w="182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DC443AC"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27676</w:t>
            </w:r>
          </w:p>
        </w:tc>
        <w:tc>
          <w:tcPr>
            <w:tcW w:w="212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D651F55"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38709</w:t>
            </w:r>
          </w:p>
        </w:tc>
        <w:tc>
          <w:tcPr>
            <w:tcW w:w="254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6FF7D6"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25427</w:t>
            </w:r>
          </w:p>
        </w:tc>
      </w:tr>
      <w:tr w:rsidR="00B32684" w:rsidRPr="00C64232" w14:paraId="0BFF1CBF" w14:textId="77777777" w:rsidTr="00B32684">
        <w:trPr>
          <w:tblCellSpacing w:w="0" w:type="dxa"/>
        </w:trPr>
        <w:tc>
          <w:tcPr>
            <w:tcW w:w="126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7407E42" w14:textId="77777777" w:rsidR="00B32684" w:rsidRPr="005460F4" w:rsidRDefault="00B32684" w:rsidP="00B32684">
            <w:pPr>
              <w:tabs>
                <w:tab w:val="left" w:pos="1835"/>
              </w:tabs>
              <w:spacing w:before="91" w:after="0" w:line="249" w:lineRule="auto"/>
              <w:ind w:left="142" w:right="-1"/>
              <w:jc w:val="center"/>
              <w:rPr>
                <w:rFonts w:ascii="Times New Roman" w:hAnsi="Times New Roman" w:cs="Times New Roman"/>
                <w:sz w:val="18"/>
                <w:szCs w:val="18"/>
              </w:rPr>
            </w:pPr>
            <w:r>
              <w:rPr>
                <w:rFonts w:ascii="Times New Roman" w:hAnsi="Times New Roman"/>
                <w:sz w:val="18"/>
              </w:rPr>
              <w:t>São Luís/MA</w:t>
            </w:r>
          </w:p>
        </w:tc>
        <w:tc>
          <w:tcPr>
            <w:tcW w:w="15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389799"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25638</w:t>
            </w:r>
          </w:p>
        </w:tc>
        <w:tc>
          <w:tcPr>
            <w:tcW w:w="182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61C9876"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44047</w:t>
            </w:r>
          </w:p>
        </w:tc>
        <w:tc>
          <w:tcPr>
            <w:tcW w:w="212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2118C1C"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55884</w:t>
            </w:r>
          </w:p>
        </w:tc>
        <w:tc>
          <w:tcPr>
            <w:tcW w:w="254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638CC36"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17423</w:t>
            </w:r>
          </w:p>
        </w:tc>
      </w:tr>
      <w:tr w:rsidR="00B32684" w:rsidRPr="00C64232" w14:paraId="60FC882E" w14:textId="77777777" w:rsidTr="00B32684">
        <w:trPr>
          <w:tblCellSpacing w:w="0" w:type="dxa"/>
        </w:trPr>
        <w:tc>
          <w:tcPr>
            <w:tcW w:w="126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FE78CB" w14:textId="77777777" w:rsidR="00B32684" w:rsidRPr="005460F4" w:rsidRDefault="00B32684" w:rsidP="00B32684">
            <w:pPr>
              <w:tabs>
                <w:tab w:val="left" w:pos="1835"/>
              </w:tabs>
              <w:spacing w:before="91" w:after="0" w:line="249" w:lineRule="auto"/>
              <w:ind w:left="142" w:right="-1"/>
              <w:jc w:val="center"/>
              <w:rPr>
                <w:rFonts w:ascii="Times New Roman" w:hAnsi="Times New Roman" w:cs="Times New Roman"/>
                <w:sz w:val="18"/>
                <w:szCs w:val="18"/>
              </w:rPr>
            </w:pPr>
            <w:r>
              <w:rPr>
                <w:rFonts w:ascii="Times New Roman" w:hAnsi="Times New Roman"/>
                <w:sz w:val="18"/>
              </w:rPr>
              <w:t>Boa Vista/RR</w:t>
            </w:r>
          </w:p>
        </w:tc>
        <w:tc>
          <w:tcPr>
            <w:tcW w:w="15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16CE06F"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10486</w:t>
            </w:r>
          </w:p>
        </w:tc>
        <w:tc>
          <w:tcPr>
            <w:tcW w:w="182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8EAD041"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14249</w:t>
            </w:r>
          </w:p>
        </w:tc>
        <w:tc>
          <w:tcPr>
            <w:tcW w:w="212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43FD7E"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18102</w:t>
            </w:r>
          </w:p>
        </w:tc>
        <w:tc>
          <w:tcPr>
            <w:tcW w:w="254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260A73C"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8678</w:t>
            </w:r>
          </w:p>
        </w:tc>
      </w:tr>
      <w:tr w:rsidR="00B32684" w:rsidRPr="00C64232" w14:paraId="01DB9961" w14:textId="77777777" w:rsidTr="00B32684">
        <w:trPr>
          <w:tblCellSpacing w:w="0" w:type="dxa"/>
        </w:trPr>
        <w:tc>
          <w:tcPr>
            <w:tcW w:w="126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012F51" w14:textId="77777777" w:rsidR="00B32684" w:rsidRPr="005460F4" w:rsidRDefault="00B32684" w:rsidP="00B32684">
            <w:pPr>
              <w:tabs>
                <w:tab w:val="left" w:pos="1835"/>
              </w:tabs>
              <w:spacing w:before="91" w:after="0" w:line="249" w:lineRule="auto"/>
              <w:ind w:left="142" w:right="-1"/>
              <w:jc w:val="center"/>
              <w:rPr>
                <w:rFonts w:ascii="Times New Roman" w:hAnsi="Times New Roman" w:cs="Times New Roman"/>
                <w:sz w:val="18"/>
                <w:szCs w:val="18"/>
              </w:rPr>
            </w:pPr>
            <w:r>
              <w:rPr>
                <w:rFonts w:ascii="Times New Roman" w:hAnsi="Times New Roman"/>
                <w:sz w:val="18"/>
              </w:rPr>
              <w:t>TOTAL</w:t>
            </w:r>
          </w:p>
        </w:tc>
        <w:tc>
          <w:tcPr>
            <w:tcW w:w="15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F8111C3"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249012</w:t>
            </w:r>
          </w:p>
        </w:tc>
        <w:tc>
          <w:tcPr>
            <w:tcW w:w="182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934FCA"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240547</w:t>
            </w:r>
          </w:p>
        </w:tc>
        <w:tc>
          <w:tcPr>
            <w:tcW w:w="212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68CC3A"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343017</w:t>
            </w:r>
          </w:p>
        </w:tc>
        <w:tc>
          <w:tcPr>
            <w:tcW w:w="254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26FB0BA" w14:textId="77777777" w:rsidR="00B32684" w:rsidRPr="005460F4" w:rsidRDefault="00B32684" w:rsidP="00B32684">
            <w:pPr>
              <w:pStyle w:val="PargrafodaLista"/>
              <w:tabs>
                <w:tab w:val="left" w:pos="1835"/>
              </w:tabs>
              <w:spacing w:before="91" w:line="249" w:lineRule="auto"/>
              <w:ind w:left="142" w:right="-1"/>
              <w:jc w:val="center"/>
              <w:rPr>
                <w:sz w:val="18"/>
                <w:szCs w:val="18"/>
              </w:rPr>
            </w:pPr>
            <w:r>
              <w:rPr>
                <w:sz w:val="18"/>
              </w:rPr>
              <w:t>155137</w:t>
            </w:r>
          </w:p>
        </w:tc>
      </w:tr>
    </w:tbl>
    <w:p w14:paraId="6D7E4EB1" w14:textId="47919E43" w:rsidR="00384DFC" w:rsidRDefault="00384DFC">
      <w:pPr>
        <w:rPr>
          <w:rFonts w:ascii="Times New Roman" w:hAnsi="Times New Roman" w:cs="Times New Roman"/>
        </w:rPr>
      </w:pPr>
    </w:p>
    <w:p w14:paraId="38714BC1" w14:textId="77777777" w:rsidR="00B32684" w:rsidRPr="00C64232" w:rsidRDefault="00B32684">
      <w:pPr>
        <w:rPr>
          <w:rFonts w:ascii="Times New Roman" w:hAnsi="Times New Roman" w:cs="Times New Roman"/>
        </w:rPr>
      </w:pPr>
    </w:p>
    <w:p w14:paraId="563790D5" w14:textId="1EDAD3E1" w:rsidR="00A04912" w:rsidRPr="00C64232" w:rsidRDefault="00A04912">
      <w:pPr>
        <w:rPr>
          <w:rFonts w:ascii="Times New Roman" w:hAnsi="Times New Roman" w:cs="Times New Roman"/>
          <w:b/>
          <w:bCs/>
        </w:rPr>
      </w:pPr>
      <w:r>
        <w:rPr>
          <w:rFonts w:ascii="Times New Roman" w:hAnsi="Times New Roman"/>
          <w:b/>
        </w:rPr>
        <w:t xml:space="preserve">Question 19 - List of Actions </w:t>
      </w:r>
    </w:p>
    <w:p w14:paraId="45C7B7A8" w14:textId="4D758090" w:rsidR="00B374D3" w:rsidRPr="00C64232" w:rsidRDefault="00B374D3" w:rsidP="00B374D3">
      <w:pPr>
        <w:pStyle w:val="PargrafodaLista"/>
        <w:numPr>
          <w:ilvl w:val="0"/>
          <w:numId w:val="1"/>
        </w:numPr>
        <w:tabs>
          <w:tab w:val="left" w:pos="851"/>
          <w:tab w:val="left" w:pos="1835"/>
        </w:tabs>
        <w:spacing w:before="122"/>
        <w:ind w:left="567" w:right="-1"/>
      </w:pPr>
      <w:r>
        <w:t>Publication of</w:t>
      </w:r>
      <w:r w:rsidR="007162DB">
        <w:t xml:space="preserve"> the</w:t>
      </w:r>
      <w:r>
        <w:t xml:space="preserve"> Law N. 13,445, </w:t>
      </w:r>
      <w:r w:rsidR="663754C8">
        <w:t>of</w:t>
      </w:r>
      <w:r>
        <w:t xml:space="preserve"> May 24</w:t>
      </w:r>
      <w:r w:rsidRPr="14B7E38C">
        <w:rPr>
          <w:vertAlign w:val="superscript"/>
        </w:rPr>
        <w:t>th</w:t>
      </w:r>
      <w:r>
        <w:t>, 2017, which “introduces the Migration Law”, and</w:t>
      </w:r>
      <w:r w:rsidR="007162DB">
        <w:t xml:space="preserve"> of the</w:t>
      </w:r>
      <w:r>
        <w:t xml:space="preserve"> Decree N. 9,199, </w:t>
      </w:r>
      <w:r w:rsidR="560A6BB7">
        <w:t>of</w:t>
      </w:r>
      <w:r>
        <w:t xml:space="preserve"> November 29</w:t>
      </w:r>
      <w:r w:rsidRPr="14B7E38C">
        <w:rPr>
          <w:vertAlign w:val="superscript"/>
        </w:rPr>
        <w:t>th</w:t>
      </w:r>
      <w:r>
        <w:t xml:space="preserve">, 2017, </w:t>
      </w:r>
      <w:r w:rsidR="29BA2195">
        <w:t>which regulates</w:t>
      </w:r>
      <w:r w:rsidR="007162DB">
        <w:t xml:space="preserve"> it</w:t>
      </w:r>
      <w:r w:rsidR="29BA2195">
        <w:t>;</w:t>
      </w:r>
      <w:r>
        <w:t xml:space="preserve"> </w:t>
      </w:r>
      <w:r w:rsidR="007162DB">
        <w:t xml:space="preserve">It is noteworthy to mention </w:t>
      </w:r>
      <w:r>
        <w:t xml:space="preserve">the unprecedented approach of acknowledging the condition of stateless person, and the simplification of ordinary naturalization procedure to stateless persons </w:t>
      </w:r>
      <w:r w:rsidR="008160F9">
        <w:t xml:space="preserve">recognized </w:t>
      </w:r>
      <w:r>
        <w:t xml:space="preserve">by the Brazilian State and who have resided permanently in the country for at least two years; </w:t>
      </w:r>
    </w:p>
    <w:p w14:paraId="19DD8FF6" w14:textId="2FD1E576" w:rsidR="00B374D3" w:rsidRPr="00C64232" w:rsidRDefault="00B374D3" w:rsidP="00B374D3">
      <w:pPr>
        <w:pStyle w:val="PargrafodaLista"/>
        <w:numPr>
          <w:ilvl w:val="0"/>
          <w:numId w:val="1"/>
        </w:numPr>
        <w:tabs>
          <w:tab w:val="left" w:pos="851"/>
          <w:tab w:val="left" w:pos="1835"/>
        </w:tabs>
        <w:spacing w:before="122"/>
        <w:ind w:left="567" w:right="-1"/>
      </w:pPr>
      <w:r>
        <w:t xml:space="preserve">33,866 refuge applications were lodged, from which 1,179 were examined and 473 granted; in the year 2017, the </w:t>
      </w:r>
      <w:r w:rsidR="008160F9">
        <w:t xml:space="preserve">biggest </w:t>
      </w:r>
      <w:r>
        <w:t xml:space="preserve">part of refuge applications </w:t>
      </w:r>
      <w:r w:rsidR="006B4317">
        <w:t>was</w:t>
      </w:r>
      <w:r>
        <w:t xml:space="preserve"> from Venezuelan citizens, equivalent of 52% from the total. </w:t>
      </w:r>
    </w:p>
    <w:p w14:paraId="63E8815E" w14:textId="225CAED8" w:rsidR="00B374D3" w:rsidRPr="00C64232" w:rsidRDefault="00B374D3" w:rsidP="00B374D3">
      <w:pPr>
        <w:pStyle w:val="PargrafodaLista"/>
        <w:numPr>
          <w:ilvl w:val="0"/>
          <w:numId w:val="1"/>
        </w:numPr>
        <w:tabs>
          <w:tab w:val="left" w:pos="851"/>
          <w:tab w:val="left" w:pos="1835"/>
        </w:tabs>
        <w:spacing w:before="122"/>
        <w:ind w:left="567" w:right="-1"/>
      </w:pPr>
      <w:r>
        <w:t xml:space="preserve">Simplification of the refugee application form, </w:t>
      </w:r>
      <w:r w:rsidR="006B4317">
        <w:t>simplification</w:t>
      </w:r>
      <w:r>
        <w:t xml:space="preserve"> of request</w:t>
      </w:r>
      <w:r w:rsidR="008160F9">
        <w:t xml:space="preserve"> process</w:t>
      </w:r>
      <w:r>
        <w:t xml:space="preserve"> and </w:t>
      </w:r>
      <w:r w:rsidR="008160F9">
        <w:t>continued</w:t>
      </w:r>
      <w:r>
        <w:t xml:space="preserve"> SISCONARE system development; </w:t>
      </w:r>
    </w:p>
    <w:p w14:paraId="69B7EB68" w14:textId="1D192AFD" w:rsidR="00B374D3" w:rsidRPr="00C64232" w:rsidRDefault="00B374D3" w:rsidP="00B374D3">
      <w:pPr>
        <w:pStyle w:val="PargrafodaLista"/>
        <w:numPr>
          <w:ilvl w:val="0"/>
          <w:numId w:val="1"/>
        </w:numPr>
        <w:tabs>
          <w:tab w:val="left" w:pos="851"/>
          <w:tab w:val="left" w:pos="1835"/>
        </w:tabs>
        <w:spacing w:before="122"/>
        <w:ind w:left="567" w:right="-1"/>
      </w:pPr>
      <w:r>
        <w:t xml:space="preserve">Assurance of </w:t>
      </w:r>
      <w:r w:rsidR="008160F9">
        <w:t xml:space="preserve">regular </w:t>
      </w:r>
      <w:r>
        <w:t>migration</w:t>
      </w:r>
      <w:r w:rsidR="008160F9">
        <w:t xml:space="preserve"> status</w:t>
      </w:r>
      <w:r w:rsidR="009E174D">
        <w:t xml:space="preserve"> </w:t>
      </w:r>
      <w:r w:rsidR="008160F9">
        <w:t xml:space="preserve">to </w:t>
      </w:r>
      <w:r>
        <w:t xml:space="preserve">foreigners coming from Venezuela, </w:t>
      </w:r>
      <w:r w:rsidR="008160F9">
        <w:t xml:space="preserve">with the </w:t>
      </w:r>
      <w:r>
        <w:t xml:space="preserve">refugee application </w:t>
      </w:r>
      <w:r w:rsidR="008160F9">
        <w:t>registration</w:t>
      </w:r>
      <w:r>
        <w:t xml:space="preserve">; </w:t>
      </w:r>
    </w:p>
    <w:p w14:paraId="4FCEE313" w14:textId="77777777" w:rsidR="00B374D3" w:rsidRPr="00C64232" w:rsidRDefault="00B374D3" w:rsidP="00B374D3">
      <w:pPr>
        <w:pStyle w:val="PargrafodaLista"/>
        <w:numPr>
          <w:ilvl w:val="0"/>
          <w:numId w:val="1"/>
        </w:numPr>
        <w:tabs>
          <w:tab w:val="left" w:pos="851"/>
          <w:tab w:val="left" w:pos="1835"/>
        </w:tabs>
        <w:spacing w:before="122"/>
        <w:ind w:left="567" w:right="-1"/>
      </w:pPr>
      <w:r>
        <w:t>Normative Resolution N. 126 from Migration National Council - CNIg, which provided temporary residency to migrants from border countries for two years;</w:t>
      </w:r>
    </w:p>
    <w:p w14:paraId="4EEA3821" w14:textId="77777777" w:rsidR="00B374D3" w:rsidRPr="00C64232" w:rsidRDefault="00B374D3" w:rsidP="00B374D3">
      <w:pPr>
        <w:pStyle w:val="PargrafodaLista"/>
        <w:numPr>
          <w:ilvl w:val="0"/>
          <w:numId w:val="1"/>
        </w:numPr>
        <w:tabs>
          <w:tab w:val="left" w:pos="851"/>
          <w:tab w:val="left" w:pos="1835"/>
        </w:tabs>
        <w:spacing w:before="122"/>
        <w:ind w:left="567" w:right="-1"/>
      </w:pPr>
      <w:r>
        <w:t xml:space="preserve">First negotiations on the development of the III National Plan for Fighting against Human Trafficking, through the I International Seminar for Fighting against Human Trafficking and Migrant Smuggling. </w:t>
      </w:r>
    </w:p>
    <w:p w14:paraId="0A7816DE" w14:textId="6841E99A" w:rsidR="00B374D3" w:rsidRPr="00C64232" w:rsidRDefault="006B4317" w:rsidP="00B374D3">
      <w:pPr>
        <w:pStyle w:val="PargrafodaLista"/>
        <w:numPr>
          <w:ilvl w:val="0"/>
          <w:numId w:val="1"/>
        </w:numPr>
        <w:tabs>
          <w:tab w:val="left" w:pos="851"/>
          <w:tab w:val="left" w:pos="1835"/>
        </w:tabs>
        <w:spacing w:before="122"/>
        <w:ind w:left="567" w:right="-1"/>
      </w:pPr>
      <w:r>
        <w:lastRenderedPageBreak/>
        <w:t>4</w:t>
      </w:r>
      <w:r>
        <w:rPr>
          <w:vertAlign w:val="superscript"/>
        </w:rPr>
        <w:t>th</w:t>
      </w:r>
      <w:r w:rsidR="00B374D3">
        <w:t xml:space="preserve"> Human Trafficking Fight Awareness Week;</w:t>
      </w:r>
    </w:p>
    <w:p w14:paraId="3C120410" w14:textId="77777777" w:rsidR="00B374D3" w:rsidRPr="00C64232" w:rsidRDefault="00B374D3" w:rsidP="00B374D3">
      <w:pPr>
        <w:pStyle w:val="PargrafodaLista"/>
        <w:numPr>
          <w:ilvl w:val="0"/>
          <w:numId w:val="1"/>
        </w:numPr>
        <w:tabs>
          <w:tab w:val="left" w:pos="851"/>
          <w:tab w:val="left" w:pos="1835"/>
        </w:tabs>
        <w:spacing w:before="122"/>
        <w:ind w:left="567" w:right="-1"/>
      </w:pPr>
      <w:r>
        <w:t xml:space="preserve">Implementation of the Porto Alegre Reference Center - CRIM POA; </w:t>
      </w:r>
    </w:p>
    <w:p w14:paraId="1A32A33F" w14:textId="7B95D966" w:rsidR="00B374D3" w:rsidRPr="00C64232" w:rsidRDefault="00B374D3" w:rsidP="00B374D3">
      <w:pPr>
        <w:pStyle w:val="PargrafodaLista"/>
        <w:numPr>
          <w:ilvl w:val="0"/>
          <w:numId w:val="1"/>
        </w:numPr>
        <w:tabs>
          <w:tab w:val="left" w:pos="851"/>
          <w:tab w:val="left" w:pos="1835"/>
        </w:tabs>
        <w:spacing w:before="122"/>
        <w:ind w:left="567" w:right="-1"/>
      </w:pPr>
      <w:r>
        <w:t>Training “Approach on Human Trafficking and Migrant Smuggling</w:t>
      </w:r>
      <w:r w:rsidR="076261AD">
        <w:t>”</w:t>
      </w:r>
      <w:r>
        <w:t xml:space="preserve">, in the city of Cárceres/MT; </w:t>
      </w:r>
    </w:p>
    <w:p w14:paraId="23AD5BAA" w14:textId="77777777" w:rsidR="00B374D3" w:rsidRPr="00C64232" w:rsidRDefault="00B374D3" w:rsidP="00B374D3">
      <w:pPr>
        <w:pStyle w:val="PargrafodaLista"/>
        <w:numPr>
          <w:ilvl w:val="0"/>
          <w:numId w:val="1"/>
        </w:numPr>
        <w:tabs>
          <w:tab w:val="left" w:pos="851"/>
          <w:tab w:val="left" w:pos="1835"/>
        </w:tabs>
        <w:spacing w:before="122"/>
        <w:ind w:left="567" w:right="-1"/>
      </w:pPr>
      <w:r>
        <w:t>Implementation of I International Seminar on the Fight against Human Trafficking and Migrant Smuggling. Rio de Janeiro/ RJ;</w:t>
      </w:r>
    </w:p>
    <w:p w14:paraId="4CA24FF0" w14:textId="44C5C1F7" w:rsidR="00B374D3" w:rsidRPr="00C64232" w:rsidRDefault="00B374D3" w:rsidP="00B374D3">
      <w:pPr>
        <w:pStyle w:val="PargrafodaLista"/>
        <w:numPr>
          <w:ilvl w:val="0"/>
          <w:numId w:val="1"/>
        </w:numPr>
        <w:tabs>
          <w:tab w:val="left" w:pos="851"/>
          <w:tab w:val="left" w:pos="1835"/>
        </w:tabs>
        <w:spacing w:before="122"/>
        <w:ind w:left="567" w:right="-1"/>
      </w:pPr>
      <w:r>
        <w:t xml:space="preserve">Support to </w:t>
      </w:r>
      <w:r w:rsidR="008160F9">
        <w:t xml:space="preserve">courses </w:t>
      </w:r>
      <w:r>
        <w:t>on</w:t>
      </w:r>
      <w:r w:rsidR="008160F9">
        <w:t xml:space="preserve"> how to deal with situation of</w:t>
      </w:r>
      <w:r>
        <w:t xml:space="preserve"> Human </w:t>
      </w:r>
      <w:r w:rsidR="006B4317">
        <w:t>Trafficking</w:t>
      </w:r>
      <w:r>
        <w:t xml:space="preserve">, migrant smuggling and human mobility, in Boa Vista/RR; </w:t>
      </w:r>
    </w:p>
    <w:p w14:paraId="09E19976" w14:textId="72EE7A54" w:rsidR="00B374D3" w:rsidRPr="00C64232" w:rsidRDefault="00B374D3" w:rsidP="00B374D3">
      <w:pPr>
        <w:pStyle w:val="PargrafodaLista"/>
        <w:numPr>
          <w:ilvl w:val="0"/>
          <w:numId w:val="1"/>
        </w:numPr>
        <w:tabs>
          <w:tab w:val="left" w:pos="851"/>
          <w:tab w:val="left" w:pos="1835"/>
        </w:tabs>
        <w:spacing w:before="122"/>
        <w:ind w:left="567" w:right="-1"/>
      </w:pPr>
      <w:r>
        <w:t xml:space="preserve"> </w:t>
      </w:r>
      <w:r w:rsidR="1A11F2B7">
        <w:t>Global Action Against Trafficking in Children and Adolescents – Ilha de Marajó - Breves and Portel/PA;</w:t>
      </w:r>
    </w:p>
    <w:p w14:paraId="2EC8ED3B" w14:textId="5E0C6486" w:rsidR="00B374D3" w:rsidRPr="00C64232" w:rsidRDefault="00B374D3" w:rsidP="00B374D3">
      <w:pPr>
        <w:pStyle w:val="PargrafodaLista"/>
        <w:numPr>
          <w:ilvl w:val="0"/>
          <w:numId w:val="1"/>
        </w:numPr>
        <w:tabs>
          <w:tab w:val="left" w:pos="851"/>
          <w:tab w:val="left" w:pos="1835"/>
        </w:tabs>
        <w:spacing w:before="122"/>
        <w:ind w:left="567" w:right="-1"/>
      </w:pPr>
      <w:r>
        <w:t>Support to the II Regional Symposium of Fight against Human Trafficking in</w:t>
      </w:r>
      <w:r w:rsidR="008160F9">
        <w:t xml:space="preserve"> “Centro-Oeste”</w:t>
      </w:r>
      <w:r>
        <w:t>;</w:t>
      </w:r>
    </w:p>
    <w:p w14:paraId="6D41AE19" w14:textId="6B54DB42" w:rsidR="00B374D3" w:rsidRPr="00C64232" w:rsidRDefault="00B374D3" w:rsidP="00B374D3">
      <w:pPr>
        <w:pStyle w:val="PargrafodaLista"/>
        <w:numPr>
          <w:ilvl w:val="0"/>
          <w:numId w:val="1"/>
        </w:numPr>
        <w:tabs>
          <w:tab w:val="left" w:pos="851"/>
          <w:tab w:val="left" w:pos="1835"/>
        </w:tabs>
        <w:spacing w:before="122"/>
        <w:ind w:left="567" w:right="-1"/>
      </w:pPr>
      <w:r>
        <w:t xml:space="preserve">Financial allocation </w:t>
      </w:r>
      <w:r w:rsidR="00F00F19">
        <w:t xml:space="preserve">due to </w:t>
      </w:r>
      <w:r>
        <w:t>agreements for the implementation of two Center</w:t>
      </w:r>
      <w:r w:rsidR="00F00F19">
        <w:t xml:space="preserve"> for Reference and Reception to</w:t>
      </w:r>
      <w:r>
        <w:t xml:space="preserve"> Migrant and Refugees - CRAIs, in Porto Alegre/RS and Florianópolis/SC;</w:t>
      </w:r>
    </w:p>
    <w:p w14:paraId="0BC0E1BB" w14:textId="77777777" w:rsidR="00B374D3" w:rsidRPr="00C64232" w:rsidRDefault="00B374D3" w:rsidP="00B374D3">
      <w:pPr>
        <w:pStyle w:val="PargrafodaLista"/>
        <w:numPr>
          <w:ilvl w:val="0"/>
          <w:numId w:val="1"/>
        </w:numPr>
        <w:tabs>
          <w:tab w:val="left" w:pos="851"/>
          <w:tab w:val="left" w:pos="1835"/>
        </w:tabs>
        <w:spacing w:before="122"/>
        <w:ind w:left="567" w:right="-1"/>
      </w:pPr>
      <w:r>
        <w:t>Public Notice Call for civil society organizations to present projects fostering migrants and refugees integration;</w:t>
      </w:r>
    </w:p>
    <w:p w14:paraId="01A08519" w14:textId="24D40831" w:rsidR="00B374D3" w:rsidRPr="00C64232" w:rsidRDefault="00B374D3" w:rsidP="00B374D3">
      <w:pPr>
        <w:pStyle w:val="PargrafodaLista"/>
        <w:numPr>
          <w:ilvl w:val="0"/>
          <w:numId w:val="1"/>
        </w:numPr>
        <w:tabs>
          <w:tab w:val="left" w:pos="851"/>
          <w:tab w:val="left" w:pos="1835"/>
        </w:tabs>
        <w:spacing w:before="122"/>
        <w:ind w:left="567" w:right="-1"/>
      </w:pPr>
      <w:r>
        <w:t xml:space="preserve">Allocation of resources to </w:t>
      </w:r>
      <w:r w:rsidR="00F00F19">
        <w:t xml:space="preserve">aid </w:t>
      </w:r>
      <w:r>
        <w:t xml:space="preserve">civil society organizations </w:t>
      </w:r>
      <w:r w:rsidR="00F00F19">
        <w:t xml:space="preserve">promoting </w:t>
      </w:r>
      <w:r>
        <w:t>Portuguese language courses for migrants and refugees;</w:t>
      </w:r>
    </w:p>
    <w:p w14:paraId="061ED279" w14:textId="66579E80" w:rsidR="00B374D3" w:rsidRPr="00C64232" w:rsidRDefault="00B374D3" w:rsidP="00B374D3">
      <w:pPr>
        <w:pStyle w:val="PargrafodaLista"/>
        <w:numPr>
          <w:ilvl w:val="0"/>
          <w:numId w:val="1"/>
        </w:numPr>
        <w:tabs>
          <w:tab w:val="left" w:pos="851"/>
          <w:tab w:val="left" w:pos="1835"/>
        </w:tabs>
        <w:spacing w:before="122"/>
        <w:ind w:left="567" w:right="-1"/>
      </w:pPr>
      <w:r>
        <w:t xml:space="preserve">Six-month prorogation of the deadline for </w:t>
      </w:r>
      <w:r w:rsidR="00F00F19">
        <w:t>Haitians</w:t>
      </w:r>
      <w:r>
        <w:t xml:space="preserve"> </w:t>
      </w:r>
      <w:r w:rsidR="00F00F19">
        <w:t>staying</w:t>
      </w:r>
      <w:r>
        <w:t xml:space="preserve"> in national territory for humanitarian reasons to come </w:t>
      </w:r>
      <w:r w:rsidR="00F00F19">
        <w:t xml:space="preserve">present themselves to the </w:t>
      </w:r>
      <w:r>
        <w:t xml:space="preserve">relevant authority to complete registration, </w:t>
      </w:r>
      <w:r w:rsidR="00F00F19">
        <w:t xml:space="preserve">and </w:t>
      </w:r>
      <w:r>
        <w:t>formalize their migration status in the country;</w:t>
      </w:r>
    </w:p>
    <w:p w14:paraId="677D1CE2" w14:textId="0C11CBE9" w:rsidR="00B374D3" w:rsidRPr="00C64232" w:rsidRDefault="00B374D3" w:rsidP="00B374D3">
      <w:pPr>
        <w:pStyle w:val="PargrafodaLista"/>
        <w:numPr>
          <w:ilvl w:val="0"/>
          <w:numId w:val="1"/>
        </w:numPr>
        <w:tabs>
          <w:tab w:val="left" w:pos="851"/>
          <w:tab w:val="left" w:pos="1835"/>
        </w:tabs>
        <w:spacing w:before="122"/>
        <w:ind w:left="567" w:right="-1"/>
      </w:pPr>
      <w:r>
        <w:t xml:space="preserve">, </w:t>
      </w:r>
      <w:r w:rsidR="00F00F19">
        <w:t>C</w:t>
      </w:r>
      <w:r>
        <w:t>lasses</w:t>
      </w:r>
      <w:r w:rsidR="00F00F19">
        <w:t>, provided by the National Committee for Refugees,</w:t>
      </w:r>
      <w:r>
        <w:t xml:space="preserve"> for migrants and refugees </w:t>
      </w:r>
      <w:r w:rsidR="00F00F19">
        <w:t xml:space="preserve">of </w:t>
      </w:r>
      <w:r>
        <w:t>Portuguese Language and Brazilian Culture for Foreigners, through the National Program of Access to Technical Education and Employment - PRONATEC, in partnership with IFRJ and IFB;</w:t>
      </w:r>
    </w:p>
    <w:p w14:paraId="45CA06E4" w14:textId="21C85E79" w:rsidR="00B374D3" w:rsidRPr="00C64232" w:rsidRDefault="00B374D3" w:rsidP="00B374D3">
      <w:pPr>
        <w:pStyle w:val="PargrafodaLista"/>
        <w:numPr>
          <w:ilvl w:val="0"/>
          <w:numId w:val="1"/>
        </w:numPr>
        <w:tabs>
          <w:tab w:val="left" w:pos="851"/>
          <w:tab w:val="left" w:pos="1835"/>
        </w:tabs>
        <w:spacing w:before="122"/>
        <w:ind w:left="567" w:right="-1"/>
      </w:pPr>
      <w:r>
        <w:t xml:space="preserve">Launch, by the National Committee for Refugees, in partnership with National SEBRAE and SEBRAE-SP, </w:t>
      </w:r>
      <w:r w:rsidR="00F00F19">
        <w:t xml:space="preserve">of the </w:t>
      </w:r>
      <w:r>
        <w:t>Entrepreneur Refugee project, offering free courses for business to refugees;</w:t>
      </w:r>
    </w:p>
    <w:p w14:paraId="72772BEC" w14:textId="77777777" w:rsidR="00B374D3" w:rsidRPr="00C64232" w:rsidRDefault="00B374D3" w:rsidP="00B374D3">
      <w:pPr>
        <w:pStyle w:val="PargrafodaLista"/>
        <w:numPr>
          <w:ilvl w:val="0"/>
          <w:numId w:val="1"/>
        </w:numPr>
        <w:tabs>
          <w:tab w:val="left" w:pos="851"/>
          <w:tab w:val="left" w:pos="1835"/>
        </w:tabs>
        <w:spacing w:before="122"/>
        <w:ind w:left="567" w:right="-1"/>
      </w:pPr>
      <w:r>
        <w:t xml:space="preserve">Introduction, with Ottawa University, from Canada, of Joint Initiative to Strengthen Refugees Private Sponsorship; </w:t>
      </w:r>
    </w:p>
    <w:p w14:paraId="60DCE76E" w14:textId="77777777" w:rsidR="00B374D3" w:rsidRPr="00C64232" w:rsidRDefault="00B374D3" w:rsidP="00B374D3">
      <w:pPr>
        <w:pStyle w:val="PargrafodaLista"/>
        <w:numPr>
          <w:ilvl w:val="0"/>
          <w:numId w:val="1"/>
        </w:numPr>
        <w:tabs>
          <w:tab w:val="left" w:pos="851"/>
          <w:tab w:val="left" w:pos="1835"/>
        </w:tabs>
        <w:spacing w:before="122"/>
        <w:ind w:left="567" w:right="-1"/>
      </w:pPr>
      <w:r>
        <w:t>Within the Humanitarian Migration Policy for Haitian and Syrian Citizens visa concession was provided in partnership with the Migration National Council - CNIg;</w:t>
      </w:r>
    </w:p>
    <w:p w14:paraId="15A759FB" w14:textId="1EDCFD9C" w:rsidR="00B374D3" w:rsidRPr="00C64232" w:rsidRDefault="00B374D3" w:rsidP="00B374D3">
      <w:pPr>
        <w:pStyle w:val="PargrafodaLista"/>
        <w:numPr>
          <w:ilvl w:val="0"/>
          <w:numId w:val="1"/>
        </w:numPr>
        <w:tabs>
          <w:tab w:val="left" w:pos="851"/>
          <w:tab w:val="left" w:pos="1835"/>
        </w:tabs>
        <w:spacing w:before="122"/>
        <w:ind w:left="567" w:right="-1"/>
      </w:pPr>
      <w:r>
        <w:t xml:space="preserve">Simplification of travel permit applications, through approval of Normative Resolution N. 23, </w:t>
      </w:r>
      <w:r w:rsidR="33C0C0CC">
        <w:t>of</w:t>
      </w:r>
      <w:r>
        <w:t xml:space="preserve"> September 30</w:t>
      </w:r>
      <w:r w:rsidRPr="14B7E38C">
        <w:rPr>
          <w:vertAlign w:val="superscript"/>
        </w:rPr>
        <w:t>th</w:t>
      </w:r>
      <w:r>
        <w:t>, 2016, which “establishes passport application procedures and foreign travel for refugee people and refugee applicants”;</w:t>
      </w:r>
    </w:p>
    <w:p w14:paraId="50339EB1" w14:textId="77777777" w:rsidR="00B374D3" w:rsidRPr="00C64232" w:rsidRDefault="00B374D3" w:rsidP="00B374D3">
      <w:pPr>
        <w:pStyle w:val="PargrafodaLista"/>
        <w:numPr>
          <w:ilvl w:val="0"/>
          <w:numId w:val="1"/>
        </w:numPr>
        <w:tabs>
          <w:tab w:val="left" w:pos="851"/>
          <w:tab w:val="left" w:pos="1835"/>
        </w:tabs>
        <w:spacing w:before="122"/>
        <w:ind w:left="567" w:right="-1"/>
      </w:pPr>
      <w:r>
        <w:t>Conclusion of the II National Plan for Fighting against Human Trafficking - II PNETP;</w:t>
      </w:r>
    </w:p>
    <w:p w14:paraId="675BC217" w14:textId="77777777" w:rsidR="00B374D3" w:rsidRPr="00C64232" w:rsidRDefault="00B374D3" w:rsidP="00B374D3">
      <w:pPr>
        <w:pStyle w:val="PargrafodaLista"/>
        <w:numPr>
          <w:ilvl w:val="0"/>
          <w:numId w:val="1"/>
        </w:numPr>
        <w:tabs>
          <w:tab w:val="left" w:pos="851"/>
          <w:tab w:val="left" w:pos="1835"/>
        </w:tabs>
        <w:spacing w:before="122"/>
        <w:ind w:left="567" w:right="-1"/>
      </w:pPr>
      <w:r>
        <w:t>Hiring of advisor to assess the II PNETP and propose methodology for Network Meet, partnered with UNODC;</w:t>
      </w:r>
    </w:p>
    <w:p w14:paraId="4631EBBC" w14:textId="77777777" w:rsidR="00B374D3" w:rsidRPr="00C64232" w:rsidRDefault="00B374D3" w:rsidP="00B374D3">
      <w:pPr>
        <w:pStyle w:val="PargrafodaLista"/>
        <w:numPr>
          <w:ilvl w:val="0"/>
          <w:numId w:val="1"/>
        </w:numPr>
        <w:tabs>
          <w:tab w:val="left" w:pos="851"/>
          <w:tab w:val="left" w:pos="1835"/>
        </w:tabs>
        <w:spacing w:before="122"/>
        <w:ind w:left="567" w:right="-1"/>
      </w:pPr>
      <w:r>
        <w:t>Publication of Law N. 13.344/2016 - Human Trafficking Law;</w:t>
      </w:r>
    </w:p>
    <w:p w14:paraId="042D5D0C" w14:textId="77777777" w:rsidR="00B374D3" w:rsidRPr="00C64232" w:rsidRDefault="00B374D3" w:rsidP="00B374D3">
      <w:pPr>
        <w:pStyle w:val="PargrafodaLista"/>
        <w:numPr>
          <w:ilvl w:val="0"/>
          <w:numId w:val="1"/>
        </w:numPr>
        <w:tabs>
          <w:tab w:val="left" w:pos="851"/>
          <w:tab w:val="left" w:pos="1835"/>
        </w:tabs>
        <w:spacing w:before="122"/>
        <w:ind w:left="567" w:right="-1"/>
      </w:pPr>
      <w:r>
        <w:t>3</w:t>
      </w:r>
      <w:r>
        <w:rPr>
          <w:vertAlign w:val="superscript"/>
        </w:rPr>
        <w:t>rd</w:t>
      </w:r>
      <w:r>
        <w:t xml:space="preserve"> Human Trafficking Fight Awareness Week;</w:t>
      </w:r>
    </w:p>
    <w:p w14:paraId="5B574F5A" w14:textId="77777777" w:rsidR="00B374D3" w:rsidRPr="00C64232" w:rsidRDefault="00B374D3" w:rsidP="00B374D3">
      <w:pPr>
        <w:pStyle w:val="PargrafodaLista"/>
        <w:numPr>
          <w:ilvl w:val="0"/>
          <w:numId w:val="1"/>
        </w:numPr>
        <w:tabs>
          <w:tab w:val="left" w:pos="851"/>
          <w:tab w:val="left" w:pos="1835"/>
        </w:tabs>
        <w:spacing w:before="122"/>
        <w:ind w:left="567" w:right="-1"/>
      </w:pPr>
      <w:r>
        <w:t>Conclusion of Transborder Migration Project - MT - Brazil that, in 2016, carried out 04 training events in border municipalities, with a total of 306 directly trained people, who will multiply their knowledge in their cities.</w:t>
      </w:r>
    </w:p>
    <w:p w14:paraId="649B3C8C" w14:textId="2D4087A5" w:rsidR="00572A90" w:rsidRDefault="00572A90">
      <w:pPr>
        <w:rPr>
          <w:rFonts w:ascii="Times New Roman" w:hAnsi="Times New Roman" w:cs="Times New Roman"/>
        </w:rPr>
      </w:pPr>
    </w:p>
    <w:p w14:paraId="1FA07E30" w14:textId="77777777" w:rsidR="00330CD9" w:rsidRDefault="00330CD9">
      <w:pPr>
        <w:rPr>
          <w:rFonts w:ascii="Times New Roman" w:hAnsi="Times New Roman" w:cs="Times New Roman"/>
        </w:rPr>
      </w:pPr>
    </w:p>
    <w:p w14:paraId="30169600" w14:textId="77777777" w:rsidR="00455E48" w:rsidRPr="00C64232" w:rsidRDefault="00455E48">
      <w:pPr>
        <w:rPr>
          <w:rFonts w:ascii="Times New Roman" w:hAnsi="Times New Roman" w:cs="Times New Roman"/>
        </w:rPr>
      </w:pPr>
    </w:p>
    <w:p w14:paraId="26C11A99" w14:textId="0A882AEF" w:rsidR="005B4E49" w:rsidRPr="00C64232" w:rsidRDefault="005B4E49">
      <w:pPr>
        <w:rPr>
          <w:rFonts w:ascii="Times New Roman" w:hAnsi="Times New Roman" w:cs="Times New Roman"/>
          <w:b/>
          <w:bCs/>
        </w:rPr>
      </w:pPr>
      <w:r>
        <w:rPr>
          <w:rFonts w:ascii="Times New Roman" w:hAnsi="Times New Roman"/>
          <w:b/>
        </w:rPr>
        <w:t>Question 25 - Brief text on the scope of Bill 2,630/2020</w:t>
      </w:r>
    </w:p>
    <w:p w14:paraId="72D6C9C3" w14:textId="1EF9FF3F" w:rsidR="005B4E49" w:rsidRPr="00C64232" w:rsidRDefault="005B4E49" w:rsidP="005B4E49">
      <w:pPr>
        <w:pStyle w:val="PargrafodaLista"/>
        <w:numPr>
          <w:ilvl w:val="0"/>
          <w:numId w:val="2"/>
        </w:numPr>
        <w:ind w:right="0"/>
      </w:pPr>
      <w:r>
        <w:t xml:space="preserve">It </w:t>
      </w:r>
      <w:r w:rsidR="007F2ECE">
        <w:t>concerns</w:t>
      </w:r>
      <w:r>
        <w:t xml:space="preserve"> platforms or social networks services providers (such as Facebook), of private messaging services (such as WhatsApp) and search browsers (such as Google), provided they have more than 10 million users in Brazil;</w:t>
      </w:r>
    </w:p>
    <w:p w14:paraId="35072A30" w14:textId="77777777" w:rsidR="005B4E49" w:rsidRPr="00C64232" w:rsidRDefault="005B4E49" w:rsidP="005B4E49">
      <w:pPr>
        <w:pStyle w:val="PargrafodaLista"/>
        <w:numPr>
          <w:ilvl w:val="0"/>
          <w:numId w:val="2"/>
        </w:numPr>
        <w:ind w:right="0"/>
      </w:pPr>
      <w:r>
        <w:t>For social networks and search browsers several transparency requirements were introduced, such as the obligation to publish the amount of content moderation actions of users’ contents made and for what reason, if they were carried out on the platform’s personal initiative or from a court order, for instance;</w:t>
      </w:r>
    </w:p>
    <w:p w14:paraId="6EEA4016" w14:textId="650EF2A5" w:rsidR="005B4E49" w:rsidRPr="00C64232" w:rsidRDefault="005B4E49" w:rsidP="005B4E49">
      <w:pPr>
        <w:pStyle w:val="PargrafodaLista"/>
        <w:numPr>
          <w:ilvl w:val="0"/>
          <w:numId w:val="2"/>
        </w:numPr>
        <w:ind w:right="0"/>
      </w:pPr>
      <w:r>
        <w:t xml:space="preserve">For instant messaging services, the proposal prohibits forwarding of messages </w:t>
      </w:r>
      <w:r w:rsidR="00D510D1">
        <w:t xml:space="preserve">received </w:t>
      </w:r>
      <w:r>
        <w:t>from another user to multiple recipients, restricts broadcasts list only to people identified in the senders and recipients contact list</w:t>
      </w:r>
      <w:r w:rsidR="00D510D1">
        <w:t>s</w:t>
      </w:r>
      <w:r>
        <w:t xml:space="preserve"> and demands prior consent from the user for the inclusion in message groups.</w:t>
      </w:r>
    </w:p>
    <w:p w14:paraId="2BA9853A" w14:textId="097FA319" w:rsidR="005B4E49" w:rsidRPr="00C64232" w:rsidRDefault="005B4E49" w:rsidP="005B4E49">
      <w:pPr>
        <w:pStyle w:val="PargrafodaLista"/>
        <w:numPr>
          <w:ilvl w:val="0"/>
          <w:numId w:val="2"/>
        </w:numPr>
        <w:ind w:right="0"/>
      </w:pPr>
      <w:r>
        <w:t xml:space="preserve">Create </w:t>
      </w:r>
      <w:r w:rsidR="00D510D1">
        <w:t xml:space="preserve">rules for </w:t>
      </w:r>
      <w:r>
        <w:t>content moderation by the providers, so that whenever their actions result in deletion, unavailability, reduction of reach or third-party content flagging, the platforms shall notify the user and justify their decision, as well as respond to decision review requests and arrange for its immediate reversion when an error is determined;</w:t>
      </w:r>
    </w:p>
    <w:p w14:paraId="2168D804" w14:textId="00A0B2EE" w:rsidR="005B4E49" w:rsidRPr="00C64232" w:rsidRDefault="005B4E49" w:rsidP="005B4E49">
      <w:pPr>
        <w:pStyle w:val="PargrafodaLista"/>
        <w:numPr>
          <w:ilvl w:val="0"/>
          <w:numId w:val="2"/>
        </w:numPr>
        <w:ind w:right="0"/>
      </w:pPr>
      <w:r>
        <w:t xml:space="preserve">As supervisor entity, </w:t>
      </w:r>
      <w:r w:rsidR="00D510D1">
        <w:t xml:space="preserve">the </w:t>
      </w:r>
      <w:r>
        <w:t>Internet Managing Committee - CGI.br earned the role of developing guidelines for providers’ terms of use and policies, so that the platform’s internal policies respect the fundamental rights;</w:t>
      </w:r>
    </w:p>
    <w:p w14:paraId="4E33D20A" w14:textId="2FFCF475" w:rsidR="005B4E49" w:rsidRPr="00C64232" w:rsidRDefault="005B4E49" w:rsidP="005B4E49">
      <w:pPr>
        <w:pStyle w:val="PargrafodaLista"/>
        <w:numPr>
          <w:ilvl w:val="0"/>
          <w:numId w:val="2"/>
        </w:numPr>
        <w:ind w:right="0"/>
      </w:pPr>
      <w:r>
        <w:t xml:space="preserve">A criminal type was </w:t>
      </w:r>
      <w:r w:rsidR="00D510D1">
        <w:t>created</w:t>
      </w:r>
      <w:r>
        <w:t>, in order to criminalize the use of automated accounts to mass dissemination of messages containing facts knowingly fake and susceptible to criminal sanction, and which causes damage to people’s physical integrity and are able to compromise the electoral process reputation;</w:t>
      </w:r>
    </w:p>
    <w:p w14:paraId="350DB980" w14:textId="75F71BF3" w:rsidR="005B4E49" w:rsidRPr="00C64232" w:rsidRDefault="005B4E49" w:rsidP="005B4E49">
      <w:pPr>
        <w:pStyle w:val="PargrafodaLista"/>
        <w:numPr>
          <w:ilvl w:val="0"/>
          <w:numId w:val="2"/>
        </w:numPr>
        <w:ind w:right="0"/>
      </w:pPr>
      <w:r>
        <w:t xml:space="preserve">Several sanctions are </w:t>
      </w:r>
      <w:r w:rsidR="00D510D1">
        <w:t xml:space="preserve">listed </w:t>
      </w:r>
      <w:r>
        <w:t>to be enforced</w:t>
      </w:r>
      <w:r w:rsidR="00D510D1">
        <w:t>, in case of breach,</w:t>
      </w:r>
      <w:r>
        <w:t xml:space="preserve"> by the Judiciary </w:t>
      </w:r>
      <w:r w:rsidR="00D510D1">
        <w:t xml:space="preserve">Branch on the </w:t>
      </w:r>
      <w:r>
        <w:t>platforms, such as fines, suspension and provider’s ban from activities;</w:t>
      </w:r>
    </w:p>
    <w:p w14:paraId="6A92449B" w14:textId="0B43ED03" w:rsidR="005B4E49" w:rsidRPr="00C64232" w:rsidRDefault="00D510D1" w:rsidP="005B4E49">
      <w:pPr>
        <w:pStyle w:val="PargrafodaLista"/>
        <w:numPr>
          <w:ilvl w:val="0"/>
          <w:numId w:val="2"/>
        </w:numPr>
        <w:ind w:right="0"/>
      </w:pPr>
      <w:r>
        <w:t>Establishes obligation</w:t>
      </w:r>
      <w:r w:rsidR="005B4E49">
        <w:t xml:space="preserve"> for the providers to keep legal representatives in Brazil, and </w:t>
      </w:r>
      <w:r>
        <w:t xml:space="preserve">to </w:t>
      </w:r>
      <w:r w:rsidR="005B4E49">
        <w:t xml:space="preserve">allow the administrative authorities </w:t>
      </w:r>
      <w:r>
        <w:t xml:space="preserve">that </w:t>
      </w:r>
      <w:r w:rsidR="005B4E49">
        <w:t xml:space="preserve">have legal jurisdiction </w:t>
      </w:r>
      <w:r w:rsidR="00414B1B">
        <w:t xml:space="preserve">to access </w:t>
      </w:r>
      <w:r w:rsidR="005B4E49">
        <w:t>the registration data regarding users;</w:t>
      </w:r>
    </w:p>
    <w:p w14:paraId="085ED7BD" w14:textId="7C1460EE" w:rsidR="005B4E49" w:rsidRPr="00C64232" w:rsidRDefault="005B4E49" w:rsidP="005B4E49">
      <w:pPr>
        <w:pStyle w:val="PargrafodaLista"/>
        <w:numPr>
          <w:ilvl w:val="0"/>
          <w:numId w:val="2"/>
        </w:numPr>
        <w:ind w:right="0"/>
      </w:pPr>
      <w:r>
        <w:t xml:space="preserve">Marketing and </w:t>
      </w:r>
      <w:r w:rsidR="00414B1B">
        <w:t xml:space="preserve">content boosting </w:t>
      </w:r>
      <w:r>
        <w:t xml:space="preserve">rules were created, including in election campaigns, </w:t>
      </w:r>
      <w:r w:rsidR="00414B1B">
        <w:t xml:space="preserve">increasing </w:t>
      </w:r>
      <w:r>
        <w:t>the</w:t>
      </w:r>
      <w:r w:rsidR="00414B1B">
        <w:t xml:space="preserve"> number of situations that permit</w:t>
      </w:r>
      <w:r>
        <w:t xml:space="preserve"> identification of the responsible for promoted content and publicity;</w:t>
      </w:r>
    </w:p>
    <w:p w14:paraId="39871094" w14:textId="34D77622" w:rsidR="005B4E49" w:rsidRPr="00C64232" w:rsidRDefault="005B4E49" w:rsidP="005B4E49">
      <w:pPr>
        <w:pStyle w:val="PargrafodaLista"/>
        <w:numPr>
          <w:ilvl w:val="0"/>
          <w:numId w:val="2"/>
        </w:numPr>
        <w:ind w:right="0"/>
      </w:pPr>
      <w:r>
        <w:t xml:space="preserve">Publicity insertion marketing by foreign-based providers </w:t>
      </w:r>
      <w:r w:rsidR="00414B1B">
        <w:t>must</w:t>
      </w:r>
      <w:r>
        <w:t xml:space="preserve"> be acknowledged by their Brazilian representatives, when destined to the Brazilian market;</w:t>
      </w:r>
    </w:p>
    <w:p w14:paraId="0D93C9F9" w14:textId="2696C0A0" w:rsidR="005B4E49" w:rsidRPr="00C64232" w:rsidRDefault="005B4E49" w:rsidP="005B4E49">
      <w:pPr>
        <w:pStyle w:val="PargrafodaLista"/>
        <w:numPr>
          <w:ilvl w:val="0"/>
          <w:numId w:val="2"/>
        </w:numPr>
        <w:spacing w:after="240"/>
        <w:ind w:right="0"/>
      </w:pPr>
      <w:r>
        <w:t xml:space="preserve">Several rules were introduced </w:t>
      </w:r>
      <w:r w:rsidR="009E174D">
        <w:t>regarding</w:t>
      </w:r>
      <w:r>
        <w:t xml:space="preserve"> </w:t>
      </w:r>
      <w:r w:rsidR="00414B1B">
        <w:t xml:space="preserve">boosting </w:t>
      </w:r>
      <w:r>
        <w:t xml:space="preserve">and </w:t>
      </w:r>
      <w:r w:rsidR="009E174D">
        <w:t>advertising</w:t>
      </w:r>
      <w:r>
        <w:t xml:space="preserve"> content</w:t>
      </w:r>
      <w:r w:rsidR="009E174D">
        <w:t xml:space="preserve"> created by the </w:t>
      </w:r>
      <w:r w:rsidR="009E174D">
        <w:t xml:space="preserve">Public </w:t>
      </w:r>
      <w:r w:rsidR="009E174D">
        <w:t>sector</w:t>
      </w:r>
      <w:bookmarkStart w:id="0" w:name="_GoBack"/>
      <w:bookmarkEnd w:id="0"/>
      <w:r>
        <w:t xml:space="preserve">, including prohibiting Public Administration </w:t>
      </w:r>
      <w:r w:rsidR="00414B1B">
        <w:t>to</w:t>
      </w:r>
      <w:r>
        <w:t xml:space="preserve"> hir</w:t>
      </w:r>
      <w:r w:rsidR="00414B1B">
        <w:t>e</w:t>
      </w:r>
      <w:r>
        <w:t xml:space="preserve"> </w:t>
      </w:r>
      <w:r w:rsidR="009E174D">
        <w:t>providers that</w:t>
      </w:r>
      <w:r>
        <w:t xml:space="preserve"> are not </w:t>
      </w:r>
      <w:r w:rsidR="00414B1B">
        <w:t xml:space="preserve">constituted </w:t>
      </w:r>
      <w:r>
        <w:t>according to the Brazilian legislation and with representation in the country.</w:t>
      </w:r>
    </w:p>
    <w:p w14:paraId="5BAB512F" w14:textId="2462F7A4" w:rsidR="00A56074" w:rsidRDefault="00A56074" w:rsidP="00B6372F">
      <w:pPr>
        <w:spacing w:line="276" w:lineRule="auto"/>
        <w:jc w:val="both"/>
        <w:rPr>
          <w:rFonts w:ascii="Times New Roman" w:hAnsi="Times New Roman" w:cs="Times New Roman"/>
          <w:b/>
          <w:bCs/>
        </w:rPr>
      </w:pPr>
    </w:p>
    <w:p w14:paraId="03C326FF" w14:textId="70BBC4FF" w:rsidR="00330CD9" w:rsidRDefault="00330CD9" w:rsidP="00B6372F">
      <w:pPr>
        <w:spacing w:line="276" w:lineRule="auto"/>
        <w:jc w:val="both"/>
        <w:rPr>
          <w:rFonts w:ascii="Times New Roman" w:hAnsi="Times New Roman" w:cs="Times New Roman"/>
          <w:b/>
          <w:bCs/>
        </w:rPr>
      </w:pPr>
    </w:p>
    <w:p w14:paraId="6E816BF6" w14:textId="77777777" w:rsidR="00330CD9" w:rsidRDefault="00330CD9" w:rsidP="00B6372F">
      <w:pPr>
        <w:spacing w:line="276" w:lineRule="auto"/>
        <w:jc w:val="both"/>
        <w:rPr>
          <w:rFonts w:ascii="Times New Roman" w:hAnsi="Times New Roman" w:cs="Times New Roman"/>
          <w:b/>
          <w:bCs/>
        </w:rPr>
      </w:pPr>
    </w:p>
    <w:p w14:paraId="4D255BD3" w14:textId="77777777" w:rsidR="00330CD9" w:rsidRDefault="00330CD9" w:rsidP="00B6372F">
      <w:pPr>
        <w:spacing w:line="276" w:lineRule="auto"/>
        <w:jc w:val="both"/>
        <w:rPr>
          <w:rFonts w:ascii="Times New Roman" w:hAnsi="Times New Roman" w:cs="Times New Roman"/>
          <w:b/>
          <w:bCs/>
        </w:rPr>
      </w:pPr>
    </w:p>
    <w:p w14:paraId="31B47A4F" w14:textId="78317886" w:rsidR="00455E48" w:rsidRDefault="00324FC5" w:rsidP="00B6372F">
      <w:pPr>
        <w:spacing w:line="276" w:lineRule="auto"/>
        <w:jc w:val="both"/>
        <w:rPr>
          <w:rFonts w:ascii="Times New Roman" w:hAnsi="Times New Roman" w:cs="Times New Roman"/>
          <w:b/>
          <w:bCs/>
        </w:rPr>
      </w:pPr>
      <w:r>
        <w:rPr>
          <w:rFonts w:ascii="Times New Roman" w:hAnsi="Times New Roman"/>
          <w:b/>
        </w:rPr>
        <w:lastRenderedPageBreak/>
        <w:t>Question 27 - Table concerning Human Rights Defenders Protected cases and Federal Budget allocated for the Program (PPDDH)</w:t>
      </w:r>
    </w:p>
    <w:p w14:paraId="2A57462A" w14:textId="1CB5740B" w:rsidR="00A17D40" w:rsidRPr="00C64232" w:rsidRDefault="00324FC5" w:rsidP="00B6372F">
      <w:pPr>
        <w:spacing w:after="0" w:line="276" w:lineRule="auto"/>
        <w:ind w:left="567" w:right="60"/>
        <w:jc w:val="center"/>
        <w:rPr>
          <w:rFonts w:ascii="Times New Roman" w:eastAsia="Times New Roman" w:hAnsi="Times New Roman" w:cs="Times New Roman"/>
          <w:color w:val="000000"/>
          <w:sz w:val="20"/>
          <w:szCs w:val="20"/>
        </w:rPr>
      </w:pPr>
      <w:r>
        <w:rPr>
          <w:rFonts w:ascii="Times New Roman" w:hAnsi="Times New Roman"/>
          <w:b/>
          <w:color w:val="000000"/>
          <w:sz w:val="20"/>
        </w:rPr>
        <w:t>Table I - Situation and total cases of protected defenders (March 2022)</w:t>
      </w:r>
    </w:p>
    <w:tbl>
      <w:tblPr>
        <w:tblpPr w:leftFromText="141" w:rightFromText="141" w:vertAnchor="text" w:horzAnchor="margin" w:tblpXSpec="center" w:tblpY="14"/>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7"/>
        <w:gridCol w:w="1701"/>
        <w:gridCol w:w="1638"/>
        <w:gridCol w:w="1504"/>
      </w:tblGrid>
      <w:tr w:rsidR="00324FC5" w:rsidRPr="00C64232" w14:paraId="41AE7851" w14:textId="77777777" w:rsidTr="00455E48">
        <w:trPr>
          <w:tblCellSpacing w:w="15" w:type="dxa"/>
        </w:trPr>
        <w:tc>
          <w:tcPr>
            <w:tcW w:w="304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EA21FC9" w14:textId="77777777" w:rsidR="00324FC5" w:rsidRPr="00C64232" w:rsidRDefault="00324FC5" w:rsidP="00B6372F">
            <w:pPr>
              <w:spacing w:after="0" w:line="276" w:lineRule="auto"/>
              <w:ind w:left="567" w:right="60"/>
              <w:jc w:val="center"/>
              <w:rPr>
                <w:rFonts w:ascii="Times New Roman" w:eastAsia="Times New Roman" w:hAnsi="Times New Roman" w:cs="Times New Roman"/>
                <w:color w:val="000000"/>
                <w:sz w:val="20"/>
                <w:szCs w:val="20"/>
              </w:rPr>
            </w:pPr>
            <w:r>
              <w:rPr>
                <w:rFonts w:ascii="Times New Roman" w:hAnsi="Times New Roman"/>
                <w:b/>
                <w:color w:val="000000"/>
                <w:sz w:val="20"/>
              </w:rPr>
              <w:t>Programs</w:t>
            </w:r>
          </w:p>
        </w:tc>
        <w:tc>
          <w:tcPr>
            <w:tcW w:w="167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CAA3C62" w14:textId="77777777" w:rsidR="00324FC5" w:rsidRPr="00C64232" w:rsidRDefault="00324FC5" w:rsidP="00B6372F">
            <w:pPr>
              <w:spacing w:after="0" w:line="276" w:lineRule="auto"/>
              <w:ind w:left="243" w:right="60"/>
              <w:jc w:val="center"/>
              <w:rPr>
                <w:rFonts w:ascii="Times New Roman" w:eastAsia="Times New Roman" w:hAnsi="Times New Roman" w:cs="Times New Roman"/>
                <w:color w:val="000000"/>
                <w:sz w:val="20"/>
                <w:szCs w:val="20"/>
              </w:rPr>
            </w:pPr>
            <w:r>
              <w:rPr>
                <w:rFonts w:ascii="Times New Roman" w:hAnsi="Times New Roman"/>
                <w:b/>
                <w:color w:val="000000"/>
                <w:sz w:val="20"/>
              </w:rPr>
              <w:t>Included</w:t>
            </w:r>
          </w:p>
        </w:tc>
        <w:tc>
          <w:tcPr>
            <w:tcW w:w="160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9DB57B0" w14:textId="77777777" w:rsidR="00324FC5" w:rsidRPr="00C64232" w:rsidRDefault="00324FC5" w:rsidP="00B6372F">
            <w:pPr>
              <w:spacing w:after="0" w:line="276" w:lineRule="auto"/>
              <w:ind w:left="241" w:right="60"/>
              <w:jc w:val="center"/>
              <w:rPr>
                <w:rFonts w:ascii="Times New Roman" w:eastAsia="Times New Roman" w:hAnsi="Times New Roman" w:cs="Times New Roman"/>
                <w:color w:val="000000"/>
                <w:sz w:val="20"/>
                <w:szCs w:val="20"/>
              </w:rPr>
            </w:pPr>
            <w:r>
              <w:rPr>
                <w:rFonts w:ascii="Times New Roman" w:hAnsi="Times New Roman"/>
                <w:b/>
                <w:color w:val="000000"/>
                <w:sz w:val="20"/>
              </w:rPr>
              <w:t>Under Consideration</w:t>
            </w:r>
          </w:p>
        </w:tc>
        <w:tc>
          <w:tcPr>
            <w:tcW w:w="145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EBFDDD8" w14:textId="77777777" w:rsidR="00324FC5" w:rsidRPr="00C64232" w:rsidRDefault="00324FC5" w:rsidP="00B6372F">
            <w:pPr>
              <w:spacing w:after="0" w:line="276" w:lineRule="auto"/>
              <w:ind w:left="164" w:right="60"/>
              <w:jc w:val="center"/>
              <w:rPr>
                <w:rFonts w:ascii="Times New Roman" w:eastAsia="Times New Roman" w:hAnsi="Times New Roman" w:cs="Times New Roman"/>
                <w:color w:val="000000"/>
                <w:sz w:val="20"/>
                <w:szCs w:val="20"/>
              </w:rPr>
            </w:pPr>
            <w:r>
              <w:rPr>
                <w:rFonts w:ascii="Times New Roman" w:hAnsi="Times New Roman"/>
                <w:b/>
                <w:color w:val="000000"/>
                <w:sz w:val="20"/>
              </w:rPr>
              <w:t>Total</w:t>
            </w:r>
          </w:p>
        </w:tc>
      </w:tr>
      <w:tr w:rsidR="00324FC5" w:rsidRPr="00C64232" w14:paraId="55A2525E" w14:textId="77777777" w:rsidTr="00455E48">
        <w:trPr>
          <w:tblCellSpacing w:w="15" w:type="dxa"/>
        </w:trPr>
        <w:tc>
          <w:tcPr>
            <w:tcW w:w="304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D4A94E4" w14:textId="77777777" w:rsidR="00324FC5" w:rsidRPr="00C64232" w:rsidRDefault="00324FC5" w:rsidP="00455E48">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color w:val="000000"/>
                <w:sz w:val="20"/>
              </w:rPr>
              <w:t>Rio de Janeiro</w:t>
            </w:r>
          </w:p>
        </w:tc>
        <w:tc>
          <w:tcPr>
            <w:tcW w:w="16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13EC406" w14:textId="77777777" w:rsidR="00324FC5" w:rsidRPr="00C64232" w:rsidRDefault="00324FC5" w:rsidP="00455E48">
            <w:pPr>
              <w:spacing w:after="0" w:line="240" w:lineRule="auto"/>
              <w:ind w:left="243" w:right="60"/>
              <w:jc w:val="center"/>
              <w:rPr>
                <w:rFonts w:ascii="Times New Roman" w:eastAsia="Times New Roman" w:hAnsi="Times New Roman" w:cs="Times New Roman"/>
                <w:color w:val="000000"/>
                <w:sz w:val="20"/>
                <w:szCs w:val="20"/>
              </w:rPr>
            </w:pPr>
            <w:r>
              <w:rPr>
                <w:rFonts w:ascii="Times New Roman" w:hAnsi="Times New Roman"/>
                <w:color w:val="000000"/>
                <w:sz w:val="20"/>
              </w:rPr>
              <w:t>25</w:t>
            </w:r>
          </w:p>
        </w:tc>
        <w:tc>
          <w:tcPr>
            <w:tcW w:w="160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FF2E1D0" w14:textId="77777777" w:rsidR="00324FC5" w:rsidRPr="00C64232" w:rsidRDefault="00324FC5" w:rsidP="00455E48">
            <w:pPr>
              <w:spacing w:after="0" w:line="240" w:lineRule="auto"/>
              <w:ind w:left="241" w:right="60"/>
              <w:jc w:val="center"/>
              <w:rPr>
                <w:rFonts w:ascii="Times New Roman" w:eastAsia="Times New Roman" w:hAnsi="Times New Roman" w:cs="Times New Roman"/>
                <w:color w:val="000000"/>
                <w:sz w:val="20"/>
                <w:szCs w:val="20"/>
              </w:rPr>
            </w:pPr>
            <w:r>
              <w:rPr>
                <w:rFonts w:ascii="Times New Roman" w:hAnsi="Times New Roman"/>
                <w:color w:val="000000"/>
                <w:sz w:val="20"/>
              </w:rPr>
              <w:t>69</w:t>
            </w:r>
          </w:p>
        </w:tc>
        <w:tc>
          <w:tcPr>
            <w:tcW w:w="145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3CDB4EB" w14:textId="77777777" w:rsidR="00324FC5" w:rsidRPr="00C64232" w:rsidRDefault="00324FC5" w:rsidP="00455E48">
            <w:pPr>
              <w:spacing w:after="0" w:line="240" w:lineRule="auto"/>
              <w:ind w:left="164" w:right="60"/>
              <w:jc w:val="center"/>
              <w:rPr>
                <w:rFonts w:ascii="Times New Roman" w:eastAsia="Times New Roman" w:hAnsi="Times New Roman" w:cs="Times New Roman"/>
                <w:color w:val="000000"/>
                <w:sz w:val="20"/>
                <w:szCs w:val="20"/>
              </w:rPr>
            </w:pPr>
            <w:r>
              <w:rPr>
                <w:rFonts w:ascii="Times New Roman" w:hAnsi="Times New Roman"/>
                <w:color w:val="000000"/>
                <w:sz w:val="20"/>
              </w:rPr>
              <w:t>94</w:t>
            </w:r>
          </w:p>
        </w:tc>
      </w:tr>
      <w:tr w:rsidR="00324FC5" w:rsidRPr="00C64232" w14:paraId="51CA9880" w14:textId="77777777" w:rsidTr="00455E48">
        <w:trPr>
          <w:tblCellSpacing w:w="15" w:type="dxa"/>
        </w:trPr>
        <w:tc>
          <w:tcPr>
            <w:tcW w:w="304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F3EC66D" w14:textId="77777777" w:rsidR="00324FC5" w:rsidRPr="00C64232" w:rsidRDefault="00324FC5" w:rsidP="00455E48">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color w:val="000000"/>
                <w:sz w:val="20"/>
              </w:rPr>
              <w:t>Maranhão</w:t>
            </w:r>
          </w:p>
        </w:tc>
        <w:tc>
          <w:tcPr>
            <w:tcW w:w="16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F1B1D" w14:textId="77777777" w:rsidR="00324FC5" w:rsidRPr="00C64232" w:rsidRDefault="00324FC5" w:rsidP="00455E48">
            <w:pPr>
              <w:spacing w:after="0" w:line="240" w:lineRule="auto"/>
              <w:ind w:left="243" w:right="60"/>
              <w:jc w:val="center"/>
              <w:rPr>
                <w:rFonts w:ascii="Times New Roman" w:eastAsia="Times New Roman" w:hAnsi="Times New Roman" w:cs="Times New Roman"/>
                <w:color w:val="000000"/>
                <w:sz w:val="20"/>
                <w:szCs w:val="20"/>
              </w:rPr>
            </w:pPr>
            <w:r>
              <w:rPr>
                <w:rFonts w:ascii="Times New Roman" w:hAnsi="Times New Roman"/>
                <w:color w:val="000000"/>
                <w:sz w:val="20"/>
              </w:rPr>
              <w:t>68</w:t>
            </w:r>
          </w:p>
        </w:tc>
        <w:tc>
          <w:tcPr>
            <w:tcW w:w="160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3D0075F" w14:textId="77777777" w:rsidR="00324FC5" w:rsidRPr="00C64232" w:rsidRDefault="00324FC5" w:rsidP="00455E48">
            <w:pPr>
              <w:spacing w:after="0" w:line="240" w:lineRule="auto"/>
              <w:ind w:left="241" w:right="60"/>
              <w:jc w:val="center"/>
              <w:rPr>
                <w:rFonts w:ascii="Times New Roman" w:eastAsia="Times New Roman" w:hAnsi="Times New Roman" w:cs="Times New Roman"/>
                <w:color w:val="000000"/>
                <w:sz w:val="20"/>
                <w:szCs w:val="20"/>
              </w:rPr>
            </w:pPr>
            <w:r>
              <w:rPr>
                <w:rFonts w:ascii="Times New Roman" w:hAnsi="Times New Roman"/>
                <w:color w:val="000000"/>
                <w:sz w:val="20"/>
              </w:rPr>
              <w:t>46</w:t>
            </w:r>
          </w:p>
        </w:tc>
        <w:tc>
          <w:tcPr>
            <w:tcW w:w="145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EB78734" w14:textId="77777777" w:rsidR="00324FC5" w:rsidRPr="00C64232" w:rsidRDefault="00324FC5" w:rsidP="00455E48">
            <w:pPr>
              <w:spacing w:after="0" w:line="240" w:lineRule="auto"/>
              <w:ind w:left="164" w:right="60"/>
              <w:jc w:val="center"/>
              <w:rPr>
                <w:rFonts w:ascii="Times New Roman" w:eastAsia="Times New Roman" w:hAnsi="Times New Roman" w:cs="Times New Roman"/>
                <w:color w:val="000000"/>
                <w:sz w:val="20"/>
                <w:szCs w:val="20"/>
              </w:rPr>
            </w:pPr>
            <w:r>
              <w:rPr>
                <w:rFonts w:ascii="Times New Roman" w:hAnsi="Times New Roman"/>
                <w:color w:val="000000"/>
                <w:sz w:val="20"/>
              </w:rPr>
              <w:t>114</w:t>
            </w:r>
          </w:p>
        </w:tc>
      </w:tr>
      <w:tr w:rsidR="00324FC5" w:rsidRPr="00C64232" w14:paraId="2F58B3DF" w14:textId="77777777" w:rsidTr="00455E48">
        <w:trPr>
          <w:tblCellSpacing w:w="15" w:type="dxa"/>
        </w:trPr>
        <w:tc>
          <w:tcPr>
            <w:tcW w:w="304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4952B2" w14:textId="77777777" w:rsidR="00324FC5" w:rsidRPr="00C64232" w:rsidRDefault="00324FC5" w:rsidP="00455E48">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color w:val="000000"/>
                <w:sz w:val="20"/>
              </w:rPr>
              <w:t>Paraíba</w:t>
            </w:r>
          </w:p>
        </w:tc>
        <w:tc>
          <w:tcPr>
            <w:tcW w:w="16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BF65B97" w14:textId="77777777" w:rsidR="00324FC5" w:rsidRPr="00C64232" w:rsidRDefault="00324FC5" w:rsidP="00455E48">
            <w:pPr>
              <w:spacing w:after="0" w:line="240" w:lineRule="auto"/>
              <w:ind w:left="243" w:right="60"/>
              <w:jc w:val="center"/>
              <w:rPr>
                <w:rFonts w:ascii="Times New Roman" w:eastAsia="Times New Roman" w:hAnsi="Times New Roman" w:cs="Times New Roman"/>
                <w:color w:val="000000"/>
                <w:sz w:val="20"/>
                <w:szCs w:val="20"/>
              </w:rPr>
            </w:pPr>
            <w:r>
              <w:rPr>
                <w:rFonts w:ascii="Times New Roman" w:hAnsi="Times New Roman"/>
                <w:color w:val="000000"/>
                <w:sz w:val="20"/>
              </w:rPr>
              <w:t>15</w:t>
            </w:r>
          </w:p>
        </w:tc>
        <w:tc>
          <w:tcPr>
            <w:tcW w:w="160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524A365" w14:textId="77777777" w:rsidR="00324FC5" w:rsidRPr="00C64232" w:rsidRDefault="00324FC5" w:rsidP="00455E48">
            <w:pPr>
              <w:spacing w:after="0" w:line="240" w:lineRule="auto"/>
              <w:ind w:left="241" w:right="60"/>
              <w:jc w:val="center"/>
              <w:rPr>
                <w:rFonts w:ascii="Times New Roman" w:eastAsia="Times New Roman" w:hAnsi="Times New Roman" w:cs="Times New Roman"/>
                <w:color w:val="000000"/>
                <w:sz w:val="20"/>
                <w:szCs w:val="20"/>
              </w:rPr>
            </w:pPr>
            <w:r>
              <w:rPr>
                <w:rFonts w:ascii="Times New Roman" w:hAnsi="Times New Roman"/>
                <w:color w:val="000000"/>
                <w:sz w:val="20"/>
              </w:rPr>
              <w:t>0</w:t>
            </w:r>
          </w:p>
        </w:tc>
        <w:tc>
          <w:tcPr>
            <w:tcW w:w="145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D3720" w14:textId="77777777" w:rsidR="00324FC5" w:rsidRPr="00C64232" w:rsidRDefault="00324FC5" w:rsidP="00455E48">
            <w:pPr>
              <w:spacing w:after="0" w:line="240" w:lineRule="auto"/>
              <w:ind w:left="164" w:right="60"/>
              <w:jc w:val="center"/>
              <w:rPr>
                <w:rFonts w:ascii="Times New Roman" w:eastAsia="Times New Roman" w:hAnsi="Times New Roman" w:cs="Times New Roman"/>
                <w:color w:val="000000"/>
                <w:sz w:val="20"/>
                <w:szCs w:val="20"/>
              </w:rPr>
            </w:pPr>
            <w:r>
              <w:rPr>
                <w:rFonts w:ascii="Times New Roman" w:hAnsi="Times New Roman"/>
                <w:color w:val="000000"/>
                <w:sz w:val="20"/>
              </w:rPr>
              <w:t>15</w:t>
            </w:r>
          </w:p>
        </w:tc>
      </w:tr>
      <w:tr w:rsidR="00324FC5" w:rsidRPr="00C64232" w14:paraId="4F9797F1" w14:textId="77777777" w:rsidTr="00455E48">
        <w:trPr>
          <w:tblCellSpacing w:w="15" w:type="dxa"/>
        </w:trPr>
        <w:tc>
          <w:tcPr>
            <w:tcW w:w="304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8F94567" w14:textId="77777777" w:rsidR="00324FC5" w:rsidRPr="00C64232" w:rsidRDefault="00324FC5" w:rsidP="00455E48">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color w:val="000000"/>
                <w:sz w:val="20"/>
              </w:rPr>
              <w:t>Pará</w:t>
            </w:r>
          </w:p>
        </w:tc>
        <w:tc>
          <w:tcPr>
            <w:tcW w:w="16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E886FE" w14:textId="77777777" w:rsidR="00324FC5" w:rsidRPr="00C64232" w:rsidRDefault="00324FC5" w:rsidP="00455E48">
            <w:pPr>
              <w:spacing w:after="0" w:line="240" w:lineRule="auto"/>
              <w:ind w:left="243" w:right="60"/>
              <w:jc w:val="center"/>
              <w:rPr>
                <w:rFonts w:ascii="Times New Roman" w:eastAsia="Times New Roman" w:hAnsi="Times New Roman" w:cs="Times New Roman"/>
                <w:color w:val="000000"/>
                <w:sz w:val="20"/>
                <w:szCs w:val="20"/>
              </w:rPr>
            </w:pPr>
            <w:r>
              <w:rPr>
                <w:rFonts w:ascii="Times New Roman" w:hAnsi="Times New Roman"/>
                <w:color w:val="000000"/>
                <w:sz w:val="20"/>
              </w:rPr>
              <w:t>57</w:t>
            </w:r>
          </w:p>
        </w:tc>
        <w:tc>
          <w:tcPr>
            <w:tcW w:w="160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C8F7A71" w14:textId="77777777" w:rsidR="00324FC5" w:rsidRPr="00C64232" w:rsidRDefault="00324FC5" w:rsidP="00455E48">
            <w:pPr>
              <w:spacing w:after="0" w:line="240" w:lineRule="auto"/>
              <w:ind w:left="241" w:right="60"/>
              <w:jc w:val="center"/>
              <w:rPr>
                <w:rFonts w:ascii="Times New Roman" w:eastAsia="Times New Roman" w:hAnsi="Times New Roman" w:cs="Times New Roman"/>
                <w:color w:val="000000"/>
                <w:sz w:val="20"/>
                <w:szCs w:val="20"/>
              </w:rPr>
            </w:pPr>
            <w:r>
              <w:rPr>
                <w:rFonts w:ascii="Times New Roman" w:hAnsi="Times New Roman"/>
                <w:color w:val="000000"/>
                <w:sz w:val="20"/>
              </w:rPr>
              <w:t>32</w:t>
            </w:r>
          </w:p>
        </w:tc>
        <w:tc>
          <w:tcPr>
            <w:tcW w:w="145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759156C" w14:textId="77777777" w:rsidR="00324FC5" w:rsidRPr="00C64232" w:rsidRDefault="00324FC5" w:rsidP="00455E48">
            <w:pPr>
              <w:spacing w:after="0" w:line="240" w:lineRule="auto"/>
              <w:ind w:left="164" w:right="60"/>
              <w:jc w:val="center"/>
              <w:rPr>
                <w:rFonts w:ascii="Times New Roman" w:eastAsia="Times New Roman" w:hAnsi="Times New Roman" w:cs="Times New Roman"/>
                <w:color w:val="000000"/>
                <w:sz w:val="20"/>
                <w:szCs w:val="20"/>
              </w:rPr>
            </w:pPr>
            <w:r>
              <w:rPr>
                <w:rFonts w:ascii="Times New Roman" w:hAnsi="Times New Roman"/>
                <w:color w:val="000000"/>
                <w:sz w:val="20"/>
              </w:rPr>
              <w:t>89</w:t>
            </w:r>
          </w:p>
        </w:tc>
      </w:tr>
      <w:tr w:rsidR="00324FC5" w:rsidRPr="00C64232" w14:paraId="68E91D3C" w14:textId="77777777" w:rsidTr="00455E48">
        <w:trPr>
          <w:tblCellSpacing w:w="15" w:type="dxa"/>
        </w:trPr>
        <w:tc>
          <w:tcPr>
            <w:tcW w:w="304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5ACCBE0" w14:textId="77777777" w:rsidR="00324FC5" w:rsidRPr="00C64232" w:rsidRDefault="00324FC5" w:rsidP="00455E48">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color w:val="000000"/>
                <w:sz w:val="20"/>
              </w:rPr>
              <w:t>Mato Grosso</w:t>
            </w:r>
          </w:p>
        </w:tc>
        <w:tc>
          <w:tcPr>
            <w:tcW w:w="16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160340" w14:textId="77777777" w:rsidR="00324FC5" w:rsidRPr="00C64232" w:rsidRDefault="00324FC5" w:rsidP="00455E48">
            <w:pPr>
              <w:spacing w:after="0" w:line="240" w:lineRule="auto"/>
              <w:ind w:left="243" w:right="60"/>
              <w:jc w:val="center"/>
              <w:rPr>
                <w:rFonts w:ascii="Times New Roman" w:eastAsia="Times New Roman" w:hAnsi="Times New Roman" w:cs="Times New Roman"/>
                <w:color w:val="000000"/>
                <w:sz w:val="20"/>
                <w:szCs w:val="20"/>
              </w:rPr>
            </w:pPr>
            <w:r>
              <w:rPr>
                <w:rFonts w:ascii="Times New Roman" w:hAnsi="Times New Roman"/>
                <w:color w:val="000000"/>
                <w:sz w:val="20"/>
              </w:rPr>
              <w:t>10</w:t>
            </w:r>
          </w:p>
        </w:tc>
        <w:tc>
          <w:tcPr>
            <w:tcW w:w="160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8794E7" w14:textId="77777777" w:rsidR="00324FC5" w:rsidRPr="00C64232" w:rsidRDefault="00324FC5" w:rsidP="00455E48">
            <w:pPr>
              <w:spacing w:after="0" w:line="240" w:lineRule="auto"/>
              <w:ind w:left="241" w:right="60"/>
              <w:jc w:val="center"/>
              <w:rPr>
                <w:rFonts w:ascii="Times New Roman" w:eastAsia="Times New Roman" w:hAnsi="Times New Roman" w:cs="Times New Roman"/>
                <w:color w:val="000000"/>
                <w:sz w:val="20"/>
                <w:szCs w:val="20"/>
              </w:rPr>
            </w:pPr>
            <w:r>
              <w:rPr>
                <w:rFonts w:ascii="Times New Roman" w:hAnsi="Times New Roman"/>
                <w:color w:val="000000"/>
                <w:sz w:val="20"/>
              </w:rPr>
              <w:t>12</w:t>
            </w:r>
          </w:p>
        </w:tc>
        <w:tc>
          <w:tcPr>
            <w:tcW w:w="145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6835E9" w14:textId="77777777" w:rsidR="00324FC5" w:rsidRPr="00C64232" w:rsidRDefault="00324FC5" w:rsidP="00455E48">
            <w:pPr>
              <w:spacing w:after="0" w:line="240" w:lineRule="auto"/>
              <w:ind w:left="164" w:right="60"/>
              <w:jc w:val="center"/>
              <w:rPr>
                <w:rFonts w:ascii="Times New Roman" w:eastAsia="Times New Roman" w:hAnsi="Times New Roman" w:cs="Times New Roman"/>
                <w:color w:val="000000"/>
                <w:sz w:val="20"/>
                <w:szCs w:val="20"/>
              </w:rPr>
            </w:pPr>
            <w:r>
              <w:rPr>
                <w:rFonts w:ascii="Times New Roman" w:hAnsi="Times New Roman"/>
                <w:color w:val="000000"/>
                <w:sz w:val="20"/>
              </w:rPr>
              <w:t>22</w:t>
            </w:r>
          </w:p>
        </w:tc>
      </w:tr>
      <w:tr w:rsidR="00324FC5" w:rsidRPr="00C64232" w14:paraId="7A05F224" w14:textId="77777777" w:rsidTr="00455E48">
        <w:trPr>
          <w:tblCellSpacing w:w="15" w:type="dxa"/>
        </w:trPr>
        <w:tc>
          <w:tcPr>
            <w:tcW w:w="304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2136EB9" w14:textId="77777777" w:rsidR="00324FC5" w:rsidRPr="00C64232" w:rsidRDefault="00324FC5" w:rsidP="00455E48">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color w:val="000000"/>
                <w:sz w:val="20"/>
              </w:rPr>
              <w:t>Minas Gerais</w:t>
            </w:r>
          </w:p>
        </w:tc>
        <w:tc>
          <w:tcPr>
            <w:tcW w:w="16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8B8693" w14:textId="77777777" w:rsidR="00324FC5" w:rsidRPr="00C64232" w:rsidRDefault="00324FC5" w:rsidP="00455E48">
            <w:pPr>
              <w:spacing w:after="0" w:line="240" w:lineRule="auto"/>
              <w:ind w:left="243" w:right="60"/>
              <w:jc w:val="center"/>
              <w:rPr>
                <w:rFonts w:ascii="Times New Roman" w:eastAsia="Times New Roman" w:hAnsi="Times New Roman" w:cs="Times New Roman"/>
                <w:color w:val="000000"/>
                <w:sz w:val="20"/>
                <w:szCs w:val="20"/>
              </w:rPr>
            </w:pPr>
            <w:r>
              <w:rPr>
                <w:rFonts w:ascii="Times New Roman" w:hAnsi="Times New Roman"/>
                <w:color w:val="000000"/>
                <w:sz w:val="20"/>
              </w:rPr>
              <w:t>74</w:t>
            </w:r>
          </w:p>
        </w:tc>
        <w:tc>
          <w:tcPr>
            <w:tcW w:w="160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B6874C" w14:textId="77777777" w:rsidR="00324FC5" w:rsidRPr="00C64232" w:rsidRDefault="00324FC5" w:rsidP="00455E48">
            <w:pPr>
              <w:spacing w:after="0" w:line="240" w:lineRule="auto"/>
              <w:ind w:left="241" w:right="60"/>
              <w:jc w:val="center"/>
              <w:rPr>
                <w:rFonts w:ascii="Times New Roman" w:eastAsia="Times New Roman" w:hAnsi="Times New Roman" w:cs="Times New Roman"/>
                <w:color w:val="000000"/>
                <w:sz w:val="20"/>
                <w:szCs w:val="20"/>
              </w:rPr>
            </w:pPr>
            <w:r>
              <w:rPr>
                <w:rFonts w:ascii="Times New Roman" w:hAnsi="Times New Roman"/>
                <w:color w:val="000000"/>
                <w:sz w:val="20"/>
              </w:rPr>
              <w:t>8</w:t>
            </w:r>
          </w:p>
        </w:tc>
        <w:tc>
          <w:tcPr>
            <w:tcW w:w="145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A715CE7" w14:textId="77777777" w:rsidR="00324FC5" w:rsidRPr="00C64232" w:rsidRDefault="00324FC5" w:rsidP="00455E48">
            <w:pPr>
              <w:spacing w:after="0" w:line="240" w:lineRule="auto"/>
              <w:ind w:left="164" w:right="60"/>
              <w:jc w:val="center"/>
              <w:rPr>
                <w:rFonts w:ascii="Times New Roman" w:eastAsia="Times New Roman" w:hAnsi="Times New Roman" w:cs="Times New Roman"/>
                <w:color w:val="000000"/>
                <w:sz w:val="20"/>
                <w:szCs w:val="20"/>
              </w:rPr>
            </w:pPr>
            <w:r>
              <w:rPr>
                <w:rFonts w:ascii="Times New Roman" w:hAnsi="Times New Roman"/>
                <w:color w:val="000000"/>
                <w:sz w:val="20"/>
              </w:rPr>
              <w:t>82</w:t>
            </w:r>
          </w:p>
        </w:tc>
      </w:tr>
      <w:tr w:rsidR="00324FC5" w:rsidRPr="00C64232" w14:paraId="0B39160D" w14:textId="77777777" w:rsidTr="00455E48">
        <w:trPr>
          <w:tblCellSpacing w:w="15" w:type="dxa"/>
        </w:trPr>
        <w:tc>
          <w:tcPr>
            <w:tcW w:w="304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274251" w14:textId="77777777" w:rsidR="00324FC5" w:rsidRPr="00C64232" w:rsidRDefault="00324FC5" w:rsidP="00455E48">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color w:val="000000"/>
                <w:sz w:val="20"/>
              </w:rPr>
              <w:t>Bahia</w:t>
            </w:r>
          </w:p>
        </w:tc>
        <w:tc>
          <w:tcPr>
            <w:tcW w:w="16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280559" w14:textId="77777777" w:rsidR="00324FC5" w:rsidRPr="00C64232" w:rsidRDefault="00324FC5" w:rsidP="00455E48">
            <w:pPr>
              <w:spacing w:after="0" w:line="240" w:lineRule="auto"/>
              <w:ind w:left="243" w:right="60"/>
              <w:jc w:val="center"/>
              <w:rPr>
                <w:rFonts w:ascii="Times New Roman" w:eastAsia="Times New Roman" w:hAnsi="Times New Roman" w:cs="Times New Roman"/>
                <w:color w:val="000000"/>
                <w:sz w:val="20"/>
                <w:szCs w:val="20"/>
              </w:rPr>
            </w:pPr>
            <w:r>
              <w:rPr>
                <w:rFonts w:ascii="Times New Roman" w:hAnsi="Times New Roman"/>
                <w:color w:val="000000"/>
                <w:sz w:val="20"/>
              </w:rPr>
              <w:t>83</w:t>
            </w:r>
          </w:p>
        </w:tc>
        <w:tc>
          <w:tcPr>
            <w:tcW w:w="160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C622510" w14:textId="77777777" w:rsidR="00324FC5" w:rsidRPr="00C64232" w:rsidRDefault="00324FC5" w:rsidP="00455E48">
            <w:pPr>
              <w:spacing w:after="0" w:line="240" w:lineRule="auto"/>
              <w:ind w:left="241" w:right="60"/>
              <w:jc w:val="center"/>
              <w:rPr>
                <w:rFonts w:ascii="Times New Roman" w:eastAsia="Times New Roman" w:hAnsi="Times New Roman" w:cs="Times New Roman"/>
                <w:color w:val="000000"/>
                <w:sz w:val="20"/>
                <w:szCs w:val="20"/>
              </w:rPr>
            </w:pPr>
            <w:r>
              <w:rPr>
                <w:rFonts w:ascii="Times New Roman" w:hAnsi="Times New Roman"/>
                <w:color w:val="000000"/>
                <w:sz w:val="20"/>
              </w:rPr>
              <w:t>20</w:t>
            </w:r>
          </w:p>
        </w:tc>
        <w:tc>
          <w:tcPr>
            <w:tcW w:w="145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C34A8B5" w14:textId="77777777" w:rsidR="00324FC5" w:rsidRPr="00C64232" w:rsidRDefault="00324FC5" w:rsidP="00455E48">
            <w:pPr>
              <w:spacing w:after="0" w:line="240" w:lineRule="auto"/>
              <w:ind w:left="164" w:right="60"/>
              <w:jc w:val="center"/>
              <w:rPr>
                <w:rFonts w:ascii="Times New Roman" w:eastAsia="Times New Roman" w:hAnsi="Times New Roman" w:cs="Times New Roman"/>
                <w:color w:val="000000"/>
                <w:sz w:val="20"/>
                <w:szCs w:val="20"/>
              </w:rPr>
            </w:pPr>
            <w:r>
              <w:rPr>
                <w:rFonts w:ascii="Times New Roman" w:hAnsi="Times New Roman"/>
                <w:color w:val="000000"/>
                <w:sz w:val="20"/>
              </w:rPr>
              <w:t>103</w:t>
            </w:r>
          </w:p>
        </w:tc>
      </w:tr>
      <w:tr w:rsidR="00324FC5" w:rsidRPr="00C64232" w14:paraId="00AE480E" w14:textId="77777777" w:rsidTr="00455E48">
        <w:trPr>
          <w:tblCellSpacing w:w="15" w:type="dxa"/>
        </w:trPr>
        <w:tc>
          <w:tcPr>
            <w:tcW w:w="304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80FB296" w14:textId="77777777" w:rsidR="00324FC5" w:rsidRPr="00C64232" w:rsidRDefault="00324FC5" w:rsidP="00455E48">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color w:val="000000"/>
                <w:sz w:val="20"/>
              </w:rPr>
              <w:t>Pernambuco</w:t>
            </w:r>
          </w:p>
        </w:tc>
        <w:tc>
          <w:tcPr>
            <w:tcW w:w="16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D42F15D" w14:textId="77777777" w:rsidR="00324FC5" w:rsidRPr="00C64232" w:rsidRDefault="00324FC5" w:rsidP="00455E48">
            <w:pPr>
              <w:spacing w:after="0" w:line="240" w:lineRule="auto"/>
              <w:ind w:left="243" w:right="60"/>
              <w:jc w:val="center"/>
              <w:rPr>
                <w:rFonts w:ascii="Times New Roman" w:eastAsia="Times New Roman" w:hAnsi="Times New Roman" w:cs="Times New Roman"/>
                <w:color w:val="000000"/>
                <w:sz w:val="20"/>
                <w:szCs w:val="20"/>
              </w:rPr>
            </w:pPr>
            <w:r>
              <w:rPr>
                <w:rFonts w:ascii="Times New Roman" w:hAnsi="Times New Roman"/>
                <w:color w:val="000000"/>
                <w:sz w:val="20"/>
              </w:rPr>
              <w:t>45</w:t>
            </w:r>
          </w:p>
        </w:tc>
        <w:tc>
          <w:tcPr>
            <w:tcW w:w="160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328AED" w14:textId="77777777" w:rsidR="00324FC5" w:rsidRPr="00C64232" w:rsidRDefault="00324FC5" w:rsidP="00455E48">
            <w:pPr>
              <w:spacing w:after="0" w:line="240" w:lineRule="auto"/>
              <w:ind w:left="241" w:right="60"/>
              <w:jc w:val="center"/>
              <w:rPr>
                <w:rFonts w:ascii="Times New Roman" w:eastAsia="Times New Roman" w:hAnsi="Times New Roman" w:cs="Times New Roman"/>
                <w:color w:val="000000"/>
                <w:sz w:val="20"/>
                <w:szCs w:val="20"/>
              </w:rPr>
            </w:pPr>
            <w:r>
              <w:rPr>
                <w:rFonts w:ascii="Times New Roman" w:hAnsi="Times New Roman"/>
                <w:color w:val="000000"/>
                <w:sz w:val="20"/>
              </w:rPr>
              <w:t>6</w:t>
            </w:r>
          </w:p>
        </w:tc>
        <w:tc>
          <w:tcPr>
            <w:tcW w:w="145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A086F9B" w14:textId="77777777" w:rsidR="00324FC5" w:rsidRPr="00C64232" w:rsidRDefault="00324FC5" w:rsidP="00455E48">
            <w:pPr>
              <w:spacing w:after="0" w:line="240" w:lineRule="auto"/>
              <w:ind w:left="164" w:right="60"/>
              <w:jc w:val="center"/>
              <w:rPr>
                <w:rFonts w:ascii="Times New Roman" w:eastAsia="Times New Roman" w:hAnsi="Times New Roman" w:cs="Times New Roman"/>
                <w:color w:val="000000"/>
                <w:sz w:val="20"/>
                <w:szCs w:val="20"/>
              </w:rPr>
            </w:pPr>
            <w:r>
              <w:rPr>
                <w:rFonts w:ascii="Times New Roman" w:hAnsi="Times New Roman"/>
                <w:color w:val="000000"/>
                <w:sz w:val="20"/>
              </w:rPr>
              <w:t>52</w:t>
            </w:r>
          </w:p>
        </w:tc>
      </w:tr>
      <w:tr w:rsidR="00324FC5" w:rsidRPr="00C64232" w14:paraId="5EB42E48" w14:textId="77777777" w:rsidTr="00455E48">
        <w:trPr>
          <w:tblCellSpacing w:w="15" w:type="dxa"/>
        </w:trPr>
        <w:tc>
          <w:tcPr>
            <w:tcW w:w="304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90F0426" w14:textId="77777777" w:rsidR="00324FC5" w:rsidRPr="00C64232" w:rsidRDefault="00324FC5" w:rsidP="00455E48">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color w:val="000000"/>
                <w:sz w:val="20"/>
              </w:rPr>
              <w:t>Ceará</w:t>
            </w:r>
          </w:p>
        </w:tc>
        <w:tc>
          <w:tcPr>
            <w:tcW w:w="16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01EEF17" w14:textId="77777777" w:rsidR="00324FC5" w:rsidRPr="00C64232" w:rsidRDefault="00324FC5" w:rsidP="00455E48">
            <w:pPr>
              <w:spacing w:after="0" w:line="240" w:lineRule="auto"/>
              <w:ind w:left="243" w:right="60"/>
              <w:jc w:val="center"/>
              <w:rPr>
                <w:rFonts w:ascii="Times New Roman" w:eastAsia="Times New Roman" w:hAnsi="Times New Roman" w:cs="Times New Roman"/>
                <w:color w:val="000000"/>
                <w:sz w:val="20"/>
                <w:szCs w:val="20"/>
              </w:rPr>
            </w:pPr>
            <w:r>
              <w:rPr>
                <w:rFonts w:ascii="Times New Roman" w:hAnsi="Times New Roman"/>
                <w:color w:val="000000"/>
                <w:sz w:val="20"/>
              </w:rPr>
              <w:t>79</w:t>
            </w:r>
          </w:p>
        </w:tc>
        <w:tc>
          <w:tcPr>
            <w:tcW w:w="160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C6F6A9" w14:textId="77777777" w:rsidR="00324FC5" w:rsidRPr="00C64232" w:rsidRDefault="00324FC5" w:rsidP="00455E48">
            <w:pPr>
              <w:spacing w:after="0" w:line="240" w:lineRule="auto"/>
              <w:ind w:left="241" w:right="60"/>
              <w:jc w:val="center"/>
              <w:rPr>
                <w:rFonts w:ascii="Times New Roman" w:eastAsia="Times New Roman" w:hAnsi="Times New Roman" w:cs="Times New Roman"/>
                <w:color w:val="000000"/>
                <w:sz w:val="20"/>
                <w:szCs w:val="20"/>
              </w:rPr>
            </w:pPr>
            <w:r>
              <w:rPr>
                <w:rFonts w:ascii="Times New Roman" w:hAnsi="Times New Roman"/>
                <w:color w:val="000000"/>
                <w:sz w:val="20"/>
              </w:rPr>
              <w:t>4</w:t>
            </w:r>
          </w:p>
        </w:tc>
        <w:tc>
          <w:tcPr>
            <w:tcW w:w="145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4F178CE" w14:textId="77777777" w:rsidR="00324FC5" w:rsidRPr="00C64232" w:rsidRDefault="00324FC5" w:rsidP="00455E48">
            <w:pPr>
              <w:spacing w:after="0" w:line="240" w:lineRule="auto"/>
              <w:ind w:left="164" w:right="60"/>
              <w:jc w:val="center"/>
              <w:rPr>
                <w:rFonts w:ascii="Times New Roman" w:eastAsia="Times New Roman" w:hAnsi="Times New Roman" w:cs="Times New Roman"/>
                <w:color w:val="000000"/>
                <w:sz w:val="20"/>
                <w:szCs w:val="20"/>
              </w:rPr>
            </w:pPr>
            <w:r>
              <w:rPr>
                <w:rFonts w:ascii="Times New Roman" w:hAnsi="Times New Roman"/>
                <w:color w:val="000000"/>
                <w:sz w:val="20"/>
              </w:rPr>
              <w:t>83</w:t>
            </w:r>
          </w:p>
        </w:tc>
      </w:tr>
      <w:tr w:rsidR="00324FC5" w:rsidRPr="00C64232" w14:paraId="68C5BB1B" w14:textId="77777777" w:rsidTr="00455E48">
        <w:trPr>
          <w:tblCellSpacing w:w="15" w:type="dxa"/>
        </w:trPr>
        <w:tc>
          <w:tcPr>
            <w:tcW w:w="304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16069E1" w14:textId="3CCBAD6E" w:rsidR="00324FC5" w:rsidRPr="00C64232" w:rsidRDefault="00324FC5" w:rsidP="00455E48">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b/>
                <w:color w:val="000000"/>
                <w:sz w:val="20"/>
              </w:rPr>
              <w:t>Partial total (State Programs)</w:t>
            </w:r>
          </w:p>
        </w:tc>
        <w:tc>
          <w:tcPr>
            <w:tcW w:w="16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ACAC1E5" w14:textId="77777777" w:rsidR="00324FC5" w:rsidRPr="00C64232" w:rsidRDefault="00324FC5" w:rsidP="00455E48">
            <w:pPr>
              <w:spacing w:after="0" w:line="240" w:lineRule="auto"/>
              <w:ind w:left="243" w:right="60"/>
              <w:jc w:val="center"/>
              <w:rPr>
                <w:rFonts w:ascii="Times New Roman" w:eastAsia="Times New Roman" w:hAnsi="Times New Roman" w:cs="Times New Roman"/>
                <w:color w:val="000000"/>
                <w:sz w:val="20"/>
                <w:szCs w:val="20"/>
              </w:rPr>
            </w:pPr>
            <w:r>
              <w:rPr>
                <w:rFonts w:ascii="Times New Roman" w:hAnsi="Times New Roman"/>
                <w:b/>
                <w:color w:val="000000"/>
                <w:sz w:val="20"/>
              </w:rPr>
              <w:t>456</w:t>
            </w:r>
          </w:p>
        </w:tc>
        <w:tc>
          <w:tcPr>
            <w:tcW w:w="160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7D29E9" w14:textId="77777777" w:rsidR="00324FC5" w:rsidRPr="00C64232" w:rsidRDefault="00324FC5" w:rsidP="00455E48">
            <w:pPr>
              <w:spacing w:after="0" w:line="240" w:lineRule="auto"/>
              <w:ind w:left="241" w:right="60"/>
              <w:jc w:val="center"/>
              <w:rPr>
                <w:rFonts w:ascii="Times New Roman" w:eastAsia="Times New Roman" w:hAnsi="Times New Roman" w:cs="Times New Roman"/>
                <w:color w:val="000000"/>
                <w:sz w:val="20"/>
                <w:szCs w:val="20"/>
              </w:rPr>
            </w:pPr>
            <w:r>
              <w:rPr>
                <w:rFonts w:ascii="Times New Roman" w:hAnsi="Times New Roman"/>
                <w:b/>
                <w:color w:val="000000"/>
                <w:sz w:val="20"/>
              </w:rPr>
              <w:t>197</w:t>
            </w:r>
          </w:p>
        </w:tc>
        <w:tc>
          <w:tcPr>
            <w:tcW w:w="145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BDA091" w14:textId="77777777" w:rsidR="00324FC5" w:rsidRPr="00C64232" w:rsidRDefault="00324FC5" w:rsidP="00455E48">
            <w:pPr>
              <w:spacing w:after="0" w:line="240" w:lineRule="auto"/>
              <w:ind w:left="164" w:right="60"/>
              <w:jc w:val="center"/>
              <w:rPr>
                <w:rFonts w:ascii="Times New Roman" w:eastAsia="Times New Roman" w:hAnsi="Times New Roman" w:cs="Times New Roman"/>
                <w:color w:val="000000"/>
                <w:sz w:val="20"/>
                <w:szCs w:val="20"/>
              </w:rPr>
            </w:pPr>
            <w:r>
              <w:rPr>
                <w:rFonts w:ascii="Times New Roman" w:hAnsi="Times New Roman"/>
                <w:b/>
                <w:color w:val="000000"/>
                <w:sz w:val="20"/>
              </w:rPr>
              <w:t>654</w:t>
            </w:r>
          </w:p>
        </w:tc>
      </w:tr>
      <w:tr w:rsidR="00324FC5" w:rsidRPr="00C64232" w14:paraId="25D4030D" w14:textId="77777777" w:rsidTr="00455E48">
        <w:trPr>
          <w:tblCellSpacing w:w="15" w:type="dxa"/>
        </w:trPr>
        <w:tc>
          <w:tcPr>
            <w:tcW w:w="304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7F240" w14:textId="77777777" w:rsidR="00324FC5" w:rsidRPr="00C64232" w:rsidRDefault="00324FC5" w:rsidP="00455E48">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color w:val="000000"/>
                <w:sz w:val="20"/>
              </w:rPr>
              <w:t>Federal Program</w:t>
            </w:r>
          </w:p>
        </w:tc>
        <w:tc>
          <w:tcPr>
            <w:tcW w:w="16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A0522E5" w14:textId="77777777" w:rsidR="00324FC5" w:rsidRPr="00C64232" w:rsidRDefault="00324FC5" w:rsidP="00455E48">
            <w:pPr>
              <w:spacing w:after="0" w:line="240" w:lineRule="auto"/>
              <w:ind w:left="243" w:right="60"/>
              <w:jc w:val="center"/>
              <w:rPr>
                <w:rFonts w:ascii="Times New Roman" w:eastAsia="Times New Roman" w:hAnsi="Times New Roman" w:cs="Times New Roman"/>
                <w:color w:val="000000"/>
                <w:sz w:val="20"/>
                <w:szCs w:val="20"/>
              </w:rPr>
            </w:pPr>
            <w:r>
              <w:rPr>
                <w:rFonts w:ascii="Times New Roman" w:hAnsi="Times New Roman"/>
                <w:color w:val="000000"/>
                <w:sz w:val="20"/>
              </w:rPr>
              <w:t>92</w:t>
            </w:r>
          </w:p>
        </w:tc>
        <w:tc>
          <w:tcPr>
            <w:tcW w:w="160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2187405" w14:textId="77777777" w:rsidR="00324FC5" w:rsidRPr="00C64232" w:rsidRDefault="00324FC5" w:rsidP="00455E48">
            <w:pPr>
              <w:spacing w:after="0" w:line="240" w:lineRule="auto"/>
              <w:ind w:left="241" w:right="60"/>
              <w:jc w:val="center"/>
              <w:rPr>
                <w:rFonts w:ascii="Times New Roman" w:eastAsia="Times New Roman" w:hAnsi="Times New Roman" w:cs="Times New Roman"/>
                <w:color w:val="000000"/>
                <w:sz w:val="20"/>
                <w:szCs w:val="20"/>
              </w:rPr>
            </w:pPr>
            <w:r>
              <w:rPr>
                <w:rFonts w:ascii="Times New Roman" w:hAnsi="Times New Roman"/>
                <w:color w:val="000000"/>
                <w:sz w:val="20"/>
              </w:rPr>
              <w:t>37</w:t>
            </w:r>
          </w:p>
        </w:tc>
        <w:tc>
          <w:tcPr>
            <w:tcW w:w="145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F27D2F0" w14:textId="77777777" w:rsidR="00324FC5" w:rsidRPr="00C64232" w:rsidRDefault="00324FC5" w:rsidP="00455E48">
            <w:pPr>
              <w:spacing w:after="0" w:line="240" w:lineRule="auto"/>
              <w:ind w:left="164" w:right="60"/>
              <w:jc w:val="center"/>
              <w:rPr>
                <w:rFonts w:ascii="Times New Roman" w:eastAsia="Times New Roman" w:hAnsi="Times New Roman" w:cs="Times New Roman"/>
                <w:color w:val="000000"/>
                <w:sz w:val="20"/>
                <w:szCs w:val="20"/>
              </w:rPr>
            </w:pPr>
            <w:r>
              <w:rPr>
                <w:rFonts w:ascii="Times New Roman" w:hAnsi="Times New Roman"/>
                <w:color w:val="000000"/>
                <w:sz w:val="20"/>
              </w:rPr>
              <w:t>129</w:t>
            </w:r>
          </w:p>
        </w:tc>
      </w:tr>
      <w:tr w:rsidR="00324FC5" w:rsidRPr="00C64232" w14:paraId="4C807C6C" w14:textId="77777777" w:rsidTr="00455E48">
        <w:trPr>
          <w:tblCellSpacing w:w="15" w:type="dxa"/>
        </w:trPr>
        <w:tc>
          <w:tcPr>
            <w:tcW w:w="304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5D699" w14:textId="77777777" w:rsidR="00324FC5" w:rsidRPr="00C64232" w:rsidRDefault="00324FC5" w:rsidP="00455E48">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b/>
                <w:color w:val="000000"/>
                <w:sz w:val="20"/>
              </w:rPr>
              <w:t>Total (Federal Program + State Programs</w:t>
            </w:r>
          </w:p>
        </w:tc>
        <w:tc>
          <w:tcPr>
            <w:tcW w:w="16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86935C" w14:textId="77777777" w:rsidR="00324FC5" w:rsidRPr="00C64232" w:rsidRDefault="00324FC5" w:rsidP="00455E48">
            <w:pPr>
              <w:spacing w:after="0" w:line="240" w:lineRule="auto"/>
              <w:ind w:left="243" w:right="60"/>
              <w:jc w:val="center"/>
              <w:rPr>
                <w:rFonts w:ascii="Times New Roman" w:eastAsia="Times New Roman" w:hAnsi="Times New Roman" w:cs="Times New Roman"/>
                <w:color w:val="000000"/>
                <w:sz w:val="20"/>
                <w:szCs w:val="20"/>
              </w:rPr>
            </w:pPr>
            <w:r>
              <w:rPr>
                <w:rFonts w:ascii="Times New Roman" w:hAnsi="Times New Roman"/>
                <w:b/>
                <w:color w:val="000000"/>
                <w:sz w:val="20"/>
              </w:rPr>
              <w:t>548</w:t>
            </w:r>
          </w:p>
        </w:tc>
        <w:tc>
          <w:tcPr>
            <w:tcW w:w="160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3CFF9DA" w14:textId="77777777" w:rsidR="00324FC5" w:rsidRPr="00C64232" w:rsidRDefault="00324FC5" w:rsidP="00455E48">
            <w:pPr>
              <w:spacing w:after="0" w:line="240" w:lineRule="auto"/>
              <w:ind w:left="241" w:right="60"/>
              <w:jc w:val="center"/>
              <w:rPr>
                <w:rFonts w:ascii="Times New Roman" w:eastAsia="Times New Roman" w:hAnsi="Times New Roman" w:cs="Times New Roman"/>
                <w:color w:val="000000"/>
                <w:sz w:val="20"/>
                <w:szCs w:val="20"/>
              </w:rPr>
            </w:pPr>
            <w:r>
              <w:rPr>
                <w:rFonts w:ascii="Times New Roman" w:hAnsi="Times New Roman"/>
                <w:b/>
                <w:color w:val="000000"/>
                <w:sz w:val="20"/>
              </w:rPr>
              <w:t>234</w:t>
            </w:r>
          </w:p>
        </w:tc>
        <w:tc>
          <w:tcPr>
            <w:tcW w:w="145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CB0FA56" w14:textId="77777777" w:rsidR="00324FC5" w:rsidRPr="00C64232" w:rsidRDefault="00324FC5" w:rsidP="00455E48">
            <w:pPr>
              <w:spacing w:after="0" w:line="240" w:lineRule="auto"/>
              <w:ind w:left="164" w:right="60"/>
              <w:jc w:val="center"/>
              <w:rPr>
                <w:rFonts w:ascii="Times New Roman" w:eastAsia="Times New Roman" w:hAnsi="Times New Roman" w:cs="Times New Roman"/>
                <w:color w:val="000000"/>
                <w:sz w:val="20"/>
                <w:szCs w:val="20"/>
              </w:rPr>
            </w:pPr>
            <w:r>
              <w:rPr>
                <w:rFonts w:ascii="Times New Roman" w:hAnsi="Times New Roman"/>
                <w:b/>
                <w:color w:val="000000"/>
                <w:sz w:val="20"/>
              </w:rPr>
              <w:t>783</w:t>
            </w:r>
          </w:p>
        </w:tc>
      </w:tr>
    </w:tbl>
    <w:p w14:paraId="056DF133" w14:textId="77777777" w:rsidR="006B0774" w:rsidRDefault="006B0774" w:rsidP="00324FC5">
      <w:pPr>
        <w:spacing w:after="0" w:line="240" w:lineRule="auto"/>
        <w:ind w:left="567" w:right="60"/>
        <w:jc w:val="center"/>
        <w:rPr>
          <w:rFonts w:ascii="Times New Roman" w:eastAsia="Times New Roman" w:hAnsi="Times New Roman" w:cs="Times New Roman"/>
          <w:color w:val="000000"/>
          <w:sz w:val="20"/>
          <w:szCs w:val="20"/>
          <w:lang w:eastAsia="pt-BR"/>
        </w:rPr>
      </w:pPr>
    </w:p>
    <w:p w14:paraId="78322A80" w14:textId="56565AD4" w:rsidR="00324FC5" w:rsidRPr="00C64232" w:rsidRDefault="00324FC5" w:rsidP="00A56074">
      <w:pPr>
        <w:spacing w:after="0" w:line="240" w:lineRule="auto"/>
        <w:ind w:right="60"/>
        <w:jc w:val="center"/>
        <w:rPr>
          <w:rFonts w:ascii="Times New Roman" w:eastAsia="Times New Roman" w:hAnsi="Times New Roman" w:cs="Times New Roman"/>
          <w:color w:val="000000"/>
          <w:sz w:val="20"/>
          <w:szCs w:val="20"/>
        </w:rPr>
      </w:pPr>
      <w:r>
        <w:rPr>
          <w:rFonts w:ascii="Times New Roman" w:hAnsi="Times New Roman"/>
          <w:color w:val="000000"/>
          <w:sz w:val="20"/>
        </w:rPr>
        <w:t>Source: reports submitted to MMFDH by the State Programs staff and the Federal Program implementing entity</w:t>
      </w:r>
    </w:p>
    <w:p w14:paraId="37956696" w14:textId="77777777" w:rsidR="00324FC5" w:rsidRPr="00C64232" w:rsidRDefault="00324FC5" w:rsidP="00A56074">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color w:val="000000"/>
          <w:sz w:val="20"/>
        </w:rPr>
        <w:t>Reference month/year: March/2022</w:t>
      </w:r>
    </w:p>
    <w:p w14:paraId="4C103235" w14:textId="77777777" w:rsidR="00330CD9" w:rsidRDefault="00330CD9" w:rsidP="00330CD9">
      <w:pPr>
        <w:spacing w:after="0" w:line="276" w:lineRule="auto"/>
        <w:ind w:right="60"/>
        <w:rPr>
          <w:rFonts w:ascii="Times New Roman" w:hAnsi="Times New Roman"/>
          <w:color w:val="000000"/>
          <w:sz w:val="20"/>
        </w:rPr>
      </w:pPr>
    </w:p>
    <w:p w14:paraId="0F239843" w14:textId="14884D75" w:rsidR="00324FC5" w:rsidRPr="00C64232" w:rsidRDefault="00324FC5" w:rsidP="00B6372F">
      <w:pPr>
        <w:spacing w:after="0" w:line="276" w:lineRule="auto"/>
        <w:ind w:left="567" w:right="60"/>
        <w:jc w:val="center"/>
        <w:rPr>
          <w:rFonts w:ascii="Times New Roman" w:eastAsia="Times New Roman" w:hAnsi="Times New Roman" w:cs="Times New Roman"/>
          <w:color w:val="000000"/>
          <w:sz w:val="20"/>
          <w:szCs w:val="20"/>
        </w:rPr>
      </w:pPr>
      <w:r>
        <w:rPr>
          <w:rFonts w:ascii="Times New Roman" w:hAnsi="Times New Roman"/>
          <w:color w:val="000000"/>
          <w:sz w:val="20"/>
        </w:rPr>
        <w:t>                                   </w:t>
      </w:r>
    </w:p>
    <w:p w14:paraId="0F8F6D12" w14:textId="5232BA33" w:rsidR="00A17D40" w:rsidRPr="00C64232" w:rsidRDefault="00324FC5" w:rsidP="00B6372F">
      <w:pPr>
        <w:spacing w:after="0" w:line="276" w:lineRule="auto"/>
        <w:ind w:right="60"/>
        <w:jc w:val="center"/>
        <w:rPr>
          <w:rFonts w:ascii="Times New Roman" w:eastAsia="Times New Roman" w:hAnsi="Times New Roman" w:cs="Times New Roman"/>
          <w:color w:val="000000"/>
          <w:sz w:val="20"/>
          <w:szCs w:val="20"/>
        </w:rPr>
      </w:pPr>
      <w:r>
        <w:rPr>
          <w:rFonts w:ascii="Times New Roman" w:hAnsi="Times New Roman"/>
          <w:b/>
          <w:color w:val="000000"/>
          <w:sz w:val="20"/>
        </w:rPr>
        <w:t>Table IV - Federal Government Budget for the resources available to PPDDH (2014-2021)</w:t>
      </w:r>
    </w:p>
    <w:tbl>
      <w:tblPr>
        <w:tblW w:w="10773" w:type="dxa"/>
        <w:tblCellSpacing w:w="7" w:type="dxa"/>
        <w:tblInd w:w="-128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99"/>
        <w:gridCol w:w="2162"/>
        <w:gridCol w:w="1985"/>
        <w:gridCol w:w="1875"/>
        <w:gridCol w:w="1853"/>
        <w:gridCol w:w="1799"/>
      </w:tblGrid>
      <w:tr w:rsidR="00901534" w:rsidRPr="00C64232" w14:paraId="0EC0DEC3" w14:textId="77777777" w:rsidTr="00901534">
        <w:trPr>
          <w:trHeight w:val="362"/>
          <w:tblCellSpacing w:w="7" w:type="dxa"/>
        </w:trPr>
        <w:tc>
          <w:tcPr>
            <w:tcW w:w="107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6D7AB61" w14:textId="77777777" w:rsidR="00324FC5" w:rsidRPr="00C64232" w:rsidRDefault="00324FC5" w:rsidP="0072458C">
            <w:pPr>
              <w:spacing w:after="0" w:line="240" w:lineRule="auto"/>
              <w:ind w:left="109" w:right="60"/>
              <w:jc w:val="center"/>
              <w:rPr>
                <w:rFonts w:ascii="Times New Roman" w:eastAsia="Times New Roman" w:hAnsi="Times New Roman" w:cs="Times New Roman"/>
                <w:color w:val="000000"/>
                <w:sz w:val="20"/>
                <w:szCs w:val="20"/>
              </w:rPr>
            </w:pPr>
            <w:r>
              <w:rPr>
                <w:rFonts w:ascii="Times New Roman" w:hAnsi="Times New Roman"/>
                <w:b/>
                <w:color w:val="000000"/>
                <w:sz w:val="20"/>
              </w:rPr>
              <w:t>Year</w:t>
            </w:r>
          </w:p>
        </w:tc>
        <w:tc>
          <w:tcPr>
            <w:tcW w:w="214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AD683A6" w14:textId="77777777" w:rsidR="00324FC5" w:rsidRPr="00C64232" w:rsidRDefault="00324FC5" w:rsidP="00637A12">
            <w:pPr>
              <w:spacing w:after="0" w:line="240" w:lineRule="auto"/>
              <w:ind w:left="162" w:right="60"/>
              <w:rPr>
                <w:rFonts w:ascii="Times New Roman" w:eastAsia="Times New Roman" w:hAnsi="Times New Roman" w:cs="Times New Roman"/>
                <w:color w:val="000000"/>
                <w:sz w:val="20"/>
                <w:szCs w:val="20"/>
              </w:rPr>
            </w:pPr>
            <w:r>
              <w:rPr>
                <w:rFonts w:ascii="Times New Roman" w:hAnsi="Times New Roman"/>
                <w:b/>
                <w:color w:val="000000"/>
                <w:sz w:val="20"/>
              </w:rPr>
              <w:t>Updated budgetary allocation/ Available (R$)</w:t>
            </w:r>
          </w:p>
        </w:tc>
        <w:tc>
          <w:tcPr>
            <w:tcW w:w="197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3937A5A" w14:textId="77777777" w:rsidR="0072458C" w:rsidRDefault="00324FC5" w:rsidP="0072458C">
            <w:pPr>
              <w:tabs>
                <w:tab w:val="left" w:pos="1538"/>
              </w:tabs>
              <w:spacing w:after="0" w:line="240" w:lineRule="auto"/>
              <w:ind w:left="121" w:right="404"/>
              <w:jc w:val="center"/>
              <w:rPr>
                <w:rFonts w:ascii="Times New Roman" w:eastAsia="Times New Roman" w:hAnsi="Times New Roman" w:cs="Times New Roman"/>
                <w:b/>
                <w:bCs/>
                <w:color w:val="000000"/>
                <w:sz w:val="20"/>
                <w:szCs w:val="20"/>
              </w:rPr>
            </w:pPr>
            <w:r>
              <w:rPr>
                <w:rFonts w:ascii="Times New Roman" w:hAnsi="Times New Roman"/>
                <w:b/>
                <w:color w:val="000000"/>
                <w:sz w:val="20"/>
              </w:rPr>
              <w:t>Budget Implementation/</w:t>
            </w:r>
          </w:p>
          <w:p w14:paraId="1285683A" w14:textId="2979E002" w:rsidR="00324FC5" w:rsidRPr="00C64232" w:rsidRDefault="00324FC5" w:rsidP="0072458C">
            <w:pPr>
              <w:tabs>
                <w:tab w:val="left" w:pos="1538"/>
              </w:tabs>
              <w:spacing w:after="0" w:line="240" w:lineRule="auto"/>
              <w:ind w:left="121" w:right="404"/>
              <w:jc w:val="center"/>
              <w:rPr>
                <w:rFonts w:ascii="Times New Roman" w:eastAsia="Times New Roman" w:hAnsi="Times New Roman" w:cs="Times New Roman"/>
                <w:color w:val="000000"/>
                <w:sz w:val="20"/>
                <w:szCs w:val="20"/>
              </w:rPr>
            </w:pPr>
            <w:r>
              <w:rPr>
                <w:rFonts w:ascii="Times New Roman" w:hAnsi="Times New Roman"/>
                <w:b/>
                <w:color w:val="000000"/>
                <w:sz w:val="20"/>
              </w:rPr>
              <w:t>Allocated (R$)</w:t>
            </w:r>
          </w:p>
        </w:tc>
        <w:tc>
          <w:tcPr>
            <w:tcW w:w="186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2FC225C" w14:textId="77777777" w:rsidR="00324FC5" w:rsidRPr="00C64232" w:rsidRDefault="00324FC5" w:rsidP="0072458C">
            <w:pPr>
              <w:spacing w:after="0" w:line="240" w:lineRule="auto"/>
              <w:ind w:left="124" w:right="60"/>
              <w:jc w:val="center"/>
              <w:rPr>
                <w:rFonts w:ascii="Times New Roman" w:eastAsia="Times New Roman" w:hAnsi="Times New Roman" w:cs="Times New Roman"/>
                <w:color w:val="000000"/>
                <w:sz w:val="20"/>
                <w:szCs w:val="20"/>
              </w:rPr>
            </w:pPr>
            <w:r>
              <w:rPr>
                <w:rFonts w:ascii="Times New Roman" w:hAnsi="Times New Roman"/>
                <w:b/>
                <w:color w:val="000000"/>
                <w:sz w:val="20"/>
              </w:rPr>
              <w:t>Financial Implementation - Payment waiting residual budget (R$)</w:t>
            </w:r>
          </w:p>
        </w:tc>
        <w:tc>
          <w:tcPr>
            <w:tcW w:w="183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DBEDA1F" w14:textId="146D3965" w:rsidR="00324FC5" w:rsidRPr="00C64232" w:rsidRDefault="00324FC5" w:rsidP="0072458C">
            <w:pPr>
              <w:spacing w:after="0" w:line="240" w:lineRule="auto"/>
              <w:ind w:left="231" w:right="60"/>
              <w:jc w:val="center"/>
              <w:rPr>
                <w:rFonts w:ascii="Times New Roman" w:eastAsia="Times New Roman" w:hAnsi="Times New Roman" w:cs="Times New Roman"/>
                <w:color w:val="000000"/>
                <w:sz w:val="20"/>
                <w:szCs w:val="20"/>
              </w:rPr>
            </w:pPr>
            <w:r>
              <w:rPr>
                <w:rFonts w:ascii="Times New Roman" w:hAnsi="Times New Roman"/>
                <w:b/>
                <w:color w:val="000000"/>
                <w:sz w:val="20"/>
              </w:rPr>
              <w:t>Financial Implementation - Payments from the current fiscal year (R$)</w:t>
            </w:r>
          </w:p>
        </w:tc>
        <w:tc>
          <w:tcPr>
            <w:tcW w:w="177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DC2A1AA" w14:textId="77777777" w:rsidR="00324FC5" w:rsidRPr="00C64232" w:rsidRDefault="00324FC5" w:rsidP="00901534">
            <w:pPr>
              <w:spacing w:after="0" w:line="240" w:lineRule="auto"/>
              <w:ind w:left="79" w:right="60"/>
              <w:jc w:val="center"/>
              <w:rPr>
                <w:rFonts w:ascii="Times New Roman" w:eastAsia="Times New Roman" w:hAnsi="Times New Roman" w:cs="Times New Roman"/>
                <w:color w:val="000000"/>
                <w:sz w:val="20"/>
                <w:szCs w:val="20"/>
              </w:rPr>
            </w:pPr>
            <w:r>
              <w:rPr>
                <w:rFonts w:ascii="Times New Roman" w:hAnsi="Times New Roman"/>
                <w:b/>
                <w:color w:val="000000"/>
                <w:sz w:val="20"/>
              </w:rPr>
              <w:t>Financial Implementation - Total (R$)</w:t>
            </w:r>
          </w:p>
        </w:tc>
      </w:tr>
      <w:tr w:rsidR="00901534" w:rsidRPr="00C64232" w14:paraId="48332B6C" w14:textId="77777777" w:rsidTr="00901534">
        <w:trPr>
          <w:trHeight w:val="118"/>
          <w:tblCellSpacing w:w="7" w:type="dxa"/>
        </w:trPr>
        <w:tc>
          <w:tcPr>
            <w:tcW w:w="10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82E96D0" w14:textId="77777777" w:rsidR="00324FC5" w:rsidRPr="00C64232" w:rsidRDefault="00324FC5" w:rsidP="0072458C">
            <w:pPr>
              <w:spacing w:after="0" w:line="240" w:lineRule="auto"/>
              <w:ind w:left="109" w:right="60"/>
              <w:jc w:val="center"/>
              <w:rPr>
                <w:rFonts w:ascii="Times New Roman" w:eastAsia="Times New Roman" w:hAnsi="Times New Roman" w:cs="Times New Roman"/>
                <w:color w:val="000000"/>
                <w:sz w:val="20"/>
                <w:szCs w:val="20"/>
              </w:rPr>
            </w:pPr>
            <w:r>
              <w:rPr>
                <w:rFonts w:ascii="Times New Roman" w:hAnsi="Times New Roman"/>
                <w:color w:val="000000"/>
                <w:sz w:val="20"/>
              </w:rPr>
              <w:t>2014</w:t>
            </w:r>
          </w:p>
        </w:tc>
        <w:tc>
          <w:tcPr>
            <w:tcW w:w="214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5C7756" w14:textId="77777777" w:rsidR="00324FC5" w:rsidRPr="00C64232" w:rsidRDefault="00324FC5" w:rsidP="00637A12">
            <w:pPr>
              <w:spacing w:after="0" w:line="240" w:lineRule="auto"/>
              <w:ind w:left="162" w:right="60"/>
              <w:rPr>
                <w:rFonts w:ascii="Times New Roman" w:eastAsia="Times New Roman" w:hAnsi="Times New Roman" w:cs="Times New Roman"/>
                <w:color w:val="000000"/>
                <w:sz w:val="20"/>
                <w:szCs w:val="20"/>
              </w:rPr>
            </w:pPr>
            <w:r>
              <w:rPr>
                <w:rFonts w:ascii="Times New Roman" w:hAnsi="Times New Roman"/>
                <w:color w:val="000000"/>
                <w:sz w:val="20"/>
              </w:rPr>
              <w:t>R$ 6,195,454.00</w:t>
            </w:r>
          </w:p>
        </w:tc>
        <w:tc>
          <w:tcPr>
            <w:tcW w:w="19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C5B0CE9" w14:textId="77777777" w:rsidR="00324FC5" w:rsidRPr="00C64232" w:rsidRDefault="00324FC5" w:rsidP="0072458C">
            <w:pPr>
              <w:spacing w:after="0" w:line="240" w:lineRule="auto"/>
              <w:ind w:left="121" w:right="60"/>
              <w:jc w:val="center"/>
              <w:rPr>
                <w:rFonts w:ascii="Times New Roman" w:eastAsia="Times New Roman" w:hAnsi="Times New Roman" w:cs="Times New Roman"/>
                <w:color w:val="000000"/>
                <w:sz w:val="20"/>
                <w:szCs w:val="20"/>
              </w:rPr>
            </w:pPr>
            <w:r>
              <w:rPr>
                <w:rFonts w:ascii="Times New Roman" w:hAnsi="Times New Roman"/>
                <w:color w:val="000000"/>
                <w:sz w:val="20"/>
              </w:rPr>
              <w:t>R$ 6,104,167.00</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0B2B59" w14:textId="77777777" w:rsidR="00324FC5" w:rsidRPr="00C64232" w:rsidRDefault="00324FC5" w:rsidP="0072458C">
            <w:pPr>
              <w:spacing w:after="0" w:line="240" w:lineRule="auto"/>
              <w:ind w:left="124" w:right="60"/>
              <w:jc w:val="center"/>
              <w:rPr>
                <w:rFonts w:ascii="Times New Roman" w:eastAsia="Times New Roman" w:hAnsi="Times New Roman" w:cs="Times New Roman"/>
                <w:color w:val="000000"/>
                <w:sz w:val="20"/>
                <w:szCs w:val="20"/>
              </w:rPr>
            </w:pPr>
            <w:r>
              <w:rPr>
                <w:rFonts w:ascii="Times New Roman" w:hAnsi="Times New Roman"/>
                <w:color w:val="000000"/>
                <w:sz w:val="20"/>
              </w:rPr>
              <w:t>R$ 3,480,126.49</w:t>
            </w:r>
          </w:p>
        </w:tc>
        <w:tc>
          <w:tcPr>
            <w:tcW w:w="183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8AD3F8" w14:textId="77777777" w:rsidR="00324FC5" w:rsidRPr="00C64232" w:rsidRDefault="00324FC5" w:rsidP="0072458C">
            <w:pPr>
              <w:spacing w:after="0" w:line="240" w:lineRule="auto"/>
              <w:ind w:left="231" w:right="60"/>
              <w:jc w:val="center"/>
              <w:rPr>
                <w:rFonts w:ascii="Times New Roman" w:eastAsia="Times New Roman" w:hAnsi="Times New Roman" w:cs="Times New Roman"/>
                <w:color w:val="000000"/>
                <w:sz w:val="20"/>
                <w:szCs w:val="20"/>
              </w:rPr>
            </w:pPr>
            <w:r>
              <w:rPr>
                <w:rFonts w:ascii="Times New Roman" w:hAnsi="Times New Roman"/>
                <w:color w:val="000000"/>
                <w:sz w:val="20"/>
              </w:rPr>
              <w:t>R$ 3,359,046.18</w:t>
            </w:r>
          </w:p>
        </w:tc>
        <w:tc>
          <w:tcPr>
            <w:tcW w:w="17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FF29460" w14:textId="77777777" w:rsidR="00324FC5" w:rsidRPr="00C64232" w:rsidRDefault="00324FC5" w:rsidP="00901534">
            <w:pPr>
              <w:spacing w:after="0" w:line="240" w:lineRule="auto"/>
              <w:ind w:left="79" w:right="60"/>
              <w:jc w:val="center"/>
              <w:rPr>
                <w:rFonts w:ascii="Times New Roman" w:eastAsia="Times New Roman" w:hAnsi="Times New Roman" w:cs="Times New Roman"/>
                <w:color w:val="000000"/>
                <w:sz w:val="20"/>
                <w:szCs w:val="20"/>
              </w:rPr>
            </w:pPr>
            <w:r>
              <w:rPr>
                <w:rFonts w:ascii="Times New Roman" w:hAnsi="Times New Roman"/>
                <w:color w:val="000000"/>
                <w:sz w:val="20"/>
              </w:rPr>
              <w:t>R$ 6,839,172.67</w:t>
            </w:r>
          </w:p>
        </w:tc>
      </w:tr>
      <w:tr w:rsidR="00901534" w:rsidRPr="00C64232" w14:paraId="49D65B9C" w14:textId="77777777" w:rsidTr="00901534">
        <w:trPr>
          <w:trHeight w:val="118"/>
          <w:tblCellSpacing w:w="7" w:type="dxa"/>
        </w:trPr>
        <w:tc>
          <w:tcPr>
            <w:tcW w:w="10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E15B482" w14:textId="77777777" w:rsidR="00324FC5" w:rsidRPr="00C64232" w:rsidRDefault="00324FC5" w:rsidP="0072458C">
            <w:pPr>
              <w:spacing w:after="0" w:line="240" w:lineRule="auto"/>
              <w:ind w:left="109" w:right="60"/>
              <w:jc w:val="center"/>
              <w:rPr>
                <w:rFonts w:ascii="Times New Roman" w:eastAsia="Times New Roman" w:hAnsi="Times New Roman" w:cs="Times New Roman"/>
                <w:color w:val="000000"/>
                <w:sz w:val="20"/>
                <w:szCs w:val="20"/>
              </w:rPr>
            </w:pPr>
            <w:r>
              <w:rPr>
                <w:rFonts w:ascii="Times New Roman" w:hAnsi="Times New Roman"/>
                <w:color w:val="000000"/>
                <w:sz w:val="20"/>
              </w:rPr>
              <w:t>2015</w:t>
            </w:r>
          </w:p>
        </w:tc>
        <w:tc>
          <w:tcPr>
            <w:tcW w:w="214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BADD1B" w14:textId="77777777" w:rsidR="00324FC5" w:rsidRPr="00C64232" w:rsidRDefault="00324FC5" w:rsidP="00637A12">
            <w:pPr>
              <w:spacing w:after="0" w:line="240" w:lineRule="auto"/>
              <w:ind w:left="162" w:right="60"/>
              <w:rPr>
                <w:rFonts w:ascii="Times New Roman" w:eastAsia="Times New Roman" w:hAnsi="Times New Roman" w:cs="Times New Roman"/>
                <w:color w:val="000000"/>
                <w:sz w:val="20"/>
                <w:szCs w:val="20"/>
              </w:rPr>
            </w:pPr>
            <w:r>
              <w:rPr>
                <w:rFonts w:ascii="Times New Roman" w:hAnsi="Times New Roman"/>
                <w:color w:val="000000"/>
                <w:sz w:val="20"/>
              </w:rPr>
              <w:t>R$ 4,804,738.00</w:t>
            </w:r>
          </w:p>
        </w:tc>
        <w:tc>
          <w:tcPr>
            <w:tcW w:w="19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8C134A5" w14:textId="77777777" w:rsidR="00324FC5" w:rsidRPr="00C64232" w:rsidRDefault="00324FC5" w:rsidP="0072458C">
            <w:pPr>
              <w:spacing w:after="0" w:line="240" w:lineRule="auto"/>
              <w:ind w:left="404" w:right="259" w:hanging="283"/>
              <w:jc w:val="center"/>
              <w:rPr>
                <w:rFonts w:ascii="Times New Roman" w:eastAsia="Times New Roman" w:hAnsi="Times New Roman" w:cs="Times New Roman"/>
                <w:color w:val="000000"/>
                <w:sz w:val="20"/>
                <w:szCs w:val="20"/>
              </w:rPr>
            </w:pPr>
            <w:r>
              <w:rPr>
                <w:rFonts w:ascii="Times New Roman" w:hAnsi="Times New Roman"/>
                <w:color w:val="000000"/>
                <w:sz w:val="20"/>
              </w:rPr>
              <w:t>R$ 4,800,000.00</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0D5DA1" w14:textId="77777777" w:rsidR="00324FC5" w:rsidRPr="00C64232" w:rsidRDefault="00324FC5" w:rsidP="0072458C">
            <w:pPr>
              <w:spacing w:after="0" w:line="240" w:lineRule="auto"/>
              <w:ind w:left="124" w:right="60"/>
              <w:jc w:val="center"/>
              <w:rPr>
                <w:rFonts w:ascii="Times New Roman" w:eastAsia="Times New Roman" w:hAnsi="Times New Roman" w:cs="Times New Roman"/>
                <w:color w:val="000000"/>
                <w:sz w:val="20"/>
                <w:szCs w:val="20"/>
              </w:rPr>
            </w:pPr>
            <w:r>
              <w:rPr>
                <w:rFonts w:ascii="Times New Roman" w:hAnsi="Times New Roman"/>
                <w:color w:val="000000"/>
                <w:sz w:val="20"/>
              </w:rPr>
              <w:t>R$ 2,104,679.62  </w:t>
            </w:r>
          </w:p>
        </w:tc>
        <w:tc>
          <w:tcPr>
            <w:tcW w:w="183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6CDD276" w14:textId="77777777" w:rsidR="00324FC5" w:rsidRPr="00C64232" w:rsidRDefault="00324FC5" w:rsidP="0072458C">
            <w:pPr>
              <w:spacing w:after="0" w:line="240" w:lineRule="auto"/>
              <w:ind w:left="231" w:right="60"/>
              <w:jc w:val="center"/>
              <w:rPr>
                <w:rFonts w:ascii="Times New Roman" w:eastAsia="Times New Roman" w:hAnsi="Times New Roman" w:cs="Times New Roman"/>
                <w:color w:val="000000"/>
                <w:sz w:val="20"/>
                <w:szCs w:val="20"/>
              </w:rPr>
            </w:pPr>
            <w:r>
              <w:rPr>
                <w:rFonts w:ascii="Times New Roman" w:hAnsi="Times New Roman"/>
                <w:color w:val="000000"/>
                <w:sz w:val="20"/>
              </w:rPr>
              <w:t>R$ 1,775,700.00</w:t>
            </w:r>
          </w:p>
        </w:tc>
        <w:tc>
          <w:tcPr>
            <w:tcW w:w="17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0FE524" w14:textId="77777777" w:rsidR="00324FC5" w:rsidRPr="00C64232" w:rsidRDefault="00324FC5" w:rsidP="00901534">
            <w:pPr>
              <w:spacing w:after="0" w:line="240" w:lineRule="auto"/>
              <w:ind w:left="79" w:right="60"/>
              <w:jc w:val="center"/>
              <w:rPr>
                <w:rFonts w:ascii="Times New Roman" w:eastAsia="Times New Roman" w:hAnsi="Times New Roman" w:cs="Times New Roman"/>
                <w:color w:val="000000"/>
                <w:sz w:val="20"/>
                <w:szCs w:val="20"/>
              </w:rPr>
            </w:pPr>
            <w:r>
              <w:rPr>
                <w:rFonts w:ascii="Times New Roman" w:hAnsi="Times New Roman"/>
                <w:color w:val="000000"/>
                <w:sz w:val="20"/>
              </w:rPr>
              <w:t>R$ 3,880,379.62</w:t>
            </w:r>
          </w:p>
        </w:tc>
      </w:tr>
      <w:tr w:rsidR="00901534" w:rsidRPr="00C64232" w14:paraId="3B4522BA" w14:textId="77777777" w:rsidTr="00901534">
        <w:trPr>
          <w:trHeight w:val="118"/>
          <w:tblCellSpacing w:w="7" w:type="dxa"/>
        </w:trPr>
        <w:tc>
          <w:tcPr>
            <w:tcW w:w="10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855F17" w14:textId="77777777" w:rsidR="00324FC5" w:rsidRPr="00C64232" w:rsidRDefault="00324FC5" w:rsidP="0072458C">
            <w:pPr>
              <w:spacing w:after="0" w:line="240" w:lineRule="auto"/>
              <w:ind w:left="109" w:right="60"/>
              <w:jc w:val="center"/>
              <w:rPr>
                <w:rFonts w:ascii="Times New Roman" w:eastAsia="Times New Roman" w:hAnsi="Times New Roman" w:cs="Times New Roman"/>
                <w:color w:val="000000"/>
                <w:sz w:val="20"/>
                <w:szCs w:val="20"/>
              </w:rPr>
            </w:pPr>
            <w:r>
              <w:rPr>
                <w:rFonts w:ascii="Times New Roman" w:hAnsi="Times New Roman"/>
                <w:color w:val="000000"/>
                <w:sz w:val="20"/>
              </w:rPr>
              <w:t>2016</w:t>
            </w:r>
          </w:p>
        </w:tc>
        <w:tc>
          <w:tcPr>
            <w:tcW w:w="214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A9DD303" w14:textId="77777777" w:rsidR="00324FC5" w:rsidRPr="00C64232" w:rsidRDefault="00324FC5" w:rsidP="00637A12">
            <w:pPr>
              <w:spacing w:after="0" w:line="240" w:lineRule="auto"/>
              <w:ind w:left="162" w:right="60"/>
              <w:rPr>
                <w:rFonts w:ascii="Times New Roman" w:eastAsia="Times New Roman" w:hAnsi="Times New Roman" w:cs="Times New Roman"/>
                <w:color w:val="000000"/>
                <w:sz w:val="20"/>
                <w:szCs w:val="20"/>
              </w:rPr>
            </w:pPr>
            <w:r>
              <w:rPr>
                <w:rFonts w:ascii="Times New Roman" w:hAnsi="Times New Roman"/>
                <w:color w:val="000000"/>
                <w:sz w:val="20"/>
              </w:rPr>
              <w:t>R$ 4,789,214.00</w:t>
            </w:r>
          </w:p>
        </w:tc>
        <w:tc>
          <w:tcPr>
            <w:tcW w:w="19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3B51C3E" w14:textId="77777777" w:rsidR="00324FC5" w:rsidRPr="00C64232" w:rsidRDefault="00324FC5" w:rsidP="0072458C">
            <w:pPr>
              <w:spacing w:after="0" w:line="240" w:lineRule="auto"/>
              <w:ind w:left="121" w:right="60"/>
              <w:jc w:val="center"/>
              <w:rPr>
                <w:rFonts w:ascii="Times New Roman" w:eastAsia="Times New Roman" w:hAnsi="Times New Roman" w:cs="Times New Roman"/>
                <w:color w:val="000000"/>
                <w:sz w:val="20"/>
                <w:szCs w:val="20"/>
              </w:rPr>
            </w:pPr>
            <w:r>
              <w:rPr>
                <w:rFonts w:ascii="Times New Roman" w:hAnsi="Times New Roman"/>
                <w:color w:val="000000"/>
                <w:sz w:val="20"/>
              </w:rPr>
              <w:t>R$ 4,789,214.00</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6093DA2" w14:textId="77777777" w:rsidR="00324FC5" w:rsidRPr="00C64232" w:rsidRDefault="00324FC5" w:rsidP="0072458C">
            <w:pPr>
              <w:spacing w:after="0" w:line="240" w:lineRule="auto"/>
              <w:ind w:left="124" w:right="60"/>
              <w:jc w:val="center"/>
              <w:rPr>
                <w:rFonts w:ascii="Times New Roman" w:eastAsia="Times New Roman" w:hAnsi="Times New Roman" w:cs="Times New Roman"/>
                <w:color w:val="000000"/>
                <w:sz w:val="20"/>
                <w:szCs w:val="20"/>
              </w:rPr>
            </w:pPr>
            <w:r>
              <w:rPr>
                <w:rFonts w:ascii="Times New Roman" w:hAnsi="Times New Roman"/>
                <w:color w:val="000000"/>
                <w:sz w:val="20"/>
              </w:rPr>
              <w:t>R$ 3.388383</w:t>
            </w:r>
          </w:p>
        </w:tc>
        <w:tc>
          <w:tcPr>
            <w:tcW w:w="183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B8E31CA" w14:textId="77777777" w:rsidR="00324FC5" w:rsidRPr="00C64232" w:rsidRDefault="00324FC5" w:rsidP="0072458C">
            <w:pPr>
              <w:spacing w:after="0" w:line="240" w:lineRule="auto"/>
              <w:ind w:left="231" w:right="60"/>
              <w:jc w:val="center"/>
              <w:rPr>
                <w:rFonts w:ascii="Times New Roman" w:eastAsia="Times New Roman" w:hAnsi="Times New Roman" w:cs="Times New Roman"/>
                <w:color w:val="000000"/>
                <w:sz w:val="20"/>
                <w:szCs w:val="20"/>
              </w:rPr>
            </w:pPr>
            <w:r>
              <w:rPr>
                <w:rFonts w:ascii="Times New Roman" w:hAnsi="Times New Roman"/>
                <w:color w:val="000000"/>
                <w:sz w:val="20"/>
              </w:rPr>
              <w:t>R$ 2,014,814.31</w:t>
            </w:r>
          </w:p>
        </w:tc>
        <w:tc>
          <w:tcPr>
            <w:tcW w:w="17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918E63B" w14:textId="77777777" w:rsidR="00324FC5" w:rsidRPr="00C64232" w:rsidRDefault="00324FC5" w:rsidP="00901534">
            <w:pPr>
              <w:spacing w:after="0" w:line="240" w:lineRule="auto"/>
              <w:ind w:left="79" w:right="60"/>
              <w:jc w:val="center"/>
              <w:rPr>
                <w:rFonts w:ascii="Times New Roman" w:eastAsia="Times New Roman" w:hAnsi="Times New Roman" w:cs="Times New Roman"/>
                <w:color w:val="000000"/>
                <w:sz w:val="20"/>
                <w:szCs w:val="20"/>
              </w:rPr>
            </w:pPr>
            <w:r>
              <w:rPr>
                <w:rFonts w:ascii="Times New Roman" w:hAnsi="Times New Roman"/>
                <w:color w:val="000000"/>
                <w:sz w:val="20"/>
              </w:rPr>
              <w:t>R$ 5,403,197.83</w:t>
            </w:r>
          </w:p>
        </w:tc>
      </w:tr>
      <w:tr w:rsidR="00901534" w:rsidRPr="00C64232" w14:paraId="3B1CECA6" w14:textId="77777777" w:rsidTr="00901534">
        <w:trPr>
          <w:trHeight w:val="118"/>
          <w:tblCellSpacing w:w="7" w:type="dxa"/>
        </w:trPr>
        <w:tc>
          <w:tcPr>
            <w:tcW w:w="10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035F" w14:textId="77777777" w:rsidR="00324FC5" w:rsidRPr="00C64232" w:rsidRDefault="00324FC5" w:rsidP="0072458C">
            <w:pPr>
              <w:spacing w:after="0" w:line="240" w:lineRule="auto"/>
              <w:ind w:left="109" w:right="60"/>
              <w:jc w:val="center"/>
              <w:rPr>
                <w:rFonts w:ascii="Times New Roman" w:eastAsia="Times New Roman" w:hAnsi="Times New Roman" w:cs="Times New Roman"/>
                <w:color w:val="000000"/>
                <w:sz w:val="20"/>
                <w:szCs w:val="20"/>
              </w:rPr>
            </w:pPr>
            <w:r>
              <w:rPr>
                <w:rFonts w:ascii="Times New Roman" w:hAnsi="Times New Roman"/>
                <w:color w:val="000000"/>
                <w:sz w:val="20"/>
              </w:rPr>
              <w:t>2017</w:t>
            </w:r>
          </w:p>
        </w:tc>
        <w:tc>
          <w:tcPr>
            <w:tcW w:w="214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358507D" w14:textId="77777777" w:rsidR="00324FC5" w:rsidRPr="00C64232" w:rsidRDefault="00324FC5" w:rsidP="00637A12">
            <w:pPr>
              <w:spacing w:after="0" w:line="240" w:lineRule="auto"/>
              <w:ind w:left="162" w:right="60"/>
              <w:rPr>
                <w:rFonts w:ascii="Times New Roman" w:eastAsia="Times New Roman" w:hAnsi="Times New Roman" w:cs="Times New Roman"/>
                <w:color w:val="000000"/>
                <w:sz w:val="20"/>
                <w:szCs w:val="20"/>
              </w:rPr>
            </w:pPr>
            <w:r>
              <w:rPr>
                <w:rFonts w:ascii="Times New Roman" w:hAnsi="Times New Roman"/>
                <w:color w:val="000000"/>
                <w:sz w:val="20"/>
              </w:rPr>
              <w:t>R$ 4,507,105.00</w:t>
            </w:r>
          </w:p>
        </w:tc>
        <w:tc>
          <w:tcPr>
            <w:tcW w:w="19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14CAB7" w14:textId="77777777" w:rsidR="00324FC5" w:rsidRPr="00C64232" w:rsidRDefault="00324FC5" w:rsidP="0072458C">
            <w:pPr>
              <w:spacing w:after="0" w:line="240" w:lineRule="auto"/>
              <w:ind w:left="121" w:right="60"/>
              <w:jc w:val="center"/>
              <w:rPr>
                <w:rFonts w:ascii="Times New Roman" w:eastAsia="Times New Roman" w:hAnsi="Times New Roman" w:cs="Times New Roman"/>
                <w:color w:val="000000"/>
                <w:sz w:val="20"/>
                <w:szCs w:val="20"/>
              </w:rPr>
            </w:pPr>
            <w:r>
              <w:rPr>
                <w:rFonts w:ascii="Times New Roman" w:hAnsi="Times New Roman"/>
                <w:color w:val="000000"/>
                <w:sz w:val="20"/>
              </w:rPr>
              <w:t>R$ 4,352,945.00</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B19956" w14:textId="77777777" w:rsidR="00324FC5" w:rsidRPr="00C64232" w:rsidRDefault="00324FC5" w:rsidP="0072458C">
            <w:pPr>
              <w:spacing w:after="0" w:line="240" w:lineRule="auto"/>
              <w:ind w:left="124" w:right="60"/>
              <w:jc w:val="center"/>
              <w:rPr>
                <w:rFonts w:ascii="Times New Roman" w:eastAsia="Times New Roman" w:hAnsi="Times New Roman" w:cs="Times New Roman"/>
                <w:color w:val="000000"/>
                <w:sz w:val="20"/>
                <w:szCs w:val="20"/>
              </w:rPr>
            </w:pPr>
            <w:r>
              <w:rPr>
                <w:rFonts w:ascii="Times New Roman" w:hAnsi="Times New Roman"/>
                <w:color w:val="000000"/>
                <w:sz w:val="20"/>
              </w:rPr>
              <w:t>R$ 2,525,472.58</w:t>
            </w:r>
          </w:p>
        </w:tc>
        <w:tc>
          <w:tcPr>
            <w:tcW w:w="183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543D54" w14:textId="77777777" w:rsidR="00324FC5" w:rsidRPr="00C64232" w:rsidRDefault="00324FC5" w:rsidP="0072458C">
            <w:pPr>
              <w:spacing w:after="0" w:line="240" w:lineRule="auto"/>
              <w:ind w:left="231" w:right="60"/>
              <w:jc w:val="center"/>
              <w:rPr>
                <w:rFonts w:ascii="Times New Roman" w:eastAsia="Times New Roman" w:hAnsi="Times New Roman" w:cs="Times New Roman"/>
                <w:color w:val="000000"/>
                <w:sz w:val="20"/>
                <w:szCs w:val="20"/>
              </w:rPr>
            </w:pPr>
            <w:r>
              <w:rPr>
                <w:rFonts w:ascii="Times New Roman" w:hAnsi="Times New Roman"/>
                <w:color w:val="000000"/>
                <w:sz w:val="20"/>
              </w:rPr>
              <w:t>R$ 4,700,000.00</w:t>
            </w:r>
          </w:p>
        </w:tc>
        <w:tc>
          <w:tcPr>
            <w:tcW w:w="17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C18520" w14:textId="77777777" w:rsidR="00324FC5" w:rsidRPr="00C64232" w:rsidRDefault="00324FC5" w:rsidP="00901534">
            <w:pPr>
              <w:spacing w:after="0" w:line="240" w:lineRule="auto"/>
              <w:ind w:left="79" w:right="60"/>
              <w:jc w:val="center"/>
              <w:rPr>
                <w:rFonts w:ascii="Times New Roman" w:eastAsia="Times New Roman" w:hAnsi="Times New Roman" w:cs="Times New Roman"/>
                <w:color w:val="000000"/>
                <w:sz w:val="20"/>
                <w:szCs w:val="20"/>
              </w:rPr>
            </w:pPr>
            <w:r>
              <w:rPr>
                <w:rFonts w:ascii="Times New Roman" w:hAnsi="Times New Roman"/>
                <w:color w:val="000000"/>
                <w:sz w:val="20"/>
              </w:rPr>
              <w:t>R$ 6,526,172.58</w:t>
            </w:r>
          </w:p>
        </w:tc>
      </w:tr>
      <w:tr w:rsidR="00901534" w:rsidRPr="00C64232" w14:paraId="04D9A13F" w14:textId="77777777" w:rsidTr="00901534">
        <w:trPr>
          <w:trHeight w:val="118"/>
          <w:tblCellSpacing w:w="7" w:type="dxa"/>
        </w:trPr>
        <w:tc>
          <w:tcPr>
            <w:tcW w:w="10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FAF75D8" w14:textId="77777777" w:rsidR="00324FC5" w:rsidRPr="00C64232" w:rsidRDefault="00324FC5" w:rsidP="0072458C">
            <w:pPr>
              <w:spacing w:after="0" w:line="240" w:lineRule="auto"/>
              <w:ind w:left="109" w:right="60"/>
              <w:jc w:val="center"/>
              <w:rPr>
                <w:rFonts w:ascii="Times New Roman" w:eastAsia="Times New Roman" w:hAnsi="Times New Roman" w:cs="Times New Roman"/>
                <w:color w:val="000000"/>
                <w:sz w:val="20"/>
                <w:szCs w:val="20"/>
              </w:rPr>
            </w:pPr>
            <w:r>
              <w:rPr>
                <w:rFonts w:ascii="Times New Roman" w:hAnsi="Times New Roman"/>
                <w:color w:val="000000"/>
                <w:sz w:val="20"/>
              </w:rPr>
              <w:t>2018</w:t>
            </w:r>
          </w:p>
        </w:tc>
        <w:tc>
          <w:tcPr>
            <w:tcW w:w="214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948BBA1" w14:textId="1BF046BB" w:rsidR="00324FC5" w:rsidRPr="00C64232" w:rsidRDefault="00324FC5" w:rsidP="00637A12">
            <w:pPr>
              <w:spacing w:after="0" w:line="240" w:lineRule="auto"/>
              <w:ind w:left="162" w:right="60"/>
              <w:rPr>
                <w:rFonts w:ascii="Times New Roman" w:eastAsia="Times New Roman" w:hAnsi="Times New Roman" w:cs="Times New Roman"/>
                <w:color w:val="000000"/>
                <w:sz w:val="20"/>
                <w:szCs w:val="20"/>
              </w:rPr>
            </w:pPr>
            <w:r>
              <w:rPr>
                <w:rFonts w:ascii="Times New Roman" w:hAnsi="Times New Roman"/>
                <w:color w:val="000000"/>
                <w:sz w:val="20"/>
              </w:rPr>
              <w:t>R$ 15,178,780.00</w:t>
            </w:r>
          </w:p>
        </w:tc>
        <w:tc>
          <w:tcPr>
            <w:tcW w:w="19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652F95D" w14:textId="77777777" w:rsidR="00324FC5" w:rsidRPr="00C64232" w:rsidRDefault="00324FC5" w:rsidP="0072458C">
            <w:pPr>
              <w:spacing w:after="0" w:line="240" w:lineRule="auto"/>
              <w:ind w:left="121" w:right="60"/>
              <w:jc w:val="center"/>
              <w:rPr>
                <w:rFonts w:ascii="Times New Roman" w:eastAsia="Times New Roman" w:hAnsi="Times New Roman" w:cs="Times New Roman"/>
                <w:color w:val="000000"/>
                <w:sz w:val="20"/>
                <w:szCs w:val="20"/>
              </w:rPr>
            </w:pPr>
            <w:r>
              <w:rPr>
                <w:rFonts w:ascii="Times New Roman" w:hAnsi="Times New Roman"/>
                <w:color w:val="000000"/>
                <w:sz w:val="20"/>
              </w:rPr>
              <w:t>R$ 14,478,780.00</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8353183" w14:textId="77777777" w:rsidR="00324FC5" w:rsidRPr="00C64232" w:rsidRDefault="00324FC5" w:rsidP="0072458C">
            <w:pPr>
              <w:spacing w:after="0" w:line="240" w:lineRule="auto"/>
              <w:ind w:left="124" w:right="60"/>
              <w:jc w:val="center"/>
              <w:rPr>
                <w:rFonts w:ascii="Times New Roman" w:eastAsia="Times New Roman" w:hAnsi="Times New Roman" w:cs="Times New Roman"/>
                <w:color w:val="000000"/>
                <w:sz w:val="20"/>
                <w:szCs w:val="20"/>
              </w:rPr>
            </w:pPr>
            <w:r>
              <w:rPr>
                <w:rFonts w:ascii="Times New Roman" w:hAnsi="Times New Roman"/>
                <w:color w:val="000000"/>
                <w:sz w:val="20"/>
              </w:rPr>
              <w:t>R$ 352,245.00</w:t>
            </w:r>
          </w:p>
        </w:tc>
        <w:tc>
          <w:tcPr>
            <w:tcW w:w="183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BB9486F" w14:textId="77777777" w:rsidR="00324FC5" w:rsidRPr="00C64232" w:rsidRDefault="00324FC5" w:rsidP="0072458C">
            <w:pPr>
              <w:spacing w:after="0" w:line="240" w:lineRule="auto"/>
              <w:ind w:left="231" w:right="60"/>
              <w:jc w:val="center"/>
              <w:rPr>
                <w:rFonts w:ascii="Times New Roman" w:eastAsia="Times New Roman" w:hAnsi="Times New Roman" w:cs="Times New Roman"/>
                <w:color w:val="000000"/>
                <w:sz w:val="20"/>
                <w:szCs w:val="20"/>
              </w:rPr>
            </w:pPr>
            <w:r>
              <w:rPr>
                <w:rFonts w:ascii="Times New Roman" w:hAnsi="Times New Roman"/>
                <w:color w:val="000000"/>
                <w:sz w:val="20"/>
              </w:rPr>
              <w:t>R$ 11,198,320.69</w:t>
            </w:r>
          </w:p>
        </w:tc>
        <w:tc>
          <w:tcPr>
            <w:tcW w:w="17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E1C75A2" w14:textId="77777777" w:rsidR="00324FC5" w:rsidRPr="00C64232" w:rsidRDefault="00324FC5" w:rsidP="00901534">
            <w:pPr>
              <w:spacing w:after="0" w:line="240" w:lineRule="auto"/>
              <w:ind w:left="79" w:right="60"/>
              <w:jc w:val="center"/>
              <w:rPr>
                <w:rFonts w:ascii="Times New Roman" w:eastAsia="Times New Roman" w:hAnsi="Times New Roman" w:cs="Times New Roman"/>
                <w:color w:val="000000"/>
                <w:sz w:val="20"/>
                <w:szCs w:val="20"/>
              </w:rPr>
            </w:pPr>
            <w:r>
              <w:rPr>
                <w:rFonts w:ascii="Times New Roman" w:hAnsi="Times New Roman"/>
                <w:color w:val="000000"/>
                <w:sz w:val="20"/>
              </w:rPr>
              <w:t>R$ 11,550,565.69</w:t>
            </w:r>
          </w:p>
        </w:tc>
      </w:tr>
      <w:tr w:rsidR="00901534" w:rsidRPr="00C64232" w14:paraId="46186C47" w14:textId="77777777" w:rsidTr="00901534">
        <w:trPr>
          <w:trHeight w:val="118"/>
          <w:tblCellSpacing w:w="7" w:type="dxa"/>
        </w:trPr>
        <w:tc>
          <w:tcPr>
            <w:tcW w:w="10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C0B95C0" w14:textId="77777777" w:rsidR="00324FC5" w:rsidRPr="00C64232" w:rsidRDefault="00324FC5" w:rsidP="0072458C">
            <w:pPr>
              <w:spacing w:after="0" w:line="240" w:lineRule="auto"/>
              <w:ind w:left="109" w:right="60"/>
              <w:jc w:val="center"/>
              <w:rPr>
                <w:rFonts w:ascii="Times New Roman" w:eastAsia="Times New Roman" w:hAnsi="Times New Roman" w:cs="Times New Roman"/>
                <w:color w:val="000000"/>
                <w:sz w:val="20"/>
                <w:szCs w:val="20"/>
              </w:rPr>
            </w:pPr>
            <w:r>
              <w:rPr>
                <w:rFonts w:ascii="Times New Roman" w:hAnsi="Times New Roman"/>
                <w:color w:val="000000"/>
                <w:sz w:val="20"/>
              </w:rPr>
              <w:t>2019</w:t>
            </w:r>
          </w:p>
        </w:tc>
        <w:tc>
          <w:tcPr>
            <w:tcW w:w="214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7CB280" w14:textId="77777777" w:rsidR="00324FC5" w:rsidRPr="00C64232" w:rsidRDefault="00324FC5" w:rsidP="00637A12">
            <w:pPr>
              <w:spacing w:after="0" w:line="240" w:lineRule="auto"/>
              <w:ind w:left="162" w:right="60"/>
              <w:rPr>
                <w:rFonts w:ascii="Times New Roman" w:eastAsia="Times New Roman" w:hAnsi="Times New Roman" w:cs="Times New Roman"/>
                <w:color w:val="000000"/>
                <w:sz w:val="20"/>
                <w:szCs w:val="20"/>
              </w:rPr>
            </w:pPr>
            <w:r>
              <w:rPr>
                <w:rFonts w:ascii="Times New Roman" w:hAnsi="Times New Roman"/>
                <w:color w:val="000000"/>
                <w:sz w:val="20"/>
              </w:rPr>
              <w:t>R$ 6,245,200.00</w:t>
            </w:r>
          </w:p>
        </w:tc>
        <w:tc>
          <w:tcPr>
            <w:tcW w:w="19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1D8CAD6" w14:textId="77777777" w:rsidR="00324FC5" w:rsidRPr="00C64232" w:rsidRDefault="00324FC5" w:rsidP="0072458C">
            <w:pPr>
              <w:spacing w:after="0" w:line="240" w:lineRule="auto"/>
              <w:ind w:left="121" w:right="60"/>
              <w:jc w:val="center"/>
              <w:rPr>
                <w:rFonts w:ascii="Times New Roman" w:eastAsia="Times New Roman" w:hAnsi="Times New Roman" w:cs="Times New Roman"/>
                <w:color w:val="000000"/>
                <w:sz w:val="20"/>
                <w:szCs w:val="20"/>
              </w:rPr>
            </w:pPr>
            <w:r>
              <w:rPr>
                <w:rFonts w:ascii="Times New Roman" w:hAnsi="Times New Roman"/>
                <w:color w:val="000000"/>
                <w:sz w:val="20"/>
              </w:rPr>
              <w:t>R$ 6,245,200.00</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4EA7AFD" w14:textId="77777777" w:rsidR="00324FC5" w:rsidRPr="00C64232" w:rsidRDefault="00324FC5" w:rsidP="0072458C">
            <w:pPr>
              <w:spacing w:after="0" w:line="240" w:lineRule="auto"/>
              <w:ind w:left="124" w:right="60"/>
              <w:jc w:val="center"/>
              <w:rPr>
                <w:rFonts w:ascii="Times New Roman" w:eastAsia="Times New Roman" w:hAnsi="Times New Roman" w:cs="Times New Roman"/>
                <w:color w:val="000000"/>
                <w:sz w:val="20"/>
                <w:szCs w:val="20"/>
              </w:rPr>
            </w:pPr>
            <w:r>
              <w:rPr>
                <w:rFonts w:ascii="Times New Roman" w:hAnsi="Times New Roman"/>
                <w:color w:val="000000"/>
                <w:sz w:val="20"/>
              </w:rPr>
              <w:t>R$ 2,821,218.40</w:t>
            </w:r>
          </w:p>
        </w:tc>
        <w:tc>
          <w:tcPr>
            <w:tcW w:w="183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27D1081" w14:textId="77777777" w:rsidR="00324FC5" w:rsidRPr="00C64232" w:rsidRDefault="00324FC5" w:rsidP="0072458C">
            <w:pPr>
              <w:spacing w:after="0" w:line="240" w:lineRule="auto"/>
              <w:ind w:left="231" w:right="60"/>
              <w:jc w:val="center"/>
              <w:rPr>
                <w:rFonts w:ascii="Times New Roman" w:eastAsia="Times New Roman" w:hAnsi="Times New Roman" w:cs="Times New Roman"/>
                <w:color w:val="000000"/>
                <w:sz w:val="20"/>
                <w:szCs w:val="20"/>
              </w:rPr>
            </w:pPr>
            <w:r>
              <w:rPr>
                <w:rFonts w:ascii="Times New Roman" w:hAnsi="Times New Roman"/>
                <w:color w:val="000000"/>
                <w:sz w:val="20"/>
              </w:rPr>
              <w:t>R$ 1,057,455.47</w:t>
            </w:r>
          </w:p>
        </w:tc>
        <w:tc>
          <w:tcPr>
            <w:tcW w:w="17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2EF017A" w14:textId="77777777" w:rsidR="00324FC5" w:rsidRPr="00C64232" w:rsidRDefault="00324FC5" w:rsidP="00901534">
            <w:pPr>
              <w:spacing w:after="0" w:line="240" w:lineRule="auto"/>
              <w:ind w:left="79" w:right="60"/>
              <w:jc w:val="center"/>
              <w:rPr>
                <w:rFonts w:ascii="Times New Roman" w:eastAsia="Times New Roman" w:hAnsi="Times New Roman" w:cs="Times New Roman"/>
                <w:color w:val="000000"/>
                <w:sz w:val="20"/>
                <w:szCs w:val="20"/>
              </w:rPr>
            </w:pPr>
            <w:r>
              <w:rPr>
                <w:rFonts w:ascii="Times New Roman" w:hAnsi="Times New Roman"/>
                <w:color w:val="000000"/>
                <w:sz w:val="20"/>
              </w:rPr>
              <w:t>R$ 3,878,673.87</w:t>
            </w:r>
          </w:p>
        </w:tc>
      </w:tr>
      <w:tr w:rsidR="00901534" w:rsidRPr="00C64232" w14:paraId="6B42159C" w14:textId="77777777" w:rsidTr="00901534">
        <w:trPr>
          <w:trHeight w:val="123"/>
          <w:tblCellSpacing w:w="7" w:type="dxa"/>
        </w:trPr>
        <w:tc>
          <w:tcPr>
            <w:tcW w:w="10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FEBA28" w14:textId="77777777" w:rsidR="00324FC5" w:rsidRPr="00C64232" w:rsidRDefault="00324FC5" w:rsidP="0072458C">
            <w:pPr>
              <w:spacing w:after="0" w:line="240" w:lineRule="auto"/>
              <w:ind w:left="109" w:right="60"/>
              <w:jc w:val="center"/>
              <w:rPr>
                <w:rFonts w:ascii="Times New Roman" w:eastAsia="Times New Roman" w:hAnsi="Times New Roman" w:cs="Times New Roman"/>
                <w:color w:val="000000"/>
                <w:sz w:val="20"/>
                <w:szCs w:val="20"/>
              </w:rPr>
            </w:pPr>
            <w:r>
              <w:rPr>
                <w:rFonts w:ascii="Times New Roman" w:hAnsi="Times New Roman"/>
                <w:color w:val="000000"/>
                <w:sz w:val="20"/>
              </w:rPr>
              <w:t>2020</w:t>
            </w:r>
          </w:p>
        </w:tc>
        <w:tc>
          <w:tcPr>
            <w:tcW w:w="214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4386C9F" w14:textId="77777777" w:rsidR="00324FC5" w:rsidRPr="00C64232" w:rsidRDefault="00324FC5" w:rsidP="00637A12">
            <w:pPr>
              <w:spacing w:after="0" w:line="240" w:lineRule="auto"/>
              <w:ind w:left="162" w:right="60"/>
              <w:rPr>
                <w:rFonts w:ascii="Times New Roman" w:eastAsia="Times New Roman" w:hAnsi="Times New Roman" w:cs="Times New Roman"/>
                <w:color w:val="000000"/>
                <w:sz w:val="20"/>
                <w:szCs w:val="20"/>
              </w:rPr>
            </w:pPr>
            <w:r>
              <w:rPr>
                <w:rFonts w:ascii="Times New Roman" w:hAnsi="Times New Roman"/>
                <w:color w:val="000000"/>
                <w:sz w:val="20"/>
              </w:rPr>
              <w:t>R$ 9,140,968.00</w:t>
            </w:r>
          </w:p>
        </w:tc>
        <w:tc>
          <w:tcPr>
            <w:tcW w:w="19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CC4E" w14:textId="77777777" w:rsidR="00324FC5" w:rsidRPr="00C64232" w:rsidRDefault="00324FC5" w:rsidP="0072458C">
            <w:pPr>
              <w:spacing w:after="0" w:line="240" w:lineRule="auto"/>
              <w:ind w:left="121" w:right="60"/>
              <w:jc w:val="center"/>
              <w:rPr>
                <w:rFonts w:ascii="Times New Roman" w:eastAsia="Times New Roman" w:hAnsi="Times New Roman" w:cs="Times New Roman"/>
                <w:color w:val="000000"/>
                <w:sz w:val="20"/>
                <w:szCs w:val="20"/>
              </w:rPr>
            </w:pPr>
            <w:r>
              <w:rPr>
                <w:rFonts w:ascii="Times New Roman" w:hAnsi="Times New Roman"/>
                <w:color w:val="000000"/>
                <w:sz w:val="20"/>
              </w:rPr>
              <w:t>R$ 8,982,461.06</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0C99D30" w14:textId="77777777" w:rsidR="00324FC5" w:rsidRPr="00C64232" w:rsidRDefault="00324FC5" w:rsidP="0072458C">
            <w:pPr>
              <w:spacing w:after="0" w:line="240" w:lineRule="auto"/>
              <w:ind w:left="124" w:right="60"/>
              <w:jc w:val="center"/>
              <w:rPr>
                <w:rFonts w:ascii="Times New Roman" w:eastAsia="Times New Roman" w:hAnsi="Times New Roman" w:cs="Times New Roman"/>
                <w:color w:val="000000"/>
                <w:sz w:val="20"/>
                <w:szCs w:val="20"/>
              </w:rPr>
            </w:pPr>
            <w:r>
              <w:rPr>
                <w:rFonts w:ascii="Times New Roman" w:hAnsi="Times New Roman"/>
                <w:color w:val="000000"/>
                <w:sz w:val="20"/>
              </w:rPr>
              <w:t>R$ 3,808,778.40</w:t>
            </w:r>
          </w:p>
        </w:tc>
        <w:tc>
          <w:tcPr>
            <w:tcW w:w="183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9FED8A" w14:textId="77777777" w:rsidR="00324FC5" w:rsidRPr="00C64232" w:rsidRDefault="00324FC5" w:rsidP="0072458C">
            <w:pPr>
              <w:spacing w:after="0" w:line="240" w:lineRule="auto"/>
              <w:ind w:left="231" w:right="60"/>
              <w:jc w:val="center"/>
              <w:rPr>
                <w:rFonts w:ascii="Times New Roman" w:eastAsia="Times New Roman" w:hAnsi="Times New Roman" w:cs="Times New Roman"/>
                <w:color w:val="000000"/>
                <w:sz w:val="20"/>
                <w:szCs w:val="20"/>
              </w:rPr>
            </w:pPr>
            <w:r>
              <w:rPr>
                <w:rFonts w:ascii="Times New Roman" w:hAnsi="Times New Roman"/>
                <w:color w:val="000000"/>
                <w:sz w:val="20"/>
              </w:rPr>
              <w:t>R$ 938,726.49</w:t>
            </w:r>
          </w:p>
        </w:tc>
        <w:tc>
          <w:tcPr>
            <w:tcW w:w="17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F689C53" w14:textId="77777777" w:rsidR="00324FC5" w:rsidRPr="00C64232" w:rsidRDefault="00324FC5" w:rsidP="00901534">
            <w:pPr>
              <w:spacing w:after="0" w:line="240" w:lineRule="auto"/>
              <w:ind w:left="79" w:right="60"/>
              <w:jc w:val="center"/>
              <w:rPr>
                <w:rFonts w:ascii="Times New Roman" w:eastAsia="Times New Roman" w:hAnsi="Times New Roman" w:cs="Times New Roman"/>
                <w:color w:val="000000"/>
                <w:sz w:val="20"/>
                <w:szCs w:val="20"/>
              </w:rPr>
            </w:pPr>
            <w:r>
              <w:rPr>
                <w:rFonts w:ascii="Times New Roman" w:hAnsi="Times New Roman"/>
                <w:color w:val="000000"/>
                <w:sz w:val="20"/>
              </w:rPr>
              <w:t>R$ 4,745,504.89</w:t>
            </w:r>
          </w:p>
        </w:tc>
      </w:tr>
      <w:tr w:rsidR="00901534" w:rsidRPr="00C64232" w14:paraId="1BDB37BF" w14:textId="77777777" w:rsidTr="00901534">
        <w:trPr>
          <w:trHeight w:val="118"/>
          <w:tblCellSpacing w:w="7" w:type="dxa"/>
        </w:trPr>
        <w:tc>
          <w:tcPr>
            <w:tcW w:w="10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143EC71" w14:textId="77777777" w:rsidR="00324FC5" w:rsidRPr="00C64232" w:rsidRDefault="00324FC5" w:rsidP="0072458C">
            <w:pPr>
              <w:spacing w:after="0" w:line="240" w:lineRule="auto"/>
              <w:ind w:left="109" w:right="60"/>
              <w:jc w:val="center"/>
              <w:rPr>
                <w:rFonts w:ascii="Times New Roman" w:eastAsia="Times New Roman" w:hAnsi="Times New Roman" w:cs="Times New Roman"/>
                <w:color w:val="000000"/>
                <w:sz w:val="20"/>
                <w:szCs w:val="20"/>
              </w:rPr>
            </w:pPr>
            <w:r>
              <w:rPr>
                <w:rFonts w:ascii="Times New Roman" w:hAnsi="Times New Roman"/>
                <w:color w:val="000000"/>
                <w:sz w:val="20"/>
              </w:rPr>
              <w:t>2021</w:t>
            </w:r>
          </w:p>
        </w:tc>
        <w:tc>
          <w:tcPr>
            <w:tcW w:w="214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5D2A51D" w14:textId="77777777" w:rsidR="00324FC5" w:rsidRPr="00C64232" w:rsidRDefault="00324FC5" w:rsidP="00637A12">
            <w:pPr>
              <w:spacing w:after="0" w:line="240" w:lineRule="auto"/>
              <w:ind w:left="162" w:right="60"/>
              <w:rPr>
                <w:rFonts w:ascii="Times New Roman" w:eastAsia="Times New Roman" w:hAnsi="Times New Roman" w:cs="Times New Roman"/>
                <w:color w:val="000000"/>
                <w:sz w:val="20"/>
                <w:szCs w:val="20"/>
              </w:rPr>
            </w:pPr>
            <w:r>
              <w:rPr>
                <w:rFonts w:ascii="Times New Roman" w:hAnsi="Times New Roman"/>
                <w:color w:val="000000"/>
                <w:sz w:val="20"/>
              </w:rPr>
              <w:t>R$ 8,571,192.00</w:t>
            </w:r>
          </w:p>
        </w:tc>
        <w:tc>
          <w:tcPr>
            <w:tcW w:w="19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D14F8E3" w14:textId="77777777" w:rsidR="00324FC5" w:rsidRPr="00C64232" w:rsidRDefault="00324FC5" w:rsidP="0072458C">
            <w:pPr>
              <w:spacing w:after="0" w:line="240" w:lineRule="auto"/>
              <w:ind w:left="121" w:right="60"/>
              <w:jc w:val="center"/>
              <w:rPr>
                <w:rFonts w:ascii="Times New Roman" w:eastAsia="Times New Roman" w:hAnsi="Times New Roman" w:cs="Times New Roman"/>
                <w:color w:val="000000"/>
                <w:sz w:val="20"/>
                <w:szCs w:val="20"/>
              </w:rPr>
            </w:pPr>
            <w:r>
              <w:rPr>
                <w:rFonts w:ascii="Times New Roman" w:hAnsi="Times New Roman"/>
                <w:color w:val="000000"/>
                <w:sz w:val="20"/>
              </w:rPr>
              <w:t>R$ 8,571,143.58</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89D14E0" w14:textId="77777777" w:rsidR="00324FC5" w:rsidRPr="00C64232" w:rsidRDefault="00324FC5" w:rsidP="0072458C">
            <w:pPr>
              <w:spacing w:after="0" w:line="240" w:lineRule="auto"/>
              <w:ind w:left="124" w:right="60"/>
              <w:jc w:val="center"/>
              <w:rPr>
                <w:rFonts w:ascii="Times New Roman" w:eastAsia="Times New Roman" w:hAnsi="Times New Roman" w:cs="Times New Roman"/>
                <w:color w:val="000000"/>
                <w:sz w:val="20"/>
                <w:szCs w:val="20"/>
              </w:rPr>
            </w:pPr>
            <w:r>
              <w:rPr>
                <w:rFonts w:ascii="Times New Roman" w:hAnsi="Times New Roman"/>
                <w:color w:val="000000"/>
                <w:sz w:val="20"/>
              </w:rPr>
              <w:t>R$ 7,223,442.81</w:t>
            </w:r>
          </w:p>
        </w:tc>
        <w:tc>
          <w:tcPr>
            <w:tcW w:w="183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36AB52" w14:textId="77777777" w:rsidR="00324FC5" w:rsidRPr="00C64232" w:rsidRDefault="00324FC5" w:rsidP="0072458C">
            <w:pPr>
              <w:spacing w:after="0" w:line="240" w:lineRule="auto"/>
              <w:ind w:left="231" w:right="60"/>
              <w:jc w:val="center"/>
              <w:rPr>
                <w:rFonts w:ascii="Times New Roman" w:eastAsia="Times New Roman" w:hAnsi="Times New Roman" w:cs="Times New Roman"/>
                <w:color w:val="000000"/>
                <w:sz w:val="20"/>
                <w:szCs w:val="20"/>
              </w:rPr>
            </w:pPr>
            <w:r>
              <w:rPr>
                <w:rFonts w:ascii="Times New Roman" w:hAnsi="Times New Roman"/>
                <w:color w:val="000000"/>
                <w:sz w:val="20"/>
              </w:rPr>
              <w:t>R$ 5,351,487.64</w:t>
            </w:r>
          </w:p>
        </w:tc>
        <w:tc>
          <w:tcPr>
            <w:tcW w:w="177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5572961" w14:textId="77777777" w:rsidR="00324FC5" w:rsidRPr="00C64232" w:rsidRDefault="00324FC5" w:rsidP="00901534">
            <w:pPr>
              <w:spacing w:after="0" w:line="240" w:lineRule="auto"/>
              <w:ind w:left="79" w:right="60"/>
              <w:jc w:val="center"/>
              <w:rPr>
                <w:rFonts w:ascii="Times New Roman" w:eastAsia="Times New Roman" w:hAnsi="Times New Roman" w:cs="Times New Roman"/>
                <w:color w:val="000000"/>
                <w:sz w:val="20"/>
                <w:szCs w:val="20"/>
              </w:rPr>
            </w:pPr>
            <w:r>
              <w:rPr>
                <w:rFonts w:ascii="Times New Roman" w:hAnsi="Times New Roman"/>
                <w:color w:val="000000"/>
                <w:sz w:val="20"/>
              </w:rPr>
              <w:t>R$ 12,574,930.45</w:t>
            </w:r>
          </w:p>
        </w:tc>
      </w:tr>
    </w:tbl>
    <w:p w14:paraId="43F65521" w14:textId="77777777" w:rsidR="00324FC5" w:rsidRPr="00C64232" w:rsidRDefault="00324FC5" w:rsidP="00324FC5">
      <w:pPr>
        <w:spacing w:after="0" w:line="240" w:lineRule="auto"/>
        <w:ind w:left="567" w:right="60"/>
        <w:jc w:val="center"/>
        <w:rPr>
          <w:rFonts w:ascii="Times New Roman" w:eastAsia="Times New Roman" w:hAnsi="Times New Roman" w:cs="Times New Roman"/>
          <w:color w:val="000000"/>
          <w:sz w:val="20"/>
          <w:szCs w:val="20"/>
        </w:rPr>
      </w:pPr>
      <w:r>
        <w:rPr>
          <w:rFonts w:ascii="Times New Roman" w:hAnsi="Times New Roman"/>
          <w:color w:val="000000"/>
          <w:sz w:val="20"/>
        </w:rPr>
        <w:t>Source: Managing Treasure (TG), which contemplates the amounts implemented in the Integrated System of Federal Government Financial Administration - SIAFI.</w:t>
      </w:r>
    </w:p>
    <w:p w14:paraId="428AF9FE" w14:textId="0BB5FB81" w:rsidR="000F6BC3" w:rsidRDefault="00324FC5" w:rsidP="00637A12">
      <w:pPr>
        <w:spacing w:after="0" w:line="240" w:lineRule="auto"/>
        <w:ind w:left="567" w:right="60"/>
        <w:jc w:val="center"/>
        <w:rPr>
          <w:rFonts w:ascii="Times New Roman" w:hAnsi="Times New Roman" w:cs="Times New Roman"/>
        </w:rPr>
      </w:pPr>
      <w:r>
        <w:rPr>
          <w:rFonts w:ascii="Times New Roman" w:hAnsi="Times New Roman"/>
          <w:color w:val="000000"/>
          <w:sz w:val="20"/>
        </w:rPr>
        <w:t> </w:t>
      </w:r>
    </w:p>
    <w:p w14:paraId="28870C81" w14:textId="2E408CB4" w:rsidR="000F6BC3" w:rsidRDefault="000F6BC3">
      <w:pPr>
        <w:rPr>
          <w:rFonts w:ascii="Times New Roman" w:hAnsi="Times New Roman" w:cs="Times New Roman"/>
        </w:rPr>
      </w:pPr>
    </w:p>
    <w:p w14:paraId="7D62B260" w14:textId="1E6E8B16" w:rsidR="00A56074" w:rsidRDefault="00A56074">
      <w:pPr>
        <w:rPr>
          <w:rFonts w:ascii="Times New Roman" w:hAnsi="Times New Roman" w:cs="Times New Roman"/>
        </w:rPr>
      </w:pPr>
    </w:p>
    <w:p w14:paraId="11DA9087" w14:textId="77777777" w:rsidR="00330CD9" w:rsidRDefault="00330CD9">
      <w:pPr>
        <w:rPr>
          <w:rFonts w:ascii="Times New Roman" w:hAnsi="Times New Roman" w:cs="Times New Roman"/>
        </w:rPr>
      </w:pPr>
    </w:p>
    <w:p w14:paraId="3DBCF178" w14:textId="77777777" w:rsidR="00330CD9" w:rsidRPr="00C64232" w:rsidRDefault="00330CD9">
      <w:pPr>
        <w:rPr>
          <w:rFonts w:ascii="Times New Roman" w:hAnsi="Times New Roman" w:cs="Times New Roman"/>
        </w:rPr>
      </w:pPr>
    </w:p>
    <w:p w14:paraId="11642D29" w14:textId="1380A40D" w:rsidR="00CD18E6" w:rsidRPr="006B0774" w:rsidRDefault="00CD18E6">
      <w:pPr>
        <w:rPr>
          <w:rFonts w:ascii="Times New Roman" w:hAnsi="Times New Roman" w:cs="Times New Roman"/>
          <w:b/>
          <w:bCs/>
        </w:rPr>
      </w:pPr>
      <w:r>
        <w:rPr>
          <w:rFonts w:ascii="Times New Roman" w:hAnsi="Times New Roman"/>
          <w:b/>
        </w:rPr>
        <w:t xml:space="preserve">Question 30 - Resources allocated to FUNAI to the Federal Budget </w:t>
      </w:r>
    </w:p>
    <w:tbl>
      <w:tblPr>
        <w:tblStyle w:val="Tabelacomgrade"/>
        <w:tblW w:w="11538" w:type="dxa"/>
        <w:tblInd w:w="-1565" w:type="dxa"/>
        <w:tblLook w:val="04A0" w:firstRow="1" w:lastRow="0" w:firstColumn="1" w:lastColumn="0" w:noHBand="0" w:noVBand="1"/>
      </w:tblPr>
      <w:tblGrid>
        <w:gridCol w:w="878"/>
        <w:gridCol w:w="1042"/>
        <w:gridCol w:w="971"/>
        <w:gridCol w:w="971"/>
        <w:gridCol w:w="971"/>
        <w:gridCol w:w="971"/>
        <w:gridCol w:w="971"/>
        <w:gridCol w:w="971"/>
        <w:gridCol w:w="971"/>
        <w:gridCol w:w="971"/>
        <w:gridCol w:w="971"/>
        <w:gridCol w:w="879"/>
      </w:tblGrid>
      <w:tr w:rsidR="000F6BC3" w:rsidRPr="006B0774" w14:paraId="06306089" w14:textId="77777777" w:rsidTr="00330CD9">
        <w:trPr>
          <w:trHeight w:val="84"/>
        </w:trPr>
        <w:tc>
          <w:tcPr>
            <w:tcW w:w="11538" w:type="dxa"/>
            <w:gridSpan w:val="12"/>
            <w:shd w:val="clear" w:color="auto" w:fill="F2F2F2" w:themeFill="background1" w:themeFillShade="F2"/>
          </w:tcPr>
          <w:p w14:paraId="0C5DD13A" w14:textId="4826DA2F" w:rsidR="000F6BC3" w:rsidRPr="006B0774" w:rsidRDefault="00637A12">
            <w:pPr>
              <w:rPr>
                <w:rFonts w:ascii="Times New Roman" w:hAnsi="Times New Roman" w:cs="Times New Roman"/>
                <w:sz w:val="16"/>
                <w:szCs w:val="16"/>
              </w:rPr>
            </w:pPr>
            <w:r>
              <w:rPr>
                <w:rFonts w:ascii="Times New Roman" w:hAnsi="Times New Roman"/>
                <w:sz w:val="16"/>
              </w:rPr>
              <w:lastRenderedPageBreak/>
              <w:t>Excludes Contingency Budget - Amounts in Million R$</w:t>
            </w:r>
          </w:p>
        </w:tc>
      </w:tr>
      <w:tr w:rsidR="00637A12" w:rsidRPr="006B0774" w14:paraId="217255B9" w14:textId="77777777" w:rsidTr="00330CD9">
        <w:trPr>
          <w:trHeight w:val="256"/>
        </w:trPr>
        <w:tc>
          <w:tcPr>
            <w:tcW w:w="878" w:type="dxa"/>
            <w:shd w:val="clear" w:color="auto" w:fill="C5E0B3" w:themeFill="accent6" w:themeFillTint="66"/>
          </w:tcPr>
          <w:p w14:paraId="3A9218A0" w14:textId="031EF061" w:rsidR="00ED0558" w:rsidRPr="006B0774" w:rsidRDefault="00ED0558">
            <w:pPr>
              <w:rPr>
                <w:rFonts w:ascii="Times New Roman" w:hAnsi="Times New Roman" w:cs="Times New Roman"/>
                <w:sz w:val="16"/>
                <w:szCs w:val="16"/>
              </w:rPr>
            </w:pPr>
            <w:r>
              <w:rPr>
                <w:rFonts w:ascii="Times New Roman" w:hAnsi="Times New Roman"/>
                <w:sz w:val="16"/>
              </w:rPr>
              <w:t>Entity</w:t>
            </w:r>
          </w:p>
        </w:tc>
        <w:tc>
          <w:tcPr>
            <w:tcW w:w="1042" w:type="dxa"/>
            <w:shd w:val="clear" w:color="auto" w:fill="C5E0B3" w:themeFill="accent6" w:themeFillTint="66"/>
          </w:tcPr>
          <w:p w14:paraId="3BF8B5D0" w14:textId="77777777" w:rsidR="00ED0558" w:rsidRPr="006B0774" w:rsidRDefault="00ED0558">
            <w:pPr>
              <w:rPr>
                <w:rFonts w:ascii="Times New Roman" w:hAnsi="Times New Roman" w:cs="Times New Roman"/>
                <w:sz w:val="16"/>
                <w:szCs w:val="16"/>
              </w:rPr>
            </w:pPr>
            <w:r>
              <w:rPr>
                <w:rFonts w:ascii="Times New Roman" w:hAnsi="Times New Roman"/>
                <w:sz w:val="16"/>
              </w:rPr>
              <w:t>Budgetary  Unit</w:t>
            </w:r>
          </w:p>
          <w:p w14:paraId="11C77D22" w14:textId="083D8A8B" w:rsidR="00ED0558" w:rsidRPr="006B0774" w:rsidRDefault="00ED0558">
            <w:pPr>
              <w:rPr>
                <w:rFonts w:ascii="Times New Roman" w:hAnsi="Times New Roman" w:cs="Times New Roman"/>
                <w:sz w:val="16"/>
                <w:szCs w:val="16"/>
              </w:rPr>
            </w:pPr>
          </w:p>
        </w:tc>
        <w:tc>
          <w:tcPr>
            <w:tcW w:w="971" w:type="dxa"/>
            <w:shd w:val="clear" w:color="auto" w:fill="E2EFD9" w:themeFill="accent6" w:themeFillTint="33"/>
          </w:tcPr>
          <w:p w14:paraId="2D182E03" w14:textId="4D9DFC46" w:rsidR="00ED0558" w:rsidRPr="006B0774" w:rsidRDefault="00ED0558">
            <w:pPr>
              <w:rPr>
                <w:rFonts w:ascii="Times New Roman" w:hAnsi="Times New Roman" w:cs="Times New Roman"/>
                <w:sz w:val="16"/>
                <w:szCs w:val="16"/>
              </w:rPr>
            </w:pPr>
            <w:r>
              <w:rPr>
                <w:rFonts w:ascii="Times New Roman" w:hAnsi="Times New Roman"/>
                <w:sz w:val="16"/>
              </w:rPr>
              <w:t>Allocated 2012</w:t>
            </w:r>
          </w:p>
        </w:tc>
        <w:tc>
          <w:tcPr>
            <w:tcW w:w="971" w:type="dxa"/>
            <w:shd w:val="clear" w:color="auto" w:fill="E2EFD9" w:themeFill="accent6" w:themeFillTint="33"/>
          </w:tcPr>
          <w:p w14:paraId="6C249458" w14:textId="77777777" w:rsidR="00ED0558" w:rsidRPr="006B0774" w:rsidRDefault="00ED0558">
            <w:pPr>
              <w:rPr>
                <w:rFonts w:ascii="Times New Roman" w:hAnsi="Times New Roman" w:cs="Times New Roman"/>
                <w:sz w:val="16"/>
                <w:szCs w:val="16"/>
              </w:rPr>
            </w:pPr>
            <w:r>
              <w:rPr>
                <w:rFonts w:ascii="Times New Roman" w:hAnsi="Times New Roman"/>
                <w:sz w:val="16"/>
              </w:rPr>
              <w:t>Allocated</w:t>
            </w:r>
          </w:p>
          <w:p w14:paraId="7C729DC9" w14:textId="4EA52AE4" w:rsidR="00ED0558" w:rsidRPr="006B0774" w:rsidRDefault="00ED0558">
            <w:pPr>
              <w:rPr>
                <w:rFonts w:ascii="Times New Roman" w:hAnsi="Times New Roman" w:cs="Times New Roman"/>
                <w:sz w:val="16"/>
                <w:szCs w:val="16"/>
              </w:rPr>
            </w:pPr>
            <w:r>
              <w:rPr>
                <w:rFonts w:ascii="Times New Roman" w:hAnsi="Times New Roman"/>
                <w:sz w:val="16"/>
              </w:rPr>
              <w:t>2013</w:t>
            </w:r>
          </w:p>
        </w:tc>
        <w:tc>
          <w:tcPr>
            <w:tcW w:w="971" w:type="dxa"/>
            <w:shd w:val="clear" w:color="auto" w:fill="E2EFD9" w:themeFill="accent6" w:themeFillTint="33"/>
          </w:tcPr>
          <w:p w14:paraId="5C7D7324" w14:textId="4CB5F607" w:rsidR="00ED0558" w:rsidRPr="006B0774" w:rsidRDefault="00ED0558">
            <w:pPr>
              <w:rPr>
                <w:rFonts w:ascii="Times New Roman" w:hAnsi="Times New Roman" w:cs="Times New Roman"/>
                <w:sz w:val="16"/>
                <w:szCs w:val="16"/>
              </w:rPr>
            </w:pPr>
            <w:r>
              <w:rPr>
                <w:rFonts w:ascii="Times New Roman" w:hAnsi="Times New Roman"/>
                <w:sz w:val="16"/>
              </w:rPr>
              <w:t>Allocated</w:t>
            </w:r>
          </w:p>
          <w:p w14:paraId="13A9E676" w14:textId="739153C3" w:rsidR="00ED0558" w:rsidRPr="006B0774" w:rsidRDefault="00ED0558">
            <w:pPr>
              <w:rPr>
                <w:rFonts w:ascii="Times New Roman" w:hAnsi="Times New Roman" w:cs="Times New Roman"/>
                <w:sz w:val="16"/>
                <w:szCs w:val="16"/>
              </w:rPr>
            </w:pPr>
            <w:r>
              <w:rPr>
                <w:rFonts w:ascii="Times New Roman" w:hAnsi="Times New Roman"/>
                <w:sz w:val="16"/>
              </w:rPr>
              <w:t>2014</w:t>
            </w:r>
          </w:p>
        </w:tc>
        <w:tc>
          <w:tcPr>
            <w:tcW w:w="971" w:type="dxa"/>
            <w:shd w:val="clear" w:color="auto" w:fill="E2EFD9" w:themeFill="accent6" w:themeFillTint="33"/>
          </w:tcPr>
          <w:p w14:paraId="2850D6B7" w14:textId="77777777" w:rsidR="00ED0558" w:rsidRPr="006B0774" w:rsidRDefault="00ED0558">
            <w:pPr>
              <w:rPr>
                <w:rFonts w:ascii="Times New Roman" w:hAnsi="Times New Roman" w:cs="Times New Roman"/>
                <w:sz w:val="16"/>
                <w:szCs w:val="16"/>
              </w:rPr>
            </w:pPr>
            <w:r>
              <w:rPr>
                <w:rFonts w:ascii="Times New Roman" w:hAnsi="Times New Roman"/>
                <w:sz w:val="16"/>
              </w:rPr>
              <w:t xml:space="preserve">Allocated </w:t>
            </w:r>
          </w:p>
          <w:p w14:paraId="77FAE746" w14:textId="71DB142B" w:rsidR="00ED0558" w:rsidRPr="006B0774" w:rsidRDefault="00ED0558">
            <w:pPr>
              <w:rPr>
                <w:rFonts w:ascii="Times New Roman" w:hAnsi="Times New Roman" w:cs="Times New Roman"/>
                <w:sz w:val="16"/>
                <w:szCs w:val="16"/>
              </w:rPr>
            </w:pPr>
            <w:r>
              <w:rPr>
                <w:rFonts w:ascii="Times New Roman" w:hAnsi="Times New Roman"/>
                <w:sz w:val="16"/>
              </w:rPr>
              <w:t>2015</w:t>
            </w:r>
          </w:p>
        </w:tc>
        <w:tc>
          <w:tcPr>
            <w:tcW w:w="971" w:type="dxa"/>
            <w:shd w:val="clear" w:color="auto" w:fill="E2EFD9" w:themeFill="accent6" w:themeFillTint="33"/>
          </w:tcPr>
          <w:p w14:paraId="49532155" w14:textId="77777777" w:rsidR="00ED0558" w:rsidRPr="006B0774" w:rsidRDefault="00ED0558">
            <w:pPr>
              <w:rPr>
                <w:rFonts w:ascii="Times New Roman" w:hAnsi="Times New Roman" w:cs="Times New Roman"/>
                <w:sz w:val="16"/>
                <w:szCs w:val="16"/>
              </w:rPr>
            </w:pPr>
            <w:r>
              <w:rPr>
                <w:rFonts w:ascii="Times New Roman" w:hAnsi="Times New Roman"/>
                <w:sz w:val="16"/>
              </w:rPr>
              <w:t>Allocated</w:t>
            </w:r>
          </w:p>
          <w:p w14:paraId="6F876149" w14:textId="065FD3B6" w:rsidR="00ED0558" w:rsidRPr="006B0774" w:rsidRDefault="00ED0558">
            <w:pPr>
              <w:rPr>
                <w:rFonts w:ascii="Times New Roman" w:hAnsi="Times New Roman" w:cs="Times New Roman"/>
                <w:sz w:val="16"/>
                <w:szCs w:val="16"/>
              </w:rPr>
            </w:pPr>
            <w:r>
              <w:rPr>
                <w:rFonts w:ascii="Times New Roman" w:hAnsi="Times New Roman"/>
                <w:sz w:val="16"/>
              </w:rPr>
              <w:t>2016</w:t>
            </w:r>
          </w:p>
        </w:tc>
        <w:tc>
          <w:tcPr>
            <w:tcW w:w="971" w:type="dxa"/>
            <w:shd w:val="clear" w:color="auto" w:fill="E2EFD9" w:themeFill="accent6" w:themeFillTint="33"/>
          </w:tcPr>
          <w:p w14:paraId="0AC43588" w14:textId="77777777" w:rsidR="00ED0558" w:rsidRPr="006B0774" w:rsidRDefault="00ED0558">
            <w:pPr>
              <w:rPr>
                <w:rFonts w:ascii="Times New Roman" w:hAnsi="Times New Roman" w:cs="Times New Roman"/>
                <w:sz w:val="16"/>
                <w:szCs w:val="16"/>
              </w:rPr>
            </w:pPr>
            <w:r>
              <w:rPr>
                <w:rFonts w:ascii="Times New Roman" w:hAnsi="Times New Roman"/>
                <w:sz w:val="16"/>
              </w:rPr>
              <w:t xml:space="preserve">Allocated </w:t>
            </w:r>
          </w:p>
          <w:p w14:paraId="15109CFF" w14:textId="19E13D6B" w:rsidR="00ED0558" w:rsidRPr="006B0774" w:rsidRDefault="00ED0558">
            <w:pPr>
              <w:rPr>
                <w:rFonts w:ascii="Times New Roman" w:hAnsi="Times New Roman" w:cs="Times New Roman"/>
                <w:sz w:val="16"/>
                <w:szCs w:val="16"/>
              </w:rPr>
            </w:pPr>
            <w:r>
              <w:rPr>
                <w:rFonts w:ascii="Times New Roman" w:hAnsi="Times New Roman"/>
                <w:sz w:val="16"/>
              </w:rPr>
              <w:t>2017</w:t>
            </w:r>
          </w:p>
        </w:tc>
        <w:tc>
          <w:tcPr>
            <w:tcW w:w="971" w:type="dxa"/>
            <w:shd w:val="clear" w:color="auto" w:fill="E2EFD9" w:themeFill="accent6" w:themeFillTint="33"/>
          </w:tcPr>
          <w:p w14:paraId="6535628B" w14:textId="77777777" w:rsidR="00ED0558" w:rsidRPr="006B0774" w:rsidRDefault="00ED0558">
            <w:pPr>
              <w:rPr>
                <w:rFonts w:ascii="Times New Roman" w:hAnsi="Times New Roman" w:cs="Times New Roman"/>
                <w:sz w:val="16"/>
                <w:szCs w:val="16"/>
              </w:rPr>
            </w:pPr>
            <w:r>
              <w:rPr>
                <w:rFonts w:ascii="Times New Roman" w:hAnsi="Times New Roman"/>
                <w:sz w:val="16"/>
              </w:rPr>
              <w:t>Allocated</w:t>
            </w:r>
          </w:p>
          <w:p w14:paraId="41976585" w14:textId="590406B3" w:rsidR="00ED0558" w:rsidRPr="006B0774" w:rsidRDefault="00ED0558">
            <w:pPr>
              <w:rPr>
                <w:rFonts w:ascii="Times New Roman" w:hAnsi="Times New Roman" w:cs="Times New Roman"/>
                <w:sz w:val="16"/>
                <w:szCs w:val="16"/>
              </w:rPr>
            </w:pPr>
            <w:r>
              <w:rPr>
                <w:rFonts w:ascii="Times New Roman" w:hAnsi="Times New Roman"/>
                <w:sz w:val="16"/>
              </w:rPr>
              <w:t>2018</w:t>
            </w:r>
          </w:p>
        </w:tc>
        <w:tc>
          <w:tcPr>
            <w:tcW w:w="971" w:type="dxa"/>
            <w:shd w:val="clear" w:color="auto" w:fill="E2EFD9" w:themeFill="accent6" w:themeFillTint="33"/>
          </w:tcPr>
          <w:p w14:paraId="58CC7BC0" w14:textId="77777777" w:rsidR="00ED0558" w:rsidRPr="006B0774" w:rsidRDefault="00ED0558">
            <w:pPr>
              <w:rPr>
                <w:rFonts w:ascii="Times New Roman" w:hAnsi="Times New Roman" w:cs="Times New Roman"/>
                <w:sz w:val="16"/>
                <w:szCs w:val="16"/>
              </w:rPr>
            </w:pPr>
            <w:r>
              <w:rPr>
                <w:rFonts w:ascii="Times New Roman" w:hAnsi="Times New Roman"/>
                <w:sz w:val="16"/>
              </w:rPr>
              <w:t>Allocated</w:t>
            </w:r>
          </w:p>
          <w:p w14:paraId="5DEBFBD9" w14:textId="0900444C" w:rsidR="00ED0558" w:rsidRPr="006B0774" w:rsidRDefault="00ED0558">
            <w:pPr>
              <w:rPr>
                <w:rFonts w:ascii="Times New Roman" w:hAnsi="Times New Roman" w:cs="Times New Roman"/>
                <w:sz w:val="16"/>
                <w:szCs w:val="16"/>
              </w:rPr>
            </w:pPr>
            <w:r>
              <w:rPr>
                <w:rFonts w:ascii="Times New Roman" w:hAnsi="Times New Roman"/>
                <w:sz w:val="16"/>
              </w:rPr>
              <w:t>2019</w:t>
            </w:r>
          </w:p>
        </w:tc>
        <w:tc>
          <w:tcPr>
            <w:tcW w:w="971" w:type="dxa"/>
            <w:shd w:val="clear" w:color="auto" w:fill="E2EFD9" w:themeFill="accent6" w:themeFillTint="33"/>
          </w:tcPr>
          <w:p w14:paraId="388696DC" w14:textId="77777777" w:rsidR="00ED0558" w:rsidRPr="006B0774" w:rsidRDefault="00ED0558">
            <w:pPr>
              <w:rPr>
                <w:rFonts w:ascii="Times New Roman" w:hAnsi="Times New Roman" w:cs="Times New Roman"/>
                <w:sz w:val="16"/>
                <w:szCs w:val="16"/>
              </w:rPr>
            </w:pPr>
            <w:r>
              <w:rPr>
                <w:rFonts w:ascii="Times New Roman" w:hAnsi="Times New Roman"/>
                <w:sz w:val="16"/>
              </w:rPr>
              <w:t xml:space="preserve">Allocated </w:t>
            </w:r>
          </w:p>
          <w:p w14:paraId="37AC2D46" w14:textId="03F42751" w:rsidR="00ED0558" w:rsidRPr="006B0774" w:rsidRDefault="00ED0558">
            <w:pPr>
              <w:rPr>
                <w:rFonts w:ascii="Times New Roman" w:hAnsi="Times New Roman" w:cs="Times New Roman"/>
                <w:sz w:val="16"/>
                <w:szCs w:val="16"/>
              </w:rPr>
            </w:pPr>
            <w:r>
              <w:rPr>
                <w:rFonts w:ascii="Times New Roman" w:hAnsi="Times New Roman"/>
                <w:sz w:val="16"/>
              </w:rPr>
              <w:t>2020</w:t>
            </w:r>
          </w:p>
        </w:tc>
        <w:tc>
          <w:tcPr>
            <w:tcW w:w="874" w:type="dxa"/>
            <w:shd w:val="clear" w:color="auto" w:fill="E2EFD9" w:themeFill="accent6" w:themeFillTint="33"/>
          </w:tcPr>
          <w:p w14:paraId="04C033F4" w14:textId="77777777" w:rsidR="00ED0558" w:rsidRPr="006B0774" w:rsidRDefault="00ED0558">
            <w:pPr>
              <w:rPr>
                <w:rFonts w:ascii="Times New Roman" w:hAnsi="Times New Roman" w:cs="Times New Roman"/>
                <w:sz w:val="16"/>
                <w:szCs w:val="16"/>
              </w:rPr>
            </w:pPr>
            <w:r>
              <w:rPr>
                <w:rFonts w:ascii="Times New Roman" w:hAnsi="Times New Roman"/>
                <w:sz w:val="16"/>
              </w:rPr>
              <w:t>Allocated</w:t>
            </w:r>
          </w:p>
          <w:p w14:paraId="6351A4BA" w14:textId="3609F5F4" w:rsidR="00ED0558" w:rsidRPr="006B0774" w:rsidRDefault="00ED0558">
            <w:pPr>
              <w:rPr>
                <w:rFonts w:ascii="Times New Roman" w:hAnsi="Times New Roman" w:cs="Times New Roman"/>
                <w:sz w:val="16"/>
                <w:szCs w:val="16"/>
              </w:rPr>
            </w:pPr>
            <w:r>
              <w:rPr>
                <w:rFonts w:ascii="Times New Roman" w:hAnsi="Times New Roman"/>
                <w:sz w:val="16"/>
              </w:rPr>
              <w:t>2021</w:t>
            </w:r>
          </w:p>
        </w:tc>
      </w:tr>
      <w:tr w:rsidR="00637A12" w:rsidRPr="006B0774" w14:paraId="1BD64EAC" w14:textId="77777777" w:rsidTr="00330CD9">
        <w:trPr>
          <w:trHeight w:val="194"/>
        </w:trPr>
        <w:tc>
          <w:tcPr>
            <w:tcW w:w="1920" w:type="dxa"/>
            <w:gridSpan w:val="2"/>
            <w:shd w:val="clear" w:color="auto" w:fill="C5E0B3" w:themeFill="accent6" w:themeFillTint="66"/>
            <w:vAlign w:val="center"/>
          </w:tcPr>
          <w:p w14:paraId="13D0914B" w14:textId="259602D3" w:rsidR="00ED0558" w:rsidRPr="006B0774" w:rsidRDefault="00ED0558" w:rsidP="00ED0558">
            <w:pPr>
              <w:jc w:val="center"/>
              <w:rPr>
                <w:rFonts w:ascii="Times New Roman" w:hAnsi="Times New Roman" w:cs="Times New Roman"/>
                <w:sz w:val="16"/>
                <w:szCs w:val="16"/>
              </w:rPr>
            </w:pPr>
            <w:r>
              <w:rPr>
                <w:rFonts w:ascii="Times New Roman" w:hAnsi="Times New Roman"/>
                <w:sz w:val="16"/>
              </w:rPr>
              <w:t>OVERAL TOTAL</w:t>
            </w:r>
          </w:p>
        </w:tc>
        <w:tc>
          <w:tcPr>
            <w:tcW w:w="971" w:type="dxa"/>
            <w:shd w:val="clear" w:color="auto" w:fill="C5E0B3" w:themeFill="accent6" w:themeFillTint="66"/>
          </w:tcPr>
          <w:p w14:paraId="4362B733" w14:textId="24F42CC8" w:rsidR="00ED0558" w:rsidRPr="006B0774" w:rsidRDefault="000F6BC3">
            <w:pPr>
              <w:rPr>
                <w:rFonts w:ascii="Times New Roman" w:hAnsi="Times New Roman" w:cs="Times New Roman"/>
                <w:sz w:val="16"/>
                <w:szCs w:val="16"/>
              </w:rPr>
            </w:pPr>
            <w:r>
              <w:rPr>
                <w:rFonts w:ascii="Times New Roman" w:hAnsi="Times New Roman"/>
                <w:sz w:val="16"/>
              </w:rPr>
              <w:t>503.6</w:t>
            </w:r>
          </w:p>
        </w:tc>
        <w:tc>
          <w:tcPr>
            <w:tcW w:w="971" w:type="dxa"/>
            <w:shd w:val="clear" w:color="auto" w:fill="C5E0B3" w:themeFill="accent6" w:themeFillTint="66"/>
          </w:tcPr>
          <w:p w14:paraId="59118F80" w14:textId="2B64A51D" w:rsidR="00ED0558" w:rsidRPr="006B0774" w:rsidRDefault="000F6BC3">
            <w:pPr>
              <w:rPr>
                <w:rFonts w:ascii="Times New Roman" w:hAnsi="Times New Roman" w:cs="Times New Roman"/>
                <w:sz w:val="16"/>
                <w:szCs w:val="16"/>
              </w:rPr>
            </w:pPr>
            <w:r>
              <w:rPr>
                <w:rFonts w:ascii="Times New Roman" w:hAnsi="Times New Roman"/>
                <w:sz w:val="16"/>
              </w:rPr>
              <w:t>569.7</w:t>
            </w:r>
          </w:p>
        </w:tc>
        <w:tc>
          <w:tcPr>
            <w:tcW w:w="971" w:type="dxa"/>
            <w:shd w:val="clear" w:color="auto" w:fill="C5E0B3" w:themeFill="accent6" w:themeFillTint="66"/>
          </w:tcPr>
          <w:p w14:paraId="3D1AE7E9" w14:textId="6E5F0493" w:rsidR="00ED0558" w:rsidRPr="006B0774" w:rsidRDefault="000F6BC3">
            <w:pPr>
              <w:rPr>
                <w:rFonts w:ascii="Times New Roman" w:hAnsi="Times New Roman" w:cs="Times New Roman"/>
                <w:sz w:val="16"/>
                <w:szCs w:val="16"/>
              </w:rPr>
            </w:pPr>
            <w:r>
              <w:rPr>
                <w:rFonts w:ascii="Times New Roman" w:hAnsi="Times New Roman"/>
                <w:sz w:val="16"/>
              </w:rPr>
              <w:t>540.7</w:t>
            </w:r>
          </w:p>
        </w:tc>
        <w:tc>
          <w:tcPr>
            <w:tcW w:w="971" w:type="dxa"/>
            <w:shd w:val="clear" w:color="auto" w:fill="C5E0B3" w:themeFill="accent6" w:themeFillTint="66"/>
          </w:tcPr>
          <w:p w14:paraId="4C3F9AF4" w14:textId="63739828" w:rsidR="00ED0558" w:rsidRPr="006B0774" w:rsidRDefault="000F6BC3">
            <w:pPr>
              <w:rPr>
                <w:rFonts w:ascii="Times New Roman" w:hAnsi="Times New Roman" w:cs="Times New Roman"/>
                <w:sz w:val="16"/>
                <w:szCs w:val="16"/>
              </w:rPr>
            </w:pPr>
            <w:r>
              <w:rPr>
                <w:rFonts w:ascii="Times New Roman" w:hAnsi="Times New Roman"/>
                <w:sz w:val="16"/>
              </w:rPr>
              <w:t>539.8</w:t>
            </w:r>
          </w:p>
        </w:tc>
        <w:tc>
          <w:tcPr>
            <w:tcW w:w="971" w:type="dxa"/>
            <w:shd w:val="clear" w:color="auto" w:fill="C5E0B3" w:themeFill="accent6" w:themeFillTint="66"/>
          </w:tcPr>
          <w:p w14:paraId="3F285D28" w14:textId="0153E02E" w:rsidR="00ED0558" w:rsidRPr="006B0774" w:rsidRDefault="000F6BC3">
            <w:pPr>
              <w:rPr>
                <w:rFonts w:ascii="Times New Roman" w:hAnsi="Times New Roman" w:cs="Times New Roman"/>
                <w:sz w:val="16"/>
                <w:szCs w:val="16"/>
              </w:rPr>
            </w:pPr>
            <w:r>
              <w:rPr>
                <w:rFonts w:ascii="Times New Roman" w:hAnsi="Times New Roman"/>
                <w:sz w:val="16"/>
              </w:rPr>
              <w:t>533.1</w:t>
            </w:r>
          </w:p>
        </w:tc>
        <w:tc>
          <w:tcPr>
            <w:tcW w:w="971" w:type="dxa"/>
            <w:shd w:val="clear" w:color="auto" w:fill="C5E0B3" w:themeFill="accent6" w:themeFillTint="66"/>
          </w:tcPr>
          <w:p w14:paraId="3D15419D" w14:textId="6F7357B0" w:rsidR="00ED0558" w:rsidRPr="006B0774" w:rsidRDefault="000F6BC3">
            <w:pPr>
              <w:rPr>
                <w:rFonts w:ascii="Times New Roman" w:hAnsi="Times New Roman" w:cs="Times New Roman"/>
                <w:sz w:val="16"/>
                <w:szCs w:val="16"/>
              </w:rPr>
            </w:pPr>
            <w:r>
              <w:rPr>
                <w:rFonts w:ascii="Times New Roman" w:hAnsi="Times New Roman"/>
                <w:sz w:val="16"/>
              </w:rPr>
              <w:t>542.7</w:t>
            </w:r>
          </w:p>
        </w:tc>
        <w:tc>
          <w:tcPr>
            <w:tcW w:w="971" w:type="dxa"/>
            <w:shd w:val="clear" w:color="auto" w:fill="C5E0B3" w:themeFill="accent6" w:themeFillTint="66"/>
          </w:tcPr>
          <w:p w14:paraId="74E3FC26" w14:textId="6779605C" w:rsidR="00ED0558" w:rsidRPr="006B0774" w:rsidRDefault="000F6BC3">
            <w:pPr>
              <w:rPr>
                <w:rFonts w:ascii="Times New Roman" w:hAnsi="Times New Roman" w:cs="Times New Roman"/>
                <w:sz w:val="16"/>
                <w:szCs w:val="16"/>
              </w:rPr>
            </w:pPr>
            <w:r>
              <w:rPr>
                <w:rFonts w:ascii="Times New Roman" w:hAnsi="Times New Roman"/>
                <w:sz w:val="16"/>
              </w:rPr>
              <w:t>666.0</w:t>
            </w:r>
          </w:p>
        </w:tc>
        <w:tc>
          <w:tcPr>
            <w:tcW w:w="971" w:type="dxa"/>
            <w:shd w:val="clear" w:color="auto" w:fill="C5E0B3" w:themeFill="accent6" w:themeFillTint="66"/>
          </w:tcPr>
          <w:p w14:paraId="768AFED8" w14:textId="7AAE4424" w:rsidR="00ED0558" w:rsidRPr="006B0774" w:rsidRDefault="000F6BC3">
            <w:pPr>
              <w:rPr>
                <w:rFonts w:ascii="Times New Roman" w:hAnsi="Times New Roman" w:cs="Times New Roman"/>
                <w:sz w:val="16"/>
                <w:szCs w:val="16"/>
              </w:rPr>
            </w:pPr>
            <w:r>
              <w:rPr>
                <w:rFonts w:ascii="Times New Roman" w:hAnsi="Times New Roman"/>
                <w:sz w:val="16"/>
              </w:rPr>
              <w:t>637.1</w:t>
            </w:r>
          </w:p>
        </w:tc>
        <w:tc>
          <w:tcPr>
            <w:tcW w:w="971" w:type="dxa"/>
            <w:shd w:val="clear" w:color="auto" w:fill="C5E0B3" w:themeFill="accent6" w:themeFillTint="66"/>
          </w:tcPr>
          <w:p w14:paraId="0A8A8B32" w14:textId="213CECBF" w:rsidR="00ED0558" w:rsidRPr="006B0774" w:rsidRDefault="000F6BC3">
            <w:pPr>
              <w:rPr>
                <w:rFonts w:ascii="Times New Roman" w:hAnsi="Times New Roman" w:cs="Times New Roman"/>
                <w:sz w:val="16"/>
                <w:szCs w:val="16"/>
              </w:rPr>
            </w:pPr>
            <w:r>
              <w:rPr>
                <w:rFonts w:ascii="Times New Roman" w:hAnsi="Times New Roman"/>
                <w:sz w:val="16"/>
              </w:rPr>
              <w:t>642.6</w:t>
            </w:r>
          </w:p>
        </w:tc>
        <w:tc>
          <w:tcPr>
            <w:tcW w:w="874" w:type="dxa"/>
            <w:shd w:val="clear" w:color="auto" w:fill="C5E0B3" w:themeFill="accent6" w:themeFillTint="66"/>
          </w:tcPr>
          <w:p w14:paraId="000AB178" w14:textId="5CE0CEEC" w:rsidR="00ED0558" w:rsidRPr="006B0774" w:rsidRDefault="000F6BC3">
            <w:pPr>
              <w:rPr>
                <w:rFonts w:ascii="Times New Roman" w:hAnsi="Times New Roman" w:cs="Times New Roman"/>
                <w:sz w:val="16"/>
                <w:szCs w:val="16"/>
              </w:rPr>
            </w:pPr>
            <w:r>
              <w:rPr>
                <w:rFonts w:ascii="Times New Roman" w:hAnsi="Times New Roman"/>
                <w:sz w:val="16"/>
              </w:rPr>
              <w:t>686.9</w:t>
            </w:r>
          </w:p>
        </w:tc>
      </w:tr>
      <w:tr w:rsidR="00637A12" w:rsidRPr="006B0774" w14:paraId="716C359F" w14:textId="77777777" w:rsidTr="00330CD9">
        <w:trPr>
          <w:trHeight w:val="388"/>
        </w:trPr>
        <w:tc>
          <w:tcPr>
            <w:tcW w:w="878" w:type="dxa"/>
            <w:vMerge w:val="restart"/>
            <w:shd w:val="clear" w:color="auto" w:fill="E2EFD9" w:themeFill="accent6" w:themeFillTint="33"/>
            <w:vAlign w:val="center"/>
          </w:tcPr>
          <w:p w14:paraId="7AE4AA23" w14:textId="77777777" w:rsidR="00D51ECD" w:rsidRPr="006B0774" w:rsidRDefault="00D51ECD" w:rsidP="00D51ECD">
            <w:pPr>
              <w:jc w:val="center"/>
              <w:rPr>
                <w:rFonts w:ascii="Times New Roman" w:hAnsi="Times New Roman" w:cs="Times New Roman"/>
              </w:rPr>
            </w:pPr>
            <w:r>
              <w:rPr>
                <w:rFonts w:ascii="Times New Roman" w:hAnsi="Times New Roman"/>
                <w:sz w:val="16"/>
              </w:rPr>
              <w:t>30000 – Ministry of Justice and Public Security</w:t>
            </w:r>
          </w:p>
          <w:p w14:paraId="0794EA30" w14:textId="77777777" w:rsidR="00D51ECD" w:rsidRPr="006B0774" w:rsidRDefault="00D51ECD" w:rsidP="00D51ECD">
            <w:pPr>
              <w:jc w:val="center"/>
              <w:rPr>
                <w:rFonts w:ascii="Times New Roman" w:hAnsi="Times New Roman" w:cs="Times New Roman"/>
                <w:sz w:val="16"/>
                <w:szCs w:val="16"/>
              </w:rPr>
            </w:pPr>
          </w:p>
        </w:tc>
        <w:tc>
          <w:tcPr>
            <w:tcW w:w="1042" w:type="dxa"/>
            <w:shd w:val="clear" w:color="auto" w:fill="C5E0B3" w:themeFill="accent6" w:themeFillTint="66"/>
          </w:tcPr>
          <w:p w14:paraId="76E8F4C6" w14:textId="4A30004A" w:rsidR="00D51ECD" w:rsidRPr="006B0774" w:rsidRDefault="00D51ECD">
            <w:pPr>
              <w:rPr>
                <w:rFonts w:ascii="Times New Roman" w:hAnsi="Times New Roman" w:cs="Times New Roman"/>
                <w:sz w:val="16"/>
                <w:szCs w:val="16"/>
              </w:rPr>
            </w:pPr>
            <w:r>
              <w:rPr>
                <w:rFonts w:ascii="Times New Roman" w:hAnsi="Times New Roman"/>
                <w:sz w:val="16"/>
              </w:rPr>
              <w:t>Total</w:t>
            </w:r>
          </w:p>
        </w:tc>
        <w:tc>
          <w:tcPr>
            <w:tcW w:w="971" w:type="dxa"/>
            <w:shd w:val="clear" w:color="auto" w:fill="C5E0B3" w:themeFill="accent6" w:themeFillTint="66"/>
          </w:tcPr>
          <w:p w14:paraId="620338C1" w14:textId="70A6EC38" w:rsidR="00D51ECD" w:rsidRPr="006B0774" w:rsidRDefault="000F6BC3">
            <w:pPr>
              <w:rPr>
                <w:rFonts w:ascii="Times New Roman" w:hAnsi="Times New Roman" w:cs="Times New Roman"/>
                <w:sz w:val="16"/>
                <w:szCs w:val="16"/>
              </w:rPr>
            </w:pPr>
            <w:r>
              <w:rPr>
                <w:rFonts w:ascii="Times New Roman" w:hAnsi="Times New Roman"/>
                <w:sz w:val="16"/>
              </w:rPr>
              <w:t>503.6</w:t>
            </w:r>
          </w:p>
        </w:tc>
        <w:tc>
          <w:tcPr>
            <w:tcW w:w="971" w:type="dxa"/>
            <w:shd w:val="clear" w:color="auto" w:fill="C5E0B3" w:themeFill="accent6" w:themeFillTint="66"/>
          </w:tcPr>
          <w:p w14:paraId="51B2B774" w14:textId="16A0B672" w:rsidR="00D51ECD" w:rsidRPr="006B0774" w:rsidRDefault="000F6BC3">
            <w:pPr>
              <w:rPr>
                <w:rFonts w:ascii="Times New Roman" w:hAnsi="Times New Roman" w:cs="Times New Roman"/>
                <w:sz w:val="16"/>
                <w:szCs w:val="16"/>
              </w:rPr>
            </w:pPr>
            <w:r>
              <w:rPr>
                <w:rFonts w:ascii="Times New Roman" w:hAnsi="Times New Roman"/>
                <w:sz w:val="16"/>
              </w:rPr>
              <w:t>569.7</w:t>
            </w:r>
          </w:p>
        </w:tc>
        <w:tc>
          <w:tcPr>
            <w:tcW w:w="971" w:type="dxa"/>
            <w:shd w:val="clear" w:color="auto" w:fill="C5E0B3" w:themeFill="accent6" w:themeFillTint="66"/>
          </w:tcPr>
          <w:p w14:paraId="30A52273" w14:textId="2A9E2C10" w:rsidR="00D51ECD" w:rsidRPr="006B0774" w:rsidRDefault="000F6BC3">
            <w:pPr>
              <w:rPr>
                <w:rFonts w:ascii="Times New Roman" w:hAnsi="Times New Roman" w:cs="Times New Roman"/>
                <w:sz w:val="16"/>
                <w:szCs w:val="16"/>
              </w:rPr>
            </w:pPr>
            <w:r>
              <w:rPr>
                <w:rFonts w:ascii="Times New Roman" w:hAnsi="Times New Roman"/>
                <w:sz w:val="16"/>
              </w:rPr>
              <w:t>540.7</w:t>
            </w:r>
          </w:p>
        </w:tc>
        <w:tc>
          <w:tcPr>
            <w:tcW w:w="971" w:type="dxa"/>
            <w:shd w:val="clear" w:color="auto" w:fill="C5E0B3" w:themeFill="accent6" w:themeFillTint="66"/>
          </w:tcPr>
          <w:p w14:paraId="4A27638D" w14:textId="27117D15" w:rsidR="00D51ECD" w:rsidRPr="006B0774" w:rsidRDefault="000F6BC3">
            <w:pPr>
              <w:rPr>
                <w:rFonts w:ascii="Times New Roman" w:hAnsi="Times New Roman" w:cs="Times New Roman"/>
                <w:sz w:val="16"/>
                <w:szCs w:val="16"/>
              </w:rPr>
            </w:pPr>
            <w:r>
              <w:rPr>
                <w:rFonts w:ascii="Times New Roman" w:hAnsi="Times New Roman"/>
                <w:sz w:val="16"/>
              </w:rPr>
              <w:t>539.8</w:t>
            </w:r>
          </w:p>
        </w:tc>
        <w:tc>
          <w:tcPr>
            <w:tcW w:w="971" w:type="dxa"/>
            <w:shd w:val="clear" w:color="auto" w:fill="C5E0B3" w:themeFill="accent6" w:themeFillTint="66"/>
          </w:tcPr>
          <w:p w14:paraId="642306E4" w14:textId="7613618C" w:rsidR="00D51ECD" w:rsidRPr="006B0774" w:rsidRDefault="000F6BC3">
            <w:pPr>
              <w:rPr>
                <w:rFonts w:ascii="Times New Roman" w:hAnsi="Times New Roman" w:cs="Times New Roman"/>
                <w:sz w:val="16"/>
                <w:szCs w:val="16"/>
              </w:rPr>
            </w:pPr>
            <w:r>
              <w:rPr>
                <w:rFonts w:ascii="Times New Roman" w:hAnsi="Times New Roman"/>
                <w:sz w:val="16"/>
              </w:rPr>
              <w:t>533.1</w:t>
            </w:r>
          </w:p>
        </w:tc>
        <w:tc>
          <w:tcPr>
            <w:tcW w:w="971" w:type="dxa"/>
            <w:shd w:val="clear" w:color="auto" w:fill="C5E0B3" w:themeFill="accent6" w:themeFillTint="66"/>
          </w:tcPr>
          <w:p w14:paraId="0080CC83" w14:textId="477F61E6" w:rsidR="00D51ECD" w:rsidRPr="006B0774" w:rsidRDefault="000F6BC3">
            <w:pPr>
              <w:rPr>
                <w:rFonts w:ascii="Times New Roman" w:hAnsi="Times New Roman" w:cs="Times New Roman"/>
                <w:sz w:val="16"/>
                <w:szCs w:val="16"/>
              </w:rPr>
            </w:pPr>
            <w:r>
              <w:rPr>
                <w:rFonts w:ascii="Times New Roman" w:hAnsi="Times New Roman"/>
                <w:sz w:val="16"/>
              </w:rPr>
              <w:t>542.7</w:t>
            </w:r>
          </w:p>
        </w:tc>
        <w:tc>
          <w:tcPr>
            <w:tcW w:w="971" w:type="dxa"/>
            <w:shd w:val="clear" w:color="auto" w:fill="C5E0B3" w:themeFill="accent6" w:themeFillTint="66"/>
          </w:tcPr>
          <w:p w14:paraId="5042C7A6" w14:textId="37FC3177" w:rsidR="00D51ECD" w:rsidRPr="006B0774" w:rsidRDefault="000F6BC3">
            <w:pPr>
              <w:rPr>
                <w:rFonts w:ascii="Times New Roman" w:hAnsi="Times New Roman" w:cs="Times New Roman"/>
                <w:sz w:val="16"/>
                <w:szCs w:val="16"/>
              </w:rPr>
            </w:pPr>
            <w:r>
              <w:rPr>
                <w:rFonts w:ascii="Times New Roman" w:hAnsi="Times New Roman"/>
                <w:sz w:val="16"/>
              </w:rPr>
              <w:t>666.0</w:t>
            </w:r>
          </w:p>
        </w:tc>
        <w:tc>
          <w:tcPr>
            <w:tcW w:w="971" w:type="dxa"/>
            <w:shd w:val="clear" w:color="auto" w:fill="C5E0B3" w:themeFill="accent6" w:themeFillTint="66"/>
          </w:tcPr>
          <w:p w14:paraId="6A653EFC" w14:textId="6C810BBE" w:rsidR="00D51ECD" w:rsidRPr="006B0774" w:rsidRDefault="000F6BC3">
            <w:pPr>
              <w:rPr>
                <w:rFonts w:ascii="Times New Roman" w:hAnsi="Times New Roman" w:cs="Times New Roman"/>
                <w:sz w:val="16"/>
                <w:szCs w:val="16"/>
              </w:rPr>
            </w:pPr>
            <w:r>
              <w:rPr>
                <w:rFonts w:ascii="Times New Roman" w:hAnsi="Times New Roman"/>
                <w:sz w:val="16"/>
              </w:rPr>
              <w:t>637.1</w:t>
            </w:r>
          </w:p>
        </w:tc>
        <w:tc>
          <w:tcPr>
            <w:tcW w:w="971" w:type="dxa"/>
            <w:shd w:val="clear" w:color="auto" w:fill="C5E0B3" w:themeFill="accent6" w:themeFillTint="66"/>
          </w:tcPr>
          <w:p w14:paraId="2ECC3D88" w14:textId="4C3F0B9A" w:rsidR="00D51ECD" w:rsidRPr="006B0774" w:rsidRDefault="000F6BC3">
            <w:pPr>
              <w:rPr>
                <w:rFonts w:ascii="Times New Roman" w:hAnsi="Times New Roman" w:cs="Times New Roman"/>
                <w:sz w:val="16"/>
                <w:szCs w:val="16"/>
              </w:rPr>
            </w:pPr>
            <w:r>
              <w:rPr>
                <w:rFonts w:ascii="Times New Roman" w:hAnsi="Times New Roman"/>
                <w:sz w:val="16"/>
              </w:rPr>
              <w:t>642.6</w:t>
            </w:r>
          </w:p>
        </w:tc>
        <w:tc>
          <w:tcPr>
            <w:tcW w:w="874" w:type="dxa"/>
            <w:shd w:val="clear" w:color="auto" w:fill="C5E0B3" w:themeFill="accent6" w:themeFillTint="66"/>
          </w:tcPr>
          <w:p w14:paraId="6C61690A" w14:textId="3BBC5D64" w:rsidR="00D51ECD" w:rsidRPr="006B0774" w:rsidRDefault="000F6BC3">
            <w:pPr>
              <w:rPr>
                <w:rFonts w:ascii="Times New Roman" w:hAnsi="Times New Roman" w:cs="Times New Roman"/>
                <w:sz w:val="16"/>
                <w:szCs w:val="16"/>
              </w:rPr>
            </w:pPr>
            <w:r>
              <w:rPr>
                <w:rFonts w:ascii="Times New Roman" w:hAnsi="Times New Roman"/>
                <w:sz w:val="16"/>
              </w:rPr>
              <w:t>686.9</w:t>
            </w:r>
          </w:p>
        </w:tc>
      </w:tr>
      <w:tr w:rsidR="00637A12" w:rsidRPr="006B0774" w14:paraId="34A0FD36" w14:textId="77777777" w:rsidTr="00330CD9">
        <w:trPr>
          <w:trHeight w:val="327"/>
        </w:trPr>
        <w:tc>
          <w:tcPr>
            <w:tcW w:w="878" w:type="dxa"/>
            <w:vMerge/>
            <w:shd w:val="clear" w:color="auto" w:fill="E2EFD9" w:themeFill="accent6" w:themeFillTint="33"/>
            <w:vAlign w:val="center"/>
          </w:tcPr>
          <w:p w14:paraId="2D007DB4" w14:textId="704449EB" w:rsidR="00D51ECD" w:rsidRPr="006B0774" w:rsidRDefault="00D51ECD" w:rsidP="00D51ECD">
            <w:pPr>
              <w:jc w:val="center"/>
              <w:rPr>
                <w:rFonts w:ascii="Times New Roman" w:hAnsi="Times New Roman" w:cs="Times New Roman"/>
                <w:sz w:val="16"/>
                <w:szCs w:val="16"/>
              </w:rPr>
            </w:pPr>
          </w:p>
        </w:tc>
        <w:tc>
          <w:tcPr>
            <w:tcW w:w="1042" w:type="dxa"/>
            <w:shd w:val="clear" w:color="auto" w:fill="E2EFD9" w:themeFill="accent6" w:themeFillTint="33"/>
          </w:tcPr>
          <w:p w14:paraId="06E31E90" w14:textId="0158287A" w:rsidR="00D51ECD" w:rsidRPr="006B0774" w:rsidRDefault="00D51ECD">
            <w:pPr>
              <w:rPr>
                <w:rFonts w:ascii="Times New Roman" w:hAnsi="Times New Roman" w:cs="Times New Roman"/>
                <w:sz w:val="16"/>
                <w:szCs w:val="16"/>
              </w:rPr>
            </w:pPr>
            <w:r>
              <w:rPr>
                <w:rFonts w:ascii="Times New Roman" w:hAnsi="Times New Roman"/>
                <w:sz w:val="16"/>
              </w:rPr>
              <w:t>30202 – National Indigenous Foundation- FUNAI</w:t>
            </w:r>
          </w:p>
        </w:tc>
        <w:tc>
          <w:tcPr>
            <w:tcW w:w="971" w:type="dxa"/>
            <w:shd w:val="clear" w:color="auto" w:fill="E2EFD9" w:themeFill="accent6" w:themeFillTint="33"/>
          </w:tcPr>
          <w:p w14:paraId="52182851" w14:textId="3B0F097D" w:rsidR="00D51ECD" w:rsidRPr="006B0774" w:rsidRDefault="000F6BC3">
            <w:pPr>
              <w:rPr>
                <w:rFonts w:ascii="Times New Roman" w:hAnsi="Times New Roman" w:cs="Times New Roman"/>
                <w:sz w:val="16"/>
                <w:szCs w:val="16"/>
              </w:rPr>
            </w:pPr>
            <w:r>
              <w:rPr>
                <w:rFonts w:ascii="Times New Roman" w:hAnsi="Times New Roman"/>
                <w:sz w:val="16"/>
              </w:rPr>
              <w:t>503.6</w:t>
            </w:r>
          </w:p>
        </w:tc>
        <w:tc>
          <w:tcPr>
            <w:tcW w:w="971" w:type="dxa"/>
            <w:shd w:val="clear" w:color="auto" w:fill="E2EFD9" w:themeFill="accent6" w:themeFillTint="33"/>
          </w:tcPr>
          <w:p w14:paraId="03CF9980" w14:textId="211FBA2B" w:rsidR="00D51ECD" w:rsidRPr="006B0774" w:rsidRDefault="000F6BC3">
            <w:pPr>
              <w:rPr>
                <w:rFonts w:ascii="Times New Roman" w:hAnsi="Times New Roman" w:cs="Times New Roman"/>
                <w:sz w:val="16"/>
                <w:szCs w:val="16"/>
              </w:rPr>
            </w:pPr>
            <w:r>
              <w:rPr>
                <w:rFonts w:ascii="Times New Roman" w:hAnsi="Times New Roman"/>
                <w:sz w:val="16"/>
              </w:rPr>
              <w:t>569.7</w:t>
            </w:r>
          </w:p>
        </w:tc>
        <w:tc>
          <w:tcPr>
            <w:tcW w:w="971" w:type="dxa"/>
            <w:shd w:val="clear" w:color="auto" w:fill="E2EFD9" w:themeFill="accent6" w:themeFillTint="33"/>
          </w:tcPr>
          <w:p w14:paraId="4E407075" w14:textId="57E06043" w:rsidR="00D51ECD" w:rsidRPr="006B0774" w:rsidRDefault="000F6BC3">
            <w:pPr>
              <w:rPr>
                <w:rFonts w:ascii="Times New Roman" w:hAnsi="Times New Roman" w:cs="Times New Roman"/>
                <w:sz w:val="16"/>
                <w:szCs w:val="16"/>
              </w:rPr>
            </w:pPr>
            <w:r>
              <w:rPr>
                <w:rFonts w:ascii="Times New Roman" w:hAnsi="Times New Roman"/>
                <w:sz w:val="16"/>
              </w:rPr>
              <w:t>540.7</w:t>
            </w:r>
          </w:p>
        </w:tc>
        <w:tc>
          <w:tcPr>
            <w:tcW w:w="971" w:type="dxa"/>
            <w:shd w:val="clear" w:color="auto" w:fill="E2EFD9" w:themeFill="accent6" w:themeFillTint="33"/>
          </w:tcPr>
          <w:p w14:paraId="192711BF" w14:textId="232894F3" w:rsidR="00D51ECD" w:rsidRPr="006B0774" w:rsidRDefault="000F6BC3">
            <w:pPr>
              <w:rPr>
                <w:rFonts w:ascii="Times New Roman" w:hAnsi="Times New Roman" w:cs="Times New Roman"/>
                <w:sz w:val="16"/>
                <w:szCs w:val="16"/>
              </w:rPr>
            </w:pPr>
            <w:r>
              <w:rPr>
                <w:rFonts w:ascii="Times New Roman" w:hAnsi="Times New Roman"/>
                <w:sz w:val="16"/>
              </w:rPr>
              <w:t>539.8</w:t>
            </w:r>
          </w:p>
        </w:tc>
        <w:tc>
          <w:tcPr>
            <w:tcW w:w="971" w:type="dxa"/>
            <w:shd w:val="clear" w:color="auto" w:fill="E2EFD9" w:themeFill="accent6" w:themeFillTint="33"/>
          </w:tcPr>
          <w:p w14:paraId="0AE08CAE" w14:textId="0F06F47C" w:rsidR="00D51ECD" w:rsidRPr="006B0774" w:rsidRDefault="000F6BC3">
            <w:pPr>
              <w:rPr>
                <w:rFonts w:ascii="Times New Roman" w:hAnsi="Times New Roman" w:cs="Times New Roman"/>
                <w:sz w:val="16"/>
                <w:szCs w:val="16"/>
              </w:rPr>
            </w:pPr>
            <w:r>
              <w:rPr>
                <w:rFonts w:ascii="Times New Roman" w:hAnsi="Times New Roman"/>
                <w:sz w:val="16"/>
              </w:rPr>
              <w:t>533.1</w:t>
            </w:r>
          </w:p>
        </w:tc>
        <w:tc>
          <w:tcPr>
            <w:tcW w:w="971" w:type="dxa"/>
            <w:shd w:val="clear" w:color="auto" w:fill="E2EFD9" w:themeFill="accent6" w:themeFillTint="33"/>
          </w:tcPr>
          <w:p w14:paraId="63819CD7" w14:textId="3A33AC92" w:rsidR="00D51ECD" w:rsidRPr="006B0774" w:rsidRDefault="000F6BC3">
            <w:pPr>
              <w:rPr>
                <w:rFonts w:ascii="Times New Roman" w:hAnsi="Times New Roman" w:cs="Times New Roman"/>
                <w:sz w:val="16"/>
                <w:szCs w:val="16"/>
              </w:rPr>
            </w:pPr>
            <w:r>
              <w:rPr>
                <w:rFonts w:ascii="Times New Roman" w:hAnsi="Times New Roman"/>
                <w:sz w:val="16"/>
              </w:rPr>
              <w:t>542.7</w:t>
            </w:r>
          </w:p>
        </w:tc>
        <w:tc>
          <w:tcPr>
            <w:tcW w:w="971" w:type="dxa"/>
            <w:shd w:val="clear" w:color="auto" w:fill="E2EFD9" w:themeFill="accent6" w:themeFillTint="33"/>
          </w:tcPr>
          <w:p w14:paraId="7E6AD5B1" w14:textId="6A178B5C" w:rsidR="00D51ECD" w:rsidRPr="006B0774" w:rsidRDefault="000F6BC3">
            <w:pPr>
              <w:rPr>
                <w:rFonts w:ascii="Times New Roman" w:hAnsi="Times New Roman" w:cs="Times New Roman"/>
                <w:sz w:val="16"/>
                <w:szCs w:val="16"/>
              </w:rPr>
            </w:pPr>
            <w:r>
              <w:rPr>
                <w:rFonts w:ascii="Times New Roman" w:hAnsi="Times New Roman"/>
                <w:sz w:val="16"/>
              </w:rPr>
              <w:t>666.0</w:t>
            </w:r>
          </w:p>
        </w:tc>
        <w:tc>
          <w:tcPr>
            <w:tcW w:w="971" w:type="dxa"/>
            <w:shd w:val="clear" w:color="auto" w:fill="E2EFD9" w:themeFill="accent6" w:themeFillTint="33"/>
          </w:tcPr>
          <w:p w14:paraId="6394F596" w14:textId="03305A8C" w:rsidR="00D51ECD" w:rsidRPr="006B0774" w:rsidRDefault="000F6BC3">
            <w:pPr>
              <w:rPr>
                <w:rFonts w:ascii="Times New Roman" w:hAnsi="Times New Roman" w:cs="Times New Roman"/>
                <w:sz w:val="16"/>
                <w:szCs w:val="16"/>
              </w:rPr>
            </w:pPr>
            <w:r>
              <w:rPr>
                <w:rFonts w:ascii="Times New Roman" w:hAnsi="Times New Roman"/>
                <w:sz w:val="16"/>
              </w:rPr>
              <w:t>637.1</w:t>
            </w:r>
          </w:p>
        </w:tc>
        <w:tc>
          <w:tcPr>
            <w:tcW w:w="971" w:type="dxa"/>
            <w:shd w:val="clear" w:color="auto" w:fill="E2EFD9" w:themeFill="accent6" w:themeFillTint="33"/>
          </w:tcPr>
          <w:p w14:paraId="649E794B" w14:textId="7EC2BB69" w:rsidR="00D51ECD" w:rsidRPr="006B0774" w:rsidRDefault="000F6BC3">
            <w:pPr>
              <w:rPr>
                <w:rFonts w:ascii="Times New Roman" w:hAnsi="Times New Roman" w:cs="Times New Roman"/>
                <w:sz w:val="16"/>
                <w:szCs w:val="16"/>
              </w:rPr>
            </w:pPr>
            <w:r>
              <w:rPr>
                <w:rFonts w:ascii="Times New Roman" w:hAnsi="Times New Roman"/>
                <w:sz w:val="16"/>
              </w:rPr>
              <w:t>642.6</w:t>
            </w:r>
          </w:p>
        </w:tc>
        <w:tc>
          <w:tcPr>
            <w:tcW w:w="874" w:type="dxa"/>
            <w:shd w:val="clear" w:color="auto" w:fill="E2EFD9" w:themeFill="accent6" w:themeFillTint="33"/>
          </w:tcPr>
          <w:p w14:paraId="2EA0317A" w14:textId="6E0C61D5" w:rsidR="00D51ECD" w:rsidRPr="006B0774" w:rsidRDefault="000F6BC3">
            <w:pPr>
              <w:rPr>
                <w:rFonts w:ascii="Times New Roman" w:hAnsi="Times New Roman" w:cs="Times New Roman"/>
                <w:sz w:val="16"/>
                <w:szCs w:val="16"/>
              </w:rPr>
            </w:pPr>
            <w:r>
              <w:rPr>
                <w:rFonts w:ascii="Times New Roman" w:hAnsi="Times New Roman"/>
                <w:sz w:val="16"/>
              </w:rPr>
              <w:t>686.9</w:t>
            </w:r>
          </w:p>
        </w:tc>
      </w:tr>
    </w:tbl>
    <w:p w14:paraId="7BA9FCAE" w14:textId="0E6F97CE" w:rsidR="00640FF9" w:rsidRPr="004D5561" w:rsidRDefault="004D5561" w:rsidP="00D36B88">
      <w:pPr>
        <w:spacing w:line="240" w:lineRule="auto"/>
        <w:ind w:left="-284" w:right="-568"/>
        <w:jc w:val="both"/>
        <w:rPr>
          <w:rFonts w:ascii="Times New Roman" w:hAnsi="Times New Roman" w:cs="Times New Roman"/>
          <w:sz w:val="20"/>
          <w:szCs w:val="20"/>
        </w:rPr>
      </w:pPr>
      <w:r>
        <w:rPr>
          <w:rFonts w:ascii="Times New Roman" w:hAnsi="Times New Roman"/>
          <w:sz w:val="20"/>
        </w:rPr>
        <w:t>Source:https://www1.siop.planejamento.gov.br/QvAJAXZfc/opendoc.htm?document=IAS%2FExecucao_Orcamentaria.qvw&amp;host=QVS%40pqlk04&amp;anonymous=true&amp;sheet=SH06</w:t>
      </w:r>
    </w:p>
    <w:p w14:paraId="5CBEACEE" w14:textId="0A736B2C" w:rsidR="004E65A6" w:rsidRPr="00C64232" w:rsidRDefault="004E65A6" w:rsidP="00D36B88">
      <w:pPr>
        <w:ind w:right="-427"/>
        <w:rPr>
          <w:rFonts w:ascii="Times New Roman" w:hAnsi="Times New Roman" w:cs="Times New Roman"/>
          <w:b/>
          <w:bCs/>
        </w:rPr>
      </w:pPr>
    </w:p>
    <w:sectPr w:rsidR="004E65A6" w:rsidRPr="00C64232">
      <w:headerReference w:type="default" r:id="rId7"/>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602FE" w16cid:durableId="27470A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6CF63" w14:textId="77777777" w:rsidR="00CB4DFD" w:rsidRDefault="00CB4DFD" w:rsidP="004E65A6">
      <w:pPr>
        <w:spacing w:after="0" w:line="240" w:lineRule="auto"/>
      </w:pPr>
      <w:r>
        <w:separator/>
      </w:r>
    </w:p>
  </w:endnote>
  <w:endnote w:type="continuationSeparator" w:id="0">
    <w:p w14:paraId="7C58537D" w14:textId="77777777" w:rsidR="00CB4DFD" w:rsidRDefault="00CB4DFD" w:rsidP="004E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7C714" w14:textId="77777777" w:rsidR="00CB4DFD" w:rsidRDefault="00CB4DFD" w:rsidP="004E65A6">
      <w:pPr>
        <w:spacing w:after="0" w:line="240" w:lineRule="auto"/>
      </w:pPr>
      <w:r>
        <w:separator/>
      </w:r>
    </w:p>
  </w:footnote>
  <w:footnote w:type="continuationSeparator" w:id="0">
    <w:p w14:paraId="3A804142" w14:textId="77777777" w:rsidR="00CB4DFD" w:rsidRDefault="00CB4DFD" w:rsidP="004E6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97008" w14:textId="77777777" w:rsidR="00221FFE" w:rsidRDefault="00221FF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48D3"/>
    <w:multiLevelType w:val="hybridMultilevel"/>
    <w:tmpl w:val="1AEE6C7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nsid w:val="1B7F1DE4"/>
    <w:multiLevelType w:val="hybridMultilevel"/>
    <w:tmpl w:val="C0EA71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C5"/>
    <w:rsid w:val="00066173"/>
    <w:rsid w:val="00070E64"/>
    <w:rsid w:val="00087043"/>
    <w:rsid w:val="0009424A"/>
    <w:rsid w:val="000B796E"/>
    <w:rsid w:val="000C4FF3"/>
    <w:rsid w:val="000D0B5C"/>
    <w:rsid w:val="000F6BC3"/>
    <w:rsid w:val="00146F82"/>
    <w:rsid w:val="00176DDF"/>
    <w:rsid w:val="0019215E"/>
    <w:rsid w:val="00197B7E"/>
    <w:rsid w:val="001C24F5"/>
    <w:rsid w:val="00221FFE"/>
    <w:rsid w:val="00241E56"/>
    <w:rsid w:val="00297193"/>
    <w:rsid w:val="002D5BB9"/>
    <w:rsid w:val="002E1773"/>
    <w:rsid w:val="00305FDC"/>
    <w:rsid w:val="00313C1A"/>
    <w:rsid w:val="00324FC5"/>
    <w:rsid w:val="00330CD9"/>
    <w:rsid w:val="003347F4"/>
    <w:rsid w:val="00362E43"/>
    <w:rsid w:val="00384DFC"/>
    <w:rsid w:val="00391542"/>
    <w:rsid w:val="003A0802"/>
    <w:rsid w:val="003A6673"/>
    <w:rsid w:val="003B306C"/>
    <w:rsid w:val="003C388F"/>
    <w:rsid w:val="00405E43"/>
    <w:rsid w:val="00414B1B"/>
    <w:rsid w:val="004244C0"/>
    <w:rsid w:val="00426306"/>
    <w:rsid w:val="00455E48"/>
    <w:rsid w:val="00472DE1"/>
    <w:rsid w:val="004765C1"/>
    <w:rsid w:val="00486B94"/>
    <w:rsid w:val="004B5E91"/>
    <w:rsid w:val="004D5561"/>
    <w:rsid w:val="004E57A7"/>
    <w:rsid w:val="004E65A6"/>
    <w:rsid w:val="00542E1E"/>
    <w:rsid w:val="005460F4"/>
    <w:rsid w:val="005461B1"/>
    <w:rsid w:val="00561E51"/>
    <w:rsid w:val="005652F7"/>
    <w:rsid w:val="00572A90"/>
    <w:rsid w:val="0058308F"/>
    <w:rsid w:val="00586A83"/>
    <w:rsid w:val="005A6C58"/>
    <w:rsid w:val="005A76CA"/>
    <w:rsid w:val="005B4E49"/>
    <w:rsid w:val="005E38C7"/>
    <w:rsid w:val="005F17E8"/>
    <w:rsid w:val="005F391D"/>
    <w:rsid w:val="006368A4"/>
    <w:rsid w:val="00637A12"/>
    <w:rsid w:val="00640FF9"/>
    <w:rsid w:val="0068157F"/>
    <w:rsid w:val="006B0774"/>
    <w:rsid w:val="006B4317"/>
    <w:rsid w:val="006E0153"/>
    <w:rsid w:val="00711A08"/>
    <w:rsid w:val="00714DE5"/>
    <w:rsid w:val="007162DB"/>
    <w:rsid w:val="0072458C"/>
    <w:rsid w:val="0072544E"/>
    <w:rsid w:val="00755138"/>
    <w:rsid w:val="007E740F"/>
    <w:rsid w:val="007F0F98"/>
    <w:rsid w:val="007F2ECE"/>
    <w:rsid w:val="007F4F9E"/>
    <w:rsid w:val="00804DDA"/>
    <w:rsid w:val="008160F9"/>
    <w:rsid w:val="008803FA"/>
    <w:rsid w:val="00882AB4"/>
    <w:rsid w:val="008A15CD"/>
    <w:rsid w:val="008C5023"/>
    <w:rsid w:val="008F737D"/>
    <w:rsid w:val="00901534"/>
    <w:rsid w:val="00932B0B"/>
    <w:rsid w:val="00957D4D"/>
    <w:rsid w:val="00972BE1"/>
    <w:rsid w:val="009B42FA"/>
    <w:rsid w:val="009E09CF"/>
    <w:rsid w:val="009E174D"/>
    <w:rsid w:val="009E20A7"/>
    <w:rsid w:val="00A04912"/>
    <w:rsid w:val="00A176BE"/>
    <w:rsid w:val="00A17D40"/>
    <w:rsid w:val="00A3522A"/>
    <w:rsid w:val="00A40C33"/>
    <w:rsid w:val="00A56074"/>
    <w:rsid w:val="00A6275E"/>
    <w:rsid w:val="00A75D91"/>
    <w:rsid w:val="00AB090B"/>
    <w:rsid w:val="00AB29B8"/>
    <w:rsid w:val="00AD1458"/>
    <w:rsid w:val="00B32684"/>
    <w:rsid w:val="00B374D3"/>
    <w:rsid w:val="00B6372F"/>
    <w:rsid w:val="00B8701B"/>
    <w:rsid w:val="00B93C44"/>
    <w:rsid w:val="00B978ED"/>
    <w:rsid w:val="00BF5678"/>
    <w:rsid w:val="00C44C79"/>
    <w:rsid w:val="00C4574C"/>
    <w:rsid w:val="00C64232"/>
    <w:rsid w:val="00CB10DF"/>
    <w:rsid w:val="00CB4DFD"/>
    <w:rsid w:val="00CC22B7"/>
    <w:rsid w:val="00CD11BE"/>
    <w:rsid w:val="00CD18E6"/>
    <w:rsid w:val="00CF505C"/>
    <w:rsid w:val="00CF567D"/>
    <w:rsid w:val="00D04A35"/>
    <w:rsid w:val="00D35078"/>
    <w:rsid w:val="00D36B88"/>
    <w:rsid w:val="00D510D1"/>
    <w:rsid w:val="00D51ECD"/>
    <w:rsid w:val="00D53048"/>
    <w:rsid w:val="00D6415F"/>
    <w:rsid w:val="00D7008D"/>
    <w:rsid w:val="00D82CBA"/>
    <w:rsid w:val="00D93B95"/>
    <w:rsid w:val="00DA2462"/>
    <w:rsid w:val="00DD19A0"/>
    <w:rsid w:val="00DE3E41"/>
    <w:rsid w:val="00E2091E"/>
    <w:rsid w:val="00E31C8A"/>
    <w:rsid w:val="00EB238F"/>
    <w:rsid w:val="00ED0558"/>
    <w:rsid w:val="00ED32CF"/>
    <w:rsid w:val="00EE39AA"/>
    <w:rsid w:val="00EF5F33"/>
    <w:rsid w:val="00F00F19"/>
    <w:rsid w:val="00F35FF8"/>
    <w:rsid w:val="00F93FC8"/>
    <w:rsid w:val="00FB7879"/>
    <w:rsid w:val="00FE5185"/>
    <w:rsid w:val="015CA2CF"/>
    <w:rsid w:val="01908500"/>
    <w:rsid w:val="0211AEE5"/>
    <w:rsid w:val="024BB836"/>
    <w:rsid w:val="02956624"/>
    <w:rsid w:val="02E494FF"/>
    <w:rsid w:val="035D2349"/>
    <w:rsid w:val="03A71EB0"/>
    <w:rsid w:val="0484648F"/>
    <w:rsid w:val="05D085BD"/>
    <w:rsid w:val="076261AD"/>
    <w:rsid w:val="082ECAA2"/>
    <w:rsid w:val="09369E7D"/>
    <w:rsid w:val="09670EDF"/>
    <w:rsid w:val="0A2F369D"/>
    <w:rsid w:val="0A367BB6"/>
    <w:rsid w:val="0A78B720"/>
    <w:rsid w:val="0A8E04AA"/>
    <w:rsid w:val="0BD24C17"/>
    <w:rsid w:val="0BD7D3F0"/>
    <w:rsid w:val="0D6E1C78"/>
    <w:rsid w:val="0E75F96F"/>
    <w:rsid w:val="1137853E"/>
    <w:rsid w:val="12418D9B"/>
    <w:rsid w:val="12E5C75D"/>
    <w:rsid w:val="132E5E46"/>
    <w:rsid w:val="13A3359A"/>
    <w:rsid w:val="13DD5DFC"/>
    <w:rsid w:val="1415F405"/>
    <w:rsid w:val="14B7E38C"/>
    <w:rsid w:val="16174FF2"/>
    <w:rsid w:val="165517BE"/>
    <w:rsid w:val="16BCEA9D"/>
    <w:rsid w:val="16CC29A2"/>
    <w:rsid w:val="171F32FE"/>
    <w:rsid w:val="18B1F642"/>
    <w:rsid w:val="1A11F2B7"/>
    <w:rsid w:val="1A9B0C23"/>
    <w:rsid w:val="1B4BA714"/>
    <w:rsid w:val="1C59685D"/>
    <w:rsid w:val="1CAAA878"/>
    <w:rsid w:val="1CD00CFB"/>
    <w:rsid w:val="1D1C3460"/>
    <w:rsid w:val="1E693B9D"/>
    <w:rsid w:val="1EDEDA98"/>
    <w:rsid w:val="1FC30D03"/>
    <w:rsid w:val="20706262"/>
    <w:rsid w:val="219CCDBC"/>
    <w:rsid w:val="22A52579"/>
    <w:rsid w:val="24800FE1"/>
    <w:rsid w:val="26108164"/>
    <w:rsid w:val="263B796F"/>
    <w:rsid w:val="270FE12A"/>
    <w:rsid w:val="2763BC70"/>
    <w:rsid w:val="27B16C28"/>
    <w:rsid w:val="290E9634"/>
    <w:rsid w:val="295FBEE0"/>
    <w:rsid w:val="29BA2195"/>
    <w:rsid w:val="2A701773"/>
    <w:rsid w:val="2BE5462E"/>
    <w:rsid w:val="2DAC85D2"/>
    <w:rsid w:val="2E912DA4"/>
    <w:rsid w:val="320207DC"/>
    <w:rsid w:val="334996E8"/>
    <w:rsid w:val="33B4D090"/>
    <w:rsid w:val="33C0C0CC"/>
    <w:rsid w:val="34188382"/>
    <w:rsid w:val="34223940"/>
    <w:rsid w:val="34416ECA"/>
    <w:rsid w:val="3450C301"/>
    <w:rsid w:val="3480FD27"/>
    <w:rsid w:val="35179797"/>
    <w:rsid w:val="3687FE0D"/>
    <w:rsid w:val="36FF4663"/>
    <w:rsid w:val="3779B709"/>
    <w:rsid w:val="38C24014"/>
    <w:rsid w:val="39779205"/>
    <w:rsid w:val="39DCBABB"/>
    <w:rsid w:val="3C0A913A"/>
    <w:rsid w:val="3CF73F91"/>
    <w:rsid w:val="3DB26734"/>
    <w:rsid w:val="411DEFC9"/>
    <w:rsid w:val="41FA6644"/>
    <w:rsid w:val="44A11B6B"/>
    <w:rsid w:val="44C2C5BA"/>
    <w:rsid w:val="45C11D65"/>
    <w:rsid w:val="495A43F5"/>
    <w:rsid w:val="49DEB32D"/>
    <w:rsid w:val="4B46C51C"/>
    <w:rsid w:val="4BB2699E"/>
    <w:rsid w:val="4CFB9817"/>
    <w:rsid w:val="4FAF383D"/>
    <w:rsid w:val="502B8EEC"/>
    <w:rsid w:val="51C0AE0C"/>
    <w:rsid w:val="51D6B58E"/>
    <w:rsid w:val="52ED899C"/>
    <w:rsid w:val="5372771A"/>
    <w:rsid w:val="54051E97"/>
    <w:rsid w:val="54F69E2D"/>
    <w:rsid w:val="552C1602"/>
    <w:rsid w:val="560A6BB7"/>
    <w:rsid w:val="56F5D7F9"/>
    <w:rsid w:val="57E6D676"/>
    <w:rsid w:val="5897B94D"/>
    <w:rsid w:val="5A3389AE"/>
    <w:rsid w:val="5A77183A"/>
    <w:rsid w:val="5AF5D528"/>
    <w:rsid w:val="5AF7A2ED"/>
    <w:rsid w:val="5AFD44C0"/>
    <w:rsid w:val="5B176FBF"/>
    <w:rsid w:val="5B5413A2"/>
    <w:rsid w:val="5C4EB0D6"/>
    <w:rsid w:val="5DB419BE"/>
    <w:rsid w:val="6073BB97"/>
    <w:rsid w:val="61B3B340"/>
    <w:rsid w:val="62B86A81"/>
    <w:rsid w:val="62F49A8A"/>
    <w:rsid w:val="63A3C617"/>
    <w:rsid w:val="63F6E27F"/>
    <w:rsid w:val="64B7943B"/>
    <w:rsid w:val="65B1F21D"/>
    <w:rsid w:val="65B5CA12"/>
    <w:rsid w:val="661284B7"/>
    <w:rsid w:val="6634390E"/>
    <w:rsid w:val="663754C8"/>
    <w:rsid w:val="692D0DF5"/>
    <w:rsid w:val="69AEE5BA"/>
    <w:rsid w:val="6CC966BB"/>
    <w:rsid w:val="6DAD1C23"/>
    <w:rsid w:val="6DD882A4"/>
    <w:rsid w:val="6E030AAE"/>
    <w:rsid w:val="6F7C0280"/>
    <w:rsid w:val="7173EB56"/>
    <w:rsid w:val="72E0A4A8"/>
    <w:rsid w:val="75A42B94"/>
    <w:rsid w:val="76983D6C"/>
    <w:rsid w:val="7703DE1E"/>
    <w:rsid w:val="799B009E"/>
    <w:rsid w:val="799E795C"/>
    <w:rsid w:val="79BCAD57"/>
    <w:rsid w:val="79F19C7C"/>
    <w:rsid w:val="7A841F6D"/>
    <w:rsid w:val="7AAA3269"/>
    <w:rsid w:val="7BA1F31B"/>
    <w:rsid w:val="7BC5DB3F"/>
    <w:rsid w:val="7BD5F3A2"/>
    <w:rsid w:val="7C127433"/>
    <w:rsid w:val="7C1D047A"/>
    <w:rsid w:val="7CF68CE4"/>
    <w:rsid w:val="7DCC09B5"/>
    <w:rsid w:val="7DE1D32B"/>
    <w:rsid w:val="7F7DA38C"/>
    <w:rsid w:val="7FF4B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34C7"/>
  <w15:chartTrackingRefBased/>
  <w15:docId w15:val="{46730CCD-8B27-4781-A25D-BB093377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D93B95"/>
    <w:pPr>
      <w:widowControl w:val="0"/>
      <w:autoSpaceDE w:val="0"/>
      <w:autoSpaceDN w:val="0"/>
      <w:spacing w:before="135" w:after="0" w:line="240" w:lineRule="auto"/>
      <w:ind w:left="1266" w:right="1810"/>
      <w:jc w:val="both"/>
    </w:pPr>
    <w:rPr>
      <w:rFonts w:ascii="Times New Roman" w:eastAsia="Times New Roman" w:hAnsi="Times New Roman" w:cs="Times New Roman"/>
    </w:rPr>
  </w:style>
  <w:style w:type="table" w:styleId="Tabelacomgrade">
    <w:name w:val="Table Grid"/>
    <w:basedOn w:val="Tabelanormal"/>
    <w:uiPriority w:val="39"/>
    <w:rsid w:val="00C64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E65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65A6"/>
  </w:style>
  <w:style w:type="paragraph" w:styleId="Rodap">
    <w:name w:val="footer"/>
    <w:basedOn w:val="Normal"/>
    <w:link w:val="RodapChar"/>
    <w:uiPriority w:val="99"/>
    <w:unhideWhenUsed/>
    <w:rsid w:val="004E65A6"/>
    <w:pPr>
      <w:tabs>
        <w:tab w:val="center" w:pos="4252"/>
        <w:tab w:val="right" w:pos="8504"/>
      </w:tabs>
      <w:spacing w:after="0" w:line="240" w:lineRule="auto"/>
    </w:pPr>
  </w:style>
  <w:style w:type="character" w:customStyle="1" w:styleId="RodapChar">
    <w:name w:val="Rodapé Char"/>
    <w:basedOn w:val="Fontepargpadro"/>
    <w:link w:val="Rodap"/>
    <w:uiPriority w:val="99"/>
    <w:rsid w:val="004E65A6"/>
  </w:style>
  <w:style w:type="character" w:styleId="Refdecomentrio">
    <w:name w:val="annotation reference"/>
    <w:basedOn w:val="Fontepargpadro"/>
    <w:uiPriority w:val="99"/>
    <w:semiHidden/>
    <w:unhideWhenUsed/>
    <w:rsid w:val="00D6415F"/>
    <w:rPr>
      <w:sz w:val="16"/>
      <w:szCs w:val="16"/>
    </w:rPr>
  </w:style>
  <w:style w:type="paragraph" w:styleId="Textodecomentrio">
    <w:name w:val="annotation text"/>
    <w:basedOn w:val="Normal"/>
    <w:link w:val="TextodecomentrioChar"/>
    <w:uiPriority w:val="99"/>
    <w:semiHidden/>
    <w:unhideWhenUsed/>
    <w:rsid w:val="00D6415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5F"/>
    <w:rPr>
      <w:sz w:val="20"/>
      <w:szCs w:val="20"/>
    </w:rPr>
  </w:style>
  <w:style w:type="paragraph" w:styleId="Assuntodocomentrio">
    <w:name w:val="annotation subject"/>
    <w:basedOn w:val="Textodecomentrio"/>
    <w:next w:val="Textodecomentrio"/>
    <w:link w:val="AssuntodocomentrioChar"/>
    <w:uiPriority w:val="99"/>
    <w:semiHidden/>
    <w:unhideWhenUsed/>
    <w:rsid w:val="00D6415F"/>
    <w:rPr>
      <w:b/>
      <w:bCs/>
    </w:rPr>
  </w:style>
  <w:style w:type="character" w:customStyle="1" w:styleId="AssuntodocomentrioChar">
    <w:name w:val="Assunto do comentário Char"/>
    <w:basedOn w:val="TextodecomentrioChar"/>
    <w:link w:val="Assuntodocomentrio"/>
    <w:uiPriority w:val="99"/>
    <w:semiHidden/>
    <w:rsid w:val="00D6415F"/>
    <w:rPr>
      <w:b/>
      <w:bCs/>
      <w:sz w:val="20"/>
      <w:szCs w:val="20"/>
    </w:rPr>
  </w:style>
  <w:style w:type="paragraph" w:styleId="Textodebalo">
    <w:name w:val="Balloon Text"/>
    <w:basedOn w:val="Normal"/>
    <w:link w:val="TextodebaloChar"/>
    <w:uiPriority w:val="99"/>
    <w:semiHidden/>
    <w:unhideWhenUsed/>
    <w:rsid w:val="00D641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5F"/>
    <w:rPr>
      <w:rFonts w:ascii="Segoe UI" w:hAnsi="Segoe UI" w:cs="Segoe UI"/>
      <w:sz w:val="18"/>
      <w:szCs w:val="18"/>
    </w:rPr>
  </w:style>
  <w:style w:type="paragraph" w:styleId="Reviso">
    <w:name w:val="Revision"/>
    <w:hidden/>
    <w:uiPriority w:val="99"/>
    <w:semiHidden/>
    <w:rsid w:val="00FB7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7761">
      <w:bodyDiv w:val="1"/>
      <w:marLeft w:val="0"/>
      <w:marRight w:val="0"/>
      <w:marTop w:val="0"/>
      <w:marBottom w:val="0"/>
      <w:divBdr>
        <w:top w:val="none" w:sz="0" w:space="0" w:color="auto"/>
        <w:left w:val="none" w:sz="0" w:space="0" w:color="auto"/>
        <w:bottom w:val="none" w:sz="0" w:space="0" w:color="auto"/>
        <w:right w:val="none" w:sz="0" w:space="0" w:color="auto"/>
      </w:divBdr>
    </w:div>
    <w:div w:id="458038544">
      <w:bodyDiv w:val="1"/>
      <w:marLeft w:val="0"/>
      <w:marRight w:val="0"/>
      <w:marTop w:val="0"/>
      <w:marBottom w:val="0"/>
      <w:divBdr>
        <w:top w:val="none" w:sz="0" w:space="0" w:color="auto"/>
        <w:left w:val="none" w:sz="0" w:space="0" w:color="auto"/>
        <w:bottom w:val="none" w:sz="0" w:space="0" w:color="auto"/>
        <w:right w:val="none" w:sz="0" w:space="0" w:color="auto"/>
      </w:divBdr>
    </w:div>
    <w:div w:id="600650591">
      <w:bodyDiv w:val="1"/>
      <w:marLeft w:val="0"/>
      <w:marRight w:val="0"/>
      <w:marTop w:val="0"/>
      <w:marBottom w:val="0"/>
      <w:divBdr>
        <w:top w:val="none" w:sz="0" w:space="0" w:color="auto"/>
        <w:left w:val="none" w:sz="0" w:space="0" w:color="auto"/>
        <w:bottom w:val="none" w:sz="0" w:space="0" w:color="auto"/>
        <w:right w:val="none" w:sz="0" w:space="0" w:color="auto"/>
      </w:divBdr>
    </w:div>
    <w:div w:id="641227130">
      <w:bodyDiv w:val="1"/>
      <w:marLeft w:val="0"/>
      <w:marRight w:val="0"/>
      <w:marTop w:val="0"/>
      <w:marBottom w:val="0"/>
      <w:divBdr>
        <w:top w:val="none" w:sz="0" w:space="0" w:color="auto"/>
        <w:left w:val="none" w:sz="0" w:space="0" w:color="auto"/>
        <w:bottom w:val="none" w:sz="0" w:space="0" w:color="auto"/>
        <w:right w:val="none" w:sz="0" w:space="0" w:color="auto"/>
      </w:divBdr>
    </w:div>
    <w:div w:id="1116752559">
      <w:bodyDiv w:val="1"/>
      <w:marLeft w:val="0"/>
      <w:marRight w:val="0"/>
      <w:marTop w:val="0"/>
      <w:marBottom w:val="0"/>
      <w:divBdr>
        <w:top w:val="none" w:sz="0" w:space="0" w:color="auto"/>
        <w:left w:val="none" w:sz="0" w:space="0" w:color="auto"/>
        <w:bottom w:val="none" w:sz="0" w:space="0" w:color="auto"/>
        <w:right w:val="none" w:sz="0" w:space="0" w:color="auto"/>
      </w:divBdr>
    </w:div>
    <w:div w:id="1237205790">
      <w:bodyDiv w:val="1"/>
      <w:marLeft w:val="0"/>
      <w:marRight w:val="0"/>
      <w:marTop w:val="0"/>
      <w:marBottom w:val="0"/>
      <w:divBdr>
        <w:top w:val="none" w:sz="0" w:space="0" w:color="auto"/>
        <w:left w:val="none" w:sz="0" w:space="0" w:color="auto"/>
        <w:bottom w:val="none" w:sz="0" w:space="0" w:color="auto"/>
        <w:right w:val="none" w:sz="0" w:space="0" w:color="auto"/>
      </w:divBdr>
    </w:div>
    <w:div w:id="1254557357">
      <w:bodyDiv w:val="1"/>
      <w:marLeft w:val="0"/>
      <w:marRight w:val="0"/>
      <w:marTop w:val="0"/>
      <w:marBottom w:val="0"/>
      <w:divBdr>
        <w:top w:val="none" w:sz="0" w:space="0" w:color="auto"/>
        <w:left w:val="none" w:sz="0" w:space="0" w:color="auto"/>
        <w:bottom w:val="none" w:sz="0" w:space="0" w:color="auto"/>
        <w:right w:val="none" w:sz="0" w:space="0" w:color="auto"/>
      </w:divBdr>
    </w:div>
    <w:div w:id="1465270844">
      <w:bodyDiv w:val="1"/>
      <w:marLeft w:val="0"/>
      <w:marRight w:val="0"/>
      <w:marTop w:val="0"/>
      <w:marBottom w:val="0"/>
      <w:divBdr>
        <w:top w:val="none" w:sz="0" w:space="0" w:color="auto"/>
        <w:left w:val="none" w:sz="0" w:space="0" w:color="auto"/>
        <w:bottom w:val="none" w:sz="0" w:space="0" w:color="auto"/>
        <w:right w:val="none" w:sz="0" w:space="0" w:color="auto"/>
      </w:divBdr>
    </w:div>
    <w:div w:id="16168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4444</Words>
  <Characters>24000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Souza Rodrigues</dc:creator>
  <cp:keywords/>
  <dc:description/>
  <cp:lastModifiedBy>Matheus Moreira e Silva de Aracoeli</cp:lastModifiedBy>
  <cp:revision>4</cp:revision>
  <cp:lastPrinted>2022-12-02T01:11:00Z</cp:lastPrinted>
  <dcterms:created xsi:type="dcterms:W3CDTF">2022-12-22T16:10:00Z</dcterms:created>
  <dcterms:modified xsi:type="dcterms:W3CDTF">2022-12-22T17:13:00Z</dcterms:modified>
</cp:coreProperties>
</file>