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B7B5F" w14:paraId="5A7A846B" w14:textId="77777777">
        <w:trPr>
          <w:cantSplit/>
          <w:trHeight w:hRule="exact" w:val="851"/>
        </w:trPr>
        <w:tc>
          <w:tcPr>
            <w:tcW w:w="1276" w:type="dxa"/>
            <w:tcBorders>
              <w:bottom w:val="single" w:sz="4" w:space="0" w:color="auto"/>
            </w:tcBorders>
            <w:vAlign w:val="bottom"/>
          </w:tcPr>
          <w:p w14:paraId="5F71AF56" w14:textId="77777777" w:rsidR="008C69AC" w:rsidRPr="007132BC" w:rsidRDefault="008C69AC">
            <w:pPr>
              <w:spacing w:after="80"/>
              <w:rPr>
                <w:lang w:val="en-US"/>
              </w:rPr>
            </w:pPr>
          </w:p>
        </w:tc>
        <w:tc>
          <w:tcPr>
            <w:tcW w:w="2268" w:type="dxa"/>
            <w:tcBorders>
              <w:bottom w:val="single" w:sz="4" w:space="0" w:color="auto"/>
            </w:tcBorders>
            <w:vAlign w:val="bottom"/>
          </w:tcPr>
          <w:p w14:paraId="2760607E" w14:textId="5EE827EE" w:rsidR="008C69AC" w:rsidRDefault="008C0BBD">
            <w:pPr>
              <w:spacing w:after="80" w:line="300" w:lineRule="exact"/>
              <w:rPr>
                <w:b/>
                <w:sz w:val="24"/>
                <w:szCs w:val="24"/>
              </w:rPr>
            </w:pPr>
            <w:r>
              <w:rPr>
                <w:sz w:val="28"/>
                <w:szCs w:val="28"/>
              </w:rPr>
              <w:t xml:space="preserve"> </w:t>
            </w:r>
          </w:p>
        </w:tc>
        <w:tc>
          <w:tcPr>
            <w:tcW w:w="6095" w:type="dxa"/>
            <w:gridSpan w:val="2"/>
            <w:tcBorders>
              <w:bottom w:val="single" w:sz="4" w:space="0" w:color="auto"/>
            </w:tcBorders>
            <w:vAlign w:val="bottom"/>
          </w:tcPr>
          <w:p w14:paraId="37628AFB" w14:textId="330E65B4" w:rsidR="008C69AC" w:rsidRDefault="007706D9">
            <w:pPr>
              <w:suppressAutoHyphens w:val="0"/>
              <w:spacing w:after="20"/>
              <w:jc w:val="right"/>
            </w:pPr>
            <w:r>
              <w:rPr>
                <w:sz w:val="40"/>
              </w:rPr>
              <w:t>CEDAW</w:t>
            </w:r>
            <w:r>
              <w:t>/C/NOR/CO/10</w:t>
            </w:r>
          </w:p>
        </w:tc>
      </w:tr>
      <w:tr w:rsidR="00AB7B5F" w14:paraId="0792F68A" w14:textId="77777777">
        <w:trPr>
          <w:cantSplit/>
          <w:trHeight w:hRule="exact" w:val="2835"/>
        </w:trPr>
        <w:tc>
          <w:tcPr>
            <w:tcW w:w="1276" w:type="dxa"/>
            <w:tcBorders>
              <w:top w:val="single" w:sz="4" w:space="0" w:color="auto"/>
              <w:bottom w:val="single" w:sz="12" w:space="0" w:color="auto"/>
            </w:tcBorders>
          </w:tcPr>
          <w:p w14:paraId="2936D06B" w14:textId="23B4622E" w:rsidR="008C69AC" w:rsidRDefault="008C69AC">
            <w:pPr>
              <w:spacing w:before="120"/>
              <w:jc w:val="center"/>
            </w:pPr>
          </w:p>
        </w:tc>
        <w:tc>
          <w:tcPr>
            <w:tcW w:w="5528" w:type="dxa"/>
            <w:gridSpan w:val="2"/>
            <w:tcBorders>
              <w:top w:val="single" w:sz="4" w:space="0" w:color="auto"/>
              <w:bottom w:val="single" w:sz="12" w:space="0" w:color="auto"/>
            </w:tcBorders>
          </w:tcPr>
          <w:p w14:paraId="36E660A7" w14:textId="0E26687C" w:rsidR="008C69AC" w:rsidRDefault="008C0BBD">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3F16C0F5" w14:textId="4A60783E" w:rsidR="008C69AC" w:rsidRDefault="007706D9">
            <w:pPr>
              <w:suppressAutoHyphens w:val="0"/>
              <w:spacing w:before="240" w:line="240" w:lineRule="exact"/>
            </w:pPr>
            <w:r>
              <w:t xml:space="preserve">Distr.: </w:t>
            </w:r>
            <w:r w:rsidR="00EA4D78">
              <w:t>General</w:t>
            </w:r>
          </w:p>
          <w:p w14:paraId="66F54C1F" w14:textId="603EBFB1" w:rsidR="008C69AC" w:rsidRDefault="00EA4D78">
            <w:pPr>
              <w:suppressAutoHyphens w:val="0"/>
            </w:pPr>
            <w:r>
              <w:t>2</w:t>
            </w:r>
            <w:r w:rsidR="00FA6573">
              <w:t>8</w:t>
            </w:r>
            <w:r>
              <w:t xml:space="preserve"> </w:t>
            </w:r>
            <w:r w:rsidR="002525FA">
              <w:t>February 2023</w:t>
            </w:r>
          </w:p>
          <w:p w14:paraId="6B762849" w14:textId="77777777" w:rsidR="008C69AC" w:rsidRDefault="008C69AC">
            <w:pPr>
              <w:suppressAutoHyphens w:val="0"/>
            </w:pPr>
          </w:p>
          <w:p w14:paraId="2EF46F5B" w14:textId="77777777" w:rsidR="008C69AC" w:rsidRDefault="007706D9">
            <w:pPr>
              <w:suppressAutoHyphens w:val="0"/>
            </w:pPr>
            <w:r>
              <w:t>Original: English</w:t>
            </w:r>
          </w:p>
          <w:p w14:paraId="7260D331" w14:textId="624CC862" w:rsidR="008C69AC" w:rsidRDefault="008C69AC">
            <w:pPr>
              <w:suppressAutoHyphens w:val="0"/>
            </w:pPr>
          </w:p>
        </w:tc>
      </w:tr>
    </w:tbl>
    <w:p w14:paraId="2C08C9CD" w14:textId="77777777" w:rsidR="008C69AC" w:rsidRDefault="007706D9">
      <w:pPr>
        <w:spacing w:before="120"/>
        <w:rPr>
          <w:b/>
          <w:sz w:val="24"/>
          <w:szCs w:val="24"/>
        </w:rPr>
      </w:pPr>
      <w:r>
        <w:rPr>
          <w:b/>
          <w:sz w:val="24"/>
          <w:szCs w:val="24"/>
        </w:rPr>
        <w:t xml:space="preserve">Committee on the Elimination of Discrimination </w:t>
      </w:r>
      <w:r>
        <w:rPr>
          <w:b/>
          <w:sz w:val="24"/>
          <w:szCs w:val="24"/>
        </w:rPr>
        <w:br/>
        <w:t>against Women</w:t>
      </w:r>
    </w:p>
    <w:p w14:paraId="5C8773B3" w14:textId="791F81B4" w:rsidR="008C69AC" w:rsidRDefault="007706D9">
      <w:pPr>
        <w:pStyle w:val="HChG"/>
      </w:pPr>
      <w:r>
        <w:tab/>
      </w:r>
      <w:r>
        <w:tab/>
        <w:t>Concluding observations on the tenth periodic report of Norway</w:t>
      </w:r>
      <w:r w:rsidR="00EA4D78" w:rsidRPr="00A41B4F">
        <w:rPr>
          <w:rStyle w:val="FootnoteReference"/>
          <w:sz w:val="20"/>
          <w:vertAlign w:val="baseline"/>
        </w:rPr>
        <w:footnoteReference w:customMarkFollows="1" w:id="2"/>
        <w:t>*</w:t>
      </w:r>
    </w:p>
    <w:p w14:paraId="4EB28BDE" w14:textId="5C166CB6" w:rsidR="0012643C" w:rsidRDefault="0012643C" w:rsidP="00EA4D78">
      <w:pPr>
        <w:pStyle w:val="SingleTxtG"/>
      </w:pPr>
      <w:r>
        <w:t>1.</w:t>
      </w:r>
      <w:r>
        <w:tab/>
      </w:r>
      <w:r w:rsidRPr="007535AD">
        <w:t>The Committee considered the</w:t>
      </w:r>
      <w:r>
        <w:t xml:space="preserve"> tenth periodic </w:t>
      </w:r>
      <w:r w:rsidRPr="007535AD">
        <w:t>report of</w:t>
      </w:r>
      <w:r>
        <w:t xml:space="preserve"> Norway, submitted under the simplified reporting procedure, at its 1945</w:t>
      </w:r>
      <w:r w:rsidRPr="00ED49AF">
        <w:rPr>
          <w:vertAlign w:val="superscript"/>
        </w:rPr>
        <w:t>th</w:t>
      </w:r>
      <w:r>
        <w:t xml:space="preserve"> and 1946</w:t>
      </w:r>
      <w:r w:rsidRPr="00ED49AF">
        <w:rPr>
          <w:vertAlign w:val="superscript"/>
        </w:rPr>
        <w:t>th</w:t>
      </w:r>
      <w:r>
        <w:t xml:space="preserve"> </w:t>
      </w:r>
      <w:r w:rsidRPr="007535AD">
        <w:t>meetings</w:t>
      </w:r>
      <w:r>
        <w:t xml:space="preserve"> </w:t>
      </w:r>
      <w:r w:rsidRPr="007535AD">
        <w:t>(see CEDAW/C/SR.</w:t>
      </w:r>
      <w:r>
        <w:t>1945 and 1946) held on 10 February 2023</w:t>
      </w:r>
      <w:r w:rsidRPr="007535AD">
        <w:t xml:space="preserve">. </w:t>
      </w:r>
    </w:p>
    <w:p w14:paraId="32AC9BEA" w14:textId="77777777" w:rsidR="0012643C" w:rsidRPr="00FA4F06" w:rsidRDefault="0012643C" w:rsidP="0012643C">
      <w:pPr>
        <w:pStyle w:val="H1G"/>
        <w:rPr>
          <w:lang w:val="en-US"/>
        </w:rPr>
      </w:pPr>
      <w:r>
        <w:rPr>
          <w:lang w:val="en-US"/>
        </w:rPr>
        <w:tab/>
      </w:r>
      <w:r w:rsidRPr="00B54D13">
        <w:rPr>
          <w:lang w:val="en-US"/>
        </w:rPr>
        <w:t>A.</w:t>
      </w:r>
      <w:r w:rsidRPr="00B54D13">
        <w:rPr>
          <w:lang w:val="en-US"/>
        </w:rPr>
        <w:tab/>
        <w:t>Introduction</w:t>
      </w:r>
    </w:p>
    <w:p w14:paraId="22E638CD" w14:textId="77777777" w:rsidR="0012643C" w:rsidRDefault="0012643C" w:rsidP="0012643C">
      <w:pPr>
        <w:pStyle w:val="SingleTxtG"/>
      </w:pPr>
      <w:r>
        <w:t>2.</w:t>
      </w:r>
      <w:r>
        <w:tab/>
      </w:r>
      <w:r w:rsidRPr="00E81690">
        <w:t>The Committee appreciates the submission by the State party of its tenth periodic report which was prepared in response to the list of issues and questions prior to reporting (</w:t>
      </w:r>
      <w:fldSimple w:instr=" DOCVARIABLE &quot;sss1&quot; \* MERGEFORMAT ">
        <w:r w:rsidRPr="00E81690">
          <w:t>CEDAW/C/NOR/QPR/10</w:t>
        </w:r>
      </w:fldSimple>
      <w:r w:rsidRPr="00B161E4">
        <w:t>)</w:t>
      </w:r>
      <w:r>
        <w:t>,</w:t>
      </w:r>
      <w:r w:rsidRPr="00B161E4">
        <w:rPr>
          <w:color w:val="000000"/>
          <w:lang w:eastAsia="en-GB"/>
        </w:rPr>
        <w:t xml:space="preserve"> as well as its follow-up report to the previous periodic report (CEDAW/C/NOR/FCO/9). </w:t>
      </w:r>
      <w:r w:rsidRPr="00B161E4">
        <w:t>It</w:t>
      </w:r>
      <w:r w:rsidRPr="00E81690">
        <w:t xml:space="preserve"> welcomes the oral presentation by the delegation and the further clarifications provided in response to the questions posed orally by the Committee during the dialogue.</w:t>
      </w:r>
    </w:p>
    <w:p w14:paraId="751DCD50" w14:textId="63557C40" w:rsidR="0012643C" w:rsidRPr="00A131FE" w:rsidRDefault="0012643C" w:rsidP="0012643C">
      <w:pPr>
        <w:pStyle w:val="SingleTxtG"/>
      </w:pPr>
      <w:r>
        <w:t>3.</w:t>
      </w:r>
      <w:r>
        <w:tab/>
        <w:t>T</w:t>
      </w:r>
      <w:r w:rsidRPr="00A131FE">
        <w:t xml:space="preserve">he Committee </w:t>
      </w:r>
      <w:r>
        <w:t>commends the State party’s high level delegation which was headed by Her Excellency Ms. Anette Trettebergstuen, Minister of Culture and Equality. The delegation also included representatives of the Ministry of Culture and Equality, the Ministry of Foreign Affairs, the Ministry of Justice and Public Security, the Ministry of Health and Care Services, the Ministry of Children and Family Affairs, the Ministry of Labour and Social Inclusion, the Ministry of Education and Research, the Ministry of Climate and Environment, and the Norwegian Directorate for Children, Youth and Family Affairs, and the Permanent Mission of Norway to the United Nations Office and other international organizations in</w:t>
      </w:r>
      <w:r w:rsidRPr="00F912E5">
        <w:t xml:space="preserve"> Geneva</w:t>
      </w:r>
      <w:r>
        <w:t>.</w:t>
      </w:r>
    </w:p>
    <w:p w14:paraId="135A62C9" w14:textId="77777777" w:rsidR="0012643C" w:rsidRDefault="0012643C" w:rsidP="0012643C">
      <w:pPr>
        <w:pStyle w:val="H1G"/>
      </w:pPr>
      <w:r>
        <w:tab/>
      </w:r>
      <w:r w:rsidRPr="00B54D13">
        <w:t>B.</w:t>
      </w:r>
      <w:r w:rsidRPr="00B54D13">
        <w:tab/>
        <w:t>Positive Aspects</w:t>
      </w:r>
    </w:p>
    <w:p w14:paraId="0D8C8214" w14:textId="77777777" w:rsidR="0012643C" w:rsidRDefault="0012643C" w:rsidP="0012643C">
      <w:pPr>
        <w:pStyle w:val="SingleTxtG"/>
      </w:pPr>
      <w:r>
        <w:t>4.</w:t>
      </w:r>
      <w:r>
        <w:tab/>
      </w:r>
      <w:r w:rsidRPr="00FF7EA7">
        <w:t>The Committee welcomes the work and commitment of the State party to ensur</w:t>
      </w:r>
      <w:r>
        <w:t>e</w:t>
      </w:r>
      <w:r w:rsidRPr="00FF7EA7">
        <w:t xml:space="preserve"> equality between women and men in law and in practice at the national and international levels, including with respect to promoting the full spectrum of the women and peace and security agenda of the Security Council pursuant to its resolution 1325 (2000) and subsequent resolutions 1327 (2000), 1366 (2001), 1408 (2002), 1820 (2008), 1888 (2009), 1889 (2009), 1960 (2010), 2106 (2013), 2122 (2013), 2242 (2015), 2272 (2016)</w:t>
      </w:r>
      <w:r>
        <w:t xml:space="preserve">, </w:t>
      </w:r>
      <w:r w:rsidRPr="00752E50">
        <w:t>2331 (2016), 2467(2019), 2493 (2019) and the 25-year review of the implementation of the Beijing Declaration and Platform for Action. The Committee also</w:t>
      </w:r>
      <w:r w:rsidRPr="00FF7EA7">
        <w:t xml:space="preserve"> notes with appreciation that the State party is among the highest-ranked countries in terms of gender equality.</w:t>
      </w:r>
    </w:p>
    <w:p w14:paraId="6266F090" w14:textId="77777777" w:rsidR="0012643C" w:rsidRDefault="0012643C" w:rsidP="0012643C">
      <w:pPr>
        <w:pStyle w:val="SingleTxtG"/>
      </w:pPr>
      <w:r>
        <w:lastRenderedPageBreak/>
        <w:t>5.</w:t>
      </w:r>
      <w:r>
        <w:tab/>
      </w:r>
      <w:r w:rsidRPr="001F470E">
        <w:t>The</w:t>
      </w:r>
      <w:r w:rsidRPr="00870779">
        <w:rPr>
          <w:spacing w:val="2"/>
        </w:rPr>
        <w:t xml:space="preserve"> Committee welcomes the progress achieved since the consideration in</w:t>
      </w:r>
      <w:r>
        <w:rPr>
          <w:spacing w:val="2"/>
        </w:rPr>
        <w:t xml:space="preserve"> 2017</w:t>
      </w:r>
      <w:r w:rsidRPr="00870779">
        <w:rPr>
          <w:spacing w:val="2"/>
        </w:rPr>
        <w:t xml:space="preserve"> </w:t>
      </w:r>
      <w:r>
        <w:t>of the State party’s ninth periodic report (</w:t>
      </w:r>
      <w:r w:rsidRPr="003559E0">
        <w:t>CEDAW/C/NOR/CO/9) in</w:t>
      </w:r>
      <w:r>
        <w:t xml:space="preserve"> undertaking legislative reforms, in particular the adoption of: </w:t>
      </w:r>
    </w:p>
    <w:p w14:paraId="2227A01A" w14:textId="77777777" w:rsidR="0012643C" w:rsidRPr="008E0262" w:rsidRDefault="0012643C" w:rsidP="0012643C">
      <w:pPr>
        <w:pStyle w:val="SingleTxtG"/>
      </w:pPr>
      <w:r>
        <w:tab/>
        <w:t>(a)</w:t>
      </w:r>
      <w:r>
        <w:tab/>
      </w:r>
      <w:r w:rsidRPr="008E0262">
        <w:t>The amendment to the Working Environment Law to strengthen the right to full-time work, in 2023;</w:t>
      </w:r>
    </w:p>
    <w:p w14:paraId="6535CC7A" w14:textId="77777777" w:rsidR="0012643C" w:rsidRPr="008E0262" w:rsidRDefault="0012643C" w:rsidP="0012643C">
      <w:pPr>
        <w:pStyle w:val="SingleTxtG"/>
      </w:pPr>
      <w:r>
        <w:tab/>
        <w:t>(b)</w:t>
      </w:r>
      <w:r>
        <w:tab/>
      </w:r>
      <w:r w:rsidRPr="008E0262">
        <w:t>The amendment to expand the prohibition of forced marriage to include extrajudicial forced marriage, in 2021;</w:t>
      </w:r>
    </w:p>
    <w:p w14:paraId="5BF245A7" w14:textId="77777777" w:rsidR="0012643C" w:rsidRPr="008E0262" w:rsidRDefault="0012643C" w:rsidP="0012643C">
      <w:pPr>
        <w:pStyle w:val="SingleTxtG"/>
      </w:pPr>
      <w:r>
        <w:tab/>
        <w:t>(c)</w:t>
      </w:r>
      <w:r>
        <w:tab/>
      </w:r>
      <w:r w:rsidRPr="008E0262">
        <w:t>The amendment to expand the duty to avert a criminal offence, which is subject to penalties, to encompass forced marriage, aggravated human trafficking and aggravated sexual activity with children between the ages of 14 and 16, in 2020;</w:t>
      </w:r>
    </w:p>
    <w:p w14:paraId="7866EFA1" w14:textId="77777777" w:rsidR="0012643C" w:rsidRPr="008E0262" w:rsidRDefault="0012643C" w:rsidP="0012643C">
      <w:pPr>
        <w:pStyle w:val="SingleTxtG"/>
      </w:pPr>
      <w:r>
        <w:tab/>
        <w:t>(d)</w:t>
      </w:r>
      <w:r>
        <w:tab/>
      </w:r>
      <w:r w:rsidRPr="008E0262">
        <w:t>The amendments to the Equality and Anti-Discrimination Law to strengthen the duty of public authorities and employers to promote gender equality and to report on it and to authorize the Anti-Discrimination Tribunal to enforce the prohibition of sexual harassment, in 2020.</w:t>
      </w:r>
    </w:p>
    <w:p w14:paraId="2003FD22" w14:textId="77777777" w:rsidR="0012643C" w:rsidRDefault="0012643C" w:rsidP="0012643C">
      <w:pPr>
        <w:pStyle w:val="SingleTxtG"/>
      </w:pPr>
      <w:r>
        <w:t>6.</w:t>
      </w:r>
      <w:r>
        <w:tab/>
        <w:t xml:space="preserve">The Committee welcomes the State party’s efforts to improve its institutional </w:t>
      </w:r>
      <w:r w:rsidRPr="00870779">
        <w:rPr>
          <w:spacing w:val="2"/>
        </w:rPr>
        <w:t>and policy framework aimed at accelerating the elimination of discrimination against</w:t>
      </w:r>
      <w:r>
        <w:t xml:space="preserve"> women and promoting gender equality, such as the adoption and </w:t>
      </w:r>
      <w:r w:rsidRPr="005774B3">
        <w:t xml:space="preserve">establishment </w:t>
      </w:r>
      <w:r w:rsidRPr="00F52BE1">
        <w:t>of the following:</w:t>
      </w:r>
    </w:p>
    <w:p w14:paraId="5412CEC0" w14:textId="77777777" w:rsidR="0012643C" w:rsidRPr="008E0262" w:rsidRDefault="0012643C" w:rsidP="0012643C">
      <w:pPr>
        <w:pStyle w:val="SingleTxtG"/>
      </w:pPr>
      <w:r>
        <w:tab/>
        <w:t>(a)</w:t>
      </w:r>
      <w:r>
        <w:tab/>
      </w:r>
      <w:r w:rsidRPr="008E0262">
        <w:t>The increases in the grant scheme for family and equality measures to strengthen funding for NGO activities  on gender equality by 70 percent, in 2022;</w:t>
      </w:r>
    </w:p>
    <w:p w14:paraId="70928DF0" w14:textId="77777777" w:rsidR="0012643C" w:rsidRPr="008E0262" w:rsidRDefault="0012643C" w:rsidP="0012643C">
      <w:pPr>
        <w:pStyle w:val="SingleTxtG"/>
      </w:pPr>
      <w:r>
        <w:tab/>
        <w:t>(b)</w:t>
      </w:r>
      <w:r>
        <w:tab/>
      </w:r>
      <w:r w:rsidRPr="008E0262">
        <w:t>The sixth action plan against domestic violence for 2021 to 2024;</w:t>
      </w:r>
    </w:p>
    <w:p w14:paraId="415C297F" w14:textId="77777777" w:rsidR="0012643C" w:rsidRPr="008E0262" w:rsidRDefault="0012643C" w:rsidP="0012643C">
      <w:pPr>
        <w:pStyle w:val="SingleTxtG"/>
      </w:pPr>
      <w:r>
        <w:tab/>
        <w:t>(c)</w:t>
      </w:r>
      <w:r>
        <w:tab/>
      </w:r>
      <w:r w:rsidRPr="008E0262">
        <w:t>The ‘Shareable?’ educational programme on illegal image sharing among children and adolescents, in 2020;</w:t>
      </w:r>
    </w:p>
    <w:p w14:paraId="07B0C9FA" w14:textId="77777777" w:rsidR="0012643C" w:rsidRPr="008E0262" w:rsidRDefault="0012643C" w:rsidP="0012643C">
      <w:pPr>
        <w:pStyle w:val="SingleTxtG"/>
      </w:pPr>
      <w:r>
        <w:tab/>
        <w:t>(d)</w:t>
      </w:r>
      <w:r>
        <w:tab/>
      </w:r>
      <w:r w:rsidRPr="008E0262">
        <w:t>The electronic guide for preventing and addressing sexual harassment in the workplace, in 2018;</w:t>
      </w:r>
    </w:p>
    <w:p w14:paraId="24413152" w14:textId="77777777" w:rsidR="0012643C" w:rsidRPr="008E0262" w:rsidRDefault="0012643C" w:rsidP="0012643C">
      <w:pPr>
        <w:pStyle w:val="SingleTxtG"/>
      </w:pPr>
      <w:r>
        <w:tab/>
        <w:t>(e)</w:t>
      </w:r>
      <w:r>
        <w:tab/>
      </w:r>
      <w:r w:rsidRPr="008E0262">
        <w:t>The mandating of a  Commission to investigate gender equality issues faced by children and adolescents, including media representation and children’s exposure to sexualised media /pornography, in 2018;</w:t>
      </w:r>
    </w:p>
    <w:p w14:paraId="740DE4C9" w14:textId="77777777" w:rsidR="0012643C" w:rsidRPr="008E0262" w:rsidRDefault="0012643C" w:rsidP="0012643C">
      <w:pPr>
        <w:pStyle w:val="SingleTxtG"/>
      </w:pPr>
      <w:r>
        <w:tab/>
        <w:t>(f)</w:t>
      </w:r>
      <w:r>
        <w:tab/>
      </w:r>
      <w:r w:rsidRPr="008E0262">
        <w:t>The TryggEst comprehensive model that municipalities can use to prevent, detect and address violence and abuse directed at the most vulnerable groups  of society, in 2018</w:t>
      </w:r>
      <w:r>
        <w:t>;</w:t>
      </w:r>
    </w:p>
    <w:p w14:paraId="540EF698" w14:textId="77777777" w:rsidR="0012643C" w:rsidRPr="008E0262" w:rsidRDefault="0012643C" w:rsidP="0012643C">
      <w:pPr>
        <w:pStyle w:val="SingleTxtG"/>
      </w:pPr>
      <w:r>
        <w:tab/>
        <w:t>(g)</w:t>
      </w:r>
      <w:r>
        <w:tab/>
      </w:r>
      <w:r w:rsidRPr="008E0262">
        <w:t>The Commission for the protection of children and adolescents against harmful media content, with particular emphasis on pornographic and sexualised content, in 2019.</w:t>
      </w:r>
    </w:p>
    <w:p w14:paraId="5D16FD8F" w14:textId="77777777" w:rsidR="0012643C" w:rsidRPr="009050DE" w:rsidRDefault="0012643C" w:rsidP="0012643C">
      <w:pPr>
        <w:pStyle w:val="SingleTxtG"/>
      </w:pPr>
      <w:r>
        <w:t>7.</w:t>
      </w:r>
      <w:r>
        <w:tab/>
        <w:t xml:space="preserve">The Committee welcomes the fact that, in the period since the consideration of the previous report, the State party has ratified the </w:t>
      </w:r>
      <w:r w:rsidRPr="009050DE">
        <w:t>Convention for the Protection of All Persons from Enforced Disappearance</w:t>
      </w:r>
      <w:r>
        <w:t>, in 2019.</w:t>
      </w:r>
    </w:p>
    <w:p w14:paraId="560A36B5" w14:textId="77777777" w:rsidR="0012643C" w:rsidRPr="005E653D" w:rsidRDefault="0012643C" w:rsidP="0012643C">
      <w:pPr>
        <w:pStyle w:val="H1G"/>
        <w:ind w:left="0" w:firstLine="0"/>
      </w:pPr>
      <w:r>
        <w:tab/>
      </w:r>
      <w:r w:rsidRPr="005E653D">
        <w:t>C.</w:t>
      </w:r>
      <w:r w:rsidRPr="005E653D">
        <w:tab/>
        <w:t>Sustainable Development Goals</w:t>
      </w:r>
    </w:p>
    <w:p w14:paraId="60E19CD6" w14:textId="77777777" w:rsidR="0012643C" w:rsidRPr="008E0262" w:rsidRDefault="0012643C" w:rsidP="0012643C">
      <w:pPr>
        <w:pStyle w:val="SingleTxt"/>
        <w:tabs>
          <w:tab w:val="clear" w:pos="1267"/>
          <w:tab w:val="left" w:pos="1134"/>
        </w:tabs>
        <w:ind w:left="1134"/>
        <w:rPr>
          <w:rStyle w:val="SingleTxtGChar"/>
          <w:b/>
          <w:bCs/>
        </w:rPr>
      </w:pPr>
      <w:r>
        <w:t>8</w:t>
      </w:r>
      <w:r w:rsidRPr="003D4157">
        <w:t>.</w:t>
      </w:r>
      <w:r w:rsidRPr="003D4157">
        <w:tab/>
      </w:r>
      <w:r w:rsidRPr="008E0262">
        <w:rPr>
          <w:rStyle w:val="SingleTxtGCha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4A4AAAD6" w14:textId="77777777" w:rsidR="0012643C" w:rsidRPr="005E653D" w:rsidRDefault="0012643C" w:rsidP="0012643C">
      <w:pPr>
        <w:pStyle w:val="H1G"/>
      </w:pPr>
      <w:r>
        <w:lastRenderedPageBreak/>
        <w:tab/>
        <w:t>D.</w:t>
      </w:r>
      <w:r>
        <w:tab/>
        <w:t>Parliament</w:t>
      </w:r>
    </w:p>
    <w:p w14:paraId="2D88BF91" w14:textId="77777777" w:rsidR="0012643C" w:rsidRPr="00ED7FE5" w:rsidRDefault="0012643C" w:rsidP="0012643C">
      <w:pPr>
        <w:pStyle w:val="SingleTxtG"/>
        <w:rPr>
          <w:b/>
          <w:lang w:val="en-US"/>
        </w:rPr>
      </w:pPr>
      <w:r>
        <w:rPr>
          <w:lang w:val="en-US"/>
        </w:rPr>
        <w:t>9.</w:t>
      </w:r>
      <w:r>
        <w:rPr>
          <w:lang w:val="en-US"/>
        </w:rPr>
        <w:tab/>
      </w:r>
      <w:r w:rsidRPr="00ED7FE5">
        <w:rPr>
          <w:b/>
          <w:lang w:val="en-US"/>
        </w:rPr>
        <w:t>The Committee stresses the crucial role of the legislative power in ensuring the full implementation of the Convention (see the statement by the Committee on its relationship with parliamentarians,</w:t>
      </w:r>
      <w:r>
        <w:rPr>
          <w:b/>
          <w:lang w:val="en-US"/>
        </w:rPr>
        <w:t xml:space="preserve"> </w:t>
      </w:r>
      <w:r w:rsidRPr="00303171">
        <w:rPr>
          <w:b/>
          <w:lang w:val="en-US"/>
        </w:rPr>
        <w:t>annex V</w:t>
      </w:r>
      <w:r>
        <w:rPr>
          <w:b/>
          <w:lang w:val="en-US"/>
        </w:rPr>
        <w:t>I</w:t>
      </w:r>
      <w:r w:rsidRPr="00303171">
        <w:rPr>
          <w:b/>
          <w:lang w:val="en-US"/>
        </w:rPr>
        <w:t xml:space="preserve"> to E/CN.6/2010/CRP.2</w:t>
      </w:r>
      <w:r w:rsidRPr="00ED7FE5">
        <w:rPr>
          <w:b/>
          <w:lang w:val="en-US"/>
        </w:rPr>
        <w:t xml:space="preserve">). It invites </w:t>
      </w:r>
      <w:r>
        <w:rPr>
          <w:b/>
          <w:lang w:val="en-US"/>
        </w:rPr>
        <w:t xml:space="preserve">the </w:t>
      </w:r>
      <w:r w:rsidRPr="00990C23">
        <w:rPr>
          <w:b/>
        </w:rPr>
        <w:t>Parliament (</w:t>
      </w:r>
      <w:r w:rsidRPr="003604EA">
        <w:rPr>
          <w:b/>
          <w:i/>
          <w:iCs/>
        </w:rPr>
        <w:t>Storting</w:t>
      </w:r>
      <w:r w:rsidRPr="00990C23">
        <w:rPr>
          <w:b/>
        </w:rPr>
        <w:t xml:space="preserve">), </w:t>
      </w:r>
      <w:r w:rsidRPr="00ED7FE5">
        <w:rPr>
          <w:b/>
          <w:lang w:val="en-US"/>
        </w:rPr>
        <w:t xml:space="preserve">in line with its mandate, to take necessary steps regarding the </w:t>
      </w:r>
      <w:r w:rsidRPr="006314F7">
        <w:rPr>
          <w:b/>
          <w:lang w:val="en-US"/>
        </w:rPr>
        <w:t>implementation of the present concluding observations between now and the</w:t>
      </w:r>
      <w:r w:rsidRPr="006314F7">
        <w:rPr>
          <w:b/>
          <w:bCs/>
        </w:rPr>
        <w:t xml:space="preserve"> submission of the next periodic report</w:t>
      </w:r>
      <w:r w:rsidRPr="006314F7">
        <w:rPr>
          <w:b/>
          <w:lang w:val="en-US"/>
        </w:rPr>
        <w:t xml:space="preserve"> under</w:t>
      </w:r>
      <w:r w:rsidRPr="00ED7FE5">
        <w:rPr>
          <w:b/>
          <w:lang w:val="en-US"/>
        </w:rPr>
        <w:t xml:space="preserve"> the Convention.</w:t>
      </w:r>
    </w:p>
    <w:p w14:paraId="7229DFC3" w14:textId="77777777" w:rsidR="0012643C" w:rsidRPr="005E653D" w:rsidRDefault="0012643C" w:rsidP="0012643C">
      <w:pPr>
        <w:pStyle w:val="H1G"/>
        <w:rPr>
          <w:b w:val="0"/>
          <w:bCs/>
          <w:color w:val="000000"/>
        </w:rPr>
      </w:pPr>
      <w:r>
        <w:tab/>
        <w:t>E.</w:t>
      </w:r>
      <w:r>
        <w:tab/>
        <w:t>Principal</w:t>
      </w:r>
      <w:r w:rsidRPr="00B54D13">
        <w:t xml:space="preserve"> areas of concern and recommendations</w:t>
      </w:r>
    </w:p>
    <w:p w14:paraId="1F9F611C" w14:textId="0EF2EC1A" w:rsidR="005E653D" w:rsidRDefault="005E653D" w:rsidP="005E653D">
      <w:pPr>
        <w:pStyle w:val="H23G"/>
      </w:pPr>
      <w:r>
        <w:tab/>
      </w:r>
      <w:r>
        <w:tab/>
      </w:r>
      <w:r w:rsidRPr="00475FF9">
        <w:t xml:space="preserve">Visibility of the Convention, </w:t>
      </w:r>
      <w:r>
        <w:t xml:space="preserve">the </w:t>
      </w:r>
      <w:r w:rsidRPr="00475FF9">
        <w:t>Optional Protocol and the Committee’s general recommendations</w:t>
      </w:r>
      <w:r w:rsidRPr="00DD67C8">
        <w:t xml:space="preserve"> </w:t>
      </w:r>
    </w:p>
    <w:p w14:paraId="5CB0DC2C" w14:textId="535ECF66" w:rsidR="00D531DB" w:rsidRDefault="000943BF" w:rsidP="0091494E">
      <w:pPr>
        <w:pStyle w:val="SingleTxtG"/>
      </w:pPr>
      <w:r>
        <w:t>10.</w:t>
      </w:r>
      <w:r>
        <w:tab/>
      </w:r>
      <w:r w:rsidR="00586A07">
        <w:t xml:space="preserve">The Committee </w:t>
      </w:r>
      <w:r w:rsidR="0091052F">
        <w:t>welcomes the</w:t>
      </w:r>
      <w:r w:rsidR="003777B7">
        <w:t xml:space="preserve"> </w:t>
      </w:r>
      <w:r w:rsidR="00586A07">
        <w:t>course</w:t>
      </w:r>
      <w:r w:rsidR="00054319">
        <w:t>s</w:t>
      </w:r>
      <w:r w:rsidR="0091052F">
        <w:t xml:space="preserve"> </w:t>
      </w:r>
      <w:r w:rsidR="003777B7">
        <w:t xml:space="preserve">offered </w:t>
      </w:r>
      <w:r w:rsidR="00586A07">
        <w:t xml:space="preserve">on women’s rights at Oslo University and other academic institutions. </w:t>
      </w:r>
      <w:r w:rsidR="0054399C">
        <w:t xml:space="preserve">It is concerned, however, that </w:t>
      </w:r>
      <w:r w:rsidR="0091052F">
        <w:t xml:space="preserve">no </w:t>
      </w:r>
      <w:r w:rsidR="00D531DB" w:rsidRPr="0054399C">
        <w:t xml:space="preserve">equivalent </w:t>
      </w:r>
      <w:r>
        <w:t>education</w:t>
      </w:r>
      <w:r w:rsidR="0091052F">
        <w:t xml:space="preserve"> exists</w:t>
      </w:r>
      <w:r w:rsidR="00D531DB" w:rsidRPr="0054399C">
        <w:t xml:space="preserve"> for the larger publi</w:t>
      </w:r>
      <w:r w:rsidR="0054399C">
        <w:t xml:space="preserve">c. </w:t>
      </w:r>
      <w:r w:rsidR="0091052F">
        <w:t>It</w:t>
      </w:r>
      <w:r w:rsidR="0054399C">
        <w:t xml:space="preserve"> also reiterates its concern </w:t>
      </w:r>
      <w:r w:rsidR="0054399C" w:rsidRPr="0054399C">
        <w:t xml:space="preserve">about the lack of awareness </w:t>
      </w:r>
      <w:r w:rsidR="0054399C">
        <w:t xml:space="preserve">about the Convention, </w:t>
      </w:r>
      <w:r>
        <w:t>the</w:t>
      </w:r>
      <w:r w:rsidR="0054399C">
        <w:t xml:space="preserve"> Optional Protocol </w:t>
      </w:r>
      <w:r>
        <w:t xml:space="preserve">thereto </w:t>
      </w:r>
      <w:r w:rsidR="0054399C">
        <w:t xml:space="preserve">and the Committee’s general recommendations </w:t>
      </w:r>
      <w:r w:rsidR="0054399C" w:rsidRPr="0054399C">
        <w:t>among women, in particular</w:t>
      </w:r>
      <w:r w:rsidR="0079037C">
        <w:t xml:space="preserve"> women </w:t>
      </w:r>
      <w:r w:rsidR="00054319">
        <w:t>from</w:t>
      </w:r>
      <w:r w:rsidR="0079037C">
        <w:t xml:space="preserve"> ethnic minorities,</w:t>
      </w:r>
      <w:r w:rsidR="0054399C" w:rsidRPr="0054399C">
        <w:t xml:space="preserve"> </w:t>
      </w:r>
      <w:r w:rsidR="0079037C">
        <w:t>migrant women and women with disabilities</w:t>
      </w:r>
      <w:r w:rsidR="0054399C" w:rsidRPr="0054399C">
        <w:t>, which presents an obstacle to them claiming their rights</w:t>
      </w:r>
      <w:r>
        <w:t>, as well as among the general public</w:t>
      </w:r>
      <w:r w:rsidR="00E4280D">
        <w:t>.</w:t>
      </w:r>
    </w:p>
    <w:p w14:paraId="72CBACE3" w14:textId="5FF70C8E" w:rsidR="0054399C" w:rsidRPr="0091494E" w:rsidRDefault="00F22B34" w:rsidP="0091494E">
      <w:pPr>
        <w:pStyle w:val="SingleTxtG"/>
        <w:rPr>
          <w:b/>
          <w:bCs/>
        </w:rPr>
      </w:pPr>
      <w:r>
        <w:t>11.</w:t>
      </w:r>
      <w:r w:rsidR="0091494E">
        <w:tab/>
      </w:r>
      <w:r w:rsidR="0054399C" w:rsidRPr="0091494E">
        <w:rPr>
          <w:b/>
          <w:bCs/>
        </w:rPr>
        <w:t xml:space="preserve">The Committee recommends that the State party </w:t>
      </w:r>
      <w:r w:rsidR="0079037C" w:rsidRPr="0091494E">
        <w:rPr>
          <w:b/>
          <w:bCs/>
        </w:rPr>
        <w:t xml:space="preserve">intensify its efforts to raise awareness among women </w:t>
      </w:r>
      <w:r w:rsidR="000943BF" w:rsidRPr="0091494E">
        <w:rPr>
          <w:b/>
          <w:bCs/>
        </w:rPr>
        <w:t xml:space="preserve">and men, girls and boys, </w:t>
      </w:r>
      <w:r w:rsidR="0079037C" w:rsidRPr="0091494E">
        <w:rPr>
          <w:b/>
          <w:bCs/>
        </w:rPr>
        <w:t xml:space="preserve">of </w:t>
      </w:r>
      <w:r w:rsidR="000943BF" w:rsidRPr="0091494E">
        <w:rPr>
          <w:b/>
          <w:bCs/>
        </w:rPr>
        <w:t>women’s</w:t>
      </w:r>
      <w:r w:rsidR="0079037C" w:rsidRPr="0091494E">
        <w:rPr>
          <w:b/>
          <w:bCs/>
        </w:rPr>
        <w:t xml:space="preserve"> rights under the Convention and </w:t>
      </w:r>
      <w:r w:rsidR="000943BF" w:rsidRPr="0091494E">
        <w:rPr>
          <w:b/>
          <w:bCs/>
        </w:rPr>
        <w:t>the remedies available to them under the</w:t>
      </w:r>
      <w:r w:rsidR="0079037C" w:rsidRPr="0091494E">
        <w:rPr>
          <w:b/>
          <w:bCs/>
        </w:rPr>
        <w:t xml:space="preserve"> Optional Protocol</w:t>
      </w:r>
      <w:r w:rsidR="000943BF" w:rsidRPr="0091494E">
        <w:rPr>
          <w:b/>
          <w:bCs/>
        </w:rPr>
        <w:t xml:space="preserve"> thereto</w:t>
      </w:r>
      <w:r w:rsidR="0079037C" w:rsidRPr="0091494E">
        <w:rPr>
          <w:b/>
          <w:bCs/>
        </w:rPr>
        <w:t xml:space="preserve">, including via </w:t>
      </w:r>
      <w:r w:rsidR="003777B7" w:rsidRPr="0091494E">
        <w:rPr>
          <w:b/>
          <w:bCs/>
        </w:rPr>
        <w:t>online</w:t>
      </w:r>
      <w:r w:rsidR="0079037C" w:rsidRPr="0091494E">
        <w:rPr>
          <w:b/>
          <w:bCs/>
        </w:rPr>
        <w:t xml:space="preserve"> courses and outreach activities on </w:t>
      </w:r>
      <w:r w:rsidR="000943BF" w:rsidRPr="0091494E">
        <w:rPr>
          <w:b/>
          <w:bCs/>
        </w:rPr>
        <w:t>the Convention</w:t>
      </w:r>
      <w:r w:rsidR="0079037C" w:rsidRPr="0091494E">
        <w:rPr>
          <w:b/>
          <w:bCs/>
        </w:rPr>
        <w:t xml:space="preserve">, the dissemination of accessible information and the usage of media. </w:t>
      </w:r>
    </w:p>
    <w:p w14:paraId="78C5E2AD" w14:textId="6E35755C" w:rsidR="00BE0C78" w:rsidRDefault="00F22B34" w:rsidP="008B6614">
      <w:pPr>
        <w:pStyle w:val="SingleTxtG"/>
      </w:pPr>
      <w:r>
        <w:t>12.</w:t>
      </w:r>
      <w:r w:rsidR="0091494E">
        <w:tab/>
      </w:r>
      <w:r w:rsidR="0054399C">
        <w:t xml:space="preserve">The Committee </w:t>
      </w:r>
      <w:r w:rsidR="00EC3932">
        <w:t>welcomes</w:t>
      </w:r>
      <w:r w:rsidR="0054399C">
        <w:t xml:space="preserve"> the inclusion of </w:t>
      </w:r>
      <w:r w:rsidR="000943BF">
        <w:t>training</w:t>
      </w:r>
      <w:r w:rsidR="0054399C">
        <w:t xml:space="preserve"> on the Convention in induction programmes for newly appointed judges </w:t>
      </w:r>
      <w:r w:rsidR="00054319">
        <w:t>and</w:t>
      </w:r>
      <w:r w:rsidR="0054399C">
        <w:t xml:space="preserve"> on </w:t>
      </w:r>
      <w:r w:rsidR="000943BF">
        <w:t>gender-sensitive</w:t>
      </w:r>
      <w:r w:rsidR="0054399C">
        <w:t xml:space="preserve"> investigation</w:t>
      </w:r>
      <w:r w:rsidR="000943BF">
        <w:t>s</w:t>
      </w:r>
      <w:r w:rsidR="0054399C">
        <w:t xml:space="preserve"> of domestic violence and sexual abuse</w:t>
      </w:r>
      <w:r w:rsidR="00057CCE">
        <w:t xml:space="preserve"> </w:t>
      </w:r>
      <w:r w:rsidR="000943BF">
        <w:t>in</w:t>
      </w:r>
      <w:r w:rsidR="00057CCE">
        <w:t xml:space="preserve"> postgraduate courses at the Police Academy</w:t>
      </w:r>
      <w:r w:rsidR="0054399C">
        <w:t>. It is concerned, however, that</w:t>
      </w:r>
      <w:r w:rsidR="005F5E81">
        <w:t xml:space="preserve"> </w:t>
      </w:r>
      <w:r w:rsidR="00C41149">
        <w:t>t</w:t>
      </w:r>
      <w:r w:rsidR="00D531DB" w:rsidRPr="00057CCE">
        <w:t xml:space="preserve">he </w:t>
      </w:r>
      <w:r w:rsidR="00BE0C78">
        <w:t xml:space="preserve">basic </w:t>
      </w:r>
      <w:r w:rsidR="000943BF">
        <w:t>mandatory training</w:t>
      </w:r>
      <w:r w:rsidR="00BE0C78">
        <w:t xml:space="preserve"> provided to</w:t>
      </w:r>
      <w:r w:rsidR="00407D07">
        <w:t xml:space="preserve"> </w:t>
      </w:r>
      <w:r w:rsidR="00995240">
        <w:t xml:space="preserve">prosecutors, lawyers and </w:t>
      </w:r>
      <w:r w:rsidR="00057CCE" w:rsidRPr="00057CCE">
        <w:t>law enforcement offic</w:t>
      </w:r>
      <w:r w:rsidR="00EC3932">
        <w:t>ials</w:t>
      </w:r>
      <w:r w:rsidR="00057CCE" w:rsidRPr="00057CCE">
        <w:t xml:space="preserve"> </w:t>
      </w:r>
      <w:r w:rsidR="00995240">
        <w:t xml:space="preserve">does not </w:t>
      </w:r>
      <w:r w:rsidR="00057CCE" w:rsidRPr="00057CCE">
        <w:t xml:space="preserve">cover the Convention, the Optional Protocol </w:t>
      </w:r>
      <w:r w:rsidR="000943BF">
        <w:t xml:space="preserve">thereto </w:t>
      </w:r>
      <w:r w:rsidR="00057CCE" w:rsidRPr="00057CCE">
        <w:t xml:space="preserve">and the Committee’s </w:t>
      </w:r>
      <w:r w:rsidR="000943BF">
        <w:t xml:space="preserve">general </w:t>
      </w:r>
      <w:r w:rsidR="00057CCE" w:rsidRPr="00057CCE">
        <w:t>recommendations</w:t>
      </w:r>
      <w:r w:rsidR="004E0A29">
        <w:t>.</w:t>
      </w:r>
    </w:p>
    <w:p w14:paraId="2656E308" w14:textId="5D88CA97" w:rsidR="00BE0C78" w:rsidRPr="004774F1" w:rsidRDefault="00F22B34" w:rsidP="004774F1">
      <w:pPr>
        <w:pStyle w:val="SingleTxtG"/>
        <w:rPr>
          <w:b/>
          <w:bCs/>
        </w:rPr>
      </w:pPr>
      <w:r w:rsidRPr="004774F1">
        <w:t>13.</w:t>
      </w:r>
      <w:r w:rsidR="0091494E" w:rsidRPr="004774F1">
        <w:tab/>
      </w:r>
      <w:r w:rsidR="00BE0C78" w:rsidRPr="004774F1">
        <w:rPr>
          <w:b/>
          <w:bCs/>
        </w:rPr>
        <w:t>The Committee recommends that the State party</w:t>
      </w:r>
      <w:r w:rsidR="00C41149" w:rsidRPr="004774F1">
        <w:rPr>
          <w:b/>
          <w:bCs/>
        </w:rPr>
        <w:t xml:space="preserve"> p</w:t>
      </w:r>
      <w:r w:rsidR="000943BF" w:rsidRPr="004774F1">
        <w:rPr>
          <w:b/>
          <w:bCs/>
        </w:rPr>
        <w:t>rovide</w:t>
      </w:r>
      <w:r w:rsidR="00BE0C78" w:rsidRPr="004774F1">
        <w:rPr>
          <w:b/>
          <w:bCs/>
        </w:rPr>
        <w:t xml:space="preserve"> systematic </w:t>
      </w:r>
      <w:r w:rsidR="000943BF" w:rsidRPr="004774F1">
        <w:rPr>
          <w:b/>
          <w:bCs/>
        </w:rPr>
        <w:t xml:space="preserve">and mandatory </w:t>
      </w:r>
      <w:r w:rsidR="00BE0C78" w:rsidRPr="004774F1">
        <w:rPr>
          <w:b/>
          <w:bCs/>
        </w:rPr>
        <w:t xml:space="preserve">capacity-building for judges, prosecutors, law enforcement officials </w:t>
      </w:r>
      <w:r w:rsidR="000943BF" w:rsidRPr="004774F1">
        <w:rPr>
          <w:b/>
          <w:bCs/>
        </w:rPr>
        <w:t xml:space="preserve">and lawyers </w:t>
      </w:r>
      <w:r w:rsidR="00BE0C78" w:rsidRPr="004774F1">
        <w:rPr>
          <w:b/>
          <w:bCs/>
        </w:rPr>
        <w:t xml:space="preserve">on the Convention, the Optional Protocol </w:t>
      </w:r>
      <w:r w:rsidR="000943BF" w:rsidRPr="004774F1">
        <w:rPr>
          <w:b/>
          <w:bCs/>
        </w:rPr>
        <w:t xml:space="preserve">thereto </w:t>
      </w:r>
      <w:r w:rsidR="00BE0C78" w:rsidRPr="004774F1">
        <w:rPr>
          <w:b/>
          <w:bCs/>
        </w:rPr>
        <w:t xml:space="preserve">and the Committee’s </w:t>
      </w:r>
      <w:r w:rsidR="000943BF" w:rsidRPr="004774F1">
        <w:rPr>
          <w:b/>
          <w:bCs/>
        </w:rPr>
        <w:t xml:space="preserve">general </w:t>
      </w:r>
      <w:r w:rsidR="00BE0C78" w:rsidRPr="004774F1">
        <w:rPr>
          <w:b/>
          <w:bCs/>
        </w:rPr>
        <w:t>recommendations</w:t>
      </w:r>
      <w:r w:rsidR="004774F1">
        <w:rPr>
          <w:b/>
          <w:bCs/>
        </w:rPr>
        <w:t>.</w:t>
      </w:r>
    </w:p>
    <w:p w14:paraId="704C9F77" w14:textId="13F17A04" w:rsidR="0006130D" w:rsidRDefault="005E653D" w:rsidP="005E653D">
      <w:pPr>
        <w:pStyle w:val="H23G"/>
      </w:pPr>
      <w:r>
        <w:tab/>
      </w:r>
      <w:r>
        <w:tab/>
      </w:r>
      <w:r w:rsidR="0006130D">
        <w:t>Legislative framework and definition of discrimination against women</w:t>
      </w:r>
    </w:p>
    <w:p w14:paraId="46EC631C" w14:textId="678E3163" w:rsidR="00A35E49" w:rsidRPr="00E341D0" w:rsidRDefault="00F22B34" w:rsidP="00FD7C22">
      <w:pPr>
        <w:ind w:left="1134" w:right="991"/>
        <w:jc w:val="both"/>
        <w:rPr>
          <w:rStyle w:val="SingleTxtGChar"/>
        </w:rPr>
      </w:pPr>
      <w:r>
        <w:t>14.</w:t>
      </w:r>
      <w:r w:rsidR="00E341D0">
        <w:tab/>
      </w:r>
      <w:r w:rsidR="00B52686" w:rsidRPr="00E341D0">
        <w:rPr>
          <w:rStyle w:val="SingleTxtGChar"/>
        </w:rPr>
        <w:t>T</w:t>
      </w:r>
      <w:r w:rsidR="0006130D" w:rsidRPr="00E341D0">
        <w:rPr>
          <w:rStyle w:val="SingleTxtGChar"/>
        </w:rPr>
        <w:t xml:space="preserve">he Committee notes that, as a general rule, </w:t>
      </w:r>
      <w:r w:rsidR="00B37449" w:rsidRPr="00E341D0">
        <w:rPr>
          <w:rStyle w:val="SingleTxtGChar"/>
        </w:rPr>
        <w:t xml:space="preserve">Norwegian </w:t>
      </w:r>
      <w:r w:rsidR="0006130D" w:rsidRPr="00E341D0">
        <w:rPr>
          <w:rStyle w:val="SingleTxtGChar"/>
        </w:rPr>
        <w:t xml:space="preserve">legislation is gender-neutral. </w:t>
      </w:r>
      <w:r w:rsidR="00845FF3" w:rsidRPr="00E341D0">
        <w:rPr>
          <w:rStyle w:val="SingleTxtGChar"/>
        </w:rPr>
        <w:t>It</w:t>
      </w:r>
      <w:r w:rsidR="0006130D" w:rsidRPr="00E341D0">
        <w:rPr>
          <w:rStyle w:val="SingleTxtGChar"/>
        </w:rPr>
        <w:t xml:space="preserve"> re</w:t>
      </w:r>
      <w:r w:rsidR="00B37449" w:rsidRPr="00E341D0">
        <w:rPr>
          <w:rStyle w:val="SingleTxtGChar"/>
        </w:rPr>
        <w:t>iterates</w:t>
      </w:r>
      <w:r w:rsidR="0006130D" w:rsidRPr="00E341D0">
        <w:rPr>
          <w:rStyle w:val="SingleTxtGChar"/>
        </w:rPr>
        <w:t xml:space="preserve"> its concern that gender-neutral legislation, policies and programmes might </w:t>
      </w:r>
      <w:r w:rsidR="00B37449" w:rsidRPr="00E341D0">
        <w:rPr>
          <w:rStyle w:val="SingleTxtGChar"/>
        </w:rPr>
        <w:t>result in an</w:t>
      </w:r>
      <w:r w:rsidR="0006130D" w:rsidRPr="00E341D0">
        <w:rPr>
          <w:rStyle w:val="SingleTxtGChar"/>
        </w:rPr>
        <w:t xml:space="preserve"> inadequate protection of women against direct and indirect discrimination and hinder the achievement of substantive equality between women and men, as explained in paragraph 5 of the Committee’s general recommendation No. 28 (2010) on the core obligations of States parties under article 2 of the Convention.</w:t>
      </w:r>
      <w:r w:rsidR="00FD7C22" w:rsidRPr="00E341D0">
        <w:rPr>
          <w:rStyle w:val="SingleTxtGChar"/>
        </w:rPr>
        <w:t xml:space="preserve"> </w:t>
      </w:r>
      <w:r w:rsidR="00A35E49" w:rsidRPr="00E341D0">
        <w:rPr>
          <w:rStyle w:val="SingleTxtGChar"/>
        </w:rPr>
        <w:t>It is also concerned that:</w:t>
      </w:r>
    </w:p>
    <w:p w14:paraId="0D045289" w14:textId="27E0229C" w:rsidR="00BF6158" w:rsidRDefault="00E341D0" w:rsidP="00E341D0">
      <w:pPr>
        <w:pStyle w:val="SingleTxtG"/>
      </w:pPr>
      <w:r>
        <w:tab/>
        <w:t>(a)</w:t>
      </w:r>
      <w:r>
        <w:tab/>
      </w:r>
      <w:r w:rsidR="00BF6158" w:rsidRPr="002972E4">
        <w:t>While noting</w:t>
      </w:r>
      <w:r w:rsidR="00BF6158">
        <w:t xml:space="preserve"> </w:t>
      </w:r>
      <w:r w:rsidR="00B37449">
        <w:t>that, according to</w:t>
      </w:r>
      <w:r w:rsidR="00BF6158" w:rsidRPr="002972E4">
        <w:t xml:space="preserve"> the State party report and the delegation</w:t>
      </w:r>
      <w:r w:rsidR="00B37449">
        <w:t>,</w:t>
      </w:r>
      <w:r w:rsidR="00BF6158" w:rsidRPr="002972E4">
        <w:t xml:space="preserve"> </w:t>
      </w:r>
      <w:r w:rsidR="00054319">
        <w:t>certain</w:t>
      </w:r>
      <w:r w:rsidR="00BF6158" w:rsidRPr="002972E4">
        <w:t xml:space="preserve"> </w:t>
      </w:r>
      <w:r w:rsidR="00B37449">
        <w:t>laws</w:t>
      </w:r>
      <w:r w:rsidR="00BF6158" w:rsidRPr="002972E4">
        <w:t xml:space="preserve"> and policies</w:t>
      </w:r>
      <w:r w:rsidR="00B37449">
        <w:t xml:space="preserve"> identify</w:t>
      </w:r>
      <w:r w:rsidR="00BF6158" w:rsidRPr="002972E4">
        <w:t xml:space="preserve"> problem</w:t>
      </w:r>
      <w:r w:rsidR="00B37449">
        <w:t>s</w:t>
      </w:r>
      <w:r w:rsidR="00BF6158" w:rsidRPr="002972E4">
        <w:t xml:space="preserve"> faced particularly by women</w:t>
      </w:r>
      <w:r w:rsidR="00B37449">
        <w:t>, albeit in a gender-neutral manner,</w:t>
      </w:r>
      <w:r w:rsidR="00BF6158" w:rsidRPr="002972E4">
        <w:t xml:space="preserve"> and </w:t>
      </w:r>
      <w:r w:rsidR="00B37449">
        <w:t>aim to address them</w:t>
      </w:r>
      <w:r w:rsidR="00BF6158" w:rsidRPr="002972E4">
        <w:t xml:space="preserve">, </w:t>
      </w:r>
      <w:r w:rsidR="00054319">
        <w:t xml:space="preserve">gender-neutrality </w:t>
      </w:r>
      <w:r w:rsidR="00B37449">
        <w:t>may</w:t>
      </w:r>
      <w:r w:rsidR="00BF6158" w:rsidRPr="002972E4">
        <w:t xml:space="preserve"> </w:t>
      </w:r>
      <w:r w:rsidR="00B37449">
        <w:t>distract from</w:t>
      </w:r>
      <w:r w:rsidR="00BF6158" w:rsidRPr="002972E4">
        <w:t xml:space="preserve"> </w:t>
      </w:r>
      <w:r w:rsidR="00054319">
        <w:t>women’s disproportiona</w:t>
      </w:r>
      <w:r w:rsidR="00B37449">
        <w:t>te exposure</w:t>
      </w:r>
      <w:r w:rsidR="00054319">
        <w:t xml:space="preserve"> to </w:t>
      </w:r>
      <w:r w:rsidR="00B37449">
        <w:t>such</w:t>
      </w:r>
      <w:r w:rsidR="00BF6158" w:rsidRPr="002972E4">
        <w:t xml:space="preserve"> problem</w:t>
      </w:r>
      <w:r w:rsidR="00054319">
        <w:t xml:space="preserve"> </w:t>
      </w:r>
      <w:r w:rsidR="00BF6158" w:rsidRPr="002972E4">
        <w:t xml:space="preserve">and consequently </w:t>
      </w:r>
      <w:r w:rsidR="00B37449">
        <w:t>fail to address it adequately</w:t>
      </w:r>
      <w:r w:rsidR="00BF6158">
        <w:t>;</w:t>
      </w:r>
    </w:p>
    <w:p w14:paraId="568F8EC6" w14:textId="48671BFE" w:rsidR="00C46F7B" w:rsidRPr="00C46F7B" w:rsidRDefault="00E341D0" w:rsidP="00E341D0">
      <w:pPr>
        <w:pStyle w:val="SingleTxtG"/>
      </w:pPr>
      <w:r>
        <w:tab/>
        <w:t>(b)</w:t>
      </w:r>
      <w:r>
        <w:tab/>
      </w:r>
      <w:r w:rsidR="00C46F7B" w:rsidRPr="002972E4">
        <w:t xml:space="preserve">The gender-neutral approach and the ensuing invisibility of women might be further exacerbated for women </w:t>
      </w:r>
      <w:r w:rsidR="00B37449">
        <w:t>facing</w:t>
      </w:r>
      <w:r w:rsidR="00C46F7B" w:rsidRPr="002972E4">
        <w:t xml:space="preserve"> intersecti</w:t>
      </w:r>
      <w:r w:rsidR="00B37449">
        <w:t>ng</w:t>
      </w:r>
      <w:r w:rsidR="00C46F7B" w:rsidRPr="002972E4">
        <w:t xml:space="preserve"> </w:t>
      </w:r>
      <w:r w:rsidR="00B37449">
        <w:t xml:space="preserve">forms of </w:t>
      </w:r>
      <w:r w:rsidR="00C46F7B" w:rsidRPr="002972E4">
        <w:t>discrimination, who</w:t>
      </w:r>
      <w:r w:rsidR="00B37449">
        <w:t>se</w:t>
      </w:r>
      <w:r w:rsidR="00C46F7B" w:rsidRPr="002972E4">
        <w:t xml:space="preserve"> </w:t>
      </w:r>
      <w:r w:rsidR="00B37449">
        <w:t>specific situation require targeted interventions</w:t>
      </w:r>
      <w:r w:rsidR="009C14B7">
        <w:t>;</w:t>
      </w:r>
    </w:p>
    <w:p w14:paraId="28FDA985" w14:textId="0A865DBF" w:rsidR="0006130D" w:rsidRPr="00C46F7B" w:rsidRDefault="00E341D0" w:rsidP="00E341D0">
      <w:pPr>
        <w:pStyle w:val="SingleTxtG"/>
      </w:pPr>
      <w:r>
        <w:tab/>
        <w:t>(c)</w:t>
      </w:r>
      <w:r>
        <w:tab/>
      </w:r>
      <w:r w:rsidR="00054319">
        <w:t>The requirement to take</w:t>
      </w:r>
      <w:r w:rsidR="00A35E49" w:rsidRPr="002972E4">
        <w:t xml:space="preserve"> gender equality considerations into account in decisions made by the central government</w:t>
      </w:r>
      <w:r w:rsidR="00054319">
        <w:t xml:space="preserve"> has been removed from </w:t>
      </w:r>
      <w:r w:rsidR="0060782D">
        <w:t xml:space="preserve">the </w:t>
      </w:r>
      <w:r w:rsidR="00054319" w:rsidRPr="002972E4">
        <w:t>Instructions for Official Studies</w:t>
      </w:r>
      <w:r w:rsidR="00C46F7B">
        <w:t>.</w:t>
      </w:r>
    </w:p>
    <w:p w14:paraId="1D5FA16C" w14:textId="4B1F972C" w:rsidR="00342952" w:rsidRPr="00E341D0" w:rsidRDefault="00F22B34" w:rsidP="00E341D0">
      <w:pPr>
        <w:pStyle w:val="SingleTxtG"/>
        <w:rPr>
          <w:b/>
          <w:bCs/>
        </w:rPr>
      </w:pPr>
      <w:r>
        <w:lastRenderedPageBreak/>
        <w:t>15.</w:t>
      </w:r>
      <w:r w:rsidR="00E341D0">
        <w:tab/>
      </w:r>
      <w:r w:rsidR="0006130D" w:rsidRPr="00E341D0">
        <w:rPr>
          <w:b/>
          <w:bCs/>
        </w:rPr>
        <w:t>The Committee</w:t>
      </w:r>
      <w:r w:rsidR="00FD7C22" w:rsidRPr="00E341D0">
        <w:rPr>
          <w:b/>
          <w:bCs/>
        </w:rPr>
        <w:t xml:space="preserve"> reiterates its previous recommendations </w:t>
      </w:r>
      <w:r w:rsidR="00003FC6" w:rsidRPr="00E341D0">
        <w:rPr>
          <w:b/>
          <w:bCs/>
        </w:rPr>
        <w:t>(CEDAW/C/NOR/CO/9, para. 13 (a))</w:t>
      </w:r>
      <w:r w:rsidR="00C46F7B" w:rsidRPr="00E341D0">
        <w:rPr>
          <w:b/>
          <w:bCs/>
        </w:rPr>
        <w:t xml:space="preserve"> </w:t>
      </w:r>
      <w:r w:rsidR="00003FC6" w:rsidRPr="00E341D0">
        <w:rPr>
          <w:b/>
          <w:bCs/>
        </w:rPr>
        <w:t>and</w:t>
      </w:r>
      <w:r w:rsidR="0006130D" w:rsidRPr="00E341D0">
        <w:rPr>
          <w:b/>
          <w:bCs/>
        </w:rPr>
        <w:t xml:space="preserve"> recommends that the State party</w:t>
      </w:r>
      <w:r w:rsidR="00003FC6" w:rsidRPr="00E341D0">
        <w:rPr>
          <w:b/>
          <w:bCs/>
        </w:rPr>
        <w:t xml:space="preserve"> include a gender-</w:t>
      </w:r>
      <w:r w:rsidR="0060782D" w:rsidRPr="00E341D0">
        <w:rPr>
          <w:b/>
          <w:bCs/>
        </w:rPr>
        <w:t>responsive</w:t>
      </w:r>
      <w:r w:rsidR="00003FC6" w:rsidRPr="00E341D0">
        <w:rPr>
          <w:b/>
          <w:bCs/>
        </w:rPr>
        <w:t xml:space="preserve"> rather than gender-neutral approach in its legislation, policies and programmes, in line with the Committee’s general recommendation No. 28</w:t>
      </w:r>
      <w:r w:rsidR="0060782D" w:rsidRPr="00E341D0">
        <w:rPr>
          <w:b/>
          <w:bCs/>
        </w:rPr>
        <w:t xml:space="preserve"> (2010) on</w:t>
      </w:r>
      <w:r w:rsidR="00FD504C" w:rsidRPr="00E341D0">
        <w:rPr>
          <w:b/>
          <w:bCs/>
        </w:rPr>
        <w:t xml:space="preserve"> the core obligations of States parties under article 2 of the Convention on the</w:t>
      </w:r>
      <w:r w:rsidR="00A933C5" w:rsidRPr="00E341D0">
        <w:rPr>
          <w:b/>
          <w:bCs/>
        </w:rPr>
        <w:t xml:space="preserve"> </w:t>
      </w:r>
      <w:r w:rsidR="00FD504C" w:rsidRPr="00E341D0">
        <w:rPr>
          <w:b/>
          <w:bCs/>
        </w:rPr>
        <w:t>Elimination of All Forms of Discrimination against Women</w:t>
      </w:r>
      <w:r w:rsidR="00A933C5" w:rsidRPr="00E341D0">
        <w:rPr>
          <w:b/>
          <w:bCs/>
        </w:rPr>
        <w:t>.</w:t>
      </w:r>
      <w:r w:rsidR="008D50E8" w:rsidRPr="00E341D0">
        <w:rPr>
          <w:b/>
          <w:bCs/>
        </w:rPr>
        <w:t xml:space="preserve"> </w:t>
      </w:r>
      <w:r w:rsidR="00003FC6" w:rsidRPr="00E341D0">
        <w:rPr>
          <w:b/>
          <w:bCs/>
        </w:rPr>
        <w:t xml:space="preserve">It </w:t>
      </w:r>
      <w:r w:rsidR="00342952" w:rsidRPr="00E341D0">
        <w:rPr>
          <w:b/>
          <w:bCs/>
        </w:rPr>
        <w:t xml:space="preserve">also </w:t>
      </w:r>
      <w:r w:rsidR="00003FC6" w:rsidRPr="00E341D0">
        <w:rPr>
          <w:b/>
          <w:bCs/>
        </w:rPr>
        <w:t>recommends that</w:t>
      </w:r>
      <w:r w:rsidR="00342952" w:rsidRPr="00E341D0">
        <w:rPr>
          <w:b/>
          <w:bCs/>
        </w:rPr>
        <w:t xml:space="preserve"> </w:t>
      </w:r>
      <w:r w:rsidR="00BF6158" w:rsidRPr="00E341D0">
        <w:rPr>
          <w:b/>
          <w:bCs/>
        </w:rPr>
        <w:t xml:space="preserve">the </w:t>
      </w:r>
      <w:r w:rsidR="00342952" w:rsidRPr="00E341D0">
        <w:rPr>
          <w:b/>
          <w:bCs/>
        </w:rPr>
        <w:t>State party:</w:t>
      </w:r>
    </w:p>
    <w:p w14:paraId="5AC620D0" w14:textId="28493E0B" w:rsidR="0006130D" w:rsidRPr="00E341D0" w:rsidRDefault="00E341D0" w:rsidP="00E341D0">
      <w:pPr>
        <w:pStyle w:val="SingleTxtG"/>
        <w:rPr>
          <w:b/>
          <w:bCs/>
        </w:rPr>
      </w:pPr>
      <w:r>
        <w:tab/>
        <w:t>(a)</w:t>
      </w:r>
      <w:r>
        <w:tab/>
      </w:r>
      <w:r w:rsidR="0060782D" w:rsidRPr="00E341D0">
        <w:rPr>
          <w:b/>
          <w:bCs/>
        </w:rPr>
        <w:t>S</w:t>
      </w:r>
      <w:r w:rsidR="00C46F7B" w:rsidRPr="00E341D0">
        <w:rPr>
          <w:b/>
          <w:bCs/>
        </w:rPr>
        <w:t>ystematic</w:t>
      </w:r>
      <w:r w:rsidR="0060782D" w:rsidRPr="00E341D0">
        <w:rPr>
          <w:b/>
          <w:bCs/>
        </w:rPr>
        <w:t>ally conduct</w:t>
      </w:r>
      <w:r w:rsidR="00C46F7B" w:rsidRPr="00E341D0">
        <w:rPr>
          <w:b/>
          <w:bCs/>
        </w:rPr>
        <w:t xml:space="preserve"> gender-impact assessment</w:t>
      </w:r>
      <w:r w:rsidR="0060782D" w:rsidRPr="00E341D0">
        <w:rPr>
          <w:b/>
          <w:bCs/>
        </w:rPr>
        <w:t>s</w:t>
      </w:r>
      <w:r w:rsidR="00A72C18" w:rsidRPr="00E341D0">
        <w:rPr>
          <w:b/>
          <w:bCs/>
        </w:rPr>
        <w:t xml:space="preserve"> </w:t>
      </w:r>
      <w:r w:rsidR="00BF6158" w:rsidRPr="00E341D0">
        <w:rPr>
          <w:b/>
          <w:bCs/>
        </w:rPr>
        <w:t>in</w:t>
      </w:r>
      <w:r w:rsidR="00A72C18" w:rsidRPr="00E341D0">
        <w:rPr>
          <w:b/>
          <w:bCs/>
        </w:rPr>
        <w:t xml:space="preserve"> every legislative </w:t>
      </w:r>
      <w:r w:rsidR="00404570" w:rsidRPr="00E341D0">
        <w:rPr>
          <w:b/>
          <w:bCs/>
        </w:rPr>
        <w:t>process</w:t>
      </w:r>
      <w:r w:rsidR="00A72C18" w:rsidRPr="00E341D0">
        <w:rPr>
          <w:b/>
          <w:bCs/>
        </w:rPr>
        <w:t xml:space="preserve"> to ensure that </w:t>
      </w:r>
      <w:r w:rsidR="0060782D" w:rsidRPr="00E341D0">
        <w:rPr>
          <w:b/>
          <w:bCs/>
        </w:rPr>
        <w:t>laws</w:t>
      </w:r>
      <w:r w:rsidR="00A72C18" w:rsidRPr="00E341D0">
        <w:rPr>
          <w:b/>
          <w:bCs/>
        </w:rPr>
        <w:t xml:space="preserve"> and policies a</w:t>
      </w:r>
      <w:r w:rsidR="0060782D" w:rsidRPr="00E341D0">
        <w:rPr>
          <w:b/>
          <w:bCs/>
        </w:rPr>
        <w:t>re</w:t>
      </w:r>
      <w:r w:rsidR="00A72C18" w:rsidRPr="00E341D0">
        <w:rPr>
          <w:b/>
          <w:bCs/>
        </w:rPr>
        <w:t xml:space="preserve"> gender-</w:t>
      </w:r>
      <w:r w:rsidR="0060782D" w:rsidRPr="00E341D0">
        <w:rPr>
          <w:b/>
          <w:bCs/>
        </w:rPr>
        <w:t>responsive</w:t>
      </w:r>
      <w:r w:rsidR="00BF6158" w:rsidRPr="00E341D0">
        <w:rPr>
          <w:b/>
          <w:bCs/>
        </w:rPr>
        <w:t xml:space="preserve"> </w:t>
      </w:r>
      <w:r w:rsidR="0060782D" w:rsidRPr="00E341D0">
        <w:rPr>
          <w:b/>
          <w:bCs/>
        </w:rPr>
        <w:t xml:space="preserve">and </w:t>
      </w:r>
      <w:r w:rsidR="005F5E81">
        <w:rPr>
          <w:b/>
          <w:bCs/>
        </w:rPr>
        <w:t xml:space="preserve">also </w:t>
      </w:r>
      <w:r w:rsidR="00BF6158" w:rsidRPr="00E341D0">
        <w:rPr>
          <w:b/>
          <w:bCs/>
        </w:rPr>
        <w:t xml:space="preserve">adequately addresses the situation of women </w:t>
      </w:r>
      <w:r w:rsidR="0060782D" w:rsidRPr="00E341D0">
        <w:rPr>
          <w:b/>
          <w:bCs/>
        </w:rPr>
        <w:t>facing intersecting forms of discrimination</w:t>
      </w:r>
      <w:r w:rsidR="00342952" w:rsidRPr="00E341D0">
        <w:rPr>
          <w:b/>
          <w:bCs/>
        </w:rPr>
        <w:t>;</w:t>
      </w:r>
    </w:p>
    <w:p w14:paraId="6E0EE356" w14:textId="3026ACB2" w:rsidR="00342952" w:rsidRPr="00E341D0" w:rsidRDefault="00E341D0" w:rsidP="00E341D0">
      <w:pPr>
        <w:pStyle w:val="SingleTxtG"/>
        <w:rPr>
          <w:b/>
          <w:bCs/>
        </w:rPr>
      </w:pPr>
      <w:r>
        <w:tab/>
        <w:t>(b)</w:t>
      </w:r>
      <w:r>
        <w:tab/>
      </w:r>
      <w:r w:rsidR="00342952" w:rsidRPr="00E341D0">
        <w:rPr>
          <w:b/>
          <w:bCs/>
        </w:rPr>
        <w:t xml:space="preserve">Reintroduce the requirement </w:t>
      </w:r>
      <w:r w:rsidR="0060782D" w:rsidRPr="00E341D0">
        <w:rPr>
          <w:b/>
          <w:bCs/>
        </w:rPr>
        <w:t>of</w:t>
      </w:r>
      <w:r w:rsidR="00342952" w:rsidRPr="00E341D0">
        <w:rPr>
          <w:b/>
          <w:bCs/>
        </w:rPr>
        <w:t xml:space="preserve"> gender equality considerations in </w:t>
      </w:r>
      <w:r w:rsidR="00463A6F" w:rsidRPr="00463A6F">
        <w:rPr>
          <w:b/>
          <w:bCs/>
        </w:rPr>
        <w:t>Instructions for Official Studies.</w:t>
      </w:r>
    </w:p>
    <w:p w14:paraId="776C7B73" w14:textId="15F46BC6" w:rsidR="00050D6B" w:rsidRPr="00050D6B" w:rsidRDefault="00F22B34" w:rsidP="00E341D0">
      <w:pPr>
        <w:pStyle w:val="SingleTxtG"/>
        <w:rPr>
          <w:b/>
          <w:bCs/>
        </w:rPr>
      </w:pPr>
      <w:r>
        <w:t>16.</w:t>
      </w:r>
      <w:r w:rsidR="00E341D0">
        <w:tab/>
      </w:r>
      <w:r w:rsidR="00342952" w:rsidRPr="00342952">
        <w:t xml:space="preserve">The Committee </w:t>
      </w:r>
      <w:r w:rsidR="0060782D">
        <w:t>notes the establishment</w:t>
      </w:r>
      <w:r w:rsidR="00342952" w:rsidRPr="00342952">
        <w:t xml:space="preserve"> of an Equality and Anti-Discrimination Tribunal and Ombud. </w:t>
      </w:r>
      <w:r w:rsidR="002C5FE8">
        <w:t>It</w:t>
      </w:r>
      <w:r w:rsidR="004C2A2F">
        <w:t xml:space="preserve"> </w:t>
      </w:r>
      <w:r w:rsidR="0060782D">
        <w:t xml:space="preserve">also </w:t>
      </w:r>
      <w:r w:rsidR="004C2A2F">
        <w:t>notes that the Tribunal has taken over the Ombud’s role of enforcing</w:t>
      </w:r>
      <w:r w:rsidR="00342952">
        <w:t xml:space="preserve"> the Equality and </w:t>
      </w:r>
      <w:r w:rsidR="004C2A2F">
        <w:t>Anti-Discrimination</w:t>
      </w:r>
      <w:r w:rsidR="00342952">
        <w:t xml:space="preserve"> </w:t>
      </w:r>
      <w:r w:rsidR="0060782D">
        <w:t>Law</w:t>
      </w:r>
      <w:r w:rsidR="004C2A2F">
        <w:t xml:space="preserve"> </w:t>
      </w:r>
      <w:r w:rsidR="0060782D">
        <w:t>but</w:t>
      </w:r>
      <w:r w:rsidR="004C2A2F">
        <w:t xml:space="preserve"> regrets that </w:t>
      </w:r>
      <w:r w:rsidR="0060782D">
        <w:t>two-thirds</w:t>
      </w:r>
      <w:r w:rsidR="004C2A2F">
        <w:t xml:space="preserve"> of </w:t>
      </w:r>
      <w:r w:rsidR="002C5FE8">
        <w:t>complaints</w:t>
      </w:r>
      <w:r w:rsidR="004C2A2F">
        <w:t xml:space="preserve"> </w:t>
      </w:r>
      <w:r w:rsidR="0060782D">
        <w:t>were</w:t>
      </w:r>
      <w:r w:rsidR="004C2A2F">
        <w:t xml:space="preserve"> </w:t>
      </w:r>
      <w:r w:rsidR="00201F49">
        <w:t>dismissed, rejected or closed</w:t>
      </w:r>
      <w:r w:rsidR="00B573E2">
        <w:t xml:space="preserve">. </w:t>
      </w:r>
      <w:r w:rsidR="00A05B07">
        <w:t>It</w:t>
      </w:r>
      <w:r w:rsidR="00107590">
        <w:t xml:space="preserve"> is also concerned </w:t>
      </w:r>
      <w:r w:rsidR="002E06CA">
        <w:t xml:space="preserve">about reports that there is no system in place to </w:t>
      </w:r>
      <w:r w:rsidR="00210F24">
        <w:t xml:space="preserve">ensure that </w:t>
      </w:r>
      <w:r w:rsidR="005774B3">
        <w:t xml:space="preserve">the Tribunal’s </w:t>
      </w:r>
      <w:r w:rsidR="00210F24">
        <w:t>decisions</w:t>
      </w:r>
      <w:r w:rsidR="005774B3">
        <w:t xml:space="preserve"> lead to a systematic and sustainable change.</w:t>
      </w:r>
      <w:r w:rsidR="00210F24">
        <w:t xml:space="preserve"> </w:t>
      </w:r>
    </w:p>
    <w:p w14:paraId="174E4772" w14:textId="79CD832B" w:rsidR="004C05D0" w:rsidRPr="00E341D0" w:rsidRDefault="00F22B34" w:rsidP="00E341D0">
      <w:pPr>
        <w:pStyle w:val="SingleTxtG"/>
        <w:rPr>
          <w:b/>
          <w:bCs/>
        </w:rPr>
      </w:pPr>
      <w:r w:rsidRPr="00E341D0">
        <w:t>17</w:t>
      </w:r>
      <w:r>
        <w:t>.</w:t>
      </w:r>
      <w:r w:rsidR="00E341D0">
        <w:tab/>
      </w:r>
      <w:r w:rsidR="004C2A2F" w:rsidRPr="00E341D0">
        <w:rPr>
          <w:b/>
          <w:bCs/>
        </w:rPr>
        <w:t>The Committee recommends that the State party</w:t>
      </w:r>
      <w:r w:rsidR="004C05D0" w:rsidRPr="00E341D0">
        <w:rPr>
          <w:b/>
          <w:bCs/>
        </w:rPr>
        <w:t>:</w:t>
      </w:r>
    </w:p>
    <w:p w14:paraId="0A66F42A" w14:textId="05877100" w:rsidR="006A39E9" w:rsidRPr="00E341D0" w:rsidRDefault="00E341D0" w:rsidP="00E341D0">
      <w:pPr>
        <w:pStyle w:val="SingleTxtG"/>
        <w:rPr>
          <w:b/>
          <w:bCs/>
        </w:rPr>
      </w:pPr>
      <w:r>
        <w:tab/>
        <w:t>(a)</w:t>
      </w:r>
      <w:r>
        <w:tab/>
      </w:r>
      <w:r w:rsidR="002E06CA" w:rsidRPr="00E341D0">
        <w:rPr>
          <w:b/>
          <w:bCs/>
        </w:rPr>
        <w:t>Speedily start</w:t>
      </w:r>
      <w:r w:rsidR="004C2A2F" w:rsidRPr="00E341D0">
        <w:rPr>
          <w:b/>
          <w:bCs/>
        </w:rPr>
        <w:t xml:space="preserve"> </w:t>
      </w:r>
      <w:r w:rsidR="00BF7362" w:rsidRPr="00E341D0">
        <w:rPr>
          <w:b/>
          <w:bCs/>
        </w:rPr>
        <w:t>conduct</w:t>
      </w:r>
      <w:r w:rsidR="002E06CA" w:rsidRPr="00E341D0">
        <w:rPr>
          <w:b/>
          <w:bCs/>
        </w:rPr>
        <w:t>ing</w:t>
      </w:r>
      <w:r w:rsidR="00BF7362" w:rsidRPr="00E341D0">
        <w:rPr>
          <w:b/>
          <w:bCs/>
        </w:rPr>
        <w:t xml:space="preserve"> the review announced </w:t>
      </w:r>
      <w:r w:rsidR="00A05B07" w:rsidRPr="00E341D0">
        <w:rPr>
          <w:b/>
          <w:bCs/>
        </w:rPr>
        <w:t>by the delegation</w:t>
      </w:r>
      <w:r w:rsidR="00BF7362" w:rsidRPr="00E341D0">
        <w:rPr>
          <w:b/>
          <w:bCs/>
        </w:rPr>
        <w:t xml:space="preserve"> to examine the reason for the high number of dismissals</w:t>
      </w:r>
      <w:r w:rsidR="00F66CC7" w:rsidRPr="00E341D0">
        <w:rPr>
          <w:b/>
          <w:bCs/>
        </w:rPr>
        <w:t>, rejections and closures</w:t>
      </w:r>
      <w:r w:rsidR="0060782D" w:rsidRPr="00E341D0">
        <w:rPr>
          <w:b/>
          <w:bCs/>
        </w:rPr>
        <w:t xml:space="preserve"> of </w:t>
      </w:r>
      <w:r w:rsidR="00D4430E" w:rsidRPr="00E341D0">
        <w:rPr>
          <w:b/>
          <w:bCs/>
        </w:rPr>
        <w:t xml:space="preserve"> complaints</w:t>
      </w:r>
      <w:r w:rsidR="004C05D0" w:rsidRPr="00E341D0">
        <w:rPr>
          <w:b/>
          <w:bCs/>
        </w:rPr>
        <w:t>;</w:t>
      </w:r>
    </w:p>
    <w:p w14:paraId="598625DA" w14:textId="784C0062" w:rsidR="006A39E9" w:rsidRPr="00E341D0" w:rsidRDefault="00E341D0" w:rsidP="00E341D0">
      <w:pPr>
        <w:pStyle w:val="SingleTxtG"/>
        <w:rPr>
          <w:b/>
          <w:bCs/>
        </w:rPr>
      </w:pPr>
      <w:r>
        <w:tab/>
        <w:t>(b)</w:t>
      </w:r>
      <w:r>
        <w:tab/>
      </w:r>
      <w:r w:rsidR="002E06CA" w:rsidRPr="00E341D0">
        <w:rPr>
          <w:b/>
          <w:bCs/>
        </w:rPr>
        <w:t xml:space="preserve">Allocate the necessary </w:t>
      </w:r>
      <w:r w:rsidR="0060782D" w:rsidRPr="00E341D0">
        <w:rPr>
          <w:b/>
          <w:bCs/>
        </w:rPr>
        <w:t xml:space="preserve">human, technical and financial </w:t>
      </w:r>
      <w:r w:rsidR="002E06CA" w:rsidRPr="00E341D0">
        <w:rPr>
          <w:b/>
          <w:bCs/>
        </w:rPr>
        <w:t>resources to s</w:t>
      </w:r>
      <w:r w:rsidR="006A39E9" w:rsidRPr="00E341D0">
        <w:rPr>
          <w:b/>
          <w:bCs/>
        </w:rPr>
        <w:t xml:space="preserve">trengthen the capacity of the Ombud to </w:t>
      </w:r>
      <w:r w:rsidR="0060782D" w:rsidRPr="00E341D0">
        <w:rPr>
          <w:b/>
          <w:bCs/>
        </w:rPr>
        <w:t>equip women</w:t>
      </w:r>
      <w:r w:rsidR="006A39E9" w:rsidRPr="00E341D0">
        <w:rPr>
          <w:b/>
          <w:bCs/>
        </w:rPr>
        <w:t xml:space="preserve"> complainants with the necessary knowledge and guidance </w:t>
      </w:r>
      <w:r w:rsidR="0060782D" w:rsidRPr="00E341D0">
        <w:rPr>
          <w:b/>
          <w:bCs/>
        </w:rPr>
        <w:t>for</w:t>
      </w:r>
      <w:r w:rsidR="006A39E9" w:rsidRPr="00E341D0">
        <w:rPr>
          <w:b/>
          <w:bCs/>
        </w:rPr>
        <w:t xml:space="preserve"> filing case</w:t>
      </w:r>
      <w:r w:rsidR="0060782D" w:rsidRPr="00E341D0">
        <w:rPr>
          <w:b/>
          <w:bCs/>
        </w:rPr>
        <w:t xml:space="preserve">s with the </w:t>
      </w:r>
      <w:r w:rsidR="00D4430E" w:rsidRPr="00E341D0">
        <w:rPr>
          <w:b/>
          <w:bCs/>
        </w:rPr>
        <w:t>Equality and Anti-Discrimination</w:t>
      </w:r>
      <w:r w:rsidR="0067187B" w:rsidRPr="00E341D0">
        <w:rPr>
          <w:b/>
          <w:bCs/>
        </w:rPr>
        <w:t xml:space="preserve"> </w:t>
      </w:r>
      <w:r w:rsidR="0060782D" w:rsidRPr="00E341D0">
        <w:rPr>
          <w:b/>
          <w:bCs/>
        </w:rPr>
        <w:t>Tribunal</w:t>
      </w:r>
      <w:r w:rsidR="00E93AFD" w:rsidRPr="00E341D0">
        <w:rPr>
          <w:b/>
          <w:bCs/>
        </w:rPr>
        <w:t>;</w:t>
      </w:r>
    </w:p>
    <w:p w14:paraId="08CE1F8A" w14:textId="1E425635" w:rsidR="00A05B07" w:rsidRPr="00E341D0" w:rsidRDefault="00E341D0" w:rsidP="00E341D0">
      <w:pPr>
        <w:pStyle w:val="SingleTxtG"/>
        <w:rPr>
          <w:b/>
          <w:bCs/>
        </w:rPr>
      </w:pPr>
      <w:r>
        <w:tab/>
        <w:t>(c)</w:t>
      </w:r>
      <w:r>
        <w:tab/>
      </w:r>
      <w:r w:rsidR="00A05B07" w:rsidRPr="00E341D0">
        <w:rPr>
          <w:b/>
          <w:bCs/>
        </w:rPr>
        <w:t xml:space="preserve">Set up a clear mechanism to follow up </w:t>
      </w:r>
      <w:r w:rsidR="00987362" w:rsidRPr="00E341D0">
        <w:rPr>
          <w:b/>
          <w:bCs/>
        </w:rPr>
        <w:t xml:space="preserve">on </w:t>
      </w:r>
      <w:r w:rsidR="00A05B07" w:rsidRPr="00E341D0">
        <w:rPr>
          <w:b/>
          <w:bCs/>
        </w:rPr>
        <w:t xml:space="preserve">and </w:t>
      </w:r>
      <w:r w:rsidR="005774B3" w:rsidRPr="00E341D0">
        <w:rPr>
          <w:b/>
          <w:bCs/>
        </w:rPr>
        <w:t xml:space="preserve">ensure that decisions of the Equality and Anti-Discrimination Tribunal are also reflected in structural change that is sustainable. </w:t>
      </w:r>
    </w:p>
    <w:p w14:paraId="26DAB0C9" w14:textId="77777777" w:rsidR="005E653D" w:rsidRDefault="005E653D" w:rsidP="00714652">
      <w:pPr>
        <w:pStyle w:val="H23G"/>
        <w:ind w:left="0" w:firstLine="0"/>
      </w:pPr>
      <w:r>
        <w:tab/>
      </w:r>
      <w:r>
        <w:tab/>
        <w:t>Women’s a</w:t>
      </w:r>
      <w:r w:rsidRPr="00475FF9">
        <w:t>ccess to Justice</w:t>
      </w:r>
    </w:p>
    <w:p w14:paraId="39E497DD" w14:textId="5CD7461F" w:rsidR="00FB5BFF" w:rsidRDefault="00F22B34" w:rsidP="003B1892">
      <w:pPr>
        <w:pStyle w:val="SingleTxtG"/>
        <w:widowControl w:val="0"/>
      </w:pPr>
      <w:r>
        <w:t>18.</w:t>
      </w:r>
      <w:r w:rsidR="00E341D0">
        <w:tab/>
      </w:r>
      <w:r w:rsidR="00931A74">
        <w:t>The Committe</w:t>
      </w:r>
      <w:r w:rsidR="00CE4DC7">
        <w:t xml:space="preserve">e </w:t>
      </w:r>
      <w:r w:rsidR="00196378">
        <w:t>is concerned that according to</w:t>
      </w:r>
      <w:r w:rsidR="00CE4DC7">
        <w:t xml:space="preserve"> the recently</w:t>
      </w:r>
      <w:r w:rsidR="00931A74">
        <w:t xml:space="preserve"> adopted </w:t>
      </w:r>
      <w:r w:rsidR="008B0C58" w:rsidRPr="008B0C58">
        <w:t xml:space="preserve">Compensation for Victims of Violent Crime </w:t>
      </w:r>
      <w:r w:rsidR="00D77A88">
        <w:t>Law</w:t>
      </w:r>
      <w:r w:rsidR="00405445">
        <w:t>,</w:t>
      </w:r>
      <w:r w:rsidR="008B0C58">
        <w:t xml:space="preserve"> replacing a former version of the </w:t>
      </w:r>
      <w:r w:rsidR="00D77A88">
        <w:t>L</w:t>
      </w:r>
      <w:r w:rsidR="008B0C58">
        <w:t>aw,</w:t>
      </w:r>
      <w:r w:rsidR="00931A74">
        <w:t xml:space="preserve"> </w:t>
      </w:r>
      <w:r w:rsidR="00405445">
        <w:t>access to</w:t>
      </w:r>
      <w:r w:rsidR="00FB5BFF">
        <w:t xml:space="preserve"> compensation </w:t>
      </w:r>
      <w:r w:rsidR="006256D9">
        <w:t xml:space="preserve">depends on the existence of </w:t>
      </w:r>
      <w:r w:rsidR="006256D9" w:rsidRPr="006256D9">
        <w:t xml:space="preserve">a court ruling </w:t>
      </w:r>
      <w:r w:rsidR="006256D9">
        <w:t xml:space="preserve">that </w:t>
      </w:r>
      <w:r w:rsidR="006256D9" w:rsidRPr="006256D9">
        <w:t>award</w:t>
      </w:r>
      <w:r w:rsidR="006256D9">
        <w:t>s</w:t>
      </w:r>
      <w:r w:rsidR="006256D9" w:rsidRPr="006256D9">
        <w:t xml:space="preserve"> </w:t>
      </w:r>
      <w:r w:rsidR="00DB190D">
        <w:t xml:space="preserve">the </w:t>
      </w:r>
      <w:r w:rsidR="006256D9" w:rsidRPr="006256D9">
        <w:t xml:space="preserve">victim compensation in the context of criminal </w:t>
      </w:r>
      <w:r w:rsidR="00260336">
        <w:t>proceeding</w:t>
      </w:r>
      <w:r w:rsidR="00D77A88">
        <w:t>s</w:t>
      </w:r>
      <w:r w:rsidR="006256D9" w:rsidRPr="006256D9">
        <w:t xml:space="preserve"> against the</w:t>
      </w:r>
      <w:r w:rsidR="006256D9">
        <w:t xml:space="preserve"> </w:t>
      </w:r>
      <w:r w:rsidR="006256D9" w:rsidRPr="006256D9">
        <w:t>perpetrator</w:t>
      </w:r>
      <w:r w:rsidR="008B0C58">
        <w:t>, which may make it more difficult for victims</w:t>
      </w:r>
      <w:r w:rsidR="00405445">
        <w:t xml:space="preserve">, in </w:t>
      </w:r>
      <w:r w:rsidR="00D77A88">
        <w:t xml:space="preserve">particular </w:t>
      </w:r>
      <w:r w:rsidR="00405445">
        <w:t>victims of domestic violence,</w:t>
      </w:r>
      <w:r w:rsidR="008B0C58">
        <w:t xml:space="preserve"> to receive compensation. </w:t>
      </w:r>
      <w:r w:rsidR="007D186A">
        <w:t xml:space="preserve">It is also concerned that under the new law, the </w:t>
      </w:r>
      <w:r w:rsidR="007D186A" w:rsidRPr="007D186A">
        <w:t>perpetrator is given status as party to the violence compensation case processed by the Compensation Authority</w:t>
      </w:r>
      <w:r w:rsidR="007D186A">
        <w:t>, which may discourage victims to file for compensation as they may fear contact with the perpetrator as well as reprisals.</w:t>
      </w:r>
    </w:p>
    <w:p w14:paraId="34548EAD" w14:textId="70F3B020" w:rsidR="00945CE1" w:rsidRDefault="00F22B34" w:rsidP="003B1892">
      <w:pPr>
        <w:pStyle w:val="SingleTxtG"/>
        <w:widowControl w:val="0"/>
        <w:rPr>
          <w:b/>
          <w:bCs/>
        </w:rPr>
      </w:pPr>
      <w:r w:rsidRPr="00E341D0">
        <w:t>19.</w:t>
      </w:r>
      <w:r w:rsidR="00E341D0">
        <w:rPr>
          <w:b/>
          <w:bCs/>
        </w:rPr>
        <w:tab/>
      </w:r>
      <w:r w:rsidR="00FB5BFF" w:rsidRPr="00FB5BFF">
        <w:rPr>
          <w:b/>
          <w:bCs/>
        </w:rPr>
        <w:t>The Committee recommends that the State party</w:t>
      </w:r>
      <w:r w:rsidR="00CE4DC7">
        <w:rPr>
          <w:b/>
          <w:bCs/>
        </w:rPr>
        <w:t xml:space="preserve"> apply a victim-centred approach and c</w:t>
      </w:r>
      <w:r w:rsidR="00945CE1">
        <w:rPr>
          <w:b/>
          <w:bCs/>
        </w:rPr>
        <w:t xml:space="preserve">onsider re-introducing the previous scheme and grant compensation to victims of </w:t>
      </w:r>
      <w:r w:rsidR="00D77A88">
        <w:rPr>
          <w:b/>
          <w:bCs/>
        </w:rPr>
        <w:t xml:space="preserve">gender-based </w:t>
      </w:r>
      <w:r w:rsidR="00945CE1">
        <w:rPr>
          <w:b/>
          <w:bCs/>
        </w:rPr>
        <w:t xml:space="preserve">violence </w:t>
      </w:r>
      <w:r w:rsidR="00D77A88">
        <w:rPr>
          <w:b/>
          <w:bCs/>
        </w:rPr>
        <w:t>irrespective</w:t>
      </w:r>
      <w:r w:rsidR="00B121BC">
        <w:rPr>
          <w:b/>
          <w:bCs/>
        </w:rPr>
        <w:t xml:space="preserve"> of whether </w:t>
      </w:r>
      <w:r w:rsidR="00D77A88">
        <w:rPr>
          <w:b/>
          <w:bCs/>
        </w:rPr>
        <w:t xml:space="preserve">or not </w:t>
      </w:r>
      <w:r w:rsidR="00B121BC">
        <w:rPr>
          <w:b/>
          <w:bCs/>
        </w:rPr>
        <w:t>criminal proceedings were instituted against the p</w:t>
      </w:r>
      <w:r w:rsidR="00144BB5">
        <w:rPr>
          <w:b/>
          <w:bCs/>
        </w:rPr>
        <w:t>erpetrator</w:t>
      </w:r>
      <w:r w:rsidR="007D186A">
        <w:rPr>
          <w:b/>
          <w:bCs/>
        </w:rPr>
        <w:t xml:space="preserve"> and without granting the perpetrator party status</w:t>
      </w:r>
      <w:r w:rsidR="000F3B3C">
        <w:rPr>
          <w:b/>
          <w:bCs/>
        </w:rPr>
        <w:t>.</w:t>
      </w:r>
    </w:p>
    <w:p w14:paraId="6BB1147D" w14:textId="7F18609F" w:rsidR="00722DBC" w:rsidRDefault="00F22B34" w:rsidP="00CE4DC7">
      <w:pPr>
        <w:pStyle w:val="SingleTxtG"/>
      </w:pPr>
      <w:r>
        <w:t>20.</w:t>
      </w:r>
      <w:r w:rsidR="00E341D0">
        <w:tab/>
      </w:r>
      <w:r w:rsidR="00CE4DC7" w:rsidRPr="00CE4DC7">
        <w:t xml:space="preserve">The Committee </w:t>
      </w:r>
      <w:r w:rsidR="00D53ADA">
        <w:t>welcomes the eligibility</w:t>
      </w:r>
      <w:r w:rsidR="0067187B">
        <w:t xml:space="preserve"> increase</w:t>
      </w:r>
      <w:r w:rsidR="00D53ADA">
        <w:t xml:space="preserve"> for free legal aid </w:t>
      </w:r>
      <w:r w:rsidR="00CE4DC7">
        <w:t xml:space="preserve">in 2022. It </w:t>
      </w:r>
      <w:r w:rsidR="00477045">
        <w:t>notes with</w:t>
      </w:r>
      <w:r w:rsidR="00CE4DC7">
        <w:t xml:space="preserve"> concern, however, that</w:t>
      </w:r>
      <w:r w:rsidR="00722DBC">
        <w:t>:</w:t>
      </w:r>
    </w:p>
    <w:p w14:paraId="16F2DEB8" w14:textId="49D5641F" w:rsidR="00CE4DC7" w:rsidRPr="00E341D0" w:rsidRDefault="00E341D0" w:rsidP="00E341D0">
      <w:pPr>
        <w:pStyle w:val="SingleTxtG"/>
      </w:pPr>
      <w:r>
        <w:tab/>
        <w:t>(a)</w:t>
      </w:r>
      <w:r>
        <w:tab/>
      </w:r>
      <w:r w:rsidR="003B1892" w:rsidRPr="00E341D0">
        <w:t>O</w:t>
      </w:r>
      <w:r w:rsidR="00722DBC" w:rsidRPr="00E341D0">
        <w:t xml:space="preserve">nly a very small </w:t>
      </w:r>
      <w:r w:rsidR="00477045" w:rsidRPr="00E341D0">
        <w:t>portion</w:t>
      </w:r>
      <w:r w:rsidR="00722DBC" w:rsidRPr="00E341D0">
        <w:t xml:space="preserve"> of the population is eligible, which particularly impacts women who often have </w:t>
      </w:r>
      <w:r w:rsidR="00477045" w:rsidRPr="00E341D0">
        <w:t>more limited</w:t>
      </w:r>
      <w:r w:rsidR="00722DBC" w:rsidRPr="00E341D0">
        <w:t xml:space="preserve"> financial means than men and </w:t>
      </w:r>
      <w:r w:rsidR="00477045" w:rsidRPr="00E341D0">
        <w:t xml:space="preserve">hence </w:t>
      </w:r>
      <w:r w:rsidR="00722DBC" w:rsidRPr="00E341D0">
        <w:t xml:space="preserve">face </w:t>
      </w:r>
      <w:r w:rsidR="00477045" w:rsidRPr="00E341D0">
        <w:t>greater</w:t>
      </w:r>
      <w:r w:rsidR="00722DBC" w:rsidRPr="00E341D0">
        <w:t xml:space="preserve"> difficulties </w:t>
      </w:r>
      <w:r w:rsidR="00200271" w:rsidRPr="00E341D0">
        <w:t>in paying</w:t>
      </w:r>
      <w:r w:rsidR="00722DBC" w:rsidRPr="00E341D0">
        <w:t xml:space="preserve"> legal fees;</w:t>
      </w:r>
    </w:p>
    <w:p w14:paraId="2D9A0667" w14:textId="2B1AE1CC" w:rsidR="00722DBC" w:rsidRPr="00E341D0" w:rsidRDefault="00E341D0" w:rsidP="00E341D0">
      <w:pPr>
        <w:pStyle w:val="SingleTxtG"/>
      </w:pPr>
      <w:r>
        <w:tab/>
        <w:t>(b)</w:t>
      </w:r>
      <w:r>
        <w:tab/>
      </w:r>
      <w:r w:rsidR="00722DBC" w:rsidRPr="00E341D0">
        <w:t xml:space="preserve">The free legal aid scheme does not </w:t>
      </w:r>
      <w:r w:rsidR="00477045" w:rsidRPr="00E341D0">
        <w:t>cover</w:t>
      </w:r>
      <w:r w:rsidR="00722DBC" w:rsidRPr="00E341D0">
        <w:t xml:space="preserve"> all </w:t>
      </w:r>
      <w:r w:rsidR="00477045" w:rsidRPr="00E341D0">
        <w:t>forms of gender-based violence against women</w:t>
      </w:r>
      <w:r w:rsidR="00722DBC" w:rsidRPr="00E341D0">
        <w:t>, notably</w:t>
      </w:r>
      <w:r w:rsidR="0015769B" w:rsidRPr="00E341D0">
        <w:t xml:space="preserve"> sexual harassment</w:t>
      </w:r>
      <w:r w:rsidR="000B1BE4" w:rsidRPr="00E341D0">
        <w:t xml:space="preserve">, and that a current proposal </w:t>
      </w:r>
      <w:r w:rsidR="00714652" w:rsidRPr="00E341D0">
        <w:t xml:space="preserve">for amendment </w:t>
      </w:r>
      <w:r w:rsidR="000B1BE4" w:rsidRPr="00E341D0">
        <w:t xml:space="preserve">by the Legal Aid Committee </w:t>
      </w:r>
      <w:r w:rsidR="00714652" w:rsidRPr="00E341D0">
        <w:t>suggests</w:t>
      </w:r>
      <w:r w:rsidR="000B1BE4" w:rsidRPr="00E341D0">
        <w:t xml:space="preserve"> </w:t>
      </w:r>
      <w:r w:rsidR="00331037" w:rsidRPr="00E341D0">
        <w:t xml:space="preserve">to exclude </w:t>
      </w:r>
      <w:r w:rsidR="00477045" w:rsidRPr="00E341D0">
        <w:t xml:space="preserve">the </w:t>
      </w:r>
      <w:r w:rsidR="00331037" w:rsidRPr="00E341D0">
        <w:t xml:space="preserve">offences </w:t>
      </w:r>
      <w:r w:rsidR="00477045" w:rsidRPr="00E341D0">
        <w:t>under</w:t>
      </w:r>
      <w:r w:rsidR="0015769B" w:rsidRPr="00E341D0">
        <w:t xml:space="preserve"> Section 107a (1) (a) or (b) of the Criminal Procedure Act, </w:t>
      </w:r>
      <w:r w:rsidR="00477045" w:rsidRPr="00E341D0">
        <w:t>such as</w:t>
      </w:r>
      <w:r w:rsidR="00200271" w:rsidRPr="00E341D0">
        <w:t xml:space="preserve"> r</w:t>
      </w:r>
      <w:r w:rsidR="0015769B" w:rsidRPr="00E341D0">
        <w:t xml:space="preserve">ape, abuse in close relationships, grossly negligent rape, </w:t>
      </w:r>
      <w:r w:rsidR="0015769B" w:rsidRPr="00E341D0">
        <w:lastRenderedPageBreak/>
        <w:t>rape of children, incest and human trafficking</w:t>
      </w:r>
      <w:r w:rsidR="00331037" w:rsidRPr="00E341D0">
        <w:t xml:space="preserve">, </w:t>
      </w:r>
      <w:r w:rsidR="00260336" w:rsidRPr="00E341D0">
        <w:t xml:space="preserve">based on the </w:t>
      </w:r>
      <w:r w:rsidR="003B1892" w:rsidRPr="00E341D0">
        <w:t>assumption</w:t>
      </w:r>
      <w:r w:rsidR="00260336" w:rsidRPr="00E341D0">
        <w:t xml:space="preserve"> that civil society organizations </w:t>
      </w:r>
      <w:r w:rsidR="003B1892" w:rsidRPr="00E341D0">
        <w:t xml:space="preserve">have </w:t>
      </w:r>
      <w:r w:rsidR="00477045" w:rsidRPr="00E341D0">
        <w:t>sufficient</w:t>
      </w:r>
      <w:r w:rsidR="00260336" w:rsidRPr="00E341D0">
        <w:t xml:space="preserve"> capacity to provide assistance to victims of these crimes</w:t>
      </w:r>
      <w:r w:rsidR="003B1892" w:rsidRPr="00E341D0">
        <w:t>.</w:t>
      </w:r>
      <w:r w:rsidR="00260336" w:rsidRPr="00E341D0">
        <w:t xml:space="preserve"> </w:t>
      </w:r>
    </w:p>
    <w:p w14:paraId="325B99E2" w14:textId="77FA4783" w:rsidR="00260336" w:rsidRDefault="00F22B34" w:rsidP="0082208A">
      <w:pPr>
        <w:pStyle w:val="SingleTxtG"/>
        <w:rPr>
          <w:b/>
          <w:bCs/>
        </w:rPr>
      </w:pPr>
      <w:r w:rsidRPr="00E341D0">
        <w:t>21.</w:t>
      </w:r>
      <w:r w:rsidR="00E341D0">
        <w:rPr>
          <w:b/>
          <w:bCs/>
        </w:rPr>
        <w:tab/>
      </w:r>
      <w:r w:rsidR="00722DBC" w:rsidRPr="00722DBC">
        <w:rPr>
          <w:b/>
          <w:bCs/>
        </w:rPr>
        <w:t xml:space="preserve">The Committee </w:t>
      </w:r>
      <w:r w:rsidR="004E759A">
        <w:rPr>
          <w:b/>
          <w:bCs/>
        </w:rPr>
        <w:t xml:space="preserve">recalls that the State party cannot absolve itself of its due diligence obligation to provide victim support services by delegating these services to non-governmental organizations. It </w:t>
      </w:r>
      <w:r w:rsidR="00722DBC" w:rsidRPr="00722DBC">
        <w:rPr>
          <w:b/>
          <w:bCs/>
        </w:rPr>
        <w:t>recommends that the State party</w:t>
      </w:r>
      <w:r w:rsidR="00260336">
        <w:rPr>
          <w:b/>
          <w:bCs/>
        </w:rPr>
        <w:t>:</w:t>
      </w:r>
    </w:p>
    <w:p w14:paraId="213824CC" w14:textId="136A5A69" w:rsidR="008C12AE" w:rsidRPr="00E341D0" w:rsidRDefault="00E341D0" w:rsidP="00E341D0">
      <w:pPr>
        <w:pStyle w:val="SingleTxtG"/>
        <w:rPr>
          <w:b/>
          <w:bCs/>
        </w:rPr>
      </w:pPr>
      <w:r>
        <w:rPr>
          <w:b/>
          <w:bCs/>
        </w:rPr>
        <w:tab/>
      </w:r>
      <w:r w:rsidRPr="00E341D0">
        <w:t>(a)</w:t>
      </w:r>
      <w:r>
        <w:rPr>
          <w:b/>
          <w:bCs/>
        </w:rPr>
        <w:tab/>
      </w:r>
      <w:r w:rsidR="00260336" w:rsidRPr="00E341D0">
        <w:rPr>
          <w:b/>
          <w:bCs/>
        </w:rPr>
        <w:t>R</w:t>
      </w:r>
      <w:r w:rsidR="00722DBC" w:rsidRPr="00E341D0">
        <w:rPr>
          <w:b/>
          <w:bCs/>
        </w:rPr>
        <w:t>e</w:t>
      </w:r>
      <w:r w:rsidR="00741C7A" w:rsidRPr="00E341D0">
        <w:rPr>
          <w:b/>
          <w:bCs/>
        </w:rPr>
        <w:t>structure</w:t>
      </w:r>
      <w:r w:rsidR="00722DBC" w:rsidRPr="00E341D0">
        <w:rPr>
          <w:b/>
          <w:bCs/>
        </w:rPr>
        <w:t xml:space="preserve"> the free legal aid scheme applying a gender perspective</w:t>
      </w:r>
      <w:r w:rsidR="00477045" w:rsidRPr="00E341D0">
        <w:rPr>
          <w:b/>
          <w:bCs/>
        </w:rPr>
        <w:t xml:space="preserve"> and</w:t>
      </w:r>
      <w:r w:rsidR="00741C7A" w:rsidRPr="00E341D0">
        <w:rPr>
          <w:b/>
          <w:bCs/>
        </w:rPr>
        <w:t xml:space="preserve"> </w:t>
      </w:r>
      <w:r w:rsidR="008C12AE" w:rsidRPr="00E341D0">
        <w:rPr>
          <w:b/>
          <w:bCs/>
        </w:rPr>
        <w:t>taking</w:t>
      </w:r>
      <w:r w:rsidR="00722DBC" w:rsidRPr="00E341D0">
        <w:rPr>
          <w:b/>
          <w:bCs/>
        </w:rPr>
        <w:t xml:space="preserve"> into consideration the </w:t>
      </w:r>
      <w:r w:rsidR="008C12AE" w:rsidRPr="00E341D0">
        <w:rPr>
          <w:b/>
          <w:bCs/>
        </w:rPr>
        <w:t xml:space="preserve">frequently </w:t>
      </w:r>
      <w:r w:rsidR="00722DBC" w:rsidRPr="00E341D0">
        <w:rPr>
          <w:b/>
          <w:bCs/>
        </w:rPr>
        <w:t xml:space="preserve">more limited financial means of women and their </w:t>
      </w:r>
      <w:r w:rsidR="00477045" w:rsidRPr="00E341D0">
        <w:rPr>
          <w:b/>
          <w:bCs/>
        </w:rPr>
        <w:t>disproportionate risk of</w:t>
      </w:r>
      <w:r w:rsidR="00722DBC" w:rsidRPr="00E341D0">
        <w:rPr>
          <w:b/>
          <w:bCs/>
        </w:rPr>
        <w:t xml:space="preserve"> certain </w:t>
      </w:r>
      <w:r w:rsidR="00477045" w:rsidRPr="00E341D0">
        <w:rPr>
          <w:b/>
          <w:bCs/>
        </w:rPr>
        <w:t>forms of gender-based violence</w:t>
      </w:r>
      <w:r w:rsidR="008C12AE" w:rsidRPr="00E341D0">
        <w:rPr>
          <w:b/>
          <w:bCs/>
        </w:rPr>
        <w:t>. In cases of family conflict or when a woman lacks equal access to family income, the use of means testing to determine eligibility for legal aid and public defence services should be based on the real income or disposable assets of the woman</w:t>
      </w:r>
      <w:r w:rsidR="004E759A" w:rsidRPr="00E341D0">
        <w:rPr>
          <w:b/>
          <w:bCs/>
        </w:rPr>
        <w:t xml:space="preserve"> concerned</w:t>
      </w:r>
      <w:r w:rsidR="008C12AE" w:rsidRPr="00E341D0">
        <w:rPr>
          <w:b/>
          <w:bCs/>
        </w:rPr>
        <w:t>;</w:t>
      </w:r>
    </w:p>
    <w:p w14:paraId="325D3BD2" w14:textId="19FED33B" w:rsidR="0082208A" w:rsidRPr="00E341D0" w:rsidRDefault="00E341D0" w:rsidP="00E341D0">
      <w:pPr>
        <w:pStyle w:val="SingleTxtG"/>
        <w:rPr>
          <w:b/>
          <w:bCs/>
        </w:rPr>
      </w:pPr>
      <w:r>
        <w:rPr>
          <w:b/>
          <w:bCs/>
        </w:rPr>
        <w:tab/>
      </w:r>
      <w:r w:rsidRPr="00E341D0">
        <w:t>(b)</w:t>
      </w:r>
      <w:r>
        <w:rPr>
          <w:b/>
          <w:bCs/>
        </w:rPr>
        <w:tab/>
      </w:r>
      <w:r w:rsidR="00260336" w:rsidRPr="00E341D0">
        <w:rPr>
          <w:b/>
          <w:bCs/>
        </w:rPr>
        <w:t xml:space="preserve">Ensure that victims of crimes under Section 107a (1) (a) or (b) of the Criminal Procedure Act continue to benefit from the Free Legal Aid </w:t>
      </w:r>
      <w:r w:rsidR="004E759A" w:rsidRPr="00E341D0">
        <w:rPr>
          <w:b/>
          <w:bCs/>
        </w:rPr>
        <w:t>Scheme</w:t>
      </w:r>
      <w:r w:rsidR="00260336" w:rsidRPr="00E341D0">
        <w:rPr>
          <w:b/>
          <w:bCs/>
        </w:rPr>
        <w:t>.</w:t>
      </w:r>
      <w:r w:rsidR="00A24178" w:rsidRPr="00E341D0">
        <w:rPr>
          <w:b/>
          <w:bCs/>
        </w:rPr>
        <w:t xml:space="preserve"> </w:t>
      </w:r>
    </w:p>
    <w:p w14:paraId="1B494A44" w14:textId="4F898045" w:rsidR="00D40B2E" w:rsidRDefault="00582056" w:rsidP="00582056">
      <w:pPr>
        <w:pStyle w:val="H23G"/>
        <w:rPr>
          <w:lang w:val="en-US"/>
        </w:rPr>
      </w:pPr>
      <w:r>
        <w:rPr>
          <w:lang w:val="en-US"/>
        </w:rPr>
        <w:tab/>
      </w:r>
      <w:r>
        <w:rPr>
          <w:lang w:val="en-US"/>
        </w:rPr>
        <w:tab/>
      </w:r>
      <w:r w:rsidR="00D40B2E">
        <w:rPr>
          <w:lang w:val="en-US"/>
        </w:rPr>
        <w:t>Crisis response preparedness</w:t>
      </w:r>
    </w:p>
    <w:p w14:paraId="72681713" w14:textId="79027CDA" w:rsidR="00D40B2E" w:rsidRDefault="00F22B34" w:rsidP="00E341D0">
      <w:pPr>
        <w:pStyle w:val="SingleTxtG"/>
      </w:pPr>
      <w:r>
        <w:rPr>
          <w:lang w:val="en-US"/>
        </w:rPr>
        <w:t>22.</w:t>
      </w:r>
      <w:r w:rsidR="00E341D0">
        <w:rPr>
          <w:lang w:val="en-US"/>
        </w:rPr>
        <w:tab/>
      </w:r>
      <w:r w:rsidR="00D40B2E" w:rsidRPr="00D40B2E">
        <w:rPr>
          <w:lang w:val="en-US"/>
        </w:rPr>
        <w:t xml:space="preserve">The Committee </w:t>
      </w:r>
      <w:r w:rsidR="00AD041F">
        <w:rPr>
          <w:lang w:val="en-US"/>
        </w:rPr>
        <w:t xml:space="preserve">is concerned that </w:t>
      </w:r>
      <w:r w:rsidR="00AD041F" w:rsidRPr="00AD041F">
        <w:t xml:space="preserve">despite the international commitment to </w:t>
      </w:r>
      <w:r w:rsidR="00FC4C42">
        <w:t>drawing</w:t>
      </w:r>
      <w:r w:rsidR="00AD041F" w:rsidRPr="00AD041F">
        <w:t xml:space="preserve"> lessons from the </w:t>
      </w:r>
      <w:r w:rsidR="00AD041F">
        <w:t xml:space="preserve">COVID </w:t>
      </w:r>
      <w:r w:rsidR="00AD041F" w:rsidRPr="00AD041F">
        <w:t>crisis and the collective promise to </w:t>
      </w:r>
      <w:r w:rsidR="00AD041F">
        <w:t xml:space="preserve">rebuild better, there are only </w:t>
      </w:r>
      <w:r w:rsidR="00FC4C42">
        <w:t xml:space="preserve">a small number of </w:t>
      </w:r>
      <w:r w:rsidR="00AD041F">
        <w:t>new initiatives</w:t>
      </w:r>
      <w:r w:rsidR="006E4CCC">
        <w:t xml:space="preserve"> in the State party</w:t>
      </w:r>
      <w:r w:rsidR="00FC4C42">
        <w:t>, including regarding</w:t>
      </w:r>
      <w:r w:rsidR="00AD041F">
        <w:t xml:space="preserve"> </w:t>
      </w:r>
      <w:r w:rsidR="00FC4C42">
        <w:t>improving</w:t>
      </w:r>
      <w:r w:rsidR="00AD041F" w:rsidRPr="00AD041F">
        <w:t xml:space="preserve"> working conditions</w:t>
      </w:r>
      <w:r w:rsidR="00AD041F">
        <w:t xml:space="preserve"> in job sectors where women are overrepresented</w:t>
      </w:r>
      <w:r w:rsidR="00FC4C42">
        <w:t xml:space="preserve">, such as first responder health personnel, </w:t>
      </w:r>
      <w:r w:rsidR="00AD041F">
        <w:t xml:space="preserve"> increasing the </w:t>
      </w:r>
      <w:r w:rsidR="00AD041F" w:rsidRPr="00AD041F">
        <w:t xml:space="preserve">representation of women in </w:t>
      </w:r>
      <w:r w:rsidR="00AD041F">
        <w:t>decision-making</w:t>
      </w:r>
      <w:r w:rsidR="00AD041F" w:rsidRPr="00AD041F">
        <w:t> positions</w:t>
      </w:r>
      <w:r w:rsidR="00FC4C42">
        <w:t>. The Committee also notes with concern that there are no plans to have a more gender-sensitive crisis-preparedness</w:t>
      </w:r>
      <w:r w:rsidR="00AD041F" w:rsidRPr="00AD041F">
        <w:t>.</w:t>
      </w:r>
      <w:r w:rsidR="00AD041F" w:rsidRPr="00AD041F">
        <w:rPr>
          <w:lang w:val="en-US"/>
        </w:rPr>
        <w:t xml:space="preserve"> </w:t>
      </w:r>
    </w:p>
    <w:p w14:paraId="002F1462" w14:textId="608B9C3D" w:rsidR="00FC4C42" w:rsidRPr="00E341D0" w:rsidRDefault="00F22B34" w:rsidP="00E341D0">
      <w:pPr>
        <w:pStyle w:val="SingleTxtG"/>
        <w:rPr>
          <w:b/>
          <w:bCs/>
        </w:rPr>
      </w:pPr>
      <w:r>
        <w:t>23.</w:t>
      </w:r>
      <w:r w:rsidR="00E341D0">
        <w:tab/>
      </w:r>
      <w:r w:rsidR="00FC4C42" w:rsidRPr="00E341D0">
        <w:rPr>
          <w:b/>
          <w:bCs/>
        </w:rPr>
        <w:t>Considering the weakening of important rights due to the pandemic, and the need to draw at a global level the lessons from this disruptive crisis, the Committee recommends that the State party draw up a</w:t>
      </w:r>
      <w:r w:rsidR="006E4CCC">
        <w:rPr>
          <w:b/>
          <w:bCs/>
        </w:rPr>
        <w:t>n</w:t>
      </w:r>
      <w:r w:rsidR="00FC4C42" w:rsidRPr="00E341D0">
        <w:rPr>
          <w:b/>
          <w:bCs/>
        </w:rPr>
        <w:t> assessment of the impact of the pandemic on women</w:t>
      </w:r>
      <w:r w:rsidR="006E4CCC">
        <w:rPr>
          <w:b/>
          <w:bCs/>
        </w:rPr>
        <w:t xml:space="preserve"> in the State party</w:t>
      </w:r>
      <w:r w:rsidR="00FC4C42" w:rsidRPr="00E341D0">
        <w:rPr>
          <w:b/>
          <w:bCs/>
        </w:rPr>
        <w:t>, gives a new impetus to gender equality  , initiates new and innovative measures aimed at consolidating their rights and their empowerment in public and private spheres , including through increasing allocation of resources, with the aim of preventing, coping with and overcoming crisis and current challenges in a agender-sensitive manner.</w:t>
      </w:r>
    </w:p>
    <w:p w14:paraId="63B1A79C" w14:textId="34B41CA8" w:rsidR="005E653D" w:rsidRDefault="005E653D" w:rsidP="005E653D">
      <w:pPr>
        <w:pStyle w:val="H23G"/>
      </w:pPr>
      <w:r>
        <w:tab/>
      </w:r>
      <w:r>
        <w:tab/>
      </w:r>
      <w:r w:rsidRPr="00B8102F">
        <w:t>Gender stereotypes</w:t>
      </w:r>
      <w:r w:rsidRPr="008554DA">
        <w:t xml:space="preserve"> </w:t>
      </w:r>
    </w:p>
    <w:p w14:paraId="1078E868" w14:textId="621E91D1" w:rsidR="00446B78" w:rsidRPr="00446B78" w:rsidRDefault="00F22B34" w:rsidP="00E341D0">
      <w:pPr>
        <w:pStyle w:val="SingleTxtG"/>
      </w:pPr>
      <w:r>
        <w:t>24.</w:t>
      </w:r>
      <w:r w:rsidR="00E341D0">
        <w:tab/>
      </w:r>
      <w:r w:rsidR="00B8102F" w:rsidRPr="00446B78">
        <w:t xml:space="preserve">The Committee notes with appreciation the efforts and initiatives </w:t>
      </w:r>
      <w:r w:rsidR="005B5C89">
        <w:t>of</w:t>
      </w:r>
      <w:r w:rsidR="00B8102F" w:rsidRPr="00446B78">
        <w:t xml:space="preserve"> the State party to dismantle gender stereotypes. </w:t>
      </w:r>
      <w:r w:rsidR="00A93D66">
        <w:t>However, i</w:t>
      </w:r>
      <w:r w:rsidR="00B679B7" w:rsidRPr="00446B78">
        <w:t xml:space="preserve">t </w:t>
      </w:r>
      <w:r w:rsidR="00A93D66">
        <w:t>notes with</w:t>
      </w:r>
      <w:r w:rsidR="00B679B7" w:rsidRPr="00446B78">
        <w:t xml:space="preserve"> concern</w:t>
      </w:r>
      <w:r w:rsidR="00446B78" w:rsidRPr="00446B78">
        <w:t>:</w:t>
      </w:r>
    </w:p>
    <w:p w14:paraId="7F6FF9A6" w14:textId="79C11115" w:rsidR="00446B78" w:rsidRPr="00446B78" w:rsidRDefault="00E341D0" w:rsidP="00E341D0">
      <w:pPr>
        <w:pStyle w:val="SingleTxtG"/>
      </w:pPr>
      <w:r>
        <w:tab/>
        <w:t>(a)</w:t>
      </w:r>
      <w:r>
        <w:tab/>
      </w:r>
      <w:r w:rsidR="00A93D66">
        <w:t>That w</w:t>
      </w:r>
      <w:r w:rsidR="00BA618A" w:rsidRPr="00446B78">
        <w:t>omen are overrepresented among caregivers for old</w:t>
      </w:r>
      <w:r w:rsidR="00A93D66">
        <w:t>er</w:t>
      </w:r>
      <w:r w:rsidR="00BA618A" w:rsidRPr="00446B78">
        <w:t xml:space="preserve"> family members</w:t>
      </w:r>
      <w:r w:rsidR="007E7CBE" w:rsidRPr="00446B78">
        <w:t xml:space="preserve"> and that campaigns to encourage men </w:t>
      </w:r>
      <w:r w:rsidR="005F5E81" w:rsidRPr="005F5E81">
        <w:t xml:space="preserve">to take up caretaking professions </w:t>
      </w:r>
      <w:r w:rsidR="00A93D66">
        <w:t>over-emphasize</w:t>
      </w:r>
      <w:r w:rsidR="007E7CBE" w:rsidRPr="00446B78">
        <w:t xml:space="preserve"> the technological aspects of such care, which </w:t>
      </w:r>
      <w:r w:rsidR="00A93D66">
        <w:t>reinforces</w:t>
      </w:r>
      <w:r w:rsidR="007E7CBE" w:rsidRPr="00446B78">
        <w:t xml:space="preserve"> stereotype</w:t>
      </w:r>
      <w:r w:rsidR="00A93D66">
        <w:t>s</w:t>
      </w:r>
      <w:r w:rsidR="007E7CBE" w:rsidRPr="00446B78">
        <w:t xml:space="preserve"> that men are more skilled and interested in technology than women</w:t>
      </w:r>
      <w:r w:rsidR="00446B78" w:rsidRPr="00446B78">
        <w:t>;</w:t>
      </w:r>
    </w:p>
    <w:p w14:paraId="19F8D5EC" w14:textId="2E9815A5" w:rsidR="00446B78" w:rsidRPr="00446B78" w:rsidRDefault="00E341D0" w:rsidP="00E341D0">
      <w:pPr>
        <w:pStyle w:val="SingleTxtG"/>
      </w:pPr>
      <w:r>
        <w:tab/>
        <w:t>(b)</w:t>
      </w:r>
      <w:r>
        <w:tab/>
      </w:r>
      <w:r w:rsidR="00446B78" w:rsidRPr="00446B78">
        <w:t>The</w:t>
      </w:r>
      <w:r w:rsidR="00A93D66">
        <w:t xml:space="preserve"> absence of</w:t>
      </w:r>
      <w:r w:rsidR="00446B78" w:rsidRPr="00446B78">
        <w:t xml:space="preserve"> plans to systematically address </w:t>
      </w:r>
      <w:r w:rsidR="00A93D66">
        <w:t xml:space="preserve">discriminatory </w:t>
      </w:r>
      <w:r w:rsidR="00446B78" w:rsidRPr="00446B78">
        <w:t xml:space="preserve">stereotypes </w:t>
      </w:r>
      <w:r w:rsidR="00A93D66">
        <w:t>concerning</w:t>
      </w:r>
      <w:r w:rsidR="00446B78" w:rsidRPr="00446B78">
        <w:t xml:space="preserve"> women and girls </w:t>
      </w:r>
      <w:r w:rsidR="00A93D66">
        <w:t>belonging to</w:t>
      </w:r>
      <w:r w:rsidR="00446B78" w:rsidRPr="00446B78">
        <w:t xml:space="preserve"> certain racial, ethnic and religious groups, </w:t>
      </w:r>
      <w:r w:rsidR="00A93D66">
        <w:t>resulting in intersecting</w:t>
      </w:r>
      <w:r w:rsidR="00446B78" w:rsidRPr="00446B78">
        <w:t xml:space="preserve"> forms of discrimination</w:t>
      </w:r>
      <w:r>
        <w:t>.</w:t>
      </w:r>
    </w:p>
    <w:p w14:paraId="0CD877D0" w14:textId="5040B09C" w:rsidR="00446B78" w:rsidRPr="00A51BE5" w:rsidRDefault="00F22B34" w:rsidP="00E341D0">
      <w:pPr>
        <w:pStyle w:val="SingleTxtG"/>
        <w:rPr>
          <w:b/>
          <w:bCs/>
        </w:rPr>
      </w:pPr>
      <w:r>
        <w:t>25.</w:t>
      </w:r>
      <w:r w:rsidR="00A51BE5">
        <w:tab/>
      </w:r>
      <w:r w:rsidR="00446B78" w:rsidRPr="00A51BE5">
        <w:rPr>
          <w:b/>
          <w:bCs/>
        </w:rPr>
        <w:t>The Committee recommends that the State party:</w:t>
      </w:r>
    </w:p>
    <w:p w14:paraId="31EB12DC" w14:textId="7EB94CAF" w:rsidR="001E2647" w:rsidRPr="00A51BE5" w:rsidRDefault="00A51BE5" w:rsidP="00A51BE5">
      <w:pPr>
        <w:pStyle w:val="SingleTxtG"/>
        <w:rPr>
          <w:b/>
          <w:bCs/>
        </w:rPr>
      </w:pPr>
      <w:r>
        <w:tab/>
        <w:t>(a)</w:t>
      </w:r>
      <w:r>
        <w:tab/>
      </w:r>
      <w:r w:rsidR="00446B78" w:rsidRPr="00A51BE5">
        <w:rPr>
          <w:b/>
          <w:bCs/>
        </w:rPr>
        <w:t>C</w:t>
      </w:r>
      <w:r w:rsidR="001E2647" w:rsidRPr="00A51BE5">
        <w:rPr>
          <w:b/>
          <w:bCs/>
        </w:rPr>
        <w:t xml:space="preserve">ontinue awareness-raising and efforts to </w:t>
      </w:r>
      <w:r w:rsidR="00A93D66" w:rsidRPr="00A51BE5">
        <w:rPr>
          <w:b/>
          <w:bCs/>
        </w:rPr>
        <w:t xml:space="preserve">promote equal </w:t>
      </w:r>
      <w:r w:rsidR="001E2647" w:rsidRPr="00A51BE5">
        <w:rPr>
          <w:b/>
          <w:bCs/>
        </w:rPr>
        <w:t>shar</w:t>
      </w:r>
      <w:r w:rsidR="00A93D66" w:rsidRPr="00A51BE5">
        <w:rPr>
          <w:b/>
          <w:bCs/>
        </w:rPr>
        <w:t>ing</w:t>
      </w:r>
      <w:r w:rsidR="001E2647" w:rsidRPr="00A51BE5">
        <w:rPr>
          <w:b/>
          <w:bCs/>
        </w:rPr>
        <w:t xml:space="preserve"> </w:t>
      </w:r>
      <w:r w:rsidR="00A93D66" w:rsidRPr="00A51BE5">
        <w:rPr>
          <w:b/>
          <w:bCs/>
        </w:rPr>
        <w:t xml:space="preserve">between women and men of </w:t>
      </w:r>
      <w:r w:rsidR="001E2647" w:rsidRPr="00A51BE5">
        <w:rPr>
          <w:b/>
          <w:bCs/>
        </w:rPr>
        <w:t>care responsibilities</w:t>
      </w:r>
      <w:r w:rsidR="00A82757">
        <w:rPr>
          <w:b/>
          <w:bCs/>
        </w:rPr>
        <w:t>, including professionally,</w:t>
      </w:r>
      <w:r w:rsidR="00A93D66" w:rsidRPr="00A51BE5">
        <w:rPr>
          <w:b/>
          <w:bCs/>
        </w:rPr>
        <w:t>,</w:t>
      </w:r>
      <w:r w:rsidR="001E2647" w:rsidRPr="00A51BE5">
        <w:rPr>
          <w:b/>
          <w:bCs/>
        </w:rPr>
        <w:t xml:space="preserve"> </w:t>
      </w:r>
      <w:r w:rsidR="005B5C89" w:rsidRPr="00A51BE5">
        <w:rPr>
          <w:b/>
          <w:bCs/>
        </w:rPr>
        <w:t xml:space="preserve">while avoiding </w:t>
      </w:r>
      <w:r w:rsidR="00EE5174" w:rsidRPr="00A51BE5">
        <w:rPr>
          <w:b/>
          <w:bCs/>
        </w:rPr>
        <w:t>conveying</w:t>
      </w:r>
      <w:r w:rsidR="001E2647" w:rsidRPr="00A51BE5">
        <w:rPr>
          <w:b/>
          <w:bCs/>
        </w:rPr>
        <w:t xml:space="preserve"> messages that may reinforce gender stereotypes</w:t>
      </w:r>
      <w:r w:rsidR="00446B78" w:rsidRPr="00A51BE5">
        <w:rPr>
          <w:b/>
          <w:bCs/>
        </w:rPr>
        <w:t>;</w:t>
      </w:r>
    </w:p>
    <w:p w14:paraId="3EE35EE2" w14:textId="3360657A" w:rsidR="00FF3A8B" w:rsidRPr="00A51BE5" w:rsidRDefault="00A51BE5" w:rsidP="00A51BE5">
      <w:pPr>
        <w:pStyle w:val="SingleTxtG"/>
        <w:rPr>
          <w:b/>
          <w:bCs/>
        </w:rPr>
      </w:pPr>
      <w:r>
        <w:tab/>
        <w:t>(b)</w:t>
      </w:r>
      <w:r>
        <w:tab/>
      </w:r>
      <w:r w:rsidR="00FF3A8B" w:rsidRPr="00A51BE5">
        <w:rPr>
          <w:b/>
          <w:bCs/>
        </w:rPr>
        <w:t>Develop a national plan to address the care deficit at old age, with a gender lens in relation to both care recipients and formal and informal care providers;</w:t>
      </w:r>
    </w:p>
    <w:p w14:paraId="2F7A5379" w14:textId="71DF66DC" w:rsidR="00446B78" w:rsidRPr="00A51BE5" w:rsidRDefault="00A51BE5" w:rsidP="00A51BE5">
      <w:pPr>
        <w:pStyle w:val="SingleTxtG"/>
        <w:rPr>
          <w:b/>
          <w:bCs/>
        </w:rPr>
      </w:pPr>
      <w:r>
        <w:tab/>
        <w:t>(c)</w:t>
      </w:r>
      <w:r>
        <w:tab/>
      </w:r>
      <w:r w:rsidR="00446B78" w:rsidRPr="00A51BE5">
        <w:rPr>
          <w:b/>
          <w:bCs/>
        </w:rPr>
        <w:t xml:space="preserve">Develop strategies to </w:t>
      </w:r>
      <w:r w:rsidR="00A93D66" w:rsidRPr="00A51BE5">
        <w:rPr>
          <w:b/>
          <w:bCs/>
        </w:rPr>
        <w:t>address</w:t>
      </w:r>
      <w:r w:rsidR="00446B78" w:rsidRPr="00A51BE5">
        <w:rPr>
          <w:b/>
          <w:bCs/>
        </w:rPr>
        <w:t xml:space="preserve"> stereotypes </w:t>
      </w:r>
      <w:r w:rsidR="00A93D66" w:rsidRPr="00A51BE5">
        <w:rPr>
          <w:b/>
          <w:bCs/>
        </w:rPr>
        <w:t xml:space="preserve">about the roles and responsibilities of women and men in the family and in society that may result in intersecting forms of discrimination </w:t>
      </w:r>
      <w:r w:rsidR="00446B78" w:rsidRPr="00A51BE5">
        <w:rPr>
          <w:b/>
          <w:bCs/>
        </w:rPr>
        <w:t>against women.</w:t>
      </w:r>
    </w:p>
    <w:p w14:paraId="45F700EB" w14:textId="3BFDC295" w:rsidR="00787E3E" w:rsidRDefault="00F22B34" w:rsidP="00A51BE5">
      <w:pPr>
        <w:pStyle w:val="SingleTxtG"/>
      </w:pPr>
      <w:r>
        <w:t>26.</w:t>
      </w:r>
      <w:r w:rsidR="00A51BE5">
        <w:tab/>
      </w:r>
      <w:r w:rsidR="00787E3E" w:rsidRPr="001E2647">
        <w:t xml:space="preserve">The Committee </w:t>
      </w:r>
      <w:r w:rsidR="00A93D66">
        <w:t>notes with</w:t>
      </w:r>
      <w:r w:rsidR="00D32501">
        <w:t xml:space="preserve"> concern reports of an increase </w:t>
      </w:r>
      <w:r w:rsidR="00FC140C">
        <w:t>in</w:t>
      </w:r>
      <w:r w:rsidR="00D32501">
        <w:t xml:space="preserve"> </w:t>
      </w:r>
      <w:r w:rsidR="00A93D66">
        <w:t xml:space="preserve">cases of </w:t>
      </w:r>
      <w:r w:rsidR="00D32501">
        <w:t xml:space="preserve">sexual abuse of </w:t>
      </w:r>
      <w:r w:rsidR="007C3408">
        <w:t xml:space="preserve">teenage </w:t>
      </w:r>
      <w:r w:rsidR="00D32501">
        <w:t xml:space="preserve">girls by </w:t>
      </w:r>
      <w:r w:rsidR="007C3408">
        <w:t xml:space="preserve">teenage </w:t>
      </w:r>
      <w:r w:rsidR="00D32501">
        <w:t xml:space="preserve">boys </w:t>
      </w:r>
      <w:r w:rsidR="00A93D66">
        <w:t>and their</w:t>
      </w:r>
      <w:r w:rsidR="00D577C5">
        <w:t xml:space="preserve"> possible</w:t>
      </w:r>
      <w:r w:rsidR="00A93D66">
        <w:t xml:space="preserve"> link to</w:t>
      </w:r>
      <w:r w:rsidR="00D32501">
        <w:t xml:space="preserve"> </w:t>
      </w:r>
      <w:r w:rsidR="00494D9A">
        <w:t xml:space="preserve">the </w:t>
      </w:r>
      <w:r w:rsidR="00FC140C">
        <w:t>sexualization</w:t>
      </w:r>
      <w:r w:rsidR="00494D9A">
        <w:t xml:space="preserve"> of women online</w:t>
      </w:r>
      <w:r w:rsidR="00166DBB">
        <w:t xml:space="preserve"> and</w:t>
      </w:r>
      <w:r w:rsidR="005B5C89">
        <w:t xml:space="preserve"> the availability of</w:t>
      </w:r>
      <w:r w:rsidR="00494D9A">
        <w:t xml:space="preserve"> </w:t>
      </w:r>
      <w:r w:rsidR="00D32501">
        <w:t>pornography</w:t>
      </w:r>
      <w:r w:rsidR="004868BB">
        <w:t>.</w:t>
      </w:r>
    </w:p>
    <w:p w14:paraId="14DDAB33" w14:textId="3F5E643D" w:rsidR="001E2647" w:rsidRPr="00A51BE5" w:rsidRDefault="00F22B34" w:rsidP="00A51BE5">
      <w:pPr>
        <w:pStyle w:val="SingleTxtG"/>
        <w:rPr>
          <w:b/>
          <w:bCs/>
        </w:rPr>
      </w:pPr>
      <w:r>
        <w:lastRenderedPageBreak/>
        <w:t>27.</w:t>
      </w:r>
      <w:r w:rsidR="00A51BE5">
        <w:tab/>
      </w:r>
      <w:r w:rsidR="001E2647" w:rsidRPr="00A51BE5">
        <w:rPr>
          <w:b/>
          <w:bCs/>
        </w:rPr>
        <w:t xml:space="preserve">The Committee reiterates its recommendation (CEDAW/C/NOR/CO/9, para. 23 (c)) to allocate resources for research into the root causes and possible impact of oversexualized representations of girls and women in the media and the possible </w:t>
      </w:r>
      <w:r w:rsidR="00166DBB" w:rsidRPr="00A51BE5">
        <w:rPr>
          <w:b/>
          <w:bCs/>
        </w:rPr>
        <w:t>links</w:t>
      </w:r>
      <w:r w:rsidR="001E2647" w:rsidRPr="00A51BE5">
        <w:rPr>
          <w:b/>
          <w:bCs/>
        </w:rPr>
        <w:t xml:space="preserve"> between sexualization and pornography and gender-based violence</w:t>
      </w:r>
      <w:r w:rsidR="00166DBB" w:rsidRPr="00A51BE5">
        <w:rPr>
          <w:b/>
          <w:bCs/>
        </w:rPr>
        <w:t xml:space="preserve"> against women and</w:t>
      </w:r>
      <w:r w:rsidR="001E2647" w:rsidRPr="00A51BE5">
        <w:rPr>
          <w:b/>
          <w:bCs/>
        </w:rPr>
        <w:t xml:space="preserve"> girls</w:t>
      </w:r>
      <w:r w:rsidR="00D32501" w:rsidRPr="00A51BE5">
        <w:rPr>
          <w:b/>
          <w:bCs/>
        </w:rPr>
        <w:t>.</w:t>
      </w:r>
    </w:p>
    <w:p w14:paraId="0F34C79C" w14:textId="35225F6E" w:rsidR="00B8102F" w:rsidRDefault="00F22B34" w:rsidP="00A51BE5">
      <w:pPr>
        <w:pStyle w:val="SingleTxtG"/>
      </w:pPr>
      <w:r>
        <w:t>28.</w:t>
      </w:r>
      <w:r w:rsidR="00A51BE5">
        <w:tab/>
      </w:r>
      <w:r w:rsidR="00B8102F" w:rsidRPr="00A6550A">
        <w:t>The Committee</w:t>
      </w:r>
      <w:r w:rsidR="00FD144E">
        <w:t xml:space="preserve"> welcomes the </w:t>
      </w:r>
      <w:r w:rsidR="006E4CCC">
        <w:t xml:space="preserve">efforts taken by the State party </w:t>
      </w:r>
      <w:r w:rsidR="00FD144E" w:rsidRPr="00FD144E">
        <w:t>to counter hate speech on</w:t>
      </w:r>
      <w:r w:rsidR="00FD144E">
        <w:t xml:space="preserve"> several</w:t>
      </w:r>
      <w:r w:rsidR="00FD144E" w:rsidRPr="00FD144E">
        <w:t xml:space="preserve"> grounds</w:t>
      </w:r>
      <w:r w:rsidR="00166DBB">
        <w:t>,</w:t>
      </w:r>
      <w:r w:rsidR="00FD144E">
        <w:t xml:space="preserve"> including</w:t>
      </w:r>
      <w:r w:rsidR="00FD144E" w:rsidRPr="00FD144E">
        <w:t xml:space="preserve"> gender</w:t>
      </w:r>
      <w:r w:rsidR="00FD144E">
        <w:t>. It</w:t>
      </w:r>
      <w:r w:rsidR="00FD144E" w:rsidRPr="00FD144E">
        <w:t xml:space="preserve"> </w:t>
      </w:r>
      <w:r w:rsidR="007F15D7">
        <w:t xml:space="preserve">notes with concern, </w:t>
      </w:r>
      <w:r w:rsidR="00FD144E">
        <w:t>however,</w:t>
      </w:r>
      <w:r w:rsidR="00A6550A" w:rsidRPr="00A6550A">
        <w:t xml:space="preserve"> </w:t>
      </w:r>
      <w:r w:rsidR="007F15D7">
        <w:t>that a</w:t>
      </w:r>
      <w:r w:rsidR="00A6550A" w:rsidRPr="00A6550A">
        <w:t xml:space="preserve"> high number of young women </w:t>
      </w:r>
      <w:r w:rsidR="007F15D7">
        <w:t xml:space="preserve">are </w:t>
      </w:r>
      <w:r w:rsidR="00A6550A" w:rsidRPr="00A6550A">
        <w:t>subjected to gendered hate speech online</w:t>
      </w:r>
      <w:r w:rsidR="007F15D7">
        <w:t xml:space="preserve">, </w:t>
      </w:r>
      <w:r w:rsidR="003D58A2">
        <w:t>most</w:t>
      </w:r>
      <w:r w:rsidR="00166DBB">
        <w:t>ly by</w:t>
      </w:r>
      <w:r w:rsidR="003D58A2">
        <w:t xml:space="preserve"> men</w:t>
      </w:r>
      <w:r w:rsidR="007F15D7">
        <w:t xml:space="preserve">, </w:t>
      </w:r>
      <w:r w:rsidR="003D58A2">
        <w:t xml:space="preserve">and that section 185 of the Penal Code on hate speech still does not </w:t>
      </w:r>
      <w:r w:rsidR="00166DBB">
        <w:t>define</w:t>
      </w:r>
      <w:r w:rsidR="003D58A2">
        <w:t xml:space="preserve"> gender</w:t>
      </w:r>
      <w:r w:rsidR="007F15D7">
        <w:t>-based</w:t>
      </w:r>
      <w:r w:rsidR="003D58A2">
        <w:t xml:space="preserve"> hate speech.</w:t>
      </w:r>
      <w:r w:rsidR="007B4EFD">
        <w:t xml:space="preserve"> </w:t>
      </w:r>
      <w:r w:rsidR="003D58A2">
        <w:t xml:space="preserve">The Committee </w:t>
      </w:r>
      <w:r w:rsidR="00166DBB">
        <w:t>also notes with</w:t>
      </w:r>
      <w:r w:rsidR="003D58A2">
        <w:t xml:space="preserve"> concern the explanation by the delegation that a 2020 assessment by the M</w:t>
      </w:r>
      <w:r w:rsidR="003D58A2" w:rsidRPr="003D58A2">
        <w:t xml:space="preserve">inistry of </w:t>
      </w:r>
      <w:r w:rsidR="005F4379">
        <w:t>Justice</w:t>
      </w:r>
      <w:r w:rsidR="003D58A2" w:rsidRPr="003D58A2">
        <w:t xml:space="preserve"> </w:t>
      </w:r>
      <w:r w:rsidR="00C36B2D">
        <w:t xml:space="preserve">and Public Security </w:t>
      </w:r>
      <w:r w:rsidR="003D58A2">
        <w:t xml:space="preserve">on </w:t>
      </w:r>
      <w:r w:rsidR="003D58A2" w:rsidRPr="003D58A2">
        <w:t xml:space="preserve">whether </w:t>
      </w:r>
      <w:r w:rsidR="003D58A2">
        <w:t xml:space="preserve">section 185 of the Penal Code </w:t>
      </w:r>
      <w:r w:rsidR="003D58A2" w:rsidRPr="003D58A2">
        <w:t xml:space="preserve">should </w:t>
      </w:r>
      <w:r w:rsidR="000B7262">
        <w:t>also</w:t>
      </w:r>
      <w:r w:rsidR="003D58A2" w:rsidRPr="003D58A2">
        <w:t xml:space="preserve"> </w:t>
      </w:r>
      <w:r w:rsidR="007269B3">
        <w:t>define</w:t>
      </w:r>
      <w:r w:rsidR="003D58A2" w:rsidRPr="003D58A2">
        <w:t xml:space="preserve"> </w:t>
      </w:r>
      <w:r w:rsidR="007269B3">
        <w:t xml:space="preserve">gender-based </w:t>
      </w:r>
      <w:r w:rsidR="003D58A2" w:rsidRPr="003D58A2">
        <w:t>hate speech</w:t>
      </w:r>
      <w:r w:rsidR="003D58A2">
        <w:t xml:space="preserve"> concluded that</w:t>
      </w:r>
      <w:r w:rsidR="003D58A2" w:rsidRPr="003D58A2">
        <w:t xml:space="preserve"> such </w:t>
      </w:r>
      <w:r w:rsidR="007269B3">
        <w:t>extension of the scope of Section 185</w:t>
      </w:r>
      <w:r w:rsidR="003D58A2" w:rsidRPr="003D58A2">
        <w:t xml:space="preserve"> would undermine the </w:t>
      </w:r>
      <w:r w:rsidR="007269B3">
        <w:t xml:space="preserve">protection afforded under that Section to </w:t>
      </w:r>
      <w:r w:rsidR="003D58A2" w:rsidRPr="003D58A2">
        <w:t xml:space="preserve">particularly </w:t>
      </w:r>
      <w:r w:rsidR="007269B3">
        <w:t>disadvantaged</w:t>
      </w:r>
      <w:r w:rsidR="003D58A2" w:rsidRPr="003D58A2">
        <w:t xml:space="preserve"> groups</w:t>
      </w:r>
      <w:r w:rsidR="00324CB1">
        <w:t>. It is equally concerned</w:t>
      </w:r>
      <w:r w:rsidR="00A16541">
        <w:t xml:space="preserve"> </w:t>
      </w:r>
      <w:r w:rsidR="007269B3">
        <w:t>that, according to</w:t>
      </w:r>
      <w:r w:rsidR="00A16541">
        <w:t xml:space="preserve"> the State party report</w:t>
      </w:r>
      <w:r w:rsidR="007269B3">
        <w:t>,</w:t>
      </w:r>
      <w:r w:rsidR="00A16541">
        <w:t xml:space="preserve"> the Ministry also concluded that it was “unclear” whether </w:t>
      </w:r>
      <w:r w:rsidR="00324CB1">
        <w:t>such</w:t>
      </w:r>
      <w:r w:rsidR="00762EF8">
        <w:t xml:space="preserve"> </w:t>
      </w:r>
      <w:r w:rsidR="007269B3">
        <w:t>extension would be</w:t>
      </w:r>
      <w:r w:rsidR="00A16541">
        <w:t xml:space="preserve"> the “</w:t>
      </w:r>
      <w:r w:rsidR="00A16541" w:rsidRPr="00A16541">
        <w:t>best means to combat harassment of women</w:t>
      </w:r>
      <w:r w:rsidR="00A16541" w:rsidRPr="00D53ADA">
        <w:t>”</w:t>
      </w:r>
      <w:r w:rsidR="00D53ADA">
        <w:t xml:space="preserve"> </w:t>
      </w:r>
      <w:r w:rsidR="007269B3" w:rsidRPr="00D53ADA">
        <w:t>(</w:t>
      </w:r>
      <w:r w:rsidR="00D53ADA" w:rsidRPr="00D53ADA">
        <w:t>CEDAW/C/NOR/10, para. 57)</w:t>
      </w:r>
      <w:r w:rsidR="004E0A29">
        <w:t>.</w:t>
      </w:r>
    </w:p>
    <w:p w14:paraId="037BC81D" w14:textId="3BBA53E4" w:rsidR="00A6550A" w:rsidRPr="00A51BE5" w:rsidRDefault="00F22B34" w:rsidP="00A51BE5">
      <w:pPr>
        <w:pStyle w:val="SingleTxtG"/>
        <w:rPr>
          <w:b/>
          <w:bCs/>
        </w:rPr>
      </w:pPr>
      <w:r>
        <w:t>29.</w:t>
      </w:r>
      <w:r w:rsidR="00A51BE5">
        <w:tab/>
      </w:r>
      <w:r w:rsidR="00A6550A" w:rsidRPr="00A51BE5">
        <w:rPr>
          <w:b/>
          <w:bCs/>
        </w:rPr>
        <w:t>The Committe</w:t>
      </w:r>
      <w:r w:rsidR="007B4EFD" w:rsidRPr="00A51BE5">
        <w:rPr>
          <w:b/>
          <w:bCs/>
        </w:rPr>
        <w:t>e</w:t>
      </w:r>
      <w:r w:rsidR="00623BB2" w:rsidRPr="00A51BE5">
        <w:rPr>
          <w:b/>
          <w:bCs/>
        </w:rPr>
        <w:t xml:space="preserve"> </w:t>
      </w:r>
      <w:r w:rsidR="00A6550A" w:rsidRPr="00A51BE5">
        <w:rPr>
          <w:b/>
          <w:bCs/>
        </w:rPr>
        <w:t>recommends that the State party</w:t>
      </w:r>
      <w:r w:rsidR="00446B78" w:rsidRPr="00A51BE5">
        <w:rPr>
          <w:b/>
          <w:bCs/>
        </w:rPr>
        <w:t xml:space="preserve"> allocate equal priority to ensuring protection from </w:t>
      </w:r>
      <w:r w:rsidR="007269B3" w:rsidRPr="00A51BE5">
        <w:rPr>
          <w:b/>
          <w:bCs/>
        </w:rPr>
        <w:t xml:space="preserve">gender-based </w:t>
      </w:r>
      <w:r w:rsidR="00446B78" w:rsidRPr="00A51BE5">
        <w:rPr>
          <w:b/>
          <w:bCs/>
        </w:rPr>
        <w:t xml:space="preserve">hate speech </w:t>
      </w:r>
      <w:r w:rsidR="007269B3" w:rsidRPr="00A51BE5">
        <w:rPr>
          <w:b/>
          <w:bCs/>
        </w:rPr>
        <w:t xml:space="preserve">as to protection from hate speech </w:t>
      </w:r>
      <w:r w:rsidR="00446B78" w:rsidRPr="00A51BE5">
        <w:rPr>
          <w:b/>
          <w:bCs/>
        </w:rPr>
        <w:t>based on other characteristics</w:t>
      </w:r>
      <w:r w:rsidR="007269B3" w:rsidRPr="00A51BE5">
        <w:rPr>
          <w:b/>
          <w:bCs/>
        </w:rPr>
        <w:t xml:space="preserve"> and</w:t>
      </w:r>
      <w:r w:rsidR="00A16541" w:rsidRPr="00A51BE5">
        <w:rPr>
          <w:b/>
          <w:bCs/>
        </w:rPr>
        <w:t xml:space="preserve"> </w:t>
      </w:r>
      <w:r w:rsidR="003D58A2" w:rsidRPr="00A51BE5">
        <w:rPr>
          <w:b/>
          <w:bCs/>
        </w:rPr>
        <w:t xml:space="preserve">amend section 185 of the Penal Code </w:t>
      </w:r>
      <w:r w:rsidR="007269B3" w:rsidRPr="00A51BE5">
        <w:rPr>
          <w:b/>
          <w:bCs/>
        </w:rPr>
        <w:t>by</w:t>
      </w:r>
      <w:r w:rsidR="003D58A2" w:rsidRPr="00A51BE5">
        <w:rPr>
          <w:b/>
          <w:bCs/>
        </w:rPr>
        <w:t xml:space="preserve"> add</w:t>
      </w:r>
      <w:r w:rsidR="007269B3" w:rsidRPr="00A51BE5">
        <w:rPr>
          <w:b/>
          <w:bCs/>
        </w:rPr>
        <w:t>ing</w:t>
      </w:r>
      <w:r w:rsidR="003D58A2" w:rsidRPr="00A51BE5">
        <w:rPr>
          <w:b/>
          <w:bCs/>
        </w:rPr>
        <w:t xml:space="preserve"> gender</w:t>
      </w:r>
      <w:r w:rsidR="001A6E64" w:rsidRPr="00A51BE5">
        <w:rPr>
          <w:b/>
          <w:bCs/>
        </w:rPr>
        <w:t>-based hate speech</w:t>
      </w:r>
      <w:r w:rsidR="003D58A2" w:rsidRPr="00A51BE5">
        <w:rPr>
          <w:b/>
          <w:bCs/>
        </w:rPr>
        <w:t xml:space="preserve"> to the list of actions that qualify as criminal hateful expressions.</w:t>
      </w:r>
      <w:r w:rsidR="006C528A">
        <w:rPr>
          <w:b/>
          <w:bCs/>
        </w:rPr>
        <w:t xml:space="preserve"> It also recommends that the State party adopt a new strategy on hate speech, including hate speech based on gender to follow up on the 2016 – 2020 strategy against hate speech.</w:t>
      </w:r>
    </w:p>
    <w:p w14:paraId="51A127C6" w14:textId="589EDD18" w:rsidR="005E653D" w:rsidRDefault="005E653D" w:rsidP="008B6614">
      <w:pPr>
        <w:pStyle w:val="H23G"/>
        <w:ind w:left="0" w:firstLine="0"/>
      </w:pPr>
      <w:r w:rsidRPr="00E050DA">
        <w:tab/>
      </w:r>
      <w:r w:rsidRPr="00E050DA">
        <w:tab/>
      </w:r>
      <w:r>
        <w:t>Gender-based violence against women</w:t>
      </w:r>
    </w:p>
    <w:p w14:paraId="179A0F23" w14:textId="6194D2A2" w:rsidR="00C36B2D" w:rsidRDefault="004E0A29" w:rsidP="00A51BE5">
      <w:pPr>
        <w:pStyle w:val="SingleTxtG"/>
      </w:pPr>
      <w:r>
        <w:t>30</w:t>
      </w:r>
      <w:r w:rsidR="00F22B34">
        <w:t>.</w:t>
      </w:r>
      <w:r w:rsidR="00A51BE5">
        <w:tab/>
      </w:r>
      <w:r w:rsidR="00C36B2D">
        <w:t>The Committee welcomes the many initiatives</w:t>
      </w:r>
      <w:r w:rsidR="00963C18">
        <w:t xml:space="preserve"> </w:t>
      </w:r>
      <w:r w:rsidR="008604B1">
        <w:t>of</w:t>
      </w:r>
      <w:r w:rsidR="00C36B2D">
        <w:t xml:space="preserve"> the State party to address gender-based violence against women, including the sixth action plan against domestic violence, the </w:t>
      </w:r>
      <w:r w:rsidR="00C36B2D" w:rsidRPr="00C36B2D">
        <w:t>expan</w:t>
      </w:r>
      <w:r w:rsidR="00C36B2D">
        <w:t>sion of</w:t>
      </w:r>
      <w:r w:rsidR="00C36B2D" w:rsidRPr="00C36B2D">
        <w:t xml:space="preserve"> the </w:t>
      </w:r>
      <w:r w:rsidR="00D21318">
        <w:t>rehabilitation</w:t>
      </w:r>
      <w:r w:rsidR="00C36B2D" w:rsidRPr="00C36B2D">
        <w:t xml:space="preserve"> services for perpetrators of </w:t>
      </w:r>
      <w:r w:rsidR="00D21318">
        <w:t xml:space="preserve">gender-based </w:t>
      </w:r>
      <w:r w:rsidR="00C36B2D" w:rsidRPr="00C36B2D">
        <w:t xml:space="preserve">violence </w:t>
      </w:r>
      <w:r w:rsidR="00D21318">
        <w:t>against women</w:t>
      </w:r>
      <w:r w:rsidR="00C36B2D" w:rsidRPr="00C36B2D">
        <w:t>, family counselling service</w:t>
      </w:r>
      <w:r w:rsidR="00D21318">
        <w:t>s</w:t>
      </w:r>
      <w:r w:rsidR="00C36B2D" w:rsidRPr="00C36B2D">
        <w:t xml:space="preserve">, </w:t>
      </w:r>
      <w:r w:rsidR="00D21318">
        <w:t>the</w:t>
      </w:r>
      <w:r w:rsidR="00C36B2D" w:rsidRPr="00C36B2D">
        <w:t xml:space="preserve"> Alternative to Violence</w:t>
      </w:r>
      <w:r w:rsidR="008A1F0B">
        <w:t xml:space="preserve"> (ATV)</w:t>
      </w:r>
      <w:r w:rsidR="00D21318">
        <w:t xml:space="preserve"> programme</w:t>
      </w:r>
      <w:r w:rsidR="00C36B2D">
        <w:t xml:space="preserve">, the development of </w:t>
      </w:r>
      <w:r w:rsidR="00C36B2D" w:rsidRPr="00C36B2D">
        <w:t xml:space="preserve">an education programme for service providers that work with perpetrators of </w:t>
      </w:r>
      <w:r w:rsidR="00D21318">
        <w:t xml:space="preserve">gender-based </w:t>
      </w:r>
      <w:r w:rsidR="00C36B2D" w:rsidRPr="00C36B2D">
        <w:t>violence</w:t>
      </w:r>
      <w:r w:rsidR="00C36B2D">
        <w:t xml:space="preserve">, </w:t>
      </w:r>
      <w:r w:rsidR="00C779E5">
        <w:t xml:space="preserve">and </w:t>
      </w:r>
      <w:r w:rsidR="00C36B2D">
        <w:t>the existence of an inter</w:t>
      </w:r>
      <w:r w:rsidR="008A1F0B">
        <w:t>-</w:t>
      </w:r>
      <w:r w:rsidR="00C36B2D">
        <w:t xml:space="preserve">ministerial working group to </w:t>
      </w:r>
      <w:r w:rsidR="00C36B2D" w:rsidRPr="00C36B2D">
        <w:t>combat domestic violence</w:t>
      </w:r>
      <w:r w:rsidR="008A1F0B">
        <w:t>.</w:t>
      </w:r>
      <w:r w:rsidR="00C36B2D">
        <w:t xml:space="preserve"> The Committee is concerned, however, about </w:t>
      </w:r>
      <w:r w:rsidR="00C779E5">
        <w:t>the continu</w:t>
      </w:r>
      <w:r w:rsidR="00D21318">
        <w:t>ed</w:t>
      </w:r>
      <w:r w:rsidR="00C779E5">
        <w:t xml:space="preserve"> </w:t>
      </w:r>
      <w:r w:rsidR="00C36B2D">
        <w:t>high rate of gender-based violence against women</w:t>
      </w:r>
      <w:r w:rsidR="00963C18">
        <w:t xml:space="preserve"> and </w:t>
      </w:r>
      <w:r w:rsidR="00D21318">
        <w:t>its</w:t>
      </w:r>
      <w:r w:rsidR="00963C18">
        <w:t xml:space="preserve"> significant underreporting</w:t>
      </w:r>
      <w:r w:rsidR="00C36B2D">
        <w:t>. It also notes with concern:</w:t>
      </w:r>
    </w:p>
    <w:p w14:paraId="7AD6DD91" w14:textId="1AC0211A" w:rsidR="00963C18" w:rsidRDefault="006A15A9" w:rsidP="006A15A9">
      <w:pPr>
        <w:pStyle w:val="SingleTxtG"/>
      </w:pPr>
      <w:r>
        <w:tab/>
        <w:t>(a)</w:t>
      </w:r>
      <w:r>
        <w:tab/>
      </w:r>
      <w:r w:rsidR="000C5ED0">
        <w:t>That a</w:t>
      </w:r>
      <w:r w:rsidR="00CF0703">
        <w:t>ccording to reports before the Committee, one out of four murders is an intimate partner homicide and that 90 per cent of these homicides are femicides;</w:t>
      </w:r>
    </w:p>
    <w:p w14:paraId="4BABA4CA" w14:textId="627C482F" w:rsidR="00C779E5" w:rsidRPr="00C779E5" w:rsidRDefault="006A15A9" w:rsidP="006A15A9">
      <w:pPr>
        <w:pStyle w:val="SingleTxtG"/>
      </w:pPr>
      <w:r>
        <w:tab/>
        <w:t>(b)</w:t>
      </w:r>
      <w:r>
        <w:tab/>
      </w:r>
      <w:r w:rsidR="007722EF">
        <w:t>Th</w:t>
      </w:r>
      <w:r w:rsidR="000C5ED0">
        <w:t>at th</w:t>
      </w:r>
      <w:r w:rsidR="007722EF">
        <w:t xml:space="preserve">e definition </w:t>
      </w:r>
      <w:r w:rsidR="00D21318">
        <w:t xml:space="preserve">of rape in </w:t>
      </w:r>
      <w:r w:rsidR="00D21318" w:rsidRPr="00E13D85">
        <w:t>Section</w:t>
      </w:r>
      <w:r w:rsidR="00E13D85" w:rsidRPr="00E13D85">
        <w:t xml:space="preserve"> 291 </w:t>
      </w:r>
      <w:r w:rsidR="00D21318" w:rsidRPr="00E13D85">
        <w:t>of the Penal Code</w:t>
      </w:r>
      <w:r w:rsidR="00D21318">
        <w:t xml:space="preserve"> is </w:t>
      </w:r>
      <w:r w:rsidR="007722EF">
        <w:t xml:space="preserve">still </w:t>
      </w:r>
      <w:r w:rsidR="00D21318">
        <w:t>based on</w:t>
      </w:r>
      <w:r w:rsidR="007722EF">
        <w:t xml:space="preserve"> the use of force or threat by the perpetrator rather than the absence of consent;</w:t>
      </w:r>
    </w:p>
    <w:p w14:paraId="04E465FB" w14:textId="3553F845" w:rsidR="00C779E5" w:rsidRPr="00883E13" w:rsidRDefault="006A15A9" w:rsidP="006A15A9">
      <w:pPr>
        <w:pStyle w:val="SingleTxtG"/>
      </w:pPr>
      <w:r>
        <w:tab/>
        <w:t>(c)</w:t>
      </w:r>
      <w:r>
        <w:tab/>
      </w:r>
      <w:r w:rsidR="000C5ED0">
        <w:t>That a</w:t>
      </w:r>
      <w:r w:rsidR="00C779E5">
        <w:t>ccording to data from Statistics Norway, between 68 and 78 percent of rape cases reported to the police between 2019 and 2021 were closed by the public prosecutor and never reached the courts, and that acquittal</w:t>
      </w:r>
      <w:r w:rsidR="00D21318">
        <w:t xml:space="preserve"> rate</w:t>
      </w:r>
      <w:r w:rsidR="00C779E5">
        <w:t xml:space="preserve">s in rape cases are higher than </w:t>
      </w:r>
      <w:r w:rsidR="00D21318">
        <w:t>for</w:t>
      </w:r>
      <w:r w:rsidR="00C779E5">
        <w:t xml:space="preserve"> other crimes;</w:t>
      </w:r>
    </w:p>
    <w:p w14:paraId="37CF1F33" w14:textId="493D5864" w:rsidR="007722EF" w:rsidRDefault="006A15A9" w:rsidP="006A15A9">
      <w:pPr>
        <w:pStyle w:val="SingleTxtG"/>
      </w:pPr>
      <w:r>
        <w:tab/>
        <w:t>(d)</w:t>
      </w:r>
      <w:r>
        <w:tab/>
      </w:r>
      <w:r w:rsidR="00963C18" w:rsidRPr="00946DC3">
        <w:t>Th</w:t>
      </w:r>
      <w:r w:rsidR="000C5ED0">
        <w:t>at th</w:t>
      </w:r>
      <w:r w:rsidR="00963C18" w:rsidRPr="00946DC3">
        <w:t xml:space="preserve">e prevention and </w:t>
      </w:r>
      <w:r w:rsidR="000C5ED0">
        <w:t>investigation</w:t>
      </w:r>
      <w:r w:rsidR="00963C18" w:rsidRPr="00946DC3">
        <w:t xml:space="preserve"> of domestic violence </w:t>
      </w:r>
      <w:r w:rsidR="000C5ED0">
        <w:t xml:space="preserve">cases </w:t>
      </w:r>
      <w:r w:rsidR="00963C18" w:rsidRPr="00946DC3">
        <w:t xml:space="preserve">are </w:t>
      </w:r>
      <w:r w:rsidR="000C5ED0">
        <w:t xml:space="preserve">not </w:t>
      </w:r>
      <w:r w:rsidR="00963C18" w:rsidRPr="00946DC3">
        <w:t xml:space="preserve">sufficiently prioritized by the local police, </w:t>
      </w:r>
      <w:r w:rsidR="000C5ED0">
        <w:t>with</w:t>
      </w:r>
      <w:r w:rsidR="00963C18" w:rsidRPr="00946DC3">
        <w:t xml:space="preserve"> </w:t>
      </w:r>
      <w:r w:rsidR="00CF0703" w:rsidRPr="00946DC3">
        <w:t xml:space="preserve">long </w:t>
      </w:r>
      <w:r w:rsidR="000C5ED0">
        <w:t xml:space="preserve">delays for </w:t>
      </w:r>
      <w:r w:rsidR="00CF0703" w:rsidRPr="00946DC3">
        <w:t xml:space="preserve">processing </w:t>
      </w:r>
      <w:r w:rsidR="000C5ED0">
        <w:t>these cases</w:t>
      </w:r>
      <w:r w:rsidR="00CF0703" w:rsidRPr="00946DC3">
        <w:t xml:space="preserve"> and declining </w:t>
      </w:r>
      <w:r w:rsidR="000C5ED0">
        <w:t>resolution</w:t>
      </w:r>
      <w:r w:rsidR="00CF0703" w:rsidRPr="00946DC3">
        <w:t xml:space="preserve"> rate</w:t>
      </w:r>
      <w:r w:rsidR="000C5ED0">
        <w:t>s</w:t>
      </w:r>
      <w:r w:rsidR="00CF0703" w:rsidRPr="00946DC3">
        <w:t>;</w:t>
      </w:r>
    </w:p>
    <w:p w14:paraId="6DCDB9F1" w14:textId="0B3840B9" w:rsidR="00963C18" w:rsidRDefault="006A15A9" w:rsidP="006A15A9">
      <w:pPr>
        <w:pStyle w:val="SingleTxtG"/>
      </w:pPr>
      <w:r>
        <w:tab/>
        <w:t>(e)</w:t>
      </w:r>
      <w:r>
        <w:tab/>
      </w:r>
      <w:r w:rsidR="000C5ED0">
        <w:t>That m</w:t>
      </w:r>
      <w:r w:rsidR="00963C18">
        <w:t xml:space="preserve">andatory risk assessment tools such as SARA and PATRIARK are not </w:t>
      </w:r>
      <w:r w:rsidR="000C5ED0">
        <w:t xml:space="preserve">systematically </w:t>
      </w:r>
      <w:r w:rsidR="00963C18">
        <w:t xml:space="preserve">used by all police </w:t>
      </w:r>
      <w:r w:rsidR="000C5ED0">
        <w:t>stations</w:t>
      </w:r>
      <w:r w:rsidR="00963C18">
        <w:t>;</w:t>
      </w:r>
    </w:p>
    <w:p w14:paraId="6F90EEF0" w14:textId="129B60F8" w:rsidR="005A76A4" w:rsidRPr="005A76A4" w:rsidRDefault="006A15A9" w:rsidP="006A15A9">
      <w:pPr>
        <w:pStyle w:val="SingleTxtG"/>
      </w:pPr>
      <w:r>
        <w:tab/>
        <w:t>(f)</w:t>
      </w:r>
      <w:r>
        <w:tab/>
      </w:r>
      <w:r w:rsidR="005A76A4">
        <w:t>The high number of violations of restraining orders;</w:t>
      </w:r>
    </w:p>
    <w:p w14:paraId="5EF1CBC5" w14:textId="56060F09" w:rsidR="005A76A4" w:rsidRDefault="006A15A9" w:rsidP="006A15A9">
      <w:pPr>
        <w:pStyle w:val="SingleTxtG"/>
      </w:pPr>
      <w:r>
        <w:tab/>
        <w:t>(g)</w:t>
      </w:r>
      <w:r>
        <w:tab/>
      </w:r>
      <w:r w:rsidR="005A76A4">
        <w:t xml:space="preserve">The number of perpetrators wearing reverse domestic violence alarms is very small compared to the number of </w:t>
      </w:r>
      <w:r w:rsidR="000C5ED0">
        <w:t>survivors</w:t>
      </w:r>
      <w:r w:rsidR="005A76A4">
        <w:t xml:space="preserve"> of domestic violence wearing domestic violence alarms;</w:t>
      </w:r>
    </w:p>
    <w:p w14:paraId="7E323F50" w14:textId="4246B353" w:rsidR="00883E13" w:rsidRPr="00883E13" w:rsidRDefault="006A15A9" w:rsidP="006A15A9">
      <w:pPr>
        <w:pStyle w:val="SingleTxtG"/>
      </w:pPr>
      <w:r>
        <w:tab/>
        <w:t>(h)</w:t>
      </w:r>
      <w:r>
        <w:tab/>
      </w:r>
      <w:r w:rsidR="00883E13">
        <w:t xml:space="preserve">The discrepancies in the implementation of the Crisis Centre </w:t>
      </w:r>
      <w:r w:rsidR="000C5ED0">
        <w:t>Law</w:t>
      </w:r>
      <w:r w:rsidR="00883E13">
        <w:t xml:space="preserve"> across municipalities, hampering the provision of adequate and equal protection and services </w:t>
      </w:r>
      <w:r w:rsidR="000C5ED0">
        <w:t>to</w:t>
      </w:r>
      <w:r w:rsidR="00883E13">
        <w:t xml:space="preserve"> all victims of </w:t>
      </w:r>
      <w:r w:rsidR="000C5ED0">
        <w:t xml:space="preserve">gender-based </w:t>
      </w:r>
      <w:r w:rsidR="00883E13">
        <w:t>violence;</w:t>
      </w:r>
    </w:p>
    <w:p w14:paraId="550ACAD3" w14:textId="256186CA" w:rsidR="00883E13" w:rsidRPr="00883E13" w:rsidRDefault="006A15A9" w:rsidP="006A15A9">
      <w:pPr>
        <w:pStyle w:val="SingleTxtG"/>
      </w:pPr>
      <w:r>
        <w:lastRenderedPageBreak/>
        <w:tab/>
        <w:t>(i)</w:t>
      </w:r>
      <w:r>
        <w:tab/>
      </w:r>
      <w:r w:rsidR="000C5ED0">
        <w:t>That a</w:t>
      </w:r>
      <w:r w:rsidR="00963C18">
        <w:t>ccording to reports,</w:t>
      </w:r>
      <w:r w:rsidR="00C93DD8">
        <w:t xml:space="preserve"> the </w:t>
      </w:r>
      <w:r w:rsidR="000C5ED0">
        <w:t>risk</w:t>
      </w:r>
      <w:r w:rsidR="00C93DD8">
        <w:t xml:space="preserve"> of women with disabilities </w:t>
      </w:r>
      <w:r w:rsidR="000C5ED0">
        <w:t>of</w:t>
      </w:r>
      <w:r w:rsidR="00C93DD8">
        <w:t xml:space="preserve"> domestic violence is </w:t>
      </w:r>
      <w:r w:rsidR="005060BF">
        <w:t>significantly</w:t>
      </w:r>
      <w:r w:rsidR="00C93DD8">
        <w:t xml:space="preserve"> higher than </w:t>
      </w:r>
      <w:r w:rsidR="000C5ED0">
        <w:t xml:space="preserve">that </w:t>
      </w:r>
      <w:r w:rsidR="00C93DD8">
        <w:t>of women without disabilities</w:t>
      </w:r>
      <w:r w:rsidR="00883E13">
        <w:t>, and</w:t>
      </w:r>
      <w:r w:rsidR="00C93DD8">
        <w:t xml:space="preserve"> that</w:t>
      </w:r>
      <w:r w:rsidR="00963C18">
        <w:t xml:space="preserve"> </w:t>
      </w:r>
      <w:r w:rsidR="000C5ED0">
        <w:t xml:space="preserve">in cases of rape of women with disabilities, the courts in the State party sometimes apply Section </w:t>
      </w:r>
      <w:r w:rsidR="004F4803">
        <w:t xml:space="preserve">295 </w:t>
      </w:r>
      <w:r w:rsidR="000C5ED0">
        <w:t xml:space="preserve">of the Penal Code on special protection of women with disabilities from sexual exploitation which carries a lighter penalty than Section </w:t>
      </w:r>
      <w:r w:rsidR="00E13D85">
        <w:t>291</w:t>
      </w:r>
      <w:r w:rsidR="000C5ED0">
        <w:t xml:space="preserve"> of the Penal Code on rape</w:t>
      </w:r>
      <w:r w:rsidR="00320C9F">
        <w:t xml:space="preserve">; </w:t>
      </w:r>
    </w:p>
    <w:p w14:paraId="48E91F4D" w14:textId="5CBA63E6" w:rsidR="00751147" w:rsidRDefault="006A15A9" w:rsidP="006A15A9">
      <w:pPr>
        <w:pStyle w:val="SingleTxtG"/>
      </w:pPr>
      <w:r>
        <w:tab/>
        <w:t>(j)</w:t>
      </w:r>
      <w:r>
        <w:tab/>
      </w:r>
      <w:r w:rsidR="000C5ED0">
        <w:t xml:space="preserve">That </w:t>
      </w:r>
      <w:r w:rsidR="002C46F5">
        <w:t xml:space="preserve">although </w:t>
      </w:r>
      <w:r w:rsidR="00883E13" w:rsidRPr="00751147">
        <w:t xml:space="preserve">Sami women are </w:t>
      </w:r>
      <w:r w:rsidR="000C5ED0">
        <w:t>facing</w:t>
      </w:r>
      <w:r w:rsidR="00883E13" w:rsidRPr="00751147">
        <w:t xml:space="preserve"> different forms of gender-based violence within and outside the Sami community, there is insufficient </w:t>
      </w:r>
      <w:r w:rsidR="002C46F5">
        <w:t>knowledge</w:t>
      </w:r>
      <w:r w:rsidR="00883E13" w:rsidRPr="00751147">
        <w:t xml:space="preserve"> of Sami language and cultur</w:t>
      </w:r>
      <w:r w:rsidR="002C46F5">
        <w:t>e</w:t>
      </w:r>
      <w:r w:rsidR="00883E13" w:rsidRPr="00751147">
        <w:t xml:space="preserve"> among law enforcement </w:t>
      </w:r>
      <w:r w:rsidR="002C46F5">
        <w:t xml:space="preserve">officials </w:t>
      </w:r>
      <w:r w:rsidR="00883E13" w:rsidRPr="00751147">
        <w:t xml:space="preserve">and health </w:t>
      </w:r>
      <w:r w:rsidR="002C46F5">
        <w:t>professionals</w:t>
      </w:r>
      <w:r w:rsidR="00883E13" w:rsidRPr="00751147">
        <w:t>, and that the Sami crisis centre in the Sami traditional territory was closed in 2019;</w:t>
      </w:r>
    </w:p>
    <w:p w14:paraId="75975B33" w14:textId="334A1BD9" w:rsidR="00AF768A" w:rsidRPr="00751147" w:rsidRDefault="008002B9" w:rsidP="006A15A9">
      <w:pPr>
        <w:pStyle w:val="SingleTxtG"/>
      </w:pPr>
      <w:r>
        <w:tab/>
      </w:r>
      <w:r w:rsidR="00AF768A">
        <w:t>(k)</w:t>
      </w:r>
      <w:r>
        <w:tab/>
        <w:t>T</w:t>
      </w:r>
      <w:r w:rsidR="00AF768A" w:rsidRPr="00AF768A">
        <w:t>he increase in the number of reported cases of violence in the name of so-called “honour” since 2019 affecting predominantly women and girls</w:t>
      </w:r>
      <w:r w:rsidR="00FF3F63">
        <w:t>;</w:t>
      </w:r>
    </w:p>
    <w:p w14:paraId="60BFFEFC" w14:textId="3D1B1518" w:rsidR="00C36B2D" w:rsidRPr="00751147" w:rsidRDefault="006A15A9" w:rsidP="006A15A9">
      <w:pPr>
        <w:pStyle w:val="SingleTxtG"/>
      </w:pPr>
      <w:r>
        <w:tab/>
        <w:t>(</w:t>
      </w:r>
      <w:r w:rsidR="008002B9">
        <w:t>l</w:t>
      </w:r>
      <w:r>
        <w:t>)</w:t>
      </w:r>
      <w:r>
        <w:tab/>
      </w:r>
      <w:r w:rsidR="002C46F5">
        <w:t>That m</w:t>
      </w:r>
      <w:r w:rsidR="00C36B2D" w:rsidRPr="00751147">
        <w:t>igrant women</w:t>
      </w:r>
      <w:r w:rsidR="009A3104" w:rsidRPr="00751147">
        <w:t xml:space="preserve"> whose residence status </w:t>
      </w:r>
      <w:r w:rsidR="002C46F5">
        <w:t>depends</w:t>
      </w:r>
      <w:r w:rsidR="009A3104" w:rsidRPr="00751147">
        <w:t xml:space="preserve"> </w:t>
      </w:r>
      <w:r w:rsidR="002C46F5">
        <w:t xml:space="preserve">on </w:t>
      </w:r>
      <w:r w:rsidR="009A3104" w:rsidRPr="00751147">
        <w:t xml:space="preserve">their husband’s and who need to stay </w:t>
      </w:r>
      <w:r w:rsidR="00C22349">
        <w:t xml:space="preserve">three </w:t>
      </w:r>
      <w:r w:rsidR="009A3104" w:rsidRPr="00751147">
        <w:t xml:space="preserve">years in </w:t>
      </w:r>
      <w:r w:rsidR="002C46F5">
        <w:t>a</w:t>
      </w:r>
      <w:r w:rsidR="009A3104" w:rsidRPr="00751147">
        <w:t xml:space="preserve"> marriage before being </w:t>
      </w:r>
      <w:r w:rsidR="00C22349">
        <w:t xml:space="preserve">eligible for </w:t>
      </w:r>
      <w:r w:rsidR="002C46F5">
        <w:t>a</w:t>
      </w:r>
      <w:r w:rsidR="009A3104" w:rsidRPr="00751147">
        <w:t xml:space="preserve"> </w:t>
      </w:r>
      <w:r w:rsidR="00883E13" w:rsidRPr="00751147">
        <w:t>residence</w:t>
      </w:r>
      <w:r w:rsidR="009A3104" w:rsidRPr="00751147">
        <w:t xml:space="preserve"> permit</w:t>
      </w:r>
      <w:r w:rsidR="002C46F5">
        <w:t xml:space="preserve"> in their own right</w:t>
      </w:r>
      <w:r w:rsidR="000A5B98" w:rsidRPr="00751147">
        <w:t>, might be forced to stay in a violent relationship</w:t>
      </w:r>
      <w:r w:rsidR="00751147" w:rsidRPr="00751147">
        <w:t>,</w:t>
      </w:r>
      <w:r w:rsidR="000A5B98" w:rsidRPr="00751147">
        <w:t xml:space="preserve"> </w:t>
      </w:r>
      <w:r w:rsidR="002C46F5">
        <w:t>given that</w:t>
      </w:r>
      <w:r w:rsidR="009A3104" w:rsidRPr="00751147">
        <w:t xml:space="preserve"> the exception in Section 53 (1) b of the Immigration </w:t>
      </w:r>
      <w:r w:rsidR="002C46F5">
        <w:t>Law</w:t>
      </w:r>
      <w:r w:rsidR="009A3104" w:rsidRPr="00751147">
        <w:t xml:space="preserve"> is often interpreted strictly</w:t>
      </w:r>
      <w:r w:rsidR="00CD0F16">
        <w:t xml:space="preserve"> by the Directorate of Immigration, </w:t>
      </w:r>
      <w:r w:rsidR="002C46F5">
        <w:t>which reportedly</w:t>
      </w:r>
      <w:r w:rsidR="00CD0F16">
        <w:t xml:space="preserve"> </w:t>
      </w:r>
      <w:r w:rsidR="002C46F5">
        <w:t>applies</w:t>
      </w:r>
      <w:r w:rsidR="00CD0F16">
        <w:t xml:space="preserve"> a higher threshold for the severity of the abuse than stipulated </w:t>
      </w:r>
      <w:r w:rsidR="002C46F5">
        <w:t>by</w:t>
      </w:r>
      <w:r w:rsidR="00CD0F16">
        <w:t xml:space="preserve"> law and requir</w:t>
      </w:r>
      <w:r w:rsidR="002C46F5">
        <w:t>es</w:t>
      </w:r>
      <w:r w:rsidR="00CD0F16">
        <w:t xml:space="preserve"> financial independence</w:t>
      </w:r>
      <w:r w:rsidR="002C46F5">
        <w:t xml:space="preserve"> of the victim</w:t>
      </w:r>
      <w:r w:rsidR="008A1F0B">
        <w:t>, although</w:t>
      </w:r>
      <w:r w:rsidR="00CD0F16">
        <w:t xml:space="preserve"> </w:t>
      </w:r>
      <w:r w:rsidR="008A1F0B">
        <w:t xml:space="preserve">the Immigration Regulations exempt victims of </w:t>
      </w:r>
      <w:r w:rsidR="002C46F5">
        <w:t xml:space="preserve">gender-based </w:t>
      </w:r>
      <w:r w:rsidR="008A1F0B">
        <w:t>violence from this requirement</w:t>
      </w:r>
      <w:r w:rsidR="00751147" w:rsidRPr="00751147">
        <w:t>.</w:t>
      </w:r>
    </w:p>
    <w:p w14:paraId="7B9F3C62" w14:textId="53051B93" w:rsidR="00C36B2D" w:rsidRPr="006A15A9" w:rsidRDefault="008002B9" w:rsidP="006A15A9">
      <w:pPr>
        <w:pStyle w:val="SingleTxtG"/>
        <w:rPr>
          <w:b/>
          <w:bCs/>
        </w:rPr>
      </w:pPr>
      <w:r>
        <w:t>31</w:t>
      </w:r>
      <w:r w:rsidR="00F22B34">
        <w:t>.</w:t>
      </w:r>
      <w:r w:rsidR="006A15A9">
        <w:tab/>
      </w:r>
      <w:r w:rsidR="00C36B2D" w:rsidRPr="006A15A9">
        <w:rPr>
          <w:b/>
          <w:bCs/>
        </w:rPr>
        <w:t>The Committee recommends that the State party</w:t>
      </w:r>
      <w:r w:rsidR="007935D3">
        <w:rPr>
          <w:b/>
          <w:bCs/>
        </w:rPr>
        <w:t>, in close consultation with women’s groups and experts on gender-based violence prevention,</w:t>
      </w:r>
      <w:r w:rsidR="00DD4CBE">
        <w:rPr>
          <w:b/>
          <w:bCs/>
        </w:rPr>
        <w:t xml:space="preserve"> increase efforts toward the prevention of gender-based violence against women, including by introducing </w:t>
      </w:r>
      <w:r w:rsidR="007935D3">
        <w:rPr>
          <w:b/>
          <w:bCs/>
        </w:rPr>
        <w:t xml:space="preserve">teachings about </w:t>
      </w:r>
      <w:r w:rsidR="00DD4CBE">
        <w:rPr>
          <w:b/>
          <w:bCs/>
        </w:rPr>
        <w:t>zero tolerance for violence into the school curriculum at all levels</w:t>
      </w:r>
      <w:r w:rsidR="007935D3">
        <w:rPr>
          <w:b/>
          <w:bCs/>
        </w:rPr>
        <w:t xml:space="preserve"> and train teachers accordingly; conduct large-scale awareness-raising campaigns in the media on zero tolerance for violence, on recognizing aggressive behaviour and on where to seek help; ensure sufficient support structures are in place for women wishing to leave an aggressive spouse and set up programmes for perpetrators of gender-based violence aimed at non-recurrence. The Committee furthermore recommends that the State party</w:t>
      </w:r>
      <w:r w:rsidR="00C84899" w:rsidRPr="006A15A9">
        <w:rPr>
          <w:b/>
          <w:bCs/>
        </w:rPr>
        <w:t>:</w:t>
      </w:r>
    </w:p>
    <w:p w14:paraId="260692E0" w14:textId="3FAF68E5" w:rsidR="00164D13" w:rsidRPr="006A15A9" w:rsidRDefault="006A15A9" w:rsidP="006A15A9">
      <w:pPr>
        <w:pStyle w:val="SingleTxtG"/>
        <w:rPr>
          <w:b/>
          <w:bCs/>
        </w:rPr>
      </w:pPr>
      <w:r>
        <w:tab/>
        <w:t>(a)</w:t>
      </w:r>
      <w:r>
        <w:tab/>
      </w:r>
      <w:r w:rsidR="00164D13" w:rsidRPr="006A15A9">
        <w:rPr>
          <w:b/>
          <w:bCs/>
        </w:rPr>
        <w:t>Implement the recommendations issued by the Commi</w:t>
      </w:r>
      <w:r w:rsidR="00E03826" w:rsidRPr="006A15A9">
        <w:rPr>
          <w:b/>
          <w:bCs/>
        </w:rPr>
        <w:t>ttee</w:t>
      </w:r>
      <w:r w:rsidR="00164D13" w:rsidRPr="006A15A9">
        <w:rPr>
          <w:b/>
          <w:bCs/>
        </w:rPr>
        <w:t xml:space="preserve"> on Partner Homicide, including to set up the </w:t>
      </w:r>
      <w:r w:rsidR="002C46F5" w:rsidRPr="006A15A9">
        <w:rPr>
          <w:b/>
          <w:bCs/>
        </w:rPr>
        <w:t>P</w:t>
      </w:r>
      <w:r w:rsidR="00164D13" w:rsidRPr="006A15A9">
        <w:rPr>
          <w:b/>
          <w:bCs/>
        </w:rPr>
        <w:t>ermanent Intimate Partner Homicide</w:t>
      </w:r>
      <w:r w:rsidR="00E03826" w:rsidRPr="006A15A9">
        <w:rPr>
          <w:b/>
          <w:bCs/>
        </w:rPr>
        <w:t xml:space="preserve"> Commission</w:t>
      </w:r>
      <w:r w:rsidR="00164D13" w:rsidRPr="006A15A9">
        <w:rPr>
          <w:b/>
          <w:bCs/>
        </w:rPr>
        <w:t xml:space="preserve">, and ensure that it is allocated adequate </w:t>
      </w:r>
      <w:r w:rsidR="002C46F5" w:rsidRPr="006A15A9">
        <w:rPr>
          <w:b/>
          <w:bCs/>
        </w:rPr>
        <w:t xml:space="preserve">human, technical and financial </w:t>
      </w:r>
      <w:r w:rsidR="00164D13" w:rsidRPr="006A15A9">
        <w:rPr>
          <w:b/>
          <w:bCs/>
        </w:rPr>
        <w:t xml:space="preserve">resources; </w:t>
      </w:r>
    </w:p>
    <w:p w14:paraId="49E2F290" w14:textId="13BA2F97" w:rsidR="00946DC3" w:rsidRPr="006A15A9" w:rsidRDefault="006A15A9" w:rsidP="006A15A9">
      <w:pPr>
        <w:pStyle w:val="SingleTxtG"/>
        <w:rPr>
          <w:b/>
          <w:bCs/>
        </w:rPr>
      </w:pPr>
      <w:r>
        <w:tab/>
        <w:t>(b)</w:t>
      </w:r>
      <w:r>
        <w:tab/>
      </w:r>
      <w:r w:rsidR="00BA1091" w:rsidRPr="006A15A9">
        <w:rPr>
          <w:b/>
          <w:bCs/>
        </w:rPr>
        <w:t>Renew its National Action Plan against rape, which expired in 2022, and c</w:t>
      </w:r>
      <w:r w:rsidR="007722EF" w:rsidRPr="006A15A9">
        <w:rPr>
          <w:b/>
          <w:bCs/>
        </w:rPr>
        <w:t xml:space="preserve">onduct a study on </w:t>
      </w:r>
      <w:r w:rsidR="00164D13" w:rsidRPr="006A15A9">
        <w:rPr>
          <w:b/>
          <w:bCs/>
        </w:rPr>
        <w:t>the reason</w:t>
      </w:r>
      <w:r w:rsidR="002C46F5" w:rsidRPr="006A15A9">
        <w:rPr>
          <w:b/>
          <w:bCs/>
        </w:rPr>
        <w:t>s</w:t>
      </w:r>
      <w:r w:rsidR="00164D13" w:rsidRPr="006A15A9">
        <w:rPr>
          <w:b/>
          <w:bCs/>
        </w:rPr>
        <w:t xml:space="preserve"> </w:t>
      </w:r>
      <w:r w:rsidR="002C46F5" w:rsidRPr="006A15A9">
        <w:rPr>
          <w:b/>
          <w:bCs/>
        </w:rPr>
        <w:t xml:space="preserve">for </w:t>
      </w:r>
      <w:r w:rsidR="00164D13" w:rsidRPr="006A15A9">
        <w:rPr>
          <w:b/>
          <w:bCs/>
        </w:rPr>
        <w:t xml:space="preserve">the </w:t>
      </w:r>
      <w:r w:rsidR="002C46F5" w:rsidRPr="006A15A9">
        <w:rPr>
          <w:b/>
          <w:bCs/>
        </w:rPr>
        <w:t>discontinuance</w:t>
      </w:r>
      <w:r w:rsidR="00164D13" w:rsidRPr="006A15A9">
        <w:rPr>
          <w:b/>
          <w:bCs/>
        </w:rPr>
        <w:t xml:space="preserve"> of a high number of</w:t>
      </w:r>
      <w:r w:rsidR="007722EF" w:rsidRPr="006A15A9">
        <w:rPr>
          <w:b/>
          <w:bCs/>
        </w:rPr>
        <w:t xml:space="preserve"> rape cases</w:t>
      </w:r>
      <w:r w:rsidR="00946DC3" w:rsidRPr="006A15A9">
        <w:rPr>
          <w:b/>
          <w:bCs/>
        </w:rPr>
        <w:t>, including</w:t>
      </w:r>
      <w:r w:rsidR="007722EF" w:rsidRPr="006A15A9">
        <w:rPr>
          <w:b/>
          <w:bCs/>
        </w:rPr>
        <w:t xml:space="preserve"> </w:t>
      </w:r>
      <w:r w:rsidR="002C46F5" w:rsidRPr="006A15A9">
        <w:rPr>
          <w:b/>
          <w:bCs/>
        </w:rPr>
        <w:t>the potential links to</w:t>
      </w:r>
      <w:r w:rsidR="007722EF" w:rsidRPr="006A15A9">
        <w:rPr>
          <w:b/>
          <w:bCs/>
        </w:rPr>
        <w:t xml:space="preserve"> gender </w:t>
      </w:r>
      <w:r w:rsidR="002C46F5" w:rsidRPr="006A15A9">
        <w:rPr>
          <w:b/>
          <w:bCs/>
        </w:rPr>
        <w:t>bias</w:t>
      </w:r>
      <w:r w:rsidR="007722EF" w:rsidRPr="006A15A9">
        <w:rPr>
          <w:b/>
          <w:bCs/>
        </w:rPr>
        <w:t xml:space="preserve"> against victims of rape</w:t>
      </w:r>
      <w:r w:rsidR="00946DC3" w:rsidRPr="006A15A9">
        <w:rPr>
          <w:b/>
          <w:bCs/>
        </w:rPr>
        <w:t>;</w:t>
      </w:r>
    </w:p>
    <w:p w14:paraId="1EBB4700" w14:textId="196FDBCB" w:rsidR="00946DC3" w:rsidRPr="006A15A9" w:rsidRDefault="006A15A9" w:rsidP="006A15A9">
      <w:pPr>
        <w:pStyle w:val="SingleTxtG"/>
        <w:rPr>
          <w:b/>
          <w:bCs/>
        </w:rPr>
      </w:pPr>
      <w:r>
        <w:tab/>
        <w:t>(c)</w:t>
      </w:r>
      <w:r>
        <w:tab/>
      </w:r>
      <w:r w:rsidR="00CF0703" w:rsidRPr="006A15A9">
        <w:rPr>
          <w:b/>
          <w:bCs/>
        </w:rPr>
        <w:t xml:space="preserve">Align the definition of rape with international standards basing it on the </w:t>
      </w:r>
      <w:r w:rsidR="002C46F5" w:rsidRPr="006A15A9">
        <w:rPr>
          <w:b/>
          <w:bCs/>
        </w:rPr>
        <w:t>lack</w:t>
      </w:r>
      <w:r w:rsidR="00CF0703" w:rsidRPr="006A15A9">
        <w:rPr>
          <w:b/>
          <w:bCs/>
        </w:rPr>
        <w:t xml:space="preserve"> of consent</w:t>
      </w:r>
      <w:r w:rsidR="002C46F5" w:rsidRPr="006A15A9">
        <w:rPr>
          <w:b/>
          <w:bCs/>
        </w:rPr>
        <w:t xml:space="preserve"> rather than use of force or threat</w:t>
      </w:r>
      <w:r w:rsidR="00CD2C4C" w:rsidRPr="006A15A9">
        <w:rPr>
          <w:b/>
          <w:bCs/>
        </w:rPr>
        <w:t>;</w:t>
      </w:r>
    </w:p>
    <w:p w14:paraId="21A36090" w14:textId="5484FF3D" w:rsidR="00946DC3" w:rsidRPr="006A15A9" w:rsidRDefault="006A15A9" w:rsidP="006A15A9">
      <w:pPr>
        <w:pStyle w:val="SingleTxtG"/>
        <w:rPr>
          <w:b/>
          <w:bCs/>
        </w:rPr>
      </w:pPr>
      <w:r>
        <w:tab/>
        <w:t>(d)</w:t>
      </w:r>
      <w:r>
        <w:tab/>
      </w:r>
      <w:r w:rsidR="00CF0703" w:rsidRPr="006A15A9">
        <w:rPr>
          <w:b/>
          <w:bCs/>
        </w:rPr>
        <w:t xml:space="preserve">Include capacity building on </w:t>
      </w:r>
      <w:r w:rsidR="002C46F5" w:rsidRPr="006A15A9">
        <w:rPr>
          <w:b/>
          <w:bCs/>
        </w:rPr>
        <w:t>the investigation, prosecution and adjudication of</w:t>
      </w:r>
      <w:r w:rsidR="00CF0703" w:rsidRPr="006A15A9">
        <w:rPr>
          <w:b/>
          <w:bCs/>
        </w:rPr>
        <w:t xml:space="preserve"> domestic violence cases in the </w:t>
      </w:r>
      <w:r w:rsidR="002C46F5" w:rsidRPr="006A15A9">
        <w:rPr>
          <w:b/>
          <w:bCs/>
        </w:rPr>
        <w:t xml:space="preserve">mandatory </w:t>
      </w:r>
      <w:r w:rsidR="00CF0703" w:rsidRPr="006A15A9">
        <w:rPr>
          <w:b/>
          <w:bCs/>
        </w:rPr>
        <w:t xml:space="preserve">basic education for </w:t>
      </w:r>
      <w:r w:rsidR="002C46F5" w:rsidRPr="006A15A9">
        <w:rPr>
          <w:b/>
          <w:bCs/>
        </w:rPr>
        <w:t xml:space="preserve">the judiciary, prosecutors, the police and other </w:t>
      </w:r>
      <w:r w:rsidR="00CF0703" w:rsidRPr="006A15A9">
        <w:rPr>
          <w:b/>
          <w:bCs/>
        </w:rPr>
        <w:t xml:space="preserve">law enforcement </w:t>
      </w:r>
      <w:r w:rsidR="002C46F5" w:rsidRPr="006A15A9">
        <w:rPr>
          <w:b/>
          <w:bCs/>
        </w:rPr>
        <w:t>officers</w:t>
      </w:r>
      <w:r w:rsidR="00164D13" w:rsidRPr="006A15A9">
        <w:rPr>
          <w:b/>
          <w:bCs/>
        </w:rPr>
        <w:t>, including</w:t>
      </w:r>
      <w:r w:rsidR="005A76A4" w:rsidRPr="006A15A9">
        <w:rPr>
          <w:b/>
          <w:bCs/>
        </w:rPr>
        <w:t xml:space="preserve"> </w:t>
      </w:r>
      <w:r w:rsidR="002C46F5" w:rsidRPr="006A15A9">
        <w:rPr>
          <w:b/>
          <w:bCs/>
        </w:rPr>
        <w:t xml:space="preserve">on </w:t>
      </w:r>
      <w:r w:rsidR="005A76A4" w:rsidRPr="006A15A9">
        <w:rPr>
          <w:b/>
          <w:bCs/>
        </w:rPr>
        <w:t xml:space="preserve">the </w:t>
      </w:r>
      <w:r w:rsidR="002C46F5" w:rsidRPr="006A15A9">
        <w:rPr>
          <w:b/>
          <w:bCs/>
        </w:rPr>
        <w:t>issuance</w:t>
      </w:r>
      <w:r w:rsidR="005A76A4" w:rsidRPr="006A15A9">
        <w:rPr>
          <w:b/>
          <w:bCs/>
        </w:rPr>
        <w:t xml:space="preserve"> and monitoring of restraining orders and reverse domestic violence alarms, as well as</w:t>
      </w:r>
      <w:r w:rsidR="00164D13" w:rsidRPr="006A15A9">
        <w:rPr>
          <w:b/>
          <w:bCs/>
        </w:rPr>
        <w:t xml:space="preserve"> in the us</w:t>
      </w:r>
      <w:r w:rsidR="002C46F5" w:rsidRPr="006A15A9">
        <w:rPr>
          <w:b/>
          <w:bCs/>
        </w:rPr>
        <w:t>e</w:t>
      </w:r>
      <w:r w:rsidR="00164D13" w:rsidRPr="006A15A9">
        <w:rPr>
          <w:b/>
          <w:bCs/>
        </w:rPr>
        <w:t xml:space="preserve"> of SARA and PATRIARK;</w:t>
      </w:r>
    </w:p>
    <w:p w14:paraId="5F790FFC" w14:textId="03F74878" w:rsidR="000D2945" w:rsidRPr="006A15A9" w:rsidRDefault="006A15A9" w:rsidP="006A15A9">
      <w:pPr>
        <w:pStyle w:val="SingleTxtG"/>
        <w:rPr>
          <w:b/>
          <w:bCs/>
        </w:rPr>
      </w:pPr>
      <w:r>
        <w:tab/>
        <w:t>(e)</w:t>
      </w:r>
      <w:r>
        <w:tab/>
      </w:r>
      <w:r w:rsidR="00D44A6E" w:rsidRPr="006A15A9">
        <w:rPr>
          <w:b/>
          <w:bCs/>
        </w:rPr>
        <w:t xml:space="preserve">Allocate adequate resources and provide the necessary capacity building to ensure </w:t>
      </w:r>
      <w:r w:rsidR="002C46F5" w:rsidRPr="006A15A9">
        <w:rPr>
          <w:b/>
          <w:bCs/>
        </w:rPr>
        <w:t xml:space="preserve">the </w:t>
      </w:r>
      <w:r w:rsidR="00D44A6E" w:rsidRPr="006A15A9">
        <w:rPr>
          <w:b/>
          <w:bCs/>
        </w:rPr>
        <w:t xml:space="preserve">effective and uniform implementation of the Crisis Centre </w:t>
      </w:r>
      <w:r w:rsidR="002C46F5" w:rsidRPr="006A15A9">
        <w:rPr>
          <w:b/>
          <w:bCs/>
        </w:rPr>
        <w:t>Law</w:t>
      </w:r>
      <w:r w:rsidR="00D44A6E" w:rsidRPr="006A15A9">
        <w:rPr>
          <w:b/>
          <w:bCs/>
        </w:rPr>
        <w:t xml:space="preserve"> throughout the </w:t>
      </w:r>
      <w:r w:rsidR="002C46F5" w:rsidRPr="006A15A9">
        <w:rPr>
          <w:b/>
          <w:bCs/>
        </w:rPr>
        <w:t>State party</w:t>
      </w:r>
      <w:r w:rsidR="00D44A6E" w:rsidRPr="006A15A9">
        <w:rPr>
          <w:b/>
          <w:bCs/>
        </w:rPr>
        <w:t>;</w:t>
      </w:r>
    </w:p>
    <w:p w14:paraId="75B9A16E" w14:textId="67876A55" w:rsidR="00946DC3" w:rsidRPr="006A15A9" w:rsidRDefault="006A15A9" w:rsidP="006A15A9">
      <w:pPr>
        <w:pStyle w:val="SingleTxtG"/>
        <w:rPr>
          <w:b/>
          <w:bCs/>
        </w:rPr>
      </w:pPr>
      <w:r>
        <w:tab/>
        <w:t>(f)</w:t>
      </w:r>
      <w:r>
        <w:tab/>
      </w:r>
      <w:r w:rsidR="00EF4797" w:rsidRPr="006A15A9">
        <w:rPr>
          <w:b/>
          <w:bCs/>
        </w:rPr>
        <w:t xml:space="preserve">Provide capacity building to relevant </w:t>
      </w:r>
      <w:r w:rsidR="002C46F5" w:rsidRPr="006A15A9">
        <w:rPr>
          <w:b/>
          <w:bCs/>
        </w:rPr>
        <w:t xml:space="preserve">law enforcement officers, health professionals and </w:t>
      </w:r>
      <w:r w:rsidR="00EF4797" w:rsidRPr="006A15A9">
        <w:rPr>
          <w:b/>
          <w:bCs/>
        </w:rPr>
        <w:t xml:space="preserve">municipal employees to </w:t>
      </w:r>
      <w:r w:rsidR="002C46F5" w:rsidRPr="006A15A9">
        <w:rPr>
          <w:b/>
          <w:bCs/>
        </w:rPr>
        <w:t>strengthen</w:t>
      </w:r>
      <w:r w:rsidR="008620EC" w:rsidRPr="006A15A9">
        <w:rPr>
          <w:b/>
          <w:bCs/>
        </w:rPr>
        <w:t xml:space="preserve"> the identification of</w:t>
      </w:r>
      <w:r w:rsidR="00EF4797" w:rsidRPr="006A15A9">
        <w:rPr>
          <w:b/>
          <w:bCs/>
        </w:rPr>
        <w:t xml:space="preserve"> victims of </w:t>
      </w:r>
      <w:r w:rsidR="002C46F5" w:rsidRPr="006A15A9">
        <w:rPr>
          <w:b/>
          <w:bCs/>
        </w:rPr>
        <w:t xml:space="preserve">gender-based </w:t>
      </w:r>
      <w:r w:rsidR="00EF4797" w:rsidRPr="006A15A9">
        <w:rPr>
          <w:b/>
          <w:bCs/>
        </w:rPr>
        <w:t>violence among women with disabilities, including through better usage of the TryggEst tool</w:t>
      </w:r>
      <w:r w:rsidR="00692444" w:rsidRPr="006A15A9">
        <w:rPr>
          <w:b/>
          <w:bCs/>
        </w:rPr>
        <w:t>, e</w:t>
      </w:r>
      <w:r w:rsidR="00EF4797" w:rsidRPr="006A15A9">
        <w:rPr>
          <w:b/>
          <w:bCs/>
        </w:rPr>
        <w:t xml:space="preserve">nsure that women with disabilities have access </w:t>
      </w:r>
      <w:r w:rsidR="00962C1C" w:rsidRPr="006A15A9">
        <w:rPr>
          <w:b/>
          <w:bCs/>
        </w:rPr>
        <w:t xml:space="preserve">to confidential and independent </w:t>
      </w:r>
      <w:r w:rsidR="00EF4797" w:rsidRPr="006A15A9">
        <w:rPr>
          <w:b/>
          <w:bCs/>
        </w:rPr>
        <w:t>complaint mechanisms</w:t>
      </w:r>
      <w:r w:rsidR="00692444" w:rsidRPr="006A15A9">
        <w:rPr>
          <w:b/>
          <w:bCs/>
        </w:rPr>
        <w:t>,</w:t>
      </w:r>
      <w:r w:rsidR="00974FEC" w:rsidRPr="006A15A9">
        <w:rPr>
          <w:b/>
          <w:bCs/>
        </w:rPr>
        <w:t xml:space="preserve"> and </w:t>
      </w:r>
      <w:r w:rsidR="00962C1C" w:rsidRPr="006A15A9">
        <w:rPr>
          <w:b/>
          <w:bCs/>
        </w:rPr>
        <w:t>apply</w:t>
      </w:r>
      <w:r w:rsidR="008620EC" w:rsidRPr="006A15A9">
        <w:rPr>
          <w:b/>
          <w:bCs/>
        </w:rPr>
        <w:t xml:space="preserve"> the</w:t>
      </w:r>
      <w:r w:rsidR="00320C9F" w:rsidRPr="006A15A9">
        <w:rPr>
          <w:b/>
          <w:bCs/>
        </w:rPr>
        <w:t xml:space="preserve"> </w:t>
      </w:r>
      <w:r w:rsidR="00962C1C" w:rsidRPr="006A15A9">
        <w:rPr>
          <w:b/>
          <w:bCs/>
        </w:rPr>
        <w:t>Section</w:t>
      </w:r>
      <w:r w:rsidR="0037553A" w:rsidRPr="006A15A9">
        <w:rPr>
          <w:b/>
          <w:bCs/>
        </w:rPr>
        <w:t xml:space="preserve"> 291</w:t>
      </w:r>
      <w:r w:rsidR="00962C1C" w:rsidRPr="006A15A9">
        <w:rPr>
          <w:b/>
          <w:bCs/>
        </w:rPr>
        <w:t xml:space="preserve"> of the P</w:t>
      </w:r>
      <w:r w:rsidR="008620EC" w:rsidRPr="006A15A9">
        <w:rPr>
          <w:b/>
          <w:bCs/>
        </w:rPr>
        <w:t xml:space="preserve">enal </w:t>
      </w:r>
      <w:r w:rsidR="00962C1C" w:rsidRPr="006A15A9">
        <w:rPr>
          <w:b/>
          <w:bCs/>
        </w:rPr>
        <w:t>C</w:t>
      </w:r>
      <w:r w:rsidR="008620EC" w:rsidRPr="006A15A9">
        <w:rPr>
          <w:b/>
          <w:bCs/>
        </w:rPr>
        <w:t>ode’s on rape in all cases of rape</w:t>
      </w:r>
      <w:r w:rsidR="00320C9F" w:rsidRPr="006A15A9">
        <w:rPr>
          <w:b/>
          <w:bCs/>
        </w:rPr>
        <w:t>;</w:t>
      </w:r>
    </w:p>
    <w:p w14:paraId="31E28922" w14:textId="7D8B8552" w:rsidR="00B97898" w:rsidRDefault="006A15A9" w:rsidP="006A15A9">
      <w:pPr>
        <w:pStyle w:val="SingleTxtG"/>
        <w:rPr>
          <w:b/>
          <w:bCs/>
        </w:rPr>
      </w:pPr>
      <w:r>
        <w:tab/>
        <w:t>(g)</w:t>
      </w:r>
      <w:r>
        <w:tab/>
      </w:r>
      <w:r w:rsidR="00B97898" w:rsidRPr="006A15A9">
        <w:rPr>
          <w:b/>
          <w:bCs/>
        </w:rPr>
        <w:t xml:space="preserve">Conduct research into the </w:t>
      </w:r>
      <w:r w:rsidR="00962C1C" w:rsidRPr="006A15A9">
        <w:rPr>
          <w:b/>
          <w:bCs/>
        </w:rPr>
        <w:t>disproportionate risk of gender-based</w:t>
      </w:r>
      <w:r w:rsidR="00B97898" w:rsidRPr="006A15A9">
        <w:rPr>
          <w:b/>
          <w:bCs/>
        </w:rPr>
        <w:t xml:space="preserve"> violence </w:t>
      </w:r>
      <w:r w:rsidR="0037553A" w:rsidRPr="006A15A9">
        <w:rPr>
          <w:b/>
          <w:bCs/>
        </w:rPr>
        <w:t>against</w:t>
      </w:r>
      <w:r w:rsidR="00B97898" w:rsidRPr="006A15A9">
        <w:rPr>
          <w:b/>
          <w:bCs/>
        </w:rPr>
        <w:t xml:space="preserve"> Sami women to prevent and address the </w:t>
      </w:r>
      <w:r w:rsidR="00962C1C" w:rsidRPr="006A15A9">
        <w:rPr>
          <w:b/>
          <w:bCs/>
        </w:rPr>
        <w:t xml:space="preserve">gender-based </w:t>
      </w:r>
      <w:r w:rsidR="00B97898" w:rsidRPr="006A15A9">
        <w:rPr>
          <w:b/>
          <w:bCs/>
        </w:rPr>
        <w:t>violence they experience within and outside their community</w:t>
      </w:r>
      <w:r w:rsidR="00692444" w:rsidRPr="006A15A9">
        <w:rPr>
          <w:b/>
          <w:bCs/>
        </w:rPr>
        <w:t>,</w:t>
      </w:r>
      <w:r w:rsidR="00B97898" w:rsidRPr="006A15A9">
        <w:rPr>
          <w:b/>
          <w:bCs/>
        </w:rPr>
        <w:t xml:space="preserve"> provide capacity building to law enforcement </w:t>
      </w:r>
      <w:r w:rsidR="00962C1C" w:rsidRPr="006A15A9">
        <w:rPr>
          <w:b/>
          <w:bCs/>
        </w:rPr>
        <w:lastRenderedPageBreak/>
        <w:t>officials on</w:t>
      </w:r>
      <w:r w:rsidR="00B97898" w:rsidRPr="006A15A9">
        <w:rPr>
          <w:b/>
          <w:bCs/>
        </w:rPr>
        <w:t xml:space="preserve"> Sami language and culture, and a</w:t>
      </w:r>
      <w:r w:rsidR="00974FEC" w:rsidRPr="006A15A9">
        <w:rPr>
          <w:b/>
          <w:bCs/>
        </w:rPr>
        <w:t>llocate sufficient</w:t>
      </w:r>
      <w:r w:rsidR="00962C1C" w:rsidRPr="006A15A9">
        <w:rPr>
          <w:b/>
          <w:bCs/>
        </w:rPr>
        <w:t xml:space="preserve"> human, technical and financial</w:t>
      </w:r>
      <w:r w:rsidR="00974FEC" w:rsidRPr="006A15A9">
        <w:rPr>
          <w:b/>
          <w:bCs/>
        </w:rPr>
        <w:t xml:space="preserve"> resources to r</w:t>
      </w:r>
      <w:r w:rsidR="00C52208" w:rsidRPr="006A15A9">
        <w:rPr>
          <w:b/>
          <w:bCs/>
        </w:rPr>
        <w:t>e-</w:t>
      </w:r>
      <w:r w:rsidR="00974FEC" w:rsidRPr="006A15A9">
        <w:rPr>
          <w:b/>
          <w:bCs/>
        </w:rPr>
        <w:t xml:space="preserve">establish </w:t>
      </w:r>
      <w:r w:rsidR="00B97898" w:rsidRPr="006A15A9">
        <w:rPr>
          <w:b/>
          <w:bCs/>
        </w:rPr>
        <w:t>the</w:t>
      </w:r>
      <w:r w:rsidR="00974FEC" w:rsidRPr="006A15A9">
        <w:rPr>
          <w:b/>
          <w:bCs/>
        </w:rPr>
        <w:t xml:space="preserve"> Sami crisis centre;</w:t>
      </w:r>
    </w:p>
    <w:p w14:paraId="6C869E23" w14:textId="05FFB8C9" w:rsidR="00FF3F63" w:rsidRPr="006A15A9" w:rsidRDefault="000F3B3C" w:rsidP="006A15A9">
      <w:pPr>
        <w:pStyle w:val="SingleTxtG"/>
        <w:rPr>
          <w:b/>
          <w:bCs/>
        </w:rPr>
      </w:pPr>
      <w:r>
        <w:tab/>
      </w:r>
      <w:r w:rsidR="00FF3F63">
        <w:t>(h)</w:t>
      </w:r>
      <w:r>
        <w:tab/>
      </w:r>
      <w:r w:rsidR="00917AF4">
        <w:rPr>
          <w:b/>
          <w:bCs/>
        </w:rPr>
        <w:t>I</w:t>
      </w:r>
      <w:r w:rsidR="00FF3F63" w:rsidRPr="00A51BE5">
        <w:rPr>
          <w:b/>
          <w:bCs/>
        </w:rPr>
        <w:t xml:space="preserve">ntensify </w:t>
      </w:r>
      <w:r w:rsidR="00FF3F63">
        <w:rPr>
          <w:b/>
          <w:bCs/>
        </w:rPr>
        <w:t>monitoring</w:t>
      </w:r>
      <w:r w:rsidR="00FF3F63" w:rsidRPr="00A51BE5">
        <w:rPr>
          <w:b/>
          <w:bCs/>
        </w:rPr>
        <w:t xml:space="preserve"> the incidence of </w:t>
      </w:r>
      <w:r w:rsidR="00FF3F63">
        <w:rPr>
          <w:b/>
          <w:bCs/>
        </w:rPr>
        <w:t xml:space="preserve">violence in the name of so-called “honour” while taking into consideration all circumstances that may lead to the increase or decrease of reporting of these cases and also analyse the reason for the increase in reporting of the latter. It also recommends that the State party </w:t>
      </w:r>
      <w:r w:rsidR="00FF3F63" w:rsidRPr="00A51BE5">
        <w:rPr>
          <w:b/>
          <w:bCs/>
        </w:rPr>
        <w:t>disseminate information through different accessible channels, including at school and via social media,</w:t>
      </w:r>
      <w:r w:rsidR="00FF3F63">
        <w:rPr>
          <w:b/>
          <w:bCs/>
        </w:rPr>
        <w:t xml:space="preserve"> and provide</w:t>
      </w:r>
      <w:r w:rsidR="00FF3F63" w:rsidRPr="00A51BE5">
        <w:rPr>
          <w:b/>
          <w:bCs/>
        </w:rPr>
        <w:t xml:space="preserve"> support for victims and for women or girls who fear that they may be subjected to </w:t>
      </w:r>
      <w:r w:rsidR="001B1644">
        <w:rPr>
          <w:b/>
          <w:bCs/>
        </w:rPr>
        <w:t>violence in the name of so-called “honour”</w:t>
      </w:r>
      <w:r w:rsidR="00FF3F63">
        <w:rPr>
          <w:b/>
          <w:bCs/>
        </w:rPr>
        <w:t>;</w:t>
      </w:r>
    </w:p>
    <w:p w14:paraId="5A93E2EC" w14:textId="3E60BD74" w:rsidR="004906D6" w:rsidRPr="006A15A9" w:rsidRDefault="006A15A9" w:rsidP="006A15A9">
      <w:pPr>
        <w:pStyle w:val="SingleTxtG"/>
        <w:rPr>
          <w:b/>
          <w:bCs/>
        </w:rPr>
      </w:pPr>
      <w:r>
        <w:tab/>
        <w:t>(</w:t>
      </w:r>
      <w:r w:rsidR="000F3B3C">
        <w:t>i</w:t>
      </w:r>
      <w:r>
        <w:t>)</w:t>
      </w:r>
      <w:r>
        <w:tab/>
      </w:r>
      <w:r w:rsidR="001B0490" w:rsidRPr="006A15A9">
        <w:rPr>
          <w:b/>
          <w:bCs/>
        </w:rPr>
        <w:t xml:space="preserve">Ensure </w:t>
      </w:r>
      <w:r w:rsidR="00962C1C" w:rsidRPr="006A15A9">
        <w:rPr>
          <w:b/>
          <w:bCs/>
        </w:rPr>
        <w:t>that</w:t>
      </w:r>
      <w:r w:rsidR="001B0490" w:rsidRPr="006A15A9">
        <w:rPr>
          <w:b/>
          <w:bCs/>
        </w:rPr>
        <w:t xml:space="preserve"> the provisions in the Immigration </w:t>
      </w:r>
      <w:r w:rsidR="00962C1C" w:rsidRPr="006A15A9">
        <w:rPr>
          <w:b/>
          <w:bCs/>
        </w:rPr>
        <w:t>Law</w:t>
      </w:r>
      <w:r w:rsidR="001B0490" w:rsidRPr="006A15A9">
        <w:rPr>
          <w:b/>
          <w:bCs/>
        </w:rPr>
        <w:t xml:space="preserve"> and Immigration Regulations </w:t>
      </w:r>
      <w:r w:rsidR="00962C1C" w:rsidRPr="006A15A9">
        <w:rPr>
          <w:b/>
          <w:bCs/>
        </w:rPr>
        <w:t>are not applied overly restrictively but in a way that</w:t>
      </w:r>
      <w:r w:rsidR="001B0490" w:rsidRPr="006A15A9">
        <w:rPr>
          <w:b/>
          <w:bCs/>
        </w:rPr>
        <w:t xml:space="preserve"> protect</w:t>
      </w:r>
      <w:r w:rsidR="00962C1C" w:rsidRPr="006A15A9">
        <w:rPr>
          <w:b/>
          <w:bCs/>
        </w:rPr>
        <w:t>s</w:t>
      </w:r>
      <w:r w:rsidR="001B0490" w:rsidRPr="006A15A9">
        <w:rPr>
          <w:b/>
          <w:bCs/>
        </w:rPr>
        <w:t xml:space="preserve"> the rights of women victims of </w:t>
      </w:r>
      <w:r w:rsidR="00962C1C" w:rsidRPr="006A15A9">
        <w:rPr>
          <w:b/>
          <w:bCs/>
        </w:rPr>
        <w:t xml:space="preserve">gender-based </w:t>
      </w:r>
      <w:r w:rsidR="001B0490" w:rsidRPr="006A15A9">
        <w:rPr>
          <w:b/>
          <w:bCs/>
        </w:rPr>
        <w:t xml:space="preserve">violence and provide them with the necessary support to </w:t>
      </w:r>
      <w:r w:rsidR="00962C1C" w:rsidRPr="006A15A9">
        <w:rPr>
          <w:b/>
          <w:bCs/>
        </w:rPr>
        <w:t>access to judicial</w:t>
      </w:r>
      <w:r w:rsidR="001B0490" w:rsidRPr="006A15A9">
        <w:rPr>
          <w:b/>
          <w:bCs/>
        </w:rPr>
        <w:t xml:space="preserve"> </w:t>
      </w:r>
      <w:r w:rsidR="00962C1C" w:rsidRPr="006A15A9">
        <w:rPr>
          <w:b/>
          <w:bCs/>
        </w:rPr>
        <w:t>review of decisions of the immigration authorities</w:t>
      </w:r>
      <w:r w:rsidR="00946DC3" w:rsidRPr="006A15A9">
        <w:rPr>
          <w:b/>
          <w:bCs/>
        </w:rPr>
        <w:t>;</w:t>
      </w:r>
    </w:p>
    <w:p w14:paraId="271F201F" w14:textId="2050DB17" w:rsidR="007D0201" w:rsidRPr="006A15A9" w:rsidRDefault="006A15A9" w:rsidP="006A15A9">
      <w:pPr>
        <w:pStyle w:val="SingleTxtG"/>
        <w:rPr>
          <w:b/>
          <w:bCs/>
        </w:rPr>
      </w:pPr>
      <w:r>
        <w:tab/>
        <w:t>(</w:t>
      </w:r>
      <w:r w:rsidR="000F3B3C">
        <w:t>j</w:t>
      </w:r>
      <w:r>
        <w:t>)</w:t>
      </w:r>
      <w:r>
        <w:tab/>
      </w:r>
      <w:r w:rsidR="00212853" w:rsidRPr="006A15A9">
        <w:rPr>
          <w:b/>
          <w:bCs/>
        </w:rPr>
        <w:t>Implement the recommendations in the 2022 GREVIO Baseline Evaluation Report.</w:t>
      </w:r>
    </w:p>
    <w:p w14:paraId="77941D7D" w14:textId="77777777" w:rsidR="000706B1" w:rsidRDefault="000706B1" w:rsidP="000706B1">
      <w:pPr>
        <w:pStyle w:val="H23G"/>
        <w:ind w:firstLine="0"/>
      </w:pPr>
      <w:r w:rsidRPr="008554DA">
        <w:t xml:space="preserve">Trafficking and exploitation of prostitution </w:t>
      </w:r>
    </w:p>
    <w:p w14:paraId="083C2A8B" w14:textId="58F1D3ED" w:rsidR="000706B1" w:rsidRDefault="008002B9" w:rsidP="00C04688">
      <w:pPr>
        <w:pStyle w:val="SingleTxtG"/>
      </w:pPr>
      <w:r>
        <w:t>32</w:t>
      </w:r>
      <w:r w:rsidR="00F22B34">
        <w:t>.</w:t>
      </w:r>
      <w:r w:rsidR="00C04688">
        <w:tab/>
      </w:r>
      <w:r w:rsidR="000706B1">
        <w:t xml:space="preserve">The Committee is concerned about the continued </w:t>
      </w:r>
      <w:r w:rsidR="000706B1" w:rsidRPr="00B674A0">
        <w:t>lack of comprehensive information and data on trafficking in women and girls in the State party.</w:t>
      </w:r>
      <w:r w:rsidR="000706B1">
        <w:t xml:space="preserve"> It also notes with concern:</w:t>
      </w:r>
    </w:p>
    <w:p w14:paraId="263C4311" w14:textId="49D02F44" w:rsidR="000706B1" w:rsidRDefault="00C04688" w:rsidP="00C04688">
      <w:pPr>
        <w:pStyle w:val="SingleTxtG"/>
      </w:pPr>
      <w:r>
        <w:tab/>
        <w:t>(a)</w:t>
      </w:r>
      <w:r>
        <w:tab/>
      </w:r>
      <w:r w:rsidR="000706B1">
        <w:t>The prevalence of</w:t>
      </w:r>
      <w:r w:rsidR="000706B1" w:rsidRPr="0065740D">
        <w:t xml:space="preserve"> </w:t>
      </w:r>
      <w:r w:rsidR="000706B1">
        <w:t>trafficking in women and girls</w:t>
      </w:r>
      <w:r w:rsidR="000706B1" w:rsidRPr="0065740D">
        <w:t xml:space="preserve"> for purpose</w:t>
      </w:r>
      <w:r w:rsidR="000706B1">
        <w:t>s</w:t>
      </w:r>
      <w:r w:rsidR="000706B1" w:rsidRPr="0065740D">
        <w:t xml:space="preserve"> of sexual exploitation, which often occurs online;</w:t>
      </w:r>
    </w:p>
    <w:p w14:paraId="33EB09AB" w14:textId="1799DE5C" w:rsidR="000706B1" w:rsidRPr="004906D6" w:rsidRDefault="00C04688" w:rsidP="00C04688">
      <w:pPr>
        <w:pStyle w:val="SingleTxtG"/>
      </w:pPr>
      <w:r>
        <w:tab/>
        <w:t>(b)</w:t>
      </w:r>
      <w:r>
        <w:tab/>
      </w:r>
      <w:r w:rsidR="000706B1">
        <w:t>T</w:t>
      </w:r>
      <w:r w:rsidR="000706B1" w:rsidRPr="0065740D">
        <w:t>h</w:t>
      </w:r>
      <w:r w:rsidR="000706B1">
        <w:t>at</w:t>
      </w:r>
      <w:r w:rsidR="000706B1" w:rsidRPr="0065740D">
        <w:t xml:space="preserve"> </w:t>
      </w:r>
      <w:r w:rsidR="000706B1">
        <w:t xml:space="preserve">victim </w:t>
      </w:r>
      <w:r w:rsidR="000706B1" w:rsidRPr="0065740D">
        <w:t>identification</w:t>
      </w:r>
      <w:r w:rsidR="000706B1">
        <w:t xml:space="preserve">, referral to appropriate services </w:t>
      </w:r>
      <w:r w:rsidR="000706B1" w:rsidRPr="0065740D">
        <w:t>and follow</w:t>
      </w:r>
      <w:r w:rsidR="000706B1">
        <w:t>-</w:t>
      </w:r>
      <w:r w:rsidR="000706B1" w:rsidRPr="0065740D">
        <w:t>up on t</w:t>
      </w:r>
      <w:r w:rsidR="000706B1">
        <w:t>rafficking</w:t>
      </w:r>
      <w:r w:rsidR="000706B1" w:rsidRPr="0065740D">
        <w:t xml:space="preserve"> cases</w:t>
      </w:r>
      <w:r w:rsidR="000706B1">
        <w:t xml:space="preserve"> are</w:t>
      </w:r>
      <w:r w:rsidR="000706B1" w:rsidRPr="004906D6">
        <w:rPr>
          <w:rFonts w:eastAsia="Times New Roman"/>
        </w:rPr>
        <w:t xml:space="preserve"> </w:t>
      </w:r>
      <w:r w:rsidR="000706B1">
        <w:rPr>
          <w:rFonts w:eastAsia="Times New Roman"/>
        </w:rPr>
        <w:t>scattered among</w:t>
      </w:r>
      <w:r w:rsidR="000706B1" w:rsidRPr="004906D6">
        <w:t xml:space="preserve"> different government agencies</w:t>
      </w:r>
      <w:r w:rsidR="000706B1">
        <w:t xml:space="preserve"> and civil society organisations</w:t>
      </w:r>
      <w:r w:rsidR="000706B1" w:rsidRPr="004906D6">
        <w:t xml:space="preserve"> and </w:t>
      </w:r>
      <w:r w:rsidR="000706B1">
        <w:t xml:space="preserve">implemented mostly </w:t>
      </w:r>
      <w:r w:rsidR="000706B1" w:rsidRPr="0065740D">
        <w:t>in the form of temporary schemes</w:t>
      </w:r>
      <w:r w:rsidR="000706B1" w:rsidRPr="004906D6">
        <w:t>;</w:t>
      </w:r>
    </w:p>
    <w:p w14:paraId="2B3758BC" w14:textId="250E21AD" w:rsidR="000706B1" w:rsidRPr="003C569C" w:rsidRDefault="00C04688" w:rsidP="00C04688">
      <w:pPr>
        <w:pStyle w:val="SingleTxtG"/>
      </w:pPr>
      <w:r>
        <w:tab/>
        <w:t>(c)</w:t>
      </w:r>
      <w:r>
        <w:tab/>
      </w:r>
      <w:r w:rsidR="000706B1" w:rsidRPr="0065740D">
        <w:t>The</w:t>
      </w:r>
      <w:r w:rsidR="000706B1">
        <w:t xml:space="preserve"> lack</w:t>
      </w:r>
      <w:r w:rsidR="000706B1" w:rsidRPr="0065740D">
        <w:t xml:space="preserve"> </w:t>
      </w:r>
      <w:r w:rsidR="000706B1">
        <w:t>of understanding</w:t>
      </w:r>
      <w:r w:rsidR="000706B1" w:rsidRPr="0065740D">
        <w:t xml:space="preserve"> </w:t>
      </w:r>
      <w:r w:rsidR="000706B1">
        <w:t>among</w:t>
      </w:r>
      <w:r w:rsidR="000706B1" w:rsidRPr="0065740D">
        <w:t xml:space="preserve"> public bodies abou</w:t>
      </w:r>
      <w:r w:rsidR="000706B1">
        <w:t>t</w:t>
      </w:r>
      <w:r w:rsidR="000706B1" w:rsidRPr="0065740D">
        <w:t xml:space="preserve"> human trafficking and </w:t>
      </w:r>
      <w:r w:rsidR="000706B1">
        <w:t>victim</w:t>
      </w:r>
      <w:r w:rsidR="000706B1" w:rsidRPr="0065740D">
        <w:t xml:space="preserve"> </w:t>
      </w:r>
      <w:r w:rsidR="000706B1" w:rsidRPr="003C569C">
        <w:t xml:space="preserve">identification, which can </w:t>
      </w:r>
      <w:r w:rsidR="000706B1">
        <w:t>expose</w:t>
      </w:r>
      <w:r w:rsidR="000706B1" w:rsidRPr="003C569C">
        <w:t xml:space="preserve"> </w:t>
      </w:r>
      <w:r w:rsidR="000706B1">
        <w:t>trafficking victims</w:t>
      </w:r>
      <w:r w:rsidR="000706B1" w:rsidRPr="003C569C">
        <w:t xml:space="preserve"> to deportation and the risk of re-trafficking, and </w:t>
      </w:r>
      <w:r w:rsidR="000706B1">
        <w:t xml:space="preserve">that </w:t>
      </w:r>
      <w:r w:rsidR="000706B1" w:rsidRPr="003C569C">
        <w:t xml:space="preserve">the number of lawyers specialized in trafficking </w:t>
      </w:r>
      <w:r w:rsidR="000706B1">
        <w:t xml:space="preserve">cases </w:t>
      </w:r>
      <w:r w:rsidR="000706B1" w:rsidRPr="003C569C">
        <w:t xml:space="preserve">is </w:t>
      </w:r>
      <w:r w:rsidR="000706B1">
        <w:t>small</w:t>
      </w:r>
      <w:r w:rsidR="000706B1" w:rsidRPr="003C569C">
        <w:t>;</w:t>
      </w:r>
    </w:p>
    <w:p w14:paraId="0032AE72" w14:textId="5D5B5C86" w:rsidR="000706B1" w:rsidRPr="0065740D" w:rsidRDefault="00C04688" w:rsidP="00C04688">
      <w:pPr>
        <w:pStyle w:val="SingleTxtG"/>
      </w:pPr>
      <w:r>
        <w:tab/>
        <w:t>(d)</w:t>
      </w:r>
      <w:r>
        <w:tab/>
      </w:r>
      <w:r w:rsidR="000706B1">
        <w:t>The low p</w:t>
      </w:r>
      <w:r w:rsidR="000706B1" w:rsidRPr="0065740D">
        <w:t xml:space="preserve">rosecution and conviction rates </w:t>
      </w:r>
      <w:r w:rsidR="000706B1">
        <w:t>in</w:t>
      </w:r>
      <w:r w:rsidR="000706B1" w:rsidRPr="0065740D">
        <w:t xml:space="preserve"> traffick</w:t>
      </w:r>
      <w:r w:rsidR="000706B1">
        <w:t>ing cases.</w:t>
      </w:r>
    </w:p>
    <w:p w14:paraId="44C34492" w14:textId="505C0B61" w:rsidR="000706B1" w:rsidRPr="00C04688" w:rsidRDefault="008002B9" w:rsidP="00C04688">
      <w:pPr>
        <w:pStyle w:val="SingleTxtG"/>
        <w:rPr>
          <w:b/>
          <w:bCs/>
        </w:rPr>
      </w:pPr>
      <w:r>
        <w:t>33</w:t>
      </w:r>
      <w:r w:rsidR="00F22B34">
        <w:t>.</w:t>
      </w:r>
      <w:r w:rsidR="00C04688">
        <w:tab/>
      </w:r>
      <w:r w:rsidR="000706B1" w:rsidRPr="00C04688">
        <w:rPr>
          <w:b/>
          <w:bCs/>
        </w:rPr>
        <w:t>The Committee, recalls General Recommendation No. 38 (2020) on trafficking in women and girls in the context of global migration, and recommends that the State party:</w:t>
      </w:r>
    </w:p>
    <w:p w14:paraId="016539FC" w14:textId="17000FBD" w:rsidR="000706B1" w:rsidRPr="00C04688" w:rsidRDefault="00C04688" w:rsidP="00C04688">
      <w:pPr>
        <w:pStyle w:val="SingleTxtG"/>
        <w:rPr>
          <w:b/>
          <w:bCs/>
        </w:rPr>
      </w:pPr>
      <w:r>
        <w:tab/>
        <w:t>(a)</w:t>
      </w:r>
      <w:r>
        <w:tab/>
      </w:r>
      <w:r w:rsidR="000706B1" w:rsidRPr="00C04688">
        <w:rPr>
          <w:b/>
          <w:bCs/>
        </w:rPr>
        <w:t>C</w:t>
      </w:r>
      <w:r w:rsidR="00407D07" w:rsidRPr="00C04688">
        <w:rPr>
          <w:b/>
          <w:bCs/>
        </w:rPr>
        <w:t>onduct online policing</w:t>
      </w:r>
      <w:r w:rsidR="004B6924" w:rsidRPr="00C04688">
        <w:rPr>
          <w:b/>
          <w:bCs/>
        </w:rPr>
        <w:t xml:space="preserve"> and investigation</w:t>
      </w:r>
      <w:r w:rsidR="00407D07" w:rsidRPr="00C04688">
        <w:rPr>
          <w:b/>
          <w:bCs/>
        </w:rPr>
        <w:t xml:space="preserve"> </w:t>
      </w:r>
      <w:r w:rsidR="000706B1" w:rsidRPr="00C04688">
        <w:rPr>
          <w:b/>
          <w:bCs/>
        </w:rPr>
        <w:t xml:space="preserve">to detect sexual exploitation online and identify </w:t>
      </w:r>
      <w:r w:rsidR="004B6924" w:rsidRPr="00C04688">
        <w:rPr>
          <w:b/>
          <w:bCs/>
        </w:rPr>
        <w:t xml:space="preserve">and prosecute </w:t>
      </w:r>
      <w:r w:rsidR="000706B1" w:rsidRPr="00C04688">
        <w:rPr>
          <w:b/>
          <w:bCs/>
        </w:rPr>
        <w:t>traffickers;</w:t>
      </w:r>
      <w:r w:rsidR="006164A8" w:rsidRPr="00C04688">
        <w:rPr>
          <w:b/>
          <w:bCs/>
        </w:rPr>
        <w:t xml:space="preserve"> </w:t>
      </w:r>
    </w:p>
    <w:p w14:paraId="51995683" w14:textId="5CC230F4" w:rsidR="000706B1" w:rsidRPr="00C04688" w:rsidRDefault="00C04688" w:rsidP="00C04688">
      <w:pPr>
        <w:pStyle w:val="SingleTxtG"/>
        <w:rPr>
          <w:b/>
          <w:bCs/>
        </w:rPr>
      </w:pPr>
      <w:r>
        <w:tab/>
        <w:t>(b)</w:t>
      </w:r>
      <w:r>
        <w:tab/>
      </w:r>
      <w:r w:rsidR="000706B1" w:rsidRPr="00C04688">
        <w:rPr>
          <w:b/>
          <w:bCs/>
        </w:rPr>
        <w:t>Set up a centralized system to identify and follow up on cases of trafficking and to ensure adequate referral pathways for victims, and conduct corresponding systematic capacity building of law enforcement officers, including police, immigration and border control officers, social workers, and health professionals;</w:t>
      </w:r>
    </w:p>
    <w:p w14:paraId="38800D90" w14:textId="3947C5CD" w:rsidR="000706B1" w:rsidRPr="00C04688" w:rsidRDefault="00C04688" w:rsidP="00C04688">
      <w:pPr>
        <w:pStyle w:val="SingleTxtG"/>
        <w:rPr>
          <w:b/>
          <w:bCs/>
        </w:rPr>
      </w:pPr>
      <w:r>
        <w:tab/>
        <w:t>(c)</w:t>
      </w:r>
      <w:r>
        <w:tab/>
      </w:r>
      <w:r w:rsidR="000706B1" w:rsidRPr="00C04688">
        <w:rPr>
          <w:b/>
          <w:bCs/>
        </w:rPr>
        <w:t xml:space="preserve">Promptly investigate, prosecute and adequately punish those </w:t>
      </w:r>
      <w:r w:rsidR="00A441B8">
        <w:rPr>
          <w:b/>
          <w:bCs/>
        </w:rPr>
        <w:t xml:space="preserve">responsible for </w:t>
      </w:r>
      <w:r w:rsidR="000706B1" w:rsidRPr="00C04688">
        <w:rPr>
          <w:b/>
          <w:bCs/>
        </w:rPr>
        <w:t>trafficking and provide multisectoral capacity-building programmes for the judiciary and law enforcement officials on the strict application of anti-trafficking legislation;</w:t>
      </w:r>
    </w:p>
    <w:p w14:paraId="2B1A76B5" w14:textId="76F1199F" w:rsidR="000706B1" w:rsidRPr="00C04688" w:rsidRDefault="00C04688" w:rsidP="00C04688">
      <w:pPr>
        <w:pStyle w:val="SingleTxtG"/>
        <w:rPr>
          <w:b/>
          <w:bCs/>
        </w:rPr>
      </w:pPr>
      <w:r>
        <w:tab/>
        <w:t>(d)</w:t>
      </w:r>
      <w:r>
        <w:tab/>
      </w:r>
      <w:r w:rsidR="000706B1" w:rsidRPr="00C04688">
        <w:rPr>
          <w:b/>
          <w:bCs/>
        </w:rPr>
        <w:t>Conduct awareness-raising campaigns to encourage law students and lawyers to specialize in the representation of trafficking victims and subsidize pro bono schemes in this regard.</w:t>
      </w:r>
    </w:p>
    <w:p w14:paraId="71DF99F6" w14:textId="77777777" w:rsidR="00A4150C" w:rsidRDefault="00C04688" w:rsidP="00A4150C">
      <w:pPr>
        <w:pStyle w:val="H23G"/>
      </w:pPr>
      <w:r>
        <w:tab/>
      </w:r>
      <w:r w:rsidR="000706B1">
        <w:tab/>
      </w:r>
      <w:r w:rsidR="00A4150C" w:rsidRPr="00DC01D5">
        <w:t>Equal Participation in political and public life</w:t>
      </w:r>
    </w:p>
    <w:p w14:paraId="2A227737" w14:textId="4D2CAC01" w:rsidR="00A4150C" w:rsidRDefault="00A4150C" w:rsidP="00A4150C">
      <w:pPr>
        <w:pStyle w:val="SingleTxtG"/>
      </w:pPr>
      <w:r>
        <w:t>3</w:t>
      </w:r>
      <w:r w:rsidR="008002B9">
        <w:t>4</w:t>
      </w:r>
      <w:r>
        <w:t>.</w:t>
      </w:r>
      <w:r>
        <w:tab/>
        <w:t xml:space="preserve">The Committee notes with appreciation the number of programmes developed for women who are underrepresented and belong to disadvantaged groups owing to discriminatory structures, institutions and systems, in particular with regards to Sami women and women with disabilities. The Committee is concerned, however, that this approach is based on a model of service-provision only rather than effective empowerment, visible in an </w:t>
      </w:r>
      <w:r>
        <w:lastRenderedPageBreak/>
        <w:t xml:space="preserve">underrepresentation of Sami women, women with disabilities and other minority women in the State party’s decision-making systems. </w:t>
      </w:r>
    </w:p>
    <w:p w14:paraId="074454C5" w14:textId="3B47C828" w:rsidR="00A4150C" w:rsidRPr="00C04688" w:rsidRDefault="00A4150C" w:rsidP="00A4150C">
      <w:pPr>
        <w:pStyle w:val="SingleTxtG"/>
        <w:rPr>
          <w:b/>
          <w:bCs/>
        </w:rPr>
      </w:pPr>
      <w:r w:rsidRPr="00C04688">
        <w:t>3</w:t>
      </w:r>
      <w:r w:rsidR="008002B9">
        <w:t>5</w:t>
      </w:r>
      <w:r w:rsidRPr="00C04688">
        <w:t>.</w:t>
      </w:r>
      <w:r>
        <w:tab/>
      </w:r>
      <w:r w:rsidRPr="00C04688">
        <w:rPr>
          <w:b/>
          <w:bCs/>
        </w:rPr>
        <w:t xml:space="preserve">The Committee recommends that the State party adopt an empowerment model rather than a model of service provision only and allocate the necessary resources and develop quotas to ensure true empowerment of women from every group and their full representation in the State party’s decision-making systems. </w:t>
      </w:r>
    </w:p>
    <w:p w14:paraId="6374D099" w14:textId="77777777" w:rsidR="00A4150C" w:rsidRDefault="00A4150C" w:rsidP="00A4150C">
      <w:pPr>
        <w:pStyle w:val="H23G"/>
      </w:pPr>
      <w:r>
        <w:tab/>
      </w:r>
      <w:r>
        <w:tab/>
      </w:r>
      <w:r w:rsidRPr="00DA3A84">
        <w:t>Education</w:t>
      </w:r>
    </w:p>
    <w:p w14:paraId="13735EEB" w14:textId="6462EFD4" w:rsidR="00A4150C" w:rsidRDefault="00A4150C" w:rsidP="00A4150C">
      <w:pPr>
        <w:pStyle w:val="SingleTxtG"/>
      </w:pPr>
      <w:r>
        <w:t>3</w:t>
      </w:r>
      <w:r w:rsidR="008002B9">
        <w:t>6</w:t>
      </w:r>
      <w:r>
        <w:t>.</w:t>
      </w:r>
      <w:r>
        <w:tab/>
        <w:t>The Committee welcomes the central role that g</w:t>
      </w:r>
      <w:r w:rsidRPr="00B8102F">
        <w:t>ender equality ha</w:t>
      </w:r>
      <w:r>
        <w:t>s</w:t>
      </w:r>
      <w:r w:rsidRPr="00B8102F">
        <w:t xml:space="preserve"> in the national primary and secondary </w:t>
      </w:r>
      <w:r>
        <w:t>education</w:t>
      </w:r>
      <w:r w:rsidRPr="00B8102F">
        <w:t xml:space="preserve"> curriculums </w:t>
      </w:r>
      <w:r>
        <w:t>for</w:t>
      </w:r>
      <w:r w:rsidRPr="00B8102F">
        <w:t xml:space="preserve"> social studies</w:t>
      </w:r>
      <w:r>
        <w:t>. However, it notes with concern:</w:t>
      </w:r>
    </w:p>
    <w:p w14:paraId="4C0D0EF9" w14:textId="77777777" w:rsidR="00A4150C" w:rsidRDefault="00A4150C" w:rsidP="00A4150C">
      <w:pPr>
        <w:pStyle w:val="SingleTxtG"/>
      </w:pPr>
      <w:r>
        <w:tab/>
        <w:t>(a)</w:t>
      </w:r>
      <w:r>
        <w:tab/>
        <w:t>That despite the State party’s efforts to direct more girls to career paths traditionally followed by men and more boys to career paths traditionally followed by women, girls’ and boys’ e</w:t>
      </w:r>
      <w:r w:rsidRPr="009F5E17">
        <w:t xml:space="preserve">ducational </w:t>
      </w:r>
      <w:r>
        <w:t xml:space="preserve">and occupational </w:t>
      </w:r>
      <w:r w:rsidRPr="009F5E17">
        <w:t>choices continue to be gendered;</w:t>
      </w:r>
    </w:p>
    <w:p w14:paraId="2C0449BD" w14:textId="77777777" w:rsidR="00A4150C" w:rsidRPr="00370669" w:rsidRDefault="00A4150C" w:rsidP="00A4150C">
      <w:pPr>
        <w:pStyle w:val="SingleTxtG"/>
      </w:pPr>
      <w:r>
        <w:tab/>
        <w:t>(b)</w:t>
      </w:r>
      <w:r>
        <w:tab/>
        <w:t>Reports of bullying of girls in school environments, including via social media.</w:t>
      </w:r>
    </w:p>
    <w:p w14:paraId="3B8DA4FD" w14:textId="3E10F5AC" w:rsidR="00A4150C" w:rsidRPr="00370669" w:rsidRDefault="00A4150C" w:rsidP="00A4150C">
      <w:pPr>
        <w:pStyle w:val="SingleTxtG"/>
        <w:suppressAutoHyphens w:val="0"/>
        <w:rPr>
          <w:b/>
          <w:bCs/>
        </w:rPr>
      </w:pPr>
      <w:r w:rsidRPr="00C04688">
        <w:t>3</w:t>
      </w:r>
      <w:r w:rsidR="008002B9">
        <w:t>7</w:t>
      </w:r>
      <w:r w:rsidRPr="00C04688">
        <w:t>.</w:t>
      </w:r>
      <w:r>
        <w:rPr>
          <w:b/>
          <w:bCs/>
        </w:rPr>
        <w:tab/>
      </w:r>
      <w:r w:rsidRPr="007F12D8">
        <w:rPr>
          <w:b/>
          <w:bCs/>
        </w:rPr>
        <w:t xml:space="preserve">Recalling its general recommendation No. 36 </w:t>
      </w:r>
      <w:r>
        <w:rPr>
          <w:b/>
          <w:bCs/>
        </w:rPr>
        <w:t xml:space="preserve">(2017) </w:t>
      </w:r>
      <w:r w:rsidRPr="007F12D8">
        <w:rPr>
          <w:b/>
          <w:bCs/>
        </w:rPr>
        <w:t>on the right of girls and women to education, the Committee recommends that the State party promote the importance of girls’ education at all levels as a basis for their empowerment</w:t>
      </w:r>
      <w:r>
        <w:rPr>
          <w:b/>
          <w:bCs/>
        </w:rPr>
        <w:t>. It</w:t>
      </w:r>
      <w:r w:rsidRPr="003630DC">
        <w:rPr>
          <w:b/>
          <w:bCs/>
        </w:rPr>
        <w:t xml:space="preserve"> recommends that the State party</w:t>
      </w:r>
      <w:r>
        <w:rPr>
          <w:b/>
          <w:bCs/>
        </w:rPr>
        <w:t xml:space="preserve"> assess the impact of the</w:t>
      </w:r>
      <w:r w:rsidRPr="001E2647">
        <w:rPr>
          <w:b/>
          <w:bCs/>
        </w:rPr>
        <w:t xml:space="preserve"> inclusion of gender equality in its education curricula to identify how it could be further strengthened, notably with a view </w:t>
      </w:r>
      <w:r>
        <w:rPr>
          <w:b/>
          <w:bCs/>
        </w:rPr>
        <w:t>to</w:t>
      </w:r>
      <w:r w:rsidRPr="001E2647">
        <w:rPr>
          <w:b/>
          <w:bCs/>
        </w:rPr>
        <w:t xml:space="preserve"> also</w:t>
      </w:r>
      <w:r>
        <w:rPr>
          <w:b/>
          <w:bCs/>
        </w:rPr>
        <w:t xml:space="preserve"> forming a basis to</w:t>
      </w:r>
      <w:r w:rsidRPr="001E2647">
        <w:rPr>
          <w:b/>
          <w:bCs/>
        </w:rPr>
        <w:t xml:space="preserve"> </w:t>
      </w:r>
      <w:r>
        <w:rPr>
          <w:b/>
          <w:bCs/>
        </w:rPr>
        <w:t>address and reverse</w:t>
      </w:r>
      <w:r w:rsidRPr="001E2647">
        <w:rPr>
          <w:b/>
          <w:bCs/>
        </w:rPr>
        <w:t xml:space="preserve"> gendered educational choices</w:t>
      </w:r>
      <w:r>
        <w:rPr>
          <w:b/>
          <w:bCs/>
        </w:rPr>
        <w:t xml:space="preserve">. It further recommends that the State party: </w:t>
      </w:r>
    </w:p>
    <w:p w14:paraId="43FF42C5" w14:textId="117C203E" w:rsidR="00A4150C" w:rsidRPr="00C04688" w:rsidRDefault="00A4150C" w:rsidP="00A4150C">
      <w:pPr>
        <w:pStyle w:val="SingleTxtG"/>
        <w:rPr>
          <w:b/>
          <w:bCs/>
        </w:rPr>
      </w:pPr>
      <w:r>
        <w:tab/>
        <w:t>(a)</w:t>
      </w:r>
      <w:r>
        <w:tab/>
      </w:r>
      <w:r w:rsidRPr="00C04688">
        <w:rPr>
          <w:b/>
          <w:bCs/>
        </w:rPr>
        <w:t>Intensify efforts towards a gender-equal labour market and orienting more girls to career paths traditionally followed by men and boys to career paths traditionally followed by women, including by allocating more resources to campaigns where pupils can obtain information about these professions, and by conducting awareness-raising programmes to increase the understanding of the importance of traditionally female dominated fields of study and career paths, such in the care sector, and to increase the value assigned to these by society;</w:t>
      </w:r>
    </w:p>
    <w:p w14:paraId="32B156A2" w14:textId="77777777" w:rsidR="00A4150C" w:rsidRPr="00C04688" w:rsidRDefault="00A4150C" w:rsidP="00A4150C">
      <w:pPr>
        <w:pStyle w:val="SingleTxtG"/>
        <w:rPr>
          <w:b/>
          <w:bCs/>
        </w:rPr>
      </w:pPr>
      <w:r>
        <w:tab/>
        <w:t>(b)</w:t>
      </w:r>
      <w:r>
        <w:tab/>
      </w:r>
      <w:r w:rsidRPr="00C04688">
        <w:rPr>
          <w:b/>
          <w:bCs/>
        </w:rPr>
        <w:t>Provide comprehensive and systematic capacity building to teachers, pupils and parents on preventing and addressing bullying with a gender perspective, set up confidential complaint mechanisms in schools, include anti-bullying education in school curricula at both the primary and secondary levels, and provide pupils with information on defending themselves against bullying.</w:t>
      </w:r>
    </w:p>
    <w:p w14:paraId="5855613D" w14:textId="75C7612B" w:rsidR="00A4150C" w:rsidRDefault="008002B9" w:rsidP="00A4150C">
      <w:pPr>
        <w:pStyle w:val="SingleTxtG"/>
        <w:widowControl w:val="0"/>
        <w:suppressAutoHyphens w:val="0"/>
        <w:rPr>
          <w:lang w:val="en-US"/>
        </w:rPr>
      </w:pPr>
      <w:r>
        <w:rPr>
          <w:lang w:val="en-US"/>
        </w:rPr>
        <w:t>38</w:t>
      </w:r>
      <w:r w:rsidR="00A4150C">
        <w:rPr>
          <w:lang w:val="en-US"/>
        </w:rPr>
        <w:t>.</w:t>
      </w:r>
      <w:r w:rsidR="00A4150C">
        <w:rPr>
          <w:lang w:val="en-US"/>
        </w:rPr>
        <w:tab/>
        <w:t xml:space="preserve">The Committee notes with concern that the provisions of the Integration Law on the admission of adult immigrants to vocational and university studies are primarily targeted at candidates who </w:t>
      </w:r>
      <w:r w:rsidR="00052F26">
        <w:rPr>
          <w:lang w:val="en-US"/>
        </w:rPr>
        <w:t xml:space="preserve">have already completed </w:t>
      </w:r>
      <w:r w:rsidR="00501028">
        <w:rPr>
          <w:lang w:val="en-US"/>
        </w:rPr>
        <w:t xml:space="preserve">lower </w:t>
      </w:r>
      <w:r w:rsidR="00052F26">
        <w:rPr>
          <w:lang w:val="en-US"/>
        </w:rPr>
        <w:t>secondary education</w:t>
      </w:r>
      <w:r w:rsidR="00A4150C">
        <w:rPr>
          <w:lang w:val="en-US"/>
        </w:rPr>
        <w:t xml:space="preserve"> </w:t>
      </w:r>
      <w:r w:rsidR="00052F26">
        <w:rPr>
          <w:lang w:val="en-US"/>
        </w:rPr>
        <w:t xml:space="preserve">and who need support in completing upper secondary education </w:t>
      </w:r>
      <w:r w:rsidR="00A4150C">
        <w:rPr>
          <w:lang w:val="en-US"/>
        </w:rPr>
        <w:t xml:space="preserve">and not at those with lower educational background, </w:t>
      </w:r>
      <w:r w:rsidR="00052F26">
        <w:rPr>
          <w:lang w:val="en-US"/>
        </w:rPr>
        <w:t xml:space="preserve">notably who have not completed </w:t>
      </w:r>
      <w:r w:rsidR="00501028">
        <w:rPr>
          <w:lang w:val="en-US"/>
        </w:rPr>
        <w:t xml:space="preserve">lower </w:t>
      </w:r>
      <w:r w:rsidR="00052F26">
        <w:rPr>
          <w:lang w:val="en-US"/>
        </w:rPr>
        <w:t xml:space="preserve">secondary education, who will often be </w:t>
      </w:r>
      <w:r w:rsidR="00A4150C">
        <w:rPr>
          <w:lang w:val="en-US"/>
        </w:rPr>
        <w:t xml:space="preserve">predominantly women. </w:t>
      </w:r>
    </w:p>
    <w:p w14:paraId="5E803993" w14:textId="3A8592F9" w:rsidR="00A4150C" w:rsidRPr="006C00DD" w:rsidRDefault="008002B9" w:rsidP="00A4150C">
      <w:pPr>
        <w:pStyle w:val="SingleTxtG"/>
        <w:suppressAutoHyphens w:val="0"/>
        <w:rPr>
          <w:b/>
          <w:bCs/>
          <w:lang w:val="en-US"/>
        </w:rPr>
      </w:pPr>
      <w:r>
        <w:rPr>
          <w:lang w:val="en-US"/>
        </w:rPr>
        <w:t>39</w:t>
      </w:r>
      <w:r w:rsidR="00A4150C" w:rsidRPr="00C04688">
        <w:rPr>
          <w:lang w:val="en-US"/>
        </w:rPr>
        <w:t>.</w:t>
      </w:r>
      <w:r w:rsidR="00A4150C">
        <w:rPr>
          <w:lang w:val="en-US"/>
        </w:rPr>
        <w:tab/>
      </w:r>
      <w:r w:rsidR="00A4150C" w:rsidRPr="00D97DC8">
        <w:rPr>
          <w:b/>
          <w:bCs/>
          <w:lang w:val="en-US"/>
        </w:rPr>
        <w:t xml:space="preserve">The </w:t>
      </w:r>
      <w:r w:rsidR="00A4150C">
        <w:rPr>
          <w:b/>
          <w:bCs/>
          <w:lang w:val="en-US"/>
        </w:rPr>
        <w:t>C</w:t>
      </w:r>
      <w:r w:rsidR="00A4150C" w:rsidRPr="00D97DC8">
        <w:rPr>
          <w:b/>
          <w:bCs/>
          <w:lang w:val="en-US"/>
        </w:rPr>
        <w:t xml:space="preserve">ommittee recommends that the State party set up </w:t>
      </w:r>
      <w:r w:rsidR="00A4150C">
        <w:rPr>
          <w:b/>
          <w:bCs/>
          <w:lang w:val="en-US"/>
        </w:rPr>
        <w:t>structures</w:t>
      </w:r>
      <w:r w:rsidR="00A4150C" w:rsidRPr="00D97DC8">
        <w:rPr>
          <w:b/>
          <w:bCs/>
          <w:lang w:val="en-US"/>
        </w:rPr>
        <w:t xml:space="preserve"> to provide </w:t>
      </w:r>
      <w:r w:rsidR="00A4150C">
        <w:rPr>
          <w:b/>
          <w:bCs/>
          <w:lang w:val="en-US"/>
        </w:rPr>
        <w:t xml:space="preserve">support to </w:t>
      </w:r>
      <w:r w:rsidR="00A4150C" w:rsidRPr="00D97DC8">
        <w:rPr>
          <w:b/>
          <w:bCs/>
          <w:lang w:val="en-US"/>
        </w:rPr>
        <w:t>migrant women</w:t>
      </w:r>
      <w:r w:rsidR="00A4150C">
        <w:rPr>
          <w:b/>
          <w:bCs/>
          <w:lang w:val="en-US"/>
        </w:rPr>
        <w:t xml:space="preserve"> and girls</w:t>
      </w:r>
      <w:r w:rsidR="00A4150C" w:rsidRPr="00D97DC8">
        <w:rPr>
          <w:b/>
          <w:bCs/>
          <w:lang w:val="en-US"/>
        </w:rPr>
        <w:t xml:space="preserve"> </w:t>
      </w:r>
      <w:r w:rsidR="00A4150C">
        <w:rPr>
          <w:b/>
          <w:bCs/>
          <w:lang w:val="en-US"/>
        </w:rPr>
        <w:t xml:space="preserve">to acquire the necessary qualifications to make them eligible for </w:t>
      </w:r>
      <w:r w:rsidR="00A4150C" w:rsidRPr="00D97DC8">
        <w:rPr>
          <w:b/>
          <w:bCs/>
          <w:lang w:val="en-US"/>
        </w:rPr>
        <w:t xml:space="preserve">access to </w:t>
      </w:r>
      <w:r w:rsidR="00A4150C">
        <w:rPr>
          <w:b/>
          <w:bCs/>
          <w:lang w:val="en-US"/>
        </w:rPr>
        <w:t>university and vocational studies,</w:t>
      </w:r>
      <w:r w:rsidR="00A4150C" w:rsidRPr="00D97DC8">
        <w:rPr>
          <w:b/>
          <w:bCs/>
          <w:lang w:val="en-US"/>
        </w:rPr>
        <w:t xml:space="preserve"> with a </w:t>
      </w:r>
      <w:r w:rsidR="00A4150C">
        <w:rPr>
          <w:b/>
          <w:bCs/>
          <w:lang w:val="en-US"/>
        </w:rPr>
        <w:t>view</w:t>
      </w:r>
      <w:r w:rsidR="00A4150C" w:rsidRPr="00D97DC8">
        <w:rPr>
          <w:b/>
          <w:bCs/>
          <w:lang w:val="en-US"/>
        </w:rPr>
        <w:t xml:space="preserve"> to contributing to their </w:t>
      </w:r>
      <w:r w:rsidR="00A4150C">
        <w:rPr>
          <w:b/>
          <w:bCs/>
          <w:lang w:val="en-US"/>
        </w:rPr>
        <w:t>autonomy</w:t>
      </w:r>
      <w:r w:rsidR="00A4150C" w:rsidRPr="00D97DC8">
        <w:rPr>
          <w:b/>
          <w:bCs/>
          <w:lang w:val="en-US"/>
        </w:rPr>
        <w:t>.</w:t>
      </w:r>
    </w:p>
    <w:p w14:paraId="782DA320" w14:textId="77777777" w:rsidR="00A4150C" w:rsidRPr="00DA3A84" w:rsidRDefault="00A4150C" w:rsidP="00A4150C">
      <w:pPr>
        <w:pStyle w:val="H23G"/>
        <w:jc w:val="both"/>
      </w:pPr>
      <w:r>
        <w:tab/>
      </w:r>
      <w:r>
        <w:tab/>
      </w:r>
      <w:r w:rsidRPr="00DA3A84">
        <w:t>Employment</w:t>
      </w:r>
    </w:p>
    <w:p w14:paraId="09D803F4" w14:textId="6F398ED9" w:rsidR="00A4150C" w:rsidRPr="00FB4C64" w:rsidRDefault="00A4150C" w:rsidP="00A4150C">
      <w:pPr>
        <w:pStyle w:val="SingleTxtG"/>
        <w:rPr>
          <w:b/>
        </w:rPr>
      </w:pPr>
      <w:r>
        <w:t>4</w:t>
      </w:r>
      <w:r w:rsidR="008002B9">
        <w:t>0</w:t>
      </w:r>
      <w:r>
        <w:t>.</w:t>
      </w:r>
      <w:r>
        <w:tab/>
        <w:t>The Committee welcomes that 7</w:t>
      </w:r>
      <w:r w:rsidR="00047C91">
        <w:t>6</w:t>
      </w:r>
      <w:r>
        <w:t xml:space="preserve"> percent of women in the age group of 20–66 are in formal employment in the State party, which is among the highest participation rates in the world. It also </w:t>
      </w:r>
      <w:r w:rsidRPr="00FB4C64">
        <w:rPr>
          <w:bCs/>
          <w:lang w:val="en-US"/>
        </w:rPr>
        <w:t xml:space="preserve">notes with appreciation that according to 2019 data, in companies where the State party had an ownership </w:t>
      </w:r>
      <w:r>
        <w:rPr>
          <w:bCs/>
          <w:lang w:val="en-US"/>
        </w:rPr>
        <w:t>share</w:t>
      </w:r>
      <w:r w:rsidRPr="00FB4C64">
        <w:rPr>
          <w:bCs/>
          <w:lang w:val="en-US"/>
        </w:rPr>
        <w:t>, the average number of women CEO</w:t>
      </w:r>
      <w:r>
        <w:rPr>
          <w:bCs/>
          <w:lang w:val="en-US"/>
        </w:rPr>
        <w:t>s</w:t>
      </w:r>
      <w:r w:rsidRPr="00FB4C64">
        <w:rPr>
          <w:bCs/>
          <w:lang w:val="en-US"/>
        </w:rPr>
        <w:t xml:space="preserve"> at the executive level and on boards was at 4</w:t>
      </w:r>
      <w:r w:rsidR="00047C91">
        <w:rPr>
          <w:bCs/>
          <w:lang w:val="en-US"/>
        </w:rPr>
        <w:t>1</w:t>
      </w:r>
      <w:r w:rsidRPr="00FB4C64">
        <w:rPr>
          <w:bCs/>
          <w:lang w:val="en-US"/>
        </w:rPr>
        <w:t xml:space="preserve"> </w:t>
      </w:r>
      <w:r>
        <w:rPr>
          <w:bCs/>
          <w:lang w:val="en-US"/>
        </w:rPr>
        <w:t>and</w:t>
      </w:r>
      <w:r w:rsidRPr="00FB4C64">
        <w:rPr>
          <w:bCs/>
          <w:lang w:val="en-US"/>
        </w:rPr>
        <w:t xml:space="preserve"> above 4</w:t>
      </w:r>
      <w:r w:rsidR="00047C91">
        <w:rPr>
          <w:bCs/>
          <w:lang w:val="en-US"/>
        </w:rPr>
        <w:t>6</w:t>
      </w:r>
      <w:r w:rsidRPr="00FB4C64">
        <w:rPr>
          <w:bCs/>
          <w:lang w:val="en-US"/>
        </w:rPr>
        <w:t xml:space="preserve"> </w:t>
      </w:r>
      <w:r>
        <w:rPr>
          <w:bCs/>
          <w:lang w:val="en-US"/>
        </w:rPr>
        <w:t>percent, respectively</w:t>
      </w:r>
      <w:r w:rsidRPr="00FB4C64">
        <w:rPr>
          <w:bCs/>
          <w:lang w:val="en-US"/>
        </w:rPr>
        <w:t xml:space="preserve">. </w:t>
      </w:r>
      <w:r>
        <w:rPr>
          <w:bCs/>
          <w:lang w:val="en-US"/>
        </w:rPr>
        <w:t xml:space="preserve">The Committee further </w:t>
      </w:r>
      <w:r>
        <w:t xml:space="preserve">welcomes the instauration of flexible working arrangements, the new initiative to encourage </w:t>
      </w:r>
      <w:r>
        <w:rPr>
          <w:lang w:val="en-US"/>
        </w:rPr>
        <w:t xml:space="preserve"> employers to provide full rather than part-time job,</w:t>
      </w:r>
      <w:r>
        <w:t xml:space="preserve"> parental leave schemes and child care </w:t>
      </w:r>
      <w:r>
        <w:lastRenderedPageBreak/>
        <w:t>facilities, as well as a job opportunity programme aimed at increasing the employment rate among minority women. However, it notes with concern:</w:t>
      </w:r>
    </w:p>
    <w:p w14:paraId="3F1C6EE6" w14:textId="0E29FE7D" w:rsidR="00A4150C" w:rsidRPr="00C04688" w:rsidRDefault="00A4150C" w:rsidP="00A4150C">
      <w:pPr>
        <w:pStyle w:val="SingleTxtG"/>
      </w:pPr>
      <w:r>
        <w:tab/>
        <w:t>(a)</w:t>
      </w:r>
      <w:r>
        <w:tab/>
      </w:r>
      <w:r w:rsidRPr="00C04688">
        <w:t>That the labour market remains highly segregated based on gender, with women being overrepresented in certain lower-paying sectors, in public and part-time positions, which are more reconcilable with family responsibilities, and that women are underrepresented in the private sector, and in managerial posts;</w:t>
      </w:r>
    </w:p>
    <w:p w14:paraId="40D73D6E" w14:textId="77777777" w:rsidR="00A4150C" w:rsidRPr="00C04688" w:rsidRDefault="00A4150C" w:rsidP="00A4150C">
      <w:pPr>
        <w:pStyle w:val="SingleTxtG"/>
      </w:pPr>
      <w:r>
        <w:tab/>
        <w:t>(b)</w:t>
      </w:r>
      <w:r>
        <w:tab/>
      </w:r>
      <w:r w:rsidRPr="00C04688">
        <w:t>That according to the latest CORE Scorecard report, women only make up 27 percent of executives and 32 percent of board members of the 200 largest companies in Norway</w:t>
      </w:r>
      <w:r>
        <w:t>;</w:t>
      </w:r>
    </w:p>
    <w:p w14:paraId="1C5C7091" w14:textId="77777777" w:rsidR="00A4150C" w:rsidRPr="00C04688" w:rsidRDefault="00A4150C" w:rsidP="00A4150C">
      <w:pPr>
        <w:pStyle w:val="SingleTxtG"/>
      </w:pPr>
      <w:r>
        <w:tab/>
        <w:t>(c)</w:t>
      </w:r>
      <w:r>
        <w:tab/>
      </w:r>
      <w:r w:rsidRPr="00C04688">
        <w:t>That women carry a disproportionate care and child-raising burden, which hampers their career prospects;</w:t>
      </w:r>
    </w:p>
    <w:p w14:paraId="215728B8" w14:textId="44CA9357" w:rsidR="00A4150C" w:rsidRPr="00C04688" w:rsidRDefault="00A4150C" w:rsidP="00A4150C">
      <w:pPr>
        <w:pStyle w:val="SingleTxtG"/>
      </w:pPr>
      <w:r>
        <w:tab/>
        <w:t>(d)</w:t>
      </w:r>
      <w:r>
        <w:tab/>
      </w:r>
      <w:r w:rsidRPr="00C04688">
        <w:t xml:space="preserve">The gender wage gap </w:t>
      </w:r>
      <w:r w:rsidR="00766114">
        <w:t>resulting from</w:t>
      </w:r>
      <w:r w:rsidRPr="00C04688">
        <w:t xml:space="preserve"> occupational segregation;</w:t>
      </w:r>
    </w:p>
    <w:p w14:paraId="27C1DD9B" w14:textId="77777777" w:rsidR="00A4150C" w:rsidRPr="00C04688" w:rsidRDefault="00A4150C" w:rsidP="00A4150C">
      <w:pPr>
        <w:pStyle w:val="SingleTxtG"/>
      </w:pPr>
      <w:r>
        <w:tab/>
        <w:t>(e)</w:t>
      </w:r>
      <w:r>
        <w:tab/>
      </w:r>
      <w:r w:rsidRPr="00C04688">
        <w:t>That women belonging to underrepresented groups, who are disadvantaged and marginalized because of discriminatory structures, institutions, and systems , including migrant women, Sami women, women with disabilities and women victims of gender-based violence, face barriers to integrate into the labour market.</w:t>
      </w:r>
    </w:p>
    <w:p w14:paraId="535F5714" w14:textId="69A9457B" w:rsidR="00A4150C" w:rsidRDefault="00A4150C" w:rsidP="00A4150C">
      <w:pPr>
        <w:pStyle w:val="SingleTxtG"/>
        <w:rPr>
          <w:b/>
          <w:bCs/>
        </w:rPr>
      </w:pPr>
      <w:r w:rsidRPr="00C04688">
        <w:t>4</w:t>
      </w:r>
      <w:r w:rsidR="008002B9">
        <w:t>1</w:t>
      </w:r>
      <w:r w:rsidRPr="00C04688">
        <w:t>.</w:t>
      </w:r>
      <w:r>
        <w:rPr>
          <w:b/>
          <w:bCs/>
        </w:rPr>
        <w:tab/>
      </w:r>
      <w:r w:rsidRPr="0071747D">
        <w:rPr>
          <w:b/>
          <w:bCs/>
        </w:rPr>
        <w:t xml:space="preserve">The Committee recommends that </w:t>
      </w:r>
      <w:r>
        <w:rPr>
          <w:b/>
          <w:bCs/>
        </w:rPr>
        <w:t>the State party:</w:t>
      </w:r>
    </w:p>
    <w:p w14:paraId="0B9C76F5" w14:textId="77777777" w:rsidR="00A4150C" w:rsidRPr="00C04688" w:rsidRDefault="00A4150C" w:rsidP="00A4150C">
      <w:pPr>
        <w:pStyle w:val="SingleTxtG"/>
        <w:rPr>
          <w:b/>
          <w:bCs/>
        </w:rPr>
      </w:pPr>
      <w:r>
        <w:tab/>
        <w:t>(a)</w:t>
      </w:r>
      <w:r>
        <w:tab/>
      </w:r>
      <w:r w:rsidRPr="00C04688">
        <w:rPr>
          <w:b/>
          <w:bCs/>
        </w:rPr>
        <w:t xml:space="preserve">Further strengthen its efforts to promote equal sharing of child-raising and care responsibilities between women and men and to offer flexible working arrangements to women and men in all sectors; </w:t>
      </w:r>
    </w:p>
    <w:p w14:paraId="0C8C3C92" w14:textId="77777777" w:rsidR="00A4150C" w:rsidRPr="00C04688" w:rsidRDefault="00A4150C" w:rsidP="00A4150C">
      <w:pPr>
        <w:pStyle w:val="SingleTxtG"/>
        <w:rPr>
          <w:b/>
          <w:bCs/>
        </w:rPr>
      </w:pPr>
      <w:r>
        <w:tab/>
        <w:t>(b)</w:t>
      </w:r>
      <w:r>
        <w:tab/>
      </w:r>
      <w:r w:rsidRPr="00C04688">
        <w:rPr>
          <w:b/>
          <w:bCs/>
        </w:rPr>
        <w:t>Adopt the draft gender equality law which would require large companies to have 40 percent of women on their boards; extend this quota to medium-scale companies and to women’s representation at the executive level; and conduct a study on the underrepresentation of women in managerial posts, with a view to identifying potential gender bias and developing strategies to address it;</w:t>
      </w:r>
    </w:p>
    <w:p w14:paraId="7AFC5CEA" w14:textId="77777777" w:rsidR="00A4150C" w:rsidRPr="00C04688" w:rsidRDefault="00A4150C" w:rsidP="00A4150C">
      <w:pPr>
        <w:pStyle w:val="SingleTxtG"/>
        <w:rPr>
          <w:b/>
          <w:bCs/>
        </w:rPr>
      </w:pPr>
      <w:r>
        <w:tab/>
        <w:t>(c)</w:t>
      </w:r>
      <w:r>
        <w:tab/>
      </w:r>
      <w:r w:rsidRPr="00C04688">
        <w:rPr>
          <w:b/>
          <w:bCs/>
        </w:rPr>
        <w:t>Provide training and support programmes combined with active involvement and incentives for employers to facilitate access to the job market by women belonging to underrepresented groups, who are disadvantaged or marginalized because of discriminatory structures, institutions, and systems, with a view to promoting their autonomy.</w:t>
      </w:r>
    </w:p>
    <w:p w14:paraId="3E857FD5" w14:textId="77777777" w:rsidR="00A4150C" w:rsidRDefault="00A4150C" w:rsidP="00A4150C">
      <w:pPr>
        <w:pStyle w:val="H23G"/>
      </w:pPr>
      <w:r>
        <w:tab/>
      </w:r>
      <w:r>
        <w:tab/>
      </w:r>
      <w:r w:rsidRPr="008554DA">
        <w:t>Sexual harassment in the workplace</w:t>
      </w:r>
      <w:r>
        <w:t xml:space="preserve"> </w:t>
      </w:r>
    </w:p>
    <w:p w14:paraId="2285EDEA" w14:textId="2E364510" w:rsidR="00A4150C" w:rsidRDefault="00A4150C" w:rsidP="00A4150C">
      <w:pPr>
        <w:pStyle w:val="SingleTxtG"/>
      </w:pPr>
      <w:r>
        <w:t>4</w:t>
      </w:r>
      <w:r w:rsidR="008002B9">
        <w:t>2</w:t>
      </w:r>
      <w:r>
        <w:t>.</w:t>
      </w:r>
      <w:r>
        <w:tab/>
        <w:t xml:space="preserve">The Committee welcomes the indication by the delegation that the government is currently working on a white paper on sexual harassment to be submitted to Parliament in 2024. The Committee notes with concern, however, reports of sexual harassment of women in the workplace, in particular in certain sectors, notably the fishing industry and the armed forces. It also notes with concern that according to a 2018 survey, there were 43 cases of rape and 124 cases of attempted rape in the armed forces in 2017. </w:t>
      </w:r>
    </w:p>
    <w:p w14:paraId="0704F431" w14:textId="4FAA2752" w:rsidR="00A4150C" w:rsidRPr="00C04688" w:rsidRDefault="00A4150C" w:rsidP="00A4150C">
      <w:pPr>
        <w:pStyle w:val="SingleTxtG"/>
        <w:rPr>
          <w:b/>
          <w:bCs/>
        </w:rPr>
      </w:pPr>
      <w:r>
        <w:t>4</w:t>
      </w:r>
      <w:r w:rsidR="008002B9">
        <w:t>3</w:t>
      </w:r>
      <w:r>
        <w:t>.</w:t>
      </w:r>
      <w:r>
        <w:tab/>
      </w:r>
      <w:r w:rsidRPr="00C04688">
        <w:rPr>
          <w:b/>
          <w:bCs/>
        </w:rPr>
        <w:t>The Committee recommends that the State party:</w:t>
      </w:r>
    </w:p>
    <w:p w14:paraId="6418A888" w14:textId="77777777" w:rsidR="00A4150C" w:rsidRPr="00C04688" w:rsidRDefault="00A4150C" w:rsidP="00A4150C">
      <w:pPr>
        <w:pStyle w:val="SingleTxtG"/>
        <w:rPr>
          <w:b/>
          <w:bCs/>
        </w:rPr>
      </w:pPr>
      <w:r>
        <w:tab/>
        <w:t>(a)</w:t>
      </w:r>
      <w:r>
        <w:tab/>
      </w:r>
      <w:r w:rsidRPr="00C04688">
        <w:rPr>
          <w:b/>
          <w:bCs/>
        </w:rPr>
        <w:t>Ensure the effective implementation of criminal and administrative legislation for the prevention of sexual harassment in the workplace with special attention to sectors with an increased risk of sexual harassment;</w:t>
      </w:r>
    </w:p>
    <w:p w14:paraId="2106541B" w14:textId="77777777" w:rsidR="00A4150C" w:rsidRPr="00C04688" w:rsidRDefault="00A4150C" w:rsidP="00A4150C">
      <w:pPr>
        <w:pStyle w:val="SingleTxtG"/>
        <w:rPr>
          <w:b/>
          <w:bCs/>
        </w:rPr>
      </w:pPr>
      <w:r>
        <w:tab/>
        <w:t>(b)</w:t>
      </w:r>
      <w:r>
        <w:tab/>
      </w:r>
      <w:r w:rsidRPr="00C04688">
        <w:rPr>
          <w:b/>
          <w:bCs/>
        </w:rPr>
        <w:t>Provide capacity-building programmes to judges and law enforcement officials to facilitate effective access to protection and independent and confidential complaint mechanisms for victims of sexual violence and discrimination in the workplace;</w:t>
      </w:r>
    </w:p>
    <w:p w14:paraId="0AD55C77" w14:textId="77777777" w:rsidR="00A4150C" w:rsidRPr="00AE6356" w:rsidRDefault="00A4150C" w:rsidP="00A4150C">
      <w:pPr>
        <w:pStyle w:val="SingleTxtG"/>
      </w:pPr>
      <w:r>
        <w:tab/>
        <w:t>(c)</w:t>
      </w:r>
      <w:r>
        <w:tab/>
      </w:r>
      <w:r w:rsidRPr="00C04688">
        <w:rPr>
          <w:b/>
          <w:bCs/>
        </w:rPr>
        <w:t>Ratify ILO Violence and Harassment Convention, 2019 (No. 190)</w:t>
      </w:r>
      <w:r>
        <w:rPr>
          <w:b/>
          <w:bCs/>
        </w:rPr>
        <w:t>.</w:t>
      </w:r>
      <w:r w:rsidRPr="00AE6356">
        <w:t xml:space="preserve"> </w:t>
      </w:r>
    </w:p>
    <w:p w14:paraId="3648EDBD" w14:textId="77777777" w:rsidR="00A4150C" w:rsidRDefault="00A4150C" w:rsidP="00A4150C">
      <w:pPr>
        <w:pStyle w:val="H23G"/>
      </w:pPr>
      <w:r>
        <w:tab/>
      </w:r>
      <w:r>
        <w:tab/>
        <w:t>Socio-economic benefits</w:t>
      </w:r>
    </w:p>
    <w:p w14:paraId="26D54174" w14:textId="787CBD0B" w:rsidR="00A4150C" w:rsidRDefault="00A4150C" w:rsidP="00A4150C">
      <w:pPr>
        <w:pStyle w:val="SingleTxtG"/>
      </w:pPr>
      <w:r>
        <w:t>4</w:t>
      </w:r>
      <w:r w:rsidR="008002B9">
        <w:t>4</w:t>
      </w:r>
      <w:r>
        <w:t>.</w:t>
      </w:r>
      <w:r>
        <w:tab/>
        <w:t xml:space="preserve">The Committee notes with concern that, on average, women receive a lower pension benefits than men, which is also due to occupational segregation, women’s overrepresentation in part-time employment and their disproportionate care and child-raising </w:t>
      </w:r>
      <w:r>
        <w:lastRenderedPageBreak/>
        <w:t>responsibilities. It also notes with concern that the 2022 analysis of the 2011 pension reform did not include a gender perspective.</w:t>
      </w:r>
    </w:p>
    <w:p w14:paraId="5E3CD827" w14:textId="14A4C932" w:rsidR="00A4150C" w:rsidRPr="00C04688" w:rsidRDefault="00A4150C" w:rsidP="00A4150C">
      <w:pPr>
        <w:pStyle w:val="SingleTxtG"/>
        <w:rPr>
          <w:b/>
          <w:bCs/>
        </w:rPr>
      </w:pPr>
      <w:r>
        <w:t>4</w:t>
      </w:r>
      <w:r w:rsidR="008002B9">
        <w:t>5</w:t>
      </w:r>
      <w:r>
        <w:t>.</w:t>
      </w:r>
      <w:r>
        <w:tab/>
      </w:r>
      <w:r w:rsidRPr="00C04688">
        <w:rPr>
          <w:b/>
          <w:bCs/>
        </w:rPr>
        <w:t>The Committee recommends that the State party review its pension scheme from a gender perspective, taking into consideration that women’s disproportionate burden of unpaid care work often forces them into lower-paying and part-time jobs.</w:t>
      </w:r>
    </w:p>
    <w:p w14:paraId="5F3D4847" w14:textId="77777777" w:rsidR="00A4150C" w:rsidRDefault="00A4150C" w:rsidP="00A4150C">
      <w:pPr>
        <w:pStyle w:val="H23G"/>
      </w:pPr>
      <w:r>
        <w:tab/>
      </w:r>
      <w:r>
        <w:tab/>
      </w:r>
      <w:r w:rsidRPr="008554DA">
        <w:t>Health</w:t>
      </w:r>
    </w:p>
    <w:p w14:paraId="4D0AAC26" w14:textId="56A5D26D" w:rsidR="00A4150C" w:rsidRPr="003F5F07" w:rsidRDefault="00A4150C" w:rsidP="00A4150C">
      <w:pPr>
        <w:pStyle w:val="SingleTxtG"/>
      </w:pPr>
      <w:r>
        <w:t>4</w:t>
      </w:r>
      <w:r w:rsidR="008002B9">
        <w:t>6</w:t>
      </w:r>
      <w:r>
        <w:t>.</w:t>
      </w:r>
      <w:r>
        <w:tab/>
      </w:r>
      <w:r w:rsidRPr="003F5F07">
        <w:t>The Committee notes</w:t>
      </w:r>
      <w:r>
        <w:t xml:space="preserve"> with appreciation the high quality of health care in the State party. It also welcomes the appointment of a public committee to produce a report on women’s health and health from a gender perspective, which will submit its recommendations in 2023, following which a new strategy on women’s health will be developed. The Committee furthermore welcomes the opening, in 2020, of a </w:t>
      </w:r>
      <w:r w:rsidRPr="00AE1E62">
        <w:t>Sami Clinic in Karasjok</w:t>
      </w:r>
      <w:r>
        <w:t xml:space="preserve">. The Committee notes </w:t>
      </w:r>
      <w:r w:rsidRPr="003F5F07">
        <w:t>with concern</w:t>
      </w:r>
      <w:r>
        <w:t>, however,</w:t>
      </w:r>
      <w:r w:rsidRPr="003F5F07">
        <w:t xml:space="preserve"> that:</w:t>
      </w:r>
    </w:p>
    <w:p w14:paraId="2D7B1E46" w14:textId="2A834174" w:rsidR="00A4150C" w:rsidRDefault="00A4150C" w:rsidP="00A4150C">
      <w:pPr>
        <w:pStyle w:val="SingleTxtG"/>
      </w:pPr>
      <w:r>
        <w:tab/>
        <w:t>(a)</w:t>
      </w:r>
      <w:r>
        <w:tab/>
      </w:r>
      <w:r w:rsidRPr="003F5F07">
        <w:t>Women’s health is under</w:t>
      </w:r>
      <w:r>
        <w:t>-</w:t>
      </w:r>
      <w:r w:rsidRPr="003F5F07">
        <w:t xml:space="preserve">researched, including with regard to </w:t>
      </w:r>
      <w:r>
        <w:t>the specific health needs of women</w:t>
      </w:r>
      <w:r w:rsidRPr="003F5F07">
        <w:t>, occupational hazards in traditionally female jobs</w:t>
      </w:r>
      <w:r>
        <w:t>,</w:t>
      </w:r>
      <w:r w:rsidRPr="003F5F07">
        <w:t xml:space="preserve"> the health impact </w:t>
      </w:r>
      <w:r>
        <w:t>of</w:t>
      </w:r>
      <w:r w:rsidRPr="003F5F07">
        <w:t xml:space="preserve"> women’s unpaid work</w:t>
      </w:r>
      <w:r w:rsidR="00905C38">
        <w:t xml:space="preserve"> and care provision for all ages</w:t>
      </w:r>
      <w:r>
        <w:t>;</w:t>
      </w:r>
    </w:p>
    <w:p w14:paraId="67452F8E" w14:textId="77777777" w:rsidR="00A4150C" w:rsidRPr="000D04F2" w:rsidRDefault="00A4150C" w:rsidP="00A4150C">
      <w:pPr>
        <w:pStyle w:val="SingleTxtG"/>
      </w:pPr>
      <w:r>
        <w:tab/>
        <w:t>(b)</w:t>
      </w:r>
      <w:r>
        <w:tab/>
        <w:t xml:space="preserve">According to the </w:t>
      </w:r>
      <w:r w:rsidRPr="003F5F07">
        <w:t>Norwegian Institute of Public Health</w:t>
      </w:r>
      <w:r>
        <w:t>, Sami women are disproportionately affected by mental health conditions;</w:t>
      </w:r>
    </w:p>
    <w:p w14:paraId="643E4967" w14:textId="77777777" w:rsidR="00A4150C" w:rsidRDefault="00A4150C" w:rsidP="00A4150C">
      <w:pPr>
        <w:pStyle w:val="SingleTxtG"/>
      </w:pPr>
      <w:r>
        <w:tab/>
        <w:t>(c)</w:t>
      </w:r>
      <w:r>
        <w:tab/>
      </w:r>
      <w:r w:rsidRPr="000D04F2">
        <w:t xml:space="preserve">One in five women in Norway </w:t>
      </w:r>
      <w:r>
        <w:t>suffers</w:t>
      </w:r>
      <w:r w:rsidRPr="000D04F2">
        <w:t xml:space="preserve"> from </w:t>
      </w:r>
      <w:r>
        <w:t>e</w:t>
      </w:r>
      <w:r w:rsidRPr="000D04F2">
        <w:t>ndometriosis</w:t>
      </w:r>
      <w:r>
        <w:t xml:space="preserve"> but</w:t>
      </w:r>
      <w:r w:rsidRPr="000D04F2">
        <w:t xml:space="preserve"> </w:t>
      </w:r>
      <w:r>
        <w:t xml:space="preserve">might be </w:t>
      </w:r>
      <w:r w:rsidRPr="000D04F2">
        <w:t>receiv</w:t>
      </w:r>
      <w:r>
        <w:t>ing</w:t>
      </w:r>
      <w:r w:rsidRPr="000D04F2">
        <w:t xml:space="preserve"> </w:t>
      </w:r>
      <w:r>
        <w:t>inadequate</w:t>
      </w:r>
      <w:r w:rsidRPr="000D04F2">
        <w:t xml:space="preserve"> treatment</w:t>
      </w:r>
      <w:r>
        <w:t>;</w:t>
      </w:r>
    </w:p>
    <w:p w14:paraId="4492E70F" w14:textId="4366C305" w:rsidR="00A4150C" w:rsidRPr="000D04F2" w:rsidRDefault="00A4150C" w:rsidP="00A4150C">
      <w:pPr>
        <w:pStyle w:val="SingleTxtG"/>
      </w:pPr>
      <w:r>
        <w:tab/>
        <w:t>(d)</w:t>
      </w:r>
      <w:r>
        <w:tab/>
        <w:t>Access to contraceptives is free of charge only for youth under 20 years of age, and abortion between weeks 12-18 demands a special board approval.</w:t>
      </w:r>
    </w:p>
    <w:p w14:paraId="52B700D7" w14:textId="74C823AF" w:rsidR="00A4150C" w:rsidRPr="002B29DB" w:rsidRDefault="00A4150C" w:rsidP="00A4150C">
      <w:pPr>
        <w:pStyle w:val="SingleTxtG"/>
        <w:rPr>
          <w:b/>
          <w:bCs/>
        </w:rPr>
      </w:pPr>
      <w:r>
        <w:t>4</w:t>
      </w:r>
      <w:r w:rsidR="008002B9">
        <w:t>7</w:t>
      </w:r>
      <w:r>
        <w:t>.</w:t>
      </w:r>
      <w:r>
        <w:tab/>
      </w:r>
      <w:r w:rsidRPr="002B29DB">
        <w:rPr>
          <w:b/>
          <w:bCs/>
        </w:rPr>
        <w:t>The Committee recommends that the State party:</w:t>
      </w:r>
    </w:p>
    <w:p w14:paraId="51A82281" w14:textId="77777777" w:rsidR="00A4150C" w:rsidRPr="002B29DB" w:rsidRDefault="00A4150C" w:rsidP="00A4150C">
      <w:pPr>
        <w:pStyle w:val="SingleTxtG"/>
        <w:rPr>
          <w:b/>
          <w:bCs/>
        </w:rPr>
      </w:pPr>
      <w:r>
        <w:tab/>
        <w:t>(a)</w:t>
      </w:r>
      <w:r>
        <w:tab/>
      </w:r>
      <w:r w:rsidRPr="002B29DB">
        <w:rPr>
          <w:b/>
          <w:bCs/>
        </w:rPr>
        <w:t>Allocate increased resources for research on women’s health and the health impact of gender-based discrimination, integrate women’s health and gender and medicine into the curriculum for all areas of medical studies, with a view to strengthening knowledge and expertise on women’s health and to effectively addressing “women’s diseases”, such as endometriosis, and ensure that the future National Competence Centre on endometriosis is adequately funded;</w:t>
      </w:r>
    </w:p>
    <w:p w14:paraId="3A408601" w14:textId="38EC8781" w:rsidR="00A4150C" w:rsidRPr="002B29DB" w:rsidRDefault="00A4150C" w:rsidP="00A4150C">
      <w:pPr>
        <w:pStyle w:val="SingleTxtG"/>
        <w:rPr>
          <w:b/>
          <w:bCs/>
        </w:rPr>
      </w:pPr>
      <w:r>
        <w:tab/>
        <w:t>(b)</w:t>
      </w:r>
      <w:r>
        <w:tab/>
      </w:r>
      <w:r w:rsidRPr="002B29DB">
        <w:rPr>
          <w:b/>
          <w:bCs/>
        </w:rPr>
        <w:t xml:space="preserve">Conduct research into the disproportionately high rate of mental health issues among Sami women and develop preventive solutions and ensure that they have access to gender-responsive and </w:t>
      </w:r>
      <w:r w:rsidR="00905C38">
        <w:rPr>
          <w:b/>
          <w:bCs/>
        </w:rPr>
        <w:t>appropriate</w:t>
      </w:r>
      <w:r w:rsidRPr="002B29DB">
        <w:rPr>
          <w:b/>
          <w:bCs/>
        </w:rPr>
        <w:t xml:space="preserve"> mental health</w:t>
      </w:r>
      <w:r w:rsidR="00B82779">
        <w:rPr>
          <w:b/>
          <w:bCs/>
        </w:rPr>
        <w:t xml:space="preserve"> care</w:t>
      </w:r>
      <w:r w:rsidRPr="002B29DB">
        <w:rPr>
          <w:b/>
          <w:bCs/>
        </w:rPr>
        <w:t>;</w:t>
      </w:r>
    </w:p>
    <w:p w14:paraId="5861B7B8" w14:textId="77777777" w:rsidR="00A4150C" w:rsidRPr="002B29DB" w:rsidRDefault="00A4150C" w:rsidP="00A4150C">
      <w:pPr>
        <w:pStyle w:val="SingleTxtG"/>
        <w:rPr>
          <w:rFonts w:asciiTheme="majorBidi" w:hAnsiTheme="majorBidi" w:cstheme="majorBidi"/>
          <w:b/>
          <w:bCs/>
        </w:rPr>
      </w:pPr>
      <w:r>
        <w:tab/>
        <w:t>(c)</w:t>
      </w:r>
      <w:r>
        <w:tab/>
      </w:r>
      <w:r w:rsidRPr="002B29DB">
        <w:rPr>
          <w:b/>
          <w:bCs/>
        </w:rPr>
        <w:t xml:space="preserve">Provide access to contraceptives free </w:t>
      </w:r>
      <w:r w:rsidRPr="002B29DB">
        <w:rPr>
          <w:rFonts w:asciiTheme="majorBidi" w:hAnsiTheme="majorBidi" w:cstheme="majorBidi"/>
          <w:b/>
          <w:bCs/>
        </w:rPr>
        <w:t xml:space="preserve">of charge to all women and men without sufficient means to procure them; </w:t>
      </w:r>
    </w:p>
    <w:p w14:paraId="4FDDDA44" w14:textId="77777777" w:rsidR="006F418E" w:rsidRDefault="00A4150C" w:rsidP="006F418E">
      <w:pPr>
        <w:pStyle w:val="SingleTxtG"/>
        <w:rPr>
          <w:rFonts w:asciiTheme="majorBidi" w:hAnsiTheme="majorBidi" w:cstheme="majorBidi"/>
          <w:b/>
          <w:bCs/>
        </w:rPr>
      </w:pPr>
      <w:r>
        <w:rPr>
          <w:rFonts w:asciiTheme="majorBidi" w:hAnsiTheme="majorBidi" w:cstheme="majorBidi"/>
        </w:rPr>
        <w:tab/>
        <w:t>(d)</w:t>
      </w:r>
      <w:r>
        <w:rPr>
          <w:rFonts w:asciiTheme="majorBidi" w:hAnsiTheme="majorBidi" w:cstheme="majorBidi"/>
        </w:rPr>
        <w:tab/>
      </w:r>
      <w:r w:rsidRPr="002B29DB">
        <w:rPr>
          <w:rFonts w:asciiTheme="majorBidi" w:hAnsiTheme="majorBidi" w:cstheme="majorBidi"/>
          <w:b/>
          <w:bCs/>
        </w:rPr>
        <w:t xml:space="preserve">Ensure that the abortion law respects women’s autonomy and consider the possibility of removing </w:t>
      </w:r>
      <w:r w:rsidR="00DB1743">
        <w:rPr>
          <w:rFonts w:asciiTheme="majorBidi" w:hAnsiTheme="majorBidi" w:cstheme="majorBidi"/>
          <w:b/>
          <w:bCs/>
        </w:rPr>
        <w:t xml:space="preserve">the involvement of </w:t>
      </w:r>
      <w:r w:rsidRPr="002B29DB">
        <w:rPr>
          <w:rFonts w:asciiTheme="majorBidi" w:hAnsiTheme="majorBidi" w:cstheme="majorBidi"/>
          <w:b/>
          <w:bCs/>
        </w:rPr>
        <w:t>an abortion board</w:t>
      </w:r>
      <w:r w:rsidR="00B82779">
        <w:rPr>
          <w:rFonts w:asciiTheme="majorBidi" w:hAnsiTheme="majorBidi" w:cstheme="majorBidi"/>
          <w:b/>
          <w:bCs/>
        </w:rPr>
        <w:t>;</w:t>
      </w:r>
    </w:p>
    <w:p w14:paraId="37D1E224" w14:textId="3F203BC5" w:rsidR="00A4150C" w:rsidRDefault="00A360F5" w:rsidP="006F418E">
      <w:pPr>
        <w:pStyle w:val="SingleTxtG"/>
        <w:rPr>
          <w:b/>
          <w:bCs/>
        </w:rPr>
      </w:pPr>
      <w:r>
        <w:rPr>
          <w:rFonts w:asciiTheme="majorBidi" w:hAnsiTheme="majorBidi" w:cstheme="majorBidi"/>
        </w:rPr>
        <w:tab/>
      </w:r>
      <w:r w:rsidR="006F418E">
        <w:rPr>
          <w:rFonts w:asciiTheme="majorBidi" w:hAnsiTheme="majorBidi" w:cstheme="majorBidi"/>
        </w:rPr>
        <w:t>(e)</w:t>
      </w:r>
      <w:r>
        <w:rPr>
          <w:rFonts w:asciiTheme="majorBidi" w:hAnsiTheme="majorBidi" w:cstheme="majorBidi"/>
        </w:rPr>
        <w:tab/>
      </w:r>
      <w:r>
        <w:rPr>
          <w:rFonts w:asciiTheme="majorBidi" w:hAnsiTheme="majorBidi" w:cstheme="majorBidi"/>
          <w:b/>
          <w:bCs/>
        </w:rPr>
        <w:t>A</w:t>
      </w:r>
      <w:r w:rsidR="00B82779" w:rsidRPr="00A41B4F">
        <w:rPr>
          <w:rFonts w:asciiTheme="majorBidi" w:hAnsiTheme="majorBidi" w:cstheme="majorBidi"/>
          <w:b/>
          <w:bCs/>
        </w:rPr>
        <w:t>ddress</w:t>
      </w:r>
      <w:r w:rsidR="00905328">
        <w:rPr>
          <w:rFonts w:asciiTheme="majorBidi" w:hAnsiTheme="majorBidi" w:cstheme="majorBidi"/>
          <w:b/>
          <w:bCs/>
        </w:rPr>
        <w:t xml:space="preserve"> </w:t>
      </w:r>
      <w:r w:rsidR="00B82779" w:rsidRPr="00A41B4F">
        <w:rPr>
          <w:rFonts w:asciiTheme="majorBidi" w:hAnsiTheme="majorBidi" w:cstheme="majorBidi"/>
          <w:b/>
          <w:bCs/>
        </w:rPr>
        <w:t xml:space="preserve">the care </w:t>
      </w:r>
      <w:r w:rsidR="0007650D" w:rsidRPr="00A41B4F">
        <w:rPr>
          <w:rFonts w:asciiTheme="majorBidi" w:hAnsiTheme="majorBidi" w:cstheme="majorBidi"/>
          <w:b/>
          <w:bCs/>
        </w:rPr>
        <w:t>deficit</w:t>
      </w:r>
      <w:r w:rsidR="00B82779" w:rsidRPr="00A41B4F">
        <w:rPr>
          <w:rFonts w:asciiTheme="majorBidi" w:hAnsiTheme="majorBidi" w:cstheme="majorBidi"/>
          <w:b/>
          <w:bCs/>
        </w:rPr>
        <w:t xml:space="preserve"> at old age with a gender lens in relation to both care recipients and formal and informal care providers.</w:t>
      </w:r>
      <w:r w:rsidR="00A4150C" w:rsidRPr="006F418E">
        <w:rPr>
          <w:b/>
          <w:bCs/>
        </w:rPr>
        <w:t xml:space="preserve"> </w:t>
      </w:r>
    </w:p>
    <w:p w14:paraId="09DD3FD2" w14:textId="77777777" w:rsidR="00A4150C" w:rsidRDefault="00A4150C" w:rsidP="00A4150C">
      <w:pPr>
        <w:pStyle w:val="H23G"/>
      </w:pPr>
      <w:r>
        <w:tab/>
      </w:r>
      <w:r>
        <w:tab/>
        <w:t>Climate change</w:t>
      </w:r>
    </w:p>
    <w:p w14:paraId="07E60C5F" w14:textId="35830E62" w:rsidR="00A4150C" w:rsidRPr="00E62DA0" w:rsidRDefault="008002B9" w:rsidP="00A4150C">
      <w:pPr>
        <w:pStyle w:val="SingleTxtG"/>
      </w:pPr>
      <w:r>
        <w:t>48</w:t>
      </w:r>
      <w:r w:rsidR="00A4150C">
        <w:t>.</w:t>
      </w:r>
      <w:r w:rsidR="00A4150C">
        <w:tab/>
      </w:r>
      <w:r w:rsidR="00A4150C" w:rsidRPr="00E62DA0">
        <w:t>The Committee</w:t>
      </w:r>
      <w:r w:rsidR="00A4150C">
        <w:t xml:space="preserve"> welcomes the</w:t>
      </w:r>
      <w:r w:rsidR="00A4150C" w:rsidRPr="00E62DA0">
        <w:t xml:space="preserve"> general recognition by the State party of the disproportionate impact of climate change on women and girls</w:t>
      </w:r>
      <w:r w:rsidR="00A4150C">
        <w:t xml:space="preserve">, and its general willingness to increase knowledge and gender-sensitive climate change mitigation measures. </w:t>
      </w:r>
      <w:r w:rsidR="00A4150C" w:rsidRPr="00E62DA0">
        <w:t>It notes with concern, however, that:</w:t>
      </w:r>
    </w:p>
    <w:p w14:paraId="1F754B04" w14:textId="77777777" w:rsidR="00A4150C" w:rsidRPr="00DE4C9F" w:rsidRDefault="00A4150C" w:rsidP="00A4150C">
      <w:pPr>
        <w:pStyle w:val="SingleTxtG"/>
      </w:pPr>
      <w:r>
        <w:tab/>
        <w:t>(a)</w:t>
      </w:r>
      <w:r>
        <w:tab/>
      </w:r>
      <w:r w:rsidRPr="00E62DA0">
        <w:t>The gender dimensions</w:t>
      </w:r>
      <w:r>
        <w:t xml:space="preserve"> of climate change</w:t>
      </w:r>
      <w:r w:rsidRPr="00E62DA0">
        <w:t xml:space="preserve"> are not </w:t>
      </w:r>
      <w:r>
        <w:t>addressed in</w:t>
      </w:r>
      <w:r w:rsidRPr="00E62DA0">
        <w:t xml:space="preserve"> the State party’s Climate Action Plan for 2021-2030;</w:t>
      </w:r>
    </w:p>
    <w:p w14:paraId="71CB9C43" w14:textId="77777777" w:rsidR="00A4150C" w:rsidRPr="00ED225E" w:rsidRDefault="00A4150C" w:rsidP="00A4150C">
      <w:pPr>
        <w:pStyle w:val="SingleTxtG"/>
      </w:pPr>
      <w:r>
        <w:tab/>
        <w:t>(b)</w:t>
      </w:r>
      <w:r>
        <w:tab/>
      </w:r>
      <w:r w:rsidRPr="00E62DA0">
        <w:t xml:space="preserve">The State party has further expanded its oil and gas industry, including </w:t>
      </w:r>
      <w:r>
        <w:t xml:space="preserve">by </w:t>
      </w:r>
      <w:r w:rsidRPr="00E62DA0">
        <w:t xml:space="preserve">granting 47 new oil and gas exploration permits in January 2023, including in the Arctic, </w:t>
      </w:r>
      <w:r>
        <w:t>where the</w:t>
      </w:r>
      <w:r w:rsidRPr="00E62DA0">
        <w:t xml:space="preserve"> temperatures ris</w:t>
      </w:r>
      <w:r>
        <w:t>e</w:t>
      </w:r>
      <w:r w:rsidRPr="00E62DA0">
        <w:t xml:space="preserve"> particularly fast</w:t>
      </w:r>
      <w:r>
        <w:t>, and despite</w:t>
      </w:r>
      <w:r w:rsidRPr="00E62DA0">
        <w:t xml:space="preserve"> the EU</w:t>
      </w:r>
      <w:r>
        <w:t>’s</w:t>
      </w:r>
      <w:r w:rsidRPr="00E62DA0">
        <w:t xml:space="preserve"> aim </w:t>
      </w:r>
      <w:r>
        <w:t>to</w:t>
      </w:r>
      <w:r w:rsidRPr="00E62DA0">
        <w:t xml:space="preserve"> ban extraction in the Arctic</w:t>
      </w:r>
      <w:r>
        <w:t>;</w:t>
      </w:r>
    </w:p>
    <w:p w14:paraId="2B369EF1" w14:textId="77777777" w:rsidR="00A4150C" w:rsidRPr="00E62DA0" w:rsidRDefault="00A4150C" w:rsidP="00A4150C">
      <w:pPr>
        <w:pStyle w:val="SingleTxtG"/>
      </w:pPr>
      <w:r>
        <w:lastRenderedPageBreak/>
        <w:tab/>
        <w:t>(c)</w:t>
      </w:r>
      <w:r>
        <w:tab/>
        <w:t xml:space="preserve">The </w:t>
      </w:r>
      <w:r w:rsidRPr="00F42FD0">
        <w:t>greenhouse gas emissions</w:t>
      </w:r>
      <w:r>
        <w:t xml:space="preserve"> of the State party’s extraction industry</w:t>
      </w:r>
      <w:r w:rsidRPr="00F42FD0">
        <w:t xml:space="preserve"> undermine its obligations to ensure the substantive equality of women with men, as climate change disproportionately affects women, especially in situations of poverty, since they are more reliant on natural resources for their livelihoods than men and have lesser </w:t>
      </w:r>
      <w:r>
        <w:t>resources</w:t>
      </w:r>
      <w:r w:rsidRPr="00F42FD0">
        <w:t xml:space="preserve"> to deal with natural hazards.</w:t>
      </w:r>
    </w:p>
    <w:p w14:paraId="697C4CE7" w14:textId="1D503E31" w:rsidR="00A4150C" w:rsidRPr="002B29DB" w:rsidRDefault="008002B9" w:rsidP="00A4150C">
      <w:pPr>
        <w:pStyle w:val="SingleTxtG"/>
        <w:rPr>
          <w:b/>
          <w:bCs/>
        </w:rPr>
      </w:pPr>
      <w:r>
        <w:t>49</w:t>
      </w:r>
      <w:r w:rsidR="00A4150C">
        <w:t>.</w:t>
      </w:r>
      <w:r w:rsidR="00A4150C">
        <w:tab/>
      </w:r>
      <w:r w:rsidR="00A4150C" w:rsidRPr="002B29DB">
        <w:rPr>
          <w:b/>
          <w:bCs/>
        </w:rPr>
        <w:t>The Committee recalls general recommendation No. 37 (2018) on the gender-related dimensions of disaster risk reduction in the context of climate change and  recommends that the State party:</w:t>
      </w:r>
    </w:p>
    <w:p w14:paraId="609F3373" w14:textId="77777777" w:rsidR="00A4150C" w:rsidRPr="002B29DB" w:rsidRDefault="00A4150C" w:rsidP="00A4150C">
      <w:pPr>
        <w:pStyle w:val="SingleTxtG"/>
        <w:rPr>
          <w:b/>
          <w:bCs/>
        </w:rPr>
      </w:pPr>
      <w:r>
        <w:rPr>
          <w:lang w:eastAsia="de-DE"/>
        </w:rPr>
        <w:tab/>
        <w:t>(a)</w:t>
      </w:r>
      <w:r>
        <w:rPr>
          <w:lang w:eastAsia="de-DE"/>
        </w:rPr>
        <w:tab/>
      </w:r>
      <w:r w:rsidRPr="002B29DB">
        <w:rPr>
          <w:b/>
          <w:bCs/>
          <w:lang w:eastAsia="de-DE"/>
        </w:rPr>
        <w:t>Review its climate change and energy policies, in particular its policy on the extraction and export of oil and gas, as well as the activities of related State-owned companies and private companies, taking into account the disproportionate negative impact on women and girls both within and outside its territory, with a view to radically reducing greenhouse emissions in line with the Paris Agreement;</w:t>
      </w:r>
    </w:p>
    <w:p w14:paraId="5685B471" w14:textId="77777777" w:rsidR="00A4150C" w:rsidRPr="002B29DB" w:rsidRDefault="00A4150C" w:rsidP="00A4150C">
      <w:pPr>
        <w:pStyle w:val="SingleTxtG"/>
        <w:rPr>
          <w:b/>
          <w:bCs/>
        </w:rPr>
      </w:pPr>
      <w:r>
        <w:rPr>
          <w:lang w:eastAsia="de-DE"/>
        </w:rPr>
        <w:tab/>
        <w:t>(b)</w:t>
      </w:r>
      <w:r>
        <w:rPr>
          <w:lang w:eastAsia="de-DE"/>
        </w:rPr>
        <w:tab/>
      </w:r>
      <w:r w:rsidRPr="002B29DB">
        <w:rPr>
          <w:b/>
          <w:bCs/>
          <w:lang w:eastAsia="de-DE"/>
        </w:rPr>
        <w:t>Adopt relevant legislation with a monitoring mechanism to ensure that businesses are held accountable for the impact of their activities on women’s human rights and environmental degradation;</w:t>
      </w:r>
    </w:p>
    <w:p w14:paraId="626841F1" w14:textId="77777777" w:rsidR="00A4150C" w:rsidRPr="002B29DB" w:rsidRDefault="00A4150C" w:rsidP="00A4150C">
      <w:pPr>
        <w:pStyle w:val="SingleTxtG"/>
        <w:rPr>
          <w:b/>
          <w:bCs/>
        </w:rPr>
      </w:pPr>
      <w:r>
        <w:tab/>
        <w:t>(c)</w:t>
      </w:r>
      <w:r>
        <w:tab/>
      </w:r>
      <w:r w:rsidRPr="002B29DB">
        <w:rPr>
          <w:b/>
          <w:bCs/>
        </w:rPr>
        <w:t>Set up a mechanism to ensure meaningful and equal participation of women and girls, in particular from the Sami community, in the development of climate change adaptation and reduction strategies;</w:t>
      </w:r>
    </w:p>
    <w:p w14:paraId="54B6B429" w14:textId="77777777" w:rsidR="00A4150C" w:rsidRPr="002B29DB" w:rsidRDefault="00A4150C" w:rsidP="00A4150C">
      <w:pPr>
        <w:pStyle w:val="SingleTxtG"/>
        <w:rPr>
          <w:b/>
          <w:bCs/>
        </w:rPr>
      </w:pPr>
      <w:r>
        <w:tab/>
        <w:t>(d)</w:t>
      </w:r>
      <w:r>
        <w:tab/>
      </w:r>
      <w:r w:rsidRPr="002B29DB">
        <w:rPr>
          <w:b/>
          <w:bCs/>
        </w:rPr>
        <w:t>Update the Norwegian Climate Change Law to reflect its new Nationally Determined Contribution to reduce emissions by at least 55 per cent by 2030 and take concrete steps to also achieve net-zero emissions by 2050;</w:t>
      </w:r>
    </w:p>
    <w:p w14:paraId="002A5B2C" w14:textId="3DC550DC" w:rsidR="00A4150C" w:rsidRPr="002B29DB" w:rsidRDefault="00A4150C" w:rsidP="00A4150C">
      <w:pPr>
        <w:pStyle w:val="SingleTxtG"/>
        <w:rPr>
          <w:b/>
          <w:bCs/>
        </w:rPr>
      </w:pPr>
      <w:r>
        <w:tab/>
        <w:t>(e)</w:t>
      </w:r>
      <w:r>
        <w:tab/>
      </w:r>
      <w:r w:rsidR="00F37720" w:rsidRPr="00F37720">
        <w:rPr>
          <w:b/>
          <w:bCs/>
        </w:rPr>
        <w:t xml:space="preserve">Actively support and participate in the creation and operation of </w:t>
      </w:r>
      <w:r w:rsidR="000D3DCC">
        <w:rPr>
          <w:b/>
          <w:bCs/>
        </w:rPr>
        <w:t xml:space="preserve">new funding arrangements for responding to loss and damage as </w:t>
      </w:r>
      <w:r w:rsidR="00F37720" w:rsidRPr="00F37720">
        <w:rPr>
          <w:b/>
          <w:bCs/>
        </w:rPr>
        <w:t>decided during the 2022 United Nations Climate Change Conference or Conference of the Parties of the UNFCCC (COP27).</w:t>
      </w:r>
    </w:p>
    <w:p w14:paraId="73F84507" w14:textId="77777777" w:rsidR="00A4150C" w:rsidRDefault="00A4150C" w:rsidP="00A4150C">
      <w:pPr>
        <w:pStyle w:val="H23G"/>
      </w:pPr>
      <w:r>
        <w:tab/>
      </w:r>
      <w:r>
        <w:tab/>
        <w:t>Women in detention</w:t>
      </w:r>
    </w:p>
    <w:p w14:paraId="167D1788" w14:textId="486E5F7E" w:rsidR="00A4150C" w:rsidRDefault="00A4150C" w:rsidP="00A4150C">
      <w:pPr>
        <w:pStyle w:val="SingleTxtG"/>
      </w:pPr>
      <w:r>
        <w:t>5</w:t>
      </w:r>
      <w:r w:rsidR="008002B9">
        <w:t>0</w:t>
      </w:r>
      <w:r>
        <w:t>.</w:t>
      </w:r>
      <w:r>
        <w:tab/>
        <w:t>The Committee notes with appreciation the efforts made to improve the situation of women in detention, including the provision of a specialized mental healthcare service in prisons. It remains concerned, however, that the infrastructure of the prison system has been designed for the majority male prison population. Specifically, it notes with concern:</w:t>
      </w:r>
    </w:p>
    <w:p w14:paraId="57FC732D" w14:textId="77777777" w:rsidR="00A4150C" w:rsidRPr="00946496" w:rsidRDefault="00A4150C" w:rsidP="00A4150C">
      <w:pPr>
        <w:pStyle w:val="SingleTxtG"/>
      </w:pPr>
      <w:r>
        <w:tab/>
        <w:t>(a)</w:t>
      </w:r>
      <w:r>
        <w:tab/>
      </w:r>
      <w:r w:rsidRPr="00D74B28">
        <w:t>Th</w:t>
      </w:r>
      <w:r>
        <w:t>at th</w:t>
      </w:r>
      <w:r w:rsidRPr="00D74B28">
        <w:t>e Equality and Anti-Discrimination Ombud observed in 2017 that the correctional service was unable to fulfil its obligations to protect women in prison from violence and abuse;</w:t>
      </w:r>
    </w:p>
    <w:p w14:paraId="0ADB7D16" w14:textId="77777777" w:rsidR="00A4150C" w:rsidRPr="00E62B76" w:rsidRDefault="00A4150C" w:rsidP="00A4150C">
      <w:pPr>
        <w:pStyle w:val="SingleTxtG"/>
      </w:pPr>
      <w:r>
        <w:tab/>
        <w:t>(b)</w:t>
      </w:r>
      <w:r>
        <w:tab/>
      </w:r>
      <w:r w:rsidRPr="00D74B28">
        <w:t xml:space="preserve">The high suicide rate and likelihood of </w:t>
      </w:r>
      <w:r>
        <w:t>self-harm</w:t>
      </w:r>
      <w:r w:rsidRPr="00D74B28">
        <w:t xml:space="preserve"> among women prison</w:t>
      </w:r>
      <w:r>
        <w:t>ers, and that h</w:t>
      </w:r>
      <w:r w:rsidRPr="00F162FD">
        <w:t xml:space="preserve">ealth services in prison are </w:t>
      </w:r>
      <w:r>
        <w:t xml:space="preserve">often </w:t>
      </w:r>
      <w:r w:rsidRPr="00F162FD">
        <w:t>not tailored to the specific needs of women, including with respect to mental health care and substance abuse rehabilitation services</w:t>
      </w:r>
      <w:r>
        <w:t>;</w:t>
      </w:r>
    </w:p>
    <w:p w14:paraId="215A7283" w14:textId="77777777" w:rsidR="00A4150C" w:rsidRPr="00547690" w:rsidRDefault="00A4150C" w:rsidP="00A4150C">
      <w:pPr>
        <w:pStyle w:val="SingleTxtG"/>
      </w:pPr>
      <w:r>
        <w:tab/>
        <w:t>(c)</w:t>
      </w:r>
      <w:r>
        <w:tab/>
        <w:t>That several</w:t>
      </w:r>
      <w:r w:rsidRPr="000F6C22">
        <w:t xml:space="preserve"> prisons for women are located in old and unsuitable buildings;</w:t>
      </w:r>
    </w:p>
    <w:p w14:paraId="25E7C3F0" w14:textId="77777777" w:rsidR="00A4150C" w:rsidRPr="00EF425D" w:rsidRDefault="00A4150C" w:rsidP="00A4150C">
      <w:pPr>
        <w:pStyle w:val="SingleTxtG"/>
      </w:pPr>
      <w:r>
        <w:tab/>
        <w:t>(d)</w:t>
      </w:r>
      <w:r>
        <w:tab/>
        <w:t>That</w:t>
      </w:r>
      <w:r w:rsidRPr="00D74B28">
        <w:t xml:space="preserve"> the director of the Norwegian correctional services was found guilty of gender-based discrimination against female prisoners in Tromsø prison</w:t>
      </w:r>
      <w:r>
        <w:t xml:space="preserve"> in 2020, including because there was no separate section for women in the high security ward.</w:t>
      </w:r>
    </w:p>
    <w:p w14:paraId="47549871" w14:textId="31252E85" w:rsidR="00A4150C" w:rsidRPr="009C4778" w:rsidRDefault="00A4150C" w:rsidP="00A4150C">
      <w:pPr>
        <w:pStyle w:val="SingleTxtG"/>
        <w:rPr>
          <w:b/>
          <w:bCs/>
        </w:rPr>
      </w:pPr>
      <w:r>
        <w:t>5</w:t>
      </w:r>
      <w:r w:rsidR="008002B9">
        <w:t>1</w:t>
      </w:r>
      <w:r>
        <w:t>.</w:t>
      </w:r>
      <w:r>
        <w:tab/>
      </w:r>
      <w:r w:rsidRPr="009C4778">
        <w:rPr>
          <w:b/>
          <w:bCs/>
        </w:rPr>
        <w:t>The Committee recommends that the State party conduct a review of the Execution of Sentences Law and the Regulations on the Execution of Sentences, as well as the associated guidelines from a gender perspective to protect women in prison against gender-based discrimination and ensure that their prison conditions are in line with the United Nations Rules for the Treatment of Women Prisoners and Non-Custodial Measures for Women Offenders (the Bangkok Rules). It recommends that the State party ensure that women in prison:</w:t>
      </w:r>
    </w:p>
    <w:p w14:paraId="1369011E" w14:textId="77777777" w:rsidR="00A4150C" w:rsidRPr="009C4778" w:rsidRDefault="00A4150C" w:rsidP="00A4150C">
      <w:pPr>
        <w:pStyle w:val="SingleTxtG"/>
        <w:rPr>
          <w:b/>
          <w:bCs/>
        </w:rPr>
      </w:pPr>
      <w:r>
        <w:tab/>
        <w:t>(a)</w:t>
      </w:r>
      <w:r>
        <w:tab/>
      </w:r>
      <w:r w:rsidRPr="009C4778">
        <w:rPr>
          <w:b/>
          <w:bCs/>
        </w:rPr>
        <w:t>Are fully protected against any forms of gender-based violence and that they have confidential and effective mechanisms to report any occurrence of such violence;</w:t>
      </w:r>
    </w:p>
    <w:p w14:paraId="3E5C9C1D" w14:textId="77777777" w:rsidR="00A4150C" w:rsidRPr="009C4778" w:rsidRDefault="00A4150C" w:rsidP="00A4150C">
      <w:pPr>
        <w:pStyle w:val="SingleTxtG"/>
        <w:rPr>
          <w:b/>
          <w:bCs/>
        </w:rPr>
      </w:pPr>
      <w:r>
        <w:lastRenderedPageBreak/>
        <w:tab/>
        <w:t>(b)</w:t>
      </w:r>
      <w:r>
        <w:tab/>
      </w:r>
      <w:r w:rsidRPr="009C4778">
        <w:rPr>
          <w:b/>
          <w:bCs/>
        </w:rPr>
        <w:t>Are always placed in prisons or wards separated from men, without this infringing on their access to out-of-cell activities and basic services, and that their conditions of detention are in line with international standards;</w:t>
      </w:r>
    </w:p>
    <w:p w14:paraId="01DDD191" w14:textId="77777777" w:rsidR="00A4150C" w:rsidRPr="009C4778" w:rsidRDefault="00A4150C" w:rsidP="00A4150C">
      <w:pPr>
        <w:pStyle w:val="SingleTxtG"/>
        <w:rPr>
          <w:b/>
          <w:bCs/>
        </w:rPr>
      </w:pPr>
      <w:r>
        <w:tab/>
        <w:t>(c)</w:t>
      </w:r>
      <w:r>
        <w:tab/>
      </w:r>
      <w:r w:rsidRPr="009C4778">
        <w:rPr>
          <w:b/>
          <w:bCs/>
        </w:rPr>
        <w:t>Have full access to gender-sensitive healthcare including mental healthcare services.</w:t>
      </w:r>
    </w:p>
    <w:p w14:paraId="35BD50AA" w14:textId="6011D445" w:rsidR="00A4150C" w:rsidRDefault="00A4150C" w:rsidP="00A4150C">
      <w:pPr>
        <w:pStyle w:val="SingleTxtG"/>
      </w:pPr>
      <w:r>
        <w:t>5</w:t>
      </w:r>
      <w:r w:rsidR="008002B9">
        <w:t>2</w:t>
      </w:r>
      <w:r>
        <w:t>.</w:t>
      </w:r>
      <w:r>
        <w:tab/>
      </w:r>
      <w:r w:rsidRPr="00E62B76">
        <w:t xml:space="preserve">The Committee, while welcoming the general regulation that detainees need to be placed as close to home as possible, </w:t>
      </w:r>
      <w:r>
        <w:t xml:space="preserve">is concerned that </w:t>
      </w:r>
      <w:r w:rsidRPr="00E62B76">
        <w:t>this leads to many women being placed in units where men form the majority, which hampers their safety, and that measures to uphold their safety infringe on their rights, including less out-of-cell time and activities. It also is concerned that women who need to have special needs addressed are sometime placed in prisons far from home, which hampers visits by their children and close relatives</w:t>
      </w:r>
      <w:r>
        <w:t>.</w:t>
      </w:r>
    </w:p>
    <w:p w14:paraId="3ACC4AF3" w14:textId="47AC9F4E" w:rsidR="00A4150C" w:rsidRPr="00E62B76" w:rsidRDefault="00A4150C" w:rsidP="00A4150C">
      <w:pPr>
        <w:pStyle w:val="SingleTxtG"/>
      </w:pPr>
      <w:r>
        <w:t>5</w:t>
      </w:r>
      <w:r w:rsidR="008002B9">
        <w:t>3</w:t>
      </w:r>
      <w:r>
        <w:t>.</w:t>
      </w:r>
      <w:r>
        <w:tab/>
      </w:r>
      <w:r w:rsidRPr="009C4778">
        <w:rPr>
          <w:b/>
          <w:bCs/>
        </w:rPr>
        <w:t>The Committee recommends that the State party, in close consultation with the National Human Rights Institution and NGOs, explore how the rights of women prisoners could be fully implemented by ensuring at the same time that they continue to serve their sentences close to their families</w:t>
      </w:r>
      <w:r>
        <w:t>.</w:t>
      </w:r>
    </w:p>
    <w:p w14:paraId="4A6417CE" w14:textId="77777777" w:rsidR="00A4150C" w:rsidRDefault="00A4150C" w:rsidP="00A4150C">
      <w:pPr>
        <w:pStyle w:val="H23G"/>
      </w:pPr>
      <w:r>
        <w:tab/>
      </w:r>
      <w:r>
        <w:tab/>
        <w:t>Women with disabilities</w:t>
      </w:r>
    </w:p>
    <w:p w14:paraId="7CF21745" w14:textId="39679BA8" w:rsidR="00A4150C" w:rsidRDefault="00A4150C" w:rsidP="00A4150C">
      <w:pPr>
        <w:pStyle w:val="SingleTxtG"/>
      </w:pPr>
      <w:r>
        <w:t>5</w:t>
      </w:r>
      <w:r w:rsidR="008002B9">
        <w:t>4</w:t>
      </w:r>
      <w:r>
        <w:t>.</w:t>
      </w:r>
      <w:r>
        <w:tab/>
      </w:r>
      <w:r w:rsidRPr="000D2945">
        <w:t xml:space="preserve">The Committee </w:t>
      </w:r>
      <w:r>
        <w:t>is concerned</w:t>
      </w:r>
      <w:r w:rsidRPr="000D2945">
        <w:t xml:space="preserve"> that women with disabilities continue to face</w:t>
      </w:r>
      <w:r>
        <w:t xml:space="preserve"> intersecting forms of discrimination. It notes with concern:</w:t>
      </w:r>
    </w:p>
    <w:p w14:paraId="6E739F4F" w14:textId="77777777" w:rsidR="00A4150C" w:rsidRPr="006904D0" w:rsidRDefault="00A4150C" w:rsidP="00A4150C">
      <w:pPr>
        <w:pStyle w:val="SingleTxtG"/>
      </w:pPr>
      <w:r>
        <w:tab/>
        <w:t>(a)</w:t>
      </w:r>
      <w:r>
        <w:tab/>
        <w:t>The lack of a</w:t>
      </w:r>
      <w:r w:rsidRPr="006904D0">
        <w:t xml:space="preserve"> gender perspective in disability studies and the </w:t>
      </w:r>
      <w:r>
        <w:t xml:space="preserve">absence of the </w:t>
      </w:r>
      <w:r w:rsidRPr="006904D0">
        <w:t>rights of women and girls with disabilities from gender equality and disability agendas</w:t>
      </w:r>
      <w:r>
        <w:t>;</w:t>
      </w:r>
    </w:p>
    <w:p w14:paraId="22E48C25" w14:textId="20D429EA" w:rsidR="004D0C6E" w:rsidRDefault="00A4150C" w:rsidP="00A4150C">
      <w:pPr>
        <w:pStyle w:val="SingleTxtG"/>
      </w:pPr>
      <w:r>
        <w:tab/>
        <w:t>(b)</w:t>
      </w:r>
      <w:r>
        <w:tab/>
      </w:r>
      <w:r w:rsidR="00A82757">
        <w:t>Under certain circumstances. w</w:t>
      </w:r>
      <w:r w:rsidRPr="000F6C22">
        <w:t xml:space="preserve">omen and girls </w:t>
      </w:r>
      <w:r>
        <w:t xml:space="preserve">with disabilities </w:t>
      </w:r>
      <w:r w:rsidRPr="000F6C22">
        <w:t xml:space="preserve">continue to be subjected to involuntary medical treatment, including </w:t>
      </w:r>
      <w:r>
        <w:t>forced</w:t>
      </w:r>
      <w:r w:rsidRPr="000F6C22">
        <w:t xml:space="preserve"> sterilization and abortion</w:t>
      </w:r>
      <w:r w:rsidR="00A360F5">
        <w:t>.</w:t>
      </w:r>
    </w:p>
    <w:p w14:paraId="58328F87" w14:textId="12875E07" w:rsidR="00A4150C" w:rsidRPr="009C4778" w:rsidRDefault="00A4150C" w:rsidP="00A4150C">
      <w:pPr>
        <w:pStyle w:val="SingleTxtG"/>
        <w:rPr>
          <w:b/>
          <w:bCs/>
        </w:rPr>
      </w:pPr>
      <w:r>
        <w:t>5</w:t>
      </w:r>
      <w:r w:rsidR="008002B9">
        <w:t>5</w:t>
      </w:r>
      <w:r>
        <w:t>.</w:t>
      </w:r>
      <w:r>
        <w:tab/>
      </w:r>
      <w:r w:rsidRPr="009C4778">
        <w:rPr>
          <w:b/>
          <w:bCs/>
        </w:rPr>
        <w:t>The Committee recommends that the State party:</w:t>
      </w:r>
    </w:p>
    <w:p w14:paraId="26B90F4D" w14:textId="77777777" w:rsidR="00A4150C" w:rsidRPr="009C4778" w:rsidRDefault="00A4150C" w:rsidP="00A4150C">
      <w:pPr>
        <w:pStyle w:val="SingleTxtG"/>
        <w:rPr>
          <w:b/>
          <w:bCs/>
        </w:rPr>
      </w:pPr>
      <w:r>
        <w:tab/>
        <w:t>(a)</w:t>
      </w:r>
      <w:r>
        <w:tab/>
      </w:r>
      <w:r w:rsidRPr="009C4778">
        <w:rPr>
          <w:b/>
          <w:bCs/>
        </w:rPr>
        <w:t>Ensure that a gender perspective is integrated into disability studies and the human rights of women and girls with disabilities into gender equality and disability agendas;</w:t>
      </w:r>
    </w:p>
    <w:p w14:paraId="248CCDF9" w14:textId="77777777" w:rsidR="00A4150C" w:rsidRPr="009C4778" w:rsidRDefault="00A4150C" w:rsidP="00A4150C">
      <w:pPr>
        <w:pStyle w:val="SingleTxtG"/>
        <w:rPr>
          <w:b/>
          <w:bCs/>
        </w:rPr>
      </w:pPr>
      <w:r>
        <w:tab/>
        <w:t>(b)</w:t>
      </w:r>
      <w:r>
        <w:tab/>
      </w:r>
      <w:r w:rsidRPr="009C4778">
        <w:rPr>
          <w:b/>
          <w:bCs/>
        </w:rPr>
        <w:t>Prohibit involuntary medical treatment including abortion and sterilization, without the free, prior and informed consent of the women and girls concerned, regardless of the severity and type of their disability, and provide them with adequate support to take autonomous decisions on their health;</w:t>
      </w:r>
    </w:p>
    <w:p w14:paraId="3C232D5A" w14:textId="15A6A67A" w:rsidR="004D0C6E" w:rsidRDefault="00A4150C" w:rsidP="00A4150C">
      <w:pPr>
        <w:pStyle w:val="SingleTxtG"/>
        <w:rPr>
          <w:b/>
          <w:bCs/>
        </w:rPr>
      </w:pPr>
      <w:r>
        <w:tab/>
        <w:t>(c)</w:t>
      </w:r>
      <w:r>
        <w:tab/>
      </w:r>
      <w:r w:rsidRPr="009C4778">
        <w:rPr>
          <w:b/>
          <w:bCs/>
        </w:rPr>
        <w:t>Establish programmes at the national and regional levels to provide access for women with disabilities to sexual and reproductive health services</w:t>
      </w:r>
      <w:r w:rsidR="00A360F5">
        <w:rPr>
          <w:b/>
          <w:bCs/>
        </w:rPr>
        <w:t>.</w:t>
      </w:r>
    </w:p>
    <w:p w14:paraId="03BBF718" w14:textId="354D4BBF" w:rsidR="00A4150C" w:rsidRDefault="00A4150C" w:rsidP="00A360F5">
      <w:pPr>
        <w:pStyle w:val="H23G"/>
      </w:pPr>
      <w:r>
        <w:tab/>
      </w:r>
      <w:r>
        <w:tab/>
        <w:t>Migrant women</w:t>
      </w:r>
    </w:p>
    <w:p w14:paraId="5D02F5BC" w14:textId="13D3CAD0" w:rsidR="00A4150C" w:rsidRDefault="00A4150C" w:rsidP="00A4150C">
      <w:pPr>
        <w:pStyle w:val="SingleTxtG"/>
      </w:pPr>
      <w:r>
        <w:t>5</w:t>
      </w:r>
      <w:r w:rsidR="008002B9">
        <w:t>6</w:t>
      </w:r>
      <w:r>
        <w:t>.</w:t>
      </w:r>
      <w:r>
        <w:tab/>
      </w:r>
      <w:r w:rsidRPr="000C7CE0">
        <w:t xml:space="preserve">The Committee </w:t>
      </w:r>
      <w:r>
        <w:t>is concerned about the</w:t>
      </w:r>
      <w:r w:rsidRPr="000C7CE0">
        <w:t xml:space="preserve"> very narrow definition of emergency healthcare </w:t>
      </w:r>
      <w:r>
        <w:t xml:space="preserve">accessible </w:t>
      </w:r>
      <w:r w:rsidRPr="000C7CE0">
        <w:t xml:space="preserve">to undocumented migrants, </w:t>
      </w:r>
      <w:r>
        <w:t>which is limited to care that is necessary within three weeks. The Committee is concerned that this</w:t>
      </w:r>
      <w:r w:rsidRPr="000C7CE0">
        <w:t xml:space="preserve"> may </w:t>
      </w:r>
      <w:r>
        <w:t>adversely affect the health of</w:t>
      </w:r>
      <w:r w:rsidRPr="000C7CE0">
        <w:t xml:space="preserve"> </w:t>
      </w:r>
      <w:r>
        <w:t xml:space="preserve">undocumented </w:t>
      </w:r>
      <w:r w:rsidRPr="000C7CE0">
        <w:t>migrant women</w:t>
      </w:r>
      <w:r>
        <w:t>, who are often in a particularly disadvantaged situation because of discriminatory structures, institutions and systems, and need adequate access to sexual and reproductive health services and mental health services.</w:t>
      </w:r>
    </w:p>
    <w:p w14:paraId="559A18F8" w14:textId="71832D20" w:rsidR="00A4150C" w:rsidRPr="00D06A24" w:rsidRDefault="00A4150C" w:rsidP="00A4150C">
      <w:pPr>
        <w:pStyle w:val="SingleTxtG"/>
        <w:rPr>
          <w:b/>
          <w:bCs/>
        </w:rPr>
      </w:pPr>
      <w:r>
        <w:t>5</w:t>
      </w:r>
      <w:r w:rsidR="008002B9">
        <w:t>7</w:t>
      </w:r>
      <w:r>
        <w:t>.</w:t>
      </w:r>
      <w:r>
        <w:tab/>
      </w:r>
      <w:r w:rsidRPr="00D06A24">
        <w:rPr>
          <w:b/>
          <w:bCs/>
        </w:rPr>
        <w:t>The Committee recommends that the State party ensure that undocumented migrant women and girls have access to the documentation necessary for non-emergency health services without the risk of being reported to the immigration authorities and subsequently being deported.</w:t>
      </w:r>
    </w:p>
    <w:p w14:paraId="13BCBC9C" w14:textId="77777777" w:rsidR="00A4150C" w:rsidRDefault="00A4150C" w:rsidP="00A4150C">
      <w:pPr>
        <w:pStyle w:val="H23G"/>
        <w:ind w:firstLine="0"/>
      </w:pPr>
      <w:r w:rsidRPr="005A56D0">
        <w:t>Marriage and</w:t>
      </w:r>
      <w:r w:rsidRPr="008554DA">
        <w:t xml:space="preserve"> family relations</w:t>
      </w:r>
    </w:p>
    <w:p w14:paraId="4A9C7055" w14:textId="5EC29E03" w:rsidR="00A4150C" w:rsidRDefault="008002B9" w:rsidP="00A4150C">
      <w:pPr>
        <w:pStyle w:val="SingleTxtG"/>
      </w:pPr>
      <w:r>
        <w:t>58</w:t>
      </w:r>
      <w:r w:rsidR="00A4150C">
        <w:t>.</w:t>
      </w:r>
      <w:r w:rsidR="00A4150C">
        <w:tab/>
        <w:t xml:space="preserve">The Committee remains concerned that </w:t>
      </w:r>
      <w:r w:rsidR="00A4150C" w:rsidRPr="000F6C22">
        <w:t xml:space="preserve">the economic rights </w:t>
      </w:r>
      <w:r w:rsidR="00A4150C">
        <w:t xml:space="preserve">and social benefits </w:t>
      </w:r>
      <w:r w:rsidR="00A4150C" w:rsidRPr="000F6C22">
        <w:t xml:space="preserve">of women living in de facto relationships </w:t>
      </w:r>
      <w:r w:rsidR="00A4150C">
        <w:t>are</w:t>
      </w:r>
      <w:r w:rsidR="00A4150C" w:rsidRPr="000F6C22">
        <w:t xml:space="preserve"> not be adequately protected</w:t>
      </w:r>
      <w:r w:rsidR="00A4150C">
        <w:t xml:space="preserve"> in the State party</w:t>
      </w:r>
      <w:r w:rsidR="00A4150C" w:rsidRPr="000F6C22">
        <w:t xml:space="preserve">, unless they have common children or had entered into an explicit agreement with their partner. </w:t>
      </w:r>
    </w:p>
    <w:p w14:paraId="6E8E478A" w14:textId="6513CC8B" w:rsidR="00A4150C" w:rsidRPr="00D06A24" w:rsidRDefault="008002B9" w:rsidP="00A4150C">
      <w:pPr>
        <w:pStyle w:val="SingleTxtG"/>
        <w:rPr>
          <w:b/>
          <w:bCs/>
        </w:rPr>
      </w:pPr>
      <w:r>
        <w:lastRenderedPageBreak/>
        <w:t>59</w:t>
      </w:r>
      <w:r w:rsidR="00A4150C">
        <w:t>.</w:t>
      </w:r>
      <w:r w:rsidR="00A4150C">
        <w:tab/>
      </w:r>
      <w:r w:rsidR="00A4150C" w:rsidRPr="00D06A24">
        <w:rPr>
          <w:b/>
          <w:bCs/>
        </w:rPr>
        <w:t>The Committee reiterates its previous recommendation (CEDAW/C/NOR/CO/9, para. 49 (b) and recommends that the State party adopt the legal measures necessary to enhance the economic protection guaranteed to all women living in de facto relationships, by recognizing their rights with respect to the property accumulated during the relationship, in line with the Committee’s general recommendations No. 21 (1994) on equality in marriage and family relations and No. 29 (2013) on economic consequences of marriage, family relations and their dissolution.</w:t>
      </w:r>
    </w:p>
    <w:p w14:paraId="635B7117" w14:textId="14EF6E3F" w:rsidR="00A4150C" w:rsidRDefault="00A4150C" w:rsidP="00A4150C">
      <w:pPr>
        <w:pStyle w:val="SingleTxtG"/>
      </w:pPr>
      <w:r>
        <w:t>6</w:t>
      </w:r>
      <w:r w:rsidR="008002B9">
        <w:t>0</w:t>
      </w:r>
      <w:r>
        <w:t>.</w:t>
      </w:r>
      <w:r>
        <w:tab/>
        <w:t xml:space="preserve">The Committee notes with concern that the capacity of mediation services to recognise domestic violence cases is inadequate, in particular in separation proceedings and custody and visitation disputes. The Committee also remains concerned </w:t>
      </w:r>
      <w:r w:rsidRPr="000F6C22">
        <w:t xml:space="preserve">that situations of domestic violence may not be adequately addressed in </w:t>
      </w:r>
      <w:r>
        <w:t>decisions on</w:t>
      </w:r>
      <w:r w:rsidRPr="000F6C22">
        <w:t xml:space="preserve"> child custody, particularly when alternate residence is contemplated.</w:t>
      </w:r>
      <w:r>
        <w:t xml:space="preserve"> </w:t>
      </w:r>
    </w:p>
    <w:p w14:paraId="460E7837" w14:textId="46BE08AD" w:rsidR="00A4150C" w:rsidRPr="00D06A24" w:rsidRDefault="00A4150C" w:rsidP="00A4150C">
      <w:pPr>
        <w:pStyle w:val="SingleTxtG"/>
        <w:rPr>
          <w:b/>
          <w:bCs/>
        </w:rPr>
      </w:pPr>
      <w:r>
        <w:t>6</w:t>
      </w:r>
      <w:r w:rsidR="008002B9">
        <w:t>1</w:t>
      </w:r>
      <w:r>
        <w:t>.</w:t>
      </w:r>
      <w:r>
        <w:tab/>
      </w:r>
      <w:r w:rsidRPr="00D06A24">
        <w:rPr>
          <w:b/>
          <w:bCs/>
        </w:rPr>
        <w:t>The Committee recommends that the State party provide targeted capacity building to family law judges, youth welfare offices and relevant mediation services to record and consider the occurrence of domestic violence. It also reiterates its previous recommendation (CEDAW/C/NOR/CO/9, para. 49 (c)) and recommends that the State party ensure that gender-based violence against women in the domestic sphere is taken into account in child custody or visitation decisions, especially when alternate residence is contemplated.</w:t>
      </w:r>
    </w:p>
    <w:p w14:paraId="3426AF4C" w14:textId="77777777" w:rsidR="00A4150C" w:rsidRPr="00B02945" w:rsidRDefault="00A4150C" w:rsidP="00A4150C">
      <w:pPr>
        <w:pStyle w:val="H23G"/>
        <w:jc w:val="both"/>
      </w:pPr>
      <w:r>
        <w:tab/>
      </w:r>
      <w:r>
        <w:tab/>
      </w:r>
      <w:r w:rsidRPr="00B02945">
        <w:t xml:space="preserve">Beijing Declaration and Platform for Action </w:t>
      </w:r>
    </w:p>
    <w:p w14:paraId="4B1FBDDE" w14:textId="73C212BA" w:rsidR="00A4150C" w:rsidRDefault="00A4150C" w:rsidP="00A4150C">
      <w:pPr>
        <w:pStyle w:val="SingleTxtG"/>
      </w:pPr>
      <w:r>
        <w:t>6</w:t>
      </w:r>
      <w:r w:rsidR="008002B9">
        <w:t>2</w:t>
      </w:r>
      <w:r>
        <w:t>.</w:t>
      </w:r>
      <w:r>
        <w:tab/>
      </w:r>
      <w:r w:rsidRPr="00CC6D58">
        <w:rPr>
          <w:b/>
        </w:rPr>
        <w:t>The Committee calls upon the State party to use the Beijing Declaration and Platform for Action</w:t>
      </w:r>
      <w:r>
        <w:rPr>
          <w:b/>
        </w:rPr>
        <w:t xml:space="preserve"> </w:t>
      </w:r>
      <w:r>
        <w:rPr>
          <w:b/>
          <w:bCs/>
        </w:rPr>
        <w:t>and to further evaluate the implementation of the Convention in the context of the</w:t>
      </w:r>
      <w:r>
        <w:t xml:space="preserve"> </w:t>
      </w:r>
      <w:r>
        <w:rPr>
          <w:b/>
          <w:bCs/>
        </w:rPr>
        <w:t>Beijing +25 Review to achieve substantive equality of women and men</w:t>
      </w:r>
      <w:r w:rsidRPr="00CC6D58">
        <w:rPr>
          <w:b/>
        </w:rPr>
        <w:t>.</w:t>
      </w:r>
      <w:r>
        <w:tab/>
      </w:r>
    </w:p>
    <w:p w14:paraId="1BC3BD86" w14:textId="77777777" w:rsidR="00A4150C" w:rsidRPr="00B02945" w:rsidRDefault="00A4150C" w:rsidP="00A4150C">
      <w:pPr>
        <w:pStyle w:val="H23G"/>
      </w:pPr>
      <w:r>
        <w:tab/>
      </w:r>
      <w:r>
        <w:tab/>
      </w:r>
      <w:r w:rsidRPr="00B02945">
        <w:t xml:space="preserve">Dissemination </w:t>
      </w:r>
    </w:p>
    <w:p w14:paraId="3F4A8948" w14:textId="56F437E5" w:rsidR="00A4150C" w:rsidRPr="002211D1" w:rsidRDefault="00A4150C" w:rsidP="00A4150C">
      <w:pPr>
        <w:pStyle w:val="SingleTxtG"/>
        <w:rPr>
          <w:b/>
        </w:rPr>
      </w:pPr>
      <w:r>
        <w:t>6</w:t>
      </w:r>
      <w:r w:rsidR="008002B9">
        <w:t>3</w:t>
      </w:r>
      <w:r>
        <w:t>.</w:t>
      </w:r>
      <w:r>
        <w:tab/>
      </w:r>
      <w:r w:rsidRPr="00E345C1">
        <w:rPr>
          <w:b/>
          <w:bCs/>
          <w:color w:val="000000"/>
        </w:rPr>
        <w:t xml:space="preserve">The Committee requests the State party to ensure the timely dissemination of the present concluding observations, in the </w:t>
      </w:r>
      <w:r w:rsidRPr="00E345C1">
        <w:rPr>
          <w:b/>
        </w:rPr>
        <w:t>official</w:t>
      </w:r>
      <w:r w:rsidRPr="00E345C1">
        <w:rPr>
          <w:b/>
          <w:bCs/>
          <w:color w:val="000000"/>
        </w:rPr>
        <w:t xml:space="preserve"> language</w:t>
      </w:r>
      <w:r>
        <w:rPr>
          <w:b/>
          <w:bCs/>
          <w:color w:val="000000"/>
        </w:rPr>
        <w:t xml:space="preserve"> </w:t>
      </w:r>
      <w:r w:rsidRPr="00E345C1">
        <w:rPr>
          <w:b/>
          <w:bCs/>
          <w:color w:val="000000"/>
        </w:rPr>
        <w:t>of the State</w:t>
      </w:r>
      <w:r>
        <w:rPr>
          <w:b/>
          <w:bCs/>
          <w:color w:val="000000"/>
        </w:rPr>
        <w:t xml:space="preserve"> </w:t>
      </w:r>
      <w:r w:rsidRPr="00E345C1">
        <w:rPr>
          <w:b/>
          <w:bCs/>
          <w:color w:val="000000"/>
        </w:rPr>
        <w:t xml:space="preserve">party, to the relevant State </w:t>
      </w:r>
      <w:r w:rsidRPr="00E345C1">
        <w:rPr>
          <w:b/>
        </w:rPr>
        <w:t xml:space="preserve">institutions at all levels (national, regional, local), in particular to the Government, </w:t>
      </w:r>
      <w:r w:rsidRPr="00E345C1">
        <w:rPr>
          <w:b/>
          <w:bCs/>
          <w:color w:val="000000"/>
        </w:rPr>
        <w:t>Parliament and the judiciary, to enable their full implementation</w:t>
      </w:r>
      <w:r>
        <w:rPr>
          <w:b/>
          <w:bCs/>
          <w:color w:val="000000"/>
        </w:rPr>
        <w:t>.</w:t>
      </w:r>
    </w:p>
    <w:p w14:paraId="29817390" w14:textId="77777777" w:rsidR="00A4150C" w:rsidRPr="005456AD" w:rsidRDefault="00A4150C" w:rsidP="00A4150C">
      <w:pPr>
        <w:pStyle w:val="H23G"/>
        <w:rPr>
          <w:b w:val="0"/>
        </w:rPr>
      </w:pPr>
      <w:r>
        <w:rPr>
          <w:lang w:val="en-US"/>
        </w:rPr>
        <w:tab/>
      </w:r>
      <w:r>
        <w:rPr>
          <w:lang w:val="en-US"/>
        </w:rPr>
        <w:tab/>
      </w:r>
      <w:r w:rsidRPr="005F24E0">
        <w:rPr>
          <w:lang w:val="en-US"/>
        </w:rPr>
        <w:t>Ratification</w:t>
      </w:r>
      <w:r>
        <w:t xml:space="preserve"> of other treaties </w:t>
      </w:r>
    </w:p>
    <w:p w14:paraId="663B1E12" w14:textId="7181885A" w:rsidR="00A4150C" w:rsidRPr="001A7A4C" w:rsidRDefault="00A4150C" w:rsidP="00A4150C">
      <w:pPr>
        <w:pStyle w:val="SingleTxtG"/>
        <w:rPr>
          <w:b/>
        </w:rPr>
      </w:pPr>
      <w:r>
        <w:t>6</w:t>
      </w:r>
      <w:r w:rsidR="008002B9">
        <w:t>4</w:t>
      </w:r>
      <w:r w:rsidRPr="00346998">
        <w:t>.</w:t>
      </w:r>
      <w:r w:rsidRPr="00346998">
        <w:tab/>
      </w:r>
      <w:r w:rsidRPr="001A7A4C">
        <w:rPr>
          <w:b/>
        </w:rPr>
        <w:t>The Committee notes that the adherence of the State party to the nine major international human rights instruments</w:t>
      </w:r>
      <w:r w:rsidRPr="00CD564B">
        <w:rPr>
          <w:rStyle w:val="FootnoteReference"/>
        </w:rPr>
        <w:footnoteReference w:id="3"/>
      </w:r>
      <w:r w:rsidRPr="001A7A4C">
        <w:rPr>
          <w:b/>
        </w:rPr>
        <w:t xml:space="preserve"> would enhance the enjoyment by women of their human rights and fundamental freedoms in all aspects of life. The Committee therefore encourages the State party to ratify the </w:t>
      </w:r>
      <w:r w:rsidRPr="002211D1">
        <w:rPr>
          <w:b/>
          <w:bCs/>
        </w:rPr>
        <w:t>International Convention on the Protection of the Rights of All Migrant Workers and Members of Their Families</w:t>
      </w:r>
      <w:r>
        <w:rPr>
          <w:b/>
        </w:rPr>
        <w:t xml:space="preserve">, </w:t>
      </w:r>
      <w:r w:rsidRPr="001A7A4C">
        <w:rPr>
          <w:b/>
        </w:rPr>
        <w:t>to which it is not yet a party.</w:t>
      </w:r>
    </w:p>
    <w:p w14:paraId="04FD92AD" w14:textId="77777777" w:rsidR="00A4150C" w:rsidRPr="0004157F" w:rsidRDefault="00A4150C" w:rsidP="00A4150C">
      <w:pPr>
        <w:pStyle w:val="H23G"/>
        <w:rPr>
          <w:lang w:val="en-US"/>
        </w:rPr>
      </w:pPr>
      <w:r>
        <w:rPr>
          <w:lang w:val="en-US"/>
        </w:rPr>
        <w:tab/>
      </w:r>
      <w:r>
        <w:rPr>
          <w:lang w:val="en-US"/>
        </w:rPr>
        <w:tab/>
      </w:r>
      <w:r w:rsidRPr="0004157F">
        <w:rPr>
          <w:lang w:val="en-US"/>
        </w:rPr>
        <w:t>Follow-up to concluding observations</w:t>
      </w:r>
    </w:p>
    <w:p w14:paraId="0EF0AD2D" w14:textId="3CD8509B" w:rsidR="00A4150C" w:rsidRDefault="00A4150C" w:rsidP="00A4150C">
      <w:pPr>
        <w:pStyle w:val="SingleTxtG"/>
        <w:rPr>
          <w:b/>
        </w:rPr>
      </w:pPr>
      <w:r>
        <w:t>6</w:t>
      </w:r>
      <w:r w:rsidR="008002B9">
        <w:t>5</w:t>
      </w:r>
      <w:r w:rsidRPr="00B50CB7">
        <w:t>.</w:t>
      </w:r>
      <w:r w:rsidRPr="00B50CB7">
        <w:tab/>
      </w:r>
      <w:r w:rsidRPr="00B50CB7">
        <w:rPr>
          <w:b/>
        </w:rPr>
        <w:t>The Committee</w:t>
      </w:r>
      <w:r>
        <w:rPr>
          <w:b/>
        </w:rPr>
        <w:t xml:space="preserve"> </w:t>
      </w:r>
      <w:r w:rsidRPr="00B50CB7">
        <w:rPr>
          <w:b/>
        </w:rPr>
        <w:t xml:space="preserve">requests the State party to provide, within </w:t>
      </w:r>
      <w:r>
        <w:rPr>
          <w:b/>
        </w:rPr>
        <w:t>two years</w:t>
      </w:r>
      <w:r w:rsidRPr="00B50CB7">
        <w:rPr>
          <w:b/>
        </w:rPr>
        <w:t xml:space="preserve">, written information on the steps taken to implement the recommendations contained in paragraphs </w:t>
      </w:r>
      <w:r>
        <w:rPr>
          <w:b/>
        </w:rPr>
        <w:t>15 (a</w:t>
      </w:r>
      <w:r w:rsidR="00AD0604">
        <w:rPr>
          <w:b/>
        </w:rPr>
        <w:t>)</w:t>
      </w:r>
      <w:r>
        <w:rPr>
          <w:b/>
        </w:rPr>
        <w:t xml:space="preserve"> , </w:t>
      </w:r>
      <w:r w:rsidR="00451376">
        <w:rPr>
          <w:b/>
        </w:rPr>
        <w:t>17(c</w:t>
      </w:r>
      <w:r w:rsidR="00451376" w:rsidRPr="00FA6573">
        <w:rPr>
          <w:b/>
        </w:rPr>
        <w:t xml:space="preserve">), </w:t>
      </w:r>
      <w:r w:rsidRPr="00FA6573">
        <w:rPr>
          <w:b/>
        </w:rPr>
        <w:t>3</w:t>
      </w:r>
      <w:r w:rsidR="005F5E81" w:rsidRPr="008B6614">
        <w:rPr>
          <w:b/>
        </w:rPr>
        <w:t>1</w:t>
      </w:r>
      <w:r w:rsidRPr="00FA6573">
        <w:rPr>
          <w:b/>
        </w:rPr>
        <w:t xml:space="preserve"> (c) </w:t>
      </w:r>
      <w:r w:rsidR="00BD4FC8" w:rsidRPr="00FA6573">
        <w:rPr>
          <w:b/>
        </w:rPr>
        <w:t>and</w:t>
      </w:r>
      <w:r w:rsidRPr="00FA6573">
        <w:rPr>
          <w:b/>
        </w:rPr>
        <w:t xml:space="preserve"> (d) above</w:t>
      </w:r>
      <w:r w:rsidRPr="00B50CB7">
        <w:rPr>
          <w:b/>
        </w:rPr>
        <w:t xml:space="preserve">. </w:t>
      </w:r>
    </w:p>
    <w:p w14:paraId="42303EE9" w14:textId="77777777" w:rsidR="00A4150C" w:rsidRPr="0004157F" w:rsidRDefault="00A4150C" w:rsidP="00A4150C">
      <w:pPr>
        <w:pStyle w:val="H23G"/>
        <w:rPr>
          <w:lang w:val="en-US"/>
        </w:rPr>
      </w:pPr>
      <w:r w:rsidRPr="0004157F">
        <w:rPr>
          <w:lang w:val="en-US"/>
        </w:rPr>
        <w:lastRenderedPageBreak/>
        <w:tab/>
      </w:r>
      <w:r w:rsidRPr="0004157F">
        <w:rPr>
          <w:lang w:val="en-US"/>
        </w:rPr>
        <w:tab/>
        <w:t xml:space="preserve">Preparation of the next report </w:t>
      </w:r>
    </w:p>
    <w:p w14:paraId="4FEA46E3" w14:textId="79A675D0" w:rsidR="00A4150C" w:rsidRPr="005456AD" w:rsidRDefault="00A4150C" w:rsidP="00A4150C">
      <w:pPr>
        <w:pStyle w:val="SingleTxtG"/>
      </w:pPr>
      <w:r>
        <w:t>6</w:t>
      </w:r>
      <w:r w:rsidR="008002B9">
        <w:t>6</w:t>
      </w:r>
      <w:r>
        <w:t>.</w:t>
      </w:r>
      <w:r>
        <w:tab/>
      </w:r>
      <w:r>
        <w:rPr>
          <w:b/>
          <w:bCs/>
          <w:lang w:val="en-US"/>
        </w:rPr>
        <w:t>The Committee will establish and communicate the due date of the eleventh</w:t>
      </w:r>
      <w:r>
        <w:rPr>
          <w:b/>
          <w:bCs/>
          <w:color w:val="FF0000"/>
          <w:lang w:val="en-US"/>
        </w:rPr>
        <w:t xml:space="preserve"> </w:t>
      </w:r>
      <w:r>
        <w:rPr>
          <w:b/>
          <w:bCs/>
          <w:lang w:val="en-US"/>
        </w:rPr>
        <w:t xml:space="preserve">periodic report of the State party in line with a future predictable </w:t>
      </w:r>
      <w:r w:rsidRPr="002A0E04">
        <w:rPr>
          <w:b/>
          <w:bCs/>
          <w:lang w:val="en-US"/>
        </w:rPr>
        <w:t>reporting calendar based on an eight-year review cycle</w:t>
      </w:r>
      <w:r>
        <w:rPr>
          <w:b/>
          <w:bCs/>
          <w:lang w:val="en-US"/>
        </w:rPr>
        <w:t xml:space="preserve"> and following the adoption of a list of issues and questions prior to reporting, if applicable, for the State party. </w:t>
      </w:r>
      <w:r w:rsidRPr="001C03D6">
        <w:rPr>
          <w:b/>
          <w:bCs/>
        </w:rPr>
        <w:t>The report should cover the entire period up to the time of its submission</w:t>
      </w:r>
      <w:r>
        <w:rPr>
          <w:b/>
          <w:bCs/>
        </w:rPr>
        <w:t>.</w:t>
      </w:r>
    </w:p>
    <w:p w14:paraId="69AE4EED" w14:textId="74864D40" w:rsidR="00A4150C" w:rsidRDefault="00A4150C" w:rsidP="00A4150C">
      <w:pPr>
        <w:pStyle w:val="SingleTxtG"/>
        <w:rPr>
          <w:b/>
        </w:rPr>
      </w:pPr>
      <w:r>
        <w:t>6</w:t>
      </w:r>
      <w:r w:rsidR="008002B9">
        <w:t>7</w:t>
      </w:r>
      <w:r>
        <w:t>.</w:t>
      </w:r>
      <w:r>
        <w:tab/>
      </w:r>
      <w:r w:rsidRPr="00B02945">
        <w:rPr>
          <w:b/>
        </w:rPr>
        <w:t xml:space="preserve">The </w:t>
      </w:r>
      <w:r w:rsidRPr="008F37B7">
        <w:rPr>
          <w:b/>
        </w:rPr>
        <w:t xml:space="preserve">Committee requests the State party to follow the </w:t>
      </w:r>
      <w:r>
        <w:rPr>
          <w:b/>
        </w:rPr>
        <w:t>h</w:t>
      </w:r>
      <w:r w:rsidRPr="008F37B7">
        <w:rPr>
          <w:b/>
        </w:rPr>
        <w:t>armonized guidelines on reporting under the international human rights treaties, including guidelines on a common core document and treaty-specific documents</w:t>
      </w:r>
      <w:r w:rsidRPr="00DF05F6">
        <w:rPr>
          <w:b/>
        </w:rPr>
        <w:t xml:space="preserve"> (see </w:t>
      </w:r>
      <w:hyperlink r:id="rId11" w:history="1">
        <w:r w:rsidRPr="00DF05F6">
          <w:rPr>
            <w:rStyle w:val="Hyperlink"/>
            <w:b/>
          </w:rPr>
          <w:t>HRI/GEN/2/Rev.6</w:t>
        </w:r>
      </w:hyperlink>
      <w:r w:rsidRPr="00DF05F6">
        <w:rPr>
          <w:b/>
        </w:rPr>
        <w:t>, chap. I)</w:t>
      </w:r>
      <w:r w:rsidRPr="008F37B7">
        <w:rPr>
          <w:b/>
        </w:rPr>
        <w:t>)</w:t>
      </w:r>
      <w:r>
        <w:rPr>
          <w:b/>
        </w:rPr>
        <w:t>.</w:t>
      </w:r>
    </w:p>
    <w:p w14:paraId="3A557D08" w14:textId="701616D0" w:rsidR="000706B1" w:rsidRPr="001A7A4C" w:rsidRDefault="00A4150C" w:rsidP="00A4150C">
      <w:pPr>
        <w:pStyle w:val="SingleTxtG"/>
        <w:jc w:val="center"/>
        <w:rPr>
          <w:b/>
        </w:rPr>
      </w:pPr>
      <w:r>
        <w:rPr>
          <w:u w:val="single"/>
        </w:rPr>
        <w:tab/>
      </w:r>
      <w:r>
        <w:rPr>
          <w:u w:val="single"/>
        </w:rPr>
        <w:tab/>
      </w:r>
      <w:r>
        <w:rPr>
          <w:u w:val="single"/>
        </w:rPr>
        <w:tab/>
      </w:r>
    </w:p>
    <w:sectPr w:rsidR="000706B1" w:rsidRPr="001A7A4C">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D702" w14:textId="77777777" w:rsidR="00B30B1B" w:rsidRDefault="00B30B1B">
      <w:pPr>
        <w:spacing w:line="240" w:lineRule="auto"/>
      </w:pPr>
    </w:p>
  </w:endnote>
  <w:endnote w:type="continuationSeparator" w:id="0">
    <w:p w14:paraId="73F22621" w14:textId="77777777" w:rsidR="00B30B1B" w:rsidRDefault="00B30B1B">
      <w:pPr>
        <w:pStyle w:val="Footer"/>
      </w:pPr>
    </w:p>
  </w:endnote>
  <w:endnote w:type="continuationNotice" w:id="1">
    <w:p w14:paraId="40B08C35" w14:textId="77777777" w:rsidR="00B30B1B" w:rsidRDefault="00B30B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3DE0" w14:textId="405822BC" w:rsidR="008C69AC" w:rsidRDefault="007706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8D67C7">
      <w:rPr>
        <w:b/>
        <w:noProof/>
        <w:sz w:val="18"/>
      </w:rPr>
      <w:t>12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9779" w14:textId="62987BB3" w:rsidR="008C69AC" w:rsidRDefault="002525F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D67C7">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5082" w14:textId="77777777" w:rsidR="008C69AC" w:rsidRDefault="007706D9">
    <w:pPr>
      <w:pStyle w:val="Footer"/>
      <w:spacing w:before="120"/>
      <w:rPr>
        <w:noProof/>
        <w:sz w:val="20"/>
        <w:lang w:val="fr-FR" w:eastAsia="fr-FR"/>
      </w:rPr>
    </w:pPr>
    <w:r>
      <w:rPr>
        <w:noProof/>
        <w:lang w:val="en-US" w:bidi="he-IL"/>
      </w:rPr>
      <w:drawing>
        <wp:anchor distT="0" distB="0" distL="114300" distR="114300" simplePos="0" relativeHeight="251658240" behindDoc="0" locked="1" layoutInCell="1" allowOverlap="1" wp14:anchorId="5FE1FBC4" wp14:editId="7B848749">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fr-FR" w:eastAsia="fr-FR"/>
      </w:rPr>
      <w:t xml:space="preserve"> </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AB7B5F" w14:paraId="3E5646D5" w14:textId="77777777">
      <w:tc>
        <w:tcPr>
          <w:tcW w:w="1848" w:type="dxa"/>
          <w:vAlign w:val="bottom"/>
        </w:tcPr>
        <w:p w14:paraId="16E76764" w14:textId="77777777" w:rsidR="008C69AC" w:rsidRDefault="007706D9">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val="en-US" w:bidi="he-IL"/>
            </w:rPr>
            <w:drawing>
              <wp:inline distT="0" distB="0" distL="0" distR="0" wp14:anchorId="2646E9BE" wp14:editId="0981D8FF">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46762AD7" w14:textId="77777777" w:rsidR="008C69AC" w:rsidRDefault="008C69AC">
          <w:pPr>
            <w:kinsoku w:val="0"/>
            <w:overflowPunct w:val="0"/>
            <w:autoSpaceDE w:val="0"/>
            <w:autoSpaceDN w:val="0"/>
            <w:adjustRightInd w:val="0"/>
            <w:snapToGrid w:val="0"/>
            <w:spacing w:line="240" w:lineRule="auto"/>
            <w:jc w:val="right"/>
            <w:rPr>
              <w:rFonts w:eastAsiaTheme="minorHAnsi"/>
              <w:sz w:val="16"/>
              <w:lang w:val="fr-CH"/>
            </w:rPr>
          </w:pPr>
        </w:p>
      </w:tc>
    </w:tr>
  </w:tbl>
  <w:p w14:paraId="0EE83339" w14:textId="77777777" w:rsidR="008C69AC" w:rsidRDefault="008C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E601" w14:textId="77777777" w:rsidR="00B30B1B" w:rsidRDefault="00B30B1B">
      <w:pPr>
        <w:pStyle w:val="Footer"/>
        <w:tabs>
          <w:tab w:val="right" w:pos="2155"/>
        </w:tabs>
        <w:spacing w:after="80" w:line="240" w:lineRule="atLeast"/>
        <w:ind w:left="680"/>
        <w:rPr>
          <w:u w:val="single"/>
        </w:rPr>
      </w:pPr>
      <w:r>
        <w:rPr>
          <w:u w:val="single"/>
        </w:rPr>
        <w:tab/>
      </w:r>
    </w:p>
  </w:footnote>
  <w:footnote w:type="continuationSeparator" w:id="0">
    <w:p w14:paraId="2D8BBD6D" w14:textId="77777777" w:rsidR="00B30B1B" w:rsidRDefault="00B30B1B">
      <w:pPr>
        <w:pStyle w:val="Footer"/>
        <w:tabs>
          <w:tab w:val="right" w:pos="2155"/>
        </w:tabs>
        <w:spacing w:after="80" w:line="240" w:lineRule="atLeast"/>
        <w:ind w:left="680"/>
        <w:rPr>
          <w:u w:val="single"/>
        </w:rPr>
      </w:pPr>
      <w:r>
        <w:rPr>
          <w:u w:val="single"/>
        </w:rPr>
        <w:tab/>
      </w:r>
    </w:p>
  </w:footnote>
  <w:footnote w:type="continuationNotice" w:id="1">
    <w:p w14:paraId="3A035196" w14:textId="77777777" w:rsidR="00B30B1B" w:rsidRDefault="00B30B1B">
      <w:pPr>
        <w:spacing w:line="240" w:lineRule="auto"/>
        <w:rPr>
          <w:sz w:val="2"/>
          <w:szCs w:val="2"/>
        </w:rPr>
      </w:pPr>
    </w:p>
  </w:footnote>
  <w:footnote w:id="2">
    <w:p w14:paraId="48BFDBB0" w14:textId="79573CC8" w:rsidR="00EA4D78" w:rsidRPr="00EA4D78" w:rsidRDefault="00EA4D78" w:rsidP="00EA4D78">
      <w:pPr>
        <w:pStyle w:val="FootnoteText"/>
      </w:pPr>
      <w:r w:rsidRPr="00A41B4F">
        <w:rPr>
          <w:rStyle w:val="FootnoteReference"/>
          <w:vertAlign w:val="baseline"/>
        </w:rPr>
        <w:tab/>
        <w:t>*</w:t>
      </w:r>
      <w:r w:rsidRPr="008B6614">
        <w:rPr>
          <w:rStyle w:val="FootnoteReference"/>
          <w:vertAlign w:val="baseline"/>
        </w:rPr>
        <w:tab/>
        <w:t>Adopted by the Committee at its eighty-fourth session (6-24 February 2023).</w:t>
      </w:r>
    </w:p>
  </w:footnote>
  <w:footnote w:id="3">
    <w:p w14:paraId="05D6864B" w14:textId="77777777" w:rsidR="00A4150C" w:rsidRPr="001A7A4C" w:rsidRDefault="00A4150C" w:rsidP="00A4150C">
      <w:pPr>
        <w:pStyle w:val="FootnoteText"/>
        <w:rPr>
          <w:lang w:val="en-US"/>
        </w:rPr>
      </w:pPr>
      <w:r>
        <w:tab/>
      </w:r>
      <w:r w:rsidRPr="00CD564B">
        <w:rPr>
          <w:rStyle w:val="FootnoteReference"/>
        </w:rPr>
        <w:footnoteRef/>
      </w:r>
      <w:r>
        <w:tab/>
      </w:r>
      <w:r w:rsidRPr="001A7A4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6C06" w14:textId="4544EDA7" w:rsidR="008C69AC" w:rsidRDefault="002525FA">
    <w:pPr>
      <w:pStyle w:val="Header"/>
    </w:pPr>
    <w:r>
      <w:t>CEDAW/C/NOR/CO/10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3EA6" w14:textId="005DF71D" w:rsidR="008C69AC" w:rsidRDefault="002525FA">
    <w:pPr>
      <w:pStyle w:val="Header"/>
      <w:jc w:val="right"/>
    </w:pPr>
    <w:r>
      <w:t>CEDAW/C/NOR/CO/10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CC1"/>
    <w:multiLevelType w:val="hybridMultilevel"/>
    <w:tmpl w:val="2530EDAA"/>
    <w:lvl w:ilvl="0" w:tplc="D15AF98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0A1F6A6A"/>
    <w:multiLevelType w:val="hybridMultilevel"/>
    <w:tmpl w:val="1CDA5966"/>
    <w:lvl w:ilvl="0" w:tplc="F5B4C5B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AD410D2"/>
    <w:multiLevelType w:val="hybridMultilevel"/>
    <w:tmpl w:val="B666F9E8"/>
    <w:lvl w:ilvl="0" w:tplc="D1EABCC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D954887"/>
    <w:multiLevelType w:val="hybridMultilevel"/>
    <w:tmpl w:val="2B362816"/>
    <w:lvl w:ilvl="0" w:tplc="91EEC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F588A02" w:tentative="1">
      <w:start w:val="1"/>
      <w:numFmt w:val="lowerLetter"/>
      <w:lvlText w:val="%2."/>
      <w:lvlJc w:val="left"/>
      <w:pPr>
        <w:tabs>
          <w:tab w:val="num" w:pos="1440"/>
        </w:tabs>
        <w:ind w:left="1440" w:hanging="360"/>
      </w:pPr>
    </w:lvl>
    <w:lvl w:ilvl="2" w:tplc="0994D4B4" w:tentative="1">
      <w:start w:val="1"/>
      <w:numFmt w:val="lowerRoman"/>
      <w:lvlText w:val="%3."/>
      <w:lvlJc w:val="right"/>
      <w:pPr>
        <w:tabs>
          <w:tab w:val="num" w:pos="2160"/>
        </w:tabs>
        <w:ind w:left="2160" w:hanging="180"/>
      </w:pPr>
    </w:lvl>
    <w:lvl w:ilvl="3" w:tplc="B538BC16" w:tentative="1">
      <w:start w:val="1"/>
      <w:numFmt w:val="decimal"/>
      <w:lvlText w:val="%4."/>
      <w:lvlJc w:val="left"/>
      <w:pPr>
        <w:tabs>
          <w:tab w:val="num" w:pos="2880"/>
        </w:tabs>
        <w:ind w:left="2880" w:hanging="360"/>
      </w:pPr>
    </w:lvl>
    <w:lvl w:ilvl="4" w:tplc="43FA18F0" w:tentative="1">
      <w:start w:val="1"/>
      <w:numFmt w:val="lowerLetter"/>
      <w:lvlText w:val="%5."/>
      <w:lvlJc w:val="left"/>
      <w:pPr>
        <w:tabs>
          <w:tab w:val="num" w:pos="3600"/>
        </w:tabs>
        <w:ind w:left="3600" w:hanging="360"/>
      </w:pPr>
    </w:lvl>
    <w:lvl w:ilvl="5" w:tplc="1312E528" w:tentative="1">
      <w:start w:val="1"/>
      <w:numFmt w:val="lowerRoman"/>
      <w:lvlText w:val="%6."/>
      <w:lvlJc w:val="right"/>
      <w:pPr>
        <w:tabs>
          <w:tab w:val="num" w:pos="4320"/>
        </w:tabs>
        <w:ind w:left="4320" w:hanging="180"/>
      </w:pPr>
    </w:lvl>
    <w:lvl w:ilvl="6" w:tplc="DC400092" w:tentative="1">
      <w:start w:val="1"/>
      <w:numFmt w:val="decimal"/>
      <w:lvlText w:val="%7."/>
      <w:lvlJc w:val="left"/>
      <w:pPr>
        <w:tabs>
          <w:tab w:val="num" w:pos="5040"/>
        </w:tabs>
        <w:ind w:left="5040" w:hanging="360"/>
      </w:pPr>
    </w:lvl>
    <w:lvl w:ilvl="7" w:tplc="4EB04758" w:tentative="1">
      <w:start w:val="1"/>
      <w:numFmt w:val="lowerLetter"/>
      <w:lvlText w:val="%8."/>
      <w:lvlJc w:val="left"/>
      <w:pPr>
        <w:tabs>
          <w:tab w:val="num" w:pos="5760"/>
        </w:tabs>
        <w:ind w:left="5760" w:hanging="360"/>
      </w:pPr>
    </w:lvl>
    <w:lvl w:ilvl="8" w:tplc="8F983A00" w:tentative="1">
      <w:start w:val="1"/>
      <w:numFmt w:val="lowerRoman"/>
      <w:lvlText w:val="%9."/>
      <w:lvlJc w:val="right"/>
      <w:pPr>
        <w:tabs>
          <w:tab w:val="num" w:pos="6480"/>
        </w:tabs>
        <w:ind w:left="6480" w:hanging="180"/>
      </w:pPr>
    </w:lvl>
  </w:abstractNum>
  <w:abstractNum w:abstractNumId="4" w15:restartNumberingAfterBreak="0">
    <w:nsid w:val="0FF31E4C"/>
    <w:multiLevelType w:val="hybridMultilevel"/>
    <w:tmpl w:val="21B451B6"/>
    <w:lvl w:ilvl="0" w:tplc="15EEB4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4F950DE"/>
    <w:multiLevelType w:val="hybridMultilevel"/>
    <w:tmpl w:val="99D63C96"/>
    <w:lvl w:ilvl="0" w:tplc="3496C2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5EB0D82"/>
    <w:multiLevelType w:val="hybridMultilevel"/>
    <w:tmpl w:val="9348C952"/>
    <w:lvl w:ilvl="0" w:tplc="7B3407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9377A08"/>
    <w:multiLevelType w:val="hybridMultilevel"/>
    <w:tmpl w:val="17045134"/>
    <w:lvl w:ilvl="0" w:tplc="208CEB9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FF12842"/>
    <w:multiLevelType w:val="hybridMultilevel"/>
    <w:tmpl w:val="8CD2F5E4"/>
    <w:lvl w:ilvl="0" w:tplc="DE04CBEC">
      <w:start w:val="1"/>
      <w:numFmt w:val="lowerLetter"/>
      <w:lvlText w:val="(%1)"/>
      <w:lvlJc w:val="left"/>
      <w:pPr>
        <w:ind w:left="1494" w:hanging="360"/>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47A07AE"/>
    <w:multiLevelType w:val="hybridMultilevel"/>
    <w:tmpl w:val="72523742"/>
    <w:lvl w:ilvl="0" w:tplc="009A902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59B639F"/>
    <w:multiLevelType w:val="hybridMultilevel"/>
    <w:tmpl w:val="76C848B6"/>
    <w:lvl w:ilvl="0" w:tplc="F5AC7012">
      <w:start w:val="1"/>
      <w:numFmt w:val="lowerLetter"/>
      <w:lvlText w:val="(%1)"/>
      <w:lvlJc w:val="left"/>
      <w:pPr>
        <w:ind w:left="1494" w:hanging="360"/>
      </w:pPr>
      <w:rPr>
        <w:rFonts w:ascii="Times New Roman" w:hAnsi="Times New Roman" w:cs="Times New Roman"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B8C524D"/>
    <w:multiLevelType w:val="hybridMultilevel"/>
    <w:tmpl w:val="22766F44"/>
    <w:lvl w:ilvl="0" w:tplc="5DE0EB36">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08F148A"/>
    <w:multiLevelType w:val="hybridMultilevel"/>
    <w:tmpl w:val="530A3F7A"/>
    <w:lvl w:ilvl="0" w:tplc="3740F9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10C5E42"/>
    <w:multiLevelType w:val="hybridMultilevel"/>
    <w:tmpl w:val="AFAA9EA4"/>
    <w:lvl w:ilvl="0" w:tplc="F43A1DF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5A24D98"/>
    <w:multiLevelType w:val="hybridMultilevel"/>
    <w:tmpl w:val="9E325D38"/>
    <w:lvl w:ilvl="0" w:tplc="9508D2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8B11FE5"/>
    <w:multiLevelType w:val="hybridMultilevel"/>
    <w:tmpl w:val="57B09372"/>
    <w:lvl w:ilvl="0" w:tplc="7EFC1F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8DB5F69"/>
    <w:multiLevelType w:val="hybridMultilevel"/>
    <w:tmpl w:val="FA4032EC"/>
    <w:lvl w:ilvl="0" w:tplc="CBB0BAC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ACF4EB2"/>
    <w:multiLevelType w:val="hybridMultilevel"/>
    <w:tmpl w:val="CB6C816A"/>
    <w:lvl w:ilvl="0" w:tplc="7C9848D2">
      <w:start w:val="1"/>
      <w:numFmt w:val="bullet"/>
      <w:pStyle w:val="Bullet2G"/>
      <w:lvlText w:val="•"/>
      <w:lvlJc w:val="left"/>
      <w:pPr>
        <w:tabs>
          <w:tab w:val="num" w:pos="2268"/>
        </w:tabs>
        <w:ind w:left="2268" w:hanging="170"/>
      </w:pPr>
      <w:rPr>
        <w:rFonts w:ascii="Times New Roman" w:hAnsi="Times New Roman" w:cs="Times New Roman" w:hint="default"/>
      </w:rPr>
    </w:lvl>
    <w:lvl w:ilvl="1" w:tplc="16E243D8" w:tentative="1">
      <w:start w:val="1"/>
      <w:numFmt w:val="bullet"/>
      <w:lvlText w:val="o"/>
      <w:lvlJc w:val="left"/>
      <w:pPr>
        <w:tabs>
          <w:tab w:val="num" w:pos="3708"/>
        </w:tabs>
        <w:ind w:left="3708" w:hanging="360"/>
      </w:pPr>
      <w:rPr>
        <w:rFonts w:ascii="Courier New" w:hAnsi="Courier New" w:hint="default"/>
      </w:rPr>
    </w:lvl>
    <w:lvl w:ilvl="2" w:tplc="30FC7926" w:tentative="1">
      <w:start w:val="1"/>
      <w:numFmt w:val="bullet"/>
      <w:lvlText w:val=""/>
      <w:lvlJc w:val="left"/>
      <w:pPr>
        <w:tabs>
          <w:tab w:val="num" w:pos="4428"/>
        </w:tabs>
        <w:ind w:left="4428" w:hanging="360"/>
      </w:pPr>
      <w:rPr>
        <w:rFonts w:ascii="Wingdings" w:hAnsi="Wingdings" w:hint="default"/>
      </w:rPr>
    </w:lvl>
    <w:lvl w:ilvl="3" w:tplc="2D22BF1C" w:tentative="1">
      <w:start w:val="1"/>
      <w:numFmt w:val="bullet"/>
      <w:lvlText w:val=""/>
      <w:lvlJc w:val="left"/>
      <w:pPr>
        <w:tabs>
          <w:tab w:val="num" w:pos="5148"/>
        </w:tabs>
        <w:ind w:left="5148" w:hanging="360"/>
      </w:pPr>
      <w:rPr>
        <w:rFonts w:ascii="Symbol" w:hAnsi="Symbol" w:hint="default"/>
      </w:rPr>
    </w:lvl>
    <w:lvl w:ilvl="4" w:tplc="0B505740" w:tentative="1">
      <w:start w:val="1"/>
      <w:numFmt w:val="bullet"/>
      <w:lvlText w:val="o"/>
      <w:lvlJc w:val="left"/>
      <w:pPr>
        <w:tabs>
          <w:tab w:val="num" w:pos="5868"/>
        </w:tabs>
        <w:ind w:left="5868" w:hanging="360"/>
      </w:pPr>
      <w:rPr>
        <w:rFonts w:ascii="Courier New" w:hAnsi="Courier New" w:hint="default"/>
      </w:rPr>
    </w:lvl>
    <w:lvl w:ilvl="5" w:tplc="922877FC" w:tentative="1">
      <w:start w:val="1"/>
      <w:numFmt w:val="bullet"/>
      <w:lvlText w:val=""/>
      <w:lvlJc w:val="left"/>
      <w:pPr>
        <w:tabs>
          <w:tab w:val="num" w:pos="6588"/>
        </w:tabs>
        <w:ind w:left="6588" w:hanging="360"/>
      </w:pPr>
      <w:rPr>
        <w:rFonts w:ascii="Wingdings" w:hAnsi="Wingdings" w:hint="default"/>
      </w:rPr>
    </w:lvl>
    <w:lvl w:ilvl="6" w:tplc="830621FE" w:tentative="1">
      <w:start w:val="1"/>
      <w:numFmt w:val="bullet"/>
      <w:lvlText w:val=""/>
      <w:lvlJc w:val="left"/>
      <w:pPr>
        <w:tabs>
          <w:tab w:val="num" w:pos="7308"/>
        </w:tabs>
        <w:ind w:left="7308" w:hanging="360"/>
      </w:pPr>
      <w:rPr>
        <w:rFonts w:ascii="Symbol" w:hAnsi="Symbol" w:hint="default"/>
      </w:rPr>
    </w:lvl>
    <w:lvl w:ilvl="7" w:tplc="51BE6F5C" w:tentative="1">
      <w:start w:val="1"/>
      <w:numFmt w:val="bullet"/>
      <w:lvlText w:val="o"/>
      <w:lvlJc w:val="left"/>
      <w:pPr>
        <w:tabs>
          <w:tab w:val="num" w:pos="8028"/>
        </w:tabs>
        <w:ind w:left="8028" w:hanging="360"/>
      </w:pPr>
      <w:rPr>
        <w:rFonts w:ascii="Courier New" w:hAnsi="Courier New" w:hint="default"/>
      </w:rPr>
    </w:lvl>
    <w:lvl w:ilvl="8" w:tplc="833C3560"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2B7A28"/>
    <w:multiLevelType w:val="hybridMultilevel"/>
    <w:tmpl w:val="63CC0514"/>
    <w:lvl w:ilvl="0" w:tplc="7B3407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EDD5725"/>
    <w:multiLevelType w:val="hybridMultilevel"/>
    <w:tmpl w:val="F4C253E0"/>
    <w:lvl w:ilvl="0" w:tplc="FDD8ED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BC51073"/>
    <w:multiLevelType w:val="hybridMultilevel"/>
    <w:tmpl w:val="39A26742"/>
    <w:lvl w:ilvl="0" w:tplc="04090001">
      <w:start w:val="1"/>
      <w:numFmt w:val="bullet"/>
      <w:lvlText w:val=""/>
      <w:lvlJc w:val="left"/>
      <w:pPr>
        <w:ind w:left="502"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2F4744"/>
    <w:multiLevelType w:val="hybridMultilevel"/>
    <w:tmpl w:val="A060284A"/>
    <w:lvl w:ilvl="0" w:tplc="009A902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ECA64A7"/>
    <w:multiLevelType w:val="hybridMultilevel"/>
    <w:tmpl w:val="64B019FC"/>
    <w:lvl w:ilvl="0" w:tplc="FF82AFA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24F6E93"/>
    <w:multiLevelType w:val="hybridMultilevel"/>
    <w:tmpl w:val="F76817DA"/>
    <w:lvl w:ilvl="0" w:tplc="DAF0DD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CA746F2"/>
    <w:multiLevelType w:val="hybridMultilevel"/>
    <w:tmpl w:val="25B84B74"/>
    <w:lvl w:ilvl="0" w:tplc="58BC9B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D6A7523"/>
    <w:multiLevelType w:val="hybridMultilevel"/>
    <w:tmpl w:val="16145F18"/>
    <w:lvl w:ilvl="0" w:tplc="6A048CD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5576F3"/>
    <w:multiLevelType w:val="hybridMultilevel"/>
    <w:tmpl w:val="630AE30C"/>
    <w:lvl w:ilvl="0" w:tplc="95B258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546858"/>
    <w:multiLevelType w:val="hybridMultilevel"/>
    <w:tmpl w:val="488C981E"/>
    <w:lvl w:ilvl="0" w:tplc="3168E5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6A17890"/>
    <w:multiLevelType w:val="hybridMultilevel"/>
    <w:tmpl w:val="E79ABD24"/>
    <w:lvl w:ilvl="0" w:tplc="B8A8AB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AD07B2"/>
    <w:multiLevelType w:val="hybridMultilevel"/>
    <w:tmpl w:val="7FEE3222"/>
    <w:lvl w:ilvl="0" w:tplc="D26AD1DE">
      <w:start w:val="1"/>
      <w:numFmt w:val="bullet"/>
      <w:pStyle w:val="Bullet1G"/>
      <w:lvlText w:val="•"/>
      <w:lvlJc w:val="left"/>
      <w:pPr>
        <w:tabs>
          <w:tab w:val="num" w:pos="1701"/>
        </w:tabs>
        <w:ind w:left="1701" w:hanging="170"/>
      </w:pPr>
      <w:rPr>
        <w:rFonts w:ascii="Times New Roman" w:hAnsi="Times New Roman" w:cs="Times New Roman" w:hint="default"/>
      </w:rPr>
    </w:lvl>
    <w:lvl w:ilvl="1" w:tplc="EE4EC10E" w:tentative="1">
      <w:start w:val="1"/>
      <w:numFmt w:val="bullet"/>
      <w:lvlText w:val="o"/>
      <w:lvlJc w:val="left"/>
      <w:pPr>
        <w:tabs>
          <w:tab w:val="num" w:pos="3141"/>
        </w:tabs>
        <w:ind w:left="3141" w:hanging="360"/>
      </w:pPr>
      <w:rPr>
        <w:rFonts w:ascii="Courier New" w:hAnsi="Courier New" w:hint="default"/>
      </w:rPr>
    </w:lvl>
    <w:lvl w:ilvl="2" w:tplc="CE88EE86" w:tentative="1">
      <w:start w:val="1"/>
      <w:numFmt w:val="bullet"/>
      <w:lvlText w:val=""/>
      <w:lvlJc w:val="left"/>
      <w:pPr>
        <w:tabs>
          <w:tab w:val="num" w:pos="3861"/>
        </w:tabs>
        <w:ind w:left="3861" w:hanging="360"/>
      </w:pPr>
      <w:rPr>
        <w:rFonts w:ascii="Wingdings" w:hAnsi="Wingdings" w:hint="default"/>
      </w:rPr>
    </w:lvl>
    <w:lvl w:ilvl="3" w:tplc="2AC4EBC8" w:tentative="1">
      <w:start w:val="1"/>
      <w:numFmt w:val="bullet"/>
      <w:lvlText w:val=""/>
      <w:lvlJc w:val="left"/>
      <w:pPr>
        <w:tabs>
          <w:tab w:val="num" w:pos="4581"/>
        </w:tabs>
        <w:ind w:left="4581" w:hanging="360"/>
      </w:pPr>
      <w:rPr>
        <w:rFonts w:ascii="Symbol" w:hAnsi="Symbol" w:hint="default"/>
      </w:rPr>
    </w:lvl>
    <w:lvl w:ilvl="4" w:tplc="04AA6564" w:tentative="1">
      <w:start w:val="1"/>
      <w:numFmt w:val="bullet"/>
      <w:lvlText w:val="o"/>
      <w:lvlJc w:val="left"/>
      <w:pPr>
        <w:tabs>
          <w:tab w:val="num" w:pos="5301"/>
        </w:tabs>
        <w:ind w:left="5301" w:hanging="360"/>
      </w:pPr>
      <w:rPr>
        <w:rFonts w:ascii="Courier New" w:hAnsi="Courier New" w:hint="default"/>
      </w:rPr>
    </w:lvl>
    <w:lvl w:ilvl="5" w:tplc="25C8EA48" w:tentative="1">
      <w:start w:val="1"/>
      <w:numFmt w:val="bullet"/>
      <w:lvlText w:val=""/>
      <w:lvlJc w:val="left"/>
      <w:pPr>
        <w:tabs>
          <w:tab w:val="num" w:pos="6021"/>
        </w:tabs>
        <w:ind w:left="6021" w:hanging="360"/>
      </w:pPr>
      <w:rPr>
        <w:rFonts w:ascii="Wingdings" w:hAnsi="Wingdings" w:hint="default"/>
      </w:rPr>
    </w:lvl>
    <w:lvl w:ilvl="6" w:tplc="63EA8C7C" w:tentative="1">
      <w:start w:val="1"/>
      <w:numFmt w:val="bullet"/>
      <w:lvlText w:val=""/>
      <w:lvlJc w:val="left"/>
      <w:pPr>
        <w:tabs>
          <w:tab w:val="num" w:pos="6741"/>
        </w:tabs>
        <w:ind w:left="6741" w:hanging="360"/>
      </w:pPr>
      <w:rPr>
        <w:rFonts w:ascii="Symbol" w:hAnsi="Symbol" w:hint="default"/>
      </w:rPr>
    </w:lvl>
    <w:lvl w:ilvl="7" w:tplc="ECD8B8E6" w:tentative="1">
      <w:start w:val="1"/>
      <w:numFmt w:val="bullet"/>
      <w:lvlText w:val="o"/>
      <w:lvlJc w:val="left"/>
      <w:pPr>
        <w:tabs>
          <w:tab w:val="num" w:pos="7461"/>
        </w:tabs>
        <w:ind w:left="7461" w:hanging="360"/>
      </w:pPr>
      <w:rPr>
        <w:rFonts w:ascii="Courier New" w:hAnsi="Courier New" w:hint="default"/>
      </w:rPr>
    </w:lvl>
    <w:lvl w:ilvl="8" w:tplc="C2002818"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1B340AE"/>
    <w:multiLevelType w:val="hybridMultilevel"/>
    <w:tmpl w:val="29563608"/>
    <w:lvl w:ilvl="0" w:tplc="009A9020">
      <w:start w:val="1"/>
      <w:numFmt w:val="lowerLetter"/>
      <w:lvlText w:val="(%1)"/>
      <w:lvlJc w:val="left"/>
      <w:pPr>
        <w:ind w:left="2460" w:hanging="360"/>
      </w:pPr>
      <w:rPr>
        <w:rFonts w:hint="default"/>
        <w:b w:val="0"/>
      </w:rPr>
    </w:lvl>
    <w:lvl w:ilvl="1" w:tplc="08090019" w:tentative="1">
      <w:start w:val="1"/>
      <w:numFmt w:val="lowerLetter"/>
      <w:lvlText w:val="%2."/>
      <w:lvlJc w:val="left"/>
      <w:pPr>
        <w:ind w:left="3180" w:hanging="360"/>
      </w:pPr>
    </w:lvl>
    <w:lvl w:ilvl="2" w:tplc="0809001B" w:tentative="1">
      <w:start w:val="1"/>
      <w:numFmt w:val="lowerRoman"/>
      <w:lvlText w:val="%3."/>
      <w:lvlJc w:val="right"/>
      <w:pPr>
        <w:ind w:left="3900" w:hanging="180"/>
      </w:pPr>
    </w:lvl>
    <w:lvl w:ilvl="3" w:tplc="0809000F" w:tentative="1">
      <w:start w:val="1"/>
      <w:numFmt w:val="decimal"/>
      <w:lvlText w:val="%4."/>
      <w:lvlJc w:val="left"/>
      <w:pPr>
        <w:ind w:left="4620" w:hanging="360"/>
      </w:pPr>
    </w:lvl>
    <w:lvl w:ilvl="4" w:tplc="08090019" w:tentative="1">
      <w:start w:val="1"/>
      <w:numFmt w:val="lowerLetter"/>
      <w:lvlText w:val="%5."/>
      <w:lvlJc w:val="left"/>
      <w:pPr>
        <w:ind w:left="5340" w:hanging="360"/>
      </w:pPr>
    </w:lvl>
    <w:lvl w:ilvl="5" w:tplc="0809001B" w:tentative="1">
      <w:start w:val="1"/>
      <w:numFmt w:val="lowerRoman"/>
      <w:lvlText w:val="%6."/>
      <w:lvlJc w:val="right"/>
      <w:pPr>
        <w:ind w:left="6060" w:hanging="180"/>
      </w:pPr>
    </w:lvl>
    <w:lvl w:ilvl="6" w:tplc="0809000F" w:tentative="1">
      <w:start w:val="1"/>
      <w:numFmt w:val="decimal"/>
      <w:lvlText w:val="%7."/>
      <w:lvlJc w:val="left"/>
      <w:pPr>
        <w:ind w:left="6780" w:hanging="360"/>
      </w:pPr>
    </w:lvl>
    <w:lvl w:ilvl="7" w:tplc="08090019" w:tentative="1">
      <w:start w:val="1"/>
      <w:numFmt w:val="lowerLetter"/>
      <w:lvlText w:val="%8."/>
      <w:lvlJc w:val="left"/>
      <w:pPr>
        <w:ind w:left="7500" w:hanging="360"/>
      </w:pPr>
    </w:lvl>
    <w:lvl w:ilvl="8" w:tplc="0809001B" w:tentative="1">
      <w:start w:val="1"/>
      <w:numFmt w:val="lowerRoman"/>
      <w:lvlText w:val="%9."/>
      <w:lvlJc w:val="right"/>
      <w:pPr>
        <w:ind w:left="8220" w:hanging="180"/>
      </w:pPr>
    </w:lvl>
  </w:abstractNum>
  <w:abstractNum w:abstractNumId="32" w15:restartNumberingAfterBreak="0">
    <w:nsid w:val="721D13C5"/>
    <w:multiLevelType w:val="hybridMultilevel"/>
    <w:tmpl w:val="E77C11A2"/>
    <w:lvl w:ilvl="0" w:tplc="0D363E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7304B31"/>
    <w:multiLevelType w:val="hybridMultilevel"/>
    <w:tmpl w:val="27B259C8"/>
    <w:lvl w:ilvl="0" w:tplc="99CC90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D02604"/>
    <w:multiLevelType w:val="hybridMultilevel"/>
    <w:tmpl w:val="98323236"/>
    <w:lvl w:ilvl="0" w:tplc="945AA618">
      <w:start w:val="1"/>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36" w15:restartNumberingAfterBreak="0">
    <w:nsid w:val="7A543E72"/>
    <w:multiLevelType w:val="hybridMultilevel"/>
    <w:tmpl w:val="57B09372"/>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7" w15:restartNumberingAfterBreak="0">
    <w:nsid w:val="7D200874"/>
    <w:multiLevelType w:val="hybridMultilevel"/>
    <w:tmpl w:val="F05EF638"/>
    <w:lvl w:ilvl="0" w:tplc="5B52B6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AA1D51"/>
    <w:multiLevelType w:val="hybridMultilevel"/>
    <w:tmpl w:val="B8CE3822"/>
    <w:lvl w:ilvl="0" w:tplc="92740E7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805809407">
    <w:abstractNumId w:val="30"/>
  </w:num>
  <w:num w:numId="2" w16cid:durableId="2009749910">
    <w:abstractNumId w:val="17"/>
  </w:num>
  <w:num w:numId="3" w16cid:durableId="301809561">
    <w:abstractNumId w:val="3"/>
  </w:num>
  <w:num w:numId="4" w16cid:durableId="4406046">
    <w:abstractNumId w:val="27"/>
  </w:num>
  <w:num w:numId="5" w16cid:durableId="1011103394">
    <w:abstractNumId w:val="34"/>
  </w:num>
  <w:num w:numId="6" w16cid:durableId="1004549060">
    <w:abstractNumId w:val="5"/>
  </w:num>
  <w:num w:numId="7" w16cid:durableId="1148322284">
    <w:abstractNumId w:val="37"/>
  </w:num>
  <w:num w:numId="8" w16cid:durableId="2108306613">
    <w:abstractNumId w:val="4"/>
  </w:num>
  <w:num w:numId="9" w16cid:durableId="1862741857">
    <w:abstractNumId w:val="12"/>
  </w:num>
  <w:num w:numId="10" w16cid:durableId="1945459583">
    <w:abstractNumId w:val="24"/>
  </w:num>
  <w:num w:numId="11" w16cid:durableId="874805415">
    <w:abstractNumId w:val="25"/>
  </w:num>
  <w:num w:numId="12" w16cid:durableId="394089746">
    <w:abstractNumId w:val="16"/>
  </w:num>
  <w:num w:numId="13" w16cid:durableId="1604805470">
    <w:abstractNumId w:val="38"/>
  </w:num>
  <w:num w:numId="14" w16cid:durableId="921640205">
    <w:abstractNumId w:val="15"/>
  </w:num>
  <w:num w:numId="15" w16cid:durableId="1003817374">
    <w:abstractNumId w:val="33"/>
  </w:num>
  <w:num w:numId="16" w16cid:durableId="563881623">
    <w:abstractNumId w:val="18"/>
  </w:num>
  <w:num w:numId="17" w16cid:durableId="53430557">
    <w:abstractNumId w:val="10"/>
  </w:num>
  <w:num w:numId="18" w16cid:durableId="555315193">
    <w:abstractNumId w:val="0"/>
  </w:num>
  <w:num w:numId="19" w16cid:durableId="1781024072">
    <w:abstractNumId w:val="13"/>
  </w:num>
  <w:num w:numId="20" w16cid:durableId="1167860691">
    <w:abstractNumId w:val="26"/>
  </w:num>
  <w:num w:numId="21" w16cid:durableId="611858474">
    <w:abstractNumId w:val="20"/>
  </w:num>
  <w:num w:numId="22" w16cid:durableId="1576551527">
    <w:abstractNumId w:val="22"/>
  </w:num>
  <w:num w:numId="23" w16cid:durableId="1847481133">
    <w:abstractNumId w:val="29"/>
  </w:num>
  <w:num w:numId="24" w16cid:durableId="456535396">
    <w:abstractNumId w:val="8"/>
  </w:num>
  <w:num w:numId="25" w16cid:durableId="260571323">
    <w:abstractNumId w:val="7"/>
  </w:num>
  <w:num w:numId="26" w16cid:durableId="2066486917">
    <w:abstractNumId w:val="28"/>
  </w:num>
  <w:num w:numId="27" w16cid:durableId="148988668">
    <w:abstractNumId w:val="23"/>
  </w:num>
  <w:num w:numId="28" w16cid:durableId="1281692056">
    <w:abstractNumId w:val="2"/>
  </w:num>
  <w:num w:numId="29" w16cid:durableId="1241328122">
    <w:abstractNumId w:val="1"/>
  </w:num>
  <w:num w:numId="30" w16cid:durableId="783227486">
    <w:abstractNumId w:val="14"/>
  </w:num>
  <w:num w:numId="31" w16cid:durableId="385372267">
    <w:abstractNumId w:val="32"/>
  </w:num>
  <w:num w:numId="32" w16cid:durableId="1443300529">
    <w:abstractNumId w:val="19"/>
  </w:num>
  <w:num w:numId="33" w16cid:durableId="151455353">
    <w:abstractNumId w:val="11"/>
  </w:num>
  <w:num w:numId="34" w16cid:durableId="1537933843">
    <w:abstractNumId w:val="36"/>
  </w:num>
  <w:num w:numId="35" w16cid:durableId="1254432711">
    <w:abstractNumId w:val="6"/>
  </w:num>
  <w:num w:numId="36" w16cid:durableId="153497528">
    <w:abstractNumId w:val="35"/>
  </w:num>
  <w:num w:numId="37" w16cid:durableId="914626927">
    <w:abstractNumId w:val="31"/>
  </w:num>
  <w:num w:numId="38" w16cid:durableId="919407007">
    <w:abstractNumId w:val="21"/>
  </w:num>
  <w:num w:numId="39" w16cid:durableId="2668605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C"/>
    <w:rsid w:val="00003FC6"/>
    <w:rsid w:val="0001001C"/>
    <w:rsid w:val="000338B0"/>
    <w:rsid w:val="00040FC9"/>
    <w:rsid w:val="00043DE8"/>
    <w:rsid w:val="00047C91"/>
    <w:rsid w:val="00050D6B"/>
    <w:rsid w:val="00052F26"/>
    <w:rsid w:val="00054319"/>
    <w:rsid w:val="00057CCE"/>
    <w:rsid w:val="0006130D"/>
    <w:rsid w:val="000663F9"/>
    <w:rsid w:val="000706B1"/>
    <w:rsid w:val="0007650D"/>
    <w:rsid w:val="000842FA"/>
    <w:rsid w:val="000933D2"/>
    <w:rsid w:val="000943BF"/>
    <w:rsid w:val="00096DD4"/>
    <w:rsid w:val="000A5B98"/>
    <w:rsid w:val="000B16FF"/>
    <w:rsid w:val="000B1BE4"/>
    <w:rsid w:val="000B282E"/>
    <w:rsid w:val="000B4041"/>
    <w:rsid w:val="000B7262"/>
    <w:rsid w:val="000C0D76"/>
    <w:rsid w:val="000C5ED0"/>
    <w:rsid w:val="000C7CE0"/>
    <w:rsid w:val="000D04F2"/>
    <w:rsid w:val="000D2945"/>
    <w:rsid w:val="000D3DCC"/>
    <w:rsid w:val="000F3B3C"/>
    <w:rsid w:val="000F6C22"/>
    <w:rsid w:val="00107590"/>
    <w:rsid w:val="0012643C"/>
    <w:rsid w:val="001355B8"/>
    <w:rsid w:val="001355E9"/>
    <w:rsid w:val="00144BB5"/>
    <w:rsid w:val="00153299"/>
    <w:rsid w:val="00153348"/>
    <w:rsid w:val="0015769B"/>
    <w:rsid w:val="00160D33"/>
    <w:rsid w:val="00164BCF"/>
    <w:rsid w:val="00164D13"/>
    <w:rsid w:val="00166DBB"/>
    <w:rsid w:val="00183460"/>
    <w:rsid w:val="00191220"/>
    <w:rsid w:val="00196378"/>
    <w:rsid w:val="001A6E64"/>
    <w:rsid w:val="001B0490"/>
    <w:rsid w:val="001B1644"/>
    <w:rsid w:val="001C0A91"/>
    <w:rsid w:val="001C691D"/>
    <w:rsid w:val="001D0020"/>
    <w:rsid w:val="001D49A5"/>
    <w:rsid w:val="001D70BC"/>
    <w:rsid w:val="001D726C"/>
    <w:rsid w:val="001E01FB"/>
    <w:rsid w:val="001E2647"/>
    <w:rsid w:val="001F6179"/>
    <w:rsid w:val="00200271"/>
    <w:rsid w:val="00201F49"/>
    <w:rsid w:val="0020217E"/>
    <w:rsid w:val="00204F85"/>
    <w:rsid w:val="00210F24"/>
    <w:rsid w:val="00212853"/>
    <w:rsid w:val="002211D1"/>
    <w:rsid w:val="00222182"/>
    <w:rsid w:val="0023149C"/>
    <w:rsid w:val="00241B22"/>
    <w:rsid w:val="002451A1"/>
    <w:rsid w:val="0025047E"/>
    <w:rsid w:val="002525FA"/>
    <w:rsid w:val="00260336"/>
    <w:rsid w:val="00263ABC"/>
    <w:rsid w:val="00270883"/>
    <w:rsid w:val="00277C28"/>
    <w:rsid w:val="00281CA1"/>
    <w:rsid w:val="002846B8"/>
    <w:rsid w:val="002857C2"/>
    <w:rsid w:val="00285E3C"/>
    <w:rsid w:val="002972E4"/>
    <w:rsid w:val="002B2785"/>
    <w:rsid w:val="002B29DB"/>
    <w:rsid w:val="002B3DF3"/>
    <w:rsid w:val="002C46F5"/>
    <w:rsid w:val="002C5FE8"/>
    <w:rsid w:val="002C6C30"/>
    <w:rsid w:val="002D1BB0"/>
    <w:rsid w:val="002E06CA"/>
    <w:rsid w:val="002E2289"/>
    <w:rsid w:val="002F364D"/>
    <w:rsid w:val="0031410F"/>
    <w:rsid w:val="00320C9F"/>
    <w:rsid w:val="00324CB1"/>
    <w:rsid w:val="00331037"/>
    <w:rsid w:val="00342952"/>
    <w:rsid w:val="003559E0"/>
    <w:rsid w:val="003604EA"/>
    <w:rsid w:val="003630DC"/>
    <w:rsid w:val="00364510"/>
    <w:rsid w:val="00370669"/>
    <w:rsid w:val="0037322F"/>
    <w:rsid w:val="0037553A"/>
    <w:rsid w:val="00376DD3"/>
    <w:rsid w:val="003777B7"/>
    <w:rsid w:val="003A7BA0"/>
    <w:rsid w:val="003B1892"/>
    <w:rsid w:val="003B397F"/>
    <w:rsid w:val="003B5F4F"/>
    <w:rsid w:val="003C569C"/>
    <w:rsid w:val="003C6BC1"/>
    <w:rsid w:val="003D1299"/>
    <w:rsid w:val="003D58A2"/>
    <w:rsid w:val="003D764C"/>
    <w:rsid w:val="003E181E"/>
    <w:rsid w:val="003F29D0"/>
    <w:rsid w:val="003F5F07"/>
    <w:rsid w:val="003F6729"/>
    <w:rsid w:val="00404570"/>
    <w:rsid w:val="00405445"/>
    <w:rsid w:val="00407D07"/>
    <w:rsid w:val="00412105"/>
    <w:rsid w:val="0043285E"/>
    <w:rsid w:val="00436332"/>
    <w:rsid w:val="00441050"/>
    <w:rsid w:val="00443409"/>
    <w:rsid w:val="00446B78"/>
    <w:rsid w:val="00451376"/>
    <w:rsid w:val="0045739A"/>
    <w:rsid w:val="0046064F"/>
    <w:rsid w:val="00461260"/>
    <w:rsid w:val="00462E3A"/>
    <w:rsid w:val="00463A6F"/>
    <w:rsid w:val="00466A32"/>
    <w:rsid w:val="00466E4E"/>
    <w:rsid w:val="004675EC"/>
    <w:rsid w:val="004748E2"/>
    <w:rsid w:val="00475E9C"/>
    <w:rsid w:val="00477045"/>
    <w:rsid w:val="004774F1"/>
    <w:rsid w:val="004868BB"/>
    <w:rsid w:val="004906D6"/>
    <w:rsid w:val="00494D7E"/>
    <w:rsid w:val="00494D9A"/>
    <w:rsid w:val="00495D60"/>
    <w:rsid w:val="004979CB"/>
    <w:rsid w:val="004A6A2E"/>
    <w:rsid w:val="004A7973"/>
    <w:rsid w:val="004B08D9"/>
    <w:rsid w:val="004B6924"/>
    <w:rsid w:val="004C05D0"/>
    <w:rsid w:val="004C2A2F"/>
    <w:rsid w:val="004D0C6E"/>
    <w:rsid w:val="004D3A04"/>
    <w:rsid w:val="004E0A29"/>
    <w:rsid w:val="004E4090"/>
    <w:rsid w:val="004E759A"/>
    <w:rsid w:val="004F4803"/>
    <w:rsid w:val="004F6327"/>
    <w:rsid w:val="00501028"/>
    <w:rsid w:val="005060BF"/>
    <w:rsid w:val="00506C49"/>
    <w:rsid w:val="0053628D"/>
    <w:rsid w:val="0054399C"/>
    <w:rsid w:val="00547624"/>
    <w:rsid w:val="00547690"/>
    <w:rsid w:val="0055505F"/>
    <w:rsid w:val="00560209"/>
    <w:rsid w:val="005774B3"/>
    <w:rsid w:val="00582056"/>
    <w:rsid w:val="00586A07"/>
    <w:rsid w:val="005A1848"/>
    <w:rsid w:val="005A3719"/>
    <w:rsid w:val="005A76A4"/>
    <w:rsid w:val="005B5C6B"/>
    <w:rsid w:val="005B5C89"/>
    <w:rsid w:val="005B664F"/>
    <w:rsid w:val="005E653D"/>
    <w:rsid w:val="005E7BFC"/>
    <w:rsid w:val="005F4379"/>
    <w:rsid w:val="005F5E81"/>
    <w:rsid w:val="006071F2"/>
    <w:rsid w:val="0060782D"/>
    <w:rsid w:val="00612EE8"/>
    <w:rsid w:val="0061327C"/>
    <w:rsid w:val="00615EFB"/>
    <w:rsid w:val="006164A8"/>
    <w:rsid w:val="00617D90"/>
    <w:rsid w:val="00623BB2"/>
    <w:rsid w:val="00624D39"/>
    <w:rsid w:val="006256D9"/>
    <w:rsid w:val="006314F7"/>
    <w:rsid w:val="00652B23"/>
    <w:rsid w:val="00656789"/>
    <w:rsid w:val="0065740D"/>
    <w:rsid w:val="0066430B"/>
    <w:rsid w:val="00670F38"/>
    <w:rsid w:val="0067187B"/>
    <w:rsid w:val="006840D3"/>
    <w:rsid w:val="006863DC"/>
    <w:rsid w:val="006904D0"/>
    <w:rsid w:val="00691877"/>
    <w:rsid w:val="00692444"/>
    <w:rsid w:val="006A15A9"/>
    <w:rsid w:val="006A39E9"/>
    <w:rsid w:val="006A48A4"/>
    <w:rsid w:val="006B0657"/>
    <w:rsid w:val="006C00DD"/>
    <w:rsid w:val="006C528A"/>
    <w:rsid w:val="006E4CCC"/>
    <w:rsid w:val="006F418E"/>
    <w:rsid w:val="0070436A"/>
    <w:rsid w:val="00705071"/>
    <w:rsid w:val="007074A1"/>
    <w:rsid w:val="007132BC"/>
    <w:rsid w:val="00714652"/>
    <w:rsid w:val="00715A11"/>
    <w:rsid w:val="0071747D"/>
    <w:rsid w:val="00722DBC"/>
    <w:rsid w:val="007269B3"/>
    <w:rsid w:val="00730196"/>
    <w:rsid w:val="00741328"/>
    <w:rsid w:val="00741C7A"/>
    <w:rsid w:val="007476A2"/>
    <w:rsid w:val="00751147"/>
    <w:rsid w:val="00752E50"/>
    <w:rsid w:val="00762EF8"/>
    <w:rsid w:val="00766114"/>
    <w:rsid w:val="007706D9"/>
    <w:rsid w:val="007722EF"/>
    <w:rsid w:val="00787E3E"/>
    <w:rsid w:val="0079037C"/>
    <w:rsid w:val="00792767"/>
    <w:rsid w:val="007935D3"/>
    <w:rsid w:val="007A0B7B"/>
    <w:rsid w:val="007B4EFD"/>
    <w:rsid w:val="007C3408"/>
    <w:rsid w:val="007C4ECF"/>
    <w:rsid w:val="007D0201"/>
    <w:rsid w:val="007D186A"/>
    <w:rsid w:val="007D1B90"/>
    <w:rsid w:val="007D1C89"/>
    <w:rsid w:val="007D44A2"/>
    <w:rsid w:val="007D4B27"/>
    <w:rsid w:val="007E2137"/>
    <w:rsid w:val="007E7CBE"/>
    <w:rsid w:val="007F15D7"/>
    <w:rsid w:val="007F1CDF"/>
    <w:rsid w:val="008002B9"/>
    <w:rsid w:val="00803C38"/>
    <w:rsid w:val="00811BC8"/>
    <w:rsid w:val="00813A40"/>
    <w:rsid w:val="0081544E"/>
    <w:rsid w:val="00820274"/>
    <w:rsid w:val="00821375"/>
    <w:rsid w:val="0082208A"/>
    <w:rsid w:val="00825836"/>
    <w:rsid w:val="00830392"/>
    <w:rsid w:val="00845FF3"/>
    <w:rsid w:val="00850843"/>
    <w:rsid w:val="00850B4A"/>
    <w:rsid w:val="008604B1"/>
    <w:rsid w:val="008620EC"/>
    <w:rsid w:val="00862750"/>
    <w:rsid w:val="008762AD"/>
    <w:rsid w:val="00883C39"/>
    <w:rsid w:val="00883E13"/>
    <w:rsid w:val="00884618"/>
    <w:rsid w:val="00893080"/>
    <w:rsid w:val="008931CC"/>
    <w:rsid w:val="008A1F0B"/>
    <w:rsid w:val="008B0C58"/>
    <w:rsid w:val="008B45C5"/>
    <w:rsid w:val="008B6614"/>
    <w:rsid w:val="008C0BBD"/>
    <w:rsid w:val="008C12AE"/>
    <w:rsid w:val="008C2FB1"/>
    <w:rsid w:val="008C69AC"/>
    <w:rsid w:val="008D1476"/>
    <w:rsid w:val="008D50E8"/>
    <w:rsid w:val="008D63F9"/>
    <w:rsid w:val="008D67C7"/>
    <w:rsid w:val="008E0262"/>
    <w:rsid w:val="00904D98"/>
    <w:rsid w:val="009050DE"/>
    <w:rsid w:val="00905328"/>
    <w:rsid w:val="00905C38"/>
    <w:rsid w:val="00906E61"/>
    <w:rsid w:val="0091052F"/>
    <w:rsid w:val="00914939"/>
    <w:rsid w:val="0091494E"/>
    <w:rsid w:val="00917520"/>
    <w:rsid w:val="00917AF4"/>
    <w:rsid w:val="0092679E"/>
    <w:rsid w:val="00927EB1"/>
    <w:rsid w:val="00931A74"/>
    <w:rsid w:val="009338D6"/>
    <w:rsid w:val="00943177"/>
    <w:rsid w:val="00945CE1"/>
    <w:rsid w:val="00946496"/>
    <w:rsid w:val="00946DC3"/>
    <w:rsid w:val="00962C1C"/>
    <w:rsid w:val="00963C18"/>
    <w:rsid w:val="009665B5"/>
    <w:rsid w:val="009732DE"/>
    <w:rsid w:val="00974FEC"/>
    <w:rsid w:val="00983DD0"/>
    <w:rsid w:val="00987362"/>
    <w:rsid w:val="009908C7"/>
    <w:rsid w:val="00990C23"/>
    <w:rsid w:val="00994461"/>
    <w:rsid w:val="00995240"/>
    <w:rsid w:val="00995B32"/>
    <w:rsid w:val="009A3104"/>
    <w:rsid w:val="009C14B7"/>
    <w:rsid w:val="009C1781"/>
    <w:rsid w:val="009C4778"/>
    <w:rsid w:val="009C573D"/>
    <w:rsid w:val="009D1BE3"/>
    <w:rsid w:val="009E550A"/>
    <w:rsid w:val="009E7B7A"/>
    <w:rsid w:val="009F5E17"/>
    <w:rsid w:val="00A05B07"/>
    <w:rsid w:val="00A144CC"/>
    <w:rsid w:val="00A16541"/>
    <w:rsid w:val="00A24178"/>
    <w:rsid w:val="00A333AA"/>
    <w:rsid w:val="00A35CC8"/>
    <w:rsid w:val="00A35E49"/>
    <w:rsid w:val="00A360F5"/>
    <w:rsid w:val="00A4150C"/>
    <w:rsid w:val="00A41B4F"/>
    <w:rsid w:val="00A42026"/>
    <w:rsid w:val="00A441B8"/>
    <w:rsid w:val="00A44383"/>
    <w:rsid w:val="00A449D8"/>
    <w:rsid w:val="00A5153B"/>
    <w:rsid w:val="00A51BE5"/>
    <w:rsid w:val="00A51F4B"/>
    <w:rsid w:val="00A6501F"/>
    <w:rsid w:val="00A6550A"/>
    <w:rsid w:val="00A72C18"/>
    <w:rsid w:val="00A7411E"/>
    <w:rsid w:val="00A761D5"/>
    <w:rsid w:val="00A82757"/>
    <w:rsid w:val="00A85B35"/>
    <w:rsid w:val="00A933C5"/>
    <w:rsid w:val="00A93D66"/>
    <w:rsid w:val="00AA6B58"/>
    <w:rsid w:val="00AB7B5F"/>
    <w:rsid w:val="00AC2EFC"/>
    <w:rsid w:val="00AC48BF"/>
    <w:rsid w:val="00AD041F"/>
    <w:rsid w:val="00AD0604"/>
    <w:rsid w:val="00AD27D0"/>
    <w:rsid w:val="00AD2B2E"/>
    <w:rsid w:val="00AE12B5"/>
    <w:rsid w:val="00AE1E62"/>
    <w:rsid w:val="00AE6356"/>
    <w:rsid w:val="00AF768A"/>
    <w:rsid w:val="00B06EA1"/>
    <w:rsid w:val="00B121BC"/>
    <w:rsid w:val="00B12890"/>
    <w:rsid w:val="00B161E4"/>
    <w:rsid w:val="00B264DD"/>
    <w:rsid w:val="00B30AFC"/>
    <w:rsid w:val="00B30B1B"/>
    <w:rsid w:val="00B35E50"/>
    <w:rsid w:val="00B35EB4"/>
    <w:rsid w:val="00B36175"/>
    <w:rsid w:val="00B37449"/>
    <w:rsid w:val="00B52686"/>
    <w:rsid w:val="00B54943"/>
    <w:rsid w:val="00B573E2"/>
    <w:rsid w:val="00B604E2"/>
    <w:rsid w:val="00B65430"/>
    <w:rsid w:val="00B669D6"/>
    <w:rsid w:val="00B674A0"/>
    <w:rsid w:val="00B679B7"/>
    <w:rsid w:val="00B70FAE"/>
    <w:rsid w:val="00B8102F"/>
    <w:rsid w:val="00B82779"/>
    <w:rsid w:val="00B97898"/>
    <w:rsid w:val="00BA1091"/>
    <w:rsid w:val="00BA1362"/>
    <w:rsid w:val="00BA618A"/>
    <w:rsid w:val="00BB399C"/>
    <w:rsid w:val="00BB550F"/>
    <w:rsid w:val="00BC0126"/>
    <w:rsid w:val="00BD4FC8"/>
    <w:rsid w:val="00BD6576"/>
    <w:rsid w:val="00BE0C78"/>
    <w:rsid w:val="00BF2583"/>
    <w:rsid w:val="00BF5F10"/>
    <w:rsid w:val="00BF6158"/>
    <w:rsid w:val="00BF7362"/>
    <w:rsid w:val="00C04688"/>
    <w:rsid w:val="00C22349"/>
    <w:rsid w:val="00C36B2D"/>
    <w:rsid w:val="00C37AD7"/>
    <w:rsid w:val="00C41149"/>
    <w:rsid w:val="00C42C0B"/>
    <w:rsid w:val="00C46F7B"/>
    <w:rsid w:val="00C52208"/>
    <w:rsid w:val="00C61F4A"/>
    <w:rsid w:val="00C74498"/>
    <w:rsid w:val="00C779E5"/>
    <w:rsid w:val="00C8188B"/>
    <w:rsid w:val="00C84899"/>
    <w:rsid w:val="00C93DD8"/>
    <w:rsid w:val="00C947D8"/>
    <w:rsid w:val="00CA3714"/>
    <w:rsid w:val="00CA6ADE"/>
    <w:rsid w:val="00CB204C"/>
    <w:rsid w:val="00CB42F7"/>
    <w:rsid w:val="00CB5C4E"/>
    <w:rsid w:val="00CD0F16"/>
    <w:rsid w:val="00CD2C4C"/>
    <w:rsid w:val="00CE4DC7"/>
    <w:rsid w:val="00CF0703"/>
    <w:rsid w:val="00CF4F97"/>
    <w:rsid w:val="00D06A24"/>
    <w:rsid w:val="00D07E95"/>
    <w:rsid w:val="00D20E09"/>
    <w:rsid w:val="00D21318"/>
    <w:rsid w:val="00D227E3"/>
    <w:rsid w:val="00D23A95"/>
    <w:rsid w:val="00D32501"/>
    <w:rsid w:val="00D32954"/>
    <w:rsid w:val="00D32BB8"/>
    <w:rsid w:val="00D341CB"/>
    <w:rsid w:val="00D409BB"/>
    <w:rsid w:val="00D40B2E"/>
    <w:rsid w:val="00D41968"/>
    <w:rsid w:val="00D4430E"/>
    <w:rsid w:val="00D44A6E"/>
    <w:rsid w:val="00D531DB"/>
    <w:rsid w:val="00D53ADA"/>
    <w:rsid w:val="00D56455"/>
    <w:rsid w:val="00D577C5"/>
    <w:rsid w:val="00D66E82"/>
    <w:rsid w:val="00D67692"/>
    <w:rsid w:val="00D67D7E"/>
    <w:rsid w:val="00D70690"/>
    <w:rsid w:val="00D74B28"/>
    <w:rsid w:val="00D77A88"/>
    <w:rsid w:val="00D840B0"/>
    <w:rsid w:val="00D841A2"/>
    <w:rsid w:val="00D85C86"/>
    <w:rsid w:val="00D97DC8"/>
    <w:rsid w:val="00DA40C3"/>
    <w:rsid w:val="00DB1743"/>
    <w:rsid w:val="00DB190D"/>
    <w:rsid w:val="00DB1FC2"/>
    <w:rsid w:val="00DC01D5"/>
    <w:rsid w:val="00DD1990"/>
    <w:rsid w:val="00DD4CBE"/>
    <w:rsid w:val="00DE4C9F"/>
    <w:rsid w:val="00E03826"/>
    <w:rsid w:val="00E138E2"/>
    <w:rsid w:val="00E13AD4"/>
    <w:rsid w:val="00E13D85"/>
    <w:rsid w:val="00E16D8C"/>
    <w:rsid w:val="00E22EB7"/>
    <w:rsid w:val="00E30C31"/>
    <w:rsid w:val="00E341D0"/>
    <w:rsid w:val="00E3564D"/>
    <w:rsid w:val="00E4280D"/>
    <w:rsid w:val="00E45D80"/>
    <w:rsid w:val="00E45DAC"/>
    <w:rsid w:val="00E47EF6"/>
    <w:rsid w:val="00E57B5D"/>
    <w:rsid w:val="00E62B76"/>
    <w:rsid w:val="00E62DA0"/>
    <w:rsid w:val="00E7102C"/>
    <w:rsid w:val="00E727FB"/>
    <w:rsid w:val="00E81690"/>
    <w:rsid w:val="00E93AFD"/>
    <w:rsid w:val="00EA4D78"/>
    <w:rsid w:val="00EA51A8"/>
    <w:rsid w:val="00EB3BDB"/>
    <w:rsid w:val="00EC3932"/>
    <w:rsid w:val="00ED49AF"/>
    <w:rsid w:val="00ED773B"/>
    <w:rsid w:val="00EE002C"/>
    <w:rsid w:val="00EE069D"/>
    <w:rsid w:val="00EE5174"/>
    <w:rsid w:val="00EF425D"/>
    <w:rsid w:val="00EF4797"/>
    <w:rsid w:val="00F0780D"/>
    <w:rsid w:val="00F11D0F"/>
    <w:rsid w:val="00F162FD"/>
    <w:rsid w:val="00F17D53"/>
    <w:rsid w:val="00F22B34"/>
    <w:rsid w:val="00F300B1"/>
    <w:rsid w:val="00F30482"/>
    <w:rsid w:val="00F31F92"/>
    <w:rsid w:val="00F37720"/>
    <w:rsid w:val="00F42FD0"/>
    <w:rsid w:val="00F5287B"/>
    <w:rsid w:val="00F52BE1"/>
    <w:rsid w:val="00F56F6A"/>
    <w:rsid w:val="00F66CC7"/>
    <w:rsid w:val="00F700C3"/>
    <w:rsid w:val="00F76098"/>
    <w:rsid w:val="00F874C5"/>
    <w:rsid w:val="00F927A1"/>
    <w:rsid w:val="00F942B6"/>
    <w:rsid w:val="00FA0B4C"/>
    <w:rsid w:val="00FA6573"/>
    <w:rsid w:val="00FB4C64"/>
    <w:rsid w:val="00FB5BFF"/>
    <w:rsid w:val="00FC140C"/>
    <w:rsid w:val="00FC4C42"/>
    <w:rsid w:val="00FD144E"/>
    <w:rsid w:val="00FD504C"/>
    <w:rsid w:val="00FD58B5"/>
    <w:rsid w:val="00FD7C22"/>
    <w:rsid w:val="00FF17AD"/>
    <w:rsid w:val="00FF3A8B"/>
    <w:rsid w:val="00FF3F63"/>
    <w:rsid w:val="00FF71D5"/>
    <w:rsid w:val="00FF7EA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EF919"/>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rsid w:val="005E65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stParagraph">
    <w:name w:val="List Paragraph"/>
    <w:basedOn w:val="Normal"/>
    <w:uiPriority w:val="34"/>
    <w:qFormat/>
    <w:rsid w:val="005E653D"/>
    <w:pPr>
      <w:suppressAutoHyphens w:val="0"/>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UnresolvedMention1">
    <w:name w:val="Unresolved Mention1"/>
    <w:basedOn w:val="DefaultParagraphFont"/>
    <w:uiPriority w:val="99"/>
    <w:semiHidden/>
    <w:unhideWhenUsed/>
    <w:rsid w:val="0015769B"/>
    <w:rPr>
      <w:color w:val="605E5C"/>
      <w:shd w:val="clear" w:color="auto" w:fill="E1DFDD"/>
    </w:rPr>
  </w:style>
  <w:style w:type="character" w:styleId="CommentReference">
    <w:name w:val="annotation reference"/>
    <w:basedOn w:val="DefaultParagraphFont"/>
    <w:uiPriority w:val="99"/>
    <w:semiHidden/>
    <w:unhideWhenUsed/>
    <w:rsid w:val="002D1BB0"/>
    <w:rPr>
      <w:sz w:val="16"/>
      <w:szCs w:val="16"/>
    </w:rPr>
  </w:style>
  <w:style w:type="paragraph" w:styleId="CommentText">
    <w:name w:val="annotation text"/>
    <w:basedOn w:val="Normal"/>
    <w:link w:val="CommentTextChar"/>
    <w:uiPriority w:val="99"/>
    <w:unhideWhenUsed/>
    <w:rsid w:val="002D1BB0"/>
    <w:pPr>
      <w:spacing w:line="240" w:lineRule="auto"/>
    </w:pPr>
  </w:style>
  <w:style w:type="character" w:customStyle="1" w:styleId="CommentTextChar">
    <w:name w:val="Comment Text Char"/>
    <w:basedOn w:val="DefaultParagraphFont"/>
    <w:link w:val="CommentText"/>
    <w:uiPriority w:val="99"/>
    <w:rsid w:val="002D1BB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1BB0"/>
    <w:rPr>
      <w:b/>
      <w:bCs/>
    </w:rPr>
  </w:style>
  <w:style w:type="character" w:customStyle="1" w:styleId="CommentSubjectChar">
    <w:name w:val="Comment Subject Char"/>
    <w:basedOn w:val="CommentTextChar"/>
    <w:link w:val="CommentSubject"/>
    <w:uiPriority w:val="99"/>
    <w:semiHidden/>
    <w:rsid w:val="002D1BB0"/>
    <w:rPr>
      <w:rFonts w:ascii="Times New Roman" w:eastAsia="Times New Roman" w:hAnsi="Times New Roman" w:cs="Times New Roman"/>
      <w:b/>
      <w:bCs/>
      <w:sz w:val="20"/>
      <w:szCs w:val="20"/>
      <w:lang w:val="en-GB"/>
    </w:rPr>
  </w:style>
  <w:style w:type="paragraph" w:styleId="NoSpacing">
    <w:name w:val="No Spacing"/>
    <w:uiPriority w:val="1"/>
    <w:qFormat/>
    <w:rsid w:val="00DE4C9F"/>
    <w:pPr>
      <w:spacing w:after="0" w:line="240" w:lineRule="auto"/>
    </w:pPr>
    <w:rPr>
      <w:sz w:val="24"/>
      <w:szCs w:val="24"/>
      <w:lang w:val="de-DE"/>
    </w:rPr>
  </w:style>
  <w:style w:type="paragraph" w:styleId="Revision">
    <w:name w:val="Revision"/>
    <w:hidden/>
    <w:uiPriority w:val="99"/>
    <w:semiHidden/>
    <w:rsid w:val="00285E3C"/>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02467">
      <w:bodyDiv w:val="1"/>
      <w:marLeft w:val="0"/>
      <w:marRight w:val="0"/>
      <w:marTop w:val="0"/>
      <w:marBottom w:val="0"/>
      <w:divBdr>
        <w:top w:val="none" w:sz="0" w:space="0" w:color="auto"/>
        <w:left w:val="none" w:sz="0" w:space="0" w:color="auto"/>
        <w:bottom w:val="none" w:sz="0" w:space="0" w:color="auto"/>
        <w:right w:val="none" w:sz="0" w:space="0" w:color="auto"/>
      </w:divBdr>
    </w:div>
    <w:div w:id="1768382585">
      <w:bodyDiv w:val="1"/>
      <w:marLeft w:val="0"/>
      <w:marRight w:val="0"/>
      <w:marTop w:val="0"/>
      <w:marBottom w:val="0"/>
      <w:divBdr>
        <w:top w:val="none" w:sz="0" w:space="0" w:color="auto"/>
        <w:left w:val="none" w:sz="0" w:space="0" w:color="auto"/>
        <w:bottom w:val="none" w:sz="0" w:space="0" w:color="auto"/>
        <w:right w:val="none" w:sz="0" w:space="0" w:color="auto"/>
      </w:divBdr>
    </w:div>
    <w:div w:id="1867020990">
      <w:bodyDiv w:val="1"/>
      <w:marLeft w:val="0"/>
      <w:marRight w:val="0"/>
      <w:marTop w:val="0"/>
      <w:marBottom w:val="0"/>
      <w:divBdr>
        <w:top w:val="none" w:sz="0" w:space="0" w:color="auto"/>
        <w:left w:val="none" w:sz="0" w:space="0" w:color="auto"/>
        <w:bottom w:val="none" w:sz="0" w:space="0" w:color="auto"/>
        <w:right w:val="none" w:sz="0" w:space="0" w:color="auto"/>
      </w:divBdr>
    </w:div>
    <w:div w:id="20724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HRI/GEN/2/Rev.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DF4B-E4F5-4400-B449-572963D65EB2}">
  <ds:schemaRefs>
    <ds:schemaRef ds:uri="http://schemas.microsoft.com/sharepoint/v3/contenttype/forms"/>
  </ds:schemaRefs>
</ds:datastoreItem>
</file>

<file path=customXml/itemProps2.xml><?xml version="1.0" encoding="utf-8"?>
<ds:datastoreItem xmlns:ds="http://schemas.openxmlformats.org/officeDocument/2006/customXml" ds:itemID="{1F9C29D5-F9E9-4E7C-A363-68378DA1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7D531B-6A74-4C13-B35D-4A6BB106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7425</Words>
  <Characters>42235</Characters>
  <Application>Microsoft Office Word</Application>
  <DocSecurity>0</DocSecurity>
  <Lines>351</Lines>
  <Paragraphs>99</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CEDAW/C/NOR/CO/R.10</vt:lpstr>
      <vt:lpstr>CEDAW/C/NOR/CO/R.10</vt:lpstr>
      <vt:lpstr/>
      <vt:lpstr/>
    </vt:vector>
  </TitlesOfParts>
  <Company>DCM</Company>
  <LinksUpToDate>false</LinksUpToDate>
  <CharactersWithSpaces>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CEDAW/C/NOR/CO/R.10</dc:title>
  <dc:creator>Gloria</dc:creator>
  <cp:lastModifiedBy>Jamila Devi Seerathun</cp:lastModifiedBy>
  <cp:revision>4</cp:revision>
  <cp:lastPrinted>2017-04-21T12:16:00Z</cp:lastPrinted>
  <dcterms:created xsi:type="dcterms:W3CDTF">2023-02-27T14:14:00Z</dcterms:created>
  <dcterms:modified xsi:type="dcterms:W3CDTF">2023-02-27T14:15:00Z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0x010100EF7F3C829DF7D944B160ED13BF208A7C</vt:lpwstr>
  </property>
  <property fmtid="{D5CDD505-2E9C-101B-9397-08002B2CF9AE}" pid="8" name="count">
    <vt:lpwstr>Norway</vt:lpwstr>
  </property>
  <property fmtid="{D5CDD505-2E9C-101B-9397-08002B2CF9AE}" pid="9" name="countw">
    <vt:lpwstr>Norway</vt:lpwstr>
  </property>
  <property fmtid="{D5CDD505-2E9C-101B-9397-08002B2CF9AE}" pid="10" name="countwd">
    <vt:lpwstr>Norway</vt:lpwstr>
  </property>
  <property fmtid="{D5CDD505-2E9C-101B-9397-08002B2CF9AE}" pid="11" name="date">
    <vt:lpwstr>6 February 2023</vt:lpwstr>
  </property>
  <property fmtid="{D5CDD505-2E9C-101B-9397-08002B2CF9AE}" pid="12" name="Date-Generated">
    <vt:filetime>2022-12-01T14:05:04Z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159600</vt:r8>
  </property>
  <property fmtid="{D5CDD505-2E9C-101B-9397-08002B2CF9AE}" pid="22" name="Org">
    <vt:lpwstr>OHCHR</vt:lpwstr>
  </property>
  <property fmtid="{D5CDD505-2E9C-101B-9397-08002B2CF9AE}" pid="23" name="prep">
    <vt:lpwstr>tenth periodic report of Norway</vt:lpwstr>
  </property>
  <property fmtid="{D5CDD505-2E9C-101B-9397-08002B2CF9AE}" pid="24" name="preps">
    <vt:lpwstr>tenth periodic report of Norway</vt:lpwstr>
  </property>
  <property fmtid="{D5CDD505-2E9C-101B-9397-08002B2CF9AE}" pid="25" name="prepw">
    <vt:lpwstr>tenth periodic report</vt:lpwstr>
  </property>
  <property fmtid="{D5CDD505-2E9C-101B-9397-08002B2CF9AE}" pid="26" name="prepwc">
    <vt:lpwstr>Tenth periodic report </vt:lpwstr>
  </property>
  <property fmtid="{D5CDD505-2E9C-101B-9397-08002B2CF9AE}" pid="27" name="prepws">
    <vt:lpwstr>tenth periodic report</vt:lpwstr>
  </property>
  <property fmtid="{D5CDD505-2E9C-101B-9397-08002B2CF9AE}" pid="28" name="sdate">
    <vt:lpwstr>6-24 February 2023</vt:lpwstr>
  </property>
  <property fmtid="{D5CDD505-2E9C-101B-9397-08002B2CF9AE}" pid="29" name="snum">
    <vt:lpwstr>Eighty-fourth</vt:lpwstr>
  </property>
  <property fmtid="{D5CDD505-2E9C-101B-9397-08002B2CF9AE}" pid="30" name="stitle">
    <vt:lpwstr>[Title]</vt:lpwstr>
  </property>
  <property fmtid="{D5CDD505-2E9C-101B-9397-08002B2CF9AE}" pid="31" name="sym1">
    <vt:lpwstr>C/NOR/CO/R.10</vt:lpwstr>
  </property>
  <property fmtid="{D5CDD505-2E9C-101B-9397-08002B2CF9AE}" pid="32" name="symh">
    <vt:lpwstr>CEDAW/C/NOR/CO/R.10</vt:lpwstr>
  </property>
  <property fmtid="{D5CDD505-2E9C-101B-9397-08002B2CF9AE}" pid="33" name="Title">
    <vt:lpwstr>CEDAW/C/NOR/CO/R.10</vt:lpwstr>
  </property>
  <property fmtid="{D5CDD505-2E9C-101B-9397-08002B2CF9AE}" pid="34" name="tlang">
    <vt:lpwstr/>
  </property>
  <property fmtid="{D5CDD505-2E9C-101B-9397-08002B2CF9AE}" pid="35" name="virs">
    <vt:lpwstr>English, French and Spanish only</vt:lpwstr>
  </property>
  <property fmtid="{D5CDD505-2E9C-101B-9397-08002B2CF9AE}" pid="36" name="GrammarlyDocumentId">
    <vt:lpwstr>87bb26b1c0e9784539ddcc83dbedea2d71ad71c938c6110978d1f8bd73791a6a</vt:lpwstr>
  </property>
</Properties>
</file>