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932BA" w:rsidRDefault="00A932BA"/>
    <w:p w14:paraId="00000002" w14:textId="77777777" w:rsidR="00A932BA" w:rsidRDefault="00B41DBD">
      <w:r>
        <w:t>April 14, 2024</w:t>
      </w:r>
    </w:p>
    <w:p w14:paraId="00000003" w14:textId="77777777" w:rsidR="00A932BA" w:rsidRDefault="00A932BA"/>
    <w:p w14:paraId="00000004" w14:textId="77777777" w:rsidR="00A932BA" w:rsidRDefault="00B41DBD">
      <w:r>
        <w:t>Sangra Coletiva</w:t>
      </w:r>
    </w:p>
    <w:p w14:paraId="00000005" w14:textId="77777777" w:rsidR="00A932BA" w:rsidRDefault="00A932BA">
      <w:pPr>
        <w:spacing w:line="240" w:lineRule="auto"/>
        <w:ind w:right="-432"/>
        <w:rPr>
          <w:rFonts w:ascii="Calibri" w:eastAsia="Calibri" w:hAnsi="Calibri" w:cs="Calibri"/>
          <w:b/>
          <w:color w:val="222222"/>
          <w:sz w:val="24"/>
          <w:szCs w:val="24"/>
        </w:rPr>
      </w:pPr>
    </w:p>
    <w:p w14:paraId="00000006" w14:textId="77777777" w:rsidR="00A932BA" w:rsidRDefault="00B41DBD">
      <w:pPr>
        <w:spacing w:line="240" w:lineRule="auto"/>
        <w:ind w:right="-432"/>
        <w:rPr>
          <w:rFonts w:ascii="Times" w:eastAsia="Times" w:hAnsi="Times" w:cs="Times"/>
          <w:b/>
          <w:sz w:val="24"/>
          <w:szCs w:val="24"/>
        </w:rPr>
      </w:pPr>
      <w:r>
        <w:rPr>
          <w:rFonts w:ascii="Calibri" w:eastAsia="Calibri" w:hAnsi="Calibri" w:cs="Calibri"/>
          <w:b/>
          <w:color w:val="222222"/>
          <w:sz w:val="24"/>
          <w:szCs w:val="24"/>
        </w:rPr>
        <w:t xml:space="preserve">Submission to the Committee on the Elimination of Discrimination Against Women (CEDAW) concerning Brazil’s 8th and 9th periodic report for the </w:t>
      </w:r>
      <w:r>
        <w:rPr>
          <w:rFonts w:ascii="Times" w:eastAsia="Times" w:hAnsi="Times" w:cs="Times"/>
          <w:b/>
          <w:sz w:val="24"/>
          <w:szCs w:val="24"/>
        </w:rPr>
        <w:t>88th session (13</w:t>
      </w:r>
      <w:r>
        <w:rPr>
          <w:rFonts w:ascii="Times" w:eastAsia="Times" w:hAnsi="Times" w:cs="Times"/>
          <w:b/>
          <w:color w:val="0B0B0B"/>
          <w:sz w:val="24"/>
          <w:szCs w:val="24"/>
        </w:rPr>
        <w:t>-31 May 2024</w:t>
      </w:r>
      <w:r>
        <w:rPr>
          <w:rFonts w:ascii="Times" w:eastAsia="Times" w:hAnsi="Times" w:cs="Times"/>
          <w:b/>
          <w:sz w:val="24"/>
          <w:szCs w:val="24"/>
        </w:rPr>
        <w:t>) and Pre-sessional Working Group for the 90th session (3-7 June 2024)</w:t>
      </w:r>
    </w:p>
    <w:p w14:paraId="00000007" w14:textId="77777777" w:rsidR="00A932BA" w:rsidRDefault="00A932BA">
      <w:pPr>
        <w:spacing w:line="240" w:lineRule="auto"/>
        <w:ind w:right="-432"/>
        <w:rPr>
          <w:rFonts w:ascii="Times" w:eastAsia="Times" w:hAnsi="Times" w:cs="Times"/>
          <w:b/>
          <w:sz w:val="24"/>
          <w:szCs w:val="24"/>
        </w:rPr>
      </w:pPr>
    </w:p>
    <w:p w14:paraId="00000008"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Sangra Coleti</w:t>
      </w:r>
      <w:r>
        <w:rPr>
          <w:rFonts w:ascii="Times" w:eastAsia="Times" w:hAnsi="Times" w:cs="Times"/>
          <w:sz w:val="24"/>
          <w:szCs w:val="24"/>
        </w:rPr>
        <w:t>va (Bleed Collective) is formed by a group of adult female survivors of childhood sexual abuse who have decided to impact brazilian public policies to benefit other survivors in a structural way. The objectives that Sangra Coletiva has been working on sinc</w:t>
      </w:r>
      <w:r>
        <w:rPr>
          <w:rFonts w:ascii="Times" w:eastAsia="Times" w:hAnsi="Times" w:cs="Times"/>
          <w:sz w:val="24"/>
          <w:szCs w:val="24"/>
        </w:rPr>
        <w:t>e 2020 are:</w:t>
      </w:r>
    </w:p>
    <w:p w14:paraId="00000009" w14:textId="77777777" w:rsidR="00A932BA" w:rsidRDefault="00A932BA">
      <w:pPr>
        <w:spacing w:line="240" w:lineRule="auto"/>
        <w:ind w:right="-432"/>
        <w:rPr>
          <w:rFonts w:ascii="Times" w:eastAsia="Times" w:hAnsi="Times" w:cs="Times"/>
          <w:sz w:val="24"/>
          <w:szCs w:val="24"/>
        </w:rPr>
      </w:pPr>
    </w:p>
    <w:p w14:paraId="0000000A" w14:textId="77777777" w:rsidR="00A932BA" w:rsidRDefault="00B41DBD">
      <w:pPr>
        <w:numPr>
          <w:ilvl w:val="0"/>
          <w:numId w:val="1"/>
        </w:numPr>
        <w:spacing w:line="240" w:lineRule="auto"/>
        <w:ind w:right="-432"/>
        <w:rPr>
          <w:rFonts w:ascii="Times" w:eastAsia="Times" w:hAnsi="Times" w:cs="Times"/>
          <w:sz w:val="24"/>
          <w:szCs w:val="24"/>
        </w:rPr>
      </w:pPr>
      <w:r>
        <w:rPr>
          <w:rFonts w:ascii="Times" w:eastAsia="Times" w:hAnsi="Times" w:cs="Times"/>
          <w:sz w:val="24"/>
          <w:szCs w:val="24"/>
        </w:rPr>
        <w:t>Repeal of the Parental Alienation Law;</w:t>
      </w:r>
    </w:p>
    <w:p w14:paraId="0000000B" w14:textId="77777777" w:rsidR="00A932BA" w:rsidRDefault="00B41DBD">
      <w:pPr>
        <w:numPr>
          <w:ilvl w:val="0"/>
          <w:numId w:val="1"/>
        </w:numPr>
        <w:spacing w:line="240" w:lineRule="auto"/>
        <w:ind w:right="-432"/>
        <w:rPr>
          <w:rFonts w:ascii="Times" w:eastAsia="Times" w:hAnsi="Times" w:cs="Times"/>
          <w:sz w:val="24"/>
          <w:szCs w:val="24"/>
        </w:rPr>
      </w:pPr>
      <w:r>
        <w:rPr>
          <w:rFonts w:ascii="Times" w:eastAsia="Times" w:hAnsi="Times" w:cs="Times"/>
          <w:sz w:val="24"/>
          <w:szCs w:val="24"/>
        </w:rPr>
        <w:t>Abolition of child marriage by increasing the marriageable age from 16 to 18 years;</w:t>
      </w:r>
    </w:p>
    <w:p w14:paraId="0000000C" w14:textId="77777777" w:rsidR="00A932BA" w:rsidRDefault="00B41DBD">
      <w:pPr>
        <w:numPr>
          <w:ilvl w:val="0"/>
          <w:numId w:val="1"/>
        </w:numPr>
        <w:spacing w:line="240" w:lineRule="auto"/>
        <w:ind w:right="-432"/>
        <w:rPr>
          <w:rFonts w:ascii="Times" w:eastAsia="Times" w:hAnsi="Times" w:cs="Times"/>
          <w:sz w:val="24"/>
          <w:szCs w:val="24"/>
        </w:rPr>
      </w:pPr>
      <w:r>
        <w:rPr>
          <w:rFonts w:ascii="Times" w:eastAsia="Times" w:hAnsi="Times" w:cs="Times"/>
          <w:sz w:val="24"/>
          <w:szCs w:val="24"/>
        </w:rPr>
        <w:t>Increase in the age of consent from 14 to 18 years.</w:t>
      </w:r>
    </w:p>
    <w:p w14:paraId="0000000D" w14:textId="77777777" w:rsidR="00A932BA" w:rsidRDefault="00A932BA">
      <w:pPr>
        <w:spacing w:line="240" w:lineRule="auto"/>
        <w:ind w:left="720" w:right="-432"/>
        <w:rPr>
          <w:rFonts w:ascii="Times" w:eastAsia="Times" w:hAnsi="Times" w:cs="Times"/>
          <w:sz w:val="24"/>
          <w:szCs w:val="24"/>
        </w:rPr>
      </w:pPr>
    </w:p>
    <w:p w14:paraId="0000000E"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Present at the public hearing of the National Council for Human Rig</w:t>
      </w:r>
      <w:r>
        <w:rPr>
          <w:rFonts w:ascii="Times" w:eastAsia="Times" w:hAnsi="Times" w:cs="Times"/>
          <w:sz w:val="24"/>
          <w:szCs w:val="24"/>
        </w:rPr>
        <w:t>hts held on March 18, 2024, Sangra Coletiva was able to follow the brazilian government's review of CEDAW. The item of interest to Sangra, "marriage and family relations," where we would obtain the government's responses regarding the Parental Alienation L</w:t>
      </w:r>
      <w:r>
        <w:rPr>
          <w:rFonts w:ascii="Times" w:eastAsia="Times" w:hAnsi="Times" w:cs="Times"/>
          <w:sz w:val="24"/>
          <w:szCs w:val="24"/>
        </w:rPr>
        <w:t>aw and child marriage, was the item that received the least attention during the Brazilian government's presentation, which not only provided little information but also distorted data and information in order to conceal the real situation of brazilian gir</w:t>
      </w:r>
      <w:r>
        <w:rPr>
          <w:rFonts w:ascii="Times" w:eastAsia="Times" w:hAnsi="Times" w:cs="Times"/>
          <w:sz w:val="24"/>
          <w:szCs w:val="24"/>
        </w:rPr>
        <w:t>ls and women under the country's civil laws. As the central theme of the report is item 2, the abolition of the legal loophole for child marriage, we decided to focus on the government's response to this issue.</w:t>
      </w:r>
    </w:p>
    <w:p w14:paraId="0000000F" w14:textId="77777777" w:rsidR="00A932BA" w:rsidRDefault="00A932BA">
      <w:pPr>
        <w:spacing w:line="240" w:lineRule="auto"/>
        <w:ind w:right="-432"/>
        <w:rPr>
          <w:rFonts w:ascii="Times" w:eastAsia="Times" w:hAnsi="Times" w:cs="Times"/>
          <w:sz w:val="24"/>
          <w:szCs w:val="24"/>
        </w:rPr>
      </w:pPr>
    </w:p>
    <w:p w14:paraId="00000010"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According to the mediator of the public hear</w:t>
      </w:r>
      <w:r>
        <w:rPr>
          <w:rFonts w:ascii="Times" w:eastAsia="Times" w:hAnsi="Times" w:cs="Times"/>
          <w:sz w:val="24"/>
          <w:szCs w:val="24"/>
        </w:rPr>
        <w:t xml:space="preserve">ing representing the brazilian government, a bill was approved to prohibit child marriage. Sangra Coletiva followed the approval of said bill, which, when approved, was numbered as </w:t>
      </w:r>
      <w:hyperlink r:id="rId5">
        <w:r>
          <w:rPr>
            <w:rFonts w:ascii="Times" w:eastAsia="Times" w:hAnsi="Times" w:cs="Times"/>
            <w:color w:val="1155CC"/>
            <w:sz w:val="24"/>
            <w:szCs w:val="24"/>
            <w:u w:val="single"/>
          </w:rPr>
          <w:t>Law 13,811 of March 12, 2019</w:t>
        </w:r>
      </w:hyperlink>
      <w:r>
        <w:rPr>
          <w:rFonts w:ascii="Times" w:eastAsia="Times" w:hAnsi="Times" w:cs="Times"/>
          <w:sz w:val="24"/>
          <w:szCs w:val="24"/>
        </w:rPr>
        <w:t xml:space="preserve">. The legal text states that it eliminates legal exceptions to child marriage, but the criterion used by the brazilian government to define what constitutes child marriage is not </w:t>
      </w:r>
      <w:r>
        <w:rPr>
          <w:rFonts w:ascii="Times" w:eastAsia="Times" w:hAnsi="Times" w:cs="Times"/>
          <w:sz w:val="24"/>
          <w:szCs w:val="24"/>
        </w:rPr>
        <w:t>the one adopted by international agreements. Brazilian government insists on considering as child marriage any marriage where one of the spouses is under 16 years old, not under 18 years old. The aforementioned bill that falsely approved the prohibition of</w:t>
      </w:r>
      <w:r>
        <w:rPr>
          <w:rFonts w:ascii="Times" w:eastAsia="Times" w:hAnsi="Times" w:cs="Times"/>
          <w:sz w:val="24"/>
          <w:szCs w:val="24"/>
        </w:rPr>
        <w:t xml:space="preserve"> child marriage, in its true nature, only eliminated the loophole that allowed girls under 16 to be married if they were pregnant. In order for child marriage to be truly abolished in its legislative form, the amendment must be made to </w:t>
      </w:r>
      <w:hyperlink r:id="rId6">
        <w:r>
          <w:rPr>
            <w:rFonts w:ascii="Times" w:eastAsia="Times" w:hAnsi="Times" w:cs="Times"/>
            <w:color w:val="1155CC"/>
            <w:sz w:val="24"/>
            <w:szCs w:val="24"/>
            <w:u w:val="single"/>
          </w:rPr>
          <w:t>Law 10,406 of January</w:t>
        </w:r>
      </w:hyperlink>
      <w:r>
        <w:rPr>
          <w:rFonts w:ascii="Times" w:eastAsia="Times" w:hAnsi="Times" w:cs="Times"/>
          <w:sz w:val="24"/>
          <w:szCs w:val="24"/>
        </w:rPr>
        <w:t xml:space="preserve"> 10, 2002, Article 1,517: "A man and a woman at sixteen years old can marry, requiring authorization from both parents, or their legal representatives, until reaching the age of majority." For the government to fulfill its international responsibilities fo</w:t>
      </w:r>
      <w:r>
        <w:rPr>
          <w:rFonts w:ascii="Times" w:eastAsia="Times" w:hAnsi="Times" w:cs="Times"/>
          <w:sz w:val="24"/>
          <w:szCs w:val="24"/>
        </w:rPr>
        <w:t>r the defense of the rights of girls and women and to eliminate from the Civil Code the possibility of child marriage, the marriageable age in said law must be changed from 16 to 18 years old.</w:t>
      </w:r>
    </w:p>
    <w:p w14:paraId="00000011" w14:textId="77777777" w:rsidR="00A932BA" w:rsidRDefault="00A932BA">
      <w:pPr>
        <w:spacing w:line="240" w:lineRule="auto"/>
        <w:ind w:right="-432"/>
        <w:rPr>
          <w:rFonts w:ascii="Times" w:eastAsia="Times" w:hAnsi="Times" w:cs="Times"/>
          <w:sz w:val="24"/>
          <w:szCs w:val="24"/>
        </w:rPr>
      </w:pPr>
    </w:p>
    <w:p w14:paraId="00000012"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In addition to marriage, it is also necessary to observe the r</w:t>
      </w:r>
      <w:r>
        <w:rPr>
          <w:rFonts w:ascii="Times" w:eastAsia="Times" w:hAnsi="Times" w:cs="Times"/>
          <w:sz w:val="24"/>
          <w:szCs w:val="24"/>
        </w:rPr>
        <w:t>ules for common-law unions, which are currently under dispute in the National Congress. Congressman Carlos Bezerra has presented a bill that aims to allow emancipated minors to enter into marriage and common-law unions without parental authorization, while</w:t>
      </w:r>
      <w:r>
        <w:rPr>
          <w:rFonts w:ascii="Times" w:eastAsia="Times" w:hAnsi="Times" w:cs="Times"/>
          <w:sz w:val="24"/>
          <w:szCs w:val="24"/>
        </w:rPr>
        <w:t xml:space="preserve"> Congresswoman Clarissa Tércio has proposed equalizing the rules of common-law unions with those of marriage. Currently, there is no age rule for common-law union contracts, a loophole that is still used to avoid the punishment of men who, according to </w:t>
      </w:r>
      <w:r>
        <w:rPr>
          <w:rFonts w:ascii="Times" w:eastAsia="Times" w:hAnsi="Times" w:cs="Times"/>
          <w:sz w:val="24"/>
          <w:szCs w:val="24"/>
        </w:rPr>
        <w:lastRenderedPageBreak/>
        <w:t>the</w:t>
      </w:r>
      <w:r>
        <w:rPr>
          <w:rFonts w:ascii="Times" w:eastAsia="Times" w:hAnsi="Times" w:cs="Times"/>
          <w:sz w:val="24"/>
          <w:szCs w:val="24"/>
        </w:rPr>
        <w:t xml:space="preserve"> law, sexually violated girls protected by the vulnerable rape law, namely, girls under 14 years old.</w:t>
      </w:r>
    </w:p>
    <w:p w14:paraId="00000013" w14:textId="77777777" w:rsidR="00A932BA" w:rsidRDefault="00A932BA">
      <w:pPr>
        <w:spacing w:line="240" w:lineRule="auto"/>
        <w:ind w:right="-432"/>
        <w:rPr>
          <w:rFonts w:ascii="Times" w:eastAsia="Times" w:hAnsi="Times" w:cs="Times"/>
          <w:sz w:val="24"/>
          <w:szCs w:val="24"/>
        </w:rPr>
      </w:pPr>
    </w:p>
    <w:p w14:paraId="00000014"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Although Sangra Coletiva's denunciation depicts the reality of child marriages legitimized by the Legislative Power, the majority of child marriages in B</w:t>
      </w:r>
      <w:r>
        <w:rPr>
          <w:rFonts w:ascii="Times" w:eastAsia="Times" w:hAnsi="Times" w:cs="Times"/>
          <w:sz w:val="24"/>
          <w:szCs w:val="24"/>
        </w:rPr>
        <w:t xml:space="preserve">razil, according to the "Ela vai no meu barco" research, are informal. In this regard, our organization is concerned about the alarming data on statutory rape, which accounts for more than half of the rape cases in the country. According to the </w:t>
      </w:r>
      <w:hyperlink r:id="rId7">
        <w:r>
          <w:rPr>
            <w:rFonts w:ascii="Times" w:eastAsia="Times" w:hAnsi="Times" w:cs="Times"/>
            <w:color w:val="1155CC"/>
            <w:sz w:val="24"/>
            <w:szCs w:val="24"/>
            <w:u w:val="single"/>
          </w:rPr>
          <w:t>Annual Public Safety Report of 2022</w:t>
        </w:r>
      </w:hyperlink>
      <w:r>
        <w:rPr>
          <w:rFonts w:ascii="Times" w:eastAsia="Times" w:hAnsi="Times" w:cs="Times"/>
          <w:sz w:val="24"/>
          <w:szCs w:val="24"/>
        </w:rPr>
        <w:t>, 61.4% of rape victims are up to 13 years old, and 68.3% of the violence o</w:t>
      </w:r>
      <w:r>
        <w:rPr>
          <w:rFonts w:ascii="Times" w:eastAsia="Times" w:hAnsi="Times" w:cs="Times"/>
          <w:sz w:val="24"/>
          <w:szCs w:val="24"/>
        </w:rPr>
        <w:t xml:space="preserve">ccurred within the homes of these children. A study conducted by the </w:t>
      </w:r>
      <w:hyperlink r:id="rId8">
        <w:r>
          <w:rPr>
            <w:rFonts w:ascii="Times" w:eastAsia="Times" w:hAnsi="Times" w:cs="Times"/>
            <w:color w:val="1155CC"/>
            <w:sz w:val="24"/>
            <w:szCs w:val="24"/>
            <w:u w:val="single"/>
          </w:rPr>
          <w:t>Hospital das Clínicas at USP</w:t>
        </w:r>
      </w:hyperlink>
      <w:r>
        <w:rPr>
          <w:rFonts w:ascii="Times" w:eastAsia="Times" w:hAnsi="Times" w:cs="Times"/>
          <w:sz w:val="24"/>
          <w:szCs w:val="24"/>
        </w:rPr>
        <w:t xml:space="preserve"> revealed that ou</w:t>
      </w:r>
      <w:r>
        <w:rPr>
          <w:rFonts w:ascii="Times" w:eastAsia="Times" w:hAnsi="Times" w:cs="Times"/>
          <w:sz w:val="24"/>
          <w:szCs w:val="24"/>
        </w:rPr>
        <w:t>t of every 10 raped children, 4 of them were victims of their own father or stepfather.</w:t>
      </w:r>
    </w:p>
    <w:p w14:paraId="00000015" w14:textId="77777777" w:rsidR="00A932BA" w:rsidRDefault="00A932BA">
      <w:pPr>
        <w:spacing w:line="240" w:lineRule="auto"/>
        <w:ind w:right="-432"/>
        <w:rPr>
          <w:rFonts w:ascii="Times" w:eastAsia="Times" w:hAnsi="Times" w:cs="Times"/>
          <w:sz w:val="24"/>
          <w:szCs w:val="24"/>
        </w:rPr>
      </w:pPr>
    </w:p>
    <w:p w14:paraId="00000016"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The Relationship Between the Parental Alienation Law and Child Marriage in Brazil</w:t>
      </w:r>
    </w:p>
    <w:p w14:paraId="00000017" w14:textId="77777777" w:rsidR="00A932BA" w:rsidRDefault="00A932BA">
      <w:pPr>
        <w:spacing w:line="240" w:lineRule="auto"/>
        <w:ind w:right="-432"/>
        <w:rPr>
          <w:rFonts w:ascii="Times" w:eastAsia="Times" w:hAnsi="Times" w:cs="Times"/>
          <w:sz w:val="24"/>
          <w:szCs w:val="24"/>
        </w:rPr>
      </w:pPr>
    </w:p>
    <w:p w14:paraId="00000018"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Considering that between 2011 and 2015, shortly after the Parental Alienation Law wa</w:t>
      </w:r>
      <w:r>
        <w:rPr>
          <w:rFonts w:ascii="Times" w:eastAsia="Times" w:hAnsi="Times" w:cs="Times"/>
          <w:sz w:val="24"/>
          <w:szCs w:val="24"/>
        </w:rPr>
        <w:t xml:space="preserve">s approved, </w:t>
      </w:r>
      <w:hyperlink r:id="rId9">
        <w:r>
          <w:rPr>
            <w:rFonts w:ascii="Times" w:eastAsia="Times" w:hAnsi="Times" w:cs="Times"/>
            <w:color w:val="1155CC"/>
            <w:sz w:val="24"/>
            <w:szCs w:val="24"/>
            <w:u w:val="single"/>
          </w:rPr>
          <w:t>13% of pregnancies resulting from statutory rape had the young victims' own fathers and stepfathers as perpetrators of the incestuous violence that resulted in pregnancy,</w:t>
        </w:r>
      </w:hyperlink>
      <w:r>
        <w:rPr>
          <w:rFonts w:ascii="Times" w:eastAsia="Times" w:hAnsi="Times" w:cs="Times"/>
          <w:sz w:val="24"/>
          <w:szCs w:val="24"/>
        </w:rPr>
        <w:t xml:space="preserve"> Sangra Coletiva concludes that the repeal of the Parental Alienation Law is one of the strategies that need to be adopted in Brazil to prevent incestuous parents from having the right to turn their own daughters into domes</w:t>
      </w:r>
      <w:r>
        <w:rPr>
          <w:rFonts w:ascii="Times" w:eastAsia="Times" w:hAnsi="Times" w:cs="Times"/>
          <w:sz w:val="24"/>
          <w:szCs w:val="24"/>
        </w:rPr>
        <w:t>tic and sexual slaves, forcing them into informal child marriages.</w:t>
      </w:r>
    </w:p>
    <w:p w14:paraId="00000019" w14:textId="77777777" w:rsidR="00A932BA" w:rsidRDefault="00A932BA">
      <w:pPr>
        <w:spacing w:line="240" w:lineRule="auto"/>
        <w:ind w:right="-432"/>
        <w:rPr>
          <w:rFonts w:ascii="Times" w:eastAsia="Times" w:hAnsi="Times" w:cs="Times"/>
          <w:sz w:val="24"/>
          <w:szCs w:val="24"/>
        </w:rPr>
      </w:pPr>
    </w:p>
    <w:p w14:paraId="0000001A"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In a decision rendered (AgRg in REsp n. 1,854,376/SC, rapporteur Minister Rogerio Schietti Cruz, Sixth Panel, judged on May 19, 2020, DJe of May 28, 2020), we have:</w:t>
      </w:r>
    </w:p>
    <w:p w14:paraId="0000001B" w14:textId="77777777" w:rsidR="00A932BA" w:rsidRDefault="00A932BA">
      <w:pPr>
        <w:spacing w:line="240" w:lineRule="auto"/>
        <w:ind w:right="-432"/>
        <w:rPr>
          <w:rFonts w:ascii="Times" w:eastAsia="Times" w:hAnsi="Times" w:cs="Times"/>
          <w:sz w:val="24"/>
          <w:szCs w:val="24"/>
        </w:rPr>
      </w:pPr>
    </w:p>
    <w:p w14:paraId="0000001C" w14:textId="77777777" w:rsidR="00A932BA" w:rsidRDefault="00B41DBD">
      <w:pPr>
        <w:spacing w:line="240" w:lineRule="auto"/>
        <w:ind w:right="-432"/>
        <w:rPr>
          <w:rFonts w:ascii="Times" w:eastAsia="Times" w:hAnsi="Times" w:cs="Times"/>
          <w:i/>
          <w:sz w:val="24"/>
          <w:szCs w:val="24"/>
        </w:rPr>
      </w:pPr>
      <w:r>
        <w:rPr>
          <w:rFonts w:ascii="Times" w:eastAsia="Times" w:hAnsi="Times" w:cs="Times"/>
          <w:i/>
          <w:sz w:val="24"/>
          <w:szCs w:val="24"/>
        </w:rPr>
        <w:t>"The fact that the victim lived in a stable union and even became pregnant (with subsequen</w:t>
      </w:r>
      <w:r>
        <w:rPr>
          <w:rFonts w:ascii="Times" w:eastAsia="Times" w:hAnsi="Times" w:cs="Times"/>
          <w:i/>
          <w:sz w:val="24"/>
          <w:szCs w:val="24"/>
        </w:rPr>
        <w:t>t spontaneous abortion) reveals nothing more than her entry into the unfortunate and high statistics of early marriage and pregnancy in our country, which ranks among the highest in the world. The victim's attributes used to exempt the defendant from his c</w:t>
      </w:r>
      <w:r>
        <w:rPr>
          <w:rFonts w:ascii="Times" w:eastAsia="Times" w:hAnsi="Times" w:cs="Times"/>
          <w:i/>
          <w:sz w:val="24"/>
          <w:szCs w:val="24"/>
        </w:rPr>
        <w:t>riminal responsibility reveal, in truth, the State's abandonment of the victim, who did not receive the due protection through public policies to prevent her premature arrival at the destination of marriage and motherhood."</w:t>
      </w:r>
    </w:p>
    <w:p w14:paraId="0000001D" w14:textId="77777777" w:rsidR="00A932BA" w:rsidRDefault="00A932BA">
      <w:pPr>
        <w:spacing w:line="240" w:lineRule="auto"/>
        <w:ind w:right="-432"/>
        <w:rPr>
          <w:rFonts w:ascii="Times" w:eastAsia="Times" w:hAnsi="Times" w:cs="Times"/>
          <w:sz w:val="24"/>
          <w:szCs w:val="24"/>
        </w:rPr>
      </w:pPr>
    </w:p>
    <w:p w14:paraId="0000001E"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It is important to emphasize th</w:t>
      </w:r>
      <w:r>
        <w:rPr>
          <w:rFonts w:ascii="Times" w:eastAsia="Times" w:hAnsi="Times" w:cs="Times"/>
          <w:sz w:val="24"/>
          <w:szCs w:val="24"/>
        </w:rPr>
        <w:t>at such violence occurs due to the sex of the girls. Because they belong to the female sex, girls are assigned the gender roles of wives and mothers before their cognitive and physical maturation through rape - even if in the girls' own view, they have cho</w:t>
      </w:r>
      <w:r>
        <w:rPr>
          <w:rFonts w:ascii="Times" w:eastAsia="Times" w:hAnsi="Times" w:cs="Times"/>
          <w:sz w:val="24"/>
          <w:szCs w:val="24"/>
        </w:rPr>
        <w:t xml:space="preserve">sen to engage in sexual relationships - and the State's abandonment in the face of this reality so common in the country. </w:t>
      </w:r>
    </w:p>
    <w:p w14:paraId="0000001F" w14:textId="77777777" w:rsidR="00A932BA" w:rsidRDefault="00A932BA">
      <w:pPr>
        <w:spacing w:line="240" w:lineRule="auto"/>
        <w:ind w:right="-432"/>
        <w:rPr>
          <w:rFonts w:ascii="Times" w:eastAsia="Times" w:hAnsi="Times" w:cs="Times"/>
          <w:sz w:val="24"/>
          <w:szCs w:val="24"/>
        </w:rPr>
      </w:pPr>
    </w:p>
    <w:p w14:paraId="00000020"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 xml:space="preserve">During the public hearing of the National Council for Human Rights, social movements were coerced by the government to revise their </w:t>
      </w:r>
      <w:r>
        <w:rPr>
          <w:rFonts w:ascii="Times" w:eastAsia="Times" w:hAnsi="Times" w:cs="Times"/>
          <w:sz w:val="24"/>
          <w:szCs w:val="24"/>
        </w:rPr>
        <w:t>reports by changing the category "sex" to "gender," which would distort the analysis of the reality in which the gender roles of wives and mothers are imposed on girls early due to their reproductive capacity. This revision would conflict with Article 1 of</w:t>
      </w:r>
      <w:r>
        <w:rPr>
          <w:rFonts w:ascii="Times" w:eastAsia="Times" w:hAnsi="Times" w:cs="Times"/>
          <w:sz w:val="24"/>
          <w:szCs w:val="24"/>
        </w:rPr>
        <w:t xml:space="preserve"> CEDAW, which defines that discrimination against women is based on sex. Sangra Coletiva understands that all vulnerable social groups should be guaranteed rights, but that this should not be achieved at the expense of sacrificing the rights of girls and w</w:t>
      </w:r>
      <w:r>
        <w:rPr>
          <w:rFonts w:ascii="Times" w:eastAsia="Times" w:hAnsi="Times" w:cs="Times"/>
          <w:sz w:val="24"/>
          <w:szCs w:val="24"/>
        </w:rPr>
        <w:t>omen based on sex.</w:t>
      </w:r>
    </w:p>
    <w:p w14:paraId="00000021" w14:textId="77777777" w:rsidR="00A932BA" w:rsidRDefault="00A932BA">
      <w:pPr>
        <w:spacing w:line="240" w:lineRule="auto"/>
        <w:ind w:right="-432"/>
        <w:rPr>
          <w:rFonts w:ascii="Times" w:eastAsia="Times" w:hAnsi="Times" w:cs="Times"/>
          <w:sz w:val="24"/>
          <w:szCs w:val="24"/>
        </w:rPr>
      </w:pPr>
    </w:p>
    <w:p w14:paraId="00000022" w14:textId="77777777" w:rsidR="00A932BA" w:rsidRDefault="00B41DBD">
      <w:pPr>
        <w:spacing w:line="240" w:lineRule="auto"/>
        <w:ind w:right="-432"/>
        <w:rPr>
          <w:rFonts w:ascii="Times" w:eastAsia="Times" w:hAnsi="Times" w:cs="Times"/>
          <w:sz w:val="24"/>
          <w:szCs w:val="24"/>
        </w:rPr>
      </w:pPr>
      <w:r>
        <w:rPr>
          <w:rFonts w:ascii="Times" w:eastAsia="Times" w:hAnsi="Times" w:cs="Times"/>
          <w:sz w:val="24"/>
          <w:szCs w:val="24"/>
        </w:rPr>
        <w:t>Therefore, Sangra Coletiva suggests to the CEDAW Committee that it recommends to the Brazilian State the amendment of the marriageable age from 16 to 18 years old, and that this same rule be adopted for common-law union contracts, as we</w:t>
      </w:r>
      <w:r>
        <w:rPr>
          <w:rFonts w:ascii="Times" w:eastAsia="Times" w:hAnsi="Times" w:cs="Times"/>
          <w:sz w:val="24"/>
          <w:szCs w:val="24"/>
        </w:rPr>
        <w:t xml:space="preserve">ll as attention to Article 1 of CEDAW and not dissociation between sex and gender. </w:t>
      </w:r>
    </w:p>
    <w:p w14:paraId="00000023" w14:textId="77777777" w:rsidR="00A932BA" w:rsidRDefault="00A932BA">
      <w:pPr>
        <w:spacing w:line="240" w:lineRule="auto"/>
        <w:ind w:right="-432"/>
        <w:rPr>
          <w:rFonts w:ascii="Times" w:eastAsia="Times" w:hAnsi="Times" w:cs="Times"/>
          <w:sz w:val="24"/>
          <w:szCs w:val="24"/>
        </w:rPr>
      </w:pPr>
    </w:p>
    <w:p w14:paraId="00000024" w14:textId="77777777" w:rsidR="00A932BA" w:rsidRDefault="00B41DBD">
      <w:pPr>
        <w:spacing w:line="240" w:lineRule="auto"/>
        <w:ind w:right="-432"/>
      </w:pPr>
      <w:r>
        <w:rPr>
          <w:rFonts w:ascii="Times" w:eastAsia="Times" w:hAnsi="Times" w:cs="Times"/>
          <w:sz w:val="24"/>
          <w:szCs w:val="24"/>
        </w:rPr>
        <w:lastRenderedPageBreak/>
        <w:t>Sangra Coletiva authorizes the publication of this document on the CEDAW committee's website.</w:t>
      </w:r>
    </w:p>
    <w:p w14:paraId="00000025" w14:textId="77777777" w:rsidR="00A932BA" w:rsidRDefault="00A932BA"/>
    <w:p w14:paraId="00000026" w14:textId="77777777" w:rsidR="00A932BA" w:rsidRDefault="00B41DBD">
      <w:r>
        <w:t>Instagram: @sangracoletiva</w:t>
      </w:r>
    </w:p>
    <w:p w14:paraId="00000027" w14:textId="77777777" w:rsidR="00A932BA" w:rsidRDefault="00B41DBD">
      <w:pPr>
        <w:rPr>
          <w:rFonts w:ascii="Roboto" w:eastAsia="Roboto" w:hAnsi="Roboto" w:cs="Roboto"/>
          <w:color w:val="222222"/>
          <w:sz w:val="21"/>
          <w:szCs w:val="21"/>
          <w:highlight w:val="white"/>
        </w:rPr>
      </w:pPr>
      <w:r>
        <w:t xml:space="preserve">E-mail: </w:t>
      </w:r>
      <w:hyperlink r:id="rId10">
        <w:r>
          <w:rPr>
            <w:rFonts w:ascii="Roboto" w:eastAsia="Roboto" w:hAnsi="Roboto" w:cs="Roboto"/>
            <w:color w:val="1155CC"/>
            <w:sz w:val="21"/>
            <w:szCs w:val="21"/>
            <w:highlight w:val="white"/>
            <w:u w:val="single"/>
          </w:rPr>
          <w:t>coletivasangra@gmail.com</w:t>
        </w:r>
      </w:hyperlink>
    </w:p>
    <w:p w14:paraId="00000028" w14:textId="77777777" w:rsidR="00A932BA" w:rsidRDefault="00A932BA">
      <w:pPr>
        <w:rPr>
          <w:rFonts w:ascii="Roboto" w:eastAsia="Roboto" w:hAnsi="Roboto" w:cs="Roboto"/>
          <w:color w:val="222222"/>
          <w:sz w:val="21"/>
          <w:szCs w:val="21"/>
          <w:highlight w:val="white"/>
        </w:rPr>
      </w:pPr>
    </w:p>
    <w:p w14:paraId="00000029" w14:textId="77777777" w:rsidR="00A932BA" w:rsidRDefault="00A932BA">
      <w:pPr>
        <w:rPr>
          <w:rFonts w:ascii="Roboto" w:eastAsia="Roboto" w:hAnsi="Roboto" w:cs="Roboto"/>
          <w:color w:val="222222"/>
          <w:sz w:val="21"/>
          <w:szCs w:val="21"/>
          <w:highlight w:val="white"/>
        </w:rPr>
      </w:pPr>
    </w:p>
    <w:p w14:paraId="0000002A" w14:textId="77777777" w:rsidR="00A932BA" w:rsidRDefault="00A932BA">
      <w:pPr>
        <w:rPr>
          <w:rFonts w:ascii="Roboto" w:eastAsia="Roboto" w:hAnsi="Roboto" w:cs="Roboto"/>
          <w:color w:val="222222"/>
          <w:sz w:val="21"/>
          <w:szCs w:val="21"/>
          <w:highlight w:val="white"/>
        </w:rPr>
      </w:pPr>
    </w:p>
    <w:sectPr w:rsidR="00A932BA">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15252"/>
    <w:multiLevelType w:val="multilevel"/>
    <w:tmpl w:val="BAFA8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01272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2BA"/>
    <w:rsid w:val="00A932BA"/>
    <w:rsid w:val="00B41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10AD26-CB25-4A07-88B3-B20C7BD0A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PT"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hildhood.org.br/maioria-das-criancas-sofre-abuso-sexual-do-pai-ou-padrasto/"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observatorio3setor.org.br/noticias/mais-da-metade-das-vitimas-de-estupro-no-brasil-sao-crianca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lanalto.gov.br/ccivil_03/LEIS//2002/L10406compilada.htm" TargetMode="External"/><Relationship Id="rId11" Type="http://schemas.openxmlformats.org/officeDocument/2006/relationships/fontTable" Target="fontTable.xml"/><Relationship Id="rId5" Type="http://schemas.openxmlformats.org/officeDocument/2006/relationships/hyperlink" Target="https://www.planalto.gov.br/ccivil_03/_Ato2019-2022/2019/Lei/L13811.htm" TargetMode="External"/><Relationship Id="rId10" Type="http://schemas.openxmlformats.org/officeDocument/2006/relationships/hyperlink" Target="mailto:coletivasangra@gmail.com" TargetMode="External"/><Relationship Id="rId4" Type="http://schemas.openxmlformats.org/officeDocument/2006/relationships/webSettings" Target="webSettings.xml"/><Relationship Id="rId9" Type="http://schemas.openxmlformats.org/officeDocument/2006/relationships/hyperlink" Target="https://www.scielo.br/j/csc/a/VrQhZQswBHg5pTFQGJLjmWn/"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451947-C827-4986-8585-7929F3D51545}"/>
</file>

<file path=customXml/itemProps2.xml><?xml version="1.0" encoding="utf-8"?>
<ds:datastoreItem xmlns:ds="http://schemas.openxmlformats.org/officeDocument/2006/customXml" ds:itemID="{754748A6-4B84-42B2-BEA3-2EFCD470724F}"/>
</file>

<file path=docProps/app.xml><?xml version="1.0" encoding="utf-8"?>
<Properties xmlns="http://schemas.openxmlformats.org/officeDocument/2006/extended-properties" xmlns:vt="http://schemas.openxmlformats.org/officeDocument/2006/docPropsVTypes">
  <Template>Normal.dotm</Template>
  <TotalTime>0</TotalTime>
  <Pages>3</Pages>
  <Words>1159</Words>
  <Characters>6611</Characters>
  <Application>Microsoft Office Word</Application>
  <DocSecurity>0</DocSecurity>
  <Lines>55</Lines>
  <Paragraphs>15</Paragraphs>
  <ScaleCrop>false</ScaleCrop>
  <Company>OHCHR</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EVIA ALSINA Laia</dc:creator>
  <cp:lastModifiedBy>Laia Evia Alsina</cp:lastModifiedBy>
  <cp:revision>2</cp:revision>
  <dcterms:created xsi:type="dcterms:W3CDTF">2024-04-17T16:21:00Z</dcterms:created>
  <dcterms:modified xsi:type="dcterms:W3CDTF">2024-04-17T16:21:00Z</dcterms:modified>
</cp:coreProperties>
</file>