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CC282" w14:textId="77777777" w:rsidR="008014C3" w:rsidRDefault="008014C3">
      <w:pPr>
        <w:spacing w:after="0" w:line="240" w:lineRule="auto"/>
        <w:jc w:val="center"/>
        <w:rPr>
          <w:b/>
          <w:sz w:val="28"/>
          <w:szCs w:val="28"/>
        </w:rPr>
      </w:pPr>
    </w:p>
    <w:p w14:paraId="721EC519" w14:textId="77777777" w:rsidR="008014C3" w:rsidRDefault="008014C3">
      <w:pPr>
        <w:spacing w:after="0" w:line="240" w:lineRule="auto"/>
        <w:jc w:val="center"/>
        <w:rPr>
          <w:b/>
          <w:sz w:val="28"/>
          <w:szCs w:val="28"/>
        </w:rPr>
      </w:pPr>
    </w:p>
    <w:p w14:paraId="217C420D" w14:textId="77777777" w:rsidR="008014C3" w:rsidRDefault="008014C3">
      <w:pPr>
        <w:spacing w:after="0" w:line="240" w:lineRule="auto"/>
        <w:jc w:val="center"/>
        <w:rPr>
          <w:b/>
          <w:sz w:val="28"/>
          <w:szCs w:val="28"/>
        </w:rPr>
      </w:pPr>
    </w:p>
    <w:p w14:paraId="36FEAAD7" w14:textId="77777777" w:rsidR="008014C3" w:rsidRDefault="008014C3">
      <w:pPr>
        <w:spacing w:after="0" w:line="240" w:lineRule="auto"/>
        <w:jc w:val="center"/>
        <w:rPr>
          <w:b/>
          <w:sz w:val="28"/>
          <w:szCs w:val="28"/>
        </w:rPr>
      </w:pPr>
    </w:p>
    <w:p w14:paraId="62ECC3D5" w14:textId="77777777" w:rsidR="008014C3" w:rsidRDefault="008014C3">
      <w:pPr>
        <w:spacing w:after="0" w:line="240" w:lineRule="auto"/>
        <w:jc w:val="center"/>
        <w:rPr>
          <w:b/>
          <w:sz w:val="28"/>
          <w:szCs w:val="28"/>
        </w:rPr>
      </w:pPr>
    </w:p>
    <w:p w14:paraId="3021B864" w14:textId="77777777" w:rsidR="008014C3" w:rsidRDefault="008014C3">
      <w:pPr>
        <w:spacing w:after="0" w:line="240" w:lineRule="auto"/>
        <w:jc w:val="center"/>
        <w:rPr>
          <w:b/>
          <w:sz w:val="28"/>
          <w:szCs w:val="28"/>
        </w:rPr>
      </w:pPr>
    </w:p>
    <w:p w14:paraId="18ABB164" w14:textId="77777777" w:rsidR="008014C3" w:rsidRDefault="008014C3">
      <w:pPr>
        <w:spacing w:after="0" w:line="240" w:lineRule="auto"/>
        <w:jc w:val="center"/>
        <w:rPr>
          <w:b/>
          <w:sz w:val="28"/>
          <w:szCs w:val="28"/>
        </w:rPr>
      </w:pPr>
    </w:p>
    <w:p w14:paraId="0DC113BC" w14:textId="77777777" w:rsidR="008014C3" w:rsidRDefault="008014C3">
      <w:pPr>
        <w:spacing w:after="0" w:line="240" w:lineRule="auto"/>
        <w:jc w:val="center"/>
        <w:rPr>
          <w:b/>
          <w:sz w:val="28"/>
          <w:szCs w:val="28"/>
        </w:rPr>
      </w:pPr>
    </w:p>
    <w:p w14:paraId="431ED4EF" w14:textId="77777777" w:rsidR="008014C3" w:rsidRDefault="008014C3">
      <w:pPr>
        <w:spacing w:after="0" w:line="240" w:lineRule="auto"/>
        <w:jc w:val="center"/>
        <w:rPr>
          <w:b/>
          <w:sz w:val="28"/>
          <w:szCs w:val="28"/>
        </w:rPr>
      </w:pPr>
    </w:p>
    <w:p w14:paraId="10DBB32A" w14:textId="77777777" w:rsidR="008014C3" w:rsidRDefault="008014C3">
      <w:pPr>
        <w:spacing w:after="0" w:line="240" w:lineRule="auto"/>
        <w:jc w:val="center"/>
        <w:rPr>
          <w:b/>
          <w:sz w:val="28"/>
          <w:szCs w:val="28"/>
        </w:rPr>
      </w:pPr>
    </w:p>
    <w:p w14:paraId="5774F9AB" w14:textId="77777777" w:rsidR="008014C3" w:rsidRDefault="008014C3">
      <w:pPr>
        <w:spacing w:after="0" w:line="240" w:lineRule="auto"/>
        <w:jc w:val="center"/>
        <w:rPr>
          <w:b/>
          <w:sz w:val="28"/>
          <w:szCs w:val="28"/>
        </w:rPr>
      </w:pPr>
    </w:p>
    <w:p w14:paraId="3D9B03CA" w14:textId="77777777" w:rsidR="008014C3" w:rsidRDefault="008014C3">
      <w:pPr>
        <w:spacing w:after="0" w:line="240" w:lineRule="auto"/>
        <w:jc w:val="center"/>
        <w:rPr>
          <w:b/>
          <w:sz w:val="28"/>
          <w:szCs w:val="28"/>
        </w:rPr>
      </w:pPr>
    </w:p>
    <w:p w14:paraId="7EED4115" w14:textId="77777777" w:rsidR="008014C3" w:rsidRDefault="00750888">
      <w:pPr>
        <w:jc w:val="center"/>
        <w:rPr>
          <w:rFonts w:ascii="Arial" w:eastAsia="Arial" w:hAnsi="Arial" w:cs="Arial"/>
          <w:b/>
          <w:sz w:val="28"/>
          <w:szCs w:val="28"/>
        </w:rPr>
      </w:pPr>
      <w:r>
        <w:rPr>
          <w:rFonts w:ascii="Arial" w:eastAsia="Arial" w:hAnsi="Arial" w:cs="Arial"/>
          <w:b/>
          <w:sz w:val="28"/>
          <w:szCs w:val="28"/>
        </w:rPr>
        <w:t>REPORTE</w:t>
      </w:r>
    </w:p>
    <w:p w14:paraId="6EE6C7A0" w14:textId="77777777" w:rsidR="008014C3" w:rsidRDefault="00750888">
      <w:pPr>
        <w:jc w:val="center"/>
        <w:rPr>
          <w:rFonts w:ascii="Arial" w:eastAsia="Arial" w:hAnsi="Arial" w:cs="Arial"/>
          <w:b/>
          <w:sz w:val="28"/>
          <w:szCs w:val="28"/>
        </w:rPr>
      </w:pPr>
      <w:r>
        <w:rPr>
          <w:rFonts w:ascii="Arial" w:eastAsia="Arial" w:hAnsi="Arial" w:cs="Arial"/>
          <w:b/>
          <w:sz w:val="28"/>
          <w:szCs w:val="28"/>
        </w:rPr>
        <w:t>Francia</w:t>
      </w:r>
    </w:p>
    <w:p w14:paraId="26852EDA" w14:textId="77777777" w:rsidR="008014C3" w:rsidRDefault="00750888">
      <w:pPr>
        <w:jc w:val="center"/>
        <w:rPr>
          <w:rFonts w:ascii="Arial" w:eastAsia="Arial" w:hAnsi="Arial" w:cs="Arial"/>
          <w:b/>
          <w:sz w:val="28"/>
          <w:szCs w:val="28"/>
        </w:rPr>
      </w:pPr>
      <w:r>
        <w:rPr>
          <w:rFonts w:ascii="Arial" w:eastAsia="Arial" w:hAnsi="Arial" w:cs="Arial"/>
          <w:b/>
          <w:sz w:val="28"/>
          <w:szCs w:val="28"/>
        </w:rPr>
        <w:t xml:space="preserve">74º SESIÓN </w:t>
      </w:r>
    </w:p>
    <w:p w14:paraId="5E63200F" w14:textId="77777777" w:rsidR="008014C3" w:rsidRDefault="00750888">
      <w:pPr>
        <w:jc w:val="center"/>
        <w:rPr>
          <w:rFonts w:ascii="Arial" w:eastAsia="Arial" w:hAnsi="Arial" w:cs="Arial"/>
          <w:b/>
          <w:sz w:val="28"/>
          <w:szCs w:val="28"/>
        </w:rPr>
      </w:pPr>
      <w:r>
        <w:rPr>
          <w:rFonts w:ascii="Arial" w:eastAsia="Arial" w:hAnsi="Arial" w:cs="Arial"/>
          <w:b/>
          <w:sz w:val="28"/>
          <w:szCs w:val="28"/>
        </w:rPr>
        <w:t xml:space="preserve">COMITÉ DE DERECHOS ECONÓMICOS SOCIALES Y CULTURALES. </w:t>
      </w:r>
    </w:p>
    <w:p w14:paraId="1BD1C880" w14:textId="77777777" w:rsidR="008014C3" w:rsidRDefault="008014C3">
      <w:pPr>
        <w:spacing w:after="0" w:line="240" w:lineRule="auto"/>
        <w:rPr>
          <w:b/>
          <w:sz w:val="28"/>
          <w:szCs w:val="28"/>
        </w:rPr>
      </w:pPr>
    </w:p>
    <w:p w14:paraId="5A05A34D" w14:textId="77777777" w:rsidR="008014C3" w:rsidRDefault="008014C3">
      <w:pPr>
        <w:spacing w:after="0" w:line="240" w:lineRule="auto"/>
        <w:jc w:val="center"/>
        <w:rPr>
          <w:b/>
          <w:sz w:val="28"/>
          <w:szCs w:val="28"/>
        </w:rPr>
      </w:pPr>
    </w:p>
    <w:p w14:paraId="2556A1C8" w14:textId="77777777" w:rsidR="008014C3" w:rsidRDefault="008014C3">
      <w:pPr>
        <w:spacing w:after="0" w:line="240" w:lineRule="auto"/>
        <w:jc w:val="center"/>
        <w:rPr>
          <w:b/>
          <w:sz w:val="28"/>
          <w:szCs w:val="28"/>
        </w:rPr>
      </w:pPr>
    </w:p>
    <w:p w14:paraId="07894336" w14:textId="77777777" w:rsidR="008014C3" w:rsidRDefault="008014C3">
      <w:pPr>
        <w:spacing w:after="0" w:line="240" w:lineRule="auto"/>
        <w:jc w:val="center"/>
        <w:rPr>
          <w:b/>
          <w:sz w:val="28"/>
          <w:szCs w:val="28"/>
        </w:rPr>
      </w:pPr>
    </w:p>
    <w:p w14:paraId="37E42205" w14:textId="77777777" w:rsidR="008014C3" w:rsidRDefault="008014C3">
      <w:pPr>
        <w:spacing w:after="0" w:line="240" w:lineRule="auto"/>
        <w:rPr>
          <w:b/>
          <w:sz w:val="28"/>
          <w:szCs w:val="28"/>
        </w:rPr>
      </w:pPr>
    </w:p>
    <w:p w14:paraId="45F9E485" w14:textId="77777777" w:rsidR="008014C3" w:rsidRDefault="008014C3">
      <w:pPr>
        <w:spacing w:after="0" w:line="240" w:lineRule="auto"/>
        <w:jc w:val="center"/>
        <w:rPr>
          <w:b/>
          <w:sz w:val="28"/>
          <w:szCs w:val="28"/>
        </w:rPr>
      </w:pPr>
    </w:p>
    <w:p w14:paraId="1EC09FD4" w14:textId="77777777" w:rsidR="008014C3" w:rsidRDefault="008014C3">
      <w:pPr>
        <w:spacing w:after="0" w:line="240" w:lineRule="auto"/>
        <w:jc w:val="center"/>
        <w:rPr>
          <w:b/>
          <w:sz w:val="28"/>
          <w:szCs w:val="28"/>
        </w:rPr>
      </w:pPr>
    </w:p>
    <w:p w14:paraId="5EC055DD" w14:textId="77777777" w:rsidR="008014C3" w:rsidRDefault="008014C3">
      <w:pPr>
        <w:spacing w:after="0" w:line="240" w:lineRule="auto"/>
        <w:jc w:val="center"/>
        <w:rPr>
          <w:b/>
          <w:sz w:val="28"/>
          <w:szCs w:val="28"/>
        </w:rPr>
      </w:pPr>
    </w:p>
    <w:p w14:paraId="13AAF4ED" w14:textId="77777777" w:rsidR="008014C3" w:rsidRDefault="008014C3">
      <w:pPr>
        <w:spacing w:after="0" w:line="240" w:lineRule="auto"/>
        <w:jc w:val="center"/>
        <w:rPr>
          <w:b/>
          <w:sz w:val="28"/>
          <w:szCs w:val="28"/>
        </w:rPr>
      </w:pPr>
    </w:p>
    <w:p w14:paraId="2082E252" w14:textId="77777777" w:rsidR="008014C3" w:rsidRDefault="008014C3">
      <w:pPr>
        <w:spacing w:after="0" w:line="240" w:lineRule="auto"/>
        <w:jc w:val="center"/>
        <w:rPr>
          <w:b/>
          <w:sz w:val="28"/>
          <w:szCs w:val="28"/>
        </w:rPr>
      </w:pPr>
    </w:p>
    <w:p w14:paraId="58311C6F" w14:textId="77777777" w:rsidR="008014C3" w:rsidRDefault="008014C3">
      <w:pPr>
        <w:spacing w:after="0" w:line="240" w:lineRule="auto"/>
        <w:jc w:val="center"/>
        <w:rPr>
          <w:b/>
          <w:sz w:val="28"/>
          <w:szCs w:val="28"/>
        </w:rPr>
      </w:pPr>
    </w:p>
    <w:p w14:paraId="6F1CB473" w14:textId="77777777" w:rsidR="008014C3" w:rsidRDefault="00750888">
      <w:pPr>
        <w:jc w:val="center"/>
        <w:rPr>
          <w:rFonts w:ascii="Arial" w:eastAsia="Arial" w:hAnsi="Arial" w:cs="Arial"/>
          <w:sz w:val="20"/>
          <w:szCs w:val="20"/>
        </w:rPr>
      </w:pPr>
      <w:r>
        <w:rPr>
          <w:rFonts w:ascii="Arial" w:eastAsia="Arial" w:hAnsi="Arial" w:cs="Arial"/>
          <w:b/>
          <w:sz w:val="20"/>
          <w:szCs w:val="20"/>
        </w:rPr>
        <w:t>Este reporte es presentado por: National Human Right Network. Sede en Madrid. Red Nacional de Derechos Humanos y el Consejo Nacional para la Defensa del Derecho Humano a la Salud con sede en Venezuela</w:t>
      </w:r>
    </w:p>
    <w:p w14:paraId="3B438FB9" w14:textId="77777777" w:rsidR="008014C3" w:rsidRDefault="00750888">
      <w:pPr>
        <w:spacing w:after="0" w:line="240" w:lineRule="auto"/>
        <w:jc w:val="both"/>
        <w:rPr>
          <w:rFonts w:ascii="Arial" w:eastAsia="Arial" w:hAnsi="Arial" w:cs="Arial"/>
          <w:b/>
          <w:sz w:val="20"/>
          <w:szCs w:val="20"/>
        </w:rPr>
      </w:pPr>
      <w:r>
        <w:rPr>
          <w:rFonts w:ascii="Arial" w:eastAsia="Arial" w:hAnsi="Arial" w:cs="Arial"/>
          <w:sz w:val="20"/>
          <w:szCs w:val="20"/>
          <w:highlight w:val="white"/>
        </w:rPr>
        <w:t>La Fundación Red Nacional de Derechos Humanos (RENADDHH</w:t>
      </w:r>
      <w:r>
        <w:rPr>
          <w:rFonts w:ascii="Arial" w:eastAsia="Arial" w:hAnsi="Arial" w:cs="Arial"/>
          <w:sz w:val="20"/>
          <w:szCs w:val="20"/>
          <w:highlight w:val="white"/>
        </w:rPr>
        <w:t>) y el Consejo Nacional para la Defensa del Derecho Humano a la Salud (CNDDHS). tiene como misión: Desarrollar estrategias de investigación educación y divulgación desde enfoques críticos de los derechos humanos dirigidos a toda persona, comunidad, organiz</w:t>
      </w:r>
      <w:r>
        <w:rPr>
          <w:rFonts w:ascii="Arial" w:eastAsia="Arial" w:hAnsi="Arial" w:cs="Arial"/>
          <w:sz w:val="20"/>
          <w:szCs w:val="20"/>
          <w:highlight w:val="white"/>
        </w:rPr>
        <w:t>aciones, movimientos sociales, para contribuir desde la construcción de experiencias significativas con la transformación social  fundada en los valores de justicia equidad igualdad libertad cooperación solidaridad honestidad y corresponsabilidad de acuerd</w:t>
      </w:r>
      <w:r>
        <w:rPr>
          <w:rFonts w:ascii="Arial" w:eastAsia="Arial" w:hAnsi="Arial" w:cs="Arial"/>
          <w:sz w:val="20"/>
          <w:szCs w:val="20"/>
          <w:highlight w:val="white"/>
        </w:rPr>
        <w:t>o al Estado Social de Derecho y de Justicia.</w:t>
      </w:r>
    </w:p>
    <w:p w14:paraId="29ED6E12" w14:textId="77777777" w:rsidR="008014C3" w:rsidRDefault="00750888">
      <w:pPr>
        <w:spacing w:line="360" w:lineRule="auto"/>
        <w:jc w:val="center"/>
        <w:rPr>
          <w:rFonts w:ascii="Arial" w:eastAsia="Arial" w:hAnsi="Arial" w:cs="Arial"/>
          <w:sz w:val="20"/>
          <w:szCs w:val="20"/>
        </w:rPr>
      </w:pPr>
      <w:r>
        <w:rPr>
          <w:rFonts w:ascii="Arial" w:eastAsia="Arial" w:hAnsi="Arial" w:cs="Arial"/>
          <w:sz w:val="20"/>
          <w:szCs w:val="20"/>
        </w:rPr>
        <w:t>Agosto 2023</w:t>
      </w:r>
    </w:p>
    <w:p w14:paraId="14A4756B" w14:textId="77777777" w:rsidR="008014C3" w:rsidRDefault="008014C3">
      <w:pPr>
        <w:spacing w:after="0" w:line="240" w:lineRule="auto"/>
        <w:jc w:val="center"/>
        <w:rPr>
          <w:b/>
          <w:sz w:val="28"/>
          <w:szCs w:val="28"/>
        </w:rPr>
      </w:pPr>
    </w:p>
    <w:p w14:paraId="04394B4A" w14:textId="77777777" w:rsidR="008014C3" w:rsidRDefault="008014C3">
      <w:pPr>
        <w:spacing w:after="0" w:line="240" w:lineRule="auto"/>
        <w:jc w:val="center"/>
        <w:rPr>
          <w:b/>
          <w:sz w:val="28"/>
          <w:szCs w:val="28"/>
        </w:rPr>
      </w:pPr>
    </w:p>
    <w:p w14:paraId="2509F8F4" w14:textId="77777777" w:rsidR="008014C3" w:rsidRDefault="008014C3">
      <w:pPr>
        <w:spacing w:after="0" w:line="240" w:lineRule="auto"/>
        <w:jc w:val="center"/>
        <w:rPr>
          <w:b/>
          <w:sz w:val="28"/>
          <w:szCs w:val="28"/>
        </w:rPr>
      </w:pPr>
    </w:p>
    <w:p w14:paraId="0AA05C6B" w14:textId="77777777" w:rsidR="008014C3" w:rsidRDefault="008014C3">
      <w:pPr>
        <w:spacing w:after="0" w:line="240" w:lineRule="auto"/>
        <w:jc w:val="center"/>
        <w:rPr>
          <w:b/>
          <w:sz w:val="28"/>
          <w:szCs w:val="28"/>
        </w:rPr>
      </w:pPr>
    </w:p>
    <w:p w14:paraId="45063C0E" w14:textId="77777777" w:rsidR="008014C3" w:rsidRDefault="008014C3">
      <w:pPr>
        <w:spacing w:after="0" w:line="240" w:lineRule="auto"/>
        <w:jc w:val="center"/>
        <w:rPr>
          <w:b/>
          <w:sz w:val="28"/>
          <w:szCs w:val="28"/>
        </w:rPr>
      </w:pPr>
    </w:p>
    <w:p w14:paraId="1B3AADFE" w14:textId="77777777" w:rsidR="008014C3" w:rsidRDefault="008014C3">
      <w:pPr>
        <w:spacing w:after="0" w:line="240" w:lineRule="auto"/>
        <w:jc w:val="both"/>
        <w:rPr>
          <w:rFonts w:ascii="Arial" w:eastAsia="Arial" w:hAnsi="Arial" w:cs="Arial"/>
          <w:b/>
          <w:sz w:val="24"/>
          <w:szCs w:val="24"/>
        </w:rPr>
      </w:pPr>
    </w:p>
    <w:p w14:paraId="3531B900" w14:textId="77777777" w:rsidR="008014C3" w:rsidRDefault="00750888">
      <w:pPr>
        <w:pStyle w:val="Heading4"/>
        <w:spacing w:before="0" w:after="0" w:line="240" w:lineRule="auto"/>
        <w:jc w:val="center"/>
        <w:rPr>
          <w:rFonts w:ascii="Arial" w:eastAsia="Arial" w:hAnsi="Arial" w:cs="Arial"/>
        </w:rPr>
      </w:pPr>
      <w:bookmarkStart w:id="0" w:name="_heading=h.efr8vdp7kbd6" w:colFirst="0" w:colLast="0"/>
      <w:bookmarkEnd w:id="0"/>
      <w:r>
        <w:rPr>
          <w:rFonts w:ascii="Arial" w:eastAsia="Arial" w:hAnsi="Arial" w:cs="Arial"/>
        </w:rPr>
        <w:t>DERECHOS ECONÓMICOS Y RIESGO DE POBREZA EN FRANCIA</w:t>
      </w:r>
    </w:p>
    <w:p w14:paraId="4F92F2AA" w14:textId="77777777" w:rsidR="008014C3" w:rsidRDefault="00750888">
      <w:pPr>
        <w:jc w:val="center"/>
        <w:rPr>
          <w:rFonts w:ascii="Arial" w:eastAsia="Arial" w:hAnsi="Arial" w:cs="Arial"/>
          <w:b/>
          <w:sz w:val="24"/>
          <w:szCs w:val="24"/>
        </w:rPr>
      </w:pPr>
      <w:r>
        <w:rPr>
          <w:rFonts w:ascii="Arial" w:eastAsia="Arial" w:hAnsi="Arial" w:cs="Arial"/>
          <w:b/>
          <w:sz w:val="24"/>
          <w:szCs w:val="24"/>
        </w:rPr>
        <w:t xml:space="preserve">Reporte en base a al Informe E/C.12/FRA/QPR/5 Ítem 18 </w:t>
      </w:r>
    </w:p>
    <w:p w14:paraId="53745067" w14:textId="77777777" w:rsidR="008014C3" w:rsidRDefault="00750888">
      <w:pPr>
        <w:numPr>
          <w:ilvl w:val="0"/>
          <w:numId w:val="1"/>
        </w:numPr>
        <w:spacing w:after="0" w:line="240" w:lineRule="auto"/>
        <w:jc w:val="both"/>
        <w:rPr>
          <w:rFonts w:ascii="Arial" w:eastAsia="Arial" w:hAnsi="Arial" w:cs="Arial"/>
          <w:sz w:val="24"/>
          <w:szCs w:val="24"/>
        </w:rPr>
      </w:pPr>
      <w:r>
        <w:rPr>
          <w:rFonts w:ascii="Arial" w:eastAsia="Arial" w:hAnsi="Arial" w:cs="Arial"/>
          <w:sz w:val="24"/>
          <w:szCs w:val="24"/>
        </w:rPr>
        <w:t>La alta tasa de riesgo de pobreza entre las mujeres,los bajos ingresos de los jóvenes y</w:t>
      </w:r>
      <w:r>
        <w:rPr>
          <w:rFonts w:ascii="Arial" w:eastAsia="Arial" w:hAnsi="Arial" w:cs="Arial"/>
          <w:sz w:val="24"/>
          <w:szCs w:val="24"/>
        </w:rPr>
        <w:t xml:space="preserve"> el estancamiento en la tasa de pobreza de los adultos mayores, son retos por superar.</w:t>
      </w:r>
    </w:p>
    <w:p w14:paraId="303D67CB" w14:textId="77777777" w:rsidR="008014C3" w:rsidRDefault="008014C3">
      <w:pPr>
        <w:ind w:left="720"/>
        <w:jc w:val="both"/>
        <w:rPr>
          <w:rFonts w:ascii="Arial" w:eastAsia="Arial" w:hAnsi="Arial" w:cs="Arial"/>
          <w:sz w:val="24"/>
          <w:szCs w:val="24"/>
        </w:rPr>
      </w:pPr>
    </w:p>
    <w:p w14:paraId="3EC3B18F" w14:textId="77777777" w:rsidR="008014C3" w:rsidRDefault="00750888">
      <w:pPr>
        <w:numPr>
          <w:ilvl w:val="0"/>
          <w:numId w:val="1"/>
        </w:numPr>
        <w:spacing w:after="0"/>
        <w:jc w:val="both"/>
        <w:rPr>
          <w:rFonts w:ascii="Arial" w:eastAsia="Arial" w:hAnsi="Arial" w:cs="Arial"/>
          <w:sz w:val="24"/>
          <w:szCs w:val="24"/>
        </w:rPr>
      </w:pPr>
      <w:r>
        <w:rPr>
          <w:rFonts w:ascii="Arial" w:eastAsia="Arial" w:hAnsi="Arial" w:cs="Arial"/>
          <w:sz w:val="24"/>
          <w:szCs w:val="24"/>
        </w:rPr>
        <w:t>El riesgo de pobreza influye directamente sobre el desarrollo económico, social y cultural de las personas.  En el Pacto Internacional de Derechos Económicos, Sociales y Culturales, Francia se compromete junto a los otros Estados Partes a lograr progresiva</w:t>
      </w:r>
      <w:r>
        <w:rPr>
          <w:rFonts w:ascii="Arial" w:eastAsia="Arial" w:hAnsi="Arial" w:cs="Arial"/>
          <w:sz w:val="24"/>
          <w:szCs w:val="24"/>
        </w:rPr>
        <w:t xml:space="preserve">mente la plena efectividad de los derechos reconocidos en el documento. </w:t>
      </w:r>
    </w:p>
    <w:p w14:paraId="747F9A7B" w14:textId="77777777" w:rsidR="008014C3" w:rsidRDefault="00750888">
      <w:pPr>
        <w:numPr>
          <w:ilvl w:val="0"/>
          <w:numId w:val="1"/>
        </w:numPr>
        <w:spacing w:after="0"/>
        <w:jc w:val="both"/>
        <w:rPr>
          <w:rFonts w:ascii="Arial" w:eastAsia="Arial" w:hAnsi="Arial" w:cs="Arial"/>
          <w:sz w:val="24"/>
          <w:szCs w:val="24"/>
        </w:rPr>
      </w:pPr>
      <w:r>
        <w:rPr>
          <w:rFonts w:ascii="Arial" w:eastAsia="Arial" w:hAnsi="Arial" w:cs="Arial"/>
          <w:sz w:val="24"/>
          <w:szCs w:val="24"/>
        </w:rPr>
        <w:t>Sin embargo, con respecto al 2021, la tasa de riesgo de pobreza en Francia finalizó en 2022 con un incremento significativo: 1.3 puntos porcentuales. De 14,3 % pasó a 15, 6 %. Si habl</w:t>
      </w:r>
      <w:r>
        <w:rPr>
          <w:rFonts w:ascii="Arial" w:eastAsia="Arial" w:hAnsi="Arial" w:cs="Arial"/>
          <w:sz w:val="24"/>
          <w:szCs w:val="24"/>
        </w:rPr>
        <w:t>amos de personas que sufrieron riesgo de pobreza, la cifra es superior a 10.25 millones: 10.280.000 personas en Francia tuvieron ingresos por debajo del “Umbral de pobreza”.</w:t>
      </w:r>
    </w:p>
    <w:p w14:paraId="5E565139" w14:textId="77777777" w:rsidR="008014C3" w:rsidRDefault="00750888">
      <w:pPr>
        <w:numPr>
          <w:ilvl w:val="0"/>
          <w:numId w:val="1"/>
        </w:numPr>
        <w:spacing w:after="0"/>
        <w:jc w:val="both"/>
        <w:rPr>
          <w:rFonts w:ascii="Arial" w:eastAsia="Arial" w:hAnsi="Arial" w:cs="Arial"/>
          <w:sz w:val="24"/>
          <w:szCs w:val="24"/>
        </w:rPr>
      </w:pPr>
      <w:r>
        <w:rPr>
          <w:rFonts w:ascii="Arial" w:eastAsia="Arial" w:hAnsi="Arial" w:cs="Arial"/>
          <w:sz w:val="24"/>
          <w:szCs w:val="24"/>
        </w:rPr>
        <w:t>En comparación con otros países de la región, Italia se mantiene en la misma tasa;</w:t>
      </w:r>
      <w:r>
        <w:rPr>
          <w:rFonts w:ascii="Arial" w:eastAsia="Arial" w:hAnsi="Arial" w:cs="Arial"/>
          <w:sz w:val="24"/>
          <w:szCs w:val="24"/>
        </w:rPr>
        <w:t xml:space="preserve"> mientras que en Alemania, España, Suiza, por considerar algunos, el riesgo de pobreza ha descendido. En el caso particular de Alemania, ha registrado el riesgo de pobreza más bajo en los últimos dieciséis años: 14,7 %.</w:t>
      </w:r>
    </w:p>
    <w:p w14:paraId="3076F151" w14:textId="77777777" w:rsidR="008014C3" w:rsidRDefault="00750888">
      <w:pPr>
        <w:numPr>
          <w:ilvl w:val="0"/>
          <w:numId w:val="1"/>
        </w:numPr>
        <w:spacing w:after="0"/>
        <w:jc w:val="both"/>
        <w:rPr>
          <w:rFonts w:ascii="Arial" w:eastAsia="Arial" w:hAnsi="Arial" w:cs="Arial"/>
          <w:sz w:val="24"/>
          <w:szCs w:val="24"/>
        </w:rPr>
      </w:pPr>
      <w:r>
        <w:rPr>
          <w:rFonts w:ascii="Arial" w:eastAsia="Arial" w:hAnsi="Arial" w:cs="Arial"/>
          <w:sz w:val="24"/>
          <w:szCs w:val="24"/>
        </w:rPr>
        <w:t>El porcentaje de personas de 66 años</w:t>
      </w:r>
      <w:r>
        <w:rPr>
          <w:rFonts w:ascii="Arial" w:eastAsia="Arial" w:hAnsi="Arial" w:cs="Arial"/>
          <w:sz w:val="24"/>
          <w:szCs w:val="24"/>
        </w:rPr>
        <w:t xml:space="preserve"> o más cuyos ingresos caen por debajo de la mitad del ingreso familiar medio de la población total, se ha estancado o disminuido a un ritmo muy bajo en los últimos años. El mensaje a la sociedad es desalentador, pues aquellos que construyeron el bienestar </w:t>
      </w:r>
      <w:r>
        <w:rPr>
          <w:rFonts w:ascii="Arial" w:eastAsia="Arial" w:hAnsi="Arial" w:cs="Arial"/>
          <w:sz w:val="24"/>
          <w:szCs w:val="24"/>
        </w:rPr>
        <w:t>para los que ahora estudian, trabajan y forman sus familias, terminan con ingresos mucho menores como consecuencia de una vida de esfuerzo, sin una mejora en su economía por años.</w:t>
      </w:r>
    </w:p>
    <w:p w14:paraId="5E1482B2" w14:textId="77777777" w:rsidR="008014C3" w:rsidRDefault="00750888">
      <w:pPr>
        <w:numPr>
          <w:ilvl w:val="0"/>
          <w:numId w:val="1"/>
        </w:numPr>
        <w:spacing w:after="0"/>
        <w:jc w:val="both"/>
        <w:rPr>
          <w:rFonts w:ascii="Arial" w:eastAsia="Arial" w:hAnsi="Arial" w:cs="Arial"/>
          <w:sz w:val="24"/>
          <w:szCs w:val="24"/>
        </w:rPr>
      </w:pPr>
      <w:r>
        <w:rPr>
          <w:rFonts w:ascii="Arial" w:eastAsia="Arial" w:hAnsi="Arial" w:cs="Arial"/>
          <w:sz w:val="24"/>
          <w:szCs w:val="24"/>
        </w:rPr>
        <w:t>Que en Francia la tasa de riesgo de pobreza entre las mujeres sea considerab</w:t>
      </w:r>
      <w:r>
        <w:rPr>
          <w:rFonts w:ascii="Arial" w:eastAsia="Arial" w:hAnsi="Arial" w:cs="Arial"/>
          <w:sz w:val="24"/>
          <w:szCs w:val="24"/>
        </w:rPr>
        <w:t>lemente mayor a la de los hombres, nos regresa a brechas de inequidad y de posibilidad de desarrollo entre hombres y mujeres, que en las leyes quizá hayan sido superadas, pero que en la realidad no. Un ejemplo es el porcentaje de discriminación hacia las m</w:t>
      </w:r>
      <w:r>
        <w:rPr>
          <w:rFonts w:ascii="Arial" w:eastAsia="Arial" w:hAnsi="Arial" w:cs="Arial"/>
          <w:sz w:val="24"/>
          <w:szCs w:val="24"/>
        </w:rPr>
        <w:t>adres trabajadoras, que llega al 31 % en este país.</w:t>
      </w:r>
    </w:p>
    <w:p w14:paraId="53E6D170" w14:textId="77777777" w:rsidR="008014C3" w:rsidRDefault="00750888">
      <w:pPr>
        <w:numPr>
          <w:ilvl w:val="0"/>
          <w:numId w:val="1"/>
        </w:numPr>
        <w:jc w:val="both"/>
        <w:rPr>
          <w:rFonts w:ascii="Arial" w:eastAsia="Arial" w:hAnsi="Arial" w:cs="Arial"/>
          <w:sz w:val="24"/>
          <w:szCs w:val="24"/>
        </w:rPr>
      </w:pPr>
      <w:r>
        <w:rPr>
          <w:rFonts w:ascii="Arial" w:eastAsia="Arial" w:hAnsi="Arial" w:cs="Arial"/>
          <w:sz w:val="24"/>
          <w:szCs w:val="24"/>
        </w:rPr>
        <w:t>En Francia, la tasa más alta de riesgo de pobreza la tienen los más jóvenes: 21.7 % de jóvenes tienen ingresos inferiores al umbral de pobreza. En cuanto a los Objetivos de Desarrollo Sostenible, según el</w:t>
      </w:r>
      <w:r>
        <w:rPr>
          <w:rFonts w:ascii="Arial" w:eastAsia="Arial" w:hAnsi="Arial" w:cs="Arial"/>
          <w:sz w:val="24"/>
          <w:szCs w:val="24"/>
        </w:rPr>
        <w:t xml:space="preserve"> Reporte 2023, todavía quedan desafíos importantes, entre otros, en los ODS:</w:t>
      </w:r>
    </w:p>
    <w:p w14:paraId="58FD894E" w14:textId="77777777" w:rsidR="008014C3" w:rsidRDefault="00750888">
      <w:pPr>
        <w:ind w:left="720"/>
        <w:jc w:val="both"/>
        <w:rPr>
          <w:rFonts w:ascii="Arial" w:eastAsia="Arial" w:hAnsi="Arial" w:cs="Arial"/>
          <w:sz w:val="24"/>
          <w:szCs w:val="24"/>
        </w:rPr>
      </w:pPr>
      <w:r>
        <w:rPr>
          <w:rFonts w:ascii="Arial" w:eastAsia="Arial" w:hAnsi="Arial" w:cs="Arial"/>
          <w:sz w:val="24"/>
          <w:szCs w:val="24"/>
        </w:rPr>
        <w:lastRenderedPageBreak/>
        <w:t>A) Buena salud y bienestar: la brecha en la esperanza de vida al nacer entre regiones es de 11.1 años (2020);</w:t>
      </w:r>
    </w:p>
    <w:p w14:paraId="11896A74" w14:textId="77777777" w:rsidR="008014C3" w:rsidRDefault="00750888">
      <w:pPr>
        <w:ind w:left="720"/>
        <w:jc w:val="both"/>
        <w:rPr>
          <w:rFonts w:ascii="Arial" w:eastAsia="Arial" w:hAnsi="Arial" w:cs="Arial"/>
          <w:sz w:val="24"/>
          <w:szCs w:val="24"/>
        </w:rPr>
      </w:pPr>
      <w:r>
        <w:rPr>
          <w:rFonts w:ascii="Arial" w:eastAsia="Arial" w:hAnsi="Arial" w:cs="Arial"/>
          <w:sz w:val="24"/>
          <w:szCs w:val="24"/>
        </w:rPr>
        <w:t xml:space="preserve">B) Educación de calidad: la variación en el desempeño en ciencias explicada por el estatus socioeconómico es de 20.1 % (2018); </w:t>
      </w:r>
    </w:p>
    <w:p w14:paraId="5FC593F1" w14:textId="77777777" w:rsidR="008014C3" w:rsidRDefault="00750888">
      <w:pPr>
        <w:ind w:left="720"/>
        <w:jc w:val="both"/>
        <w:rPr>
          <w:rFonts w:ascii="Arial" w:eastAsia="Arial" w:hAnsi="Arial" w:cs="Arial"/>
          <w:sz w:val="24"/>
          <w:szCs w:val="24"/>
        </w:rPr>
      </w:pPr>
      <w:r>
        <w:rPr>
          <w:rFonts w:ascii="Arial" w:eastAsia="Arial" w:hAnsi="Arial" w:cs="Arial"/>
          <w:sz w:val="24"/>
          <w:szCs w:val="24"/>
        </w:rPr>
        <w:t>C) Trabajo decente</w:t>
      </w:r>
      <w:r>
        <w:rPr>
          <w:rFonts w:ascii="Arial" w:eastAsia="Arial" w:hAnsi="Arial" w:cs="Arial"/>
          <w:sz w:val="24"/>
          <w:szCs w:val="24"/>
        </w:rPr>
        <w:t xml:space="preserve"> y crecimiento económico: en el porcentaje de jóvenes que no trabajan, no estudian ni reciben formación (NEET -  Not in Employment, Education or Training). 15,1 % de la población de 15 a 29 años (2021).</w:t>
      </w:r>
    </w:p>
    <w:p w14:paraId="39C98068" w14:textId="77777777" w:rsidR="008014C3" w:rsidRDefault="008014C3">
      <w:pPr>
        <w:ind w:left="720"/>
        <w:jc w:val="both"/>
        <w:rPr>
          <w:rFonts w:ascii="Arial" w:eastAsia="Arial" w:hAnsi="Arial" w:cs="Arial"/>
          <w:sz w:val="24"/>
          <w:szCs w:val="24"/>
        </w:rPr>
      </w:pPr>
    </w:p>
    <w:p w14:paraId="024FF94A" w14:textId="77777777" w:rsidR="008014C3" w:rsidRDefault="00750888">
      <w:pPr>
        <w:numPr>
          <w:ilvl w:val="0"/>
          <w:numId w:val="1"/>
        </w:numPr>
        <w:jc w:val="both"/>
        <w:rPr>
          <w:rFonts w:ascii="Arial" w:eastAsia="Arial" w:hAnsi="Arial" w:cs="Arial"/>
          <w:sz w:val="24"/>
          <w:szCs w:val="24"/>
        </w:rPr>
      </w:pPr>
      <w:r>
        <w:rPr>
          <w:rFonts w:ascii="Arial" w:eastAsia="Arial" w:hAnsi="Arial" w:cs="Arial"/>
          <w:sz w:val="24"/>
          <w:szCs w:val="24"/>
        </w:rPr>
        <w:t>Francia se encuentra en un alentador 6° lugar de 166</w:t>
      </w:r>
      <w:r>
        <w:rPr>
          <w:rFonts w:ascii="Arial" w:eastAsia="Arial" w:hAnsi="Arial" w:cs="Arial"/>
          <w:sz w:val="24"/>
          <w:szCs w:val="24"/>
        </w:rPr>
        <w:t xml:space="preserve"> países en el ranking de Objetivos de Desarrollo Sostenible, y está entre las diez economías más importantes del mundo, lo que alienta la posibilidad de mejorar los índices en cuanto al riesgo de pobreza de su población.</w:t>
      </w:r>
    </w:p>
    <w:p w14:paraId="511B47C0" w14:textId="77777777" w:rsidR="008014C3" w:rsidRDefault="008014C3">
      <w:pPr>
        <w:ind w:left="720"/>
        <w:jc w:val="both"/>
        <w:rPr>
          <w:rFonts w:ascii="Arial" w:eastAsia="Arial" w:hAnsi="Arial" w:cs="Arial"/>
          <w:sz w:val="24"/>
          <w:szCs w:val="24"/>
        </w:rPr>
      </w:pPr>
    </w:p>
    <w:p w14:paraId="1E9C6F9D" w14:textId="77777777" w:rsidR="008014C3" w:rsidRDefault="00750888">
      <w:pPr>
        <w:pStyle w:val="Heading4"/>
        <w:spacing w:before="0" w:after="0" w:line="240" w:lineRule="auto"/>
        <w:ind w:left="720"/>
        <w:jc w:val="both"/>
        <w:rPr>
          <w:rFonts w:ascii="Arial" w:eastAsia="Arial" w:hAnsi="Arial" w:cs="Arial"/>
        </w:rPr>
      </w:pPr>
      <w:bookmarkStart w:id="1" w:name="_heading=h.bg5y9q2txp7z" w:colFirst="0" w:colLast="0"/>
      <w:bookmarkEnd w:id="1"/>
      <w:r>
        <w:rPr>
          <w:rFonts w:ascii="Arial" w:eastAsia="Arial" w:hAnsi="Arial" w:cs="Arial"/>
        </w:rPr>
        <w:t xml:space="preserve">Informe E/C.12/FRA/QPR/5 Ítem 23, </w:t>
      </w:r>
      <w:r>
        <w:rPr>
          <w:rFonts w:ascii="Arial" w:eastAsia="Arial" w:hAnsi="Arial" w:cs="Arial"/>
        </w:rPr>
        <w:t>24 y 25</w:t>
      </w:r>
    </w:p>
    <w:p w14:paraId="7272A2DD" w14:textId="77777777" w:rsidR="008014C3" w:rsidRDefault="008014C3">
      <w:pPr>
        <w:ind w:left="720"/>
        <w:jc w:val="both"/>
        <w:rPr>
          <w:rFonts w:ascii="Arial" w:eastAsia="Arial" w:hAnsi="Arial" w:cs="Arial"/>
          <w:sz w:val="24"/>
          <w:szCs w:val="24"/>
        </w:rPr>
      </w:pPr>
    </w:p>
    <w:p w14:paraId="32DEE768" w14:textId="77777777" w:rsidR="008014C3" w:rsidRDefault="00750888">
      <w:pPr>
        <w:numPr>
          <w:ilvl w:val="0"/>
          <w:numId w:val="1"/>
        </w:numPr>
        <w:spacing w:after="0"/>
        <w:jc w:val="both"/>
        <w:rPr>
          <w:rFonts w:ascii="Arial" w:eastAsia="Arial" w:hAnsi="Arial" w:cs="Arial"/>
          <w:sz w:val="24"/>
          <w:szCs w:val="24"/>
          <w:highlight w:val="white"/>
        </w:rPr>
      </w:pPr>
      <w:r>
        <w:rPr>
          <w:rFonts w:ascii="Arial" w:eastAsia="Arial" w:hAnsi="Arial" w:cs="Arial"/>
          <w:sz w:val="24"/>
          <w:szCs w:val="24"/>
          <w:highlight w:val="white"/>
        </w:rPr>
        <w:t>El gobierno no aumentó las tarifas de la T2A en 2018; al contrario, en 1028 las bajó en un 0,5% y no las volvió a subir, y solo aumentó en un 0,2%, en 2019. En cuanto a los 19 mil millones de inversiones anunciadas repetidamente, están programadas</w:t>
      </w:r>
      <w:r>
        <w:rPr>
          <w:rFonts w:ascii="Arial" w:eastAsia="Arial" w:hAnsi="Arial" w:cs="Arial"/>
          <w:sz w:val="24"/>
          <w:szCs w:val="24"/>
          <w:highlight w:val="white"/>
        </w:rPr>
        <w:t xml:space="preserve"> a diez años, incluyen una parte de la recuperación de la deuda y no están destinadas solo al hospital, sino también a la ciudad y a lo médico-social.</w:t>
      </w:r>
    </w:p>
    <w:p w14:paraId="2C6042A5" w14:textId="77777777" w:rsidR="008014C3" w:rsidRDefault="00750888">
      <w:pPr>
        <w:numPr>
          <w:ilvl w:val="0"/>
          <w:numId w:val="1"/>
        </w:numPr>
        <w:jc w:val="both"/>
        <w:rPr>
          <w:rFonts w:ascii="Arial" w:eastAsia="Arial" w:hAnsi="Arial" w:cs="Arial"/>
          <w:sz w:val="24"/>
          <w:szCs w:val="24"/>
        </w:rPr>
      </w:pPr>
      <w:r>
        <w:rPr>
          <w:rFonts w:ascii="Arial" w:eastAsia="Arial" w:hAnsi="Arial" w:cs="Arial"/>
          <w:sz w:val="24"/>
          <w:szCs w:val="24"/>
          <w:highlight w:val="white"/>
        </w:rPr>
        <w:t xml:space="preserve">De acuerdo al informe presentado por </w:t>
      </w:r>
      <w:r>
        <w:rPr>
          <w:rFonts w:ascii="Arial" w:eastAsia="Arial" w:hAnsi="Arial" w:cs="Arial"/>
          <w:sz w:val="24"/>
          <w:szCs w:val="24"/>
        </w:rPr>
        <w:t>IRIS PAHO Francia presenta grandes dificultades en los territorios f</w:t>
      </w:r>
      <w:r>
        <w:rPr>
          <w:rFonts w:ascii="Arial" w:eastAsia="Arial" w:hAnsi="Arial" w:cs="Arial"/>
          <w:sz w:val="24"/>
          <w:szCs w:val="24"/>
        </w:rPr>
        <w:t>rancés en Latinoamérica:</w:t>
      </w:r>
    </w:p>
    <w:p w14:paraId="03E980D2" w14:textId="77777777" w:rsidR="008014C3" w:rsidRDefault="00750888">
      <w:pPr>
        <w:ind w:left="720"/>
        <w:jc w:val="both"/>
        <w:rPr>
          <w:rFonts w:ascii="Arial" w:eastAsia="Arial" w:hAnsi="Arial" w:cs="Arial"/>
          <w:sz w:val="24"/>
          <w:szCs w:val="24"/>
          <w:highlight w:val="white"/>
        </w:rPr>
      </w:pPr>
      <w:r>
        <w:rPr>
          <w:rFonts w:ascii="Arial" w:eastAsia="Arial" w:hAnsi="Arial" w:cs="Arial"/>
          <w:sz w:val="24"/>
          <w:szCs w:val="24"/>
          <w:highlight w:val="white"/>
        </w:rPr>
        <w:t>Las personas que viven en los territorios franceses, o que están de visita en ellos, están expuestas a riesgos específicos: principalmente traumatismos graves causados por el tránsito, envenenamiento por mordeduras, heridas de bala</w:t>
      </w:r>
      <w:r>
        <w:rPr>
          <w:rFonts w:ascii="Arial" w:eastAsia="Arial" w:hAnsi="Arial" w:cs="Arial"/>
          <w:sz w:val="24"/>
          <w:szCs w:val="24"/>
          <w:highlight w:val="white"/>
        </w:rPr>
        <w:t xml:space="preserve"> o por apuñalamiento, y enfermedades infecciosas tropicales emergentes. La atención de estos traumatismos y enfermedades puede requerir conocimientos específicos y cuidados intensivos. Sin embargo, no hay suficientes camas de UCI en los territorios frances</w:t>
      </w:r>
      <w:r>
        <w:rPr>
          <w:rFonts w:ascii="Arial" w:eastAsia="Arial" w:hAnsi="Arial" w:cs="Arial"/>
          <w:sz w:val="24"/>
          <w:szCs w:val="24"/>
          <w:highlight w:val="white"/>
        </w:rPr>
        <w:t xml:space="preserve">es. De hecho, hay 7,2 camas de UCI por 100 000 habitantes en Guadalupe, 7,2 en Martinica y 4,5 en Guayana Francesa. </w:t>
      </w:r>
    </w:p>
    <w:p w14:paraId="2FFFB9B4" w14:textId="77777777" w:rsidR="008014C3" w:rsidRDefault="00750888">
      <w:pPr>
        <w:numPr>
          <w:ilvl w:val="0"/>
          <w:numId w:val="1"/>
        </w:numPr>
        <w:jc w:val="both"/>
        <w:rPr>
          <w:rFonts w:ascii="Arial" w:eastAsia="Arial" w:hAnsi="Arial" w:cs="Arial"/>
          <w:sz w:val="24"/>
          <w:szCs w:val="24"/>
          <w:highlight w:val="white"/>
        </w:rPr>
      </w:pPr>
      <w:r>
        <w:rPr>
          <w:rFonts w:ascii="Arial" w:eastAsia="Arial" w:hAnsi="Arial" w:cs="Arial"/>
          <w:sz w:val="24"/>
          <w:szCs w:val="24"/>
          <w:highlight w:val="white"/>
        </w:rPr>
        <w:t>Además, los pacientes gravemente enfermos que viven en zonas remotas a menudo tienen que ser trasladados, normalmente por helicóptero, lo q</w:t>
      </w:r>
      <w:r>
        <w:rPr>
          <w:rFonts w:ascii="Arial" w:eastAsia="Arial" w:hAnsi="Arial" w:cs="Arial"/>
          <w:sz w:val="24"/>
          <w:szCs w:val="24"/>
          <w:highlight w:val="white"/>
        </w:rPr>
        <w:t>ue retrasa su ingreso en la unidad de cuidados intensivos. La crisis de la COVID-19 ha puesto de manifiesto que el sistema de atención de salud en los territorios franceses no está preparado para enfrentarse a una epidemia de estas dimensiones y que debe a</w:t>
      </w:r>
      <w:r>
        <w:rPr>
          <w:rFonts w:ascii="Arial" w:eastAsia="Arial" w:hAnsi="Arial" w:cs="Arial"/>
          <w:sz w:val="24"/>
          <w:szCs w:val="24"/>
          <w:highlight w:val="white"/>
        </w:rPr>
        <w:t>umentarse la capacidad hospitalaria de las unidades de cuidados intensivos.</w:t>
      </w:r>
    </w:p>
    <w:p w14:paraId="0083F7D3" w14:textId="77777777" w:rsidR="008014C3" w:rsidRDefault="008014C3">
      <w:pPr>
        <w:ind w:left="720"/>
        <w:jc w:val="both"/>
        <w:rPr>
          <w:rFonts w:ascii="Arial" w:eastAsia="Arial" w:hAnsi="Arial" w:cs="Arial"/>
          <w:sz w:val="24"/>
          <w:szCs w:val="24"/>
          <w:highlight w:val="white"/>
        </w:rPr>
      </w:pPr>
    </w:p>
    <w:p w14:paraId="61C70D6D" w14:textId="77777777" w:rsidR="008014C3" w:rsidRDefault="008014C3">
      <w:pPr>
        <w:ind w:left="720"/>
        <w:jc w:val="both"/>
        <w:rPr>
          <w:rFonts w:ascii="Arial" w:eastAsia="Arial" w:hAnsi="Arial" w:cs="Arial"/>
          <w:sz w:val="24"/>
          <w:szCs w:val="24"/>
          <w:highlight w:val="white"/>
        </w:rPr>
      </w:pPr>
    </w:p>
    <w:p w14:paraId="2C5AFC25" w14:textId="77777777" w:rsidR="008014C3" w:rsidRDefault="008014C3">
      <w:pPr>
        <w:ind w:left="720"/>
        <w:jc w:val="both"/>
        <w:rPr>
          <w:rFonts w:ascii="Arial" w:eastAsia="Arial" w:hAnsi="Arial" w:cs="Arial"/>
          <w:sz w:val="24"/>
          <w:szCs w:val="24"/>
          <w:highlight w:val="white"/>
        </w:rPr>
      </w:pPr>
    </w:p>
    <w:p w14:paraId="3987EBD0" w14:textId="77777777" w:rsidR="008014C3" w:rsidRDefault="008014C3">
      <w:pPr>
        <w:ind w:left="720"/>
        <w:jc w:val="both"/>
        <w:rPr>
          <w:rFonts w:ascii="Arial" w:eastAsia="Arial" w:hAnsi="Arial" w:cs="Arial"/>
          <w:sz w:val="24"/>
          <w:szCs w:val="24"/>
          <w:highlight w:val="white"/>
        </w:rPr>
      </w:pPr>
    </w:p>
    <w:p w14:paraId="2E6E5245" w14:textId="77777777" w:rsidR="008014C3" w:rsidRDefault="00750888">
      <w:pPr>
        <w:numPr>
          <w:ilvl w:val="0"/>
          <w:numId w:val="1"/>
        </w:numPr>
        <w:spacing w:after="0"/>
        <w:jc w:val="both"/>
        <w:rPr>
          <w:rFonts w:ascii="Arial" w:eastAsia="Arial" w:hAnsi="Arial" w:cs="Arial"/>
          <w:sz w:val="24"/>
          <w:szCs w:val="24"/>
          <w:highlight w:val="white"/>
        </w:rPr>
      </w:pPr>
      <w:r>
        <w:rPr>
          <w:rFonts w:ascii="Arial" w:eastAsia="Arial" w:hAnsi="Arial" w:cs="Arial"/>
          <w:sz w:val="24"/>
          <w:szCs w:val="24"/>
          <w:highlight w:val="white"/>
        </w:rPr>
        <w:t>Según Informe de UNICEF y SAMUS SOCIAL de Francia titulado “Crecer sin Hogar” : A partir de agosto de 2022, más de 42,000 niños vivían en refugios de emergencia, refugios impro</w:t>
      </w:r>
      <w:r>
        <w:rPr>
          <w:rFonts w:ascii="Arial" w:eastAsia="Arial" w:hAnsi="Arial" w:cs="Arial"/>
          <w:sz w:val="24"/>
          <w:szCs w:val="24"/>
          <w:highlight w:val="white"/>
        </w:rPr>
        <w:t xml:space="preserve">visados o en las calles, </w:t>
      </w:r>
      <w:hyperlink r:id="rId8">
        <w:r>
          <w:rPr>
            <w:rFonts w:ascii="Arial" w:eastAsia="Arial" w:hAnsi="Arial" w:cs="Arial"/>
            <w:sz w:val="24"/>
            <w:szCs w:val="24"/>
            <w:highlight w:val="white"/>
          </w:rPr>
          <w:t>según UNICEF Francia y la Federación de Actores Solidarios</w:t>
        </w:r>
      </w:hyperlink>
      <w:r>
        <w:rPr>
          <w:rFonts w:ascii="Arial" w:eastAsia="Arial" w:hAnsi="Arial" w:cs="Arial"/>
          <w:sz w:val="24"/>
          <w:szCs w:val="24"/>
          <w:highlight w:val="white"/>
        </w:rPr>
        <w:t>. Estos niños experimentan realid</w:t>
      </w:r>
      <w:r>
        <w:rPr>
          <w:rFonts w:ascii="Arial" w:eastAsia="Arial" w:hAnsi="Arial" w:cs="Arial"/>
          <w:sz w:val="24"/>
          <w:szCs w:val="24"/>
          <w:highlight w:val="white"/>
        </w:rPr>
        <w:t>ades muy diferentes, pero todos se enfrentan a la precariedad inherente a la falta de vivienda.</w:t>
      </w:r>
    </w:p>
    <w:p w14:paraId="5956F463" w14:textId="77777777" w:rsidR="008014C3" w:rsidRDefault="00750888">
      <w:pPr>
        <w:numPr>
          <w:ilvl w:val="0"/>
          <w:numId w:val="1"/>
        </w:numPr>
        <w:shd w:val="clear" w:color="auto" w:fill="FFFFFF"/>
        <w:spacing w:after="0"/>
        <w:jc w:val="both"/>
        <w:rPr>
          <w:rFonts w:ascii="Arial" w:eastAsia="Arial" w:hAnsi="Arial" w:cs="Arial"/>
          <w:sz w:val="24"/>
          <w:szCs w:val="24"/>
          <w:highlight w:val="white"/>
        </w:rPr>
      </w:pPr>
      <w:r>
        <w:rPr>
          <w:rFonts w:ascii="Arial" w:eastAsia="Arial" w:hAnsi="Arial" w:cs="Arial"/>
          <w:sz w:val="24"/>
          <w:szCs w:val="24"/>
          <w:highlight w:val="white"/>
        </w:rPr>
        <w:t xml:space="preserve">Esta precariedad tiene graves consecuencias para </w:t>
      </w:r>
      <w:hyperlink r:id="rId9">
        <w:r>
          <w:rPr>
            <w:rFonts w:ascii="Arial" w:eastAsia="Arial" w:hAnsi="Arial" w:cs="Arial"/>
            <w:sz w:val="24"/>
            <w:szCs w:val="24"/>
            <w:highlight w:val="white"/>
          </w:rPr>
          <w:t>la salud mental de los niños</w:t>
        </w:r>
      </w:hyperlink>
      <w:r>
        <w:rPr>
          <w:rFonts w:ascii="Arial" w:eastAsia="Arial" w:hAnsi="Arial" w:cs="Arial"/>
          <w:sz w:val="24"/>
          <w:szCs w:val="24"/>
          <w:highlight w:val="white"/>
        </w:rPr>
        <w:t>. Y esto, especialmente porque la infancia es un período sensible de desarrollo durante el cual se sientan las bases de la salud mental de los individuos.</w:t>
      </w:r>
    </w:p>
    <w:p w14:paraId="77EA5334" w14:textId="77777777" w:rsidR="008014C3" w:rsidRDefault="00750888">
      <w:pPr>
        <w:numPr>
          <w:ilvl w:val="0"/>
          <w:numId w:val="1"/>
        </w:numPr>
        <w:jc w:val="both"/>
        <w:rPr>
          <w:rFonts w:ascii="Arial" w:eastAsia="Arial" w:hAnsi="Arial" w:cs="Arial"/>
          <w:sz w:val="24"/>
          <w:szCs w:val="24"/>
        </w:rPr>
      </w:pPr>
      <w:r>
        <w:rPr>
          <w:rFonts w:ascii="Arial" w:eastAsia="Arial" w:hAnsi="Arial" w:cs="Arial"/>
          <w:sz w:val="24"/>
          <w:szCs w:val="24"/>
        </w:rPr>
        <w:t>El Colegio de Médicos informa una reducción de un tercio en el número de médic</w:t>
      </w:r>
      <w:r>
        <w:rPr>
          <w:rFonts w:ascii="Arial" w:eastAsia="Arial" w:hAnsi="Arial" w:cs="Arial"/>
          <w:sz w:val="24"/>
          <w:szCs w:val="24"/>
        </w:rPr>
        <w:t>os calificados para ejercer la psiquiatría infantil en Francia entre 2010 (3.113 profesionales) y 2022 (2.039 profesionales). A corto plazo, la situación no parece mejorar dado que un tercio (36,4%) de los médicos en activo en psiquiatría infantil hay jubi</w:t>
      </w:r>
      <w:r>
        <w:rPr>
          <w:rFonts w:ascii="Arial" w:eastAsia="Arial" w:hAnsi="Arial" w:cs="Arial"/>
          <w:sz w:val="24"/>
          <w:szCs w:val="24"/>
        </w:rPr>
        <w:t>lados todavía en actividad y que la edad promedio de los trabajadores regulares, excluidos los jubilados, es de 56 años. La psiquiatría infantil en Francia se encuentra hoy en una situación tan crítica que impide el acceso al tratamiento. El tratamiento de</w:t>
      </w:r>
      <w:r>
        <w:rPr>
          <w:rFonts w:ascii="Arial" w:eastAsia="Arial" w:hAnsi="Arial" w:cs="Arial"/>
          <w:sz w:val="24"/>
          <w:szCs w:val="24"/>
        </w:rPr>
        <w:t xml:space="preserve"> los trastornos psiquiátricos en niños puede llevar varios años.</w:t>
      </w:r>
    </w:p>
    <w:p w14:paraId="7386D88A" w14:textId="77777777" w:rsidR="008014C3" w:rsidRDefault="00750888">
      <w:pPr>
        <w:ind w:left="720"/>
        <w:jc w:val="both"/>
        <w:rPr>
          <w:rFonts w:ascii="Arial" w:eastAsia="Arial" w:hAnsi="Arial" w:cs="Arial"/>
          <w:b/>
          <w:sz w:val="24"/>
          <w:szCs w:val="24"/>
        </w:rPr>
      </w:pPr>
      <w:r>
        <w:rPr>
          <w:rFonts w:ascii="Arial" w:eastAsia="Arial" w:hAnsi="Arial" w:cs="Arial"/>
          <w:b/>
          <w:sz w:val="24"/>
          <w:szCs w:val="24"/>
        </w:rPr>
        <w:t>Recomendaciones:</w:t>
      </w:r>
    </w:p>
    <w:p w14:paraId="172E20A5" w14:textId="77777777" w:rsidR="008014C3" w:rsidRDefault="00750888">
      <w:pPr>
        <w:numPr>
          <w:ilvl w:val="0"/>
          <w:numId w:val="1"/>
        </w:numPr>
        <w:spacing w:after="0"/>
        <w:jc w:val="both"/>
        <w:rPr>
          <w:rFonts w:ascii="Arial" w:eastAsia="Arial" w:hAnsi="Arial" w:cs="Arial"/>
          <w:sz w:val="24"/>
          <w:szCs w:val="24"/>
        </w:rPr>
      </w:pPr>
      <w:r>
        <w:rPr>
          <w:rFonts w:ascii="Arial" w:eastAsia="Arial" w:hAnsi="Arial" w:cs="Arial"/>
          <w:sz w:val="24"/>
          <w:szCs w:val="24"/>
        </w:rPr>
        <w:t>Que el Estado informe sobre las medidas adoptadas para atender a las personas en pobreza extrema en especial los grupos vulnerables.</w:t>
      </w:r>
    </w:p>
    <w:p w14:paraId="5FA70CD1" w14:textId="77777777" w:rsidR="008014C3" w:rsidRDefault="00750888">
      <w:pPr>
        <w:numPr>
          <w:ilvl w:val="0"/>
          <w:numId w:val="1"/>
        </w:numPr>
        <w:spacing w:after="0"/>
        <w:jc w:val="both"/>
        <w:rPr>
          <w:rFonts w:ascii="Arial" w:eastAsia="Arial" w:hAnsi="Arial" w:cs="Arial"/>
          <w:sz w:val="24"/>
          <w:szCs w:val="24"/>
        </w:rPr>
      </w:pPr>
      <w:r>
        <w:rPr>
          <w:rFonts w:ascii="Arial" w:eastAsia="Arial" w:hAnsi="Arial" w:cs="Arial"/>
          <w:sz w:val="24"/>
          <w:szCs w:val="24"/>
        </w:rPr>
        <w:t>Que el Estado informe sobre los niveles de precariedad laboral.</w:t>
      </w:r>
    </w:p>
    <w:p w14:paraId="26A39494" w14:textId="77777777" w:rsidR="008014C3" w:rsidRDefault="00750888">
      <w:pPr>
        <w:numPr>
          <w:ilvl w:val="0"/>
          <w:numId w:val="1"/>
        </w:numPr>
        <w:spacing w:after="0"/>
        <w:jc w:val="both"/>
        <w:rPr>
          <w:rFonts w:ascii="Arial" w:eastAsia="Arial" w:hAnsi="Arial" w:cs="Arial"/>
          <w:sz w:val="24"/>
          <w:szCs w:val="24"/>
        </w:rPr>
      </w:pPr>
      <w:r>
        <w:rPr>
          <w:rFonts w:ascii="Arial" w:eastAsia="Arial" w:hAnsi="Arial" w:cs="Arial"/>
          <w:sz w:val="24"/>
          <w:szCs w:val="24"/>
        </w:rPr>
        <w:t>Que el Estado informe sobre las medidas adoptadas para revertir la precariedad en el Sistema de Salud Público.</w:t>
      </w:r>
    </w:p>
    <w:p w14:paraId="6C87C5C2" w14:textId="77777777" w:rsidR="008014C3" w:rsidRDefault="00750888">
      <w:pPr>
        <w:numPr>
          <w:ilvl w:val="0"/>
          <w:numId w:val="1"/>
        </w:numPr>
        <w:spacing w:after="0"/>
        <w:jc w:val="both"/>
        <w:rPr>
          <w:rFonts w:ascii="Arial" w:eastAsia="Arial" w:hAnsi="Arial" w:cs="Arial"/>
          <w:sz w:val="24"/>
          <w:szCs w:val="24"/>
        </w:rPr>
      </w:pPr>
      <w:r>
        <w:rPr>
          <w:rFonts w:ascii="Arial" w:eastAsia="Arial" w:hAnsi="Arial" w:cs="Arial"/>
          <w:sz w:val="24"/>
          <w:szCs w:val="24"/>
        </w:rPr>
        <w:t>Que el Estado informe sobre el presupuesto asignado para atender el Sistema de Salud en territorio Ultramar y las medidas adoptadas para minimiza</w:t>
      </w:r>
      <w:r>
        <w:rPr>
          <w:rFonts w:ascii="Arial" w:eastAsia="Arial" w:hAnsi="Arial" w:cs="Arial"/>
          <w:sz w:val="24"/>
          <w:szCs w:val="24"/>
        </w:rPr>
        <w:t xml:space="preserve">r el impacto de la pandemia COVID-19. </w:t>
      </w:r>
    </w:p>
    <w:p w14:paraId="2FBA9512" w14:textId="77777777" w:rsidR="008014C3" w:rsidRDefault="00750888">
      <w:pPr>
        <w:numPr>
          <w:ilvl w:val="0"/>
          <w:numId w:val="1"/>
        </w:numPr>
        <w:jc w:val="both"/>
        <w:rPr>
          <w:rFonts w:ascii="Arial" w:eastAsia="Arial" w:hAnsi="Arial" w:cs="Arial"/>
          <w:sz w:val="24"/>
          <w:szCs w:val="24"/>
        </w:rPr>
      </w:pPr>
      <w:r>
        <w:rPr>
          <w:rFonts w:ascii="Arial" w:eastAsia="Arial" w:hAnsi="Arial" w:cs="Arial"/>
          <w:sz w:val="24"/>
          <w:szCs w:val="24"/>
        </w:rPr>
        <w:t xml:space="preserve">Que el Estado informe sobre las medidas adoptadas para atender la salud mental de los niños, niñas y adolescentes y el presupuesto destinado tanto en el Territorio Peninsular como en Territorio Ultramar. </w:t>
      </w:r>
    </w:p>
    <w:p w14:paraId="23F5951A" w14:textId="77777777" w:rsidR="008014C3" w:rsidRDefault="008014C3">
      <w:pPr>
        <w:jc w:val="both"/>
        <w:rPr>
          <w:rFonts w:ascii="Arial" w:eastAsia="Arial" w:hAnsi="Arial" w:cs="Arial"/>
          <w:color w:val="333333"/>
          <w:sz w:val="21"/>
          <w:szCs w:val="21"/>
          <w:highlight w:val="white"/>
        </w:rPr>
      </w:pPr>
    </w:p>
    <w:p w14:paraId="1F65DDD0" w14:textId="77777777" w:rsidR="008014C3" w:rsidRDefault="008014C3">
      <w:pPr>
        <w:jc w:val="both"/>
        <w:rPr>
          <w:rFonts w:ascii="Arial" w:eastAsia="Arial" w:hAnsi="Arial" w:cs="Arial"/>
          <w:color w:val="333333"/>
          <w:sz w:val="21"/>
          <w:szCs w:val="21"/>
          <w:highlight w:val="white"/>
        </w:rPr>
      </w:pPr>
    </w:p>
    <w:p w14:paraId="21FB4676" w14:textId="77777777" w:rsidR="008014C3" w:rsidRDefault="008014C3">
      <w:pPr>
        <w:jc w:val="both"/>
        <w:rPr>
          <w:rFonts w:ascii="Arial" w:eastAsia="Arial" w:hAnsi="Arial" w:cs="Arial"/>
          <w:color w:val="333333"/>
          <w:sz w:val="21"/>
          <w:szCs w:val="21"/>
          <w:highlight w:val="white"/>
        </w:rPr>
      </w:pPr>
    </w:p>
    <w:p w14:paraId="3FCAE4CC" w14:textId="77777777" w:rsidR="008014C3" w:rsidRDefault="008014C3">
      <w:pPr>
        <w:jc w:val="both"/>
        <w:rPr>
          <w:rFonts w:ascii="Arial" w:eastAsia="Arial" w:hAnsi="Arial" w:cs="Arial"/>
          <w:color w:val="333333"/>
          <w:sz w:val="21"/>
          <w:szCs w:val="21"/>
          <w:highlight w:val="white"/>
        </w:rPr>
      </w:pPr>
    </w:p>
    <w:p w14:paraId="65B84E55" w14:textId="77777777" w:rsidR="008014C3" w:rsidRDefault="008014C3">
      <w:pPr>
        <w:jc w:val="both"/>
        <w:rPr>
          <w:rFonts w:ascii="Arial" w:eastAsia="Arial" w:hAnsi="Arial" w:cs="Arial"/>
          <w:color w:val="333333"/>
          <w:sz w:val="21"/>
          <w:szCs w:val="21"/>
          <w:highlight w:val="white"/>
        </w:rPr>
      </w:pPr>
    </w:p>
    <w:p w14:paraId="6AA2061E" w14:textId="77777777" w:rsidR="008014C3" w:rsidRDefault="008014C3">
      <w:pPr>
        <w:jc w:val="both"/>
        <w:rPr>
          <w:rFonts w:ascii="Arial" w:eastAsia="Arial" w:hAnsi="Arial" w:cs="Arial"/>
          <w:color w:val="333333"/>
          <w:sz w:val="21"/>
          <w:szCs w:val="21"/>
          <w:highlight w:val="white"/>
        </w:rPr>
      </w:pPr>
    </w:p>
    <w:p w14:paraId="64D194AC" w14:textId="77777777" w:rsidR="008014C3" w:rsidRDefault="008014C3">
      <w:pPr>
        <w:jc w:val="both"/>
        <w:rPr>
          <w:rFonts w:ascii="Arial" w:eastAsia="Arial" w:hAnsi="Arial" w:cs="Arial"/>
          <w:color w:val="333333"/>
          <w:sz w:val="21"/>
          <w:szCs w:val="21"/>
          <w:highlight w:val="white"/>
        </w:rPr>
      </w:pPr>
    </w:p>
    <w:p w14:paraId="57417A47" w14:textId="77777777" w:rsidR="008014C3" w:rsidRDefault="008014C3">
      <w:pPr>
        <w:jc w:val="both"/>
        <w:rPr>
          <w:rFonts w:ascii="Arial" w:eastAsia="Arial" w:hAnsi="Arial" w:cs="Arial"/>
          <w:color w:val="333333"/>
          <w:sz w:val="26"/>
          <w:szCs w:val="26"/>
          <w:highlight w:val="white"/>
        </w:rPr>
      </w:pPr>
    </w:p>
    <w:p w14:paraId="05FCCFF0" w14:textId="77777777" w:rsidR="008014C3" w:rsidRDefault="008014C3">
      <w:pPr>
        <w:jc w:val="both"/>
      </w:pPr>
    </w:p>
    <w:p w14:paraId="4EC1CB01" w14:textId="77777777" w:rsidR="008014C3" w:rsidRDefault="008014C3">
      <w:pPr>
        <w:jc w:val="both"/>
      </w:pPr>
    </w:p>
    <w:p w14:paraId="7B95D4A1" w14:textId="77777777" w:rsidR="008014C3" w:rsidRDefault="008014C3">
      <w:pPr>
        <w:jc w:val="both"/>
        <w:rPr>
          <w:rFonts w:ascii="Arial" w:eastAsia="Arial" w:hAnsi="Arial" w:cs="Arial"/>
          <w:sz w:val="20"/>
          <w:szCs w:val="20"/>
        </w:rPr>
      </w:pPr>
    </w:p>
    <w:p w14:paraId="3E0B1A93" w14:textId="77777777" w:rsidR="008014C3" w:rsidRDefault="00750888">
      <w:pPr>
        <w:jc w:val="both"/>
        <w:rPr>
          <w:rFonts w:ascii="Arial" w:eastAsia="Arial" w:hAnsi="Arial" w:cs="Arial"/>
          <w:sz w:val="20"/>
          <w:szCs w:val="20"/>
        </w:rPr>
      </w:pPr>
      <w:r>
        <w:rPr>
          <w:rFonts w:ascii="Arial" w:eastAsia="Arial" w:hAnsi="Arial" w:cs="Arial"/>
          <w:sz w:val="20"/>
          <w:szCs w:val="20"/>
        </w:rPr>
        <w:t>S</w:t>
      </w:r>
      <w:r>
        <w:rPr>
          <w:rFonts w:ascii="Arial" w:eastAsia="Arial" w:hAnsi="Arial" w:cs="Arial"/>
          <w:sz w:val="20"/>
          <w:szCs w:val="20"/>
        </w:rPr>
        <w:t>obre estancamiento en la tasa de pobreza de los adultos mayores:</w:t>
      </w:r>
    </w:p>
    <w:p w14:paraId="4B075D6E" w14:textId="77777777" w:rsidR="008014C3" w:rsidRDefault="00750888">
      <w:pPr>
        <w:jc w:val="both"/>
        <w:rPr>
          <w:rFonts w:ascii="Arial" w:eastAsia="Arial" w:hAnsi="Arial" w:cs="Arial"/>
          <w:sz w:val="20"/>
          <w:szCs w:val="20"/>
        </w:rPr>
      </w:pPr>
      <w:hyperlink r:id="rId10">
        <w:r>
          <w:rPr>
            <w:rFonts w:ascii="Arial" w:eastAsia="Arial" w:hAnsi="Arial" w:cs="Arial"/>
            <w:color w:val="0000FF"/>
            <w:sz w:val="20"/>
            <w:szCs w:val="20"/>
            <w:u w:val="single"/>
          </w:rPr>
          <w:t>https://dashboards.sdgindex.org/profiles/france</w:t>
        </w:r>
      </w:hyperlink>
      <w:r>
        <w:rPr>
          <w:rFonts w:ascii="Arial" w:eastAsia="Arial" w:hAnsi="Arial" w:cs="Arial"/>
          <w:sz w:val="20"/>
          <w:szCs w:val="20"/>
        </w:rPr>
        <w:t xml:space="preserve"> </w:t>
      </w:r>
    </w:p>
    <w:p w14:paraId="7498319B" w14:textId="77777777" w:rsidR="008014C3" w:rsidRDefault="00750888">
      <w:pPr>
        <w:jc w:val="both"/>
        <w:rPr>
          <w:rFonts w:ascii="Arial" w:eastAsia="Arial" w:hAnsi="Arial" w:cs="Arial"/>
          <w:sz w:val="20"/>
          <w:szCs w:val="20"/>
        </w:rPr>
      </w:pPr>
      <w:r>
        <w:rPr>
          <w:rFonts w:ascii="Arial" w:eastAsia="Arial" w:hAnsi="Arial" w:cs="Arial"/>
          <w:sz w:val="20"/>
          <w:szCs w:val="20"/>
        </w:rPr>
        <w:t>Sobre riesgo de pobreza:</w:t>
      </w:r>
    </w:p>
    <w:p w14:paraId="0DB3EFB0" w14:textId="77777777" w:rsidR="008014C3" w:rsidRDefault="00750888">
      <w:pPr>
        <w:jc w:val="both"/>
        <w:rPr>
          <w:rFonts w:ascii="Arial" w:eastAsia="Arial" w:hAnsi="Arial" w:cs="Arial"/>
          <w:sz w:val="20"/>
          <w:szCs w:val="20"/>
        </w:rPr>
      </w:pPr>
      <w:hyperlink r:id="rId11">
        <w:r>
          <w:rPr>
            <w:rFonts w:ascii="Arial" w:eastAsia="Arial" w:hAnsi="Arial" w:cs="Arial"/>
            <w:color w:val="0000FF"/>
            <w:sz w:val="20"/>
            <w:szCs w:val="20"/>
            <w:u w:val="single"/>
          </w:rPr>
          <w:t>https://datosmacro.expansion.com/demografia/riesgo-pobreza/francia</w:t>
        </w:r>
      </w:hyperlink>
      <w:r>
        <w:rPr>
          <w:rFonts w:ascii="Arial" w:eastAsia="Arial" w:hAnsi="Arial" w:cs="Arial"/>
          <w:sz w:val="20"/>
          <w:szCs w:val="20"/>
        </w:rPr>
        <w:t xml:space="preserve"> </w:t>
      </w:r>
    </w:p>
    <w:p w14:paraId="4AFEE776" w14:textId="77777777" w:rsidR="008014C3" w:rsidRDefault="00750888">
      <w:pPr>
        <w:jc w:val="both"/>
        <w:rPr>
          <w:rFonts w:ascii="Arial" w:eastAsia="Arial" w:hAnsi="Arial" w:cs="Arial"/>
          <w:sz w:val="20"/>
          <w:szCs w:val="20"/>
        </w:rPr>
      </w:pPr>
      <w:hyperlink r:id="rId12">
        <w:r>
          <w:rPr>
            <w:rFonts w:ascii="Arial" w:eastAsia="Arial" w:hAnsi="Arial" w:cs="Arial"/>
            <w:color w:val="0000FF"/>
            <w:sz w:val="20"/>
            <w:szCs w:val="20"/>
            <w:u w:val="single"/>
          </w:rPr>
          <w:t>https://datosmacro.expansion.com/demografia/riesgo-pobreza/alemania</w:t>
        </w:r>
      </w:hyperlink>
    </w:p>
    <w:p w14:paraId="3002805F" w14:textId="77777777" w:rsidR="008014C3" w:rsidRDefault="00750888">
      <w:pPr>
        <w:jc w:val="both"/>
        <w:rPr>
          <w:rFonts w:ascii="Arial" w:eastAsia="Arial" w:hAnsi="Arial" w:cs="Arial"/>
          <w:sz w:val="20"/>
          <w:szCs w:val="20"/>
        </w:rPr>
      </w:pPr>
      <w:hyperlink r:id="rId13">
        <w:r>
          <w:rPr>
            <w:rFonts w:ascii="Arial" w:eastAsia="Arial" w:hAnsi="Arial" w:cs="Arial"/>
            <w:color w:val="0000FF"/>
            <w:sz w:val="20"/>
            <w:szCs w:val="20"/>
            <w:u w:val="single"/>
          </w:rPr>
          <w:t>https://datosmacro.expansion.com/demografia/riesgo-pobreza/suiza</w:t>
        </w:r>
      </w:hyperlink>
    </w:p>
    <w:p w14:paraId="6B038291" w14:textId="77777777" w:rsidR="008014C3" w:rsidRDefault="00750888">
      <w:pPr>
        <w:jc w:val="both"/>
        <w:rPr>
          <w:rFonts w:ascii="Arial" w:eastAsia="Arial" w:hAnsi="Arial" w:cs="Arial"/>
          <w:sz w:val="20"/>
          <w:szCs w:val="20"/>
        </w:rPr>
      </w:pPr>
      <w:hyperlink r:id="rId14">
        <w:r>
          <w:rPr>
            <w:rFonts w:ascii="Arial" w:eastAsia="Arial" w:hAnsi="Arial" w:cs="Arial"/>
            <w:color w:val="0000FF"/>
            <w:sz w:val="20"/>
            <w:szCs w:val="20"/>
            <w:u w:val="single"/>
          </w:rPr>
          <w:t>https://datosmacro.expansion.com/demografia/riesgo-pobreza/it</w:t>
        </w:r>
        <w:r>
          <w:rPr>
            <w:rFonts w:ascii="Arial" w:eastAsia="Arial" w:hAnsi="Arial" w:cs="Arial"/>
            <w:color w:val="0000FF"/>
            <w:sz w:val="20"/>
            <w:szCs w:val="20"/>
            <w:u w:val="single"/>
          </w:rPr>
          <w:t>alia</w:t>
        </w:r>
      </w:hyperlink>
    </w:p>
    <w:p w14:paraId="00B4EE83" w14:textId="77777777" w:rsidR="008014C3" w:rsidRDefault="00750888">
      <w:pPr>
        <w:jc w:val="both"/>
        <w:rPr>
          <w:rFonts w:ascii="Arial" w:eastAsia="Arial" w:hAnsi="Arial" w:cs="Arial"/>
          <w:sz w:val="20"/>
          <w:szCs w:val="20"/>
        </w:rPr>
      </w:pPr>
      <w:r>
        <w:rPr>
          <w:rFonts w:ascii="Arial" w:eastAsia="Arial" w:hAnsi="Arial" w:cs="Arial"/>
          <w:sz w:val="20"/>
          <w:szCs w:val="20"/>
        </w:rPr>
        <w:t>Sobre inequidad y tasa de pobreza.</w:t>
      </w:r>
    </w:p>
    <w:p w14:paraId="382ED88E" w14:textId="77777777" w:rsidR="008014C3" w:rsidRDefault="00750888">
      <w:pPr>
        <w:jc w:val="both"/>
        <w:rPr>
          <w:rFonts w:ascii="Arial" w:eastAsia="Arial" w:hAnsi="Arial" w:cs="Arial"/>
          <w:sz w:val="20"/>
          <w:szCs w:val="20"/>
        </w:rPr>
      </w:pPr>
      <w:hyperlink r:id="rId15">
        <w:r>
          <w:rPr>
            <w:rFonts w:ascii="Arial" w:eastAsia="Arial" w:hAnsi="Arial" w:cs="Arial"/>
            <w:color w:val="0000FF"/>
            <w:sz w:val="20"/>
            <w:szCs w:val="20"/>
            <w:u w:val="single"/>
          </w:rPr>
          <w:t>https://data.oecd.org/inequality/poverty-rate.htm</w:t>
        </w:r>
      </w:hyperlink>
      <w:r>
        <w:rPr>
          <w:rFonts w:ascii="Arial" w:eastAsia="Arial" w:hAnsi="Arial" w:cs="Arial"/>
          <w:sz w:val="20"/>
          <w:szCs w:val="20"/>
        </w:rPr>
        <w:t xml:space="preserve"> </w:t>
      </w:r>
    </w:p>
    <w:p w14:paraId="78368591" w14:textId="77777777" w:rsidR="008014C3" w:rsidRDefault="00750888">
      <w:pPr>
        <w:jc w:val="both"/>
        <w:rPr>
          <w:rFonts w:ascii="Arial" w:eastAsia="Arial" w:hAnsi="Arial" w:cs="Arial"/>
          <w:sz w:val="20"/>
          <w:szCs w:val="20"/>
        </w:rPr>
      </w:pPr>
      <w:r>
        <w:rPr>
          <w:rFonts w:ascii="Arial" w:eastAsia="Arial" w:hAnsi="Arial" w:cs="Arial"/>
          <w:sz w:val="20"/>
          <w:szCs w:val="20"/>
        </w:rPr>
        <w:t>Actitud hacia las madres tr</w:t>
      </w:r>
      <w:r>
        <w:rPr>
          <w:rFonts w:ascii="Arial" w:eastAsia="Arial" w:hAnsi="Arial" w:cs="Arial"/>
          <w:sz w:val="20"/>
          <w:szCs w:val="20"/>
        </w:rPr>
        <w:t>abajadoras:</w:t>
      </w:r>
    </w:p>
    <w:p w14:paraId="5EAF0A01" w14:textId="77777777" w:rsidR="008014C3" w:rsidRDefault="00750888">
      <w:pPr>
        <w:jc w:val="both"/>
        <w:rPr>
          <w:rFonts w:ascii="Arial" w:eastAsia="Arial" w:hAnsi="Arial" w:cs="Arial"/>
          <w:sz w:val="20"/>
          <w:szCs w:val="20"/>
        </w:rPr>
      </w:pPr>
      <w:hyperlink r:id="rId16">
        <w:r>
          <w:rPr>
            <w:rFonts w:ascii="Arial" w:eastAsia="Arial" w:hAnsi="Arial" w:cs="Arial"/>
            <w:color w:val="0000FF"/>
            <w:sz w:val="20"/>
            <w:szCs w:val="20"/>
            <w:u w:val="single"/>
          </w:rPr>
          <w:t>https://data.oecd.org/inequality/discrimination-in-the-family.htm#</w:t>
        </w:r>
      </w:hyperlink>
      <w:r>
        <w:rPr>
          <w:rFonts w:ascii="Arial" w:eastAsia="Arial" w:hAnsi="Arial" w:cs="Arial"/>
          <w:sz w:val="20"/>
          <w:szCs w:val="20"/>
        </w:rPr>
        <w:t xml:space="preserve"> </w:t>
      </w:r>
    </w:p>
    <w:p w14:paraId="7C1FABCA" w14:textId="77777777" w:rsidR="008014C3" w:rsidRDefault="00750888">
      <w:pPr>
        <w:jc w:val="both"/>
        <w:rPr>
          <w:rFonts w:ascii="Arial" w:eastAsia="Arial" w:hAnsi="Arial" w:cs="Arial"/>
          <w:sz w:val="20"/>
          <w:szCs w:val="20"/>
        </w:rPr>
      </w:pPr>
      <w:r>
        <w:rPr>
          <w:rFonts w:ascii="Arial" w:eastAsia="Arial" w:hAnsi="Arial" w:cs="Arial"/>
          <w:sz w:val="20"/>
          <w:szCs w:val="20"/>
        </w:rPr>
        <w:t>Economía de Francia:</w:t>
      </w:r>
    </w:p>
    <w:p w14:paraId="660E6602" w14:textId="77777777" w:rsidR="008014C3" w:rsidRDefault="00750888">
      <w:pPr>
        <w:jc w:val="both"/>
        <w:rPr>
          <w:rFonts w:ascii="Arial" w:eastAsia="Arial" w:hAnsi="Arial" w:cs="Arial"/>
          <w:sz w:val="20"/>
          <w:szCs w:val="20"/>
        </w:rPr>
      </w:pPr>
      <w:hyperlink r:id="rId17">
        <w:r>
          <w:rPr>
            <w:rFonts w:ascii="Arial" w:eastAsia="Arial" w:hAnsi="Arial" w:cs="Arial"/>
            <w:color w:val="0000FF"/>
            <w:sz w:val="20"/>
            <w:szCs w:val="20"/>
            <w:u w:val="single"/>
          </w:rPr>
          <w:t>https://datosmacro.expansion.com/paises/francia</w:t>
        </w:r>
      </w:hyperlink>
      <w:r>
        <w:rPr>
          <w:rFonts w:ascii="Arial" w:eastAsia="Arial" w:hAnsi="Arial" w:cs="Arial"/>
          <w:sz w:val="20"/>
          <w:szCs w:val="20"/>
        </w:rPr>
        <w:t xml:space="preserve"> </w:t>
      </w:r>
    </w:p>
    <w:p w14:paraId="516C3DDB" w14:textId="77777777" w:rsidR="008014C3" w:rsidRDefault="00750888">
      <w:pPr>
        <w:jc w:val="both"/>
        <w:rPr>
          <w:rFonts w:ascii="Arial" w:eastAsia="Arial" w:hAnsi="Arial" w:cs="Arial"/>
          <w:sz w:val="20"/>
          <w:szCs w:val="20"/>
        </w:rPr>
      </w:pPr>
      <w:r>
        <w:rPr>
          <w:rFonts w:ascii="Arial" w:eastAsia="Arial" w:hAnsi="Arial" w:cs="Arial"/>
          <w:sz w:val="20"/>
          <w:szCs w:val="20"/>
        </w:rPr>
        <w:t>Riesgo de pobreza, comparativo global:</w:t>
      </w:r>
    </w:p>
    <w:p w14:paraId="408DE050" w14:textId="77777777" w:rsidR="008014C3" w:rsidRDefault="00750888">
      <w:pPr>
        <w:jc w:val="both"/>
        <w:rPr>
          <w:rFonts w:ascii="Arial" w:eastAsia="Arial" w:hAnsi="Arial" w:cs="Arial"/>
          <w:sz w:val="20"/>
          <w:szCs w:val="20"/>
        </w:rPr>
      </w:pPr>
      <w:hyperlink r:id="rId18">
        <w:r>
          <w:rPr>
            <w:rFonts w:ascii="Arial" w:eastAsia="Arial" w:hAnsi="Arial" w:cs="Arial"/>
            <w:color w:val="0000FF"/>
            <w:sz w:val="20"/>
            <w:szCs w:val="20"/>
            <w:u w:val="single"/>
          </w:rPr>
          <w:t>https://datosmacro.expansion.com/demografia/riesgo-pobreza</w:t>
        </w:r>
      </w:hyperlink>
      <w:r>
        <w:rPr>
          <w:rFonts w:ascii="Arial" w:eastAsia="Arial" w:hAnsi="Arial" w:cs="Arial"/>
          <w:sz w:val="20"/>
          <w:szCs w:val="20"/>
        </w:rPr>
        <w:t xml:space="preserve"> </w:t>
      </w:r>
    </w:p>
    <w:p w14:paraId="1DE32A2B" w14:textId="77777777" w:rsidR="008014C3" w:rsidRDefault="00750888">
      <w:pPr>
        <w:jc w:val="both"/>
        <w:rPr>
          <w:rFonts w:ascii="Arial" w:eastAsia="Arial" w:hAnsi="Arial" w:cs="Arial"/>
          <w:sz w:val="20"/>
          <w:szCs w:val="20"/>
        </w:rPr>
      </w:pPr>
      <w:r>
        <w:rPr>
          <w:rFonts w:ascii="Arial" w:eastAsia="Arial" w:hAnsi="Arial" w:cs="Arial"/>
          <w:sz w:val="20"/>
          <w:szCs w:val="20"/>
        </w:rPr>
        <w:t>Francia ODS</w:t>
      </w:r>
    </w:p>
    <w:p w14:paraId="2ED56394" w14:textId="77777777" w:rsidR="008014C3" w:rsidRDefault="00750888">
      <w:pPr>
        <w:jc w:val="both"/>
        <w:rPr>
          <w:rFonts w:ascii="Arial" w:eastAsia="Arial" w:hAnsi="Arial" w:cs="Arial"/>
          <w:sz w:val="20"/>
          <w:szCs w:val="20"/>
        </w:rPr>
      </w:pPr>
      <w:hyperlink r:id="rId19">
        <w:r>
          <w:rPr>
            <w:rFonts w:ascii="Arial" w:eastAsia="Arial" w:hAnsi="Arial" w:cs="Arial"/>
            <w:color w:val="0000FF"/>
            <w:sz w:val="20"/>
            <w:szCs w:val="20"/>
            <w:u w:val="single"/>
          </w:rPr>
          <w:t>https://dashboards.sdgindex.org/static/profiles/pdfs/SDR-2023-france.pdf</w:t>
        </w:r>
      </w:hyperlink>
      <w:r>
        <w:rPr>
          <w:rFonts w:ascii="Arial" w:eastAsia="Arial" w:hAnsi="Arial" w:cs="Arial"/>
          <w:sz w:val="20"/>
          <w:szCs w:val="20"/>
        </w:rPr>
        <w:t xml:space="preserve"> </w:t>
      </w:r>
    </w:p>
    <w:p w14:paraId="4B59E1D5" w14:textId="77777777" w:rsidR="008014C3" w:rsidRDefault="008014C3">
      <w:pPr>
        <w:jc w:val="both"/>
        <w:rPr>
          <w:rFonts w:ascii="Arial" w:eastAsia="Arial" w:hAnsi="Arial" w:cs="Arial"/>
          <w:sz w:val="20"/>
          <w:szCs w:val="20"/>
        </w:rPr>
      </w:pPr>
    </w:p>
    <w:p w14:paraId="523983A4" w14:textId="77777777" w:rsidR="008014C3" w:rsidRDefault="00750888">
      <w:pPr>
        <w:jc w:val="both"/>
        <w:rPr>
          <w:rFonts w:ascii="Arial" w:eastAsia="Arial" w:hAnsi="Arial" w:cs="Arial"/>
          <w:sz w:val="20"/>
          <w:szCs w:val="20"/>
        </w:rPr>
      </w:pPr>
      <w:r>
        <w:rPr>
          <w:rFonts w:ascii="Arial" w:eastAsia="Arial" w:hAnsi="Arial" w:cs="Arial"/>
          <w:sz w:val="20"/>
          <w:szCs w:val="20"/>
        </w:rPr>
        <w:t>Sobre riesgos del derecho a la Salud.</w:t>
      </w:r>
    </w:p>
    <w:p w14:paraId="037C0D90" w14:textId="77777777" w:rsidR="008014C3" w:rsidRDefault="00750888">
      <w:pPr>
        <w:jc w:val="both"/>
        <w:rPr>
          <w:rFonts w:ascii="Arial" w:eastAsia="Arial" w:hAnsi="Arial" w:cs="Arial"/>
          <w:sz w:val="20"/>
          <w:szCs w:val="20"/>
        </w:rPr>
      </w:pPr>
      <w:hyperlink r:id="rId20">
        <w:r>
          <w:rPr>
            <w:rFonts w:ascii="Arial" w:eastAsia="Arial" w:hAnsi="Arial" w:cs="Arial"/>
            <w:color w:val="1155CC"/>
            <w:sz w:val="20"/>
            <w:szCs w:val="20"/>
            <w:u w:val="single"/>
          </w:rPr>
          <w:t>Francia: “La causa de la crisis del sistema sanitario es la decisión de privatizar los servicios públicos” - Viento Sur</w:t>
        </w:r>
      </w:hyperlink>
    </w:p>
    <w:p w14:paraId="4920FEC4" w14:textId="77777777" w:rsidR="008014C3" w:rsidRDefault="00750888">
      <w:pPr>
        <w:jc w:val="both"/>
        <w:rPr>
          <w:rFonts w:ascii="Arial" w:eastAsia="Arial" w:hAnsi="Arial" w:cs="Arial"/>
          <w:sz w:val="20"/>
          <w:szCs w:val="20"/>
        </w:rPr>
      </w:pPr>
      <w:hyperlink r:id="rId21">
        <w:r>
          <w:rPr>
            <w:rFonts w:ascii="Arial" w:eastAsia="Arial" w:hAnsi="Arial" w:cs="Arial"/>
            <w:color w:val="1155CC"/>
            <w:sz w:val="20"/>
            <w:szCs w:val="20"/>
            <w:u w:val="single"/>
          </w:rPr>
          <w:t>v45e462021.pdf (paho.org)</w:t>
        </w:r>
      </w:hyperlink>
    </w:p>
    <w:p w14:paraId="11DA7A8D" w14:textId="77777777" w:rsidR="008014C3" w:rsidRDefault="00750888">
      <w:pPr>
        <w:jc w:val="both"/>
        <w:rPr>
          <w:rFonts w:ascii="Arial" w:eastAsia="Arial" w:hAnsi="Arial" w:cs="Arial"/>
          <w:sz w:val="20"/>
          <w:szCs w:val="20"/>
        </w:rPr>
      </w:pPr>
      <w:hyperlink r:id="rId22">
        <w:r>
          <w:rPr>
            <w:rFonts w:ascii="Arial" w:eastAsia="Arial" w:hAnsi="Arial" w:cs="Arial"/>
            <w:color w:val="1155CC"/>
            <w:sz w:val="20"/>
            <w:szCs w:val="20"/>
            <w:u w:val="single"/>
          </w:rPr>
          <w:t>Salud mental de los niños sin hogar - UNICEF</w:t>
        </w:r>
      </w:hyperlink>
      <w:r>
        <w:rPr>
          <w:rFonts w:ascii="Arial" w:eastAsia="Arial" w:hAnsi="Arial" w:cs="Arial"/>
          <w:sz w:val="20"/>
          <w:szCs w:val="20"/>
        </w:rPr>
        <w:t xml:space="preserve"> </w:t>
      </w:r>
    </w:p>
    <w:p w14:paraId="059C226E" w14:textId="77777777" w:rsidR="008014C3" w:rsidRDefault="008014C3">
      <w:pPr>
        <w:jc w:val="both"/>
        <w:rPr>
          <w:rFonts w:ascii="Arial" w:eastAsia="Arial" w:hAnsi="Arial" w:cs="Arial"/>
          <w:sz w:val="20"/>
          <w:szCs w:val="20"/>
        </w:rPr>
      </w:pPr>
    </w:p>
    <w:p w14:paraId="51E19A12" w14:textId="77777777" w:rsidR="008014C3" w:rsidRDefault="008014C3">
      <w:pPr>
        <w:jc w:val="both"/>
        <w:rPr>
          <w:rFonts w:ascii="Arial" w:eastAsia="Arial" w:hAnsi="Arial" w:cs="Arial"/>
          <w:sz w:val="20"/>
          <w:szCs w:val="20"/>
        </w:rPr>
      </w:pPr>
    </w:p>
    <w:sectPr w:rsidR="008014C3">
      <w:headerReference w:type="default" r:id="rId23"/>
      <w:footerReference w:type="default" r:id="rId24"/>
      <w:pgSz w:w="11907" w:h="16840"/>
      <w:pgMar w:top="1417" w:right="1701" w:bottom="1417"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A36A9" w14:textId="77777777" w:rsidR="00000000" w:rsidRDefault="00750888">
      <w:pPr>
        <w:spacing w:after="0" w:line="240" w:lineRule="auto"/>
      </w:pPr>
      <w:r>
        <w:separator/>
      </w:r>
    </w:p>
  </w:endnote>
  <w:endnote w:type="continuationSeparator" w:id="0">
    <w:p w14:paraId="710A9900" w14:textId="77777777" w:rsidR="00000000" w:rsidRDefault="00750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43630" w14:textId="77777777" w:rsidR="008014C3" w:rsidRDefault="00750888">
    <w:pPr>
      <w:jc w:val="center"/>
    </w:pPr>
    <w:r>
      <w:t xml:space="preserve">@renaddhh </w:t>
    </w:r>
    <w:hyperlink r:id="rId1">
      <w:r>
        <w:rPr>
          <w:color w:val="1155CC"/>
          <w:u w:val="single"/>
        </w:rPr>
        <w:t>rednaddhh@gmail.com</w:t>
      </w:r>
    </w:hyperlink>
    <w:r>
      <w:t xml:space="preserve"> @cnddhs_ve </w:t>
    </w:r>
    <w:hyperlink r:id="rId2">
      <w:r>
        <w:rPr>
          <w:color w:val="1155CC"/>
          <w:u w:val="single"/>
        </w:rPr>
        <w:t>cnddhhs@gmail.com</w:t>
      </w:r>
    </w:hyperlink>
    <w:r>
      <w:t xml:space="preserve"> </w:t>
    </w:r>
  </w:p>
  <w:p w14:paraId="5B4FA3F5" w14:textId="77777777" w:rsidR="008014C3" w:rsidRDefault="008014C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082A6" w14:textId="77777777" w:rsidR="00000000" w:rsidRDefault="00750888">
      <w:pPr>
        <w:spacing w:after="0" w:line="240" w:lineRule="auto"/>
      </w:pPr>
      <w:r>
        <w:separator/>
      </w:r>
    </w:p>
  </w:footnote>
  <w:footnote w:type="continuationSeparator" w:id="0">
    <w:p w14:paraId="0671F7CE" w14:textId="77777777" w:rsidR="00000000" w:rsidRDefault="007508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7319C" w14:textId="77777777" w:rsidR="008014C3" w:rsidRDefault="00750888">
    <w:r>
      <w:rPr>
        <w:noProof/>
      </w:rPr>
      <w:drawing>
        <wp:anchor distT="0" distB="0" distL="0" distR="0" simplePos="0" relativeHeight="251658240" behindDoc="0" locked="0" layoutInCell="1" hidden="0" allowOverlap="1" wp14:anchorId="4A55C397" wp14:editId="573D578A">
          <wp:simplePos x="0" y="0"/>
          <wp:positionH relativeFrom="column">
            <wp:posOffset>4819650</wp:posOffset>
          </wp:positionH>
          <wp:positionV relativeFrom="paragraph">
            <wp:posOffset>-293369</wp:posOffset>
          </wp:positionV>
          <wp:extent cx="1483328" cy="745807"/>
          <wp:effectExtent l="0" t="0" r="0" b="0"/>
          <wp:wrapNone/>
          <wp:docPr id="94230624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483328" cy="745807"/>
                  </a:xfrm>
                  <a:prstGeom prst="rect">
                    <a:avLst/>
                  </a:prstGeom>
                  <a:ln/>
                </pic:spPr>
              </pic:pic>
            </a:graphicData>
          </a:graphic>
        </wp:anchor>
      </w:drawing>
    </w:r>
    <w:r>
      <w:rPr>
        <w:noProof/>
      </w:rPr>
      <w:drawing>
        <wp:anchor distT="0" distB="0" distL="0" distR="0" simplePos="0" relativeHeight="251659264" behindDoc="1" locked="0" layoutInCell="1" hidden="0" allowOverlap="1" wp14:anchorId="6754213F" wp14:editId="218C5F1B">
          <wp:simplePos x="0" y="0"/>
          <wp:positionH relativeFrom="column">
            <wp:posOffset>-390524</wp:posOffset>
          </wp:positionH>
          <wp:positionV relativeFrom="paragraph">
            <wp:posOffset>-350519</wp:posOffset>
          </wp:positionV>
          <wp:extent cx="1399222" cy="801638"/>
          <wp:effectExtent l="0" t="0" r="0" b="0"/>
          <wp:wrapNone/>
          <wp:docPr id="94230624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r="-14900" b="-14900"/>
                  <a:stretch>
                    <a:fillRect/>
                  </a:stretch>
                </pic:blipFill>
                <pic:spPr>
                  <a:xfrm>
                    <a:off x="0" y="0"/>
                    <a:ext cx="1399222" cy="801638"/>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5038FF"/>
    <w:multiLevelType w:val="multilevel"/>
    <w:tmpl w:val="B77C9A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38190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4C3"/>
    <w:rsid w:val="00750888"/>
    <w:rsid w:val="008014C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43DCD"/>
  <w15:docId w15:val="{74FDC1D0-ECD2-4A08-BAD7-8390ACB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link w:val="Heading2Char"/>
    <w:uiPriority w:val="9"/>
    <w:unhideWhenUsed/>
    <w:qFormat/>
    <w:rsid w:val="00A20ED7"/>
    <w:pPr>
      <w:spacing w:before="100" w:beforeAutospacing="1" w:after="100" w:afterAutospacing="1" w:line="240" w:lineRule="auto"/>
      <w:outlineLvl w:val="1"/>
    </w:pPr>
    <w:rPr>
      <w:rFonts w:ascii="Times New Roman" w:eastAsia="Times New Roman" w:hAnsi="Times New Roman" w:cs="Times New Roman"/>
      <w:b/>
      <w:bCs/>
      <w:sz w:val="36"/>
      <w:szCs w:val="36"/>
      <w:lang w:eastAsia="es-MX"/>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basedOn w:val="DefaultParagraphFont"/>
    <w:link w:val="Heading2"/>
    <w:uiPriority w:val="9"/>
    <w:rsid w:val="00A20ED7"/>
    <w:rPr>
      <w:rFonts w:ascii="Times New Roman" w:eastAsia="Times New Roman" w:hAnsi="Times New Roman" w:cs="Times New Roman"/>
      <w:b/>
      <w:bCs/>
      <w:kern w:val="0"/>
      <w:sz w:val="36"/>
      <w:szCs w:val="36"/>
      <w:lang w:eastAsia="es-MX"/>
    </w:rPr>
  </w:style>
  <w:style w:type="paragraph" w:styleId="NormalWeb">
    <w:name w:val="Normal (Web)"/>
    <w:basedOn w:val="Normal"/>
    <w:uiPriority w:val="99"/>
    <w:semiHidden/>
    <w:unhideWhenUsed/>
    <w:rsid w:val="00A20ED7"/>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Hyperlink">
    <w:name w:val="Hyperlink"/>
    <w:basedOn w:val="DefaultParagraphFont"/>
    <w:uiPriority w:val="99"/>
    <w:unhideWhenUsed/>
    <w:rsid w:val="00A20ED7"/>
    <w:rPr>
      <w:color w:val="0000FF"/>
      <w:u w:val="single"/>
    </w:rPr>
  </w:style>
  <w:style w:type="character" w:styleId="Strong">
    <w:name w:val="Strong"/>
    <w:basedOn w:val="DefaultParagraphFont"/>
    <w:uiPriority w:val="22"/>
    <w:qFormat/>
    <w:rsid w:val="00A20ED7"/>
    <w:rPr>
      <w:b/>
      <w:bCs/>
    </w:rPr>
  </w:style>
  <w:style w:type="character" w:customStyle="1" w:styleId="eur">
    <w:name w:val="eur"/>
    <w:basedOn w:val="DefaultParagraphFont"/>
    <w:rsid w:val="00A20ED7"/>
  </w:style>
  <w:style w:type="character" w:styleId="UnresolvedMention">
    <w:name w:val="Unresolved Mention"/>
    <w:basedOn w:val="DefaultParagraphFont"/>
    <w:uiPriority w:val="99"/>
    <w:semiHidden/>
    <w:unhideWhenUsed/>
    <w:rsid w:val="00D30A3A"/>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federationsolidarite.org/wp-content/uploads/2022/09/Barometre-2022-vf2.pdf" TargetMode="External"/><Relationship Id="rId13" Type="http://schemas.openxmlformats.org/officeDocument/2006/relationships/hyperlink" Target="https://datosmacro.expansion.com/demografia/riesgo-pobreza/suiza" TargetMode="External"/><Relationship Id="rId18" Type="http://schemas.openxmlformats.org/officeDocument/2006/relationships/hyperlink" Target="https://datosmacro.expansion.com/demografia/riesgo-pobreza"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iris.paho.org/bitstream/handle/10665.2/53771/v45e462021.pdf?sequence=1&amp;isAllowed=y" TargetMode="External"/><Relationship Id="rId7" Type="http://schemas.openxmlformats.org/officeDocument/2006/relationships/endnotes" Target="endnotes.xml"/><Relationship Id="rId12" Type="http://schemas.openxmlformats.org/officeDocument/2006/relationships/hyperlink" Target="https://datosmacro.expansion.com/demografia/riesgo-pobreza/alemania" TargetMode="External"/><Relationship Id="rId17" Type="http://schemas.openxmlformats.org/officeDocument/2006/relationships/hyperlink" Target="https://datosmacro.expansion.com/paises/francia"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ata.oecd.org/inequality/discrimination-in-the-family.htm" TargetMode="External"/><Relationship Id="rId20" Type="http://schemas.openxmlformats.org/officeDocument/2006/relationships/hyperlink" Target="https://vientosur.info/francia-la-causa-de-la-crisis-del-sistema-sanitario-es-la-decision-de-privatizar-los-servicios-publico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tosmacro.expansion.com/demografia/riesgo-pobreza/francia"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ata.oecd.org/inequality/poverty-rate.htm" TargetMode="External"/><Relationship Id="rId23" Type="http://schemas.openxmlformats.org/officeDocument/2006/relationships/header" Target="header1.xml"/><Relationship Id="rId10" Type="http://schemas.openxmlformats.org/officeDocument/2006/relationships/hyperlink" Target="https://dashboards.sdgindex.org/profiles/france" TargetMode="External"/><Relationship Id="rId19" Type="http://schemas.openxmlformats.org/officeDocument/2006/relationships/hyperlink" Target="https://dashboards.sdgindex.org/static/profiles/pdfs/SDR-2023-france.pdf" TargetMode="External"/><Relationship Id="rId4" Type="http://schemas.openxmlformats.org/officeDocument/2006/relationships/settings" Target="settings.xml"/><Relationship Id="rId9" Type="http://schemas.openxmlformats.org/officeDocument/2006/relationships/hyperlink" Target="https://www.unicef.fr/article/bien-etre-des-enfants/" TargetMode="External"/><Relationship Id="rId14" Type="http://schemas.openxmlformats.org/officeDocument/2006/relationships/hyperlink" Target="https://datosmacro.expansion.com/demografia/riesgo-pobreza/italia" TargetMode="External"/><Relationship Id="rId22" Type="http://schemas.openxmlformats.org/officeDocument/2006/relationships/hyperlink" Target="https://www.unicef.fr/article/sante-mentale-la-double-peine-des-enfants-sans-domicile/"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cnddhhs@gmail.com" TargetMode="External"/><Relationship Id="rId1" Type="http://schemas.openxmlformats.org/officeDocument/2006/relationships/hyperlink" Target="mailto:rednaddhh@g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JVdB9gX1+bt47H2eKv+jlUMpsQ==">CgMxLjAyDmguZWZyOHZkcDdrYmQ2Mg5oLmJnNXk5cTJ0eHA3ejgAciExS3U1Um1OdGtHWGg3VkRCOU5Cc25sc0sxR2d6MWZmOWU=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1342</Words>
  <Characters>7469</Characters>
  <Application>Microsoft Office Word</Application>
  <DocSecurity>0</DocSecurity>
  <Lines>195</Lines>
  <Paragraphs>55</Paragraphs>
  <ScaleCrop>false</ScaleCrop>
  <Company>OHCHR</Company>
  <LinksUpToDate>false</LinksUpToDate>
  <CharactersWithSpaces>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Enrique Eleno</dc:creator>
  <cp:lastModifiedBy>Celine Reynaud</cp:lastModifiedBy>
  <cp:revision>2</cp:revision>
  <dcterms:created xsi:type="dcterms:W3CDTF">2023-08-29T13:58:00Z</dcterms:created>
  <dcterms:modified xsi:type="dcterms:W3CDTF">2023-08-29T13:58:00Z</dcterms:modified>
</cp:coreProperties>
</file>