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2ED" w:rsidRPr="001912ED" w:rsidRDefault="001912ED" w:rsidP="001912ED">
      <w:pPr>
        <w:pStyle w:val="1"/>
        <w:rPr>
          <w:lang w:val="en-US"/>
        </w:rPr>
      </w:pPr>
      <w:r w:rsidRPr="001912ED">
        <w:rPr>
          <w:lang w:val="en-US"/>
        </w:rPr>
        <w:t>The Rights of LGBTIQ+ Children and Adolescents in the Republic of Moldova</w:t>
      </w:r>
    </w:p>
    <w:p w:rsidR="001912ED" w:rsidRPr="001912ED" w:rsidRDefault="001912ED" w:rsidP="001912ED">
      <w:pPr>
        <w:pStyle w:val="a3"/>
        <w:rPr>
          <w:lang w:val="en-US"/>
        </w:rPr>
      </w:pPr>
      <w:r w:rsidRPr="001912ED">
        <w:rPr>
          <w:rStyle w:val="a4"/>
          <w:lang w:val="en-US"/>
        </w:rPr>
        <w:t>Submission to the Committee on the Rights of the Child – List of Issues Prior to Reporting (LOIPR) Stage</w:t>
      </w:r>
      <w:r w:rsidRPr="001912ED">
        <w:rPr>
          <w:lang w:val="en-US"/>
        </w:rPr>
        <w:br/>
        <w:t>Prepared by: GENDERDOC-M Information Centre</w:t>
      </w:r>
      <w:r w:rsidRPr="001912ED">
        <w:rPr>
          <w:lang w:val="en-US"/>
        </w:rPr>
        <w:br/>
        <w:t>Date: 11 August 2025</w:t>
      </w:r>
      <w:r w:rsidRPr="001912ED">
        <w:rPr>
          <w:lang w:val="en-US"/>
        </w:rPr>
        <w:br/>
        <w:t xml:space="preserve">Confidentiality status: </w:t>
      </w:r>
      <w:r w:rsidRPr="001912ED">
        <w:rPr>
          <w:rStyle w:val="a4"/>
          <w:lang w:val="en-US"/>
        </w:rPr>
        <w:t>Public</w:t>
      </w:r>
      <w:r w:rsidRPr="001912ED">
        <w:rPr>
          <w:lang w:val="en-US"/>
        </w:rPr>
        <w:t xml:space="preserve"> – for publication on OHCHR website</w:t>
      </w:r>
      <w:r w:rsidRPr="001912ED">
        <w:rPr>
          <w:lang w:val="en-US"/>
        </w:rPr>
        <w:br/>
        <w:t>Word count: ~1400</w:t>
      </w:r>
    </w:p>
    <w:p w:rsidR="001912ED" w:rsidRPr="001912ED" w:rsidRDefault="00B02BDA" w:rsidP="001912ED">
      <w:pPr>
        <w:rPr>
          <w:lang w:val="en-US"/>
        </w:rPr>
      </w:pPr>
      <w:r>
        <w:rPr>
          <w:lang w:val="en-US"/>
        </w:rPr>
        <w:pict>
          <v:rect id="_x0000_i1025" style="width:0;height:1.5pt" o:hralign="center" o:hrstd="t" o:hr="t" fillcolor="#a0a0a0" stroked="f"/>
        </w:pict>
      </w:r>
    </w:p>
    <w:p w:rsidR="001912ED" w:rsidRPr="001912ED" w:rsidRDefault="001912ED" w:rsidP="001912ED">
      <w:pPr>
        <w:pStyle w:val="2"/>
        <w:rPr>
          <w:lang w:val="en-US"/>
        </w:rPr>
      </w:pPr>
      <w:r w:rsidRPr="001912ED">
        <w:rPr>
          <w:lang w:val="en-US"/>
        </w:rPr>
        <w:t>1. Introduction and Methodology</w:t>
      </w:r>
    </w:p>
    <w:p w:rsidR="001912ED" w:rsidRPr="001912ED" w:rsidRDefault="001912ED" w:rsidP="001912ED">
      <w:pPr>
        <w:pStyle w:val="a3"/>
        <w:rPr>
          <w:lang w:val="en-US"/>
        </w:rPr>
      </w:pPr>
      <w:r w:rsidRPr="001912ED">
        <w:rPr>
          <w:lang w:val="en-US"/>
        </w:rPr>
        <w:t>This submission presents evidence on the rights situation of lesbian, gay, bisexual, transgender, intersex, and queer (LGBTIQ+) children and adolescents in the Republic of Moldova. It covers developments between 2022 and mid-2025 and is aligned with the CRC’s List of Issues Prior to Reporting (LOIPR) methodology.</w:t>
      </w:r>
    </w:p>
    <w:p w:rsidR="001912ED" w:rsidRPr="001912ED" w:rsidRDefault="001912ED" w:rsidP="001912ED">
      <w:pPr>
        <w:pStyle w:val="a3"/>
        <w:rPr>
          <w:lang w:val="en-US"/>
        </w:rPr>
      </w:pPr>
      <w:r w:rsidRPr="001912ED">
        <w:rPr>
          <w:lang w:val="en-US"/>
        </w:rPr>
        <w:t>The content is based on:</w:t>
      </w:r>
    </w:p>
    <w:p w:rsidR="001912ED" w:rsidRPr="001912ED" w:rsidRDefault="001912ED" w:rsidP="001912ED">
      <w:pPr>
        <w:pStyle w:val="a3"/>
        <w:numPr>
          <w:ilvl w:val="0"/>
          <w:numId w:val="15"/>
        </w:numPr>
        <w:rPr>
          <w:lang w:val="en-US"/>
        </w:rPr>
      </w:pPr>
      <w:r w:rsidRPr="001912ED">
        <w:rPr>
          <w:lang w:val="en-US"/>
        </w:rPr>
        <w:t>Continuous monitoring by GENDERDOC-M, Moldova’s first and largest LGBTQI+ rights NGO (established 1998), including case documentation and hotline reports;</w:t>
      </w:r>
    </w:p>
    <w:p w:rsidR="001912ED" w:rsidRPr="001912ED" w:rsidRDefault="001912ED" w:rsidP="001912ED">
      <w:pPr>
        <w:pStyle w:val="a3"/>
        <w:numPr>
          <w:ilvl w:val="0"/>
          <w:numId w:val="15"/>
        </w:numPr>
        <w:rPr>
          <w:lang w:val="en-US"/>
        </w:rPr>
      </w:pPr>
      <w:r w:rsidRPr="001912ED">
        <w:rPr>
          <w:lang w:val="en-US"/>
        </w:rPr>
        <w:t xml:space="preserve">Legal and policy analysis from the 2024 report </w:t>
      </w:r>
      <w:proofErr w:type="spellStart"/>
      <w:r w:rsidRPr="001912ED">
        <w:rPr>
          <w:rStyle w:val="a5"/>
          <w:rFonts w:eastAsiaTheme="majorEastAsia"/>
          <w:lang w:val="en-US"/>
        </w:rPr>
        <w:t>Analiza</w:t>
      </w:r>
      <w:proofErr w:type="spellEnd"/>
      <w:r w:rsidRPr="001912ED">
        <w:rPr>
          <w:rStyle w:val="a5"/>
          <w:rFonts w:eastAsiaTheme="majorEastAsia"/>
          <w:lang w:val="en-US"/>
        </w:rPr>
        <w:t xml:space="preserve"> </w:t>
      </w:r>
      <w:proofErr w:type="spellStart"/>
      <w:r w:rsidRPr="001912ED">
        <w:rPr>
          <w:rStyle w:val="a5"/>
          <w:rFonts w:eastAsiaTheme="majorEastAsia"/>
          <w:lang w:val="en-US"/>
        </w:rPr>
        <w:t>cadrului</w:t>
      </w:r>
      <w:proofErr w:type="spellEnd"/>
      <w:r w:rsidRPr="001912ED">
        <w:rPr>
          <w:rStyle w:val="a5"/>
          <w:rFonts w:eastAsiaTheme="majorEastAsia"/>
          <w:lang w:val="en-US"/>
        </w:rPr>
        <w:t xml:space="preserve"> legal </w:t>
      </w:r>
      <w:proofErr w:type="spellStart"/>
      <w:r w:rsidRPr="001912ED">
        <w:rPr>
          <w:rStyle w:val="a5"/>
          <w:rFonts w:eastAsiaTheme="majorEastAsia"/>
          <w:lang w:val="en-US"/>
        </w:rPr>
        <w:t>și</w:t>
      </w:r>
      <w:proofErr w:type="spellEnd"/>
      <w:r w:rsidRPr="001912ED">
        <w:rPr>
          <w:rStyle w:val="a5"/>
          <w:rFonts w:eastAsiaTheme="majorEastAsia"/>
          <w:lang w:val="en-US"/>
        </w:rPr>
        <w:t xml:space="preserve"> a </w:t>
      </w:r>
      <w:proofErr w:type="spellStart"/>
      <w:r w:rsidRPr="001912ED">
        <w:rPr>
          <w:rStyle w:val="a5"/>
          <w:rFonts w:eastAsiaTheme="majorEastAsia"/>
          <w:lang w:val="en-US"/>
        </w:rPr>
        <w:t>politicilor</w:t>
      </w:r>
      <w:proofErr w:type="spellEnd"/>
      <w:r w:rsidRPr="001912ED">
        <w:rPr>
          <w:rStyle w:val="a5"/>
          <w:rFonts w:eastAsiaTheme="majorEastAsia"/>
          <w:lang w:val="en-US"/>
        </w:rPr>
        <w:t xml:space="preserve"> </w:t>
      </w:r>
      <w:proofErr w:type="spellStart"/>
      <w:r w:rsidRPr="001912ED">
        <w:rPr>
          <w:rStyle w:val="a5"/>
          <w:rFonts w:eastAsiaTheme="majorEastAsia"/>
          <w:lang w:val="en-US"/>
        </w:rPr>
        <w:t>privind</w:t>
      </w:r>
      <w:proofErr w:type="spellEnd"/>
      <w:r w:rsidRPr="001912ED">
        <w:rPr>
          <w:rStyle w:val="a5"/>
          <w:rFonts w:eastAsiaTheme="majorEastAsia"/>
          <w:lang w:val="en-US"/>
        </w:rPr>
        <w:t xml:space="preserve"> </w:t>
      </w:r>
      <w:proofErr w:type="spellStart"/>
      <w:r w:rsidRPr="001912ED">
        <w:rPr>
          <w:rStyle w:val="a5"/>
          <w:rFonts w:eastAsiaTheme="majorEastAsia"/>
          <w:lang w:val="en-US"/>
        </w:rPr>
        <w:t>drepturile</w:t>
      </w:r>
      <w:proofErr w:type="spellEnd"/>
      <w:r w:rsidRPr="001912ED">
        <w:rPr>
          <w:rStyle w:val="a5"/>
          <w:rFonts w:eastAsiaTheme="majorEastAsia"/>
          <w:lang w:val="en-US"/>
        </w:rPr>
        <w:t xml:space="preserve"> </w:t>
      </w:r>
      <w:proofErr w:type="spellStart"/>
      <w:r w:rsidRPr="001912ED">
        <w:rPr>
          <w:rStyle w:val="a5"/>
          <w:rFonts w:eastAsiaTheme="majorEastAsia"/>
          <w:lang w:val="en-US"/>
        </w:rPr>
        <w:t>adolescenților</w:t>
      </w:r>
      <w:proofErr w:type="spellEnd"/>
      <w:r w:rsidRPr="001912ED">
        <w:rPr>
          <w:rStyle w:val="a5"/>
          <w:rFonts w:eastAsiaTheme="majorEastAsia"/>
          <w:lang w:val="en-US"/>
        </w:rPr>
        <w:t xml:space="preserve"> LGBTIQ+ </w:t>
      </w:r>
      <w:proofErr w:type="spellStart"/>
      <w:r w:rsidRPr="001912ED">
        <w:rPr>
          <w:rStyle w:val="a5"/>
          <w:rFonts w:eastAsiaTheme="majorEastAsia"/>
          <w:lang w:val="en-US"/>
        </w:rPr>
        <w:t>în</w:t>
      </w:r>
      <w:proofErr w:type="spellEnd"/>
      <w:r w:rsidRPr="001912ED">
        <w:rPr>
          <w:rStyle w:val="a5"/>
          <w:rFonts w:eastAsiaTheme="majorEastAsia"/>
          <w:lang w:val="en-US"/>
        </w:rPr>
        <w:t xml:space="preserve"> </w:t>
      </w:r>
      <w:proofErr w:type="spellStart"/>
      <w:r w:rsidRPr="001912ED">
        <w:rPr>
          <w:rStyle w:val="a5"/>
          <w:rFonts w:eastAsiaTheme="majorEastAsia"/>
          <w:lang w:val="en-US"/>
        </w:rPr>
        <w:t>Republica</w:t>
      </w:r>
      <w:proofErr w:type="spellEnd"/>
      <w:r w:rsidRPr="001912ED">
        <w:rPr>
          <w:rStyle w:val="a5"/>
          <w:rFonts w:eastAsiaTheme="majorEastAsia"/>
          <w:lang w:val="en-US"/>
        </w:rPr>
        <w:t xml:space="preserve"> Moldova</w:t>
      </w:r>
      <w:r w:rsidRPr="001912ED">
        <w:rPr>
          <w:lang w:val="en-US"/>
        </w:rPr>
        <w:t>;</w:t>
      </w:r>
    </w:p>
    <w:p w:rsidR="001912ED" w:rsidRPr="001912ED" w:rsidRDefault="001912ED" w:rsidP="001912ED">
      <w:pPr>
        <w:pStyle w:val="a3"/>
        <w:numPr>
          <w:ilvl w:val="0"/>
          <w:numId w:val="15"/>
        </w:numPr>
        <w:rPr>
          <w:lang w:val="en-US"/>
        </w:rPr>
      </w:pPr>
      <w:r w:rsidRPr="001912ED">
        <w:rPr>
          <w:lang w:val="en-US"/>
        </w:rPr>
        <w:t>Review of national legislation, strategic documents, and international obligations;</w:t>
      </w:r>
    </w:p>
    <w:p w:rsidR="001912ED" w:rsidRPr="001912ED" w:rsidRDefault="001912ED" w:rsidP="001912ED">
      <w:pPr>
        <w:pStyle w:val="a3"/>
        <w:numPr>
          <w:ilvl w:val="0"/>
          <w:numId w:val="15"/>
        </w:numPr>
        <w:rPr>
          <w:lang w:val="en-US"/>
        </w:rPr>
      </w:pPr>
      <w:r w:rsidRPr="001912ED">
        <w:rPr>
          <w:lang w:val="en-US"/>
        </w:rPr>
        <w:t>Media and political discourse monitoring;</w:t>
      </w:r>
    </w:p>
    <w:p w:rsidR="001912ED" w:rsidRPr="001912ED" w:rsidRDefault="001912ED" w:rsidP="001912ED">
      <w:pPr>
        <w:pStyle w:val="a3"/>
        <w:numPr>
          <w:ilvl w:val="0"/>
          <w:numId w:val="15"/>
        </w:numPr>
        <w:rPr>
          <w:lang w:val="en-US"/>
        </w:rPr>
      </w:pPr>
      <w:r w:rsidRPr="001912ED">
        <w:rPr>
          <w:lang w:val="en-US"/>
        </w:rPr>
        <w:t>Direct testimonies from affected children and their families, with identifying information removed for confidentiality.</w:t>
      </w:r>
    </w:p>
    <w:p w:rsidR="001912ED" w:rsidRPr="001912ED" w:rsidRDefault="00B02BDA" w:rsidP="001912ED">
      <w:pPr>
        <w:rPr>
          <w:lang w:val="en-US"/>
        </w:rPr>
      </w:pPr>
      <w:r>
        <w:rPr>
          <w:lang w:val="en-US"/>
        </w:rPr>
        <w:pict>
          <v:rect id="_x0000_i1026" style="width:0;height:1.5pt" o:hralign="center" o:hrstd="t" o:hr="t" fillcolor="#a0a0a0" stroked="f"/>
        </w:pict>
      </w:r>
    </w:p>
    <w:p w:rsidR="001912ED" w:rsidRPr="001912ED" w:rsidRDefault="001912ED" w:rsidP="001912ED">
      <w:pPr>
        <w:pStyle w:val="2"/>
        <w:rPr>
          <w:lang w:val="en-US"/>
        </w:rPr>
      </w:pPr>
      <w:r w:rsidRPr="001912ED">
        <w:rPr>
          <w:lang w:val="en-US"/>
        </w:rPr>
        <w:t>2. Follow-up to Previous CRC Concluding Observations (para. 15 – Non-discrimination)</w:t>
      </w:r>
    </w:p>
    <w:p w:rsidR="001912ED" w:rsidRPr="001912ED" w:rsidRDefault="001912ED" w:rsidP="001912ED">
      <w:pPr>
        <w:pStyle w:val="a3"/>
        <w:rPr>
          <w:lang w:val="en-US"/>
        </w:rPr>
      </w:pPr>
      <w:r w:rsidRPr="001912ED">
        <w:rPr>
          <w:lang w:val="en-US"/>
        </w:rPr>
        <w:t>In its previous Concluding Observations (para. 15), the CRC urged Moldova to:</w:t>
      </w:r>
    </w:p>
    <w:p w:rsidR="001912ED" w:rsidRPr="001912ED" w:rsidRDefault="001912ED" w:rsidP="001912ED">
      <w:pPr>
        <w:pStyle w:val="a3"/>
        <w:numPr>
          <w:ilvl w:val="0"/>
          <w:numId w:val="16"/>
        </w:numPr>
        <w:rPr>
          <w:lang w:val="en-US"/>
        </w:rPr>
      </w:pPr>
      <w:r w:rsidRPr="001912ED">
        <w:rPr>
          <w:lang w:val="en-US"/>
        </w:rPr>
        <w:t>Intensify efforts to eliminate discrimination against vulnerable groups, including LGBTI children;</w:t>
      </w:r>
    </w:p>
    <w:p w:rsidR="001912ED" w:rsidRPr="001912ED" w:rsidRDefault="001912ED" w:rsidP="001912ED">
      <w:pPr>
        <w:pStyle w:val="a3"/>
        <w:numPr>
          <w:ilvl w:val="0"/>
          <w:numId w:val="16"/>
        </w:numPr>
        <w:rPr>
          <w:lang w:val="en-US"/>
        </w:rPr>
      </w:pPr>
      <w:r w:rsidRPr="001912ED">
        <w:rPr>
          <w:lang w:val="en-US"/>
        </w:rPr>
        <w:t>Modify relevant laws;</w:t>
      </w:r>
    </w:p>
    <w:p w:rsidR="001912ED" w:rsidRPr="001912ED" w:rsidRDefault="001912ED" w:rsidP="001912ED">
      <w:pPr>
        <w:pStyle w:val="a3"/>
        <w:numPr>
          <w:ilvl w:val="0"/>
          <w:numId w:val="16"/>
        </w:numPr>
        <w:rPr>
          <w:lang w:val="en-US"/>
        </w:rPr>
      </w:pPr>
      <w:r w:rsidRPr="001912ED">
        <w:rPr>
          <w:lang w:val="en-US"/>
        </w:rPr>
        <w:t>Provide police sensitivity training;</w:t>
      </w:r>
    </w:p>
    <w:p w:rsidR="001912ED" w:rsidRPr="001912ED" w:rsidRDefault="001912ED" w:rsidP="001912ED">
      <w:pPr>
        <w:pStyle w:val="a3"/>
        <w:numPr>
          <w:ilvl w:val="0"/>
          <w:numId w:val="16"/>
        </w:numPr>
        <w:rPr>
          <w:lang w:val="en-US"/>
        </w:rPr>
      </w:pPr>
      <w:r w:rsidRPr="001912ED">
        <w:rPr>
          <w:lang w:val="en-US"/>
        </w:rPr>
        <w:t>Conduct awareness-raising campaigns, especially in schools.</w:t>
      </w:r>
    </w:p>
    <w:p w:rsidR="001912ED" w:rsidRPr="001912ED" w:rsidRDefault="001912ED" w:rsidP="001912ED">
      <w:pPr>
        <w:pStyle w:val="a3"/>
        <w:rPr>
          <w:lang w:val="en-US"/>
        </w:rPr>
      </w:pPr>
      <w:r w:rsidRPr="001912ED">
        <w:rPr>
          <w:rStyle w:val="a4"/>
          <w:lang w:val="en-US"/>
        </w:rPr>
        <w:t>Current status (2025):</w:t>
      </w:r>
    </w:p>
    <w:p w:rsidR="003C4236" w:rsidRDefault="001912ED" w:rsidP="00243498">
      <w:pPr>
        <w:pStyle w:val="a3"/>
        <w:numPr>
          <w:ilvl w:val="0"/>
          <w:numId w:val="17"/>
        </w:numPr>
        <w:rPr>
          <w:lang w:val="en-US"/>
        </w:rPr>
      </w:pPr>
      <w:r w:rsidRPr="003C4236">
        <w:rPr>
          <w:rStyle w:val="a4"/>
          <w:lang w:val="en-US"/>
        </w:rPr>
        <w:t>Legislation:</w:t>
      </w:r>
      <w:r w:rsidRPr="003C4236">
        <w:rPr>
          <w:lang w:val="en-US"/>
        </w:rPr>
        <w:t xml:space="preserve"> Law No. 121/2012 on Equality prohibits discrimination based on sexual orientation and gender identity but omits “gender expression” and “intersex status,” leaving gaps in protection. </w:t>
      </w:r>
    </w:p>
    <w:p w:rsidR="001912ED" w:rsidRPr="003C4236" w:rsidRDefault="001912ED" w:rsidP="00243498">
      <w:pPr>
        <w:pStyle w:val="a3"/>
        <w:numPr>
          <w:ilvl w:val="0"/>
          <w:numId w:val="17"/>
        </w:numPr>
        <w:rPr>
          <w:lang w:val="en-US"/>
        </w:rPr>
      </w:pPr>
      <w:r w:rsidRPr="003C4236">
        <w:rPr>
          <w:rStyle w:val="a4"/>
          <w:lang w:val="en-US"/>
        </w:rPr>
        <w:lastRenderedPageBreak/>
        <w:t>Awareness:</w:t>
      </w:r>
      <w:r w:rsidRPr="003C4236">
        <w:rPr>
          <w:lang w:val="en-US"/>
        </w:rPr>
        <w:t xml:space="preserve"> No national campaigns have targeted discrimination against LGBTIQ+ children. Public messaging on diversity in education is often hostile, driven by political disinformation.</w:t>
      </w:r>
    </w:p>
    <w:p w:rsidR="001912ED" w:rsidRPr="001912ED" w:rsidRDefault="001912ED" w:rsidP="001912ED">
      <w:pPr>
        <w:pStyle w:val="a3"/>
        <w:numPr>
          <w:ilvl w:val="0"/>
          <w:numId w:val="17"/>
        </w:numPr>
        <w:rPr>
          <w:lang w:val="en-US"/>
        </w:rPr>
      </w:pPr>
      <w:r w:rsidRPr="001912ED">
        <w:rPr>
          <w:rStyle w:val="a4"/>
          <w:lang w:val="en-US"/>
        </w:rPr>
        <w:t>Training:</w:t>
      </w:r>
      <w:r w:rsidRPr="001912ED">
        <w:rPr>
          <w:lang w:val="en-US"/>
        </w:rPr>
        <w:t xml:space="preserve"> Law enforcement training on minority issues has been sporadic, short-term, and non-mandatory. It rarely addresses SOGIESC-specific hate crimes.</w:t>
      </w:r>
    </w:p>
    <w:p w:rsidR="001912ED" w:rsidRPr="001912ED" w:rsidRDefault="001912ED" w:rsidP="001912ED">
      <w:pPr>
        <w:pStyle w:val="a3"/>
        <w:numPr>
          <w:ilvl w:val="0"/>
          <w:numId w:val="17"/>
        </w:numPr>
        <w:rPr>
          <w:lang w:val="en-US"/>
        </w:rPr>
      </w:pPr>
      <w:r w:rsidRPr="001912ED">
        <w:rPr>
          <w:rStyle w:val="a4"/>
          <w:lang w:val="en-US"/>
        </w:rPr>
        <w:t>Policy inclusion:</w:t>
      </w:r>
      <w:r w:rsidRPr="001912ED">
        <w:rPr>
          <w:lang w:val="en-US"/>
        </w:rPr>
        <w:t xml:space="preserve"> National child protection strategies and </w:t>
      </w:r>
      <w:proofErr w:type="spellStart"/>
      <w:r w:rsidRPr="001912ED">
        <w:rPr>
          <w:lang w:val="en-US"/>
        </w:rPr>
        <w:t>programmes</w:t>
      </w:r>
      <w:proofErr w:type="spellEnd"/>
      <w:r w:rsidRPr="001912ED">
        <w:rPr>
          <w:lang w:val="en-US"/>
        </w:rPr>
        <w:t xml:space="preserve"> omit explicit references to LGBTIQ+ adolescents, leading to invisibility in service provision.</w:t>
      </w:r>
    </w:p>
    <w:p w:rsidR="001912ED" w:rsidRPr="001912ED" w:rsidRDefault="001912ED" w:rsidP="001912ED">
      <w:pPr>
        <w:pStyle w:val="a3"/>
        <w:rPr>
          <w:lang w:val="en-US"/>
        </w:rPr>
      </w:pPr>
      <w:r w:rsidRPr="001912ED">
        <w:rPr>
          <w:rStyle w:val="a4"/>
          <w:lang w:val="en-US"/>
        </w:rPr>
        <w:t>Questions for the Committee:</w:t>
      </w:r>
    </w:p>
    <w:p w:rsidR="001912ED" w:rsidRPr="001912ED" w:rsidRDefault="001912ED" w:rsidP="001912ED">
      <w:pPr>
        <w:pStyle w:val="a3"/>
        <w:numPr>
          <w:ilvl w:val="0"/>
          <w:numId w:val="18"/>
        </w:numPr>
        <w:rPr>
          <w:lang w:val="en-US"/>
        </w:rPr>
      </w:pPr>
      <w:r w:rsidRPr="001912ED">
        <w:rPr>
          <w:lang w:val="en-US"/>
        </w:rPr>
        <w:t>What steps has the State taken to implement the CRC’s previous recommendations on eliminating discrimination against LGBTI children?</w:t>
      </w:r>
    </w:p>
    <w:p w:rsidR="001912ED" w:rsidRPr="001912ED" w:rsidRDefault="001912ED" w:rsidP="001912ED">
      <w:pPr>
        <w:pStyle w:val="a3"/>
        <w:numPr>
          <w:ilvl w:val="0"/>
          <w:numId w:val="18"/>
        </w:numPr>
        <w:rPr>
          <w:lang w:val="en-US"/>
        </w:rPr>
      </w:pPr>
      <w:r w:rsidRPr="001912ED">
        <w:rPr>
          <w:lang w:val="en-US"/>
        </w:rPr>
        <w:t>Why has Law No. 121/2012 not been updated to explicitly include “gender expression” and “intersex status”?</w:t>
      </w:r>
    </w:p>
    <w:p w:rsidR="001912ED" w:rsidRPr="001912ED" w:rsidRDefault="001912ED" w:rsidP="001912ED">
      <w:pPr>
        <w:pStyle w:val="a3"/>
        <w:numPr>
          <w:ilvl w:val="0"/>
          <w:numId w:val="18"/>
        </w:numPr>
        <w:rPr>
          <w:lang w:val="en-US"/>
        </w:rPr>
      </w:pPr>
      <w:r w:rsidRPr="001912ED">
        <w:rPr>
          <w:lang w:val="en-US"/>
        </w:rPr>
        <w:t>What national awareness-raising efforts specifically address discrimination against LGBTIQ+ children?</w:t>
      </w:r>
    </w:p>
    <w:p w:rsidR="001912ED" w:rsidRPr="001912ED" w:rsidRDefault="00B02BDA" w:rsidP="001912ED">
      <w:pPr>
        <w:rPr>
          <w:lang w:val="en-US"/>
        </w:rPr>
      </w:pPr>
      <w:r>
        <w:rPr>
          <w:lang w:val="en-US"/>
        </w:rPr>
        <w:pict>
          <v:rect id="_x0000_i1027" style="width:0;height:1.5pt" o:hralign="center" o:hrstd="t" o:hr="t" fillcolor="#a0a0a0" stroked="f"/>
        </w:pict>
      </w:r>
    </w:p>
    <w:p w:rsidR="001912ED" w:rsidRPr="001912ED" w:rsidRDefault="001912ED" w:rsidP="001912ED">
      <w:pPr>
        <w:pStyle w:val="2"/>
        <w:rPr>
          <w:lang w:val="en-US"/>
        </w:rPr>
      </w:pPr>
      <w:r w:rsidRPr="001912ED">
        <w:rPr>
          <w:lang w:val="en-US"/>
        </w:rPr>
        <w:t>3. Violence, Bullying, and Discrimination in Schools and Public Life</w:t>
      </w:r>
    </w:p>
    <w:p w:rsidR="001912ED" w:rsidRPr="001912ED" w:rsidRDefault="001912ED" w:rsidP="001912ED">
      <w:pPr>
        <w:pStyle w:val="3"/>
        <w:rPr>
          <w:lang w:val="en-US"/>
        </w:rPr>
      </w:pPr>
      <w:r w:rsidRPr="001912ED">
        <w:rPr>
          <w:lang w:val="en-US"/>
        </w:rPr>
        <w:t>Legislative framework</w:t>
      </w:r>
    </w:p>
    <w:p w:rsidR="001912ED" w:rsidRPr="001912ED" w:rsidRDefault="001912ED" w:rsidP="001912ED">
      <w:pPr>
        <w:pStyle w:val="a3"/>
        <w:numPr>
          <w:ilvl w:val="0"/>
          <w:numId w:val="19"/>
        </w:numPr>
        <w:rPr>
          <w:lang w:val="en-US"/>
        </w:rPr>
      </w:pPr>
      <w:r w:rsidRPr="001912ED">
        <w:rPr>
          <w:lang w:val="en-US"/>
        </w:rPr>
        <w:t>The Education Code (amended in 2022) introduced a legal definition of bullying and obligations for prevention. However, anti-bullying policies and methodological norms omit explicit reference to sexual orientation, gender identity, gender expression, or intersex status (SOGIESC).</w:t>
      </w:r>
    </w:p>
    <w:p w:rsidR="001912ED" w:rsidRPr="001912ED" w:rsidRDefault="001912ED" w:rsidP="001912ED">
      <w:pPr>
        <w:pStyle w:val="a3"/>
        <w:numPr>
          <w:ilvl w:val="0"/>
          <w:numId w:val="19"/>
        </w:numPr>
        <w:rPr>
          <w:lang w:val="en-US"/>
        </w:rPr>
      </w:pPr>
      <w:r w:rsidRPr="001912ED">
        <w:rPr>
          <w:lang w:val="en-US"/>
        </w:rPr>
        <w:t xml:space="preserve">The Criminal Code (Art. 77, 346) </w:t>
      </w:r>
      <w:proofErr w:type="spellStart"/>
      <w:r w:rsidRPr="001912ED">
        <w:rPr>
          <w:lang w:val="en-US"/>
        </w:rPr>
        <w:t>recognises</w:t>
      </w:r>
      <w:proofErr w:type="spellEnd"/>
      <w:r w:rsidRPr="001912ED">
        <w:rPr>
          <w:lang w:val="en-US"/>
        </w:rPr>
        <w:t xml:space="preserve"> hate motive, including on SOGI grounds, as an aggravating circumstance. Yet in practice, police and prosecutors rarely investigate offences as bias-motivated, especially when victims are minors.</w:t>
      </w:r>
    </w:p>
    <w:p w:rsidR="001912ED" w:rsidRPr="001912ED" w:rsidRDefault="001912ED" w:rsidP="001912ED">
      <w:pPr>
        <w:pStyle w:val="3"/>
        <w:rPr>
          <w:lang w:val="en-US"/>
        </w:rPr>
      </w:pPr>
      <w:r w:rsidRPr="001912ED">
        <w:rPr>
          <w:lang w:val="en-US"/>
        </w:rPr>
        <w:t>Practice</w:t>
      </w:r>
    </w:p>
    <w:p w:rsidR="001912ED" w:rsidRPr="001912ED" w:rsidRDefault="001912ED" w:rsidP="001912ED">
      <w:pPr>
        <w:pStyle w:val="a3"/>
        <w:numPr>
          <w:ilvl w:val="0"/>
          <w:numId w:val="20"/>
        </w:numPr>
        <w:rPr>
          <w:lang w:val="en-US"/>
        </w:rPr>
      </w:pPr>
      <w:r w:rsidRPr="001912ED">
        <w:rPr>
          <w:lang w:val="en-US"/>
        </w:rPr>
        <w:t>Reports from GENDERDOC-M confirm that LGBTIQ+ adolescents are disproportionately targeted by bullying, harassment, and violence in schools.</w:t>
      </w:r>
    </w:p>
    <w:p w:rsidR="001912ED" w:rsidRPr="001912ED" w:rsidRDefault="001912ED" w:rsidP="001912ED">
      <w:pPr>
        <w:pStyle w:val="a3"/>
        <w:numPr>
          <w:ilvl w:val="0"/>
          <w:numId w:val="20"/>
        </w:numPr>
        <w:rPr>
          <w:lang w:val="en-US"/>
        </w:rPr>
      </w:pPr>
      <w:r w:rsidRPr="001912ED">
        <w:rPr>
          <w:lang w:val="en-US"/>
        </w:rPr>
        <w:t>School staff sometimes fail to act on complaints, engage in victim-blaming, or breach confidentiality, exposing students to further harm.</w:t>
      </w:r>
    </w:p>
    <w:p w:rsidR="001912ED" w:rsidRPr="001912ED" w:rsidRDefault="001912ED" w:rsidP="001912ED">
      <w:pPr>
        <w:pStyle w:val="a3"/>
        <w:rPr>
          <w:lang w:val="en-US"/>
        </w:rPr>
      </w:pPr>
      <w:r w:rsidRPr="001912ED">
        <w:rPr>
          <w:rStyle w:val="a4"/>
          <w:lang w:val="en-US"/>
        </w:rPr>
        <w:t>Case 1 (May 2025):</w:t>
      </w:r>
      <w:r w:rsidRPr="001912ED">
        <w:rPr>
          <w:lang w:val="en-US"/>
        </w:rPr>
        <w:t xml:space="preserve"> At “Academia </w:t>
      </w:r>
      <w:proofErr w:type="spellStart"/>
      <w:r w:rsidRPr="001912ED">
        <w:rPr>
          <w:lang w:val="en-US"/>
        </w:rPr>
        <w:t>Copiilor</w:t>
      </w:r>
      <w:proofErr w:type="spellEnd"/>
      <w:r w:rsidRPr="001912ED">
        <w:rPr>
          <w:lang w:val="en-US"/>
        </w:rPr>
        <w:t>” High School, a bisexual student reported repeated harassment to the principal. Instead of convening the Anti-Bullying Commission, the deputy head interrogated her about her sexuality, implying she provoked the abuse. Her parents were contacted without consent, putting her at risk of family reprisals.</w:t>
      </w:r>
    </w:p>
    <w:p w:rsidR="001912ED" w:rsidRPr="001912ED" w:rsidRDefault="001912ED" w:rsidP="001912ED">
      <w:pPr>
        <w:pStyle w:val="a3"/>
        <w:rPr>
          <w:lang w:val="en-US"/>
        </w:rPr>
      </w:pPr>
      <w:r w:rsidRPr="001912ED">
        <w:rPr>
          <w:rStyle w:val="a4"/>
          <w:lang w:val="en-US"/>
        </w:rPr>
        <w:t>Case 2 (Sept 2024):</w:t>
      </w:r>
      <w:r w:rsidRPr="001912ED">
        <w:rPr>
          <w:lang w:val="en-US"/>
        </w:rPr>
        <w:t xml:space="preserve"> At Anton Chekhov High School, an English teacher delivered anti-LGBTIQ and politically charged statements to students, including refugees, linking EU integration to “boys becoming girls” and mocking same-sex marriage. No disciplinary measures were reported.</w:t>
      </w:r>
    </w:p>
    <w:p w:rsidR="001912ED" w:rsidRPr="001912ED" w:rsidRDefault="001912ED" w:rsidP="001912ED">
      <w:pPr>
        <w:pStyle w:val="a3"/>
        <w:rPr>
          <w:lang w:val="en-US"/>
        </w:rPr>
      </w:pPr>
      <w:r w:rsidRPr="001912ED">
        <w:rPr>
          <w:rStyle w:val="a4"/>
          <w:lang w:val="en-US"/>
        </w:rPr>
        <w:t>Impact:</w:t>
      </w:r>
      <w:r w:rsidRPr="001912ED">
        <w:rPr>
          <w:lang w:val="en-US"/>
        </w:rPr>
        <w:br/>
        <w:t xml:space="preserve">Such incidents create unsafe learning environments, deter reporting, and perpetuate stigma. The </w:t>
      </w:r>
      <w:r w:rsidRPr="001912ED">
        <w:rPr>
          <w:lang w:val="en-US"/>
        </w:rPr>
        <w:lastRenderedPageBreak/>
        <w:t>absence of explicit SOGIESC protection in anti-bullying protocols leaves victims without clear recourse.</w:t>
      </w:r>
    </w:p>
    <w:p w:rsidR="001912ED" w:rsidRPr="001912ED" w:rsidRDefault="001912ED" w:rsidP="001912ED">
      <w:pPr>
        <w:pStyle w:val="a3"/>
        <w:rPr>
          <w:lang w:val="en-US"/>
        </w:rPr>
      </w:pPr>
      <w:r w:rsidRPr="001912ED">
        <w:rPr>
          <w:rStyle w:val="a4"/>
          <w:lang w:val="en-US"/>
        </w:rPr>
        <w:t>Questions for the Committee:</w:t>
      </w:r>
    </w:p>
    <w:p w:rsidR="001912ED" w:rsidRPr="001912ED" w:rsidRDefault="001912ED" w:rsidP="001912ED">
      <w:pPr>
        <w:pStyle w:val="a3"/>
        <w:numPr>
          <w:ilvl w:val="0"/>
          <w:numId w:val="21"/>
        </w:numPr>
        <w:rPr>
          <w:lang w:val="en-US"/>
        </w:rPr>
      </w:pPr>
      <w:r w:rsidRPr="001912ED">
        <w:rPr>
          <w:lang w:val="en-US"/>
        </w:rPr>
        <w:t>How does the State ensure that anti-bullying procedures protect LGBTIQ+ students without discrimination or breaches of confidentiality?</w:t>
      </w:r>
    </w:p>
    <w:p w:rsidR="001912ED" w:rsidRPr="001912ED" w:rsidRDefault="001912ED" w:rsidP="001912ED">
      <w:pPr>
        <w:pStyle w:val="a3"/>
        <w:numPr>
          <w:ilvl w:val="0"/>
          <w:numId w:val="21"/>
        </w:numPr>
        <w:rPr>
          <w:lang w:val="en-US"/>
        </w:rPr>
      </w:pPr>
      <w:r w:rsidRPr="001912ED">
        <w:rPr>
          <w:lang w:val="en-US"/>
        </w:rPr>
        <w:t>What data exists on SOGIESC-related bullying and its resolution?</w:t>
      </w:r>
    </w:p>
    <w:p w:rsidR="001912ED" w:rsidRPr="001912ED" w:rsidRDefault="001912ED" w:rsidP="001912ED">
      <w:pPr>
        <w:pStyle w:val="a3"/>
        <w:numPr>
          <w:ilvl w:val="0"/>
          <w:numId w:val="21"/>
        </w:numPr>
        <w:rPr>
          <w:lang w:val="en-US"/>
        </w:rPr>
      </w:pPr>
      <w:r w:rsidRPr="001912ED">
        <w:rPr>
          <w:lang w:val="en-US"/>
        </w:rPr>
        <w:t>What training do educators and law enforcement receive on identifying and addressing hate-motivated incidents involving children?</w:t>
      </w:r>
    </w:p>
    <w:p w:rsidR="001912ED" w:rsidRPr="001912ED" w:rsidRDefault="00B02BDA" w:rsidP="001912ED">
      <w:pPr>
        <w:rPr>
          <w:lang w:val="en-US"/>
        </w:rPr>
      </w:pPr>
      <w:r>
        <w:rPr>
          <w:lang w:val="en-US"/>
        </w:rPr>
        <w:pict>
          <v:rect id="_x0000_i1028" style="width:0;height:1.5pt" o:hralign="center" o:hrstd="t" o:hr="t" fillcolor="#a0a0a0" stroked="f"/>
        </w:pict>
      </w:r>
    </w:p>
    <w:p w:rsidR="001912ED" w:rsidRPr="001912ED" w:rsidRDefault="001912ED" w:rsidP="001912ED">
      <w:pPr>
        <w:pStyle w:val="2"/>
        <w:rPr>
          <w:lang w:val="en-US"/>
        </w:rPr>
      </w:pPr>
      <w:r w:rsidRPr="001912ED">
        <w:rPr>
          <w:lang w:val="en-US"/>
        </w:rPr>
        <w:t>4. Access to Education and Inclusion in Curricula</w:t>
      </w:r>
    </w:p>
    <w:p w:rsidR="001912ED" w:rsidRPr="001912ED" w:rsidRDefault="001912ED" w:rsidP="001912ED">
      <w:pPr>
        <w:pStyle w:val="3"/>
        <w:rPr>
          <w:lang w:val="en-US"/>
        </w:rPr>
      </w:pPr>
      <w:r w:rsidRPr="001912ED">
        <w:rPr>
          <w:lang w:val="en-US"/>
        </w:rPr>
        <w:t>Legislative and policy gaps</w:t>
      </w:r>
    </w:p>
    <w:p w:rsidR="001912ED" w:rsidRPr="001912ED" w:rsidRDefault="001912ED" w:rsidP="001912ED">
      <w:pPr>
        <w:pStyle w:val="a3"/>
        <w:numPr>
          <w:ilvl w:val="0"/>
          <w:numId w:val="22"/>
        </w:numPr>
        <w:rPr>
          <w:lang w:val="en-US"/>
        </w:rPr>
      </w:pPr>
      <w:r w:rsidRPr="001912ED">
        <w:rPr>
          <w:lang w:val="en-US"/>
        </w:rPr>
        <w:t>The Education Law enshrines equality but does not explicitly prohibit SOGIESC-based discrimination in education.</w:t>
      </w:r>
    </w:p>
    <w:p w:rsidR="001912ED" w:rsidRPr="001912ED" w:rsidRDefault="001912ED" w:rsidP="001912ED">
      <w:pPr>
        <w:pStyle w:val="a3"/>
        <w:numPr>
          <w:ilvl w:val="0"/>
          <w:numId w:val="22"/>
        </w:numPr>
        <w:rPr>
          <w:lang w:val="en-US"/>
        </w:rPr>
      </w:pPr>
      <w:r w:rsidRPr="001912ED">
        <w:rPr>
          <w:lang w:val="en-US"/>
        </w:rPr>
        <w:t>Comprehensive sexuality education is absent; where sexual health is addressed, it excludes references to sexual orientation and gender identity.</w:t>
      </w:r>
    </w:p>
    <w:p w:rsidR="001912ED" w:rsidRPr="001912ED" w:rsidRDefault="001912ED" w:rsidP="001912ED">
      <w:pPr>
        <w:pStyle w:val="3"/>
        <w:rPr>
          <w:lang w:val="en-US"/>
        </w:rPr>
      </w:pPr>
      <w:r w:rsidRPr="001912ED">
        <w:rPr>
          <w:lang w:val="en-US"/>
        </w:rPr>
        <w:t>Public discourse and disinformation</w:t>
      </w:r>
    </w:p>
    <w:p w:rsidR="001912ED" w:rsidRPr="001912ED" w:rsidRDefault="001912ED" w:rsidP="001912ED">
      <w:pPr>
        <w:pStyle w:val="a3"/>
        <w:numPr>
          <w:ilvl w:val="0"/>
          <w:numId w:val="23"/>
        </w:numPr>
        <w:rPr>
          <w:lang w:val="en-US"/>
        </w:rPr>
      </w:pPr>
      <w:r w:rsidRPr="001912ED">
        <w:rPr>
          <w:lang w:val="en-US"/>
        </w:rPr>
        <w:t>Political figures have portrayed diversity education as “LGBT propaganda.”</w:t>
      </w:r>
    </w:p>
    <w:p w:rsidR="001912ED" w:rsidRPr="001912ED" w:rsidRDefault="001912ED" w:rsidP="001912ED">
      <w:pPr>
        <w:pStyle w:val="a3"/>
        <w:numPr>
          <w:ilvl w:val="0"/>
          <w:numId w:val="23"/>
        </w:numPr>
        <w:rPr>
          <w:lang w:val="en-US"/>
        </w:rPr>
      </w:pPr>
      <w:r w:rsidRPr="001912ED">
        <w:rPr>
          <w:lang w:val="en-US"/>
        </w:rPr>
        <w:t xml:space="preserve">Disinformation campaigns ahead of elections have falsely claimed that Moldovan schools will “force” gender changes or promote same-sex relationships. Examples include fake online adverts and public speeches by political leaders (e.g., Igor </w:t>
      </w:r>
      <w:proofErr w:type="spellStart"/>
      <w:r w:rsidRPr="001912ED">
        <w:rPr>
          <w:lang w:val="en-US"/>
        </w:rPr>
        <w:t>Dodon</w:t>
      </w:r>
      <w:proofErr w:type="spellEnd"/>
      <w:r w:rsidRPr="001912ED">
        <w:rPr>
          <w:lang w:val="en-US"/>
        </w:rPr>
        <w:t xml:space="preserve">, Bogdan </w:t>
      </w:r>
      <w:proofErr w:type="spellStart"/>
      <w:r w:rsidRPr="001912ED">
        <w:rPr>
          <w:lang w:val="en-US"/>
        </w:rPr>
        <w:t>Țîrdea</w:t>
      </w:r>
      <w:proofErr w:type="spellEnd"/>
      <w:r w:rsidR="003C4236">
        <w:rPr>
          <w:lang w:val="en-US"/>
        </w:rPr>
        <w:t xml:space="preserve">, Ion </w:t>
      </w:r>
      <w:proofErr w:type="spellStart"/>
      <w:r w:rsidR="003C4236">
        <w:rPr>
          <w:lang w:val="en-US"/>
        </w:rPr>
        <w:t>Ceban</w:t>
      </w:r>
      <w:proofErr w:type="spellEnd"/>
      <w:r w:rsidRPr="001912ED">
        <w:rPr>
          <w:lang w:val="en-US"/>
        </w:rPr>
        <w:t xml:space="preserve">) </w:t>
      </w:r>
      <w:proofErr w:type="spellStart"/>
      <w:r w:rsidRPr="001912ED">
        <w:rPr>
          <w:lang w:val="en-US"/>
        </w:rPr>
        <w:t>mischaracterising</w:t>
      </w:r>
      <w:proofErr w:type="spellEnd"/>
      <w:r w:rsidRPr="001912ED">
        <w:rPr>
          <w:lang w:val="en-US"/>
        </w:rPr>
        <w:t xml:space="preserve"> tolerance activities in schools.</w:t>
      </w:r>
    </w:p>
    <w:p w:rsidR="001912ED" w:rsidRPr="001912ED" w:rsidRDefault="001912ED" w:rsidP="001912ED">
      <w:pPr>
        <w:pStyle w:val="3"/>
        <w:rPr>
          <w:lang w:val="en-US"/>
        </w:rPr>
      </w:pPr>
      <w:r w:rsidRPr="001912ED">
        <w:rPr>
          <w:lang w:val="en-US"/>
        </w:rPr>
        <w:t>Consequences</w:t>
      </w:r>
    </w:p>
    <w:p w:rsidR="001912ED" w:rsidRPr="001912ED" w:rsidRDefault="001912ED" w:rsidP="001912ED">
      <w:pPr>
        <w:pStyle w:val="a3"/>
        <w:numPr>
          <w:ilvl w:val="0"/>
          <w:numId w:val="24"/>
        </w:numPr>
        <w:rPr>
          <w:lang w:val="en-US"/>
        </w:rPr>
      </w:pPr>
      <w:r w:rsidRPr="001912ED">
        <w:rPr>
          <w:lang w:val="en-US"/>
        </w:rPr>
        <w:t>Students receive no factual, inclusive information about diversity.</w:t>
      </w:r>
    </w:p>
    <w:p w:rsidR="001912ED" w:rsidRPr="001912ED" w:rsidRDefault="001912ED" w:rsidP="001912ED">
      <w:pPr>
        <w:pStyle w:val="a3"/>
        <w:numPr>
          <w:ilvl w:val="0"/>
          <w:numId w:val="24"/>
        </w:numPr>
        <w:rPr>
          <w:lang w:val="en-US"/>
        </w:rPr>
      </w:pPr>
      <w:r w:rsidRPr="001912ED">
        <w:rPr>
          <w:lang w:val="en-US"/>
        </w:rPr>
        <w:t>Educators lack guidance and may perpetuate bias.</w:t>
      </w:r>
    </w:p>
    <w:p w:rsidR="001912ED" w:rsidRPr="001912ED" w:rsidRDefault="001912ED" w:rsidP="001912ED">
      <w:pPr>
        <w:pStyle w:val="a3"/>
        <w:numPr>
          <w:ilvl w:val="0"/>
          <w:numId w:val="24"/>
        </w:numPr>
        <w:rPr>
          <w:lang w:val="en-US"/>
        </w:rPr>
      </w:pPr>
      <w:r w:rsidRPr="001912ED">
        <w:rPr>
          <w:lang w:val="en-US"/>
        </w:rPr>
        <w:t>LGBTIQ+ children feel invisible, unsafe, or pressured to conceal their identity.</w:t>
      </w:r>
    </w:p>
    <w:p w:rsidR="001912ED" w:rsidRPr="001912ED" w:rsidRDefault="001912ED" w:rsidP="001912ED">
      <w:pPr>
        <w:pStyle w:val="a3"/>
        <w:rPr>
          <w:lang w:val="en-US"/>
        </w:rPr>
      </w:pPr>
      <w:r w:rsidRPr="001912ED">
        <w:rPr>
          <w:rStyle w:val="a4"/>
          <w:lang w:val="en-US"/>
        </w:rPr>
        <w:t>Questions for the Committee:</w:t>
      </w:r>
    </w:p>
    <w:p w:rsidR="001912ED" w:rsidRPr="001912ED" w:rsidRDefault="001912ED" w:rsidP="001912ED">
      <w:pPr>
        <w:pStyle w:val="a3"/>
        <w:numPr>
          <w:ilvl w:val="0"/>
          <w:numId w:val="25"/>
        </w:numPr>
        <w:rPr>
          <w:lang w:val="en-US"/>
        </w:rPr>
      </w:pPr>
      <w:r w:rsidRPr="001912ED">
        <w:rPr>
          <w:lang w:val="en-US"/>
        </w:rPr>
        <w:t>What plans exist to integrate inclusive, age-appropriate sexuality education into national curricula, addressing SOGIESC?</w:t>
      </w:r>
    </w:p>
    <w:p w:rsidR="001912ED" w:rsidRPr="001912ED" w:rsidRDefault="001912ED" w:rsidP="001912ED">
      <w:pPr>
        <w:pStyle w:val="a3"/>
        <w:numPr>
          <w:ilvl w:val="0"/>
          <w:numId w:val="25"/>
        </w:numPr>
        <w:rPr>
          <w:lang w:val="en-US"/>
        </w:rPr>
      </w:pPr>
      <w:r w:rsidRPr="001912ED">
        <w:rPr>
          <w:lang w:val="en-US"/>
        </w:rPr>
        <w:t>How is the State addressing disinformation and ensuring education remains free from political propaganda?</w:t>
      </w:r>
    </w:p>
    <w:p w:rsidR="001912ED" w:rsidRPr="001912ED" w:rsidRDefault="001912ED" w:rsidP="001912ED">
      <w:pPr>
        <w:pStyle w:val="a3"/>
        <w:numPr>
          <w:ilvl w:val="0"/>
          <w:numId w:val="25"/>
        </w:numPr>
        <w:rPr>
          <w:lang w:val="en-US"/>
        </w:rPr>
      </w:pPr>
      <w:r w:rsidRPr="001912ED">
        <w:rPr>
          <w:lang w:val="en-US"/>
        </w:rPr>
        <w:t>What training is provided to teachers on fostering safe and inclusive classrooms for all students?</w:t>
      </w:r>
    </w:p>
    <w:p w:rsidR="001912ED" w:rsidRPr="001912ED" w:rsidRDefault="00B02BDA" w:rsidP="001912ED">
      <w:pPr>
        <w:rPr>
          <w:lang w:val="en-US"/>
        </w:rPr>
      </w:pPr>
      <w:r>
        <w:rPr>
          <w:lang w:val="en-US"/>
        </w:rPr>
        <w:pict>
          <v:rect id="_x0000_i1029" style="width:0;height:1.5pt" o:hralign="center" o:hrstd="t" o:hr="t" fillcolor="#a0a0a0" stroked="f"/>
        </w:pict>
      </w:r>
    </w:p>
    <w:p w:rsidR="001912ED" w:rsidRPr="001912ED" w:rsidRDefault="001912ED" w:rsidP="001912ED">
      <w:pPr>
        <w:pStyle w:val="2"/>
        <w:rPr>
          <w:lang w:val="en-US"/>
        </w:rPr>
      </w:pPr>
      <w:r w:rsidRPr="001912ED">
        <w:rPr>
          <w:lang w:val="en-US"/>
        </w:rPr>
        <w:t>5. Legal Recognition and Protection of Children from LGBTI Families</w:t>
      </w:r>
    </w:p>
    <w:p w:rsidR="001912ED" w:rsidRPr="001912ED" w:rsidRDefault="001912ED" w:rsidP="001912ED">
      <w:pPr>
        <w:pStyle w:val="3"/>
        <w:rPr>
          <w:lang w:val="en-US"/>
        </w:rPr>
      </w:pPr>
      <w:r w:rsidRPr="001912ED">
        <w:rPr>
          <w:lang w:val="en-US"/>
        </w:rPr>
        <w:lastRenderedPageBreak/>
        <w:t>Legal status</w:t>
      </w:r>
    </w:p>
    <w:p w:rsidR="001912ED" w:rsidRPr="001912ED" w:rsidRDefault="001912ED" w:rsidP="001912ED">
      <w:pPr>
        <w:pStyle w:val="a3"/>
        <w:numPr>
          <w:ilvl w:val="0"/>
          <w:numId w:val="26"/>
        </w:numPr>
        <w:rPr>
          <w:lang w:val="en-US"/>
        </w:rPr>
      </w:pPr>
      <w:r w:rsidRPr="001912ED">
        <w:rPr>
          <w:lang w:val="en-US"/>
        </w:rPr>
        <w:t xml:space="preserve">Moldova does not </w:t>
      </w:r>
      <w:proofErr w:type="spellStart"/>
      <w:r w:rsidRPr="001912ED">
        <w:rPr>
          <w:lang w:val="en-US"/>
        </w:rPr>
        <w:t>recognise</w:t>
      </w:r>
      <w:proofErr w:type="spellEnd"/>
      <w:r w:rsidRPr="001912ED">
        <w:rPr>
          <w:lang w:val="en-US"/>
        </w:rPr>
        <w:t xml:space="preserve"> same-sex partnerships or parental rights of non-biological parents in same-sex couples.</w:t>
      </w:r>
    </w:p>
    <w:p w:rsidR="001912ED" w:rsidRPr="001912ED" w:rsidRDefault="001912ED" w:rsidP="001912ED">
      <w:pPr>
        <w:pStyle w:val="a3"/>
        <w:numPr>
          <w:ilvl w:val="0"/>
          <w:numId w:val="26"/>
        </w:numPr>
        <w:rPr>
          <w:lang w:val="en-US"/>
        </w:rPr>
      </w:pPr>
      <w:r w:rsidRPr="001912ED">
        <w:rPr>
          <w:lang w:val="en-US"/>
        </w:rPr>
        <w:t>As a result, children in these families may be denied inheritance, custody, or access to healthcare decision-making by both parents.</w:t>
      </w:r>
    </w:p>
    <w:p w:rsidR="001912ED" w:rsidRPr="001912ED" w:rsidRDefault="001912ED" w:rsidP="001912ED">
      <w:pPr>
        <w:pStyle w:val="3"/>
        <w:rPr>
          <w:lang w:val="en-US"/>
        </w:rPr>
      </w:pPr>
      <w:r w:rsidRPr="001912ED">
        <w:rPr>
          <w:lang w:val="en-US"/>
        </w:rPr>
        <w:t>International standards</w:t>
      </w:r>
    </w:p>
    <w:p w:rsidR="001912ED" w:rsidRPr="001912ED" w:rsidRDefault="001912ED" w:rsidP="001912ED">
      <w:pPr>
        <w:pStyle w:val="a3"/>
        <w:numPr>
          <w:ilvl w:val="0"/>
          <w:numId w:val="27"/>
        </w:numPr>
        <w:rPr>
          <w:lang w:val="en-US"/>
        </w:rPr>
      </w:pPr>
      <w:r w:rsidRPr="001912ED">
        <w:rPr>
          <w:lang w:val="en-US"/>
        </w:rPr>
        <w:t>The European Court of Human Rights has held that states must provide legal recognition and protection to same-sex families to ensure children’s rights and security. Moldova has not aligned its laws accordingly.</w:t>
      </w:r>
    </w:p>
    <w:p w:rsidR="001912ED" w:rsidRPr="001912ED" w:rsidRDefault="001912ED" w:rsidP="001912ED">
      <w:pPr>
        <w:pStyle w:val="a3"/>
        <w:rPr>
          <w:lang w:val="en-US"/>
        </w:rPr>
      </w:pPr>
      <w:r w:rsidRPr="001912ED">
        <w:rPr>
          <w:rStyle w:val="a4"/>
          <w:lang w:val="en-US"/>
        </w:rPr>
        <w:t>Impact:</w:t>
      </w:r>
    </w:p>
    <w:p w:rsidR="001912ED" w:rsidRPr="001912ED" w:rsidRDefault="001912ED" w:rsidP="001912ED">
      <w:pPr>
        <w:pStyle w:val="a3"/>
        <w:numPr>
          <w:ilvl w:val="0"/>
          <w:numId w:val="28"/>
        </w:numPr>
        <w:rPr>
          <w:lang w:val="en-US"/>
        </w:rPr>
      </w:pPr>
      <w:r w:rsidRPr="001912ED">
        <w:rPr>
          <w:lang w:val="en-US"/>
        </w:rPr>
        <w:t>In the event of a parent’s death, the child may be left without a legal guardian.</w:t>
      </w:r>
    </w:p>
    <w:p w:rsidR="001912ED" w:rsidRPr="001912ED" w:rsidRDefault="001912ED" w:rsidP="001912ED">
      <w:pPr>
        <w:pStyle w:val="a3"/>
        <w:numPr>
          <w:ilvl w:val="0"/>
          <w:numId w:val="28"/>
        </w:numPr>
        <w:rPr>
          <w:lang w:val="en-US"/>
        </w:rPr>
      </w:pPr>
      <w:r w:rsidRPr="001912ED">
        <w:rPr>
          <w:lang w:val="en-US"/>
        </w:rPr>
        <w:t>Non-biological parents cannot make urgent medical decisions or access information about the child.</w:t>
      </w:r>
    </w:p>
    <w:p w:rsidR="001912ED" w:rsidRPr="001912ED" w:rsidRDefault="001912ED" w:rsidP="001912ED">
      <w:pPr>
        <w:pStyle w:val="a3"/>
        <w:rPr>
          <w:lang w:val="en-US"/>
        </w:rPr>
      </w:pPr>
      <w:r w:rsidRPr="001912ED">
        <w:rPr>
          <w:rStyle w:val="a4"/>
          <w:lang w:val="en-US"/>
        </w:rPr>
        <w:t>Questions for the Committee:</w:t>
      </w:r>
    </w:p>
    <w:p w:rsidR="001912ED" w:rsidRPr="001912ED" w:rsidRDefault="001912ED" w:rsidP="001912ED">
      <w:pPr>
        <w:pStyle w:val="a3"/>
        <w:numPr>
          <w:ilvl w:val="0"/>
          <w:numId w:val="29"/>
        </w:numPr>
        <w:rPr>
          <w:lang w:val="en-US"/>
        </w:rPr>
      </w:pPr>
      <w:r w:rsidRPr="001912ED">
        <w:rPr>
          <w:lang w:val="en-US"/>
        </w:rPr>
        <w:t>How does the State ensure the rights and protection of children in same-sex families?</w:t>
      </w:r>
    </w:p>
    <w:p w:rsidR="001912ED" w:rsidRPr="001912ED" w:rsidRDefault="001912ED" w:rsidP="001912ED">
      <w:pPr>
        <w:pStyle w:val="a3"/>
        <w:numPr>
          <w:ilvl w:val="0"/>
          <w:numId w:val="29"/>
        </w:numPr>
        <w:rPr>
          <w:lang w:val="en-US"/>
        </w:rPr>
      </w:pPr>
      <w:r w:rsidRPr="001912ED">
        <w:rPr>
          <w:lang w:val="en-US"/>
        </w:rPr>
        <w:t>What measures guarantee that the best interests of these children prevail in custody and inheritance matters?</w:t>
      </w:r>
    </w:p>
    <w:p w:rsidR="001912ED" w:rsidRPr="001912ED" w:rsidRDefault="00B02BDA" w:rsidP="001912ED">
      <w:pPr>
        <w:rPr>
          <w:lang w:val="en-US"/>
        </w:rPr>
      </w:pPr>
      <w:r>
        <w:rPr>
          <w:lang w:val="en-US"/>
        </w:rPr>
        <w:pict>
          <v:rect id="_x0000_i1030" style="width:0;height:1.5pt" o:hralign="center" o:hrstd="t" o:hr="t" fillcolor="#a0a0a0" stroked="f"/>
        </w:pict>
      </w:r>
    </w:p>
    <w:p w:rsidR="001912ED" w:rsidRPr="001912ED" w:rsidRDefault="001912ED" w:rsidP="001912ED">
      <w:pPr>
        <w:pStyle w:val="2"/>
        <w:rPr>
          <w:lang w:val="en-US"/>
        </w:rPr>
      </w:pPr>
      <w:r w:rsidRPr="001912ED">
        <w:rPr>
          <w:lang w:val="en-US"/>
        </w:rPr>
        <w:t>6. Barriers to Legal Gender Recognition and Healthcare for Trans Adolescents</w:t>
      </w:r>
    </w:p>
    <w:p w:rsidR="001912ED" w:rsidRPr="001912ED" w:rsidRDefault="001912ED" w:rsidP="001912ED">
      <w:pPr>
        <w:pStyle w:val="3"/>
        <w:rPr>
          <w:lang w:val="en-US"/>
        </w:rPr>
      </w:pPr>
      <w:r w:rsidRPr="001912ED">
        <w:rPr>
          <w:lang w:val="en-US"/>
        </w:rPr>
        <w:t>Current procedures</w:t>
      </w:r>
    </w:p>
    <w:p w:rsidR="001912ED" w:rsidRPr="001912ED" w:rsidRDefault="001912ED" w:rsidP="001912ED">
      <w:pPr>
        <w:pStyle w:val="a3"/>
        <w:numPr>
          <w:ilvl w:val="0"/>
          <w:numId w:val="30"/>
        </w:numPr>
        <w:rPr>
          <w:lang w:val="en-US"/>
        </w:rPr>
      </w:pPr>
      <w:r w:rsidRPr="001912ED">
        <w:rPr>
          <w:lang w:val="en-US"/>
        </w:rPr>
        <w:t xml:space="preserve">No legal provisions regulate gender marker change for </w:t>
      </w:r>
      <w:r w:rsidR="003C4236">
        <w:rPr>
          <w:lang w:val="en-US"/>
        </w:rPr>
        <w:t>trans people</w:t>
      </w:r>
      <w:r w:rsidRPr="001912ED">
        <w:rPr>
          <w:lang w:val="en-US"/>
        </w:rPr>
        <w:t>. Ad hoc court decisions require evidence</w:t>
      </w:r>
      <w:r w:rsidR="003C4236">
        <w:rPr>
          <w:lang w:val="en-US"/>
        </w:rPr>
        <w:t xml:space="preserve"> that could not be provide</w:t>
      </w:r>
      <w:r w:rsidRPr="001912ED">
        <w:rPr>
          <w:lang w:val="en-US"/>
        </w:rPr>
        <w:t>.</w:t>
      </w:r>
    </w:p>
    <w:p w:rsidR="001912ED" w:rsidRPr="001912ED" w:rsidRDefault="001912ED" w:rsidP="001912ED">
      <w:pPr>
        <w:pStyle w:val="a3"/>
        <w:numPr>
          <w:ilvl w:val="0"/>
          <w:numId w:val="30"/>
        </w:numPr>
        <w:rPr>
          <w:lang w:val="en-US"/>
        </w:rPr>
      </w:pPr>
      <w:r w:rsidRPr="001912ED">
        <w:rPr>
          <w:lang w:val="en-US"/>
        </w:rPr>
        <w:t>The absence of clear procedures creates inconsistencies, delays, and financial burdens.</w:t>
      </w:r>
    </w:p>
    <w:p w:rsidR="001912ED" w:rsidRPr="001912ED" w:rsidRDefault="001912ED" w:rsidP="001912ED">
      <w:pPr>
        <w:pStyle w:val="3"/>
        <w:rPr>
          <w:lang w:val="en-US"/>
        </w:rPr>
      </w:pPr>
      <w:r w:rsidRPr="001912ED">
        <w:rPr>
          <w:lang w:val="en-US"/>
        </w:rPr>
        <w:t>Healthcare access</w:t>
      </w:r>
    </w:p>
    <w:p w:rsidR="001912ED" w:rsidRPr="001912ED" w:rsidRDefault="001912ED" w:rsidP="001912ED">
      <w:pPr>
        <w:pStyle w:val="a3"/>
        <w:numPr>
          <w:ilvl w:val="0"/>
          <w:numId w:val="31"/>
        </w:numPr>
        <w:rPr>
          <w:lang w:val="en-US"/>
        </w:rPr>
      </w:pPr>
      <w:r w:rsidRPr="001912ED">
        <w:rPr>
          <w:lang w:val="en-US"/>
        </w:rPr>
        <w:t>No public health services offer gender-affirming care for minors.</w:t>
      </w:r>
    </w:p>
    <w:p w:rsidR="001912ED" w:rsidRPr="001912ED" w:rsidRDefault="001912ED" w:rsidP="001912ED">
      <w:pPr>
        <w:pStyle w:val="a3"/>
        <w:numPr>
          <w:ilvl w:val="0"/>
          <w:numId w:val="31"/>
        </w:numPr>
        <w:rPr>
          <w:lang w:val="en-US"/>
        </w:rPr>
      </w:pPr>
      <w:r w:rsidRPr="001912ED">
        <w:rPr>
          <w:lang w:val="en-US"/>
        </w:rPr>
        <w:t>Without national clinical guidelines, healthcare providers lack clarity and training, often refusing care.</w:t>
      </w:r>
    </w:p>
    <w:p w:rsidR="001912ED" w:rsidRPr="001912ED" w:rsidRDefault="001912ED" w:rsidP="001912ED">
      <w:pPr>
        <w:pStyle w:val="a3"/>
        <w:rPr>
          <w:lang w:val="en-US"/>
        </w:rPr>
      </w:pPr>
      <w:r w:rsidRPr="001912ED">
        <w:rPr>
          <w:rStyle w:val="a4"/>
          <w:lang w:val="en-US"/>
        </w:rPr>
        <w:t>Impact:</w:t>
      </w:r>
    </w:p>
    <w:p w:rsidR="001912ED" w:rsidRPr="001912ED" w:rsidRDefault="001912ED" w:rsidP="001912ED">
      <w:pPr>
        <w:pStyle w:val="a3"/>
        <w:numPr>
          <w:ilvl w:val="0"/>
          <w:numId w:val="32"/>
        </w:numPr>
        <w:rPr>
          <w:lang w:val="en-US"/>
        </w:rPr>
      </w:pPr>
      <w:r w:rsidRPr="001912ED">
        <w:rPr>
          <w:lang w:val="en-US"/>
        </w:rPr>
        <w:t>Trans adolescents are forced to live with documents that do not match their gender identity, exposing them to harassment</w:t>
      </w:r>
      <w:r w:rsidR="003C4236">
        <w:rPr>
          <w:lang w:val="en-US"/>
        </w:rPr>
        <w:t>, missgendering</w:t>
      </w:r>
      <w:bookmarkStart w:id="0" w:name="_GoBack"/>
      <w:bookmarkEnd w:id="0"/>
      <w:r w:rsidRPr="001912ED">
        <w:rPr>
          <w:lang w:val="en-US"/>
        </w:rPr>
        <w:t xml:space="preserve"> and exclusion.</w:t>
      </w:r>
    </w:p>
    <w:p w:rsidR="001912ED" w:rsidRPr="001912ED" w:rsidRDefault="001912ED" w:rsidP="001912ED">
      <w:pPr>
        <w:pStyle w:val="a3"/>
        <w:numPr>
          <w:ilvl w:val="0"/>
          <w:numId w:val="32"/>
        </w:numPr>
        <w:rPr>
          <w:lang w:val="en-US"/>
        </w:rPr>
      </w:pPr>
      <w:r w:rsidRPr="001912ED">
        <w:rPr>
          <w:lang w:val="en-US"/>
        </w:rPr>
        <w:t>Lack of medical support increases mental health risks, including self-harm.</w:t>
      </w:r>
    </w:p>
    <w:p w:rsidR="001912ED" w:rsidRPr="001912ED" w:rsidRDefault="001912ED" w:rsidP="001912ED">
      <w:pPr>
        <w:pStyle w:val="a3"/>
        <w:rPr>
          <w:lang w:val="en-US"/>
        </w:rPr>
      </w:pPr>
      <w:r w:rsidRPr="001912ED">
        <w:rPr>
          <w:rStyle w:val="a4"/>
          <w:lang w:val="en-US"/>
        </w:rPr>
        <w:t>Questions for the Committee:</w:t>
      </w:r>
    </w:p>
    <w:p w:rsidR="001912ED" w:rsidRPr="001912ED" w:rsidRDefault="001912ED" w:rsidP="001912ED">
      <w:pPr>
        <w:pStyle w:val="a3"/>
        <w:numPr>
          <w:ilvl w:val="0"/>
          <w:numId w:val="33"/>
        </w:numPr>
        <w:rPr>
          <w:lang w:val="en-US"/>
        </w:rPr>
      </w:pPr>
      <w:r w:rsidRPr="001912ED">
        <w:rPr>
          <w:lang w:val="en-US"/>
        </w:rPr>
        <w:lastRenderedPageBreak/>
        <w:t xml:space="preserve">What steps are being taken to create an accessible, </w:t>
      </w:r>
      <w:proofErr w:type="spellStart"/>
      <w:r w:rsidRPr="001912ED">
        <w:rPr>
          <w:lang w:val="en-US"/>
        </w:rPr>
        <w:t>depathologised</w:t>
      </w:r>
      <w:proofErr w:type="spellEnd"/>
      <w:r w:rsidRPr="001912ED">
        <w:rPr>
          <w:lang w:val="en-US"/>
        </w:rPr>
        <w:t xml:space="preserve"> legal gender recognition process for minors?</w:t>
      </w:r>
    </w:p>
    <w:p w:rsidR="001912ED" w:rsidRPr="001912ED" w:rsidRDefault="001912ED" w:rsidP="001912ED">
      <w:pPr>
        <w:pStyle w:val="a3"/>
        <w:numPr>
          <w:ilvl w:val="0"/>
          <w:numId w:val="33"/>
        </w:numPr>
        <w:rPr>
          <w:lang w:val="en-US"/>
        </w:rPr>
      </w:pPr>
      <w:r w:rsidRPr="001912ED">
        <w:rPr>
          <w:lang w:val="en-US"/>
        </w:rPr>
        <w:t>How will the State ensure availability of gender-affirming healthcare in line with WHO standards?</w:t>
      </w:r>
    </w:p>
    <w:p w:rsidR="001912ED" w:rsidRPr="001912ED" w:rsidRDefault="00B02BDA" w:rsidP="001912ED">
      <w:pPr>
        <w:rPr>
          <w:lang w:val="en-US"/>
        </w:rPr>
      </w:pPr>
      <w:r>
        <w:rPr>
          <w:lang w:val="en-US"/>
        </w:rPr>
        <w:pict>
          <v:rect id="_x0000_i1031" style="width:0;height:1.5pt" o:hralign="center" o:hrstd="t" o:hr="t" fillcolor="#a0a0a0" stroked="f"/>
        </w:pict>
      </w:r>
    </w:p>
    <w:p w:rsidR="001912ED" w:rsidRPr="001912ED" w:rsidRDefault="001912ED" w:rsidP="001912ED">
      <w:pPr>
        <w:pStyle w:val="2"/>
        <w:rPr>
          <w:lang w:val="en-US"/>
        </w:rPr>
      </w:pPr>
      <w:r w:rsidRPr="001912ED">
        <w:rPr>
          <w:lang w:val="en-US"/>
        </w:rPr>
        <w:t>7. Harmful Medical Practices on Intersex Children</w:t>
      </w:r>
    </w:p>
    <w:p w:rsidR="001912ED" w:rsidRPr="001912ED" w:rsidRDefault="001912ED" w:rsidP="001912ED">
      <w:pPr>
        <w:pStyle w:val="3"/>
        <w:rPr>
          <w:lang w:val="en-US"/>
        </w:rPr>
      </w:pPr>
      <w:r w:rsidRPr="001912ED">
        <w:rPr>
          <w:lang w:val="en-US"/>
        </w:rPr>
        <w:t>Current situation</w:t>
      </w:r>
    </w:p>
    <w:p w:rsidR="001912ED" w:rsidRPr="001912ED" w:rsidRDefault="001912ED" w:rsidP="001912ED">
      <w:pPr>
        <w:pStyle w:val="a3"/>
        <w:numPr>
          <w:ilvl w:val="0"/>
          <w:numId w:val="34"/>
        </w:numPr>
        <w:rPr>
          <w:lang w:val="en-US"/>
        </w:rPr>
      </w:pPr>
      <w:r w:rsidRPr="001912ED">
        <w:rPr>
          <w:lang w:val="en-US"/>
        </w:rPr>
        <w:t>No legislation prohibits non-consensual, medically unnecessary surgeries on intersex infants and children.</w:t>
      </w:r>
    </w:p>
    <w:p w:rsidR="001912ED" w:rsidRPr="001912ED" w:rsidRDefault="001912ED" w:rsidP="001912ED">
      <w:pPr>
        <w:pStyle w:val="a3"/>
        <w:numPr>
          <w:ilvl w:val="0"/>
          <w:numId w:val="34"/>
        </w:numPr>
        <w:rPr>
          <w:lang w:val="en-US"/>
        </w:rPr>
      </w:pPr>
      <w:r w:rsidRPr="001912ED">
        <w:rPr>
          <w:lang w:val="en-US"/>
        </w:rPr>
        <w:t>Surgeries to “</w:t>
      </w:r>
      <w:proofErr w:type="spellStart"/>
      <w:r w:rsidRPr="001912ED">
        <w:rPr>
          <w:lang w:val="en-US"/>
        </w:rPr>
        <w:t>normalise</w:t>
      </w:r>
      <w:proofErr w:type="spellEnd"/>
      <w:r w:rsidRPr="001912ED">
        <w:rPr>
          <w:lang w:val="en-US"/>
        </w:rPr>
        <w:t>” genital appearance are still performed without the child’s informed consent.</w:t>
      </w:r>
    </w:p>
    <w:p w:rsidR="001912ED" w:rsidRPr="001912ED" w:rsidRDefault="001912ED" w:rsidP="001912ED">
      <w:pPr>
        <w:pStyle w:val="3"/>
        <w:rPr>
          <w:lang w:val="en-US"/>
        </w:rPr>
      </w:pPr>
      <w:r w:rsidRPr="001912ED">
        <w:rPr>
          <w:lang w:val="en-US"/>
        </w:rPr>
        <w:t>International standards</w:t>
      </w:r>
    </w:p>
    <w:p w:rsidR="001912ED" w:rsidRPr="001912ED" w:rsidRDefault="001912ED" w:rsidP="001912ED">
      <w:pPr>
        <w:pStyle w:val="a3"/>
        <w:numPr>
          <w:ilvl w:val="0"/>
          <w:numId w:val="35"/>
        </w:numPr>
        <w:rPr>
          <w:lang w:val="en-US"/>
        </w:rPr>
      </w:pPr>
      <w:r w:rsidRPr="001912ED">
        <w:rPr>
          <w:lang w:val="en-US"/>
        </w:rPr>
        <w:t>The OHCHR (2023 Technical Note) calls for prohibiting such interventions until the child can give informed consent, and providing psychosocial support to families.</w:t>
      </w:r>
    </w:p>
    <w:p w:rsidR="001912ED" w:rsidRPr="001912ED" w:rsidRDefault="001912ED" w:rsidP="001912ED">
      <w:pPr>
        <w:pStyle w:val="a3"/>
        <w:rPr>
          <w:lang w:val="en-US"/>
        </w:rPr>
      </w:pPr>
      <w:r w:rsidRPr="001912ED">
        <w:rPr>
          <w:rStyle w:val="a4"/>
          <w:lang w:val="en-US"/>
        </w:rPr>
        <w:t>Impact:</w:t>
      </w:r>
    </w:p>
    <w:p w:rsidR="001912ED" w:rsidRPr="001912ED" w:rsidRDefault="001912ED" w:rsidP="001912ED">
      <w:pPr>
        <w:pStyle w:val="a3"/>
        <w:numPr>
          <w:ilvl w:val="0"/>
          <w:numId w:val="36"/>
        </w:numPr>
        <w:rPr>
          <w:lang w:val="en-US"/>
        </w:rPr>
      </w:pPr>
      <w:r w:rsidRPr="001912ED">
        <w:rPr>
          <w:lang w:val="en-US"/>
        </w:rPr>
        <w:t>Children face irreversible physical changes without their consent, violating bodily integrity and potentially causing long-term harm.</w:t>
      </w:r>
    </w:p>
    <w:p w:rsidR="001912ED" w:rsidRPr="001912ED" w:rsidRDefault="001912ED" w:rsidP="001912ED">
      <w:pPr>
        <w:pStyle w:val="a3"/>
        <w:rPr>
          <w:lang w:val="en-US"/>
        </w:rPr>
      </w:pPr>
      <w:r w:rsidRPr="001912ED">
        <w:rPr>
          <w:rStyle w:val="a4"/>
          <w:lang w:val="en-US"/>
        </w:rPr>
        <w:t>Questions for the Committee:</w:t>
      </w:r>
    </w:p>
    <w:p w:rsidR="001912ED" w:rsidRPr="001912ED" w:rsidRDefault="001912ED" w:rsidP="001912ED">
      <w:pPr>
        <w:pStyle w:val="a3"/>
        <w:numPr>
          <w:ilvl w:val="0"/>
          <w:numId w:val="37"/>
        </w:numPr>
        <w:rPr>
          <w:lang w:val="en-US"/>
        </w:rPr>
      </w:pPr>
      <w:r w:rsidRPr="001912ED">
        <w:rPr>
          <w:lang w:val="en-US"/>
        </w:rPr>
        <w:t>What steps are being taken to ban non-consensual medical interventions on intersex children?</w:t>
      </w:r>
    </w:p>
    <w:p w:rsidR="001912ED" w:rsidRPr="001912ED" w:rsidRDefault="001912ED" w:rsidP="001912ED">
      <w:pPr>
        <w:pStyle w:val="a3"/>
        <w:numPr>
          <w:ilvl w:val="0"/>
          <w:numId w:val="37"/>
        </w:numPr>
        <w:rPr>
          <w:lang w:val="en-US"/>
        </w:rPr>
      </w:pPr>
      <w:r w:rsidRPr="001912ED">
        <w:rPr>
          <w:lang w:val="en-US"/>
        </w:rPr>
        <w:t>How does the State track and report such procedures?</w:t>
      </w:r>
    </w:p>
    <w:p w:rsidR="001912ED" w:rsidRPr="001912ED" w:rsidRDefault="00B02BDA" w:rsidP="001912ED">
      <w:pPr>
        <w:rPr>
          <w:lang w:val="en-US"/>
        </w:rPr>
      </w:pPr>
      <w:r>
        <w:rPr>
          <w:lang w:val="en-US"/>
        </w:rPr>
        <w:pict>
          <v:rect id="_x0000_i1032" style="width:0;height:1.5pt" o:hralign="center" o:hrstd="t" o:hr="t" fillcolor="#a0a0a0" stroked="f"/>
        </w:pict>
      </w:r>
    </w:p>
    <w:p w:rsidR="001912ED" w:rsidRPr="001912ED" w:rsidRDefault="001912ED" w:rsidP="001912ED">
      <w:pPr>
        <w:pStyle w:val="2"/>
        <w:rPr>
          <w:lang w:val="en-US"/>
        </w:rPr>
      </w:pPr>
      <w:r w:rsidRPr="001912ED">
        <w:rPr>
          <w:lang w:val="en-US"/>
        </w:rPr>
        <w:t>8. Cross-Cutting Gaps: Protection, Visibility, and Participation</w:t>
      </w:r>
    </w:p>
    <w:p w:rsidR="001912ED" w:rsidRPr="001912ED" w:rsidRDefault="001912ED" w:rsidP="001912ED">
      <w:pPr>
        <w:pStyle w:val="3"/>
        <w:rPr>
          <w:lang w:val="en-US"/>
        </w:rPr>
      </w:pPr>
      <w:r w:rsidRPr="001912ED">
        <w:rPr>
          <w:lang w:val="en-US"/>
        </w:rPr>
        <w:t>Protection and services</w:t>
      </w:r>
    </w:p>
    <w:p w:rsidR="001912ED" w:rsidRPr="001912ED" w:rsidRDefault="001912ED" w:rsidP="001912ED">
      <w:pPr>
        <w:pStyle w:val="a3"/>
        <w:numPr>
          <w:ilvl w:val="0"/>
          <w:numId w:val="38"/>
        </w:numPr>
        <w:rPr>
          <w:lang w:val="en-US"/>
        </w:rPr>
      </w:pPr>
      <w:r w:rsidRPr="001912ED">
        <w:rPr>
          <w:lang w:val="en-US"/>
        </w:rPr>
        <w:t>LGBTIQ+ adolescents are not included in national strategies on child protection or violence prevention.</w:t>
      </w:r>
    </w:p>
    <w:p w:rsidR="001912ED" w:rsidRPr="001912ED" w:rsidRDefault="001912ED" w:rsidP="001912ED">
      <w:pPr>
        <w:pStyle w:val="a3"/>
        <w:numPr>
          <w:ilvl w:val="0"/>
          <w:numId w:val="38"/>
        </w:numPr>
        <w:rPr>
          <w:lang w:val="en-US"/>
        </w:rPr>
      </w:pPr>
      <w:r w:rsidRPr="001912ED">
        <w:rPr>
          <w:lang w:val="en-US"/>
        </w:rPr>
        <w:t xml:space="preserve">No shelters or crisis </w:t>
      </w:r>
      <w:proofErr w:type="spellStart"/>
      <w:r w:rsidRPr="001912ED">
        <w:rPr>
          <w:lang w:val="en-US"/>
        </w:rPr>
        <w:t>centres</w:t>
      </w:r>
      <w:proofErr w:type="spellEnd"/>
      <w:r w:rsidRPr="001912ED">
        <w:rPr>
          <w:lang w:val="en-US"/>
        </w:rPr>
        <w:t xml:space="preserve"> cater to LGBTIQ+ youth facing family rejection or homelessness.</w:t>
      </w:r>
    </w:p>
    <w:p w:rsidR="001912ED" w:rsidRPr="001912ED" w:rsidRDefault="001912ED" w:rsidP="001912ED">
      <w:pPr>
        <w:pStyle w:val="3"/>
        <w:rPr>
          <w:lang w:val="en-US"/>
        </w:rPr>
      </w:pPr>
      <w:r w:rsidRPr="001912ED">
        <w:rPr>
          <w:lang w:val="en-US"/>
        </w:rPr>
        <w:t>Professional capacity</w:t>
      </w:r>
    </w:p>
    <w:p w:rsidR="001912ED" w:rsidRPr="001912ED" w:rsidRDefault="001912ED" w:rsidP="001912ED">
      <w:pPr>
        <w:pStyle w:val="a3"/>
        <w:numPr>
          <w:ilvl w:val="0"/>
          <w:numId w:val="39"/>
        </w:numPr>
        <w:rPr>
          <w:lang w:val="en-US"/>
        </w:rPr>
      </w:pPr>
      <w:r w:rsidRPr="001912ED">
        <w:rPr>
          <w:lang w:val="en-US"/>
        </w:rPr>
        <w:t xml:space="preserve">Social workers, school psychologists, and law enforcement officers receive little or no SOGIESC training, leading to secondary </w:t>
      </w:r>
      <w:proofErr w:type="spellStart"/>
      <w:r w:rsidRPr="001912ED">
        <w:rPr>
          <w:lang w:val="en-US"/>
        </w:rPr>
        <w:t>victimisation</w:t>
      </w:r>
      <w:proofErr w:type="spellEnd"/>
      <w:r w:rsidRPr="001912ED">
        <w:rPr>
          <w:lang w:val="en-US"/>
        </w:rPr>
        <w:t>.</w:t>
      </w:r>
    </w:p>
    <w:p w:rsidR="001912ED" w:rsidRPr="001912ED" w:rsidRDefault="001912ED" w:rsidP="001912ED">
      <w:pPr>
        <w:pStyle w:val="3"/>
        <w:rPr>
          <w:lang w:val="en-US"/>
        </w:rPr>
      </w:pPr>
      <w:r w:rsidRPr="001912ED">
        <w:rPr>
          <w:lang w:val="en-US"/>
        </w:rPr>
        <w:lastRenderedPageBreak/>
        <w:t>Participation</w:t>
      </w:r>
    </w:p>
    <w:p w:rsidR="001912ED" w:rsidRPr="001912ED" w:rsidRDefault="001912ED" w:rsidP="001912ED">
      <w:pPr>
        <w:pStyle w:val="a3"/>
        <w:numPr>
          <w:ilvl w:val="0"/>
          <w:numId w:val="40"/>
        </w:numPr>
        <w:rPr>
          <w:lang w:val="en-US"/>
        </w:rPr>
      </w:pPr>
      <w:r w:rsidRPr="001912ED">
        <w:rPr>
          <w:lang w:val="en-US"/>
        </w:rPr>
        <w:t>LGBTIQ+ children are rarely consulted in policy-making, contrary to CRC Article 12 and General Comment No. 12.</w:t>
      </w:r>
    </w:p>
    <w:p w:rsidR="001912ED" w:rsidRPr="001912ED" w:rsidRDefault="001912ED" w:rsidP="001912ED">
      <w:pPr>
        <w:pStyle w:val="a3"/>
        <w:rPr>
          <w:lang w:val="en-US"/>
        </w:rPr>
      </w:pPr>
      <w:r w:rsidRPr="001912ED">
        <w:rPr>
          <w:rStyle w:val="a4"/>
          <w:lang w:val="en-US"/>
        </w:rPr>
        <w:t>Questions for the Committee:</w:t>
      </w:r>
    </w:p>
    <w:p w:rsidR="001912ED" w:rsidRPr="001912ED" w:rsidRDefault="001912ED" w:rsidP="001912ED">
      <w:pPr>
        <w:pStyle w:val="a3"/>
        <w:numPr>
          <w:ilvl w:val="0"/>
          <w:numId w:val="41"/>
        </w:numPr>
        <w:rPr>
          <w:lang w:val="en-US"/>
        </w:rPr>
      </w:pPr>
      <w:r w:rsidRPr="001912ED">
        <w:rPr>
          <w:lang w:val="en-US"/>
        </w:rPr>
        <w:t>How is the State integrating LGBTIQ+ youth into child protection frameworks?</w:t>
      </w:r>
    </w:p>
    <w:p w:rsidR="001912ED" w:rsidRPr="001912ED" w:rsidRDefault="001912ED" w:rsidP="001912ED">
      <w:pPr>
        <w:pStyle w:val="a3"/>
        <w:numPr>
          <w:ilvl w:val="0"/>
          <w:numId w:val="41"/>
        </w:numPr>
        <w:rPr>
          <w:lang w:val="en-US"/>
        </w:rPr>
      </w:pPr>
      <w:r w:rsidRPr="001912ED">
        <w:rPr>
          <w:lang w:val="en-US"/>
        </w:rPr>
        <w:t xml:space="preserve">Are </w:t>
      </w:r>
      <w:proofErr w:type="spellStart"/>
      <w:r w:rsidRPr="001912ED">
        <w:rPr>
          <w:lang w:val="en-US"/>
        </w:rPr>
        <w:t>specialised</w:t>
      </w:r>
      <w:proofErr w:type="spellEnd"/>
      <w:r w:rsidRPr="001912ED">
        <w:rPr>
          <w:lang w:val="en-US"/>
        </w:rPr>
        <w:t xml:space="preserve"> shelters and services available for those at risk of homelessness or violence?</w:t>
      </w:r>
    </w:p>
    <w:p w:rsidR="001912ED" w:rsidRPr="001912ED" w:rsidRDefault="001912ED" w:rsidP="001912ED">
      <w:pPr>
        <w:pStyle w:val="a3"/>
        <w:numPr>
          <w:ilvl w:val="0"/>
          <w:numId w:val="41"/>
        </w:numPr>
        <w:rPr>
          <w:lang w:val="en-US"/>
        </w:rPr>
      </w:pPr>
      <w:r w:rsidRPr="001912ED">
        <w:rPr>
          <w:lang w:val="en-US"/>
        </w:rPr>
        <w:t>What mechanisms ensure LGBTIQ+ adolescents can participate in decisions affecting them?</w:t>
      </w:r>
    </w:p>
    <w:p w:rsidR="001912ED" w:rsidRPr="001912ED" w:rsidRDefault="00B02BDA" w:rsidP="001912ED">
      <w:pPr>
        <w:rPr>
          <w:lang w:val="en-US"/>
        </w:rPr>
      </w:pPr>
      <w:r>
        <w:rPr>
          <w:lang w:val="en-US"/>
        </w:rPr>
        <w:pict>
          <v:rect id="_x0000_i1033" style="width:0;height:1.5pt" o:hralign="center" o:hrstd="t" o:hr="t" fillcolor="#a0a0a0" stroked="f"/>
        </w:pict>
      </w:r>
    </w:p>
    <w:p w:rsidR="001912ED" w:rsidRPr="001912ED" w:rsidRDefault="001912ED" w:rsidP="001912ED">
      <w:pPr>
        <w:pStyle w:val="a3"/>
        <w:rPr>
          <w:lang w:val="en-US"/>
        </w:rPr>
      </w:pPr>
      <w:r w:rsidRPr="001912ED">
        <w:rPr>
          <w:rStyle w:val="a4"/>
          <w:lang w:val="en-US"/>
        </w:rPr>
        <w:t>Conclusion</w:t>
      </w:r>
      <w:r w:rsidRPr="001912ED">
        <w:rPr>
          <w:lang w:val="en-US"/>
        </w:rPr>
        <w:br/>
        <w:t>Despite Moldova’s commitments under the CRC, LGBTIQ+ children face systemic legal and practical barriers to equality, safety, and dignity. The Committee’s questions should prompt the State to clarify its measures, address legal gaps, and ensure effective protection for all children, regardless of sexual orientation, gender identity, gender expression, or sex characteristics.</w:t>
      </w:r>
    </w:p>
    <w:p w:rsidR="00F12C76" w:rsidRPr="001912ED" w:rsidRDefault="00F12C76" w:rsidP="001912ED">
      <w:pPr>
        <w:rPr>
          <w:lang w:val="en-US"/>
        </w:rPr>
      </w:pPr>
    </w:p>
    <w:sectPr w:rsidR="00F12C76" w:rsidRPr="001912ED"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32D55"/>
    <w:multiLevelType w:val="multilevel"/>
    <w:tmpl w:val="930EF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B14A1C"/>
    <w:multiLevelType w:val="multilevel"/>
    <w:tmpl w:val="B8006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C03B9"/>
    <w:multiLevelType w:val="multilevel"/>
    <w:tmpl w:val="12F4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F1C52"/>
    <w:multiLevelType w:val="multilevel"/>
    <w:tmpl w:val="7726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420B2"/>
    <w:multiLevelType w:val="multilevel"/>
    <w:tmpl w:val="1738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96E88"/>
    <w:multiLevelType w:val="multilevel"/>
    <w:tmpl w:val="2ADCA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182828"/>
    <w:multiLevelType w:val="multilevel"/>
    <w:tmpl w:val="679A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522BE0"/>
    <w:multiLevelType w:val="multilevel"/>
    <w:tmpl w:val="D346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30D2B"/>
    <w:multiLevelType w:val="multilevel"/>
    <w:tmpl w:val="DFE60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C710F8"/>
    <w:multiLevelType w:val="multilevel"/>
    <w:tmpl w:val="7570C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1D7B4B"/>
    <w:multiLevelType w:val="multilevel"/>
    <w:tmpl w:val="5D14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83CF3"/>
    <w:multiLevelType w:val="multilevel"/>
    <w:tmpl w:val="EE1C3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5A720E"/>
    <w:multiLevelType w:val="multilevel"/>
    <w:tmpl w:val="B2946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8F2F9C"/>
    <w:multiLevelType w:val="multilevel"/>
    <w:tmpl w:val="4BAA2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E77572"/>
    <w:multiLevelType w:val="multilevel"/>
    <w:tmpl w:val="BA0A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65149"/>
    <w:multiLevelType w:val="multilevel"/>
    <w:tmpl w:val="3990C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CC7269"/>
    <w:multiLevelType w:val="multilevel"/>
    <w:tmpl w:val="06123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4B20C6"/>
    <w:multiLevelType w:val="multilevel"/>
    <w:tmpl w:val="16AAB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FC5FC8"/>
    <w:multiLevelType w:val="multilevel"/>
    <w:tmpl w:val="786A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63B63"/>
    <w:multiLevelType w:val="multilevel"/>
    <w:tmpl w:val="F5566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BC41EF"/>
    <w:multiLevelType w:val="multilevel"/>
    <w:tmpl w:val="8398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F4478C"/>
    <w:multiLevelType w:val="multilevel"/>
    <w:tmpl w:val="2A8C9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BC0700"/>
    <w:multiLevelType w:val="multilevel"/>
    <w:tmpl w:val="635A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0968AF"/>
    <w:multiLevelType w:val="multilevel"/>
    <w:tmpl w:val="AB346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B7260E"/>
    <w:multiLevelType w:val="multilevel"/>
    <w:tmpl w:val="501A6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863E40"/>
    <w:multiLevelType w:val="multilevel"/>
    <w:tmpl w:val="DA1A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AA7B3F"/>
    <w:multiLevelType w:val="multilevel"/>
    <w:tmpl w:val="E804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9F530D"/>
    <w:multiLevelType w:val="multilevel"/>
    <w:tmpl w:val="9BC69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58D3FAA"/>
    <w:multiLevelType w:val="multilevel"/>
    <w:tmpl w:val="55B4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EC7D55"/>
    <w:multiLevelType w:val="multilevel"/>
    <w:tmpl w:val="0230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9B7D93"/>
    <w:multiLevelType w:val="multilevel"/>
    <w:tmpl w:val="98D4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2605D8"/>
    <w:multiLevelType w:val="multilevel"/>
    <w:tmpl w:val="9F8E7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76639B"/>
    <w:multiLevelType w:val="multilevel"/>
    <w:tmpl w:val="EC563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B1537A"/>
    <w:multiLevelType w:val="multilevel"/>
    <w:tmpl w:val="8DEA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2A6B43"/>
    <w:multiLevelType w:val="multilevel"/>
    <w:tmpl w:val="86ECA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6A08C4"/>
    <w:multiLevelType w:val="multilevel"/>
    <w:tmpl w:val="DECCF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B65C4E"/>
    <w:multiLevelType w:val="multilevel"/>
    <w:tmpl w:val="E7B2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7D348A"/>
    <w:multiLevelType w:val="multilevel"/>
    <w:tmpl w:val="A8648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A24B67"/>
    <w:multiLevelType w:val="multilevel"/>
    <w:tmpl w:val="E53CC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E9B44C8"/>
    <w:multiLevelType w:val="multilevel"/>
    <w:tmpl w:val="E90AE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343BE6"/>
    <w:multiLevelType w:val="multilevel"/>
    <w:tmpl w:val="59660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24"/>
  </w:num>
  <w:num w:numId="3">
    <w:abstractNumId w:val="8"/>
  </w:num>
  <w:num w:numId="4">
    <w:abstractNumId w:val="38"/>
  </w:num>
  <w:num w:numId="5">
    <w:abstractNumId w:val="35"/>
  </w:num>
  <w:num w:numId="6">
    <w:abstractNumId w:val="0"/>
  </w:num>
  <w:num w:numId="7">
    <w:abstractNumId w:val="20"/>
  </w:num>
  <w:num w:numId="8">
    <w:abstractNumId w:val="13"/>
  </w:num>
  <w:num w:numId="9">
    <w:abstractNumId w:val="34"/>
  </w:num>
  <w:num w:numId="10">
    <w:abstractNumId w:val="11"/>
  </w:num>
  <w:num w:numId="11">
    <w:abstractNumId w:val="21"/>
  </w:num>
  <w:num w:numId="12">
    <w:abstractNumId w:val="17"/>
  </w:num>
  <w:num w:numId="13">
    <w:abstractNumId w:val="29"/>
  </w:num>
  <w:num w:numId="14">
    <w:abstractNumId w:val="12"/>
  </w:num>
  <w:num w:numId="15">
    <w:abstractNumId w:val="26"/>
  </w:num>
  <w:num w:numId="16">
    <w:abstractNumId w:val="28"/>
  </w:num>
  <w:num w:numId="17">
    <w:abstractNumId w:val="10"/>
  </w:num>
  <w:num w:numId="18">
    <w:abstractNumId w:val="27"/>
  </w:num>
  <w:num w:numId="19">
    <w:abstractNumId w:val="6"/>
  </w:num>
  <w:num w:numId="20">
    <w:abstractNumId w:val="25"/>
  </w:num>
  <w:num w:numId="21">
    <w:abstractNumId w:val="31"/>
  </w:num>
  <w:num w:numId="22">
    <w:abstractNumId w:val="22"/>
  </w:num>
  <w:num w:numId="23">
    <w:abstractNumId w:val="36"/>
  </w:num>
  <w:num w:numId="24">
    <w:abstractNumId w:val="19"/>
  </w:num>
  <w:num w:numId="25">
    <w:abstractNumId w:val="40"/>
  </w:num>
  <w:num w:numId="26">
    <w:abstractNumId w:val="3"/>
  </w:num>
  <w:num w:numId="27">
    <w:abstractNumId w:val="23"/>
  </w:num>
  <w:num w:numId="28">
    <w:abstractNumId w:val="30"/>
  </w:num>
  <w:num w:numId="29">
    <w:abstractNumId w:val="37"/>
  </w:num>
  <w:num w:numId="30">
    <w:abstractNumId w:val="4"/>
  </w:num>
  <w:num w:numId="31">
    <w:abstractNumId w:val="18"/>
  </w:num>
  <w:num w:numId="32">
    <w:abstractNumId w:val="1"/>
  </w:num>
  <w:num w:numId="33">
    <w:abstractNumId w:val="39"/>
  </w:num>
  <w:num w:numId="34">
    <w:abstractNumId w:val="9"/>
  </w:num>
  <w:num w:numId="35">
    <w:abstractNumId w:val="16"/>
  </w:num>
  <w:num w:numId="36">
    <w:abstractNumId w:val="5"/>
  </w:num>
  <w:num w:numId="37">
    <w:abstractNumId w:val="32"/>
  </w:num>
  <w:num w:numId="38">
    <w:abstractNumId w:val="7"/>
  </w:num>
  <w:num w:numId="39">
    <w:abstractNumId w:val="2"/>
  </w:num>
  <w:num w:numId="40">
    <w:abstractNumId w:val="14"/>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F83"/>
    <w:rsid w:val="00181053"/>
    <w:rsid w:val="001912ED"/>
    <w:rsid w:val="003B5128"/>
    <w:rsid w:val="003C4236"/>
    <w:rsid w:val="004F5F83"/>
    <w:rsid w:val="006C0B77"/>
    <w:rsid w:val="008242FF"/>
    <w:rsid w:val="00870751"/>
    <w:rsid w:val="00922C48"/>
    <w:rsid w:val="00B02BDA"/>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DE00"/>
  <w15:chartTrackingRefBased/>
  <w15:docId w15:val="{DFAA0A38-0B66-4CE8-B933-82EA5FC57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lang w:val="ro-RO"/>
    </w:rPr>
  </w:style>
  <w:style w:type="paragraph" w:styleId="1">
    <w:name w:val="heading 1"/>
    <w:basedOn w:val="a"/>
    <w:link w:val="10"/>
    <w:uiPriority w:val="9"/>
    <w:qFormat/>
    <w:rsid w:val="00181053"/>
    <w:pPr>
      <w:spacing w:before="100" w:beforeAutospacing="1" w:after="100" w:afterAutospacing="1"/>
      <w:outlineLvl w:val="0"/>
    </w:pPr>
    <w:rPr>
      <w:rFonts w:eastAsia="Times New Roman" w:cs="Times New Roman"/>
      <w:b/>
      <w:bCs/>
      <w:kern w:val="36"/>
      <w:sz w:val="48"/>
      <w:szCs w:val="48"/>
      <w:lang w:val="ru-RU" w:eastAsia="ru-RU"/>
    </w:rPr>
  </w:style>
  <w:style w:type="paragraph" w:styleId="2">
    <w:name w:val="heading 2"/>
    <w:basedOn w:val="a"/>
    <w:link w:val="20"/>
    <w:uiPriority w:val="9"/>
    <w:qFormat/>
    <w:rsid w:val="00181053"/>
    <w:pPr>
      <w:spacing w:before="100" w:beforeAutospacing="1" w:after="100" w:afterAutospacing="1"/>
      <w:outlineLvl w:val="1"/>
    </w:pPr>
    <w:rPr>
      <w:rFonts w:eastAsia="Times New Roman" w:cs="Times New Roman"/>
      <w:b/>
      <w:bCs/>
      <w:sz w:val="36"/>
      <w:szCs w:val="36"/>
      <w:lang w:val="ru-RU" w:eastAsia="ru-RU"/>
    </w:rPr>
  </w:style>
  <w:style w:type="paragraph" w:styleId="3">
    <w:name w:val="heading 3"/>
    <w:basedOn w:val="a"/>
    <w:next w:val="a"/>
    <w:link w:val="30"/>
    <w:uiPriority w:val="9"/>
    <w:semiHidden/>
    <w:unhideWhenUsed/>
    <w:qFormat/>
    <w:rsid w:val="001912E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105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81053"/>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181053"/>
    <w:pPr>
      <w:spacing w:before="100" w:beforeAutospacing="1" w:after="100" w:afterAutospacing="1"/>
    </w:pPr>
    <w:rPr>
      <w:rFonts w:eastAsia="Times New Roman" w:cs="Times New Roman"/>
      <w:sz w:val="24"/>
      <w:szCs w:val="24"/>
      <w:lang w:val="ru-RU" w:eastAsia="ru-RU"/>
    </w:rPr>
  </w:style>
  <w:style w:type="character" w:styleId="a4">
    <w:name w:val="Strong"/>
    <w:basedOn w:val="a0"/>
    <w:uiPriority w:val="22"/>
    <w:qFormat/>
    <w:rsid w:val="00181053"/>
    <w:rPr>
      <w:b/>
      <w:bCs/>
    </w:rPr>
  </w:style>
  <w:style w:type="character" w:styleId="a5">
    <w:name w:val="Emphasis"/>
    <w:basedOn w:val="a0"/>
    <w:uiPriority w:val="20"/>
    <w:qFormat/>
    <w:rsid w:val="00181053"/>
    <w:rPr>
      <w:i/>
      <w:iCs/>
    </w:rPr>
  </w:style>
  <w:style w:type="character" w:customStyle="1" w:styleId="30">
    <w:name w:val="Заголовок 3 Знак"/>
    <w:basedOn w:val="a0"/>
    <w:link w:val="3"/>
    <w:uiPriority w:val="9"/>
    <w:semiHidden/>
    <w:rsid w:val="001912ED"/>
    <w:rPr>
      <w:rFonts w:asciiTheme="majorHAnsi" w:eastAsiaTheme="majorEastAsia" w:hAnsiTheme="majorHAnsi" w:cstheme="majorBidi"/>
      <w:color w:val="1F4D78" w:themeColor="accent1" w:themeShade="7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137659">
      <w:bodyDiv w:val="1"/>
      <w:marLeft w:val="0"/>
      <w:marRight w:val="0"/>
      <w:marTop w:val="0"/>
      <w:marBottom w:val="0"/>
      <w:divBdr>
        <w:top w:val="none" w:sz="0" w:space="0" w:color="auto"/>
        <w:left w:val="none" w:sz="0" w:space="0" w:color="auto"/>
        <w:bottom w:val="none" w:sz="0" w:space="0" w:color="auto"/>
        <w:right w:val="none" w:sz="0" w:space="0" w:color="auto"/>
      </w:divBdr>
    </w:div>
    <w:div w:id="209158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6</Pages>
  <Words>1518</Words>
  <Characters>8654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2025-08-11T11:28:00Z</dcterms:created>
  <dcterms:modified xsi:type="dcterms:W3CDTF">2025-08-13T09:20:00Z</dcterms:modified>
</cp:coreProperties>
</file>