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E5B" w:rsidRPr="005D77F0" w:rsidRDefault="005B3E5B" w:rsidP="005B3E5B">
      <w:pPr>
        <w:snapToGrid w:val="0"/>
        <w:spacing w:line="360" w:lineRule="atLeast"/>
        <w:jc w:val="right"/>
        <w:rPr>
          <w:rFonts w:ascii="Times New Roman" w:hAnsi="Times New Roman" w:cs="Times New Roman"/>
          <w:b/>
          <w:color w:val="000000" w:themeColor="text1"/>
          <w:sz w:val="28"/>
          <w:szCs w:val="28"/>
          <w:lang w:val="en-US"/>
        </w:rPr>
      </w:pPr>
      <w:r w:rsidRPr="005D77F0">
        <w:rPr>
          <w:rFonts w:ascii="Times New Roman" w:hAnsi="Times New Roman" w:cs="Times New Roman"/>
          <w:b/>
          <w:color w:val="000000" w:themeColor="text1"/>
          <w:sz w:val="28"/>
          <w:szCs w:val="28"/>
          <w:lang w:val="en-US"/>
        </w:rPr>
        <w:t xml:space="preserve">Annex </w:t>
      </w:r>
      <w:r w:rsidR="00D271C5" w:rsidRPr="005D77F0">
        <w:rPr>
          <w:rFonts w:ascii="Times New Roman" w:hAnsi="Times New Roman" w:cs="Times New Roman"/>
          <w:b/>
          <w:color w:val="000000" w:themeColor="text1"/>
          <w:sz w:val="28"/>
          <w:szCs w:val="28"/>
          <w:lang w:val="en-US"/>
        </w:rPr>
        <w:t>14</w:t>
      </w:r>
    </w:p>
    <w:p w:rsidR="005B3E5B" w:rsidRPr="005D77F0" w:rsidRDefault="005B3E5B" w:rsidP="005B3E5B">
      <w:pPr>
        <w:snapToGrid w:val="0"/>
        <w:spacing w:line="360" w:lineRule="atLeast"/>
        <w:jc w:val="right"/>
        <w:rPr>
          <w:rFonts w:ascii="Times New Roman" w:hAnsi="Times New Roman" w:cs="Times New Roman"/>
          <w:b/>
          <w:color w:val="000000" w:themeColor="text1"/>
          <w:sz w:val="28"/>
          <w:szCs w:val="28"/>
          <w:lang w:val="en-US"/>
        </w:rPr>
      </w:pPr>
    </w:p>
    <w:p w:rsidR="009D4A43" w:rsidRPr="005D77F0" w:rsidRDefault="00AD3D84" w:rsidP="00C73D61">
      <w:pPr>
        <w:tabs>
          <w:tab w:val="left" w:pos="1680"/>
        </w:tabs>
        <w:spacing w:after="240" w:line="360" w:lineRule="atLeast"/>
        <w:jc w:val="center"/>
        <w:rPr>
          <w:rFonts w:ascii="Times New Roman" w:hAnsi="Times New Roman" w:cs="Times New Roman"/>
          <w:b/>
          <w:snapToGrid w:val="0"/>
          <w:color w:val="000000" w:themeColor="text1"/>
          <w:sz w:val="28"/>
          <w:szCs w:val="28"/>
          <w:lang w:val="en-US"/>
        </w:rPr>
      </w:pPr>
      <w:r w:rsidRPr="005D77F0">
        <w:rPr>
          <w:rFonts w:ascii="Times New Roman" w:hAnsi="Times New Roman" w:cs="Times New Roman"/>
          <w:b/>
          <w:snapToGrid w:val="0"/>
          <w:color w:val="000000" w:themeColor="text1"/>
          <w:sz w:val="28"/>
          <w:szCs w:val="28"/>
          <w:lang w:val="en-US"/>
        </w:rPr>
        <w:t>Child Abduction Legislation (Miscellaneous</w:t>
      </w:r>
      <w:r w:rsidR="009D4A43" w:rsidRPr="005D77F0">
        <w:rPr>
          <w:rFonts w:ascii="Times New Roman" w:hAnsi="Times New Roman" w:cs="Times New Roman"/>
          <w:b/>
          <w:snapToGrid w:val="0"/>
          <w:color w:val="000000" w:themeColor="text1"/>
          <w:sz w:val="28"/>
          <w:szCs w:val="28"/>
          <w:lang w:val="en-US"/>
        </w:rPr>
        <w:t xml:space="preserve"> Amendment</w:t>
      </w:r>
      <w:r w:rsidRPr="005D77F0">
        <w:rPr>
          <w:rFonts w:ascii="Times New Roman" w:hAnsi="Times New Roman" w:cs="Times New Roman"/>
          <w:b/>
          <w:snapToGrid w:val="0"/>
          <w:color w:val="000000" w:themeColor="text1"/>
          <w:sz w:val="28"/>
          <w:szCs w:val="28"/>
          <w:lang w:val="en-US"/>
        </w:rPr>
        <w:t>s)</w:t>
      </w:r>
      <w:r w:rsidR="009D4A43" w:rsidRPr="005D77F0">
        <w:rPr>
          <w:rFonts w:ascii="Times New Roman" w:hAnsi="Times New Roman" w:cs="Times New Roman"/>
          <w:b/>
          <w:snapToGrid w:val="0"/>
          <w:color w:val="000000" w:themeColor="text1"/>
          <w:sz w:val="28"/>
          <w:szCs w:val="28"/>
          <w:lang w:val="en-US"/>
        </w:rPr>
        <w:t xml:space="preserve"> Ordinance</w:t>
      </w:r>
      <w:r w:rsidRPr="005D77F0">
        <w:rPr>
          <w:rFonts w:ascii="Times New Roman" w:hAnsi="Times New Roman" w:cs="Times New Roman"/>
          <w:b/>
          <w:snapToGrid w:val="0"/>
          <w:color w:val="000000" w:themeColor="text1"/>
          <w:sz w:val="28"/>
          <w:szCs w:val="28"/>
          <w:lang w:val="en-US"/>
        </w:rPr>
        <w:t xml:space="preserve"> </w:t>
      </w:r>
      <w:r w:rsidR="001720A6" w:rsidRPr="005D77F0">
        <w:rPr>
          <w:rFonts w:ascii="Times New Roman" w:hAnsi="Times New Roman" w:cs="Times New Roman"/>
          <w:b/>
          <w:snapToGrid w:val="0"/>
          <w:color w:val="000000" w:themeColor="text1"/>
          <w:sz w:val="28"/>
          <w:szCs w:val="28"/>
          <w:lang w:val="en-US"/>
        </w:rPr>
        <w:t xml:space="preserve">(Amendment Ordinance) </w:t>
      </w:r>
      <w:r w:rsidRPr="005D77F0">
        <w:rPr>
          <w:rFonts w:ascii="Times New Roman" w:hAnsi="Times New Roman" w:cs="Times New Roman"/>
          <w:b/>
          <w:snapToGrid w:val="0"/>
          <w:color w:val="000000" w:themeColor="text1"/>
          <w:sz w:val="28"/>
          <w:szCs w:val="28"/>
          <w:lang w:val="en-US"/>
        </w:rPr>
        <w:t>2014</w:t>
      </w:r>
      <w:bookmarkStart w:id="0" w:name="_GoBack"/>
      <w:bookmarkEnd w:id="0"/>
    </w:p>
    <w:p w:rsidR="005B3E5B" w:rsidRPr="005D77F0" w:rsidRDefault="005B3E5B" w:rsidP="005B3E5B">
      <w:pPr>
        <w:tabs>
          <w:tab w:val="left" w:pos="1680"/>
        </w:tabs>
        <w:snapToGrid w:val="0"/>
        <w:spacing w:line="360" w:lineRule="atLeast"/>
        <w:jc w:val="both"/>
        <w:rPr>
          <w:rFonts w:ascii="Times New Roman" w:hAnsi="Times New Roman" w:cs="Times New Roman"/>
          <w:snapToGrid w:val="0"/>
          <w:color w:val="000000" w:themeColor="text1"/>
          <w:sz w:val="28"/>
          <w:szCs w:val="28"/>
          <w:lang w:val="en-US"/>
        </w:rPr>
      </w:pPr>
    </w:p>
    <w:p w:rsidR="00EE5D2C" w:rsidRPr="005D77F0" w:rsidRDefault="009D4A43" w:rsidP="007D6FD9">
      <w:pPr>
        <w:widowControl/>
        <w:tabs>
          <w:tab w:val="left" w:pos="1440"/>
        </w:tabs>
        <w:suppressAutoHyphens/>
        <w:spacing w:after="240" w:line="360" w:lineRule="atLeast"/>
        <w:jc w:val="both"/>
        <w:rPr>
          <w:lang w:val="en-US"/>
        </w:rPr>
      </w:pPr>
      <w:r w:rsidRPr="005D77F0">
        <w:rPr>
          <w:rFonts w:ascii="Times New Roman" w:eastAsia="新細明體" w:hAnsi="Times New Roman" w:cs="Times New Roman" w:hint="eastAsia"/>
          <w:bCs/>
          <w:snapToGrid w:val="0"/>
          <w:color w:val="000000" w:themeColor="text1"/>
          <w:kern w:val="0"/>
          <w:sz w:val="28"/>
          <w:szCs w:val="28"/>
          <w:lang w:val="en-US"/>
        </w:rPr>
        <w:t>1.</w:t>
      </w:r>
      <w:r w:rsidRPr="005D77F0">
        <w:rPr>
          <w:rFonts w:ascii="Times New Roman" w:eastAsia="新細明體" w:hAnsi="Times New Roman" w:cs="Times New Roman" w:hint="eastAsia"/>
          <w:bCs/>
          <w:snapToGrid w:val="0"/>
          <w:color w:val="000000" w:themeColor="text1"/>
          <w:kern w:val="0"/>
          <w:sz w:val="28"/>
          <w:szCs w:val="28"/>
          <w:lang w:val="en-US"/>
        </w:rPr>
        <w:tab/>
      </w:r>
      <w:r w:rsidRPr="005D77F0">
        <w:rPr>
          <w:rFonts w:ascii="Times New Roman" w:eastAsia="新細明體" w:hAnsi="Times New Roman" w:cs="Times New Roman"/>
          <w:bCs/>
          <w:snapToGrid w:val="0"/>
          <w:color w:val="000000" w:themeColor="text1"/>
          <w:kern w:val="0"/>
          <w:sz w:val="28"/>
          <w:szCs w:val="28"/>
          <w:lang w:val="en-US"/>
        </w:rPr>
        <w:t>The Amendment Ordinance introduces the following new court orders to C</w:t>
      </w:r>
      <w:r w:rsidR="001720A6" w:rsidRPr="005D77F0">
        <w:rPr>
          <w:rFonts w:ascii="Times New Roman" w:eastAsia="新細明體" w:hAnsi="Times New Roman" w:cs="Times New Roman"/>
          <w:bCs/>
          <w:snapToGrid w:val="0"/>
          <w:color w:val="000000" w:themeColor="text1"/>
          <w:kern w:val="0"/>
          <w:sz w:val="28"/>
          <w:szCs w:val="28"/>
          <w:lang w:val="en-US"/>
        </w:rPr>
        <w:t xml:space="preserve">hild </w:t>
      </w:r>
      <w:r w:rsidRPr="00662C0C">
        <w:rPr>
          <w:rFonts w:ascii="Times New Roman" w:eastAsia="新細明體" w:hAnsi="Times New Roman" w:cs="Times New Roman"/>
          <w:bCs/>
          <w:snapToGrid w:val="0"/>
          <w:color w:val="000000" w:themeColor="text1"/>
          <w:kern w:val="0"/>
          <w:sz w:val="28"/>
          <w:szCs w:val="28"/>
          <w:lang w:val="en-US"/>
        </w:rPr>
        <w:t>A</w:t>
      </w:r>
      <w:r w:rsidR="001720A6" w:rsidRPr="00662C0C">
        <w:rPr>
          <w:rFonts w:ascii="Times New Roman" w:eastAsia="新細明體" w:hAnsi="Times New Roman" w:cs="Times New Roman"/>
          <w:bCs/>
          <w:snapToGrid w:val="0"/>
          <w:color w:val="000000" w:themeColor="text1"/>
          <w:kern w:val="0"/>
          <w:sz w:val="28"/>
          <w:szCs w:val="28"/>
          <w:lang w:val="en-US"/>
        </w:rPr>
        <w:t>bduction</w:t>
      </w:r>
      <w:r w:rsidR="001720A6" w:rsidRPr="005D77F0">
        <w:rPr>
          <w:rFonts w:ascii="Times New Roman" w:eastAsia="新細明體" w:hAnsi="Times New Roman" w:cs="Times New Roman"/>
          <w:bCs/>
          <w:snapToGrid w:val="0"/>
          <w:color w:val="000000" w:themeColor="text1"/>
          <w:kern w:val="0"/>
          <w:sz w:val="28"/>
          <w:szCs w:val="28"/>
          <w:lang w:val="en-US"/>
        </w:rPr>
        <w:t xml:space="preserve"> and </w:t>
      </w:r>
      <w:r w:rsidRPr="005D77F0">
        <w:rPr>
          <w:rFonts w:ascii="Times New Roman" w:eastAsia="新細明體" w:hAnsi="Times New Roman" w:cs="Times New Roman"/>
          <w:bCs/>
          <w:snapToGrid w:val="0"/>
          <w:color w:val="000000" w:themeColor="text1"/>
          <w:kern w:val="0"/>
          <w:sz w:val="28"/>
          <w:szCs w:val="28"/>
          <w:lang w:val="en-US"/>
        </w:rPr>
        <w:t>C</w:t>
      </w:r>
      <w:r w:rsidR="001720A6" w:rsidRPr="005D77F0">
        <w:rPr>
          <w:rFonts w:ascii="Times New Roman" w:eastAsia="新細明體" w:hAnsi="Times New Roman" w:cs="Times New Roman"/>
          <w:bCs/>
          <w:snapToGrid w:val="0"/>
          <w:color w:val="000000" w:themeColor="text1"/>
          <w:kern w:val="0"/>
          <w:sz w:val="28"/>
          <w:szCs w:val="28"/>
          <w:lang w:val="en-US"/>
        </w:rPr>
        <w:t xml:space="preserve">ustody </w:t>
      </w:r>
      <w:r w:rsidRPr="005D77F0">
        <w:rPr>
          <w:rFonts w:ascii="Times New Roman" w:eastAsia="新細明體" w:hAnsi="Times New Roman" w:cs="Times New Roman"/>
          <w:bCs/>
          <w:snapToGrid w:val="0"/>
          <w:color w:val="000000" w:themeColor="text1"/>
          <w:kern w:val="0"/>
          <w:sz w:val="28"/>
          <w:szCs w:val="28"/>
          <w:lang w:val="en-US"/>
        </w:rPr>
        <w:t>O</w:t>
      </w:r>
      <w:r w:rsidR="001720A6" w:rsidRPr="005D77F0">
        <w:rPr>
          <w:rFonts w:ascii="Times New Roman" w:eastAsia="新細明體" w:hAnsi="Times New Roman" w:cs="Times New Roman"/>
          <w:bCs/>
          <w:snapToGrid w:val="0"/>
          <w:color w:val="000000" w:themeColor="text1"/>
          <w:kern w:val="0"/>
          <w:sz w:val="28"/>
          <w:szCs w:val="28"/>
          <w:lang w:val="en-US"/>
        </w:rPr>
        <w:t>rdinance (Cap. 512) (CACO)</w:t>
      </w:r>
      <w:r w:rsidR="00901C5D">
        <w:rPr>
          <w:rFonts w:ascii="Times New Roman" w:eastAsia="新細明體" w:hAnsi="Times New Roman" w:cs="Times New Roman"/>
          <w:bCs/>
          <w:snapToGrid w:val="0"/>
          <w:color w:val="000000" w:themeColor="text1"/>
          <w:kern w:val="0"/>
          <w:sz w:val="28"/>
          <w:szCs w:val="28"/>
          <w:lang w:val="en-US"/>
        </w:rPr>
        <w:t>:</w:t>
      </w:r>
    </w:p>
    <w:p w:rsidR="00EE5D2C" w:rsidRPr="005D77F0" w:rsidRDefault="00EE5D2C" w:rsidP="007D6FD9">
      <w:pPr>
        <w:widowControl/>
        <w:tabs>
          <w:tab w:val="left" w:pos="228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hint="eastAsia"/>
          <w:bCs/>
          <w:snapToGrid w:val="0"/>
          <w:color w:val="000000" w:themeColor="text1"/>
          <w:kern w:val="0"/>
          <w:sz w:val="28"/>
          <w:szCs w:val="28"/>
          <w:lang w:val="en-US"/>
        </w:rPr>
        <w:t>(a)</w:t>
      </w:r>
      <w:r w:rsidRPr="005D77F0">
        <w:rPr>
          <w:rFonts w:ascii="Times New Roman" w:eastAsia="新細明體" w:hAnsi="Times New Roman" w:cs="Times New Roman"/>
          <w:bCs/>
          <w:snapToGrid w:val="0"/>
          <w:color w:val="000000" w:themeColor="text1"/>
          <w:kern w:val="0"/>
          <w:sz w:val="28"/>
          <w:szCs w:val="28"/>
          <w:lang w:val="en-US"/>
        </w:rPr>
        <w:tab/>
      </w:r>
      <w:r w:rsidR="009D4A43" w:rsidRPr="005D77F0">
        <w:rPr>
          <w:rFonts w:ascii="Times New Roman" w:eastAsia="新細明體" w:hAnsi="Times New Roman" w:cs="Times New Roman"/>
          <w:bCs/>
          <w:snapToGrid w:val="0"/>
          <w:color w:val="000000" w:themeColor="text1"/>
          <w:kern w:val="0"/>
          <w:sz w:val="28"/>
          <w:szCs w:val="28"/>
          <w:lang w:val="en-US"/>
        </w:rPr>
        <w:t>Location order</w:t>
      </w:r>
      <w:r w:rsidR="003E02B1" w:rsidRPr="00137965">
        <w:rPr>
          <w:rStyle w:val="a5"/>
          <w:rFonts w:ascii="Times New Roman" w:eastAsia="標楷體" w:hAnsi="Times New Roman" w:cs="Times New Roman"/>
          <w:sz w:val="28"/>
          <w:szCs w:val="28"/>
          <w:lang w:val="en-US"/>
        </w:rPr>
        <w:footnoteReference w:id="1"/>
      </w:r>
      <w:r w:rsidR="009D4A43" w:rsidRPr="005D77F0">
        <w:rPr>
          <w:rFonts w:ascii="Times New Roman" w:eastAsia="新細明體" w:hAnsi="Times New Roman" w:cs="Times New Roman"/>
          <w:bCs/>
          <w:snapToGrid w:val="0"/>
          <w:color w:val="000000" w:themeColor="text1"/>
          <w:kern w:val="0"/>
          <w:sz w:val="28"/>
          <w:szCs w:val="28"/>
          <w:lang w:val="en-US"/>
        </w:rPr>
        <w:t xml:space="preserve">: empowering the Court of First Instance of the High Court (CFI) to order the disclosure of the whereabouts or location of the relevant child subject to the proceedings under the </w:t>
      </w:r>
      <w:r w:rsidR="00901C5D" w:rsidRPr="00901C5D">
        <w:rPr>
          <w:rFonts w:ascii="Times New Roman" w:eastAsia="新細明體" w:hAnsi="Times New Roman" w:cs="Times New Roman"/>
          <w:bCs/>
          <w:snapToGrid w:val="0"/>
          <w:color w:val="000000" w:themeColor="text1"/>
          <w:kern w:val="0"/>
          <w:sz w:val="28"/>
          <w:szCs w:val="28"/>
          <w:lang w:val="en-US"/>
        </w:rPr>
        <w:t xml:space="preserve">Hague Convention on the Civil Aspects of International Child Abduction (the </w:t>
      </w:r>
      <w:r w:rsidR="009D4A43" w:rsidRPr="005D77F0">
        <w:rPr>
          <w:rFonts w:ascii="Times New Roman" w:eastAsia="新細明體" w:hAnsi="Times New Roman" w:cs="Times New Roman"/>
          <w:bCs/>
          <w:snapToGrid w:val="0"/>
          <w:color w:val="000000" w:themeColor="text1"/>
          <w:kern w:val="0"/>
          <w:sz w:val="28"/>
          <w:szCs w:val="28"/>
          <w:lang w:val="en-US"/>
        </w:rPr>
        <w:t>CA Convention</w:t>
      </w:r>
      <w:r w:rsidR="00901C5D">
        <w:rPr>
          <w:rFonts w:ascii="Times New Roman" w:eastAsia="新細明體" w:hAnsi="Times New Roman" w:cs="Times New Roman"/>
          <w:bCs/>
          <w:snapToGrid w:val="0"/>
          <w:color w:val="000000" w:themeColor="text1"/>
          <w:kern w:val="0"/>
          <w:sz w:val="28"/>
          <w:szCs w:val="28"/>
          <w:lang w:val="en-US"/>
        </w:rPr>
        <w:t>)</w:t>
      </w:r>
      <w:r w:rsidR="009D4A43" w:rsidRPr="005D77F0">
        <w:rPr>
          <w:rFonts w:ascii="Times New Roman" w:eastAsia="新細明體" w:hAnsi="Times New Roman" w:cs="Times New Roman"/>
          <w:bCs/>
          <w:snapToGrid w:val="0"/>
          <w:color w:val="000000" w:themeColor="text1"/>
          <w:kern w:val="0"/>
          <w:sz w:val="28"/>
          <w:szCs w:val="28"/>
          <w:lang w:val="en-US"/>
        </w:rPr>
        <w:t>;</w:t>
      </w:r>
    </w:p>
    <w:p w:rsidR="00EE5D2C" w:rsidRPr="005D77F0" w:rsidRDefault="009D4A43" w:rsidP="007D6FD9">
      <w:pPr>
        <w:widowControl/>
        <w:tabs>
          <w:tab w:val="left" w:pos="228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t>(b)</w:t>
      </w:r>
      <w:r w:rsidRPr="005D77F0">
        <w:rPr>
          <w:rFonts w:ascii="Times New Roman" w:eastAsia="新細明體" w:hAnsi="Times New Roman" w:cs="Times New Roman"/>
          <w:bCs/>
          <w:snapToGrid w:val="0"/>
          <w:color w:val="000000" w:themeColor="text1"/>
          <w:kern w:val="0"/>
          <w:sz w:val="28"/>
          <w:szCs w:val="28"/>
          <w:lang w:val="en-US"/>
        </w:rPr>
        <w:tab/>
        <w:t>“Mirror order”</w:t>
      </w:r>
      <w:r w:rsidR="003E02B1" w:rsidRPr="00936C59">
        <w:rPr>
          <w:rStyle w:val="a5"/>
          <w:rFonts w:ascii="Times New Roman" w:eastAsia="標楷體" w:hAnsi="Times New Roman" w:cs="Times New Roman"/>
          <w:sz w:val="28"/>
          <w:szCs w:val="28"/>
          <w:lang w:val="en-US"/>
        </w:rPr>
        <w:footnoteReference w:id="2"/>
      </w:r>
      <w:r w:rsidRPr="005D77F0">
        <w:rPr>
          <w:rFonts w:ascii="Times New Roman" w:eastAsia="新細明體" w:hAnsi="Times New Roman" w:cs="Times New Roman"/>
          <w:bCs/>
          <w:snapToGrid w:val="0"/>
          <w:color w:val="000000" w:themeColor="text1"/>
          <w:kern w:val="0"/>
          <w:sz w:val="28"/>
          <w:szCs w:val="28"/>
          <w:lang w:val="en-US"/>
        </w:rPr>
        <w:t xml:space="preserve">: empowering the CFI to make a </w:t>
      </w:r>
      <w:r w:rsidR="0061166B" w:rsidRPr="005D77F0">
        <w:rPr>
          <w:rFonts w:ascii="Times New Roman" w:eastAsia="新細明體" w:hAnsi="Times New Roman" w:cs="Times New Roman"/>
          <w:bCs/>
          <w:snapToGrid w:val="0"/>
          <w:color w:val="000000" w:themeColor="text1"/>
          <w:kern w:val="0"/>
          <w:sz w:val="28"/>
          <w:szCs w:val="28"/>
          <w:lang w:val="en-US"/>
        </w:rPr>
        <w:t>“</w:t>
      </w:r>
      <w:r w:rsidRPr="005D77F0">
        <w:rPr>
          <w:rFonts w:ascii="Times New Roman" w:eastAsia="新細明體" w:hAnsi="Times New Roman" w:cs="Times New Roman"/>
          <w:bCs/>
          <w:snapToGrid w:val="0"/>
          <w:color w:val="000000" w:themeColor="text1"/>
          <w:kern w:val="0"/>
          <w:sz w:val="28"/>
          <w:szCs w:val="28"/>
          <w:lang w:val="en-US"/>
        </w:rPr>
        <w:t>mirror</w:t>
      </w:r>
      <w:r w:rsidR="0061166B" w:rsidRPr="005D77F0">
        <w:rPr>
          <w:rFonts w:ascii="Times New Roman" w:eastAsia="新細明體" w:hAnsi="Times New Roman" w:cs="Times New Roman"/>
          <w:bCs/>
          <w:snapToGrid w:val="0"/>
          <w:color w:val="000000" w:themeColor="text1"/>
          <w:kern w:val="0"/>
          <w:sz w:val="28"/>
          <w:szCs w:val="28"/>
          <w:lang w:val="en-US"/>
        </w:rPr>
        <w:t>”</w:t>
      </w:r>
      <w:r w:rsidRPr="005D77F0">
        <w:rPr>
          <w:rFonts w:ascii="Times New Roman" w:eastAsia="新細明體" w:hAnsi="Times New Roman" w:cs="Times New Roman"/>
          <w:bCs/>
          <w:snapToGrid w:val="0"/>
          <w:color w:val="000000" w:themeColor="text1"/>
          <w:kern w:val="0"/>
          <w:sz w:val="28"/>
          <w:szCs w:val="28"/>
          <w:lang w:val="en-US"/>
        </w:rPr>
        <w:t xml:space="preserve"> order prohibiting the removal of a child from Hong Kong except to the child’s habitual residence or other jurisdictions specified in an order made by a judicial or administrative authority of a Contracting State to the CA Convention;</w:t>
      </w:r>
    </w:p>
    <w:p w:rsidR="00EE5D2C" w:rsidRPr="005D77F0" w:rsidRDefault="009D4A43" w:rsidP="007D6FD9">
      <w:pPr>
        <w:widowControl/>
        <w:tabs>
          <w:tab w:val="left" w:pos="228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t>(c)</w:t>
      </w:r>
      <w:r w:rsidRPr="005D77F0">
        <w:rPr>
          <w:rFonts w:ascii="Times New Roman" w:eastAsia="新細明體" w:hAnsi="Times New Roman" w:cs="Times New Roman"/>
          <w:bCs/>
          <w:snapToGrid w:val="0"/>
          <w:color w:val="000000" w:themeColor="text1"/>
          <w:kern w:val="0"/>
          <w:sz w:val="28"/>
          <w:szCs w:val="28"/>
          <w:lang w:val="en-US"/>
        </w:rPr>
        <w:tab/>
        <w:t>Recovery order</w:t>
      </w:r>
      <w:r w:rsidR="003E02B1" w:rsidRPr="00936C59">
        <w:rPr>
          <w:rStyle w:val="a5"/>
          <w:rFonts w:ascii="Times New Roman" w:eastAsia="標楷體" w:hAnsi="Times New Roman" w:cs="Times New Roman"/>
          <w:sz w:val="28"/>
          <w:szCs w:val="28"/>
          <w:lang w:val="en-US"/>
        </w:rPr>
        <w:footnoteReference w:id="3"/>
      </w:r>
      <w:r w:rsidRPr="005D77F0">
        <w:rPr>
          <w:rFonts w:ascii="Times New Roman" w:eastAsia="新細明體" w:hAnsi="Times New Roman" w:cs="Times New Roman"/>
          <w:bCs/>
          <w:snapToGrid w:val="0"/>
          <w:color w:val="000000" w:themeColor="text1"/>
          <w:kern w:val="0"/>
          <w:sz w:val="28"/>
          <w:szCs w:val="28"/>
          <w:lang w:val="en-US"/>
        </w:rPr>
        <w:t>: empowering the CFI to make an order requiring the return or delivery of a child to a specified person, authorizing or directing a police officer to find the child and exercise certain powers (including stopping and searching a vehicle, vessel or aircraft; entering and searching a place); and</w:t>
      </w:r>
    </w:p>
    <w:p w:rsidR="00EE5D2C" w:rsidRPr="005D77F0" w:rsidRDefault="009D4A43" w:rsidP="007D6FD9">
      <w:pPr>
        <w:widowControl/>
        <w:tabs>
          <w:tab w:val="left" w:pos="228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t>(d)</w:t>
      </w:r>
      <w:r w:rsidRPr="005D77F0">
        <w:rPr>
          <w:rFonts w:ascii="Times New Roman" w:eastAsia="新細明體" w:hAnsi="Times New Roman" w:cs="Times New Roman"/>
          <w:bCs/>
          <w:snapToGrid w:val="0"/>
          <w:color w:val="000000" w:themeColor="text1"/>
          <w:kern w:val="0"/>
          <w:sz w:val="28"/>
          <w:szCs w:val="28"/>
          <w:lang w:val="en-US"/>
        </w:rPr>
        <w:tab/>
        <w:t>Prohibition order</w:t>
      </w:r>
      <w:r w:rsidR="003E02B1" w:rsidRPr="00936C59">
        <w:rPr>
          <w:rStyle w:val="a5"/>
          <w:rFonts w:ascii="Times New Roman" w:eastAsia="標楷體" w:hAnsi="Times New Roman" w:cs="Times New Roman"/>
          <w:sz w:val="28"/>
          <w:szCs w:val="28"/>
          <w:lang w:val="en-US"/>
        </w:rPr>
        <w:footnoteReference w:id="4"/>
      </w:r>
      <w:r w:rsidRPr="005D77F0">
        <w:rPr>
          <w:rFonts w:ascii="Times New Roman" w:eastAsia="新細明體" w:hAnsi="Times New Roman" w:cs="Times New Roman"/>
          <w:bCs/>
          <w:snapToGrid w:val="0"/>
          <w:color w:val="000000" w:themeColor="text1"/>
          <w:kern w:val="0"/>
          <w:sz w:val="28"/>
          <w:szCs w:val="28"/>
          <w:lang w:val="en-US"/>
        </w:rPr>
        <w:t>: empowering the CFI or the District Court to make an order prohibiting the removal of a child out of Hong Kong without consent, in cases that do not concern the operation of the CA Convention.</w:t>
      </w:r>
    </w:p>
    <w:p w:rsidR="00C73D61" w:rsidRDefault="00C73D61" w:rsidP="00C73D61">
      <w:pPr>
        <w:widowControl/>
        <w:tabs>
          <w:tab w:val="left" w:pos="1440"/>
        </w:tabs>
        <w:suppressAutoHyphens/>
        <w:snapToGrid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C73D61" w:rsidRDefault="00C73D61" w:rsidP="00C73D61">
      <w:pPr>
        <w:widowControl/>
        <w:tabs>
          <w:tab w:val="left" w:pos="1440"/>
        </w:tabs>
        <w:suppressAutoHyphens/>
        <w:snapToGrid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5B3E5B" w:rsidRPr="005D77F0" w:rsidRDefault="005B3E5B" w:rsidP="007D6FD9">
      <w:pPr>
        <w:widowControl/>
        <w:tabs>
          <w:tab w:val="left" w:pos="1440"/>
        </w:tabs>
        <w:suppressAutoHyphens/>
        <w:snapToGrid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lastRenderedPageBreak/>
        <w:t>2</w:t>
      </w:r>
      <w:r w:rsidR="009D4A43" w:rsidRPr="005D77F0">
        <w:rPr>
          <w:rFonts w:ascii="Times New Roman" w:eastAsia="新細明體" w:hAnsi="Times New Roman" w:cs="Times New Roman"/>
          <w:bCs/>
          <w:snapToGrid w:val="0"/>
          <w:color w:val="000000" w:themeColor="text1"/>
          <w:kern w:val="0"/>
          <w:sz w:val="28"/>
          <w:szCs w:val="28"/>
          <w:lang w:val="en-US"/>
        </w:rPr>
        <w:t>.</w:t>
      </w:r>
      <w:r w:rsidR="009D4A43" w:rsidRPr="005D77F0">
        <w:rPr>
          <w:rFonts w:ascii="Times New Roman" w:eastAsia="新細明體" w:hAnsi="Times New Roman" w:cs="Times New Roman"/>
          <w:bCs/>
          <w:snapToGrid w:val="0"/>
          <w:color w:val="000000" w:themeColor="text1"/>
          <w:kern w:val="0"/>
          <w:sz w:val="28"/>
          <w:szCs w:val="28"/>
          <w:lang w:val="en-US"/>
        </w:rPr>
        <w:tab/>
        <w:t>New provisions in CACO were also introduced to deal with the notification of prohibition orders or recovery orders, or of pending applications for prohibition orders to the Director of Immigration and other parties to the proceedings</w:t>
      </w:r>
      <w:r w:rsidR="003E02B1" w:rsidRPr="00936C59">
        <w:rPr>
          <w:rStyle w:val="a5"/>
          <w:rFonts w:ascii="Times New Roman" w:eastAsia="標楷體" w:hAnsi="Times New Roman" w:cs="Times New Roman"/>
          <w:sz w:val="28"/>
          <w:szCs w:val="28"/>
          <w:lang w:val="en-US"/>
        </w:rPr>
        <w:footnoteReference w:id="5"/>
      </w:r>
      <w:r w:rsidR="009D4A43" w:rsidRPr="005D77F0">
        <w:rPr>
          <w:rFonts w:ascii="Times New Roman" w:eastAsia="新細明體" w:hAnsi="Times New Roman" w:cs="Times New Roman"/>
          <w:bCs/>
          <w:snapToGrid w:val="0"/>
          <w:color w:val="000000" w:themeColor="text1"/>
          <w:kern w:val="0"/>
          <w:sz w:val="28"/>
          <w:szCs w:val="28"/>
          <w:lang w:val="en-US"/>
        </w:rPr>
        <w:t>, and to enable a police officer or an immigration officer to detain a child if the officer reasonably suspects that the child is about to be, or is being removed out of Hong Kong</w:t>
      </w:r>
      <w:r w:rsidRPr="005D77F0">
        <w:rPr>
          <w:rFonts w:ascii="Times New Roman" w:eastAsia="新細明體" w:hAnsi="Times New Roman" w:cs="Times New Roman"/>
          <w:bCs/>
          <w:snapToGrid w:val="0"/>
          <w:color w:val="000000" w:themeColor="text1"/>
          <w:kern w:val="0"/>
          <w:sz w:val="28"/>
          <w:szCs w:val="28"/>
          <w:lang w:val="en-US"/>
        </w:rPr>
        <w:t>.</w:t>
      </w:r>
      <w:r w:rsidR="007D6FD9" w:rsidRPr="00936C59">
        <w:rPr>
          <w:rStyle w:val="a5"/>
          <w:rFonts w:ascii="Times New Roman" w:eastAsia="標楷體" w:hAnsi="Times New Roman" w:cs="Times New Roman"/>
          <w:sz w:val="28"/>
          <w:szCs w:val="28"/>
          <w:lang w:val="en-US"/>
        </w:rPr>
        <w:footnoteReference w:id="6"/>
      </w:r>
    </w:p>
    <w:p w:rsidR="00EE5D2C" w:rsidRPr="005D77F0" w:rsidRDefault="005B3E5B" w:rsidP="007D6FD9">
      <w:pPr>
        <w:widowControl/>
        <w:tabs>
          <w:tab w:val="left" w:pos="1440"/>
        </w:tabs>
        <w:suppressAutoHyphens/>
        <w:snapToGrid w:val="0"/>
        <w:spacing w:after="240" w:line="360" w:lineRule="atLeast"/>
        <w:jc w:val="both"/>
        <w:rPr>
          <w:rFonts w:ascii="Times New Roman" w:eastAsia="標楷體" w:hAnsi="Times New Roman" w:cs="Times New Roman"/>
          <w:color w:val="000000" w:themeColor="text1"/>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t>3</w:t>
      </w:r>
      <w:r w:rsidR="009D4A43" w:rsidRPr="005D77F0">
        <w:rPr>
          <w:rFonts w:ascii="Times New Roman" w:eastAsia="新細明體" w:hAnsi="Times New Roman" w:cs="Times New Roman" w:hint="eastAsia"/>
          <w:bCs/>
          <w:snapToGrid w:val="0"/>
          <w:color w:val="000000" w:themeColor="text1"/>
          <w:kern w:val="0"/>
          <w:sz w:val="28"/>
          <w:szCs w:val="28"/>
          <w:lang w:val="en-US"/>
        </w:rPr>
        <w:t>.</w:t>
      </w:r>
      <w:r w:rsidR="009D4A43" w:rsidRPr="005D77F0">
        <w:rPr>
          <w:rFonts w:ascii="Times New Roman" w:eastAsia="新細明體" w:hAnsi="Times New Roman" w:cs="Times New Roman" w:hint="eastAsia"/>
          <w:bCs/>
          <w:snapToGrid w:val="0"/>
          <w:color w:val="000000" w:themeColor="text1"/>
          <w:kern w:val="0"/>
          <w:sz w:val="28"/>
          <w:szCs w:val="28"/>
          <w:lang w:val="en-US"/>
        </w:rPr>
        <w:tab/>
      </w:r>
      <w:r w:rsidR="009D4A43" w:rsidRPr="005D77F0">
        <w:rPr>
          <w:rFonts w:ascii="Times New Roman" w:eastAsia="新細明體" w:hAnsi="Times New Roman" w:cs="Times New Roman"/>
          <w:bCs/>
          <w:snapToGrid w:val="0"/>
          <w:color w:val="000000" w:themeColor="text1"/>
          <w:kern w:val="0"/>
          <w:sz w:val="28"/>
          <w:szCs w:val="28"/>
          <w:lang w:val="en-US"/>
        </w:rPr>
        <w:t>The purpose of detention is to prohibit the child from being wrongfully removed from Hong Kong, so that the child can be returned to the appropriate person.  The child detained will, as soon as practicable, be taken to and kept in a place of safety until the arrival of, and the return to the person specified in the recovery order, or until follow-up actions are taken by the</w:t>
      </w:r>
      <w:r w:rsidR="00ED031D" w:rsidRPr="005D77F0">
        <w:rPr>
          <w:rFonts w:ascii="Times New Roman" w:eastAsia="新細明體" w:hAnsi="Times New Roman" w:cs="Times New Roman"/>
          <w:bCs/>
          <w:snapToGrid w:val="0"/>
          <w:color w:val="000000" w:themeColor="text1"/>
          <w:kern w:val="0"/>
          <w:sz w:val="28"/>
          <w:szCs w:val="28"/>
          <w:lang w:val="en-US"/>
        </w:rPr>
        <w:t xml:space="preserve"> </w:t>
      </w:r>
      <w:r w:rsidR="00ED031D" w:rsidRPr="005D77F0">
        <w:rPr>
          <w:rFonts w:ascii="Times New Roman" w:eastAsia="新細明體" w:hAnsi="Times New Roman" w:cs="Times New Roman" w:hint="eastAsia"/>
          <w:bCs/>
          <w:snapToGrid w:val="0"/>
          <w:color w:val="000000" w:themeColor="text1"/>
          <w:kern w:val="0"/>
          <w:sz w:val="28"/>
          <w:szCs w:val="28"/>
          <w:lang w:val="en-US"/>
        </w:rPr>
        <w:t>Dire</w:t>
      </w:r>
      <w:r w:rsidR="00ED031D" w:rsidRPr="005D77F0">
        <w:rPr>
          <w:rFonts w:ascii="Times New Roman" w:eastAsia="新細明體" w:hAnsi="Times New Roman" w:cs="Times New Roman"/>
          <w:bCs/>
          <w:snapToGrid w:val="0"/>
          <w:color w:val="000000" w:themeColor="text1"/>
          <w:kern w:val="0"/>
          <w:sz w:val="28"/>
          <w:szCs w:val="28"/>
          <w:lang w:val="en-US"/>
        </w:rPr>
        <w:t>ctor of Social Welfare</w:t>
      </w:r>
      <w:r w:rsidR="009D4A43" w:rsidRPr="005D77F0">
        <w:rPr>
          <w:rFonts w:ascii="Times New Roman" w:eastAsia="新細明體" w:hAnsi="Times New Roman" w:cs="Times New Roman"/>
          <w:bCs/>
          <w:snapToGrid w:val="0"/>
          <w:color w:val="000000" w:themeColor="text1"/>
          <w:kern w:val="0"/>
          <w:sz w:val="28"/>
          <w:szCs w:val="28"/>
          <w:lang w:val="en-US"/>
        </w:rPr>
        <w:t>, if the specified person cannot be cont</w:t>
      </w:r>
      <w:r w:rsidR="00EE5D2C" w:rsidRPr="005D77F0">
        <w:rPr>
          <w:rFonts w:ascii="Times New Roman" w:eastAsia="新細明體" w:hAnsi="Times New Roman" w:cs="Times New Roman"/>
          <w:bCs/>
          <w:snapToGrid w:val="0"/>
          <w:color w:val="000000" w:themeColor="text1"/>
          <w:kern w:val="0"/>
          <w:sz w:val="28"/>
          <w:szCs w:val="28"/>
          <w:lang w:val="en-US"/>
        </w:rPr>
        <w:t>acted within a reasonable time.</w:t>
      </w:r>
    </w:p>
    <w:p w:rsidR="00EE5D2C" w:rsidRPr="005D77F0" w:rsidRDefault="00EE5D2C" w:rsidP="007D6FD9">
      <w:pPr>
        <w:widowControl/>
        <w:tabs>
          <w:tab w:val="left" w:pos="1440"/>
        </w:tabs>
        <w:suppressAutoHyphens/>
        <w:snapToGrid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t>4</w:t>
      </w:r>
      <w:r w:rsidR="009D4A43" w:rsidRPr="005D77F0">
        <w:rPr>
          <w:rFonts w:ascii="Times New Roman" w:eastAsia="新細明體" w:hAnsi="Times New Roman" w:cs="Times New Roman" w:hint="eastAsia"/>
          <w:bCs/>
          <w:snapToGrid w:val="0"/>
          <w:color w:val="000000" w:themeColor="text1"/>
          <w:kern w:val="0"/>
          <w:sz w:val="28"/>
          <w:szCs w:val="28"/>
          <w:lang w:val="en-US"/>
        </w:rPr>
        <w:t>.</w:t>
      </w:r>
      <w:r w:rsidR="009D4A43" w:rsidRPr="005D77F0">
        <w:rPr>
          <w:rFonts w:ascii="Times New Roman" w:eastAsia="新細明體" w:hAnsi="Times New Roman" w:cs="Times New Roman" w:hint="eastAsia"/>
          <w:bCs/>
          <w:snapToGrid w:val="0"/>
          <w:color w:val="000000" w:themeColor="text1"/>
          <w:kern w:val="0"/>
          <w:sz w:val="28"/>
          <w:szCs w:val="28"/>
          <w:lang w:val="en-US"/>
        </w:rPr>
        <w:tab/>
      </w:r>
      <w:r w:rsidR="009D4A43" w:rsidRPr="005D77F0">
        <w:rPr>
          <w:rFonts w:ascii="Times New Roman" w:eastAsia="新細明體" w:hAnsi="Times New Roman" w:cs="Times New Roman"/>
          <w:bCs/>
          <w:snapToGrid w:val="0"/>
          <w:color w:val="000000" w:themeColor="text1"/>
          <w:kern w:val="0"/>
          <w:sz w:val="28"/>
          <w:szCs w:val="28"/>
          <w:lang w:val="en-US"/>
        </w:rPr>
        <w:t xml:space="preserve">A new section 20 of CACO was enacted to provide for the stay of all further proceedings in any custody application in relation to the child until the final determination or </w:t>
      </w:r>
      <w:r w:rsidR="004D416E" w:rsidRPr="005D77F0">
        <w:rPr>
          <w:rFonts w:ascii="Times New Roman" w:eastAsia="新細明體" w:hAnsi="Times New Roman" w:cs="Times New Roman"/>
          <w:bCs/>
          <w:snapToGrid w:val="0"/>
          <w:color w:val="000000" w:themeColor="text1"/>
          <w:kern w:val="0"/>
          <w:sz w:val="28"/>
          <w:szCs w:val="28"/>
          <w:lang w:val="en-US"/>
        </w:rPr>
        <w:t xml:space="preserve">final </w:t>
      </w:r>
      <w:r w:rsidR="009D4A43" w:rsidRPr="005D77F0">
        <w:rPr>
          <w:rFonts w:ascii="Times New Roman" w:eastAsia="新細明體" w:hAnsi="Times New Roman" w:cs="Times New Roman"/>
          <w:bCs/>
          <w:snapToGrid w:val="0"/>
          <w:color w:val="000000" w:themeColor="text1"/>
          <w:kern w:val="0"/>
          <w:sz w:val="28"/>
          <w:szCs w:val="28"/>
          <w:lang w:val="en-US"/>
        </w:rPr>
        <w:t>disposal of the proceedings under the CA Convention.  Other amendments include empowering the CFI to require personal attendance of the relevant parties, including either or both of the parents, at the hearing of an application under CACO</w:t>
      </w:r>
      <w:r w:rsidR="009D4A43" w:rsidRPr="007D6FD9">
        <w:rPr>
          <w:rFonts w:ascii="Times New Roman" w:eastAsia="新細明體" w:hAnsi="Times New Roman" w:cs="Times New Roman"/>
          <w:bCs/>
          <w:snapToGrid w:val="0"/>
          <w:color w:val="000000" w:themeColor="text1"/>
          <w:kern w:val="0"/>
          <w:sz w:val="28"/>
          <w:szCs w:val="28"/>
          <w:lang w:val="en-US"/>
        </w:rPr>
        <w:t>,</w:t>
      </w:r>
      <w:r w:rsidR="007D6FD9" w:rsidRPr="00936C59">
        <w:rPr>
          <w:rStyle w:val="a5"/>
          <w:rFonts w:ascii="Times New Roman" w:eastAsia="標楷體" w:hAnsi="Times New Roman" w:cs="Times New Roman"/>
          <w:sz w:val="28"/>
          <w:szCs w:val="28"/>
          <w:lang w:val="en-US"/>
        </w:rPr>
        <w:footnoteReference w:id="7"/>
      </w:r>
      <w:r w:rsidR="009D4A43" w:rsidRPr="005D77F0">
        <w:rPr>
          <w:rFonts w:ascii="Times New Roman" w:eastAsia="新細明體" w:hAnsi="Times New Roman" w:cs="Times New Roman"/>
          <w:bCs/>
          <w:snapToGrid w:val="0"/>
          <w:color w:val="000000" w:themeColor="text1"/>
          <w:kern w:val="0"/>
          <w:sz w:val="28"/>
          <w:szCs w:val="28"/>
          <w:lang w:val="en-US"/>
        </w:rPr>
        <w:t xml:space="preserve"> and empowering the Secretary for Justice to request written reports from the relevant departments or persons on matters relating to children with reference to the Secretary’s functions as the Central Authority in Hong Kong under the CA Convention.</w:t>
      </w:r>
      <w:r w:rsidR="007D6FD9" w:rsidRPr="00936C59">
        <w:rPr>
          <w:rStyle w:val="a5"/>
          <w:rFonts w:ascii="Times New Roman" w:eastAsia="標楷體" w:hAnsi="Times New Roman" w:cs="Times New Roman"/>
          <w:sz w:val="28"/>
          <w:szCs w:val="28"/>
          <w:lang w:val="en-US"/>
        </w:rPr>
        <w:footnoteReference w:id="8"/>
      </w:r>
    </w:p>
    <w:p w:rsidR="009D4A43" w:rsidRPr="005D77F0" w:rsidRDefault="00EE5D2C" w:rsidP="007D6FD9">
      <w:pPr>
        <w:widowControl/>
        <w:tabs>
          <w:tab w:val="left" w:pos="1440"/>
        </w:tabs>
        <w:suppressAutoHyphens/>
        <w:snapToGrid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5D77F0">
        <w:rPr>
          <w:rFonts w:ascii="Times New Roman" w:eastAsia="新細明體" w:hAnsi="Times New Roman" w:cs="Times New Roman"/>
          <w:bCs/>
          <w:snapToGrid w:val="0"/>
          <w:color w:val="000000" w:themeColor="text1"/>
          <w:kern w:val="0"/>
          <w:sz w:val="28"/>
          <w:szCs w:val="28"/>
          <w:lang w:val="en-US"/>
        </w:rPr>
        <w:t>5</w:t>
      </w:r>
      <w:r w:rsidR="009D4A43" w:rsidRPr="005D77F0">
        <w:rPr>
          <w:rFonts w:ascii="Times New Roman" w:eastAsia="新細明體" w:hAnsi="Times New Roman" w:cs="Times New Roman" w:hint="eastAsia"/>
          <w:bCs/>
          <w:snapToGrid w:val="0"/>
          <w:color w:val="000000" w:themeColor="text1"/>
          <w:kern w:val="0"/>
          <w:sz w:val="28"/>
          <w:szCs w:val="28"/>
          <w:lang w:val="en-US"/>
        </w:rPr>
        <w:t>.</w:t>
      </w:r>
      <w:r w:rsidR="009D4A43" w:rsidRPr="005D77F0">
        <w:rPr>
          <w:rFonts w:ascii="Times New Roman" w:eastAsia="新細明體" w:hAnsi="Times New Roman" w:cs="Times New Roman"/>
          <w:bCs/>
          <w:snapToGrid w:val="0"/>
          <w:color w:val="000000" w:themeColor="text1"/>
          <w:kern w:val="0"/>
          <w:sz w:val="28"/>
          <w:szCs w:val="28"/>
          <w:lang w:val="en-US"/>
        </w:rPr>
        <w:tab/>
        <w:t xml:space="preserve">The Amendment Ordinance also amended section 5 of the Judicial Proceedings (Regulation of Reports) Ordinance </w:t>
      </w:r>
      <w:r w:rsidR="00CC3927" w:rsidRPr="005D77F0">
        <w:rPr>
          <w:rFonts w:ascii="Times New Roman" w:eastAsia="新細明體" w:hAnsi="Times New Roman" w:cs="Times New Roman"/>
          <w:bCs/>
          <w:snapToGrid w:val="0"/>
          <w:color w:val="000000" w:themeColor="text1"/>
          <w:kern w:val="0"/>
          <w:sz w:val="28"/>
          <w:szCs w:val="28"/>
          <w:lang w:val="en-US"/>
        </w:rPr>
        <w:t xml:space="preserve">(Cap. 287) </w:t>
      </w:r>
      <w:r w:rsidR="009D4A43" w:rsidRPr="005D77F0">
        <w:rPr>
          <w:rFonts w:ascii="Times New Roman" w:eastAsia="新細明體" w:hAnsi="Times New Roman" w:cs="Times New Roman"/>
          <w:bCs/>
          <w:snapToGrid w:val="0"/>
          <w:color w:val="000000" w:themeColor="text1"/>
          <w:kern w:val="0"/>
          <w:sz w:val="28"/>
          <w:szCs w:val="28"/>
          <w:lang w:val="en-US"/>
        </w:rPr>
        <w:t>to provide for protection of confidentiality of proceedings under CACO.</w:t>
      </w:r>
    </w:p>
    <w:p w:rsidR="001C7405" w:rsidRPr="005D77F0" w:rsidRDefault="001C7405" w:rsidP="007D6FD9">
      <w:pPr>
        <w:tabs>
          <w:tab w:val="left" w:pos="1440"/>
        </w:tabs>
        <w:snapToGrid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sectPr w:rsidR="001C7405" w:rsidRPr="005D77F0">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957" w:rsidRDefault="00AD6957" w:rsidP="009D4A43">
      <w:r>
        <w:separator/>
      </w:r>
    </w:p>
  </w:endnote>
  <w:endnote w:type="continuationSeparator" w:id="0">
    <w:p w:rsidR="00AD6957" w:rsidRDefault="00AD6957" w:rsidP="009D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8404267"/>
      <w:docPartObj>
        <w:docPartGallery w:val="Page Numbers (Bottom of Page)"/>
        <w:docPartUnique/>
      </w:docPartObj>
    </w:sdtPr>
    <w:sdtEndPr>
      <w:rPr>
        <w:rFonts w:ascii="Times New Roman" w:eastAsia="新細明體" w:hAnsi="Times New Roman"/>
        <w:sz w:val="24"/>
      </w:rPr>
    </w:sdtEndPr>
    <w:sdtContent>
      <w:p w:rsidR="00CB23A6" w:rsidRDefault="00CB23A6">
        <w:pPr>
          <w:pStyle w:val="a8"/>
          <w:jc w:val="center"/>
        </w:pPr>
        <w:r w:rsidRPr="00CB23A6">
          <w:rPr>
            <w:rFonts w:ascii="Times New Roman" w:eastAsia="新細明體" w:hAnsi="Times New Roman"/>
            <w:sz w:val="24"/>
          </w:rPr>
          <w:fldChar w:fldCharType="begin"/>
        </w:r>
        <w:r w:rsidRPr="00CB23A6">
          <w:rPr>
            <w:rFonts w:ascii="Times New Roman" w:eastAsia="新細明體" w:hAnsi="Times New Roman"/>
            <w:sz w:val="24"/>
          </w:rPr>
          <w:instrText>PAGE   \* MERGEFORMAT</w:instrText>
        </w:r>
        <w:r w:rsidRPr="00CB23A6">
          <w:rPr>
            <w:rFonts w:ascii="Times New Roman" w:eastAsia="新細明體" w:hAnsi="Times New Roman"/>
            <w:sz w:val="24"/>
          </w:rPr>
          <w:fldChar w:fldCharType="separate"/>
        </w:r>
        <w:r w:rsidR="001664C4" w:rsidRPr="001664C4">
          <w:rPr>
            <w:rFonts w:ascii="Times New Roman" w:eastAsia="新細明體" w:hAnsi="Times New Roman"/>
            <w:noProof/>
            <w:sz w:val="24"/>
            <w:lang w:val="zh-TW"/>
          </w:rPr>
          <w:t>2</w:t>
        </w:r>
        <w:r w:rsidRPr="00CB23A6">
          <w:rPr>
            <w:rFonts w:ascii="Times New Roman" w:eastAsia="新細明體" w:hAnsi="Times New Roman"/>
            <w:sz w:val="24"/>
          </w:rPr>
          <w:fldChar w:fldCharType="end"/>
        </w:r>
      </w:p>
    </w:sdtContent>
  </w:sdt>
  <w:p w:rsidR="00CB23A6" w:rsidRDefault="00CB23A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957" w:rsidRDefault="00AD6957" w:rsidP="009D4A43">
      <w:r>
        <w:separator/>
      </w:r>
    </w:p>
  </w:footnote>
  <w:footnote w:type="continuationSeparator" w:id="0">
    <w:p w:rsidR="00AD6957" w:rsidRDefault="00AD6957" w:rsidP="009D4A43">
      <w:r>
        <w:continuationSeparator/>
      </w:r>
    </w:p>
  </w:footnote>
  <w:footnote w:id="1">
    <w:p w:rsidR="003E02B1" w:rsidRPr="002F4528" w:rsidRDefault="003E02B1" w:rsidP="003E02B1">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 15</w:t>
      </w:r>
    </w:p>
  </w:footnote>
  <w:footnote w:id="2">
    <w:p w:rsidR="003E02B1" w:rsidRPr="002F4528" w:rsidRDefault="003E02B1" w:rsidP="003E02B1">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 1</w:t>
      </w:r>
      <w:r>
        <w:rPr>
          <w:rFonts w:hint="eastAsia"/>
          <w:sz w:val="24"/>
          <w:szCs w:val="24"/>
          <w:lang w:val="en-US"/>
        </w:rPr>
        <w:t>6</w:t>
      </w:r>
    </w:p>
  </w:footnote>
  <w:footnote w:id="3">
    <w:p w:rsidR="003E02B1" w:rsidRPr="002F4528" w:rsidRDefault="003E02B1" w:rsidP="003E02B1">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 1</w:t>
      </w:r>
      <w:r>
        <w:rPr>
          <w:rFonts w:hint="eastAsia"/>
          <w:sz w:val="24"/>
          <w:szCs w:val="24"/>
          <w:lang w:val="en-US"/>
        </w:rPr>
        <w:t>7</w:t>
      </w:r>
    </w:p>
  </w:footnote>
  <w:footnote w:id="4">
    <w:p w:rsidR="003E02B1" w:rsidRPr="002F4528" w:rsidRDefault="003E02B1" w:rsidP="003E02B1">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 xml:space="preserve">Section </w:t>
      </w:r>
      <w:r>
        <w:rPr>
          <w:rFonts w:hint="eastAsia"/>
          <w:sz w:val="24"/>
          <w:szCs w:val="24"/>
          <w:lang w:val="en-US"/>
        </w:rPr>
        <w:t>21</w:t>
      </w:r>
    </w:p>
  </w:footnote>
  <w:footnote w:id="5">
    <w:p w:rsidR="003E02B1" w:rsidRPr="002F4528" w:rsidRDefault="003E02B1" w:rsidP="003E02B1">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w:t>
      </w:r>
      <w:r>
        <w:rPr>
          <w:rFonts w:hint="eastAsia"/>
          <w:sz w:val="24"/>
          <w:szCs w:val="24"/>
          <w:lang w:val="en-US"/>
        </w:rPr>
        <w:t>s</w:t>
      </w:r>
      <w:r>
        <w:rPr>
          <w:sz w:val="24"/>
          <w:szCs w:val="24"/>
          <w:lang w:val="en-US"/>
        </w:rPr>
        <w:t xml:space="preserve"> 18 and 22</w:t>
      </w:r>
    </w:p>
  </w:footnote>
  <w:footnote w:id="6">
    <w:p w:rsidR="007D6FD9" w:rsidRPr="002F4528" w:rsidRDefault="007D6FD9" w:rsidP="007D6FD9">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Sections 19 and 23</w:t>
      </w:r>
    </w:p>
  </w:footnote>
  <w:footnote w:id="7">
    <w:p w:rsidR="007D6FD9" w:rsidRPr="002F4528" w:rsidRDefault="007D6FD9" w:rsidP="007D6FD9">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 7(1)(b)</w:t>
      </w:r>
    </w:p>
  </w:footnote>
  <w:footnote w:id="8">
    <w:p w:rsidR="007D6FD9" w:rsidRPr="002F4528" w:rsidRDefault="007D6FD9" w:rsidP="007D6FD9">
      <w:pPr>
        <w:pStyle w:val="a3"/>
        <w:wordWrap w:val="0"/>
        <w:overflowPunct w:val="0"/>
        <w:ind w:left="480" w:hangingChars="200" w:hanging="480"/>
        <w:rPr>
          <w:sz w:val="24"/>
          <w:szCs w:val="24"/>
        </w:rPr>
      </w:pPr>
      <w:r w:rsidRPr="002F4528">
        <w:rPr>
          <w:rStyle w:val="a5"/>
          <w:sz w:val="24"/>
          <w:szCs w:val="24"/>
        </w:rPr>
        <w:footnoteRef/>
      </w:r>
      <w:r w:rsidRPr="002F4528">
        <w:rPr>
          <w:sz w:val="24"/>
          <w:szCs w:val="24"/>
        </w:rPr>
        <w:t xml:space="preserve"> </w:t>
      </w:r>
      <w:r w:rsidRPr="002F4528">
        <w:rPr>
          <w:sz w:val="24"/>
          <w:szCs w:val="24"/>
        </w:rPr>
        <w:tab/>
      </w:r>
      <w:r>
        <w:rPr>
          <w:sz w:val="24"/>
          <w:szCs w:val="24"/>
          <w:lang w:val="en-US"/>
        </w:rPr>
        <w:t>Section 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A43"/>
    <w:rsid w:val="000816EB"/>
    <w:rsid w:val="000C2005"/>
    <w:rsid w:val="00137965"/>
    <w:rsid w:val="001664C4"/>
    <w:rsid w:val="001720A6"/>
    <w:rsid w:val="001C7405"/>
    <w:rsid w:val="001D4504"/>
    <w:rsid w:val="0026387D"/>
    <w:rsid w:val="00366F38"/>
    <w:rsid w:val="003D58DC"/>
    <w:rsid w:val="003D6DD5"/>
    <w:rsid w:val="003E02B1"/>
    <w:rsid w:val="0043350B"/>
    <w:rsid w:val="004D416E"/>
    <w:rsid w:val="004E5CAC"/>
    <w:rsid w:val="004E6BE5"/>
    <w:rsid w:val="0053144F"/>
    <w:rsid w:val="005B3E5B"/>
    <w:rsid w:val="005D77F0"/>
    <w:rsid w:val="0061166B"/>
    <w:rsid w:val="006300B7"/>
    <w:rsid w:val="00662C0C"/>
    <w:rsid w:val="007D2CF4"/>
    <w:rsid w:val="007D6FD9"/>
    <w:rsid w:val="007E2BC6"/>
    <w:rsid w:val="008150E8"/>
    <w:rsid w:val="00874E1D"/>
    <w:rsid w:val="00901C5D"/>
    <w:rsid w:val="009D4A43"/>
    <w:rsid w:val="00AD3D84"/>
    <w:rsid w:val="00AD6957"/>
    <w:rsid w:val="00B963D2"/>
    <w:rsid w:val="00BB7B07"/>
    <w:rsid w:val="00C361CB"/>
    <w:rsid w:val="00C73D61"/>
    <w:rsid w:val="00CB23A6"/>
    <w:rsid w:val="00CC3927"/>
    <w:rsid w:val="00D271C5"/>
    <w:rsid w:val="00DD5066"/>
    <w:rsid w:val="00ED031D"/>
    <w:rsid w:val="00EE5D2C"/>
    <w:rsid w:val="00F255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56D84BA"/>
  <w15:chartTrackingRefBased/>
  <w15:docId w15:val="{F3558B53-9323-47FE-B785-74ECFC5C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9D4A43"/>
    <w:pPr>
      <w:snapToGrid w:val="0"/>
    </w:pPr>
    <w:rPr>
      <w:rFonts w:ascii="Times New Roman" w:eastAsia="新細明體" w:hAnsi="Times New Roman" w:cs="Times New Roman"/>
      <w:sz w:val="20"/>
      <w:szCs w:val="20"/>
    </w:rPr>
  </w:style>
  <w:style w:type="character" w:customStyle="1" w:styleId="a4">
    <w:name w:val="註腳文字 字元"/>
    <w:basedOn w:val="a0"/>
    <w:link w:val="a3"/>
    <w:semiHidden/>
    <w:rsid w:val="009D4A43"/>
    <w:rPr>
      <w:rFonts w:ascii="Times New Roman" w:eastAsia="新細明體" w:hAnsi="Times New Roman" w:cs="Times New Roman"/>
      <w:sz w:val="20"/>
      <w:szCs w:val="20"/>
      <w:lang w:val="en-GB"/>
    </w:rPr>
  </w:style>
  <w:style w:type="character" w:styleId="a5">
    <w:name w:val="footnote reference"/>
    <w:rsid w:val="009D4A43"/>
    <w:rPr>
      <w:vertAlign w:val="superscript"/>
    </w:rPr>
  </w:style>
  <w:style w:type="paragraph" w:customStyle="1" w:styleId="SingleTxtG">
    <w:name w:val="_ Single Txt_G"/>
    <w:basedOn w:val="a"/>
    <w:qFormat/>
    <w:rsid w:val="009D4A43"/>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9D4A43"/>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6">
    <w:name w:val="header"/>
    <w:basedOn w:val="a"/>
    <w:link w:val="a7"/>
    <w:uiPriority w:val="99"/>
    <w:unhideWhenUsed/>
    <w:rsid w:val="005B3E5B"/>
    <w:pPr>
      <w:tabs>
        <w:tab w:val="center" w:pos="4153"/>
        <w:tab w:val="right" w:pos="8306"/>
      </w:tabs>
      <w:snapToGrid w:val="0"/>
    </w:pPr>
    <w:rPr>
      <w:sz w:val="20"/>
      <w:szCs w:val="20"/>
    </w:rPr>
  </w:style>
  <w:style w:type="character" w:customStyle="1" w:styleId="a7">
    <w:name w:val="頁首 字元"/>
    <w:basedOn w:val="a0"/>
    <w:link w:val="a6"/>
    <w:uiPriority w:val="99"/>
    <w:rsid w:val="005B3E5B"/>
    <w:rPr>
      <w:sz w:val="20"/>
      <w:szCs w:val="20"/>
      <w:lang w:val="en-GB"/>
    </w:rPr>
  </w:style>
  <w:style w:type="paragraph" w:styleId="a8">
    <w:name w:val="footer"/>
    <w:basedOn w:val="a"/>
    <w:link w:val="a9"/>
    <w:uiPriority w:val="99"/>
    <w:unhideWhenUsed/>
    <w:rsid w:val="005B3E5B"/>
    <w:pPr>
      <w:tabs>
        <w:tab w:val="center" w:pos="4153"/>
        <w:tab w:val="right" w:pos="8306"/>
      </w:tabs>
      <w:snapToGrid w:val="0"/>
    </w:pPr>
    <w:rPr>
      <w:sz w:val="20"/>
      <w:szCs w:val="20"/>
    </w:rPr>
  </w:style>
  <w:style w:type="character" w:customStyle="1" w:styleId="a9">
    <w:name w:val="頁尾 字元"/>
    <w:basedOn w:val="a0"/>
    <w:link w:val="a8"/>
    <w:uiPriority w:val="99"/>
    <w:rsid w:val="005B3E5B"/>
    <w:rPr>
      <w:sz w:val="20"/>
      <w:szCs w:val="20"/>
      <w:lang w:val="en-GB"/>
    </w:rPr>
  </w:style>
  <w:style w:type="paragraph" w:styleId="aa">
    <w:name w:val="List Paragraph"/>
    <w:basedOn w:val="a"/>
    <w:uiPriority w:val="34"/>
    <w:qFormat/>
    <w:rsid w:val="00EE5D2C"/>
    <w:pPr>
      <w:ind w:leftChars="200" w:left="480"/>
    </w:pPr>
  </w:style>
  <w:style w:type="paragraph" w:styleId="ab">
    <w:name w:val="Balloon Text"/>
    <w:basedOn w:val="a"/>
    <w:link w:val="ac"/>
    <w:uiPriority w:val="99"/>
    <w:semiHidden/>
    <w:unhideWhenUsed/>
    <w:rsid w:val="001D450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D4504"/>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464</Words>
  <Characters>2648</Characters>
  <Application>Microsoft Office Word</Application>
  <DocSecurity>0</DocSecurity>
  <Lines>22</Lines>
  <Paragraphs>6</Paragraphs>
  <ScaleCrop>false</ScaleCrop>
  <Company>HK Govt</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16</cp:revision>
  <cp:lastPrinted>2021-09-14T07:57:00Z</cp:lastPrinted>
  <dcterms:created xsi:type="dcterms:W3CDTF">2021-08-18T07:16:00Z</dcterms:created>
  <dcterms:modified xsi:type="dcterms:W3CDTF">2021-09-30T10:27:00Z</dcterms:modified>
</cp:coreProperties>
</file>