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361EA" w14:textId="26240BB4" w:rsidR="000D3BAE" w:rsidRPr="00914A2A" w:rsidRDefault="00EC215E" w:rsidP="00914A2A">
      <w:pPr>
        <w:pStyle w:val="Ttulo"/>
        <w:rPr>
          <w:sz w:val="34"/>
          <w:szCs w:val="34"/>
        </w:rPr>
      </w:pPr>
      <w:r w:rsidRPr="00914A2A">
        <w:rPr>
          <w:sz w:val="34"/>
          <w:szCs w:val="34"/>
        </w:rPr>
        <w:t>Contribución del Defensor del Pueblo de España (INDH) ante el Comité de Derechos Humanos de Naciones Unidas</w:t>
      </w:r>
      <w:r w:rsidR="00914A2A">
        <w:rPr>
          <w:sz w:val="34"/>
          <w:szCs w:val="34"/>
        </w:rPr>
        <w:t xml:space="preserve"> </w:t>
      </w:r>
      <w:r w:rsidRPr="00914A2A">
        <w:rPr>
          <w:sz w:val="34"/>
          <w:szCs w:val="34"/>
        </w:rPr>
        <w:t>144º período de sesiones – Observaciones Finales sobre España</w:t>
      </w:r>
    </w:p>
    <w:p w14:paraId="14B000BD" w14:textId="77777777" w:rsidR="000D3BAE" w:rsidRPr="00F835E9" w:rsidRDefault="00EC215E" w:rsidP="00771685">
      <w:pPr>
        <w:pStyle w:val="Ttulo1"/>
      </w:pPr>
      <w:r w:rsidRPr="00F835E9">
        <w:t>A. Información general sobre la situación nacional en materia de derechos humanos</w:t>
      </w:r>
    </w:p>
    <w:p w14:paraId="405CAD34" w14:textId="77777777" w:rsidR="00A14700" w:rsidRDefault="00F835E9" w:rsidP="00771685">
      <w:r w:rsidRPr="00771685">
        <w:t xml:space="preserve">España cuenta con un sólido marco constitucional y legal de protección de los derechos fundamentales. </w:t>
      </w:r>
      <w:r w:rsidR="00721C1D">
        <w:t xml:space="preserve">Se reconoce la primacía de los tratados internacionales en su ordenamiento interno a través del artículo 96 de la Constitución de 1978, y el artículo 10.2 establece que los derechos fundamentales deben interpretarse conforme a los tratados internacionales ratificados por España. </w:t>
      </w:r>
    </w:p>
    <w:p w14:paraId="3F190503" w14:textId="6AD6CFF9" w:rsidR="00721C1D" w:rsidRDefault="005B01B0" w:rsidP="00E5085A">
      <w:pPr>
        <w:ind w:firstLine="567"/>
      </w:pPr>
      <w:r w:rsidRPr="005B01B0">
        <w:t>Aunque</w:t>
      </w:r>
      <w:r w:rsidR="00721C1D" w:rsidRPr="005B01B0">
        <w:t xml:space="preserve">, los tribunales españoles </w:t>
      </w:r>
      <w:r w:rsidRPr="005B01B0">
        <w:t xml:space="preserve">ya </w:t>
      </w:r>
      <w:r w:rsidR="005A74C6" w:rsidRPr="005B01B0">
        <w:t xml:space="preserve">citan </w:t>
      </w:r>
      <w:r w:rsidR="00721C1D" w:rsidRPr="005B01B0">
        <w:t>con frecuencia el Convenio Europeo de Derechos Humanos (CEDH) y la jurisprudencia del Tribunal Europeo de Derechos Humanos</w:t>
      </w:r>
      <w:r w:rsidRPr="005B01B0">
        <w:t xml:space="preserve">, en línea con las buenas prácticas internacionales, se considera necesario reforzar la formación de jueces, fiscales y operadores jurídicos en el contenido del Pacto Internacional de Derechos Civiles y Políticos </w:t>
      </w:r>
      <w:bookmarkStart w:id="0" w:name="_Hlk198635709"/>
      <w:r w:rsidRPr="005B01B0">
        <w:t xml:space="preserve">(PIDCP) </w:t>
      </w:r>
      <w:bookmarkEnd w:id="0"/>
      <w:r w:rsidRPr="005B01B0">
        <w:t xml:space="preserve">y en los dictámenes del Comité de Derechos Humanos, para asegurar una aplicación más efectiva de los estándares universales de derechos humanos. </w:t>
      </w:r>
      <w:r>
        <w:t xml:space="preserve"> </w:t>
      </w:r>
    </w:p>
    <w:p w14:paraId="3DE22054" w14:textId="28C886F7" w:rsidR="00F835E9" w:rsidRPr="00F835E9" w:rsidRDefault="00721C1D" w:rsidP="00E5085A">
      <w:pPr>
        <w:ind w:firstLine="567"/>
      </w:pPr>
      <w:r w:rsidRPr="00721C1D">
        <w:t xml:space="preserve">En los últimos años, España ha reforzado su compromiso con el sistema internacional de derechos humanos. En 2020 se sometió al Examen Periódico Universal (EPU) del Consejo de Derechos Humanos de la ONU, aceptando la mayoría de recomendaciones formuladas. </w:t>
      </w:r>
      <w:r w:rsidR="000B2F9D">
        <w:t xml:space="preserve">En la actualidad se está sometiendo al siguiente ciclo de revisión, que aún no ha finalizado. </w:t>
      </w:r>
      <w:r w:rsidRPr="00721C1D">
        <w:t>En 2022 se conmemoraron 40 años de la ratificación del PIDCP por España. El Gobierno ha aprobado asimismo el II Plan Nacional de Derechos Humanos (2023-2027</w:t>
      </w:r>
      <w:r w:rsidR="006239CB">
        <w:t>)</w:t>
      </w:r>
      <w:r w:rsidRPr="00721C1D">
        <w:t>.</w:t>
      </w:r>
      <w:r w:rsidR="006239CB">
        <w:t xml:space="preserve"> </w:t>
      </w:r>
      <w:r w:rsidR="00F835E9" w:rsidRPr="00F835E9">
        <w:t xml:space="preserve">El Defensor del Pueblo participó en la comisión asesora para su elaboración, asegurando que las prioridades de esta institución se vean reflejadas. Entre las medidas generales del Plan destacan la educación en derechos humanos, la formación obligatoria en derechos fundamentales para fuerzas de seguridad y funcionarios, y la elaboración de indicadores para evaluar su cumplimiento. </w:t>
      </w:r>
    </w:p>
    <w:p w14:paraId="26FF00FF" w14:textId="2C0E5ECD" w:rsidR="00771685" w:rsidRDefault="00F835E9" w:rsidP="00771685">
      <w:r w:rsidRPr="00F835E9">
        <w:lastRenderedPageBreak/>
        <w:t xml:space="preserve">El Defensor del Pueblo de España desempeña un </w:t>
      </w:r>
      <w:r w:rsidR="005B01B0">
        <w:t>importante papel</w:t>
      </w:r>
      <w:r w:rsidRPr="00F835E9">
        <w:t xml:space="preserve"> en la protección de los derechos humanos a nivel nacional. Se trata de la Institución Nacional de Derechos Humanos (INDH) acreditada con estatus </w:t>
      </w:r>
      <w:r w:rsidR="00BD2953">
        <w:t>“</w:t>
      </w:r>
      <w:r w:rsidRPr="00F835E9">
        <w:t>A</w:t>
      </w:r>
      <w:r w:rsidR="00BD2953">
        <w:t>”</w:t>
      </w:r>
      <w:r w:rsidRPr="00F835E9">
        <w:t xml:space="preserve"> por la Alianza Global de INDH (GANHRI) desde </w:t>
      </w:r>
      <w:r w:rsidR="00771685">
        <w:t xml:space="preserve">el año </w:t>
      </w:r>
      <w:r w:rsidRPr="00F835E9">
        <w:t>20</w:t>
      </w:r>
      <w:r w:rsidR="00771685">
        <w:t xml:space="preserve">00, y recientemente </w:t>
      </w:r>
      <w:proofErr w:type="spellStart"/>
      <w:r w:rsidR="003E7195">
        <w:t>reacreditado</w:t>
      </w:r>
      <w:proofErr w:type="spellEnd"/>
      <w:r w:rsidR="00771685">
        <w:t xml:space="preserve"> en 2024</w:t>
      </w:r>
      <w:r w:rsidRPr="00F835E9">
        <w:t xml:space="preserve">. El Defensor del Pueblo es completamente independiente y tiene entre sus funciones supervisar la actuación de las </w:t>
      </w:r>
      <w:r w:rsidR="00D21D5A">
        <w:t>A</w:t>
      </w:r>
      <w:r w:rsidRPr="00F835E9">
        <w:t xml:space="preserve">dministraciones públicas, pudiendo formular recomendaciones y recordatorios de deberes legales cuando advierte vulneraciones de derechos. La institución atiende quejas de la ciudadanía y, </w:t>
      </w:r>
      <w:r w:rsidR="00771685">
        <w:t>además</w:t>
      </w:r>
      <w:r w:rsidRPr="00F835E9">
        <w:t xml:space="preserve">, trata de orientar a los afectados sobre vías de solución. </w:t>
      </w:r>
      <w:r w:rsidR="006239CB" w:rsidRPr="006239CB">
        <w:t xml:space="preserve">En </w:t>
      </w:r>
      <w:hyperlink r:id="rId8" w:history="1">
        <w:r w:rsidR="006239CB" w:rsidRPr="006239CB">
          <w:rPr>
            <w:rStyle w:val="Hipervnculo"/>
          </w:rPr>
          <w:t>2024</w:t>
        </w:r>
      </w:hyperlink>
      <w:r w:rsidR="006239CB" w:rsidRPr="006239CB">
        <w:t>, el Defensor del Pueblo recibió un total de 34.</w:t>
      </w:r>
      <w:r w:rsidR="006239CB">
        <w:t>629</w:t>
      </w:r>
      <w:r w:rsidR="006239CB" w:rsidRPr="006239CB">
        <w:t xml:space="preserve"> quejas, inició 185 actuaciones de oficio ante distintas administraciones y atendió personalmente a 35.733 ciudadanos</w:t>
      </w:r>
      <w:r w:rsidR="006239CB">
        <w:t>.</w:t>
      </w:r>
    </w:p>
    <w:p w14:paraId="1FD5FF3F" w14:textId="77777777" w:rsidR="006239CB" w:rsidRDefault="00771685" w:rsidP="00E5085A">
      <w:pPr>
        <w:ind w:firstLine="567"/>
      </w:pPr>
      <w:r>
        <w:t>D</w:t>
      </w:r>
      <w:r w:rsidR="00F835E9" w:rsidRPr="00F835E9">
        <w:t xml:space="preserve">esde 2010 el Defensor del Pueblo actúa como Mecanismo Nacional de Prevención de la Tortura (MNP) en cumplimiento del Protocolo Facultativo de la Convención contra la Tortura, realizando visitas regulares a centros de privación de libertad para prevenir malos tratos. </w:t>
      </w:r>
    </w:p>
    <w:p w14:paraId="00520C7A" w14:textId="765BA226" w:rsidR="00B0057A" w:rsidRDefault="00F835E9" w:rsidP="00E5085A">
      <w:pPr>
        <w:ind w:firstLine="567"/>
      </w:pPr>
      <w:r w:rsidRPr="00F835E9">
        <w:t xml:space="preserve">El Defensor informa anualmente </w:t>
      </w:r>
      <w:r w:rsidR="00684512">
        <w:t xml:space="preserve">las Cortes Generales (Congreso y Senado) </w:t>
      </w:r>
      <w:r w:rsidRPr="00F835E9">
        <w:t xml:space="preserve">sobre la situación de los derechos en España, y sus informes y resoluciones públicas aportan un valioso diagnóstico que </w:t>
      </w:r>
      <w:r w:rsidR="00684512">
        <w:t>será fuente de</w:t>
      </w:r>
      <w:r w:rsidRPr="00F835E9">
        <w:t xml:space="preserve"> esta contribución. </w:t>
      </w:r>
      <w:r w:rsidR="00B0057A" w:rsidRPr="00B0057A">
        <w:t xml:space="preserve">La independencia y eficacia del Defensor del Pueblo español está garantizada por su regulación legal y constitucional como alto comisionado de las Cortes Generales y por contar con un presupuesto adecuado vinculado a él.  Esta </w:t>
      </w:r>
      <w:r w:rsidR="00684512">
        <w:t>vinculación con las Cortes</w:t>
      </w:r>
      <w:r w:rsidR="00B0057A" w:rsidRPr="00B0057A">
        <w:t>, órgano a</w:t>
      </w:r>
      <w:r w:rsidR="00684512">
        <w:t>nte el</w:t>
      </w:r>
      <w:r w:rsidR="00B0057A" w:rsidRPr="00B0057A">
        <w:t xml:space="preserve"> que debe rendir cuentas de su actividad, dota a la institución de la estabilidad presupuestaria necesaria para ejercer sus funciones en beneficio de los ciudadanos con independencia y transparencia.</w:t>
      </w:r>
    </w:p>
    <w:p w14:paraId="6FADC7BC" w14:textId="072CF01E" w:rsidR="00771685" w:rsidRDefault="00F835E9" w:rsidP="006D3A68">
      <w:pPr>
        <w:pBdr>
          <w:top w:val="single" w:sz="4" w:space="1" w:color="auto"/>
          <w:left w:val="single" w:sz="4" w:space="4" w:color="auto"/>
          <w:bottom w:val="single" w:sz="4" w:space="1" w:color="auto"/>
          <w:right w:val="single" w:sz="4" w:space="4" w:color="auto"/>
        </w:pBdr>
      </w:pPr>
      <w:r w:rsidRPr="00252790">
        <w:t xml:space="preserve">En general, puede afirmarse que España mantiene un alto grado de reconocimiento formal de los derechos humanos y coopera con los mecanismos internacionales (ha cursado invitaciones permanentes a Procedimientos Especiales de la ONU, por ejemplo). </w:t>
      </w:r>
    </w:p>
    <w:p w14:paraId="78D46BCF" w14:textId="772C267B" w:rsidR="000D3BAE" w:rsidRPr="00F835E9" w:rsidRDefault="00EC215E" w:rsidP="00771685">
      <w:pPr>
        <w:pStyle w:val="Ttulo1"/>
      </w:pPr>
      <w:r w:rsidRPr="00F835E9">
        <w:lastRenderedPageBreak/>
        <w:t>B. Información específica sobre la aplicación de los artículos 1 a 27 del Pacto</w:t>
      </w:r>
      <w:r w:rsidR="00684512">
        <w:t xml:space="preserve"> </w:t>
      </w:r>
      <w:r w:rsidR="00684512" w:rsidRPr="00684512">
        <w:t>(PIDCP)</w:t>
      </w:r>
    </w:p>
    <w:p w14:paraId="0838CF6D" w14:textId="77777777" w:rsidR="000D3BAE" w:rsidRPr="00F835E9" w:rsidRDefault="00EC215E" w:rsidP="00080689">
      <w:pPr>
        <w:pStyle w:val="Ttulo2"/>
      </w:pPr>
      <w:r w:rsidRPr="00F835E9">
        <w:t>1. Marco constitucional y jurídico de la aplicación del Pacto (art. 2)</w:t>
      </w:r>
    </w:p>
    <w:p w14:paraId="067A3961" w14:textId="0B0DBCD6" w:rsidR="006239CB" w:rsidRDefault="00080689" w:rsidP="00080689">
      <w:r w:rsidRPr="00080689">
        <w:t>El marco constitucional y jurídico español garantiza</w:t>
      </w:r>
      <w:r w:rsidR="00B0057A">
        <w:t xml:space="preserve"> l</w:t>
      </w:r>
      <w:r w:rsidRPr="00080689">
        <w:t>a primacía de los derechos del</w:t>
      </w:r>
      <w:r w:rsidR="00684512">
        <w:t xml:space="preserve"> </w:t>
      </w:r>
      <w:r w:rsidR="00D032FD" w:rsidRPr="00D032FD">
        <w:t xml:space="preserve">Pacto Internacional de Derechos Civiles y Políticos </w:t>
      </w:r>
      <w:r w:rsidR="00684512" w:rsidRPr="00684512">
        <w:t>(PIDCP)</w:t>
      </w:r>
      <w:r w:rsidRPr="00080689">
        <w:t xml:space="preserve">. </w:t>
      </w:r>
      <w:r w:rsidR="00D032FD">
        <w:t xml:space="preserve">Reflejados </w:t>
      </w:r>
      <w:r w:rsidRPr="00080689">
        <w:t xml:space="preserve">en su mayoría en la Sección 1ª del Capítulo II de la Constitución (arts. 14 al 29 CE), </w:t>
      </w:r>
      <w:r w:rsidR="00D032FD">
        <w:t>y cuentan con una</w:t>
      </w:r>
      <w:r w:rsidRPr="00080689">
        <w:t xml:space="preserve"> protección reforzada. Además, el art. 10.2 CE exige interpretar estas normas internas conforme a los tratados de derechos humanos ratificados. </w:t>
      </w:r>
    </w:p>
    <w:p w14:paraId="19F7FB3C" w14:textId="1F7FCB2C" w:rsidR="00227973" w:rsidRDefault="00227973" w:rsidP="00E5085A">
      <w:pPr>
        <w:ind w:firstLine="567"/>
      </w:pPr>
      <w:r>
        <w:t xml:space="preserve">En los últimos años, España ha aprobado varias leyes </w:t>
      </w:r>
      <w:r w:rsidR="00D032FD">
        <w:t>o</w:t>
      </w:r>
      <w:r>
        <w:t>rgánicas que desarrollan derechos fundamentales, como la Ley Orgánica 8/2021 que reformó el régimen civil para apoyar la capacidad jurídica de las personas con discapacidad (alineando la legislación con la Convención de la ONU sobre Discapacidad).</w:t>
      </w:r>
    </w:p>
    <w:p w14:paraId="596DDABA" w14:textId="0760D70C" w:rsidR="00227973" w:rsidRDefault="00227973" w:rsidP="00E5085A">
      <w:pPr>
        <w:ind w:firstLine="567"/>
      </w:pPr>
      <w:r>
        <w:t>También se reformó recientemente el propio texto constitucional en materia de discapacidad: en 2022-2023 se llevó a cabo la primera reforma del articulado de la Constitución en</w:t>
      </w:r>
      <w:r w:rsidR="003E7195">
        <w:t xml:space="preserve"> lo tocante a</w:t>
      </w:r>
      <w:r>
        <w:t xml:space="preserve"> derechos, modificando el artículo 49 CE para eliminar el término </w:t>
      </w:r>
      <w:r w:rsidR="00BD2953">
        <w:t>“</w:t>
      </w:r>
      <w:r>
        <w:t>disminuido</w:t>
      </w:r>
      <w:r w:rsidR="00BD2953">
        <w:t>”</w:t>
      </w:r>
      <w:r>
        <w:t xml:space="preserve"> y reconocer expresamente los derechos de las personas con discapacidad en condiciones de igualdad real.</w:t>
      </w:r>
    </w:p>
    <w:p w14:paraId="2977D33C" w14:textId="793AC331" w:rsidR="00A36366" w:rsidRDefault="00A36366" w:rsidP="00E5085A">
      <w:pPr>
        <w:ind w:firstLine="567"/>
      </w:pPr>
      <w:r w:rsidRPr="00A36366">
        <w:t>En 2022 se aprobó la Ley 20/2022 de Memoria Democrática, que prevé, entre otras medidas, la creación de una Fiscalía especializada en derechos humanos y memoria. El Defensor del Pueblo ha supervisado su aplicación conforme a su mandato de control de la actividad de la Administración, prestando especial atención a posibles situaciones de desprotección o desigualdad en el acceso a los derechos reconocidos por esta norma. En este contexto, ha tramitado quejas de particulares y colectivos vinculados a la memoria democrática, por ejemplo, en relación con las compensaciones económicas a víctimas de la dictadura, solicitando información a la Secretaría de Estado de Memoria Democrática</w:t>
      </w:r>
      <w:r w:rsidR="00D032FD">
        <w:t>.</w:t>
      </w:r>
      <w:r w:rsidRPr="00A36366">
        <w:t xml:space="preserve"> La institución ha actuado, por tanto, como cauce institucional ante peticiones ciudadanas relativas a la implementación efectiva de la ley. </w:t>
      </w:r>
    </w:p>
    <w:p w14:paraId="7D8CB5EC" w14:textId="0FA6894F" w:rsidR="00080689" w:rsidRPr="00080689" w:rsidRDefault="00080689" w:rsidP="00E5085A">
      <w:pPr>
        <w:ind w:firstLine="567"/>
      </w:pPr>
      <w:r w:rsidRPr="00080689">
        <w:t xml:space="preserve">Asimismo, el Estado ha fortalecido su entramado institucional de derechos humanos. El Defensor del Pueblo, como INDH de estatus A, sigue desempeñando su </w:t>
      </w:r>
      <w:r w:rsidRPr="00080689">
        <w:lastRenderedPageBreak/>
        <w:t xml:space="preserve">función constitucional de alto comisionado de las Cortes Generales para la defensa de </w:t>
      </w:r>
      <w:r w:rsidR="00A0247D">
        <w:t>estos derechos</w:t>
      </w:r>
      <w:r w:rsidRPr="00080689">
        <w:t xml:space="preserve">. Además, se han creado órganos especializados: </w:t>
      </w:r>
      <w:r w:rsidRPr="00846892">
        <w:t xml:space="preserve">en </w:t>
      </w:r>
      <w:r w:rsidR="00846892" w:rsidRPr="00846892">
        <w:t>2014</w:t>
      </w:r>
      <w:r w:rsidRPr="007B63EF">
        <w:rPr>
          <w:color w:val="FF0000"/>
        </w:rPr>
        <w:t xml:space="preserve"> </w:t>
      </w:r>
      <w:r w:rsidRPr="00080689">
        <w:t xml:space="preserve">comenzó a funcionar el Consejo de Transparencia y Buen Gobierno para garantizar el derecho de acceso a la información (art. 19 PIDCP), y en 2022 la Autoridad Independiente de Protección al Informante (prevista en la Ley 2/2023) para proteger a denunciantes de corrupción (relacionado con art. 25). También existe desde 2015 un Consejo para la Eliminación de la Discriminación Racial o Étnica, recientemente reforzado por la Ley 15/2022 (ver epígrafe 2). Todos estos órganos complementan la aplicación del </w:t>
      </w:r>
      <w:r w:rsidR="00A0247D">
        <w:t xml:space="preserve">citado </w:t>
      </w:r>
      <w:r w:rsidRPr="00080689">
        <w:t>Pacto en sus respectivas áreas.</w:t>
      </w:r>
    </w:p>
    <w:p w14:paraId="27331078" w14:textId="6D0B8ECD" w:rsidR="00E5085A" w:rsidRDefault="00080689" w:rsidP="00B9366D">
      <w:pPr>
        <w:pBdr>
          <w:top w:val="single" w:sz="4" w:space="1" w:color="auto"/>
          <w:left w:val="single" w:sz="4" w:space="4" w:color="auto"/>
          <w:bottom w:val="single" w:sz="4" w:space="1" w:color="auto"/>
          <w:right w:val="single" w:sz="4" w:space="4" w:color="auto"/>
        </w:pBdr>
        <w:rPr>
          <w:b/>
          <w:bCs/>
        </w:rPr>
      </w:pPr>
      <w:r w:rsidRPr="00080689">
        <w:t xml:space="preserve">En resumen, en el plano normativo e institucional España ha incorporado en gran medida el PIDCP a su ordenamiento y ha atendido varias recomendaciones del Comité (Plan Nacional de DDHH, reforma constitucional en discapacidad, etc.). No obstante, persisten </w:t>
      </w:r>
      <w:r w:rsidR="00227973">
        <w:t>problema</w:t>
      </w:r>
      <w:r w:rsidRPr="00080689">
        <w:t xml:space="preserve">s en la implementación práctica: difundir más el conocimiento del Pacto entre la población, </w:t>
      </w:r>
      <w:r w:rsidR="000F2F4A">
        <w:t>o</w:t>
      </w:r>
      <w:r w:rsidRPr="00080689">
        <w:t xml:space="preserve"> remover los obstáculos legales internos que impiden la plena satisfacción de derechos. El Defensor del Pueblo continuará supervisando estos aspectos, recomendando los ajustes legislativos necesarios para que el cumplimiento del PIDCP en España sea integral.</w:t>
      </w:r>
    </w:p>
    <w:p w14:paraId="0EDC790D" w14:textId="77777777" w:rsidR="00E5085A" w:rsidRDefault="00E5085A" w:rsidP="00E5085A">
      <w:pPr>
        <w:spacing w:after="0"/>
      </w:pPr>
    </w:p>
    <w:p w14:paraId="298650B1" w14:textId="6F724C0D" w:rsidR="000D3BAE" w:rsidRPr="00F835E9" w:rsidRDefault="00EC215E" w:rsidP="00232429">
      <w:pPr>
        <w:pStyle w:val="Ttulo2"/>
      </w:pPr>
      <w:r w:rsidRPr="00F835E9">
        <w:t>2. No discriminación (arts. 2, 20 y 26)</w:t>
      </w:r>
    </w:p>
    <w:p w14:paraId="20D2667A" w14:textId="67013178" w:rsidR="00D273DA" w:rsidRDefault="007261A0" w:rsidP="007261A0">
      <w:r>
        <w:t xml:space="preserve">España ha dado pasos </w:t>
      </w:r>
      <w:r w:rsidR="00227973">
        <w:t>importante</w:t>
      </w:r>
      <w:r>
        <w:t>s en el marco jurídico contra la discriminación, atendiendo a observaciones internacionales</w:t>
      </w:r>
      <w:r w:rsidR="00A0247D">
        <w:t xml:space="preserve"> desde la 143 evaluación</w:t>
      </w:r>
      <w:r>
        <w:t>. En 2022 se aprobó la Ley 15/2022, de 12 de julio, integral para la igualdad de trato y no discriminación, una norma de amplio alcance que desarrolla el art. 14 de la Constitución y los arts. 2 y 26 del PIDCP. Esta ley prohíbe de manera expresa cualquier discriminación –directa o indirecta– por motivos de origen racial o étnico, sexo, religión, convicciones, edad, discapacidad, orientación o identidad sexual, expresión de género, lengua, estado de salud, situación socioeconómica o cualquier otra condición. Además</w:t>
      </w:r>
      <w:r w:rsidR="00D273DA">
        <w:t xml:space="preserve">, </w:t>
      </w:r>
      <w:r>
        <w:t xml:space="preserve">la Ley 15/2022 </w:t>
      </w:r>
      <w:r w:rsidR="00D10BB1">
        <w:t>prevé la creación de</w:t>
      </w:r>
      <w:r>
        <w:t xml:space="preserve"> una Autoridad Independiente para la Igualdad de Trato encargada de recibir denuncias, asistir a las víctimas y, en su caso, sancionar administrativamente conductas discriminatorias. Esta Autoridad se configura conforme a los Principios de París, </w:t>
      </w:r>
      <w:r>
        <w:lastRenderedPageBreak/>
        <w:t xml:space="preserve">reforzando la independencia de la defensa del derecho a la </w:t>
      </w:r>
      <w:hyperlink r:id="rId9" w:history="1">
        <w:r w:rsidRPr="009B6BBA">
          <w:rPr>
            <w:rStyle w:val="Hipervnculo"/>
          </w:rPr>
          <w:t>igualdad</w:t>
        </w:r>
      </w:hyperlink>
      <w:r>
        <w:t xml:space="preserve">. </w:t>
      </w:r>
      <w:r w:rsidR="00D273DA" w:rsidRPr="00D273DA">
        <w:t>El Defensor del Pueblo ha valorado positivamente esta ley, que responde a una demanda largamente planteada en España. La nueva Autoridad y el Defensor mantendrán competencias complementarias, ya que muchas quejas ciudadanas por discriminación (por ejemplo, en educación, empleo público o actuaciones policiales) seguirán siendo tramitadas por la institución.</w:t>
      </w:r>
    </w:p>
    <w:p w14:paraId="42B2176F" w14:textId="683BE011" w:rsidR="00D273DA" w:rsidRDefault="008A7595" w:rsidP="00E5085A">
      <w:pPr>
        <w:ind w:firstLine="567"/>
      </w:pPr>
      <w:r>
        <w:t>Por lo que se refiere a las</w:t>
      </w:r>
      <w:r w:rsidR="007261A0">
        <w:t xml:space="preserve"> minorías étnicas, </w:t>
      </w:r>
      <w:r w:rsidR="00D273DA">
        <w:t xml:space="preserve">El Defensor del Pueblo ha intervenido activamente en defensa de los derechos de la población gitana, uno de los grupos más vulnerables en España. En el caso de la Cañada Real Galiana (Madrid), donde miles de personas –muchas de etnia gitana– </w:t>
      </w:r>
      <w:r w:rsidR="002468EE">
        <w:t>sufren</w:t>
      </w:r>
      <w:r w:rsidR="00D273DA">
        <w:t xml:space="preserve"> cortes prolongados de suministro eléctrico desde octubre de 2020, la institución actuó de oficio, instando a las administraciones competentes a restablecer el suministro de emergencia, señalando que la </w:t>
      </w:r>
      <w:r w:rsidR="00A0247D">
        <w:t>situación vulnera</w:t>
      </w:r>
      <w:r w:rsidR="00D273DA">
        <w:t xml:space="preserve"> derechos básicos y constituye una forma de </w:t>
      </w:r>
      <w:r w:rsidR="002468EE">
        <w:t>vulneración de derechos fundamentales</w:t>
      </w:r>
      <w:r w:rsidR="00D273DA">
        <w:t>. El Defensor calificó el caso de “emergencia humanitaria” y exigió soluciones urgentes para sectores especialmente afectados, como las personas electrodependientes. Además, la institución trasladó esta preocupación al Consejo de Europa, en el marco del procedimiento de queja colectiva ante el Comité Europeo de Derechos Sociales, que concluyó que el Estado español había incumplido la Carta Social Europea (CEDS, decisión 206/2022).</w:t>
      </w:r>
    </w:p>
    <w:p w14:paraId="4539D13E" w14:textId="36D826F9" w:rsidR="007261A0" w:rsidRDefault="007261A0" w:rsidP="00E5085A">
      <w:pPr>
        <w:ind w:firstLine="567"/>
      </w:pPr>
      <w:r>
        <w:t xml:space="preserve">En cuanto </w:t>
      </w:r>
      <w:r w:rsidR="002468EE">
        <w:t>otros tipos de</w:t>
      </w:r>
      <w:r>
        <w:t xml:space="preserve"> discriminación racial</w:t>
      </w:r>
      <w:r w:rsidR="002468EE">
        <w:t>, económico</w:t>
      </w:r>
      <w:r>
        <w:t xml:space="preserve"> o por origen nacional, además de la población gitana, otros grupos sufren incidentes de trato desigual. Personas migrantes han denunciado casos de acceso vetado a locales de ocio, de sesgo en la selección laboral o en el alquiler de vivienda, y especialmente de perfilado étnico en controles policiales de identidad. </w:t>
      </w:r>
      <w:r w:rsidR="00A112E7" w:rsidRPr="00A112E7">
        <w:t xml:space="preserve">Aunque la legislación no autoriza identificaciones basadas en rasgos físicos, organizaciones civiles y el propio Tribunal Supremo (STS 491/2018) han advertido de su persistencia. El Comité de Derechos Humanos también expresó preocupación por esta práctica en sus recomendaciones a España. El Defensor del Pueblo ha recibido quejas y ha recomendado al Ministerio del Interior </w:t>
      </w:r>
      <w:r>
        <w:t xml:space="preserve">estudiar la implementación de un sistema de registro de los controles (entrega de resguardos o justificantes a las personas identificadas) para dotar de transparencia y verificar la ausencia de discriminación, siguiendo buenas prácticas de otros países. También ha </w:t>
      </w:r>
      <w:r>
        <w:lastRenderedPageBreak/>
        <w:t xml:space="preserve">instado a reforzar la formación en derechos fundamentales de los agentes que realizan patrullaje, recordándoles que la “mera apariencia extranjera” no es indicio de ilegalidad y no puede justificar una identificación. Si bien </w:t>
      </w:r>
      <w:r w:rsidR="00F15B66">
        <w:t xml:space="preserve">el Ministerio del </w:t>
      </w:r>
      <w:r>
        <w:t>Interior emitió en 2012 una circular interna sobre prácticas policiales no discriminatorias tras una condena del Comité para la Eliminación de la Discriminación Racial de la ONU, todavía se percibe necesidad de avanzar más. El Defensor del Pueblo mantiene un diálogo continuo con las autoridades policiales</w:t>
      </w:r>
      <w:r w:rsidR="002468EE">
        <w:t xml:space="preserve"> y participa en los sistemas de formación de las nuevas promociones de policía</w:t>
      </w:r>
      <w:r>
        <w:t xml:space="preserve">, confiando en </w:t>
      </w:r>
      <w:r w:rsidR="0071096A">
        <w:t>contribuir a</w:t>
      </w:r>
      <w:r>
        <w:t xml:space="preserve"> esta sensibilización.</w:t>
      </w:r>
    </w:p>
    <w:p w14:paraId="561D2225" w14:textId="1428DC6D" w:rsidR="00A112E7" w:rsidRPr="00A112E7" w:rsidRDefault="00FB3907" w:rsidP="00E5085A">
      <w:pPr>
        <w:ind w:firstLine="567"/>
      </w:pPr>
      <w:r>
        <w:t xml:space="preserve">El Defensor del Pueblo ha abordado la problemática de los delitos y discursos de odio </w:t>
      </w:r>
      <w:r w:rsidR="0050538A">
        <w:t xml:space="preserve">(art. 20.2 del PIDCP) </w:t>
      </w:r>
      <w:r>
        <w:t>en sus informes anuales, destacando la necesidad de una respuesta institucional firme para proteger los derechos fundamentales de las personas y grupos vulnerables.</w:t>
      </w:r>
      <w:r w:rsidR="0050538A">
        <w:t xml:space="preserve"> </w:t>
      </w:r>
      <w:r>
        <w:t xml:space="preserve">En el </w:t>
      </w:r>
      <w:hyperlink r:id="rId10" w:history="1">
        <w:r w:rsidRPr="009F3C89">
          <w:rPr>
            <w:rStyle w:val="Hipervnculo"/>
          </w:rPr>
          <w:t>Informe Anual 2021</w:t>
        </w:r>
      </w:hyperlink>
      <w:r>
        <w:t xml:space="preserve">, la institución expresó su preocupación por el aumento de los delitos de odio y la normalización de discursos discriminatorios en la vida pública. Se subrayó la importancia de que las </w:t>
      </w:r>
      <w:r w:rsidR="00D21D5A">
        <w:t>A</w:t>
      </w:r>
      <w:r>
        <w:t>dministraciones públicas adopten medidas efectivas para prevenir y sancionar estas conductas</w:t>
      </w:r>
      <w:r w:rsidR="0050538A">
        <w:t>, así como</w:t>
      </w:r>
      <w:r w:rsidR="00A112E7" w:rsidRPr="00A112E7">
        <w:t xml:space="preserve"> la necesidad de combatir la incitación real a la hostilidad hacia colectivos vulnerables, sin que ello limite el ejercicio legítimo de la libertad de expresión.</w:t>
      </w:r>
      <w:r w:rsidR="0071096A">
        <w:t xml:space="preserve"> </w:t>
      </w:r>
    </w:p>
    <w:p w14:paraId="36B3D17D" w14:textId="6C57DE4B" w:rsidR="000D3BAE" w:rsidRPr="00F835E9" w:rsidRDefault="007261A0" w:rsidP="00045EB2">
      <w:pPr>
        <w:pBdr>
          <w:top w:val="single" w:sz="4" w:space="1" w:color="auto"/>
          <w:left w:val="single" w:sz="4" w:space="4" w:color="auto"/>
          <w:bottom w:val="single" w:sz="4" w:space="1" w:color="auto"/>
          <w:right w:val="single" w:sz="4" w:space="4" w:color="auto"/>
        </w:pBdr>
      </w:pPr>
      <w:r>
        <w:t xml:space="preserve">En suma, España ha fortalecido su normativa e instituciones contra la discriminación (cumpliendo así en parte las recomendaciones del Comité), pero quedan retos prácticos. Persiste la brecha socioeconómica y educativa de la comunidad gitana, que exige mantener políticas específicas de inclusión. Es necesario asegurar que la nueva Autoridad de Igualdad de Trato tenga recursos y liderazgo para resolver eficazmente las denuncias. Debe erradicarse la práctica de perfilamiento étnico en las fuerzas de seguridad, consolidando una cultura policial respetuosa con la diversidad. Y en materia de discurso de odio, aunque España dispone de herramientas legales robustas, la clave será su correcta aplicación proporcional y una labor pedagógica para evitar la normalización del racismo o la </w:t>
      </w:r>
      <w:r w:rsidRPr="00753860">
        <w:t>LGBT</w:t>
      </w:r>
      <w:r w:rsidR="009B6BBA" w:rsidRPr="00753860">
        <w:t>I</w:t>
      </w:r>
      <w:r w:rsidRPr="00753860">
        <w:t>fobia</w:t>
      </w:r>
      <w:r>
        <w:t xml:space="preserve"> en la sociedad. El Defensor del Pueblo, por su parte, continuará atento a cualquier forma de discriminación, prestando especial atención a las que afecten a colectivos históricamente </w:t>
      </w:r>
      <w:r w:rsidR="00F15B66">
        <w:t>marginados.</w:t>
      </w:r>
    </w:p>
    <w:p w14:paraId="2B787F67" w14:textId="4967AB2B" w:rsidR="000D3BAE" w:rsidRPr="00F835E9" w:rsidRDefault="00EC215E" w:rsidP="00232429">
      <w:pPr>
        <w:pStyle w:val="Ttulo2"/>
      </w:pPr>
      <w:r w:rsidRPr="00F835E9">
        <w:lastRenderedPageBreak/>
        <w:t>3. Violencia contra la mujer (arts. 2, 3, 6, 7 y 26)</w:t>
      </w:r>
    </w:p>
    <w:p w14:paraId="041EE071" w14:textId="20819CBC" w:rsidR="00004E8C" w:rsidRDefault="00056193" w:rsidP="00056193">
      <w:r>
        <w:t>La violencia contra las mujeres sigue siendo una de las mayores preocupaciones en materia de derechos humanos en España. El país cuenta con un marco jurídico avanzado para combatir la violencia de género (en particular la Ley Orgánica 1/2004</w:t>
      </w:r>
      <w:r w:rsidR="003A7FAD">
        <w:t>,</w:t>
      </w:r>
      <w:r>
        <w:t xml:space="preserve"> </w:t>
      </w:r>
      <w:r w:rsidR="003A7FAD">
        <w:t xml:space="preserve">de 28 de diciembre, </w:t>
      </w:r>
      <w:r>
        <w:t xml:space="preserve">de Medidas de Protección Integral contra la Violencia de Género, pionera en Europa). </w:t>
      </w:r>
      <w:r w:rsidR="00004E8C">
        <w:t>En</w:t>
      </w:r>
      <w:r>
        <w:t xml:space="preserve"> 2015 </w:t>
      </w:r>
      <w:r w:rsidR="00004E8C" w:rsidRPr="00004E8C">
        <w:t xml:space="preserve">se </w:t>
      </w:r>
      <w:hyperlink r:id="rId11" w:history="1">
        <w:r w:rsidR="00004E8C" w:rsidRPr="00F40195">
          <w:rPr>
            <w:rStyle w:val="Hipervnculo"/>
          </w:rPr>
          <w:t>registraron</w:t>
        </w:r>
      </w:hyperlink>
      <w:r w:rsidR="00004E8C" w:rsidRPr="00004E8C">
        <w:t xml:space="preserve"> 57 </w:t>
      </w:r>
      <w:r w:rsidR="003A7FAD">
        <w:t xml:space="preserve">casos de </w:t>
      </w:r>
      <w:r w:rsidR="00004E8C" w:rsidRPr="00004E8C">
        <w:t xml:space="preserve">mujeres asesinadas por sus parejas o exparejas. En 2024, la cifra fue de 47 </w:t>
      </w:r>
      <w:r w:rsidR="003A7FAD">
        <w:t xml:space="preserve">casos de </w:t>
      </w:r>
      <w:r w:rsidR="00004E8C" w:rsidRPr="00004E8C">
        <w:t xml:space="preserve">mujeres asesinadas, la más baja desde que se tienen registros oficiales </w:t>
      </w:r>
      <w:r w:rsidR="00004E8C">
        <w:t>(</w:t>
      </w:r>
      <w:r w:rsidR="00004E8C" w:rsidRPr="00004E8C">
        <w:t>en 2003</w:t>
      </w:r>
      <w:r w:rsidR="00004E8C">
        <w:t>)</w:t>
      </w:r>
      <w:r w:rsidR="00004E8C" w:rsidRPr="00004E8C">
        <w:t>. A pesar de esta reducción, la persistencia de estos crímenes evidencia la necesidad de continuar fortaleciendo las políticas de prevención y protección</w:t>
      </w:r>
      <w:r w:rsidR="00004E8C">
        <w:t xml:space="preserve"> </w:t>
      </w:r>
      <w:r>
        <w:t xml:space="preserve">en este ámbito, en respuesta tanto a recomendaciones internacionales como a la indignación social por casos graves ocurridos. </w:t>
      </w:r>
    </w:p>
    <w:p w14:paraId="48BC67D6" w14:textId="13DA27F4" w:rsidR="00056193" w:rsidRDefault="00056193" w:rsidP="00E5085A">
      <w:pPr>
        <w:ind w:firstLine="567"/>
      </w:pPr>
      <w:r>
        <w:t xml:space="preserve">Un hito fundamental fue el Pacto de Estado en materia de Violencia de Género de 2017, un acuerdo unánime entre fuerzas políticas que movilizó recursos y </w:t>
      </w:r>
      <w:r w:rsidR="0050538A">
        <w:t xml:space="preserve">más de 200 </w:t>
      </w:r>
      <w:r>
        <w:t>medidas concretas</w:t>
      </w:r>
      <w:r w:rsidR="0050538A">
        <w:t xml:space="preserve">. </w:t>
      </w:r>
      <w:r>
        <w:t>En términos estadísticos, las muertes de mujeres a manos de sus parejas o exparejas (feminicidios íntimos) han tendido a disminuir ligeramente en la última década, pero siguen ocurriendo en un número inaceptable. En torno al 70% de las víctimas no habían presentado denuncia previa contra su agresor, lo que indica las dificultades que muchas tienen para dar el paso. El Defensor del Pueblo monitorea con preocupación estos datos y ha instado a no bajar la guardia</w:t>
      </w:r>
      <w:r w:rsidR="0050538A">
        <w:t>.</w:t>
      </w:r>
      <w:r>
        <w:t xml:space="preserve"> </w:t>
      </w:r>
    </w:p>
    <w:p w14:paraId="32B5DF25" w14:textId="77777777" w:rsidR="0050538A" w:rsidRPr="0050538A" w:rsidRDefault="0050538A" w:rsidP="002E34D9">
      <w:pPr>
        <w:pStyle w:val="Ttulo3"/>
      </w:pPr>
      <w:r w:rsidRPr="0050538A">
        <w:t>Mujeres migrantes y extranjeras en situación irregular</w:t>
      </w:r>
    </w:p>
    <w:p w14:paraId="32E6619A" w14:textId="7B5D5D2F" w:rsidR="009B6BBA" w:rsidRDefault="009B6BBA" w:rsidP="009B6BBA">
      <w:pPr>
        <w:rPr>
          <w:b/>
          <w:bCs/>
        </w:rPr>
      </w:pPr>
      <w:r w:rsidRPr="009B6BBA">
        <w:t xml:space="preserve">La institución ha expresado reiteradamente su preocupación por las barreras que enfrentan las mujeres migrantes en situación administrativa irregular para denunciar delitos, especialmente fuera del ámbito de la violencia de género en la pareja o la trata de seres humanos. Ha subrayado que la </w:t>
      </w:r>
      <w:r w:rsidRPr="003A7FAD">
        <w:t>denominada “denuncia segura”</w:t>
      </w:r>
      <w:r w:rsidRPr="009B6BBA">
        <w:t xml:space="preserve"> –es decir, la posibilidad de denunciar sin riesgo de ser expulsada– está actualmente garantizada únicamente en esos dos supuestos, por lo que ha recomendado extender esta protección a cualquier mujer víctima de delito grave, independientemente de su situación legal. No obstante, dicha recomendación </w:t>
      </w:r>
      <w:r w:rsidR="009F3C89">
        <w:t>no fue aceptada</w:t>
      </w:r>
      <w:r w:rsidRPr="009B6BBA">
        <w:t xml:space="preserve"> por el Ministerio del Interior. El Defensor del Pueblo ha instado además a reforzar las campañas de información dirigidas a mujeres migrantes y a valorar la concesión de autorizaciones de residencia por razones </w:t>
      </w:r>
      <w:r w:rsidRPr="009B6BBA">
        <w:lastRenderedPageBreak/>
        <w:t>humanitarias a aquellas que colaboren con la justicia, con el fin de facilitar el acceso a la protección y a la denuncia (Informe Anual 2021, vol. II, p. 284).</w:t>
      </w:r>
    </w:p>
    <w:p w14:paraId="23EB5B8E" w14:textId="3440BED9" w:rsidR="0050538A" w:rsidRPr="0050538A" w:rsidRDefault="0050538A" w:rsidP="002E34D9">
      <w:pPr>
        <w:pStyle w:val="Ttulo3"/>
      </w:pPr>
      <w:r w:rsidRPr="0050538A">
        <w:t>Violencia económica y vicaria</w:t>
      </w:r>
    </w:p>
    <w:p w14:paraId="17240E69" w14:textId="6E65E9C3" w:rsidR="0050538A" w:rsidRPr="0050538A" w:rsidRDefault="0050538A" w:rsidP="002E34D9">
      <w:r w:rsidRPr="0050538A">
        <w:t xml:space="preserve">En el </w:t>
      </w:r>
      <w:hyperlink r:id="rId12" w:history="1">
        <w:r w:rsidRPr="009F3C89">
          <w:rPr>
            <w:rStyle w:val="Hipervnculo"/>
          </w:rPr>
          <w:t>Informe Anual 2023</w:t>
        </w:r>
      </w:hyperlink>
      <w:r w:rsidRPr="0050538A">
        <w:t xml:space="preserve">, el Defensor propuso incluir la violencia económica como modalidad reconocida en la Ley Orgánica 1/2004 y ha abordado en profundidad la violencia vicaria, pidiendo medidas más eficaces de prevención y protección para los hijos e hijas de las víctimas. </w:t>
      </w:r>
      <w:r w:rsidR="002E34D9">
        <w:t xml:space="preserve">Además, ha publicado un </w:t>
      </w:r>
      <w:hyperlink r:id="rId13" w:history="1">
        <w:r w:rsidR="002E34D9" w:rsidRPr="002E34D9">
          <w:rPr>
            <w:rStyle w:val="Hipervnculo"/>
          </w:rPr>
          <w:t>informe</w:t>
        </w:r>
      </w:hyperlink>
      <w:r w:rsidR="002E34D9">
        <w:t xml:space="preserve"> monográfico en 2024 </w:t>
      </w:r>
      <w:r w:rsidR="00010CCC">
        <w:t>en el que recomienda mejorar el conocimiento y la recopilación de datos sobre violencia vicaria</w:t>
      </w:r>
      <w:r w:rsidR="0071096A">
        <w:t xml:space="preserve"> de género</w:t>
      </w:r>
      <w:r w:rsidR="00010CCC">
        <w:t>, poniendo en marcha registros previstos en la Ley Orgánica 8/2021 y reformando las leyes para que los servicios asistenciales atiendan también a los menores víctimas. Propone reconocer explícitamente a estos menores como víctimas de violencia de género, aprobar un Plan Nacional de acción, garantizar formación especializada a profesionales y adaptar los sistemas policiales, judiciales y sociales a sus necesidades. Insta a reformar protocolos, extender unidades policiales especializadas (UFAM) al territorio nacional, mejorar la valoración del riesgo y facilitar la denuncia por parte de los menores. A nivel judicial, propone dotar de más recursos a los juzgados, mejorar la coordinación entre jurisdicciones, adaptar los espacios judiciales a la infancia y reforzar la supervisión del cumplimiento de las resoluciones de custodia. Finalmente, plantea reformas normativas para asegurar que las decisiones judiciales tengan en cuenta antecedentes de violencia familiar y se controle eficazmente su ejecución, con profesionales cualificados bajo supervisión judicial.</w:t>
      </w:r>
    </w:p>
    <w:p w14:paraId="5D4991FB" w14:textId="77777777" w:rsidR="0050538A" w:rsidRPr="0050538A" w:rsidRDefault="0050538A" w:rsidP="002E34D9">
      <w:pPr>
        <w:pStyle w:val="Ttulo3"/>
      </w:pPr>
      <w:r w:rsidRPr="0050538A">
        <w:t>Mujeres mayores y con discapacidad</w:t>
      </w:r>
    </w:p>
    <w:p w14:paraId="1767BFAE" w14:textId="3F9C0B9F" w:rsidR="00565D37" w:rsidRDefault="00010CCC" w:rsidP="002E34D9">
      <w:r>
        <w:t>E</w:t>
      </w:r>
      <w:r w:rsidR="007267E1">
        <w:t xml:space="preserve">n su último </w:t>
      </w:r>
      <w:hyperlink r:id="rId14" w:history="1">
        <w:r w:rsidR="007267E1" w:rsidRPr="000F4B7E">
          <w:rPr>
            <w:rStyle w:val="Hipervnculo"/>
          </w:rPr>
          <w:t>informe</w:t>
        </w:r>
        <w:r w:rsidR="003E5EFC" w:rsidRPr="000F4B7E">
          <w:rPr>
            <w:rStyle w:val="Hipervnculo"/>
          </w:rPr>
          <w:t xml:space="preserve"> anual</w:t>
        </w:r>
      </w:hyperlink>
      <w:r w:rsidR="00A35D31" w:rsidRPr="000F4B7E">
        <w:rPr>
          <w:rStyle w:val="Hipervnculo"/>
          <w:u w:val="none"/>
        </w:rPr>
        <w:t xml:space="preserve"> </w:t>
      </w:r>
      <w:r w:rsidR="003E5EFC" w:rsidRPr="000F4B7E">
        <w:t xml:space="preserve"> </w:t>
      </w:r>
      <w:r w:rsidR="00A35D31" w:rsidRPr="000F4B7E">
        <w:rPr>
          <w:rStyle w:val="Hipervnculo"/>
          <w:color w:val="000000" w:themeColor="text1"/>
          <w:u w:val="none"/>
        </w:rPr>
        <w:t>(</w:t>
      </w:r>
      <w:r w:rsidR="008F11F9">
        <w:t>2024</w:t>
      </w:r>
      <w:r w:rsidR="003E5EFC">
        <w:t>)</w:t>
      </w:r>
      <w:r w:rsidR="008F11F9">
        <w:t>, e</w:t>
      </w:r>
      <w:r>
        <w:t>l Defensor h</w:t>
      </w:r>
      <w:r w:rsidR="0050538A" w:rsidRPr="0050538A">
        <w:t xml:space="preserve">a reclamado la adaptación de recursos a mujeres mayores de 65 años, </w:t>
      </w:r>
      <w:r w:rsidR="00407C95" w:rsidRPr="003C2DB2">
        <w:t>un colectivo que afronta obstáculos específicos de acceso a los derechos reconocidos por la Ley Orgánica 1/2004.</w:t>
      </w:r>
      <w:r w:rsidR="00407C95">
        <w:t xml:space="preserve"> L</w:t>
      </w:r>
      <w:r w:rsidR="00407C95" w:rsidRPr="003C2DB2">
        <w:t xml:space="preserve">a institución subraya las dificultades de estas mujeres para denunciar, acceder a acreditaciones administrativas o beneficiarse de ayudas económicas, debido a protocolos no adaptados a su realidad vital. También ha alertado sobre formas de violencia económica invisibilizadas –como el control de recursos, impago de pensiones o uso abusivo del mecanismo de segunda oportunidad– y ha emitido recomendaciones para que la legislación y los procedimientos judiciales incorporen una perspectiva interseccional y de edad. Entre otras actuaciones, ha </w:t>
      </w:r>
      <w:r w:rsidR="00407C95" w:rsidRPr="003C2DB2">
        <w:lastRenderedPageBreak/>
        <w:t>propuesto modificar la regulación de la Renta Activa de Inserción para eliminar barreras de edad, revisar los criterios de acceso a pensiones de viudedad en casos de violencia pasada no judicializada, y reformar la Ley 25/2015 para evitar que se exonere de pensiones compensatorias a agresores acogidos al sistema de segunda oportunidad. Todas estas recomendaciones han sido aceptadas por los ministerios competentes.</w:t>
      </w:r>
      <w:r w:rsidR="00A0572F">
        <w:t xml:space="preserve"> </w:t>
      </w:r>
    </w:p>
    <w:p w14:paraId="3C3819AC" w14:textId="77777777" w:rsidR="0050538A" w:rsidRPr="0050538A" w:rsidRDefault="0050538A" w:rsidP="002E34D9">
      <w:pPr>
        <w:pStyle w:val="Ttulo3"/>
      </w:pPr>
      <w:r w:rsidRPr="0050538A">
        <w:t>Seguimiento legislativo y coordinación institucional</w:t>
      </w:r>
    </w:p>
    <w:p w14:paraId="4F3DC129" w14:textId="6076B571" w:rsidR="002E34D9" w:rsidRDefault="0050538A" w:rsidP="002E34D9">
      <w:r w:rsidRPr="0050538A">
        <w:t>El Defensor valora positivamente el avance normativo en materia de violencia de género, incluyendo la Ley Orgánica 10/2022</w:t>
      </w:r>
      <w:r w:rsidR="003E5EFC" w:rsidRPr="003E5EFC">
        <w:t>, de garantía integral de la libertad sexual</w:t>
      </w:r>
      <w:r w:rsidRPr="0050538A">
        <w:t xml:space="preserve">, aunque ha alertado de los efectos indeseados de su aplicación inicial. Ha recomendado mejorar el sistema VioGén, </w:t>
      </w:r>
      <w:r w:rsidR="0050020A">
        <w:t xml:space="preserve">que se ocupa de </w:t>
      </w:r>
      <w:r w:rsidRPr="0050538A">
        <w:t xml:space="preserve">coordinación </w:t>
      </w:r>
      <w:r w:rsidR="0050020A">
        <w:t xml:space="preserve">integral </w:t>
      </w:r>
      <w:r w:rsidRPr="0050538A">
        <w:t>entre policía, juzgados y servicios sociales, y reforzar la perspectiva de género en la práctica judicial (Informe Anual 2023, pp. 210–218)</w:t>
      </w:r>
      <w:r w:rsidR="00EC215E" w:rsidRPr="00F835E9">
        <w:t xml:space="preserve">. </w:t>
      </w:r>
    </w:p>
    <w:p w14:paraId="71D410ED" w14:textId="77777777" w:rsidR="00407C95" w:rsidRPr="0050538A" w:rsidRDefault="00407C95" w:rsidP="00407C95">
      <w:pPr>
        <w:pBdr>
          <w:top w:val="single" w:sz="4" w:space="1" w:color="auto"/>
          <w:left w:val="single" w:sz="4" w:space="4" w:color="auto"/>
          <w:bottom w:val="single" w:sz="4" w:space="1" w:color="auto"/>
          <w:right w:val="single" w:sz="4" w:space="4" w:color="auto"/>
        </w:pBdr>
      </w:pPr>
      <w:r w:rsidRPr="0050538A">
        <w:t>El Defensor del Pueblo ha desempeñado un papel activo en la lucha contra la violencia de género en España, con especial atención a colectivos vulnerables. En sus informes anuales ha subrayado la necesidad de una respuesta institucional coordinada, eficaz y adaptada a todas las formas de violencia, incluidas la violencia vicaria, económica y la ejercida contra mujeres mayores, con discapacidad o migrantes.</w:t>
      </w:r>
    </w:p>
    <w:p w14:paraId="65FD1215" w14:textId="77777777" w:rsidR="00E5085A" w:rsidRDefault="00E5085A" w:rsidP="00232429">
      <w:pPr>
        <w:pStyle w:val="Ttulo2"/>
      </w:pPr>
    </w:p>
    <w:p w14:paraId="0F282E65" w14:textId="129129CB" w:rsidR="000D3BAE" w:rsidRPr="00F835E9" w:rsidRDefault="00232429" w:rsidP="00232429">
      <w:pPr>
        <w:pStyle w:val="Ttulo2"/>
      </w:pPr>
      <w:r>
        <w:t xml:space="preserve">4. </w:t>
      </w:r>
      <w:r w:rsidR="00EC215E" w:rsidRPr="00F835E9">
        <w:t>Interrupción voluntaria del embarazo</w:t>
      </w:r>
      <w:r w:rsidR="0050020A">
        <w:t xml:space="preserve"> (IVE)</w:t>
      </w:r>
      <w:r w:rsidR="00EC215E" w:rsidRPr="00F835E9">
        <w:t xml:space="preserve"> (arts. 3, 6, 7, 17 y 26)</w:t>
      </w:r>
    </w:p>
    <w:p w14:paraId="56F1E6D6" w14:textId="4DCA92E3" w:rsidR="000C6687" w:rsidRDefault="000C6687" w:rsidP="000C6687">
      <w:r>
        <w:t xml:space="preserve">El marco normativo vigente en España sobre interrupción voluntaria del embarazo (IVE) se basa en la Ley Orgánica 2/2010, que reconoce este derecho en las primeras 14 semanas de gestación y hasta la semana 22 por causas médicas. En 2023, la Ley Orgánica 1/2023 introdujo modificaciones relevantes, entre ellas: la eliminación del consentimiento paterno obligatorio para </w:t>
      </w:r>
      <w:r w:rsidR="00565D37">
        <w:t>jóven</w:t>
      </w:r>
      <w:r>
        <w:t>es de 16 y 17 años, la supresión del per</w:t>
      </w:r>
      <w:r w:rsidR="000F4B7E">
        <w:t>í</w:t>
      </w:r>
      <w:r>
        <w:t>odo de reflexión previo y la previsión de que al menos un centro público por provincia garantice la prestación del servicio. También se contemplaron registros autonómicos de objetores de conciencia para coordinar la provisión asistencial sin afectar la libertad profesional.</w:t>
      </w:r>
    </w:p>
    <w:p w14:paraId="1C11C3C9" w14:textId="400A2CEC" w:rsidR="000C6687" w:rsidRDefault="000C6687" w:rsidP="00E5085A">
      <w:pPr>
        <w:ind w:firstLine="567"/>
      </w:pPr>
      <w:r>
        <w:t>No obstante, se han señalado diferencias en la aplicación territorial del derecho, especialmente cuando la objeción de conciencia</w:t>
      </w:r>
      <w:r w:rsidR="0050020A">
        <w:t xml:space="preserve"> de los profesionales sanitarios</w:t>
      </w:r>
      <w:r>
        <w:t xml:space="preserve"> impide el </w:t>
      </w:r>
      <w:r>
        <w:lastRenderedPageBreak/>
        <w:t xml:space="preserve">acceso efectivo </w:t>
      </w:r>
      <w:r w:rsidR="0050020A">
        <w:t xml:space="preserve">a la prestación a las mujeres usuarias </w:t>
      </w:r>
      <w:r>
        <w:t>en la red pública. Otros ámbitos identificados como sensibles incluyen la atención a mujeres migrantes en situación de vulnerabilidad, adolescentes sin apoyo familiar y mujeres privadas de libertad.</w:t>
      </w:r>
    </w:p>
    <w:p w14:paraId="77FFC79A" w14:textId="7F0C73F6" w:rsidR="000C6687" w:rsidRDefault="000C6687" w:rsidP="00E5085A">
      <w:pPr>
        <w:ind w:firstLine="567"/>
      </w:pPr>
      <w:r>
        <w:t xml:space="preserve">En este contexto, el Defensor del Pueblo ha recibido quejas relacionadas con la garantía del acceso a la IVE y ha actuado dentro de su mandato institucional de supervisión del cumplimiento normativo. Así, mediante </w:t>
      </w:r>
      <w:hyperlink r:id="rId15" w:history="1">
        <w:r w:rsidRPr="000C6687">
          <w:rPr>
            <w:rStyle w:val="Hipervnculo"/>
          </w:rPr>
          <w:t>resolución</w:t>
        </w:r>
      </w:hyperlink>
      <w:r>
        <w:t xml:space="preserve"> de 25 de mayo de 2023, decidió no interponer recurso de inconstitucionalidad contra la Ley Orgánica 1/2023, considerando que su contenido se enmarca en el sistema de garantías ya validado por el Tribunal Constitucional en su </w:t>
      </w:r>
      <w:r w:rsidR="000F4B7E">
        <w:t>S</w:t>
      </w:r>
      <w:r>
        <w:t>entencia de 9 de mayo de 2023 sobre la Ley Orgánica 2/2010.</w:t>
      </w:r>
    </w:p>
    <w:p w14:paraId="41467A46" w14:textId="0B7270E2" w:rsidR="00EC24C3" w:rsidRDefault="00EC24C3" w:rsidP="00E5085A">
      <w:pPr>
        <w:ind w:firstLine="567"/>
      </w:pPr>
      <w:r w:rsidRPr="00EC24C3">
        <w:t xml:space="preserve">En una resolución de 2019, </w:t>
      </w:r>
      <w:r>
        <w:t xml:space="preserve">el Defensor del Pueblo </w:t>
      </w:r>
      <w:hyperlink r:id="rId16" w:history="1">
        <w:r w:rsidRPr="00EC24C3">
          <w:rPr>
            <w:rStyle w:val="Hipervnculo"/>
          </w:rPr>
          <w:t>recomendó</w:t>
        </w:r>
      </w:hyperlink>
      <w:r w:rsidRPr="00EC24C3">
        <w:t xml:space="preserve"> a la Comunidad de Madrid que proporcionara información adecuada sobre los derechos de las mujeres extranjeras en situación de vulnerabilidad social, especialmente cuando requieran asistencia al embarazo y se detecte un riesgo asociado a la explotación sexual y la trata de seres humanos. </w:t>
      </w:r>
    </w:p>
    <w:p w14:paraId="54D9351C" w14:textId="24771C82" w:rsidR="000C6687" w:rsidRDefault="000C6687" w:rsidP="00E5085A">
      <w:pPr>
        <w:ind w:firstLine="567"/>
      </w:pPr>
      <w:r>
        <w:t xml:space="preserve">Asimismo, a través del Mecanismo Nacional de Prevención, ha </w:t>
      </w:r>
      <w:hyperlink r:id="rId17" w:history="1">
        <w:r w:rsidRPr="00EC24C3">
          <w:rPr>
            <w:rStyle w:val="Hipervnculo"/>
          </w:rPr>
          <w:t>supervisado</w:t>
        </w:r>
      </w:hyperlink>
      <w:r>
        <w:t xml:space="preserve"> que las mujeres en centros penitenciarios puedan ejercer sus derechos en materia de salud sexual y reproductiva, incluida la interrupción del embarazo, conforme a la legislación vigente.</w:t>
      </w:r>
    </w:p>
    <w:p w14:paraId="57F75BF0" w14:textId="681BD8B9" w:rsidR="000C6687" w:rsidRDefault="000C6687" w:rsidP="00EC24C3">
      <w:pPr>
        <w:pBdr>
          <w:top w:val="single" w:sz="4" w:space="1" w:color="auto"/>
          <w:left w:val="single" w:sz="4" w:space="4" w:color="auto"/>
          <w:bottom w:val="single" w:sz="4" w:space="1" w:color="auto"/>
          <w:right w:val="single" w:sz="4" w:space="4" w:color="auto"/>
        </w:pBdr>
      </w:pPr>
      <w:r>
        <w:t xml:space="preserve">Estas actuaciones se han </w:t>
      </w:r>
      <w:r w:rsidR="00565D37">
        <w:t>dirigido</w:t>
      </w:r>
      <w:r>
        <w:t xml:space="preserve"> a garantizar la aplicación efectiva del marco legal, con especial atención a colectivos vulnerables y al cumplimiento de los estándares nacionales e internacionales en materia de derechos fundamentales.</w:t>
      </w:r>
    </w:p>
    <w:p w14:paraId="20806174" w14:textId="77777777" w:rsidR="00E5085A" w:rsidRDefault="00E5085A" w:rsidP="00232429">
      <w:pPr>
        <w:pStyle w:val="Ttulo2"/>
      </w:pPr>
    </w:p>
    <w:p w14:paraId="7854F9E1" w14:textId="3E3F6131" w:rsidR="000D3BAE" w:rsidRPr="00F835E9" w:rsidRDefault="00EC215E" w:rsidP="00232429">
      <w:pPr>
        <w:pStyle w:val="Ttulo2"/>
      </w:pPr>
      <w:r w:rsidRPr="00F835E9">
        <w:t>5. Niños con variaciones de las características sexuales (intersexuales) (arts. 7, 17 y 24)</w:t>
      </w:r>
    </w:p>
    <w:p w14:paraId="13097894" w14:textId="77777777" w:rsidR="00670785" w:rsidRDefault="00670785" w:rsidP="00670785">
      <w:r>
        <w:t xml:space="preserve">El Defensor del Pueblo ha seguido con atención los avances normativos en materia de igualdad y no discriminación de las personas con variaciones de las características sexuales. En particular, ha valorado positivamente la aprobación de la Ley 4/2023, de 28 </w:t>
      </w:r>
      <w:r>
        <w:lastRenderedPageBreak/>
        <w:t>de febrero, para la igualdad real y efectiva de las personas trans y para la garantía de los derechos de las personas LGTBI. Esta norma prohíbe las intervenciones quirúrgicas no necesarias por motivos de salud en menores de 12 años con variaciones intersexuales, salvo en casos de riesgo para la vida o la salud física del menor. A partir de los 12 años, se exige el consentimiento informado del menor y de sus representantes legales.</w:t>
      </w:r>
    </w:p>
    <w:p w14:paraId="1C5FEF00" w14:textId="33D3C5CD" w:rsidR="00670785" w:rsidRDefault="00670785" w:rsidP="00E5085A">
      <w:pPr>
        <w:ind w:firstLine="567"/>
      </w:pPr>
      <w:r>
        <w:t xml:space="preserve">En línea con su mandato de defensa de los derechos fundamentales, el Defensor del Pueblo no interpuso </w:t>
      </w:r>
      <w:hyperlink r:id="rId18" w:history="1">
        <w:r w:rsidRPr="000C6687">
          <w:rPr>
            <w:rStyle w:val="Hipervnculo"/>
          </w:rPr>
          <w:t>recurso</w:t>
        </w:r>
      </w:hyperlink>
      <w:r>
        <w:t xml:space="preserve"> de inconstitucionalidad frente a esta ley, pese a haber recibido peticiones para hacerlo. En cambio, sí presentó </w:t>
      </w:r>
      <w:hyperlink r:id="rId19" w:history="1">
        <w:r w:rsidRPr="000C6687">
          <w:rPr>
            <w:rStyle w:val="Hipervnculo"/>
          </w:rPr>
          <w:t>recurso</w:t>
        </w:r>
      </w:hyperlink>
      <w:r>
        <w:t xml:space="preserve"> de inconstitucionalidad contra un inciso del artículo 14 de la Ley 17/2023, de la Comunidad de Madrid, por considerar que impone requisitos que pueden resultar </w:t>
      </w:r>
      <w:proofErr w:type="spellStart"/>
      <w:r>
        <w:t>patologizantes</w:t>
      </w:r>
      <w:proofErr w:type="spellEnd"/>
      <w:r>
        <w:t xml:space="preserve"> y desproporcionados para los menores trans, limitando su derecho al libre desarrollo de la personalidad y a la intimidad. El Tribunal Constitucional admitió a trámite dicho recurso el 7 de mayo de 2024</w:t>
      </w:r>
      <w:r w:rsidR="008D1BB6">
        <w:t>, que sigue pendiente de resolución.</w:t>
      </w:r>
    </w:p>
    <w:p w14:paraId="662D5834" w14:textId="77777777" w:rsidR="000D3BAE" w:rsidRPr="00F835E9" w:rsidRDefault="00EC215E" w:rsidP="00771685">
      <w:pPr>
        <w:pStyle w:val="Ttulo1"/>
      </w:pPr>
      <w:r w:rsidRPr="00F835E9">
        <w:t>6. Derecho a la vida, prohibición de la tortura y otros tratos o penas crueles (arts. 6, 7, 19 y 21)</w:t>
      </w:r>
    </w:p>
    <w:p w14:paraId="749DC0FE" w14:textId="77777777" w:rsidR="00217F02" w:rsidRDefault="00217F02" w:rsidP="00217F02">
      <w:r>
        <w:t>En este epígrafe se abordan varios temas interrelacionados con la protección del derecho a la vida (art. 6) y la integridad y dignidad de la persona (art. 7), así como garantías ligadas a la actuación de las fuerzas del orden en contextos que involucran también libertades de expresión y reunión (arts. 19 y 21).</w:t>
      </w:r>
    </w:p>
    <w:p w14:paraId="6301C503" w14:textId="4D49DD4D" w:rsidR="00773B7B" w:rsidRDefault="00217F02" w:rsidP="00773B7B">
      <w:pPr>
        <w:pStyle w:val="Ttulo3"/>
      </w:pPr>
      <w:r>
        <w:t>Formación en derechos humanos y actuación de las Fuerzas y Cuerpos de Seguridad (FFCC</w:t>
      </w:r>
      <w:r w:rsidR="00B833D7">
        <w:t>S</w:t>
      </w:r>
      <w:r>
        <w:t>):</w:t>
      </w:r>
    </w:p>
    <w:p w14:paraId="36411426" w14:textId="157E3334" w:rsidR="002F729F" w:rsidRPr="002F729F" w:rsidRDefault="002F729F" w:rsidP="000625BE">
      <w:r w:rsidRPr="002F729F">
        <w:t xml:space="preserve">El Comité de Derechos Humanos recomendó en 2015 reforzar la formación en derechos humanos para las fuerzas de seguridad. </w:t>
      </w:r>
      <w:r w:rsidR="00A46A92">
        <w:t xml:space="preserve">La Policía Nacional creó en 2022 la Oficina Nacional de los Derechos Humanos para promover el refuerzo de estas materias. </w:t>
      </w:r>
      <w:r w:rsidRPr="002F729F">
        <w:t xml:space="preserve">Desde entonces, se han incorporado contenidos específicos en academias policiales. El Defensor del Pueblo ha instado al Ministerio del Interior a mejorar esta formación de forma continua, y ha advertido </w:t>
      </w:r>
      <w:r w:rsidR="00A46A92">
        <w:t>que las</w:t>
      </w:r>
      <w:r w:rsidRPr="002F729F">
        <w:t xml:space="preserve"> quejas ciudadanas por actuaciones policiales indebidas podrían evitarse con mayor sensibilización en derechos fundamentales. En su función </w:t>
      </w:r>
      <w:r w:rsidRPr="002F729F">
        <w:lastRenderedPageBreak/>
        <w:t xml:space="preserve">como Mecanismo Nacional de Prevención de la Tortura (MNP), imparte talleres a </w:t>
      </w:r>
      <w:r w:rsidR="000625BE">
        <w:t>cuerpo</w:t>
      </w:r>
      <w:r w:rsidRPr="002F729F">
        <w:t>s policiales sobre estándares en la custodia de detenidos.</w:t>
      </w:r>
    </w:p>
    <w:p w14:paraId="1567F892" w14:textId="24F80A3A" w:rsidR="002F729F" w:rsidRDefault="002F729F" w:rsidP="00E5085A">
      <w:pPr>
        <w:ind w:firstLine="567"/>
        <w:rPr>
          <w:b/>
          <w:bCs/>
        </w:rPr>
      </w:pPr>
      <w:r w:rsidRPr="002F729F">
        <w:t xml:space="preserve">Respecto al uso de la fuerza, el Defensor ha pedido revisar los medios empleados en dispositivos antidisturbios, recomendando alternativas menos lesivas </w:t>
      </w:r>
      <w:r w:rsidR="000625BE">
        <w:t>que</w:t>
      </w:r>
      <w:r w:rsidRPr="002F729F">
        <w:t xml:space="preserve"> las pelotas de goma y mayor transparencia en la evaluación de operativos con heridos. </w:t>
      </w:r>
    </w:p>
    <w:p w14:paraId="1AEF3F83" w14:textId="2E4D4308" w:rsidR="000625BE" w:rsidRPr="000625BE" w:rsidRDefault="000625BE" w:rsidP="00E5085A">
      <w:pPr>
        <w:ind w:firstLine="567"/>
      </w:pPr>
      <w:r w:rsidRPr="000625BE">
        <w:t>En cuanto al régimen de incomunicación, la Ley Orgánica 13/2015 introdujo algunas mejoras relevantes, aceptando varias recomendaciones del Defensor del Pueblo en su calidad de MNP: se redujo el plazo máximo de 8 horas para hacer efectiva la asistencia letrada</w:t>
      </w:r>
      <w:r w:rsidR="00D21D5A">
        <w:t>;</w:t>
      </w:r>
      <w:r w:rsidRPr="000625BE">
        <w:t xml:space="preserve"> se reforzó la información a los detenidos sobre sus derechos y sobre la posibilidad de solicitar </w:t>
      </w:r>
      <w:r w:rsidRPr="00D21D5A">
        <w:rPr>
          <w:i/>
        </w:rPr>
        <w:t>habeas corpus</w:t>
      </w:r>
      <w:r w:rsidR="00D21D5A">
        <w:t>;</w:t>
      </w:r>
      <w:r w:rsidRPr="000625BE">
        <w:t xml:space="preserve"> se prohibió expresamente la aplicación de la incomunicación a menores de 16 años</w:t>
      </w:r>
      <w:r w:rsidR="00D21D5A">
        <w:t>,</w:t>
      </w:r>
      <w:r w:rsidRPr="000625BE">
        <w:t xml:space="preserve"> y se estableció la supervisión diaria por médicos forenses durante este tipo de detención. Aunque estas reformas han supuesto un avance, el Defensor sigue alertando sobre los riesgos inherentes al régimen de incomunicación, especialmente en cuanto a la prevención de malos tratos, y ha pedido reforzar aún más las garantías y el control judicial durante su aplicación.</w:t>
      </w:r>
      <w:r w:rsidR="00EC24C3">
        <w:t xml:space="preserve"> Cabe señalar, no obstante, que el recurso a la detención incomunicada es en la actualidad excepcional y muy poco frecuente.</w:t>
      </w:r>
    </w:p>
    <w:p w14:paraId="7C688152" w14:textId="4536F18D" w:rsidR="00773B7B" w:rsidRDefault="00217F02" w:rsidP="002F729F">
      <w:pPr>
        <w:pStyle w:val="Ttulo3"/>
      </w:pPr>
      <w:r>
        <w:t xml:space="preserve">Ley de Amnistía de 1977 y crímenes del pasado: </w:t>
      </w:r>
    </w:p>
    <w:p w14:paraId="67DD7660" w14:textId="639D310E" w:rsidR="002E7E02" w:rsidRDefault="002E7E02" w:rsidP="002E7E02">
      <w:r w:rsidRPr="002E7E02">
        <w:t xml:space="preserve">El Defensor del Pueblo no ha adoptado una posición oficial sobre la Ley de Amnistía de 1977 ni sobre los debates jurídicos o políticos en torno a los crímenes del pasado, más allá de lo que corresponde a su función constitucional de supervisar la actuación de las Administraciones </w:t>
      </w:r>
      <w:r w:rsidR="00D21D5A">
        <w:t>p</w:t>
      </w:r>
      <w:r w:rsidRPr="002E7E02">
        <w:t>úblicas conforme al marco legal vigente en cada momento. En este sentido, la institución ha actuado dentro de sus competencias cuando ha recibido quejas relacionadas con solicitudes de acceso a archivos, procesos de reconocimiento a víctimas o cumplimiento de disposiciones normativas, limitándose a comprobar el respeto de los procedimientos establecidos por la normativa aplicable.</w:t>
      </w:r>
    </w:p>
    <w:p w14:paraId="09F6E9B2" w14:textId="3FAB2297" w:rsidR="00565D37" w:rsidRPr="002E7E02" w:rsidRDefault="00565D37" w:rsidP="00E5085A">
      <w:pPr>
        <w:ind w:firstLine="567"/>
      </w:pPr>
      <w:r>
        <w:t>Además</w:t>
      </w:r>
      <w:r w:rsidRPr="00565D37">
        <w:t xml:space="preserve">, en el marco de sus funciones de supervisión, </w:t>
      </w:r>
      <w:r w:rsidR="00D24214">
        <w:t xml:space="preserve">el Defensor </w:t>
      </w:r>
      <w:r w:rsidRPr="00565D37">
        <w:t xml:space="preserve">ha prestado atención constante a las víctimas del terrorismo, subrayando su derecho a la </w:t>
      </w:r>
      <w:r w:rsidR="00C06514">
        <w:t>verdad</w:t>
      </w:r>
      <w:r w:rsidRPr="00565D37">
        <w:t>,</w:t>
      </w:r>
      <w:r w:rsidR="00DB0FEA">
        <w:t xml:space="preserve"> la</w:t>
      </w:r>
      <w:r w:rsidRPr="00565D37">
        <w:t xml:space="preserve"> justicia y la reparación. </w:t>
      </w:r>
      <w:r w:rsidR="00D24214">
        <w:t xml:space="preserve">Esto ha sido tratado tanto en un informe monográfico sobre </w:t>
      </w:r>
      <w:hyperlink r:id="rId20" w:history="1">
        <w:r w:rsidR="00D24214" w:rsidRPr="009F3C89">
          <w:rPr>
            <w:rStyle w:val="Hipervnculo"/>
          </w:rPr>
          <w:t>víctimas de ETA</w:t>
        </w:r>
      </w:hyperlink>
      <w:r w:rsidR="00D24214">
        <w:t xml:space="preserve"> y </w:t>
      </w:r>
      <w:r w:rsidR="00D24214" w:rsidRPr="00565D37">
        <w:t>en</w:t>
      </w:r>
      <w:r w:rsidR="00D24214">
        <w:t xml:space="preserve"> los sucesivos</w:t>
      </w:r>
      <w:r w:rsidRPr="00565D37">
        <w:t xml:space="preserve"> informes anuales posteriores, el Defensor ha seguido recogiendo actuaciones destinadas a velar por la adecuada atención a estas víctimas</w:t>
      </w:r>
      <w:r w:rsidR="00D24214">
        <w:t>,</w:t>
      </w:r>
      <w:r w:rsidRPr="00565D37">
        <w:t xml:space="preserve"> la </w:t>
      </w:r>
      <w:r w:rsidRPr="00565D37">
        <w:lastRenderedPageBreak/>
        <w:t>preservación de su memoria, en coherencia con los principios establecidos por el ordenamiento jurídico y los estándares internacionales de derechos humanos.</w:t>
      </w:r>
    </w:p>
    <w:p w14:paraId="47719C3B" w14:textId="77777777" w:rsidR="00773B7B" w:rsidRDefault="00217F02" w:rsidP="00773B7B">
      <w:pPr>
        <w:pStyle w:val="Ttulo3"/>
      </w:pPr>
      <w:r>
        <w:t xml:space="preserve">Sustracción de menores (bebés robados): </w:t>
      </w:r>
    </w:p>
    <w:p w14:paraId="5ED0610E" w14:textId="2B0097D2" w:rsidR="00B55018" w:rsidRDefault="009812BB" w:rsidP="00B55018">
      <w:r w:rsidRPr="009812BB">
        <w:t>E</w:t>
      </w:r>
      <w:r w:rsidR="00871BE5">
        <w:t>n los</w:t>
      </w:r>
      <w:r w:rsidRPr="009812BB">
        <w:t xml:space="preserve"> caso</w:t>
      </w:r>
      <w:r w:rsidR="00871BE5">
        <w:t xml:space="preserve">s </w:t>
      </w:r>
      <w:r w:rsidRPr="009812BB">
        <w:t>de “bebés robados” –la sustracción sistemática de recién nacidos entre la dictadura y los años 80 para adopciones irregulares–</w:t>
      </w:r>
      <w:r w:rsidR="00871BE5">
        <w:t xml:space="preserve"> </w:t>
      </w:r>
      <w:r w:rsidRPr="009812BB">
        <w:t xml:space="preserve">la mayoría de procedimientos judiciales han sido archivados por prescripción o fallecimiento de los responsables. El Defensor del Pueblo ha formulado recomendaciones reiteradas, especialmente en sus informes de </w:t>
      </w:r>
      <w:hyperlink r:id="rId21" w:history="1">
        <w:r w:rsidRPr="00B55018">
          <w:rPr>
            <w:rStyle w:val="Hipervnculo"/>
          </w:rPr>
          <w:t>2018</w:t>
        </w:r>
      </w:hyperlink>
      <w:r w:rsidRPr="009812BB">
        <w:t xml:space="preserve"> y </w:t>
      </w:r>
      <w:hyperlink r:id="rId22" w:history="1">
        <w:r w:rsidRPr="00B55018">
          <w:rPr>
            <w:rStyle w:val="Hipervnculo"/>
          </w:rPr>
          <w:t>2019</w:t>
        </w:r>
      </w:hyperlink>
      <w:r w:rsidRPr="009812BB">
        <w:t xml:space="preserve">, para crear un banco nacional de ADN, garantizar pruebas gratuitas para las víctimas, facilitar el acceso a archivos y reforzar la orientación jurídica a los afectados. En 2022-2023 se tramitó una Proposición de Ley en el Congreso para abordar estas demandas, aunque quedó sin aprobarse al final de la legislatura. En </w:t>
      </w:r>
      <w:r w:rsidR="00B55018">
        <w:t>dic</w:t>
      </w:r>
      <w:r w:rsidRPr="009812BB">
        <w:t>iembre de 2023, el Defensor recibió a asociaciones de víctimas para reiterar su compromiso con el derecho a la verdad y a la identidad personal, recordando que incluso si no se logra justicia penal, es esencial esclarecer los hechos y facilitar reencuentros familiares.</w:t>
      </w:r>
    </w:p>
    <w:p w14:paraId="04D4A1EA" w14:textId="4DB3691B" w:rsidR="001C4D07" w:rsidRDefault="001C4D07" w:rsidP="001C4D07">
      <w:pPr>
        <w:pStyle w:val="Ttulo3"/>
      </w:pPr>
      <w:r>
        <w:t>A</w:t>
      </w:r>
      <w:r w:rsidR="00217F02">
        <w:t>ctuación actual de las F</w:t>
      </w:r>
      <w:r w:rsidR="00B833D7">
        <w:t>uerzas y Cuerpos de Seguridad del Estado (</w:t>
      </w:r>
      <w:r w:rsidR="00217F02">
        <w:t>F</w:t>
      </w:r>
      <w:r w:rsidR="00597E8A">
        <w:t>F</w:t>
      </w:r>
      <w:r w:rsidR="00217F02">
        <w:t>CCS</w:t>
      </w:r>
      <w:r w:rsidR="00B833D7">
        <w:t>)</w:t>
      </w:r>
      <w:r>
        <w:t>:</w:t>
      </w:r>
      <w:r w:rsidR="00217F02">
        <w:t xml:space="preserve"> </w:t>
      </w:r>
    </w:p>
    <w:p w14:paraId="3F7FB873" w14:textId="55C4520E" w:rsidR="00A8627F" w:rsidRDefault="00B55018" w:rsidP="00B55018">
      <w:r w:rsidRPr="00B55018">
        <w:t xml:space="preserve">En </w:t>
      </w:r>
      <w:r w:rsidR="00D10BB1">
        <w:t xml:space="preserve">España </w:t>
      </w:r>
      <w:r w:rsidR="00B833D7">
        <w:t>no hay tortura sistemática o institucionalizada</w:t>
      </w:r>
      <w:r w:rsidR="00D10BB1">
        <w:t xml:space="preserve"> y los fallecimientos </w:t>
      </w:r>
      <w:r w:rsidRPr="00B55018">
        <w:t xml:space="preserve">bajo custodia son </w:t>
      </w:r>
      <w:r w:rsidR="00D10BB1">
        <w:t xml:space="preserve">atribuidos, en su mayoría, </w:t>
      </w:r>
      <w:r w:rsidRPr="00B55018">
        <w:t>a causas naturales o suicidios. El M</w:t>
      </w:r>
      <w:r w:rsidR="00597E8A">
        <w:t xml:space="preserve">ecanismo </w:t>
      </w:r>
      <w:r w:rsidRPr="00B55018">
        <w:t>N</w:t>
      </w:r>
      <w:r w:rsidR="00597E8A">
        <w:t xml:space="preserve">acional de </w:t>
      </w:r>
      <w:r w:rsidRPr="00B55018">
        <w:t>P</w:t>
      </w:r>
      <w:r w:rsidR="00597E8A">
        <w:t>revención (MNP)</w:t>
      </w:r>
      <w:r w:rsidRPr="00B55018">
        <w:t xml:space="preserve">, </w:t>
      </w:r>
      <w:r w:rsidR="00882CE4">
        <w:t xml:space="preserve">competencia ejercida por </w:t>
      </w:r>
      <w:r w:rsidRPr="00B55018">
        <w:t xml:space="preserve">el Defensor del Pueblo, realiza </w:t>
      </w:r>
      <w:r w:rsidR="00C02092">
        <w:t xml:space="preserve">visitas no anunciadas </w:t>
      </w:r>
      <w:r w:rsidR="00A8627F">
        <w:t>a</w:t>
      </w:r>
      <w:r w:rsidR="00C02092">
        <w:t xml:space="preserve"> centros de privación de libertad, </w:t>
      </w:r>
      <w:r w:rsidRPr="00B55018">
        <w:t>recomenda</w:t>
      </w:r>
      <w:r w:rsidR="00C02092">
        <w:t>n</w:t>
      </w:r>
      <w:r w:rsidRPr="00B55018">
        <w:t xml:space="preserve">do </w:t>
      </w:r>
      <w:r w:rsidR="00C02092">
        <w:t xml:space="preserve">medidas que habrían de ser adoptadas por los poderes públicos y que, a criterio del MNP, reducen la posibilidad de que haya situaciones de riesgo de maltrato. </w:t>
      </w:r>
      <w:r w:rsidR="00034BE0">
        <w:t>Al de</w:t>
      </w:r>
      <w:r w:rsidR="00C02092">
        <w:t>tecta</w:t>
      </w:r>
      <w:r w:rsidR="00034BE0">
        <w:t>r</w:t>
      </w:r>
      <w:r w:rsidR="00C02092">
        <w:t xml:space="preserve"> situaciones de riesgo, </w:t>
      </w:r>
      <w:r w:rsidR="00034BE0">
        <w:t>realiza</w:t>
      </w:r>
      <w:r w:rsidR="00C02092">
        <w:t xml:space="preserve"> </w:t>
      </w:r>
      <w:r w:rsidR="00A8627F">
        <w:t>recomendaciones y sugerencias a l</w:t>
      </w:r>
      <w:r w:rsidR="00C02092">
        <w:t>as administraciones responsables</w:t>
      </w:r>
      <w:r w:rsidR="00AE7CD1">
        <w:t xml:space="preserve"> en la gestión o supervisión de los lugares públicos o privados en los que se producen detenciones, encarcelamientos o custodia</w:t>
      </w:r>
      <w:r w:rsidR="00871BE5">
        <w:t>.</w:t>
      </w:r>
      <w:r w:rsidR="00AE7CD1">
        <w:t xml:space="preserve"> </w:t>
      </w:r>
      <w:r w:rsidR="00034BE0">
        <w:t xml:space="preserve">En los informes anuales del Defensor del Pueblo se pueden seguir las actuaciones del MNP </w:t>
      </w:r>
      <w:r w:rsidR="00AE7CD1">
        <w:t xml:space="preserve">a raíz de las visitas efectuadas </w:t>
      </w:r>
      <w:r w:rsidR="00034BE0">
        <w:t>(</w:t>
      </w:r>
      <w:r w:rsidR="00AE7CD1">
        <w:t>centros de internamiento para menores infractores (CIMI); centros penitenciarios; lugares y centros de detención para personas extranjeras; calabozos de cuerpos policiales y judiciales</w:t>
      </w:r>
      <w:r w:rsidR="00597E8A">
        <w:t>,</w:t>
      </w:r>
      <w:r w:rsidR="00034BE0">
        <w:t xml:space="preserve"> etc.). </w:t>
      </w:r>
      <w:r w:rsidR="00E51646">
        <w:t>Además,</w:t>
      </w:r>
      <w:r w:rsidR="00034BE0">
        <w:t xml:space="preserve"> el </w:t>
      </w:r>
      <w:r w:rsidR="00E51646">
        <w:t>MNP realiza actuaciones</w:t>
      </w:r>
      <w:r w:rsidR="00AE7CD1">
        <w:t xml:space="preserve"> encuadradas en programas transversales</w:t>
      </w:r>
      <w:r w:rsidR="00034BE0">
        <w:t xml:space="preserve"> de</w:t>
      </w:r>
      <w:r w:rsidR="00AE7CD1">
        <w:t xml:space="preserve"> prevención de la discriminación por razón de género, sobre salud mental, </w:t>
      </w:r>
      <w:r w:rsidR="00AE7CD1">
        <w:lastRenderedPageBreak/>
        <w:t>sobre discapacidad intelectual en los lugares de privación de libertad y de fallecimientos bajo custodia.</w:t>
      </w:r>
    </w:p>
    <w:p w14:paraId="28214F87" w14:textId="02101EF1" w:rsidR="00B55018" w:rsidRPr="00B55018" w:rsidRDefault="00B55018" w:rsidP="00C554C1">
      <w:pPr>
        <w:pBdr>
          <w:top w:val="single" w:sz="4" w:space="1" w:color="auto"/>
          <w:left w:val="single" w:sz="4" w:space="4" w:color="auto"/>
          <w:bottom w:val="single" w:sz="4" w:space="1" w:color="auto"/>
          <w:right w:val="single" w:sz="4" w:space="4" w:color="auto"/>
        </w:pBdr>
      </w:pPr>
      <w:r w:rsidRPr="00B55018">
        <w:t>Aunque el marco de prevención ha avanzado —con videovigilancia extendida y mejor formación policial— persisten retos en justicia transicional, como la falta de investigación penal efectiva sobre crímenes del pasado o los casos de bebés robados. El Defensor del Pueblo insiste en mantener la vigilancia y seguir avanzando para cumplir plenamente con el Pacto, actuando como canal institucional entre víctimas, sociedad y autoridades.</w:t>
      </w:r>
    </w:p>
    <w:p w14:paraId="5D752AE4" w14:textId="6BD46130" w:rsidR="000D3BAE" w:rsidRPr="00F835E9" w:rsidRDefault="00EC215E" w:rsidP="00771685">
      <w:pPr>
        <w:pStyle w:val="Ttulo1"/>
      </w:pPr>
      <w:r w:rsidRPr="00F835E9">
        <w:t>7. Trato dispensado a las personas privadas de libertad (arts. 7, 9, 10 y 14)</w:t>
      </w:r>
    </w:p>
    <w:p w14:paraId="22BF75D4" w14:textId="0DBCA6A9" w:rsidR="00492D3A" w:rsidRPr="00492D3A" w:rsidRDefault="00492D3A" w:rsidP="00492D3A">
      <w:r w:rsidRPr="00492D3A">
        <w:t>España ha reducido notablemente su población penitenciaria en la última década, evitando el hacinamiento y facilitando condiciones más dignas de internamiento. El Defensor del Pueblo valora positivamente este descenso, pues mejora la viabilidad de aplicar principios de reinserción. No obstante, su Mecanismo Nacional de Prevención de la Tortura (MNP) continúa identificando carencias: en sus visitas anuales (</w:t>
      </w:r>
      <w:r w:rsidR="00407C95" w:rsidRPr="00407C95">
        <w:t>26</w:t>
      </w:r>
      <w:r w:rsidRPr="00407C95">
        <w:t xml:space="preserve"> en 202</w:t>
      </w:r>
      <w:r w:rsidR="00407C95" w:rsidRPr="00407C95">
        <w:t>4</w:t>
      </w:r>
      <w:r w:rsidRPr="00492D3A">
        <w:t xml:space="preserve">), ha señalado deficiencias materiales en </w:t>
      </w:r>
      <w:r w:rsidR="00385BAB">
        <w:t xml:space="preserve">las </w:t>
      </w:r>
      <w:r w:rsidRPr="00492D3A">
        <w:t xml:space="preserve">cárceles </w:t>
      </w:r>
      <w:r w:rsidR="00385BAB">
        <w:t xml:space="preserve">más </w:t>
      </w:r>
      <w:r w:rsidRPr="00492D3A">
        <w:t>antiguas, la escasa dotación de personal sanitario y psiquiátrico, y la falta de integración plena de la sanidad penitenciaria en los sistemas regionales de salud, recomendando su traspaso efectivo a las autonomías.</w:t>
      </w:r>
    </w:p>
    <w:p w14:paraId="03F8A3DA" w14:textId="486A72AB" w:rsidR="00492D3A" w:rsidRPr="00492D3A" w:rsidRDefault="00492D3A" w:rsidP="00E5085A">
      <w:pPr>
        <w:ind w:firstLine="567"/>
      </w:pPr>
      <w:r w:rsidRPr="00492D3A">
        <w:t xml:space="preserve">Ha prestado especial atención al uso de medios </w:t>
      </w:r>
      <w:r w:rsidR="00385BAB">
        <w:t>de sujeción</w:t>
      </w:r>
      <w:r w:rsidRPr="00492D3A">
        <w:t>, como las sujeciones mecánicas, recomendando su limitación temporal,</w:t>
      </w:r>
      <w:r w:rsidR="00385BAB">
        <w:t xml:space="preserve"> recomendado la</w:t>
      </w:r>
      <w:r w:rsidRPr="00492D3A">
        <w:t xml:space="preserve"> presencia sanitaria constante y </w:t>
      </w:r>
      <w:r w:rsidR="00385BAB">
        <w:t xml:space="preserve">su </w:t>
      </w:r>
      <w:r w:rsidRPr="00492D3A">
        <w:t xml:space="preserve">notificación judicial. También ha pedido explorar alternativas más respetuosas, especialmente para internos con trastornos mentales. En relación con el aislamiento, supervisa regularmente los módulos </w:t>
      </w:r>
      <w:r w:rsidR="0016761C">
        <w:t>de internos de especial seguimiento</w:t>
      </w:r>
      <w:r w:rsidRPr="00492D3A">
        <w:t xml:space="preserve">, recomendando limitar su duración, garantizar evaluaciones médicas frecuentes y </w:t>
      </w:r>
      <w:r w:rsidR="000B09C8">
        <w:t xml:space="preserve">garantizar </w:t>
      </w:r>
      <w:r w:rsidRPr="00492D3A">
        <w:t xml:space="preserve">siempre las 2 horas diarias de patio. El Defensor también ha impulsado mejoras materiales y normativas </w:t>
      </w:r>
      <w:r w:rsidR="00407C95">
        <w:t>que</w:t>
      </w:r>
      <w:r w:rsidRPr="00492D3A">
        <w:t xml:space="preserve"> han </w:t>
      </w:r>
      <w:r w:rsidR="00407C95">
        <w:t>dado lugar a</w:t>
      </w:r>
      <w:r w:rsidRPr="00492D3A">
        <w:t xml:space="preserve"> cambios prácticos, como nuevos protocolos para </w:t>
      </w:r>
      <w:r w:rsidR="00553C60">
        <w:t xml:space="preserve">la </w:t>
      </w:r>
      <w:r w:rsidRPr="00492D3A">
        <w:t>entrega de pertenencias tras fallecimientos en prisión.</w:t>
      </w:r>
    </w:p>
    <w:p w14:paraId="6D49156F" w14:textId="166028E6" w:rsidR="00553C60" w:rsidRDefault="00492D3A" w:rsidP="00E5085A">
      <w:pPr>
        <w:ind w:firstLine="567"/>
      </w:pPr>
      <w:r w:rsidRPr="00492D3A">
        <w:t xml:space="preserve">El MNP ha inspeccionado espacios sensibles como unidades de madres, valorando positivamente su estado pero recomendando refuerzo de personal infantil. Ha contribuido a la generalización de videovigilancia en calabozos y salas de interrogatorio y a mejoras en alimentación en comisarías. Aunque la situación general es razonable, la </w:t>
      </w:r>
      <w:r w:rsidR="00643C7C">
        <w:lastRenderedPageBreak/>
        <w:t>i</w:t>
      </w:r>
      <w:r w:rsidRPr="00492D3A">
        <w:t xml:space="preserve">nstitución alerta sobre la necesidad de reforzar la salud mental, prevenir suicidios y seguir humanizando el sistema. </w:t>
      </w:r>
    </w:p>
    <w:p w14:paraId="7FC63471" w14:textId="0E6CC548" w:rsidR="00492D3A" w:rsidRPr="00492D3A" w:rsidRDefault="00492D3A" w:rsidP="00553C60">
      <w:pPr>
        <w:pBdr>
          <w:top w:val="single" w:sz="4" w:space="1" w:color="auto"/>
          <w:left w:val="single" w:sz="4" w:space="4" w:color="auto"/>
          <w:bottom w:val="single" w:sz="4" w:space="1" w:color="auto"/>
          <w:right w:val="single" w:sz="4" w:space="4" w:color="auto"/>
        </w:pBdr>
      </w:pPr>
      <w:r w:rsidRPr="00492D3A">
        <w:t xml:space="preserve">Como garante externo, el Defensor continuará supervisando todos los lugares de privación de libertad </w:t>
      </w:r>
      <w:r w:rsidR="000B09C8">
        <w:t>para verificar el</w:t>
      </w:r>
      <w:r w:rsidRPr="00492D3A">
        <w:t xml:space="preserve"> cumplimiento de los arts. 7, 9, 10 y 14 del Pacto.</w:t>
      </w:r>
    </w:p>
    <w:p w14:paraId="06B5E45C" w14:textId="035496EB" w:rsidR="000D3BAE" w:rsidRPr="00F835E9" w:rsidRDefault="00EC215E" w:rsidP="00492D3A">
      <w:pPr>
        <w:pStyle w:val="Ttulo1"/>
      </w:pPr>
      <w:r w:rsidRPr="00F835E9">
        <w:t>8. Trata de personas (art. 8)</w:t>
      </w:r>
    </w:p>
    <w:p w14:paraId="6F813A8F" w14:textId="77777777" w:rsidR="00E372AF" w:rsidRPr="00E372AF" w:rsidRDefault="00E372AF" w:rsidP="00E372AF">
      <w:r w:rsidRPr="00E372AF">
        <w:t>España continúa siendo país de tránsito y destino de víctimas de trata, principalmente con fines de explotación sexual y, en menor medida, laboral. En 2023, se identificaron oficialmente 497 víctimas, aunque el Defensor del Pueblo advierte que el fenómeno sigue siendo ampliamente invisible y alerta sobre las carencias en los sistemas de detección, asistencia especializada y recopilación de datos, en línea con lo que señala la nueva Directiva (UE) 2024/1712. Esta normativa, adoptada en junio de 2024, obliga a recopilar datos estadísticos armonizados, y reconoce la especial vulnerabilidad de personas víctimas de trata sometidas a discriminación interseccional —por sexo, raza u origen étnico— así como de menores ingresados en centros residenciales.</w:t>
      </w:r>
    </w:p>
    <w:p w14:paraId="4BCCB9F3" w14:textId="55BF2550" w:rsidR="00E372AF" w:rsidRPr="00E372AF" w:rsidRDefault="00E372AF" w:rsidP="00E5085A">
      <w:pPr>
        <w:ind w:firstLine="567"/>
      </w:pPr>
      <w:r w:rsidRPr="00E372AF">
        <w:t>El Defensor ha pedido reforzar la formación de policías y personal de extranjería para detectar indicios de trata incluso cuando las personas no se identifican como víctimas, y garantizar la presencia de intérpretes y mediadores en intervenciones sensibles</w:t>
      </w:r>
      <w:r w:rsidR="0016761C">
        <w:t xml:space="preserve"> así como</w:t>
      </w:r>
      <w:r w:rsidRPr="00E372AF">
        <w:t xml:space="preserve"> activar el protocolo de trata de forma inmediata ante indicios de </w:t>
      </w:r>
      <w:r w:rsidR="0016761C">
        <w:t xml:space="preserve">posible </w:t>
      </w:r>
      <w:r w:rsidRPr="00E372AF">
        <w:t>captación.</w:t>
      </w:r>
    </w:p>
    <w:p w14:paraId="7E32C51B" w14:textId="77777777" w:rsidR="00E372AF" w:rsidRPr="00E372AF" w:rsidRDefault="00E372AF" w:rsidP="00E5085A">
      <w:pPr>
        <w:ind w:firstLine="567"/>
      </w:pPr>
      <w:r w:rsidRPr="00E372AF">
        <w:t>La institución también ha valorado positivamente la reciente aprobación del Real Decreto 1155/2024, que regula la posibilidad de reagrupación familiar de los hijos de víctimas que no se encuentran en España, atendiendo a quejas recibidas en años anteriores. Esta medida refuerza la protección efectiva de las víctimas frente a represalias.</w:t>
      </w:r>
    </w:p>
    <w:p w14:paraId="0479AC16" w14:textId="77777777" w:rsidR="00E372AF" w:rsidRPr="00E372AF" w:rsidRDefault="00E372AF" w:rsidP="00E5085A">
      <w:pPr>
        <w:ind w:firstLine="567"/>
      </w:pPr>
      <w:r w:rsidRPr="00E372AF">
        <w:t>En sus observaciones, el Defensor ha subrayado que muchas personas extranjeras en situación irregular no se atreven a denunciar por miedo a ser expulsadas. Por ello, ha insistido en aplicar de forma efectiva el principio de “no castigo” (</w:t>
      </w:r>
      <w:r w:rsidRPr="00E372AF">
        <w:rPr>
          <w:i/>
        </w:rPr>
        <w:t>non-punishment</w:t>
      </w:r>
      <w:r w:rsidRPr="00E372AF">
        <w:t xml:space="preserve">), evitando penalizar o sancionar administrativamente a las víctimas por actos derivados directamente de la situación de trata (como prostitución o trabajo no declarado). </w:t>
      </w:r>
      <w:r w:rsidRPr="00E372AF">
        <w:lastRenderedPageBreak/>
        <w:t>Asimismo, ha participado en las consultas sobre el anteproyecto de Ley Integral contra la Trata, proponiendo que se garantice asistencia jurídica, alojamiento seguro, apoyo psicológico, protección policial y una coordinación efectiva con las comunidades autónomas.</w:t>
      </w:r>
    </w:p>
    <w:p w14:paraId="7A833AD7" w14:textId="77777777" w:rsidR="00E372AF" w:rsidRDefault="00E372AF" w:rsidP="00553C60">
      <w:pPr>
        <w:pBdr>
          <w:top w:val="single" w:sz="4" w:space="1" w:color="auto"/>
          <w:left w:val="single" w:sz="4" w:space="4" w:color="auto"/>
          <w:bottom w:val="single" w:sz="4" w:space="1" w:color="auto"/>
          <w:right w:val="single" w:sz="4" w:space="4" w:color="auto"/>
        </w:pBdr>
        <w:rPr>
          <w:b/>
          <w:bCs/>
        </w:rPr>
      </w:pPr>
      <w:r w:rsidRPr="00E372AF">
        <w:t>En definitiva, el Defensor del Pueblo destaca la necesidad de reforzar un enfoque de derechos humanos centrado en la víctima, más allá del control migratorio, y continuará vigilando la puesta en marcha de las reformas legislativas y reglamentarias en esta materia.</w:t>
      </w:r>
    </w:p>
    <w:p w14:paraId="7CE951AC" w14:textId="27120CD6" w:rsidR="000D3BAE" w:rsidRPr="00F835E9" w:rsidRDefault="00EC215E" w:rsidP="00E372AF">
      <w:pPr>
        <w:pStyle w:val="Ttulo1"/>
      </w:pPr>
      <w:r w:rsidRPr="00F835E9">
        <w:t>9. Trato dispensado a los extranjeros, incluidos los refugiados y solicitantes de asilo (arts. 7, 9, 10, 12, 13, 14 y 24)</w:t>
      </w:r>
    </w:p>
    <w:p w14:paraId="1DEF2454" w14:textId="450F1D62" w:rsidR="009358FC" w:rsidRDefault="009358FC" w:rsidP="009358FC">
      <w:r>
        <w:t xml:space="preserve">La situación de los extranjeros, refugiados y solicitantes de asilo en España ha sido objeto de especial </w:t>
      </w:r>
      <w:r w:rsidR="00613170">
        <w:t xml:space="preserve">supervisión </w:t>
      </w:r>
      <w:r>
        <w:t xml:space="preserve">por parte del Comité, dado que involucra numerosos artículos del PIDCP: prohibición de devolución </w:t>
      </w:r>
      <w:r w:rsidR="000B09C8">
        <w:t>si existe</w:t>
      </w:r>
      <w:r>
        <w:t xml:space="preserve"> riesgo de tortura (art. 7), derecho a la libertad personal (detención de inmigrantes, art. 9), condiciones dignas de detención (art. 10), libertad de circulación (art. 12), garantías en expulsiones (art. 13), derecho a un debido proceso (art. 14) y protección especial de menores (art. 24). En este ámbito, España</w:t>
      </w:r>
      <w:r w:rsidR="00553C60">
        <w:t xml:space="preserve"> se</w:t>
      </w:r>
      <w:r>
        <w:t xml:space="preserve"> enfrenta </w:t>
      </w:r>
      <w:r w:rsidR="00553C60">
        <w:t xml:space="preserve">a </w:t>
      </w:r>
      <w:r w:rsidR="0058330F">
        <w:t>problemas</w:t>
      </w:r>
      <w:r>
        <w:t xml:space="preserve"> particulares al ser frontera sur de la Unión Europea y haber experimentado </w:t>
      </w:r>
      <w:r w:rsidR="0058330F">
        <w:t xml:space="preserve">abundantes </w:t>
      </w:r>
      <w:r>
        <w:t xml:space="preserve">flujos migratorios en la última década, incluyendo crisis puntuales. </w:t>
      </w:r>
    </w:p>
    <w:p w14:paraId="7A517EA8" w14:textId="77777777" w:rsidR="0058330F" w:rsidRDefault="009358FC" w:rsidP="0058330F">
      <w:pPr>
        <w:pStyle w:val="Ttulo3"/>
      </w:pPr>
      <w:r>
        <w:t xml:space="preserve">(a) Privación de libertad de inmigrantes: </w:t>
      </w:r>
    </w:p>
    <w:p w14:paraId="04610918" w14:textId="28E456A5" w:rsidR="00E372AF" w:rsidRDefault="00E372AF" w:rsidP="00E372AF">
      <w:r>
        <w:t xml:space="preserve">España mantiene </w:t>
      </w:r>
      <w:r w:rsidR="00643C7C">
        <w:t>siete</w:t>
      </w:r>
      <w:r>
        <w:t xml:space="preserve"> </w:t>
      </w:r>
      <w:r w:rsidR="00643C7C">
        <w:t>c</w:t>
      </w:r>
      <w:r>
        <w:t xml:space="preserve">entros de </w:t>
      </w:r>
      <w:r w:rsidR="00643C7C">
        <w:t>i</w:t>
      </w:r>
      <w:r>
        <w:t xml:space="preserve">nternamiento de </w:t>
      </w:r>
      <w:r w:rsidR="00643C7C">
        <w:t>e</w:t>
      </w:r>
      <w:r>
        <w:t xml:space="preserve">xtranjeros (CIE), con carácter no penal pero que suponen privación de libertad. El Defensor del Pueblo supervisa regularmente estos centros y ha </w:t>
      </w:r>
      <w:r w:rsidR="00613170">
        <w:t>propuesto</w:t>
      </w:r>
      <w:r>
        <w:t xml:space="preserve"> mejoras, como el cierre del antiguo</w:t>
      </w:r>
      <w:r w:rsidR="00CB0B61">
        <w:t xml:space="preserve"> Centro de Internamiento de Extranjeros (CIE)</w:t>
      </w:r>
      <w:r>
        <w:t xml:space="preserve"> de Málaga (2020) y la apertura del nuevo </w:t>
      </w:r>
      <w:r w:rsidR="00643C7C">
        <w:t>Centro de Internamiento de Extranjeros (</w:t>
      </w:r>
      <w:r>
        <w:t>CIE</w:t>
      </w:r>
      <w:r w:rsidR="00643C7C">
        <w:t>)</w:t>
      </w:r>
      <w:r>
        <w:t xml:space="preserve"> de Algeciras</w:t>
      </w:r>
      <w:r w:rsidR="00643C7C">
        <w:t xml:space="preserve">, Cádiz </w:t>
      </w:r>
      <w:r>
        <w:t>(</w:t>
      </w:r>
      <w:r w:rsidR="00770E48">
        <w:t>prevista para 2025</w:t>
      </w:r>
      <w:r>
        <w:t>). También ha alertado sobre problemas persistentes: insuficiencia de personal médico, casos de autolesión, y el internamiento de personas vulnerables (como víctimas de trata o solicitantes de asilo), a pesar de su prohibición legal.</w:t>
      </w:r>
    </w:p>
    <w:p w14:paraId="379BFDE4" w14:textId="741BDC28" w:rsidR="00E372AF" w:rsidRPr="00770E48" w:rsidRDefault="00E372AF" w:rsidP="00E5085A">
      <w:pPr>
        <w:ind w:firstLine="567"/>
      </w:pPr>
      <w:r>
        <w:lastRenderedPageBreak/>
        <w:t xml:space="preserve">Durante la pandemia de 2020, y ante la imposibilidad de ejecutar expulsiones, el Defensor recomendó liberar a los internos —lo que se llevó a cabo— y propuso alternativas al internamiento como las presentaciones periódicas o la retención domiciliaria. </w:t>
      </w:r>
      <w:r w:rsidR="00613170">
        <w:t>El Defensor considera</w:t>
      </w:r>
      <w:r>
        <w:t xml:space="preserve"> que la detención debe ser excepcional, justificada caso por caso, y acompañada de garantías procesales. </w:t>
      </w:r>
      <w:r w:rsidRPr="00770E48">
        <w:t xml:space="preserve">Aunque </w:t>
      </w:r>
      <w:r w:rsidR="00613170">
        <w:t>el Ministerio del Interior</w:t>
      </w:r>
      <w:r w:rsidRPr="00770E48">
        <w:t xml:space="preserve"> ha mejorado algunos protocolos, como la evaluación médica inicial, el Defensor sigue reclamando un uso más limitado del internamiento, señalando que menos del 50 % de los internados son efectivamente expulsados. Reclama mayor aplicación de medidas no privativas, en línea con el principio de proporcionalidad y el art. 9 del PIDCP.</w:t>
      </w:r>
    </w:p>
    <w:p w14:paraId="5CA94654" w14:textId="5D5DC76E" w:rsidR="00770E48" w:rsidRDefault="009358FC" w:rsidP="00E5085A">
      <w:pPr>
        <w:ind w:firstLine="567"/>
      </w:pPr>
      <w:r>
        <w:t xml:space="preserve">Tras la pandemia, los CIE reabrieron gradualmente. El Defensor del Pueblo ha observado que </w:t>
      </w:r>
      <w:r w:rsidR="00613170">
        <w:t xml:space="preserve">el Ministerio </w:t>
      </w:r>
      <w:r>
        <w:t>ha mejorado algunos protocolos (por ejemplo, evaluación médica inicial de todos los internados para detectar indicios de trata o vulnerabilidad), pero sigue recomendando alternativas al internamiento siempre que sea posible</w:t>
      </w:r>
      <w:r w:rsidR="00770E48">
        <w:t>.</w:t>
      </w:r>
    </w:p>
    <w:p w14:paraId="23B28822" w14:textId="5ADCC591" w:rsidR="006B5738" w:rsidRDefault="009358FC" w:rsidP="006B5738">
      <w:pPr>
        <w:pStyle w:val="Ttulo3"/>
      </w:pPr>
      <w:r>
        <w:t xml:space="preserve">(b) Asilo y protección internacional: </w:t>
      </w:r>
    </w:p>
    <w:p w14:paraId="7F8C7A07" w14:textId="77777777" w:rsidR="00661AD7" w:rsidRDefault="00661AD7" w:rsidP="00661AD7">
      <w:r>
        <w:t>España ha experimentado un aumento sostenido de solicitudes de protección internacional, con más de 167.000 nuevas peticiones en 2024, lideradas por personas de nacionalidad venezolana (casi un 40 %). Aunque a la mayoría se les concede autorización por razones humanitarias, el Defensor del Pueblo advierte que, sin un procedimiento diferenciado para este colectivo, seguirá siendo difícil descongestionar la Oficina de Asilo y Refugio (OAR), que sufre una fuerte sobrecarga. La institución también alerta sobre la baja tasa de reconocimiento para nacionales colombianos (menos del 4 %), muchos de los cuales acaban en situación de irregularidad pese a un arraigo laboral consolidado.</w:t>
      </w:r>
    </w:p>
    <w:p w14:paraId="635BBA4F" w14:textId="69787EBA" w:rsidR="00661AD7" w:rsidRDefault="00661AD7" w:rsidP="00E5085A">
      <w:pPr>
        <w:ind w:firstLine="567"/>
      </w:pPr>
      <w:r>
        <w:t>En este contexto, el Defensor ha formulado numerosas recomendaciones: mejorar el acceso a citas, resolver demoras, asegurar la documentación durante recursos de reposición y garantizar la comunicación entre la O</w:t>
      </w:r>
      <w:r w:rsidR="00613170">
        <w:t xml:space="preserve">ficina de Asilo y Refugio </w:t>
      </w:r>
      <w:r>
        <w:t>y la Policía Nacional. También ha cuestionado el cambio de criterio administrativo tras la Sentencia del Tribunal Supremo 414/2024, que limita el acceso al arraigo laboral a solicitantes de asilo</w:t>
      </w:r>
      <w:r w:rsidR="00DC04D0">
        <w:t xml:space="preserve"> cuya petición fue </w:t>
      </w:r>
      <w:r>
        <w:t>denegad</w:t>
      </w:r>
      <w:r w:rsidR="00DC04D0">
        <w:t>a</w:t>
      </w:r>
      <w:r>
        <w:t xml:space="preserve">, privándoles de una vía realista de regularización. La </w:t>
      </w:r>
      <w:r w:rsidR="00CB0B61">
        <w:t>i</w:t>
      </w:r>
      <w:r>
        <w:t xml:space="preserve">nstitución trasladó sus objeciones a la Secretaría de Estado de Migraciones, al considerar </w:t>
      </w:r>
      <w:r>
        <w:lastRenderedPageBreak/>
        <w:t>que dicho cambio ignora las necesidades del mercado laboral y desincentiva la integración efectiva.</w:t>
      </w:r>
    </w:p>
    <w:p w14:paraId="20CC8012" w14:textId="77777777" w:rsidR="00661AD7" w:rsidRDefault="00661AD7" w:rsidP="00E5085A">
      <w:pPr>
        <w:ind w:firstLine="567"/>
      </w:pPr>
      <w:r>
        <w:t>En cuanto al procedimiento de asilo, la aprobación del Reglamento de la Ley 12/2009 (RD 203/2022) supuso un avance clave: clarifica plazos, consolida la presencia de ACNUR y regula los puestos fronterizos de Ceuta, Melilla y aeropuertos. El Defensor del Pueblo ha supervisado estas oficinas y, tras recibir quejas, consiguió que se ampliaran las plazas diarias para pedir asilo en Melilla. También valoró positivamente la ampliación del sistema de acogida para refugiados afganos y ucranianos, aunque recomendó medidas para asegurar la escolarización de menores y el acceso al empleo de sus familias.</w:t>
      </w:r>
    </w:p>
    <w:p w14:paraId="7689A2D2" w14:textId="6D3D0FC5" w:rsidR="009358FC" w:rsidRDefault="00661AD7" w:rsidP="00E5085A">
      <w:pPr>
        <w:ind w:firstLine="567"/>
      </w:pPr>
      <w:r>
        <w:t xml:space="preserve">En el ámbito de la acogida, la institución formuló recomendaciones para reforzar la coordinación con los servicios autonómicos y locales, mejorar la protección de personas vulnerables en el </w:t>
      </w:r>
      <w:r w:rsidR="009A32D6" w:rsidRPr="009A32D6">
        <w:t>Centro de Estancia Temporal de Inmigrantes</w:t>
      </w:r>
      <w:r w:rsidR="009A32D6">
        <w:t xml:space="preserve"> (</w:t>
      </w:r>
      <w:r>
        <w:t>CETI</w:t>
      </w:r>
      <w:r w:rsidR="009A32D6">
        <w:t>)</w:t>
      </w:r>
      <w:r>
        <w:t xml:space="preserve"> de Melilla, y evitar que los solicitantes queden desprotegidos tras agotar el itinerario de acogida. </w:t>
      </w:r>
    </w:p>
    <w:p w14:paraId="1938544B" w14:textId="77777777" w:rsidR="006B5738" w:rsidRDefault="009358FC" w:rsidP="006B5738">
      <w:pPr>
        <w:pStyle w:val="Ttulo3"/>
      </w:pPr>
      <w:r>
        <w:t xml:space="preserve">(c) Ceuta y Melilla (fronteras terrestres): </w:t>
      </w:r>
    </w:p>
    <w:p w14:paraId="4A7AB80E" w14:textId="32EB1A2F" w:rsidR="008A5A3C" w:rsidRDefault="009358FC" w:rsidP="009358FC">
      <w:r>
        <w:t xml:space="preserve">En estas dos ciudades españolas </w:t>
      </w:r>
      <w:r w:rsidR="006B5738">
        <w:t>d</w:t>
      </w:r>
      <w:r>
        <w:t xml:space="preserve">el norte de África se vive una realidad fronteriza compleja. En 2015 España reformó la Ley de Extranjería (DT10ª LO 4/2000) para introducir un régimen especial en Ceuta/Melilla de “rechazo en frontera” inmediato de extranjeros que intenten entrar irregularmente. El Comité de </w:t>
      </w:r>
      <w:r w:rsidR="009A32D6">
        <w:t>Derechos Humanos</w:t>
      </w:r>
      <w:r>
        <w:t xml:space="preserve"> y otros órganos han expresado reservas, pues tales devoluciones sumarias pueden violar garantías (art. 7 y 13). El Tribunal Europeo de </w:t>
      </w:r>
      <w:r w:rsidR="009A32D6">
        <w:t>Derechos Humanos</w:t>
      </w:r>
      <w:r>
        <w:t xml:space="preserve"> en el caso N.D. y N.T. </w:t>
      </w:r>
      <w:r w:rsidR="009A32D6">
        <w:t>contra</w:t>
      </w:r>
      <w:r>
        <w:t xml:space="preserve"> España (2020) no consideró ilícitas en abstracto esas devoluciones siempre que existan vías legales de acceso al asilo. No obstante, el Defensor del Pueblo ha verificado que en la práctica no siempre se cumplen los requisitos. </w:t>
      </w:r>
    </w:p>
    <w:p w14:paraId="04693004" w14:textId="005849F5" w:rsidR="008A5A3C" w:rsidRDefault="009358FC" w:rsidP="00E5085A">
      <w:pPr>
        <w:ind w:firstLine="567"/>
      </w:pPr>
      <w:r>
        <w:t xml:space="preserve">En sus </w:t>
      </w:r>
      <w:hyperlink r:id="rId23" w:history="1">
        <w:r w:rsidRPr="00AF5763">
          <w:rPr>
            <w:rStyle w:val="Hipervnculo"/>
          </w:rPr>
          <w:t>Conclusiones</w:t>
        </w:r>
      </w:hyperlink>
      <w:r>
        <w:t xml:space="preserve"> preliminares sobre la tragedia de Melilla del 24 de junio de 2022, el Defensor señaló que ese día se produjo un rechazo en frontera de 470 personas sin observar las previsiones legales nacionales ni internacionales –es decir, sin identificación individual ni valoración de posibles solicitantes de asilo. Ese 24 de junio de 2022, unos 2.000 migrantes subsaharianos intentaron entrar a Melilla; hubo una avalancha humana en el paso fronterizo Barrio Chino que causó la muerte de al menos 23 personas. El Defensor del Pueblo investigó de oficio los hechos, lamentó profundamente </w:t>
      </w:r>
      <w:r>
        <w:lastRenderedPageBreak/>
        <w:t xml:space="preserve">la pérdida de vidas y heridos, e instó a Interior a aportar todas las imágenes para esclarecer posibles responsabilidades. La investigación de la Fiscalía española concluyó archivando el caso penal al no apreciar delito en la actuación de la Guardia Civil, pero el Defensor señaló deficiencias operativas: insuficiente previsión pese al riesgo evidente aquel día, y la devolución conjunta de 470 migrantes a Marruecos sin trámite alguno, entre ellos varios que ya estaban bajo custodia española en la puerta. Esto vulnera la doctrina del Tribunal Constitucional, que exige control judicial y tratamiento individualizado incluso en los rechazos en frontera. Interior alegó que los 470 no llegaron a entrar formalmente en Melilla, pero el Defensor discrepó basándose en grabaciones. </w:t>
      </w:r>
    </w:p>
    <w:p w14:paraId="21067A6B" w14:textId="5619E570" w:rsidR="009358FC" w:rsidRPr="00CC5288" w:rsidRDefault="009358FC" w:rsidP="00E5085A">
      <w:pPr>
        <w:ind w:firstLine="567"/>
        <w:rPr>
          <w:color w:val="FF0000"/>
        </w:rPr>
      </w:pPr>
      <w:r>
        <w:t xml:space="preserve">A raíz de sus conclusiones, </w:t>
      </w:r>
      <w:hyperlink r:id="rId24" w:history="1">
        <w:r w:rsidRPr="00D33A22">
          <w:rPr>
            <w:rStyle w:val="Hipervnculo"/>
          </w:rPr>
          <w:t>recomendó</w:t>
        </w:r>
      </w:hyperlink>
      <w:r>
        <w:t xml:space="preserve"> reforzar el enfoque de derechos humanos en la frontera para evitar que se repita una situación similar: mejor coordinación con Marruecos para socorrer a heridos en zona limítrofe, disponer de traductores y agentes suficientes para atender avalanchas, y sobre todo garantizar que cualquier rechazo respete obligaciones internacionales –no devolviendo por la fuerza a quien manifieste querer solicitar asilo o a perfiles vulnerables identificables. </w:t>
      </w:r>
    </w:p>
    <w:p w14:paraId="780136D1" w14:textId="209587F5" w:rsidR="00DD76E2" w:rsidRDefault="009358FC" w:rsidP="00DD76E2">
      <w:pPr>
        <w:pStyle w:val="Ttulo3"/>
      </w:pPr>
      <w:r>
        <w:t>(d) Formación de</w:t>
      </w:r>
      <w:r w:rsidR="00FB7DAD">
        <w:t xml:space="preserve"> </w:t>
      </w:r>
      <w:r w:rsidR="005D4C59">
        <w:t>f</w:t>
      </w:r>
      <w:r w:rsidR="00FB7DAD">
        <w:t xml:space="preserve">uerzas y </w:t>
      </w:r>
      <w:r w:rsidR="005D4C59">
        <w:t>c</w:t>
      </w:r>
      <w:r w:rsidR="00FB7DAD">
        <w:t xml:space="preserve">uerpos de </w:t>
      </w:r>
      <w:r w:rsidR="005D4C59">
        <w:t>s</w:t>
      </w:r>
      <w:r w:rsidR="00FB7DAD">
        <w:t>eguridad del Estado y el</w:t>
      </w:r>
      <w:r>
        <w:t xml:space="preserve"> uso de la fuerza en control migratorio: </w:t>
      </w:r>
    </w:p>
    <w:p w14:paraId="61A0DA9F" w14:textId="3928B3DD" w:rsidR="009358FC" w:rsidRDefault="009358FC" w:rsidP="009358FC">
      <w:r>
        <w:t xml:space="preserve">Dada la complejidad de gestionar fronteras y flujos, el Defensor del Pueblo enfatiza que la actuación policial debe regirse siempre por la legalidad y el respeto a la vida e integridad. Tras la tragedia de Melilla </w:t>
      </w:r>
      <w:r w:rsidR="005D4C59">
        <w:t xml:space="preserve">en </w:t>
      </w:r>
      <w:r>
        <w:t>2022, el Defensor recomendó revisar los protocolos de las fuerzas de seguridad en situaciones de gran presión migratoria, incorporando un enfoque de derechos humanos más claro. Esto incluye disponer de personal sanitario en las cercanías durante intentos masivos de cruce, y reforzar la formación de los agentes en materia de asilo y trato a personas refugiadas. Cabe señalar que en 2022 se comenzó a impartir un módulo específico sobre normativa de asilo a los guardias civiles destinados a puestos fronterizos de Ceuta/Melilla. Además, se han instalado cámaras personales (</w:t>
      </w:r>
      <w:r w:rsidRPr="00DD76E2">
        <w:rPr>
          <w:i/>
        </w:rPr>
        <w:t>bodycams</w:t>
      </w:r>
      <w:r>
        <w:t xml:space="preserve">) en los agentes antidisturbios en frontera, lo que proporciona transparencia. </w:t>
      </w:r>
    </w:p>
    <w:p w14:paraId="75B1E922" w14:textId="77777777" w:rsidR="0092685D" w:rsidRDefault="009358FC" w:rsidP="00DD76E2">
      <w:pPr>
        <w:pStyle w:val="Ttulo3"/>
      </w:pPr>
      <w:r>
        <w:lastRenderedPageBreak/>
        <w:t>(e) Menores extranjeros no acompañados:</w:t>
      </w:r>
    </w:p>
    <w:p w14:paraId="7A1CB09D" w14:textId="43CE32A2" w:rsidR="0092685D" w:rsidRDefault="0092685D" w:rsidP="0092685D">
      <w:r>
        <w:t xml:space="preserve">La situación de los menores extranjeros no acompañados en España, y en particular en Canarias, continúa siendo motivo de preocupación. La llegada masiva de niños y niñas sin referentes familiares ha provocado la declaración de emergencia social por parte del Gobierno canario, lo que ha </w:t>
      </w:r>
      <w:r w:rsidR="001A05D6">
        <w:t>dado lugar a</w:t>
      </w:r>
      <w:r>
        <w:t>l uso de recursos alojativos provisionales y no siempre adecuados a sus necesidades específicas.</w:t>
      </w:r>
    </w:p>
    <w:p w14:paraId="402364C5" w14:textId="77777777" w:rsidR="0092685D" w:rsidRDefault="0092685D" w:rsidP="00E5085A">
      <w:pPr>
        <w:ind w:firstLine="567"/>
      </w:pPr>
      <w:r>
        <w:t>En 2023 se produjo un cambio relevante en el perfil de los menores llegados a Canarias, destacando un número significativo de menores malienses, entre otros, potencialmente beneficiarios de protección internacional. Según ACNUR, al menos un 55 % de los menores entrevistados en centros de acogida podrían requerir dicha protección. Sin embargo, el Defensor del Pueblo ha advertido que no se está garantizando de forma sistemática su derecho a solicitar asilo, ni se han habilitado recursos adecuados para tramitar sus solicitudes y asegurar su acogida conforme a las directivas europeas 2013/32/UE y 2013/33/UE.</w:t>
      </w:r>
    </w:p>
    <w:p w14:paraId="5AFF1C8C" w14:textId="77777777" w:rsidR="0092685D" w:rsidRDefault="0092685D" w:rsidP="00E5085A">
      <w:pPr>
        <w:ind w:firstLine="567"/>
      </w:pPr>
      <w:r>
        <w:t>A ello se suma la falta de documentación: miles de menores permanecen bajo tutela de la administración autonómica sin contar con autorización de residencia, debido a una interpretación excesivamente restrictiva de los requisitos para obtener la cédula de inscripción. Esta situación pone en riesgo su transición a la vida adulta, ya que muchos cumplen 18 años sin haber sido documentados, quedando en situación de desprotección.</w:t>
      </w:r>
    </w:p>
    <w:p w14:paraId="72EFF8C6" w14:textId="6A736ED9" w:rsidR="00DD76E2" w:rsidRDefault="0092685D" w:rsidP="00E5085A">
      <w:pPr>
        <w:ind w:firstLine="567"/>
      </w:pPr>
      <w:r>
        <w:t>El Defensor del Pueblo formuló en julio de 2024</w:t>
      </w:r>
      <w:r w:rsidR="00670533">
        <w:t>,</w:t>
      </w:r>
      <w:r>
        <w:t xml:space="preserve"> tras una visita a Canarias, varias recomendaciones urgentes para garantizar el acceso de estos menores al procedimiento de protección internacional, mejorar su identificación y documentación, habilitar centros específicos de recepción y derivación (CREADE), y coordinar eficazmente a las distintas administraciones implicadas. Asimismo, ha sugerido la contratación de entidades especializadas para dar apoyo técnico ante la sobrecarga de los servicios autonómicos. Estas medidas deben adoptarse con enfoque de infancia, priorizando el interés superior del menor y su desarrollo integral.</w:t>
      </w:r>
      <w:r w:rsidR="009358FC">
        <w:t xml:space="preserve"> </w:t>
      </w:r>
    </w:p>
    <w:p w14:paraId="2BFE7C8C" w14:textId="2D3560C5" w:rsidR="00670533" w:rsidRPr="00670533" w:rsidRDefault="00670533" w:rsidP="00E5085A">
      <w:pPr>
        <w:ind w:firstLine="567"/>
      </w:pPr>
      <w:r w:rsidRPr="00871BE5">
        <w:t>El 16 de mayo de 2025,  el Defensor del Pueblo</w:t>
      </w:r>
      <w:r w:rsidRPr="00670533">
        <w:t xml:space="preserve"> </w:t>
      </w:r>
      <w:r>
        <w:t xml:space="preserve">ha publicado el informe monográfico </w:t>
      </w:r>
      <w:hyperlink r:id="rId25" w:history="1">
        <w:r w:rsidRPr="00670533">
          <w:rPr>
            <w:rStyle w:val="Hipervnculo"/>
            <w:i/>
            <w:iCs/>
          </w:rPr>
          <w:t>Niñas y niños extranjeros en España solos o acompañados</w:t>
        </w:r>
      </w:hyperlink>
      <w:r w:rsidR="007A00B0">
        <w:t xml:space="preserve"> que </w:t>
      </w:r>
      <w:r w:rsidRPr="00670533">
        <w:t xml:space="preserve">conduce a una serie de recomendaciones concretas, dirigidas a las distintas administraciones </w:t>
      </w:r>
      <w:r w:rsidR="00BD2953">
        <w:t>–</w:t>
      </w:r>
      <w:r w:rsidRPr="00670533">
        <w:t xml:space="preserve">comunidades </w:t>
      </w:r>
      <w:r w:rsidRPr="00670533">
        <w:lastRenderedPageBreak/>
        <w:t>autónomas y ministerios</w:t>
      </w:r>
      <w:r w:rsidR="00BD2953">
        <w:t>–</w:t>
      </w:r>
      <w:r w:rsidRPr="00670533">
        <w:t>, que van desde las propuestas de modificaciones en la aplicación de las normas y de los recursos administrativos, al cambio específico de alguna norma.</w:t>
      </w:r>
      <w:r w:rsidR="007A00B0">
        <w:t xml:space="preserve"> Concluye que </w:t>
      </w:r>
      <w:r w:rsidRPr="00670533">
        <w:t>los menores migrantes, acompañados o no, se enfrentan a prácticas administrativas que no ponen en el centro su condición de menores de edad. Además, la normativa de extranjería tampoco recoge suficientemente, en opinión del Defensor del Pueblo, el enfoque de género y de infancia.</w:t>
      </w:r>
      <w:r w:rsidR="007A00B0">
        <w:t xml:space="preserve"> Se</w:t>
      </w:r>
      <w:r w:rsidRPr="00670533">
        <w:t xml:space="preserve"> apunta que la irregularidad documental de las personas adultas conduce a la invisibilidad de los niños y niñas a su cargo, que quedan expuestos a una situación de triple vulnerabilidad</w:t>
      </w:r>
      <w:r w:rsidR="00BD2953">
        <w:t>:</w:t>
      </w:r>
      <w:r w:rsidRPr="00670533">
        <w:t xml:space="preserve"> como menores, como personas migrantes, y como personas indocumentadas.</w:t>
      </w:r>
      <w:r w:rsidR="007A00B0">
        <w:t xml:space="preserve"> Se considera tam</w:t>
      </w:r>
      <w:r w:rsidRPr="00670533">
        <w:t>bién que la identificación de todos los menores extranjeros que se encuentran en España en situación irregular constituye una pieza clave para el efectivo ejercicio de sus derechos, y reitera la importancia de detectar a posibles solicitantes de asilo y víctimas de trata.</w:t>
      </w:r>
    </w:p>
    <w:p w14:paraId="390B310F" w14:textId="77777777" w:rsidR="000D3BAE" w:rsidRPr="00F835E9" w:rsidRDefault="00EC215E" w:rsidP="00771685">
      <w:pPr>
        <w:pStyle w:val="Ttulo1"/>
      </w:pPr>
      <w:r w:rsidRPr="00F835E9">
        <w:t>10. Derechos a la libertad de expresión, reunión pacífica y asociación (arts. 19, 21 y 22)</w:t>
      </w:r>
    </w:p>
    <w:p w14:paraId="3A93E6B5" w14:textId="77777777" w:rsidR="001037E7" w:rsidRDefault="00D87159" w:rsidP="001037E7">
      <w:r>
        <w:t xml:space="preserve">La situación de los derechos de libre expresión, manifestación y asociación en España es, en términos generales, positiva, si bien en los últimos años ha habido polémicas y debates en torno a ciertos límites legales considerados excesivos. El Comité de Derechos Humanos en sus anteriores observaciones mostró preocupación por disposiciones legales que podrían restringir indebidamente el ejercicio de estos derechos (art. 19 y 21 del Pacto), como algunos artículos del Código Penal sobre expresiones y la Ley </w:t>
      </w:r>
      <w:r w:rsidR="0092685D">
        <w:t>de Seguridad Ciudadana</w:t>
      </w:r>
      <w:r>
        <w:t xml:space="preserve"> de 2015.</w:t>
      </w:r>
    </w:p>
    <w:p w14:paraId="49B9311F" w14:textId="53B00E5F" w:rsidR="00D87159" w:rsidRDefault="00D87159" w:rsidP="001037E7">
      <w:pPr>
        <w:pStyle w:val="Ttulo3"/>
      </w:pPr>
      <w:r>
        <w:t xml:space="preserve">Ley de Seguridad Ciudadana 4/2015: </w:t>
      </w:r>
    </w:p>
    <w:p w14:paraId="3FA4D6A7" w14:textId="14851189" w:rsidR="005F54D2" w:rsidRPr="005F54D2" w:rsidRDefault="005F54D2" w:rsidP="001037E7">
      <w:r w:rsidRPr="005F54D2">
        <w:t xml:space="preserve">La Ley Orgánica de Protección de la Seguridad Ciudadana, en vigor desde julio de 2015, introdujo un régimen de infracciones administrativas para conductas en el espacio público que generó críticas por parte de organismos nacionales e internacionales. Entre las conductas sancionables se encuentran las </w:t>
      </w:r>
      <w:r w:rsidR="00BD2953">
        <w:t>“</w:t>
      </w:r>
      <w:r w:rsidRPr="005F54D2">
        <w:t>faltas de respeto a la autoridad</w:t>
      </w:r>
      <w:r w:rsidR="00BD2953">
        <w:t>”</w:t>
      </w:r>
      <w:r w:rsidRPr="005F54D2">
        <w:t xml:space="preserve">, la </w:t>
      </w:r>
      <w:r w:rsidR="00BD2953">
        <w:t>“</w:t>
      </w:r>
      <w:r w:rsidRPr="005F54D2">
        <w:t>desobediencia o resistencia a la autoridad</w:t>
      </w:r>
      <w:r w:rsidR="00BD2953">
        <w:t>”</w:t>
      </w:r>
      <w:r w:rsidRPr="005F54D2">
        <w:t xml:space="preserve"> y la toma y difusión no autorizada de imágenes de fuerzas de seguridad en acto de servicio (art. 36.23), con sanciones que pueden alcanzar los 30.000 euros.</w:t>
      </w:r>
    </w:p>
    <w:p w14:paraId="6AE03AA8" w14:textId="7B83CB61" w:rsidR="005F54D2" w:rsidRPr="005F54D2" w:rsidRDefault="005F54D2" w:rsidP="00E5085A">
      <w:pPr>
        <w:ind w:firstLine="567"/>
      </w:pPr>
      <w:r w:rsidRPr="005F54D2">
        <w:lastRenderedPageBreak/>
        <w:t xml:space="preserve">El Defensor del Pueblo formuló recomendaciones para que ciertos preceptos se interpretaran de forma </w:t>
      </w:r>
      <w:r w:rsidR="00871BE5">
        <w:t xml:space="preserve">más </w:t>
      </w:r>
      <w:r w:rsidRPr="005F54D2">
        <w:t xml:space="preserve">garantista. </w:t>
      </w:r>
      <w:r w:rsidR="00871BE5">
        <w:t xml:space="preserve">La </w:t>
      </w:r>
      <w:r w:rsidRPr="005F54D2">
        <w:t>institución reiteró sus observaciones sobre aspectos que podrían generar afectaciones a derechos fundamentales, como la libertad de expresión o el derecho de reunión. En sentencia de 2020, el Tribunal Constitucional avaló la mayoría de los artículos impugnados, pero acotó su aplicación. Por ejemplo, respecto al artículo 36.23, aclaró que la difusión de imágenes de agentes solo es sancionable cuando suponga un riesgo real para su seguridad o el éxito de la operación.</w:t>
      </w:r>
    </w:p>
    <w:p w14:paraId="33EFE6DD" w14:textId="590CC56B" w:rsidR="005F54D2" w:rsidRPr="005F54D2" w:rsidRDefault="005F54D2" w:rsidP="00E5085A">
      <w:pPr>
        <w:ind w:firstLine="567"/>
      </w:pPr>
      <w:r w:rsidRPr="005F54D2">
        <w:t>En 2020</w:t>
      </w:r>
      <w:r w:rsidR="00A812CE">
        <w:t xml:space="preserve"> </w:t>
      </w:r>
      <w:r w:rsidRPr="005F54D2">
        <w:t>se inició el proceso de reforma de la Ley</w:t>
      </w:r>
      <w:r w:rsidR="002371A4">
        <w:t>.</w:t>
      </w:r>
      <w:r w:rsidRPr="005F54D2">
        <w:t xml:space="preserve"> Sin embargo, tras un largo debate parlamentario, la </w:t>
      </w:r>
      <w:r w:rsidR="008F5FC4">
        <w:t>propuesta no</w:t>
      </w:r>
      <w:r w:rsidRPr="005F54D2">
        <w:t xml:space="preserve"> alcanz</w:t>
      </w:r>
      <w:r w:rsidR="008F5FC4">
        <w:t>ó</w:t>
      </w:r>
      <w:r w:rsidRPr="005F54D2">
        <w:t xml:space="preserve"> el consenso necesario. Las discrepancias en </w:t>
      </w:r>
      <w:r w:rsidR="00A812CE">
        <w:t>torno</w:t>
      </w:r>
      <w:r w:rsidR="002371A4">
        <w:t xml:space="preserve"> a aspectos como</w:t>
      </w:r>
      <w:r w:rsidR="00A812CE">
        <w:t xml:space="preserve"> al</w:t>
      </w:r>
      <w:r w:rsidRPr="005F54D2">
        <w:t xml:space="preserve"> uso de pelotas de goma en manifestaciones o la definición de la desobediencia leve</w:t>
      </w:r>
      <w:r w:rsidR="008F5FC4">
        <w:t>.</w:t>
      </w:r>
      <w:r w:rsidR="002371A4">
        <w:t xml:space="preserve"> </w:t>
      </w:r>
      <w:r w:rsidRPr="005F54D2">
        <w:t>Como consecuencia, la ley permanece en vigor desde su aprobación en 2015.</w:t>
      </w:r>
    </w:p>
    <w:p w14:paraId="1B4EBDC9" w14:textId="77777777" w:rsidR="005F54D2" w:rsidRDefault="005F54D2" w:rsidP="00E5085A">
      <w:pPr>
        <w:ind w:firstLine="567"/>
        <w:rPr>
          <w:b/>
          <w:bCs/>
        </w:rPr>
      </w:pPr>
      <w:r w:rsidRPr="005F54D2">
        <w:t>A día de hoy, se siguen aplicando sanciones administrativas por hechos como encadenarse a una farola (desobediencia), insultar a un agente (falta de respeto) o participar en concentraciones no comunicadas previamente (infracción leve). No obstante, la aplicación de la norma ha encontrado ciertos equilibrios: muchas propuestas de sanción son archivadas por las delegaciones del Gobierno o anuladas por los tribunales contencioso-administrativos cuando se considera que vulneran el principio de proporcionalidad. El Defensor del Pueblo ha tramitado diversas quejas de ciudadanos multados y, en algunos casos, ha sugerido la revisión de las resoluciones sancionadoras.</w:t>
      </w:r>
    </w:p>
    <w:p w14:paraId="509FACAA" w14:textId="77777777" w:rsidR="005D18A2" w:rsidRDefault="00D87159" w:rsidP="005D18A2">
      <w:pPr>
        <w:pStyle w:val="Ttulo3"/>
      </w:pPr>
      <w:r>
        <w:t xml:space="preserve">Libertad de prensa y de información: </w:t>
      </w:r>
    </w:p>
    <w:p w14:paraId="18AFE7A7" w14:textId="50E39D33" w:rsidR="00D87159" w:rsidRDefault="00D87159" w:rsidP="00D87159">
      <w:r>
        <w:t>España goza de un entorno mediático plural y libre. Los medios de comunicación cubren una amplia gama de posturas y no existe censura gubernamental. En los índices internacionales, España suele situarse entre los 20-30 primeros países en libertad de prensa. El Defensor del Pueblo ha intervenido en algun</w:t>
      </w:r>
      <w:r w:rsidR="008F5FC4">
        <w:t>as situaciones</w:t>
      </w:r>
      <w:r>
        <w:t>, recordando que grabar actuaciones policiales en espacio público es un derecho cuando se hace con interés informativo. Tras la sentencia del T</w:t>
      </w:r>
      <w:r w:rsidR="008F5FC4">
        <w:t xml:space="preserve">ribunal Constitucional </w:t>
      </w:r>
      <w:r>
        <w:t xml:space="preserve">que delimitó el polémico art. 36.23 </w:t>
      </w:r>
      <w:r w:rsidR="008F5FC4">
        <w:t>de la Ley de Seguridad Ciudadana</w:t>
      </w:r>
      <w:r>
        <w:t>, se ha clarificado que los periodistas pueden filmar sin permiso salvo que se ponga en peligro concreto a los agentes</w:t>
      </w:r>
      <w:r w:rsidR="001B00FB">
        <w:t xml:space="preserve"> de seguridad del Estado</w:t>
      </w:r>
      <w:r>
        <w:t xml:space="preserve">, lo cual es excepcional. </w:t>
      </w:r>
    </w:p>
    <w:p w14:paraId="159762AE" w14:textId="77777777" w:rsidR="005D18A2" w:rsidRDefault="00D87159" w:rsidP="005D18A2">
      <w:pPr>
        <w:pStyle w:val="Ttulo3"/>
      </w:pPr>
      <w:r>
        <w:lastRenderedPageBreak/>
        <w:t xml:space="preserve">Derecho de reunión: </w:t>
      </w:r>
    </w:p>
    <w:p w14:paraId="6BB1670E" w14:textId="2BD6B7E7" w:rsidR="00D87159" w:rsidRDefault="00D87159" w:rsidP="00D87159">
      <w:r>
        <w:t xml:space="preserve">Salvo lo apuntado de la Ley </w:t>
      </w:r>
      <w:r w:rsidR="0092685D">
        <w:t>de Seguridad Ciudadana</w:t>
      </w:r>
      <w:r>
        <w:t xml:space="preserve">, España tiene un clima de manifestaciones muy activo. </w:t>
      </w:r>
      <w:r w:rsidR="00946661">
        <w:t>La g</w:t>
      </w:r>
      <w:r>
        <w:t xml:space="preserve">randes protestas </w:t>
      </w:r>
      <w:r w:rsidR="00946661">
        <w:t xml:space="preserve">y manifestaciones sobre temas diversos </w:t>
      </w:r>
      <w:r>
        <w:t>se han desarrollado con normalidad</w:t>
      </w:r>
      <w:r w:rsidR="00946661">
        <w:t xml:space="preserve">. </w:t>
      </w:r>
    </w:p>
    <w:p w14:paraId="0FCB669F" w14:textId="330F3E8D" w:rsidR="008D644B" w:rsidRDefault="009C1994" w:rsidP="008D644B">
      <w:pPr>
        <w:pStyle w:val="Ttulo3"/>
      </w:pPr>
      <w:r>
        <w:t>Libertad de expresión</w:t>
      </w:r>
      <w:r w:rsidR="00D87159">
        <w:t xml:space="preserve">: </w:t>
      </w:r>
    </w:p>
    <w:p w14:paraId="74F77D04" w14:textId="6759E784" w:rsidR="00CB2C1C" w:rsidRDefault="00CB2C1C" w:rsidP="00CB2C1C">
      <w:r>
        <w:t>El Código Penal español contempla tipos penales que han sido objeto de debate por su posible impacto en la libertad de expresión. En años recientes, su aplicación en casos relacionados con artistas, activistas o usuarios de redes sociales ha generado atención pública y observaciones por parte de organismos internacionales, como el Relator de la ONU para la libertad de expresión, el Consejo de Europa y el Comité de Derechos Humanos de la ONU, que han instado a España a revisar estos preceptos.</w:t>
      </w:r>
    </w:p>
    <w:p w14:paraId="45BFA942" w14:textId="3C3C3DB5" w:rsidR="00CB2C1C" w:rsidRDefault="00CB2C1C" w:rsidP="00E5085A">
      <w:pPr>
        <w:ind w:firstLine="567"/>
      </w:pPr>
      <w:r>
        <w:t>En este contexto, en 2021 se inició un proceso legislativo para revisar o modificar algunos de estos tipos penales, pero hasta la fecha no se ha culminado. Mientras tanto, la jurisprudencia del Tribunal Constitucional ha contribuido a acotar su alcance, como en la STC 35/2020</w:t>
      </w:r>
      <w:r w:rsidR="00D10BB1">
        <w:t xml:space="preserve">. </w:t>
      </w:r>
      <w:r>
        <w:t xml:space="preserve"> </w:t>
      </w:r>
      <w:bookmarkStart w:id="1" w:name="_GoBack"/>
      <w:bookmarkEnd w:id="1"/>
    </w:p>
    <w:p w14:paraId="03482019" w14:textId="76023381" w:rsidR="00CB2C1C" w:rsidRDefault="00CB2C1C" w:rsidP="00E5085A">
      <w:pPr>
        <w:ind w:firstLine="567"/>
      </w:pPr>
      <w:r>
        <w:t xml:space="preserve">El Defensor del Pueblo ha seguido </w:t>
      </w:r>
      <w:r w:rsidR="00946661">
        <w:t xml:space="preserve">con interés </w:t>
      </w:r>
      <w:r>
        <w:t xml:space="preserve">estos debates </w:t>
      </w:r>
      <w:r w:rsidR="00946661">
        <w:t xml:space="preserve">y </w:t>
      </w:r>
      <w:r>
        <w:t xml:space="preserve">ha señalado que, en todo caso, la protección del honor de las instituciones públicas puede articularse por vías distintas a la penal, y que la aplicación de estos tipos debe respetar el principio de intervención mínima del Derecho penal, especialmente cuando se trata de expresiones críticas, artísticas o satíricas. </w:t>
      </w:r>
    </w:p>
    <w:p w14:paraId="79B8FAA3" w14:textId="77777777" w:rsidR="000D3BAE" w:rsidRPr="00F835E9" w:rsidRDefault="00EC215E" w:rsidP="00771685">
      <w:pPr>
        <w:pStyle w:val="Ttulo1"/>
      </w:pPr>
      <w:r w:rsidRPr="00F835E9">
        <w:t>11. Lucha contra la corrupción (arts. 2, 14 y 25)</w:t>
      </w:r>
    </w:p>
    <w:p w14:paraId="48743F31" w14:textId="4D430376" w:rsidR="008D644B" w:rsidRDefault="008D644B" w:rsidP="008D644B">
      <w:r>
        <w:t>La corrupción ha sido reconocida en España como un problema que erosiona la confianza en las instituciones (art. 25, derecho a la participación) y puede afectar derechos (desviación de fondos públicos que deberían garantizar servicios, etc</w:t>
      </w:r>
      <w:r w:rsidRPr="00946661">
        <w:t xml:space="preserve">.). </w:t>
      </w:r>
      <w:r w:rsidR="009C1994" w:rsidRPr="00946661">
        <w:t xml:space="preserve">A raíz de algunos escándalos de corrupción en la pasada década, </w:t>
      </w:r>
      <w:r w:rsidRPr="00946661">
        <w:t>España ha tomado medidas importantes para prevenir, investigar y sancionar la corrupción, en cumplimiento también</w:t>
      </w:r>
      <w:r>
        <w:t xml:space="preserve"> del art. 2 (obligación de garantizar derechos mediante buen gobierno) y art. 14 (igualdad ante la ley, derecho a juicio justo sin importar rango).</w:t>
      </w:r>
    </w:p>
    <w:p w14:paraId="28EE1937" w14:textId="2436A233" w:rsidR="008D644B" w:rsidRDefault="008D644B" w:rsidP="00E5085A">
      <w:pPr>
        <w:ind w:firstLine="567"/>
      </w:pPr>
      <w:r>
        <w:lastRenderedPageBreak/>
        <w:t xml:space="preserve">Desde 2015, varios macrojuicios por corrupción han concluido con </w:t>
      </w:r>
      <w:r w:rsidR="006F134F">
        <w:t xml:space="preserve">las oportunas </w:t>
      </w:r>
      <w:r>
        <w:t xml:space="preserve">condenas, demostrando que el Estado de Derecho funciona. El Defensor del Pueblo valora positivamente este actuar independiente del Poder Judicial (art. 14.1, igualdad ante los tribunales), que ha contribuido a reducir la impunidad. No obstante, se ha detectado como problema los largos plazos de tramitación: muchos casos tardan 8-10 años en juzgarse, debido a su complejidad y sobrecarga de </w:t>
      </w:r>
      <w:r w:rsidR="007D6D2D">
        <w:t xml:space="preserve">trabajo de los </w:t>
      </w:r>
      <w:r>
        <w:t>órganos judiciales. Esa dilación erosiona la efectividad de la justicia y puede vulnerar el derecho a un juicio sin dilaciones indebidas (art. 14.3.c). Se han tomado medidas: creación de juzgados especiales de refuerzo, digitalización de sumarios voluminosos, etc. Aun así, el Defensor del Pueblo recomienda dotar de más medios a la Fiscalía Anticorrupción y a los juzgados de instrucción para agilizar estas macrocausas sin merma de garantías.</w:t>
      </w:r>
    </w:p>
    <w:p w14:paraId="514A2015" w14:textId="111DCA53" w:rsidR="008D644B" w:rsidRDefault="008D644B" w:rsidP="00E5085A">
      <w:pPr>
        <w:ind w:firstLine="567"/>
      </w:pPr>
      <w:r>
        <w:t>En el plano normativo, en 2015 se reformó la Ley de Enjuiciamiento Criminal poniendo</w:t>
      </w:r>
      <w:r w:rsidR="007D6D2D">
        <w:t xml:space="preserve"> un</w:t>
      </w:r>
      <w:r>
        <w:t xml:space="preserve"> límite temporal a la instrucción de causas (en principio 12 meses ampliables) para evitar dilaciones. También en 2015 se aprobaron leyes de control financiero de partidos y altos cargos. Más recientemente, un hito fue la aprobación de la Ley 2/2023, de protección al informante (transposición de la Directiva (UE) 2019/1937). Esta ley establece canales </w:t>
      </w:r>
      <w:r w:rsidRPr="00F14707">
        <w:t>de</w:t>
      </w:r>
      <w:r>
        <w:t xml:space="preserve"> denuncia seguros en todas las entidades públicas y grandes empresas, prohíbe represalias contra quienes denuncien corrupción o fraude, y crea la Autoridad Independiente de Protección del Informante a nivel nacional. Gracias a ella, </w:t>
      </w:r>
      <w:r w:rsidRPr="00F14707">
        <w:t>cualquier funcionario o ciudadano que reporte internamente irregularidades quedará amparado. La nueva Autoridad del Informante está en fase de constitución (</w:t>
      </w:r>
      <w:r w:rsidR="00954FA3" w:rsidRPr="00F14707">
        <w:t>este año</w:t>
      </w:r>
      <w:r w:rsidRPr="00F14707">
        <w:t xml:space="preserve"> se </w:t>
      </w:r>
      <w:r w:rsidR="00954FA3" w:rsidRPr="00F14707">
        <w:t xml:space="preserve">ha </w:t>
      </w:r>
      <w:r w:rsidRPr="00F14707">
        <w:t>nombr</w:t>
      </w:r>
      <w:r w:rsidR="00954FA3" w:rsidRPr="00F14707">
        <w:t>ado</w:t>
      </w:r>
      <w:r w:rsidR="00954FA3">
        <w:t xml:space="preserve"> a</w:t>
      </w:r>
      <w:r>
        <w:t xml:space="preserve"> su director) y cooperará con la Oficina Antifraude ya existente en algunas regiones (Cataluña, Valencia).</w:t>
      </w:r>
    </w:p>
    <w:p w14:paraId="23BD9BF3" w14:textId="0490A835" w:rsidR="008D644B" w:rsidRDefault="008D644B" w:rsidP="00E5085A">
      <w:pPr>
        <w:ind w:firstLine="567"/>
      </w:pPr>
      <w:r>
        <w:t xml:space="preserve">Otra pieza clave es la transparencia. España cuenta desde 2013 con la Ley de Transparencia, y un Consejo independiente que supervisa (Consejo de Transparencia y Buen Gobierno). Aunque </w:t>
      </w:r>
      <w:r w:rsidR="00E00BAE">
        <w:t>la situación no estaba exenta de dificultades</w:t>
      </w:r>
      <w:r>
        <w:t xml:space="preserve">, las instituciones se </w:t>
      </w:r>
      <w:r w:rsidRPr="00F14707">
        <w:t>han ido adaptando: hoy la mayoría de administraciones publican abundante información</w:t>
      </w:r>
      <w:r>
        <w:t xml:space="preserve"> en sus portales (contratos, subvenciones, agendas de altos cargos). El Defensor del Pueblo ha recordado a los organismos </w:t>
      </w:r>
      <w:r w:rsidR="007D6D2D">
        <w:t xml:space="preserve">en el marco de múltiples quejas </w:t>
      </w:r>
      <w:r>
        <w:t xml:space="preserve">su deber de atender las solicitudes de información de ciudadanos. </w:t>
      </w:r>
    </w:p>
    <w:p w14:paraId="582A789A" w14:textId="14093D0F" w:rsidR="00E00BAE" w:rsidRDefault="00E00BAE" w:rsidP="00E068D5">
      <w:pPr>
        <w:ind w:firstLine="567"/>
      </w:pPr>
      <w:r>
        <w:lastRenderedPageBreak/>
        <w:t xml:space="preserve">En su Segundo </w:t>
      </w:r>
      <w:hyperlink r:id="rId26" w:anchor="p_com_liferay_asset_publisher_web_portlet_AssetPublisherPortlet_INSTANCE_lxOP5Yph48Zi" w:history="1">
        <w:r w:rsidRPr="00F52AB8">
          <w:rPr>
            <w:rStyle w:val="Hipervnculo"/>
          </w:rPr>
          <w:t>Informe</w:t>
        </w:r>
      </w:hyperlink>
      <w:r>
        <w:t xml:space="preserve"> de Cumplimiento de la Quinta Ronda de Evaluación, publicado el 16 de abril de 2025, </w:t>
      </w:r>
      <w:r w:rsidR="00946661">
        <w:t>el</w:t>
      </w:r>
      <w:r w:rsidR="00946661" w:rsidRPr="00946661">
        <w:t xml:space="preserve"> Grupo de Estados contra la Corrupción (GRECO) del Consejo de Europa ha evaluado los esfuerzos de España en la prevención de la corrupción y la promoción de la integridad en el gobierno central y las agencias de aplicación de la ley. </w:t>
      </w:r>
      <w:r>
        <w:t xml:space="preserve">GRECO reconoció algunos avances, como la implementación de códigos de conducta para parlamentarios y miembros del gobierno. </w:t>
      </w:r>
    </w:p>
    <w:p w14:paraId="6878C023" w14:textId="41782BF6" w:rsidR="00E00BAE" w:rsidRDefault="00E00BAE" w:rsidP="00E068D5">
      <w:pPr>
        <w:ind w:firstLine="567"/>
      </w:pPr>
      <w:r>
        <w:t xml:space="preserve">Entre las recomendaciones pendientes, </w:t>
      </w:r>
      <w:r w:rsidR="00F52AB8">
        <w:t xml:space="preserve">el </w:t>
      </w:r>
      <w:r>
        <w:t>GRECO</w:t>
      </w:r>
      <w:r w:rsidR="00F52AB8">
        <w:t xml:space="preserve"> ha</w:t>
      </w:r>
      <w:r>
        <w:t xml:space="preserve"> destac</w:t>
      </w:r>
      <w:r w:rsidR="00F52AB8">
        <w:t>ado</w:t>
      </w:r>
      <w:r>
        <w:t xml:space="preserve"> la necesidad de regular de manera más efectiva la interacción entre los parlamentarios y los grupos de presión (</w:t>
      </w:r>
      <w:r w:rsidRPr="00E068D5">
        <w:rPr>
          <w:i/>
        </w:rPr>
        <w:t>lobbies</w:t>
      </w:r>
      <w:r>
        <w:t xml:space="preserve">). </w:t>
      </w:r>
    </w:p>
    <w:p w14:paraId="144FD91B" w14:textId="77777777" w:rsidR="00C13535" w:rsidRDefault="00186E48" w:rsidP="00E068D5">
      <w:pPr>
        <w:ind w:firstLine="567"/>
      </w:pPr>
      <w:r>
        <w:t xml:space="preserve">En </w:t>
      </w:r>
      <w:r w:rsidRPr="00186E48">
        <w:t xml:space="preserve">septiembre de 2024 se constituyó finalmente el nuevo Consejo General del Poder Judicial (CGPJ), que estaba anómalamente en funciones desde diciembre de 2018, tras el acuerdo logrado por los dos partidos mayoritarios del Parlamento en junio de 2024. El Defensor del Pueblo recibe con satisfacción la superación de esta grave deficiencia y sigue con atención el desarrollo de los acuerdos alcanzados y de la vuelta a la normalidad institucional. </w:t>
      </w:r>
      <w:r>
        <w:t xml:space="preserve">En este sentido, </w:t>
      </w:r>
      <w:r w:rsidR="00EC25AC" w:rsidRPr="00EC25AC">
        <w:t xml:space="preserve">el informe del GRECO fue redactado días antes de que </w:t>
      </w:r>
      <w:r w:rsidR="00EC25AC">
        <w:t xml:space="preserve">se alcanzara el acuerdo </w:t>
      </w:r>
      <w:r w:rsidR="00EC25AC" w:rsidRPr="00EC25AC">
        <w:t>para renovar a los veinte vocales del CGPJ</w:t>
      </w:r>
      <w:r w:rsidR="00EC25AC">
        <w:t xml:space="preserve"> y para llevar a cabo </w:t>
      </w:r>
      <w:r w:rsidR="00EC25AC" w:rsidRPr="00EC25AC">
        <w:t>una reforma en la Ley Orgánica del Poder Judicial (LOPJ)</w:t>
      </w:r>
      <w:r w:rsidR="00C13535">
        <w:t xml:space="preserve">. </w:t>
      </w:r>
    </w:p>
    <w:p w14:paraId="58A6E72D" w14:textId="79C83719" w:rsidR="00186E48" w:rsidRDefault="00C13535" w:rsidP="00E068D5">
      <w:pPr>
        <w:ind w:firstLine="567"/>
      </w:pPr>
      <w:r>
        <w:t>La preocupación del GRECO por la falta de progreso en la implementación de nuevas medidas legislativas y reglamentarias que mejoren la agilidad y el rigor de los nombramientos de la cúpula judicial</w:t>
      </w:r>
      <w:r w:rsidR="009B74F8">
        <w:t xml:space="preserve"> seguiría vigente.</w:t>
      </w:r>
      <w:r>
        <w:t xml:space="preserve"> </w:t>
      </w:r>
      <w:r w:rsidR="009B74F8">
        <w:t xml:space="preserve">Asimismo, este grupo </w:t>
      </w:r>
      <w:r w:rsidR="00186E48">
        <w:t>ha echado en falta una normativa integral que aborde eficazmente la regulación de las puertas giratorias y la transparencia en la agenda de reuniones de altos cargos con empresas.</w:t>
      </w:r>
    </w:p>
    <w:p w14:paraId="10F6B57E" w14:textId="639D5C8B" w:rsidR="009B74F8" w:rsidRDefault="009B74F8" w:rsidP="00186E48"/>
    <w:p w14:paraId="26F41C0F" w14:textId="77777777" w:rsidR="009B74F8" w:rsidRDefault="009B74F8" w:rsidP="00186E48"/>
    <w:p w14:paraId="6E12FA4B" w14:textId="77777777" w:rsidR="00186E48" w:rsidRPr="00186E48" w:rsidRDefault="00186E48" w:rsidP="00186E48"/>
    <w:p w14:paraId="4DB1E1B6" w14:textId="77777777" w:rsidR="00186E48" w:rsidRDefault="00186E48" w:rsidP="00186E48"/>
    <w:sectPr w:rsidR="00186E48" w:rsidSect="00E5085A">
      <w:headerReference w:type="default" r:id="rId27"/>
      <w:footerReference w:type="default" r:id="rId28"/>
      <w:headerReference w:type="first" r:id="rId29"/>
      <w:footerReference w:type="first" r:id="rId30"/>
      <w:pgSz w:w="12240" w:h="15840" w:code="1"/>
      <w:pgMar w:top="3065" w:right="1797" w:bottom="1843" w:left="1797" w:header="720" w:footer="8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83D9C" w14:textId="77777777" w:rsidR="00CD0FB5" w:rsidRDefault="00CD0FB5" w:rsidP="00336292">
      <w:pPr>
        <w:spacing w:after="0" w:line="240" w:lineRule="auto"/>
      </w:pPr>
      <w:r>
        <w:separator/>
      </w:r>
    </w:p>
  </w:endnote>
  <w:endnote w:type="continuationSeparator" w:id="0">
    <w:p w14:paraId="34D92F2D" w14:textId="77777777" w:rsidR="00CD0FB5" w:rsidRDefault="00CD0FB5" w:rsidP="00336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4063564"/>
      <w:docPartObj>
        <w:docPartGallery w:val="Page Numbers (Bottom of Page)"/>
        <w:docPartUnique/>
      </w:docPartObj>
    </w:sdtPr>
    <w:sdtEndPr>
      <w:rPr>
        <w:sz w:val="22"/>
      </w:rPr>
    </w:sdtEndPr>
    <w:sdtContent>
      <w:p w14:paraId="39FEC92E" w14:textId="7BB61596" w:rsidR="00336292" w:rsidRPr="00DA0818" w:rsidRDefault="00336292" w:rsidP="00DA0818">
        <w:pPr>
          <w:pStyle w:val="Piedepgina"/>
          <w:jc w:val="center"/>
          <w:rPr>
            <w:sz w:val="22"/>
          </w:rPr>
        </w:pPr>
        <w:r w:rsidRPr="00DA0818">
          <w:rPr>
            <w:sz w:val="22"/>
          </w:rPr>
          <w:fldChar w:fldCharType="begin"/>
        </w:r>
        <w:r w:rsidRPr="00DA0818">
          <w:rPr>
            <w:sz w:val="22"/>
          </w:rPr>
          <w:instrText>PAGE   \* MERGEFORMAT</w:instrText>
        </w:r>
        <w:r w:rsidRPr="00DA0818">
          <w:rPr>
            <w:sz w:val="22"/>
          </w:rPr>
          <w:fldChar w:fldCharType="separate"/>
        </w:r>
        <w:r w:rsidRPr="00DA0818">
          <w:rPr>
            <w:sz w:val="22"/>
          </w:rPr>
          <w:t>2</w:t>
        </w:r>
        <w:r w:rsidRPr="00DA0818">
          <w:rPr>
            <w:sz w:val="22"/>
          </w:rPr>
          <w:fldChar w:fldCharType="end"/>
        </w:r>
      </w:p>
    </w:sdtContent>
  </w:sdt>
  <w:p w14:paraId="5E9941DD" w14:textId="77777777" w:rsidR="00336292" w:rsidRDefault="003362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316038"/>
      <w:docPartObj>
        <w:docPartGallery w:val="Page Numbers (Bottom of Page)"/>
        <w:docPartUnique/>
      </w:docPartObj>
    </w:sdtPr>
    <w:sdtEndPr/>
    <w:sdtContent>
      <w:p w14:paraId="4FE34595" w14:textId="77777777" w:rsidR="00914A2A" w:rsidRDefault="00914A2A" w:rsidP="00DA0818">
        <w:pPr>
          <w:pStyle w:val="Piedepgina"/>
          <w:jc w:val="center"/>
        </w:pPr>
        <w:r>
          <w:fldChar w:fldCharType="begin"/>
        </w:r>
        <w:r>
          <w:instrText>PAGE   \* MERGEFORMAT</w:instrText>
        </w:r>
        <w:r>
          <w:fldChar w:fldCharType="separate"/>
        </w:r>
        <w:r>
          <w:t>1</w:t>
        </w:r>
        <w:r>
          <w:fldChar w:fldCharType="end"/>
        </w:r>
      </w:p>
    </w:sdtContent>
  </w:sdt>
  <w:p w14:paraId="2DA28C0B" w14:textId="77777777" w:rsidR="00914A2A" w:rsidRDefault="00914A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DE768" w14:textId="77777777" w:rsidR="00CD0FB5" w:rsidRDefault="00CD0FB5" w:rsidP="00336292">
      <w:pPr>
        <w:spacing w:after="0" w:line="240" w:lineRule="auto"/>
      </w:pPr>
      <w:r>
        <w:separator/>
      </w:r>
    </w:p>
  </w:footnote>
  <w:footnote w:type="continuationSeparator" w:id="0">
    <w:p w14:paraId="3ED37FE6" w14:textId="77777777" w:rsidR="00CD0FB5" w:rsidRDefault="00CD0FB5" w:rsidP="003362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30179" w14:textId="02E91637" w:rsidR="00914A2A" w:rsidRDefault="00914A2A">
    <w:pPr>
      <w:pStyle w:val="Encabezado"/>
    </w:pPr>
    <w:r>
      <w:rPr>
        <w:noProof/>
      </w:rPr>
      <w:drawing>
        <wp:anchor distT="0" distB="0" distL="114300" distR="114300" simplePos="0" relativeHeight="251661312" behindDoc="0" locked="0" layoutInCell="1" allowOverlap="1" wp14:anchorId="4305DBE7" wp14:editId="7DCE5744">
          <wp:simplePos x="0" y="0"/>
          <wp:positionH relativeFrom="column">
            <wp:posOffset>4330700</wp:posOffset>
          </wp:positionH>
          <wp:positionV relativeFrom="paragraph">
            <wp:posOffset>456839</wp:posOffset>
          </wp:positionV>
          <wp:extent cx="1169670" cy="508000"/>
          <wp:effectExtent l="0" t="0" r="0" b="6350"/>
          <wp:wrapThrough wrapText="bothSides">
            <wp:wrapPolygon edited="0">
              <wp:start x="0" y="0"/>
              <wp:lineTo x="0" y="21060"/>
              <wp:lineTo x="21107" y="21060"/>
              <wp:lineTo x="21107"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670" cy="508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79A5B" w14:textId="368F9ADA" w:rsidR="00914A2A" w:rsidRDefault="00914A2A">
    <w:pPr>
      <w:pStyle w:val="Encabezado"/>
    </w:pPr>
    <w:r>
      <w:rPr>
        <w:noProof/>
      </w:rPr>
      <w:drawing>
        <wp:anchor distT="0" distB="0" distL="114300" distR="114300" simplePos="0" relativeHeight="251659264" behindDoc="0" locked="0" layoutInCell="1" allowOverlap="1" wp14:anchorId="3E345FCF" wp14:editId="508EB00D">
          <wp:simplePos x="0" y="0"/>
          <wp:positionH relativeFrom="column">
            <wp:posOffset>1835435</wp:posOffset>
          </wp:positionH>
          <wp:positionV relativeFrom="paragraph">
            <wp:posOffset>184150</wp:posOffset>
          </wp:positionV>
          <wp:extent cx="1601470" cy="695960"/>
          <wp:effectExtent l="0" t="0" r="0" b="8890"/>
          <wp:wrapThrough wrapText="bothSides">
            <wp:wrapPolygon edited="0">
              <wp:start x="0" y="0"/>
              <wp:lineTo x="0" y="21285"/>
              <wp:lineTo x="21326" y="21285"/>
              <wp:lineTo x="21326" y="0"/>
              <wp:lineTo x="0" y="0"/>
            </wp:wrapPolygon>
          </wp:wrapThrough>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E8C"/>
    <w:rsid w:val="00010CCC"/>
    <w:rsid w:val="00034616"/>
    <w:rsid w:val="00034BE0"/>
    <w:rsid w:val="00045EB2"/>
    <w:rsid w:val="00056193"/>
    <w:rsid w:val="0006063C"/>
    <w:rsid w:val="000625BE"/>
    <w:rsid w:val="00080689"/>
    <w:rsid w:val="000A373F"/>
    <w:rsid w:val="000B09C8"/>
    <w:rsid w:val="000B2F9D"/>
    <w:rsid w:val="000B4674"/>
    <w:rsid w:val="000B7EF8"/>
    <w:rsid w:val="000C63E0"/>
    <w:rsid w:val="000C6687"/>
    <w:rsid w:val="000D3BAE"/>
    <w:rsid w:val="000F1B2B"/>
    <w:rsid w:val="000F2F4A"/>
    <w:rsid w:val="000F4B7E"/>
    <w:rsid w:val="001037E7"/>
    <w:rsid w:val="00104E6F"/>
    <w:rsid w:val="001141A9"/>
    <w:rsid w:val="0015074B"/>
    <w:rsid w:val="0016761C"/>
    <w:rsid w:val="00186E48"/>
    <w:rsid w:val="00187DA1"/>
    <w:rsid w:val="001A05D6"/>
    <w:rsid w:val="001A2A07"/>
    <w:rsid w:val="001B00FB"/>
    <w:rsid w:val="001C4D07"/>
    <w:rsid w:val="001D3930"/>
    <w:rsid w:val="001F1CA8"/>
    <w:rsid w:val="001F47A9"/>
    <w:rsid w:val="00217F02"/>
    <w:rsid w:val="00227973"/>
    <w:rsid w:val="002320AE"/>
    <w:rsid w:val="00232429"/>
    <w:rsid w:val="002371A4"/>
    <w:rsid w:val="002468EE"/>
    <w:rsid w:val="00252790"/>
    <w:rsid w:val="00281B64"/>
    <w:rsid w:val="0029639D"/>
    <w:rsid w:val="002A0CB1"/>
    <w:rsid w:val="002E34D9"/>
    <w:rsid w:val="002E7E02"/>
    <w:rsid w:val="002F729F"/>
    <w:rsid w:val="00321988"/>
    <w:rsid w:val="00326F90"/>
    <w:rsid w:val="00331718"/>
    <w:rsid w:val="00336292"/>
    <w:rsid w:val="0037183D"/>
    <w:rsid w:val="00375A2D"/>
    <w:rsid w:val="00385BAB"/>
    <w:rsid w:val="003A7FAD"/>
    <w:rsid w:val="003C2DB2"/>
    <w:rsid w:val="003E5EFC"/>
    <w:rsid w:val="003E7195"/>
    <w:rsid w:val="00407C95"/>
    <w:rsid w:val="004156F4"/>
    <w:rsid w:val="004620B9"/>
    <w:rsid w:val="00492D3A"/>
    <w:rsid w:val="004F0E2B"/>
    <w:rsid w:val="0050020A"/>
    <w:rsid w:val="0050538A"/>
    <w:rsid w:val="00526E58"/>
    <w:rsid w:val="00541261"/>
    <w:rsid w:val="00547AE4"/>
    <w:rsid w:val="00553C60"/>
    <w:rsid w:val="00565D37"/>
    <w:rsid w:val="00582F4C"/>
    <w:rsid w:val="0058330F"/>
    <w:rsid w:val="00591FF2"/>
    <w:rsid w:val="00597E8A"/>
    <w:rsid w:val="005A74C6"/>
    <w:rsid w:val="005B01B0"/>
    <w:rsid w:val="005C6703"/>
    <w:rsid w:val="005D18A2"/>
    <w:rsid w:val="005D4C59"/>
    <w:rsid w:val="005F54D2"/>
    <w:rsid w:val="00613170"/>
    <w:rsid w:val="00614DDA"/>
    <w:rsid w:val="006239CB"/>
    <w:rsid w:val="00643C7C"/>
    <w:rsid w:val="00661AD7"/>
    <w:rsid w:val="00670533"/>
    <w:rsid w:val="00670785"/>
    <w:rsid w:val="00684512"/>
    <w:rsid w:val="006B5738"/>
    <w:rsid w:val="006D3A68"/>
    <w:rsid w:val="006F134F"/>
    <w:rsid w:val="0071096A"/>
    <w:rsid w:val="00721C1D"/>
    <w:rsid w:val="007261A0"/>
    <w:rsid w:val="007267E1"/>
    <w:rsid w:val="00737F31"/>
    <w:rsid w:val="00740E3C"/>
    <w:rsid w:val="00742DB6"/>
    <w:rsid w:val="00745578"/>
    <w:rsid w:val="00753860"/>
    <w:rsid w:val="00767BEF"/>
    <w:rsid w:val="00770E48"/>
    <w:rsid w:val="00771685"/>
    <w:rsid w:val="00773B7B"/>
    <w:rsid w:val="00795D54"/>
    <w:rsid w:val="00795DD3"/>
    <w:rsid w:val="007963B2"/>
    <w:rsid w:val="007A00B0"/>
    <w:rsid w:val="007B63EF"/>
    <w:rsid w:val="007D6D2D"/>
    <w:rsid w:val="008010D9"/>
    <w:rsid w:val="00810EEE"/>
    <w:rsid w:val="00845767"/>
    <w:rsid w:val="00846892"/>
    <w:rsid w:val="00861FE8"/>
    <w:rsid w:val="0086653E"/>
    <w:rsid w:val="00871BE5"/>
    <w:rsid w:val="00882CE4"/>
    <w:rsid w:val="008A5A3C"/>
    <w:rsid w:val="008A72ED"/>
    <w:rsid w:val="008A7595"/>
    <w:rsid w:val="008D1BB6"/>
    <w:rsid w:val="008D644B"/>
    <w:rsid w:val="008F11F9"/>
    <w:rsid w:val="008F5FC4"/>
    <w:rsid w:val="008F6999"/>
    <w:rsid w:val="00914A2A"/>
    <w:rsid w:val="00916E82"/>
    <w:rsid w:val="0092685D"/>
    <w:rsid w:val="009358FC"/>
    <w:rsid w:val="00946661"/>
    <w:rsid w:val="009475FC"/>
    <w:rsid w:val="00954FA3"/>
    <w:rsid w:val="009812BB"/>
    <w:rsid w:val="00997291"/>
    <w:rsid w:val="009A32D6"/>
    <w:rsid w:val="009A4CB3"/>
    <w:rsid w:val="009B6BBA"/>
    <w:rsid w:val="009B74F8"/>
    <w:rsid w:val="009C1994"/>
    <w:rsid w:val="009F3C89"/>
    <w:rsid w:val="00A0247D"/>
    <w:rsid w:val="00A0572F"/>
    <w:rsid w:val="00A112E7"/>
    <w:rsid w:val="00A14700"/>
    <w:rsid w:val="00A23FD7"/>
    <w:rsid w:val="00A35D31"/>
    <w:rsid w:val="00A36366"/>
    <w:rsid w:val="00A46A92"/>
    <w:rsid w:val="00A53653"/>
    <w:rsid w:val="00A812CE"/>
    <w:rsid w:val="00A81499"/>
    <w:rsid w:val="00A8627F"/>
    <w:rsid w:val="00A940C3"/>
    <w:rsid w:val="00AA1D8D"/>
    <w:rsid w:val="00AC613D"/>
    <w:rsid w:val="00AE7CD1"/>
    <w:rsid w:val="00AF5763"/>
    <w:rsid w:val="00B0057A"/>
    <w:rsid w:val="00B47730"/>
    <w:rsid w:val="00B55018"/>
    <w:rsid w:val="00B65336"/>
    <w:rsid w:val="00B706FE"/>
    <w:rsid w:val="00B833D7"/>
    <w:rsid w:val="00B84976"/>
    <w:rsid w:val="00B9366D"/>
    <w:rsid w:val="00BB7812"/>
    <w:rsid w:val="00BC3479"/>
    <w:rsid w:val="00BD2953"/>
    <w:rsid w:val="00BE19C8"/>
    <w:rsid w:val="00BF27F9"/>
    <w:rsid w:val="00C02092"/>
    <w:rsid w:val="00C06514"/>
    <w:rsid w:val="00C13535"/>
    <w:rsid w:val="00C2196C"/>
    <w:rsid w:val="00C46B92"/>
    <w:rsid w:val="00C554C1"/>
    <w:rsid w:val="00C7655D"/>
    <w:rsid w:val="00CA0357"/>
    <w:rsid w:val="00CB0664"/>
    <w:rsid w:val="00CB0B61"/>
    <w:rsid w:val="00CB2C1C"/>
    <w:rsid w:val="00CB5165"/>
    <w:rsid w:val="00CC5288"/>
    <w:rsid w:val="00CD0F32"/>
    <w:rsid w:val="00CD0FB5"/>
    <w:rsid w:val="00CD50F4"/>
    <w:rsid w:val="00D032FD"/>
    <w:rsid w:val="00D10BB1"/>
    <w:rsid w:val="00D21D5A"/>
    <w:rsid w:val="00D24214"/>
    <w:rsid w:val="00D273DA"/>
    <w:rsid w:val="00D33A22"/>
    <w:rsid w:val="00D50D83"/>
    <w:rsid w:val="00D7395D"/>
    <w:rsid w:val="00D87159"/>
    <w:rsid w:val="00DA0818"/>
    <w:rsid w:val="00DA3992"/>
    <w:rsid w:val="00DB0FEA"/>
    <w:rsid w:val="00DC04D0"/>
    <w:rsid w:val="00DD76E2"/>
    <w:rsid w:val="00DE5332"/>
    <w:rsid w:val="00DF0C0E"/>
    <w:rsid w:val="00DF5314"/>
    <w:rsid w:val="00E00BAE"/>
    <w:rsid w:val="00E068D5"/>
    <w:rsid w:val="00E127A3"/>
    <w:rsid w:val="00E372AF"/>
    <w:rsid w:val="00E5085A"/>
    <w:rsid w:val="00E51646"/>
    <w:rsid w:val="00E65D9E"/>
    <w:rsid w:val="00E8446A"/>
    <w:rsid w:val="00EC215E"/>
    <w:rsid w:val="00EC24C3"/>
    <w:rsid w:val="00EC25AC"/>
    <w:rsid w:val="00F04209"/>
    <w:rsid w:val="00F072AE"/>
    <w:rsid w:val="00F12CD0"/>
    <w:rsid w:val="00F14707"/>
    <w:rsid w:val="00F15B66"/>
    <w:rsid w:val="00F25F83"/>
    <w:rsid w:val="00F40195"/>
    <w:rsid w:val="00F522E5"/>
    <w:rsid w:val="00F52AB8"/>
    <w:rsid w:val="00F63967"/>
    <w:rsid w:val="00F835E9"/>
    <w:rsid w:val="00FB3907"/>
    <w:rsid w:val="00FB7DAD"/>
    <w:rsid w:val="00FC693F"/>
    <w:rsid w:val="00FF69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C667718"/>
  <w14:defaultImageDpi w14:val="300"/>
  <w15:docId w15:val="{0B34486F-03ED-428A-A0AF-C5BE486A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1685"/>
    <w:pPr>
      <w:jc w:val="both"/>
    </w:pPr>
    <w:rPr>
      <w:rFonts w:ascii="Calibri" w:hAnsi="Calibri"/>
      <w:sz w:val="24"/>
      <w:lang w:val="es-ES"/>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6239CB"/>
    <w:rPr>
      <w:color w:val="0000FF" w:themeColor="hyperlink"/>
      <w:u w:val="single"/>
    </w:rPr>
  </w:style>
  <w:style w:type="character" w:styleId="Mencinsinresolver">
    <w:name w:val="Unresolved Mention"/>
    <w:basedOn w:val="Fuentedeprrafopredeter"/>
    <w:uiPriority w:val="99"/>
    <w:semiHidden/>
    <w:unhideWhenUsed/>
    <w:rsid w:val="006239CB"/>
    <w:rPr>
      <w:color w:val="605E5C"/>
      <w:shd w:val="clear" w:color="auto" w:fill="E1DFDD"/>
    </w:rPr>
  </w:style>
  <w:style w:type="character" w:styleId="Refdecomentario">
    <w:name w:val="annotation reference"/>
    <w:basedOn w:val="Fuentedeprrafopredeter"/>
    <w:uiPriority w:val="99"/>
    <w:semiHidden/>
    <w:unhideWhenUsed/>
    <w:rsid w:val="00CD50F4"/>
    <w:rPr>
      <w:sz w:val="16"/>
      <w:szCs w:val="16"/>
    </w:rPr>
  </w:style>
  <w:style w:type="paragraph" w:styleId="Textocomentario">
    <w:name w:val="annotation text"/>
    <w:basedOn w:val="Normal"/>
    <w:link w:val="TextocomentarioCar"/>
    <w:uiPriority w:val="99"/>
    <w:semiHidden/>
    <w:unhideWhenUsed/>
    <w:rsid w:val="00CD50F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D50F4"/>
    <w:rPr>
      <w:rFonts w:ascii="Calibri" w:hAnsi="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D50F4"/>
    <w:rPr>
      <w:b/>
      <w:bCs/>
    </w:rPr>
  </w:style>
  <w:style w:type="character" w:customStyle="1" w:styleId="AsuntodelcomentarioCar">
    <w:name w:val="Asunto del comentario Car"/>
    <w:basedOn w:val="TextocomentarioCar"/>
    <w:link w:val="Asuntodelcomentario"/>
    <w:uiPriority w:val="99"/>
    <w:semiHidden/>
    <w:rsid w:val="00CD50F4"/>
    <w:rPr>
      <w:rFonts w:ascii="Calibri" w:hAnsi="Calibri"/>
      <w:b/>
      <w:bCs/>
      <w:sz w:val="20"/>
      <w:szCs w:val="20"/>
      <w:lang w:val="es-ES"/>
    </w:rPr>
  </w:style>
  <w:style w:type="paragraph" w:styleId="Textodeglobo">
    <w:name w:val="Balloon Text"/>
    <w:basedOn w:val="Normal"/>
    <w:link w:val="TextodegloboCar"/>
    <w:uiPriority w:val="99"/>
    <w:semiHidden/>
    <w:unhideWhenUsed/>
    <w:rsid w:val="00CD50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50F4"/>
    <w:rPr>
      <w:rFonts w:ascii="Segoe UI" w:hAnsi="Segoe UI" w:cs="Segoe UI"/>
      <w:sz w:val="18"/>
      <w:szCs w:val="18"/>
      <w:lang w:val="es-ES"/>
    </w:rPr>
  </w:style>
  <w:style w:type="character" w:styleId="Hipervnculovisitado">
    <w:name w:val="FollowedHyperlink"/>
    <w:basedOn w:val="Fuentedeprrafopredeter"/>
    <w:uiPriority w:val="99"/>
    <w:semiHidden/>
    <w:unhideWhenUsed/>
    <w:rsid w:val="000B4674"/>
    <w:rPr>
      <w:color w:val="800080" w:themeColor="followedHyperlink"/>
      <w:u w:val="single"/>
    </w:rPr>
  </w:style>
  <w:style w:type="character" w:customStyle="1" w:styleId="relative">
    <w:name w:val="relative"/>
    <w:basedOn w:val="Fuentedeprrafopredeter"/>
    <w:rsid w:val="00E127A3"/>
  </w:style>
  <w:style w:type="paragraph" w:customStyle="1" w:styleId="SingleTxtG">
    <w:name w:val="_ Single Txt_G"/>
    <w:basedOn w:val="Normal"/>
    <w:qFormat/>
    <w:rsid w:val="00E8446A"/>
    <w:pPr>
      <w:spacing w:after="120" w:line="240" w:lineRule="atLeast"/>
      <w:ind w:left="1134" w:right="1134"/>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316744">
      <w:bodyDiv w:val="1"/>
      <w:marLeft w:val="0"/>
      <w:marRight w:val="0"/>
      <w:marTop w:val="0"/>
      <w:marBottom w:val="0"/>
      <w:divBdr>
        <w:top w:val="none" w:sz="0" w:space="0" w:color="auto"/>
        <w:left w:val="none" w:sz="0" w:space="0" w:color="auto"/>
        <w:bottom w:val="none" w:sz="0" w:space="0" w:color="auto"/>
        <w:right w:val="none" w:sz="0" w:space="0" w:color="auto"/>
      </w:divBdr>
    </w:div>
    <w:div w:id="18847533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fensordelpueblo.es/informe-monografico/violencia-vicaria-genero-las-otras-victimas-2024/" TargetMode="External"/><Relationship Id="rId18" Type="http://schemas.openxmlformats.org/officeDocument/2006/relationships/hyperlink" Target="https://www.defensordelpueblo.es/wp-content/uploads/2023/07/5_RI-L-4-2023_igualdad.pdf" TargetMode="External"/><Relationship Id="rId26" Type="http://schemas.openxmlformats.org/officeDocument/2006/relationships/hyperlink" Target="https://www.coe.int/en/web/greco/home/-/asset_publisher/lxOP5Yph48Zi/content/spain-publication-of-the-4th-round-2nd-addendum-to-the-2nd-compliance-report-and-5th-round-2nd-compliance-report?_com_liferay_asset_publisher_web_portlet_AssetPublisherPortlet_INSTANCE_lxOP5Yph48Zi_assetEntryId=283602703&amp;_com_liferay_asset_publisher_web_portlet_AssetPublisherPortlet_INSTANCE_lxOP5Yph48Zi_redirect=https%3A%2F%2Fwww.coe.int%2Fen%2Fweb%2Fgreco%2Fhome%3Fp_p_id%3Dcom_liferay_asset_publisher_web_portlet_AssetPublisherPortlet_INSTANCE_lxOP5Yph48Zi%26p_p_lifecycle%3D0%26p_p_state%3Dnormal%26p_p_mode%3Dview%26_com_liferay_asset_publisher_web_portlet_AssetPublisherPortlet_INSTANCE_lxOP5Yph48Zi_cur%3D0%26p_r_p_resetCur%3Dfalse%26_com_liferay_asset_publisher_web_portlet_AssetPublisherPortlet_INSTANCE_lxOP5Yph48Zi_assetEntryId%3D283602703%23p_com_liferay_asset_publisher_web_portlet_AssetPublisherPortlet_INSTANCE_lxOP5Yph48Zi" TargetMode="External"/><Relationship Id="rId3" Type="http://schemas.openxmlformats.org/officeDocument/2006/relationships/styles" Target="styles.xml"/><Relationship Id="rId21" Type="http://schemas.openxmlformats.org/officeDocument/2006/relationships/hyperlink" Target="https://www.defensordelpueblo.es/informe-anual/informe-anual-2018/"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defensordelpueblo.es/informe-anual/informe-anual-2023/" TargetMode="External"/><Relationship Id="rId17" Type="http://schemas.openxmlformats.org/officeDocument/2006/relationships/hyperlink" Target="https://www.defensordelpueblo.es/wp-content/uploads/2025/03/ANEXO-A_MNP.pdf" TargetMode="External"/><Relationship Id="rId25" Type="http://schemas.openxmlformats.org/officeDocument/2006/relationships/hyperlink" Target="https://www.defensordelpueblo.es/wp-content/uploads/2025/05/Ninas-y-ninos-extranjeros-en-Espana-solos-o-acompanados.pdf"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defensordelpueblo.es/resoluciones/reconocimiento-del-derecho-a-la-asistencia-pubica-sanitaria-para-las-mujeres-extranjeras-en-situacion-de-vulnerabilidad-social-en-la-comunidad-de-madrid/?utm_source=chatgpt.com" TargetMode="External"/><Relationship Id="rId20" Type="http://schemas.openxmlformats.org/officeDocument/2006/relationships/hyperlink" Target="https://www.defensordelpueblo.es/wp-content/uploads/2016/12/VictimasETA.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moncloa.gob.es/serviciosdeprensa/notasprensa/igualdad/paginas/2024/110424-estadisticas-mujeres-asesinadas.aspx?utm_source=chatgpt.com" TargetMode="External"/><Relationship Id="rId24" Type="http://schemas.openxmlformats.org/officeDocument/2006/relationships/hyperlink" Target="https://www.defensordelpueblo.es/resoluciones/actuaciones-y-medidas-de-los-cuerpos-y-fuerzas-de-seguridad-del-estado-en-melill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fensordelpueblo.es/wp-content/uploads/2023/07/6_RI-ley-1-2003.pdf" TargetMode="External"/><Relationship Id="rId23" Type="http://schemas.openxmlformats.org/officeDocument/2006/relationships/hyperlink" Target="https://www.defensordelpueblo.es/noticias/sucesos-melilla/" TargetMode="External"/><Relationship Id="rId28" Type="http://schemas.openxmlformats.org/officeDocument/2006/relationships/footer" Target="footer1.xml"/><Relationship Id="rId10" Type="http://schemas.openxmlformats.org/officeDocument/2006/relationships/hyperlink" Target="https://www.defensordelpueblo.es/informe-anual/informe-anual-2021/" TargetMode="External"/><Relationship Id="rId19" Type="http://schemas.openxmlformats.org/officeDocument/2006/relationships/hyperlink" Target="https://www.defensordelpueblo.es/wp-content/uploads/2024/05/4_Ley-17_2023_De-identidad-y-expresion-de-genero-e-igualdad-social.pdf?utm_source=chatgpt.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gualdad.gob.es/comunicacion/notasprensa/el-consejo-de-ministros-comunica-la-propuesta-de-nombramiento-de-maria-teresa-verdugo-como-autoridad-independiente-para-la-igualdad-de-trato-y-la-no-discriminacion/" TargetMode="External"/><Relationship Id="rId14" Type="http://schemas.openxmlformats.org/officeDocument/2006/relationships/hyperlink" Target="https://www.defensordelpueblo.es/wp-content/uploads/2025/03/Defensor-del-Pueblo_Informe-anual-2024.pdf" TargetMode="External"/><Relationship Id="rId22" Type="http://schemas.openxmlformats.org/officeDocument/2006/relationships/hyperlink" Target="https://www.defensordelpueblo.es/informe-anual/informe-anual-2019/"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customXml" Target="../customXml/item4.xml"/><Relationship Id="rId8" Type="http://schemas.openxmlformats.org/officeDocument/2006/relationships/hyperlink" Target="https://www.defensordelpueblo.es/wp-content/uploads/2025/03/Anexo_A_Estadistica_Complet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2025-05-26T10:19:25+00:00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EE1F1D2-CC5F-4EA8-9013-9EE4870AA840}">
  <ds:schemaRefs>
    <ds:schemaRef ds:uri="http://schemas.openxmlformats.org/officeDocument/2006/bibliography"/>
  </ds:schemaRefs>
</ds:datastoreItem>
</file>

<file path=customXml/itemProps2.xml><?xml version="1.0" encoding="utf-8"?>
<ds:datastoreItem xmlns:ds="http://schemas.openxmlformats.org/officeDocument/2006/customXml" ds:itemID="{92744EB5-E50B-4799-9021-28AD4020F5A3}"/>
</file>

<file path=customXml/itemProps3.xml><?xml version="1.0" encoding="utf-8"?>
<ds:datastoreItem xmlns:ds="http://schemas.openxmlformats.org/officeDocument/2006/customXml" ds:itemID="{697F4E75-CCED-4D02-B1E5-6CC8E9CBE400}"/>
</file>

<file path=customXml/itemProps4.xml><?xml version="1.0" encoding="utf-8"?>
<ds:datastoreItem xmlns:ds="http://schemas.openxmlformats.org/officeDocument/2006/customXml" ds:itemID="{593472F4-F830-4460-AD4D-687855092EF2}"/>
</file>

<file path=docProps/app.xml><?xml version="1.0" encoding="utf-8"?>
<Properties xmlns="http://schemas.openxmlformats.org/officeDocument/2006/extended-properties" xmlns:vt="http://schemas.openxmlformats.org/officeDocument/2006/docPropsVTypes">
  <Template>Normal.dotm</Template>
  <TotalTime>6</TotalTime>
  <Pages>25</Pages>
  <Words>9218</Words>
  <Characters>50700</Characters>
  <Application>Microsoft Office Word</Application>
  <DocSecurity>0</DocSecurity>
  <Lines>422</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59799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Comas-Mata Mira</dc:creator>
  <cp:keywords/>
  <dc:description/>
  <cp:lastModifiedBy>Ana González-Páramo Rodríguez</cp:lastModifiedBy>
  <cp:revision>3</cp:revision>
  <cp:lastPrinted>2025-05-22T12:13:00Z</cp:lastPrinted>
  <dcterms:created xsi:type="dcterms:W3CDTF">2025-05-22T11:50:00Z</dcterms:created>
  <dcterms:modified xsi:type="dcterms:W3CDTF">2025-05-22T12:15:00Z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