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inline distT="0" distB="0" distL="0" distR="0" wp14:anchorId="40AAB933" wp14:editId="708FB7C9">
            <wp:extent cx="1816100" cy="16891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inline>
        </w:drawing>
      </w:r>
    </w:p>
    <w:p w14:paraId="6FA62F69" w14:textId="77777777" w:rsidR="00DA50D4" w:rsidRDefault="00DA50D4" w:rsidP="00E24EB5">
      <w:pPr>
        <w:jc w:val="center"/>
        <w:rPr>
          <w:b/>
          <w:sz w:val="28"/>
          <w:szCs w:val="28"/>
          <w:highlight w:val="yellow"/>
          <w:u w:val="single"/>
        </w:rPr>
      </w:pPr>
    </w:p>
    <w:p w14:paraId="1849FB0E" w14:textId="20678973" w:rsidR="007509F7" w:rsidRPr="007000A6" w:rsidRDefault="007509F7" w:rsidP="007509F7">
      <w:pPr>
        <w:spacing w:after="120"/>
        <w:jc w:val="center"/>
        <w:rPr>
          <w:sz w:val="28"/>
          <w:szCs w:val="28"/>
        </w:rPr>
      </w:pPr>
      <w:r w:rsidRPr="007000A6">
        <w:rPr>
          <w:b/>
          <w:sz w:val="28"/>
          <w:szCs w:val="28"/>
        </w:rPr>
        <w:t xml:space="preserve">BRIEFING ON </w:t>
      </w:r>
      <w:r>
        <w:rPr>
          <w:b/>
          <w:sz w:val="28"/>
          <w:szCs w:val="28"/>
          <w:u w:val="single"/>
        </w:rPr>
        <w:t>THAILAND</w:t>
      </w:r>
      <w:r w:rsidRPr="007000A6">
        <w:rPr>
          <w:b/>
          <w:sz w:val="28"/>
          <w:szCs w:val="28"/>
        </w:rPr>
        <w:t xml:space="preserve"> FOR THE COMMITTEE ON ECONOMIC, SOCIAL AND CULTURAL RIGHTS, PRE-SESSIONAL WORKING GROUP</w:t>
      </w:r>
      <w:r>
        <w:rPr>
          <w:b/>
          <w:sz w:val="28"/>
          <w:szCs w:val="28"/>
        </w:rPr>
        <w:br/>
      </w:r>
      <w:r>
        <w:rPr>
          <w:b/>
          <w:sz w:val="28"/>
          <w:szCs w:val="28"/>
          <w:u w:val="single"/>
        </w:rPr>
        <w:t>1-5 Dec 2014</w:t>
      </w:r>
    </w:p>
    <w:p w14:paraId="69310F0B" w14:textId="77777777" w:rsidR="007509F7" w:rsidRDefault="007509F7" w:rsidP="007509F7">
      <w:pPr>
        <w:spacing w:after="120"/>
        <w:jc w:val="center"/>
        <w:rPr>
          <w:i/>
          <w:sz w:val="28"/>
          <w:szCs w:val="28"/>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Pr>
          <w:i/>
        </w:rPr>
        <w:br/>
      </w:r>
      <w:hyperlink r:id="rId13" w:history="1">
        <w:r w:rsidRPr="007000A6">
          <w:rPr>
            <w:rStyle w:val="Hyperlink"/>
            <w:i/>
          </w:rPr>
          <w:t>info@endcorporalpunishment.org</w:t>
        </w:r>
      </w:hyperlink>
      <w:r w:rsidRPr="007000A6">
        <w:rPr>
          <w:i/>
          <w:sz w:val="28"/>
          <w:szCs w:val="28"/>
        </w:rPr>
        <w:t xml:space="preserve"> </w:t>
      </w:r>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403479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4034790"/>
                        </a:xfrm>
                        <a:prstGeom prst="rect">
                          <a:avLst/>
                        </a:prstGeom>
                        <a:solidFill>
                          <a:srgbClr val="FFFFFF"/>
                        </a:solidFill>
                        <a:ln w="9525">
                          <a:solidFill>
                            <a:srgbClr val="000000"/>
                          </a:solidFill>
                          <a:miter lim="800000"/>
                          <a:headEnd/>
                          <a:tailEnd/>
                        </a:ln>
                      </wps:spPr>
                      <wps:txbx>
                        <w:txbxContent>
                          <w:p w14:paraId="1EC0C473" w14:textId="2FC78CDD" w:rsidR="007509F7" w:rsidRPr="000D3716" w:rsidRDefault="007509F7" w:rsidP="007509F7">
                            <w:pPr>
                              <w:spacing w:after="120"/>
                              <w:rPr>
                                <w:b/>
                                <w:iCs/>
                                <w:sz w:val="28"/>
                                <w:szCs w:val="28"/>
                              </w:rPr>
                            </w:pPr>
                            <w:r w:rsidRPr="000D3716">
                              <w:rPr>
                                <w:b/>
                                <w:sz w:val="28"/>
                                <w:szCs w:val="28"/>
                              </w:rPr>
                              <w:t xml:space="preserve">This briefing describes the legality of corporal punishment of children in </w:t>
                            </w:r>
                            <w:r>
                              <w:rPr>
                                <w:b/>
                                <w:sz w:val="28"/>
                                <w:szCs w:val="28"/>
                              </w:rPr>
                              <w:t>Thailand</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Thailand by the Committee on the Rights of the Child and during the Universal Periodic Review of Thailand in 2011 and the Government’s stated commitment to law reform,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3AF87086" w:rsidR="007509F7" w:rsidRPr="000D3716" w:rsidRDefault="007509F7" w:rsidP="007509F7">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Thailand</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legislation is drafted and enacted which explicitly prohibits all forms of corporal punishment in all settings, including the home</w:t>
                            </w:r>
                            <w:r w:rsidRPr="000D3716">
                              <w:rPr>
                                <w:b/>
                                <w:sz w:val="28"/>
                                <w:szCs w:val="28"/>
                              </w:rPr>
                              <w:t>?</w:t>
                            </w:r>
                          </w:p>
                          <w:p w14:paraId="07E8AD91" w14:textId="26FA5E5C" w:rsidR="00897146" w:rsidRPr="007509F7" w:rsidRDefault="007509F7" w:rsidP="007509F7">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 xml:space="preserve">Thailand’s initial/second </w:t>
                            </w:r>
                            <w:r w:rsidRPr="00E105D0">
                              <w:rPr>
                                <w:b/>
                                <w:iCs/>
                                <w:sz w:val="28"/>
                                <w:szCs w:val="28"/>
                              </w:rPr>
                              <w:t xml:space="preserve">report, </w:t>
                            </w:r>
                            <w:r>
                              <w:rPr>
                                <w:b/>
                                <w:sz w:val="28"/>
                                <w:szCs w:val="28"/>
                              </w:rPr>
                              <w:t xml:space="preserve">welcome Thailand’s commitment, made during the UPR, to prohibiting corporal punishment of children and </w:t>
                            </w:r>
                            <w:r w:rsidRPr="009D77EF">
                              <w:rPr>
                                <w:b/>
                                <w:sz w:val="28"/>
                                <w:szCs w:val="28"/>
                              </w:rPr>
                              <w:t>recommend that</w:t>
                            </w:r>
                            <w:r>
                              <w:rPr>
                                <w:b/>
                                <w:sz w:val="28"/>
                                <w:szCs w:val="28"/>
                              </w:rPr>
                              <w:t xml:space="preserve"> legislation be revised/enacted to ensure clear prohibition in law of all corporal punishment and the repeal of the right to administer “reasonable punishment” in the Civil and Commercial Code</w:t>
                            </w:r>
                            <w:r>
                              <w:rPr>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317.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">
                <v:textbox style="mso-fit-shape-to-text:t">
                  <w:txbxContent>
                    <w:p w14:paraId="1EC0C473" w14:textId="2FC78CDD" w:rsidR="007509F7" w:rsidRPr="000D3716" w:rsidRDefault="007509F7" w:rsidP="007509F7">
                      <w:pPr>
                        <w:spacing w:after="120"/>
                        <w:rPr>
                          <w:b/>
                          <w:iCs/>
                          <w:sz w:val="28"/>
                          <w:szCs w:val="28"/>
                        </w:rPr>
                      </w:pPr>
                      <w:r w:rsidRPr="000D3716">
                        <w:rPr>
                          <w:b/>
                          <w:sz w:val="28"/>
                          <w:szCs w:val="28"/>
                        </w:rPr>
                        <w:t xml:space="preserve">This briefing describes the legality of corporal punishment of children in </w:t>
                      </w:r>
                      <w:r>
                        <w:rPr>
                          <w:b/>
                          <w:sz w:val="28"/>
                          <w:szCs w:val="28"/>
                        </w:rPr>
                        <w:t>Thailand</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w:t>
                      </w:r>
                      <w:r>
                        <w:rPr>
                          <w:b/>
                          <w:sz w:val="28"/>
                          <w:szCs w:val="28"/>
                        </w:rPr>
                        <w:t>Thailand</w:t>
                      </w:r>
                      <w:r>
                        <w:rPr>
                          <w:b/>
                          <w:sz w:val="28"/>
                          <w:szCs w:val="28"/>
                        </w:rPr>
                        <w:t xml:space="preserve"> by the Committee on the Rights of the Child and durin</w:t>
                      </w:r>
                      <w:r>
                        <w:rPr>
                          <w:b/>
                          <w:sz w:val="28"/>
                          <w:szCs w:val="28"/>
                        </w:rPr>
                        <w:t>g the Universal Periodic Review</w:t>
                      </w:r>
                      <w:r>
                        <w:rPr>
                          <w:b/>
                          <w:sz w:val="28"/>
                          <w:szCs w:val="28"/>
                        </w:rPr>
                        <w:t xml:space="preserve"> of </w:t>
                      </w:r>
                      <w:r>
                        <w:rPr>
                          <w:b/>
                          <w:sz w:val="28"/>
                          <w:szCs w:val="28"/>
                        </w:rPr>
                        <w:t>Thailand</w:t>
                      </w:r>
                      <w:r>
                        <w:rPr>
                          <w:b/>
                          <w:sz w:val="28"/>
                          <w:szCs w:val="28"/>
                        </w:rPr>
                        <w:t xml:space="preserve"> in </w:t>
                      </w:r>
                      <w:r>
                        <w:rPr>
                          <w:b/>
                          <w:sz w:val="28"/>
                          <w:szCs w:val="28"/>
                        </w:rPr>
                        <w:t>2011 and the Government’s stated commitment to law reform</w:t>
                      </w:r>
                      <w:r>
                        <w:rPr>
                          <w:b/>
                          <w:sz w:val="28"/>
                          <w:szCs w:val="28"/>
                        </w:rPr>
                        <w:t xml:space="preserve">,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3AF87086" w:rsidR="007509F7" w:rsidRPr="000D3716" w:rsidRDefault="007509F7" w:rsidP="007509F7">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Thailand</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legislation is drafted and enacted which explicitly prohibits all forms of corporal punishment</w:t>
                      </w:r>
                      <w:r>
                        <w:rPr>
                          <w:b/>
                          <w:sz w:val="28"/>
                          <w:szCs w:val="28"/>
                        </w:rPr>
                        <w:t xml:space="preserve"> in all settings</w:t>
                      </w:r>
                      <w:r>
                        <w:rPr>
                          <w:b/>
                          <w:sz w:val="28"/>
                          <w:szCs w:val="28"/>
                        </w:rPr>
                        <w:t>, including</w:t>
                      </w:r>
                      <w:r>
                        <w:rPr>
                          <w:b/>
                          <w:sz w:val="28"/>
                          <w:szCs w:val="28"/>
                        </w:rPr>
                        <w:t xml:space="preserve"> </w:t>
                      </w:r>
                      <w:r>
                        <w:rPr>
                          <w:b/>
                          <w:sz w:val="28"/>
                          <w:szCs w:val="28"/>
                        </w:rPr>
                        <w:t>the home</w:t>
                      </w:r>
                      <w:r w:rsidRPr="000D3716">
                        <w:rPr>
                          <w:b/>
                          <w:sz w:val="28"/>
                          <w:szCs w:val="28"/>
                        </w:rPr>
                        <w:t>?</w:t>
                      </w:r>
                    </w:p>
                    <w:p w14:paraId="07E8AD91" w14:textId="26FA5E5C" w:rsidR="00897146" w:rsidRPr="007509F7" w:rsidRDefault="007509F7" w:rsidP="007509F7">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Thailand</w:t>
                      </w:r>
                      <w:r>
                        <w:rPr>
                          <w:b/>
                          <w:iCs/>
                          <w:sz w:val="28"/>
                          <w:szCs w:val="28"/>
                        </w:rPr>
                        <w:t xml:space="preserve">’s </w:t>
                      </w:r>
                      <w:r>
                        <w:rPr>
                          <w:b/>
                          <w:iCs/>
                          <w:sz w:val="28"/>
                          <w:szCs w:val="28"/>
                        </w:rPr>
                        <w:t>initial/</w:t>
                      </w:r>
                      <w:r>
                        <w:rPr>
                          <w:b/>
                          <w:iCs/>
                          <w:sz w:val="28"/>
                          <w:szCs w:val="28"/>
                        </w:rPr>
                        <w:t xml:space="preserve">second </w:t>
                      </w:r>
                      <w:r w:rsidRPr="00E105D0">
                        <w:rPr>
                          <w:b/>
                          <w:iCs/>
                          <w:sz w:val="28"/>
                          <w:szCs w:val="28"/>
                        </w:rPr>
                        <w:t xml:space="preserve">report, </w:t>
                      </w:r>
                      <w:r>
                        <w:rPr>
                          <w:b/>
                          <w:sz w:val="28"/>
                          <w:szCs w:val="28"/>
                        </w:rPr>
                        <w:t xml:space="preserve">welcome </w:t>
                      </w:r>
                      <w:r>
                        <w:rPr>
                          <w:b/>
                          <w:sz w:val="28"/>
                          <w:szCs w:val="28"/>
                        </w:rPr>
                        <w:t>Thailand</w:t>
                      </w:r>
                      <w:r>
                        <w:rPr>
                          <w:b/>
                          <w:sz w:val="28"/>
                          <w:szCs w:val="28"/>
                        </w:rPr>
                        <w:t xml:space="preserve">’s commitment, made during the UPR, to prohibiting corporal punishment of children and </w:t>
                      </w:r>
                      <w:r w:rsidRPr="009D77EF">
                        <w:rPr>
                          <w:b/>
                          <w:sz w:val="28"/>
                          <w:szCs w:val="28"/>
                        </w:rPr>
                        <w:t>recommend that</w:t>
                      </w:r>
                      <w:r>
                        <w:rPr>
                          <w:b/>
                          <w:sz w:val="28"/>
                          <w:szCs w:val="28"/>
                        </w:rPr>
                        <w:t xml:space="preserve"> </w:t>
                      </w:r>
                      <w:r>
                        <w:rPr>
                          <w:b/>
                          <w:sz w:val="28"/>
                          <w:szCs w:val="28"/>
                        </w:rPr>
                        <w:t>legislation be revised/enacted to ensure clear prohibition in law of all corporal punishment and the repeal of the right to administer “reasonable punishment” in the Civil and Commercial Code</w:t>
                      </w:r>
                      <w:r>
                        <w:rPr>
                          <w:sz w:val="28"/>
                          <w:szCs w:val="28"/>
                        </w:rPr>
                        <w: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6B3241E8" w14:textId="5A5FF078" w:rsidR="005A7A97" w:rsidRDefault="00B9701A" w:rsidP="005A7A97">
      <w:pPr>
        <w:spacing w:after="120"/>
        <w:rPr>
          <w:b/>
          <w:sz w:val="28"/>
          <w:szCs w:val="28"/>
        </w:rPr>
      </w:pPr>
      <w:r>
        <w:rPr>
          <w:b/>
          <w:sz w:val="28"/>
          <w:szCs w:val="28"/>
        </w:rPr>
        <w:t xml:space="preserve">1 </w:t>
      </w:r>
      <w:r w:rsidR="00AD4701">
        <w:rPr>
          <w:b/>
          <w:sz w:val="28"/>
          <w:szCs w:val="28"/>
        </w:rPr>
        <w:t>Thailand</w:t>
      </w:r>
      <w:r w:rsidR="005A7A97">
        <w:rPr>
          <w:b/>
          <w:sz w:val="28"/>
          <w:szCs w:val="28"/>
        </w:rPr>
        <w:t>’s report</w:t>
      </w:r>
      <w:r w:rsidR="00E520EF">
        <w:rPr>
          <w:b/>
          <w:sz w:val="28"/>
          <w:szCs w:val="28"/>
        </w:rPr>
        <w:t xml:space="preserve"> </w:t>
      </w:r>
      <w:r w:rsidR="008B273F" w:rsidRPr="00F01BFF">
        <w:rPr>
          <w:b/>
          <w:sz w:val="28"/>
          <w:szCs w:val="28"/>
        </w:rPr>
        <w:t>to the Committee</w:t>
      </w:r>
      <w:r w:rsidR="008B273F">
        <w:rPr>
          <w:b/>
          <w:sz w:val="28"/>
          <w:szCs w:val="28"/>
        </w:rPr>
        <w:t xml:space="preserve"> on </w:t>
      </w:r>
      <w:r w:rsidR="005A7A97">
        <w:rPr>
          <w:b/>
          <w:sz w:val="28"/>
          <w:szCs w:val="28"/>
        </w:rPr>
        <w:t>Economic, Social and Cultural Rights</w:t>
      </w:r>
    </w:p>
    <w:p w14:paraId="1A59BFB6" w14:textId="2AAD3BD0" w:rsidR="00664DF4" w:rsidRDefault="007509F7" w:rsidP="005A7A97">
      <w:pPr>
        <w:pStyle w:val="ListParagraph"/>
        <w:numPr>
          <w:ilvl w:val="1"/>
          <w:numId w:val="13"/>
        </w:numPr>
        <w:spacing w:after="120"/>
      </w:pPr>
      <w:r>
        <w:t>Thailand’s initial/second report to the Committee on Economic, Social and Cultural Rights describes measures aimed at protecting women and children from violence within the family.</w:t>
      </w:r>
      <w:r>
        <w:rPr>
          <w:rStyle w:val="FootnoteReference"/>
        </w:rPr>
        <w:footnoteReference w:id="1"/>
      </w:r>
      <w:r>
        <w:t xml:space="preserve"> However, it makes no reference to violence that may lawfully be inflicted on children in the home under the authority of the parental right to administer “reasonable” punishment.</w:t>
      </w:r>
    </w:p>
    <w:p w14:paraId="6FD92DFE" w14:textId="217F2D52" w:rsidR="007509F7" w:rsidRPr="007509F7" w:rsidRDefault="007509F7" w:rsidP="005A7A97">
      <w:pPr>
        <w:pStyle w:val="ListParagraph"/>
        <w:numPr>
          <w:ilvl w:val="1"/>
          <w:numId w:val="13"/>
        </w:numPr>
        <w:spacing w:after="120"/>
      </w:pPr>
      <w:r w:rsidRPr="007509F7">
        <w:lastRenderedPageBreak/>
        <w:t xml:space="preserve">We hope the Committee will raise this issue in its examination of Thailand’s report, emphasising that no home can be violence-free when the law fails to protect children from all forms of corporal punishment. </w:t>
      </w:r>
      <w:bookmarkStart w:id="0" w:name="_GoBack"/>
      <w:r w:rsidRPr="004428DE">
        <w:rPr>
          <w:b/>
        </w:rPr>
        <w:t>We hope the Committee will recommendation</w:t>
      </w:r>
      <w:r w:rsidRPr="007509F7">
        <w:t xml:space="preserve"> </w:t>
      </w:r>
      <w:bookmarkEnd w:id="0"/>
      <w:r w:rsidRPr="007509F7">
        <w:rPr>
          <w:b/>
        </w:rPr>
        <w:t>that legislation be revised/enacted in Thailand to ensure clear prohibition in law of all corporal punishment and the repeal of the right to administer “reasonable punishment” in the Civil and Commercial Code</w:t>
      </w:r>
      <w:r w:rsidRPr="007509F7">
        <w:t>.</w:t>
      </w:r>
    </w:p>
    <w:p w14:paraId="43C35B10" w14:textId="77777777" w:rsidR="005A7A97" w:rsidRPr="00F318C2" w:rsidRDefault="005A7A97" w:rsidP="005A7A97">
      <w:pPr>
        <w:spacing w:after="120"/>
      </w:pPr>
    </w:p>
    <w:p w14:paraId="001C6B0F" w14:textId="5EEA2E08" w:rsidR="008B273F" w:rsidRPr="00F01BFF" w:rsidRDefault="008B273F" w:rsidP="005E7FE5">
      <w:pPr>
        <w:spacing w:after="120"/>
        <w:ind w:left="482" w:hanging="482"/>
        <w:rPr>
          <w:sz w:val="28"/>
          <w:szCs w:val="28"/>
        </w:rPr>
      </w:pPr>
      <w:r>
        <w:rPr>
          <w:b/>
          <w:sz w:val="28"/>
          <w:szCs w:val="28"/>
        </w:rPr>
        <w:t>2 The legality</w:t>
      </w:r>
      <w:r w:rsidR="00BA18B9">
        <w:rPr>
          <w:b/>
          <w:sz w:val="28"/>
          <w:szCs w:val="28"/>
        </w:rPr>
        <w:t xml:space="preserve"> </w:t>
      </w:r>
      <w:r>
        <w:rPr>
          <w:b/>
          <w:sz w:val="28"/>
          <w:szCs w:val="28"/>
        </w:rPr>
        <w:t>of c</w:t>
      </w:r>
      <w:r w:rsidRPr="00F01BFF">
        <w:rPr>
          <w:b/>
          <w:sz w:val="28"/>
          <w:szCs w:val="28"/>
        </w:rPr>
        <w:t xml:space="preserve">orporal punishment of children in </w:t>
      </w:r>
      <w:r w:rsidR="00897146">
        <w:rPr>
          <w:b/>
          <w:sz w:val="28"/>
          <w:szCs w:val="28"/>
        </w:rPr>
        <w:t>Thailand</w:t>
      </w:r>
    </w:p>
    <w:p w14:paraId="53604CE3" w14:textId="77777777" w:rsidR="00897146" w:rsidRPr="007509F7" w:rsidRDefault="00897146" w:rsidP="007509F7">
      <w:pPr>
        <w:spacing w:after="120"/>
        <w:ind w:left="482" w:hanging="482"/>
      </w:pPr>
      <w:r w:rsidRPr="007509F7">
        <w:t xml:space="preserve">2.1 </w:t>
      </w:r>
      <w:r w:rsidRPr="007509F7">
        <w:rPr>
          <w:b/>
          <w:i/>
        </w:rPr>
        <w:t>Summary:</w:t>
      </w:r>
      <w:r w:rsidRPr="007509F7">
        <w:t xml:space="preserve"> In Thailand, corporal punishment is unlawful in the penal system and in schools but it is not prohibited in the home and in all alternative care and day care settings. The Government expressed its commitment to enacting prohibiting legislation when it accepted the recommendations to do so made during the Universal Periodic Review of Thailand in 2011.</w:t>
      </w:r>
      <w:r w:rsidRPr="007509F7">
        <w:rPr>
          <w:rStyle w:val="FootnoteReference"/>
        </w:rPr>
        <w:footnoteReference w:id="2"/>
      </w:r>
    </w:p>
    <w:p w14:paraId="30728492" w14:textId="77777777" w:rsidR="00897146" w:rsidRPr="007509F7" w:rsidRDefault="00897146" w:rsidP="007509F7">
      <w:pPr>
        <w:spacing w:after="120"/>
        <w:ind w:left="482" w:hanging="482"/>
      </w:pPr>
      <w:r w:rsidRPr="007509F7">
        <w:t xml:space="preserve">2.2 </w:t>
      </w:r>
      <w:r w:rsidRPr="007509F7">
        <w:rPr>
          <w:b/>
          <w:i/>
        </w:rPr>
        <w:t>Home (</w:t>
      </w:r>
      <w:r w:rsidRPr="007509F7">
        <w:rPr>
          <w:b/>
          <w:i/>
          <w:u w:val="single"/>
        </w:rPr>
        <w:t>lawful</w:t>
      </w:r>
      <w:r w:rsidRPr="007509F7">
        <w:rPr>
          <w:b/>
          <w:i/>
        </w:rPr>
        <w:t>):</w:t>
      </w:r>
      <w:r w:rsidRPr="007509F7">
        <w:rPr>
          <w:i/>
        </w:rPr>
        <w:t xml:space="preserve"> </w:t>
      </w:r>
      <w:r w:rsidRPr="007509F7">
        <w:t>Article 1567 of the Civil and Commercial Code states: “A person exercising parental power has the right … (2) to punish the child in a reasonable manner for disciplinary purposes.” Provisions against violence and abuse in the Revised Penal Code 2003, the Child Protection Act 2003, the Criminal Procedure Code, the Domestic Violence Act 2007 and the Constitution 2007 are not interpreted as prohibiting all corporal punishment in childrearing.</w:t>
      </w:r>
    </w:p>
    <w:p w14:paraId="2DE2D523" w14:textId="19F95BA3" w:rsidR="00897146" w:rsidRPr="007509F7" w:rsidRDefault="00897146" w:rsidP="007509F7">
      <w:pPr>
        <w:pStyle w:val="Default"/>
        <w:spacing w:after="120"/>
        <w:ind w:left="482" w:hanging="482"/>
        <w:rPr>
          <w:rFonts w:ascii="Times New Roman" w:hAnsi="Times New Roman"/>
          <w:color w:val="auto"/>
        </w:rPr>
      </w:pPr>
      <w:r w:rsidRPr="007509F7">
        <w:rPr>
          <w:rFonts w:ascii="Times New Roman" w:hAnsi="Times New Roman"/>
        </w:rPr>
        <w:t>2.</w:t>
      </w:r>
      <w:r w:rsidR="007509F7">
        <w:rPr>
          <w:rFonts w:ascii="Times New Roman" w:hAnsi="Times New Roman"/>
        </w:rPr>
        <w:t>3</w:t>
      </w:r>
      <w:r w:rsidRPr="007509F7">
        <w:rPr>
          <w:rFonts w:ascii="Times New Roman" w:hAnsi="Times New Roman"/>
        </w:rPr>
        <w:t xml:space="preserve"> </w:t>
      </w:r>
      <w:r w:rsidRPr="007509F7">
        <w:rPr>
          <w:rFonts w:ascii="Times New Roman" w:hAnsi="Times New Roman"/>
          <w:b/>
          <w:i/>
        </w:rPr>
        <w:t>Alternative care settings (</w:t>
      </w:r>
      <w:r w:rsidRPr="007509F7">
        <w:rPr>
          <w:rFonts w:ascii="Times New Roman" w:hAnsi="Times New Roman"/>
          <w:b/>
          <w:i/>
          <w:u w:val="single"/>
        </w:rPr>
        <w:t>lawful</w:t>
      </w:r>
      <w:r w:rsidRPr="007509F7">
        <w:rPr>
          <w:rFonts w:ascii="Times New Roman" w:hAnsi="Times New Roman"/>
          <w:b/>
          <w:i/>
        </w:rPr>
        <w:t>):</w:t>
      </w:r>
      <w:r w:rsidRPr="007509F7">
        <w:rPr>
          <w:rFonts w:ascii="Times New Roman" w:hAnsi="Times New Roman"/>
          <w:i/>
        </w:rPr>
        <w:t xml:space="preserve"> </w:t>
      </w:r>
      <w:r w:rsidRPr="007509F7">
        <w:rPr>
          <w:rFonts w:ascii="Times New Roman" w:hAnsi="Times New Roman"/>
          <w:color w:val="auto"/>
        </w:rPr>
        <w:t>The Government has stated that corporal punishment is prohibited in the Regulation of the Ministry of Social Development and Human Security on Child Punishment of 2005</w:t>
      </w:r>
      <w:r w:rsidR="007509F7">
        <w:rPr>
          <w:rFonts w:ascii="Times New Roman" w:hAnsi="Times New Roman"/>
          <w:color w:val="auto"/>
        </w:rPr>
        <w:t>,</w:t>
      </w:r>
      <w:r w:rsidRPr="007509F7">
        <w:rPr>
          <w:rFonts w:ascii="Times New Roman" w:hAnsi="Times New Roman"/>
          <w:color w:val="auto"/>
        </w:rPr>
        <w:t xml:space="preserve"> which does not include corporal punishment among permitted disciplinary measures.</w:t>
      </w:r>
      <w:r w:rsidRPr="007509F7">
        <w:rPr>
          <w:rStyle w:val="FootnoteReference"/>
          <w:rFonts w:ascii="Times New Roman" w:hAnsi="Times New Roman"/>
          <w:color w:val="auto"/>
        </w:rPr>
        <w:footnoteReference w:id="3"/>
      </w:r>
      <w:r w:rsidRPr="007509F7">
        <w:rPr>
          <w:rFonts w:ascii="Times New Roman" w:hAnsi="Times New Roman"/>
          <w:color w:val="auto"/>
        </w:rPr>
        <w:t xml:space="preserve"> However, the prohibition appears to apply only to corporal punishment of a certain severity: under article 61 of the Child Protection Act 2003 an owner, guardian of safety, and staff of a nursery, remand home, welfare centre, safety protection centre and development and rehabilitation centre must not mentally or physically assault or impose harsh punishment on any child under their care and guardianship, “except where such acts are reasonably applied for disciplinary purposes in accordance with the regulations specified by the Minister”. Article 65 of the Act provides for punishment of children</w:t>
      </w:r>
      <w:r w:rsidR="007509F7">
        <w:rPr>
          <w:rFonts w:ascii="Times New Roman" w:hAnsi="Times New Roman"/>
          <w:color w:val="auto"/>
        </w:rPr>
        <w:t>,</w:t>
      </w:r>
      <w:r w:rsidRPr="007509F7">
        <w:rPr>
          <w:rFonts w:ascii="Times New Roman" w:hAnsi="Times New Roman"/>
          <w:color w:val="auto"/>
        </w:rPr>
        <w:t xml:space="preserve"> which must be “carried out reasonably for disciplinary purposes”.</w:t>
      </w:r>
    </w:p>
    <w:p w14:paraId="72177AE6" w14:textId="5CF3C41E" w:rsidR="00897146" w:rsidRPr="007509F7" w:rsidRDefault="00897146" w:rsidP="007509F7">
      <w:pPr>
        <w:pStyle w:val="Default"/>
        <w:spacing w:after="120"/>
        <w:ind w:left="482" w:hanging="482"/>
        <w:rPr>
          <w:rFonts w:ascii="Times New Roman" w:hAnsi="Times New Roman"/>
          <w:color w:val="auto"/>
        </w:rPr>
      </w:pPr>
      <w:r w:rsidRPr="007509F7">
        <w:rPr>
          <w:rFonts w:ascii="Times New Roman" w:hAnsi="Times New Roman"/>
        </w:rPr>
        <w:t>2.</w:t>
      </w:r>
      <w:r w:rsidR="007509F7">
        <w:rPr>
          <w:rFonts w:ascii="Times New Roman" w:hAnsi="Times New Roman"/>
        </w:rPr>
        <w:t>4</w:t>
      </w:r>
      <w:r w:rsidRPr="007509F7">
        <w:rPr>
          <w:rFonts w:ascii="Times New Roman" w:hAnsi="Times New Roman"/>
        </w:rPr>
        <w:t xml:space="preserve"> </w:t>
      </w:r>
      <w:r w:rsidRPr="007509F7">
        <w:rPr>
          <w:rFonts w:ascii="Times New Roman" w:hAnsi="Times New Roman"/>
          <w:b/>
          <w:i/>
        </w:rPr>
        <w:t>Day care (</w:t>
      </w:r>
      <w:r w:rsidRPr="007509F7">
        <w:rPr>
          <w:rFonts w:ascii="Times New Roman" w:hAnsi="Times New Roman"/>
          <w:b/>
          <w:i/>
          <w:u w:val="single"/>
        </w:rPr>
        <w:t>lawful</w:t>
      </w:r>
      <w:r w:rsidRPr="007509F7">
        <w:rPr>
          <w:rFonts w:ascii="Times New Roman" w:hAnsi="Times New Roman"/>
          <w:b/>
          <w:i/>
        </w:rPr>
        <w:t>):</w:t>
      </w:r>
      <w:r w:rsidRPr="007509F7">
        <w:rPr>
          <w:rFonts w:ascii="Times New Roman" w:hAnsi="Times New Roman"/>
          <w:i/>
        </w:rPr>
        <w:t xml:space="preserve"> </w:t>
      </w:r>
      <w:r w:rsidRPr="007509F7">
        <w:rPr>
          <w:rFonts w:ascii="Times New Roman" w:hAnsi="Times New Roman"/>
          <w:color w:val="auto"/>
        </w:rPr>
        <w:t xml:space="preserve">Corporal punishment is lawful in early childhood centres and in day care for older children under articles 61 and 65 of the Child Protection Act 2003 (see </w:t>
      </w:r>
      <w:proofErr w:type="spellStart"/>
      <w:r w:rsidR="007509F7">
        <w:rPr>
          <w:rFonts w:ascii="Times New Roman" w:hAnsi="Times New Roman"/>
          <w:color w:val="auto"/>
        </w:rPr>
        <w:t>para</w:t>
      </w:r>
      <w:proofErr w:type="spellEnd"/>
      <w:r w:rsidR="007509F7">
        <w:rPr>
          <w:rFonts w:ascii="Times New Roman" w:hAnsi="Times New Roman"/>
          <w:color w:val="auto"/>
        </w:rPr>
        <w:t>. 2.3</w:t>
      </w:r>
      <w:r w:rsidRPr="007509F7">
        <w:rPr>
          <w:rFonts w:ascii="Times New Roman" w:hAnsi="Times New Roman"/>
          <w:color w:val="auto"/>
        </w:rPr>
        <w:t xml:space="preserve">) and article 1567 of the Civil and Commercial Code (see </w:t>
      </w:r>
      <w:proofErr w:type="spellStart"/>
      <w:r w:rsidRPr="007509F7">
        <w:rPr>
          <w:rFonts w:ascii="Times New Roman" w:hAnsi="Times New Roman"/>
          <w:color w:val="auto"/>
        </w:rPr>
        <w:t>para</w:t>
      </w:r>
      <w:proofErr w:type="spellEnd"/>
      <w:r w:rsidRPr="007509F7">
        <w:rPr>
          <w:rFonts w:ascii="Times New Roman" w:hAnsi="Times New Roman"/>
          <w:color w:val="auto"/>
        </w:rPr>
        <w:t>. 2.2).</w:t>
      </w:r>
    </w:p>
    <w:p w14:paraId="09D2CBEF" w14:textId="1D613278" w:rsidR="00897146" w:rsidRPr="007509F7" w:rsidRDefault="00897146" w:rsidP="007509F7">
      <w:pPr>
        <w:spacing w:after="120"/>
        <w:ind w:left="482" w:hanging="482"/>
      </w:pPr>
      <w:r w:rsidRPr="007509F7">
        <w:t>2.</w:t>
      </w:r>
      <w:r w:rsidR="007509F7">
        <w:t>5</w:t>
      </w:r>
      <w:r w:rsidRPr="007509F7">
        <w:t xml:space="preserve"> </w:t>
      </w:r>
      <w:r w:rsidRPr="007509F7">
        <w:rPr>
          <w:b/>
          <w:i/>
        </w:rPr>
        <w:t>Schools (</w:t>
      </w:r>
      <w:r w:rsidRPr="007509F7">
        <w:rPr>
          <w:b/>
          <w:i/>
          <w:u w:val="single"/>
        </w:rPr>
        <w:t>unlawful</w:t>
      </w:r>
      <w:r w:rsidRPr="007509F7">
        <w:rPr>
          <w:b/>
          <w:i/>
        </w:rPr>
        <w:t>):</w:t>
      </w:r>
      <w:r w:rsidRPr="007509F7">
        <w:rPr>
          <w:i/>
        </w:rPr>
        <w:t xml:space="preserve"> </w:t>
      </w:r>
      <w:r w:rsidRPr="007509F7">
        <w:t>Corporal punishment was prohibited in schools in 2000, when the Regulation on the Punishment of Students 2000 did not include caning among permitted disciplinary measures. This was subsequently revised and the Ministry of Education Regulation on Student Punishment 2005 similarly does not include corporal punishment among permitted disciplinary measures. Article 6 of the Regulation states (unofficial translation): “It is prohibited to punish pupils and students with violent methods or with harmful, angry or revengeful intention….” The Regulation on the Promotion and Protection of the Rights of Children and Juveniles in Educational Establishments 2000 states in article 8: “Punishment of children and youth must not be carried out with torture or harsh treatment to the body or mind, by cruel, humiliating, inhumane means, or in any inappropriate manner.”</w:t>
      </w:r>
    </w:p>
    <w:p w14:paraId="76E64565" w14:textId="2912438B" w:rsidR="00897146" w:rsidRPr="007509F7" w:rsidRDefault="00897146" w:rsidP="007509F7">
      <w:pPr>
        <w:spacing w:after="120"/>
        <w:ind w:left="482" w:hanging="482"/>
      </w:pPr>
      <w:r w:rsidRPr="007509F7">
        <w:t>2.</w:t>
      </w:r>
      <w:r w:rsidR="007509F7">
        <w:t>6</w:t>
      </w:r>
      <w:r w:rsidRPr="007509F7">
        <w:t xml:space="preserve"> </w:t>
      </w:r>
      <w:r w:rsidRPr="007509F7">
        <w:rPr>
          <w:b/>
          <w:i/>
        </w:rPr>
        <w:t>Penal institutions (</w:t>
      </w:r>
      <w:r w:rsidRPr="007509F7">
        <w:rPr>
          <w:b/>
          <w:i/>
          <w:u w:val="single"/>
        </w:rPr>
        <w:t>unlawful</w:t>
      </w:r>
      <w:r w:rsidRPr="007509F7">
        <w:rPr>
          <w:b/>
          <w:i/>
        </w:rPr>
        <w:t>):</w:t>
      </w:r>
      <w:r w:rsidRPr="007509F7">
        <w:rPr>
          <w:i/>
        </w:rPr>
        <w:t xml:space="preserve"> </w:t>
      </w:r>
      <w:r w:rsidRPr="007509F7">
        <w:t xml:space="preserve">Corporal punishment is unlawful but some legislation is possibly still to be repealed. The Ministry of Justice Regulation on Children and Youth Punishment and Provisional Permission for Children and Youth 2003 pursuant to the Child Protection Act, does not include corporal punishment among permitted disciplinary measures; it does, however, authorise the imposition of hard labour (art. 4). Neither is corporal punishment among permitted </w:t>
      </w:r>
      <w:r w:rsidRPr="007509F7">
        <w:lastRenderedPageBreak/>
        <w:t>disciplinary actions in the Military Prisons Act 2007: previously the Military Prisons Act 1936 had authorised caning. In February 2013, the Government reported that caning may no longer be carried out because provisions for it have been repealed by a Ministerial Regulation under the Corrections Act.</w:t>
      </w:r>
      <w:r w:rsidRPr="007509F7">
        <w:rPr>
          <w:rStyle w:val="FootnoteReference"/>
        </w:rPr>
        <w:footnoteReference w:id="4"/>
      </w:r>
    </w:p>
    <w:p w14:paraId="7B012F05" w14:textId="0EB7980E" w:rsidR="00897146" w:rsidRPr="007509F7" w:rsidRDefault="007509F7" w:rsidP="007509F7">
      <w:pPr>
        <w:spacing w:after="120"/>
        <w:ind w:left="482" w:hanging="482"/>
      </w:pPr>
      <w:r>
        <w:t>2.7</w:t>
      </w:r>
      <w:r w:rsidR="00897146" w:rsidRPr="007509F7">
        <w:t xml:space="preserve"> Notwithstanding the above, there are a number of legal authorisation</w:t>
      </w:r>
      <w:r>
        <w:t>s</w:t>
      </w:r>
      <w:r w:rsidR="00897146" w:rsidRPr="007509F7">
        <w:t xml:space="preserve"> for flogging and whipping of </w:t>
      </w:r>
      <w:proofErr w:type="gramStart"/>
      <w:r w:rsidR="00897146" w:rsidRPr="007509F7">
        <w:t>children which</w:t>
      </w:r>
      <w:proofErr w:type="gramEnd"/>
      <w:r w:rsidR="00897146" w:rsidRPr="007509F7">
        <w:t xml:space="preserve"> have possibly not yet been repealed. The Establishment of Juvenile and Family Court and Procedure Act 1991 allows the Director of an observation and protection centre to order a child to be flogged for disciplinary breaches. The Training Arrangement for Certain Groups of Children Act 1936 provides for whipping up to 10 strokes of children in correctional schools, vocational training schools and penitentiaries (art. 11). The Ministry of Interior Regulation on Punishment of Certain Groups of Children 1937 specifies that the rod to be used must not exceed 75cm in length and 0.5cm in diameter (reg. 4).</w:t>
      </w:r>
    </w:p>
    <w:p w14:paraId="7775D26B" w14:textId="0334DCF9" w:rsidR="00897146" w:rsidRPr="007509F7" w:rsidRDefault="00897146" w:rsidP="007509F7">
      <w:pPr>
        <w:spacing w:after="120"/>
        <w:ind w:left="482" w:hanging="482"/>
      </w:pPr>
      <w:r w:rsidRPr="007509F7">
        <w:t>2.</w:t>
      </w:r>
      <w:r w:rsidR="007509F7">
        <w:t>8</w:t>
      </w:r>
      <w:r w:rsidRPr="007509F7">
        <w:t xml:space="preserve"> </w:t>
      </w:r>
      <w:r w:rsidRPr="007509F7">
        <w:rPr>
          <w:b/>
          <w:i/>
        </w:rPr>
        <w:t>Sentence for crime (</w:t>
      </w:r>
      <w:r w:rsidRPr="007509F7">
        <w:rPr>
          <w:b/>
          <w:i/>
          <w:u w:val="single"/>
        </w:rPr>
        <w:t>unlawful</w:t>
      </w:r>
      <w:r w:rsidRPr="007509F7">
        <w:rPr>
          <w:b/>
          <w:i/>
        </w:rPr>
        <w:t>):</w:t>
      </w:r>
      <w:r w:rsidRPr="007509F7">
        <w:rPr>
          <w:i/>
        </w:rPr>
        <w:t xml:space="preserve"> </w:t>
      </w:r>
      <w:r w:rsidRPr="007509F7">
        <w:t>Corporal punishment is prohibited as a sentence for crime under the Revised Penal Code 2003, but provisions in the Establishment of Juvenile and Family Court and Procedure Act 1991 allowing courts to order flogging of children and young people in observation and protection centres (art. 39) are possibly still to be repealed.</w:t>
      </w:r>
    </w:p>
    <w:p w14:paraId="419B8B85" w14:textId="77777777" w:rsidR="00134293" w:rsidRPr="007509F7" w:rsidRDefault="00134293" w:rsidP="007509F7">
      <w:pPr>
        <w:spacing w:after="120"/>
        <w:ind w:left="482" w:hanging="482"/>
        <w:rPr>
          <w:b/>
          <w:u w:val="single"/>
        </w:rPr>
      </w:pPr>
    </w:p>
    <w:p w14:paraId="7C78820D" w14:textId="281760C9" w:rsidR="008C7410" w:rsidRPr="0004206A" w:rsidRDefault="0004206A" w:rsidP="008C7410">
      <w:pPr>
        <w:spacing w:after="120"/>
        <w:ind w:left="482" w:hanging="482"/>
        <w:rPr>
          <w:b/>
          <w:sz w:val="28"/>
          <w:szCs w:val="26"/>
        </w:rPr>
      </w:pPr>
      <w:r>
        <w:rPr>
          <w:b/>
          <w:sz w:val="28"/>
          <w:szCs w:val="26"/>
        </w:rPr>
        <w:t xml:space="preserve">3 </w:t>
      </w:r>
      <w:r w:rsidR="00AD4701">
        <w:rPr>
          <w:b/>
          <w:sz w:val="28"/>
          <w:szCs w:val="26"/>
        </w:rPr>
        <w:t>Thailand</w:t>
      </w:r>
      <w:r w:rsidRPr="0004206A">
        <w:rPr>
          <w:b/>
          <w:sz w:val="28"/>
          <w:szCs w:val="26"/>
        </w:rPr>
        <w:t>’s commitment to prohibiting all corporal punishment of children</w:t>
      </w:r>
    </w:p>
    <w:p w14:paraId="273BFAF0" w14:textId="24650BC3" w:rsidR="00AD4701" w:rsidRPr="005152AA" w:rsidRDefault="007509F7" w:rsidP="00AD4701">
      <w:pPr>
        <w:spacing w:after="120"/>
        <w:ind w:left="482" w:hanging="482"/>
      </w:pPr>
      <w:r>
        <w:t>3.1</w:t>
      </w:r>
      <w:r w:rsidR="00AD4701">
        <w:t xml:space="preserve"> </w:t>
      </w:r>
      <w:r w:rsidR="00AD4701" w:rsidRPr="005152AA">
        <w:t>In response to recommendations to prohibit corporal punishment made during the Universal Periodic Review of Thailand in 2011, the Government ma</w:t>
      </w:r>
      <w:r w:rsidR="00AD4701">
        <w:t>de a commitment to prohibition</w:t>
      </w:r>
      <w:r w:rsidR="00AD4701" w:rsidRPr="005152AA">
        <w:t>: “Corporal punishment is already prohibited in schools and other alternative care settings. We are determined to improve the laws in order to prohibit corporal punishment in communities and families…. As a State Party to the CRC, Thailand is committed to eradicating corporal punishment as well as the abuse and sexual exploitation of children….”</w:t>
      </w:r>
      <w:r w:rsidR="00AD4701">
        <w:rPr>
          <w:rStyle w:val="FootnoteReference"/>
        </w:rPr>
        <w:footnoteReference w:id="5"/>
      </w:r>
    </w:p>
    <w:p w14:paraId="00CD1D78" w14:textId="5380F1E9" w:rsidR="0004206A" w:rsidRDefault="0004206A" w:rsidP="0004206A">
      <w:pPr>
        <w:spacing w:after="120"/>
        <w:ind w:left="482" w:hanging="482"/>
        <w:rPr>
          <w:szCs w:val="26"/>
        </w:rPr>
      </w:pPr>
    </w:p>
    <w:p w14:paraId="241693E4" w14:textId="76E667D7" w:rsidR="00C27C06" w:rsidRPr="00B902F0" w:rsidRDefault="008C7410" w:rsidP="00C27C06">
      <w:pPr>
        <w:spacing w:after="120"/>
        <w:ind w:left="482" w:hanging="482"/>
        <w:rPr>
          <w:b/>
          <w:sz w:val="28"/>
          <w:szCs w:val="28"/>
        </w:rPr>
      </w:pPr>
      <w:r>
        <w:rPr>
          <w:b/>
          <w:sz w:val="28"/>
          <w:szCs w:val="28"/>
        </w:rPr>
        <w:t>4</w:t>
      </w:r>
      <w:r w:rsidR="00C27C06">
        <w:rPr>
          <w:b/>
          <w:sz w:val="28"/>
          <w:szCs w:val="28"/>
        </w:rPr>
        <w:t xml:space="preserve"> </w:t>
      </w:r>
      <w:r w:rsidR="00C27C06" w:rsidRPr="00B902F0">
        <w:rPr>
          <w:b/>
          <w:sz w:val="28"/>
          <w:szCs w:val="28"/>
        </w:rPr>
        <w:t>Recommendations by human rights treaty bodies</w:t>
      </w:r>
      <w:r w:rsidR="00C27C06">
        <w:rPr>
          <w:b/>
          <w:sz w:val="28"/>
          <w:szCs w:val="28"/>
        </w:rPr>
        <w:t xml:space="preserve"> and during the UPR</w:t>
      </w:r>
    </w:p>
    <w:p w14:paraId="2E0AA6DF" w14:textId="226B82DA" w:rsidR="00AD4701" w:rsidRPr="008C384F" w:rsidRDefault="007509F7" w:rsidP="00AD4701">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4</w:t>
      </w:r>
      <w:r w:rsidR="00AD4701" w:rsidRPr="008C384F">
        <w:rPr>
          <w:szCs w:val="26"/>
        </w:rPr>
        <w:t>.</w:t>
      </w:r>
      <w:r w:rsidR="00AD4701">
        <w:rPr>
          <w:szCs w:val="26"/>
        </w:rPr>
        <w:t>1</w:t>
      </w:r>
      <w:r w:rsidR="00AD4701" w:rsidRPr="008C384F">
        <w:rPr>
          <w:szCs w:val="26"/>
        </w:rPr>
        <w:t xml:space="preserve"> </w:t>
      </w:r>
      <w:r w:rsidR="00AD4701" w:rsidRPr="008C384F">
        <w:rPr>
          <w:b/>
          <w:i/>
          <w:szCs w:val="26"/>
        </w:rPr>
        <w:t>CRC:</w:t>
      </w:r>
      <w:r w:rsidR="00AD4701" w:rsidRPr="008C384F">
        <w:rPr>
          <w:szCs w:val="26"/>
        </w:rPr>
        <w:t xml:space="preserve"> </w:t>
      </w:r>
      <w:r w:rsidR="00AD4701" w:rsidRPr="008C384F">
        <w:rPr>
          <w:bCs/>
          <w:szCs w:val="26"/>
        </w:rPr>
        <w:t xml:space="preserve">The Committee on the Rights of the Child has </w:t>
      </w:r>
      <w:r w:rsidR="00AD4701">
        <w:rPr>
          <w:bCs/>
          <w:szCs w:val="26"/>
        </w:rPr>
        <w:t>three times</w:t>
      </w:r>
      <w:r w:rsidR="00AD4701" w:rsidRPr="008C384F">
        <w:rPr>
          <w:bCs/>
          <w:szCs w:val="26"/>
        </w:rPr>
        <w:t xml:space="preserve"> recommended that legislation be enacted to explicitly prohibit corporal punishment in all settings, including the </w:t>
      </w:r>
      <w:r w:rsidR="00AD4701">
        <w:rPr>
          <w:bCs/>
          <w:szCs w:val="26"/>
        </w:rPr>
        <w:t>home</w:t>
      </w:r>
      <w:r w:rsidR="00AD4701" w:rsidRPr="008C384F">
        <w:rPr>
          <w:bCs/>
          <w:szCs w:val="26"/>
        </w:rPr>
        <w:t xml:space="preserve"> – in its concluding observations on the state party’s initial report in </w:t>
      </w:r>
      <w:r w:rsidR="00AD4701">
        <w:rPr>
          <w:bCs/>
          <w:szCs w:val="26"/>
        </w:rPr>
        <w:t>1998,</w:t>
      </w:r>
      <w:r w:rsidR="00AD4701">
        <w:rPr>
          <w:rStyle w:val="FootnoteReference"/>
          <w:bCs/>
          <w:szCs w:val="26"/>
        </w:rPr>
        <w:footnoteReference w:id="6"/>
      </w:r>
      <w:r w:rsidR="00AD4701">
        <w:rPr>
          <w:bCs/>
          <w:szCs w:val="26"/>
        </w:rPr>
        <w:t xml:space="preserve"> on the second report in 2006 and on the third/fourth report in 2012.</w:t>
      </w:r>
      <w:r w:rsidR="00AD4701" w:rsidRPr="008C384F">
        <w:rPr>
          <w:rStyle w:val="FootnoteReference"/>
          <w:bCs/>
          <w:szCs w:val="26"/>
        </w:rPr>
        <w:footnoteReference w:id="7"/>
      </w:r>
    </w:p>
    <w:p w14:paraId="34079481" w14:textId="3DBA4AC3" w:rsidR="00AD4701" w:rsidRPr="007509F7" w:rsidRDefault="007509F7" w:rsidP="007509F7">
      <w:pPr>
        <w:spacing w:after="120"/>
        <w:ind w:left="482" w:hanging="482"/>
        <w:rPr>
          <w:bCs/>
          <w:szCs w:val="26"/>
        </w:rPr>
      </w:pPr>
      <w:r>
        <w:rPr>
          <w:szCs w:val="26"/>
        </w:rPr>
        <w:t>4</w:t>
      </w:r>
      <w:r w:rsidR="00AD4701">
        <w:rPr>
          <w:szCs w:val="26"/>
        </w:rPr>
        <w:t>.2</w:t>
      </w:r>
      <w:r w:rsidR="00AD4701" w:rsidRPr="008C384F">
        <w:rPr>
          <w:szCs w:val="26"/>
        </w:rPr>
        <w:t xml:space="preserve"> </w:t>
      </w:r>
      <w:r w:rsidR="00AD4701" w:rsidRPr="008C384F">
        <w:rPr>
          <w:b/>
          <w:i/>
          <w:szCs w:val="26"/>
        </w:rPr>
        <w:t>UPR:</w:t>
      </w:r>
      <w:r w:rsidR="00AD4701" w:rsidRPr="008C384F">
        <w:rPr>
          <w:szCs w:val="26"/>
        </w:rPr>
        <w:t xml:space="preserve"> </w:t>
      </w:r>
      <w:r w:rsidR="00AD4701">
        <w:rPr>
          <w:bCs/>
          <w:szCs w:val="26"/>
        </w:rPr>
        <w:t>Thailand</w:t>
      </w:r>
      <w:r w:rsidR="00AD4701" w:rsidRPr="008C384F">
        <w:rPr>
          <w:bCs/>
          <w:szCs w:val="26"/>
        </w:rPr>
        <w:t xml:space="preserve"> was examined in the first cycle of the Universal Per</w:t>
      </w:r>
      <w:r w:rsidR="00AD4701">
        <w:rPr>
          <w:bCs/>
          <w:szCs w:val="26"/>
        </w:rPr>
        <w:t>iodic Review in 2011 (session 12</w:t>
      </w:r>
      <w:r w:rsidR="00AD4701" w:rsidRPr="008C384F">
        <w:rPr>
          <w:bCs/>
          <w:szCs w:val="26"/>
        </w:rPr>
        <w:t xml:space="preserve">). </w:t>
      </w:r>
      <w:r w:rsidR="00AD4701">
        <w:rPr>
          <w:bCs/>
          <w:szCs w:val="26"/>
        </w:rPr>
        <w:t>T</w:t>
      </w:r>
      <w:r w:rsidR="00AD4701" w:rsidRPr="008C384F">
        <w:rPr>
          <w:bCs/>
          <w:szCs w:val="26"/>
        </w:rPr>
        <w:t xml:space="preserve">he Government accepted a number of recommendations to </w:t>
      </w:r>
      <w:r w:rsidR="00AD4701">
        <w:rPr>
          <w:bCs/>
          <w:szCs w:val="26"/>
        </w:rPr>
        <w:t>prohibit corporal punishment, including in the home.</w:t>
      </w:r>
      <w:r w:rsidR="00AD4701">
        <w:rPr>
          <w:rStyle w:val="FootnoteReference"/>
        </w:rPr>
        <w:footnoteReference w:id="8"/>
      </w:r>
    </w:p>
    <w:p w14:paraId="22CCF184" w14:textId="77777777" w:rsidR="00BA18B9" w:rsidRPr="002A4BA7" w:rsidRDefault="00BA18B9" w:rsidP="00BA18B9">
      <w:pPr>
        <w:spacing w:after="120"/>
        <w:ind w:left="482" w:hanging="482"/>
        <w:rPr>
          <w:sz w:val="26"/>
          <w:szCs w:val="26"/>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4428DE"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77777777" w:rsidR="00C901EC" w:rsidRPr="001C0859" w:rsidRDefault="00865B9B" w:rsidP="001C0859">
      <w:pPr>
        <w:tabs>
          <w:tab w:val="left" w:pos="8244"/>
          <w:tab w:val="left" w:pos="9160"/>
          <w:tab w:val="left" w:pos="10076"/>
          <w:tab w:val="left" w:pos="10992"/>
          <w:tab w:val="left" w:pos="11908"/>
          <w:tab w:val="left" w:pos="12824"/>
          <w:tab w:val="left" w:pos="13740"/>
          <w:tab w:val="left" w:pos="14656"/>
        </w:tabs>
        <w:rPr>
          <w:i/>
        </w:rPr>
      </w:pPr>
      <w:r>
        <w:rPr>
          <w:i/>
        </w:rPr>
        <w:t>September</w:t>
      </w:r>
      <w:r w:rsidR="00BD0C3F">
        <w:rPr>
          <w:i/>
        </w:rPr>
        <w:t xml:space="preserve"> 2014</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897146" w:rsidRDefault="00897146">
      <w:r>
        <w:separator/>
      </w:r>
    </w:p>
  </w:endnote>
  <w:endnote w:type="continuationSeparator" w:id="0">
    <w:p w14:paraId="099F8A8B" w14:textId="77777777" w:rsidR="00897146" w:rsidRDefault="00897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897146" w:rsidRDefault="008971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897146" w:rsidRDefault="0089714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897146" w:rsidRDefault="00897146">
    <w:pPr>
      <w:pStyle w:val="Footer"/>
      <w:jc w:val="center"/>
    </w:pPr>
    <w:r>
      <w:fldChar w:fldCharType="begin"/>
    </w:r>
    <w:r>
      <w:instrText xml:space="preserve"> PAGE   \* MERGEFORMAT </w:instrText>
    </w:r>
    <w:r>
      <w:fldChar w:fldCharType="separate"/>
    </w:r>
    <w:r w:rsidR="004428DE">
      <w:rPr>
        <w:noProof/>
      </w:rPr>
      <w:t>2</w:t>
    </w:r>
    <w:r>
      <w:rPr>
        <w:noProof/>
      </w:rPr>
      <w:fldChar w:fldCharType="end"/>
    </w:r>
  </w:p>
  <w:p w14:paraId="44F681E0" w14:textId="77777777" w:rsidR="00897146" w:rsidRDefault="00897146">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1272" w14:textId="77777777" w:rsidR="00897146" w:rsidRDefault="0089714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897146" w:rsidRDefault="00897146">
      <w:r>
        <w:separator/>
      </w:r>
    </w:p>
  </w:footnote>
  <w:footnote w:type="continuationSeparator" w:id="0">
    <w:p w14:paraId="0E4CCE60" w14:textId="77777777" w:rsidR="00897146" w:rsidRDefault="00897146">
      <w:r>
        <w:continuationSeparator/>
      </w:r>
    </w:p>
  </w:footnote>
  <w:footnote w:id="1">
    <w:p w14:paraId="664D9457" w14:textId="733914A0" w:rsidR="007509F7" w:rsidRPr="00331E65" w:rsidRDefault="007509F7" w:rsidP="007509F7">
      <w:pPr>
        <w:pStyle w:val="FootnoteText"/>
        <w:rPr>
          <w:lang w:val="en-US"/>
        </w:rPr>
      </w:pPr>
      <w:r w:rsidRPr="00331E65">
        <w:rPr>
          <w:rStyle w:val="FootnoteReference"/>
        </w:rPr>
        <w:footnoteRef/>
      </w:r>
      <w:r w:rsidRPr="00331E65">
        <w:t xml:space="preserve"> </w:t>
      </w:r>
      <w:r w:rsidRPr="00331E65">
        <w:rPr>
          <w:color w:val="000000"/>
          <w:lang w:val="en-US"/>
        </w:rPr>
        <w:t xml:space="preserve">10 October 2013, E/C.12/THA/1-2, Initial/second state party report, </w:t>
      </w:r>
      <w:proofErr w:type="spellStart"/>
      <w:r w:rsidRPr="00331E65">
        <w:rPr>
          <w:lang w:val="en-US"/>
        </w:rPr>
        <w:t>paras</w:t>
      </w:r>
      <w:proofErr w:type="spellEnd"/>
      <w:r w:rsidRPr="00331E65">
        <w:rPr>
          <w:lang w:val="en-US"/>
        </w:rPr>
        <w:t>. 71ff</w:t>
      </w:r>
    </w:p>
  </w:footnote>
  <w:footnote w:id="2">
    <w:p w14:paraId="7E163998" w14:textId="77777777" w:rsidR="00897146" w:rsidRPr="00331E65" w:rsidRDefault="00897146" w:rsidP="00897146">
      <w:pPr>
        <w:pStyle w:val="FootnoteText"/>
        <w:rPr>
          <w:lang w:val="en-US"/>
        </w:rPr>
      </w:pPr>
      <w:r w:rsidRPr="00331E65">
        <w:rPr>
          <w:rStyle w:val="FootnoteReference"/>
        </w:rPr>
        <w:footnoteRef/>
      </w:r>
      <w:r w:rsidRPr="00331E65">
        <w:t xml:space="preserve"> </w:t>
      </w:r>
      <w:proofErr w:type="gramStart"/>
      <w:r w:rsidRPr="00331E65">
        <w:t xml:space="preserve">8 December 2011, A/HRC/19/8, Report of the working group, </w:t>
      </w:r>
      <w:proofErr w:type="spellStart"/>
      <w:r w:rsidRPr="00331E65">
        <w:t>paras</w:t>
      </w:r>
      <w:proofErr w:type="spellEnd"/>
      <w:r w:rsidRPr="00331E65">
        <w:t>.</w:t>
      </w:r>
      <w:proofErr w:type="gramEnd"/>
      <w:r w:rsidRPr="00331E65">
        <w:t xml:space="preserve"> 89(36) and 89(37); 6 March 2012, A/HRC/19/8/Add.1, Report of the working group: Addendum, </w:t>
      </w:r>
      <w:proofErr w:type="spellStart"/>
      <w:r w:rsidRPr="00331E65">
        <w:t>para</w:t>
      </w:r>
      <w:proofErr w:type="spellEnd"/>
      <w:r w:rsidRPr="00331E65">
        <w:t>. 15</w:t>
      </w:r>
    </w:p>
  </w:footnote>
  <w:footnote w:id="3">
    <w:p w14:paraId="355C0AEA" w14:textId="77777777" w:rsidR="00897146" w:rsidRPr="00331E65" w:rsidRDefault="00897146" w:rsidP="00897146">
      <w:pPr>
        <w:pStyle w:val="FootnoteText"/>
        <w:rPr>
          <w:lang w:val="en-US"/>
        </w:rPr>
      </w:pPr>
      <w:r w:rsidRPr="00331E65">
        <w:rPr>
          <w:rStyle w:val="FootnoteReference"/>
        </w:rPr>
        <w:footnoteRef/>
      </w:r>
      <w:r w:rsidRPr="00331E65">
        <w:t xml:space="preserve"> 20 January 2012, CRC/C/THA/Q/3-4/Add.1, Written replies to the Committee on the Rights of the Child, </w:t>
      </w:r>
      <w:proofErr w:type="spellStart"/>
      <w:r w:rsidRPr="00331E65">
        <w:t>para</w:t>
      </w:r>
      <w:proofErr w:type="spellEnd"/>
      <w:r w:rsidRPr="00331E65">
        <w:t>. 44</w:t>
      </w:r>
    </w:p>
  </w:footnote>
  <w:footnote w:id="4">
    <w:p w14:paraId="271B77CB" w14:textId="77777777" w:rsidR="00897146" w:rsidRPr="00331E65" w:rsidRDefault="00897146" w:rsidP="00897146">
      <w:pPr>
        <w:rPr>
          <w:sz w:val="20"/>
          <w:szCs w:val="20"/>
        </w:rPr>
      </w:pPr>
      <w:r w:rsidRPr="00331E65">
        <w:rPr>
          <w:rStyle w:val="FootnoteReference"/>
          <w:sz w:val="20"/>
          <w:szCs w:val="20"/>
        </w:rPr>
        <w:footnoteRef/>
      </w:r>
      <w:r w:rsidRPr="00331E65">
        <w:rPr>
          <w:sz w:val="20"/>
          <w:szCs w:val="20"/>
        </w:rPr>
        <w:t xml:space="preserve"> </w:t>
      </w:r>
      <w:proofErr w:type="gramStart"/>
      <w:r w:rsidRPr="00331E65">
        <w:rPr>
          <w:sz w:val="20"/>
          <w:szCs w:val="20"/>
        </w:rPr>
        <w:t xml:space="preserve">9 July 2013, CAT/C/THA/1, Initial state party report, </w:t>
      </w:r>
      <w:proofErr w:type="spellStart"/>
      <w:r w:rsidRPr="00331E65">
        <w:rPr>
          <w:sz w:val="20"/>
          <w:szCs w:val="20"/>
        </w:rPr>
        <w:t>para</w:t>
      </w:r>
      <w:proofErr w:type="spellEnd"/>
      <w:r w:rsidRPr="00331E65">
        <w:rPr>
          <w:sz w:val="20"/>
          <w:szCs w:val="20"/>
        </w:rPr>
        <w:t>.</w:t>
      </w:r>
      <w:proofErr w:type="gramEnd"/>
      <w:r w:rsidRPr="00331E65">
        <w:rPr>
          <w:sz w:val="20"/>
          <w:szCs w:val="20"/>
        </w:rPr>
        <w:t xml:space="preserve"> 129</w:t>
      </w:r>
    </w:p>
  </w:footnote>
  <w:footnote w:id="5">
    <w:p w14:paraId="4316965D" w14:textId="77777777" w:rsidR="00AD4701" w:rsidRPr="00331E65" w:rsidRDefault="00AD4701" w:rsidP="00AD4701">
      <w:pPr>
        <w:pStyle w:val="FootnoteText"/>
        <w:rPr>
          <w:lang w:val="en-US"/>
        </w:rPr>
      </w:pPr>
      <w:r w:rsidRPr="00331E65">
        <w:rPr>
          <w:rStyle w:val="FootnoteReference"/>
        </w:rPr>
        <w:footnoteRef/>
      </w:r>
      <w:r w:rsidRPr="00331E65">
        <w:t xml:space="preserve"> 6 March 2012, A/HRC/19/8/Add.1, Report of the working group: Addendum, </w:t>
      </w:r>
      <w:proofErr w:type="spellStart"/>
      <w:r w:rsidRPr="00331E65">
        <w:t>para</w:t>
      </w:r>
      <w:proofErr w:type="spellEnd"/>
      <w:r w:rsidRPr="00331E65">
        <w:t>. 15</w:t>
      </w:r>
    </w:p>
  </w:footnote>
  <w:footnote w:id="6">
    <w:p w14:paraId="21D8E179" w14:textId="77777777" w:rsidR="00AD4701" w:rsidRPr="00331E65" w:rsidRDefault="00AD4701" w:rsidP="00AD4701">
      <w:pPr>
        <w:pStyle w:val="FootnoteText"/>
      </w:pPr>
      <w:r w:rsidRPr="00331E65">
        <w:rPr>
          <w:rStyle w:val="FootnoteReference"/>
        </w:rPr>
        <w:footnoteRef/>
      </w:r>
      <w:r w:rsidRPr="00331E65">
        <w:t xml:space="preserve"> 26 October 1998, CRC/C/15/Add.97, Concluding observations on initial report, </w:t>
      </w:r>
      <w:proofErr w:type="spellStart"/>
      <w:r w:rsidRPr="00331E65">
        <w:t>para</w:t>
      </w:r>
      <w:proofErr w:type="spellEnd"/>
      <w:r w:rsidRPr="00331E65">
        <w:t xml:space="preserve">. </w:t>
      </w:r>
      <w:proofErr w:type="gramStart"/>
      <w:r w:rsidRPr="00331E65">
        <w:t>21 ;</w:t>
      </w:r>
      <w:proofErr w:type="gramEnd"/>
      <w:r w:rsidRPr="00331E65">
        <w:t xml:space="preserve"> </w:t>
      </w:r>
    </w:p>
  </w:footnote>
  <w:footnote w:id="7">
    <w:p w14:paraId="184E92CF" w14:textId="77777777" w:rsidR="00AD4701" w:rsidRPr="00331E65" w:rsidRDefault="00AD4701" w:rsidP="00AD4701">
      <w:pPr>
        <w:pStyle w:val="FootnoteText"/>
      </w:pPr>
      <w:r w:rsidRPr="00331E65">
        <w:rPr>
          <w:rStyle w:val="FootnoteReference"/>
        </w:rPr>
        <w:footnoteRef/>
      </w:r>
      <w:r w:rsidRPr="00331E65">
        <w:t xml:space="preserve"> 20 June 2008, CRC/C/SLE/CO/2, Concluding observations on second report, </w:t>
      </w:r>
      <w:proofErr w:type="spellStart"/>
      <w:r w:rsidRPr="00331E65">
        <w:t>paras</w:t>
      </w:r>
      <w:proofErr w:type="spellEnd"/>
      <w:r w:rsidRPr="00331E65">
        <w:t>. 35 and 36</w:t>
      </w:r>
      <w:proofErr w:type="gramStart"/>
      <w:r w:rsidRPr="00331E65">
        <w:t>;</w:t>
      </w:r>
      <w:proofErr w:type="gramEnd"/>
      <w:r w:rsidRPr="00331E65">
        <w:t xml:space="preserve"> 17 March 2006, CRC/C/THA/CO/2, Concluding observations on second report, </w:t>
      </w:r>
      <w:proofErr w:type="spellStart"/>
      <w:r w:rsidRPr="00331E65">
        <w:t>paras</w:t>
      </w:r>
      <w:proofErr w:type="spellEnd"/>
      <w:r w:rsidRPr="00331E65">
        <w:t>. 39, 40, 41, 76 and 77</w:t>
      </w:r>
      <w:proofErr w:type="gramStart"/>
      <w:r w:rsidRPr="00331E65">
        <w:t>;</w:t>
      </w:r>
      <w:proofErr w:type="gramEnd"/>
      <w:r w:rsidRPr="00331E65">
        <w:t xml:space="preserve"> </w:t>
      </w:r>
      <w:r w:rsidRPr="00331E65">
        <w:rPr>
          <w:bCs/>
        </w:rPr>
        <w:t xml:space="preserve">17 February 2012, CRC/C/THA/CO/3-4, Concluding observations on third/fourth report, </w:t>
      </w:r>
      <w:proofErr w:type="spellStart"/>
      <w:r w:rsidRPr="00331E65">
        <w:rPr>
          <w:bCs/>
        </w:rPr>
        <w:t>paras</w:t>
      </w:r>
      <w:proofErr w:type="spellEnd"/>
      <w:r w:rsidRPr="00331E65">
        <w:rPr>
          <w:bCs/>
        </w:rPr>
        <w:t>. 7, 8, 47 and 48</w:t>
      </w:r>
    </w:p>
  </w:footnote>
  <w:footnote w:id="8">
    <w:p w14:paraId="1962DD5A" w14:textId="77777777" w:rsidR="00AD4701" w:rsidRPr="00331E65" w:rsidRDefault="00AD4701" w:rsidP="00AD4701">
      <w:pPr>
        <w:pStyle w:val="FootnoteText"/>
        <w:rPr>
          <w:lang w:val="en-US"/>
        </w:rPr>
      </w:pPr>
      <w:r w:rsidRPr="00331E65">
        <w:rPr>
          <w:rStyle w:val="FootnoteReference"/>
        </w:rPr>
        <w:footnoteRef/>
      </w:r>
      <w:r w:rsidRPr="00331E65">
        <w:t xml:space="preserve"> </w:t>
      </w:r>
      <w:proofErr w:type="gramStart"/>
      <w:r w:rsidRPr="00331E65">
        <w:t xml:space="preserve">8 December 2011, A/HRC/19/8, Report of the working group, </w:t>
      </w:r>
      <w:proofErr w:type="spellStart"/>
      <w:r w:rsidRPr="00331E65">
        <w:t>paras</w:t>
      </w:r>
      <w:proofErr w:type="spellEnd"/>
      <w:r w:rsidRPr="00331E65">
        <w:t>.</w:t>
      </w:r>
      <w:proofErr w:type="gramEnd"/>
      <w:r w:rsidRPr="00331E65">
        <w:t xml:space="preserve"> 89(36) and 89(37); 6 March 2012, A/HRC/19/8/Add.1, Report of the working group: Addendum, </w:t>
      </w:r>
      <w:proofErr w:type="spellStart"/>
      <w:r w:rsidRPr="00331E65">
        <w:t>para</w:t>
      </w:r>
      <w:proofErr w:type="spellEnd"/>
      <w:r w:rsidRPr="00331E65">
        <w:t>. 15</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8E718" w14:textId="77777777" w:rsidR="00897146" w:rsidRDefault="00897146">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D8F6ADC" w:rsidR="00897146" w:rsidRDefault="00897146">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2C1A" w14:textId="77777777" w:rsidR="00897146" w:rsidRDefault="0089714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206A"/>
    <w:rsid w:val="000457B2"/>
    <w:rsid w:val="000622FD"/>
    <w:rsid w:val="00065B23"/>
    <w:rsid w:val="00066822"/>
    <w:rsid w:val="00095574"/>
    <w:rsid w:val="000A2278"/>
    <w:rsid w:val="000B2B37"/>
    <w:rsid w:val="000B7AB8"/>
    <w:rsid w:val="000C258F"/>
    <w:rsid w:val="000C2E75"/>
    <w:rsid w:val="000C4E7B"/>
    <w:rsid w:val="000D2264"/>
    <w:rsid w:val="000D3716"/>
    <w:rsid w:val="000F1D25"/>
    <w:rsid w:val="001174EC"/>
    <w:rsid w:val="00131A88"/>
    <w:rsid w:val="00134293"/>
    <w:rsid w:val="001356A2"/>
    <w:rsid w:val="0014488F"/>
    <w:rsid w:val="00147F85"/>
    <w:rsid w:val="00150855"/>
    <w:rsid w:val="00162F5A"/>
    <w:rsid w:val="001641F0"/>
    <w:rsid w:val="00170DED"/>
    <w:rsid w:val="00186346"/>
    <w:rsid w:val="00187E2A"/>
    <w:rsid w:val="001C0859"/>
    <w:rsid w:val="001D53F4"/>
    <w:rsid w:val="001D56D4"/>
    <w:rsid w:val="001E140B"/>
    <w:rsid w:val="001F68F0"/>
    <w:rsid w:val="00204B6C"/>
    <w:rsid w:val="00205A1A"/>
    <w:rsid w:val="00215035"/>
    <w:rsid w:val="00220BD0"/>
    <w:rsid w:val="002230EE"/>
    <w:rsid w:val="002252C9"/>
    <w:rsid w:val="00232740"/>
    <w:rsid w:val="00237875"/>
    <w:rsid w:val="00242520"/>
    <w:rsid w:val="002638C7"/>
    <w:rsid w:val="00264AF9"/>
    <w:rsid w:val="0026566A"/>
    <w:rsid w:val="00272F68"/>
    <w:rsid w:val="002A01E3"/>
    <w:rsid w:val="002A06FC"/>
    <w:rsid w:val="002A7206"/>
    <w:rsid w:val="002D6FD4"/>
    <w:rsid w:val="002E09C9"/>
    <w:rsid w:val="002E4E5B"/>
    <w:rsid w:val="002E70F4"/>
    <w:rsid w:val="002F0ECE"/>
    <w:rsid w:val="003041CA"/>
    <w:rsid w:val="003054F7"/>
    <w:rsid w:val="00306C1D"/>
    <w:rsid w:val="00307A90"/>
    <w:rsid w:val="0031275B"/>
    <w:rsid w:val="00315F04"/>
    <w:rsid w:val="00316151"/>
    <w:rsid w:val="00322E14"/>
    <w:rsid w:val="00331E65"/>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5B14"/>
    <w:rsid w:val="00414428"/>
    <w:rsid w:val="00425F3B"/>
    <w:rsid w:val="00437B2C"/>
    <w:rsid w:val="00441CD3"/>
    <w:rsid w:val="004428DE"/>
    <w:rsid w:val="00443601"/>
    <w:rsid w:val="0044549C"/>
    <w:rsid w:val="00452298"/>
    <w:rsid w:val="00463C10"/>
    <w:rsid w:val="004720C4"/>
    <w:rsid w:val="004737EE"/>
    <w:rsid w:val="00475595"/>
    <w:rsid w:val="00490379"/>
    <w:rsid w:val="00496A97"/>
    <w:rsid w:val="004A4B3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66D2"/>
    <w:rsid w:val="005A7A97"/>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25C8"/>
    <w:rsid w:val="006C6EBB"/>
    <w:rsid w:val="006D40C4"/>
    <w:rsid w:val="006E3A2C"/>
    <w:rsid w:val="006E6660"/>
    <w:rsid w:val="00714F5D"/>
    <w:rsid w:val="00716CCE"/>
    <w:rsid w:val="00721E73"/>
    <w:rsid w:val="00723CE2"/>
    <w:rsid w:val="0072545C"/>
    <w:rsid w:val="00737E41"/>
    <w:rsid w:val="00745D1B"/>
    <w:rsid w:val="007509F7"/>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97146"/>
    <w:rsid w:val="008A26A7"/>
    <w:rsid w:val="008A3955"/>
    <w:rsid w:val="008A633C"/>
    <w:rsid w:val="008B273F"/>
    <w:rsid w:val="008B74E3"/>
    <w:rsid w:val="008C11CA"/>
    <w:rsid w:val="008C7410"/>
    <w:rsid w:val="008C78D6"/>
    <w:rsid w:val="008D4985"/>
    <w:rsid w:val="008D4A87"/>
    <w:rsid w:val="008D5519"/>
    <w:rsid w:val="008E2F21"/>
    <w:rsid w:val="008E4894"/>
    <w:rsid w:val="00902C77"/>
    <w:rsid w:val="00916713"/>
    <w:rsid w:val="00921E92"/>
    <w:rsid w:val="00923377"/>
    <w:rsid w:val="00924C1F"/>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053C"/>
    <w:rsid w:val="00A66237"/>
    <w:rsid w:val="00A66F36"/>
    <w:rsid w:val="00AB131E"/>
    <w:rsid w:val="00AB1753"/>
    <w:rsid w:val="00AD4701"/>
    <w:rsid w:val="00AD5E1A"/>
    <w:rsid w:val="00AE43FB"/>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7C69"/>
    <w:rsid w:val="00B95040"/>
    <w:rsid w:val="00B9545D"/>
    <w:rsid w:val="00B9701A"/>
    <w:rsid w:val="00BA18B9"/>
    <w:rsid w:val="00BA2A8D"/>
    <w:rsid w:val="00BB5726"/>
    <w:rsid w:val="00BB7182"/>
    <w:rsid w:val="00BD0C3F"/>
    <w:rsid w:val="00BD259A"/>
    <w:rsid w:val="00BD35A1"/>
    <w:rsid w:val="00BD4B13"/>
    <w:rsid w:val="00BE6290"/>
    <w:rsid w:val="00BE6AA8"/>
    <w:rsid w:val="00BE7238"/>
    <w:rsid w:val="00C02A56"/>
    <w:rsid w:val="00C05A6B"/>
    <w:rsid w:val="00C17385"/>
    <w:rsid w:val="00C252DE"/>
    <w:rsid w:val="00C27C06"/>
    <w:rsid w:val="00C37622"/>
    <w:rsid w:val="00C45951"/>
    <w:rsid w:val="00C518E3"/>
    <w:rsid w:val="00C61D88"/>
    <w:rsid w:val="00C63547"/>
    <w:rsid w:val="00C7296B"/>
    <w:rsid w:val="00C770C5"/>
    <w:rsid w:val="00C80D14"/>
    <w:rsid w:val="00C901EC"/>
    <w:rsid w:val="00C90493"/>
    <w:rsid w:val="00C91BB2"/>
    <w:rsid w:val="00C97C42"/>
    <w:rsid w:val="00CC27CD"/>
    <w:rsid w:val="00CF3C9D"/>
    <w:rsid w:val="00CF6F86"/>
    <w:rsid w:val="00D04D81"/>
    <w:rsid w:val="00D146FD"/>
    <w:rsid w:val="00D14AE4"/>
    <w:rsid w:val="00D3304F"/>
    <w:rsid w:val="00D35287"/>
    <w:rsid w:val="00D46AF1"/>
    <w:rsid w:val="00D47ABA"/>
    <w:rsid w:val="00D5594E"/>
    <w:rsid w:val="00D64999"/>
    <w:rsid w:val="00D67B66"/>
    <w:rsid w:val="00D7093A"/>
    <w:rsid w:val="00D90209"/>
    <w:rsid w:val="00DA50D4"/>
    <w:rsid w:val="00DB0337"/>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info@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9B39E7-F356-1D42-AAF5-59519646BE61}"/>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2BA0A736-7262-4952-AC52-94AE372A666C}"/>
</file>

<file path=docProps/app.xml><?xml version="1.0" encoding="utf-8"?>
<Properties xmlns="http://schemas.openxmlformats.org/officeDocument/2006/extended-properties" xmlns:vt="http://schemas.openxmlformats.org/officeDocument/2006/docPropsVTypes">
  <Template>Normal.dotm</Template>
  <TotalTime>30</TotalTime>
  <Pages>3</Pages>
  <Words>1125</Words>
  <Characters>6414</Characters>
  <Application>Microsoft Macintosh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7524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7</cp:revision>
  <cp:lastPrinted>2005-01-04T09:45:00Z</cp:lastPrinted>
  <dcterms:created xsi:type="dcterms:W3CDTF">2014-09-29T14:03:00Z</dcterms:created>
  <dcterms:modified xsi:type="dcterms:W3CDTF">2014-09-29T20:00:00Z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