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926D3" w14:textId="77777777" w:rsidR="008B5573" w:rsidRDefault="008B5573">
      <w:pPr>
        <w:pStyle w:val="Heading2"/>
        <w:rPr>
          <w:rFonts w:hint="eastAsia"/>
        </w:rPr>
      </w:pPr>
    </w:p>
    <w:p w14:paraId="7C531675" w14:textId="77777777" w:rsidR="008B5573" w:rsidRDefault="002446BA">
      <w:pPr>
        <w:pStyle w:val="Heading2"/>
        <w:jc w:val="center"/>
        <w:rPr>
          <w:rFonts w:hint="eastAsia"/>
        </w:rPr>
      </w:pPr>
      <w:r>
        <w:rPr>
          <w:noProof/>
        </w:rPr>
        <w:drawing>
          <wp:inline distT="0" distB="0" distL="0" distR="0" wp14:anchorId="29DBDFE4" wp14:editId="7328E619">
            <wp:extent cx="1203960" cy="997585"/>
            <wp:effectExtent l="0" t="0" r="0" b="0"/>
            <wp:docPr id="1" name="Picture 1" descr="Logo Maloca Internationale_Logo a 3 colores_edi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Maloca Internationale_Logo a 3 colores_edited.png"/>
                    <pic:cNvPicPr>
                      <a:picLocks noChangeAspect="1" noChangeArrowheads="1"/>
                    </pic:cNvPicPr>
                  </pic:nvPicPr>
                  <pic:blipFill>
                    <a:blip r:embed="rId5"/>
                    <a:stretch>
                      <a:fillRect/>
                    </a:stretch>
                  </pic:blipFill>
                  <pic:spPr bwMode="auto">
                    <a:xfrm>
                      <a:off x="0" y="0"/>
                      <a:ext cx="1203960" cy="997585"/>
                    </a:xfrm>
                    <a:prstGeom prst="rect">
                      <a:avLst/>
                    </a:prstGeom>
                  </pic:spPr>
                </pic:pic>
              </a:graphicData>
            </a:graphic>
          </wp:inline>
        </w:drawing>
      </w:r>
    </w:p>
    <w:p w14:paraId="1A919459" w14:textId="77777777" w:rsidR="008B5573" w:rsidRDefault="008B5573">
      <w:pPr>
        <w:pStyle w:val="BodyText"/>
        <w:jc w:val="center"/>
        <w:rPr>
          <w:rStyle w:val="Strong"/>
          <w:rFonts w:hint="eastAsia"/>
          <w:sz w:val="42"/>
          <w:szCs w:val="42"/>
        </w:rPr>
      </w:pPr>
    </w:p>
    <w:p w14:paraId="5DF4C7F6" w14:textId="77777777" w:rsidR="008B5573" w:rsidRPr="002446BA" w:rsidRDefault="002446BA">
      <w:pPr>
        <w:pStyle w:val="BodyText"/>
        <w:jc w:val="center"/>
        <w:rPr>
          <w:rFonts w:hint="eastAsia"/>
          <w:lang w:val="en-US"/>
        </w:rPr>
      </w:pPr>
      <w:r w:rsidRPr="002446BA">
        <w:rPr>
          <w:rStyle w:val="Strong"/>
          <w:rFonts w:ascii="Miriam Libre" w:hAnsi="Miriam Libre"/>
          <w:sz w:val="42"/>
          <w:szCs w:val="42"/>
          <w:lang w:val="en-US"/>
        </w:rPr>
        <w:t xml:space="preserve">The Assassination of Kurdish Female Leadership by Turkey </w:t>
      </w:r>
    </w:p>
    <w:p w14:paraId="12A819F6" w14:textId="77777777" w:rsidR="008B5573" w:rsidRPr="002446BA" w:rsidRDefault="002446BA">
      <w:pPr>
        <w:pStyle w:val="BodyText"/>
        <w:jc w:val="center"/>
        <w:rPr>
          <w:rFonts w:hint="eastAsia"/>
          <w:lang w:val="en-US"/>
        </w:rPr>
      </w:pPr>
      <w:r w:rsidRPr="002446BA">
        <w:rPr>
          <w:rStyle w:val="Strong"/>
          <w:rFonts w:ascii="Miriam Libre" w:hAnsi="Miriam Libre"/>
          <w:sz w:val="42"/>
          <w:szCs w:val="42"/>
          <w:lang w:val="en-US"/>
        </w:rPr>
        <w:t>-Occupying Power in Northern Syria-</w:t>
      </w:r>
    </w:p>
    <w:p w14:paraId="55F8B3EE" w14:textId="77777777" w:rsidR="008B5573" w:rsidRPr="002446BA" w:rsidRDefault="008B5573">
      <w:pPr>
        <w:pStyle w:val="Heading2"/>
        <w:jc w:val="center"/>
        <w:rPr>
          <w:rFonts w:ascii="Miriam Libre" w:hAnsi="Miriam Libre"/>
          <w:color w:val="000000"/>
          <w:sz w:val="28"/>
          <w:szCs w:val="28"/>
          <w:lang w:val="en-US"/>
        </w:rPr>
      </w:pPr>
    </w:p>
    <w:p w14:paraId="411B88D4" w14:textId="77777777" w:rsidR="008B5573" w:rsidRPr="002446BA" w:rsidRDefault="002446BA">
      <w:pPr>
        <w:pStyle w:val="Heading2"/>
        <w:jc w:val="center"/>
        <w:rPr>
          <w:rFonts w:ascii="Miriam Libre" w:hAnsi="Miriam Libre"/>
          <w:color w:val="000000"/>
          <w:sz w:val="28"/>
          <w:szCs w:val="28"/>
          <w:lang w:val="en-US"/>
        </w:rPr>
      </w:pPr>
      <w:r w:rsidRPr="002446BA">
        <w:rPr>
          <w:rFonts w:ascii="Miriam Libre" w:hAnsi="Miriam Libre"/>
          <w:color w:val="000000"/>
          <w:sz w:val="28"/>
          <w:szCs w:val="28"/>
          <w:lang w:val="en-US"/>
        </w:rPr>
        <w:t xml:space="preserve">CEDAW Committee </w:t>
      </w:r>
      <w:r w:rsidRPr="002446BA">
        <w:rPr>
          <w:rFonts w:ascii="Miriam Libre" w:hAnsi="Miriam Libre"/>
          <w:color w:val="000000"/>
          <w:sz w:val="28"/>
          <w:szCs w:val="28"/>
          <w:lang w:val="en-US"/>
        </w:rPr>
        <w:t>93 Session (16 Jun 2025 - 04 Jul 2025)</w:t>
      </w:r>
      <w:r w:rsidRPr="002446BA">
        <w:rPr>
          <w:rFonts w:ascii="Miriam Libre" w:hAnsi="Miriam Libre"/>
          <w:color w:val="000000"/>
          <w:sz w:val="28"/>
          <w:szCs w:val="28"/>
          <w:lang w:val="en-US"/>
        </w:rPr>
        <w:t xml:space="preserve"> </w:t>
      </w:r>
    </w:p>
    <w:p w14:paraId="585CFEE9" w14:textId="77777777" w:rsidR="008B5573" w:rsidRPr="002446BA" w:rsidRDefault="002446BA">
      <w:pPr>
        <w:pStyle w:val="BodyText"/>
        <w:jc w:val="center"/>
        <w:rPr>
          <w:rFonts w:hint="eastAsia"/>
          <w:lang w:val="en-US"/>
        </w:rPr>
      </w:pPr>
      <w:r w:rsidRPr="002446BA">
        <w:rPr>
          <w:rStyle w:val="Strong"/>
          <w:rFonts w:ascii="Miriam Libre" w:hAnsi="Miriam Libre"/>
          <w:lang w:val="en-US"/>
        </w:rPr>
        <w:t>Country under Review:</w:t>
      </w:r>
      <w:r w:rsidRPr="002446BA">
        <w:rPr>
          <w:rFonts w:ascii="Miriam Libre" w:hAnsi="Miriam Libre"/>
          <w:lang w:val="en-US"/>
        </w:rPr>
        <w:t xml:space="preserve"> Syrian Arab Republic</w:t>
      </w:r>
      <w:r w:rsidRPr="002446BA">
        <w:rPr>
          <w:rFonts w:ascii="Miriam Libre" w:hAnsi="Miriam Libre"/>
          <w:lang w:val="en-US"/>
        </w:rPr>
        <w:br/>
      </w:r>
      <w:r w:rsidRPr="002446BA">
        <w:rPr>
          <w:rStyle w:val="Strong"/>
          <w:rFonts w:ascii="Miriam Libre" w:hAnsi="Miriam Libre"/>
          <w:lang w:val="en-US"/>
        </w:rPr>
        <w:t>Relevant Article:</w:t>
      </w:r>
      <w:r w:rsidRPr="002446BA">
        <w:rPr>
          <w:rFonts w:ascii="Miriam Libre" w:hAnsi="Miriam Libre"/>
          <w:lang w:val="en-US"/>
        </w:rPr>
        <w:t xml:space="preserve"> Article 7 and General Recommendation No. 30 (Women in Conflict Prevention, Conflict and Post-Conflict Situations)</w:t>
      </w:r>
    </w:p>
    <w:p w14:paraId="02AC1EF1" w14:textId="77777777" w:rsidR="008B5573" w:rsidRPr="002446BA" w:rsidRDefault="008B5573">
      <w:pPr>
        <w:pStyle w:val="BodyText"/>
        <w:rPr>
          <w:rFonts w:hint="eastAsia"/>
          <w:lang w:val="en-US"/>
        </w:rPr>
      </w:pPr>
    </w:p>
    <w:p w14:paraId="202BC56A" w14:textId="77777777" w:rsidR="008B5573" w:rsidRPr="002446BA" w:rsidRDefault="002446BA">
      <w:pPr>
        <w:pStyle w:val="Heading3"/>
        <w:jc w:val="both"/>
        <w:rPr>
          <w:rFonts w:ascii="Arial" w:hAnsi="Arial"/>
          <w:sz w:val="24"/>
          <w:szCs w:val="24"/>
          <w:lang w:val="en-US"/>
        </w:rPr>
      </w:pPr>
      <w:r w:rsidRPr="002446BA">
        <w:rPr>
          <w:rFonts w:ascii="Arial" w:hAnsi="Arial"/>
          <w:sz w:val="24"/>
          <w:szCs w:val="24"/>
          <w:lang w:val="en-US"/>
        </w:rPr>
        <w:t>1. Introduction</w:t>
      </w:r>
    </w:p>
    <w:p w14:paraId="4A414063" w14:textId="77777777" w:rsidR="008B5573" w:rsidRPr="002446BA" w:rsidRDefault="008B5573">
      <w:pPr>
        <w:pStyle w:val="BodyText"/>
        <w:jc w:val="both"/>
        <w:rPr>
          <w:rFonts w:ascii="Arial" w:hAnsi="Arial"/>
          <w:lang w:val="en-US"/>
        </w:rPr>
      </w:pPr>
    </w:p>
    <w:p w14:paraId="444FEE61" w14:textId="77777777" w:rsidR="008B5573" w:rsidRPr="002446BA" w:rsidRDefault="002446BA">
      <w:pPr>
        <w:pStyle w:val="BodyText"/>
        <w:jc w:val="both"/>
        <w:rPr>
          <w:rFonts w:ascii="Arial" w:hAnsi="Arial"/>
          <w:lang w:val="en-US"/>
        </w:rPr>
      </w:pPr>
      <w:r w:rsidRPr="002446BA">
        <w:rPr>
          <w:rFonts w:ascii="Arial" w:hAnsi="Arial"/>
          <w:lang w:val="en-US"/>
        </w:rPr>
        <w:t xml:space="preserve">This text  focuses on the case Kurdish woman political leadership assassinated by Turkish-backed militias in 2019. It argues for the application of international humanitarian law and accountability mechanisms for Turkey as a de facto occupying power. </w:t>
      </w:r>
    </w:p>
    <w:p w14:paraId="4978E5F7" w14:textId="77777777" w:rsidR="008B5573" w:rsidRPr="002446BA" w:rsidRDefault="008B5573">
      <w:pPr>
        <w:pStyle w:val="BodyText"/>
        <w:jc w:val="both"/>
        <w:rPr>
          <w:rFonts w:ascii="Arial" w:hAnsi="Arial"/>
          <w:lang w:val="en-US"/>
        </w:rPr>
      </w:pPr>
    </w:p>
    <w:p w14:paraId="3E1B0FB2" w14:textId="77777777" w:rsidR="008B5573" w:rsidRPr="002446BA" w:rsidRDefault="002446BA">
      <w:pPr>
        <w:pStyle w:val="BodyText"/>
        <w:jc w:val="both"/>
        <w:rPr>
          <w:rFonts w:ascii="Arial" w:hAnsi="Arial"/>
          <w:lang w:val="en-US"/>
        </w:rPr>
      </w:pPr>
      <w:r w:rsidRPr="002446BA">
        <w:rPr>
          <w:rFonts w:ascii="Arial" w:hAnsi="Arial"/>
          <w:lang w:val="en-US"/>
        </w:rPr>
        <w:t>The Syrian Arab Republic, while formally the State party under review, does not exercise effective control over significant areas in the north of the country. Since 2016, Turkey has conducted multiple military operations ("Euphrates Shield," "Olive Branch," and "Peace Spring") and currently occupies substantial portions of northern Syria, including Afrin, Ras al-Ayn, and Tal Abyad.[1] Turkey's presence is supported through allied militias under the banner of the Syrian National Army (SNA).</w:t>
      </w:r>
    </w:p>
    <w:p w14:paraId="2F35E6C6" w14:textId="77777777" w:rsidR="008B5573" w:rsidRPr="002446BA" w:rsidRDefault="008B5573">
      <w:pPr>
        <w:pStyle w:val="BodyText"/>
        <w:jc w:val="both"/>
        <w:rPr>
          <w:rFonts w:ascii="Arial" w:hAnsi="Arial"/>
          <w:lang w:val="en-US"/>
        </w:rPr>
      </w:pPr>
    </w:p>
    <w:p w14:paraId="41E2FBDE" w14:textId="77777777" w:rsidR="008B5573" w:rsidRPr="002446BA" w:rsidRDefault="002446BA">
      <w:pPr>
        <w:pStyle w:val="BodyText"/>
        <w:jc w:val="both"/>
        <w:rPr>
          <w:rFonts w:hint="eastAsia"/>
          <w:lang w:val="en-US"/>
        </w:rPr>
      </w:pPr>
      <w:r w:rsidRPr="002446BA">
        <w:rPr>
          <w:rStyle w:val="Strong"/>
          <w:rFonts w:ascii="Arial" w:hAnsi="Arial"/>
          <w:b w:val="0"/>
          <w:bCs w:val="0"/>
          <w:lang w:val="en-US"/>
        </w:rPr>
        <w:t>Rojava,</w:t>
      </w:r>
      <w:r w:rsidRPr="002446BA">
        <w:rPr>
          <w:rFonts w:ascii="Arial" w:hAnsi="Arial"/>
          <w:lang w:val="en-US"/>
        </w:rPr>
        <w:t xml:space="preserve"> a region with a decentralized, gender-inclusive political system, has played a central role in governance and defense, particularly through institutions such as the Autonomous Administration of North and East Syria (AANES) and the Women's Protection Units (YPJ). </w:t>
      </w:r>
      <w:r w:rsidRPr="002446BA">
        <w:rPr>
          <w:rFonts w:ascii="Arial" w:hAnsi="Arial"/>
          <w:lang w:val="en-US"/>
        </w:rPr>
        <w:lastRenderedPageBreak/>
        <w:t>Turkish incursions have significantly disrupted these systems, leading to large-scale displacement, increased gender-based violence, and attacks on women leaders.[2]</w:t>
      </w:r>
    </w:p>
    <w:p w14:paraId="3BE5477E" w14:textId="77777777" w:rsidR="008B5573" w:rsidRPr="002446BA" w:rsidRDefault="008B5573">
      <w:pPr>
        <w:pStyle w:val="BodyText"/>
        <w:jc w:val="both"/>
        <w:rPr>
          <w:rFonts w:ascii="Arial" w:hAnsi="Arial"/>
          <w:lang w:val="en-US"/>
        </w:rPr>
      </w:pPr>
    </w:p>
    <w:p w14:paraId="65F4906D" w14:textId="77777777" w:rsidR="008B5573" w:rsidRPr="002446BA" w:rsidRDefault="002446BA">
      <w:pPr>
        <w:pStyle w:val="Heading3"/>
        <w:jc w:val="both"/>
        <w:rPr>
          <w:rFonts w:ascii="Arial" w:hAnsi="Arial"/>
          <w:sz w:val="24"/>
          <w:szCs w:val="24"/>
          <w:lang w:val="en-US"/>
        </w:rPr>
      </w:pPr>
      <w:r w:rsidRPr="002446BA">
        <w:rPr>
          <w:rFonts w:ascii="Arial" w:hAnsi="Arial"/>
          <w:sz w:val="24"/>
          <w:szCs w:val="24"/>
          <w:lang w:val="en-US"/>
        </w:rPr>
        <w:t>2. Assassination of Women Leadership</w:t>
      </w:r>
    </w:p>
    <w:p w14:paraId="725595C3" w14:textId="77777777" w:rsidR="008B5573" w:rsidRPr="002446BA" w:rsidRDefault="008B5573">
      <w:pPr>
        <w:pStyle w:val="BodyText"/>
        <w:jc w:val="both"/>
        <w:rPr>
          <w:rFonts w:ascii="Arial" w:hAnsi="Arial"/>
          <w:lang w:val="en-US"/>
        </w:rPr>
      </w:pPr>
    </w:p>
    <w:p w14:paraId="585F56D2" w14:textId="77777777" w:rsidR="008B5573" w:rsidRPr="002446BA" w:rsidRDefault="002446BA">
      <w:pPr>
        <w:pStyle w:val="BodyText"/>
        <w:jc w:val="both"/>
        <w:rPr>
          <w:rFonts w:ascii="Arial" w:hAnsi="Arial"/>
          <w:lang w:val="en-US"/>
        </w:rPr>
      </w:pPr>
      <w:r w:rsidRPr="002446BA">
        <w:rPr>
          <w:rFonts w:ascii="Arial" w:hAnsi="Arial"/>
          <w:lang w:val="en-US"/>
        </w:rPr>
        <w:t>The Secretary General of the Future Syria Party and a prominent advocate for ethnic and religious coexistence, was executed on 12 October 2019 by Ahrar al-Sharqiya, a militia group affiliated with the Turkish-backed Syrian National Army. Her vehicle was ambushed on the M4 highway, and video evidence later circulated online showing the brutal nature of her killing.[3]</w:t>
      </w:r>
    </w:p>
    <w:p w14:paraId="5C928F3A" w14:textId="77777777" w:rsidR="008B5573" w:rsidRPr="002446BA" w:rsidRDefault="008B5573">
      <w:pPr>
        <w:pStyle w:val="BodyText"/>
        <w:jc w:val="both"/>
        <w:rPr>
          <w:rFonts w:ascii="Arial" w:hAnsi="Arial"/>
          <w:lang w:val="en-US"/>
        </w:rPr>
      </w:pPr>
    </w:p>
    <w:p w14:paraId="7D8D9535" w14:textId="77777777" w:rsidR="008B5573" w:rsidRPr="002446BA" w:rsidRDefault="002446BA">
      <w:pPr>
        <w:pStyle w:val="BodyText"/>
        <w:jc w:val="both"/>
        <w:rPr>
          <w:rFonts w:ascii="Arial" w:hAnsi="Arial"/>
          <w:lang w:val="en-US"/>
        </w:rPr>
      </w:pPr>
      <w:r w:rsidRPr="002446BA">
        <w:rPr>
          <w:rFonts w:ascii="Arial" w:hAnsi="Arial"/>
          <w:lang w:val="en-US"/>
        </w:rPr>
        <w:t>The United Nations High Commissioner for Human Rights (OHCHR) has documented this incident as a likely war crime, and it has raised significant concern about Turkey's command responsibility over proxy forces operating in Syria.[4]</w:t>
      </w:r>
    </w:p>
    <w:p w14:paraId="3BA21D19" w14:textId="77777777" w:rsidR="008B5573" w:rsidRPr="002446BA" w:rsidRDefault="008B5573">
      <w:pPr>
        <w:pStyle w:val="BodyText"/>
        <w:jc w:val="both"/>
        <w:rPr>
          <w:rFonts w:ascii="Arial" w:hAnsi="Arial"/>
          <w:lang w:val="en-US"/>
        </w:rPr>
      </w:pPr>
    </w:p>
    <w:p w14:paraId="554311E3" w14:textId="77777777" w:rsidR="008B5573" w:rsidRPr="002446BA" w:rsidRDefault="002446BA">
      <w:pPr>
        <w:pStyle w:val="BodyText"/>
        <w:jc w:val="both"/>
        <w:rPr>
          <w:rFonts w:ascii="Arial" w:hAnsi="Arial"/>
          <w:lang w:val="en-US"/>
        </w:rPr>
      </w:pPr>
      <w:r w:rsidRPr="002446BA">
        <w:rPr>
          <w:rFonts w:ascii="Arial" w:hAnsi="Arial"/>
          <w:lang w:val="en-US"/>
        </w:rPr>
        <w:t>CEDAW General Recommendation No. 30 (2013) asks States parties to prevent and respond to violations of women’s rights in conflict-affected areas, including by non-state actors and occupying powers. Turkey, although not the State party under review, exercises effective control and thus incurs responsibilities under international humanitarian law, including the Fourth Geneva Convention.</w:t>
      </w:r>
    </w:p>
    <w:p w14:paraId="09120816" w14:textId="77777777" w:rsidR="008B5573" w:rsidRPr="002446BA" w:rsidRDefault="002446BA">
      <w:pPr>
        <w:pStyle w:val="BodyText"/>
        <w:jc w:val="both"/>
        <w:rPr>
          <w:rFonts w:ascii="Arial" w:hAnsi="Arial"/>
          <w:lang w:val="en-US"/>
        </w:rPr>
      </w:pPr>
      <w:r w:rsidRPr="002446BA">
        <w:rPr>
          <w:rFonts w:ascii="Arial" w:hAnsi="Arial"/>
          <w:lang w:val="en-US"/>
        </w:rPr>
        <w:t>Under Article 2 of CEDAW, Syria is obliged to eliminate discrimination by any person, organization, or enterprise. However, the state's inability to access and protect the Rojava region renders it ineffective in fulfilling these obligations.</w:t>
      </w:r>
    </w:p>
    <w:p w14:paraId="13CCE692" w14:textId="77777777" w:rsidR="008B5573" w:rsidRPr="002446BA" w:rsidRDefault="008B5573">
      <w:pPr>
        <w:pStyle w:val="BodyText"/>
        <w:jc w:val="both"/>
        <w:rPr>
          <w:rFonts w:ascii="Arial" w:hAnsi="Arial"/>
          <w:lang w:val="en-US"/>
        </w:rPr>
      </w:pPr>
    </w:p>
    <w:p w14:paraId="36B639D2" w14:textId="77777777" w:rsidR="008B5573" w:rsidRPr="002446BA" w:rsidRDefault="002446BA">
      <w:pPr>
        <w:pStyle w:val="BodyText"/>
        <w:jc w:val="both"/>
        <w:rPr>
          <w:rFonts w:ascii="Arial" w:hAnsi="Arial"/>
          <w:b/>
          <w:bCs/>
          <w:lang w:val="en-US"/>
        </w:rPr>
      </w:pPr>
      <w:r w:rsidRPr="002446BA">
        <w:rPr>
          <w:rFonts w:ascii="Arial" w:hAnsi="Arial"/>
          <w:b/>
          <w:bCs/>
          <w:lang w:val="en-US"/>
        </w:rPr>
        <w:t>3. Key Questions to the State Party (Syria)</w:t>
      </w:r>
    </w:p>
    <w:p w14:paraId="07D4EB69" w14:textId="77777777" w:rsidR="008B5573" w:rsidRPr="002446BA" w:rsidRDefault="002446BA">
      <w:pPr>
        <w:pStyle w:val="BodyText"/>
        <w:numPr>
          <w:ilvl w:val="0"/>
          <w:numId w:val="1"/>
        </w:numPr>
        <w:tabs>
          <w:tab w:val="left" w:pos="709"/>
        </w:tabs>
        <w:jc w:val="both"/>
        <w:rPr>
          <w:rFonts w:ascii="Arial" w:hAnsi="Arial"/>
          <w:lang w:val="en-US"/>
        </w:rPr>
      </w:pPr>
      <w:r w:rsidRPr="002446BA">
        <w:rPr>
          <w:rFonts w:ascii="Arial" w:hAnsi="Arial"/>
          <w:lang w:val="en-US"/>
        </w:rPr>
        <w:t>Does the Syrian State possess any jurisdiction or control in the Rojava region to conduct investigations into crimes against Kurdish women?</w:t>
      </w:r>
    </w:p>
    <w:p w14:paraId="0E57BE84" w14:textId="77777777" w:rsidR="008B5573" w:rsidRPr="002446BA" w:rsidRDefault="002446BA">
      <w:pPr>
        <w:pStyle w:val="BodyText"/>
        <w:numPr>
          <w:ilvl w:val="0"/>
          <w:numId w:val="1"/>
        </w:numPr>
        <w:tabs>
          <w:tab w:val="left" w:pos="709"/>
        </w:tabs>
        <w:jc w:val="both"/>
        <w:rPr>
          <w:rFonts w:ascii="Arial" w:hAnsi="Arial"/>
          <w:lang w:val="en-US"/>
        </w:rPr>
      </w:pPr>
      <w:r w:rsidRPr="002446BA">
        <w:rPr>
          <w:rFonts w:ascii="Arial" w:hAnsi="Arial"/>
          <w:lang w:val="en-US"/>
        </w:rPr>
        <w:t xml:space="preserve">Has the State made formal </w:t>
      </w:r>
      <w:r w:rsidRPr="002446BA">
        <w:rPr>
          <w:rFonts w:ascii="Arial" w:hAnsi="Arial"/>
          <w:lang w:val="en-US"/>
        </w:rPr>
        <w:t>representations to Turkey regarding violations committed by Turkish-backed forces?</w:t>
      </w:r>
    </w:p>
    <w:p w14:paraId="5734773D" w14:textId="77777777" w:rsidR="008B5573" w:rsidRPr="002446BA" w:rsidRDefault="002446BA">
      <w:pPr>
        <w:pStyle w:val="BodyText"/>
        <w:numPr>
          <w:ilvl w:val="0"/>
          <w:numId w:val="1"/>
        </w:numPr>
        <w:tabs>
          <w:tab w:val="left" w:pos="709"/>
        </w:tabs>
        <w:jc w:val="both"/>
        <w:rPr>
          <w:rFonts w:ascii="Arial" w:hAnsi="Arial"/>
          <w:lang w:val="en-US"/>
        </w:rPr>
      </w:pPr>
      <w:r w:rsidRPr="002446BA">
        <w:rPr>
          <w:rFonts w:ascii="Arial" w:hAnsi="Arial"/>
          <w:lang w:val="en-US"/>
        </w:rPr>
        <w:t>Has Syria documented or supported third-party monitoring of women's human rights in occupied areas?</w:t>
      </w:r>
    </w:p>
    <w:p w14:paraId="12CF3C39" w14:textId="77777777" w:rsidR="008B5573" w:rsidRDefault="002446BA">
      <w:pPr>
        <w:pStyle w:val="Heading3"/>
        <w:jc w:val="both"/>
        <w:rPr>
          <w:rFonts w:ascii="Arial" w:hAnsi="Arial"/>
          <w:sz w:val="24"/>
          <w:szCs w:val="24"/>
        </w:rPr>
      </w:pPr>
      <w:r>
        <w:rPr>
          <w:rFonts w:ascii="Arial" w:hAnsi="Arial"/>
          <w:sz w:val="24"/>
          <w:szCs w:val="24"/>
        </w:rPr>
        <w:t xml:space="preserve">4. </w:t>
      </w:r>
      <w:proofErr w:type="spellStart"/>
      <w:r>
        <w:rPr>
          <w:rFonts w:ascii="Arial" w:hAnsi="Arial"/>
          <w:sz w:val="24"/>
          <w:szCs w:val="24"/>
        </w:rPr>
        <w:t>Recommendations</w:t>
      </w:r>
      <w:proofErr w:type="spellEnd"/>
      <w:r>
        <w:rPr>
          <w:rFonts w:ascii="Arial" w:hAnsi="Arial"/>
          <w:sz w:val="24"/>
          <w:szCs w:val="24"/>
        </w:rPr>
        <w:t xml:space="preserve"> to the CEDAW Committee</w:t>
      </w:r>
    </w:p>
    <w:p w14:paraId="3346211D" w14:textId="77777777" w:rsidR="008B5573" w:rsidRPr="002446BA" w:rsidRDefault="002446BA">
      <w:pPr>
        <w:pStyle w:val="BodyText"/>
        <w:numPr>
          <w:ilvl w:val="0"/>
          <w:numId w:val="2"/>
        </w:numPr>
        <w:tabs>
          <w:tab w:val="left" w:pos="709"/>
        </w:tabs>
        <w:jc w:val="both"/>
        <w:rPr>
          <w:rFonts w:ascii="Arial" w:hAnsi="Arial"/>
          <w:lang w:val="en-US"/>
        </w:rPr>
      </w:pPr>
      <w:r w:rsidRPr="002446BA">
        <w:rPr>
          <w:rFonts w:ascii="Arial" w:hAnsi="Arial"/>
          <w:lang w:val="en-US"/>
        </w:rPr>
        <w:t>Request that Syria clarify its capacity and willingness to protect Kurdish women in territories outside its control.</w:t>
      </w:r>
    </w:p>
    <w:p w14:paraId="2471172D" w14:textId="77777777" w:rsidR="008B5573" w:rsidRPr="002446BA" w:rsidRDefault="002446BA">
      <w:pPr>
        <w:pStyle w:val="BodyText"/>
        <w:numPr>
          <w:ilvl w:val="0"/>
          <w:numId w:val="2"/>
        </w:numPr>
        <w:tabs>
          <w:tab w:val="left" w:pos="709"/>
        </w:tabs>
        <w:jc w:val="both"/>
        <w:rPr>
          <w:rFonts w:ascii="Arial" w:hAnsi="Arial"/>
          <w:lang w:val="en-US"/>
        </w:rPr>
      </w:pPr>
      <w:r w:rsidRPr="002446BA">
        <w:rPr>
          <w:rFonts w:ascii="Arial" w:hAnsi="Arial"/>
          <w:lang w:val="en-US"/>
        </w:rPr>
        <w:t>Recommend that the Committee acknowledge Turkey as an occupying power in northern Syria for the purpose of enforcing international humanitarian obligations related with woman.</w:t>
      </w:r>
    </w:p>
    <w:p w14:paraId="2192D152" w14:textId="77777777" w:rsidR="008B5573" w:rsidRPr="002446BA" w:rsidRDefault="002446BA">
      <w:pPr>
        <w:pStyle w:val="BodyText"/>
        <w:numPr>
          <w:ilvl w:val="0"/>
          <w:numId w:val="2"/>
        </w:numPr>
        <w:tabs>
          <w:tab w:val="left" w:pos="709"/>
        </w:tabs>
        <w:jc w:val="both"/>
        <w:rPr>
          <w:rFonts w:ascii="Arial" w:hAnsi="Arial"/>
          <w:lang w:val="en-US"/>
        </w:rPr>
      </w:pPr>
      <w:r w:rsidRPr="002446BA">
        <w:rPr>
          <w:rFonts w:ascii="Arial" w:hAnsi="Arial"/>
          <w:lang w:val="en-US"/>
        </w:rPr>
        <w:lastRenderedPageBreak/>
        <w:t>Encourage support for Kurdish women’s civil society organizations and defenders facing heightened risks under occupation.</w:t>
      </w:r>
    </w:p>
    <w:p w14:paraId="18750491" w14:textId="77777777" w:rsidR="008B5573" w:rsidRPr="002446BA" w:rsidRDefault="002446BA">
      <w:pPr>
        <w:pStyle w:val="Heading3"/>
        <w:jc w:val="both"/>
        <w:rPr>
          <w:rFonts w:ascii="Arial" w:hAnsi="Arial"/>
          <w:sz w:val="24"/>
          <w:szCs w:val="24"/>
          <w:lang w:val="en-US"/>
        </w:rPr>
      </w:pPr>
      <w:r w:rsidRPr="002446BA">
        <w:rPr>
          <w:rFonts w:ascii="Arial" w:hAnsi="Arial"/>
          <w:sz w:val="24"/>
          <w:szCs w:val="24"/>
          <w:lang w:val="en-US"/>
        </w:rPr>
        <w:t>5. References</w:t>
      </w:r>
    </w:p>
    <w:p w14:paraId="5C3CF6FB" w14:textId="77777777" w:rsidR="008B5573" w:rsidRDefault="002446BA">
      <w:pPr>
        <w:pStyle w:val="BodyText"/>
        <w:jc w:val="both"/>
        <w:rPr>
          <w:rFonts w:ascii="Arial" w:hAnsi="Arial"/>
        </w:rPr>
      </w:pPr>
      <w:r w:rsidRPr="002446BA">
        <w:rPr>
          <w:rFonts w:ascii="Arial" w:hAnsi="Arial"/>
          <w:lang w:val="en-US"/>
        </w:rPr>
        <w:t>[1] International Crisis Group, "Steadying the New Status Quo in Syria’s North East," 2020.</w:t>
      </w:r>
      <w:r w:rsidRPr="002446BA">
        <w:rPr>
          <w:rFonts w:ascii="Arial" w:hAnsi="Arial"/>
          <w:lang w:val="en-US"/>
        </w:rPr>
        <w:br/>
      </w:r>
      <w:r>
        <w:rPr>
          <w:rFonts w:ascii="Arial" w:hAnsi="Arial"/>
        </w:rPr>
        <w:t xml:space="preserve">[2] </w:t>
      </w:r>
      <w:proofErr w:type="spellStart"/>
      <w:r>
        <w:rPr>
          <w:rFonts w:ascii="Arial" w:hAnsi="Arial"/>
        </w:rPr>
        <w:t>Amnesty</w:t>
      </w:r>
      <w:proofErr w:type="spellEnd"/>
      <w:r>
        <w:rPr>
          <w:rFonts w:ascii="Arial" w:hAnsi="Arial"/>
        </w:rPr>
        <w:t xml:space="preserve"> International, "</w:t>
      </w:r>
      <w:proofErr w:type="spellStart"/>
      <w:r>
        <w:rPr>
          <w:rFonts w:ascii="Arial" w:hAnsi="Arial"/>
        </w:rPr>
        <w:t>Syria</w:t>
      </w:r>
      <w:proofErr w:type="spellEnd"/>
      <w:r>
        <w:rPr>
          <w:rFonts w:ascii="Arial" w:hAnsi="Arial"/>
        </w:rPr>
        <w:t xml:space="preserve">: </w:t>
      </w:r>
      <w:proofErr w:type="spellStart"/>
      <w:r>
        <w:rPr>
          <w:rFonts w:ascii="Arial" w:hAnsi="Arial"/>
        </w:rPr>
        <w:t>Damning</w:t>
      </w:r>
      <w:proofErr w:type="spellEnd"/>
      <w:r>
        <w:rPr>
          <w:rFonts w:ascii="Arial" w:hAnsi="Arial"/>
        </w:rPr>
        <w:t xml:space="preserve"> </w:t>
      </w:r>
      <w:proofErr w:type="spellStart"/>
      <w:r>
        <w:rPr>
          <w:rFonts w:ascii="Arial" w:hAnsi="Arial"/>
        </w:rPr>
        <w:t>evidence</w:t>
      </w:r>
      <w:proofErr w:type="spellEnd"/>
      <w:r>
        <w:rPr>
          <w:rFonts w:ascii="Arial" w:hAnsi="Arial"/>
        </w:rPr>
        <w:t xml:space="preserve"> of </w:t>
      </w:r>
      <w:proofErr w:type="spellStart"/>
      <w:r>
        <w:rPr>
          <w:rFonts w:ascii="Arial" w:hAnsi="Arial"/>
        </w:rPr>
        <w:t>war</w:t>
      </w:r>
      <w:proofErr w:type="spellEnd"/>
      <w:r>
        <w:rPr>
          <w:rFonts w:ascii="Arial" w:hAnsi="Arial"/>
        </w:rPr>
        <w:t xml:space="preserve"> </w:t>
      </w:r>
      <w:proofErr w:type="spellStart"/>
      <w:r>
        <w:rPr>
          <w:rFonts w:ascii="Arial" w:hAnsi="Arial"/>
        </w:rPr>
        <w:t>crimes</w:t>
      </w:r>
      <w:proofErr w:type="spellEnd"/>
      <w:r>
        <w:rPr>
          <w:rFonts w:ascii="Arial" w:hAnsi="Arial"/>
        </w:rPr>
        <w:t xml:space="preserve"> and </w:t>
      </w:r>
      <w:proofErr w:type="spellStart"/>
      <w:r>
        <w:rPr>
          <w:rFonts w:ascii="Arial" w:hAnsi="Arial"/>
        </w:rPr>
        <w:t>other</w:t>
      </w:r>
      <w:proofErr w:type="spellEnd"/>
      <w:r>
        <w:rPr>
          <w:rFonts w:ascii="Arial" w:hAnsi="Arial"/>
        </w:rPr>
        <w:t xml:space="preserve"> </w:t>
      </w:r>
      <w:proofErr w:type="spellStart"/>
      <w:r>
        <w:rPr>
          <w:rFonts w:ascii="Arial" w:hAnsi="Arial"/>
        </w:rPr>
        <w:t>violations</w:t>
      </w:r>
      <w:proofErr w:type="spellEnd"/>
      <w:r>
        <w:rPr>
          <w:rFonts w:ascii="Arial" w:hAnsi="Arial"/>
        </w:rPr>
        <w:t xml:space="preserve"> </w:t>
      </w:r>
      <w:proofErr w:type="spellStart"/>
      <w:r>
        <w:rPr>
          <w:rFonts w:ascii="Arial" w:hAnsi="Arial"/>
        </w:rPr>
        <w:t>by</w:t>
      </w:r>
      <w:proofErr w:type="spellEnd"/>
      <w:r>
        <w:rPr>
          <w:rFonts w:ascii="Arial" w:hAnsi="Arial"/>
        </w:rPr>
        <w:t xml:space="preserve"> </w:t>
      </w:r>
      <w:proofErr w:type="spellStart"/>
      <w:r>
        <w:rPr>
          <w:rFonts w:ascii="Arial" w:hAnsi="Arial"/>
        </w:rPr>
        <w:t>Turkish</w:t>
      </w:r>
      <w:proofErr w:type="spellEnd"/>
      <w:r>
        <w:rPr>
          <w:rFonts w:ascii="Arial" w:hAnsi="Arial"/>
        </w:rPr>
        <w:t xml:space="preserve"> </w:t>
      </w:r>
      <w:proofErr w:type="spellStart"/>
      <w:r>
        <w:rPr>
          <w:rFonts w:ascii="Arial" w:hAnsi="Arial"/>
        </w:rPr>
        <w:t>forces</w:t>
      </w:r>
      <w:proofErr w:type="spellEnd"/>
      <w:r>
        <w:rPr>
          <w:rFonts w:ascii="Arial" w:hAnsi="Arial"/>
        </w:rPr>
        <w:t xml:space="preserve"> and </w:t>
      </w:r>
      <w:proofErr w:type="spellStart"/>
      <w:r>
        <w:rPr>
          <w:rFonts w:ascii="Arial" w:hAnsi="Arial"/>
        </w:rPr>
        <w:t>their</w:t>
      </w:r>
      <w:proofErr w:type="spellEnd"/>
      <w:r>
        <w:rPr>
          <w:rFonts w:ascii="Arial" w:hAnsi="Arial"/>
        </w:rPr>
        <w:t xml:space="preserve"> </w:t>
      </w:r>
      <w:proofErr w:type="spellStart"/>
      <w:r>
        <w:rPr>
          <w:rFonts w:ascii="Arial" w:hAnsi="Arial"/>
        </w:rPr>
        <w:t>allies</w:t>
      </w:r>
      <w:proofErr w:type="spellEnd"/>
      <w:r>
        <w:rPr>
          <w:rFonts w:ascii="Arial" w:hAnsi="Arial"/>
        </w:rPr>
        <w:t>," 2019.</w:t>
      </w:r>
      <w:r>
        <w:rPr>
          <w:rFonts w:ascii="Arial" w:hAnsi="Arial"/>
        </w:rPr>
        <w:br/>
        <w:t>[3] Washington Post, "‘</w:t>
      </w:r>
      <w:proofErr w:type="spellStart"/>
      <w:r>
        <w:rPr>
          <w:rFonts w:ascii="Arial" w:hAnsi="Arial"/>
        </w:rPr>
        <w:t>Executed</w:t>
      </w:r>
      <w:proofErr w:type="spellEnd"/>
      <w:r>
        <w:rPr>
          <w:rFonts w:ascii="Arial" w:hAnsi="Arial"/>
        </w:rPr>
        <w:t xml:space="preserve"> </w:t>
      </w:r>
      <w:proofErr w:type="spellStart"/>
      <w:r>
        <w:rPr>
          <w:rFonts w:ascii="Arial" w:hAnsi="Arial"/>
        </w:rPr>
        <w:t>on</w:t>
      </w:r>
      <w:proofErr w:type="spellEnd"/>
      <w:r>
        <w:rPr>
          <w:rFonts w:ascii="Arial" w:hAnsi="Arial"/>
        </w:rPr>
        <w:t xml:space="preserve"> the spot’: H. K. </w:t>
      </w:r>
      <w:proofErr w:type="spellStart"/>
      <w:r>
        <w:rPr>
          <w:rFonts w:ascii="Arial" w:hAnsi="Arial"/>
        </w:rPr>
        <w:t>killing</w:t>
      </w:r>
      <w:proofErr w:type="spellEnd"/>
      <w:r>
        <w:rPr>
          <w:rFonts w:ascii="Arial" w:hAnsi="Arial"/>
        </w:rPr>
        <w:t xml:space="preserve"> </w:t>
      </w:r>
      <w:proofErr w:type="spellStart"/>
      <w:r>
        <w:rPr>
          <w:rFonts w:ascii="Arial" w:hAnsi="Arial"/>
        </w:rPr>
        <w:t>spurs</w:t>
      </w:r>
      <w:proofErr w:type="spellEnd"/>
      <w:r>
        <w:rPr>
          <w:rFonts w:ascii="Arial" w:hAnsi="Arial"/>
        </w:rPr>
        <w:t xml:space="preserve"> </w:t>
      </w:r>
      <w:proofErr w:type="spellStart"/>
      <w:r>
        <w:rPr>
          <w:rFonts w:ascii="Arial" w:hAnsi="Arial"/>
        </w:rPr>
        <w:t>outcry</w:t>
      </w:r>
      <w:proofErr w:type="spellEnd"/>
      <w:r>
        <w:rPr>
          <w:rFonts w:ascii="Arial" w:hAnsi="Arial"/>
        </w:rPr>
        <w:t>," Oct 2019.</w:t>
      </w:r>
      <w:r>
        <w:rPr>
          <w:rFonts w:ascii="Arial" w:hAnsi="Arial"/>
        </w:rPr>
        <w:br/>
        <w:t>[4] UN OHCHR, "</w:t>
      </w:r>
      <w:proofErr w:type="spellStart"/>
      <w:r>
        <w:rPr>
          <w:rFonts w:ascii="Arial" w:hAnsi="Arial"/>
        </w:rPr>
        <w:t>Syrian</w:t>
      </w:r>
      <w:proofErr w:type="spellEnd"/>
      <w:r>
        <w:rPr>
          <w:rFonts w:ascii="Arial" w:hAnsi="Arial"/>
        </w:rPr>
        <w:t xml:space="preserve"> Arab </w:t>
      </w:r>
      <w:proofErr w:type="spellStart"/>
      <w:r>
        <w:rPr>
          <w:rFonts w:ascii="Arial" w:hAnsi="Arial"/>
        </w:rPr>
        <w:t>Republic</w:t>
      </w:r>
      <w:proofErr w:type="spellEnd"/>
      <w:r>
        <w:rPr>
          <w:rFonts w:ascii="Arial" w:hAnsi="Arial"/>
        </w:rPr>
        <w:t xml:space="preserve">: </w:t>
      </w:r>
      <w:proofErr w:type="spellStart"/>
      <w:r>
        <w:rPr>
          <w:rFonts w:ascii="Arial" w:hAnsi="Arial"/>
        </w:rPr>
        <w:t>Violations</w:t>
      </w:r>
      <w:proofErr w:type="spellEnd"/>
      <w:r>
        <w:rPr>
          <w:rFonts w:ascii="Arial" w:hAnsi="Arial"/>
        </w:rPr>
        <w:t xml:space="preserve"> of </w:t>
      </w:r>
      <w:proofErr w:type="spellStart"/>
      <w:r>
        <w:rPr>
          <w:rFonts w:ascii="Arial" w:hAnsi="Arial"/>
        </w:rPr>
        <w:t>international</w:t>
      </w:r>
      <w:proofErr w:type="spellEnd"/>
      <w:r>
        <w:rPr>
          <w:rFonts w:ascii="Arial" w:hAnsi="Arial"/>
        </w:rPr>
        <w:t xml:space="preserve"> </w:t>
      </w:r>
      <w:proofErr w:type="spellStart"/>
      <w:r>
        <w:rPr>
          <w:rFonts w:ascii="Arial" w:hAnsi="Arial"/>
        </w:rPr>
        <w:t>law</w:t>
      </w:r>
      <w:proofErr w:type="spellEnd"/>
      <w:r>
        <w:rPr>
          <w:rFonts w:ascii="Arial" w:hAnsi="Arial"/>
        </w:rPr>
        <w:t xml:space="preserve"> </w:t>
      </w:r>
      <w:proofErr w:type="spellStart"/>
      <w:r>
        <w:rPr>
          <w:rFonts w:ascii="Arial" w:hAnsi="Arial"/>
        </w:rPr>
        <w:t>by</w:t>
      </w:r>
      <w:proofErr w:type="spellEnd"/>
      <w:r>
        <w:rPr>
          <w:rFonts w:ascii="Arial" w:hAnsi="Arial"/>
        </w:rPr>
        <w:t xml:space="preserve"> </w:t>
      </w:r>
      <w:proofErr w:type="spellStart"/>
      <w:r>
        <w:rPr>
          <w:rFonts w:ascii="Arial" w:hAnsi="Arial"/>
        </w:rPr>
        <w:t>Turkish-affiliated</w:t>
      </w:r>
      <w:proofErr w:type="spellEnd"/>
      <w:r>
        <w:rPr>
          <w:rFonts w:ascii="Arial" w:hAnsi="Arial"/>
        </w:rPr>
        <w:t xml:space="preserve"> </w:t>
      </w:r>
      <w:proofErr w:type="spellStart"/>
      <w:r>
        <w:rPr>
          <w:rFonts w:ascii="Arial" w:hAnsi="Arial"/>
        </w:rPr>
        <w:t>armed</w:t>
      </w:r>
      <w:proofErr w:type="spellEnd"/>
      <w:r>
        <w:rPr>
          <w:rFonts w:ascii="Arial" w:hAnsi="Arial"/>
        </w:rPr>
        <w:t xml:space="preserve"> </w:t>
      </w:r>
      <w:proofErr w:type="spellStart"/>
      <w:r>
        <w:rPr>
          <w:rFonts w:ascii="Arial" w:hAnsi="Arial"/>
        </w:rPr>
        <w:t>groups</w:t>
      </w:r>
      <w:proofErr w:type="spellEnd"/>
      <w:r>
        <w:rPr>
          <w:rFonts w:ascii="Arial" w:hAnsi="Arial"/>
        </w:rPr>
        <w:t>," March 2020.</w:t>
      </w:r>
    </w:p>
    <w:sectPr w:rsidR="008B5573">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0"/>
    <w:family w:val="roman"/>
    <w:pitch w:val="variable"/>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iriam Libre">
    <w:charset w:val="B1"/>
    <w:family w:val="auto"/>
    <w:pitch w:val="variable"/>
    <w:sig w:usb0="00000807" w:usb1="40000000" w:usb2="00000000" w:usb3="00000000" w:csb0="000000B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D5E5B"/>
    <w:multiLevelType w:val="multilevel"/>
    <w:tmpl w:val="1F64C400"/>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1" w15:restartNumberingAfterBreak="0">
    <w:nsid w:val="2ABD45CE"/>
    <w:multiLevelType w:val="multilevel"/>
    <w:tmpl w:val="5EA43BF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BB96366"/>
    <w:multiLevelType w:val="multilevel"/>
    <w:tmpl w:val="2ABCDE1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16cid:durableId="1516110479">
    <w:abstractNumId w:val="0"/>
  </w:num>
  <w:num w:numId="2" w16cid:durableId="1971401008">
    <w:abstractNumId w:val="2"/>
  </w:num>
  <w:num w:numId="3" w16cid:durableId="125196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573"/>
    <w:rsid w:val="002446BA"/>
    <w:rsid w:val="0048712A"/>
    <w:rsid w:val="008B557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25ED8"/>
  <w15:docId w15:val="{F6BF58FD-3210-4C30-98BE-C7CCE69A7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pPr>
  </w:style>
  <w:style w:type="paragraph" w:styleId="Heading2">
    <w:name w:val="heading 2"/>
    <w:basedOn w:val="Titre"/>
    <w:next w:val="BodyText"/>
    <w:uiPriority w:val="9"/>
    <w:unhideWhenUsed/>
    <w:qFormat/>
    <w:pPr>
      <w:spacing w:before="200"/>
      <w:outlineLvl w:val="1"/>
    </w:pPr>
    <w:rPr>
      <w:rFonts w:ascii="Liberation Serif" w:eastAsia="NSimSun" w:hAnsi="Liberation Serif"/>
      <w:b/>
      <w:bCs/>
      <w:sz w:val="36"/>
      <w:szCs w:val="36"/>
    </w:rPr>
  </w:style>
  <w:style w:type="paragraph" w:styleId="Heading3">
    <w:name w:val="heading 3"/>
    <w:basedOn w:val="Titre"/>
    <w:next w:val="BodyText"/>
    <w:uiPriority w:val="9"/>
    <w:unhideWhenUsed/>
    <w:qFormat/>
    <w:pPr>
      <w:spacing w:before="140"/>
      <w:outlineLvl w:val="2"/>
    </w:pPr>
    <w:rPr>
      <w:rFonts w:ascii="Liberation Serif" w:eastAsia="NSimSun" w:hAnsi="Liberation Serif"/>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Pr>
      <w:b/>
      <w:bCs/>
    </w:rPr>
  </w:style>
  <w:style w:type="character" w:customStyle="1" w:styleId="Caractresdenumrotation">
    <w:name w:val="Caractères de numérotation"/>
    <w:qFormat/>
  </w:style>
  <w:style w:type="character" w:customStyle="1" w:styleId="Puces">
    <w:name w:val="Puces"/>
    <w:qFormat/>
    <w:rPr>
      <w:rFonts w:ascii="OpenSymbol" w:eastAsia="OpenSymbol" w:hAnsi="OpenSymbol" w:cs="OpenSymbol"/>
    </w:rPr>
  </w:style>
  <w:style w:type="paragraph" w:customStyle="1" w:styleId="Titre">
    <w:name w:val="Titre"/>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Lignehorizontale">
    <w:name w:val="Ligne horizontale"/>
    <w:basedOn w:val="Normal"/>
    <w:next w:val="BodyText"/>
    <w:qFormat/>
    <w:pPr>
      <w:suppressLineNumbers/>
      <w:pBdr>
        <w:bottom w:val="double" w:sz="2" w:space="0" w:color="808080"/>
      </w:pBdr>
      <w:spacing w:after="283"/>
    </w:pPr>
    <w:rPr>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611</Words>
  <Characters>3485</Characters>
  <Application>Microsoft Office Word</Application>
  <DocSecurity>4</DocSecurity>
  <Lines>29</Lines>
  <Paragraphs>8</Paragraphs>
  <ScaleCrop>false</ScaleCrop>
  <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 Christine Nicolmann</dc:creator>
  <dc:description/>
  <cp:lastModifiedBy>Britta Christine Nicolmann</cp:lastModifiedBy>
  <cp:revision>2</cp:revision>
  <cp:lastPrinted>2025-05-19T20:01:00Z</cp:lastPrinted>
  <dcterms:created xsi:type="dcterms:W3CDTF">2025-06-16T14:29:00Z</dcterms:created>
  <dcterms:modified xsi:type="dcterms:W3CDTF">2025-06-16T14:29:00Z</dcterms:modified>
  <dc:language>fr-CH</dc:language>
</cp:coreProperties>
</file>