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D2D3F" w14:textId="7DC4D2E4" w:rsidR="00325B9E" w:rsidRPr="00A67F6F" w:rsidRDefault="00325B9E" w:rsidP="00DF5E23">
      <w:pPr>
        <w:bidi w:val="0"/>
        <w:jc w:val="center"/>
        <w:rPr>
          <w:rFonts w:cs="Times New Roman"/>
          <w:sz w:val="24"/>
          <w:szCs w:val="24"/>
        </w:rPr>
      </w:pPr>
    </w:p>
    <w:p w14:paraId="48AD7EC9" w14:textId="7DA4EE02" w:rsidR="00325B9E" w:rsidRDefault="00325B9E" w:rsidP="00DF5E23">
      <w:pPr>
        <w:bidi w:val="0"/>
        <w:jc w:val="center"/>
        <w:rPr>
          <w:rFonts w:cs="Times New Roman"/>
          <w:b/>
          <w:bCs/>
          <w:sz w:val="32"/>
          <w:szCs w:val="32"/>
        </w:rPr>
      </w:pPr>
      <w:r w:rsidRPr="00DF5E23">
        <w:rPr>
          <w:rFonts w:cs="Times New Roman"/>
          <w:b/>
          <w:bCs/>
          <w:sz w:val="32"/>
          <w:szCs w:val="32"/>
        </w:rPr>
        <w:t xml:space="preserve">The Independent Commission for Human Rights </w:t>
      </w:r>
    </w:p>
    <w:p w14:paraId="3B4BAD20" w14:textId="613D7BC4" w:rsidR="00DF5E23" w:rsidRDefault="00DF5E23" w:rsidP="00DF5E23">
      <w:pPr>
        <w:bidi w:val="0"/>
        <w:jc w:val="center"/>
        <w:rPr>
          <w:rFonts w:cs="Times New Roman"/>
          <w:b/>
          <w:bCs/>
          <w:sz w:val="32"/>
          <w:szCs w:val="32"/>
        </w:rPr>
      </w:pPr>
    </w:p>
    <w:p w14:paraId="0EC1F190" w14:textId="77777777" w:rsidR="00DF5E23" w:rsidRPr="00DF5E23" w:rsidRDefault="00DF5E23" w:rsidP="00DF5E23">
      <w:pPr>
        <w:bidi w:val="0"/>
        <w:jc w:val="center"/>
        <w:rPr>
          <w:rFonts w:cs="Times New Roman"/>
          <w:b/>
          <w:bCs/>
          <w:sz w:val="32"/>
          <w:szCs w:val="32"/>
        </w:rPr>
      </w:pPr>
    </w:p>
    <w:p w14:paraId="087063C7" w14:textId="77777777" w:rsidR="00325B9E" w:rsidRDefault="00325B9E" w:rsidP="00DF5E23">
      <w:pPr>
        <w:bidi w:val="0"/>
        <w:jc w:val="center"/>
        <w:rPr>
          <w:rFonts w:cs="Times New Roman"/>
          <w:b/>
          <w:bCs/>
          <w:sz w:val="24"/>
          <w:szCs w:val="24"/>
        </w:rPr>
      </w:pPr>
    </w:p>
    <w:p w14:paraId="406D1AB4" w14:textId="77777777" w:rsidR="00325B9E" w:rsidRPr="00A67F6F" w:rsidRDefault="00325B9E" w:rsidP="00DF5E23">
      <w:pPr>
        <w:bidi w:val="0"/>
        <w:jc w:val="center"/>
        <w:rPr>
          <w:rFonts w:cs="Times New Roman"/>
          <w:b/>
          <w:bCs/>
          <w:sz w:val="24"/>
          <w:szCs w:val="24"/>
        </w:rPr>
      </w:pPr>
    </w:p>
    <w:p w14:paraId="42E5C801" w14:textId="77777777" w:rsidR="00325B9E" w:rsidRPr="00A67F6F" w:rsidRDefault="00325B9E" w:rsidP="00DF5E23">
      <w:pPr>
        <w:bidi w:val="0"/>
        <w:jc w:val="both"/>
        <w:rPr>
          <w:rFonts w:cs="Times New Roman"/>
          <w:sz w:val="24"/>
          <w:szCs w:val="24"/>
        </w:rPr>
      </w:pPr>
    </w:p>
    <w:p w14:paraId="043696D3" w14:textId="1FF97BDE" w:rsidR="00325B9E" w:rsidRPr="00DF5E23" w:rsidRDefault="00325B9E" w:rsidP="00DF5E23">
      <w:pPr>
        <w:pStyle w:val="Title"/>
        <w:bidi w:val="0"/>
        <w:jc w:val="center"/>
        <w:rPr>
          <w:rFonts w:asciiTheme="majorBidi" w:hAnsiTheme="majorBidi"/>
          <w:b/>
          <w:bCs/>
          <w:sz w:val="32"/>
          <w:szCs w:val="32"/>
        </w:rPr>
      </w:pPr>
      <w:r w:rsidRPr="00DF5E23">
        <w:rPr>
          <w:rFonts w:asciiTheme="majorBidi" w:hAnsiTheme="majorBidi"/>
          <w:b/>
          <w:bCs/>
          <w:sz w:val="32"/>
          <w:szCs w:val="32"/>
        </w:rPr>
        <w:t>Shadow Report of the Independent Commission for Human Rights (ICHR) to the Human Rights Committee on the First Periodic Review of the State of Palestine</w:t>
      </w:r>
    </w:p>
    <w:p w14:paraId="3D44C291" w14:textId="77777777" w:rsidR="00325B9E" w:rsidRPr="00A67F6F" w:rsidRDefault="00325B9E" w:rsidP="00DF5E23">
      <w:pPr>
        <w:bidi w:val="0"/>
        <w:jc w:val="both"/>
        <w:rPr>
          <w:rFonts w:cs="Times New Roman"/>
          <w:sz w:val="24"/>
          <w:szCs w:val="24"/>
        </w:rPr>
      </w:pPr>
    </w:p>
    <w:p w14:paraId="692540D4" w14:textId="77777777" w:rsidR="00325B9E" w:rsidRDefault="00325B9E" w:rsidP="00DF5E23">
      <w:pPr>
        <w:bidi w:val="0"/>
        <w:jc w:val="both"/>
        <w:rPr>
          <w:rFonts w:cs="Times New Roman"/>
          <w:b/>
          <w:bCs/>
          <w:sz w:val="24"/>
          <w:szCs w:val="24"/>
        </w:rPr>
      </w:pPr>
    </w:p>
    <w:p w14:paraId="6BA36335" w14:textId="77777777" w:rsidR="00325B9E" w:rsidRDefault="00325B9E" w:rsidP="00DF5E23">
      <w:pPr>
        <w:bidi w:val="0"/>
        <w:jc w:val="both"/>
        <w:rPr>
          <w:rFonts w:cs="Times New Roman"/>
          <w:b/>
          <w:bCs/>
          <w:sz w:val="24"/>
          <w:szCs w:val="24"/>
        </w:rPr>
      </w:pPr>
    </w:p>
    <w:p w14:paraId="0A75C992" w14:textId="77777777" w:rsidR="00325B9E" w:rsidRDefault="00325B9E" w:rsidP="00DF5E23">
      <w:pPr>
        <w:bidi w:val="0"/>
        <w:jc w:val="both"/>
        <w:rPr>
          <w:rFonts w:cs="Times New Roman"/>
          <w:b/>
          <w:bCs/>
          <w:sz w:val="24"/>
          <w:szCs w:val="24"/>
        </w:rPr>
      </w:pPr>
    </w:p>
    <w:p w14:paraId="3A8B3A02" w14:textId="77777777" w:rsidR="00325B9E" w:rsidRDefault="00325B9E" w:rsidP="00DF5E23">
      <w:pPr>
        <w:bidi w:val="0"/>
        <w:jc w:val="both"/>
        <w:rPr>
          <w:rFonts w:cs="Times New Roman"/>
          <w:b/>
          <w:bCs/>
          <w:sz w:val="24"/>
          <w:szCs w:val="24"/>
        </w:rPr>
      </w:pPr>
    </w:p>
    <w:p w14:paraId="6679C955" w14:textId="77777777" w:rsidR="00325B9E" w:rsidRDefault="00325B9E" w:rsidP="00DF5E23">
      <w:pPr>
        <w:bidi w:val="0"/>
        <w:jc w:val="both"/>
        <w:rPr>
          <w:rFonts w:cs="Times New Roman"/>
          <w:b/>
          <w:bCs/>
          <w:sz w:val="24"/>
          <w:szCs w:val="24"/>
        </w:rPr>
      </w:pPr>
    </w:p>
    <w:p w14:paraId="19D20472" w14:textId="77777777" w:rsidR="00325B9E" w:rsidRDefault="00325B9E" w:rsidP="00DF5E23">
      <w:pPr>
        <w:bidi w:val="0"/>
        <w:jc w:val="both"/>
        <w:rPr>
          <w:rFonts w:cs="Times New Roman"/>
          <w:b/>
          <w:bCs/>
          <w:sz w:val="24"/>
          <w:szCs w:val="24"/>
        </w:rPr>
      </w:pPr>
    </w:p>
    <w:p w14:paraId="2EE31001" w14:textId="77777777" w:rsidR="00325B9E" w:rsidRDefault="00325B9E" w:rsidP="00DF5E23">
      <w:pPr>
        <w:bidi w:val="0"/>
        <w:jc w:val="both"/>
        <w:rPr>
          <w:rFonts w:cs="Times New Roman"/>
          <w:b/>
          <w:bCs/>
          <w:sz w:val="24"/>
          <w:szCs w:val="24"/>
        </w:rPr>
      </w:pPr>
    </w:p>
    <w:p w14:paraId="3B67604B" w14:textId="77777777" w:rsidR="00325B9E" w:rsidRDefault="00325B9E" w:rsidP="00DF5E23">
      <w:pPr>
        <w:bidi w:val="0"/>
        <w:jc w:val="both"/>
        <w:rPr>
          <w:rFonts w:cs="Times New Roman"/>
          <w:b/>
          <w:bCs/>
          <w:sz w:val="24"/>
          <w:szCs w:val="24"/>
        </w:rPr>
      </w:pPr>
    </w:p>
    <w:p w14:paraId="1C059B83" w14:textId="77777777" w:rsidR="00325B9E" w:rsidRDefault="00325B9E" w:rsidP="00DF5E23">
      <w:pPr>
        <w:bidi w:val="0"/>
        <w:jc w:val="both"/>
        <w:rPr>
          <w:rFonts w:cs="Times New Roman"/>
          <w:b/>
          <w:bCs/>
          <w:sz w:val="24"/>
          <w:szCs w:val="24"/>
        </w:rPr>
      </w:pPr>
    </w:p>
    <w:p w14:paraId="0D475A93" w14:textId="77777777" w:rsidR="00325B9E" w:rsidRDefault="00325B9E" w:rsidP="00DF5E23">
      <w:pPr>
        <w:bidi w:val="0"/>
        <w:jc w:val="both"/>
        <w:rPr>
          <w:rFonts w:cs="Times New Roman"/>
          <w:b/>
          <w:bCs/>
          <w:sz w:val="24"/>
          <w:szCs w:val="24"/>
        </w:rPr>
      </w:pPr>
    </w:p>
    <w:p w14:paraId="5CE01C6E" w14:textId="77777777" w:rsidR="00325B9E" w:rsidRDefault="00325B9E" w:rsidP="00DF5E23">
      <w:pPr>
        <w:bidi w:val="0"/>
        <w:jc w:val="both"/>
        <w:rPr>
          <w:rFonts w:cs="Times New Roman"/>
          <w:b/>
          <w:bCs/>
          <w:sz w:val="24"/>
          <w:szCs w:val="24"/>
        </w:rPr>
      </w:pPr>
    </w:p>
    <w:p w14:paraId="14B45FE8" w14:textId="77777777" w:rsidR="00325B9E" w:rsidRDefault="00325B9E" w:rsidP="00DF5E23">
      <w:pPr>
        <w:bidi w:val="0"/>
        <w:jc w:val="both"/>
        <w:rPr>
          <w:rFonts w:cs="Times New Roman"/>
          <w:b/>
          <w:bCs/>
          <w:sz w:val="24"/>
          <w:szCs w:val="24"/>
        </w:rPr>
      </w:pPr>
    </w:p>
    <w:p w14:paraId="53AB77F5" w14:textId="2CBA4E8B" w:rsidR="00325B9E" w:rsidRDefault="00325B9E" w:rsidP="00DF5E23">
      <w:pPr>
        <w:bidi w:val="0"/>
        <w:jc w:val="both"/>
        <w:rPr>
          <w:rFonts w:cs="Times New Roman"/>
          <w:b/>
          <w:bCs/>
          <w:sz w:val="24"/>
          <w:szCs w:val="24"/>
        </w:rPr>
      </w:pPr>
    </w:p>
    <w:p w14:paraId="0263E971" w14:textId="4DFF3757" w:rsidR="00325B9E" w:rsidRDefault="00325B9E" w:rsidP="00DF5E23">
      <w:pPr>
        <w:bidi w:val="0"/>
        <w:jc w:val="both"/>
        <w:rPr>
          <w:rFonts w:cs="Times New Roman"/>
          <w:b/>
          <w:bCs/>
          <w:sz w:val="24"/>
          <w:szCs w:val="24"/>
        </w:rPr>
      </w:pPr>
    </w:p>
    <w:p w14:paraId="52FAF3A7" w14:textId="00621F7E" w:rsidR="00325B9E" w:rsidRDefault="00325B9E" w:rsidP="00DF5E23">
      <w:pPr>
        <w:bidi w:val="0"/>
        <w:jc w:val="both"/>
        <w:rPr>
          <w:rFonts w:cs="Times New Roman"/>
          <w:b/>
          <w:bCs/>
          <w:sz w:val="24"/>
          <w:szCs w:val="24"/>
        </w:rPr>
      </w:pPr>
    </w:p>
    <w:p w14:paraId="4F5EE5BC" w14:textId="06A049A6" w:rsidR="00325B9E" w:rsidRDefault="00325B9E" w:rsidP="00DF5E23">
      <w:pPr>
        <w:bidi w:val="0"/>
        <w:jc w:val="both"/>
        <w:rPr>
          <w:rFonts w:cs="Times New Roman"/>
          <w:b/>
          <w:bCs/>
          <w:sz w:val="24"/>
          <w:szCs w:val="24"/>
        </w:rPr>
      </w:pPr>
    </w:p>
    <w:p w14:paraId="368B59B1" w14:textId="77777777" w:rsidR="00DF5E23" w:rsidRPr="00A67F6F" w:rsidRDefault="00DF5E23" w:rsidP="00DF5E23">
      <w:pPr>
        <w:bidi w:val="0"/>
        <w:jc w:val="center"/>
        <w:rPr>
          <w:rFonts w:cs="Times New Roman"/>
          <w:b/>
          <w:bCs/>
          <w:sz w:val="24"/>
          <w:szCs w:val="24"/>
        </w:rPr>
      </w:pPr>
      <w:r w:rsidRPr="00DF5E23">
        <w:rPr>
          <w:rFonts w:cs="Times New Roman"/>
          <w:b/>
          <w:bCs/>
          <w:sz w:val="32"/>
          <w:szCs w:val="32"/>
        </w:rPr>
        <w:t xml:space="preserve">April 2022 </w:t>
      </w:r>
      <w:r w:rsidRPr="00A67F6F">
        <w:rPr>
          <w:rFonts w:cs="Times New Roman"/>
          <w:b/>
          <w:bCs/>
          <w:sz w:val="24"/>
          <w:szCs w:val="24"/>
        </w:rPr>
        <w:br w:type="page"/>
      </w:r>
    </w:p>
    <w:p w14:paraId="4609917D" w14:textId="63B6BCF0" w:rsidR="00325B9E" w:rsidRDefault="00325B9E" w:rsidP="00DF5E23">
      <w:pPr>
        <w:bidi w:val="0"/>
        <w:jc w:val="both"/>
        <w:rPr>
          <w:rFonts w:cs="Times New Roman"/>
          <w:sz w:val="24"/>
          <w:szCs w:val="24"/>
        </w:rPr>
      </w:pPr>
      <w:r w:rsidRPr="00DF5E23">
        <w:rPr>
          <w:rFonts w:cs="Times New Roman"/>
          <w:b/>
          <w:bCs/>
          <w:sz w:val="24"/>
          <w:szCs w:val="24"/>
        </w:rPr>
        <w:lastRenderedPageBreak/>
        <w:t>The Independent Commission for Human Rights</w:t>
      </w:r>
      <w:r w:rsidRPr="00A67F6F">
        <w:rPr>
          <w:rFonts w:cs="Times New Roman"/>
          <w:sz w:val="24"/>
          <w:szCs w:val="24"/>
        </w:rPr>
        <w:t xml:space="preserve"> (ICHR) was established in 1993 by a Presidential Decree issued by President Yasser Arafat, in his capacity as Head of State of Palestine. The ICHR has initiated its functions since 1994. In accordance with the Decree, the duties and responsibilities of the ICHR were set out to follow-up and ensure that different Palestinian laws, bylaws regulations, and the work of various departments, agencies and institutions of the State of Palestine and Palestine Liberation </w:t>
      </w:r>
      <w:proofErr w:type="spellStart"/>
      <w:r w:rsidRPr="00A67F6F">
        <w:rPr>
          <w:rFonts w:cs="Times New Roman"/>
          <w:sz w:val="24"/>
          <w:szCs w:val="24"/>
        </w:rPr>
        <w:t>Organisation</w:t>
      </w:r>
      <w:proofErr w:type="spellEnd"/>
      <w:r w:rsidRPr="00A67F6F">
        <w:rPr>
          <w:rFonts w:cs="Times New Roman"/>
          <w:sz w:val="24"/>
          <w:szCs w:val="24"/>
        </w:rPr>
        <w:t xml:space="preserve"> meet the requirements for safeguarding human rights. The Decree entrusts the ICHR with the drafting of its statutes in a manner that ensures its independence and effectiveness. The ICHR is a full member of the Global Alliance of National Human Rights Institutions (GANHRI). Thanks to its total commitment to the Principles relating to the Status of National Institutions (Paris Principles), most notably independence, the ICHR has maintained its A status since 2005. </w:t>
      </w:r>
    </w:p>
    <w:p w14:paraId="747B2A96" w14:textId="341DAFCF" w:rsidR="00DF5E23" w:rsidRDefault="00DF5E23" w:rsidP="00DF5E23">
      <w:pPr>
        <w:bidi w:val="0"/>
        <w:jc w:val="both"/>
        <w:rPr>
          <w:rFonts w:cs="Times New Roman"/>
          <w:sz w:val="24"/>
          <w:szCs w:val="24"/>
        </w:rPr>
      </w:pPr>
    </w:p>
    <w:p w14:paraId="71EE60A7" w14:textId="60FED94E" w:rsidR="00DF5E23" w:rsidRDefault="00DF5E23" w:rsidP="00DF5E23">
      <w:pPr>
        <w:bidi w:val="0"/>
        <w:jc w:val="both"/>
        <w:rPr>
          <w:rFonts w:cs="Times New Roman"/>
          <w:sz w:val="24"/>
          <w:szCs w:val="24"/>
        </w:rPr>
      </w:pPr>
    </w:p>
    <w:p w14:paraId="5208567F" w14:textId="77777777" w:rsidR="00DF5E23" w:rsidRPr="00A67F6F" w:rsidRDefault="00DF5E23" w:rsidP="00DF5E23">
      <w:pPr>
        <w:bidi w:val="0"/>
        <w:jc w:val="both"/>
        <w:rPr>
          <w:rFonts w:cs="Times New Roman"/>
          <w:b/>
          <w:bCs/>
          <w:sz w:val="24"/>
          <w:szCs w:val="24"/>
        </w:rPr>
      </w:pPr>
      <w:r w:rsidRPr="00A67F6F">
        <w:rPr>
          <w:rFonts w:cs="Times New Roman"/>
          <w:b/>
          <w:bCs/>
          <w:sz w:val="24"/>
          <w:szCs w:val="24"/>
        </w:rPr>
        <w:t xml:space="preserve">Contact persons </w:t>
      </w:r>
    </w:p>
    <w:p w14:paraId="24EB150A" w14:textId="77777777" w:rsidR="00DF5E23" w:rsidRPr="00A67F6F" w:rsidRDefault="00DF5E23" w:rsidP="00DF5E23">
      <w:pPr>
        <w:bidi w:val="0"/>
        <w:jc w:val="both"/>
        <w:rPr>
          <w:rFonts w:cs="Times New Roman"/>
          <w:sz w:val="24"/>
          <w:szCs w:val="24"/>
        </w:rPr>
      </w:pPr>
      <w:r w:rsidRPr="00A67F6F">
        <w:rPr>
          <w:rFonts w:cs="Times New Roman"/>
          <w:sz w:val="24"/>
          <w:szCs w:val="24"/>
        </w:rPr>
        <w:t xml:space="preserve">Ms. Khadija Zahran </w:t>
      </w:r>
      <w:hyperlink r:id="rId10" w:history="1">
        <w:r w:rsidRPr="00A67F6F">
          <w:rPr>
            <w:rStyle w:val="Hyperlink"/>
            <w:rFonts w:cs="Times New Roman"/>
            <w:sz w:val="24"/>
            <w:szCs w:val="24"/>
          </w:rPr>
          <w:t>kzahran@ichr.ps</w:t>
        </w:r>
      </w:hyperlink>
      <w:r w:rsidRPr="00A67F6F">
        <w:rPr>
          <w:rFonts w:cs="Times New Roman"/>
          <w:sz w:val="24"/>
          <w:szCs w:val="24"/>
        </w:rPr>
        <w:t xml:space="preserve"> </w:t>
      </w:r>
    </w:p>
    <w:p w14:paraId="6992DE5F" w14:textId="77777777" w:rsidR="00DF5E23" w:rsidRPr="00A67F6F" w:rsidRDefault="00DF5E23" w:rsidP="00DF5E23">
      <w:pPr>
        <w:bidi w:val="0"/>
        <w:jc w:val="both"/>
        <w:rPr>
          <w:rFonts w:cs="Times New Roman"/>
          <w:sz w:val="24"/>
          <w:szCs w:val="24"/>
        </w:rPr>
      </w:pPr>
      <w:r w:rsidRPr="00A67F6F">
        <w:rPr>
          <w:rFonts w:cs="Times New Roman"/>
          <w:sz w:val="24"/>
          <w:szCs w:val="24"/>
        </w:rPr>
        <w:t xml:space="preserve">Mr. Ammar </w:t>
      </w:r>
      <w:proofErr w:type="spellStart"/>
      <w:r w:rsidRPr="00A67F6F">
        <w:rPr>
          <w:rFonts w:cs="Times New Roman"/>
          <w:sz w:val="24"/>
          <w:szCs w:val="24"/>
        </w:rPr>
        <w:t>Jamoos</w:t>
      </w:r>
      <w:proofErr w:type="spellEnd"/>
      <w:r w:rsidRPr="00A67F6F">
        <w:rPr>
          <w:rFonts w:cs="Times New Roman"/>
          <w:sz w:val="24"/>
          <w:szCs w:val="24"/>
        </w:rPr>
        <w:t xml:space="preserve"> </w:t>
      </w:r>
      <w:hyperlink r:id="rId11" w:history="1">
        <w:r w:rsidRPr="00A67F6F">
          <w:rPr>
            <w:rStyle w:val="Hyperlink"/>
            <w:rFonts w:cs="Times New Roman"/>
            <w:sz w:val="24"/>
            <w:szCs w:val="24"/>
          </w:rPr>
          <w:t>ajamoos@ichr.ps</w:t>
        </w:r>
      </w:hyperlink>
      <w:r w:rsidRPr="00A67F6F">
        <w:rPr>
          <w:rFonts w:cs="Times New Roman"/>
          <w:sz w:val="24"/>
          <w:szCs w:val="24"/>
        </w:rPr>
        <w:t xml:space="preserve"> </w:t>
      </w:r>
    </w:p>
    <w:p w14:paraId="2BE3823E" w14:textId="77777777" w:rsidR="00DF5E23" w:rsidRPr="00A67F6F" w:rsidRDefault="00DF5E23" w:rsidP="00DF5E23">
      <w:pPr>
        <w:bidi w:val="0"/>
        <w:jc w:val="both"/>
        <w:rPr>
          <w:rFonts w:cs="Times New Roman"/>
          <w:sz w:val="24"/>
          <w:szCs w:val="24"/>
        </w:rPr>
      </w:pPr>
    </w:p>
    <w:p w14:paraId="781F4F82" w14:textId="77777777" w:rsidR="00325B9E" w:rsidRPr="00A67F6F" w:rsidRDefault="00325B9E" w:rsidP="00DF5E23">
      <w:pPr>
        <w:bidi w:val="0"/>
        <w:jc w:val="both"/>
        <w:rPr>
          <w:rFonts w:cs="Times New Roman"/>
          <w:sz w:val="24"/>
          <w:szCs w:val="24"/>
        </w:rPr>
      </w:pPr>
    </w:p>
    <w:tbl>
      <w:tblPr>
        <w:tblStyle w:val="TableGrid"/>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
        <w:gridCol w:w="8772"/>
      </w:tblGrid>
      <w:tr w:rsidR="00325B9E" w:rsidRPr="00A67F6F" w14:paraId="7D11DA9B" w14:textId="77777777" w:rsidTr="00DE0320">
        <w:trPr>
          <w:jc w:val="center"/>
        </w:trPr>
        <w:tc>
          <w:tcPr>
            <w:tcW w:w="444" w:type="dxa"/>
          </w:tcPr>
          <w:p w14:paraId="643A2C07" w14:textId="77777777" w:rsidR="00325B9E" w:rsidRPr="00A67F6F" w:rsidRDefault="00325B9E" w:rsidP="00DF5E23">
            <w:pPr>
              <w:bidi w:val="0"/>
              <w:jc w:val="both"/>
              <w:rPr>
                <w:rFonts w:cs="Times New Roman"/>
                <w:sz w:val="24"/>
                <w:szCs w:val="24"/>
                <w:rtl/>
              </w:rPr>
            </w:pPr>
            <w:r w:rsidRPr="00A67F6F">
              <w:rPr>
                <w:rFonts w:cs="Times New Roman"/>
                <w:noProof/>
                <w:sz w:val="24"/>
                <w:szCs w:val="24"/>
                <w:rtl/>
              </w:rPr>
              <w:drawing>
                <wp:inline distT="0" distB="0" distL="0" distR="0" wp14:anchorId="1AFF5371" wp14:editId="5030D105">
                  <wp:extent cx="236220" cy="236220"/>
                  <wp:effectExtent l="0" t="0" r="0" b="0"/>
                  <wp:docPr id="3" name="Graphic 3" descr="Ma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ker.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36220" cy="236220"/>
                          </a:xfrm>
                          <a:prstGeom prst="rect">
                            <a:avLst/>
                          </a:prstGeom>
                        </pic:spPr>
                      </pic:pic>
                    </a:graphicData>
                  </a:graphic>
                </wp:inline>
              </w:drawing>
            </w:r>
          </w:p>
        </w:tc>
        <w:tc>
          <w:tcPr>
            <w:tcW w:w="8906" w:type="dxa"/>
          </w:tcPr>
          <w:p w14:paraId="26B807D9" w14:textId="77777777" w:rsidR="00325B9E" w:rsidRPr="00A67F6F" w:rsidRDefault="00325B9E" w:rsidP="00DF5E23">
            <w:pPr>
              <w:bidi w:val="0"/>
              <w:jc w:val="both"/>
              <w:rPr>
                <w:rFonts w:cs="Times New Roman"/>
                <w:sz w:val="24"/>
                <w:szCs w:val="24"/>
                <w:rtl/>
              </w:rPr>
            </w:pPr>
            <w:r w:rsidRPr="00A67F6F">
              <w:rPr>
                <w:rFonts w:cs="Times New Roman"/>
                <w:sz w:val="24"/>
                <w:szCs w:val="24"/>
              </w:rPr>
              <w:t>Main Office, 4 Mother Teresa St. Ramallah, Palestine</w:t>
            </w:r>
          </w:p>
        </w:tc>
      </w:tr>
      <w:tr w:rsidR="00325B9E" w:rsidRPr="00A67F6F" w14:paraId="57F11313" w14:textId="77777777" w:rsidTr="00DE0320">
        <w:trPr>
          <w:jc w:val="center"/>
        </w:trPr>
        <w:tc>
          <w:tcPr>
            <w:tcW w:w="444" w:type="dxa"/>
          </w:tcPr>
          <w:p w14:paraId="30FC7727" w14:textId="77777777" w:rsidR="00325B9E" w:rsidRPr="00A67F6F" w:rsidRDefault="00325B9E" w:rsidP="00DF5E23">
            <w:pPr>
              <w:bidi w:val="0"/>
              <w:jc w:val="both"/>
              <w:rPr>
                <w:rFonts w:cs="Times New Roman"/>
                <w:sz w:val="24"/>
                <w:szCs w:val="24"/>
                <w:rtl/>
              </w:rPr>
            </w:pPr>
            <w:r w:rsidRPr="00A67F6F">
              <w:rPr>
                <w:rFonts w:cs="Times New Roman"/>
                <w:noProof/>
                <w:sz w:val="24"/>
                <w:szCs w:val="24"/>
              </w:rPr>
              <w:drawing>
                <wp:inline distT="0" distB="0" distL="0" distR="0" wp14:anchorId="7BCF84C7" wp14:editId="6325CFEF">
                  <wp:extent cx="228600" cy="228600"/>
                  <wp:effectExtent l="0" t="0" r="0" b="0"/>
                  <wp:docPr id="7" name="Picture 7" descr="Envel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Envelop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8600" cy="228600"/>
                          </a:xfrm>
                          <a:prstGeom prst="rect">
                            <a:avLst/>
                          </a:prstGeom>
                        </pic:spPr>
                      </pic:pic>
                    </a:graphicData>
                  </a:graphic>
                </wp:inline>
              </w:drawing>
            </w:r>
          </w:p>
        </w:tc>
        <w:tc>
          <w:tcPr>
            <w:tcW w:w="8906" w:type="dxa"/>
          </w:tcPr>
          <w:p w14:paraId="6073DCF8" w14:textId="77777777" w:rsidR="00325B9E" w:rsidRPr="00A67F6F" w:rsidRDefault="00325B9E" w:rsidP="00DF5E23">
            <w:pPr>
              <w:bidi w:val="0"/>
              <w:jc w:val="both"/>
              <w:rPr>
                <w:rFonts w:cs="Times New Roman"/>
                <w:sz w:val="24"/>
                <w:szCs w:val="24"/>
                <w:rtl/>
              </w:rPr>
            </w:pPr>
            <w:r w:rsidRPr="00A67F6F">
              <w:rPr>
                <w:rFonts w:cs="Times New Roman"/>
                <w:sz w:val="24"/>
                <w:szCs w:val="24"/>
              </w:rPr>
              <w:t>P6009059</w:t>
            </w:r>
          </w:p>
        </w:tc>
      </w:tr>
      <w:tr w:rsidR="00325B9E" w:rsidRPr="00A67F6F" w14:paraId="4A20925E" w14:textId="77777777" w:rsidTr="00DE0320">
        <w:trPr>
          <w:jc w:val="center"/>
        </w:trPr>
        <w:tc>
          <w:tcPr>
            <w:tcW w:w="444" w:type="dxa"/>
          </w:tcPr>
          <w:p w14:paraId="567598D7" w14:textId="77777777" w:rsidR="00325B9E" w:rsidRPr="00A67F6F" w:rsidRDefault="00325B9E" w:rsidP="00DF5E23">
            <w:pPr>
              <w:bidi w:val="0"/>
              <w:jc w:val="both"/>
              <w:rPr>
                <w:rFonts w:cs="Times New Roman"/>
                <w:sz w:val="24"/>
                <w:szCs w:val="24"/>
                <w:rtl/>
              </w:rPr>
            </w:pPr>
            <w:r w:rsidRPr="00A67F6F">
              <w:rPr>
                <w:rFonts w:cs="Times New Roman"/>
                <w:noProof/>
                <w:sz w:val="24"/>
                <w:szCs w:val="24"/>
              </w:rPr>
              <w:drawing>
                <wp:inline distT="0" distB="0" distL="0" distR="0" wp14:anchorId="3CA6F797" wp14:editId="6C7527AE">
                  <wp:extent cx="236220" cy="236220"/>
                  <wp:effectExtent l="0" t="0" r="0" b="0"/>
                  <wp:docPr id="8" name="Picture 8"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Receive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6220" cy="236220"/>
                          </a:xfrm>
                          <a:prstGeom prst="rect">
                            <a:avLst/>
                          </a:prstGeom>
                        </pic:spPr>
                      </pic:pic>
                    </a:graphicData>
                  </a:graphic>
                </wp:inline>
              </w:drawing>
            </w:r>
          </w:p>
        </w:tc>
        <w:tc>
          <w:tcPr>
            <w:tcW w:w="8906" w:type="dxa"/>
          </w:tcPr>
          <w:p w14:paraId="7875613E" w14:textId="77777777" w:rsidR="00325B9E" w:rsidRPr="00A67F6F" w:rsidRDefault="00325B9E" w:rsidP="00DF5E23">
            <w:pPr>
              <w:bidi w:val="0"/>
              <w:jc w:val="both"/>
              <w:rPr>
                <w:rFonts w:cs="Times New Roman"/>
                <w:sz w:val="24"/>
                <w:szCs w:val="24"/>
                <w:rtl/>
              </w:rPr>
            </w:pPr>
            <w:r w:rsidRPr="00A67F6F">
              <w:rPr>
                <w:rFonts w:cs="Times New Roman"/>
                <w:sz w:val="24"/>
                <w:szCs w:val="24"/>
              </w:rPr>
              <w:t>+97022986958</w:t>
            </w:r>
          </w:p>
        </w:tc>
      </w:tr>
      <w:tr w:rsidR="00325B9E" w:rsidRPr="00A67F6F" w14:paraId="0BC218EC" w14:textId="77777777" w:rsidTr="00DE0320">
        <w:trPr>
          <w:jc w:val="center"/>
        </w:trPr>
        <w:tc>
          <w:tcPr>
            <w:tcW w:w="444" w:type="dxa"/>
          </w:tcPr>
          <w:p w14:paraId="5E9BE9F4" w14:textId="77777777" w:rsidR="00325B9E" w:rsidRPr="00A67F6F" w:rsidRDefault="00325B9E" w:rsidP="00DF5E23">
            <w:pPr>
              <w:bidi w:val="0"/>
              <w:jc w:val="both"/>
              <w:rPr>
                <w:rFonts w:cs="Times New Roman"/>
                <w:sz w:val="24"/>
                <w:szCs w:val="24"/>
                <w:rtl/>
              </w:rPr>
            </w:pPr>
            <w:r w:rsidRPr="00A67F6F">
              <w:rPr>
                <w:rFonts w:cs="Times New Roman"/>
                <w:noProof/>
                <w:sz w:val="24"/>
                <w:szCs w:val="24"/>
              </w:rPr>
              <w:drawing>
                <wp:inline distT="0" distB="0" distL="0" distR="0" wp14:anchorId="65803785" wp14:editId="02DEC628">
                  <wp:extent cx="213360" cy="213360"/>
                  <wp:effectExtent l="0" t="0" r="0" b="0"/>
                  <wp:docPr id="4" name="Graphic 4" descr="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mail.svg"/>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13360" cy="213360"/>
                          </a:xfrm>
                          <a:prstGeom prst="rect">
                            <a:avLst/>
                          </a:prstGeom>
                        </pic:spPr>
                      </pic:pic>
                    </a:graphicData>
                  </a:graphic>
                </wp:inline>
              </w:drawing>
            </w:r>
          </w:p>
        </w:tc>
        <w:tc>
          <w:tcPr>
            <w:tcW w:w="8906" w:type="dxa"/>
          </w:tcPr>
          <w:p w14:paraId="73D390FB" w14:textId="77777777" w:rsidR="00325B9E" w:rsidRDefault="00325B9E" w:rsidP="00DF5E23">
            <w:pPr>
              <w:bidi w:val="0"/>
              <w:jc w:val="both"/>
              <w:rPr>
                <w:rStyle w:val="Hyperlink"/>
                <w:rFonts w:cs="Times New Roman"/>
                <w:sz w:val="24"/>
                <w:szCs w:val="24"/>
              </w:rPr>
            </w:pPr>
            <w:hyperlink r:id="rId18" w:history="1">
              <w:r w:rsidRPr="00A67F6F">
                <w:rPr>
                  <w:rStyle w:val="Hyperlink"/>
                  <w:rFonts w:cs="Times New Roman"/>
                  <w:sz w:val="24"/>
                  <w:szCs w:val="24"/>
                </w:rPr>
                <w:t>ichr@ichr.ps</w:t>
              </w:r>
            </w:hyperlink>
          </w:p>
          <w:p w14:paraId="0E928AD2" w14:textId="77777777" w:rsidR="00DF5E23" w:rsidRDefault="00DF5E23" w:rsidP="00DF5E23">
            <w:pPr>
              <w:bidi w:val="0"/>
              <w:jc w:val="both"/>
              <w:rPr>
                <w:rFonts w:cs="Times New Roman"/>
                <w:sz w:val="24"/>
                <w:szCs w:val="24"/>
              </w:rPr>
            </w:pPr>
          </w:p>
          <w:p w14:paraId="210C386B" w14:textId="77777777" w:rsidR="00DF5E23" w:rsidRDefault="00DF5E23" w:rsidP="00DF5E23">
            <w:pPr>
              <w:bidi w:val="0"/>
              <w:jc w:val="both"/>
              <w:rPr>
                <w:rFonts w:cs="Times New Roman"/>
                <w:sz w:val="24"/>
                <w:szCs w:val="24"/>
              </w:rPr>
            </w:pPr>
          </w:p>
          <w:p w14:paraId="7B2E2BCC" w14:textId="77777777" w:rsidR="00DF5E23" w:rsidRDefault="00DF5E23" w:rsidP="00DF5E23">
            <w:pPr>
              <w:bidi w:val="0"/>
              <w:jc w:val="both"/>
              <w:rPr>
                <w:rFonts w:cs="Times New Roman"/>
                <w:sz w:val="24"/>
                <w:szCs w:val="24"/>
              </w:rPr>
            </w:pPr>
          </w:p>
          <w:p w14:paraId="54FC0BC6" w14:textId="77777777" w:rsidR="00DF5E23" w:rsidRDefault="00DF5E23" w:rsidP="00DF5E23">
            <w:pPr>
              <w:bidi w:val="0"/>
              <w:jc w:val="both"/>
              <w:rPr>
                <w:rFonts w:cs="Times New Roman"/>
                <w:sz w:val="24"/>
                <w:szCs w:val="24"/>
              </w:rPr>
            </w:pPr>
          </w:p>
          <w:p w14:paraId="4B80F532" w14:textId="77777777" w:rsidR="00DF5E23" w:rsidRDefault="00DF5E23" w:rsidP="00DF5E23">
            <w:pPr>
              <w:bidi w:val="0"/>
              <w:jc w:val="both"/>
              <w:rPr>
                <w:rFonts w:cs="Times New Roman"/>
                <w:sz w:val="24"/>
                <w:szCs w:val="24"/>
              </w:rPr>
            </w:pPr>
          </w:p>
          <w:p w14:paraId="40209BD6" w14:textId="77777777" w:rsidR="00DF5E23" w:rsidRDefault="00DF5E23" w:rsidP="00DF5E23">
            <w:pPr>
              <w:bidi w:val="0"/>
              <w:jc w:val="both"/>
              <w:rPr>
                <w:rFonts w:cs="Times New Roman"/>
                <w:sz w:val="24"/>
                <w:szCs w:val="24"/>
              </w:rPr>
            </w:pPr>
          </w:p>
          <w:p w14:paraId="34A76B97" w14:textId="77777777" w:rsidR="00DF5E23" w:rsidRDefault="00DF5E23" w:rsidP="00DF5E23">
            <w:pPr>
              <w:bidi w:val="0"/>
              <w:jc w:val="both"/>
              <w:rPr>
                <w:rFonts w:cs="Times New Roman"/>
                <w:sz w:val="24"/>
                <w:szCs w:val="24"/>
              </w:rPr>
            </w:pPr>
          </w:p>
          <w:p w14:paraId="7E48D97C" w14:textId="77777777" w:rsidR="00DF5E23" w:rsidRDefault="00DF5E23" w:rsidP="00DF5E23">
            <w:pPr>
              <w:bidi w:val="0"/>
              <w:jc w:val="both"/>
              <w:rPr>
                <w:rFonts w:cs="Times New Roman"/>
                <w:sz w:val="24"/>
                <w:szCs w:val="24"/>
              </w:rPr>
            </w:pPr>
          </w:p>
          <w:p w14:paraId="7A3AA068" w14:textId="77777777" w:rsidR="00DF5E23" w:rsidRDefault="00DF5E23" w:rsidP="00DF5E23">
            <w:pPr>
              <w:bidi w:val="0"/>
              <w:jc w:val="both"/>
              <w:rPr>
                <w:rFonts w:cs="Times New Roman"/>
                <w:sz w:val="24"/>
                <w:szCs w:val="24"/>
              </w:rPr>
            </w:pPr>
          </w:p>
          <w:p w14:paraId="534A7153" w14:textId="77777777" w:rsidR="00DF5E23" w:rsidRDefault="00DF5E23" w:rsidP="00DF5E23">
            <w:pPr>
              <w:bidi w:val="0"/>
              <w:jc w:val="both"/>
              <w:rPr>
                <w:rFonts w:cs="Times New Roman"/>
                <w:sz w:val="24"/>
                <w:szCs w:val="24"/>
              </w:rPr>
            </w:pPr>
          </w:p>
          <w:p w14:paraId="5F06B536" w14:textId="77777777" w:rsidR="00DF5E23" w:rsidRDefault="00DF5E23" w:rsidP="00DF5E23">
            <w:pPr>
              <w:bidi w:val="0"/>
              <w:jc w:val="both"/>
              <w:rPr>
                <w:rFonts w:cs="Times New Roman"/>
                <w:sz w:val="24"/>
                <w:szCs w:val="24"/>
              </w:rPr>
            </w:pPr>
          </w:p>
          <w:p w14:paraId="28CF5F64" w14:textId="163CAC4C" w:rsidR="00DF5E23" w:rsidRDefault="00DF5E23" w:rsidP="00DF5E23">
            <w:pPr>
              <w:bidi w:val="0"/>
              <w:jc w:val="both"/>
              <w:rPr>
                <w:rFonts w:cs="Times New Roman"/>
                <w:sz w:val="24"/>
                <w:szCs w:val="24"/>
              </w:rPr>
            </w:pPr>
          </w:p>
          <w:p w14:paraId="30AAA0F3" w14:textId="77777777" w:rsidR="00FA7C3B" w:rsidRDefault="00FA7C3B" w:rsidP="00FA7C3B">
            <w:pPr>
              <w:bidi w:val="0"/>
              <w:jc w:val="both"/>
              <w:rPr>
                <w:rFonts w:cs="Times New Roman"/>
                <w:sz w:val="24"/>
                <w:szCs w:val="24"/>
              </w:rPr>
            </w:pPr>
            <w:bookmarkStart w:id="0" w:name="_GoBack"/>
            <w:bookmarkEnd w:id="0"/>
          </w:p>
          <w:p w14:paraId="1E6B0C43" w14:textId="1F62B53B" w:rsidR="00DF5E23" w:rsidRPr="00A67F6F" w:rsidRDefault="00DF5E23" w:rsidP="00DF5E23">
            <w:pPr>
              <w:bidi w:val="0"/>
              <w:jc w:val="both"/>
              <w:rPr>
                <w:rFonts w:cs="Times New Roman"/>
                <w:sz w:val="24"/>
                <w:szCs w:val="24"/>
                <w:rtl/>
              </w:rPr>
            </w:pPr>
          </w:p>
        </w:tc>
      </w:tr>
    </w:tbl>
    <w:p w14:paraId="3042BA27" w14:textId="77777777" w:rsidR="00325B9E" w:rsidRPr="00A67F6F" w:rsidRDefault="00325B9E" w:rsidP="00DF5E23">
      <w:pPr>
        <w:bidi w:val="0"/>
        <w:jc w:val="both"/>
        <w:rPr>
          <w:rFonts w:cs="Times New Roman"/>
          <w:sz w:val="24"/>
          <w:szCs w:val="24"/>
        </w:rPr>
      </w:pPr>
    </w:p>
    <w:sdt>
      <w:sdtPr>
        <w:rPr>
          <w:rFonts w:ascii="Times New Roman" w:eastAsiaTheme="minorHAnsi" w:hAnsi="Times New Roman" w:cs="Times New Roman"/>
          <w:color w:val="auto"/>
          <w:sz w:val="24"/>
          <w:szCs w:val="24"/>
          <w:lang w:val="en-GB" w:bidi="ar-JO"/>
        </w:rPr>
        <w:id w:val="-1372462803"/>
        <w:docPartObj>
          <w:docPartGallery w:val="Table of Contents"/>
          <w:docPartUnique/>
        </w:docPartObj>
      </w:sdtPr>
      <w:sdtEndPr>
        <w:rPr>
          <w:rFonts w:eastAsia="Times New Roman"/>
          <w:snapToGrid w:val="0"/>
          <w:kern w:val="24"/>
          <w:lang w:val="en-US" w:bidi="ar-SA"/>
        </w:rPr>
      </w:sdtEndPr>
      <w:sdtContent>
        <w:p w14:paraId="20D24240" w14:textId="77777777" w:rsidR="00325B9E" w:rsidRPr="00A67F6F" w:rsidRDefault="00325B9E" w:rsidP="00DF5E23">
          <w:pPr>
            <w:pStyle w:val="TOCHeading"/>
            <w:spacing w:before="0" w:after="200" w:line="276" w:lineRule="auto"/>
            <w:rPr>
              <w:rFonts w:ascii="Times New Roman" w:hAnsi="Times New Roman" w:cs="Times New Roman"/>
              <w:b/>
              <w:bCs/>
              <w:color w:val="auto"/>
              <w:sz w:val="24"/>
              <w:szCs w:val="24"/>
              <w:lang w:val="en-GB"/>
            </w:rPr>
          </w:pPr>
          <w:r w:rsidRPr="00A67F6F">
            <w:rPr>
              <w:rFonts w:ascii="Times New Roman" w:hAnsi="Times New Roman" w:cs="Times New Roman"/>
              <w:b/>
              <w:bCs/>
              <w:color w:val="auto"/>
              <w:sz w:val="24"/>
              <w:szCs w:val="24"/>
              <w:lang w:val="en-GB"/>
            </w:rPr>
            <w:t>Table of Contents</w:t>
          </w:r>
        </w:p>
        <w:p w14:paraId="3D4460E6" w14:textId="77777777" w:rsidR="00325B9E" w:rsidRPr="00A67F6F" w:rsidRDefault="00325B9E" w:rsidP="00DF5E23">
          <w:pPr>
            <w:bidi w:val="0"/>
          </w:pPr>
        </w:p>
        <w:p w14:paraId="0346349F"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r w:rsidRPr="00A67F6F">
            <w:rPr>
              <w:rFonts w:ascii="Times New Roman" w:hAnsi="Times New Roman" w:cs="Times New Roman"/>
              <w:noProof/>
              <w:sz w:val="24"/>
              <w:szCs w:val="24"/>
            </w:rPr>
            <w:fldChar w:fldCharType="begin"/>
          </w:r>
          <w:r w:rsidRPr="00A67F6F">
            <w:rPr>
              <w:rFonts w:ascii="Times New Roman" w:hAnsi="Times New Roman" w:cs="Times New Roman"/>
              <w:noProof/>
              <w:sz w:val="24"/>
              <w:szCs w:val="24"/>
            </w:rPr>
            <w:instrText xml:space="preserve"> TOC \o "1-3" \h \z \u </w:instrText>
          </w:r>
          <w:r w:rsidRPr="00A67F6F">
            <w:rPr>
              <w:rFonts w:ascii="Times New Roman" w:hAnsi="Times New Roman" w:cs="Times New Roman"/>
              <w:noProof/>
              <w:sz w:val="24"/>
              <w:szCs w:val="24"/>
            </w:rPr>
            <w:fldChar w:fldCharType="separate"/>
          </w:r>
          <w:hyperlink w:anchor="_Toc102224847" w:history="1">
            <w:r w:rsidRPr="00A67F6F">
              <w:rPr>
                <w:rStyle w:val="Hyperlink"/>
                <w:rFonts w:ascii="Times New Roman" w:hAnsi="Times New Roman" w:cs="Times New Roman"/>
                <w:noProof/>
                <w:sz w:val="24"/>
                <w:szCs w:val="24"/>
              </w:rPr>
              <w:t>Introduction</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_Toc102224847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3</w:t>
            </w:r>
            <w:r w:rsidRPr="00A67F6F">
              <w:rPr>
                <w:rStyle w:val="Hyperlink"/>
                <w:rFonts w:ascii="Times New Roman" w:hAnsi="Times New Roman" w:cs="Times New Roman"/>
                <w:noProof/>
                <w:sz w:val="24"/>
                <w:szCs w:val="24"/>
                <w:rtl/>
              </w:rPr>
              <w:fldChar w:fldCharType="end"/>
            </w:r>
          </w:hyperlink>
        </w:p>
        <w:p w14:paraId="375D5BCE"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48" w:history="1">
            <w:r w:rsidRPr="00A67F6F">
              <w:rPr>
                <w:rStyle w:val="Hyperlink"/>
                <w:rFonts w:ascii="Times New Roman" w:hAnsi="Times New Roman" w:cs="Times New Roman"/>
                <w:noProof/>
                <w:sz w:val="24"/>
                <w:szCs w:val="24"/>
              </w:rPr>
              <w:t>General measures of implementation</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_Toc102224848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3</w:t>
            </w:r>
            <w:r w:rsidRPr="00A67F6F">
              <w:rPr>
                <w:rStyle w:val="Hyperlink"/>
                <w:rFonts w:ascii="Times New Roman" w:hAnsi="Times New Roman" w:cs="Times New Roman"/>
                <w:noProof/>
                <w:sz w:val="24"/>
                <w:szCs w:val="24"/>
                <w:rtl/>
              </w:rPr>
              <w:fldChar w:fldCharType="end"/>
            </w:r>
          </w:hyperlink>
        </w:p>
        <w:p w14:paraId="1397AF7A"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49" w:history="1">
            <w:r w:rsidRPr="00A67F6F">
              <w:rPr>
                <w:rStyle w:val="Hyperlink"/>
                <w:rFonts w:ascii="Times New Roman" w:hAnsi="Times New Roman" w:cs="Times New Roman"/>
                <w:noProof/>
                <w:sz w:val="24"/>
                <w:szCs w:val="24"/>
              </w:rPr>
              <w:t>Ongoing state of emergency</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_Toc102224849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5</w:t>
            </w:r>
            <w:r w:rsidRPr="00A67F6F">
              <w:rPr>
                <w:rStyle w:val="Hyperlink"/>
                <w:rFonts w:ascii="Times New Roman" w:hAnsi="Times New Roman" w:cs="Times New Roman"/>
                <w:noProof/>
                <w:sz w:val="24"/>
                <w:szCs w:val="24"/>
                <w:rtl/>
              </w:rPr>
              <w:fldChar w:fldCharType="end"/>
            </w:r>
          </w:hyperlink>
        </w:p>
        <w:p w14:paraId="3D33AA4C"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50" w:history="1">
            <w:r w:rsidRPr="00A67F6F">
              <w:rPr>
                <w:rStyle w:val="Hyperlink"/>
                <w:rFonts w:ascii="Times New Roman" w:hAnsi="Times New Roman" w:cs="Times New Roman"/>
                <w:noProof/>
                <w:sz w:val="24"/>
                <w:szCs w:val="24"/>
              </w:rPr>
              <w:t>Right to life</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_Toc102224850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6</w:t>
            </w:r>
            <w:r w:rsidRPr="00A67F6F">
              <w:rPr>
                <w:rStyle w:val="Hyperlink"/>
                <w:rFonts w:ascii="Times New Roman" w:hAnsi="Times New Roman" w:cs="Times New Roman"/>
                <w:noProof/>
                <w:sz w:val="24"/>
                <w:szCs w:val="24"/>
                <w:rtl/>
              </w:rPr>
              <w:fldChar w:fldCharType="end"/>
            </w:r>
          </w:hyperlink>
        </w:p>
        <w:p w14:paraId="0218EA53"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51" w:history="1">
            <w:r w:rsidRPr="00A67F6F">
              <w:rPr>
                <w:rStyle w:val="Hyperlink"/>
                <w:rFonts w:ascii="Times New Roman" w:hAnsi="Times New Roman" w:cs="Times New Roman"/>
                <w:noProof/>
                <w:sz w:val="24"/>
                <w:szCs w:val="24"/>
              </w:rPr>
              <w:t>Right to physical integrity</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_Toc102224851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7</w:t>
            </w:r>
            <w:r w:rsidRPr="00A67F6F">
              <w:rPr>
                <w:rStyle w:val="Hyperlink"/>
                <w:rFonts w:ascii="Times New Roman" w:hAnsi="Times New Roman" w:cs="Times New Roman"/>
                <w:noProof/>
                <w:sz w:val="24"/>
                <w:szCs w:val="24"/>
                <w:rtl/>
              </w:rPr>
              <w:fldChar w:fldCharType="end"/>
            </w:r>
          </w:hyperlink>
        </w:p>
        <w:p w14:paraId="10E214EC"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52" w:history="1">
            <w:r w:rsidRPr="00A67F6F">
              <w:rPr>
                <w:rStyle w:val="Hyperlink"/>
                <w:rFonts w:ascii="Times New Roman" w:hAnsi="Times New Roman" w:cs="Times New Roman"/>
                <w:noProof/>
                <w:sz w:val="24"/>
                <w:szCs w:val="24"/>
              </w:rPr>
              <w:t>Right to liberty and security of person</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_Toc102224852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8</w:t>
            </w:r>
            <w:r w:rsidRPr="00A67F6F">
              <w:rPr>
                <w:rStyle w:val="Hyperlink"/>
                <w:rFonts w:ascii="Times New Roman" w:hAnsi="Times New Roman" w:cs="Times New Roman"/>
                <w:noProof/>
                <w:sz w:val="24"/>
                <w:szCs w:val="24"/>
                <w:rtl/>
              </w:rPr>
              <w:fldChar w:fldCharType="end"/>
            </w:r>
          </w:hyperlink>
        </w:p>
        <w:p w14:paraId="4C496000"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53" w:history="1">
            <w:r w:rsidRPr="00A67F6F">
              <w:rPr>
                <w:rStyle w:val="Hyperlink"/>
                <w:rFonts w:ascii="Times New Roman" w:hAnsi="Times New Roman" w:cs="Times New Roman"/>
                <w:noProof/>
                <w:sz w:val="24"/>
                <w:szCs w:val="24"/>
              </w:rPr>
              <w:t>Imprisonment for failure to fulfil a contractual obligation</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_Toc102224853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9</w:t>
            </w:r>
            <w:r w:rsidRPr="00A67F6F">
              <w:rPr>
                <w:rStyle w:val="Hyperlink"/>
                <w:rFonts w:ascii="Times New Roman" w:hAnsi="Times New Roman" w:cs="Times New Roman"/>
                <w:noProof/>
                <w:sz w:val="24"/>
                <w:szCs w:val="24"/>
                <w:rtl/>
              </w:rPr>
              <w:fldChar w:fldCharType="end"/>
            </w:r>
          </w:hyperlink>
        </w:p>
        <w:p w14:paraId="35F4CEAC"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54" w:history="1">
            <w:r w:rsidRPr="00A67F6F">
              <w:rPr>
                <w:rStyle w:val="Hyperlink"/>
                <w:rFonts w:ascii="Times New Roman" w:hAnsi="Times New Roman" w:cs="Times New Roman"/>
                <w:noProof/>
                <w:sz w:val="24"/>
                <w:szCs w:val="24"/>
              </w:rPr>
              <w:t>Right to freedom of movement</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_Toc102224854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10</w:t>
            </w:r>
            <w:r w:rsidRPr="00A67F6F">
              <w:rPr>
                <w:rStyle w:val="Hyperlink"/>
                <w:rFonts w:ascii="Times New Roman" w:hAnsi="Times New Roman" w:cs="Times New Roman"/>
                <w:noProof/>
                <w:sz w:val="24"/>
                <w:szCs w:val="24"/>
                <w:rtl/>
              </w:rPr>
              <w:fldChar w:fldCharType="end"/>
            </w:r>
          </w:hyperlink>
        </w:p>
        <w:p w14:paraId="0BA95AD4"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55" w:history="1">
            <w:r w:rsidRPr="00A67F6F">
              <w:rPr>
                <w:rStyle w:val="Hyperlink"/>
                <w:rFonts w:ascii="Times New Roman" w:hAnsi="Times New Roman" w:cs="Times New Roman"/>
                <w:noProof/>
                <w:sz w:val="24"/>
                <w:szCs w:val="24"/>
              </w:rPr>
              <w:t>Right to fair trial</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_Toc102224855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11</w:t>
            </w:r>
            <w:r w:rsidRPr="00A67F6F">
              <w:rPr>
                <w:rStyle w:val="Hyperlink"/>
                <w:rFonts w:ascii="Times New Roman" w:hAnsi="Times New Roman" w:cs="Times New Roman"/>
                <w:noProof/>
                <w:sz w:val="24"/>
                <w:szCs w:val="24"/>
                <w:rtl/>
              </w:rPr>
              <w:fldChar w:fldCharType="end"/>
            </w:r>
          </w:hyperlink>
        </w:p>
        <w:p w14:paraId="7B0E2F49"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56" w:history="1">
            <w:r w:rsidRPr="00A67F6F">
              <w:rPr>
                <w:rStyle w:val="Hyperlink"/>
                <w:rFonts w:ascii="Times New Roman" w:hAnsi="Times New Roman" w:cs="Times New Roman"/>
                <w:noProof/>
                <w:sz w:val="24"/>
                <w:szCs w:val="24"/>
              </w:rPr>
              <w:t>Right to privacy</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_Toc102224856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12</w:t>
            </w:r>
            <w:r w:rsidRPr="00A67F6F">
              <w:rPr>
                <w:rStyle w:val="Hyperlink"/>
                <w:rFonts w:ascii="Times New Roman" w:hAnsi="Times New Roman" w:cs="Times New Roman"/>
                <w:noProof/>
                <w:sz w:val="24"/>
                <w:szCs w:val="24"/>
                <w:rtl/>
              </w:rPr>
              <w:fldChar w:fldCharType="end"/>
            </w:r>
          </w:hyperlink>
        </w:p>
        <w:p w14:paraId="6A38ED2B"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57" w:history="1">
            <w:r w:rsidRPr="00A67F6F">
              <w:rPr>
                <w:rStyle w:val="Hyperlink"/>
                <w:rFonts w:ascii="Times New Roman" w:hAnsi="Times New Roman" w:cs="Times New Roman"/>
                <w:noProof/>
                <w:sz w:val="24"/>
                <w:szCs w:val="24"/>
              </w:rPr>
              <w:t>Right to freedom of expression</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_Toc102224857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13</w:t>
            </w:r>
            <w:r w:rsidRPr="00A67F6F">
              <w:rPr>
                <w:rStyle w:val="Hyperlink"/>
                <w:rFonts w:ascii="Times New Roman" w:hAnsi="Times New Roman" w:cs="Times New Roman"/>
                <w:noProof/>
                <w:sz w:val="24"/>
                <w:szCs w:val="24"/>
                <w:rtl/>
              </w:rPr>
              <w:fldChar w:fldCharType="end"/>
            </w:r>
          </w:hyperlink>
        </w:p>
        <w:p w14:paraId="24EF68F5"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58" w:history="1">
            <w:r w:rsidRPr="00A67F6F">
              <w:rPr>
                <w:rStyle w:val="Hyperlink"/>
                <w:rFonts w:ascii="Times New Roman" w:hAnsi="Times New Roman" w:cs="Times New Roman"/>
                <w:noProof/>
                <w:sz w:val="24"/>
                <w:szCs w:val="24"/>
              </w:rPr>
              <w:t>Right to freedom of peaceful assembly</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_Toc102224858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15</w:t>
            </w:r>
            <w:r w:rsidRPr="00A67F6F">
              <w:rPr>
                <w:rStyle w:val="Hyperlink"/>
                <w:rFonts w:ascii="Times New Roman" w:hAnsi="Times New Roman" w:cs="Times New Roman"/>
                <w:noProof/>
                <w:sz w:val="24"/>
                <w:szCs w:val="24"/>
                <w:rtl/>
              </w:rPr>
              <w:fldChar w:fldCharType="end"/>
            </w:r>
          </w:hyperlink>
        </w:p>
        <w:p w14:paraId="0F9A4CC8"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59" w:history="1">
            <w:r w:rsidRPr="00A67F6F">
              <w:rPr>
                <w:rStyle w:val="Hyperlink"/>
                <w:rFonts w:ascii="Times New Roman" w:hAnsi="Times New Roman" w:cs="Times New Roman"/>
                <w:noProof/>
                <w:sz w:val="24"/>
                <w:szCs w:val="24"/>
              </w:rPr>
              <w:t>Right to freedom of association and right to form or join a trade union</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_Toc102224859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16</w:t>
            </w:r>
            <w:r w:rsidRPr="00A67F6F">
              <w:rPr>
                <w:rStyle w:val="Hyperlink"/>
                <w:rFonts w:ascii="Times New Roman" w:hAnsi="Times New Roman" w:cs="Times New Roman"/>
                <w:noProof/>
                <w:sz w:val="24"/>
                <w:szCs w:val="24"/>
                <w:rtl/>
              </w:rPr>
              <w:fldChar w:fldCharType="end"/>
            </w:r>
          </w:hyperlink>
        </w:p>
        <w:p w14:paraId="2D805CF7" w14:textId="77777777" w:rsidR="00325B9E" w:rsidRPr="00A67F6F" w:rsidRDefault="00325B9E" w:rsidP="00DF5E23">
          <w:pPr>
            <w:pStyle w:val="TOC1"/>
            <w:tabs>
              <w:tab w:val="right" w:leader="dot" w:pos="8630"/>
            </w:tabs>
            <w:spacing w:after="200"/>
            <w:rPr>
              <w:rFonts w:ascii="Times New Roman" w:hAnsi="Times New Roman" w:cs="Times New Roman"/>
              <w:noProof/>
              <w:sz w:val="24"/>
              <w:szCs w:val="24"/>
            </w:rPr>
          </w:pPr>
          <w:hyperlink w:anchor="_Toc102224860" w:history="1">
            <w:r w:rsidRPr="00A67F6F">
              <w:rPr>
                <w:rStyle w:val="Hyperlink"/>
                <w:rFonts w:ascii="Times New Roman" w:hAnsi="Times New Roman" w:cs="Times New Roman"/>
                <w:noProof/>
                <w:sz w:val="24"/>
                <w:szCs w:val="24"/>
              </w:rPr>
              <w:t>Right of equal access to public service</w:t>
            </w:r>
            <w:r w:rsidRPr="00A67F6F">
              <w:rPr>
                <w:rFonts w:ascii="Times New Roman" w:hAnsi="Times New Roman" w:cs="Times New Roman"/>
                <w:noProof/>
                <w:webHidden/>
                <w:sz w:val="24"/>
                <w:szCs w:val="24"/>
              </w:rPr>
              <w:tab/>
            </w:r>
            <w:r w:rsidRPr="00A67F6F">
              <w:rPr>
                <w:rStyle w:val="Hyperlink"/>
                <w:rFonts w:ascii="Times New Roman" w:hAnsi="Times New Roman" w:cs="Times New Roman"/>
                <w:noProof/>
                <w:sz w:val="24"/>
                <w:szCs w:val="24"/>
                <w:rtl/>
              </w:rPr>
              <w:fldChar w:fldCharType="begin"/>
            </w:r>
            <w:r w:rsidRPr="00A67F6F">
              <w:rPr>
                <w:rFonts w:ascii="Times New Roman" w:hAnsi="Times New Roman" w:cs="Times New Roman"/>
                <w:noProof/>
                <w:webHidden/>
                <w:sz w:val="24"/>
                <w:szCs w:val="24"/>
              </w:rPr>
              <w:instrText xml:space="preserve"> PAGEREF _Toc102224860 \h </w:instrText>
            </w:r>
            <w:r w:rsidRPr="00A67F6F">
              <w:rPr>
                <w:rStyle w:val="Hyperlink"/>
                <w:rFonts w:ascii="Times New Roman" w:hAnsi="Times New Roman" w:cs="Times New Roman"/>
                <w:noProof/>
                <w:sz w:val="24"/>
                <w:szCs w:val="24"/>
                <w:rtl/>
              </w:rPr>
            </w:r>
            <w:r w:rsidRPr="00A67F6F">
              <w:rPr>
                <w:rStyle w:val="Hyperlink"/>
                <w:rFonts w:ascii="Times New Roman" w:hAnsi="Times New Roman" w:cs="Times New Roman"/>
                <w:noProof/>
                <w:sz w:val="24"/>
                <w:szCs w:val="24"/>
                <w:rtl/>
              </w:rPr>
              <w:fldChar w:fldCharType="separate"/>
            </w:r>
            <w:r w:rsidRPr="00A67F6F">
              <w:rPr>
                <w:rFonts w:ascii="Times New Roman" w:hAnsi="Times New Roman" w:cs="Times New Roman"/>
                <w:noProof/>
                <w:webHidden/>
                <w:sz w:val="24"/>
                <w:szCs w:val="24"/>
              </w:rPr>
              <w:t>19</w:t>
            </w:r>
            <w:r w:rsidRPr="00A67F6F">
              <w:rPr>
                <w:rStyle w:val="Hyperlink"/>
                <w:rFonts w:ascii="Times New Roman" w:hAnsi="Times New Roman" w:cs="Times New Roman"/>
                <w:noProof/>
                <w:sz w:val="24"/>
                <w:szCs w:val="24"/>
                <w:rtl/>
              </w:rPr>
              <w:fldChar w:fldCharType="end"/>
            </w:r>
          </w:hyperlink>
        </w:p>
        <w:p w14:paraId="307B2E12" w14:textId="77777777" w:rsidR="00325B9E" w:rsidRPr="00A67F6F" w:rsidRDefault="00325B9E" w:rsidP="00DF5E23">
          <w:pPr>
            <w:bidi w:val="0"/>
          </w:pPr>
          <w:r w:rsidRPr="00A67F6F">
            <w:rPr>
              <w:rFonts w:cs="Times New Roman"/>
              <w:noProof/>
              <w:sz w:val="24"/>
              <w:szCs w:val="24"/>
            </w:rPr>
            <w:fldChar w:fldCharType="end"/>
          </w:r>
        </w:p>
      </w:sdtContent>
    </w:sdt>
    <w:p w14:paraId="00A3472D" w14:textId="77777777" w:rsidR="00325B9E" w:rsidRPr="00A67F6F" w:rsidRDefault="00325B9E" w:rsidP="00DF5E23">
      <w:pPr>
        <w:bidi w:val="0"/>
        <w:jc w:val="both"/>
        <w:rPr>
          <w:rFonts w:cs="Times New Roman"/>
          <w:sz w:val="24"/>
          <w:szCs w:val="24"/>
        </w:rPr>
      </w:pPr>
      <w:r w:rsidRPr="00A67F6F">
        <w:rPr>
          <w:rFonts w:cs="Times New Roman"/>
          <w:sz w:val="24"/>
          <w:szCs w:val="24"/>
        </w:rPr>
        <w:br w:type="page"/>
      </w:r>
    </w:p>
    <w:p w14:paraId="12EE4CA3"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1" w:name="_Toc102224847"/>
      <w:r w:rsidRPr="00A67F6F">
        <w:rPr>
          <w:rFonts w:ascii="Times New Roman" w:hAnsi="Times New Roman" w:cs="Times New Roman"/>
          <w:b/>
          <w:bCs/>
          <w:color w:val="auto"/>
          <w:sz w:val="24"/>
          <w:szCs w:val="24"/>
        </w:rPr>
        <w:lastRenderedPageBreak/>
        <w:t>Introduction</w:t>
      </w:r>
      <w:bookmarkEnd w:id="1"/>
      <w:r w:rsidRPr="00A67F6F">
        <w:rPr>
          <w:rFonts w:ascii="Times New Roman" w:hAnsi="Times New Roman" w:cs="Times New Roman"/>
          <w:b/>
          <w:bCs/>
          <w:color w:val="auto"/>
          <w:sz w:val="24"/>
          <w:szCs w:val="24"/>
        </w:rPr>
        <w:t xml:space="preserve"> </w:t>
      </w:r>
    </w:p>
    <w:p w14:paraId="5AFEC109"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The Independent Commission for Human Rights (ICHR) submits its Shadow Report to the Human Rights Committee (“Committee”) on the First Periodic Review of the State of Palestine in relation to the Initial Report of the State of Palestine under Article 40 of the International Covenant on Civil and Political Rights (ICCPR), due in 2015. The ICHR report follows a methodology based on an assessment of the human rights situation in the State of Palestine and measurement of compliance with the human rights standards within the Palestinian national framework. A particular focus is placed some rights enshrined in the ICCPR. The ICHR hopes that this report </w:t>
      </w:r>
      <w:proofErr w:type="gramStart"/>
      <w:r w:rsidRPr="00A67F6F">
        <w:rPr>
          <w:rFonts w:cs="Times New Roman"/>
          <w:sz w:val="24"/>
          <w:szCs w:val="24"/>
        </w:rPr>
        <w:t>contribute</w:t>
      </w:r>
      <w:proofErr w:type="gramEnd"/>
      <w:r w:rsidRPr="00A67F6F">
        <w:rPr>
          <w:rFonts w:cs="Times New Roman"/>
          <w:sz w:val="24"/>
          <w:szCs w:val="24"/>
        </w:rPr>
        <w:t xml:space="preserve"> to compiling the list of issues to the State of Palestine, subsequently promoting and deepening constructive dialogue between the Committee and State of Palestine to </w:t>
      </w:r>
      <w:proofErr w:type="spellStart"/>
      <w:r w:rsidRPr="00A67F6F">
        <w:rPr>
          <w:rFonts w:cs="Times New Roman"/>
          <w:sz w:val="24"/>
          <w:szCs w:val="24"/>
        </w:rPr>
        <w:t>realise</w:t>
      </w:r>
      <w:proofErr w:type="spellEnd"/>
      <w:r w:rsidRPr="00A67F6F">
        <w:rPr>
          <w:rFonts w:cs="Times New Roman"/>
          <w:sz w:val="24"/>
          <w:szCs w:val="24"/>
        </w:rPr>
        <w:t xml:space="preserve"> the rights contained in the ICCPR. </w:t>
      </w:r>
    </w:p>
    <w:p w14:paraId="7A4067F8" w14:textId="77777777" w:rsidR="00325B9E" w:rsidRPr="00A67F6F" w:rsidRDefault="00325B9E" w:rsidP="00DF5E23">
      <w:pPr>
        <w:bidi w:val="0"/>
        <w:jc w:val="both"/>
        <w:rPr>
          <w:rFonts w:cs="Times New Roman"/>
          <w:sz w:val="24"/>
          <w:szCs w:val="24"/>
        </w:rPr>
      </w:pPr>
    </w:p>
    <w:p w14:paraId="13E19A9E"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2" w:name="_Toc102224848"/>
      <w:r w:rsidRPr="00A67F6F">
        <w:rPr>
          <w:rFonts w:ascii="Times New Roman" w:hAnsi="Times New Roman" w:cs="Times New Roman"/>
          <w:b/>
          <w:bCs/>
          <w:color w:val="auto"/>
          <w:sz w:val="24"/>
          <w:szCs w:val="24"/>
        </w:rPr>
        <w:t>General measures of implementation</w:t>
      </w:r>
      <w:bookmarkEnd w:id="2"/>
    </w:p>
    <w:p w14:paraId="50F56D40" w14:textId="77777777" w:rsidR="00325B9E" w:rsidRPr="00A67F6F" w:rsidRDefault="00325B9E" w:rsidP="00DF5E23">
      <w:pPr>
        <w:pStyle w:val="ListParagraph"/>
        <w:bidi w:val="0"/>
        <w:ind w:left="0"/>
        <w:jc w:val="both"/>
        <w:rPr>
          <w:rFonts w:cs="Times New Roman"/>
          <w:sz w:val="24"/>
          <w:szCs w:val="24"/>
        </w:rPr>
      </w:pPr>
      <w:r w:rsidRPr="00A67F6F">
        <w:rPr>
          <w:rFonts w:cs="Times New Roman"/>
          <w:sz w:val="24"/>
          <w:szCs w:val="24"/>
        </w:rPr>
        <w:t>1. The State of Palestine has not served the due process of law to implement the provisions of the ICCPR within the national legal system. For them to acquire legal force and take precedence over national laws, the Palestinian law</w:t>
      </w:r>
      <w:r w:rsidRPr="00A67F6F">
        <w:rPr>
          <w:rStyle w:val="FootnoteReference"/>
          <w:rFonts w:cs="Times New Roman"/>
          <w:sz w:val="24"/>
          <w:szCs w:val="24"/>
        </w:rPr>
        <w:footnoteReference w:id="1"/>
      </w:r>
      <w:r w:rsidRPr="00A67F6F">
        <w:rPr>
          <w:rFonts w:cs="Times New Roman"/>
          <w:sz w:val="24"/>
          <w:szCs w:val="24"/>
        </w:rPr>
        <w:t xml:space="preserve"> requires that international conventions go through the formal stages to be fulfilled by a certain domestic law for enforcement. This includes, </w:t>
      </w:r>
      <w:r w:rsidRPr="00A67F6F">
        <w:rPr>
          <w:rFonts w:cs="Times New Roman"/>
          <w:i/>
          <w:iCs/>
          <w:sz w:val="24"/>
          <w:szCs w:val="24"/>
        </w:rPr>
        <w:t>inter alia</w:t>
      </w:r>
      <w:r w:rsidRPr="00A67F6F">
        <w:rPr>
          <w:rFonts w:cs="Times New Roman"/>
          <w:sz w:val="24"/>
          <w:szCs w:val="24"/>
        </w:rPr>
        <w:t xml:space="preserve">, publication in the Palestinian Official Gazette. However, the State of Palestine has not, thus far, published the ICCPR and the Presidential Decree on Accession to the ICPRR in the Palestinian Official Gazette. The Covenant has not been promulgated under a domestic law, nor have been special laws on the implementation of the provisions of the ICCPR. Accordingly, the ICHR recommends that the Committee ask the State of Palestine to take necessary action to implement the ICCPR in the national setting and allow the opportunity to invoke it before courts and other official bodies. This will include the publication of the ICCPR in the Palestinian Official Gazette as soon as practicable. </w:t>
      </w:r>
    </w:p>
    <w:p w14:paraId="726CFF85" w14:textId="77777777" w:rsidR="00325B9E" w:rsidRPr="00A67F6F" w:rsidRDefault="00325B9E" w:rsidP="00DF5E23">
      <w:pPr>
        <w:bidi w:val="0"/>
        <w:jc w:val="both"/>
        <w:rPr>
          <w:rFonts w:cs="Times New Roman"/>
          <w:sz w:val="24"/>
          <w:szCs w:val="24"/>
        </w:rPr>
      </w:pPr>
      <w:r w:rsidRPr="00A67F6F">
        <w:rPr>
          <w:rFonts w:cs="Times New Roman"/>
          <w:sz w:val="24"/>
          <w:szCs w:val="24"/>
        </w:rPr>
        <w:t>2. Although the State of Palestine acceded to the ICCPR without reservation, the Supreme Constitutional Court (SCC) subsequently attached a general reservation on the ICCPR and other human rights conventions, to which the State of Palestine acceded. In two judgements, which continue to hold ground,</w:t>
      </w:r>
      <w:r w:rsidRPr="00A67F6F">
        <w:rPr>
          <w:rStyle w:val="FootnoteReference"/>
          <w:rFonts w:cs="Times New Roman"/>
          <w:sz w:val="24"/>
          <w:szCs w:val="24"/>
        </w:rPr>
        <w:footnoteReference w:id="2"/>
      </w:r>
      <w:r w:rsidRPr="00A67F6F">
        <w:rPr>
          <w:rFonts w:cs="Times New Roman"/>
          <w:sz w:val="24"/>
          <w:szCs w:val="24"/>
        </w:rPr>
        <w:t xml:space="preserve"> the SCC ruled that the international treaties, which the State of Palestine accedes to, would not have precedence over national laws unless they are consistent with the national, religious, and cultural identity of the Palestinian people. This will hamper the implementation of international human rights conventions and provisions, including Articles 3 and 23 of the ICCPR, according to which the State Party is prohibited from discrimination on the basis of sex. The ICHR recommends that the Committee urge the State of Palestine to devise appropriate </w:t>
      </w:r>
      <w:r w:rsidRPr="00A67F6F">
        <w:rPr>
          <w:rFonts w:cs="Times New Roman"/>
          <w:sz w:val="24"/>
          <w:szCs w:val="24"/>
        </w:rPr>
        <w:lastRenderedPageBreak/>
        <w:t xml:space="preserve">and decisive solutions to deal with relevant SCC decisions, ensuring earnest implementation of the ICCPR and other human rights conventions, to which the State of Palestine acceded without reservation. </w:t>
      </w:r>
    </w:p>
    <w:p w14:paraId="5A939843"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The ICHR would like to the draw the Committee’s attention that, under the Amended Basic Law of 2003 and SCC Law No. 3 of 2006 as amended, the SCC does not have the competence to enter reservations to, or establish the legal value of, international conventions. The 1988 Declaration of Independence and Basic Law view fundamental human rights and freedoms as binding and duly respectable. The State of Palestine is committed to the principles and purposes of the United Nations as well as to the Universal Declaration of Human Rights. The State of Palestine works, without delay, to accede to international convention, which provide protection to human rights. Regrettably, the SCC has contravened and not taken account of the constitutional provisions, which take precedence over all laws and authorities, including the SCC itself. The SCC has made a general reservation, using loosely defined and overbroad terms that do not ensure respect for pluralism as a constitutional value. </w:t>
      </w:r>
    </w:p>
    <w:p w14:paraId="6B45216C"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3. Since 2007, the laws promulgated by the Palestinian Authority (PA) in the West Bank have not been applicable to citizens in the Gaza Strip, under control of the Hamas movement. The converse is true. The laws passed by members of the Change and Reform Bloc in Gaza are not enforced to the West Bank population. This entrenches discrimination among Palestinian citizens, who are subject to different legal systems without any substantive or reasonable justification. Against this backdrop, the ICCPR and any measures taken by the State of Palestine to put into effect the provisions of the ICCPR or other human rights conventions are not automatically applied in the Gaza Strip, nor are they enforced in Area C, under full control of the Israeli occupying forces. Holding of national elections is the entry point to consolidate laws in the West Bank and Gaza and eliminate unjustified and arbitrary discrimination among Palestinian citizens. Election of the Palestinian Legislative Council (PLC) members will definitely ensure due implementation of the ICCPR and other international human rights conventions. The PLC will exercise its primary competence of law making and control over government functions. </w:t>
      </w:r>
    </w:p>
    <w:p w14:paraId="56201954"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4. On 15 January 2021, President Mahmoud Abbas enacted a presidential decree on holding national (legislative, presidential, and Palestinian National Council) elections in three phases. This was seen by the ICHR as an important and crucial step to restore national unity, </w:t>
      </w:r>
      <w:proofErr w:type="spellStart"/>
      <w:r w:rsidRPr="00A67F6F">
        <w:rPr>
          <w:rFonts w:cs="Times New Roman"/>
          <w:sz w:val="24"/>
          <w:szCs w:val="24"/>
        </w:rPr>
        <w:t>realise</w:t>
      </w:r>
      <w:proofErr w:type="spellEnd"/>
      <w:r w:rsidRPr="00A67F6F">
        <w:rPr>
          <w:rFonts w:cs="Times New Roman"/>
          <w:sz w:val="24"/>
          <w:szCs w:val="24"/>
        </w:rPr>
        <w:t xml:space="preserve"> democracy, uphold human rights, and empower citizens to exercise their right to political participation, enshrined in Article 25 of the ICCPR. However, this step was rolled back after electoral preparations had already passed a significant milestone. On 30 April 2021, the day scheduled for electoral campaigning, the Head of State promulgated a presidential decree, putting off the national elections, announced earlier in January 2021, until procedural requirements are fulfilled throughout the Palestinian territory, first and foremost, Jerusalem. According to the official Palestinian News and Information Agency (WAFA), the decision on the postponement of elections was triggered by the Israeli occupying authorities, who banned the elections in occupied Jerusalem. </w:t>
      </w:r>
    </w:p>
    <w:p w14:paraId="28789757"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Before the Head of State issued forth the decree on postponement of the elections, on 18 April 2021, the Central Elections Commission (CEC) had confirmed that should Israel not respond to </w:t>
      </w:r>
      <w:r w:rsidRPr="00A67F6F">
        <w:rPr>
          <w:rFonts w:cs="Times New Roman"/>
          <w:sz w:val="24"/>
          <w:szCs w:val="24"/>
        </w:rPr>
        <w:lastRenderedPageBreak/>
        <w:t xml:space="preserve">the Palestinian request to allow elections in Jerusalem in accordance with the previously agreed protocol, as an executive agency, the CEC was prepared to make other arrangements to hold national elections in Jerusalem. This would be informed by specific instructions by the Palestinian leadership, based on consultations with national and Islamic factions and forces. Still, the “Palestinian leadership” did not issue any particular directives to the CEC to make other arrangements to </w:t>
      </w:r>
      <w:proofErr w:type="spellStart"/>
      <w:r w:rsidRPr="00A67F6F">
        <w:rPr>
          <w:rFonts w:cs="Times New Roman"/>
          <w:sz w:val="24"/>
          <w:szCs w:val="24"/>
        </w:rPr>
        <w:t>organising</w:t>
      </w:r>
      <w:proofErr w:type="spellEnd"/>
      <w:r w:rsidRPr="00A67F6F">
        <w:rPr>
          <w:rFonts w:cs="Times New Roman"/>
          <w:sz w:val="24"/>
          <w:szCs w:val="24"/>
        </w:rPr>
        <w:t xml:space="preserve"> the electoral process in Jerusalem. Instead, it decided to put off the elections without setting a time limit for the postponement. </w:t>
      </w:r>
    </w:p>
    <w:p w14:paraId="3552A6B1"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The ICHR, therefore, recommends that the Committee urge the State of Palestine to take needed measures to hold national elections at an early date. Israel, the occupying Power, will be requested not to place obstacles to the participation of Palestinian citizens, particularly in East Jerusalem, in national elections. </w:t>
      </w:r>
    </w:p>
    <w:p w14:paraId="3ED1B615" w14:textId="77777777" w:rsidR="00325B9E" w:rsidRPr="00A67F6F" w:rsidRDefault="00325B9E" w:rsidP="00DF5E23">
      <w:pPr>
        <w:bidi w:val="0"/>
        <w:jc w:val="both"/>
        <w:rPr>
          <w:rFonts w:cs="Times New Roman"/>
          <w:sz w:val="24"/>
          <w:szCs w:val="24"/>
        </w:rPr>
      </w:pPr>
    </w:p>
    <w:p w14:paraId="0E431F0B"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3" w:name="_Toc102224849"/>
      <w:r w:rsidRPr="00A67F6F">
        <w:rPr>
          <w:rFonts w:ascii="Times New Roman" w:hAnsi="Times New Roman" w:cs="Times New Roman"/>
          <w:b/>
          <w:bCs/>
          <w:color w:val="auto"/>
          <w:sz w:val="24"/>
          <w:szCs w:val="24"/>
        </w:rPr>
        <w:t>Ongoing state of emergency</w:t>
      </w:r>
      <w:bookmarkEnd w:id="3"/>
      <w:r w:rsidRPr="00A67F6F">
        <w:rPr>
          <w:rFonts w:ascii="Times New Roman" w:hAnsi="Times New Roman" w:cs="Times New Roman"/>
          <w:b/>
          <w:bCs/>
          <w:color w:val="auto"/>
          <w:sz w:val="24"/>
          <w:szCs w:val="24"/>
        </w:rPr>
        <w:t xml:space="preserve"> </w:t>
      </w:r>
    </w:p>
    <w:p w14:paraId="400AB38D"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5. On 5 March 2020, the Head of State declared the state of emergency throughout the Palestinian territory to respond to and prevent the spread of COVID-19. Ever since, the state of emergency has been in effect continuously across the Palestinian territory and renewed every month by decisions issued forth by the President. Of note, the Basic Law does not permit the state of emergency to be declared for more than 60 days. The PLC approval is required for the extension of the state of emergency. Based on the declaration of the state of emergency, government procedures, measures, and decisions have been made, placing constraints on individual rights and freedoms, particularly the right to freedom of movement. In the meantime, regulations have been enacted, </w:t>
      </w:r>
      <w:proofErr w:type="spellStart"/>
      <w:r w:rsidRPr="00A67F6F">
        <w:rPr>
          <w:rFonts w:cs="Times New Roman"/>
          <w:sz w:val="24"/>
          <w:szCs w:val="24"/>
        </w:rPr>
        <w:t>criminalising</w:t>
      </w:r>
      <w:proofErr w:type="spellEnd"/>
      <w:r w:rsidRPr="00A67F6F">
        <w:rPr>
          <w:rFonts w:cs="Times New Roman"/>
          <w:sz w:val="24"/>
          <w:szCs w:val="24"/>
        </w:rPr>
        <w:t xml:space="preserve"> certain </w:t>
      </w:r>
      <w:proofErr w:type="spellStart"/>
      <w:r w:rsidRPr="00A67F6F">
        <w:rPr>
          <w:rFonts w:cs="Times New Roman"/>
          <w:sz w:val="24"/>
          <w:szCs w:val="24"/>
        </w:rPr>
        <w:t>behaviours</w:t>
      </w:r>
      <w:proofErr w:type="spellEnd"/>
      <w:r w:rsidRPr="00A67F6F">
        <w:rPr>
          <w:rFonts w:cs="Times New Roman"/>
          <w:sz w:val="24"/>
          <w:szCs w:val="24"/>
        </w:rPr>
        <w:t xml:space="preserve"> associated with the state of emergency. Other regulations </w:t>
      </w:r>
      <w:r>
        <w:rPr>
          <w:rFonts w:cs="Times New Roman"/>
          <w:sz w:val="24"/>
          <w:szCs w:val="24"/>
        </w:rPr>
        <w:t xml:space="preserve">have </w:t>
      </w:r>
      <w:r w:rsidRPr="00A67F6F">
        <w:rPr>
          <w:rFonts w:cs="Times New Roman"/>
          <w:sz w:val="24"/>
          <w:szCs w:val="24"/>
        </w:rPr>
        <w:t xml:space="preserve">aggravated penalties against the perpetration of particular offences during the state of emergency. The Law by Decree No. 7 of 2020 on the State of Emergency is </w:t>
      </w:r>
      <w:r>
        <w:rPr>
          <w:rFonts w:cs="Times New Roman"/>
          <w:sz w:val="24"/>
          <w:szCs w:val="24"/>
        </w:rPr>
        <w:t xml:space="preserve">the </w:t>
      </w:r>
      <w:r w:rsidRPr="00A67F6F">
        <w:rPr>
          <w:rFonts w:cs="Times New Roman"/>
          <w:sz w:val="24"/>
          <w:szCs w:val="24"/>
        </w:rPr>
        <w:t xml:space="preserve">most prominent regulation, which incriminates acts and prescribes heavier penalties </w:t>
      </w:r>
      <w:r>
        <w:rPr>
          <w:rFonts w:cs="Times New Roman"/>
          <w:sz w:val="24"/>
          <w:szCs w:val="24"/>
        </w:rPr>
        <w:t>for</w:t>
      </w:r>
      <w:r w:rsidRPr="00A67F6F">
        <w:rPr>
          <w:rFonts w:cs="Times New Roman"/>
          <w:sz w:val="24"/>
          <w:szCs w:val="24"/>
        </w:rPr>
        <w:t xml:space="preserve"> others, using vague and loosely defined terms and expressions. </w:t>
      </w:r>
      <w:r>
        <w:rPr>
          <w:rFonts w:cs="Times New Roman"/>
          <w:sz w:val="24"/>
          <w:szCs w:val="24"/>
        </w:rPr>
        <w:t>T</w:t>
      </w:r>
      <w:r w:rsidRPr="00A67F6F">
        <w:rPr>
          <w:rFonts w:cs="Times New Roman"/>
          <w:sz w:val="24"/>
          <w:szCs w:val="24"/>
        </w:rPr>
        <w:t>he ICHR has not generally seen that the state of emergency was taken advantage of for purposes other than its stated objective</w:t>
      </w:r>
      <w:r>
        <w:rPr>
          <w:rFonts w:cs="Times New Roman"/>
          <w:sz w:val="24"/>
          <w:szCs w:val="24"/>
        </w:rPr>
        <w:t>s</w:t>
      </w:r>
      <w:r w:rsidRPr="00A67F6F">
        <w:rPr>
          <w:rFonts w:cs="Times New Roman"/>
          <w:sz w:val="24"/>
          <w:szCs w:val="24"/>
        </w:rPr>
        <w:t xml:space="preserve"> (with the exception of the arrest and charging of some peaceful demonstrators with unlawful gathering and breach of emergency measures). However, the ICHR is of the opinion that </w:t>
      </w:r>
      <w:r>
        <w:rPr>
          <w:rFonts w:cs="Times New Roman"/>
          <w:sz w:val="24"/>
          <w:szCs w:val="24"/>
        </w:rPr>
        <w:t xml:space="preserve">the </w:t>
      </w:r>
      <w:r w:rsidRPr="00A67F6F">
        <w:rPr>
          <w:rFonts w:cs="Times New Roman"/>
          <w:sz w:val="24"/>
          <w:szCs w:val="24"/>
        </w:rPr>
        <w:t xml:space="preserve">outbreak of the COVID-19 pandemic can be addressed in accordance with operative laws, such as the Public Health Law, Civil </w:t>
      </w:r>
      <w:proofErr w:type="spellStart"/>
      <w:r w:rsidRPr="00A67F6F">
        <w:rPr>
          <w:rFonts w:cs="Times New Roman"/>
          <w:sz w:val="24"/>
          <w:szCs w:val="24"/>
        </w:rPr>
        <w:t>Defence</w:t>
      </w:r>
      <w:proofErr w:type="spellEnd"/>
      <w:r w:rsidRPr="00A67F6F">
        <w:rPr>
          <w:rFonts w:cs="Times New Roman"/>
          <w:sz w:val="24"/>
          <w:szCs w:val="24"/>
        </w:rPr>
        <w:t xml:space="preserve"> Law, and Penal Law. There is no need for the state of emergency to continue in violation of the law. This will eliminate concerns about exploiting the state of emergency </w:t>
      </w:r>
      <w:r>
        <w:rPr>
          <w:rFonts w:cs="Times New Roman"/>
          <w:sz w:val="24"/>
          <w:szCs w:val="24"/>
        </w:rPr>
        <w:t xml:space="preserve">for </w:t>
      </w:r>
      <w:r w:rsidRPr="00A67F6F">
        <w:rPr>
          <w:rFonts w:cs="Times New Roman"/>
          <w:sz w:val="24"/>
          <w:szCs w:val="24"/>
        </w:rPr>
        <w:t xml:space="preserve">purposes other than those declared. Accordingly, the ICHR recommends that the Committee urge the State of Palestine to terminate the two-year-long state of emergency in the Palestinian territory. The ICHR also recommends that emergency regulations be explicitly repealed, particularly the Law by Decree No. 7 of 2020. </w:t>
      </w:r>
    </w:p>
    <w:p w14:paraId="7596F7CB" w14:textId="77777777" w:rsidR="00325B9E" w:rsidRPr="00A67F6F" w:rsidRDefault="00325B9E" w:rsidP="00DF5E23">
      <w:pPr>
        <w:bidi w:val="0"/>
        <w:jc w:val="both"/>
        <w:rPr>
          <w:rFonts w:cs="Times New Roman"/>
          <w:sz w:val="24"/>
          <w:szCs w:val="24"/>
        </w:rPr>
      </w:pPr>
    </w:p>
    <w:p w14:paraId="3BAD2334"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4" w:name="_Toc102224850"/>
      <w:r w:rsidRPr="00A67F6F">
        <w:rPr>
          <w:rFonts w:ascii="Times New Roman" w:hAnsi="Times New Roman" w:cs="Times New Roman"/>
          <w:b/>
          <w:bCs/>
          <w:color w:val="auto"/>
          <w:sz w:val="24"/>
          <w:szCs w:val="24"/>
        </w:rPr>
        <w:lastRenderedPageBreak/>
        <w:t>Right to life</w:t>
      </w:r>
      <w:bookmarkEnd w:id="4"/>
      <w:r w:rsidRPr="00A67F6F">
        <w:rPr>
          <w:rFonts w:ascii="Times New Roman" w:hAnsi="Times New Roman" w:cs="Times New Roman"/>
          <w:b/>
          <w:bCs/>
          <w:color w:val="auto"/>
          <w:sz w:val="24"/>
          <w:szCs w:val="24"/>
        </w:rPr>
        <w:t xml:space="preserve"> </w:t>
      </w:r>
    </w:p>
    <w:p w14:paraId="7C2C507D"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6. Since the State of Palestine acceded to the Second Optional Protocol to the ICCPR, aiming at the abolition of the death penalty, in </w:t>
      </w:r>
      <w:r>
        <w:rPr>
          <w:rFonts w:cs="Times New Roman"/>
          <w:sz w:val="24"/>
          <w:szCs w:val="24"/>
        </w:rPr>
        <w:t xml:space="preserve">June </w:t>
      </w:r>
      <w:r w:rsidRPr="00A67F6F">
        <w:rPr>
          <w:rFonts w:cs="Times New Roman"/>
          <w:sz w:val="24"/>
          <w:szCs w:val="24"/>
        </w:rPr>
        <w:t xml:space="preserve">2018, Palestinian courts have entered 41 final death sentences, including two against women. All these were rendered by Gaza-based courts, particularly military tribunals which do not meet adequate guarantees of fair trial (Courts in the Gaza Strip are not under </w:t>
      </w:r>
      <w:r>
        <w:rPr>
          <w:rFonts w:cs="Times New Roman"/>
          <w:sz w:val="24"/>
          <w:szCs w:val="24"/>
        </w:rPr>
        <w:t xml:space="preserve">the </w:t>
      </w:r>
      <w:r w:rsidRPr="00A67F6F">
        <w:rPr>
          <w:rFonts w:cs="Times New Roman"/>
          <w:sz w:val="24"/>
          <w:szCs w:val="24"/>
        </w:rPr>
        <w:t>PA control). However, no death sentences have been carried out since 2017</w:t>
      </w:r>
      <w:r>
        <w:rPr>
          <w:rFonts w:cs="Times New Roman"/>
          <w:sz w:val="24"/>
          <w:szCs w:val="24"/>
        </w:rPr>
        <w:t>. In this same year,</w:t>
      </w:r>
      <w:r w:rsidRPr="00A67F6F">
        <w:rPr>
          <w:rFonts w:cs="Times New Roman"/>
          <w:sz w:val="24"/>
          <w:szCs w:val="24"/>
        </w:rPr>
        <w:t xml:space="preserve"> three Palestinians were executed. Some 13 citizens are awaiting the execution of death sentences entered against them in Gaza. These sentences do not fulfil </w:t>
      </w:r>
      <w:r>
        <w:rPr>
          <w:rFonts w:cs="Times New Roman"/>
          <w:sz w:val="24"/>
          <w:szCs w:val="24"/>
        </w:rPr>
        <w:t xml:space="preserve">the </w:t>
      </w:r>
      <w:r w:rsidRPr="00A67F6F">
        <w:rPr>
          <w:rFonts w:cs="Times New Roman"/>
          <w:sz w:val="24"/>
          <w:szCs w:val="24"/>
        </w:rPr>
        <w:t xml:space="preserve">due process of law, mainly </w:t>
      </w:r>
      <w:r>
        <w:rPr>
          <w:rFonts w:cs="Times New Roman"/>
          <w:sz w:val="24"/>
          <w:szCs w:val="24"/>
        </w:rPr>
        <w:t xml:space="preserve">the </w:t>
      </w:r>
      <w:r w:rsidRPr="00A67F6F">
        <w:rPr>
          <w:rFonts w:cs="Times New Roman"/>
          <w:sz w:val="24"/>
          <w:szCs w:val="24"/>
        </w:rPr>
        <w:t>approval of the Head of State. In the West Bank, courts do not apply death penalty. Besides, the Head of State has not endorsed any death sentence</w:t>
      </w:r>
      <w:r>
        <w:rPr>
          <w:rFonts w:cs="Times New Roman"/>
          <w:sz w:val="24"/>
          <w:szCs w:val="24"/>
        </w:rPr>
        <w:t>s</w:t>
      </w:r>
      <w:r w:rsidRPr="00A67F6F">
        <w:rPr>
          <w:rFonts w:cs="Times New Roman"/>
          <w:sz w:val="24"/>
          <w:szCs w:val="24"/>
        </w:rPr>
        <w:t xml:space="preserve"> since 2006. Still, one citizen held in a West Bank prison is sentenced to death, but the penalty has not been </w:t>
      </w:r>
      <w:r>
        <w:rPr>
          <w:rFonts w:cs="Times New Roman"/>
          <w:sz w:val="24"/>
          <w:szCs w:val="24"/>
        </w:rPr>
        <w:t>commuted</w:t>
      </w:r>
      <w:r w:rsidRPr="00A67F6F">
        <w:rPr>
          <w:rFonts w:cs="Times New Roman"/>
          <w:sz w:val="24"/>
          <w:szCs w:val="24"/>
        </w:rPr>
        <w:t>. Also, the Head of State has passed laws by decrees, including procedural regulations of the capital punishment. Most notably, these include</w:t>
      </w:r>
      <w:r>
        <w:rPr>
          <w:rFonts w:cs="Times New Roman"/>
          <w:sz w:val="24"/>
          <w:szCs w:val="24"/>
        </w:rPr>
        <w:t>d</w:t>
      </w:r>
      <w:r w:rsidRPr="00A67F6F">
        <w:rPr>
          <w:rFonts w:cs="Times New Roman"/>
          <w:sz w:val="24"/>
          <w:szCs w:val="24"/>
        </w:rPr>
        <w:t xml:space="preserve"> the Law by Decree No. 39 of 2020 on the Formation of Regular Courts. New amendments are introduced to Palestinian legislation to regulate, rather completely abolish, the capital punishment. This indicates that a political will is lacking for the clear and explicit abolition of the death penalty under Palestinian regulations. The ICHR recommends that the Committee request the State of Palestine to abolish </w:t>
      </w:r>
      <w:r>
        <w:rPr>
          <w:rFonts w:cs="Times New Roman"/>
          <w:sz w:val="24"/>
          <w:szCs w:val="24"/>
        </w:rPr>
        <w:t xml:space="preserve">the </w:t>
      </w:r>
      <w:r w:rsidRPr="00A67F6F">
        <w:rPr>
          <w:rFonts w:cs="Times New Roman"/>
          <w:sz w:val="24"/>
          <w:szCs w:val="24"/>
        </w:rPr>
        <w:t xml:space="preserve">death penalty from the Palestinian law once and for all. Necessary legal actions will be taken to commute final death sentences, which have not so far been mitigated. </w:t>
      </w:r>
    </w:p>
    <w:p w14:paraId="4B18BA01" w14:textId="77777777" w:rsidR="00325B9E" w:rsidRPr="00A67F6F" w:rsidRDefault="00325B9E" w:rsidP="00DF5E23">
      <w:pPr>
        <w:bidi w:val="0"/>
        <w:jc w:val="both"/>
        <w:rPr>
          <w:rFonts w:cs="Times New Roman"/>
          <w:sz w:val="24"/>
          <w:szCs w:val="24"/>
        </w:rPr>
      </w:pPr>
      <w:r w:rsidRPr="00A67F6F">
        <w:rPr>
          <w:rFonts w:cs="Times New Roman"/>
          <w:sz w:val="24"/>
          <w:szCs w:val="24"/>
        </w:rPr>
        <w:t>7. Over the past four years, 16 Palestinians were shot and killed by law enforcement offic</w:t>
      </w:r>
      <w:r>
        <w:rPr>
          <w:rFonts w:cs="Times New Roman"/>
          <w:sz w:val="24"/>
          <w:szCs w:val="24"/>
        </w:rPr>
        <w:t>er</w:t>
      </w:r>
      <w:r w:rsidRPr="00A67F6F">
        <w:rPr>
          <w:rFonts w:cs="Times New Roman"/>
          <w:sz w:val="24"/>
          <w:szCs w:val="24"/>
        </w:rPr>
        <w:t xml:space="preserve">s, who misused firearms and did not observe the principles of necessity and proportionality in the use of force. The ICHR does not have adequate information on whether perpetrators have been held to account, put on trial, and subjected to deterrent punishment. The State of Palestine must be urged to </w:t>
      </w:r>
      <w:proofErr w:type="gramStart"/>
      <w:r w:rsidRPr="00A67F6F">
        <w:rPr>
          <w:rFonts w:cs="Times New Roman"/>
          <w:sz w:val="24"/>
          <w:szCs w:val="24"/>
        </w:rPr>
        <w:t>take action</w:t>
      </w:r>
      <w:proofErr w:type="gramEnd"/>
      <w:r w:rsidRPr="00A67F6F">
        <w:rPr>
          <w:rFonts w:cs="Times New Roman"/>
          <w:sz w:val="24"/>
          <w:szCs w:val="24"/>
        </w:rPr>
        <w:t xml:space="preserve"> to hold accountable perpetrators of murder, regardless of their office. The State of Palestine should also be urged to take actions and measures to prevent the recurrence of killings and provide redress to families of the victims, taking into consideration that codes of professional conduct are not a substitute of the force of law. </w:t>
      </w:r>
    </w:p>
    <w:p w14:paraId="0EA4961A"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8. On 24 June 2021, a Preventive Security force executed an arrest warrant against Nizar Banat, a 43-year-old political activist and candidate of the Freedom and Dignity List for national elections (before they were postponed). Meantime, Banat died as a result of unjustified extreme violence. According to the ICHR investigations, Banat did not show resistance at all. Of note, the arrest warrant against Banat had been issued on charges of the offence of libel against public authorities. This charge is imputed by law enforcement agencies to political opponents and citizens who publicly </w:t>
      </w:r>
      <w:proofErr w:type="spellStart"/>
      <w:r w:rsidRPr="00A67F6F">
        <w:rPr>
          <w:rFonts w:cs="Times New Roman"/>
          <w:sz w:val="24"/>
          <w:szCs w:val="24"/>
        </w:rPr>
        <w:t>criticise</w:t>
      </w:r>
      <w:proofErr w:type="spellEnd"/>
      <w:r w:rsidRPr="00A67F6F">
        <w:rPr>
          <w:rFonts w:cs="Times New Roman"/>
          <w:sz w:val="24"/>
          <w:szCs w:val="24"/>
        </w:rPr>
        <w:t xml:space="preserve"> political officials and civil servants. The Public Prosecution brought 14 Preventive Security officers and soldiers, who had taken part in the arrest of Banat, before the military court. These were charged with murder, manslaughter, beating to death, and breach of orders and instructions. In cooperation with Al-Haq, the ICHR released a joint </w:t>
      </w:r>
      <w:proofErr w:type="gramStart"/>
      <w:r w:rsidRPr="00A67F6F">
        <w:rPr>
          <w:rFonts w:cs="Times New Roman"/>
          <w:sz w:val="24"/>
          <w:szCs w:val="24"/>
        </w:rPr>
        <w:t>fact finding</w:t>
      </w:r>
      <w:proofErr w:type="gramEnd"/>
      <w:r w:rsidRPr="00A67F6F">
        <w:rPr>
          <w:rFonts w:cs="Times New Roman"/>
          <w:sz w:val="24"/>
          <w:szCs w:val="24"/>
        </w:rPr>
        <w:t xml:space="preserve"> report on the incident.</w:t>
      </w:r>
      <w:r w:rsidRPr="00A67F6F">
        <w:rPr>
          <w:rStyle w:val="FootnoteReference"/>
          <w:rFonts w:cs="Times New Roman"/>
          <w:sz w:val="24"/>
          <w:szCs w:val="24"/>
        </w:rPr>
        <w:footnoteReference w:id="3"/>
      </w:r>
      <w:r w:rsidRPr="00A67F6F">
        <w:rPr>
          <w:rFonts w:cs="Times New Roman"/>
          <w:sz w:val="24"/>
          <w:szCs w:val="24"/>
        </w:rPr>
        <w:t xml:space="preserve"> The ICHR recommends that the Committee urge the State of Palestine to take </w:t>
      </w:r>
      <w:r w:rsidRPr="00A67F6F">
        <w:rPr>
          <w:rFonts w:cs="Times New Roman"/>
          <w:sz w:val="24"/>
          <w:szCs w:val="24"/>
        </w:rPr>
        <w:lastRenderedPageBreak/>
        <w:t xml:space="preserve">serious actions to provide redress to the victim and his family, ensure that the accused </w:t>
      </w:r>
      <w:r>
        <w:rPr>
          <w:rFonts w:cs="Times New Roman"/>
          <w:sz w:val="24"/>
          <w:szCs w:val="24"/>
        </w:rPr>
        <w:t xml:space="preserve">persons </w:t>
      </w:r>
      <w:r w:rsidRPr="00A67F6F">
        <w:rPr>
          <w:rFonts w:cs="Times New Roman"/>
          <w:sz w:val="24"/>
          <w:szCs w:val="24"/>
        </w:rPr>
        <w:t xml:space="preserve">are put on fair trial, and put in place guarantees of non-recurrence. </w:t>
      </w:r>
    </w:p>
    <w:p w14:paraId="5B1F1FD6" w14:textId="77777777" w:rsidR="00325B9E" w:rsidRPr="00A67F6F" w:rsidRDefault="00325B9E" w:rsidP="00DF5E23">
      <w:pPr>
        <w:bidi w:val="0"/>
        <w:jc w:val="both"/>
        <w:rPr>
          <w:rFonts w:cs="Times New Roman"/>
          <w:sz w:val="24"/>
          <w:szCs w:val="24"/>
        </w:rPr>
      </w:pPr>
    </w:p>
    <w:p w14:paraId="54153E04"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5" w:name="_Toc102224851"/>
      <w:r w:rsidRPr="00A67F6F">
        <w:rPr>
          <w:rFonts w:ascii="Times New Roman" w:hAnsi="Times New Roman" w:cs="Times New Roman"/>
          <w:b/>
          <w:bCs/>
          <w:color w:val="auto"/>
          <w:sz w:val="24"/>
          <w:szCs w:val="24"/>
        </w:rPr>
        <w:t>Right to physical integrity</w:t>
      </w:r>
      <w:bookmarkEnd w:id="5"/>
      <w:r w:rsidRPr="00A67F6F">
        <w:rPr>
          <w:rFonts w:ascii="Times New Roman" w:hAnsi="Times New Roman" w:cs="Times New Roman"/>
          <w:b/>
          <w:bCs/>
          <w:color w:val="auto"/>
          <w:sz w:val="24"/>
          <w:szCs w:val="24"/>
        </w:rPr>
        <w:t xml:space="preserve"> </w:t>
      </w:r>
    </w:p>
    <w:p w14:paraId="4DF90129" w14:textId="77777777" w:rsidR="00325B9E" w:rsidRPr="00A67F6F" w:rsidRDefault="00325B9E" w:rsidP="00DF5E23">
      <w:pPr>
        <w:bidi w:val="0"/>
        <w:jc w:val="both"/>
        <w:rPr>
          <w:rFonts w:cs="Times New Roman"/>
          <w:sz w:val="24"/>
          <w:szCs w:val="24"/>
        </w:rPr>
      </w:pPr>
      <w:r w:rsidRPr="00A67F6F">
        <w:rPr>
          <w:rFonts w:cs="Times New Roman"/>
          <w:sz w:val="24"/>
          <w:szCs w:val="24"/>
        </w:rPr>
        <w:t>8. On an annual basis, the ICHR receives hundreds of complaints from citizens across the West Bank and Gaza, claiming they are subjected to torture and ill-treatment by law enforcement offic</w:t>
      </w:r>
      <w:r>
        <w:rPr>
          <w:rFonts w:cs="Times New Roman"/>
          <w:sz w:val="24"/>
          <w:szCs w:val="24"/>
        </w:rPr>
        <w:t>ers</w:t>
      </w:r>
      <w:r w:rsidRPr="00A67F6F">
        <w:rPr>
          <w:rFonts w:cs="Times New Roman"/>
          <w:sz w:val="24"/>
          <w:szCs w:val="24"/>
        </w:rPr>
        <w:t xml:space="preserve">. During the past </w:t>
      </w:r>
      <w:r>
        <w:rPr>
          <w:rFonts w:cs="Times New Roman"/>
          <w:sz w:val="24"/>
          <w:szCs w:val="24"/>
        </w:rPr>
        <w:t xml:space="preserve">four </w:t>
      </w:r>
      <w:r w:rsidRPr="00A67F6F">
        <w:rPr>
          <w:rFonts w:cs="Times New Roman"/>
          <w:sz w:val="24"/>
          <w:szCs w:val="24"/>
        </w:rPr>
        <w:t>year</w:t>
      </w:r>
      <w:r>
        <w:rPr>
          <w:rFonts w:cs="Times New Roman"/>
          <w:sz w:val="24"/>
          <w:szCs w:val="24"/>
        </w:rPr>
        <w:t>s</w:t>
      </w:r>
      <w:r w:rsidRPr="00A67F6F">
        <w:rPr>
          <w:rFonts w:cs="Times New Roman"/>
          <w:sz w:val="24"/>
          <w:szCs w:val="24"/>
        </w:rPr>
        <w:t xml:space="preserve">, a total of 1,727 complaints have been filed to the ICHR, including 945 in the West Bank and 782 in Gaza. In prisons and detention facilities of law enforcement agencies in the West Bank, citizens were subjected to a myriad of forms and patterns of torture and ill-treatment, including battering, severe beating, solitary confinement, </w:t>
      </w:r>
      <w:proofErr w:type="spellStart"/>
      <w:r w:rsidRPr="00A67F6F">
        <w:rPr>
          <w:rFonts w:cs="Times New Roman"/>
          <w:i/>
          <w:iCs/>
          <w:sz w:val="24"/>
          <w:szCs w:val="24"/>
        </w:rPr>
        <w:t>Shabeh</w:t>
      </w:r>
      <w:proofErr w:type="spellEnd"/>
      <w:r w:rsidRPr="00A67F6F">
        <w:rPr>
          <w:rFonts w:cs="Times New Roman"/>
          <w:sz w:val="24"/>
          <w:szCs w:val="24"/>
        </w:rPr>
        <w:t xml:space="preserve"> [</w:t>
      </w:r>
      <w:r>
        <w:rPr>
          <w:rFonts w:cs="Times New Roman"/>
          <w:sz w:val="24"/>
          <w:szCs w:val="24"/>
        </w:rPr>
        <w:t xml:space="preserve">a </w:t>
      </w:r>
      <w:r w:rsidRPr="00A67F6F">
        <w:rPr>
          <w:rFonts w:cs="Times New Roman"/>
          <w:sz w:val="24"/>
          <w:szCs w:val="24"/>
        </w:rPr>
        <w:t xml:space="preserve">combination of methods, used for prolonged periods, entailing sensory isolation and infliction of pain], sleep deprivation, threat of torture, threat to harm one’s family, and repeated verbal abuse. Women </w:t>
      </w:r>
      <w:r>
        <w:rPr>
          <w:rFonts w:cs="Times New Roman"/>
          <w:sz w:val="24"/>
          <w:szCs w:val="24"/>
        </w:rPr>
        <w:t xml:space="preserve">also </w:t>
      </w:r>
      <w:r w:rsidRPr="00A67F6F">
        <w:rPr>
          <w:rFonts w:cs="Times New Roman"/>
          <w:sz w:val="24"/>
          <w:szCs w:val="24"/>
        </w:rPr>
        <w:t xml:space="preserve">endured one or more form(s) of ill-treatment. In this context, over the past four years, 174 women lodged complaints to the ICHR in the West Bank and Gaza. At that time, the ICHR </w:t>
      </w:r>
      <w:r>
        <w:rPr>
          <w:rFonts w:cs="Times New Roman"/>
          <w:sz w:val="24"/>
          <w:szCs w:val="24"/>
        </w:rPr>
        <w:t xml:space="preserve">also </w:t>
      </w:r>
      <w:r w:rsidRPr="00A67F6F">
        <w:rPr>
          <w:rFonts w:cs="Times New Roman"/>
          <w:sz w:val="24"/>
          <w:szCs w:val="24"/>
        </w:rPr>
        <w:t xml:space="preserve">received 186 complaints from children, who claimed they had been subjected to torture and ill-treatment. Although effective laws and regulations prohibit and punish torture, the ICHR notes that persons involved in these crimes are not adequately held criminally liable. Against this backdrop, the ICHR recommends that the Committee request the State of Palestine to </w:t>
      </w:r>
      <w:proofErr w:type="spellStart"/>
      <w:r w:rsidRPr="00A67F6F">
        <w:rPr>
          <w:rFonts w:cs="Times New Roman"/>
          <w:sz w:val="24"/>
          <w:szCs w:val="24"/>
        </w:rPr>
        <w:t>operationalise</w:t>
      </w:r>
      <w:proofErr w:type="spellEnd"/>
      <w:r w:rsidRPr="00A67F6F">
        <w:rPr>
          <w:rFonts w:cs="Times New Roman"/>
          <w:sz w:val="24"/>
          <w:szCs w:val="24"/>
        </w:rPr>
        <w:t xml:space="preserve"> criminal accountability of the perpetrators of torture and ill-treatment regardless of their office. The ICHR further recommends that the State of Palestine b</w:t>
      </w:r>
      <w:r>
        <w:rPr>
          <w:rFonts w:cs="Times New Roman"/>
          <w:sz w:val="24"/>
          <w:szCs w:val="24"/>
        </w:rPr>
        <w:t>e</w:t>
      </w:r>
      <w:r w:rsidRPr="00A67F6F">
        <w:rPr>
          <w:rFonts w:cs="Times New Roman"/>
          <w:sz w:val="24"/>
          <w:szCs w:val="24"/>
        </w:rPr>
        <w:t xml:space="preserve"> urged to enact a law on the prevention of torture and take necessary actions to provide redress and compensation to victims, together with guarantees of non-recurrence. </w:t>
      </w:r>
    </w:p>
    <w:p w14:paraId="64AE5656" w14:textId="77777777" w:rsidR="00325B9E" w:rsidRPr="00A67F6F" w:rsidRDefault="00325B9E" w:rsidP="00DF5E23">
      <w:pPr>
        <w:bidi w:val="0"/>
        <w:jc w:val="both"/>
        <w:rPr>
          <w:rFonts w:cs="Times New Roman"/>
          <w:sz w:val="24"/>
          <w:szCs w:val="24"/>
        </w:rPr>
      </w:pPr>
    </w:p>
    <w:p w14:paraId="0F331649"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6" w:name="_Toc102224852"/>
      <w:r w:rsidRPr="00A67F6F">
        <w:rPr>
          <w:rFonts w:ascii="Times New Roman" w:hAnsi="Times New Roman" w:cs="Times New Roman"/>
          <w:b/>
          <w:bCs/>
          <w:color w:val="auto"/>
          <w:sz w:val="24"/>
          <w:szCs w:val="24"/>
        </w:rPr>
        <w:t>Right to liberty and security of person</w:t>
      </w:r>
      <w:bookmarkEnd w:id="6"/>
      <w:r w:rsidRPr="00A67F6F">
        <w:rPr>
          <w:rFonts w:ascii="Times New Roman" w:hAnsi="Times New Roman" w:cs="Times New Roman"/>
          <w:b/>
          <w:bCs/>
          <w:color w:val="auto"/>
          <w:sz w:val="24"/>
          <w:szCs w:val="24"/>
        </w:rPr>
        <w:t xml:space="preserve"> </w:t>
      </w:r>
    </w:p>
    <w:p w14:paraId="35EA975B"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10. Governors (administrative rules) </w:t>
      </w:r>
      <w:r>
        <w:rPr>
          <w:rFonts w:cs="Times New Roman"/>
          <w:sz w:val="24"/>
          <w:szCs w:val="24"/>
        </w:rPr>
        <w:t xml:space="preserve">continue to </w:t>
      </w:r>
      <w:r w:rsidRPr="00A67F6F">
        <w:rPr>
          <w:rFonts w:cs="Times New Roman"/>
          <w:sz w:val="24"/>
          <w:szCs w:val="24"/>
        </w:rPr>
        <w:t>exercise the power to detain citizens on administrative decisions, without imputing particular charges, deviating from the criminal justice system, and for various terms of as much as several weeks. This is known as governor-ordered or administrative detention. Despite the fact that Palestinian courts have repeatedly proscribed the use of this power,</w:t>
      </w:r>
      <w:r w:rsidRPr="00A67F6F">
        <w:rPr>
          <w:rStyle w:val="FootnoteReference"/>
          <w:rFonts w:cs="Times New Roman"/>
          <w:sz w:val="24"/>
          <w:szCs w:val="24"/>
        </w:rPr>
        <w:footnoteReference w:id="4"/>
      </w:r>
      <w:r w:rsidRPr="00A67F6F">
        <w:rPr>
          <w:rFonts w:cs="Times New Roman"/>
          <w:sz w:val="24"/>
          <w:szCs w:val="24"/>
        </w:rPr>
        <w:t xml:space="preserve"> administrative authority representatives continue to use governor-ordered detention under loosely defined and overbroad justifications, including protection of </w:t>
      </w:r>
      <w:r>
        <w:rPr>
          <w:rFonts w:cs="Times New Roman"/>
          <w:sz w:val="24"/>
          <w:szCs w:val="24"/>
        </w:rPr>
        <w:t xml:space="preserve">the </w:t>
      </w:r>
      <w:r w:rsidRPr="00A67F6F">
        <w:rPr>
          <w:rFonts w:cs="Times New Roman"/>
          <w:sz w:val="24"/>
          <w:szCs w:val="24"/>
        </w:rPr>
        <w:t>public order, security, and morals. Over the past four years, the ICHR received a total of 166 complaints on cases of administrative detention. Of these, complainants were held in administrative detention in spite of the fact that competent courts rendered decision</w:t>
      </w:r>
      <w:r>
        <w:rPr>
          <w:rFonts w:cs="Times New Roman"/>
          <w:sz w:val="24"/>
          <w:szCs w:val="24"/>
        </w:rPr>
        <w:t xml:space="preserve">s ruling for </w:t>
      </w:r>
      <w:r w:rsidRPr="00A67F6F">
        <w:rPr>
          <w:rFonts w:cs="Times New Roman"/>
          <w:sz w:val="24"/>
          <w:szCs w:val="24"/>
        </w:rPr>
        <w:t xml:space="preserve">their release. The State of Palestine must be urged to </w:t>
      </w:r>
      <w:proofErr w:type="gramStart"/>
      <w:r w:rsidRPr="00A67F6F">
        <w:rPr>
          <w:rFonts w:cs="Times New Roman"/>
          <w:sz w:val="24"/>
          <w:szCs w:val="24"/>
        </w:rPr>
        <w:t>bring to an end</w:t>
      </w:r>
      <w:proofErr w:type="gramEnd"/>
      <w:r w:rsidRPr="00A67F6F">
        <w:rPr>
          <w:rFonts w:cs="Times New Roman"/>
          <w:sz w:val="24"/>
          <w:szCs w:val="24"/>
        </w:rPr>
        <w:t xml:space="preserve"> this form of detention, </w:t>
      </w:r>
      <w:r>
        <w:rPr>
          <w:rFonts w:cs="Times New Roman"/>
          <w:sz w:val="24"/>
          <w:szCs w:val="24"/>
        </w:rPr>
        <w:t xml:space="preserve">which is </w:t>
      </w:r>
      <w:r w:rsidRPr="00A67F6F">
        <w:rPr>
          <w:rFonts w:cs="Times New Roman"/>
          <w:sz w:val="24"/>
          <w:szCs w:val="24"/>
        </w:rPr>
        <w:t>provided for under the Jordanian Law on the Prevention of Crimes No. 7 of 1954</w:t>
      </w:r>
      <w:r>
        <w:rPr>
          <w:rFonts w:cs="Times New Roman"/>
          <w:sz w:val="24"/>
          <w:szCs w:val="24"/>
        </w:rPr>
        <w:t xml:space="preserve">. In addition to running </w:t>
      </w:r>
      <w:r w:rsidRPr="00A67F6F">
        <w:rPr>
          <w:rFonts w:cs="Times New Roman"/>
          <w:sz w:val="24"/>
          <w:szCs w:val="24"/>
        </w:rPr>
        <w:t xml:space="preserve">counter to the </w:t>
      </w:r>
      <w:r w:rsidRPr="00A67F6F">
        <w:rPr>
          <w:rFonts w:cs="Times New Roman"/>
          <w:sz w:val="24"/>
          <w:szCs w:val="24"/>
        </w:rPr>
        <w:lastRenderedPageBreak/>
        <w:t xml:space="preserve">requirements for enforcement of Article </w:t>
      </w:r>
      <w:r>
        <w:rPr>
          <w:rFonts w:cs="Times New Roman"/>
          <w:sz w:val="24"/>
          <w:szCs w:val="24"/>
        </w:rPr>
        <w:t>9</w:t>
      </w:r>
      <w:r w:rsidRPr="00A67F6F">
        <w:rPr>
          <w:rFonts w:cs="Times New Roman"/>
          <w:sz w:val="24"/>
          <w:szCs w:val="24"/>
        </w:rPr>
        <w:t xml:space="preserve"> of the ICCPR</w:t>
      </w:r>
      <w:r>
        <w:rPr>
          <w:rFonts w:cs="Times New Roman"/>
          <w:sz w:val="24"/>
          <w:szCs w:val="24"/>
        </w:rPr>
        <w:t xml:space="preserve">, governor-ordered detention </w:t>
      </w:r>
      <w:r w:rsidRPr="00A67F6F">
        <w:rPr>
          <w:rFonts w:cs="Times New Roman"/>
          <w:sz w:val="24"/>
          <w:szCs w:val="24"/>
        </w:rPr>
        <w:t xml:space="preserve">is in conflict with the Palestinian Basic Law and Penal Procedure Law. </w:t>
      </w:r>
    </w:p>
    <w:p w14:paraId="03BD57AD"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11. The Palestinian law places conditions on arrest and </w:t>
      </w:r>
      <w:r>
        <w:rPr>
          <w:rFonts w:cs="Times New Roman"/>
          <w:sz w:val="24"/>
          <w:szCs w:val="24"/>
        </w:rPr>
        <w:t>pre-trial detention</w:t>
      </w:r>
      <w:r w:rsidRPr="00A67F6F">
        <w:rPr>
          <w:rFonts w:cs="Times New Roman"/>
          <w:sz w:val="24"/>
          <w:szCs w:val="24"/>
        </w:rPr>
        <w:t xml:space="preserve">, ensuring that this remains a procedure of exception and is applied to criminal defendants charged with serious criminal offences or in situations where there </w:t>
      </w:r>
      <w:r>
        <w:rPr>
          <w:rFonts w:cs="Times New Roman"/>
          <w:sz w:val="24"/>
          <w:szCs w:val="24"/>
        </w:rPr>
        <w:t>is</w:t>
      </w:r>
      <w:r w:rsidRPr="00A67F6F">
        <w:rPr>
          <w:rFonts w:cs="Times New Roman"/>
          <w:sz w:val="24"/>
          <w:szCs w:val="24"/>
        </w:rPr>
        <w:t xml:space="preserve"> a fear of contaminating evidence. Nonetheless, the ICHR notes the excessive use of this power without adequate audits by competent judicial bodies, including judges. The confinement of many persons held in pre-trial detention was extended without a review of respective investigation files, including records of interrogation into criminal offences. The </w:t>
      </w:r>
      <w:r>
        <w:rPr>
          <w:rFonts w:cs="Times New Roman"/>
          <w:sz w:val="24"/>
          <w:szCs w:val="24"/>
        </w:rPr>
        <w:t>ICHR</w:t>
      </w:r>
      <w:r w:rsidRPr="00A67F6F">
        <w:rPr>
          <w:rFonts w:cs="Times New Roman"/>
          <w:sz w:val="24"/>
          <w:szCs w:val="24"/>
        </w:rPr>
        <w:t> also has information that 123 accused persons have been placed in pre-trial detention for more than three years. No court decisions have ever been entered against them. Against this background, the ICHR recommends that the Committee ask the State of Palestine to take actions and measures to ensure that pre-trial detention remains within statutory exemptions</w:t>
      </w:r>
      <w:r>
        <w:rPr>
          <w:rFonts w:cs="Times New Roman"/>
          <w:sz w:val="24"/>
          <w:szCs w:val="24"/>
        </w:rPr>
        <w:t>,</w:t>
      </w:r>
      <w:r w:rsidRPr="00A67F6F">
        <w:rPr>
          <w:rFonts w:cs="Times New Roman"/>
          <w:sz w:val="24"/>
          <w:szCs w:val="24"/>
        </w:rPr>
        <w:t xml:space="preserve"> including putting in place fair accountability of judges and prosecutors who abuse this power. Effective training will be provided to judicial bodies on pre-trial detention and free trials. </w:t>
      </w:r>
    </w:p>
    <w:p w14:paraId="11D9449E"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12. Article 32 of the Basic Law binds the State </w:t>
      </w:r>
      <w:r>
        <w:rPr>
          <w:rFonts w:cs="Times New Roman"/>
          <w:sz w:val="24"/>
          <w:szCs w:val="24"/>
        </w:rPr>
        <w:t xml:space="preserve">of Palestine </w:t>
      </w:r>
      <w:r w:rsidRPr="00A67F6F">
        <w:rPr>
          <w:rFonts w:cs="Times New Roman"/>
          <w:sz w:val="24"/>
          <w:szCs w:val="24"/>
        </w:rPr>
        <w:t xml:space="preserve">to guarantee a fair remedy to victims of violations of any personal freedom, of the sanctity of the private life of human beings, or of any of the rights or liberties that have been guaranteed by law or by the Basic Law. However, the amendment introduced to the Law on State Cases in 2014, and later promulgation of the Law by Decree on State Cases of 2022, may represent an intractable obstacle to empowering persons to claim compensation from the State for illegal arrest or detention. Article 60 of the Law by Decree on State Cases provides for an exclusive list of the cases, where persons can </w:t>
      </w:r>
      <w:r>
        <w:rPr>
          <w:rFonts w:cs="Times New Roman"/>
          <w:sz w:val="24"/>
          <w:szCs w:val="24"/>
        </w:rPr>
        <w:t xml:space="preserve">initiate legal proceedings </w:t>
      </w:r>
      <w:r w:rsidRPr="00A67F6F">
        <w:rPr>
          <w:rFonts w:cs="Times New Roman"/>
          <w:sz w:val="24"/>
          <w:szCs w:val="24"/>
        </w:rPr>
        <w:t>against the State. These do not include claims of compensation on grounds of encroachment on the rights and freedoms enshrined in the Basic Law, including illegal arrest</w:t>
      </w:r>
      <w:r>
        <w:rPr>
          <w:rFonts w:cs="Times New Roman"/>
          <w:sz w:val="24"/>
          <w:szCs w:val="24"/>
        </w:rPr>
        <w:t>s</w:t>
      </w:r>
      <w:r w:rsidRPr="00A67F6F">
        <w:rPr>
          <w:rFonts w:cs="Times New Roman"/>
          <w:sz w:val="24"/>
          <w:szCs w:val="24"/>
        </w:rPr>
        <w:t xml:space="preserve"> or detention</w:t>
      </w:r>
      <w:r>
        <w:rPr>
          <w:rFonts w:cs="Times New Roman"/>
          <w:sz w:val="24"/>
          <w:szCs w:val="24"/>
        </w:rPr>
        <w:t>s</w:t>
      </w:r>
      <w:r w:rsidRPr="00A67F6F">
        <w:rPr>
          <w:rFonts w:cs="Times New Roman"/>
          <w:sz w:val="24"/>
          <w:szCs w:val="24"/>
        </w:rPr>
        <w:t xml:space="preserve">. The State of Palestine must be urged to amend the Law by Decree on State Cases, ensuring that victims of human rights abuses have the right to bring actions against the State and claim compensations for the violations which </w:t>
      </w:r>
      <w:r>
        <w:rPr>
          <w:rFonts w:cs="Times New Roman"/>
          <w:sz w:val="24"/>
          <w:szCs w:val="24"/>
        </w:rPr>
        <w:t xml:space="preserve">have </w:t>
      </w:r>
      <w:r w:rsidRPr="00A67F6F">
        <w:rPr>
          <w:rFonts w:cs="Times New Roman"/>
          <w:sz w:val="24"/>
          <w:szCs w:val="24"/>
        </w:rPr>
        <w:t xml:space="preserve">affected them. </w:t>
      </w:r>
    </w:p>
    <w:p w14:paraId="572A20C9"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13. Since the State of Palestine acceded to the ICCPR, </w:t>
      </w:r>
      <w:r>
        <w:rPr>
          <w:rFonts w:cs="Times New Roman"/>
          <w:sz w:val="24"/>
          <w:szCs w:val="24"/>
        </w:rPr>
        <w:t xml:space="preserve">dozens </w:t>
      </w:r>
      <w:r w:rsidRPr="00A67F6F">
        <w:rPr>
          <w:rFonts w:cs="Times New Roman"/>
          <w:sz w:val="24"/>
          <w:szCs w:val="24"/>
        </w:rPr>
        <w:t xml:space="preserve">of citizens have been killed and others injured by the use of unlicensed firearms in fights and </w:t>
      </w:r>
      <w:r>
        <w:rPr>
          <w:rFonts w:cs="Times New Roman"/>
          <w:sz w:val="24"/>
          <w:szCs w:val="24"/>
        </w:rPr>
        <w:t xml:space="preserve">during </w:t>
      </w:r>
      <w:r w:rsidRPr="00A67F6F">
        <w:rPr>
          <w:rFonts w:cs="Times New Roman"/>
          <w:sz w:val="24"/>
          <w:szCs w:val="24"/>
        </w:rPr>
        <w:t xml:space="preserve">public and private celebrations. The proliferation of </w:t>
      </w:r>
      <w:proofErr w:type="spellStart"/>
      <w:r w:rsidRPr="00A67F6F">
        <w:rPr>
          <w:rFonts w:cs="Times New Roman"/>
          <w:sz w:val="24"/>
          <w:szCs w:val="24"/>
        </w:rPr>
        <w:t>unauthorised</w:t>
      </w:r>
      <w:proofErr w:type="spellEnd"/>
      <w:r w:rsidRPr="00A67F6F">
        <w:rPr>
          <w:rFonts w:cs="Times New Roman"/>
          <w:sz w:val="24"/>
          <w:szCs w:val="24"/>
        </w:rPr>
        <w:t xml:space="preserve"> weapons poses a real and serious threat to individuals’ security of person and property. The Palestinian law incriminates </w:t>
      </w:r>
      <w:r>
        <w:rPr>
          <w:rFonts w:cs="Times New Roman"/>
          <w:sz w:val="24"/>
          <w:szCs w:val="24"/>
        </w:rPr>
        <w:t xml:space="preserve">the </w:t>
      </w:r>
      <w:r w:rsidRPr="00A67F6F">
        <w:rPr>
          <w:rFonts w:cs="Times New Roman"/>
          <w:sz w:val="24"/>
          <w:szCs w:val="24"/>
        </w:rPr>
        <w:t xml:space="preserve">unlicensed possession and trading of firearms as well as </w:t>
      </w:r>
      <w:r>
        <w:rPr>
          <w:rFonts w:cs="Times New Roman"/>
          <w:sz w:val="24"/>
          <w:szCs w:val="24"/>
        </w:rPr>
        <w:t>the display</w:t>
      </w:r>
      <w:r w:rsidRPr="00A67F6F">
        <w:rPr>
          <w:rFonts w:cs="Times New Roman"/>
          <w:sz w:val="24"/>
          <w:szCs w:val="24"/>
        </w:rPr>
        <w:t xml:space="preserve"> of firearms</w:t>
      </w:r>
      <w:r>
        <w:rPr>
          <w:rFonts w:cs="Times New Roman"/>
          <w:sz w:val="24"/>
          <w:szCs w:val="24"/>
        </w:rPr>
        <w:t xml:space="preserve">, albeit </w:t>
      </w:r>
      <w:r w:rsidRPr="00A67F6F">
        <w:rPr>
          <w:rFonts w:cs="Times New Roman"/>
          <w:sz w:val="24"/>
          <w:szCs w:val="24"/>
        </w:rPr>
        <w:t>licensed</w:t>
      </w:r>
      <w:r>
        <w:rPr>
          <w:rFonts w:cs="Times New Roman"/>
          <w:sz w:val="24"/>
          <w:szCs w:val="24"/>
        </w:rPr>
        <w:t xml:space="preserve">, </w:t>
      </w:r>
      <w:r w:rsidRPr="00A67F6F">
        <w:rPr>
          <w:rFonts w:cs="Times New Roman"/>
          <w:sz w:val="24"/>
          <w:szCs w:val="24"/>
        </w:rPr>
        <w:t>in public place</w:t>
      </w:r>
      <w:r>
        <w:rPr>
          <w:rFonts w:cs="Times New Roman"/>
          <w:sz w:val="24"/>
          <w:szCs w:val="24"/>
        </w:rPr>
        <w:t>s</w:t>
      </w:r>
      <w:r w:rsidRPr="00A67F6F">
        <w:rPr>
          <w:rFonts w:cs="Times New Roman"/>
          <w:sz w:val="24"/>
          <w:szCs w:val="24"/>
        </w:rPr>
        <w:t xml:space="preserve">. However, combating this phenomenon continues to be mediocre. While prosecutions are limited, many people possess and display these weapons in the full sight of law enforcement agencies. The State of Palestine must be urged to put in place a plan to combat and completely eliminate this phenomenon. Maximum security of person and property will be provided in disregard of </w:t>
      </w:r>
      <w:r>
        <w:rPr>
          <w:rFonts w:cs="Times New Roman"/>
          <w:sz w:val="24"/>
          <w:szCs w:val="24"/>
        </w:rPr>
        <w:t xml:space="preserve">the professional </w:t>
      </w:r>
      <w:r w:rsidRPr="00A67F6F">
        <w:rPr>
          <w:rFonts w:cs="Times New Roman"/>
          <w:sz w:val="24"/>
          <w:szCs w:val="24"/>
        </w:rPr>
        <w:t xml:space="preserve">or social status of persons who illegally possess firearms. </w:t>
      </w:r>
    </w:p>
    <w:p w14:paraId="0638B27D" w14:textId="77777777" w:rsidR="00325B9E" w:rsidRPr="00A67F6F" w:rsidRDefault="00325B9E" w:rsidP="00DF5E23">
      <w:pPr>
        <w:bidi w:val="0"/>
        <w:jc w:val="both"/>
        <w:rPr>
          <w:rFonts w:cs="Times New Roman"/>
          <w:sz w:val="24"/>
          <w:szCs w:val="24"/>
        </w:rPr>
      </w:pPr>
    </w:p>
    <w:p w14:paraId="4824155D"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7" w:name="_Toc102224853"/>
      <w:r w:rsidRPr="00A67F6F">
        <w:rPr>
          <w:rFonts w:ascii="Times New Roman" w:hAnsi="Times New Roman" w:cs="Times New Roman"/>
          <w:b/>
          <w:bCs/>
          <w:color w:val="auto"/>
          <w:sz w:val="24"/>
          <w:szCs w:val="24"/>
        </w:rPr>
        <w:lastRenderedPageBreak/>
        <w:t>Imprisonment for failure to fulfil a contractual obligation</w:t>
      </w:r>
      <w:bookmarkEnd w:id="7"/>
      <w:r w:rsidRPr="00A67F6F">
        <w:rPr>
          <w:rFonts w:ascii="Times New Roman" w:hAnsi="Times New Roman" w:cs="Times New Roman"/>
          <w:b/>
          <w:bCs/>
          <w:color w:val="auto"/>
          <w:sz w:val="24"/>
          <w:szCs w:val="24"/>
        </w:rPr>
        <w:t xml:space="preserve"> </w:t>
      </w:r>
    </w:p>
    <w:p w14:paraId="2B547437" w14:textId="77777777" w:rsidR="00325B9E" w:rsidRPr="00A67F6F" w:rsidRDefault="00325B9E" w:rsidP="00DF5E23">
      <w:pPr>
        <w:bidi w:val="0"/>
        <w:jc w:val="both"/>
        <w:rPr>
          <w:rFonts w:cs="Times New Roman"/>
          <w:sz w:val="24"/>
          <w:szCs w:val="24"/>
        </w:rPr>
      </w:pPr>
      <w:r w:rsidRPr="00A67F6F">
        <w:rPr>
          <w:rFonts w:cs="Times New Roman"/>
          <w:sz w:val="24"/>
          <w:szCs w:val="24"/>
        </w:rPr>
        <w:t>14. Every year, in the West Bank and Gaza, hundreds of persons, including women, are held in prison for a term of up to 91 days a year</w:t>
      </w:r>
      <w:r w:rsidRPr="00F412CC">
        <w:rPr>
          <w:rFonts w:cs="Times New Roman"/>
          <w:sz w:val="24"/>
          <w:szCs w:val="24"/>
        </w:rPr>
        <w:t xml:space="preserve"> </w:t>
      </w:r>
      <w:r w:rsidRPr="00A67F6F">
        <w:rPr>
          <w:rFonts w:cs="Times New Roman"/>
          <w:sz w:val="24"/>
          <w:szCs w:val="24"/>
        </w:rPr>
        <w:t xml:space="preserve">for failure to repay debts. Imprisonment has no impact on debt repayment. If they do not collect their debt, a creditor can apply for the renewed confinement of a debtor during the next year. Imprisonment does not settle debts. According to the Ramallah Police department statistics, 3,943 persons were brought into correction and rehabilitation </w:t>
      </w:r>
      <w:proofErr w:type="spellStart"/>
      <w:r w:rsidRPr="00A67F6F">
        <w:rPr>
          <w:rFonts w:cs="Times New Roman"/>
          <w:sz w:val="24"/>
          <w:szCs w:val="24"/>
        </w:rPr>
        <w:t>centres</w:t>
      </w:r>
      <w:proofErr w:type="spellEnd"/>
      <w:r w:rsidRPr="00A67F6F">
        <w:rPr>
          <w:rFonts w:cs="Times New Roman"/>
          <w:sz w:val="24"/>
          <w:szCs w:val="24"/>
        </w:rPr>
        <w:t xml:space="preserve"> on account of arrest warrants for </w:t>
      </w:r>
      <w:r>
        <w:rPr>
          <w:rFonts w:cs="Times New Roman"/>
          <w:sz w:val="24"/>
          <w:szCs w:val="24"/>
        </w:rPr>
        <w:t xml:space="preserve">unsatisfied </w:t>
      </w:r>
      <w:r w:rsidRPr="00A67F6F">
        <w:rPr>
          <w:rFonts w:cs="Times New Roman"/>
          <w:sz w:val="24"/>
          <w:szCs w:val="24"/>
        </w:rPr>
        <w:t xml:space="preserve">civil debts over the past five years. These included 63 males and one female, who continue to be incarcerated as at the time of </w:t>
      </w:r>
      <w:r>
        <w:rPr>
          <w:rFonts w:cs="Times New Roman"/>
          <w:sz w:val="24"/>
          <w:szCs w:val="24"/>
        </w:rPr>
        <w:t>reporting</w:t>
      </w:r>
      <w:r w:rsidRPr="00A67F6F">
        <w:rPr>
          <w:rFonts w:cs="Times New Roman"/>
          <w:sz w:val="24"/>
          <w:szCs w:val="24"/>
        </w:rPr>
        <w:t xml:space="preserve">. According to the High Judicial Council (HJC) in Ramallah, since the beginning of 2021, West Bank courts </w:t>
      </w:r>
      <w:r>
        <w:rPr>
          <w:rFonts w:cs="Times New Roman"/>
          <w:sz w:val="24"/>
          <w:szCs w:val="24"/>
        </w:rPr>
        <w:t xml:space="preserve">issued </w:t>
      </w:r>
      <w:r w:rsidRPr="00A67F6F">
        <w:rPr>
          <w:rFonts w:cs="Times New Roman"/>
          <w:sz w:val="24"/>
          <w:szCs w:val="24"/>
        </w:rPr>
        <w:t xml:space="preserve">46,126 arrest warrants for debts, including 3,011 against women. During the last two years, 33,891 persons received arrest warrants on grounds of the same debt. </w:t>
      </w:r>
    </w:p>
    <w:p w14:paraId="61FB3D3E"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Overall, the ICHR is of the view that the Palestinian law does not allow the imprisonment of a debtor, who is incapable of fulfilling a contractual obligation. However, the ICHR recommends that the Committee urge the State of Palestine to </w:t>
      </w:r>
      <w:r>
        <w:rPr>
          <w:rFonts w:cs="Times New Roman"/>
          <w:sz w:val="24"/>
          <w:szCs w:val="24"/>
        </w:rPr>
        <w:t>make</w:t>
      </w:r>
      <w:r w:rsidRPr="00A67F6F">
        <w:rPr>
          <w:rFonts w:cs="Times New Roman"/>
          <w:sz w:val="24"/>
          <w:szCs w:val="24"/>
        </w:rPr>
        <w:t xml:space="preserve"> amendments to the Law of Execution of 2005 and penal laws in forces, explicitly ensuring that under no circumstances shall a debtor in default of a contractual obligation be imprisoned on the ground of such failure. The State of Palestine will also be urged to adopt alternative means for debt satisfaction, safeguarding the rights of creditor, human dignity of debtors, and the right of everyone to an adequate standard of living for themselves and </w:t>
      </w:r>
      <w:r>
        <w:rPr>
          <w:rFonts w:cs="Times New Roman"/>
          <w:sz w:val="24"/>
          <w:szCs w:val="24"/>
        </w:rPr>
        <w:t xml:space="preserve">for </w:t>
      </w:r>
      <w:r w:rsidRPr="00A67F6F">
        <w:rPr>
          <w:rFonts w:cs="Times New Roman"/>
          <w:sz w:val="24"/>
          <w:szCs w:val="24"/>
        </w:rPr>
        <w:t xml:space="preserve">their family members. Along this vein, it would be useful to direct the State of Palestine to release persons who continue to be in prison </w:t>
      </w:r>
      <w:r>
        <w:rPr>
          <w:rFonts w:cs="Times New Roman"/>
          <w:sz w:val="24"/>
          <w:szCs w:val="24"/>
        </w:rPr>
        <w:t xml:space="preserve">on grounds of </w:t>
      </w:r>
      <w:r w:rsidRPr="00A67F6F">
        <w:rPr>
          <w:rFonts w:cs="Times New Roman"/>
          <w:sz w:val="24"/>
          <w:szCs w:val="24"/>
        </w:rPr>
        <w:t xml:space="preserve">civil debts and reschedule their debts. </w:t>
      </w:r>
    </w:p>
    <w:p w14:paraId="7E695680" w14:textId="77777777" w:rsidR="00325B9E" w:rsidRPr="00A67F6F" w:rsidRDefault="00325B9E" w:rsidP="00DF5E23">
      <w:pPr>
        <w:bidi w:val="0"/>
        <w:jc w:val="both"/>
        <w:rPr>
          <w:rFonts w:cs="Times New Roman"/>
          <w:sz w:val="24"/>
          <w:szCs w:val="24"/>
        </w:rPr>
      </w:pPr>
    </w:p>
    <w:p w14:paraId="2A286AAE"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8" w:name="_Toc102224854"/>
      <w:r w:rsidRPr="00A67F6F">
        <w:rPr>
          <w:rFonts w:ascii="Times New Roman" w:hAnsi="Times New Roman" w:cs="Times New Roman"/>
          <w:b/>
          <w:bCs/>
          <w:color w:val="auto"/>
          <w:sz w:val="24"/>
          <w:szCs w:val="24"/>
        </w:rPr>
        <w:t>Right to freedom of movement</w:t>
      </w:r>
      <w:bookmarkEnd w:id="8"/>
      <w:r w:rsidRPr="00A67F6F">
        <w:rPr>
          <w:rFonts w:ascii="Times New Roman" w:hAnsi="Times New Roman" w:cs="Times New Roman"/>
          <w:b/>
          <w:bCs/>
          <w:color w:val="auto"/>
          <w:sz w:val="24"/>
          <w:szCs w:val="24"/>
        </w:rPr>
        <w:t xml:space="preserve"> </w:t>
      </w:r>
    </w:p>
    <w:p w14:paraId="6B916A8D" w14:textId="77777777" w:rsidR="00325B9E" w:rsidRPr="00A67F6F" w:rsidRDefault="00325B9E" w:rsidP="00DF5E23">
      <w:pPr>
        <w:bidi w:val="0"/>
        <w:jc w:val="both"/>
        <w:rPr>
          <w:rFonts w:cs="Times New Roman"/>
          <w:sz w:val="24"/>
          <w:szCs w:val="24"/>
        </w:rPr>
      </w:pPr>
      <w:r w:rsidRPr="00A67F6F">
        <w:rPr>
          <w:rFonts w:cs="Times New Roman"/>
          <w:sz w:val="24"/>
          <w:szCs w:val="24"/>
        </w:rPr>
        <w:t>15.Since 2007, the West Bank-based Ministry of Interior (</w:t>
      </w:r>
      <w:proofErr w:type="spellStart"/>
      <w:r w:rsidRPr="00A67F6F">
        <w:rPr>
          <w:rFonts w:cs="Times New Roman"/>
          <w:sz w:val="24"/>
          <w:szCs w:val="24"/>
        </w:rPr>
        <w:t>MoI</w:t>
      </w:r>
      <w:proofErr w:type="spellEnd"/>
      <w:r w:rsidRPr="00A67F6F">
        <w:rPr>
          <w:rFonts w:cs="Times New Roman"/>
          <w:sz w:val="24"/>
          <w:szCs w:val="24"/>
        </w:rPr>
        <w:t xml:space="preserve">) has refrained from issuing passports to citizens of the Gaza Strip. On an annual basis, the ICHR receives dozens of complaints from Gaza residents, claiming that the </w:t>
      </w:r>
      <w:proofErr w:type="spellStart"/>
      <w:r w:rsidRPr="00A67F6F">
        <w:rPr>
          <w:rFonts w:cs="Times New Roman"/>
          <w:sz w:val="24"/>
          <w:szCs w:val="24"/>
        </w:rPr>
        <w:t>MoI</w:t>
      </w:r>
      <w:proofErr w:type="spellEnd"/>
      <w:r w:rsidRPr="00A67F6F">
        <w:rPr>
          <w:rFonts w:cs="Times New Roman"/>
          <w:sz w:val="24"/>
          <w:szCs w:val="24"/>
        </w:rPr>
        <w:t xml:space="preserve"> abstained from issuing passports to them and </w:t>
      </w:r>
      <w:r>
        <w:rPr>
          <w:rFonts w:cs="Times New Roman"/>
          <w:sz w:val="24"/>
          <w:szCs w:val="24"/>
        </w:rPr>
        <w:t xml:space="preserve">to </w:t>
      </w:r>
      <w:r w:rsidRPr="00A67F6F">
        <w:rPr>
          <w:rFonts w:cs="Times New Roman"/>
          <w:sz w:val="24"/>
          <w:szCs w:val="24"/>
        </w:rPr>
        <w:t xml:space="preserve">their children. </w:t>
      </w:r>
      <w:r>
        <w:rPr>
          <w:rFonts w:cs="Times New Roman"/>
          <w:sz w:val="24"/>
          <w:szCs w:val="24"/>
        </w:rPr>
        <w:t>In this regard, t</w:t>
      </w:r>
      <w:r w:rsidRPr="00A67F6F">
        <w:rPr>
          <w:rFonts w:cs="Times New Roman"/>
          <w:sz w:val="24"/>
          <w:szCs w:val="24"/>
        </w:rPr>
        <w:t xml:space="preserve">here were 35 complaints in 2021, 22 in 2020, and 30 in 2019. The </w:t>
      </w:r>
      <w:proofErr w:type="spellStart"/>
      <w:r w:rsidRPr="00A67F6F">
        <w:rPr>
          <w:rFonts w:cs="Times New Roman"/>
          <w:sz w:val="24"/>
          <w:szCs w:val="24"/>
        </w:rPr>
        <w:t>MoI</w:t>
      </w:r>
      <w:proofErr w:type="spellEnd"/>
      <w:r w:rsidRPr="00A67F6F">
        <w:rPr>
          <w:rFonts w:cs="Times New Roman"/>
          <w:sz w:val="24"/>
          <w:szCs w:val="24"/>
        </w:rPr>
        <w:t xml:space="preserve"> justifies this action by security clearance. However, nothing in the law prevents the issuance of a passport to any citizen, who fulfils the requirements for obtain</w:t>
      </w:r>
      <w:r>
        <w:rPr>
          <w:rFonts w:cs="Times New Roman"/>
          <w:sz w:val="24"/>
          <w:szCs w:val="24"/>
        </w:rPr>
        <w:t>ing</w:t>
      </w:r>
      <w:r w:rsidRPr="00A67F6F">
        <w:rPr>
          <w:rFonts w:cs="Times New Roman"/>
          <w:sz w:val="24"/>
          <w:szCs w:val="24"/>
        </w:rPr>
        <w:t xml:space="preserve"> a passport. Still, the Ministry does so without judicial warrants. Security clearance is not a requirement to receive a passport under the law. The ICHR recommends that the Committee request the State of Palestine to process applications submitted by citizens for passports without discrimination. It is true that the </w:t>
      </w:r>
      <w:proofErr w:type="spellStart"/>
      <w:r w:rsidRPr="00A67F6F">
        <w:rPr>
          <w:rFonts w:cs="Times New Roman"/>
          <w:sz w:val="24"/>
          <w:szCs w:val="24"/>
        </w:rPr>
        <w:t>MoI</w:t>
      </w:r>
      <w:proofErr w:type="spellEnd"/>
      <w:r w:rsidRPr="00A67F6F">
        <w:rPr>
          <w:rFonts w:cs="Times New Roman"/>
          <w:sz w:val="24"/>
          <w:szCs w:val="24"/>
        </w:rPr>
        <w:t xml:space="preserve"> responds </w:t>
      </w:r>
      <w:proofErr w:type="spellStart"/>
      <w:r w:rsidRPr="00A67F6F">
        <w:rPr>
          <w:rFonts w:cs="Times New Roman"/>
          <w:sz w:val="24"/>
          <w:szCs w:val="24"/>
        </w:rPr>
        <w:t>favourably</w:t>
      </w:r>
      <w:proofErr w:type="spellEnd"/>
      <w:r w:rsidRPr="00A67F6F">
        <w:rPr>
          <w:rFonts w:cs="Times New Roman"/>
          <w:sz w:val="24"/>
          <w:szCs w:val="24"/>
        </w:rPr>
        <w:t xml:space="preserve"> to relevant ICHR demands, but this response remains within a limited scope. </w:t>
      </w:r>
    </w:p>
    <w:p w14:paraId="44B19F27" w14:textId="77777777" w:rsidR="00325B9E" w:rsidRPr="00A67F6F" w:rsidRDefault="00325B9E" w:rsidP="00DF5E23">
      <w:pPr>
        <w:bidi w:val="0"/>
        <w:jc w:val="both"/>
        <w:rPr>
          <w:rFonts w:cs="Times New Roman"/>
          <w:sz w:val="24"/>
          <w:szCs w:val="24"/>
        </w:rPr>
      </w:pPr>
      <w:r w:rsidRPr="00A67F6F">
        <w:rPr>
          <w:rFonts w:cs="Times New Roman"/>
          <w:sz w:val="24"/>
          <w:szCs w:val="24"/>
        </w:rPr>
        <w:t>16. The ban of movement o</w:t>
      </w:r>
      <w:r>
        <w:rPr>
          <w:rFonts w:cs="Times New Roman"/>
          <w:sz w:val="24"/>
          <w:szCs w:val="24"/>
        </w:rPr>
        <w:t>n</w:t>
      </w:r>
      <w:r w:rsidRPr="00A67F6F">
        <w:rPr>
          <w:rFonts w:cs="Times New Roman"/>
          <w:sz w:val="24"/>
          <w:szCs w:val="24"/>
        </w:rPr>
        <w:t xml:space="preserve"> any person is prohibited by the Basic Law except for reasons provided for by the law and under a judicial warrant. On more than an occasion, the High Court of Justice ruled that no authority, other than court</w:t>
      </w:r>
      <w:r>
        <w:rPr>
          <w:rFonts w:cs="Times New Roman"/>
          <w:sz w:val="24"/>
          <w:szCs w:val="24"/>
        </w:rPr>
        <w:t>s</w:t>
      </w:r>
      <w:r w:rsidRPr="00A67F6F">
        <w:rPr>
          <w:rFonts w:cs="Times New Roman"/>
          <w:sz w:val="24"/>
          <w:szCs w:val="24"/>
        </w:rPr>
        <w:t>, is entitled to prevent citizens from travelling.</w:t>
      </w:r>
      <w:r w:rsidRPr="00A67F6F">
        <w:rPr>
          <w:rStyle w:val="FootnoteReference"/>
          <w:rFonts w:cs="Times New Roman"/>
          <w:sz w:val="24"/>
          <w:szCs w:val="24"/>
        </w:rPr>
        <w:footnoteReference w:id="5"/>
      </w:r>
      <w:r w:rsidRPr="00A67F6F">
        <w:rPr>
          <w:rFonts w:cs="Times New Roman"/>
          <w:sz w:val="24"/>
          <w:szCs w:val="24"/>
        </w:rPr>
        <w:t xml:space="preserve"> In reality, </w:t>
      </w:r>
      <w:r w:rsidRPr="00A67F6F">
        <w:rPr>
          <w:rFonts w:cs="Times New Roman"/>
          <w:sz w:val="24"/>
          <w:szCs w:val="24"/>
        </w:rPr>
        <w:lastRenderedPageBreak/>
        <w:t xml:space="preserve">however, citizens are under a ban of travel at crossing points </w:t>
      </w:r>
      <w:r>
        <w:rPr>
          <w:rFonts w:cs="Times New Roman"/>
          <w:sz w:val="24"/>
          <w:szCs w:val="24"/>
        </w:rPr>
        <w:t xml:space="preserve">on the basis of </w:t>
      </w:r>
      <w:r w:rsidRPr="00A67F6F">
        <w:rPr>
          <w:rFonts w:cs="Times New Roman"/>
          <w:sz w:val="24"/>
          <w:szCs w:val="24"/>
        </w:rPr>
        <w:t xml:space="preserve">non-judicial orders, including orders issued by law enforcement agencies and the Attorney General. Under the law, the latter is not entitled to prevent any person from travelling. A number of persons under a ban of travel were not accused of any crime. Their travel was banned and impeded on grounds of their opposing political positions. In Gaza, in 2021, a woman was prevented from travelling because her father </w:t>
      </w:r>
      <w:r>
        <w:rPr>
          <w:rFonts w:cs="Times New Roman"/>
          <w:sz w:val="24"/>
          <w:szCs w:val="24"/>
        </w:rPr>
        <w:t xml:space="preserve">had not </w:t>
      </w:r>
      <w:r w:rsidRPr="00A67F6F">
        <w:rPr>
          <w:rFonts w:cs="Times New Roman"/>
          <w:sz w:val="24"/>
          <w:szCs w:val="24"/>
        </w:rPr>
        <w:t>approve</w:t>
      </w:r>
      <w:r>
        <w:rPr>
          <w:rFonts w:cs="Times New Roman"/>
          <w:sz w:val="24"/>
          <w:szCs w:val="24"/>
        </w:rPr>
        <w:t>d</w:t>
      </w:r>
      <w:r w:rsidRPr="00A67F6F">
        <w:rPr>
          <w:rFonts w:cs="Times New Roman"/>
          <w:sz w:val="24"/>
          <w:szCs w:val="24"/>
        </w:rPr>
        <w:t xml:space="preserve"> of her travel. The ICHR confirms that it cooperates with law enforcement agencies to cancel such decisions. Still, decisions on </w:t>
      </w:r>
      <w:r>
        <w:rPr>
          <w:rFonts w:cs="Times New Roman"/>
          <w:sz w:val="24"/>
          <w:szCs w:val="24"/>
        </w:rPr>
        <w:t xml:space="preserve">the </w:t>
      </w:r>
      <w:r w:rsidRPr="00A67F6F">
        <w:rPr>
          <w:rFonts w:cs="Times New Roman"/>
          <w:sz w:val="24"/>
          <w:szCs w:val="24"/>
        </w:rPr>
        <w:t>ban of travel sometimes ca</w:t>
      </w:r>
      <w:r>
        <w:rPr>
          <w:rFonts w:cs="Times New Roman"/>
          <w:sz w:val="24"/>
          <w:szCs w:val="24"/>
        </w:rPr>
        <w:t>u</w:t>
      </w:r>
      <w:r w:rsidRPr="00A67F6F">
        <w:rPr>
          <w:rFonts w:cs="Times New Roman"/>
          <w:sz w:val="24"/>
          <w:szCs w:val="24"/>
        </w:rPr>
        <w:t xml:space="preserve">se </w:t>
      </w:r>
      <w:r w:rsidRPr="003F561E">
        <w:rPr>
          <w:rFonts w:cs="Times New Roman"/>
          <w:sz w:val="24"/>
          <w:szCs w:val="24"/>
        </w:rPr>
        <w:t xml:space="preserve">irreversible </w:t>
      </w:r>
      <w:r w:rsidRPr="00A67F6F">
        <w:rPr>
          <w:rFonts w:cs="Times New Roman"/>
          <w:sz w:val="24"/>
          <w:szCs w:val="24"/>
        </w:rPr>
        <w:t>damage. The ICHR, therefore, recommends that the Committee urge the State of Palestine respect persons’ right to freedom of travel, ensuring guarantees of non-recurren</w:t>
      </w:r>
      <w:r>
        <w:rPr>
          <w:rFonts w:cs="Times New Roman"/>
          <w:sz w:val="24"/>
          <w:szCs w:val="24"/>
        </w:rPr>
        <w:t>ce</w:t>
      </w:r>
      <w:r w:rsidRPr="00A67F6F">
        <w:rPr>
          <w:rFonts w:cs="Times New Roman"/>
          <w:sz w:val="24"/>
          <w:szCs w:val="24"/>
        </w:rPr>
        <w:t xml:space="preserve"> and compensation </w:t>
      </w:r>
      <w:r>
        <w:rPr>
          <w:rFonts w:cs="Times New Roman"/>
          <w:sz w:val="24"/>
          <w:szCs w:val="24"/>
        </w:rPr>
        <w:t>for</w:t>
      </w:r>
      <w:r w:rsidRPr="00A67F6F">
        <w:rPr>
          <w:rFonts w:cs="Times New Roman"/>
          <w:sz w:val="24"/>
          <w:szCs w:val="24"/>
        </w:rPr>
        <w:t xml:space="preserve"> affected persons. </w:t>
      </w:r>
    </w:p>
    <w:p w14:paraId="6D3385CA" w14:textId="77777777" w:rsidR="00325B9E" w:rsidRPr="00A67F6F" w:rsidRDefault="00325B9E" w:rsidP="00DF5E23">
      <w:pPr>
        <w:bidi w:val="0"/>
        <w:jc w:val="both"/>
        <w:rPr>
          <w:rFonts w:cs="Times New Roman"/>
          <w:sz w:val="24"/>
          <w:szCs w:val="24"/>
        </w:rPr>
      </w:pPr>
    </w:p>
    <w:p w14:paraId="6CA0826D"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9" w:name="_Toc102224855"/>
      <w:r w:rsidRPr="00A67F6F">
        <w:rPr>
          <w:rFonts w:ascii="Times New Roman" w:hAnsi="Times New Roman" w:cs="Times New Roman"/>
          <w:b/>
          <w:bCs/>
          <w:color w:val="auto"/>
          <w:sz w:val="24"/>
          <w:szCs w:val="24"/>
        </w:rPr>
        <w:t>Right to fair trial</w:t>
      </w:r>
      <w:bookmarkEnd w:id="9"/>
      <w:r w:rsidRPr="00A67F6F">
        <w:rPr>
          <w:rFonts w:ascii="Times New Roman" w:hAnsi="Times New Roman" w:cs="Times New Roman"/>
          <w:b/>
          <w:bCs/>
          <w:color w:val="auto"/>
          <w:sz w:val="24"/>
          <w:szCs w:val="24"/>
        </w:rPr>
        <w:t xml:space="preserve"> </w:t>
      </w:r>
    </w:p>
    <w:p w14:paraId="64B88D1A"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17. On 15 July 2019, President Abbas passed a law by decree, which provided for dissolving the then </w:t>
      </w:r>
      <w:r>
        <w:rPr>
          <w:rFonts w:cs="Times New Roman"/>
          <w:sz w:val="24"/>
          <w:szCs w:val="24"/>
        </w:rPr>
        <w:t>ac</w:t>
      </w:r>
      <w:r w:rsidRPr="00A67F6F">
        <w:rPr>
          <w:rFonts w:cs="Times New Roman"/>
          <w:sz w:val="24"/>
          <w:szCs w:val="24"/>
        </w:rPr>
        <w:t>tive HJC as well as the panels of the High Court and Courts of Appeals. The enactment conferred powers of the Judicial Authority administration to a transitional HJC. According to the Judicial Authority Law, the transitional HJC was given the powers to remove, retire on pension, second any judge to another position if the transitional HJC finds that continued incumbency might breach the solemn status</w:t>
      </w:r>
      <w:r>
        <w:rPr>
          <w:rFonts w:cs="Times New Roman"/>
          <w:sz w:val="24"/>
          <w:szCs w:val="24"/>
        </w:rPr>
        <w:t xml:space="preserve"> and</w:t>
      </w:r>
      <w:r w:rsidRPr="00A67F6F">
        <w:rPr>
          <w:rFonts w:cs="Times New Roman"/>
          <w:sz w:val="24"/>
          <w:szCs w:val="24"/>
        </w:rPr>
        <w:t xml:space="preserve"> standing</w:t>
      </w:r>
      <w:r>
        <w:rPr>
          <w:rFonts w:cs="Times New Roman"/>
          <w:sz w:val="24"/>
          <w:szCs w:val="24"/>
        </w:rPr>
        <w:t xml:space="preserve"> of the judiciary</w:t>
      </w:r>
      <w:r w:rsidRPr="00A67F6F">
        <w:rPr>
          <w:rFonts w:cs="Times New Roman"/>
          <w:sz w:val="24"/>
          <w:szCs w:val="24"/>
        </w:rPr>
        <w:t xml:space="preserve">, </w:t>
      </w:r>
      <w:r>
        <w:rPr>
          <w:rFonts w:cs="Times New Roman"/>
          <w:sz w:val="24"/>
          <w:szCs w:val="24"/>
        </w:rPr>
        <w:t xml:space="preserve">or </w:t>
      </w:r>
      <w:r w:rsidRPr="00A67F6F">
        <w:rPr>
          <w:rFonts w:cs="Times New Roman"/>
          <w:sz w:val="24"/>
          <w:szCs w:val="24"/>
        </w:rPr>
        <w:t>public confidence in the judicial office. Based on this law by decree, in 2019, 2020, and 2021, 27 judges of the High Court and Courts of Appeals were retired on pension at the recommendation of the transitional HJC. The ICHR is aware that profound problems within the Palestinian judicial system necessitated such an intervention. Most often, however, removal from judicial office did not comply with the procedures laid out under the Judicial Authority Law. To dismiss them, the Law requires that judges be held to account by the disciplinary council, which is established in accordance with the Law. At the same time, judges will be enabled to exercise their right to defend themselves and discuss the charges imputed to them. The judicial transitional period lasted for a year and a half. Later, on 12 October 2021, laws by decrees enacted by the Head of State introduced amendments to a set of judicial laws, most notably, the Law by Decree No. 40 of 2020 Amending the Judicial Authority Law No. 1 of 2002. According to the new regulations, the permanent HJC has been capable of retiring judges on pension beyond the scope of a disciplinary council, in disregard of their will and request, and without allowing them a chance to defend themselves and discuss the reasons for terminati</w:t>
      </w:r>
      <w:r>
        <w:rPr>
          <w:rFonts w:cs="Times New Roman"/>
          <w:sz w:val="24"/>
          <w:szCs w:val="24"/>
        </w:rPr>
        <w:t>ng</w:t>
      </w:r>
      <w:r w:rsidRPr="00A67F6F">
        <w:rPr>
          <w:rFonts w:cs="Times New Roman"/>
          <w:sz w:val="24"/>
          <w:szCs w:val="24"/>
        </w:rPr>
        <w:t xml:space="preserve"> their service. These decisions can be made in the absence of, and without notifying, the judges concerned. Apart from other causes, what is needed is just a review of a judge’s file and attachments</w:t>
      </w:r>
      <w:r>
        <w:rPr>
          <w:rFonts w:cs="Times New Roman"/>
          <w:sz w:val="24"/>
          <w:szCs w:val="24"/>
        </w:rPr>
        <w:t xml:space="preserve"> thereto</w:t>
      </w:r>
      <w:r w:rsidRPr="00A67F6F">
        <w:rPr>
          <w:rFonts w:cs="Times New Roman"/>
          <w:sz w:val="24"/>
          <w:szCs w:val="24"/>
        </w:rPr>
        <w:t xml:space="preserve">. Most recently, the HJC has invoked this power to recommend that the Head of State retire two judges on pension. The President issued an order to this effect </w:t>
      </w:r>
      <w:r>
        <w:rPr>
          <w:rFonts w:cs="Times New Roman"/>
          <w:sz w:val="24"/>
          <w:szCs w:val="24"/>
        </w:rPr>
        <w:t>in</w:t>
      </w:r>
      <w:r w:rsidRPr="00A67F6F">
        <w:rPr>
          <w:rFonts w:cs="Times New Roman"/>
          <w:sz w:val="24"/>
          <w:szCs w:val="24"/>
        </w:rPr>
        <w:t xml:space="preserve"> a decision he issued forth on 3 April 2022. </w:t>
      </w:r>
    </w:p>
    <w:p w14:paraId="170A01E1"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In the light of the foregoing, the ICHR recommends that the Committee urge the State of Palestine to take constitutional actions to uphold and protect the principle of the independence of judges. Along this vein, presidential amendments to judicial laws will be repealed, including the Law by </w:t>
      </w:r>
      <w:r w:rsidRPr="00A67F6F">
        <w:rPr>
          <w:rFonts w:cs="Times New Roman"/>
          <w:sz w:val="24"/>
          <w:szCs w:val="24"/>
        </w:rPr>
        <w:lastRenderedPageBreak/>
        <w:t xml:space="preserve">Decree Amending the Judicial Authority Law. The Judicial Authority Law will be faithfully enforced with a view to respecting and safeguarding the principle of judicial independence – the critical factor to uphold and protect fair trial guarantees. </w:t>
      </w:r>
    </w:p>
    <w:p w14:paraId="75F6C9A2"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18. Over past years, successive Palestinian governments have worked towards developed a national strategy for legal aid, including a draft law on legal aid. This law aims at empower women, the poor, and other vulnerable groups to seek legal counsel or representation before courts free of charge or at low cost. Thus far, however, the law has neither been passed nor put into effect. Accordingly, the ICHR recommends that the Committee urge the State of Palestine to issue forth and implement the National Strategy for Legal Aid, including the Law on Legal Aid, ensuring respect for and protection of the right to </w:t>
      </w:r>
      <w:proofErr w:type="spellStart"/>
      <w:r w:rsidRPr="00A67F6F">
        <w:rPr>
          <w:rFonts w:cs="Times New Roman"/>
          <w:sz w:val="24"/>
          <w:szCs w:val="24"/>
        </w:rPr>
        <w:t>defence</w:t>
      </w:r>
      <w:proofErr w:type="spellEnd"/>
      <w:r w:rsidRPr="00A67F6F">
        <w:rPr>
          <w:rFonts w:cs="Times New Roman"/>
          <w:sz w:val="24"/>
          <w:szCs w:val="24"/>
        </w:rPr>
        <w:t xml:space="preserve"> and empowering people to exercise their right to legal recourse. </w:t>
      </w:r>
    </w:p>
    <w:p w14:paraId="17A25533" w14:textId="77777777" w:rsidR="00325B9E" w:rsidRPr="00A67F6F" w:rsidRDefault="00325B9E" w:rsidP="00DF5E23">
      <w:pPr>
        <w:bidi w:val="0"/>
        <w:jc w:val="both"/>
        <w:rPr>
          <w:rFonts w:cs="Times New Roman"/>
          <w:sz w:val="24"/>
          <w:szCs w:val="24"/>
        </w:rPr>
      </w:pPr>
    </w:p>
    <w:p w14:paraId="49AB370E"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10" w:name="_Toc102224856"/>
      <w:r w:rsidRPr="00A67F6F">
        <w:rPr>
          <w:rFonts w:ascii="Times New Roman" w:hAnsi="Times New Roman" w:cs="Times New Roman"/>
          <w:b/>
          <w:bCs/>
          <w:color w:val="auto"/>
          <w:sz w:val="24"/>
          <w:szCs w:val="24"/>
        </w:rPr>
        <w:t>Right to privacy</w:t>
      </w:r>
      <w:bookmarkEnd w:id="10"/>
      <w:r w:rsidRPr="00A67F6F">
        <w:rPr>
          <w:rFonts w:ascii="Times New Roman" w:hAnsi="Times New Roman" w:cs="Times New Roman"/>
          <w:b/>
          <w:bCs/>
          <w:color w:val="auto"/>
          <w:sz w:val="24"/>
          <w:szCs w:val="24"/>
        </w:rPr>
        <w:t xml:space="preserve"> </w:t>
      </w:r>
    </w:p>
    <w:p w14:paraId="486BF066" w14:textId="77777777" w:rsidR="00325B9E" w:rsidRPr="00A67F6F" w:rsidRDefault="00325B9E" w:rsidP="00DF5E23">
      <w:pPr>
        <w:bidi w:val="0"/>
        <w:jc w:val="both"/>
        <w:rPr>
          <w:rFonts w:cs="Times New Roman"/>
          <w:sz w:val="24"/>
          <w:szCs w:val="24"/>
        </w:rPr>
      </w:pPr>
      <w:r w:rsidRPr="00A67F6F">
        <w:rPr>
          <w:rFonts w:cs="Times New Roman"/>
          <w:sz w:val="24"/>
          <w:szCs w:val="24"/>
        </w:rPr>
        <w:t>19. On 21 April 2021, Facebook announced that it had taken actions against hackers in Palestine.</w:t>
      </w:r>
      <w:r w:rsidRPr="00A67F6F">
        <w:rPr>
          <w:rStyle w:val="FootnoteReference"/>
          <w:rFonts w:cs="Times New Roman"/>
          <w:sz w:val="24"/>
          <w:szCs w:val="24"/>
        </w:rPr>
        <w:footnoteReference w:id="6"/>
      </w:r>
      <w:r w:rsidRPr="00A67F6F">
        <w:rPr>
          <w:rFonts w:cs="Times New Roman"/>
          <w:sz w:val="24"/>
          <w:szCs w:val="24"/>
        </w:rPr>
        <w:t xml:space="preserve"> Facebook stated that a group of hackers in Palestine linked to the Preventive Security agency of the Palestinian government in the West Bank. According to the Facebook report, this persistent threat actor focused on a wide range of targets, including journalists, people opposing the Fatah-led government, human rights activists and military groups including the Syrian opposition and Iraqi military. The Preventive Security agency appeared to operate across multiple internet services, using a combination of social engineering, phishing websites and continually evolving Windows and Android malware in targeted cyber espionage campaigns. The ICHR released a statement, calling on the Palestinian government to investigate the Facebook report findings, but to no avail. So far, fact seem to be totally absent. Of note, the Palestinian law prohibits random surveillance and puts in place particular conditions to carry out any electronic surveillance in the context of a criminal investigation. </w:t>
      </w:r>
    </w:p>
    <w:p w14:paraId="6FF24A80"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20. On 29 April 2018, President Abbas promulgated the Cybercrime Law by Decree. This enactment provided substantive and procedural rules in relation to combating cybercrime, including for search of electronic devices and communications surveillance. Some of these rules derogate from legal guarantees to be availed to individuals when the government interferes with their privacy. Most notably, the power to interfere with privacy, including electronic search and wiretapping, will be left for orders to be issued by the Attorney General, rather than competent courts. However, the Basic Law requires that a </w:t>
      </w:r>
      <w:proofErr w:type="gramStart"/>
      <w:r w:rsidRPr="00A67F6F">
        <w:rPr>
          <w:rFonts w:cs="Times New Roman"/>
          <w:sz w:val="24"/>
          <w:szCs w:val="24"/>
        </w:rPr>
        <w:t>judicial orders</w:t>
      </w:r>
      <w:proofErr w:type="gramEnd"/>
      <w:r w:rsidRPr="00A67F6F">
        <w:rPr>
          <w:rFonts w:cs="Times New Roman"/>
          <w:sz w:val="24"/>
          <w:szCs w:val="24"/>
        </w:rPr>
        <w:t xml:space="preserve"> be issued forth on any procedures restricting liberty, including measures to interfere with privacy. The Cybercrime Law by Decree imposes obligations on telecommunications and internet companies to control and save user data. To this avail, the Law by Decree provides that these companies will keep user information and data for a period of three years without being clear about the purpose thereof. It would be useful, in this context, to urge the State of Palestine to make clear the procedures, objectives, conditions, and the body competent of issuing and implementing orders of privacy checks, if any. In this </w:t>
      </w:r>
      <w:r w:rsidRPr="00A67F6F">
        <w:rPr>
          <w:rFonts w:cs="Times New Roman"/>
          <w:sz w:val="24"/>
          <w:szCs w:val="24"/>
        </w:rPr>
        <w:lastRenderedPageBreak/>
        <w:t xml:space="preserve">context, the State of Palestine will be urged to make amendments to the Cybercrime Law and Penal Law with a view to provide greater protection to the right to privacy and prescribe penalties against arbitrary or illegal interference with this right. </w:t>
      </w:r>
    </w:p>
    <w:p w14:paraId="3D20FB59"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21. After political activist Banat had been murdered while he was being arrested by Preventive Security officers in the Hebron city, mostly peaceful protests broke out in different areas of the West Bank. Protestors called for holding perpetrators of the murder crime to account. The majority of these protests were violently and disproportionately repressed by law enforcement officers, security personnel in plain clothes, and civilian persons who seemed to be members of the ruling party (Fatah). Over three days, 24-k27 June 2021, protests rallied in the Ramallah city. Most notable in these events was the targeting of girls, including journalists, who were battered and their cellular phones stolen. Later, unknown groups posted extremely private photos of protesting girls and female journalists, whose phones had been robbed, on social media platforms, especially on WhatsApp groups. Of note, some girls have not yet restored their phones. Others managed to get theirs back after they reported to the Police agency. Human rights </w:t>
      </w:r>
      <w:proofErr w:type="spellStart"/>
      <w:r w:rsidRPr="00A67F6F">
        <w:rPr>
          <w:rFonts w:cs="Times New Roman"/>
          <w:sz w:val="24"/>
          <w:szCs w:val="24"/>
        </w:rPr>
        <w:t>organisations</w:t>
      </w:r>
      <w:proofErr w:type="spellEnd"/>
      <w:r w:rsidRPr="00A67F6F">
        <w:rPr>
          <w:rFonts w:cs="Times New Roman"/>
          <w:sz w:val="24"/>
          <w:szCs w:val="24"/>
        </w:rPr>
        <w:t xml:space="preserve"> submitted a criminal petition to the Attorney General to prosecute individuals implicated in the attacks on and stole phones of the girls. Thus far, however, there have been no prosecutions to at least identify suspects. Against this background, the ICHR recommends that the Committee request the State of Palestine to conduct effective prosecutions of persons involved in those assaults, ensure reparations for affected girls and journalists, and provide guarantees of non-recurrence. The State of Palestine will be urged to uphold and protect citizens’ right to freedom of peaceful assembly. </w:t>
      </w:r>
    </w:p>
    <w:p w14:paraId="35576012" w14:textId="77777777" w:rsidR="00325B9E" w:rsidRPr="00A67F6F" w:rsidRDefault="00325B9E" w:rsidP="00DF5E23">
      <w:pPr>
        <w:bidi w:val="0"/>
        <w:jc w:val="both"/>
        <w:rPr>
          <w:rFonts w:cs="Times New Roman"/>
          <w:sz w:val="24"/>
          <w:szCs w:val="24"/>
        </w:rPr>
      </w:pPr>
    </w:p>
    <w:p w14:paraId="740D6B1A"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11" w:name="_Toc102224857"/>
      <w:r w:rsidRPr="00A67F6F">
        <w:rPr>
          <w:rFonts w:ascii="Times New Roman" w:hAnsi="Times New Roman" w:cs="Times New Roman"/>
          <w:b/>
          <w:bCs/>
          <w:color w:val="auto"/>
          <w:sz w:val="24"/>
          <w:szCs w:val="24"/>
        </w:rPr>
        <w:t>Right to freedom of expression</w:t>
      </w:r>
      <w:bookmarkEnd w:id="11"/>
      <w:r w:rsidRPr="00A67F6F">
        <w:rPr>
          <w:rFonts w:ascii="Times New Roman" w:hAnsi="Times New Roman" w:cs="Times New Roman"/>
          <w:b/>
          <w:bCs/>
          <w:color w:val="auto"/>
          <w:sz w:val="24"/>
          <w:szCs w:val="24"/>
        </w:rPr>
        <w:t xml:space="preserve"> </w:t>
      </w:r>
    </w:p>
    <w:p w14:paraId="41D2B91C"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22. Since the State of Palestine acceded to the ICCPR, law enforcement agencies in the West Bank served hundreds of summonses to and arrested citizens, including human rights activists and defenders on the ground of peaceful and public criticism of government policies and procedures, political officials, or State personnel. The majority of detained citizens were put on trial, charged with disparaging public authorities or stirring up inter-confessional or racial strife. Prosecutors and judges issued orders to detain at prolonged pre-trial detention these citizens for terms of as much as 30 days. According to the HJC data, towards the end of 2021, there were 209 cases heard before West Bank regular courts, involving citizens prosecuted for charges of disparaging public authorities or stirring up inter-confessional or racial strife. In 2021 alone, courts entered judgements convicting 36 citizens on grounds of those charges. Sentences ranged from imprisonment terms of several months to fines. On the other hand, courts rendered acquittals in 25 of all cases. The Public Prosecution reported that, in 2021, it opened investigations into just 159 cases of disparagement of public authorities or instigation of bigotry. While it dismissed 29 cases, the Public Prosecution referred 117 others to courts. To this avail, the ICHR recommends that the Committee urge the State of Palestine to ensure faithful implementation of the provisions of the ICCPR and Penal Law. Provisions that incriminate the stirring up of racial or inter-confessional strife, incitement, and hate speech may not be used against citizens, who express their opinions </w:t>
      </w:r>
      <w:r w:rsidRPr="00A67F6F">
        <w:rPr>
          <w:rFonts w:cs="Times New Roman"/>
          <w:sz w:val="24"/>
          <w:szCs w:val="24"/>
        </w:rPr>
        <w:lastRenderedPageBreak/>
        <w:t xml:space="preserve">free, nor against peaceful activists and human rights defenders. The ICHR also recommends that the State of Palestine be requested to cease criminal prosecutions, drop all charges, and quash the convictions of citizens who publicly and peacefully </w:t>
      </w:r>
      <w:proofErr w:type="spellStart"/>
      <w:r w:rsidRPr="00A67F6F">
        <w:rPr>
          <w:rFonts w:cs="Times New Roman"/>
          <w:sz w:val="24"/>
          <w:szCs w:val="24"/>
        </w:rPr>
        <w:t>criticised</w:t>
      </w:r>
      <w:proofErr w:type="spellEnd"/>
      <w:r w:rsidRPr="00A67F6F">
        <w:rPr>
          <w:rFonts w:cs="Times New Roman"/>
          <w:sz w:val="24"/>
          <w:szCs w:val="24"/>
        </w:rPr>
        <w:t xml:space="preserve"> government policies, procedures, or personnel. It would be useful to direct the State of Palestine to repeal or amend some criminal provisions of the Penal Law, Cybercrime Law by Decree, and Decree on the Consolidation of National Unity and Prevention of Incitement. These provisions incriminate certain </w:t>
      </w:r>
      <w:proofErr w:type="spellStart"/>
      <w:r w:rsidRPr="00A67F6F">
        <w:rPr>
          <w:rFonts w:cs="Times New Roman"/>
          <w:sz w:val="24"/>
          <w:szCs w:val="24"/>
        </w:rPr>
        <w:t>behaviours</w:t>
      </w:r>
      <w:proofErr w:type="spellEnd"/>
      <w:r w:rsidRPr="00A67F6F">
        <w:rPr>
          <w:rFonts w:cs="Times New Roman"/>
          <w:sz w:val="24"/>
          <w:szCs w:val="24"/>
        </w:rPr>
        <w:t xml:space="preserve"> by overbroad and loosely defined terms, precise scale of which is hard to determine. </w:t>
      </w:r>
    </w:p>
    <w:p w14:paraId="4C1439F8"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23. According to a provision of the Cybercrime Law by Decree, courts are allowed, at the behest of the Attorney General, to block electronic websites inside or outside the State if they publish material, which may pose a threat to national security, public order or public morals. This provision does not stipulate a particular offence in order to </w:t>
      </w:r>
      <w:proofErr w:type="gramStart"/>
      <w:r w:rsidRPr="00A67F6F">
        <w:rPr>
          <w:rFonts w:cs="Times New Roman"/>
          <w:sz w:val="24"/>
          <w:szCs w:val="24"/>
        </w:rPr>
        <w:t>effect</w:t>
      </w:r>
      <w:proofErr w:type="gramEnd"/>
      <w:r w:rsidRPr="00A67F6F">
        <w:rPr>
          <w:rFonts w:cs="Times New Roman"/>
          <w:sz w:val="24"/>
          <w:szCs w:val="24"/>
        </w:rPr>
        <w:t xml:space="preserve"> such a procedure, nor does it require the notification of a website representatives so that they can submit their challenge and </w:t>
      </w:r>
      <w:proofErr w:type="spellStart"/>
      <w:r w:rsidRPr="00A67F6F">
        <w:rPr>
          <w:rFonts w:cs="Times New Roman"/>
          <w:sz w:val="24"/>
          <w:szCs w:val="24"/>
        </w:rPr>
        <w:t>defence</w:t>
      </w:r>
      <w:proofErr w:type="spellEnd"/>
      <w:r w:rsidRPr="00A67F6F">
        <w:rPr>
          <w:rFonts w:cs="Times New Roman"/>
          <w:sz w:val="24"/>
          <w:szCs w:val="24"/>
        </w:rPr>
        <w:t xml:space="preserve">. All the more so, the decision on blockage can be made in the absence of, and without informing, </w:t>
      </w:r>
      <w:proofErr w:type="gramStart"/>
      <w:r w:rsidRPr="00A67F6F">
        <w:rPr>
          <w:rFonts w:cs="Times New Roman"/>
          <w:sz w:val="24"/>
          <w:szCs w:val="24"/>
        </w:rPr>
        <w:t>these representative</w:t>
      </w:r>
      <w:proofErr w:type="gramEnd"/>
      <w:r w:rsidRPr="00A67F6F">
        <w:rPr>
          <w:rFonts w:cs="Times New Roman"/>
          <w:sz w:val="24"/>
          <w:szCs w:val="24"/>
        </w:rPr>
        <w:t xml:space="preserve">, violating the right to fair trial guarantees. Indeed, on 21 October 2019, a Ramallah-based court entered an order to block more than 50 electronic websites at once. While many were media sites, others belonged to opposition parties and political opponents. The said decision was rendered in the absence of representatives of affected websites, some of whom had known addresses in the West Bank. It is true that that the decision was not enforced to blocked sites during the period of time specified in the court ruling (six months). However, continued enforcement, rather than amendment or annulment, of the decision as currently drafted means that it can potentially be invoked at any time in spite of the fact that it lacks guarantees of the right to freedom of expression and right to fair trial. The causes of blockages are, in and by themselves, are overbroad and quite loosely defined. Relevant procedures further violate the right of </w:t>
      </w:r>
      <w:proofErr w:type="spellStart"/>
      <w:r w:rsidRPr="00A67F6F">
        <w:rPr>
          <w:rFonts w:cs="Times New Roman"/>
          <w:sz w:val="24"/>
          <w:szCs w:val="24"/>
        </w:rPr>
        <w:t>defence</w:t>
      </w:r>
      <w:proofErr w:type="spellEnd"/>
      <w:r w:rsidRPr="00A67F6F">
        <w:rPr>
          <w:rFonts w:cs="Times New Roman"/>
          <w:sz w:val="24"/>
          <w:szCs w:val="24"/>
        </w:rPr>
        <w:t xml:space="preserve">. Against this backdrop, the ICHR recommends that the Committee urge the State of Palestine to amend the provisions of Article 39 of the Cybercrime Law by Decree with a view to safeguarding the right to freedom of expression and upholding the right of </w:t>
      </w:r>
      <w:proofErr w:type="spellStart"/>
      <w:r w:rsidRPr="00A67F6F">
        <w:rPr>
          <w:rFonts w:cs="Times New Roman"/>
          <w:sz w:val="24"/>
          <w:szCs w:val="24"/>
        </w:rPr>
        <w:t>defence</w:t>
      </w:r>
      <w:proofErr w:type="spellEnd"/>
      <w:r w:rsidRPr="00A67F6F">
        <w:rPr>
          <w:rFonts w:cs="Times New Roman"/>
          <w:sz w:val="24"/>
          <w:szCs w:val="24"/>
        </w:rPr>
        <w:t xml:space="preserve"> and due process of law. </w:t>
      </w:r>
    </w:p>
    <w:p w14:paraId="3F00ADEB"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24. For over ten years, successive Palestinian governments have been working on a draft law on the right of access to information. Several drafts have been put forth. Of these, some were compiled with the participation of civil society </w:t>
      </w:r>
      <w:proofErr w:type="spellStart"/>
      <w:r w:rsidRPr="00A67F6F">
        <w:rPr>
          <w:rFonts w:cs="Times New Roman"/>
          <w:sz w:val="24"/>
          <w:szCs w:val="24"/>
        </w:rPr>
        <w:t>organisations</w:t>
      </w:r>
      <w:proofErr w:type="spellEnd"/>
      <w:r w:rsidRPr="00A67F6F">
        <w:rPr>
          <w:rFonts w:cs="Times New Roman"/>
          <w:sz w:val="24"/>
          <w:szCs w:val="24"/>
        </w:rPr>
        <w:t xml:space="preserve">. Approval of a good law on the right of access to information is critical to promoting the right to freedom of expression and freedom of the press. Unit the present, however, the law has not been promulgated and put into force. The State of Palestine must be urged to approve a good law on the right of access to information. </w:t>
      </w:r>
    </w:p>
    <w:p w14:paraId="181CED82"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25. Issued forth by the transitional HJC on 1 March 2020, the Code of Judicial Conduct imposes overbroad and loosely defined restrictions on the judges’ right to freely express their views and use social media networks, including regard to decency and modesty. Just two years later, on 30 March 2022, the HJC amended the Code of Judicial Conduct. According to the amendment, judges are prohibited from blogging or sharing any personal information or photos on social media platforms. This absolute prohibition affects the substance of the right to freedom of expression and does not give due regard to the principles of proportionality and necessity. In this context, on 5 July 2021, the Council of Ministers also </w:t>
      </w:r>
      <w:proofErr w:type="gramStart"/>
      <w:r w:rsidRPr="00A67F6F">
        <w:rPr>
          <w:rFonts w:cs="Times New Roman"/>
          <w:sz w:val="24"/>
          <w:szCs w:val="24"/>
        </w:rPr>
        <w:t>made a decision</w:t>
      </w:r>
      <w:proofErr w:type="gramEnd"/>
      <w:r w:rsidRPr="00A67F6F">
        <w:rPr>
          <w:rFonts w:cs="Times New Roman"/>
          <w:sz w:val="24"/>
          <w:szCs w:val="24"/>
        </w:rPr>
        <w:t xml:space="preserve">, repealing Article 22 of the Council of </w:t>
      </w:r>
      <w:r w:rsidRPr="00A67F6F">
        <w:rPr>
          <w:rFonts w:cs="Times New Roman"/>
          <w:sz w:val="24"/>
          <w:szCs w:val="24"/>
        </w:rPr>
        <w:lastRenderedPageBreak/>
        <w:t xml:space="preserve">Ministers’ Decision No. 4 of 2020 on Approval of the Code of Conduct and Ethical Standards for Civil Service. This article used to guarantee the right to freedom of expression for civil servants. The amendment passes the message that the government would no longer tolerate civil servants who exercise their right to freely express their opinions. Accordingly, the ICHR recommends that the Committee urge the State of Palestine to repeal the items of legislation, which place excessive and unjustified constraints on the freedom of expression by civil servants, including judges. </w:t>
      </w:r>
    </w:p>
    <w:p w14:paraId="28D0659A" w14:textId="77777777" w:rsidR="00325B9E" w:rsidRPr="00A67F6F" w:rsidRDefault="00325B9E" w:rsidP="00DF5E23">
      <w:pPr>
        <w:bidi w:val="0"/>
        <w:jc w:val="both"/>
        <w:rPr>
          <w:rFonts w:cs="Times New Roman"/>
          <w:sz w:val="24"/>
          <w:szCs w:val="24"/>
        </w:rPr>
      </w:pPr>
    </w:p>
    <w:p w14:paraId="5DD68276"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12" w:name="_Toc102224858"/>
      <w:r w:rsidRPr="00A67F6F">
        <w:rPr>
          <w:rFonts w:ascii="Times New Roman" w:hAnsi="Times New Roman" w:cs="Times New Roman"/>
          <w:b/>
          <w:bCs/>
          <w:color w:val="auto"/>
          <w:sz w:val="24"/>
          <w:szCs w:val="24"/>
        </w:rPr>
        <w:t>Right to freedom of peaceful assembly</w:t>
      </w:r>
      <w:bookmarkEnd w:id="12"/>
      <w:r w:rsidRPr="00A67F6F">
        <w:rPr>
          <w:rFonts w:ascii="Times New Roman" w:hAnsi="Times New Roman" w:cs="Times New Roman"/>
          <w:b/>
          <w:bCs/>
          <w:color w:val="auto"/>
          <w:sz w:val="24"/>
          <w:szCs w:val="24"/>
        </w:rPr>
        <w:t xml:space="preserve"> </w:t>
      </w:r>
    </w:p>
    <w:p w14:paraId="0957C795"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26. Both the Basic Law and Law on Public Meetings No. 12 of 1998 safeguard the right to freedom of peaceful assembly and do not place cumbersome conditions on the exercise of this right, including a prerequisite to obtain a </w:t>
      </w:r>
      <w:proofErr w:type="spellStart"/>
      <w:r w:rsidRPr="00A67F6F">
        <w:rPr>
          <w:rFonts w:cs="Times New Roman"/>
          <w:sz w:val="24"/>
          <w:szCs w:val="24"/>
        </w:rPr>
        <w:t>licence</w:t>
      </w:r>
      <w:proofErr w:type="spellEnd"/>
      <w:r w:rsidRPr="00A67F6F">
        <w:rPr>
          <w:rFonts w:cs="Times New Roman"/>
          <w:sz w:val="24"/>
          <w:szCs w:val="24"/>
        </w:rPr>
        <w:t xml:space="preserve">. The Law on Public Meetings only requires that a written notice is submitted by the </w:t>
      </w:r>
      <w:proofErr w:type="spellStart"/>
      <w:r w:rsidRPr="00A67F6F">
        <w:rPr>
          <w:rFonts w:cs="Times New Roman"/>
          <w:sz w:val="24"/>
          <w:szCs w:val="24"/>
        </w:rPr>
        <w:t>organisers</w:t>
      </w:r>
      <w:proofErr w:type="spellEnd"/>
      <w:r w:rsidRPr="00A67F6F">
        <w:rPr>
          <w:rFonts w:cs="Times New Roman"/>
          <w:sz w:val="24"/>
          <w:szCs w:val="24"/>
        </w:rPr>
        <w:t xml:space="preserve"> of a public meeting to the Police for the purposes of regulating traffic and protecting the peaceful assembly. However, issued by the Decision of the Minister of Interior No. 1 of 2000, the Bylaw of the Law on Public Meetings requires for a public meeting to be held that its </w:t>
      </w:r>
      <w:proofErr w:type="spellStart"/>
      <w:r w:rsidRPr="00A67F6F">
        <w:rPr>
          <w:rFonts w:cs="Times New Roman"/>
          <w:sz w:val="24"/>
          <w:szCs w:val="24"/>
        </w:rPr>
        <w:t>organisers</w:t>
      </w:r>
      <w:proofErr w:type="spellEnd"/>
      <w:r w:rsidRPr="00A67F6F">
        <w:rPr>
          <w:rFonts w:cs="Times New Roman"/>
          <w:sz w:val="24"/>
          <w:szCs w:val="24"/>
        </w:rPr>
        <w:t xml:space="preserve"> obtain a </w:t>
      </w:r>
      <w:proofErr w:type="spellStart"/>
      <w:r w:rsidRPr="00A67F6F">
        <w:rPr>
          <w:rFonts w:cs="Times New Roman"/>
          <w:sz w:val="24"/>
          <w:szCs w:val="24"/>
        </w:rPr>
        <w:t>licence</w:t>
      </w:r>
      <w:proofErr w:type="spellEnd"/>
      <w:r w:rsidRPr="00A67F6F">
        <w:rPr>
          <w:rFonts w:cs="Times New Roman"/>
          <w:sz w:val="24"/>
          <w:szCs w:val="24"/>
        </w:rPr>
        <w:t xml:space="preserve"> from the Police, rather than sufficing with the notice provided for by the Law. Of note, the law is superior to a bylaw in line with the hierarchy of legislation. In addition, the Bylaw stipulates that </w:t>
      </w:r>
      <w:proofErr w:type="spellStart"/>
      <w:r w:rsidRPr="00A67F6F">
        <w:rPr>
          <w:rFonts w:cs="Times New Roman"/>
          <w:sz w:val="24"/>
          <w:szCs w:val="24"/>
        </w:rPr>
        <w:t>organisers</w:t>
      </w:r>
      <w:proofErr w:type="spellEnd"/>
      <w:r w:rsidRPr="00A67F6F">
        <w:rPr>
          <w:rFonts w:cs="Times New Roman"/>
          <w:sz w:val="24"/>
          <w:szCs w:val="24"/>
        </w:rPr>
        <w:t xml:space="preserve"> of public meetings abide the provisions of the 1998 Decree on the Consolidation of National Unity and Prevention of Incitement. These illegal violations render the exercise of the right to freedom of peaceful assembly somewhat onerous. Indeed, on several occasions, the Police invoked this Bylaw to hamper the </w:t>
      </w:r>
      <w:proofErr w:type="spellStart"/>
      <w:r w:rsidRPr="00A67F6F">
        <w:rPr>
          <w:rFonts w:cs="Times New Roman"/>
          <w:sz w:val="24"/>
          <w:szCs w:val="24"/>
        </w:rPr>
        <w:t>organisation</w:t>
      </w:r>
      <w:proofErr w:type="spellEnd"/>
      <w:r w:rsidRPr="00A67F6F">
        <w:rPr>
          <w:rFonts w:cs="Times New Roman"/>
          <w:sz w:val="24"/>
          <w:szCs w:val="24"/>
        </w:rPr>
        <w:t xml:space="preserve"> of some politically motivated peaceful assemblies. Against this backdrop, the ICHR recommends that the Committee urge the State of Palestine to amend the Bylaw in consistence with the Law. </w:t>
      </w:r>
    </w:p>
    <w:p w14:paraId="07904306"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27. In the West Bank, persons have managed on several occasions to </w:t>
      </w:r>
      <w:proofErr w:type="spellStart"/>
      <w:r w:rsidRPr="00A67F6F">
        <w:rPr>
          <w:rFonts w:cs="Times New Roman"/>
          <w:sz w:val="24"/>
          <w:szCs w:val="24"/>
        </w:rPr>
        <w:t>organise</w:t>
      </w:r>
      <w:proofErr w:type="spellEnd"/>
      <w:r w:rsidRPr="00A67F6F">
        <w:rPr>
          <w:rFonts w:cs="Times New Roman"/>
          <w:sz w:val="24"/>
          <w:szCs w:val="24"/>
        </w:rPr>
        <w:t xml:space="preserve"> public meetings without being harassed or persecuted by law enforcement agencies. In practice, however, there is ample evidence of disproportionate and unnecessary persecution has been inflicted on many peaceful assemblies, which demanded justice for political activist Banat in the Ramallah city between 24 and 27 June 2021. In dealing with these protests, it all the more remarkable that non-uniformed security officers and civilian persons were deployed to persecute and beat both male and female protestors. In crowded areas, security agencies fire tear gas canisters and sound grenades to disperse protests. Security forces also arrest a number of protestors on charges of unlawful gathering. According to the West Bank-based Public Prosecution data, in 2021, while it dismissed one case, the Public Prosecution remitted to courts 14 cases involving charges of unlawful gathering. Peaceful assemblies were persecuted and disproportionate force was used disperse protestors in defiance of the recommendations of the investigation committee, referred to in Para. 370 of the State Party’s report. </w:t>
      </w:r>
    </w:p>
    <w:p w14:paraId="4467F0E1" w14:textId="77777777" w:rsidR="00325B9E" w:rsidRPr="00A67F6F" w:rsidRDefault="00325B9E" w:rsidP="00DF5E23">
      <w:pPr>
        <w:bidi w:val="0"/>
        <w:jc w:val="both"/>
        <w:rPr>
          <w:rFonts w:cs="Times New Roman"/>
          <w:sz w:val="24"/>
          <w:szCs w:val="24"/>
        </w:rPr>
      </w:pPr>
      <w:r w:rsidRPr="00A67F6F">
        <w:rPr>
          <w:rFonts w:cs="Times New Roman"/>
          <w:sz w:val="24"/>
          <w:szCs w:val="24"/>
        </w:rPr>
        <w:t>Additionally, other forms of restriction of the right to freedom of peaceful assembly were used. Sometimes, law enforcement agencies hindered access to areas of peaceful assemblies by setting up checkpoints at the entrances to cities. This was the case on 7 March 2016 during the central sit-</w:t>
      </w:r>
      <w:r w:rsidRPr="00A67F6F">
        <w:rPr>
          <w:rFonts w:cs="Times New Roman"/>
          <w:sz w:val="24"/>
          <w:szCs w:val="24"/>
        </w:rPr>
        <w:lastRenderedPageBreak/>
        <w:t xml:space="preserve">in protest of school teachers, who demanded that their employment conditions be improved, in Ramallah. On 5 July and 22 August 2021, the Police prevented persons from </w:t>
      </w:r>
      <w:proofErr w:type="spellStart"/>
      <w:r w:rsidRPr="00A67F6F">
        <w:rPr>
          <w:rFonts w:cs="Times New Roman"/>
          <w:sz w:val="24"/>
          <w:szCs w:val="24"/>
        </w:rPr>
        <w:t>organising</w:t>
      </w:r>
      <w:proofErr w:type="spellEnd"/>
      <w:r w:rsidRPr="00A67F6F">
        <w:rPr>
          <w:rFonts w:cs="Times New Roman"/>
          <w:sz w:val="24"/>
          <w:szCs w:val="24"/>
        </w:rPr>
        <w:t xml:space="preserve"> a peaceful assembly on the Al-</w:t>
      </w:r>
      <w:proofErr w:type="spellStart"/>
      <w:r w:rsidRPr="00A67F6F">
        <w:rPr>
          <w:rFonts w:cs="Times New Roman"/>
          <w:sz w:val="24"/>
          <w:szCs w:val="24"/>
        </w:rPr>
        <w:t>Manarah</w:t>
      </w:r>
      <w:proofErr w:type="spellEnd"/>
      <w:r w:rsidRPr="00A67F6F">
        <w:rPr>
          <w:rFonts w:cs="Times New Roman"/>
          <w:sz w:val="24"/>
          <w:szCs w:val="24"/>
        </w:rPr>
        <w:t xml:space="preserve"> roundabout in the Ramallah city. Having sealed the area, Police officers arrested several </w:t>
      </w:r>
      <w:proofErr w:type="spellStart"/>
      <w:r w:rsidRPr="00A67F6F">
        <w:rPr>
          <w:rFonts w:cs="Times New Roman"/>
          <w:sz w:val="24"/>
          <w:szCs w:val="24"/>
        </w:rPr>
        <w:t>organisers</w:t>
      </w:r>
      <w:proofErr w:type="spellEnd"/>
      <w:r w:rsidRPr="00A67F6F">
        <w:rPr>
          <w:rFonts w:cs="Times New Roman"/>
          <w:sz w:val="24"/>
          <w:szCs w:val="24"/>
        </w:rPr>
        <w:t xml:space="preserve"> of the peaceful assembly well before it was in place. Also, on 19 July 2020, law enforcement agencies arrested activists of the </w:t>
      </w:r>
      <w:proofErr w:type="spellStart"/>
      <w:r w:rsidRPr="00A67F6F">
        <w:rPr>
          <w:rFonts w:cs="Times New Roman"/>
          <w:i/>
          <w:iCs/>
          <w:sz w:val="24"/>
          <w:szCs w:val="24"/>
        </w:rPr>
        <w:t>Tafah</w:t>
      </w:r>
      <w:proofErr w:type="spellEnd"/>
      <w:r w:rsidRPr="00A67F6F">
        <w:rPr>
          <w:rFonts w:cs="Times New Roman"/>
          <w:i/>
          <w:iCs/>
          <w:sz w:val="24"/>
          <w:szCs w:val="24"/>
        </w:rPr>
        <w:t xml:space="preserve"> al-Keil</w:t>
      </w:r>
      <w:r w:rsidRPr="00A67F6F">
        <w:rPr>
          <w:rFonts w:cs="Times New Roman"/>
          <w:sz w:val="24"/>
          <w:szCs w:val="24"/>
        </w:rPr>
        <w:t xml:space="preserve"> [Enough is Enough] movement (a peaceful movement against corruption), who had intended to </w:t>
      </w:r>
      <w:proofErr w:type="spellStart"/>
      <w:r w:rsidRPr="00A67F6F">
        <w:rPr>
          <w:rFonts w:cs="Times New Roman"/>
          <w:sz w:val="24"/>
          <w:szCs w:val="24"/>
        </w:rPr>
        <w:t>organise</w:t>
      </w:r>
      <w:proofErr w:type="spellEnd"/>
      <w:r w:rsidRPr="00A67F6F">
        <w:rPr>
          <w:rFonts w:cs="Times New Roman"/>
          <w:sz w:val="24"/>
          <w:szCs w:val="24"/>
        </w:rPr>
        <w:t xml:space="preserve"> a peaceful assembly on the Al-</w:t>
      </w:r>
      <w:proofErr w:type="spellStart"/>
      <w:r w:rsidRPr="00A67F6F">
        <w:rPr>
          <w:rFonts w:cs="Times New Roman"/>
          <w:sz w:val="24"/>
          <w:szCs w:val="24"/>
        </w:rPr>
        <w:t>Manarah</w:t>
      </w:r>
      <w:proofErr w:type="spellEnd"/>
      <w:r w:rsidRPr="00A67F6F">
        <w:rPr>
          <w:rFonts w:cs="Times New Roman"/>
          <w:sz w:val="24"/>
          <w:szCs w:val="24"/>
        </w:rPr>
        <w:t xml:space="preserve"> roundabout in Ramallah. To this avail, the ICHR recommends that the Committee urge the State of Palestine to take necessary action to prevent the recurrence of such events. The State of Palestine will issue strict directives to law enforcement agencies to uphold the right to freedom of peaceful assembly and hold to account individuals implicated in unjustified assaults on peaceful assemblies. In particular, the State Party will be urged to provide guarantees not to deploy security personnel in plain clothes or civilian persons in the persecution of peaceful assemblies. It will be useful to draw the attention of the State of Palestine to implement the recommendations of the investigation committee, referred to in Para. 370 of the State Party’s report. </w:t>
      </w:r>
    </w:p>
    <w:p w14:paraId="6290CE50" w14:textId="77777777" w:rsidR="00325B9E" w:rsidRPr="00A67F6F" w:rsidRDefault="00325B9E" w:rsidP="00DF5E23">
      <w:pPr>
        <w:bidi w:val="0"/>
        <w:jc w:val="both"/>
        <w:rPr>
          <w:rFonts w:cs="Times New Roman"/>
          <w:sz w:val="24"/>
          <w:szCs w:val="24"/>
        </w:rPr>
      </w:pPr>
    </w:p>
    <w:p w14:paraId="6847C673"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13" w:name="_Toc102224859"/>
      <w:r w:rsidRPr="00A67F6F">
        <w:rPr>
          <w:rFonts w:ascii="Times New Roman" w:hAnsi="Times New Roman" w:cs="Times New Roman"/>
          <w:b/>
          <w:bCs/>
          <w:color w:val="auto"/>
          <w:sz w:val="24"/>
          <w:szCs w:val="24"/>
        </w:rPr>
        <w:t>Right to freedom of association and right to form or join a trade union</w:t>
      </w:r>
      <w:bookmarkEnd w:id="13"/>
    </w:p>
    <w:p w14:paraId="24951F7E"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On 28 February 2021, the Head of State promulgated a law by decree amending the Law on Charitable Associations and Civil Society </w:t>
      </w:r>
      <w:proofErr w:type="spellStart"/>
      <w:r w:rsidRPr="00A67F6F">
        <w:rPr>
          <w:rFonts w:cs="Times New Roman"/>
          <w:sz w:val="24"/>
          <w:szCs w:val="24"/>
        </w:rPr>
        <w:t>Organisations</w:t>
      </w:r>
      <w:proofErr w:type="spellEnd"/>
      <w:r w:rsidRPr="00A67F6F">
        <w:rPr>
          <w:rFonts w:cs="Times New Roman"/>
          <w:sz w:val="24"/>
          <w:szCs w:val="24"/>
        </w:rPr>
        <w:t xml:space="preserve"> No. 1 of 2000, as amended (CSO Law). The law by decree places constraints, that are both unnecessary and unjustifiable in a democratic society, on the right to freedom of association. The Law by Decree allows government interference with the internal financial and functions of associations and civil society groups. It vests the government with the power to impose conditions on the financing sources of associations. Following widespread objections by the ICHR and civil society actors, on 11 May 2021, the President enacted a law by decree, suspending, but not explicitly repealing, the enforcement of the Law by Decree Amending the Law on Charitable Associations and Civil Society </w:t>
      </w:r>
      <w:proofErr w:type="spellStart"/>
      <w:r w:rsidRPr="00A67F6F">
        <w:rPr>
          <w:rFonts w:cs="Times New Roman"/>
          <w:sz w:val="24"/>
          <w:szCs w:val="24"/>
        </w:rPr>
        <w:t>Organisations</w:t>
      </w:r>
      <w:proofErr w:type="spellEnd"/>
      <w:r w:rsidRPr="00A67F6F">
        <w:rPr>
          <w:rFonts w:cs="Times New Roman"/>
          <w:sz w:val="24"/>
          <w:szCs w:val="24"/>
        </w:rPr>
        <w:t xml:space="preserve">. This was not the first time the State of Palestine issued forth legal rules, placing unjustified restrictions on the financing sources of charitable associations, civil society </w:t>
      </w:r>
      <w:proofErr w:type="spellStart"/>
      <w:r w:rsidRPr="00A67F6F">
        <w:rPr>
          <w:rFonts w:cs="Times New Roman"/>
          <w:sz w:val="24"/>
          <w:szCs w:val="24"/>
        </w:rPr>
        <w:t>organisations</w:t>
      </w:r>
      <w:proofErr w:type="spellEnd"/>
      <w:r w:rsidRPr="00A67F6F">
        <w:rPr>
          <w:rFonts w:cs="Times New Roman"/>
          <w:sz w:val="24"/>
          <w:szCs w:val="24"/>
        </w:rPr>
        <w:t xml:space="preserve">, and similar bodies, such as non-profit companies and cooperative societies. On 7 July 2015, the Council of Ministers </w:t>
      </w:r>
      <w:proofErr w:type="gramStart"/>
      <w:r w:rsidRPr="00A67F6F">
        <w:rPr>
          <w:rFonts w:cs="Times New Roman"/>
          <w:sz w:val="24"/>
          <w:szCs w:val="24"/>
        </w:rPr>
        <w:t>made a decision</w:t>
      </w:r>
      <w:proofErr w:type="gramEnd"/>
      <w:r w:rsidRPr="00A67F6F">
        <w:rPr>
          <w:rFonts w:cs="Times New Roman"/>
          <w:sz w:val="24"/>
          <w:szCs w:val="24"/>
        </w:rPr>
        <w:t xml:space="preserve">, requiring that prior approval of the Council of Ministers is obtained so that non-profit companies can accept grants, donations, assistance, and funding, while at the same time stating the purpose thereof. On 16 November 2017, President Abbas passed the Law by Decree on Cooperative Societies No. 20 of 2017, stipulating that the Cooperative Work Agency approve cooperatives’ plans and projects funded by donors. Along this vein, the ICHR recommends that the Committee urge the State of Palestine to </w:t>
      </w:r>
      <w:proofErr w:type="gramStart"/>
      <w:r w:rsidRPr="00A67F6F">
        <w:rPr>
          <w:rFonts w:cs="Times New Roman"/>
          <w:sz w:val="24"/>
          <w:szCs w:val="24"/>
        </w:rPr>
        <w:t>take action</w:t>
      </w:r>
      <w:proofErr w:type="gramEnd"/>
      <w:r w:rsidRPr="00A67F6F">
        <w:rPr>
          <w:rFonts w:cs="Times New Roman"/>
          <w:sz w:val="24"/>
          <w:szCs w:val="24"/>
        </w:rPr>
        <w:t xml:space="preserve"> to uphold and protect the independence of charitable associations, civil society groups, non-profit companies, and cooperative societies. In addition to making amendments to relevant laws, the State of Palestine will ameliorate conditions imposed on the financing sources of these bodies. The Law by Decree </w:t>
      </w:r>
      <w:r w:rsidRPr="00A67F6F">
        <w:rPr>
          <w:rFonts w:cs="Times New Roman"/>
          <w:sz w:val="24"/>
          <w:szCs w:val="24"/>
        </w:rPr>
        <w:lastRenderedPageBreak/>
        <w:t xml:space="preserve">Amending the Law on Charitable Associations and Civil Society </w:t>
      </w:r>
      <w:proofErr w:type="spellStart"/>
      <w:r w:rsidRPr="00A67F6F">
        <w:rPr>
          <w:rFonts w:cs="Times New Roman"/>
          <w:sz w:val="24"/>
          <w:szCs w:val="24"/>
        </w:rPr>
        <w:t>Organisations</w:t>
      </w:r>
      <w:proofErr w:type="spellEnd"/>
      <w:r w:rsidRPr="00A67F6F">
        <w:rPr>
          <w:rFonts w:cs="Times New Roman"/>
          <w:sz w:val="24"/>
          <w:szCs w:val="24"/>
        </w:rPr>
        <w:t xml:space="preserve"> will be repealed once and for all. </w:t>
      </w:r>
    </w:p>
    <w:p w14:paraId="07E5E5F7"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29. The laws mentioned above do not require </w:t>
      </w:r>
      <w:proofErr w:type="spellStart"/>
      <w:r w:rsidRPr="00A67F6F">
        <w:rPr>
          <w:rFonts w:cs="Times New Roman"/>
          <w:sz w:val="24"/>
          <w:szCs w:val="24"/>
        </w:rPr>
        <w:t>authorisation</w:t>
      </w:r>
      <w:proofErr w:type="spellEnd"/>
      <w:r w:rsidRPr="00A67F6F">
        <w:rPr>
          <w:rFonts w:cs="Times New Roman"/>
          <w:sz w:val="24"/>
          <w:szCs w:val="24"/>
        </w:rPr>
        <w:t xml:space="preserve"> from security agencies or stipulate that relevant members obtain certificate of good conduct to register associations. In reality, however, there is abundant evidence that such conditions are already in place. In some cases, the incorporation of community institutions was obstructed. Since the State of Palestine acceded to the ICCPR, the ICHR has received two complaints, in which complainants claimed that the </w:t>
      </w:r>
      <w:proofErr w:type="spellStart"/>
      <w:r w:rsidRPr="00A67F6F">
        <w:rPr>
          <w:rFonts w:cs="Times New Roman"/>
          <w:sz w:val="24"/>
          <w:szCs w:val="24"/>
        </w:rPr>
        <w:t>MoI</w:t>
      </w:r>
      <w:proofErr w:type="spellEnd"/>
      <w:r w:rsidRPr="00A67F6F">
        <w:rPr>
          <w:rFonts w:cs="Times New Roman"/>
          <w:sz w:val="24"/>
          <w:szCs w:val="24"/>
        </w:rPr>
        <w:t xml:space="preserve"> rejected the registration of their associations because security agencies had refused to issue certificates of good conduct to some members, despite the fact they fulfilled all conditions under the law. To this avail, the ICHR recommends that the Committee request the State of Palestine to respect the right to freedom of association and not require that founding members of an association obtain certificates of good conduct. In this context, the ICHR is of the view that the requirement that members obtain a certificate of no-conviction is sufficient and would not obstruct the right to freedom of association. </w:t>
      </w:r>
    </w:p>
    <w:p w14:paraId="19B3E942"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30. On 11 November 2014, the Council of Minister </w:t>
      </w:r>
      <w:proofErr w:type="gramStart"/>
      <w:r w:rsidRPr="00A67F6F">
        <w:rPr>
          <w:rFonts w:cs="Times New Roman"/>
          <w:sz w:val="24"/>
          <w:szCs w:val="24"/>
        </w:rPr>
        <w:t>made a decision</w:t>
      </w:r>
      <w:proofErr w:type="gramEnd"/>
      <w:r w:rsidRPr="00A67F6F">
        <w:rPr>
          <w:rFonts w:cs="Times New Roman"/>
          <w:sz w:val="24"/>
          <w:szCs w:val="24"/>
        </w:rPr>
        <w:t xml:space="preserve">, considering the Union of Public Employees (UPE) as an unlawful and legally non-existent body. Earlier, on 7 November 2014, a statement by the President’s Office indicated that the UPE was not a legal body and was not established on any legal basis. This was ensued by government measures that targeted the UPE, including the sealing of the UPE offices and freezing of the UPE bank account. In a judgement entered on 11 April 2016, the High Court of Justice validated the Council of Ministers’ decision to dissolve the UPE. The Court ruled that the UPE did not have a legal capacity to institute legal proceedings because it did not possess a legal personality under the law. Although it guarantees the right to freedom of association, the Basic Law ensures this right within the bounds of the law. This had not been enacted yet, so the UPE “has not obtained a birth certificate.” Accordingly, the Court decided not to hear the action brought by the UPE representatives against the said government decision. Worth of note is that civil servants had </w:t>
      </w:r>
      <w:proofErr w:type="gramStart"/>
      <w:r w:rsidRPr="00A67F6F">
        <w:rPr>
          <w:rFonts w:cs="Times New Roman"/>
          <w:sz w:val="24"/>
          <w:szCs w:val="24"/>
        </w:rPr>
        <w:t>submitted an application</w:t>
      </w:r>
      <w:proofErr w:type="gramEnd"/>
      <w:r w:rsidRPr="00A67F6F">
        <w:rPr>
          <w:rFonts w:cs="Times New Roman"/>
          <w:sz w:val="24"/>
          <w:szCs w:val="24"/>
        </w:rPr>
        <w:t xml:space="preserve"> to the Ministry of </w:t>
      </w:r>
      <w:proofErr w:type="spellStart"/>
      <w:r w:rsidRPr="00A67F6F">
        <w:rPr>
          <w:rFonts w:cs="Times New Roman"/>
          <w:sz w:val="24"/>
          <w:szCs w:val="24"/>
        </w:rPr>
        <w:t>Labour</w:t>
      </w:r>
      <w:proofErr w:type="spellEnd"/>
      <w:r w:rsidRPr="00A67F6F">
        <w:rPr>
          <w:rFonts w:cs="Times New Roman"/>
          <w:sz w:val="24"/>
          <w:szCs w:val="24"/>
        </w:rPr>
        <w:t xml:space="preserve"> to register the UPE back in 2003. The ICHR is of the opinion that a good law on trade union </w:t>
      </w:r>
      <w:proofErr w:type="spellStart"/>
      <w:r w:rsidRPr="00A67F6F">
        <w:rPr>
          <w:rFonts w:cs="Times New Roman"/>
          <w:sz w:val="24"/>
          <w:szCs w:val="24"/>
        </w:rPr>
        <w:t>organisation</w:t>
      </w:r>
      <w:proofErr w:type="spellEnd"/>
      <w:r w:rsidRPr="00A67F6F">
        <w:rPr>
          <w:rFonts w:cs="Times New Roman"/>
          <w:sz w:val="24"/>
          <w:szCs w:val="24"/>
        </w:rPr>
        <w:t xml:space="preserve"> is crucial to empower civil servants, artisans, professionals, and workers to exercise their right to freedom of association. However, the fact that such a law has not been made thus far does not provide an adequate justification to suspend the practical exercise of the right to freedom of association. In reality, many provisions of the Civil Law and </w:t>
      </w:r>
      <w:proofErr w:type="spellStart"/>
      <w:r w:rsidRPr="00A67F6F">
        <w:rPr>
          <w:rFonts w:cs="Times New Roman"/>
          <w:sz w:val="24"/>
          <w:szCs w:val="24"/>
        </w:rPr>
        <w:t>Labour</w:t>
      </w:r>
      <w:proofErr w:type="spellEnd"/>
      <w:r w:rsidRPr="00A67F6F">
        <w:rPr>
          <w:rFonts w:cs="Times New Roman"/>
          <w:sz w:val="24"/>
          <w:szCs w:val="24"/>
        </w:rPr>
        <w:t xml:space="preserve"> Law can lay the legal foundation for empowering civil servants and others to exercise the right to </w:t>
      </w:r>
      <w:proofErr w:type="spellStart"/>
      <w:r w:rsidRPr="00A67F6F">
        <w:rPr>
          <w:rFonts w:cs="Times New Roman"/>
          <w:sz w:val="24"/>
          <w:szCs w:val="24"/>
        </w:rPr>
        <w:t>organise</w:t>
      </w:r>
      <w:proofErr w:type="spellEnd"/>
      <w:r w:rsidRPr="00A67F6F">
        <w:rPr>
          <w:rFonts w:cs="Times New Roman"/>
          <w:sz w:val="24"/>
          <w:szCs w:val="24"/>
        </w:rPr>
        <w:t xml:space="preserve"> event if a special law is not in place. Against this background, the ICHR recommends that the Committee urge the State of Palestine to rehabilitate the UPE and, then, enact a good law that ensures the free practice of trade unions as </w:t>
      </w:r>
      <w:proofErr w:type="spellStart"/>
      <w:r w:rsidRPr="00A67F6F">
        <w:rPr>
          <w:rFonts w:cs="Times New Roman"/>
          <w:sz w:val="24"/>
          <w:szCs w:val="24"/>
        </w:rPr>
        <w:t>recognised</w:t>
      </w:r>
      <w:proofErr w:type="spellEnd"/>
      <w:r w:rsidRPr="00A67F6F">
        <w:rPr>
          <w:rFonts w:cs="Times New Roman"/>
          <w:sz w:val="24"/>
          <w:szCs w:val="24"/>
        </w:rPr>
        <w:t xml:space="preserve"> in a democratic society. </w:t>
      </w:r>
    </w:p>
    <w:p w14:paraId="2608491E"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31. On 5 August 2017, President Abbas passed the Law by Decree No. 11 of 2017 on Regulation of the Exercise of the Right to Strike in the Civil Service. Under the Law by Decree, the exercise of the right to strike by some civil servant groups was absolutely prohibited. These include health workers, with the exception of administrative staff; President’s Office staff; Council of Ministers staff; foreign service officers; Palestine Public Broadcasting Corporation staff; and prosecutors. </w:t>
      </w:r>
      <w:r w:rsidRPr="00A67F6F">
        <w:rPr>
          <w:rFonts w:cs="Times New Roman"/>
          <w:sz w:val="24"/>
          <w:szCs w:val="24"/>
        </w:rPr>
        <w:lastRenderedPageBreak/>
        <w:t xml:space="preserve">The decision also resulted in multiple attempts to obstruct the Palestinian Medical Association’s right to strike, enshrined in the Basic Law and in the Medical Association’s own law. At the request of the government, the High Court of Justice annulled all the strikes declared by the Medical Association over the past years. On 29 March 2022, the Court also abolished the strike declared by the Union of Nurses and Midwives. Restriction and absolute prohibition of the exercise of the right to freedom of association and right to form or join a trade union violate the essence of these rights. In no way do these constraints observe the necessary principle of proportionality to judge the lawfulness of any restrictions imposed on the exercise of rights and freedoms. The State of Palestine should be urged to repeal the Law by Decree on Regulation of the Exercise of the Right to Strike in the Civil Service. </w:t>
      </w:r>
    </w:p>
    <w:p w14:paraId="26E9C9F5" w14:textId="77777777" w:rsidR="00325B9E" w:rsidRPr="00A67F6F" w:rsidRDefault="00325B9E" w:rsidP="00DF5E23">
      <w:pPr>
        <w:bidi w:val="0"/>
        <w:jc w:val="both"/>
        <w:rPr>
          <w:rFonts w:cs="Times New Roman"/>
          <w:sz w:val="24"/>
          <w:szCs w:val="24"/>
        </w:rPr>
      </w:pPr>
    </w:p>
    <w:p w14:paraId="71F58F79" w14:textId="77777777" w:rsidR="00325B9E" w:rsidRPr="00A67F6F" w:rsidRDefault="00325B9E" w:rsidP="00DF5E23">
      <w:pPr>
        <w:pStyle w:val="Heading1"/>
        <w:bidi w:val="0"/>
        <w:spacing w:before="0" w:after="200"/>
        <w:rPr>
          <w:rFonts w:ascii="Times New Roman" w:hAnsi="Times New Roman" w:cs="Times New Roman"/>
          <w:b/>
          <w:bCs/>
          <w:color w:val="auto"/>
          <w:sz w:val="24"/>
          <w:szCs w:val="24"/>
        </w:rPr>
      </w:pPr>
      <w:bookmarkStart w:id="14" w:name="_Toc102224860"/>
      <w:r w:rsidRPr="00A67F6F">
        <w:rPr>
          <w:rFonts w:ascii="Times New Roman" w:hAnsi="Times New Roman" w:cs="Times New Roman"/>
          <w:b/>
          <w:bCs/>
          <w:color w:val="auto"/>
          <w:sz w:val="24"/>
          <w:szCs w:val="24"/>
        </w:rPr>
        <w:t>Right of equal access to public service</w:t>
      </w:r>
      <w:bookmarkEnd w:id="14"/>
      <w:r w:rsidRPr="00A67F6F">
        <w:rPr>
          <w:rFonts w:ascii="Times New Roman" w:hAnsi="Times New Roman" w:cs="Times New Roman"/>
          <w:b/>
          <w:bCs/>
          <w:color w:val="auto"/>
          <w:sz w:val="24"/>
          <w:szCs w:val="24"/>
        </w:rPr>
        <w:t xml:space="preserve"> </w:t>
      </w:r>
    </w:p>
    <w:p w14:paraId="748DFC21" w14:textId="77777777" w:rsidR="00325B9E" w:rsidRPr="00A67F6F" w:rsidRDefault="00325B9E" w:rsidP="00DF5E23">
      <w:pPr>
        <w:bidi w:val="0"/>
        <w:jc w:val="both"/>
        <w:rPr>
          <w:rFonts w:cs="Times New Roman"/>
          <w:sz w:val="24"/>
          <w:szCs w:val="24"/>
        </w:rPr>
      </w:pPr>
      <w:r w:rsidRPr="00A67F6F">
        <w:rPr>
          <w:rFonts w:cs="Times New Roman"/>
          <w:sz w:val="24"/>
          <w:szCs w:val="24"/>
        </w:rPr>
        <w:t xml:space="preserve">32. Overall, the Palestinian law safeguards right of equal access to public service without discrimination on any prohibited basis, including gender, political opinion, or disability. On an annual basis, however, the ICHR received dozens of complaints from citizens, who claim that they were deprived of access to civil service on grounds of their political opinions or disabilities. In 2021, the ICHR received 21 complaints in the West Bank, with complainants alleging that government bodies impinged on the principle of fair competition in employment and refused their recruitment because of their disability. Between 2015 and 2020, citizens lodged 59 complaints on the violation of the right of equal access to public service. Five complaints were filed to the ICHR by persons with disabilities, who said that government bodies ruled them out by reason of their disabilities. In recent case law, the High Court of Justice annulled the application of security vetting for employment. However, government bodies continue to subject applicants to public service, including judges, to the illegal security vetting procedure. Prohibited discrimination is so prominent when it comes to senior positions, including diplomatic posts, which lack established criteria for appointment. The ICHR recommends that the Committee urge the State of Palestine to take effective action to </w:t>
      </w:r>
      <w:proofErr w:type="spellStart"/>
      <w:r w:rsidRPr="00A67F6F">
        <w:rPr>
          <w:rFonts w:cs="Times New Roman"/>
          <w:sz w:val="24"/>
          <w:szCs w:val="24"/>
        </w:rPr>
        <w:t>realise</w:t>
      </w:r>
      <w:proofErr w:type="spellEnd"/>
      <w:r w:rsidRPr="00A67F6F">
        <w:rPr>
          <w:rFonts w:cs="Times New Roman"/>
          <w:sz w:val="24"/>
          <w:szCs w:val="24"/>
        </w:rPr>
        <w:t xml:space="preserve"> the right of equal access to public service based on the rule of equal opportunities. This will include termination of the security vetting condition in all positions, including the diplomatic corps. </w:t>
      </w:r>
    </w:p>
    <w:p w14:paraId="7166D205" w14:textId="77777777" w:rsidR="00DB0505" w:rsidRPr="00325B9E" w:rsidRDefault="00DB0505" w:rsidP="00DF5E23">
      <w:pPr>
        <w:bidi w:val="0"/>
      </w:pPr>
    </w:p>
    <w:sectPr w:rsidR="00DB0505" w:rsidRPr="00325B9E" w:rsidSect="00EC1A37">
      <w:headerReference w:type="default" r:id="rId19"/>
      <w:pgSz w:w="12240" w:h="15840"/>
      <w:pgMar w:top="316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A8B047" w14:textId="77777777" w:rsidR="00163BD7" w:rsidRDefault="00163BD7" w:rsidP="001548E9">
      <w:r>
        <w:separator/>
      </w:r>
    </w:p>
  </w:endnote>
  <w:endnote w:type="continuationSeparator" w:id="0">
    <w:p w14:paraId="4241E12C" w14:textId="77777777" w:rsidR="00163BD7" w:rsidRDefault="00163BD7" w:rsidP="00154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80002007" w:usb1="80000000" w:usb2="00000008" w:usb3="00000000" w:csb0="000000D3"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default"/>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2EB79" w14:textId="77777777" w:rsidR="00163BD7" w:rsidRDefault="00163BD7" w:rsidP="001548E9">
      <w:r>
        <w:separator/>
      </w:r>
    </w:p>
  </w:footnote>
  <w:footnote w:type="continuationSeparator" w:id="0">
    <w:p w14:paraId="4B967963" w14:textId="77777777" w:rsidR="00163BD7" w:rsidRDefault="00163BD7" w:rsidP="001548E9">
      <w:r>
        <w:continuationSeparator/>
      </w:r>
    </w:p>
  </w:footnote>
  <w:footnote w:id="1">
    <w:p w14:paraId="3764A208" w14:textId="77777777" w:rsidR="00325B9E" w:rsidRPr="00880A18" w:rsidRDefault="00325B9E" w:rsidP="00325B9E">
      <w:pPr>
        <w:pStyle w:val="FootnoteText"/>
        <w:jc w:val="both"/>
        <w:rPr>
          <w:rFonts w:ascii="Times New Roman" w:hAnsi="Times New Roman" w:cs="Times New Roman"/>
          <w:lang w:val="en-US"/>
        </w:rPr>
      </w:pPr>
      <w:r w:rsidRPr="00880A18">
        <w:rPr>
          <w:rStyle w:val="FootnoteReference"/>
          <w:rFonts w:ascii="Times New Roman" w:hAnsi="Times New Roman" w:cs="Times New Roman"/>
        </w:rPr>
        <w:footnoteRef/>
      </w:r>
      <w:r w:rsidRPr="00880A18">
        <w:rPr>
          <w:rFonts w:ascii="Times New Roman" w:hAnsi="Times New Roman" w:cs="Times New Roman"/>
        </w:rPr>
        <w:t xml:space="preserve"> </w:t>
      </w:r>
      <w:r w:rsidRPr="00880A18">
        <w:rPr>
          <w:rFonts w:ascii="Times New Roman" w:hAnsi="Times New Roman" w:cs="Times New Roman"/>
          <w:lang w:val="en-US"/>
        </w:rPr>
        <w:t xml:space="preserve">In this </w:t>
      </w:r>
      <w:r>
        <w:rPr>
          <w:rFonts w:ascii="Times New Roman" w:hAnsi="Times New Roman" w:cs="Times New Roman"/>
          <w:lang w:val="en-US"/>
        </w:rPr>
        <w:t>context</w:t>
      </w:r>
      <w:r w:rsidRPr="00880A18">
        <w:rPr>
          <w:rFonts w:ascii="Times New Roman" w:hAnsi="Times New Roman" w:cs="Times New Roman"/>
          <w:lang w:val="en-US"/>
        </w:rPr>
        <w:t xml:space="preserve">, the Palestinian law means the Declaratory Judgement of the Supreme Constitutional Court (SCC) on the Request for Interpretation submitted by the Minister of Justice No. 05/2017, dated 12 March 20218, and published in the Palestinian Official Gazette, Issue 141, 25 March 2018, p. 87. The Palestinian law also means the SCC Judgement on the Constitutional Appeal No. 04/2017, dated 19 November 2017, published in the Palestinian Official Gazette, Issue 138, 29 November 2017, p. 84. </w:t>
      </w:r>
    </w:p>
  </w:footnote>
  <w:footnote w:id="2">
    <w:p w14:paraId="2AA8DAE9" w14:textId="77777777" w:rsidR="00325B9E" w:rsidRPr="00880A18" w:rsidRDefault="00325B9E" w:rsidP="00325B9E">
      <w:pPr>
        <w:pStyle w:val="FootnoteText"/>
        <w:jc w:val="both"/>
        <w:rPr>
          <w:rFonts w:ascii="Times New Roman" w:hAnsi="Times New Roman" w:cs="Times New Roman"/>
          <w:lang w:val="en-US"/>
        </w:rPr>
      </w:pPr>
      <w:r w:rsidRPr="00880A18">
        <w:rPr>
          <w:rStyle w:val="FootnoteReference"/>
          <w:rFonts w:ascii="Times New Roman" w:hAnsi="Times New Roman" w:cs="Times New Roman"/>
        </w:rPr>
        <w:footnoteRef/>
      </w:r>
      <w:r w:rsidRPr="00880A18">
        <w:rPr>
          <w:rFonts w:ascii="Times New Roman" w:hAnsi="Times New Roman" w:cs="Times New Roman"/>
        </w:rPr>
        <w:t xml:space="preserve"> </w:t>
      </w:r>
      <w:r w:rsidRPr="00880A18">
        <w:rPr>
          <w:rFonts w:ascii="Times New Roman" w:hAnsi="Times New Roman" w:cs="Times New Roman"/>
        </w:rPr>
        <w:t xml:space="preserve">SCC </w:t>
      </w:r>
      <w:r w:rsidRPr="00880A18">
        <w:rPr>
          <w:rFonts w:ascii="Times New Roman" w:hAnsi="Times New Roman" w:cs="Times New Roman"/>
          <w:lang w:val="en-US"/>
        </w:rPr>
        <w:t xml:space="preserve">Declaratory Judgement No. 05/2017, 12 March 20218, and SCC Judgement No. 04/2017, 19 November 2017. </w:t>
      </w:r>
    </w:p>
  </w:footnote>
  <w:footnote w:id="3">
    <w:p w14:paraId="2AE2EA7F" w14:textId="77777777" w:rsidR="00325B9E" w:rsidRPr="00880A18" w:rsidRDefault="00325B9E" w:rsidP="00325B9E">
      <w:pPr>
        <w:pStyle w:val="FootnoteText"/>
        <w:jc w:val="both"/>
        <w:rPr>
          <w:rFonts w:ascii="Times New Roman" w:hAnsi="Times New Roman" w:cs="Times New Roman"/>
          <w:lang w:val="en-US"/>
        </w:rPr>
      </w:pPr>
      <w:r w:rsidRPr="00880A18">
        <w:rPr>
          <w:rStyle w:val="FootnoteReference"/>
          <w:rFonts w:ascii="Times New Roman" w:hAnsi="Times New Roman" w:cs="Times New Roman"/>
        </w:rPr>
        <w:footnoteRef/>
      </w:r>
      <w:r w:rsidRPr="00880A18">
        <w:rPr>
          <w:rFonts w:ascii="Times New Roman" w:hAnsi="Times New Roman" w:cs="Times New Roman"/>
        </w:rPr>
        <w:t xml:space="preserve"> </w:t>
      </w:r>
      <w:r w:rsidRPr="00880A18">
        <w:rPr>
          <w:rFonts w:ascii="Times New Roman" w:hAnsi="Times New Roman" w:cs="Times New Roman"/>
          <w:lang w:val="en-US"/>
        </w:rPr>
        <w:t xml:space="preserve">ICHR and Al-Haq (2022). </w:t>
      </w:r>
      <w:hyperlink r:id="rId1" w:history="1">
        <w:r w:rsidRPr="00880A18">
          <w:rPr>
            <w:rStyle w:val="Hyperlink"/>
            <w:rFonts w:ascii="Times New Roman" w:hAnsi="Times New Roman" w:cs="Times New Roman"/>
            <w:lang w:val="en-US"/>
          </w:rPr>
          <w:t xml:space="preserve">Joint </w:t>
        </w:r>
        <w:proofErr w:type="gramStart"/>
        <w:r w:rsidRPr="00880A18">
          <w:rPr>
            <w:rStyle w:val="Hyperlink"/>
            <w:rFonts w:ascii="Times New Roman" w:hAnsi="Times New Roman" w:cs="Times New Roman"/>
            <w:lang w:val="en-US"/>
          </w:rPr>
          <w:t>fact finding</w:t>
        </w:r>
        <w:proofErr w:type="gramEnd"/>
        <w:r w:rsidRPr="00880A18">
          <w:rPr>
            <w:rStyle w:val="Hyperlink"/>
            <w:rFonts w:ascii="Times New Roman" w:hAnsi="Times New Roman" w:cs="Times New Roman"/>
            <w:lang w:val="en-US"/>
          </w:rPr>
          <w:t xml:space="preserve"> report on the killing of activist Nizar Banat</w:t>
        </w:r>
      </w:hyperlink>
      <w:r w:rsidRPr="00880A18">
        <w:rPr>
          <w:rStyle w:val="Hyperlink"/>
          <w:rFonts w:ascii="Times New Roman" w:hAnsi="Times New Roman" w:cs="Times New Roman"/>
          <w:lang w:val="en-US"/>
        </w:rPr>
        <w:t xml:space="preserve"> </w:t>
      </w:r>
      <w:r w:rsidRPr="00880A18">
        <w:rPr>
          <w:rFonts w:ascii="Times New Roman" w:hAnsi="Times New Roman" w:cs="Times New Roman"/>
          <w:lang w:val="en-US"/>
        </w:rPr>
        <w:t>(in Arabic).</w:t>
      </w:r>
    </w:p>
  </w:footnote>
  <w:footnote w:id="4">
    <w:p w14:paraId="5E4AD969" w14:textId="77777777" w:rsidR="00325B9E" w:rsidRPr="00880A18" w:rsidRDefault="00325B9E" w:rsidP="00325B9E">
      <w:pPr>
        <w:pStyle w:val="FootnoteText"/>
        <w:jc w:val="both"/>
        <w:rPr>
          <w:rFonts w:ascii="Times New Roman" w:hAnsi="Times New Roman" w:cs="Times New Roman"/>
          <w:lang w:val="en-US"/>
        </w:rPr>
      </w:pPr>
      <w:r w:rsidRPr="00880A18">
        <w:rPr>
          <w:rStyle w:val="FootnoteReference"/>
          <w:rFonts w:ascii="Times New Roman" w:hAnsi="Times New Roman" w:cs="Times New Roman"/>
        </w:rPr>
        <w:footnoteRef/>
      </w:r>
      <w:r w:rsidRPr="00880A18">
        <w:rPr>
          <w:rFonts w:ascii="Times New Roman" w:hAnsi="Times New Roman" w:cs="Times New Roman"/>
        </w:rPr>
        <w:t xml:space="preserve"> </w:t>
      </w:r>
      <w:r w:rsidRPr="00880A18">
        <w:rPr>
          <w:rFonts w:ascii="Times New Roman" w:hAnsi="Times New Roman" w:cs="Times New Roman"/>
          <w:lang w:val="en-US"/>
        </w:rPr>
        <w:t xml:space="preserve">On more an occasion, the High Court of Justice ruled that detention on orders of governors was null and unlawful (see Judgement of the High Court of Justice convening in Ramallah on Case No. 155/2015, dated 15 November 201; Judgement of the High Court of Justice convening in Ramallah on Case No. 110/2005, dated 15 October 2005; Judgement of the High Court of Justice convening in Ramallah on Case No. 119/2005, dated 30 October 2005. </w:t>
      </w:r>
    </w:p>
  </w:footnote>
  <w:footnote w:id="5">
    <w:p w14:paraId="788371B9" w14:textId="77777777" w:rsidR="00325B9E" w:rsidRPr="00880A18" w:rsidRDefault="00325B9E" w:rsidP="00325B9E">
      <w:pPr>
        <w:pStyle w:val="FootnoteText"/>
        <w:jc w:val="both"/>
        <w:rPr>
          <w:rFonts w:ascii="Times New Roman" w:hAnsi="Times New Roman" w:cs="Times New Roman"/>
          <w:lang w:val="en-US"/>
        </w:rPr>
      </w:pPr>
      <w:r w:rsidRPr="00880A18">
        <w:rPr>
          <w:rStyle w:val="FootnoteReference"/>
          <w:rFonts w:ascii="Times New Roman" w:hAnsi="Times New Roman" w:cs="Times New Roman"/>
        </w:rPr>
        <w:footnoteRef/>
      </w:r>
      <w:r w:rsidRPr="00880A18">
        <w:rPr>
          <w:rFonts w:ascii="Times New Roman" w:hAnsi="Times New Roman" w:cs="Times New Roman"/>
        </w:rPr>
        <w:t xml:space="preserve"> </w:t>
      </w:r>
      <w:r w:rsidRPr="00880A18">
        <w:rPr>
          <w:rFonts w:ascii="Times New Roman" w:hAnsi="Times New Roman" w:cs="Times New Roman"/>
          <w:lang w:val="en-US"/>
        </w:rPr>
        <w:t xml:space="preserve">Judgement of the High Court of Justice convening in Ramallah on Case No. 147/2015, dated 2 September 2015); Judgement of the High Court of Justice convening in Ramallah on Case No. 153/2016, dated 29 October 2016. </w:t>
      </w:r>
    </w:p>
  </w:footnote>
  <w:footnote w:id="6">
    <w:p w14:paraId="65AECB94" w14:textId="77777777" w:rsidR="00325B9E" w:rsidRPr="00880A18" w:rsidRDefault="00325B9E" w:rsidP="00325B9E">
      <w:pPr>
        <w:pStyle w:val="FootnoteText"/>
        <w:jc w:val="both"/>
        <w:rPr>
          <w:rFonts w:ascii="Times New Roman" w:hAnsi="Times New Roman" w:cs="Times New Roman"/>
          <w:lang w:val="en-US"/>
        </w:rPr>
      </w:pPr>
      <w:r w:rsidRPr="00880A18">
        <w:rPr>
          <w:rStyle w:val="FootnoteReference"/>
          <w:rFonts w:ascii="Times New Roman" w:hAnsi="Times New Roman" w:cs="Times New Roman"/>
        </w:rPr>
        <w:footnoteRef/>
      </w:r>
      <w:r w:rsidRPr="00880A18">
        <w:rPr>
          <w:rFonts w:ascii="Times New Roman" w:hAnsi="Times New Roman" w:cs="Times New Roman"/>
        </w:rPr>
        <w:t xml:space="preserve"> </w:t>
      </w:r>
      <w:r w:rsidRPr="00880A18">
        <w:rPr>
          <w:rFonts w:ascii="Times New Roman" w:hAnsi="Times New Roman" w:cs="Times New Roman"/>
          <w:lang w:val="en-US"/>
        </w:rPr>
        <w:t xml:space="preserve">Meta, </w:t>
      </w:r>
      <w:hyperlink r:id="rId2" w:history="1">
        <w:proofErr w:type="gramStart"/>
        <w:r w:rsidRPr="00880A18">
          <w:rPr>
            <w:rStyle w:val="Hyperlink"/>
            <w:rFonts w:ascii="Times New Roman" w:hAnsi="Times New Roman" w:cs="Times New Roman"/>
            <w:lang w:val="en-US"/>
          </w:rPr>
          <w:t>Taking Action</w:t>
        </w:r>
        <w:proofErr w:type="gramEnd"/>
        <w:r w:rsidRPr="00880A18">
          <w:rPr>
            <w:rStyle w:val="Hyperlink"/>
            <w:rFonts w:ascii="Times New Roman" w:hAnsi="Times New Roman" w:cs="Times New Roman"/>
            <w:lang w:val="en-US"/>
          </w:rPr>
          <w:t xml:space="preserve"> Against Hackers in Palestine</w:t>
        </w:r>
      </w:hyperlink>
      <w:r w:rsidRPr="00880A18">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E646E" w14:textId="77777777" w:rsidR="00FE0AB5" w:rsidRDefault="00FE0AB5">
    <w:pPr>
      <w:pStyle w:val="Header"/>
    </w:pPr>
    <w:r>
      <w:rPr>
        <w:noProof/>
        <w:lang w:val="de-CH" w:eastAsia="de-CH"/>
      </w:rPr>
      <w:drawing>
        <wp:anchor distT="0" distB="0" distL="114300" distR="114300" simplePos="0" relativeHeight="251660288" behindDoc="1" locked="0" layoutInCell="1" allowOverlap="1" wp14:anchorId="1CFE646F" wp14:editId="1CFE6470">
          <wp:simplePos x="0" y="0"/>
          <wp:positionH relativeFrom="column">
            <wp:posOffset>-514350</wp:posOffset>
          </wp:positionH>
          <wp:positionV relativeFrom="paragraph">
            <wp:posOffset>-47624</wp:posOffset>
          </wp:positionV>
          <wp:extent cx="2781300" cy="114253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HR_Logo_New-English-wide.png"/>
                  <pic:cNvPicPr/>
                </pic:nvPicPr>
                <pic:blipFill>
                  <a:blip r:embed="rId1">
                    <a:extLst>
                      <a:ext uri="{28A0092B-C50C-407E-A947-70E740481C1C}">
                        <a14:useLocalDpi xmlns:a14="http://schemas.microsoft.com/office/drawing/2010/main" val="0"/>
                      </a:ext>
                    </a:extLst>
                  </a:blip>
                  <a:stretch>
                    <a:fillRect/>
                  </a:stretch>
                </pic:blipFill>
                <pic:spPr>
                  <a:xfrm>
                    <a:off x="0" y="0"/>
                    <a:ext cx="2812549" cy="1155369"/>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w:drawing>
        <wp:anchor distT="0" distB="0" distL="114300" distR="114300" simplePos="0" relativeHeight="251659264" behindDoc="0" locked="0" layoutInCell="1" allowOverlap="1" wp14:anchorId="1CFE6471" wp14:editId="1CFE6472">
          <wp:simplePos x="0" y="0"/>
          <wp:positionH relativeFrom="column">
            <wp:posOffset>3962400</wp:posOffset>
          </wp:positionH>
          <wp:positionV relativeFrom="paragraph">
            <wp:posOffset>2263140</wp:posOffset>
          </wp:positionV>
          <wp:extent cx="5042309" cy="4578481"/>
          <wp:effectExtent l="593725" t="377825" r="466725" b="409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g-logo-png.png"/>
                  <pic:cNvPicPr/>
                </pic:nvPicPr>
                <pic:blipFill>
                  <a:blip r:embed="rId2">
                    <a:extLst>
                      <a:ext uri="{28A0092B-C50C-407E-A947-70E740481C1C}">
                        <a14:useLocalDpi xmlns:a14="http://schemas.microsoft.com/office/drawing/2010/main" val="0"/>
                      </a:ext>
                    </a:extLst>
                  </a:blip>
                  <a:stretch>
                    <a:fillRect/>
                  </a:stretch>
                </pic:blipFill>
                <pic:spPr>
                  <a:xfrm rot="2938582">
                    <a:off x="0" y="0"/>
                    <a:ext cx="5042309" cy="45784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9396D"/>
    <w:multiLevelType w:val="hybridMultilevel"/>
    <w:tmpl w:val="A92808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3E72EFE"/>
    <w:multiLevelType w:val="multilevel"/>
    <w:tmpl w:val="F7620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11322D"/>
    <w:multiLevelType w:val="hybridMultilevel"/>
    <w:tmpl w:val="7548D7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98085D"/>
    <w:multiLevelType w:val="hybridMultilevel"/>
    <w:tmpl w:val="1D0CB3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B750B7"/>
    <w:multiLevelType w:val="hybridMultilevel"/>
    <w:tmpl w:val="979483CE"/>
    <w:lvl w:ilvl="0" w:tplc="22B0407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B34FD8"/>
    <w:multiLevelType w:val="multilevel"/>
    <w:tmpl w:val="B862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8920E2"/>
    <w:multiLevelType w:val="hybridMultilevel"/>
    <w:tmpl w:val="CB96B6E6"/>
    <w:lvl w:ilvl="0" w:tplc="4F04E3FC">
      <w:start w:val="8"/>
      <w:numFmt w:val="bullet"/>
      <w:lvlText w:val="-"/>
      <w:lvlJc w:val="left"/>
      <w:pPr>
        <w:ind w:left="1440" w:hanging="360"/>
      </w:pPr>
      <w:rPr>
        <w:rFonts w:ascii="Sakkal Majalla" w:eastAsia="Times New Roman" w:hAnsi="Sakkal Majalla" w:cs="Sakkal Majalla"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11052AD"/>
    <w:multiLevelType w:val="hybridMultilevel"/>
    <w:tmpl w:val="0D445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EB3575"/>
    <w:multiLevelType w:val="hybridMultilevel"/>
    <w:tmpl w:val="1ABE75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133507D"/>
    <w:multiLevelType w:val="hybridMultilevel"/>
    <w:tmpl w:val="3452B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5AE38DC"/>
    <w:multiLevelType w:val="multilevel"/>
    <w:tmpl w:val="024ED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0D258E"/>
    <w:multiLevelType w:val="hybridMultilevel"/>
    <w:tmpl w:val="317CCE3C"/>
    <w:lvl w:ilvl="0" w:tplc="22B0407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8029E4"/>
    <w:multiLevelType w:val="hybridMultilevel"/>
    <w:tmpl w:val="03F2A8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C702AE"/>
    <w:multiLevelType w:val="hybridMultilevel"/>
    <w:tmpl w:val="F1FABF38"/>
    <w:lvl w:ilvl="0" w:tplc="22B04072">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716875"/>
    <w:multiLevelType w:val="hybridMultilevel"/>
    <w:tmpl w:val="B21094DC"/>
    <w:lvl w:ilvl="0" w:tplc="206C2AEA">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69D9029B"/>
    <w:multiLevelType w:val="hybridMultilevel"/>
    <w:tmpl w:val="349A7F1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600EF0"/>
    <w:multiLevelType w:val="hybridMultilevel"/>
    <w:tmpl w:val="3B7C50E6"/>
    <w:lvl w:ilvl="0" w:tplc="22B04072">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A45A3C"/>
    <w:multiLevelType w:val="hybridMultilevel"/>
    <w:tmpl w:val="D1EE57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7845207"/>
    <w:multiLevelType w:val="hybridMultilevel"/>
    <w:tmpl w:val="806AC516"/>
    <w:lvl w:ilvl="0" w:tplc="E07EFAD0">
      <w:start w:val="1"/>
      <w:numFmt w:val="decimal"/>
      <w:lvlText w:val="%1."/>
      <w:lvlJc w:val="left"/>
      <w:pPr>
        <w:ind w:left="720" w:hanging="360"/>
      </w:pPr>
      <w:rPr>
        <w:rFonts w:hint="default"/>
        <w:b w:val="0"/>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A9417F"/>
    <w:multiLevelType w:val="hybridMultilevel"/>
    <w:tmpl w:val="4A04F7E8"/>
    <w:lvl w:ilvl="0" w:tplc="19F2DFD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9755819"/>
    <w:multiLevelType w:val="hybridMultilevel"/>
    <w:tmpl w:val="A0462474"/>
    <w:lvl w:ilvl="0" w:tplc="459022F6">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7D102F9F"/>
    <w:multiLevelType w:val="hybridMultilevel"/>
    <w:tmpl w:val="CAEAFF86"/>
    <w:lvl w:ilvl="0" w:tplc="22B0407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F0D5B0F"/>
    <w:multiLevelType w:val="hybridMultilevel"/>
    <w:tmpl w:val="23DC201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2"/>
  </w:num>
  <w:num w:numId="3">
    <w:abstractNumId w:val="17"/>
  </w:num>
  <w:num w:numId="4">
    <w:abstractNumId w:val="18"/>
  </w:num>
  <w:num w:numId="5">
    <w:abstractNumId w:val="16"/>
  </w:num>
  <w:num w:numId="6">
    <w:abstractNumId w:val="4"/>
  </w:num>
  <w:num w:numId="7">
    <w:abstractNumId w:val="13"/>
  </w:num>
  <w:num w:numId="8">
    <w:abstractNumId w:val="11"/>
  </w:num>
  <w:num w:numId="9">
    <w:abstractNumId w:val="21"/>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9"/>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 w:numId="17">
    <w:abstractNumId w:val="1"/>
  </w:num>
  <w:num w:numId="18">
    <w:abstractNumId w:val="5"/>
  </w:num>
  <w:num w:numId="19">
    <w:abstractNumId w:val="12"/>
  </w:num>
  <w:num w:numId="20">
    <w:abstractNumId w:val="3"/>
  </w:num>
  <w:num w:numId="21">
    <w:abstractNumId w:val="22"/>
  </w:num>
  <w:num w:numId="22">
    <w:abstractNumId w:val="1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wsTAwNjExNDA3M7ZU0lEKTi0uzszPAykwMqgFAHouo0ItAAAA"/>
  </w:docVars>
  <w:rsids>
    <w:rsidRoot w:val="001548E9"/>
    <w:rsid w:val="00002C58"/>
    <w:rsid w:val="000040D5"/>
    <w:rsid w:val="00023690"/>
    <w:rsid w:val="00033287"/>
    <w:rsid w:val="00061FFC"/>
    <w:rsid w:val="00062CBF"/>
    <w:rsid w:val="00067C22"/>
    <w:rsid w:val="000951F9"/>
    <w:rsid w:val="000A2319"/>
    <w:rsid w:val="000A2454"/>
    <w:rsid w:val="000B4131"/>
    <w:rsid w:val="000B7C73"/>
    <w:rsid w:val="000C58DA"/>
    <w:rsid w:val="000C7CFF"/>
    <w:rsid w:val="000D12EE"/>
    <w:rsid w:val="000D273C"/>
    <w:rsid w:val="000D5353"/>
    <w:rsid w:val="000E4CFD"/>
    <w:rsid w:val="000E7D2A"/>
    <w:rsid w:val="000F483E"/>
    <w:rsid w:val="000F594D"/>
    <w:rsid w:val="00136112"/>
    <w:rsid w:val="001548E9"/>
    <w:rsid w:val="0016106B"/>
    <w:rsid w:val="00163BD7"/>
    <w:rsid w:val="001A6935"/>
    <w:rsid w:val="001C45E8"/>
    <w:rsid w:val="001C4953"/>
    <w:rsid w:val="00201DBF"/>
    <w:rsid w:val="00213712"/>
    <w:rsid w:val="0022422E"/>
    <w:rsid w:val="002560EC"/>
    <w:rsid w:val="00261E35"/>
    <w:rsid w:val="002844FD"/>
    <w:rsid w:val="002A0CE6"/>
    <w:rsid w:val="002D7D8C"/>
    <w:rsid w:val="002F473C"/>
    <w:rsid w:val="00301E0D"/>
    <w:rsid w:val="00304843"/>
    <w:rsid w:val="00314D79"/>
    <w:rsid w:val="003175E2"/>
    <w:rsid w:val="00325B9E"/>
    <w:rsid w:val="00327164"/>
    <w:rsid w:val="00331BB6"/>
    <w:rsid w:val="00341A6F"/>
    <w:rsid w:val="00344409"/>
    <w:rsid w:val="00370223"/>
    <w:rsid w:val="00393FA2"/>
    <w:rsid w:val="003A412D"/>
    <w:rsid w:val="003A7DE9"/>
    <w:rsid w:val="003B4D2E"/>
    <w:rsid w:val="003E449F"/>
    <w:rsid w:val="003F3F29"/>
    <w:rsid w:val="00407DC4"/>
    <w:rsid w:val="004150CA"/>
    <w:rsid w:val="00434DCF"/>
    <w:rsid w:val="00447062"/>
    <w:rsid w:val="00462B25"/>
    <w:rsid w:val="00492F9E"/>
    <w:rsid w:val="004D0937"/>
    <w:rsid w:val="0051500E"/>
    <w:rsid w:val="00535A60"/>
    <w:rsid w:val="005703F8"/>
    <w:rsid w:val="00571451"/>
    <w:rsid w:val="00583BE7"/>
    <w:rsid w:val="00585DD5"/>
    <w:rsid w:val="005922CC"/>
    <w:rsid w:val="005B6F2E"/>
    <w:rsid w:val="005E118B"/>
    <w:rsid w:val="005E55A0"/>
    <w:rsid w:val="005E5EFF"/>
    <w:rsid w:val="00645505"/>
    <w:rsid w:val="006646EB"/>
    <w:rsid w:val="00666E28"/>
    <w:rsid w:val="00674AAC"/>
    <w:rsid w:val="006A0A74"/>
    <w:rsid w:val="006B4CD6"/>
    <w:rsid w:val="006C6721"/>
    <w:rsid w:val="006E3C48"/>
    <w:rsid w:val="00752D3A"/>
    <w:rsid w:val="00754E7B"/>
    <w:rsid w:val="00756FF0"/>
    <w:rsid w:val="00771FED"/>
    <w:rsid w:val="007A7CF0"/>
    <w:rsid w:val="007F3DE2"/>
    <w:rsid w:val="00815155"/>
    <w:rsid w:val="00820C02"/>
    <w:rsid w:val="00820C27"/>
    <w:rsid w:val="00881CC9"/>
    <w:rsid w:val="008A2563"/>
    <w:rsid w:val="008A3112"/>
    <w:rsid w:val="008C476C"/>
    <w:rsid w:val="008C6A97"/>
    <w:rsid w:val="008E55B9"/>
    <w:rsid w:val="008F13FF"/>
    <w:rsid w:val="009349DB"/>
    <w:rsid w:val="0093787E"/>
    <w:rsid w:val="00960464"/>
    <w:rsid w:val="00963D1F"/>
    <w:rsid w:val="009B0F20"/>
    <w:rsid w:val="009C7148"/>
    <w:rsid w:val="009D4FC7"/>
    <w:rsid w:val="009E6FF1"/>
    <w:rsid w:val="00A24224"/>
    <w:rsid w:val="00A374EF"/>
    <w:rsid w:val="00A40BEF"/>
    <w:rsid w:val="00A6482D"/>
    <w:rsid w:val="00AA56AA"/>
    <w:rsid w:val="00AC23AD"/>
    <w:rsid w:val="00AD4625"/>
    <w:rsid w:val="00AE7A72"/>
    <w:rsid w:val="00AF7E8C"/>
    <w:rsid w:val="00AF7F5F"/>
    <w:rsid w:val="00B17610"/>
    <w:rsid w:val="00B24949"/>
    <w:rsid w:val="00B265CD"/>
    <w:rsid w:val="00B61658"/>
    <w:rsid w:val="00B666B9"/>
    <w:rsid w:val="00B94A15"/>
    <w:rsid w:val="00BA0A60"/>
    <w:rsid w:val="00BA4F39"/>
    <w:rsid w:val="00BC10BE"/>
    <w:rsid w:val="00BC5B4C"/>
    <w:rsid w:val="00BE26B3"/>
    <w:rsid w:val="00BF4966"/>
    <w:rsid w:val="00BF64C5"/>
    <w:rsid w:val="00BF7FEC"/>
    <w:rsid w:val="00C32072"/>
    <w:rsid w:val="00C415B1"/>
    <w:rsid w:val="00C501E6"/>
    <w:rsid w:val="00C61D02"/>
    <w:rsid w:val="00C94E2E"/>
    <w:rsid w:val="00CA5C41"/>
    <w:rsid w:val="00CB61B0"/>
    <w:rsid w:val="00CB6214"/>
    <w:rsid w:val="00CD0E25"/>
    <w:rsid w:val="00CD27C3"/>
    <w:rsid w:val="00CE3D60"/>
    <w:rsid w:val="00D0058E"/>
    <w:rsid w:val="00D01175"/>
    <w:rsid w:val="00D0596C"/>
    <w:rsid w:val="00D17E87"/>
    <w:rsid w:val="00D20D98"/>
    <w:rsid w:val="00D36B00"/>
    <w:rsid w:val="00D51F6A"/>
    <w:rsid w:val="00D820EE"/>
    <w:rsid w:val="00D87D51"/>
    <w:rsid w:val="00DA4B75"/>
    <w:rsid w:val="00DB0505"/>
    <w:rsid w:val="00DD0E4C"/>
    <w:rsid w:val="00DF0760"/>
    <w:rsid w:val="00DF17BB"/>
    <w:rsid w:val="00DF5E23"/>
    <w:rsid w:val="00E04420"/>
    <w:rsid w:val="00E51B02"/>
    <w:rsid w:val="00E67A35"/>
    <w:rsid w:val="00E969C6"/>
    <w:rsid w:val="00EA294E"/>
    <w:rsid w:val="00EC1A37"/>
    <w:rsid w:val="00EF34A6"/>
    <w:rsid w:val="00F0152C"/>
    <w:rsid w:val="00F04498"/>
    <w:rsid w:val="00F10075"/>
    <w:rsid w:val="00F2471B"/>
    <w:rsid w:val="00F3236A"/>
    <w:rsid w:val="00F336E9"/>
    <w:rsid w:val="00F4213D"/>
    <w:rsid w:val="00F426F7"/>
    <w:rsid w:val="00F500E7"/>
    <w:rsid w:val="00F6012A"/>
    <w:rsid w:val="00F64FD1"/>
    <w:rsid w:val="00F66397"/>
    <w:rsid w:val="00F76B38"/>
    <w:rsid w:val="00F92A55"/>
    <w:rsid w:val="00FA7C3B"/>
    <w:rsid w:val="00FB6D13"/>
    <w:rsid w:val="00FD4F76"/>
    <w:rsid w:val="00FE0A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FE6459"/>
  <w15:chartTrackingRefBased/>
  <w15:docId w15:val="{A1624333-D083-49D9-8BB6-8C13D71A8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1A37"/>
    <w:pPr>
      <w:bidi/>
      <w:spacing w:after="0" w:line="240" w:lineRule="auto"/>
    </w:pPr>
    <w:rPr>
      <w:rFonts w:ascii="Times New Roman" w:eastAsia="Times New Roman" w:hAnsi="Times New Roman" w:cs="Simplified Arabic"/>
      <w:snapToGrid w:val="0"/>
      <w:kern w:val="24"/>
      <w:sz w:val="20"/>
      <w:szCs w:val="20"/>
    </w:rPr>
  </w:style>
  <w:style w:type="paragraph" w:styleId="Heading1">
    <w:name w:val="heading 1"/>
    <w:basedOn w:val="Normal"/>
    <w:next w:val="Normal"/>
    <w:link w:val="Heading1Char"/>
    <w:uiPriority w:val="9"/>
    <w:qFormat/>
    <w:rsid w:val="00067C22"/>
    <w:pPr>
      <w:keepNext/>
      <w:keepLines/>
      <w:snapToGrid w:val="0"/>
      <w:spacing w:before="240"/>
      <w:outlineLvl w:val="0"/>
    </w:pPr>
    <w:rPr>
      <w:rFonts w:asciiTheme="majorHAnsi" w:eastAsiaTheme="majorEastAsia" w:hAnsiTheme="majorHAnsi" w:cstheme="majorBidi"/>
      <w:snapToGrid/>
      <w:color w:val="2F5496" w:themeColor="accent1" w:themeShade="BF"/>
      <w:sz w:val="32"/>
      <w:szCs w:val="32"/>
    </w:rPr>
  </w:style>
  <w:style w:type="paragraph" w:styleId="Heading2">
    <w:name w:val="heading 2"/>
    <w:basedOn w:val="Normal"/>
    <w:next w:val="Normal"/>
    <w:link w:val="Heading2Char"/>
    <w:uiPriority w:val="9"/>
    <w:unhideWhenUsed/>
    <w:qFormat/>
    <w:rsid w:val="00FD4F7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4F76"/>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B0505"/>
    <w:pPr>
      <w:keepNext/>
      <w:keepLines/>
      <w:bidi w:val="0"/>
      <w:spacing w:before="40" w:line="276" w:lineRule="auto"/>
      <w:outlineLvl w:val="3"/>
    </w:pPr>
    <w:rPr>
      <w:rFonts w:asciiTheme="majorHAnsi" w:eastAsiaTheme="majorEastAsia" w:hAnsiTheme="majorHAnsi" w:cstheme="majorBidi"/>
      <w:i/>
      <w:iCs/>
      <w:snapToGrid/>
      <w:color w:val="2F5496" w:themeColor="accent1" w:themeShade="BF"/>
      <w:kern w:val="0"/>
      <w:sz w:val="22"/>
      <w:szCs w:val="22"/>
      <w:lang w:val="en-GB" w:bidi="ar-J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48E9"/>
    <w:pPr>
      <w:tabs>
        <w:tab w:val="center" w:pos="4680"/>
        <w:tab w:val="right" w:pos="9360"/>
      </w:tabs>
    </w:pPr>
  </w:style>
  <w:style w:type="character" w:customStyle="1" w:styleId="HeaderChar">
    <w:name w:val="Header Char"/>
    <w:basedOn w:val="DefaultParagraphFont"/>
    <w:link w:val="Header"/>
    <w:uiPriority w:val="99"/>
    <w:rsid w:val="001548E9"/>
  </w:style>
  <w:style w:type="paragraph" w:styleId="Footer">
    <w:name w:val="footer"/>
    <w:basedOn w:val="Normal"/>
    <w:link w:val="FooterChar"/>
    <w:uiPriority w:val="99"/>
    <w:unhideWhenUsed/>
    <w:rsid w:val="001548E9"/>
    <w:pPr>
      <w:tabs>
        <w:tab w:val="center" w:pos="4680"/>
        <w:tab w:val="right" w:pos="9360"/>
      </w:tabs>
    </w:pPr>
  </w:style>
  <w:style w:type="character" w:customStyle="1" w:styleId="FooterChar">
    <w:name w:val="Footer Char"/>
    <w:basedOn w:val="DefaultParagraphFont"/>
    <w:link w:val="Footer"/>
    <w:uiPriority w:val="99"/>
    <w:rsid w:val="001548E9"/>
  </w:style>
  <w:style w:type="paragraph" w:styleId="BalloonText">
    <w:name w:val="Balloon Text"/>
    <w:basedOn w:val="Normal"/>
    <w:link w:val="BalloonTextChar"/>
    <w:uiPriority w:val="99"/>
    <w:semiHidden/>
    <w:unhideWhenUsed/>
    <w:rsid w:val="001548E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8E9"/>
    <w:rPr>
      <w:rFonts w:ascii="Segoe UI" w:hAnsi="Segoe UI" w:cs="Segoe UI"/>
      <w:sz w:val="18"/>
      <w:szCs w:val="18"/>
    </w:rPr>
  </w:style>
  <w:style w:type="paragraph" w:styleId="ListParagraph">
    <w:name w:val="List Paragraph"/>
    <w:aliases w:val="Use Case List Paragraph Char,Use Case List Paragraph,Bulletted,lp1,lp11,lp1CxSpLast,YC Bulet,Primus H 3,Bullet List,FooterText,numbered,Paragraphe de liste1,Bulletr List Paragraph,列出段落,列出段落1,List Paragraph2,List Paragraph21,Listeafsnit1"/>
    <w:basedOn w:val="Normal"/>
    <w:link w:val="ListParagraphChar"/>
    <w:uiPriority w:val="34"/>
    <w:qFormat/>
    <w:rsid w:val="00EC1A37"/>
    <w:pPr>
      <w:ind w:left="720"/>
    </w:pPr>
  </w:style>
  <w:style w:type="paragraph" w:customStyle="1" w:styleId="m6212657208310231573msolistparagraph">
    <w:name w:val="m_6212657208310231573msolistparagraph"/>
    <w:basedOn w:val="Normal"/>
    <w:rsid w:val="00EC1A37"/>
    <w:pPr>
      <w:bidi w:val="0"/>
      <w:spacing w:before="100" w:beforeAutospacing="1" w:after="100" w:afterAutospacing="1"/>
    </w:pPr>
    <w:rPr>
      <w:rFonts w:cs="Times New Roman"/>
      <w:snapToGrid/>
      <w:kern w:val="0"/>
      <w:sz w:val="24"/>
      <w:szCs w:val="24"/>
    </w:rPr>
  </w:style>
  <w:style w:type="paragraph" w:customStyle="1" w:styleId="BodyA">
    <w:name w:val="Body A"/>
    <w:rsid w:val="00EC1A37"/>
    <w:pPr>
      <w:pBdr>
        <w:top w:val="nil"/>
        <w:left w:val="nil"/>
        <w:bottom w:val="nil"/>
        <w:right w:val="nil"/>
        <w:between w:val="nil"/>
        <w:bar w:val="nil"/>
      </w:pBdr>
      <w:bidi/>
      <w:spacing w:after="0" w:line="240" w:lineRule="auto"/>
    </w:pPr>
    <w:rPr>
      <w:rFonts w:ascii="Times New Roman" w:eastAsia="Arial Unicode MS" w:hAnsi="Times New Roman" w:cs="Arial Unicode MS"/>
      <w:color w:val="000000"/>
      <w:kern w:val="24"/>
      <w:sz w:val="20"/>
      <w:szCs w:val="20"/>
      <w:u w:color="000000"/>
      <w:bdr w:val="nil"/>
    </w:rPr>
  </w:style>
  <w:style w:type="paragraph" w:styleId="CommentText">
    <w:name w:val="annotation text"/>
    <w:basedOn w:val="Normal"/>
    <w:link w:val="CommentTextChar"/>
    <w:uiPriority w:val="99"/>
    <w:semiHidden/>
    <w:unhideWhenUsed/>
    <w:rsid w:val="00344409"/>
  </w:style>
  <w:style w:type="character" w:customStyle="1" w:styleId="CommentTextChar">
    <w:name w:val="Comment Text Char"/>
    <w:basedOn w:val="DefaultParagraphFont"/>
    <w:link w:val="CommentText"/>
    <w:uiPriority w:val="99"/>
    <w:semiHidden/>
    <w:rsid w:val="00344409"/>
    <w:rPr>
      <w:rFonts w:ascii="Times New Roman" w:eastAsia="Times New Roman" w:hAnsi="Times New Roman" w:cs="Simplified Arabic"/>
      <w:snapToGrid w:val="0"/>
      <w:kern w:val="24"/>
      <w:sz w:val="20"/>
      <w:szCs w:val="20"/>
    </w:rPr>
  </w:style>
  <w:style w:type="paragraph" w:styleId="CommentSubject">
    <w:name w:val="annotation subject"/>
    <w:basedOn w:val="CommentText"/>
    <w:next w:val="CommentText"/>
    <w:link w:val="CommentSubjectChar"/>
    <w:uiPriority w:val="99"/>
    <w:semiHidden/>
    <w:unhideWhenUsed/>
    <w:rsid w:val="00344409"/>
    <w:pPr>
      <w:bidi w:val="0"/>
      <w:spacing w:after="200"/>
    </w:pPr>
    <w:rPr>
      <w:rFonts w:ascii="Verdana" w:eastAsiaTheme="minorHAnsi" w:hAnsi="Verdana" w:cstheme="minorBidi"/>
      <w:b/>
      <w:bCs/>
      <w:snapToGrid/>
      <w:kern w:val="0"/>
    </w:rPr>
  </w:style>
  <w:style w:type="character" w:customStyle="1" w:styleId="CommentSubjectChar">
    <w:name w:val="Comment Subject Char"/>
    <w:basedOn w:val="CommentTextChar"/>
    <w:link w:val="CommentSubject"/>
    <w:uiPriority w:val="99"/>
    <w:semiHidden/>
    <w:rsid w:val="00344409"/>
    <w:rPr>
      <w:rFonts w:ascii="Verdana" w:eastAsia="Times New Roman" w:hAnsi="Verdana" w:cs="Simplified Arabic"/>
      <w:b/>
      <w:bCs/>
      <w:snapToGrid/>
      <w:kern w:val="24"/>
      <w:sz w:val="20"/>
      <w:szCs w:val="20"/>
    </w:rPr>
  </w:style>
  <w:style w:type="character" w:customStyle="1" w:styleId="ListParagraphChar">
    <w:name w:val="List Paragraph Char"/>
    <w:aliases w:val="Use Case List Paragraph Char Char,Use Case List Paragraph Char1,Bulletted Char,lp1 Char,lp11 Char,lp1CxSpLast Char,YC Bulet Char,Primus H 3 Char,Bullet List Char,FooterText Char,numbered Char,Paragraphe de liste1 Char,列出段落 Char"/>
    <w:basedOn w:val="DefaultParagraphFont"/>
    <w:link w:val="ListParagraph"/>
    <w:uiPriority w:val="34"/>
    <w:qFormat/>
    <w:locked/>
    <w:rsid w:val="00344409"/>
    <w:rPr>
      <w:rFonts w:ascii="Times New Roman" w:eastAsia="Times New Roman" w:hAnsi="Times New Roman" w:cs="Simplified Arabic"/>
      <w:snapToGrid w:val="0"/>
      <w:kern w:val="24"/>
      <w:sz w:val="20"/>
      <w:szCs w:val="20"/>
    </w:rPr>
  </w:style>
  <w:style w:type="character" w:customStyle="1" w:styleId="Heading1Char">
    <w:name w:val="Heading 1 Char"/>
    <w:basedOn w:val="DefaultParagraphFont"/>
    <w:link w:val="Heading1"/>
    <w:uiPriority w:val="9"/>
    <w:rsid w:val="00067C22"/>
    <w:rPr>
      <w:rFonts w:asciiTheme="majorHAnsi" w:eastAsiaTheme="majorEastAsia" w:hAnsiTheme="majorHAnsi" w:cstheme="majorBidi"/>
      <w:color w:val="2F5496" w:themeColor="accent1" w:themeShade="BF"/>
      <w:kern w:val="24"/>
      <w:sz w:val="32"/>
      <w:szCs w:val="32"/>
    </w:rPr>
  </w:style>
  <w:style w:type="table" w:styleId="TableGrid">
    <w:name w:val="Table Grid"/>
    <w:basedOn w:val="TableNormal"/>
    <w:uiPriority w:val="39"/>
    <w:rsid w:val="00067C2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67C2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C22"/>
    <w:rPr>
      <w:rFonts w:asciiTheme="majorHAnsi" w:eastAsiaTheme="majorEastAsia" w:hAnsiTheme="majorHAnsi" w:cstheme="majorBidi"/>
      <w:snapToGrid w:val="0"/>
      <w:spacing w:val="-10"/>
      <w:kern w:val="28"/>
      <w:sz w:val="56"/>
      <w:szCs w:val="56"/>
    </w:rPr>
  </w:style>
  <w:style w:type="character" w:customStyle="1" w:styleId="tm-p-em">
    <w:name w:val="tm-p-em"/>
    <w:basedOn w:val="DefaultParagraphFont"/>
    <w:rsid w:val="00033287"/>
  </w:style>
  <w:style w:type="character" w:customStyle="1" w:styleId="tm-p-">
    <w:name w:val="tm-p-"/>
    <w:basedOn w:val="DefaultParagraphFont"/>
    <w:rsid w:val="00033287"/>
  </w:style>
  <w:style w:type="character" w:customStyle="1" w:styleId="Heading2Char">
    <w:name w:val="Heading 2 Char"/>
    <w:basedOn w:val="DefaultParagraphFont"/>
    <w:link w:val="Heading2"/>
    <w:uiPriority w:val="9"/>
    <w:rsid w:val="00FD4F76"/>
    <w:rPr>
      <w:rFonts w:asciiTheme="majorHAnsi" w:eastAsiaTheme="majorEastAsia" w:hAnsiTheme="majorHAnsi" w:cstheme="majorBidi"/>
      <w:snapToGrid w:val="0"/>
      <w:color w:val="2F5496" w:themeColor="accent1" w:themeShade="BF"/>
      <w:kern w:val="24"/>
      <w:sz w:val="26"/>
      <w:szCs w:val="26"/>
    </w:rPr>
  </w:style>
  <w:style w:type="character" w:customStyle="1" w:styleId="Heading3Char">
    <w:name w:val="Heading 3 Char"/>
    <w:basedOn w:val="DefaultParagraphFont"/>
    <w:link w:val="Heading3"/>
    <w:uiPriority w:val="9"/>
    <w:rsid w:val="00FD4F76"/>
    <w:rPr>
      <w:rFonts w:asciiTheme="majorHAnsi" w:eastAsiaTheme="majorEastAsia" w:hAnsiTheme="majorHAnsi" w:cstheme="majorBidi"/>
      <w:snapToGrid w:val="0"/>
      <w:color w:val="1F3763" w:themeColor="accent1" w:themeShade="7F"/>
      <w:kern w:val="24"/>
      <w:sz w:val="24"/>
      <w:szCs w:val="24"/>
    </w:rPr>
  </w:style>
  <w:style w:type="character" w:styleId="Strong">
    <w:name w:val="Strong"/>
    <w:basedOn w:val="DefaultParagraphFont"/>
    <w:uiPriority w:val="22"/>
    <w:qFormat/>
    <w:rsid w:val="00FD4F76"/>
    <w:rPr>
      <w:b/>
      <w:bCs/>
    </w:rPr>
  </w:style>
  <w:style w:type="paragraph" w:styleId="HTMLPreformatted">
    <w:name w:val="HTML Preformatted"/>
    <w:basedOn w:val="Normal"/>
    <w:link w:val="HTMLPreformattedChar"/>
    <w:uiPriority w:val="99"/>
    <w:unhideWhenUsed/>
    <w:rsid w:val="009E6F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napToGrid/>
      <w:kern w:val="0"/>
    </w:rPr>
  </w:style>
  <w:style w:type="character" w:customStyle="1" w:styleId="HTMLPreformattedChar">
    <w:name w:val="HTML Preformatted Char"/>
    <w:basedOn w:val="DefaultParagraphFont"/>
    <w:link w:val="HTMLPreformatted"/>
    <w:uiPriority w:val="99"/>
    <w:rsid w:val="009E6FF1"/>
    <w:rPr>
      <w:rFonts w:ascii="Courier New" w:eastAsia="Times New Roman" w:hAnsi="Courier New" w:cs="Courier New"/>
      <w:sz w:val="20"/>
      <w:szCs w:val="20"/>
    </w:rPr>
  </w:style>
  <w:style w:type="paragraph" w:customStyle="1" w:styleId="Default">
    <w:name w:val="Default"/>
    <w:rsid w:val="009E6FF1"/>
    <w:pPr>
      <w:autoSpaceDE w:val="0"/>
      <w:autoSpaceDN w:val="0"/>
      <w:adjustRightInd w:val="0"/>
      <w:spacing w:after="0" w:line="240" w:lineRule="auto"/>
    </w:pPr>
    <w:rPr>
      <w:rFonts w:ascii="Simplified Arabic" w:hAnsi="Simplified Arabic" w:cs="Simplified Arabic"/>
      <w:color w:val="000000"/>
      <w:sz w:val="24"/>
      <w:szCs w:val="24"/>
    </w:rPr>
  </w:style>
  <w:style w:type="paragraph" w:styleId="NormalWeb">
    <w:name w:val="Normal (Web)"/>
    <w:basedOn w:val="Normal"/>
    <w:uiPriority w:val="99"/>
    <w:unhideWhenUsed/>
    <w:rsid w:val="00213712"/>
    <w:pPr>
      <w:bidi w:val="0"/>
      <w:spacing w:before="100" w:beforeAutospacing="1" w:after="100" w:afterAutospacing="1"/>
    </w:pPr>
    <w:rPr>
      <w:rFonts w:cs="Times New Roman"/>
      <w:snapToGrid/>
      <w:kern w:val="0"/>
      <w:sz w:val="24"/>
      <w:szCs w:val="24"/>
    </w:rPr>
  </w:style>
  <w:style w:type="character" w:styleId="FootnoteReference">
    <w:name w:val="footnote reference"/>
    <w:aliases w:val="ftref,Texto de nota al pie,Carattere Char1,Carattere Char Char Carattere Carattere Char Char,16 Point,Superscript 6 Point,fr,ftref Char Char,Footnotes refss Char Char,Footnote text Char Char,BVI fnr Char Char,R,BVI fnr,BVI fnr Car Car"/>
    <w:link w:val="ftrefChar"/>
    <w:uiPriority w:val="99"/>
    <w:qFormat/>
    <w:rsid w:val="00820C27"/>
    <w:rPr>
      <w:vertAlign w:val="superscript"/>
    </w:rPr>
  </w:style>
  <w:style w:type="paragraph" w:customStyle="1" w:styleId="ftrefChar">
    <w:name w:val="ftref Char"/>
    <w:aliases w:val="Footnotes refss Char,Footnote text Char,BVI fnr Char,Знак сноски 1 Char,Ref Char,de nota al pie Char,Footnote Ref Char,16 Point Char,Superscript 6 Point Char,BVI fnr Car Car Char,BVI fnr Car Char,BVI fnr Car Car Car Car Cha"/>
    <w:basedOn w:val="Normal"/>
    <w:link w:val="FootnoteReference"/>
    <w:uiPriority w:val="99"/>
    <w:rsid w:val="00820C27"/>
    <w:pPr>
      <w:bidi w:val="0"/>
      <w:spacing w:before="240" w:after="160" w:line="240" w:lineRule="exact"/>
      <w:jc w:val="both"/>
    </w:pPr>
    <w:rPr>
      <w:rFonts w:asciiTheme="minorHAnsi" w:eastAsiaTheme="minorHAnsi" w:hAnsiTheme="minorHAnsi" w:cstheme="minorBidi"/>
      <w:snapToGrid/>
      <w:kern w:val="0"/>
      <w:sz w:val="22"/>
      <w:szCs w:val="22"/>
      <w:vertAlign w:val="superscript"/>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Texto nota pie1"/>
    <w:basedOn w:val="Normal"/>
    <w:link w:val="FootnoteTextChar"/>
    <w:autoRedefine/>
    <w:uiPriority w:val="99"/>
    <w:qFormat/>
    <w:rsid w:val="000951F9"/>
    <w:pPr>
      <w:tabs>
        <w:tab w:val="left" w:pos="9000"/>
      </w:tabs>
      <w:bidi w:val="0"/>
      <w:ind w:hanging="142"/>
    </w:pPr>
    <w:rPr>
      <w:rFonts w:asciiTheme="minorBidi" w:hAnsiTheme="minorBidi" w:cstheme="minorBidi"/>
      <w:snapToGrid/>
      <w:kern w:val="0"/>
      <w:sz w:val="18"/>
      <w:szCs w:val="18"/>
      <w:lang w:val="de-DE" w:eastAsia="de-CH"/>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rsid w:val="000951F9"/>
    <w:rPr>
      <w:rFonts w:asciiTheme="minorBidi" w:eastAsia="Times New Roman" w:hAnsiTheme="minorBidi"/>
      <w:sz w:val="18"/>
      <w:szCs w:val="18"/>
      <w:lang w:val="de-DE" w:eastAsia="de-CH"/>
    </w:rPr>
  </w:style>
  <w:style w:type="paragraph" w:styleId="Revision">
    <w:name w:val="Revision"/>
    <w:hidden/>
    <w:uiPriority w:val="99"/>
    <w:semiHidden/>
    <w:rsid w:val="00820C27"/>
    <w:pPr>
      <w:spacing w:after="0" w:line="240" w:lineRule="auto"/>
    </w:pPr>
    <w:rPr>
      <w:rFonts w:ascii="Times New Roman" w:eastAsia="Times New Roman" w:hAnsi="Times New Roman" w:cs="Simplified Arabic"/>
      <w:snapToGrid w:val="0"/>
      <w:kern w:val="24"/>
      <w:sz w:val="20"/>
      <w:szCs w:val="20"/>
    </w:rPr>
  </w:style>
  <w:style w:type="character" w:styleId="Hyperlink">
    <w:name w:val="Hyperlink"/>
    <w:basedOn w:val="DefaultParagraphFont"/>
    <w:uiPriority w:val="99"/>
    <w:unhideWhenUsed/>
    <w:rsid w:val="00E969C6"/>
    <w:rPr>
      <w:color w:val="0563C1" w:themeColor="hyperlink"/>
      <w:u w:val="single"/>
    </w:rPr>
  </w:style>
  <w:style w:type="paragraph" w:styleId="NoSpacing">
    <w:name w:val="No Spacing"/>
    <w:uiPriority w:val="1"/>
    <w:qFormat/>
    <w:rsid w:val="00E969C6"/>
    <w:pPr>
      <w:bidi/>
      <w:spacing w:after="0" w:line="240" w:lineRule="auto"/>
    </w:pPr>
  </w:style>
  <w:style w:type="character" w:customStyle="1" w:styleId="markj39ps3fi5">
    <w:name w:val="markj39ps3fi5"/>
    <w:basedOn w:val="DefaultParagraphFont"/>
    <w:rsid w:val="00AF7F5F"/>
  </w:style>
  <w:style w:type="character" w:customStyle="1" w:styleId="mark8wbmquu30">
    <w:name w:val="mark8wbmquu30"/>
    <w:basedOn w:val="DefaultParagraphFont"/>
    <w:rsid w:val="00AF7F5F"/>
  </w:style>
  <w:style w:type="character" w:customStyle="1" w:styleId="Heading4Char">
    <w:name w:val="Heading 4 Char"/>
    <w:basedOn w:val="DefaultParagraphFont"/>
    <w:link w:val="Heading4"/>
    <w:uiPriority w:val="9"/>
    <w:rsid w:val="00DB0505"/>
    <w:rPr>
      <w:rFonts w:asciiTheme="majorHAnsi" w:eastAsiaTheme="majorEastAsia" w:hAnsiTheme="majorHAnsi" w:cstheme="majorBidi"/>
      <w:i/>
      <w:iCs/>
      <w:color w:val="2F5496" w:themeColor="accent1" w:themeShade="BF"/>
      <w:lang w:val="en-GB" w:bidi="ar-JO"/>
    </w:rPr>
  </w:style>
  <w:style w:type="character" w:styleId="FollowedHyperlink">
    <w:name w:val="FollowedHyperlink"/>
    <w:basedOn w:val="DefaultParagraphFont"/>
    <w:uiPriority w:val="99"/>
    <w:semiHidden/>
    <w:unhideWhenUsed/>
    <w:rsid w:val="00DB0505"/>
    <w:rPr>
      <w:color w:val="954F72" w:themeColor="followedHyperlink"/>
      <w:u w:val="single"/>
    </w:rPr>
  </w:style>
  <w:style w:type="paragraph" w:styleId="TOCHeading">
    <w:name w:val="TOC Heading"/>
    <w:basedOn w:val="Heading1"/>
    <w:next w:val="Normal"/>
    <w:uiPriority w:val="39"/>
    <w:unhideWhenUsed/>
    <w:qFormat/>
    <w:rsid w:val="00DB0505"/>
    <w:pPr>
      <w:bidi w:val="0"/>
      <w:snapToGrid/>
      <w:spacing w:line="259" w:lineRule="auto"/>
      <w:outlineLvl w:val="9"/>
    </w:pPr>
    <w:rPr>
      <w:kern w:val="0"/>
    </w:rPr>
  </w:style>
  <w:style w:type="paragraph" w:styleId="TOC1">
    <w:name w:val="toc 1"/>
    <w:basedOn w:val="Normal"/>
    <w:next w:val="Normal"/>
    <w:autoRedefine/>
    <w:uiPriority w:val="39"/>
    <w:unhideWhenUsed/>
    <w:rsid w:val="00DB0505"/>
    <w:pPr>
      <w:bidi w:val="0"/>
      <w:spacing w:after="100" w:line="276" w:lineRule="auto"/>
    </w:pPr>
    <w:rPr>
      <w:rFonts w:asciiTheme="minorHAnsi" w:eastAsiaTheme="minorHAnsi" w:hAnsiTheme="minorHAnsi" w:cstheme="minorBidi"/>
      <w:snapToGrid/>
      <w:kern w:val="0"/>
      <w:sz w:val="22"/>
      <w:szCs w:val="22"/>
      <w:lang w:val="en-GB" w:bidi="ar-JO"/>
    </w:rPr>
  </w:style>
  <w:style w:type="paragraph" w:styleId="TOC2">
    <w:name w:val="toc 2"/>
    <w:basedOn w:val="Normal"/>
    <w:next w:val="Normal"/>
    <w:autoRedefine/>
    <w:uiPriority w:val="39"/>
    <w:unhideWhenUsed/>
    <w:rsid w:val="00DB0505"/>
    <w:pPr>
      <w:bidi w:val="0"/>
      <w:spacing w:after="100" w:line="276" w:lineRule="auto"/>
      <w:ind w:left="220"/>
    </w:pPr>
    <w:rPr>
      <w:rFonts w:asciiTheme="minorHAnsi" w:eastAsiaTheme="minorHAnsi" w:hAnsiTheme="minorHAnsi" w:cstheme="minorBidi"/>
      <w:snapToGrid/>
      <w:kern w:val="0"/>
      <w:sz w:val="22"/>
      <w:szCs w:val="22"/>
      <w:lang w:val="en-GB" w:bidi="ar-JO"/>
    </w:rPr>
  </w:style>
  <w:style w:type="paragraph" w:styleId="TOC3">
    <w:name w:val="toc 3"/>
    <w:basedOn w:val="Normal"/>
    <w:next w:val="Normal"/>
    <w:autoRedefine/>
    <w:uiPriority w:val="39"/>
    <w:unhideWhenUsed/>
    <w:rsid w:val="00DB0505"/>
    <w:pPr>
      <w:bidi w:val="0"/>
      <w:spacing w:after="100" w:line="276" w:lineRule="auto"/>
      <w:ind w:left="440"/>
    </w:pPr>
    <w:rPr>
      <w:rFonts w:asciiTheme="minorHAnsi" w:eastAsiaTheme="minorHAnsi" w:hAnsiTheme="minorHAnsi" w:cstheme="minorBidi"/>
      <w:snapToGrid/>
      <w:kern w:val="0"/>
      <w:sz w:val="22"/>
      <w:szCs w:val="22"/>
      <w:lang w:val="en-GB" w:bidi="ar-J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42833">
      <w:bodyDiv w:val="1"/>
      <w:marLeft w:val="0"/>
      <w:marRight w:val="0"/>
      <w:marTop w:val="0"/>
      <w:marBottom w:val="0"/>
      <w:divBdr>
        <w:top w:val="none" w:sz="0" w:space="0" w:color="auto"/>
        <w:left w:val="none" w:sz="0" w:space="0" w:color="auto"/>
        <w:bottom w:val="none" w:sz="0" w:space="0" w:color="auto"/>
        <w:right w:val="none" w:sz="0" w:space="0" w:color="auto"/>
      </w:divBdr>
    </w:div>
    <w:div w:id="148056893">
      <w:bodyDiv w:val="1"/>
      <w:marLeft w:val="0"/>
      <w:marRight w:val="0"/>
      <w:marTop w:val="0"/>
      <w:marBottom w:val="0"/>
      <w:divBdr>
        <w:top w:val="none" w:sz="0" w:space="0" w:color="auto"/>
        <w:left w:val="none" w:sz="0" w:space="0" w:color="auto"/>
        <w:bottom w:val="none" w:sz="0" w:space="0" w:color="auto"/>
        <w:right w:val="none" w:sz="0" w:space="0" w:color="auto"/>
      </w:divBdr>
    </w:div>
    <w:div w:id="261913500">
      <w:bodyDiv w:val="1"/>
      <w:marLeft w:val="0"/>
      <w:marRight w:val="0"/>
      <w:marTop w:val="0"/>
      <w:marBottom w:val="0"/>
      <w:divBdr>
        <w:top w:val="none" w:sz="0" w:space="0" w:color="auto"/>
        <w:left w:val="none" w:sz="0" w:space="0" w:color="auto"/>
        <w:bottom w:val="none" w:sz="0" w:space="0" w:color="auto"/>
        <w:right w:val="none" w:sz="0" w:space="0" w:color="auto"/>
      </w:divBdr>
      <w:divsChild>
        <w:div w:id="2053535923">
          <w:marLeft w:val="0"/>
          <w:marRight w:val="0"/>
          <w:marTop w:val="0"/>
          <w:marBottom w:val="0"/>
          <w:divBdr>
            <w:top w:val="none" w:sz="0" w:space="0" w:color="auto"/>
            <w:left w:val="none" w:sz="0" w:space="0" w:color="auto"/>
            <w:bottom w:val="none" w:sz="0" w:space="0" w:color="auto"/>
            <w:right w:val="none" w:sz="0" w:space="0" w:color="auto"/>
          </w:divBdr>
        </w:div>
      </w:divsChild>
    </w:div>
    <w:div w:id="322780271">
      <w:bodyDiv w:val="1"/>
      <w:marLeft w:val="0"/>
      <w:marRight w:val="0"/>
      <w:marTop w:val="0"/>
      <w:marBottom w:val="0"/>
      <w:divBdr>
        <w:top w:val="none" w:sz="0" w:space="0" w:color="auto"/>
        <w:left w:val="none" w:sz="0" w:space="0" w:color="auto"/>
        <w:bottom w:val="none" w:sz="0" w:space="0" w:color="auto"/>
        <w:right w:val="none" w:sz="0" w:space="0" w:color="auto"/>
      </w:divBdr>
    </w:div>
    <w:div w:id="414591852">
      <w:bodyDiv w:val="1"/>
      <w:marLeft w:val="0"/>
      <w:marRight w:val="0"/>
      <w:marTop w:val="0"/>
      <w:marBottom w:val="0"/>
      <w:divBdr>
        <w:top w:val="none" w:sz="0" w:space="0" w:color="auto"/>
        <w:left w:val="none" w:sz="0" w:space="0" w:color="auto"/>
        <w:bottom w:val="none" w:sz="0" w:space="0" w:color="auto"/>
        <w:right w:val="none" w:sz="0" w:space="0" w:color="auto"/>
      </w:divBdr>
    </w:div>
    <w:div w:id="823861837">
      <w:bodyDiv w:val="1"/>
      <w:marLeft w:val="0"/>
      <w:marRight w:val="0"/>
      <w:marTop w:val="0"/>
      <w:marBottom w:val="0"/>
      <w:divBdr>
        <w:top w:val="none" w:sz="0" w:space="0" w:color="auto"/>
        <w:left w:val="none" w:sz="0" w:space="0" w:color="auto"/>
        <w:bottom w:val="none" w:sz="0" w:space="0" w:color="auto"/>
        <w:right w:val="none" w:sz="0" w:space="0" w:color="auto"/>
      </w:divBdr>
    </w:div>
    <w:div w:id="1164131174">
      <w:bodyDiv w:val="1"/>
      <w:marLeft w:val="0"/>
      <w:marRight w:val="0"/>
      <w:marTop w:val="0"/>
      <w:marBottom w:val="0"/>
      <w:divBdr>
        <w:top w:val="none" w:sz="0" w:space="0" w:color="auto"/>
        <w:left w:val="none" w:sz="0" w:space="0" w:color="auto"/>
        <w:bottom w:val="none" w:sz="0" w:space="0" w:color="auto"/>
        <w:right w:val="none" w:sz="0" w:space="0" w:color="auto"/>
      </w:divBdr>
    </w:div>
    <w:div w:id="1216576180">
      <w:bodyDiv w:val="1"/>
      <w:marLeft w:val="0"/>
      <w:marRight w:val="0"/>
      <w:marTop w:val="0"/>
      <w:marBottom w:val="0"/>
      <w:divBdr>
        <w:top w:val="none" w:sz="0" w:space="0" w:color="auto"/>
        <w:left w:val="none" w:sz="0" w:space="0" w:color="auto"/>
        <w:bottom w:val="none" w:sz="0" w:space="0" w:color="auto"/>
        <w:right w:val="none" w:sz="0" w:space="0" w:color="auto"/>
      </w:divBdr>
    </w:div>
    <w:div w:id="1228225366">
      <w:bodyDiv w:val="1"/>
      <w:marLeft w:val="0"/>
      <w:marRight w:val="0"/>
      <w:marTop w:val="0"/>
      <w:marBottom w:val="0"/>
      <w:divBdr>
        <w:top w:val="none" w:sz="0" w:space="0" w:color="auto"/>
        <w:left w:val="none" w:sz="0" w:space="0" w:color="auto"/>
        <w:bottom w:val="none" w:sz="0" w:space="0" w:color="auto"/>
        <w:right w:val="none" w:sz="0" w:space="0" w:color="auto"/>
      </w:divBdr>
    </w:div>
    <w:div w:id="1277446020">
      <w:bodyDiv w:val="1"/>
      <w:marLeft w:val="0"/>
      <w:marRight w:val="0"/>
      <w:marTop w:val="0"/>
      <w:marBottom w:val="0"/>
      <w:divBdr>
        <w:top w:val="none" w:sz="0" w:space="0" w:color="auto"/>
        <w:left w:val="none" w:sz="0" w:space="0" w:color="auto"/>
        <w:bottom w:val="none" w:sz="0" w:space="0" w:color="auto"/>
        <w:right w:val="none" w:sz="0" w:space="0" w:color="auto"/>
      </w:divBdr>
    </w:div>
    <w:div w:id="1329209454">
      <w:bodyDiv w:val="1"/>
      <w:marLeft w:val="0"/>
      <w:marRight w:val="0"/>
      <w:marTop w:val="0"/>
      <w:marBottom w:val="0"/>
      <w:divBdr>
        <w:top w:val="none" w:sz="0" w:space="0" w:color="auto"/>
        <w:left w:val="none" w:sz="0" w:space="0" w:color="auto"/>
        <w:bottom w:val="none" w:sz="0" w:space="0" w:color="auto"/>
        <w:right w:val="none" w:sz="0" w:space="0" w:color="auto"/>
      </w:divBdr>
    </w:div>
    <w:div w:id="1643078253">
      <w:bodyDiv w:val="1"/>
      <w:marLeft w:val="0"/>
      <w:marRight w:val="0"/>
      <w:marTop w:val="0"/>
      <w:marBottom w:val="0"/>
      <w:divBdr>
        <w:top w:val="none" w:sz="0" w:space="0" w:color="auto"/>
        <w:left w:val="none" w:sz="0" w:space="0" w:color="auto"/>
        <w:bottom w:val="none" w:sz="0" w:space="0" w:color="auto"/>
        <w:right w:val="none" w:sz="0" w:space="0" w:color="auto"/>
      </w:divBdr>
    </w:div>
    <w:div w:id="1675764402">
      <w:bodyDiv w:val="1"/>
      <w:marLeft w:val="0"/>
      <w:marRight w:val="0"/>
      <w:marTop w:val="0"/>
      <w:marBottom w:val="0"/>
      <w:divBdr>
        <w:top w:val="none" w:sz="0" w:space="0" w:color="auto"/>
        <w:left w:val="none" w:sz="0" w:space="0" w:color="auto"/>
        <w:bottom w:val="none" w:sz="0" w:space="0" w:color="auto"/>
        <w:right w:val="none" w:sz="0" w:space="0" w:color="auto"/>
      </w:divBdr>
      <w:divsChild>
        <w:div w:id="1123042027">
          <w:marLeft w:val="0"/>
          <w:marRight w:val="0"/>
          <w:marTop w:val="0"/>
          <w:marBottom w:val="0"/>
          <w:divBdr>
            <w:top w:val="none" w:sz="0" w:space="0" w:color="auto"/>
            <w:left w:val="none" w:sz="0" w:space="0" w:color="auto"/>
            <w:bottom w:val="none" w:sz="0" w:space="0" w:color="auto"/>
            <w:right w:val="none" w:sz="0" w:space="0" w:color="auto"/>
          </w:divBdr>
        </w:div>
      </w:divsChild>
    </w:div>
    <w:div w:id="200994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svg"/><Relationship Id="rId18" Type="http://schemas.openxmlformats.org/officeDocument/2006/relationships/hyperlink" Target="mailto:ichr@ichr.p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image" Target="media/image6.sv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jamoos@ichr.ps"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hyperlink" Target="mailto:kzahran@ichr.ps"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s://about.fb.com/news/2021/04/taking-action-against-hackers-in-palestine/" TargetMode="External"/><Relationship Id="rId1" Type="http://schemas.openxmlformats.org/officeDocument/2006/relationships/hyperlink" Target="https://cdn1.ichr.ps/cached_uploads/download/2022/03/07/the-joint-fact-finding-report-issued-by-ichr-and-al-haq-regarding-the-killing-of-activist-nizar-banat-final-1646638380.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3FBD9C-6C52-412F-80EA-6C76BF6FAF3B}"/>
</file>

<file path=customXml/itemProps2.xml><?xml version="1.0" encoding="utf-8"?>
<ds:datastoreItem xmlns:ds="http://schemas.openxmlformats.org/officeDocument/2006/customXml" ds:itemID="{7D4907C3-7D77-42EB-B2C2-E38D552C0150}">
  <ds:schemaRefs>
    <ds:schemaRef ds:uri="http://schemas.microsoft.com/sharepoint/v3/contenttype/forms"/>
  </ds:schemaRefs>
</ds:datastoreItem>
</file>

<file path=customXml/itemProps3.xml><?xml version="1.0" encoding="utf-8"?>
<ds:datastoreItem xmlns:ds="http://schemas.openxmlformats.org/officeDocument/2006/customXml" ds:itemID="{956BACD6-C76A-44E0-B861-2A4C15D1D851}">
  <ds:schemaRefs>
    <ds:schemaRef ds:uri="http://www.w3.org/XML/1998/namespace"/>
    <ds:schemaRef ds:uri="http://schemas.openxmlformats.org/package/2006/metadata/core-properties"/>
    <ds:schemaRef ds:uri="http://purl.org/dc/dcmitype/"/>
    <ds:schemaRef ds:uri="http://schemas.microsoft.com/office/2006/documentManagement/types"/>
    <ds:schemaRef ds:uri="http://schemas.microsoft.com/office/2006/metadata/properties"/>
    <ds:schemaRef ds:uri="d7e47de4-7730-4673-b231-8e75d3d1e493"/>
    <ds:schemaRef ds:uri="http://purl.org/dc/elements/1.1/"/>
    <ds:schemaRef ds:uri="http://purl.org/dc/terms/"/>
    <ds:schemaRef ds:uri="http://schemas.microsoft.com/office/infopath/2007/PartnerControls"/>
    <ds:schemaRef ds:uri="d88db29c-9d5f-420e-930c-d5ddff0b2753"/>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7888</Words>
  <Characters>44964</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Shamasneh</dc:creator>
  <cp:keywords/>
  <dc:description/>
  <cp:lastModifiedBy>Ola Adawi</cp:lastModifiedBy>
  <cp:revision>4</cp:revision>
  <cp:lastPrinted>2021-11-21T13:27:00Z</cp:lastPrinted>
  <dcterms:created xsi:type="dcterms:W3CDTF">2022-05-01T08:35:00Z</dcterms:created>
  <dcterms:modified xsi:type="dcterms:W3CDTF">2022-05-01T08:50:00Z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