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9A515" w14:textId="77777777" w:rsidR="008B49E9" w:rsidRDefault="00BA7B0A">
      <w:pPr>
        <w:pStyle w:val="Body"/>
        <w:jc w:val="center"/>
        <w:rPr>
          <w:b/>
          <w:bCs/>
          <w:sz w:val="28"/>
          <w:szCs w:val="28"/>
        </w:rPr>
      </w:pPr>
      <w:r>
        <w:rPr>
          <w:b/>
          <w:bCs/>
          <w:noProof/>
          <w:sz w:val="28"/>
          <w:szCs w:val="28"/>
        </w:rPr>
        <w:drawing>
          <wp:anchor distT="152400" distB="152400" distL="152400" distR="152400" simplePos="0" relativeHeight="251659264" behindDoc="0" locked="0" layoutInCell="1" allowOverlap="1" wp14:anchorId="606C67E5" wp14:editId="39DAAA43">
            <wp:simplePos x="0" y="0"/>
            <wp:positionH relativeFrom="margin">
              <wp:posOffset>-6350</wp:posOffset>
            </wp:positionH>
            <wp:positionV relativeFrom="line">
              <wp:posOffset>-152399</wp:posOffset>
            </wp:positionV>
            <wp:extent cx="4163524" cy="1848414"/>
            <wp:effectExtent l="0" t="0" r="0" b="0"/>
            <wp:wrapThrough wrapText="bothSides" distL="152400" distR="152400">
              <wp:wrapPolygon edited="1">
                <wp:start x="0" y="0"/>
                <wp:lineTo x="21600" y="0"/>
                <wp:lineTo x="21600" y="21600"/>
                <wp:lineTo x="0" y="21600"/>
                <wp:lineTo x="0" y="0"/>
              </wp:wrapPolygon>
            </wp:wrapThrough>
            <wp:docPr id="1073741825" name="officeArt object" descr="cpe.jpg"/>
            <wp:cNvGraphicFramePr/>
            <a:graphic xmlns:a="http://schemas.openxmlformats.org/drawingml/2006/main">
              <a:graphicData uri="http://schemas.openxmlformats.org/drawingml/2006/picture">
                <pic:pic xmlns:pic="http://schemas.openxmlformats.org/drawingml/2006/picture">
                  <pic:nvPicPr>
                    <pic:cNvPr id="1073741825" name="cpe.jpg" descr="cpe.jpg"/>
                    <pic:cNvPicPr>
                      <a:picLocks noChangeAspect="1"/>
                    </pic:cNvPicPr>
                  </pic:nvPicPr>
                  <pic:blipFill>
                    <a:blip r:embed="rId6"/>
                    <a:stretch>
                      <a:fillRect/>
                    </a:stretch>
                  </pic:blipFill>
                  <pic:spPr>
                    <a:xfrm>
                      <a:off x="0" y="0"/>
                      <a:ext cx="4163524" cy="1848414"/>
                    </a:xfrm>
                    <a:prstGeom prst="rect">
                      <a:avLst/>
                    </a:prstGeom>
                    <a:ln w="12700" cap="flat">
                      <a:noFill/>
                      <a:miter lim="400000"/>
                    </a:ln>
                    <a:effectLst/>
                  </pic:spPr>
                </pic:pic>
              </a:graphicData>
            </a:graphic>
          </wp:anchor>
        </w:drawing>
      </w:r>
    </w:p>
    <w:p w14:paraId="7F4EE380" w14:textId="77777777" w:rsidR="008B49E9" w:rsidRDefault="008B49E9">
      <w:pPr>
        <w:pStyle w:val="Body"/>
        <w:jc w:val="center"/>
        <w:rPr>
          <w:b/>
          <w:bCs/>
          <w:sz w:val="28"/>
          <w:szCs w:val="28"/>
        </w:rPr>
      </w:pPr>
    </w:p>
    <w:p w14:paraId="107AB3A4" w14:textId="77777777" w:rsidR="008B49E9" w:rsidRDefault="008B49E9">
      <w:pPr>
        <w:pStyle w:val="Body"/>
        <w:jc w:val="center"/>
        <w:rPr>
          <w:b/>
          <w:bCs/>
          <w:sz w:val="28"/>
          <w:szCs w:val="28"/>
        </w:rPr>
      </w:pPr>
    </w:p>
    <w:p w14:paraId="4E4A6415" w14:textId="77777777" w:rsidR="008B49E9" w:rsidRDefault="008B49E9">
      <w:pPr>
        <w:pStyle w:val="Body"/>
        <w:jc w:val="center"/>
        <w:rPr>
          <w:b/>
          <w:bCs/>
          <w:sz w:val="28"/>
          <w:szCs w:val="28"/>
        </w:rPr>
      </w:pPr>
    </w:p>
    <w:p w14:paraId="16EE5ABD" w14:textId="77777777" w:rsidR="008B49E9" w:rsidRDefault="008B49E9">
      <w:pPr>
        <w:pStyle w:val="Body"/>
        <w:jc w:val="center"/>
        <w:rPr>
          <w:b/>
          <w:bCs/>
          <w:sz w:val="28"/>
          <w:szCs w:val="28"/>
        </w:rPr>
      </w:pPr>
    </w:p>
    <w:p w14:paraId="511BC7B8" w14:textId="77777777" w:rsidR="008B49E9" w:rsidRDefault="008B49E9">
      <w:pPr>
        <w:pStyle w:val="Body"/>
        <w:jc w:val="center"/>
        <w:rPr>
          <w:b/>
          <w:bCs/>
          <w:sz w:val="28"/>
          <w:szCs w:val="28"/>
        </w:rPr>
      </w:pPr>
    </w:p>
    <w:p w14:paraId="31C9CD7D" w14:textId="77777777" w:rsidR="008B49E9" w:rsidRDefault="008B49E9">
      <w:pPr>
        <w:pStyle w:val="Body"/>
        <w:jc w:val="center"/>
      </w:pPr>
    </w:p>
    <w:p w14:paraId="25DD009D" w14:textId="77777777" w:rsidR="008B49E9" w:rsidRDefault="008B49E9">
      <w:pPr>
        <w:pStyle w:val="Body"/>
        <w:jc w:val="center"/>
      </w:pPr>
    </w:p>
    <w:p w14:paraId="2A6D5676" w14:textId="77777777" w:rsidR="008B49E9" w:rsidRDefault="008B49E9">
      <w:pPr>
        <w:pStyle w:val="Body"/>
        <w:jc w:val="center"/>
      </w:pPr>
    </w:p>
    <w:p w14:paraId="3F9AB506" w14:textId="77777777" w:rsidR="008B49E9" w:rsidRDefault="008B49E9">
      <w:pPr>
        <w:pStyle w:val="Body"/>
        <w:rPr>
          <w:b/>
          <w:bCs/>
          <w:color w:val="017100"/>
          <w:sz w:val="46"/>
          <w:szCs w:val="46"/>
        </w:rPr>
      </w:pPr>
    </w:p>
    <w:p w14:paraId="2D1F7DF3" w14:textId="77777777" w:rsidR="008B49E9" w:rsidRDefault="008B49E9">
      <w:pPr>
        <w:pStyle w:val="Body"/>
        <w:rPr>
          <w:b/>
          <w:bCs/>
          <w:color w:val="017100"/>
          <w:sz w:val="46"/>
          <w:szCs w:val="46"/>
        </w:rPr>
      </w:pPr>
    </w:p>
    <w:p w14:paraId="2C2F93CB" w14:textId="77777777" w:rsidR="008B49E9" w:rsidRDefault="008B49E9">
      <w:pPr>
        <w:pStyle w:val="Body"/>
        <w:rPr>
          <w:b/>
          <w:bCs/>
          <w:color w:val="017100"/>
          <w:sz w:val="46"/>
          <w:szCs w:val="46"/>
        </w:rPr>
      </w:pPr>
    </w:p>
    <w:p w14:paraId="38459549" w14:textId="77777777" w:rsidR="008B49E9" w:rsidRDefault="00BA7B0A">
      <w:pPr>
        <w:pStyle w:val="Body"/>
        <w:rPr>
          <w:b/>
          <w:bCs/>
          <w:color w:val="017100"/>
          <w:sz w:val="46"/>
          <w:szCs w:val="46"/>
        </w:rPr>
      </w:pPr>
      <w:r w:rsidRPr="00BA7B0A">
        <w:rPr>
          <w:b/>
          <w:bCs/>
          <w:color w:val="017100"/>
          <w:sz w:val="46"/>
          <w:szCs w:val="46"/>
          <w:lang w:val="en-US"/>
        </w:rPr>
        <w:t>Alternative Report for the Review of the Implementation by the European Union of the United Nations Convention on the Rights of Persons with Disabilities</w:t>
      </w:r>
    </w:p>
    <w:p w14:paraId="607CD062" w14:textId="77777777" w:rsidR="008B49E9" w:rsidRDefault="008B49E9">
      <w:pPr>
        <w:pStyle w:val="Body"/>
        <w:jc w:val="center"/>
      </w:pPr>
    </w:p>
    <w:p w14:paraId="2F5328A7" w14:textId="77777777" w:rsidR="008B49E9" w:rsidRDefault="008B49E9">
      <w:pPr>
        <w:pStyle w:val="Body"/>
        <w:jc w:val="center"/>
      </w:pPr>
    </w:p>
    <w:p w14:paraId="244B5B79" w14:textId="77777777" w:rsidR="008B49E9" w:rsidRDefault="008B49E9">
      <w:pPr>
        <w:pStyle w:val="Body"/>
        <w:jc w:val="center"/>
      </w:pPr>
    </w:p>
    <w:p w14:paraId="7A00EB66" w14:textId="77777777" w:rsidR="008B49E9" w:rsidRDefault="008B49E9">
      <w:pPr>
        <w:pStyle w:val="Body"/>
        <w:jc w:val="center"/>
      </w:pPr>
    </w:p>
    <w:p w14:paraId="10539BF9" w14:textId="77777777" w:rsidR="008B49E9" w:rsidRDefault="008B49E9">
      <w:pPr>
        <w:pStyle w:val="Body"/>
        <w:jc w:val="center"/>
      </w:pPr>
    </w:p>
    <w:p w14:paraId="729352EE" w14:textId="77777777" w:rsidR="008B49E9" w:rsidRDefault="008B49E9">
      <w:pPr>
        <w:pStyle w:val="Body"/>
        <w:jc w:val="center"/>
      </w:pPr>
    </w:p>
    <w:p w14:paraId="18E16C80" w14:textId="77777777" w:rsidR="008B49E9" w:rsidRDefault="008B49E9">
      <w:pPr>
        <w:pStyle w:val="Body"/>
        <w:jc w:val="center"/>
      </w:pPr>
    </w:p>
    <w:p w14:paraId="1B0C1DAE" w14:textId="77777777" w:rsidR="008B49E9" w:rsidRDefault="008B49E9">
      <w:pPr>
        <w:pStyle w:val="Body"/>
        <w:jc w:val="center"/>
      </w:pPr>
    </w:p>
    <w:p w14:paraId="3ADB5203" w14:textId="77777777" w:rsidR="008B49E9" w:rsidRDefault="008B49E9">
      <w:pPr>
        <w:pStyle w:val="Body"/>
        <w:jc w:val="center"/>
      </w:pPr>
    </w:p>
    <w:p w14:paraId="0AE6009B" w14:textId="77777777" w:rsidR="008B49E9" w:rsidRDefault="008B49E9">
      <w:pPr>
        <w:pStyle w:val="Body"/>
        <w:jc w:val="center"/>
      </w:pPr>
    </w:p>
    <w:p w14:paraId="34B1E0AC" w14:textId="77777777" w:rsidR="008B49E9" w:rsidRDefault="008B49E9">
      <w:pPr>
        <w:pStyle w:val="Body"/>
        <w:jc w:val="center"/>
      </w:pPr>
    </w:p>
    <w:p w14:paraId="27050053" w14:textId="77777777" w:rsidR="008B49E9" w:rsidRDefault="008B49E9">
      <w:pPr>
        <w:pStyle w:val="Body"/>
        <w:jc w:val="center"/>
      </w:pPr>
    </w:p>
    <w:p w14:paraId="05EA41D4" w14:textId="77777777" w:rsidR="008B49E9" w:rsidRDefault="008B49E9">
      <w:pPr>
        <w:pStyle w:val="Body"/>
        <w:jc w:val="center"/>
      </w:pPr>
    </w:p>
    <w:p w14:paraId="06EC150C" w14:textId="77777777" w:rsidR="008B49E9" w:rsidRDefault="008B49E9">
      <w:pPr>
        <w:pStyle w:val="Body"/>
        <w:jc w:val="center"/>
      </w:pPr>
    </w:p>
    <w:p w14:paraId="29F01539" w14:textId="77777777" w:rsidR="008B49E9" w:rsidRDefault="008B49E9">
      <w:pPr>
        <w:pStyle w:val="Body"/>
        <w:jc w:val="center"/>
      </w:pPr>
    </w:p>
    <w:p w14:paraId="7A6AF775" w14:textId="77777777" w:rsidR="008B49E9" w:rsidRDefault="008B49E9">
      <w:pPr>
        <w:pStyle w:val="Body"/>
        <w:jc w:val="center"/>
      </w:pPr>
    </w:p>
    <w:p w14:paraId="74A435D7" w14:textId="77777777" w:rsidR="008B49E9" w:rsidRDefault="008B49E9">
      <w:pPr>
        <w:pStyle w:val="Body"/>
        <w:jc w:val="center"/>
      </w:pPr>
    </w:p>
    <w:p w14:paraId="5AB28080" w14:textId="77777777" w:rsidR="008B49E9" w:rsidRDefault="008B49E9">
      <w:pPr>
        <w:pStyle w:val="Body"/>
        <w:jc w:val="center"/>
      </w:pPr>
    </w:p>
    <w:p w14:paraId="0CF89109" w14:textId="77777777" w:rsidR="008B49E9" w:rsidRDefault="008B49E9">
      <w:pPr>
        <w:pStyle w:val="Body"/>
        <w:jc w:val="center"/>
      </w:pPr>
    </w:p>
    <w:p w14:paraId="36E0B447" w14:textId="77777777" w:rsidR="008B49E9" w:rsidRDefault="008B49E9">
      <w:pPr>
        <w:pStyle w:val="Body"/>
        <w:jc w:val="center"/>
      </w:pPr>
    </w:p>
    <w:p w14:paraId="6570CF7F" w14:textId="77777777" w:rsidR="008B49E9" w:rsidRDefault="008B49E9">
      <w:pPr>
        <w:pStyle w:val="Body"/>
        <w:jc w:val="center"/>
      </w:pPr>
    </w:p>
    <w:p w14:paraId="33D534D2" w14:textId="77777777" w:rsidR="008B49E9" w:rsidRDefault="008B49E9">
      <w:pPr>
        <w:pStyle w:val="Body"/>
        <w:jc w:val="center"/>
      </w:pPr>
    </w:p>
    <w:p w14:paraId="15583588" w14:textId="77777777" w:rsidR="008B49E9" w:rsidRDefault="008B49E9">
      <w:pPr>
        <w:pStyle w:val="Body"/>
        <w:jc w:val="center"/>
      </w:pPr>
    </w:p>
    <w:p w14:paraId="740A62B1" w14:textId="77777777" w:rsidR="008B49E9" w:rsidRDefault="008B49E9">
      <w:pPr>
        <w:pStyle w:val="Body"/>
        <w:jc w:val="center"/>
      </w:pPr>
    </w:p>
    <w:p w14:paraId="4D791AA8" w14:textId="77777777" w:rsidR="008B49E9" w:rsidRDefault="008B49E9">
      <w:pPr>
        <w:pStyle w:val="Body"/>
        <w:jc w:val="center"/>
      </w:pPr>
    </w:p>
    <w:p w14:paraId="3A0090B3" w14:textId="77777777" w:rsidR="008B49E9" w:rsidRDefault="008B49E9">
      <w:pPr>
        <w:pStyle w:val="Body"/>
        <w:jc w:val="center"/>
      </w:pPr>
    </w:p>
    <w:p w14:paraId="42BBEB8F" w14:textId="77777777" w:rsidR="008B49E9" w:rsidRDefault="008B49E9">
      <w:pPr>
        <w:pStyle w:val="Body"/>
        <w:jc w:val="center"/>
      </w:pPr>
    </w:p>
    <w:p w14:paraId="3E48A032" w14:textId="77777777" w:rsidR="008B49E9" w:rsidRDefault="008B49E9">
      <w:pPr>
        <w:pStyle w:val="Body"/>
        <w:jc w:val="center"/>
      </w:pPr>
    </w:p>
    <w:p w14:paraId="03367070" w14:textId="77777777" w:rsidR="008B49E9" w:rsidRDefault="008B49E9">
      <w:pPr>
        <w:pStyle w:val="Body"/>
        <w:jc w:val="center"/>
      </w:pPr>
    </w:p>
    <w:p w14:paraId="5A843D19" w14:textId="77777777" w:rsidR="008B49E9" w:rsidRDefault="00BA7B0A">
      <w:pPr>
        <w:pStyle w:val="Body"/>
      </w:pPr>
      <w:r>
        <w:rPr>
          <w:b/>
          <w:bCs/>
          <w:sz w:val="28"/>
          <w:szCs w:val="28"/>
          <w:lang w:val="fr-FR"/>
        </w:rPr>
        <w:lastRenderedPageBreak/>
        <w:t>31 January 2025</w:t>
      </w:r>
      <w:r>
        <w:rPr>
          <w:rFonts w:ascii="Arial Unicode MS" w:eastAsia="Arial Unicode MS" w:hAnsi="Arial Unicode MS" w:cs="Arial Unicode MS"/>
          <w:sz w:val="28"/>
          <w:szCs w:val="28"/>
        </w:rPr>
        <w:br w:type="page"/>
      </w:r>
    </w:p>
    <w:p w14:paraId="1E28BBB5" w14:textId="77777777" w:rsidR="008B49E9" w:rsidRDefault="008B49E9">
      <w:pPr>
        <w:pStyle w:val="Body"/>
      </w:pPr>
    </w:p>
    <w:p w14:paraId="1BB5CE25" w14:textId="77777777" w:rsidR="008B49E9" w:rsidRDefault="008B49E9">
      <w:pPr>
        <w:pStyle w:val="Body"/>
      </w:pPr>
    </w:p>
    <w:p w14:paraId="28B22E8B" w14:textId="77777777" w:rsidR="008B49E9" w:rsidRDefault="00BA7B0A">
      <w:pPr>
        <w:pStyle w:val="Body"/>
      </w:pPr>
      <w:r>
        <w:fldChar w:fldCharType="begin"/>
      </w:r>
      <w:r>
        <w:instrText xml:space="preserve"> TOC \o 2-3 </w:instrText>
      </w:r>
      <w:r>
        <w:fldChar w:fldCharType="separate"/>
      </w:r>
    </w:p>
    <w:p w14:paraId="56B060D0" w14:textId="77777777" w:rsidR="008B49E9" w:rsidRDefault="00BA7B0A">
      <w:pPr>
        <w:pStyle w:val="TOC2"/>
      </w:pPr>
      <w:r>
        <w:rPr>
          <w:lang w:val="en-US"/>
        </w:rPr>
        <w:t>Executive Summary</w:t>
      </w:r>
      <w:r>
        <w:rPr>
          <w:lang w:val="en-US"/>
        </w:rPr>
        <w:tab/>
      </w:r>
      <w:r>
        <w:fldChar w:fldCharType="begin"/>
      </w:r>
      <w:r>
        <w:instrText xml:space="preserve"> PAGEREF _Toc \h </w:instrText>
      </w:r>
      <w:r>
        <w:fldChar w:fldCharType="separate"/>
      </w:r>
      <w:r>
        <w:t>3</w:t>
      </w:r>
      <w:r>
        <w:fldChar w:fldCharType="end"/>
      </w:r>
    </w:p>
    <w:p w14:paraId="477EEEFE" w14:textId="77777777" w:rsidR="008B49E9" w:rsidRDefault="00BA7B0A">
      <w:pPr>
        <w:pStyle w:val="TOC2"/>
      </w:pPr>
      <w:r>
        <w:rPr>
          <w:lang w:val="es-ES_tradnl"/>
        </w:rPr>
        <w:t>Cerebral Palsy Europe</w:t>
      </w:r>
      <w:r>
        <w:rPr>
          <w:lang w:val="es-ES_tradnl"/>
        </w:rPr>
        <w:tab/>
      </w:r>
      <w:r>
        <w:fldChar w:fldCharType="begin"/>
      </w:r>
      <w:r>
        <w:instrText xml:space="preserve"> PAGEREF _Toc1 \h </w:instrText>
      </w:r>
      <w:r>
        <w:fldChar w:fldCharType="separate"/>
      </w:r>
      <w:r>
        <w:t>3</w:t>
      </w:r>
      <w:r>
        <w:fldChar w:fldCharType="end"/>
      </w:r>
    </w:p>
    <w:p w14:paraId="6BA36189" w14:textId="77777777" w:rsidR="008B49E9" w:rsidRDefault="00BA7B0A">
      <w:pPr>
        <w:pStyle w:val="TOC2"/>
      </w:pPr>
      <w:r>
        <w:rPr>
          <w:lang w:val="en-US"/>
        </w:rPr>
        <w:t>What is cerebral palsy?</w:t>
      </w:r>
      <w:r>
        <w:rPr>
          <w:lang w:val="en-US"/>
        </w:rPr>
        <w:tab/>
      </w:r>
      <w:r>
        <w:fldChar w:fldCharType="begin"/>
      </w:r>
      <w:r>
        <w:instrText xml:space="preserve"> PAGEREF _Toc2 \h </w:instrText>
      </w:r>
      <w:r>
        <w:fldChar w:fldCharType="separate"/>
      </w:r>
      <w:r>
        <w:t>3</w:t>
      </w:r>
      <w:r>
        <w:fldChar w:fldCharType="end"/>
      </w:r>
    </w:p>
    <w:p w14:paraId="75E1A7BF" w14:textId="77777777" w:rsidR="008B49E9" w:rsidRDefault="00BA7B0A">
      <w:pPr>
        <w:pStyle w:val="TOC2"/>
      </w:pPr>
      <w:r>
        <w:rPr>
          <w:lang w:val="en-US"/>
        </w:rPr>
        <w:t>European Disability Forum alternative report</w:t>
      </w:r>
      <w:r>
        <w:rPr>
          <w:lang w:val="en-US"/>
        </w:rPr>
        <w:tab/>
      </w:r>
      <w:r>
        <w:fldChar w:fldCharType="begin"/>
      </w:r>
      <w:r>
        <w:instrText xml:space="preserve"> PAGEREF _Toc3 \h </w:instrText>
      </w:r>
      <w:r>
        <w:fldChar w:fldCharType="separate"/>
      </w:r>
      <w:r>
        <w:t>4</w:t>
      </w:r>
      <w:r>
        <w:fldChar w:fldCharType="end"/>
      </w:r>
    </w:p>
    <w:p w14:paraId="6CED48A3" w14:textId="77777777" w:rsidR="008B49E9" w:rsidRDefault="00BA7B0A">
      <w:pPr>
        <w:pStyle w:val="TOC2"/>
      </w:pPr>
      <w:r>
        <w:rPr>
          <w:lang w:val="en-US"/>
        </w:rPr>
        <w:t>Review of implementation of the UNCRPD by the EU</w:t>
      </w:r>
      <w:r>
        <w:rPr>
          <w:lang w:val="en-US"/>
        </w:rPr>
        <w:tab/>
      </w:r>
      <w:r>
        <w:fldChar w:fldCharType="begin"/>
      </w:r>
      <w:r>
        <w:instrText xml:space="preserve"> PAGEREF _Toc4 \h </w:instrText>
      </w:r>
      <w:r>
        <w:fldChar w:fldCharType="separate"/>
      </w:r>
      <w:r>
        <w:t>4</w:t>
      </w:r>
      <w:r>
        <w:fldChar w:fldCharType="end"/>
      </w:r>
    </w:p>
    <w:p w14:paraId="660897F6" w14:textId="77777777" w:rsidR="008B49E9" w:rsidRDefault="00BA7B0A">
      <w:pPr>
        <w:pStyle w:val="TOC3"/>
      </w:pPr>
      <w:r>
        <w:rPr>
          <w:lang w:val="en-US"/>
        </w:rPr>
        <w:t>Article 5 - Equality and non-discrimination</w:t>
      </w:r>
      <w:r>
        <w:rPr>
          <w:lang w:val="en-US"/>
        </w:rPr>
        <w:tab/>
      </w:r>
      <w:r>
        <w:fldChar w:fldCharType="begin"/>
      </w:r>
      <w:r>
        <w:instrText xml:space="preserve"> PAGEREF _Toc5 \h </w:instrText>
      </w:r>
      <w:r>
        <w:fldChar w:fldCharType="separate"/>
      </w:r>
      <w:r>
        <w:t>4</w:t>
      </w:r>
      <w:r>
        <w:fldChar w:fldCharType="end"/>
      </w:r>
    </w:p>
    <w:p w14:paraId="72BAB738" w14:textId="77777777" w:rsidR="008B49E9" w:rsidRDefault="00BA7B0A">
      <w:pPr>
        <w:pStyle w:val="TOC3"/>
      </w:pPr>
      <w:r>
        <w:rPr>
          <w:lang w:val="en-US"/>
        </w:rPr>
        <w:t>Article 6 - Women with disabilities</w:t>
      </w:r>
      <w:r>
        <w:rPr>
          <w:lang w:val="en-US"/>
        </w:rPr>
        <w:tab/>
      </w:r>
      <w:r>
        <w:fldChar w:fldCharType="begin"/>
      </w:r>
      <w:r>
        <w:instrText xml:space="preserve"> PAGEREF _Toc6 \h </w:instrText>
      </w:r>
      <w:r>
        <w:fldChar w:fldCharType="separate"/>
      </w:r>
      <w:r>
        <w:t>5</w:t>
      </w:r>
      <w:r>
        <w:fldChar w:fldCharType="end"/>
      </w:r>
    </w:p>
    <w:p w14:paraId="0013CD0B" w14:textId="77777777" w:rsidR="008B49E9" w:rsidRDefault="00BA7B0A">
      <w:pPr>
        <w:pStyle w:val="TOC3"/>
      </w:pPr>
      <w:r>
        <w:rPr>
          <w:lang w:val="en-US"/>
        </w:rPr>
        <w:t>Article 7 - Children with disabilities</w:t>
      </w:r>
      <w:r>
        <w:rPr>
          <w:lang w:val="en-US"/>
        </w:rPr>
        <w:tab/>
      </w:r>
      <w:r>
        <w:fldChar w:fldCharType="begin"/>
      </w:r>
      <w:r>
        <w:instrText xml:space="preserve"> PAGEREF _Toc7 \h </w:instrText>
      </w:r>
      <w:r>
        <w:fldChar w:fldCharType="separate"/>
      </w:r>
      <w:r>
        <w:t>5</w:t>
      </w:r>
      <w:r>
        <w:fldChar w:fldCharType="end"/>
      </w:r>
    </w:p>
    <w:p w14:paraId="12ADCF7A" w14:textId="77777777" w:rsidR="008B49E9" w:rsidRDefault="00BA7B0A">
      <w:pPr>
        <w:pStyle w:val="TOC3"/>
      </w:pPr>
      <w:r>
        <w:rPr>
          <w:lang w:val="en-US"/>
        </w:rPr>
        <w:t>Article 8 - Awareness-raising</w:t>
      </w:r>
      <w:r>
        <w:rPr>
          <w:lang w:val="en-US"/>
        </w:rPr>
        <w:tab/>
      </w:r>
      <w:r>
        <w:fldChar w:fldCharType="begin"/>
      </w:r>
      <w:r>
        <w:instrText xml:space="preserve"> PAGEREF _Toc8 \h </w:instrText>
      </w:r>
      <w:r>
        <w:fldChar w:fldCharType="separate"/>
      </w:r>
      <w:r>
        <w:t>5</w:t>
      </w:r>
      <w:r>
        <w:fldChar w:fldCharType="end"/>
      </w:r>
    </w:p>
    <w:p w14:paraId="30FD42CE" w14:textId="77777777" w:rsidR="008B49E9" w:rsidRDefault="00BA7B0A">
      <w:pPr>
        <w:pStyle w:val="TOC3"/>
      </w:pPr>
      <w:r>
        <w:rPr>
          <w:lang w:val="en-US"/>
        </w:rPr>
        <w:t>Article 9 - Accessibility</w:t>
      </w:r>
      <w:r>
        <w:rPr>
          <w:lang w:val="en-US"/>
        </w:rPr>
        <w:tab/>
      </w:r>
      <w:r>
        <w:fldChar w:fldCharType="begin"/>
      </w:r>
      <w:r>
        <w:instrText xml:space="preserve"> PAGEREF _Toc9 \h </w:instrText>
      </w:r>
      <w:r>
        <w:fldChar w:fldCharType="separate"/>
      </w:r>
      <w:r>
        <w:t>6</w:t>
      </w:r>
      <w:r>
        <w:fldChar w:fldCharType="end"/>
      </w:r>
    </w:p>
    <w:p w14:paraId="7EF8A4E7" w14:textId="77777777" w:rsidR="008B49E9" w:rsidRDefault="00BA7B0A">
      <w:pPr>
        <w:pStyle w:val="TOC3"/>
      </w:pPr>
      <w:r>
        <w:rPr>
          <w:lang w:val="en-US"/>
        </w:rPr>
        <w:t>Article 10 - Right to life</w:t>
      </w:r>
      <w:r>
        <w:rPr>
          <w:lang w:val="en-US"/>
        </w:rPr>
        <w:tab/>
      </w:r>
      <w:r>
        <w:fldChar w:fldCharType="begin"/>
      </w:r>
      <w:r>
        <w:instrText xml:space="preserve"> PAGEREF _Toc10 \h </w:instrText>
      </w:r>
      <w:r>
        <w:fldChar w:fldCharType="separate"/>
      </w:r>
      <w:r>
        <w:t>6</w:t>
      </w:r>
      <w:r>
        <w:fldChar w:fldCharType="end"/>
      </w:r>
    </w:p>
    <w:p w14:paraId="23DB3844" w14:textId="77777777" w:rsidR="008B49E9" w:rsidRDefault="00BA7B0A">
      <w:pPr>
        <w:pStyle w:val="TOC3"/>
      </w:pPr>
      <w:r>
        <w:rPr>
          <w:lang w:val="en-US"/>
        </w:rPr>
        <w:t>Article 11 - Situations of risk and humanitarian emergencies</w:t>
      </w:r>
      <w:r>
        <w:rPr>
          <w:lang w:val="en-US"/>
        </w:rPr>
        <w:tab/>
      </w:r>
      <w:r>
        <w:fldChar w:fldCharType="begin"/>
      </w:r>
      <w:r>
        <w:instrText xml:space="preserve"> PAGEREF _Toc11 \h </w:instrText>
      </w:r>
      <w:r>
        <w:fldChar w:fldCharType="separate"/>
      </w:r>
      <w:r>
        <w:t>7</w:t>
      </w:r>
      <w:r>
        <w:fldChar w:fldCharType="end"/>
      </w:r>
    </w:p>
    <w:p w14:paraId="2C0A5668" w14:textId="77777777" w:rsidR="008B49E9" w:rsidRDefault="00BA7B0A">
      <w:pPr>
        <w:pStyle w:val="TOC3"/>
      </w:pPr>
      <w:r>
        <w:rPr>
          <w:lang w:val="en-US"/>
        </w:rPr>
        <w:t>Article 12 - Equal recognition before the law</w:t>
      </w:r>
      <w:r>
        <w:rPr>
          <w:lang w:val="en-US"/>
        </w:rPr>
        <w:tab/>
      </w:r>
      <w:r>
        <w:fldChar w:fldCharType="begin"/>
      </w:r>
      <w:r>
        <w:instrText xml:space="preserve"> PAGEREF _Toc12 \h </w:instrText>
      </w:r>
      <w:r>
        <w:fldChar w:fldCharType="separate"/>
      </w:r>
      <w:r>
        <w:t>7</w:t>
      </w:r>
      <w:r>
        <w:fldChar w:fldCharType="end"/>
      </w:r>
    </w:p>
    <w:p w14:paraId="23A1951F" w14:textId="77777777" w:rsidR="008B49E9" w:rsidRDefault="00BA7B0A">
      <w:pPr>
        <w:pStyle w:val="TOC3"/>
      </w:pPr>
      <w:r>
        <w:rPr>
          <w:lang w:val="en-US"/>
        </w:rPr>
        <w:t>Article 13 - Access to justice</w:t>
      </w:r>
      <w:r>
        <w:rPr>
          <w:lang w:val="en-US"/>
        </w:rPr>
        <w:tab/>
      </w:r>
      <w:r>
        <w:fldChar w:fldCharType="begin"/>
      </w:r>
      <w:r>
        <w:instrText xml:space="preserve"> PAGEREF _Toc13 \h </w:instrText>
      </w:r>
      <w:r>
        <w:fldChar w:fldCharType="separate"/>
      </w:r>
      <w:r>
        <w:t>7</w:t>
      </w:r>
      <w:r>
        <w:fldChar w:fldCharType="end"/>
      </w:r>
    </w:p>
    <w:p w14:paraId="08E288BA" w14:textId="77777777" w:rsidR="008B49E9" w:rsidRDefault="00BA7B0A">
      <w:pPr>
        <w:pStyle w:val="TOC3"/>
      </w:pPr>
      <w:r>
        <w:rPr>
          <w:lang w:val="en-US"/>
        </w:rPr>
        <w:t>Article 14 - Liberty and security of the person</w:t>
      </w:r>
      <w:r>
        <w:rPr>
          <w:lang w:val="en-US"/>
        </w:rPr>
        <w:tab/>
      </w:r>
      <w:r>
        <w:fldChar w:fldCharType="begin"/>
      </w:r>
      <w:r>
        <w:instrText xml:space="preserve"> PAGEREF _Toc14 \h </w:instrText>
      </w:r>
      <w:r>
        <w:fldChar w:fldCharType="separate"/>
      </w:r>
      <w:r>
        <w:t>7</w:t>
      </w:r>
      <w:r>
        <w:fldChar w:fldCharType="end"/>
      </w:r>
    </w:p>
    <w:p w14:paraId="75A3FF77" w14:textId="77777777" w:rsidR="008B49E9" w:rsidRDefault="00BA7B0A">
      <w:pPr>
        <w:pStyle w:val="TOC3"/>
      </w:pPr>
      <w:r>
        <w:rPr>
          <w:lang w:val="en-US"/>
        </w:rPr>
        <w:t>Article 15 - Freedom from torture or cruel, inhuman or degrading treatment or punishment &amp; Article 16 - Freedom from exploitation, violence and abuse</w:t>
      </w:r>
      <w:r>
        <w:rPr>
          <w:lang w:val="en-US"/>
        </w:rPr>
        <w:tab/>
      </w:r>
      <w:r>
        <w:fldChar w:fldCharType="begin"/>
      </w:r>
      <w:r>
        <w:instrText xml:space="preserve"> PAGEREF _Toc15 \h </w:instrText>
      </w:r>
      <w:r>
        <w:fldChar w:fldCharType="separate"/>
      </w:r>
      <w:r>
        <w:t>8</w:t>
      </w:r>
      <w:r>
        <w:fldChar w:fldCharType="end"/>
      </w:r>
    </w:p>
    <w:p w14:paraId="2F8C6567" w14:textId="77777777" w:rsidR="008B49E9" w:rsidRDefault="00BA7B0A">
      <w:pPr>
        <w:pStyle w:val="TOC3"/>
      </w:pPr>
      <w:r>
        <w:rPr>
          <w:lang w:val="en-US"/>
        </w:rPr>
        <w:t>Article 18 - Liberty of movement and nationality</w:t>
      </w:r>
      <w:r>
        <w:rPr>
          <w:lang w:val="en-US"/>
        </w:rPr>
        <w:tab/>
      </w:r>
      <w:r>
        <w:fldChar w:fldCharType="begin"/>
      </w:r>
      <w:r>
        <w:instrText xml:space="preserve"> PAGEREF _Toc16 \h </w:instrText>
      </w:r>
      <w:r>
        <w:fldChar w:fldCharType="separate"/>
      </w:r>
      <w:r>
        <w:t>8</w:t>
      </w:r>
      <w:r>
        <w:fldChar w:fldCharType="end"/>
      </w:r>
    </w:p>
    <w:p w14:paraId="381AECEC" w14:textId="77777777" w:rsidR="008B49E9" w:rsidRDefault="00BA7B0A">
      <w:pPr>
        <w:pStyle w:val="TOC3"/>
      </w:pPr>
      <w:r>
        <w:rPr>
          <w:lang w:val="en-US"/>
        </w:rPr>
        <w:t>Article 19 - Living independently and being included in the community</w:t>
      </w:r>
      <w:r>
        <w:rPr>
          <w:lang w:val="en-US"/>
        </w:rPr>
        <w:tab/>
      </w:r>
      <w:r>
        <w:fldChar w:fldCharType="begin"/>
      </w:r>
      <w:r>
        <w:instrText xml:space="preserve"> PAGEREF _Toc17 \h </w:instrText>
      </w:r>
      <w:r>
        <w:fldChar w:fldCharType="separate"/>
      </w:r>
      <w:r>
        <w:t>8</w:t>
      </w:r>
      <w:r>
        <w:fldChar w:fldCharType="end"/>
      </w:r>
    </w:p>
    <w:p w14:paraId="7BFFDEAA" w14:textId="77777777" w:rsidR="008B49E9" w:rsidRDefault="00BA7B0A">
      <w:pPr>
        <w:pStyle w:val="TOC3"/>
      </w:pPr>
      <w:r>
        <w:rPr>
          <w:lang w:val="en-US"/>
        </w:rPr>
        <w:t>Article 20 - Personal mobility</w:t>
      </w:r>
      <w:r>
        <w:rPr>
          <w:lang w:val="en-US"/>
        </w:rPr>
        <w:tab/>
      </w:r>
      <w:r>
        <w:fldChar w:fldCharType="begin"/>
      </w:r>
      <w:r>
        <w:instrText xml:space="preserve"> PAGEREF _Toc18 \h </w:instrText>
      </w:r>
      <w:r>
        <w:fldChar w:fldCharType="separate"/>
      </w:r>
      <w:r>
        <w:t>8</w:t>
      </w:r>
      <w:r>
        <w:fldChar w:fldCharType="end"/>
      </w:r>
    </w:p>
    <w:p w14:paraId="220E2429" w14:textId="77777777" w:rsidR="008B49E9" w:rsidRDefault="00BA7B0A">
      <w:pPr>
        <w:pStyle w:val="TOC3"/>
      </w:pPr>
      <w:r>
        <w:rPr>
          <w:lang w:val="en-US"/>
        </w:rPr>
        <w:t>Article 21 - Freedom of expression and opinion, and access to information</w:t>
      </w:r>
      <w:r>
        <w:rPr>
          <w:lang w:val="en-US"/>
        </w:rPr>
        <w:tab/>
      </w:r>
      <w:r>
        <w:fldChar w:fldCharType="begin"/>
      </w:r>
      <w:r>
        <w:instrText xml:space="preserve"> PAGEREF _Toc19 \h </w:instrText>
      </w:r>
      <w:r>
        <w:fldChar w:fldCharType="separate"/>
      </w:r>
      <w:r>
        <w:t>9</w:t>
      </w:r>
      <w:r>
        <w:fldChar w:fldCharType="end"/>
      </w:r>
    </w:p>
    <w:p w14:paraId="138DEAE0" w14:textId="77777777" w:rsidR="008B49E9" w:rsidRDefault="00BA7B0A">
      <w:pPr>
        <w:pStyle w:val="TOC3"/>
      </w:pPr>
      <w:r>
        <w:rPr>
          <w:lang w:val="en-US"/>
        </w:rPr>
        <w:t>Article 22 - Respect for privacy</w:t>
      </w:r>
      <w:r>
        <w:rPr>
          <w:lang w:val="en-US"/>
        </w:rPr>
        <w:tab/>
      </w:r>
      <w:r>
        <w:fldChar w:fldCharType="begin"/>
      </w:r>
      <w:r>
        <w:instrText xml:space="preserve"> PAGEREF _Toc20 \h </w:instrText>
      </w:r>
      <w:r>
        <w:fldChar w:fldCharType="separate"/>
      </w:r>
      <w:r>
        <w:t>9</w:t>
      </w:r>
      <w:r>
        <w:fldChar w:fldCharType="end"/>
      </w:r>
    </w:p>
    <w:p w14:paraId="46784CC5" w14:textId="77777777" w:rsidR="008B49E9" w:rsidRDefault="00BA7B0A">
      <w:pPr>
        <w:pStyle w:val="TOC3"/>
      </w:pPr>
      <w:r>
        <w:rPr>
          <w:lang w:val="en-US"/>
        </w:rPr>
        <w:t>Article 23 - Respect for home and the family</w:t>
      </w:r>
      <w:r>
        <w:rPr>
          <w:lang w:val="en-US"/>
        </w:rPr>
        <w:tab/>
      </w:r>
      <w:r>
        <w:fldChar w:fldCharType="begin"/>
      </w:r>
      <w:r>
        <w:instrText xml:space="preserve"> PAGEREF _Toc21 \h </w:instrText>
      </w:r>
      <w:r>
        <w:fldChar w:fldCharType="separate"/>
      </w:r>
      <w:r>
        <w:t>9</w:t>
      </w:r>
      <w:r>
        <w:fldChar w:fldCharType="end"/>
      </w:r>
    </w:p>
    <w:p w14:paraId="102600A7" w14:textId="77777777" w:rsidR="008B49E9" w:rsidRDefault="00BA7B0A">
      <w:pPr>
        <w:pStyle w:val="TOC3"/>
      </w:pPr>
      <w:r>
        <w:rPr>
          <w:lang w:val="en-US"/>
        </w:rPr>
        <w:t>Article 24 - Education</w:t>
      </w:r>
      <w:r>
        <w:rPr>
          <w:lang w:val="en-US"/>
        </w:rPr>
        <w:tab/>
      </w:r>
      <w:r>
        <w:fldChar w:fldCharType="begin"/>
      </w:r>
      <w:r>
        <w:instrText xml:space="preserve"> PAGEREF _Toc22 \h </w:instrText>
      </w:r>
      <w:r>
        <w:fldChar w:fldCharType="separate"/>
      </w:r>
      <w:r>
        <w:t>10</w:t>
      </w:r>
      <w:r>
        <w:fldChar w:fldCharType="end"/>
      </w:r>
    </w:p>
    <w:p w14:paraId="1CF3CD67" w14:textId="77777777" w:rsidR="008B49E9" w:rsidRDefault="00BA7B0A">
      <w:pPr>
        <w:pStyle w:val="TOC3"/>
      </w:pPr>
      <w:r>
        <w:rPr>
          <w:lang w:val="en-US"/>
        </w:rPr>
        <w:t>Article 25 - Health</w:t>
      </w:r>
      <w:r>
        <w:rPr>
          <w:lang w:val="en-US"/>
        </w:rPr>
        <w:tab/>
      </w:r>
      <w:r>
        <w:fldChar w:fldCharType="begin"/>
      </w:r>
      <w:r>
        <w:instrText xml:space="preserve"> PAGEREF _Toc23 \h </w:instrText>
      </w:r>
      <w:r>
        <w:fldChar w:fldCharType="separate"/>
      </w:r>
      <w:r>
        <w:t>10</w:t>
      </w:r>
      <w:r>
        <w:fldChar w:fldCharType="end"/>
      </w:r>
    </w:p>
    <w:p w14:paraId="501BADE0" w14:textId="77777777" w:rsidR="008B49E9" w:rsidRDefault="00BA7B0A">
      <w:pPr>
        <w:pStyle w:val="TOC3"/>
      </w:pPr>
      <w:r>
        <w:rPr>
          <w:lang w:val="en-US"/>
        </w:rPr>
        <w:t>Article 26 - Habilitation and rehabilitation</w:t>
      </w:r>
      <w:r>
        <w:rPr>
          <w:lang w:val="en-US"/>
        </w:rPr>
        <w:tab/>
      </w:r>
      <w:r>
        <w:fldChar w:fldCharType="begin"/>
      </w:r>
      <w:r>
        <w:instrText xml:space="preserve"> PAGEREF _Toc24 \h </w:instrText>
      </w:r>
      <w:r>
        <w:fldChar w:fldCharType="separate"/>
      </w:r>
      <w:r>
        <w:t>10</w:t>
      </w:r>
      <w:r>
        <w:fldChar w:fldCharType="end"/>
      </w:r>
    </w:p>
    <w:p w14:paraId="50EA52D3" w14:textId="77777777" w:rsidR="008B49E9" w:rsidRDefault="00BA7B0A">
      <w:pPr>
        <w:pStyle w:val="TOC3"/>
      </w:pPr>
      <w:r>
        <w:rPr>
          <w:lang w:val="en-US"/>
        </w:rPr>
        <w:t>Article 27 - Work and employment</w:t>
      </w:r>
      <w:r>
        <w:rPr>
          <w:lang w:val="en-US"/>
        </w:rPr>
        <w:tab/>
      </w:r>
      <w:r>
        <w:fldChar w:fldCharType="begin"/>
      </w:r>
      <w:r>
        <w:instrText xml:space="preserve"> PAGEREF _Toc25 \h </w:instrText>
      </w:r>
      <w:r>
        <w:fldChar w:fldCharType="separate"/>
      </w:r>
      <w:r>
        <w:t>11</w:t>
      </w:r>
      <w:r>
        <w:fldChar w:fldCharType="end"/>
      </w:r>
    </w:p>
    <w:p w14:paraId="48784A6F" w14:textId="77777777" w:rsidR="008B49E9" w:rsidRDefault="00BA7B0A">
      <w:pPr>
        <w:pStyle w:val="TOC3"/>
      </w:pPr>
      <w:r>
        <w:rPr>
          <w:lang w:val="en-US"/>
        </w:rPr>
        <w:t>Article 28 - Adequate standard of living and social protection</w:t>
      </w:r>
      <w:r>
        <w:rPr>
          <w:lang w:val="en-US"/>
        </w:rPr>
        <w:tab/>
      </w:r>
      <w:r>
        <w:fldChar w:fldCharType="begin"/>
      </w:r>
      <w:r>
        <w:instrText xml:space="preserve"> PAGEREF _Toc26 \h </w:instrText>
      </w:r>
      <w:r>
        <w:fldChar w:fldCharType="separate"/>
      </w:r>
      <w:r>
        <w:t>11</w:t>
      </w:r>
      <w:r>
        <w:fldChar w:fldCharType="end"/>
      </w:r>
    </w:p>
    <w:p w14:paraId="49CC5FBD" w14:textId="77777777" w:rsidR="008B49E9" w:rsidRDefault="00BA7B0A">
      <w:pPr>
        <w:pStyle w:val="TOC3"/>
      </w:pPr>
      <w:r>
        <w:rPr>
          <w:lang w:val="en-US"/>
        </w:rPr>
        <w:t>Article 29 - Participation in political and public life</w:t>
      </w:r>
      <w:r>
        <w:rPr>
          <w:lang w:val="en-US"/>
        </w:rPr>
        <w:tab/>
      </w:r>
      <w:r>
        <w:fldChar w:fldCharType="begin"/>
      </w:r>
      <w:r>
        <w:instrText xml:space="preserve"> PAGEREF _Toc27 \h </w:instrText>
      </w:r>
      <w:r>
        <w:fldChar w:fldCharType="separate"/>
      </w:r>
      <w:r>
        <w:t>11</w:t>
      </w:r>
      <w:r>
        <w:fldChar w:fldCharType="end"/>
      </w:r>
    </w:p>
    <w:p w14:paraId="4081A037" w14:textId="77777777" w:rsidR="008B49E9" w:rsidRDefault="00BA7B0A">
      <w:pPr>
        <w:pStyle w:val="TOC3"/>
      </w:pPr>
      <w:r>
        <w:rPr>
          <w:lang w:val="en-US"/>
        </w:rPr>
        <w:t>Article 30 - Participation in cultural life, recreation, leisure and sport</w:t>
      </w:r>
      <w:r>
        <w:rPr>
          <w:lang w:val="en-US"/>
        </w:rPr>
        <w:tab/>
      </w:r>
      <w:r>
        <w:fldChar w:fldCharType="begin"/>
      </w:r>
      <w:r>
        <w:instrText xml:space="preserve"> PAGEREF _Toc28 \h </w:instrText>
      </w:r>
      <w:r>
        <w:fldChar w:fldCharType="separate"/>
      </w:r>
      <w:r>
        <w:t>12</w:t>
      </w:r>
      <w:r>
        <w:fldChar w:fldCharType="end"/>
      </w:r>
    </w:p>
    <w:p w14:paraId="47EC2D8E" w14:textId="77777777" w:rsidR="008B49E9" w:rsidRDefault="00BA7B0A">
      <w:pPr>
        <w:pStyle w:val="TOC3"/>
      </w:pPr>
      <w:r>
        <w:rPr>
          <w:lang w:val="en-US"/>
        </w:rPr>
        <w:t>Article 31 - Statistics and data collection</w:t>
      </w:r>
      <w:r>
        <w:rPr>
          <w:lang w:val="en-US"/>
        </w:rPr>
        <w:tab/>
      </w:r>
      <w:r>
        <w:fldChar w:fldCharType="begin"/>
      </w:r>
      <w:r>
        <w:instrText xml:space="preserve"> PAGEREF _Toc29 \h </w:instrText>
      </w:r>
      <w:r>
        <w:fldChar w:fldCharType="separate"/>
      </w:r>
      <w:r>
        <w:t>12</w:t>
      </w:r>
      <w:r>
        <w:fldChar w:fldCharType="end"/>
      </w:r>
    </w:p>
    <w:p w14:paraId="4A9C76AE" w14:textId="77777777" w:rsidR="008B49E9" w:rsidRDefault="00BA7B0A">
      <w:pPr>
        <w:pStyle w:val="TOC3"/>
      </w:pPr>
      <w:r>
        <w:rPr>
          <w:lang w:val="en-US"/>
        </w:rPr>
        <w:t>Article 32 - International cooperation</w:t>
      </w:r>
      <w:r>
        <w:rPr>
          <w:lang w:val="en-US"/>
        </w:rPr>
        <w:tab/>
      </w:r>
      <w:r>
        <w:fldChar w:fldCharType="begin"/>
      </w:r>
      <w:r>
        <w:instrText xml:space="preserve"> PAGEREF _Toc30 \h </w:instrText>
      </w:r>
      <w:r>
        <w:fldChar w:fldCharType="separate"/>
      </w:r>
      <w:r>
        <w:t>12</w:t>
      </w:r>
      <w:r>
        <w:fldChar w:fldCharType="end"/>
      </w:r>
    </w:p>
    <w:p w14:paraId="6F81BFBC" w14:textId="77777777" w:rsidR="008B49E9" w:rsidRDefault="00BA7B0A">
      <w:pPr>
        <w:pStyle w:val="TOC2"/>
      </w:pPr>
      <w:r>
        <w:rPr>
          <w:lang w:val="en-US"/>
        </w:rPr>
        <w:t>Credits</w:t>
      </w:r>
      <w:r>
        <w:rPr>
          <w:lang w:val="en-US"/>
        </w:rPr>
        <w:tab/>
      </w:r>
      <w:r>
        <w:fldChar w:fldCharType="begin"/>
      </w:r>
      <w:r>
        <w:instrText xml:space="preserve"> PAGEREF _Toc31 \h </w:instrText>
      </w:r>
      <w:r>
        <w:fldChar w:fldCharType="separate"/>
      </w:r>
      <w:r>
        <w:t>13</w:t>
      </w:r>
      <w:r>
        <w:fldChar w:fldCharType="end"/>
      </w:r>
    </w:p>
    <w:p w14:paraId="5FA576EC" w14:textId="77777777" w:rsidR="008B49E9" w:rsidRDefault="00BA7B0A">
      <w:pPr>
        <w:pStyle w:val="Body"/>
      </w:pPr>
      <w:r>
        <w:fldChar w:fldCharType="end"/>
      </w:r>
      <w:r>
        <w:rPr>
          <w:rFonts w:ascii="Arial Unicode MS" w:eastAsia="Arial Unicode MS" w:hAnsi="Arial Unicode MS" w:cs="Arial Unicode MS"/>
        </w:rPr>
        <w:br w:type="page"/>
      </w:r>
    </w:p>
    <w:p w14:paraId="69D01DAA" w14:textId="77777777" w:rsidR="008B49E9" w:rsidRDefault="008B49E9">
      <w:pPr>
        <w:pStyle w:val="Body"/>
      </w:pPr>
    </w:p>
    <w:p w14:paraId="700EEC1B" w14:textId="77777777" w:rsidR="008B49E9" w:rsidRDefault="008B49E9">
      <w:pPr>
        <w:pStyle w:val="Body"/>
      </w:pPr>
    </w:p>
    <w:p w14:paraId="0784B07D" w14:textId="77777777" w:rsidR="008B49E9" w:rsidRDefault="00BA7B0A">
      <w:pPr>
        <w:pStyle w:val="Heading2"/>
      </w:pPr>
      <w:bookmarkStart w:id="0" w:name="_Toc"/>
      <w:r w:rsidRPr="00BA7B0A">
        <w:rPr>
          <w:rFonts w:eastAsia="Arial Unicode MS" w:cs="Arial Unicode MS"/>
          <w:lang w:val="en-US"/>
        </w:rPr>
        <w:t>Executive Summary</w:t>
      </w:r>
      <w:bookmarkEnd w:id="0"/>
    </w:p>
    <w:p w14:paraId="08735573" w14:textId="77777777" w:rsidR="008B49E9" w:rsidRDefault="008B49E9">
      <w:pPr>
        <w:pStyle w:val="Body"/>
      </w:pPr>
    </w:p>
    <w:p w14:paraId="4BA1CC6E" w14:textId="77777777" w:rsidR="008B49E9" w:rsidRDefault="00BA7B0A">
      <w:pPr>
        <w:pStyle w:val="Body"/>
        <w:pBdr>
          <w:top w:val="single" w:sz="4" w:space="6" w:color="000000"/>
          <w:left w:val="single" w:sz="4" w:space="6" w:color="000000"/>
          <w:bottom w:val="single" w:sz="4" w:space="6" w:color="000000"/>
          <w:right w:val="single" w:sz="4" w:space="6" w:color="000000"/>
        </w:pBdr>
      </w:pPr>
      <w:r w:rsidRPr="00BA7B0A">
        <w:rPr>
          <w:lang w:val="en-US"/>
        </w:rPr>
        <w:t xml:space="preserve">Cerebral palsy (CP) is the most common form of lifelong physical </w:t>
      </w:r>
      <w:r w:rsidRPr="00BA7B0A">
        <w:rPr>
          <w:lang w:val="en-US"/>
        </w:rPr>
        <w:t xml:space="preserve">disability, often combined with cognitive, communicational, visual or other challenges. </w:t>
      </w:r>
      <w:proofErr w:type="gramStart"/>
      <w:r w:rsidRPr="00BA7B0A">
        <w:rPr>
          <w:lang w:val="en-US"/>
        </w:rPr>
        <w:t>Persons</w:t>
      </w:r>
      <w:proofErr w:type="gramEnd"/>
      <w:r w:rsidRPr="00BA7B0A">
        <w:rPr>
          <w:lang w:val="en-US"/>
        </w:rPr>
        <w:t xml:space="preserve"> living with CP often experience intersectional discrimination on the grounds of the combined characteristics of their condition.</w:t>
      </w:r>
    </w:p>
    <w:p w14:paraId="192C85E2" w14:textId="77777777" w:rsidR="008B49E9" w:rsidRDefault="008B49E9">
      <w:pPr>
        <w:pStyle w:val="Body"/>
        <w:pBdr>
          <w:top w:val="single" w:sz="4" w:space="6" w:color="000000"/>
          <w:left w:val="single" w:sz="4" w:space="6" w:color="000000"/>
          <w:bottom w:val="single" w:sz="4" w:space="6" w:color="000000"/>
          <w:right w:val="single" w:sz="4" w:space="6" w:color="000000"/>
        </w:pBdr>
      </w:pPr>
    </w:p>
    <w:p w14:paraId="5C18F47C" w14:textId="77777777" w:rsidR="008B49E9" w:rsidRDefault="00BA7B0A">
      <w:pPr>
        <w:pStyle w:val="Body"/>
        <w:pBdr>
          <w:top w:val="single" w:sz="4" w:space="6" w:color="000000"/>
          <w:left w:val="single" w:sz="4" w:space="6" w:color="000000"/>
          <w:bottom w:val="single" w:sz="4" w:space="6" w:color="000000"/>
          <w:right w:val="single" w:sz="4" w:space="6" w:color="000000"/>
        </w:pBdr>
      </w:pPr>
      <w:r w:rsidRPr="00BA7B0A">
        <w:rPr>
          <w:lang w:val="en-US"/>
        </w:rPr>
        <w:t xml:space="preserve">Implementation of the UNCRPD in the European Union is characterised by many principles being protected on paper but many barriers and failures in practice. For almost </w:t>
      </w:r>
      <w:proofErr w:type="gramStart"/>
      <w:r w:rsidRPr="00BA7B0A">
        <w:rPr>
          <w:lang w:val="en-US"/>
        </w:rPr>
        <w:t>all of</w:t>
      </w:r>
      <w:proofErr w:type="gramEnd"/>
      <w:r w:rsidRPr="00BA7B0A">
        <w:rPr>
          <w:lang w:val="en-US"/>
        </w:rPr>
        <w:t xml:space="preserve"> the rights enshrined in the Convention, we describe how the right is respected or not, and what tools the EU has to improve this. Despite not having direct competence for many policy areas, the EU has the capacity to influence the respect of all rights enshrined in the Convention, whether it be through legislation, coordination, dissemination of best practice or funding.</w:t>
      </w:r>
    </w:p>
    <w:p w14:paraId="44681A87" w14:textId="77777777" w:rsidR="008B49E9" w:rsidRDefault="008B49E9">
      <w:pPr>
        <w:pStyle w:val="Body"/>
        <w:pBdr>
          <w:top w:val="single" w:sz="4" w:space="6" w:color="000000"/>
          <w:left w:val="single" w:sz="4" w:space="6" w:color="000000"/>
          <w:bottom w:val="single" w:sz="4" w:space="6" w:color="000000"/>
          <w:right w:val="single" w:sz="4" w:space="6" w:color="000000"/>
        </w:pBdr>
      </w:pPr>
    </w:p>
    <w:p w14:paraId="68CE92F1" w14:textId="77777777" w:rsidR="008B49E9" w:rsidRDefault="00BA7B0A">
      <w:pPr>
        <w:pStyle w:val="Body"/>
        <w:pBdr>
          <w:top w:val="single" w:sz="4" w:space="6" w:color="000000"/>
          <w:left w:val="single" w:sz="4" w:space="6" w:color="000000"/>
          <w:bottom w:val="single" w:sz="4" w:space="6" w:color="000000"/>
          <w:right w:val="single" w:sz="4" w:space="6" w:color="000000"/>
        </w:pBdr>
      </w:pPr>
      <w:r w:rsidRPr="00BA7B0A">
        <w:rPr>
          <w:lang w:val="en-US"/>
        </w:rPr>
        <w:t xml:space="preserve">This report by </w:t>
      </w:r>
      <w:r>
        <w:rPr>
          <w:lang w:val="en-US"/>
        </w:rPr>
        <w:t xml:space="preserve">Cerebral Palsy Europe </w:t>
      </w:r>
      <w:r w:rsidRPr="00BA7B0A">
        <w:rPr>
          <w:lang w:val="en-US"/>
        </w:rPr>
        <w:t xml:space="preserve">focuses on the lived experience of persons with cerebral palsy and similarly complex childhood-onset disabilities. It aims to complement the report presented by the European Disability Forum, to which </w:t>
      </w:r>
      <w:r w:rsidRPr="00BA7B0A">
        <w:rPr>
          <w:lang w:val="en-US"/>
        </w:rPr>
        <w:t>Cerebral Palsy Europe</w:t>
      </w:r>
      <w:r w:rsidRPr="00BA7B0A">
        <w:rPr>
          <w:lang w:val="en-US"/>
        </w:rPr>
        <w:t xml:space="preserve"> has actively contributed and which it fully supports.</w:t>
      </w:r>
    </w:p>
    <w:p w14:paraId="57E828F3" w14:textId="77777777" w:rsidR="008B49E9" w:rsidRDefault="008B49E9">
      <w:pPr>
        <w:pStyle w:val="Body"/>
      </w:pPr>
    </w:p>
    <w:p w14:paraId="0077E6B8" w14:textId="77777777" w:rsidR="008B49E9" w:rsidRDefault="008B49E9">
      <w:pPr>
        <w:pStyle w:val="Body"/>
      </w:pPr>
    </w:p>
    <w:p w14:paraId="12DADEAA" w14:textId="77777777" w:rsidR="008B49E9" w:rsidRDefault="00BA7B0A">
      <w:pPr>
        <w:pStyle w:val="Heading2"/>
      </w:pPr>
      <w:bookmarkStart w:id="1" w:name="_Toc1"/>
      <w:r w:rsidRPr="00BA7B0A">
        <w:rPr>
          <w:rFonts w:eastAsia="Arial Unicode MS" w:cs="Arial Unicode MS"/>
          <w:lang w:val="en-US"/>
        </w:rPr>
        <w:t>Cerebral Palsy Europe</w:t>
      </w:r>
      <w:bookmarkEnd w:id="1"/>
    </w:p>
    <w:p w14:paraId="719CCD9D" w14:textId="77777777" w:rsidR="008B49E9" w:rsidRDefault="008B49E9">
      <w:pPr>
        <w:pStyle w:val="Body"/>
      </w:pPr>
    </w:p>
    <w:p w14:paraId="2788EBAC" w14:textId="77777777" w:rsidR="008B49E9" w:rsidRDefault="00BA7B0A">
      <w:pPr>
        <w:pStyle w:val="Body"/>
      </w:pPr>
      <w:r w:rsidRPr="00BA7B0A">
        <w:rPr>
          <w:rFonts w:eastAsia="Arial Unicode MS" w:cs="Arial Unicode MS"/>
          <w:lang w:val="en-US"/>
        </w:rPr>
        <w:t>The Cerebral Palsy European Union Association vzw (Cerebral Palsy Europe or CP-ECA) brings together associations of persons with CP, their caregivers and the frontline professionals who work with them in 20 EU Member States, as well as observer members in a further seven European countries. It aims to be the voice for persons with CP in the EU.</w:t>
      </w:r>
    </w:p>
    <w:p w14:paraId="4AC5E972" w14:textId="77777777" w:rsidR="008B49E9" w:rsidRDefault="008B49E9">
      <w:pPr>
        <w:pStyle w:val="Body"/>
      </w:pPr>
    </w:p>
    <w:p w14:paraId="25998A97" w14:textId="77777777" w:rsidR="008B49E9" w:rsidRDefault="00BA7B0A">
      <w:pPr>
        <w:pStyle w:val="Body"/>
      </w:pPr>
      <w:r w:rsidRPr="00BA7B0A">
        <w:rPr>
          <w:rFonts w:eastAsia="Arial Unicode MS" w:cs="Arial Unicode MS"/>
          <w:lang w:val="en-US"/>
        </w:rPr>
        <w:t xml:space="preserve">Cerebral Palsy Europe is established as a non-profit association with its seat in Belgium. It is a member of the European Disability Forum (EDF) and a framework partner of the European Commission under the EU4Health programme. Its members are simultaneously members of the International Cerebral Palsy Society. </w:t>
      </w:r>
    </w:p>
    <w:p w14:paraId="0E6683F9" w14:textId="77777777" w:rsidR="008B49E9" w:rsidRDefault="008B49E9">
      <w:pPr>
        <w:pStyle w:val="Body"/>
      </w:pPr>
    </w:p>
    <w:p w14:paraId="0DE19504" w14:textId="77777777" w:rsidR="008B49E9" w:rsidRDefault="008B49E9">
      <w:pPr>
        <w:pStyle w:val="Body"/>
      </w:pPr>
    </w:p>
    <w:p w14:paraId="221E7EB7" w14:textId="77777777" w:rsidR="008B49E9" w:rsidRDefault="00BA7B0A">
      <w:pPr>
        <w:pStyle w:val="Heading2"/>
      </w:pPr>
      <w:bookmarkStart w:id="2" w:name="_Toc2"/>
      <w:r w:rsidRPr="00BA7B0A">
        <w:rPr>
          <w:rFonts w:eastAsia="Arial Unicode MS" w:cs="Arial Unicode MS"/>
          <w:lang w:val="en-US"/>
        </w:rPr>
        <w:t>What is cerebral palsy?</w:t>
      </w:r>
      <w:bookmarkEnd w:id="2"/>
    </w:p>
    <w:p w14:paraId="06EFF82B" w14:textId="77777777" w:rsidR="008B49E9" w:rsidRDefault="008B49E9">
      <w:pPr>
        <w:pStyle w:val="Body"/>
        <w:rPr>
          <w:b/>
          <w:bCs/>
        </w:rPr>
      </w:pPr>
    </w:p>
    <w:p w14:paraId="3F103A40" w14:textId="77777777" w:rsidR="008B49E9" w:rsidRDefault="00BA7B0A">
      <w:pPr>
        <w:pStyle w:val="Body"/>
      </w:pPr>
      <w:r>
        <w:rPr>
          <w:rFonts w:eastAsia="Arial Unicode MS" w:cs="Arial Unicode MS"/>
          <w:lang w:val="en-US"/>
        </w:rPr>
        <w:t xml:space="preserve">Cerebral palsy (CP) is the most common form of </w:t>
      </w:r>
      <w:r w:rsidRPr="00BA7B0A">
        <w:rPr>
          <w:rFonts w:eastAsia="Arial Unicode MS" w:cs="Arial Unicode MS"/>
          <w:lang w:val="en-US"/>
        </w:rPr>
        <w:t xml:space="preserve">lifelong, </w:t>
      </w:r>
      <w:r>
        <w:rPr>
          <w:rFonts w:eastAsia="Arial Unicode MS" w:cs="Arial Unicode MS"/>
          <w:lang w:val="en-US"/>
        </w:rPr>
        <w:t xml:space="preserve">childhood-onset physical disability. More than </w:t>
      </w:r>
      <w:r w:rsidRPr="00BA7B0A">
        <w:rPr>
          <w:rFonts w:eastAsia="Arial Unicode MS" w:cs="Arial Unicode MS"/>
          <w:lang w:val="en-US"/>
        </w:rPr>
        <w:t>800,000 citizens of the European Union</w:t>
      </w:r>
      <w:r>
        <w:rPr>
          <w:rFonts w:eastAsia="Arial Unicode MS" w:cs="Arial Unicode MS"/>
          <w:lang w:val="en-US"/>
        </w:rPr>
        <w:t xml:space="preserve"> live with CP and another </w:t>
      </w:r>
      <w:r w:rsidRPr="00BA7B0A">
        <w:rPr>
          <w:rFonts w:eastAsia="Arial Unicode MS" w:cs="Arial Unicode MS"/>
          <w:lang w:val="en-US"/>
        </w:rPr>
        <w:t>16</w:t>
      </w:r>
      <w:r>
        <w:rPr>
          <w:rFonts w:eastAsia="Arial Unicode MS" w:cs="Arial Unicode MS"/>
        </w:rPr>
        <w:t xml:space="preserve"> million </w:t>
      </w:r>
      <w:r w:rsidRPr="00BA7B0A">
        <w:rPr>
          <w:rFonts w:eastAsia="Arial Unicode MS" w:cs="Arial Unicode MS"/>
          <w:lang w:val="en-US"/>
        </w:rPr>
        <w:t>EU citizens</w:t>
      </w:r>
      <w:r>
        <w:rPr>
          <w:rFonts w:eastAsia="Arial Unicode MS" w:cs="Arial Unicode MS"/>
          <w:lang w:val="en-US"/>
        </w:rPr>
        <w:t xml:space="preserve"> are closely connected to a child or adult with CP. </w:t>
      </w:r>
    </w:p>
    <w:p w14:paraId="6C977EAA" w14:textId="77777777" w:rsidR="008B49E9" w:rsidRDefault="008B49E9">
      <w:pPr>
        <w:pStyle w:val="Body"/>
      </w:pPr>
    </w:p>
    <w:p w14:paraId="0AE342A9" w14:textId="77777777" w:rsidR="008B49E9" w:rsidRDefault="00BA7B0A">
      <w:pPr>
        <w:pStyle w:val="Body"/>
      </w:pPr>
      <w:r>
        <w:rPr>
          <w:rFonts w:eastAsia="Arial Unicode MS" w:cs="Arial Unicode MS"/>
          <w:lang w:val="en-US"/>
        </w:rPr>
        <w:t>CP is a lifelong condition and there is no known cure. It is caused by a</w:t>
      </w:r>
      <w:r w:rsidRPr="00BA7B0A">
        <w:rPr>
          <w:rFonts w:eastAsia="Arial Unicode MS" w:cs="Arial Unicode MS"/>
          <w:lang w:val="en-US"/>
        </w:rPr>
        <w:t>n early</w:t>
      </w:r>
      <w:r>
        <w:rPr>
          <w:rFonts w:eastAsia="Arial Unicode MS" w:cs="Arial Unicode MS"/>
          <w:lang w:val="en-US"/>
        </w:rPr>
        <w:t xml:space="preserve"> brain injury that affects movement, but most people with CP reach adult life and even old age. While the original injury does not change, musculoskeletal complications become more painful and difficult to manage. In addition to the physical aspects of their disability, people with CP </w:t>
      </w:r>
      <w:proofErr w:type="gramStart"/>
      <w:r>
        <w:rPr>
          <w:rFonts w:eastAsia="Arial Unicode MS" w:cs="Arial Unicode MS"/>
          <w:lang w:val="en-US"/>
        </w:rPr>
        <w:t>have to</w:t>
      </w:r>
      <w:proofErr w:type="gramEnd"/>
      <w:r>
        <w:rPr>
          <w:rFonts w:eastAsia="Arial Unicode MS" w:cs="Arial Unicode MS"/>
          <w:lang w:val="en-US"/>
        </w:rPr>
        <w:t xml:space="preserve"> </w:t>
      </w:r>
      <w:r w:rsidRPr="00BA7B0A">
        <w:rPr>
          <w:rFonts w:eastAsia="Arial Unicode MS" w:cs="Arial Unicode MS"/>
          <w:lang w:val="en-US"/>
        </w:rPr>
        <w:t>cope with</w:t>
      </w:r>
      <w:r>
        <w:rPr>
          <w:rFonts w:eastAsia="Arial Unicode MS" w:cs="Arial Unicode MS"/>
          <w:lang w:val="en-US"/>
        </w:rPr>
        <w:t xml:space="preserve"> its cognitive and emotional impact. </w:t>
      </w:r>
    </w:p>
    <w:p w14:paraId="4B810D75" w14:textId="77777777" w:rsidR="008B49E9" w:rsidRDefault="008B49E9">
      <w:pPr>
        <w:pStyle w:val="Body"/>
      </w:pPr>
    </w:p>
    <w:p w14:paraId="30EE26F5" w14:textId="77777777" w:rsidR="008B49E9" w:rsidRDefault="00BA7B0A">
      <w:pPr>
        <w:pStyle w:val="Body"/>
      </w:pPr>
      <w:r>
        <w:rPr>
          <w:rFonts w:eastAsia="Arial Unicode MS" w:cs="Arial Unicode MS"/>
          <w:lang w:val="en-US"/>
        </w:rPr>
        <w:t xml:space="preserve">CP is complex: one in four </w:t>
      </w:r>
      <w:proofErr w:type="gramStart"/>
      <w:r w:rsidRPr="00BA7B0A">
        <w:rPr>
          <w:rFonts w:eastAsia="Arial Unicode MS" w:cs="Arial Unicode MS"/>
          <w:lang w:val="en-US"/>
        </w:rPr>
        <w:t>persons</w:t>
      </w:r>
      <w:proofErr w:type="gramEnd"/>
      <w:r>
        <w:rPr>
          <w:rFonts w:eastAsia="Arial Unicode MS" w:cs="Arial Unicode MS"/>
          <w:lang w:val="en-US"/>
        </w:rPr>
        <w:t xml:space="preserve"> with CP cannot talk; one in four cannot walk; one in two have an intellectual disability. People with CP often have secondary </w:t>
      </w:r>
      <w:r w:rsidRPr="00BA7B0A">
        <w:rPr>
          <w:rFonts w:eastAsia="Arial Unicode MS" w:cs="Arial Unicode MS"/>
          <w:lang w:val="en-US"/>
        </w:rPr>
        <w:t>challenges</w:t>
      </w:r>
      <w:r>
        <w:rPr>
          <w:rFonts w:eastAsia="Arial Unicode MS" w:cs="Arial Unicode MS"/>
          <w:lang w:val="en-US"/>
        </w:rPr>
        <w:t xml:space="preserve"> such as epilepsy or difficulties of cognition, communication, feeding, vision or hearing.</w:t>
      </w:r>
    </w:p>
    <w:p w14:paraId="3B595C98" w14:textId="77777777" w:rsidR="008B49E9" w:rsidRDefault="008B49E9">
      <w:pPr>
        <w:pStyle w:val="Body"/>
      </w:pPr>
    </w:p>
    <w:p w14:paraId="6E421A05" w14:textId="77777777" w:rsidR="008B49E9" w:rsidRDefault="00BA7B0A">
      <w:pPr>
        <w:pStyle w:val="Body"/>
      </w:pPr>
      <w:r>
        <w:rPr>
          <w:rFonts w:eastAsia="Arial Unicode MS" w:cs="Arial Unicode MS"/>
          <w:lang w:val="en-US"/>
        </w:rPr>
        <w:t xml:space="preserve">No two </w:t>
      </w:r>
      <w:proofErr w:type="gramStart"/>
      <w:r>
        <w:rPr>
          <w:rFonts w:eastAsia="Arial Unicode MS" w:cs="Arial Unicode MS"/>
          <w:lang w:val="en-US"/>
        </w:rPr>
        <w:t>persons</w:t>
      </w:r>
      <w:proofErr w:type="gramEnd"/>
      <w:r>
        <w:rPr>
          <w:rFonts w:eastAsia="Arial Unicode MS" w:cs="Arial Unicode MS"/>
          <w:lang w:val="en-US"/>
        </w:rPr>
        <w:t xml:space="preserve"> with CP are the same. Their condition can range from a weakness </w:t>
      </w:r>
      <w:proofErr w:type="gramStart"/>
      <w:r>
        <w:rPr>
          <w:rFonts w:eastAsia="Arial Unicode MS" w:cs="Arial Unicode MS"/>
          <w:lang w:val="en-US"/>
        </w:rPr>
        <w:t>in one</w:t>
      </w:r>
      <w:proofErr w:type="gramEnd"/>
      <w:r>
        <w:rPr>
          <w:rFonts w:eastAsia="Arial Unicode MS" w:cs="Arial Unicode MS"/>
          <w:lang w:val="en-US"/>
        </w:rPr>
        <w:t xml:space="preserve"> hand to an almost complete lack of voluntary movement. Solutions to ensure mobility, care, social inclusion, participation and employment, </w:t>
      </w:r>
      <w:proofErr w:type="gramStart"/>
      <w:r>
        <w:rPr>
          <w:rFonts w:eastAsia="Arial Unicode MS" w:cs="Arial Unicode MS"/>
          <w:lang w:val="en-US"/>
        </w:rPr>
        <w:t>especially of</w:t>
      </w:r>
      <w:proofErr w:type="gramEnd"/>
      <w:r>
        <w:rPr>
          <w:rFonts w:eastAsia="Arial Unicode MS" w:cs="Arial Unicode MS"/>
          <w:lang w:val="en-US"/>
        </w:rPr>
        <w:t xml:space="preserve"> those more severely affected, can be expensive and labour-intensive. </w:t>
      </w:r>
      <w:r w:rsidRPr="00BA7B0A">
        <w:rPr>
          <w:rFonts w:eastAsia="Arial Unicode MS" w:cs="Arial Unicode MS"/>
          <w:lang w:val="en-US"/>
        </w:rPr>
        <w:t>S</w:t>
      </w:r>
      <w:r>
        <w:rPr>
          <w:rFonts w:eastAsia="Arial Unicode MS" w:cs="Arial Unicode MS"/>
          <w:lang w:val="en-US"/>
        </w:rPr>
        <w:t xml:space="preserve">ocial stigma around disability makes the </w:t>
      </w:r>
      <w:proofErr w:type="gramStart"/>
      <w:r>
        <w:rPr>
          <w:rFonts w:eastAsia="Arial Unicode MS" w:cs="Arial Unicode MS"/>
          <w:lang w:val="en-US"/>
        </w:rPr>
        <w:t>challenge</w:t>
      </w:r>
      <w:proofErr w:type="gramEnd"/>
      <w:r>
        <w:rPr>
          <w:rFonts w:eastAsia="Arial Unicode MS" w:cs="Arial Unicode MS"/>
          <w:lang w:val="en-US"/>
        </w:rPr>
        <w:t xml:space="preserve"> even </w:t>
      </w:r>
      <w:r w:rsidRPr="00BA7B0A">
        <w:rPr>
          <w:rFonts w:eastAsia="Arial Unicode MS" w:cs="Arial Unicode MS"/>
          <w:lang w:val="en-US"/>
        </w:rPr>
        <w:t>greater</w:t>
      </w:r>
      <w:r>
        <w:rPr>
          <w:rFonts w:eastAsia="Arial Unicode MS" w:cs="Arial Unicode MS"/>
        </w:rPr>
        <w:t>.</w:t>
      </w:r>
    </w:p>
    <w:p w14:paraId="78ED13BF" w14:textId="77777777" w:rsidR="008B49E9" w:rsidRDefault="008B49E9">
      <w:pPr>
        <w:pStyle w:val="Body"/>
        <w:rPr>
          <w:b/>
          <w:bCs/>
        </w:rPr>
      </w:pPr>
    </w:p>
    <w:p w14:paraId="3A1B6FD0" w14:textId="77777777" w:rsidR="008B49E9" w:rsidRDefault="008B49E9">
      <w:pPr>
        <w:pStyle w:val="Body"/>
        <w:rPr>
          <w:b/>
          <w:bCs/>
        </w:rPr>
      </w:pPr>
    </w:p>
    <w:p w14:paraId="499D47EB" w14:textId="77777777" w:rsidR="008B49E9" w:rsidRDefault="00BA7B0A">
      <w:pPr>
        <w:pStyle w:val="Heading2"/>
      </w:pPr>
      <w:bookmarkStart w:id="3" w:name="_Toc3"/>
      <w:r w:rsidRPr="00BA7B0A">
        <w:rPr>
          <w:rFonts w:eastAsia="Arial Unicode MS" w:cs="Arial Unicode MS"/>
          <w:lang w:val="en-US"/>
        </w:rPr>
        <w:t>European Disability Forum alternative report</w:t>
      </w:r>
      <w:bookmarkEnd w:id="3"/>
    </w:p>
    <w:p w14:paraId="31DCD58B" w14:textId="77777777" w:rsidR="008B49E9" w:rsidRDefault="008B49E9">
      <w:pPr>
        <w:pStyle w:val="Body"/>
      </w:pPr>
    </w:p>
    <w:p w14:paraId="7FF900CC" w14:textId="77777777" w:rsidR="008B49E9" w:rsidRDefault="00BA7B0A">
      <w:pPr>
        <w:pStyle w:val="Body"/>
      </w:pPr>
      <w:r w:rsidRPr="00BA7B0A">
        <w:rPr>
          <w:rFonts w:eastAsia="Arial Unicode MS" w:cs="Arial Unicode MS"/>
          <w:lang w:val="en-US"/>
        </w:rPr>
        <w:t xml:space="preserve">As a member of EDF, Cerebral Palsy Europe contributed to the drafting of the alternative report submitted by EDF for the review of EU implementation of the UNCRPD. We fully endorse the EDF alternative report. </w:t>
      </w:r>
    </w:p>
    <w:p w14:paraId="0EA08102" w14:textId="77777777" w:rsidR="008B49E9" w:rsidRDefault="008B49E9">
      <w:pPr>
        <w:pStyle w:val="Body"/>
      </w:pPr>
    </w:p>
    <w:p w14:paraId="3E81D69C" w14:textId="77777777" w:rsidR="008B49E9" w:rsidRDefault="00BA7B0A">
      <w:pPr>
        <w:pStyle w:val="Body"/>
      </w:pPr>
      <w:r w:rsidRPr="00BA7B0A">
        <w:rPr>
          <w:rFonts w:eastAsia="Arial Unicode MS" w:cs="Arial Unicode MS"/>
          <w:lang w:val="en-US"/>
        </w:rPr>
        <w:t xml:space="preserve">Our aim in submitting an additional alternative report is to complement and reinforce the EDF alternative report on specific issues, drawing attention to their impact on persons with CP. This may be due to the complex nature of </w:t>
      </w:r>
      <w:proofErr w:type="gramStart"/>
      <w:r w:rsidRPr="00BA7B0A">
        <w:rPr>
          <w:rFonts w:eastAsia="Arial Unicode MS" w:cs="Arial Unicode MS"/>
          <w:lang w:val="en-US"/>
        </w:rPr>
        <w:t>the disability</w:t>
      </w:r>
      <w:proofErr w:type="gramEnd"/>
      <w:r w:rsidRPr="00BA7B0A">
        <w:rPr>
          <w:rFonts w:eastAsia="Arial Unicode MS" w:cs="Arial Unicode MS"/>
          <w:lang w:val="en-US"/>
        </w:rPr>
        <w:t>, meaning that people with CP often face multiple barriers to the enjoyment of their rights, or the childhood-onset nature of the condition, which has implications for both children and adults with CP.</w:t>
      </w:r>
    </w:p>
    <w:p w14:paraId="1612F0F2" w14:textId="77777777" w:rsidR="008B49E9" w:rsidRDefault="008B49E9">
      <w:pPr>
        <w:pStyle w:val="Body"/>
      </w:pPr>
    </w:p>
    <w:p w14:paraId="6FB23852" w14:textId="77777777" w:rsidR="008B49E9" w:rsidRDefault="00BA7B0A">
      <w:pPr>
        <w:pStyle w:val="Body"/>
      </w:pPr>
      <w:r w:rsidRPr="00BA7B0A">
        <w:rPr>
          <w:rFonts w:eastAsia="Arial Unicode MS" w:cs="Arial Unicode MS"/>
          <w:lang w:val="en-US"/>
        </w:rPr>
        <w:t>For this reason, we do not comment on the implementation by the EU of each individual right enshrined in the Convention. In all cases, it can be assumed that we subscribe to the comments on all rights contained in the EDF alternative report.</w:t>
      </w:r>
    </w:p>
    <w:p w14:paraId="23279BC6" w14:textId="77777777" w:rsidR="008B49E9" w:rsidRDefault="008B49E9">
      <w:pPr>
        <w:pStyle w:val="Body"/>
      </w:pPr>
    </w:p>
    <w:p w14:paraId="418FC9AE" w14:textId="77777777" w:rsidR="008B49E9" w:rsidRDefault="008B49E9">
      <w:pPr>
        <w:pStyle w:val="Body"/>
      </w:pPr>
    </w:p>
    <w:p w14:paraId="4438EE61" w14:textId="77777777" w:rsidR="008B49E9" w:rsidRDefault="008B49E9">
      <w:pPr>
        <w:pStyle w:val="Body"/>
      </w:pPr>
    </w:p>
    <w:p w14:paraId="571DD4BB" w14:textId="77777777" w:rsidR="008B49E9" w:rsidRDefault="00BA7B0A">
      <w:pPr>
        <w:pStyle w:val="Heading2"/>
      </w:pPr>
      <w:bookmarkStart w:id="4" w:name="_Toc4"/>
      <w:r w:rsidRPr="00BA7B0A">
        <w:rPr>
          <w:rFonts w:eastAsia="Arial Unicode MS" w:cs="Arial Unicode MS"/>
          <w:lang w:val="en-US"/>
        </w:rPr>
        <w:t>Review of implementation of the UNCRPD by the EU</w:t>
      </w:r>
      <w:bookmarkEnd w:id="4"/>
    </w:p>
    <w:p w14:paraId="2E76ED71" w14:textId="77777777" w:rsidR="008B49E9" w:rsidRDefault="00BA7B0A">
      <w:pPr>
        <w:pStyle w:val="Heading3"/>
      </w:pPr>
      <w:bookmarkStart w:id="5" w:name="_Toc5"/>
      <w:r>
        <w:rPr>
          <w:rFonts w:eastAsia="Arial Unicode MS" w:cs="Arial Unicode MS"/>
          <w:lang w:val="en-US"/>
        </w:rPr>
        <w:t>Article 5 - Equality and non-discrimination</w:t>
      </w:r>
      <w:bookmarkEnd w:id="5"/>
    </w:p>
    <w:p w14:paraId="237FC3EC" w14:textId="77777777" w:rsidR="008B49E9" w:rsidRDefault="008B49E9">
      <w:pPr>
        <w:pStyle w:val="Body"/>
      </w:pPr>
    </w:p>
    <w:p w14:paraId="778BED3A" w14:textId="77777777" w:rsidR="008B49E9" w:rsidRDefault="00BA7B0A">
      <w:pPr>
        <w:pStyle w:val="Body"/>
      </w:pPr>
      <w:r>
        <w:rPr>
          <w:rFonts w:eastAsia="Arial Unicode MS" w:cs="Arial Unicode MS"/>
          <w:lang w:val="de-DE"/>
        </w:rPr>
        <w:t>EU citizens living with CP enjoy the right to equality and non-discrimination on paper</w:t>
      </w:r>
      <w:r w:rsidRPr="00BA7B0A">
        <w:rPr>
          <w:rFonts w:eastAsia="Arial Unicode MS" w:cs="Arial Unicode MS"/>
          <w:lang w:val="en-US"/>
        </w:rPr>
        <w:t>,</w:t>
      </w:r>
      <w:r>
        <w:rPr>
          <w:rFonts w:eastAsia="Arial Unicode MS" w:cs="Arial Unicode MS"/>
          <w:lang w:val="de-DE"/>
        </w:rPr>
        <w:t xml:space="preserve"> but they face multiple barriers to its implementation in </w:t>
      </w:r>
      <w:proofErr w:type="gramStart"/>
      <w:r>
        <w:rPr>
          <w:rFonts w:eastAsia="Arial Unicode MS" w:cs="Arial Unicode MS"/>
          <w:lang w:val="de-DE"/>
        </w:rPr>
        <w:t>real life</w:t>
      </w:r>
      <w:proofErr w:type="gramEnd"/>
      <w:r>
        <w:rPr>
          <w:rFonts w:eastAsia="Arial Unicode MS" w:cs="Arial Unicode MS"/>
          <w:lang w:val="de-DE"/>
        </w:rPr>
        <w:t>. These begin with the lack of truly inclusive schooling in many Member States (see Article 24 below), continue through obstacles to the physical and digital accessibility of public institutions (see Article 9 below) and lead to long-term exclusion from employment (see Article 27 below) and community life (see Articles 29 and 30 below).</w:t>
      </w:r>
    </w:p>
    <w:p w14:paraId="4E18C8A0" w14:textId="77777777" w:rsidR="008B49E9" w:rsidRDefault="008B49E9">
      <w:pPr>
        <w:pStyle w:val="Body"/>
      </w:pPr>
    </w:p>
    <w:p w14:paraId="27D57406" w14:textId="77777777" w:rsidR="008B49E9" w:rsidRDefault="00BA7B0A">
      <w:pPr>
        <w:pStyle w:val="Body"/>
      </w:pPr>
      <w:r>
        <w:rPr>
          <w:rFonts w:eastAsia="Arial Unicode MS" w:cs="Arial Unicode MS"/>
          <w:lang w:val="de-DE"/>
        </w:rPr>
        <w:t>Such barriers exist in even the most economically developed regions of the EU</w:t>
      </w:r>
      <w:r w:rsidRPr="00BA7B0A">
        <w:rPr>
          <w:rFonts w:eastAsia="Arial Unicode MS" w:cs="Arial Unicode MS"/>
          <w:lang w:val="en-US"/>
        </w:rPr>
        <w:t>,</w:t>
      </w:r>
      <w:r>
        <w:rPr>
          <w:rFonts w:eastAsia="Arial Unicode MS" w:cs="Arial Unicode MS"/>
          <w:lang w:val="de-DE"/>
        </w:rPr>
        <w:t xml:space="preserve"> but they are especially stark in peripheral and economically underdeveloped regions such as the Azores islands </w:t>
      </w:r>
      <w:r w:rsidRPr="00BA7B0A">
        <w:rPr>
          <w:rFonts w:eastAsia="Arial Unicode MS" w:cs="Arial Unicode MS"/>
          <w:lang w:val="en-US"/>
        </w:rPr>
        <w:t xml:space="preserve">(Portugal) </w:t>
      </w:r>
      <w:r>
        <w:rPr>
          <w:rFonts w:eastAsia="Arial Unicode MS" w:cs="Arial Unicode MS"/>
          <w:lang w:val="de-DE"/>
        </w:rPr>
        <w:t>or southern Italy</w:t>
      </w:r>
      <w:r>
        <w:rPr>
          <w:vertAlign w:val="superscript"/>
        </w:rPr>
        <w:footnoteReference w:id="2"/>
      </w:r>
      <w:r>
        <w:rPr>
          <w:rFonts w:eastAsia="Arial Unicode MS" w:cs="Arial Unicode MS"/>
          <w:lang w:val="de-DE"/>
        </w:rPr>
        <w:t>. Persons with CP in these regions often have to travel long distances to better-resourced regions or even to other countries to access the services and support they need, which adds to their out-of-pocket expenditure and makes their cost-of-living unaffordable. Through its Cohesion, Regional Development and Social Funds, the EU has the tools to reduce these disparities and could do more to address the needs of especially vulnerable groups such as persons with CP and other complex disabilities.</w:t>
      </w:r>
    </w:p>
    <w:p w14:paraId="42D0D21C" w14:textId="77777777" w:rsidR="008B49E9" w:rsidRDefault="008B49E9">
      <w:pPr>
        <w:pStyle w:val="Body"/>
      </w:pPr>
    </w:p>
    <w:p w14:paraId="60196465" w14:textId="77777777" w:rsidR="008B49E9" w:rsidRDefault="00BA7B0A">
      <w:pPr>
        <w:pStyle w:val="Body"/>
      </w:pPr>
      <w:r>
        <w:rPr>
          <w:rFonts w:eastAsia="Arial Unicode MS" w:cs="Arial Unicode MS"/>
          <w:lang w:val="de-DE"/>
        </w:rPr>
        <w:t>Recognition of the legal principle of equality and non-discrimination must be counter-balanced against the real-life experience of persons with CP who face prejudice and ableism on a daily basis. Failure to implement many of the rights enshrined in the Convention is often due not to a lack of legal provisions, but rather to misconceptions about persons with CP and their abilities. In particular through its funding programmes in diverse areas of economic and social life, the EU can support training and impro</w:t>
      </w:r>
      <w:r>
        <w:rPr>
          <w:rFonts w:eastAsia="Arial Unicode MS" w:cs="Arial Unicode MS"/>
          <w:lang w:val="de-DE"/>
        </w:rPr>
        <w:t>ve public understanding of complex disabilities across all regions. Mainstreaming awareness of disability, including CP and similar conditions, in such funding programmes - in the same way as gender mainstreaming is currently prioritised - would be a significant step towards true implementation of the right to equality and non-discrimination.</w:t>
      </w:r>
    </w:p>
    <w:p w14:paraId="492D69EE" w14:textId="77777777" w:rsidR="008B49E9" w:rsidRDefault="008B49E9">
      <w:pPr>
        <w:pStyle w:val="Body"/>
      </w:pPr>
    </w:p>
    <w:p w14:paraId="6E45B73C" w14:textId="77777777" w:rsidR="008B49E9" w:rsidRDefault="00BA7B0A">
      <w:pPr>
        <w:pStyle w:val="Heading3"/>
      </w:pPr>
      <w:bookmarkStart w:id="6" w:name="_Toc6"/>
      <w:r>
        <w:rPr>
          <w:rFonts w:eastAsia="Arial Unicode MS" w:cs="Arial Unicode MS"/>
          <w:lang w:val="en-US"/>
        </w:rPr>
        <w:t>Article 6 - Women with disabilities</w:t>
      </w:r>
      <w:bookmarkEnd w:id="6"/>
    </w:p>
    <w:p w14:paraId="03936898" w14:textId="77777777" w:rsidR="008B49E9" w:rsidRDefault="008B49E9">
      <w:pPr>
        <w:pStyle w:val="Body"/>
      </w:pPr>
    </w:p>
    <w:p w14:paraId="492042FE" w14:textId="77777777" w:rsidR="008B49E9" w:rsidRDefault="00BA7B0A">
      <w:pPr>
        <w:pStyle w:val="Body"/>
      </w:pPr>
      <w:r>
        <w:rPr>
          <w:rFonts w:eastAsia="Arial Unicode MS" w:cs="Arial Unicode MS"/>
          <w:lang w:val="de-DE"/>
        </w:rPr>
        <w:t>Statistics show that more men than women have cerebral palsy but, at a ratio of approximately 4:3, women make up a significant proportion of the CP population</w:t>
      </w:r>
      <w:r>
        <w:rPr>
          <w:vertAlign w:val="superscript"/>
        </w:rPr>
        <w:footnoteReference w:id="3"/>
      </w:r>
      <w:r>
        <w:rPr>
          <w:rFonts w:eastAsia="Arial Unicode MS" w:cs="Arial Unicode MS"/>
          <w:lang w:val="de-DE"/>
        </w:rPr>
        <w:t>. With approximately 25% being non-ambulant and many more living with other mobility limitations, they are especially vulnerable to physical violence. They face added d</w:t>
      </w:r>
      <w:r w:rsidRPr="00BA7B0A">
        <w:rPr>
          <w:rFonts w:eastAsia="Arial Unicode MS" w:cs="Arial Unicode MS"/>
          <w:lang w:val="en-US"/>
        </w:rPr>
        <w:t>iscrimination in</w:t>
      </w:r>
      <w:r>
        <w:rPr>
          <w:rFonts w:eastAsia="Arial Unicode MS" w:cs="Arial Unicode MS"/>
          <w:lang w:val="de-DE"/>
        </w:rPr>
        <w:t xml:space="preserve"> </w:t>
      </w:r>
      <w:r w:rsidRPr="00BA7B0A">
        <w:rPr>
          <w:rFonts w:eastAsia="Arial Unicode MS" w:cs="Arial Unicode MS"/>
          <w:lang w:val="en-US"/>
        </w:rPr>
        <w:t>employment</w:t>
      </w:r>
      <w:r>
        <w:rPr>
          <w:rFonts w:eastAsia="Arial Unicode MS" w:cs="Arial Unicode MS"/>
          <w:lang w:val="de-DE"/>
        </w:rPr>
        <w:t>,</w:t>
      </w:r>
      <w:r w:rsidRPr="00BA7B0A">
        <w:rPr>
          <w:rFonts w:eastAsia="Arial Unicode MS" w:cs="Arial Unicode MS"/>
          <w:lang w:val="en-US"/>
        </w:rPr>
        <w:t xml:space="preserve"> </w:t>
      </w:r>
      <w:r>
        <w:rPr>
          <w:rFonts w:eastAsia="Arial Unicode MS" w:cs="Arial Unicode MS"/>
          <w:lang w:val="de-DE"/>
        </w:rPr>
        <w:t xml:space="preserve">as well as </w:t>
      </w:r>
      <w:r>
        <w:rPr>
          <w:rFonts w:eastAsia="Arial Unicode MS" w:cs="Arial Unicode MS"/>
          <w:lang w:val="en-US"/>
        </w:rPr>
        <w:t xml:space="preserve">denial of access to adequate </w:t>
      </w:r>
      <w:r>
        <w:rPr>
          <w:rFonts w:eastAsia="Arial Unicode MS" w:cs="Arial Unicode MS"/>
          <w:lang w:val="de-DE"/>
        </w:rPr>
        <w:t xml:space="preserve">healthcare </w:t>
      </w:r>
      <w:r>
        <w:rPr>
          <w:rFonts w:eastAsia="Arial Unicode MS" w:cs="Arial Unicode MS"/>
          <w:lang w:val="en-US"/>
        </w:rPr>
        <w:t>services</w:t>
      </w:r>
      <w:r>
        <w:rPr>
          <w:rFonts w:eastAsia="Arial Unicode MS" w:cs="Arial Unicode MS"/>
          <w:lang w:val="de-DE"/>
        </w:rPr>
        <w:t>, especially for</w:t>
      </w:r>
      <w:r>
        <w:rPr>
          <w:rFonts w:eastAsia="Arial Unicode MS" w:cs="Arial Unicode MS"/>
          <w:lang w:val="en-US"/>
        </w:rPr>
        <w:t xml:space="preserve"> sexual and reproductive health</w:t>
      </w:r>
      <w:r>
        <w:rPr>
          <w:rFonts w:eastAsia="Arial Unicode MS" w:cs="Arial Unicode MS"/>
          <w:lang w:val="de-DE"/>
        </w:rPr>
        <w:t>,</w:t>
      </w:r>
      <w:r>
        <w:rPr>
          <w:rFonts w:eastAsia="Arial Unicode MS" w:cs="Arial Unicode MS"/>
          <w:lang w:val="en-US"/>
        </w:rPr>
        <w:t xml:space="preserve"> due to ignorance, lack of training or unadapted medical equipment</w:t>
      </w:r>
      <w:r>
        <w:rPr>
          <w:rFonts w:eastAsia="Arial Unicode MS" w:cs="Arial Unicode MS"/>
          <w:lang w:val="de-DE"/>
        </w:rPr>
        <w:t>.</w:t>
      </w:r>
    </w:p>
    <w:p w14:paraId="75B6F7D1" w14:textId="77777777" w:rsidR="008B49E9" w:rsidRDefault="008B49E9">
      <w:pPr>
        <w:pStyle w:val="Body"/>
      </w:pPr>
    </w:p>
    <w:p w14:paraId="074DFC33" w14:textId="77777777" w:rsidR="008B49E9" w:rsidRDefault="00BA7B0A">
      <w:pPr>
        <w:pStyle w:val="Body"/>
      </w:pPr>
      <w:r>
        <w:rPr>
          <w:rFonts w:eastAsia="Arial Unicode MS" w:cs="Arial Unicode MS"/>
          <w:lang w:val="de-DE"/>
        </w:rPr>
        <w:t>By recognising the intersectionality of discrimination against women with CP and similar conditions, the EU could strengthen its current emphasis on gender mainstreaming to address the situation of those in greatest need of additional support.</w:t>
      </w:r>
    </w:p>
    <w:p w14:paraId="55D0D9F6" w14:textId="77777777" w:rsidR="008B49E9" w:rsidRDefault="00BA7B0A">
      <w:pPr>
        <w:pStyle w:val="Heading3"/>
      </w:pPr>
      <w:bookmarkStart w:id="7" w:name="_Toc7"/>
      <w:r>
        <w:rPr>
          <w:rFonts w:eastAsia="Arial Unicode MS" w:cs="Arial Unicode MS"/>
          <w:lang w:val="en-US"/>
        </w:rPr>
        <w:t>Article 7 - Children with disabilities</w:t>
      </w:r>
      <w:bookmarkEnd w:id="7"/>
    </w:p>
    <w:p w14:paraId="48469D5D" w14:textId="77777777" w:rsidR="008B49E9" w:rsidRDefault="008B49E9">
      <w:pPr>
        <w:pStyle w:val="Body"/>
      </w:pPr>
    </w:p>
    <w:p w14:paraId="580FE14F" w14:textId="77777777" w:rsidR="008B49E9" w:rsidRDefault="00BA7B0A">
      <w:pPr>
        <w:pStyle w:val="Body"/>
      </w:pPr>
      <w:r>
        <w:rPr>
          <w:rFonts w:eastAsia="Arial Unicode MS" w:cs="Arial Unicode MS"/>
          <w:lang w:val="de-DE"/>
        </w:rPr>
        <w:t>Children with CP face o</w:t>
      </w:r>
      <w:r w:rsidRPr="00BA7B0A">
        <w:rPr>
          <w:rFonts w:eastAsia="Arial Unicode MS" w:cs="Arial Unicode MS"/>
          <w:lang w:val="en-US"/>
        </w:rPr>
        <w:t xml:space="preserve">bstacles to </w:t>
      </w:r>
      <w:r>
        <w:rPr>
          <w:rFonts w:eastAsia="Arial Unicode MS" w:cs="Arial Unicode MS"/>
          <w:lang w:val="de-DE"/>
        </w:rPr>
        <w:t>inclusion in school,</w:t>
      </w:r>
      <w:r w:rsidRPr="00BA7B0A">
        <w:rPr>
          <w:rFonts w:eastAsia="Arial Unicode MS" w:cs="Arial Unicode MS"/>
          <w:lang w:val="en-US"/>
        </w:rPr>
        <w:t xml:space="preserve"> sports, recreational activities </w:t>
      </w:r>
      <w:r>
        <w:rPr>
          <w:rFonts w:eastAsia="Arial Unicode MS" w:cs="Arial Unicode MS"/>
          <w:lang w:val="de-DE"/>
        </w:rPr>
        <w:t xml:space="preserve">and other opportunities to participate in life. With the exception of a small number of highly motivated individuals, adults responsible for activities involving children often </w:t>
      </w:r>
      <w:r w:rsidRPr="00BA7B0A">
        <w:rPr>
          <w:rFonts w:eastAsia="Arial Unicode MS" w:cs="Arial Unicode MS"/>
          <w:lang w:val="en-US"/>
        </w:rPr>
        <w:t xml:space="preserve">lack </w:t>
      </w:r>
      <w:r>
        <w:rPr>
          <w:rFonts w:eastAsia="Arial Unicode MS" w:cs="Arial Unicode MS"/>
          <w:lang w:val="de-DE"/>
        </w:rPr>
        <w:t>the knowledge, training and</w:t>
      </w:r>
      <w:r w:rsidRPr="00BA7B0A">
        <w:rPr>
          <w:rFonts w:eastAsia="Arial Unicode MS" w:cs="Arial Unicode MS"/>
          <w:lang w:val="en-US"/>
        </w:rPr>
        <w:t xml:space="preserve"> methodology</w:t>
      </w:r>
      <w:r>
        <w:rPr>
          <w:rFonts w:eastAsia="Arial Unicode MS" w:cs="Arial Unicode MS"/>
          <w:lang w:val="de-DE"/>
        </w:rPr>
        <w:t xml:space="preserve"> to include children with complex disabilities effectively. It is therefore essential for the EU, in its actions to support education, sport</w:t>
      </w:r>
      <w:r w:rsidRPr="00BA7B0A">
        <w:rPr>
          <w:rFonts w:eastAsia="Arial Unicode MS" w:cs="Arial Unicode MS"/>
          <w:lang w:val="en-US"/>
        </w:rPr>
        <w:t>s</w:t>
      </w:r>
      <w:r>
        <w:rPr>
          <w:rFonts w:eastAsia="Arial Unicode MS" w:cs="Arial Unicode MS"/>
          <w:lang w:val="de-DE"/>
        </w:rPr>
        <w:t xml:space="preserve"> and culture and to promote the rights of children, to be sensitive to the complexity of CP and similar conditions and to see the benefit</w:t>
      </w:r>
      <w:r w:rsidRPr="00BA7B0A">
        <w:rPr>
          <w:rFonts w:eastAsia="Arial Unicode MS" w:cs="Arial Unicode MS"/>
          <w:lang w:val="en-US"/>
        </w:rPr>
        <w:t>s</w:t>
      </w:r>
      <w:r>
        <w:rPr>
          <w:rFonts w:eastAsia="Arial Unicode MS" w:cs="Arial Unicode MS"/>
          <w:lang w:val="de-DE"/>
        </w:rPr>
        <w:t xml:space="preserve"> in activities that address the specific needs of this neglected group.</w:t>
      </w:r>
    </w:p>
    <w:p w14:paraId="74437C72" w14:textId="77777777" w:rsidR="008B49E9" w:rsidRDefault="008B49E9">
      <w:pPr>
        <w:pStyle w:val="Body"/>
      </w:pPr>
    </w:p>
    <w:p w14:paraId="5C0A1F11" w14:textId="77777777" w:rsidR="008B49E9" w:rsidRDefault="00BA7B0A">
      <w:pPr>
        <w:pStyle w:val="Body"/>
      </w:pPr>
      <w:r>
        <w:rPr>
          <w:rFonts w:eastAsia="Arial Unicode MS" w:cs="Arial Unicode MS"/>
          <w:lang w:val="de-DE"/>
        </w:rPr>
        <w:t xml:space="preserve">Observations that apply to all persons with disability often apply even more strongly to children with disability. For example, while organisations for persons with disabilities already find it difficult to make their voice heard, </w:t>
      </w:r>
      <w:r>
        <w:rPr>
          <w:rFonts w:eastAsia="Arial Unicode MS" w:cs="Arial Unicode MS"/>
          <w:lang w:val="de-DE"/>
        </w:rPr>
        <w:t>“</w:t>
      </w:r>
      <w:r>
        <w:rPr>
          <w:rFonts w:eastAsia="Arial Unicode MS" w:cs="Arial Unicode MS"/>
          <w:lang w:val="de-DE"/>
        </w:rPr>
        <w:t xml:space="preserve">children with disabilities </w:t>
      </w:r>
      <w:r>
        <w:rPr>
          <w:rFonts w:eastAsia="Arial Unicode MS" w:cs="Arial Unicode MS"/>
          <w:lang w:val="de-DE"/>
        </w:rPr>
        <w:t xml:space="preserve">… </w:t>
      </w:r>
      <w:r>
        <w:rPr>
          <w:rFonts w:eastAsia="Arial Unicode MS" w:cs="Arial Unicode MS"/>
          <w:lang w:val="de-DE"/>
        </w:rPr>
        <w:t>remain almost completely left out</w:t>
      </w:r>
      <w:r>
        <w:rPr>
          <w:rFonts w:eastAsia="Arial Unicode MS" w:cs="Arial Unicode MS"/>
          <w:lang w:val="de-DE"/>
        </w:rPr>
        <w:t>”</w:t>
      </w:r>
      <w:r>
        <w:rPr>
          <w:rFonts w:eastAsia="Arial Unicode MS" w:cs="Arial Unicode MS"/>
          <w:lang w:val="de-DE"/>
        </w:rPr>
        <w:t>.</w:t>
      </w:r>
      <w:r>
        <w:rPr>
          <w:rStyle w:val="None"/>
          <w:vertAlign w:val="superscript"/>
        </w:rPr>
        <w:footnoteReference w:id="4"/>
      </w:r>
      <w:r>
        <w:rPr>
          <w:rFonts w:eastAsia="Arial Unicode MS" w:cs="Arial Unicode MS"/>
          <w:lang w:val="de-DE"/>
        </w:rPr>
        <w:t xml:space="preserve"> The EU Children</w:t>
      </w:r>
      <w:r>
        <w:rPr>
          <w:rFonts w:eastAsia="Arial Unicode MS" w:cs="Arial Unicode MS"/>
          <w:lang w:val="de-DE"/>
        </w:rPr>
        <w:t>’</w:t>
      </w:r>
      <w:r>
        <w:rPr>
          <w:rFonts w:eastAsia="Arial Unicode MS" w:cs="Arial Unicode MS"/>
          <w:lang w:val="de-DE"/>
        </w:rPr>
        <w:t>s Participation Platform</w:t>
      </w:r>
      <w:r>
        <w:rPr>
          <w:rStyle w:val="None"/>
          <w:vertAlign w:val="superscript"/>
        </w:rPr>
        <w:footnoteReference w:id="5"/>
      </w:r>
      <w:r>
        <w:rPr>
          <w:rFonts w:eastAsia="Arial Unicode MS" w:cs="Arial Unicode MS"/>
          <w:lang w:val="de-DE"/>
        </w:rPr>
        <w:t xml:space="preserve"> is a significant effort to encourage the participation of children in the political process. The EU could do more to ensure that the voices of children with disabilities, who may need additional support, especially those requiring alternative communication methods, are heard in this context.</w:t>
      </w:r>
    </w:p>
    <w:p w14:paraId="0B56C08C" w14:textId="77777777" w:rsidR="008B49E9" w:rsidRDefault="008B49E9">
      <w:pPr>
        <w:pStyle w:val="Body"/>
      </w:pPr>
    </w:p>
    <w:p w14:paraId="1A256785" w14:textId="77777777" w:rsidR="008B49E9" w:rsidRDefault="00BA7B0A">
      <w:pPr>
        <w:pStyle w:val="Body"/>
      </w:pPr>
      <w:r>
        <w:rPr>
          <w:rFonts w:eastAsia="Arial Unicode MS" w:cs="Arial Unicode MS"/>
          <w:lang w:val="de-DE"/>
        </w:rPr>
        <w:t xml:space="preserve">Children with CP and other complex disabilities often require the assistance of an adult in school, healthcare and other settings. The Committee on the Rights of Persons with Disabilities has already recommended that States parties in the European Union </w:t>
      </w:r>
      <w:r>
        <w:rPr>
          <w:rFonts w:eastAsia="Arial Unicode MS" w:cs="Arial Unicode MS"/>
          <w:lang w:val="de-DE"/>
        </w:rPr>
        <w:t>“</w:t>
      </w:r>
      <w:r>
        <w:rPr>
          <w:rFonts w:eastAsia="Arial Unicode MS" w:cs="Arial Unicode MS"/>
          <w:lang w:val="de-DE"/>
        </w:rPr>
        <w:t>cover the disability-related costs of assistance services or inpatient treatment of children with disabilities</w:t>
      </w:r>
      <w:r>
        <w:rPr>
          <w:rFonts w:eastAsia="Arial Unicode MS" w:cs="Arial Unicode MS"/>
          <w:lang w:val="de-DE"/>
        </w:rPr>
        <w:t>”</w:t>
      </w:r>
      <w:r>
        <w:rPr>
          <w:rStyle w:val="None"/>
          <w:vertAlign w:val="superscript"/>
        </w:rPr>
        <w:footnoteReference w:id="6"/>
      </w:r>
      <w:r>
        <w:rPr>
          <w:rFonts w:eastAsia="Arial Unicode MS" w:cs="Arial Unicode MS"/>
          <w:lang w:val="de-DE"/>
        </w:rPr>
        <w:t>. The EU, which has responsibility for social security coordination and for ensuring free movement of persons, should ensure that this principle is applied equally across Member States and that children with disabilities continue to enjoy such entitlements when they cross borders.</w:t>
      </w:r>
    </w:p>
    <w:p w14:paraId="280116AF" w14:textId="77777777" w:rsidR="008B49E9" w:rsidRDefault="00BA7B0A">
      <w:pPr>
        <w:pStyle w:val="Heading3"/>
      </w:pPr>
      <w:bookmarkStart w:id="8" w:name="_Toc8"/>
      <w:r>
        <w:rPr>
          <w:rFonts w:eastAsia="Arial Unicode MS" w:cs="Arial Unicode MS"/>
          <w:lang w:val="en-US"/>
        </w:rPr>
        <w:t>Article 8 - Awareness-raising</w:t>
      </w:r>
      <w:bookmarkEnd w:id="8"/>
    </w:p>
    <w:p w14:paraId="4CD00859" w14:textId="77777777" w:rsidR="008B49E9" w:rsidRDefault="008B49E9">
      <w:pPr>
        <w:pStyle w:val="Body"/>
      </w:pPr>
    </w:p>
    <w:p w14:paraId="63DD10D4" w14:textId="77777777" w:rsidR="008B49E9" w:rsidRDefault="00BA7B0A">
      <w:pPr>
        <w:pStyle w:val="Body"/>
      </w:pPr>
      <w:r>
        <w:rPr>
          <w:rFonts w:eastAsia="Arial Unicode MS" w:cs="Arial Unicode MS"/>
          <w:lang w:val="de-DE"/>
        </w:rPr>
        <w:t>Much remains to be done in the EU to combat p</w:t>
      </w:r>
      <w:r w:rsidRPr="00BA7B0A">
        <w:rPr>
          <w:rFonts w:eastAsia="Arial Unicode MS" w:cs="Arial Unicode MS"/>
          <w:lang w:val="en-US"/>
        </w:rPr>
        <w:t>rejudice, misconception</w:t>
      </w:r>
      <w:r>
        <w:rPr>
          <w:rFonts w:eastAsia="Arial Unicode MS" w:cs="Arial Unicode MS"/>
          <w:lang w:val="de-DE"/>
        </w:rPr>
        <w:t>s and</w:t>
      </w:r>
      <w:r w:rsidRPr="00BA7B0A">
        <w:rPr>
          <w:rFonts w:eastAsia="Arial Unicode MS" w:cs="Arial Unicode MS"/>
          <w:lang w:val="en-US"/>
        </w:rPr>
        <w:t xml:space="preserve"> stereotypes </w:t>
      </w:r>
      <w:r>
        <w:rPr>
          <w:rFonts w:eastAsia="Arial Unicode MS" w:cs="Arial Unicode MS"/>
          <w:lang w:val="de-DE"/>
        </w:rPr>
        <w:t>regarding persons with CP and other disabilities. The EU has an important role to play in supporting</w:t>
      </w:r>
      <w:r w:rsidRPr="00BA7B0A">
        <w:rPr>
          <w:rFonts w:eastAsia="Arial Unicode MS" w:cs="Arial Unicode MS"/>
          <w:lang w:val="en-US"/>
        </w:rPr>
        <w:t xml:space="preserve"> public education</w:t>
      </w:r>
      <w:r>
        <w:rPr>
          <w:rFonts w:eastAsia="Arial Unicode MS" w:cs="Arial Unicode MS"/>
          <w:lang w:val="de-DE"/>
        </w:rPr>
        <w:t xml:space="preserve"> programmes, especially in regions where cultural stigma around disability remains strong. In so doing, it is important to reflect the diversity of different conditions to avoid the risk of greater awareness of one form of disability compounding the neglect and lack of awareness of others.</w:t>
      </w:r>
    </w:p>
    <w:p w14:paraId="32DB6E55" w14:textId="77777777" w:rsidR="008B49E9" w:rsidRDefault="008B49E9">
      <w:pPr>
        <w:pStyle w:val="Body"/>
      </w:pPr>
    </w:p>
    <w:p w14:paraId="27247A23" w14:textId="77777777" w:rsidR="008B49E9" w:rsidRDefault="00BA7B0A">
      <w:pPr>
        <w:pStyle w:val="Body"/>
      </w:pPr>
      <w:r>
        <w:rPr>
          <w:rFonts w:eastAsia="Arial Unicode MS" w:cs="Arial Unicode MS"/>
          <w:lang w:val="de-DE"/>
        </w:rPr>
        <w:t>By including awareness-raising of disability or a requirement to consult persons with disability as a condition for access to funds, programmes etc., the EU can also address the current l</w:t>
      </w:r>
      <w:r w:rsidRPr="00BA7B0A">
        <w:rPr>
          <w:rFonts w:eastAsia="Arial Unicode MS" w:cs="Arial Unicode MS"/>
          <w:lang w:val="en-US"/>
        </w:rPr>
        <w:t>ack of engagement</w:t>
      </w:r>
      <w:r>
        <w:rPr>
          <w:rFonts w:eastAsia="Arial Unicode MS" w:cs="Arial Unicode MS"/>
          <w:lang w:val="de-DE"/>
        </w:rPr>
        <w:t xml:space="preserve"> </w:t>
      </w:r>
      <w:r w:rsidRPr="00BA7B0A">
        <w:rPr>
          <w:rFonts w:eastAsia="Arial Unicode MS" w:cs="Arial Unicode MS"/>
          <w:lang w:val="en-US"/>
        </w:rPr>
        <w:t xml:space="preserve">by </w:t>
      </w:r>
      <w:r>
        <w:rPr>
          <w:rFonts w:eastAsia="Arial Unicode MS" w:cs="Arial Unicode MS"/>
          <w:lang w:val="de-DE"/>
        </w:rPr>
        <w:t xml:space="preserve">some national and local </w:t>
      </w:r>
      <w:r w:rsidRPr="00BA7B0A">
        <w:rPr>
          <w:rFonts w:eastAsia="Arial Unicode MS" w:cs="Arial Unicode MS"/>
          <w:lang w:val="en-US"/>
        </w:rPr>
        <w:t>governments</w:t>
      </w:r>
      <w:r>
        <w:rPr>
          <w:rFonts w:eastAsia="Arial Unicode MS" w:cs="Arial Unicode MS"/>
          <w:lang w:val="de-DE"/>
        </w:rPr>
        <w:t xml:space="preserve"> </w:t>
      </w:r>
      <w:r>
        <w:rPr>
          <w:rFonts w:eastAsia="Arial Unicode MS" w:cs="Arial Unicode MS"/>
          <w:lang w:val="en-US"/>
        </w:rPr>
        <w:t>with persons with disability</w:t>
      </w:r>
      <w:r>
        <w:rPr>
          <w:rFonts w:eastAsia="Arial Unicode MS" w:cs="Arial Unicode MS"/>
          <w:lang w:val="de-DE"/>
        </w:rPr>
        <w:t>.</w:t>
      </w:r>
    </w:p>
    <w:p w14:paraId="3D6E6097" w14:textId="77777777" w:rsidR="008B49E9" w:rsidRDefault="008B49E9">
      <w:pPr>
        <w:pStyle w:val="Body"/>
      </w:pPr>
    </w:p>
    <w:p w14:paraId="4E7C4C75" w14:textId="77777777" w:rsidR="008B49E9" w:rsidRDefault="00BA7B0A">
      <w:pPr>
        <w:pStyle w:val="Body"/>
      </w:pPr>
      <w:r>
        <w:rPr>
          <w:rFonts w:eastAsia="Arial Unicode MS" w:cs="Arial Unicode MS"/>
          <w:lang w:val="de-DE"/>
        </w:rPr>
        <w:t xml:space="preserve">People with disabilities also need to be made </w:t>
      </w:r>
      <w:r w:rsidRPr="00BA7B0A">
        <w:rPr>
          <w:rFonts w:eastAsia="Arial Unicode MS" w:cs="Arial Unicode MS"/>
          <w:lang w:val="en-US"/>
        </w:rPr>
        <w:t>aware</w:t>
      </w:r>
      <w:r>
        <w:rPr>
          <w:rFonts w:eastAsia="Arial Unicode MS" w:cs="Arial Unicode MS"/>
          <w:lang w:val="de-DE"/>
        </w:rPr>
        <w:t xml:space="preserve"> of their rights and how to enforce them,</w:t>
      </w:r>
      <w:r w:rsidRPr="00BA7B0A">
        <w:rPr>
          <w:rFonts w:eastAsia="Arial Unicode MS" w:cs="Arial Unicode MS"/>
          <w:lang w:val="en-US"/>
        </w:rPr>
        <w:t xml:space="preserve"> </w:t>
      </w:r>
      <w:r>
        <w:rPr>
          <w:rFonts w:eastAsia="Arial Unicode MS" w:cs="Arial Unicode MS"/>
          <w:lang w:val="de-DE"/>
        </w:rPr>
        <w:t>including</w:t>
      </w:r>
      <w:r w:rsidRPr="00BA7B0A">
        <w:rPr>
          <w:rFonts w:eastAsia="Arial Unicode MS" w:cs="Arial Unicode MS"/>
          <w:lang w:val="en-US"/>
        </w:rPr>
        <w:t xml:space="preserve"> </w:t>
      </w:r>
      <w:r>
        <w:rPr>
          <w:rFonts w:eastAsia="Arial Unicode MS" w:cs="Arial Unicode MS"/>
          <w:lang w:val="de-DE"/>
        </w:rPr>
        <w:t xml:space="preserve">the </w:t>
      </w:r>
      <w:r w:rsidRPr="00BA7B0A">
        <w:rPr>
          <w:rFonts w:eastAsia="Arial Unicode MS" w:cs="Arial Unicode MS"/>
          <w:lang w:val="en-US"/>
        </w:rPr>
        <w:t xml:space="preserve">grounds </w:t>
      </w:r>
      <w:r>
        <w:rPr>
          <w:rFonts w:eastAsia="Arial Unicode MS" w:cs="Arial Unicode MS"/>
          <w:lang w:val="de-DE"/>
        </w:rPr>
        <w:t xml:space="preserve">and methods </w:t>
      </w:r>
      <w:r w:rsidRPr="00BA7B0A">
        <w:rPr>
          <w:rFonts w:eastAsia="Arial Unicode MS" w:cs="Arial Unicode MS"/>
          <w:lang w:val="en-US"/>
        </w:rPr>
        <w:t>to report discrimination</w:t>
      </w:r>
      <w:r>
        <w:rPr>
          <w:rFonts w:eastAsia="Arial Unicode MS" w:cs="Arial Unicode MS"/>
          <w:lang w:val="de-DE"/>
        </w:rPr>
        <w:t>. Proactive engagement by the EU through its funding programmes and public information campaigns can help to equip this target group with the knowledge they need.</w:t>
      </w:r>
    </w:p>
    <w:p w14:paraId="118E08E9" w14:textId="77777777" w:rsidR="008B49E9" w:rsidRDefault="00BA7B0A">
      <w:pPr>
        <w:pStyle w:val="Heading3"/>
      </w:pPr>
      <w:bookmarkStart w:id="9" w:name="_Toc9"/>
      <w:r>
        <w:rPr>
          <w:rFonts w:eastAsia="Arial Unicode MS" w:cs="Arial Unicode MS"/>
          <w:lang w:val="en-US"/>
        </w:rPr>
        <w:t>Article 9 - Accessibility</w:t>
      </w:r>
      <w:bookmarkEnd w:id="9"/>
    </w:p>
    <w:p w14:paraId="10F89569" w14:textId="77777777" w:rsidR="008B49E9" w:rsidRDefault="008B49E9">
      <w:pPr>
        <w:pStyle w:val="Body"/>
      </w:pPr>
    </w:p>
    <w:p w14:paraId="2B888A8D" w14:textId="77777777" w:rsidR="008B49E9" w:rsidRDefault="00BA7B0A">
      <w:pPr>
        <w:pStyle w:val="Body"/>
      </w:pPr>
      <w:r>
        <w:rPr>
          <w:rFonts w:eastAsia="Arial Unicode MS" w:cs="Arial Unicode MS"/>
          <w:lang w:val="de-DE"/>
        </w:rPr>
        <w:t>The European Accessibility Act, the Web Accessibility Directive, the Air Travel Regulation for D</w:t>
      </w:r>
      <w:r>
        <w:rPr>
          <w:rFonts w:eastAsia="Arial Unicode MS" w:cs="Arial Unicode MS"/>
          <w:lang w:val="en-US"/>
        </w:rPr>
        <w:t xml:space="preserve">isabled </w:t>
      </w:r>
      <w:r>
        <w:rPr>
          <w:rFonts w:eastAsia="Arial Unicode MS" w:cs="Arial Unicode MS"/>
          <w:lang w:val="de-DE"/>
        </w:rPr>
        <w:t>P</w:t>
      </w:r>
      <w:r>
        <w:rPr>
          <w:rFonts w:eastAsia="Arial Unicode MS" w:cs="Arial Unicode MS"/>
          <w:lang w:val="en-US"/>
        </w:rPr>
        <w:t xml:space="preserve">ersons and </w:t>
      </w:r>
      <w:r>
        <w:rPr>
          <w:rFonts w:eastAsia="Arial Unicode MS" w:cs="Arial Unicode MS"/>
          <w:lang w:val="de-DE"/>
        </w:rPr>
        <w:t xml:space="preserve">other EU legislative and regulatory measures have created a comprehensive - if not complete - legal framework to make the physical and digital environment accessible to persons with disabilities. In reality, however, many barriers continue to exist. When, in one of the </w:t>
      </w:r>
      <w:proofErr w:type="gramStart"/>
      <w:r>
        <w:rPr>
          <w:rFonts w:eastAsia="Arial Unicode MS" w:cs="Arial Unicode MS"/>
          <w:lang w:val="de-DE"/>
        </w:rPr>
        <w:t>EU</w:t>
      </w:r>
      <w:r>
        <w:rPr>
          <w:rFonts w:eastAsia="Arial Unicode MS" w:cs="Arial Unicode MS"/>
          <w:lang w:val="de-DE"/>
        </w:rPr>
        <w:t>’</w:t>
      </w:r>
      <w:r>
        <w:rPr>
          <w:rFonts w:eastAsia="Arial Unicode MS" w:cs="Arial Unicode MS"/>
          <w:lang w:val="de-DE"/>
        </w:rPr>
        <w:t>s</w:t>
      </w:r>
      <w:proofErr w:type="gramEnd"/>
      <w:r>
        <w:rPr>
          <w:rFonts w:eastAsia="Arial Unicode MS" w:cs="Arial Unicode MS"/>
          <w:lang w:val="de-DE"/>
        </w:rPr>
        <w:t xml:space="preserve"> most economically developed Member States, </w:t>
      </w:r>
      <w:r>
        <w:rPr>
          <w:rFonts w:eastAsia="Arial Unicode MS" w:cs="Arial Unicode MS"/>
          <w:lang w:val="en-US"/>
        </w:rPr>
        <w:t>20% of train stations</w:t>
      </w:r>
      <w:r>
        <w:rPr>
          <w:rFonts w:eastAsia="Arial Unicode MS" w:cs="Arial Unicode MS"/>
          <w:lang w:val="de-DE"/>
        </w:rPr>
        <w:t xml:space="preserve"> have still not been rendered physically accessible and none of the audited public websites were fully accessible</w:t>
      </w:r>
      <w:r>
        <w:rPr>
          <w:rStyle w:val="None"/>
          <w:vertAlign w:val="superscript"/>
        </w:rPr>
        <w:footnoteReference w:id="7"/>
      </w:r>
      <w:r>
        <w:rPr>
          <w:rFonts w:eastAsia="Arial Unicode MS" w:cs="Arial Unicode MS"/>
          <w:lang w:val="de-DE"/>
        </w:rPr>
        <w:t>, the scale of the task cannot be underestimated.</w:t>
      </w:r>
    </w:p>
    <w:p w14:paraId="30381FE9" w14:textId="77777777" w:rsidR="008B49E9" w:rsidRDefault="008B49E9">
      <w:pPr>
        <w:pStyle w:val="Body"/>
      </w:pPr>
    </w:p>
    <w:p w14:paraId="742CFB91" w14:textId="77777777" w:rsidR="008B49E9" w:rsidRDefault="00BA7B0A">
      <w:pPr>
        <w:pStyle w:val="Body"/>
      </w:pPr>
      <w:r>
        <w:rPr>
          <w:rFonts w:eastAsia="Arial Unicode MS" w:cs="Arial Unicode MS"/>
          <w:lang w:val="de-DE"/>
        </w:rPr>
        <w:t xml:space="preserve">When these barriers to accessibility are the result of failure to transpose or implement legislation, the European Commission should not hesitate to make use of its power to bring infringement proceedings to oblige Member States to comply. In many cases, however, they are the result of ignorance on the part of architects, planners, web designers, public officials and others responsible for turning the rules into reality. </w:t>
      </w:r>
      <w:r w:rsidRPr="00BA7B0A">
        <w:rPr>
          <w:rFonts w:eastAsia="Arial Unicode MS" w:cs="Arial Unicode MS"/>
          <w:lang w:val="en-US"/>
        </w:rPr>
        <w:t xml:space="preserve">The problem is particularly acute given the number of older and historical buildings, which may require creativity </w:t>
      </w:r>
      <w:proofErr w:type="gramStart"/>
      <w:r w:rsidRPr="00BA7B0A">
        <w:rPr>
          <w:rFonts w:eastAsia="Arial Unicode MS" w:cs="Arial Unicode MS"/>
          <w:lang w:val="en-US"/>
        </w:rPr>
        <w:t>in order to</w:t>
      </w:r>
      <w:proofErr w:type="gramEnd"/>
      <w:r w:rsidRPr="00BA7B0A">
        <w:rPr>
          <w:rFonts w:eastAsia="Arial Unicode MS" w:cs="Arial Unicode MS"/>
          <w:lang w:val="en-US"/>
        </w:rPr>
        <w:t xml:space="preserve"> be rendered accessible. </w:t>
      </w:r>
      <w:r>
        <w:rPr>
          <w:rFonts w:eastAsia="Arial Unicode MS" w:cs="Arial Unicode MS"/>
          <w:lang w:val="de-DE"/>
        </w:rPr>
        <w:t>European legislation will only be effective if it is accompanied by large-scale and regular training programmes to ensure that it is implemented in practice. Engagement with the private sector is critical in this respect.</w:t>
      </w:r>
    </w:p>
    <w:p w14:paraId="7CBBE647" w14:textId="77777777" w:rsidR="008B49E9" w:rsidRDefault="008B49E9">
      <w:pPr>
        <w:pStyle w:val="Body"/>
      </w:pPr>
    </w:p>
    <w:p w14:paraId="4F7E34B1" w14:textId="77777777" w:rsidR="008B49E9" w:rsidRDefault="00BA7B0A">
      <w:pPr>
        <w:pStyle w:val="Body"/>
      </w:pPr>
      <w:r>
        <w:rPr>
          <w:rFonts w:eastAsia="Arial Unicode MS" w:cs="Arial Unicode MS"/>
          <w:lang w:val="de-DE"/>
        </w:rPr>
        <w:t>The President of the European Commission, Ursula von der Leyen, has made addressing the housing crisis in many EU Member States a priority of the Commission in its forthcoming mandate</w:t>
      </w:r>
      <w:r>
        <w:rPr>
          <w:rStyle w:val="None"/>
          <w:vertAlign w:val="superscript"/>
        </w:rPr>
        <w:footnoteReference w:id="8"/>
      </w:r>
      <w:r>
        <w:rPr>
          <w:rFonts w:eastAsia="Arial Unicode MS" w:cs="Arial Unicode MS"/>
          <w:lang w:val="de-DE"/>
        </w:rPr>
        <w:t xml:space="preserve">. This presents an opportunity for the Commission to ensure that new housing projects across the EU are accessible as well as affordable, and supportive of independent living </w:t>
      </w:r>
      <w:r w:rsidRPr="00BA7B0A">
        <w:rPr>
          <w:rFonts w:eastAsia="Arial Unicode MS" w:cs="Arial Unicode MS"/>
          <w:lang w:val="en-US"/>
        </w:rPr>
        <w:t>for</w:t>
      </w:r>
      <w:r>
        <w:rPr>
          <w:rFonts w:eastAsia="Arial Unicode MS" w:cs="Arial Unicode MS"/>
          <w:lang w:val="de-DE"/>
        </w:rPr>
        <w:t xml:space="preserve"> persons living with disability.</w:t>
      </w:r>
    </w:p>
    <w:p w14:paraId="37B850BB" w14:textId="77777777" w:rsidR="008B49E9" w:rsidRDefault="00BA7B0A">
      <w:pPr>
        <w:pStyle w:val="Heading3"/>
      </w:pPr>
      <w:bookmarkStart w:id="10" w:name="_Toc10"/>
      <w:r>
        <w:rPr>
          <w:rFonts w:eastAsia="Arial Unicode MS" w:cs="Arial Unicode MS"/>
          <w:lang w:val="en-US"/>
        </w:rPr>
        <w:t>Article 10 - Right to life</w:t>
      </w:r>
      <w:bookmarkEnd w:id="10"/>
    </w:p>
    <w:p w14:paraId="34FDD506" w14:textId="77777777" w:rsidR="008B49E9" w:rsidRDefault="008B49E9">
      <w:pPr>
        <w:pStyle w:val="Body"/>
      </w:pPr>
    </w:p>
    <w:p w14:paraId="08E21EC6" w14:textId="77777777" w:rsidR="008B49E9" w:rsidRDefault="00BA7B0A">
      <w:pPr>
        <w:pStyle w:val="Body"/>
      </w:pPr>
      <w:r w:rsidRPr="00BA7B0A">
        <w:rPr>
          <w:rFonts w:eastAsia="Arial Unicode MS" w:cs="Arial Unicode MS"/>
          <w:lang w:val="en-US"/>
        </w:rPr>
        <w:t xml:space="preserve">Research consistently shows that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CP in </w:t>
      </w:r>
      <w:r w:rsidRPr="00BA7B0A">
        <w:rPr>
          <w:rFonts w:eastAsia="Arial Unicode MS" w:cs="Arial Unicode MS"/>
          <w:lang w:val="en-US"/>
        </w:rPr>
        <w:t>Europe die earlier than the general population</w:t>
      </w:r>
      <w:r>
        <w:rPr>
          <w:rStyle w:val="None"/>
          <w:vertAlign w:val="superscript"/>
        </w:rPr>
        <w:footnoteReference w:id="9"/>
      </w:r>
      <w:r w:rsidRPr="00BA7B0A">
        <w:rPr>
          <w:rFonts w:eastAsia="Arial Unicode MS" w:cs="Arial Unicode MS"/>
          <w:lang w:val="en-US"/>
        </w:rPr>
        <w:t xml:space="preserve"> </w:t>
      </w:r>
      <w:r>
        <w:rPr>
          <w:rStyle w:val="None"/>
          <w:vertAlign w:val="superscript"/>
        </w:rPr>
        <w:footnoteReference w:id="10"/>
      </w:r>
      <w:r w:rsidRPr="00BA7B0A">
        <w:rPr>
          <w:rFonts w:eastAsia="Arial Unicode MS" w:cs="Arial Unicode MS"/>
          <w:lang w:val="en-US"/>
        </w:rPr>
        <w:t xml:space="preserve">. Health conditions aggravated by their disability as well as by inequitable access to healthcare are the main causes (see Article 25 below). Lack of independent mobility, which may also be combined with intellectual disability, makes many persons with CP especially vulnerable in life-and-death emergency situations (see Article 11 below) as well as to violent abuse (see Articles 15 and 16 below). In its areas of competence, including those shared with Member States, the EU can do more to be vigilant to the </w:t>
      </w:r>
      <w:r w:rsidRPr="00BA7B0A">
        <w:rPr>
          <w:rFonts w:eastAsia="Arial Unicode MS" w:cs="Arial Unicode MS"/>
          <w:lang w:val="en-US"/>
        </w:rPr>
        <w:t>increased risk to the right to life of certain groups, such as those with cerebral palsy and other disabilities, compared to the general population.</w:t>
      </w:r>
    </w:p>
    <w:p w14:paraId="65C3525E" w14:textId="77777777" w:rsidR="008B49E9" w:rsidRDefault="00BA7B0A">
      <w:pPr>
        <w:pStyle w:val="Heading3"/>
      </w:pPr>
      <w:bookmarkStart w:id="11" w:name="_Toc11"/>
      <w:r>
        <w:rPr>
          <w:rFonts w:eastAsia="Arial Unicode MS" w:cs="Arial Unicode MS"/>
          <w:lang w:val="en-US"/>
        </w:rPr>
        <w:t>Article 11 - Situations of risk and humanitarian emergencies</w:t>
      </w:r>
      <w:bookmarkEnd w:id="11"/>
    </w:p>
    <w:p w14:paraId="113BC215" w14:textId="77777777" w:rsidR="008B49E9" w:rsidRDefault="008B49E9">
      <w:pPr>
        <w:pStyle w:val="Body"/>
      </w:pPr>
    </w:p>
    <w:p w14:paraId="3C91629E" w14:textId="77777777" w:rsidR="008B49E9" w:rsidRDefault="00BA7B0A">
      <w:pPr>
        <w:pStyle w:val="Body"/>
      </w:pPr>
      <w:proofErr w:type="gramStart"/>
      <w:r w:rsidRPr="00BA7B0A">
        <w:rPr>
          <w:rFonts w:eastAsia="Arial Unicode MS" w:cs="Arial Unicode MS"/>
          <w:lang w:val="en-US"/>
        </w:rPr>
        <w:t>P</w:t>
      </w:r>
      <w:r>
        <w:rPr>
          <w:rFonts w:eastAsia="Arial Unicode MS" w:cs="Arial Unicode MS"/>
          <w:lang w:val="de-DE"/>
        </w:rPr>
        <w:t>ersons</w:t>
      </w:r>
      <w:proofErr w:type="gramEnd"/>
      <w:r>
        <w:rPr>
          <w:rFonts w:eastAsia="Arial Unicode MS" w:cs="Arial Unicode MS"/>
          <w:lang w:val="de-DE"/>
        </w:rPr>
        <w:t xml:space="preserve"> with motor impairment, which </w:t>
      </w:r>
      <w:r w:rsidRPr="00BA7B0A">
        <w:rPr>
          <w:rFonts w:eastAsia="Arial Unicode MS" w:cs="Arial Unicode MS"/>
          <w:lang w:val="en-US"/>
        </w:rPr>
        <w:t>include</w:t>
      </w:r>
      <w:r>
        <w:rPr>
          <w:rFonts w:eastAsia="Arial Unicode MS" w:cs="Arial Unicode MS"/>
          <w:lang w:val="de-DE"/>
        </w:rPr>
        <w:t xml:space="preserve"> many persons with cerebral palsy, </w:t>
      </w:r>
      <w:r w:rsidRPr="00BA7B0A">
        <w:rPr>
          <w:rFonts w:eastAsia="Arial Unicode MS" w:cs="Arial Unicode MS"/>
          <w:lang w:val="en-US"/>
        </w:rPr>
        <w:t xml:space="preserve">are especially vulnerable </w:t>
      </w:r>
      <w:r>
        <w:rPr>
          <w:rFonts w:eastAsia="Arial Unicode MS" w:cs="Arial Unicode MS"/>
          <w:lang w:val="de-DE"/>
        </w:rPr>
        <w:t xml:space="preserve">in situations of risk and humanitarian emergencies. Yet many of the problems in implementation already described in relation to other rights also apply in such situations. </w:t>
      </w:r>
      <w:proofErr w:type="gramStart"/>
      <w:r w:rsidRPr="00BA7B0A">
        <w:rPr>
          <w:rFonts w:eastAsia="Arial Unicode MS" w:cs="Arial Unicode MS"/>
          <w:lang w:val="en-US"/>
        </w:rPr>
        <w:t>P</w:t>
      </w:r>
      <w:r>
        <w:rPr>
          <w:rFonts w:eastAsia="Arial Unicode MS" w:cs="Arial Unicode MS"/>
          <w:lang w:val="de-DE"/>
        </w:rPr>
        <w:t>ersons</w:t>
      </w:r>
      <w:proofErr w:type="gramEnd"/>
      <w:r>
        <w:rPr>
          <w:rFonts w:eastAsia="Arial Unicode MS" w:cs="Arial Unicode MS"/>
          <w:lang w:val="de-DE"/>
        </w:rPr>
        <w:t xml:space="preserve"> with disability are not systematically </w:t>
      </w:r>
      <w:r w:rsidRPr="00BA7B0A">
        <w:rPr>
          <w:rFonts w:eastAsia="Arial Unicode MS" w:cs="Arial Unicode MS"/>
          <w:lang w:val="en-US"/>
        </w:rPr>
        <w:t>involved in emergency planning;</w:t>
      </w:r>
      <w:r>
        <w:rPr>
          <w:rFonts w:eastAsia="Arial Unicode MS" w:cs="Arial Unicode MS"/>
          <w:lang w:val="de-DE"/>
        </w:rPr>
        <w:t xml:space="preserve"> eme</w:t>
      </w:r>
      <w:r w:rsidRPr="00BA7B0A">
        <w:rPr>
          <w:rFonts w:eastAsia="Arial Unicode MS" w:cs="Arial Unicode MS"/>
          <w:lang w:val="en-US"/>
        </w:rPr>
        <w:t>rgency plan</w:t>
      </w:r>
      <w:r>
        <w:rPr>
          <w:rFonts w:eastAsia="Arial Unicode MS" w:cs="Arial Unicode MS"/>
          <w:lang w:val="de-DE"/>
        </w:rPr>
        <w:t>s are</w:t>
      </w:r>
      <w:r w:rsidRPr="00BA7B0A">
        <w:rPr>
          <w:rFonts w:eastAsia="Arial Unicode MS" w:cs="Arial Unicode MS"/>
          <w:lang w:val="en-US"/>
        </w:rPr>
        <w:t xml:space="preserve"> not </w:t>
      </w:r>
      <w:r>
        <w:rPr>
          <w:rFonts w:eastAsia="Arial Unicode MS" w:cs="Arial Unicode MS"/>
          <w:lang w:val="de-DE"/>
        </w:rPr>
        <w:t xml:space="preserve">made </w:t>
      </w:r>
      <w:r w:rsidRPr="00BA7B0A">
        <w:rPr>
          <w:rFonts w:eastAsia="Arial Unicode MS" w:cs="Arial Unicode MS"/>
          <w:lang w:val="en-US"/>
        </w:rPr>
        <w:t>accessible</w:t>
      </w:r>
      <w:r>
        <w:rPr>
          <w:rFonts w:eastAsia="Arial Unicode MS" w:cs="Arial Unicode MS"/>
          <w:lang w:val="de-DE"/>
        </w:rPr>
        <w:t xml:space="preserve"> to persons who need alternative communication methods</w:t>
      </w:r>
      <w:r w:rsidRPr="00BA7B0A">
        <w:rPr>
          <w:rFonts w:eastAsia="Arial Unicode MS" w:cs="Arial Unicode MS"/>
          <w:lang w:val="en-US"/>
        </w:rPr>
        <w:t>;</w:t>
      </w:r>
      <w:r>
        <w:rPr>
          <w:rFonts w:eastAsia="Arial Unicode MS" w:cs="Arial Unicode MS"/>
          <w:lang w:val="de-DE"/>
        </w:rPr>
        <w:t xml:space="preserve"> and e</w:t>
      </w:r>
      <w:r w:rsidRPr="00BA7B0A">
        <w:rPr>
          <w:rFonts w:eastAsia="Arial Unicode MS" w:cs="Arial Unicode MS"/>
          <w:lang w:val="en-US"/>
        </w:rPr>
        <w:t xml:space="preserve">mergency personnel </w:t>
      </w:r>
      <w:r>
        <w:rPr>
          <w:rFonts w:eastAsia="Arial Unicode MS" w:cs="Arial Unicode MS"/>
          <w:lang w:val="de-DE"/>
        </w:rPr>
        <w:t xml:space="preserve">are </w:t>
      </w:r>
      <w:r w:rsidRPr="00BA7B0A">
        <w:rPr>
          <w:rFonts w:eastAsia="Arial Unicode MS" w:cs="Arial Unicode MS"/>
          <w:lang w:val="en-US"/>
        </w:rPr>
        <w:t xml:space="preserve">not </w:t>
      </w:r>
      <w:r>
        <w:rPr>
          <w:rFonts w:eastAsia="Arial Unicode MS" w:cs="Arial Unicode MS"/>
          <w:lang w:val="de-DE"/>
        </w:rPr>
        <w:t xml:space="preserve">adequately </w:t>
      </w:r>
      <w:r w:rsidRPr="00BA7B0A">
        <w:rPr>
          <w:rFonts w:eastAsia="Arial Unicode MS" w:cs="Arial Unicode MS"/>
          <w:lang w:val="en-US"/>
        </w:rPr>
        <w:t>trained</w:t>
      </w:r>
      <w:r>
        <w:rPr>
          <w:rFonts w:eastAsia="Arial Unicode MS" w:cs="Arial Unicode MS"/>
          <w:lang w:val="de-DE"/>
        </w:rPr>
        <w:t xml:space="preserve"> in dealing with persons with physical or other disabilities. The EU, which often plays a key role in coordinating emergency responses</w:t>
      </w:r>
      <w:r w:rsidRPr="00BA7B0A">
        <w:rPr>
          <w:rFonts w:eastAsia="Arial Unicode MS" w:cs="Arial Unicode MS"/>
          <w:lang w:val="en-US"/>
        </w:rPr>
        <w:t xml:space="preserve"> and providing support to Member States in such situations</w:t>
      </w:r>
      <w:r>
        <w:rPr>
          <w:rFonts w:eastAsia="Arial Unicode MS" w:cs="Arial Unicode MS"/>
          <w:lang w:val="de-DE"/>
        </w:rPr>
        <w:t>, can also play a role in raising the standard of disaster preparedness for persons with disabilities across all Member States.</w:t>
      </w:r>
    </w:p>
    <w:p w14:paraId="308109B6" w14:textId="77777777" w:rsidR="008B49E9" w:rsidRDefault="00BA7B0A">
      <w:pPr>
        <w:pStyle w:val="Heading3"/>
      </w:pPr>
      <w:bookmarkStart w:id="12" w:name="_Toc12"/>
      <w:r>
        <w:rPr>
          <w:rFonts w:eastAsia="Arial Unicode MS" w:cs="Arial Unicode MS"/>
          <w:lang w:val="en-US"/>
        </w:rPr>
        <w:t>Article 12 - Equal recognition before the law</w:t>
      </w:r>
      <w:bookmarkEnd w:id="12"/>
    </w:p>
    <w:p w14:paraId="615E5B70" w14:textId="77777777" w:rsidR="008B49E9" w:rsidRDefault="008B49E9">
      <w:pPr>
        <w:pStyle w:val="Body"/>
      </w:pPr>
    </w:p>
    <w:p w14:paraId="7BE6CD19" w14:textId="77777777" w:rsidR="008B49E9" w:rsidRDefault="00BA7B0A">
      <w:pPr>
        <w:pStyle w:val="Body"/>
      </w:pP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more severe cerebral palsy require the assistance of another person to perform daily tasks. In certain cases, it may also be in their interest to have another person support them in their decision-making </w:t>
      </w:r>
      <w:proofErr w:type="gramStart"/>
      <w:r w:rsidRPr="00BA7B0A">
        <w:rPr>
          <w:rFonts w:eastAsia="Arial Unicode MS" w:cs="Arial Unicode MS"/>
          <w:lang w:val="en-US"/>
        </w:rPr>
        <w:t>in order to</w:t>
      </w:r>
      <w:proofErr w:type="gramEnd"/>
      <w:r w:rsidRPr="00BA7B0A">
        <w:rPr>
          <w:rFonts w:eastAsia="Arial Unicode MS" w:cs="Arial Unicode MS"/>
          <w:lang w:val="en-US"/>
        </w:rPr>
        <w:t xml:space="preserve"> avoid abuse. In several EU Member States, however, the status of legal guardianship limits the rights of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disability rather than protecting them</w:t>
      </w:r>
      <w:r>
        <w:rPr>
          <w:rStyle w:val="None"/>
          <w:vertAlign w:val="superscript"/>
        </w:rPr>
        <w:footnoteReference w:id="11"/>
      </w:r>
      <w:r w:rsidRPr="00BA7B0A">
        <w:rPr>
          <w:rFonts w:eastAsia="Arial Unicode MS" w:cs="Arial Unicode MS"/>
          <w:lang w:val="en-US"/>
        </w:rPr>
        <w:t>. The EU</w:t>
      </w:r>
      <w:r w:rsidRPr="00BA7B0A">
        <w:rPr>
          <w:rFonts w:eastAsia="Arial Unicode MS" w:cs="Arial Unicode MS"/>
          <w:lang w:val="en-US"/>
        </w:rPr>
        <w:t>’</w:t>
      </w:r>
      <w:r w:rsidRPr="00BA7B0A">
        <w:rPr>
          <w:rFonts w:eastAsia="Arial Unicode MS" w:cs="Arial Unicode MS"/>
          <w:lang w:val="en-US"/>
        </w:rPr>
        <w:t xml:space="preserve">s efforts to facilitate the cross-border enforcement of decisions regarding the protection of vulnerable adults inadvertently </w:t>
      </w:r>
      <w:proofErr w:type="gramStart"/>
      <w:r w:rsidRPr="00BA7B0A">
        <w:rPr>
          <w:rFonts w:eastAsia="Arial Unicode MS" w:cs="Arial Unicode MS"/>
          <w:lang w:val="en-US"/>
        </w:rPr>
        <w:t>perpetuates</w:t>
      </w:r>
      <w:proofErr w:type="gramEnd"/>
      <w:r w:rsidRPr="00BA7B0A">
        <w:rPr>
          <w:rFonts w:eastAsia="Arial Unicode MS" w:cs="Arial Unicode MS"/>
          <w:lang w:val="en-US"/>
        </w:rPr>
        <w:t xml:space="preserve"> these unjust regimes. To mitigate against this, the EU could make compliance with Article 12 a precondition for the cross-border enforcement of protection decisions, in a similar way to how human-rights and rule-of-law considerations are embedded in the European Arrest Warrant.</w:t>
      </w:r>
    </w:p>
    <w:p w14:paraId="60572A1F" w14:textId="77777777" w:rsidR="008B49E9" w:rsidRDefault="00BA7B0A">
      <w:pPr>
        <w:pStyle w:val="Heading3"/>
      </w:pPr>
      <w:bookmarkStart w:id="13" w:name="_Toc13"/>
      <w:r>
        <w:rPr>
          <w:rFonts w:eastAsia="Arial Unicode MS" w:cs="Arial Unicode MS"/>
          <w:lang w:val="en-US"/>
        </w:rPr>
        <w:t>Article 13 - Access to justice</w:t>
      </w:r>
      <w:bookmarkEnd w:id="13"/>
    </w:p>
    <w:p w14:paraId="0AF7D2CA" w14:textId="77777777" w:rsidR="008B49E9" w:rsidRDefault="008B49E9">
      <w:pPr>
        <w:pStyle w:val="Body"/>
      </w:pPr>
    </w:p>
    <w:p w14:paraId="605E3598" w14:textId="77777777" w:rsidR="008B49E9" w:rsidRDefault="00BA7B0A">
      <w:pPr>
        <w:pStyle w:val="Body"/>
      </w:pPr>
      <w:r w:rsidRPr="00BA7B0A">
        <w:rPr>
          <w:rFonts w:eastAsia="Arial Unicode MS" w:cs="Arial Unicode MS"/>
          <w:lang w:val="en-US"/>
        </w:rPr>
        <w:t>Barriers to access to justice for persons with CP and complex disabilities in the EU are both physical and attitudinal. Court buildings, especially older ones, are often inaccessible. Information is not communicated in plain language and communication support services are not provided in police stations or courts. Lack of training leads to prejudice and misconceptions. Just as it has devoted significant resources to promoting child-friendly justice</w:t>
      </w:r>
      <w:r>
        <w:rPr>
          <w:rStyle w:val="None"/>
          <w:vertAlign w:val="superscript"/>
        </w:rPr>
        <w:footnoteReference w:id="12"/>
      </w:r>
      <w:r w:rsidRPr="00BA7B0A">
        <w:rPr>
          <w:rFonts w:eastAsia="Arial Unicode MS" w:cs="Arial Unicode MS"/>
          <w:lang w:val="en-US"/>
        </w:rPr>
        <w:t xml:space="preserve">, the EU can raise awareness about and develop strategies that support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disability in the justice system, even if primary responsibility lies with the Member States.</w:t>
      </w:r>
    </w:p>
    <w:p w14:paraId="193AFA7D" w14:textId="77777777" w:rsidR="008B49E9" w:rsidRDefault="00BA7B0A">
      <w:pPr>
        <w:pStyle w:val="Heading3"/>
      </w:pPr>
      <w:bookmarkStart w:id="14" w:name="_Toc14"/>
      <w:r>
        <w:rPr>
          <w:rFonts w:eastAsia="Arial Unicode MS" w:cs="Arial Unicode MS"/>
          <w:lang w:val="en-US"/>
        </w:rPr>
        <w:t>Article 14 - Liberty and security of the person</w:t>
      </w:r>
      <w:bookmarkEnd w:id="14"/>
    </w:p>
    <w:p w14:paraId="06A840F7" w14:textId="77777777" w:rsidR="008B49E9" w:rsidRDefault="008B49E9">
      <w:pPr>
        <w:pStyle w:val="Body"/>
      </w:pPr>
    </w:p>
    <w:p w14:paraId="7FD0F601" w14:textId="77777777" w:rsidR="008B49E9" w:rsidRDefault="00BA7B0A">
      <w:pPr>
        <w:pStyle w:val="Body"/>
      </w:pPr>
      <w:r w:rsidRPr="00BA7B0A">
        <w:rPr>
          <w:rFonts w:eastAsia="Arial Unicode MS" w:cs="Arial Unicode MS"/>
          <w:lang w:val="en-US"/>
        </w:rPr>
        <w:t xml:space="preserve">Physical disability renders persons with CP vulnerable to physical attacks on their liberty and security (see Articles 15 and 16 below) but the online environment also presents challenges in the form of online fraud and cyberbullying alongside its many benefits for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reduced mobility. In its efforts to promote online safety</w:t>
      </w:r>
      <w:r>
        <w:rPr>
          <w:rStyle w:val="None"/>
          <w:vertAlign w:val="superscript"/>
        </w:rPr>
        <w:footnoteReference w:id="13"/>
      </w:r>
      <w:r w:rsidRPr="00BA7B0A">
        <w:rPr>
          <w:rFonts w:eastAsia="Arial Unicode MS" w:cs="Arial Unicode MS"/>
          <w:lang w:val="en-US"/>
        </w:rPr>
        <w:t xml:space="preserve">, the EU should pay additional attention to the specific needs of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disability.</w:t>
      </w:r>
    </w:p>
    <w:p w14:paraId="0E7A8000" w14:textId="77777777" w:rsidR="008B49E9" w:rsidRDefault="00BA7B0A">
      <w:pPr>
        <w:pStyle w:val="Heading3"/>
      </w:pPr>
      <w:bookmarkStart w:id="15" w:name="_Toc15"/>
      <w:r>
        <w:rPr>
          <w:rFonts w:eastAsia="Arial Unicode MS" w:cs="Arial Unicode MS"/>
          <w:lang w:val="en-US"/>
        </w:rPr>
        <w:t>Article 15 - Freedom from torture or cruel, inhuman or degrading treatment or punishment</w:t>
      </w:r>
      <w:r w:rsidRPr="00BA7B0A">
        <w:rPr>
          <w:rFonts w:eastAsia="Arial Unicode MS" w:cs="Arial Unicode MS"/>
          <w:lang w:val="en-US"/>
        </w:rPr>
        <w:t xml:space="preserve"> &amp; </w:t>
      </w:r>
      <w:r>
        <w:rPr>
          <w:rFonts w:eastAsia="Arial Unicode MS" w:cs="Arial Unicode MS"/>
          <w:lang w:val="en-US"/>
        </w:rPr>
        <w:t>Article 16 - Freedom from exploitation, violence and abuse</w:t>
      </w:r>
      <w:bookmarkEnd w:id="15"/>
    </w:p>
    <w:p w14:paraId="0C8D2864" w14:textId="77777777" w:rsidR="008B49E9" w:rsidRDefault="008B49E9">
      <w:pPr>
        <w:pStyle w:val="Body"/>
      </w:pPr>
    </w:p>
    <w:p w14:paraId="1E533422" w14:textId="77777777" w:rsidR="008B49E9" w:rsidRDefault="00BA7B0A">
      <w:pPr>
        <w:pStyle w:val="Body"/>
      </w:pPr>
      <w:r w:rsidRPr="00BA7B0A">
        <w:rPr>
          <w:rFonts w:eastAsia="Arial Unicode MS" w:cs="Arial Unicode MS"/>
          <w:lang w:val="en-US"/>
        </w:rPr>
        <w:t xml:space="preserve">Dependency on the physical assistance of another person to perform daily tasks renders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cerebral palsy and similar disabilities more vulnerable to abuse and degrading treatment than the rest of the population. This may happen in care settings, educational and medical institutions, or </w:t>
      </w:r>
      <w:proofErr w:type="gramStart"/>
      <w:r w:rsidRPr="00BA7B0A">
        <w:rPr>
          <w:rFonts w:eastAsia="Arial Unicode MS" w:cs="Arial Unicode MS"/>
          <w:lang w:val="en-US"/>
        </w:rPr>
        <w:t>even</w:t>
      </w:r>
      <w:proofErr w:type="gramEnd"/>
      <w:r w:rsidRPr="00BA7B0A">
        <w:rPr>
          <w:rFonts w:eastAsia="Arial Unicode MS" w:cs="Arial Unicode MS"/>
          <w:lang w:val="en-US"/>
        </w:rPr>
        <w:t xml:space="preserve"> the family home. Privately-run residential care facilities, for which it is easy to acquire approval without demonstrating the skills necessary for professional care, represent a particular risk. The growing trend to provide state support for personal assistants to enable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severe disa</w:t>
      </w:r>
      <w:r w:rsidRPr="00BA7B0A">
        <w:rPr>
          <w:rFonts w:eastAsia="Arial Unicode MS" w:cs="Arial Unicode MS"/>
          <w:lang w:val="en-US"/>
        </w:rPr>
        <w:t>bilities to lead more independent lives is generally to be welcomed, but safeguards must be in place to ensure that personal assistants are properly trained and do not abuse their position. Formal and informal carers themselves are poorly or not paid, placed in stressful situations and obliged to work long and unsocial hours, which may contribute to the problem. The EU can make use of its competences to promote fair working conditions to ensure that the carer profession is both valued and regulated, ensurin</w:t>
      </w:r>
      <w:r w:rsidRPr="00BA7B0A">
        <w:rPr>
          <w:rFonts w:eastAsia="Arial Unicode MS" w:cs="Arial Unicode MS"/>
          <w:lang w:val="en-US"/>
        </w:rPr>
        <w:t xml:space="preserve">g better outcomes for all involved. </w:t>
      </w:r>
    </w:p>
    <w:p w14:paraId="7903D1D7" w14:textId="77777777" w:rsidR="008B49E9" w:rsidRDefault="00BA7B0A">
      <w:pPr>
        <w:pStyle w:val="Heading3"/>
      </w:pPr>
      <w:bookmarkStart w:id="16" w:name="_Toc16"/>
      <w:r>
        <w:rPr>
          <w:rFonts w:eastAsia="Arial Unicode MS" w:cs="Arial Unicode MS"/>
          <w:lang w:val="en-US"/>
        </w:rPr>
        <w:t>Article 18 - Liberty of movement and nationality</w:t>
      </w:r>
      <w:bookmarkEnd w:id="16"/>
    </w:p>
    <w:p w14:paraId="22962EFA" w14:textId="77777777" w:rsidR="008B49E9" w:rsidRDefault="008B49E9">
      <w:pPr>
        <w:pStyle w:val="Body"/>
        <w:rPr>
          <w:i/>
          <w:iCs/>
          <w:shd w:val="clear" w:color="auto" w:fill="FFF056"/>
        </w:rPr>
      </w:pPr>
    </w:p>
    <w:p w14:paraId="7694E8AF" w14:textId="77777777" w:rsidR="008B49E9" w:rsidRDefault="00BA7B0A">
      <w:pPr>
        <w:pStyle w:val="Body"/>
      </w:pPr>
      <w:r w:rsidRPr="00BA7B0A">
        <w:rPr>
          <w:rFonts w:eastAsia="Arial Unicode MS" w:cs="Arial Unicode MS"/>
          <w:lang w:val="en-US"/>
        </w:rPr>
        <w:t xml:space="preserve">The EU guarantees the freedom of movement of persons between the Member States as one of its four </w:t>
      </w:r>
      <w:r w:rsidRPr="00BA7B0A">
        <w:rPr>
          <w:rFonts w:eastAsia="Arial Unicode MS" w:cs="Arial Unicode MS"/>
          <w:lang w:val="en-US"/>
        </w:rPr>
        <w:t>“</w:t>
      </w:r>
      <w:r w:rsidRPr="00BA7B0A">
        <w:rPr>
          <w:rFonts w:eastAsia="Arial Unicode MS" w:cs="Arial Unicode MS"/>
          <w:lang w:val="en-US"/>
        </w:rPr>
        <w:t>fundamental freedoms</w:t>
      </w:r>
      <w:r w:rsidRPr="00BA7B0A">
        <w:rPr>
          <w:rFonts w:eastAsia="Arial Unicode MS" w:cs="Arial Unicode MS"/>
          <w:lang w:val="en-US"/>
        </w:rPr>
        <w:t>”</w:t>
      </w:r>
      <w:r w:rsidRPr="00BA7B0A">
        <w:rPr>
          <w:rFonts w:eastAsia="Arial Unicode MS" w:cs="Arial Unicode MS"/>
          <w:lang w:val="en-US"/>
        </w:rPr>
        <w:t xml:space="preserve">. However, numerous barriers exist to the freedom of movement of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cerebral palsy and similar disabilities. For example, it is not guaranteed that a person with CP who relies on a personal assistant in their country of origin will be able to benefit from the same service in another Member State. The EU can influence such situations indirectly, in its role in social security </w:t>
      </w:r>
      <w:r>
        <w:rPr>
          <w:rFonts w:eastAsia="Arial Unicode MS" w:cs="Arial Unicode MS"/>
          <w:lang w:val="nl-NL"/>
        </w:rPr>
        <w:t>coordinati</w:t>
      </w:r>
      <w:r w:rsidRPr="00BA7B0A">
        <w:rPr>
          <w:rFonts w:eastAsia="Arial Unicode MS" w:cs="Arial Unicode MS"/>
          <w:lang w:val="en-US"/>
        </w:rPr>
        <w:t>on, and directly, in terms of the rules it applies to its Erasmus and Alma exchange programmes for students and young people.</w:t>
      </w:r>
    </w:p>
    <w:p w14:paraId="49AF86CC" w14:textId="77777777" w:rsidR="008B49E9" w:rsidRDefault="00BA7B0A">
      <w:pPr>
        <w:pStyle w:val="Heading3"/>
      </w:pPr>
      <w:bookmarkStart w:id="17" w:name="_Toc17"/>
      <w:r>
        <w:rPr>
          <w:rFonts w:eastAsia="Arial Unicode MS" w:cs="Arial Unicode MS"/>
          <w:lang w:val="en-US"/>
        </w:rPr>
        <w:t>Article 19 - Living independently and being included in the community</w:t>
      </w:r>
      <w:bookmarkEnd w:id="17"/>
    </w:p>
    <w:p w14:paraId="6DD31873" w14:textId="77777777" w:rsidR="008B49E9" w:rsidRDefault="008B49E9">
      <w:pPr>
        <w:pStyle w:val="Body"/>
      </w:pPr>
    </w:p>
    <w:p w14:paraId="565DD389" w14:textId="77777777" w:rsidR="008B49E9" w:rsidRDefault="00BA7B0A">
      <w:pPr>
        <w:pStyle w:val="Body"/>
      </w:pPr>
      <w:r w:rsidRPr="00BA7B0A">
        <w:rPr>
          <w:rFonts w:eastAsia="Arial Unicode MS" w:cs="Arial Unicode MS"/>
          <w:lang w:val="en-US"/>
        </w:rPr>
        <w:t xml:space="preserve">There is growing support in the European Union for the principle that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disabilities should be enabled to live as independently as possible and to be fully included in community life. The introduction of schemes to provide state funding for personal assistants in several Member States should be encouraged and promoted by the EU in others. Even where such schemes exist, however, there remain significant obstacles to independent living for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cerebral palsy and similar disabilities. While </w:t>
      </w:r>
      <w:proofErr w:type="gramStart"/>
      <w:r w:rsidRPr="00BA7B0A">
        <w:rPr>
          <w:rFonts w:eastAsia="Arial Unicode MS" w:cs="Arial Unicode MS"/>
          <w:lang w:val="en-US"/>
        </w:rPr>
        <w:t>the entitlement</w:t>
      </w:r>
      <w:proofErr w:type="gramEnd"/>
      <w:r w:rsidRPr="00BA7B0A">
        <w:rPr>
          <w:rFonts w:eastAsia="Arial Unicode MS" w:cs="Arial Unicode MS"/>
          <w:lang w:val="en-US"/>
        </w:rPr>
        <w:t xml:space="preserve"> to personal assistance may exist, lack of financial s</w:t>
      </w:r>
      <w:r w:rsidRPr="00BA7B0A">
        <w:rPr>
          <w:rFonts w:eastAsia="Arial Unicode MS" w:cs="Arial Unicode MS"/>
          <w:lang w:val="en-US"/>
        </w:rPr>
        <w:t>upport and training make it difficult to implement in practice. The lack of accessible and affordable housing makes it difficult to find an appropriate place in which to live independently. In such circumstances, the only practical alternative to parental care remains residential institutions. The EU can support Member States to implement independent living policies by sharing know-how and examples of best practice. It can also make accessibility a priority in its proposed new strategy to develop more affor</w:t>
      </w:r>
      <w:r w:rsidRPr="00BA7B0A">
        <w:rPr>
          <w:rFonts w:eastAsia="Arial Unicode MS" w:cs="Arial Unicode MS"/>
          <w:lang w:val="en-US"/>
        </w:rPr>
        <w:t>dable housing (see Article 9 above).</w:t>
      </w:r>
    </w:p>
    <w:p w14:paraId="68890E00" w14:textId="77777777" w:rsidR="008B49E9" w:rsidRDefault="00BA7B0A">
      <w:pPr>
        <w:pStyle w:val="Heading3"/>
      </w:pPr>
      <w:bookmarkStart w:id="18" w:name="_Toc18"/>
      <w:r w:rsidRPr="00BA7B0A">
        <w:rPr>
          <w:rFonts w:eastAsia="Arial Unicode MS" w:cs="Arial Unicode MS"/>
          <w:lang w:val="en-US"/>
        </w:rPr>
        <w:t xml:space="preserve">Article 20 - </w:t>
      </w:r>
      <w:r>
        <w:rPr>
          <w:rFonts w:eastAsia="Arial Unicode MS" w:cs="Arial Unicode MS"/>
          <w:lang w:val="en-US"/>
        </w:rPr>
        <w:t>Personal mobility</w:t>
      </w:r>
      <w:bookmarkEnd w:id="18"/>
    </w:p>
    <w:p w14:paraId="6CEB1108" w14:textId="77777777" w:rsidR="008B49E9" w:rsidRDefault="008B49E9">
      <w:pPr>
        <w:pStyle w:val="Body"/>
      </w:pPr>
    </w:p>
    <w:p w14:paraId="10F9437D" w14:textId="77777777" w:rsidR="008B49E9" w:rsidRDefault="00BA7B0A">
      <w:pPr>
        <w:pStyle w:val="Body"/>
      </w:pPr>
      <w:r w:rsidRPr="00BA7B0A">
        <w:rPr>
          <w:rFonts w:eastAsia="Arial Unicode MS" w:cs="Arial Unicode MS"/>
          <w:lang w:val="en-US"/>
        </w:rPr>
        <w:t xml:space="preserve">All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cerebral palsy have a physical disability and for many it is so severe that they cannot move without assistive technology</w:t>
      </w:r>
      <w:r>
        <w:rPr>
          <w:rFonts w:eastAsia="Arial Unicode MS" w:cs="Arial Unicode MS"/>
          <w:lang w:val="de-DE"/>
        </w:rPr>
        <w:t xml:space="preserve"> (AT)</w:t>
      </w:r>
      <w:r w:rsidRPr="00BA7B0A">
        <w:rPr>
          <w:rFonts w:eastAsia="Arial Unicode MS" w:cs="Arial Unicode MS"/>
          <w:lang w:val="en-US"/>
        </w:rPr>
        <w:t xml:space="preserve"> in the form of a wheelchair, walking frame or other device. </w:t>
      </w:r>
      <w:r>
        <w:rPr>
          <w:rFonts w:eastAsia="Arial Unicode MS" w:cs="Arial Unicode MS"/>
          <w:lang w:val="de-DE"/>
        </w:rPr>
        <w:t>Access to such devices is limited in many EU Member States due to budgetary constraints on the one hand, but also lack of knowledge about and support for innovative AT solutions on the other. Given how transformational AT is for persons with severe disability, the EU should be doing everything in its power to facilitate access to it. This may include promoting innovative solutions to encourage Member States</w:t>
      </w:r>
      <w:r>
        <w:rPr>
          <w:rFonts w:eastAsia="Arial Unicode MS" w:cs="Arial Unicode MS"/>
          <w:lang w:val="de-DE"/>
        </w:rPr>
        <w:t xml:space="preserve">’ </w:t>
      </w:r>
      <w:r>
        <w:rPr>
          <w:rFonts w:eastAsia="Arial Unicode MS" w:cs="Arial Unicode MS"/>
          <w:lang w:val="de-DE"/>
        </w:rPr>
        <w:t>social security systems to fund them, supporting their development through the use of research, cohe</w:t>
      </w:r>
      <w:r>
        <w:rPr>
          <w:rFonts w:eastAsia="Arial Unicode MS" w:cs="Arial Unicode MS"/>
          <w:lang w:val="de-DE"/>
        </w:rPr>
        <w:t xml:space="preserve">sion and social funding, and ensuring that the value-added tax (VAT) rate is fixed at 0% across all Member States. Technology requires training, and the EU can support training programmes on AT both for persons with reduced mobility and for specialised professionals to support them. </w:t>
      </w:r>
    </w:p>
    <w:p w14:paraId="459ED552" w14:textId="77777777" w:rsidR="008B49E9" w:rsidRDefault="008B49E9">
      <w:pPr>
        <w:pStyle w:val="Body"/>
      </w:pPr>
    </w:p>
    <w:p w14:paraId="796A8C7E" w14:textId="77777777" w:rsidR="008B49E9" w:rsidRDefault="00BA7B0A">
      <w:pPr>
        <w:pStyle w:val="Body"/>
      </w:pPr>
      <w:r>
        <w:rPr>
          <w:rFonts w:eastAsia="Arial Unicode MS" w:cs="Arial Unicode MS"/>
          <w:lang w:val="de-DE"/>
        </w:rPr>
        <w:t>Despite the best legislative efforts of the EU, the l</w:t>
      </w:r>
      <w:r w:rsidRPr="00BA7B0A">
        <w:rPr>
          <w:rFonts w:eastAsia="Arial Unicode MS" w:cs="Arial Unicode MS"/>
          <w:lang w:val="en-US"/>
        </w:rPr>
        <w:t>ack of accessible public transport</w:t>
      </w:r>
      <w:r>
        <w:rPr>
          <w:rFonts w:eastAsia="Arial Unicode MS" w:cs="Arial Unicode MS"/>
          <w:lang w:val="de-DE"/>
        </w:rPr>
        <w:t xml:space="preserve"> remains a major barrier to persons with CP and other disabilities in most Member States. Beyond establishing the principle, the EU can facilitate change by supporting investment, training and awareness-raising in this field.</w:t>
      </w:r>
    </w:p>
    <w:p w14:paraId="079CB896" w14:textId="77777777" w:rsidR="008B49E9" w:rsidRDefault="00BA7B0A">
      <w:pPr>
        <w:pStyle w:val="Heading3"/>
      </w:pPr>
      <w:bookmarkStart w:id="19" w:name="_Toc19"/>
      <w:r>
        <w:rPr>
          <w:rFonts w:eastAsia="Arial Unicode MS" w:cs="Arial Unicode MS"/>
          <w:lang w:val="en-US"/>
        </w:rPr>
        <w:t>Article 21 - Freedom of expression and opinion, and access to information</w:t>
      </w:r>
      <w:bookmarkEnd w:id="19"/>
    </w:p>
    <w:p w14:paraId="2261FAE1" w14:textId="77777777" w:rsidR="008B49E9" w:rsidRDefault="008B49E9">
      <w:pPr>
        <w:pStyle w:val="Body"/>
      </w:pPr>
    </w:p>
    <w:p w14:paraId="23E25FE8" w14:textId="77777777" w:rsidR="008B49E9" w:rsidRDefault="00BA7B0A">
      <w:pPr>
        <w:pStyle w:val="Body"/>
      </w:pPr>
      <w:r w:rsidRPr="00BA7B0A">
        <w:rPr>
          <w:rFonts w:eastAsia="Arial Unicode MS" w:cs="Arial Unicode MS"/>
          <w:lang w:val="en-US"/>
        </w:rPr>
        <w:t xml:space="preserve">The inaccessibility of websites, including those of public authorities, means that access to information for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w:t>
      </w:r>
      <w:r>
        <w:rPr>
          <w:rFonts w:eastAsia="Arial Unicode MS" w:cs="Arial Unicode MS"/>
          <w:lang w:val="en-US"/>
        </w:rPr>
        <w:t xml:space="preserve">cerebral palsy and other motor disabilities </w:t>
      </w:r>
      <w:r w:rsidRPr="00BA7B0A">
        <w:rPr>
          <w:rFonts w:eastAsia="Arial Unicode MS" w:cs="Arial Unicode MS"/>
          <w:lang w:val="en-US"/>
        </w:rPr>
        <w:t>(as well as other persons with disabilities) is not guaranteed in many EU Member States</w:t>
      </w:r>
      <w:r>
        <w:rPr>
          <w:rStyle w:val="None"/>
          <w:vertAlign w:val="superscript"/>
        </w:rPr>
        <w:footnoteReference w:id="14"/>
      </w:r>
      <w:r w:rsidRPr="00BA7B0A">
        <w:rPr>
          <w:rFonts w:eastAsia="Arial Unicode MS" w:cs="Arial Unicode MS"/>
          <w:lang w:val="en-US"/>
        </w:rPr>
        <w:t>. While the EU has legislated to require public websites to be accessible, the scope is limited, and implementation requires awareness-raising, training and enforcement. There is still much to be done in this respect.</w:t>
      </w:r>
    </w:p>
    <w:p w14:paraId="3E861CC6" w14:textId="77777777" w:rsidR="008B49E9" w:rsidRDefault="008B49E9">
      <w:pPr>
        <w:pStyle w:val="Body"/>
      </w:pPr>
    </w:p>
    <w:p w14:paraId="3A0ABB6F" w14:textId="77777777" w:rsidR="008B49E9" w:rsidRDefault="00BA7B0A">
      <w:pPr>
        <w:pStyle w:val="Body"/>
      </w:pPr>
      <w:r w:rsidRPr="00BA7B0A">
        <w:rPr>
          <w:rFonts w:eastAsia="Arial Unicode MS" w:cs="Arial Unicode MS"/>
          <w:lang w:val="en-US"/>
        </w:rPr>
        <w:t xml:space="preserve">In many EU Member States, </w:t>
      </w:r>
      <w:r>
        <w:rPr>
          <w:rFonts w:eastAsia="Arial Unicode MS" w:cs="Arial Unicode MS"/>
          <w:lang w:val="en-US"/>
        </w:rPr>
        <w:t xml:space="preserve">mainstream information </w:t>
      </w:r>
      <w:r w:rsidRPr="00BA7B0A">
        <w:rPr>
          <w:rFonts w:eastAsia="Arial Unicode MS" w:cs="Arial Unicode MS"/>
          <w:lang w:val="en-US"/>
        </w:rPr>
        <w:t>channels (e.g. TV and radio) do not provide information in accessible formats. Through the Audiovisual Media Services Directive, the EU establishes a legal framework for broadcast services across all Member States and can make use of the opportunity to include accessibility requirements when it is next updated.</w:t>
      </w:r>
    </w:p>
    <w:p w14:paraId="48C5738E" w14:textId="77777777" w:rsidR="008B49E9" w:rsidRDefault="00BA7B0A">
      <w:pPr>
        <w:pStyle w:val="Heading3"/>
      </w:pPr>
      <w:bookmarkStart w:id="20" w:name="_Toc20"/>
      <w:r>
        <w:rPr>
          <w:rFonts w:eastAsia="Arial Unicode MS" w:cs="Arial Unicode MS"/>
          <w:lang w:val="en-US"/>
        </w:rPr>
        <w:t>Article 22 - Respect for privacy</w:t>
      </w:r>
      <w:bookmarkEnd w:id="20"/>
    </w:p>
    <w:p w14:paraId="59EEED72" w14:textId="77777777" w:rsidR="008B49E9" w:rsidRDefault="008B49E9">
      <w:pPr>
        <w:pStyle w:val="Body"/>
      </w:pPr>
    </w:p>
    <w:p w14:paraId="3E18069B" w14:textId="77777777" w:rsidR="008B49E9" w:rsidRDefault="00BA7B0A">
      <w:pPr>
        <w:pStyle w:val="Body"/>
      </w:pPr>
      <w:r w:rsidRPr="00BA7B0A">
        <w:rPr>
          <w:rFonts w:eastAsia="Arial Unicode MS" w:cs="Arial Unicode MS"/>
          <w:lang w:val="en-US"/>
        </w:rPr>
        <w:t>While t</w:t>
      </w:r>
      <w:r>
        <w:rPr>
          <w:rFonts w:eastAsia="Arial Unicode MS" w:cs="Arial Unicode MS"/>
          <w:lang w:val="en-US"/>
        </w:rPr>
        <w:t xml:space="preserve">he growing trend to provide state support for personal assistants to enable </w:t>
      </w:r>
      <w:proofErr w:type="gramStart"/>
      <w:r>
        <w:rPr>
          <w:rFonts w:eastAsia="Arial Unicode MS" w:cs="Arial Unicode MS"/>
          <w:lang w:val="en-US"/>
        </w:rPr>
        <w:t>persons</w:t>
      </w:r>
      <w:proofErr w:type="gramEnd"/>
      <w:r>
        <w:rPr>
          <w:rFonts w:eastAsia="Arial Unicode MS" w:cs="Arial Unicode MS"/>
          <w:lang w:val="en-US"/>
        </w:rPr>
        <w:t xml:space="preserve"> with severe disabilities to lead more independent lives is generally to be welcomed, </w:t>
      </w:r>
      <w:r w:rsidRPr="00BA7B0A">
        <w:rPr>
          <w:rFonts w:eastAsia="Arial Unicode MS" w:cs="Arial Unicode MS"/>
          <w:lang w:val="en-US"/>
        </w:rPr>
        <w:t xml:space="preserve">the rule in some Member States requiring personal assistants to </w:t>
      </w:r>
      <w:proofErr w:type="gramStart"/>
      <w:r w:rsidRPr="00BA7B0A">
        <w:rPr>
          <w:rFonts w:eastAsia="Arial Unicode MS" w:cs="Arial Unicode MS"/>
          <w:lang w:val="en-US"/>
        </w:rPr>
        <w:t>be with the person with disability at all times</w:t>
      </w:r>
      <w:proofErr w:type="gramEnd"/>
      <w:r w:rsidRPr="00BA7B0A">
        <w:rPr>
          <w:rFonts w:eastAsia="Arial Unicode MS" w:cs="Arial Unicode MS"/>
          <w:lang w:val="en-US"/>
        </w:rPr>
        <w:t>, including intimate situations, represents an infringement of the latter's right to privacy.</w:t>
      </w:r>
    </w:p>
    <w:p w14:paraId="3AC23A22" w14:textId="77777777" w:rsidR="008B49E9" w:rsidRDefault="00BA7B0A">
      <w:pPr>
        <w:pStyle w:val="Heading3"/>
      </w:pPr>
      <w:bookmarkStart w:id="21" w:name="_Toc21"/>
      <w:r>
        <w:rPr>
          <w:rFonts w:eastAsia="Arial Unicode MS" w:cs="Arial Unicode MS"/>
          <w:lang w:val="en-US"/>
        </w:rPr>
        <w:t>Article 23 - Respect for home and the family</w:t>
      </w:r>
      <w:bookmarkEnd w:id="21"/>
    </w:p>
    <w:p w14:paraId="483CEB50" w14:textId="77777777" w:rsidR="008B49E9" w:rsidRDefault="008B49E9">
      <w:pPr>
        <w:pStyle w:val="Body"/>
      </w:pPr>
    </w:p>
    <w:p w14:paraId="641C4868" w14:textId="77777777" w:rsidR="008B49E9" w:rsidRDefault="00BA7B0A">
      <w:pPr>
        <w:pStyle w:val="Body"/>
      </w:pPr>
      <w:r>
        <w:rPr>
          <w:rFonts w:eastAsia="Arial Unicode MS" w:cs="Arial Unicode MS"/>
          <w:lang w:val="de-DE"/>
        </w:rPr>
        <w:t xml:space="preserve">As a childhood-onset disability, cerebral palsy impacts not only the person with the condition but also their parents and their wider family. Attention to the strain placed on the physical and mental health of caregivers is essential to ensure the well-being of </w:t>
      </w:r>
      <w:r>
        <w:rPr>
          <w:rFonts w:eastAsia="Arial Unicode MS" w:cs="Arial Unicode MS"/>
          <w:lang w:val="en-US"/>
        </w:rPr>
        <w:t>persons with CP and other severe disabilities</w:t>
      </w:r>
      <w:r>
        <w:rPr>
          <w:rFonts w:eastAsia="Arial Unicode MS" w:cs="Arial Unicode MS"/>
          <w:lang w:val="de-DE"/>
        </w:rPr>
        <w:t xml:space="preserve"> themselves. EU programmes that address disability rights should also take this dimension into account, as high levels of family breakdown place persons with CP and other disabilities at even greater risk of economic disadvantage and social exclusion.</w:t>
      </w:r>
    </w:p>
    <w:p w14:paraId="2C12B0A6" w14:textId="77777777" w:rsidR="008B49E9" w:rsidRDefault="008B49E9">
      <w:pPr>
        <w:pStyle w:val="Body"/>
      </w:pPr>
    </w:p>
    <w:p w14:paraId="640F953D" w14:textId="77777777" w:rsidR="008B49E9" w:rsidRDefault="00BA7B0A">
      <w:pPr>
        <w:pStyle w:val="Body"/>
      </w:pPr>
      <w:r>
        <w:rPr>
          <w:rFonts w:eastAsia="Arial Unicode MS" w:cs="Arial Unicode MS"/>
          <w:lang w:val="de-DE"/>
        </w:rPr>
        <w:t>Persons with CP face discrimination and prejudice when it comes to establishing intimate relationships, getting married and having children - not only from wider society but also from health and social care professionals. The EU must recognise that persons with CP have sexual and reproductive rights and act to protect them alongside those of the general population.</w:t>
      </w:r>
    </w:p>
    <w:p w14:paraId="44DD2332" w14:textId="77777777" w:rsidR="008B49E9" w:rsidRDefault="008B49E9">
      <w:pPr>
        <w:pStyle w:val="Body"/>
      </w:pPr>
    </w:p>
    <w:p w14:paraId="729C0D6D" w14:textId="77777777" w:rsidR="008B49E9" w:rsidRDefault="00BA7B0A">
      <w:pPr>
        <w:pStyle w:val="Heading3"/>
      </w:pPr>
      <w:bookmarkStart w:id="22" w:name="_Toc22"/>
      <w:r>
        <w:rPr>
          <w:rFonts w:eastAsia="Arial Unicode MS" w:cs="Arial Unicode MS"/>
          <w:lang w:val="en-US"/>
        </w:rPr>
        <w:t>Article 24 - Education</w:t>
      </w:r>
      <w:bookmarkEnd w:id="22"/>
    </w:p>
    <w:p w14:paraId="67BC0DC0" w14:textId="77777777" w:rsidR="008B49E9" w:rsidRDefault="008B49E9">
      <w:pPr>
        <w:pStyle w:val="Body"/>
      </w:pPr>
    </w:p>
    <w:p w14:paraId="34686208" w14:textId="77777777" w:rsidR="008B49E9" w:rsidRDefault="00BA7B0A">
      <w:pPr>
        <w:pStyle w:val="Body"/>
      </w:pPr>
      <w:r>
        <w:rPr>
          <w:rFonts w:eastAsia="Arial Unicode MS" w:cs="Arial Unicode MS"/>
          <w:lang w:val="de-DE"/>
        </w:rPr>
        <w:t xml:space="preserve">While acceptance of the principle of inclusive education for children with CP </w:t>
      </w:r>
      <w:r w:rsidRPr="00BA7B0A">
        <w:rPr>
          <w:rFonts w:eastAsia="Arial Unicode MS" w:cs="Arial Unicode MS"/>
          <w:lang w:val="en-US"/>
        </w:rPr>
        <w:t xml:space="preserve">and other disabilities </w:t>
      </w:r>
      <w:r>
        <w:rPr>
          <w:rFonts w:eastAsia="Arial Unicode MS" w:cs="Arial Unicode MS"/>
          <w:lang w:val="de-DE"/>
        </w:rPr>
        <w:t>has been growing across most EU Member States, it is not or poorly implemented in practice. In some countries, fully segregated school systems are still the norm. Even where schools are declared as inclusive, education is still delivered in segregated classrooms</w:t>
      </w:r>
      <w:r w:rsidRPr="00BA7B0A">
        <w:rPr>
          <w:rFonts w:eastAsia="Arial Unicode MS" w:cs="Arial Unicode MS"/>
          <w:lang w:val="en-US"/>
        </w:rPr>
        <w:t xml:space="preserve"> and/or by undertrained teachers who struggle to meet the needs of children, especially those with greater communication challenges</w:t>
      </w:r>
      <w:r>
        <w:rPr>
          <w:rFonts w:eastAsia="Arial Unicode MS" w:cs="Arial Unicode MS"/>
          <w:lang w:val="de-DE"/>
        </w:rPr>
        <w:t xml:space="preserve">. </w:t>
      </w:r>
      <w:r w:rsidRPr="00BA7B0A">
        <w:rPr>
          <w:rFonts w:eastAsia="Arial Unicode MS" w:cs="Arial Unicode MS"/>
          <w:lang w:val="en-US"/>
        </w:rPr>
        <w:t xml:space="preserve">The lack of an alternative to an academic curriculum means that many children - both with and without disabilities - leave school without a qualification, leading to exclusion from the labour market. </w:t>
      </w:r>
      <w:r>
        <w:rPr>
          <w:rFonts w:eastAsia="Arial Unicode MS" w:cs="Arial Unicode MS"/>
          <w:lang w:val="de-DE"/>
        </w:rPr>
        <w:t xml:space="preserve">The failure to implement educational inclusion has a long-term impact not only </w:t>
      </w:r>
      <w:r w:rsidRPr="00BA7B0A">
        <w:rPr>
          <w:rFonts w:eastAsia="Arial Unicode MS" w:cs="Arial Unicode MS"/>
          <w:lang w:val="en-US"/>
        </w:rPr>
        <w:t xml:space="preserve">on </w:t>
      </w:r>
      <w:r>
        <w:rPr>
          <w:rFonts w:eastAsia="Arial Unicode MS" w:cs="Arial Unicode MS"/>
          <w:lang w:val="de-DE"/>
        </w:rPr>
        <w:t xml:space="preserve">the prospects of children with disability but also on other pupils who miss out on the awareness and skills to </w:t>
      </w:r>
      <w:r w:rsidRPr="00BA7B0A">
        <w:rPr>
          <w:rFonts w:eastAsia="Arial Unicode MS" w:cs="Arial Unicode MS"/>
          <w:lang w:val="en-US"/>
        </w:rPr>
        <w:t>engage</w:t>
      </w:r>
      <w:r>
        <w:rPr>
          <w:rFonts w:eastAsia="Arial Unicode MS" w:cs="Arial Unicode MS"/>
          <w:lang w:val="de-DE"/>
        </w:rPr>
        <w:t xml:space="preserve"> with persons with disability later in life.</w:t>
      </w:r>
    </w:p>
    <w:p w14:paraId="23859A3C" w14:textId="77777777" w:rsidR="008B49E9" w:rsidRDefault="008B49E9">
      <w:pPr>
        <w:pStyle w:val="Body"/>
      </w:pPr>
    </w:p>
    <w:p w14:paraId="577AB4A8" w14:textId="77777777" w:rsidR="008B49E9" w:rsidRDefault="00BA7B0A">
      <w:pPr>
        <w:pStyle w:val="Body"/>
      </w:pPr>
      <w:r w:rsidRPr="00BA7B0A">
        <w:rPr>
          <w:rFonts w:eastAsia="Arial Unicode MS" w:cs="Arial Unicode MS"/>
          <w:lang w:val="en-US"/>
        </w:rPr>
        <w:t xml:space="preserve">The inaccessibility of school and especially university buildings is a further barrier to education for young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CP and other physical disabilities. The EU can share and promote best practice in the adaptation of, for example, historic buildings to enable access for all.</w:t>
      </w:r>
    </w:p>
    <w:p w14:paraId="1971681A" w14:textId="77777777" w:rsidR="008B49E9" w:rsidRDefault="008B49E9">
      <w:pPr>
        <w:pStyle w:val="Body"/>
      </w:pPr>
    </w:p>
    <w:p w14:paraId="2EB36378" w14:textId="77777777" w:rsidR="008B49E9" w:rsidRDefault="00BA7B0A">
      <w:pPr>
        <w:pStyle w:val="Body"/>
      </w:pPr>
      <w:r w:rsidRPr="00BA7B0A">
        <w:rPr>
          <w:rFonts w:eastAsia="Arial Unicode MS" w:cs="Arial Unicode MS"/>
          <w:lang w:val="en-US"/>
        </w:rPr>
        <w:t>While the EU</w:t>
      </w:r>
      <w:r w:rsidRPr="00BA7B0A">
        <w:rPr>
          <w:rFonts w:eastAsia="Arial Unicode MS" w:cs="Arial Unicode MS"/>
          <w:lang w:val="en-US"/>
        </w:rPr>
        <w:t>’</w:t>
      </w:r>
      <w:r w:rsidRPr="00BA7B0A">
        <w:rPr>
          <w:rFonts w:eastAsia="Arial Unicode MS" w:cs="Arial Unicode MS"/>
          <w:lang w:val="en-US"/>
        </w:rPr>
        <w:t>s direct competences in the field of education may be limited, its sponsorship of the European Agency for Special Needs and Inclusive Education under the Erasmus+ programme puts it in a unique position to facilitate and promote progress in this field.</w:t>
      </w:r>
    </w:p>
    <w:p w14:paraId="32FBCB03" w14:textId="77777777" w:rsidR="008B49E9" w:rsidRDefault="00BA7B0A">
      <w:pPr>
        <w:pStyle w:val="Heading3"/>
      </w:pPr>
      <w:bookmarkStart w:id="23" w:name="_Toc23"/>
      <w:r>
        <w:rPr>
          <w:rFonts w:eastAsia="Arial Unicode MS" w:cs="Arial Unicode MS"/>
          <w:lang w:val="en-US"/>
        </w:rPr>
        <w:t>Article 25 - Health</w:t>
      </w:r>
      <w:bookmarkEnd w:id="23"/>
    </w:p>
    <w:p w14:paraId="00A7F275" w14:textId="77777777" w:rsidR="008B49E9" w:rsidRDefault="008B49E9">
      <w:pPr>
        <w:pStyle w:val="Body"/>
      </w:pPr>
    </w:p>
    <w:p w14:paraId="460D271B" w14:textId="77777777" w:rsidR="008B49E9" w:rsidRDefault="00BA7B0A">
      <w:pPr>
        <w:pStyle w:val="Body"/>
      </w:pPr>
      <w:r w:rsidRPr="00BA7B0A">
        <w:rPr>
          <w:rFonts w:eastAsia="Arial Unicode MS" w:cs="Arial Unicode MS"/>
          <w:lang w:val="en-US"/>
        </w:rPr>
        <w:t xml:space="preserve">The direct health impact of living with cerebral palsy and other disabilities is compounded by inequitable access to healthcare in the European Union. This may be the result of inaccessible buildings in healthcare facilities, inadequately adapted medical equipment, a lack of training for medical professionals on how to deal with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disability, a lack of specialised services (especially for adults with cerebral palsy - see Article 26 below) or simply prejudice. S</w:t>
      </w:r>
      <w:r>
        <w:rPr>
          <w:rFonts w:eastAsia="Arial Unicode MS" w:cs="Arial Unicode MS"/>
        </w:rPr>
        <w:t xml:space="preserve">tereotypes </w:t>
      </w:r>
      <w:r w:rsidRPr="00BA7B0A">
        <w:rPr>
          <w:rFonts w:eastAsia="Arial Unicode MS" w:cs="Arial Unicode MS"/>
          <w:lang w:val="en-US"/>
        </w:rPr>
        <w:t xml:space="preserve">towards persons with CP are particularly evident in the field of sexual and reproductive health, where assumptions about the ability of women with CP to have and care for children makes doing so even more difficult than it should be. The lack of adequate support in public health systems causes additional out-of-pocket expenditure for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disability, who must travel further or use private services to obtain appropriate care. The EU can promote health equity for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disabilities through proj</w:t>
      </w:r>
      <w:r w:rsidRPr="00BA7B0A">
        <w:rPr>
          <w:rFonts w:eastAsia="Arial Unicode MS" w:cs="Arial Unicode MS"/>
          <w:lang w:val="en-US"/>
        </w:rPr>
        <w:t>ects supported under the EU4Health programme.</w:t>
      </w:r>
    </w:p>
    <w:p w14:paraId="01A1FDEC" w14:textId="77777777" w:rsidR="008B49E9" w:rsidRDefault="00BA7B0A">
      <w:pPr>
        <w:pStyle w:val="Heading3"/>
      </w:pPr>
      <w:bookmarkStart w:id="24" w:name="_Toc24"/>
      <w:r>
        <w:rPr>
          <w:rFonts w:eastAsia="Arial Unicode MS" w:cs="Arial Unicode MS"/>
          <w:lang w:val="en-US"/>
        </w:rPr>
        <w:t>Article 26 - Habilitation and rehabilitation</w:t>
      </w:r>
      <w:bookmarkEnd w:id="24"/>
    </w:p>
    <w:p w14:paraId="3E96EDC6" w14:textId="77777777" w:rsidR="008B49E9" w:rsidRDefault="008B49E9">
      <w:pPr>
        <w:pStyle w:val="Body"/>
      </w:pPr>
    </w:p>
    <w:p w14:paraId="3F2C90C2" w14:textId="77777777" w:rsidR="008B49E9" w:rsidRDefault="00BA7B0A">
      <w:pPr>
        <w:pStyle w:val="Body"/>
      </w:pPr>
      <w:r w:rsidRPr="00BA7B0A">
        <w:rPr>
          <w:rFonts w:eastAsia="Arial Unicode MS" w:cs="Arial Unicode MS"/>
          <w:lang w:val="en-US"/>
        </w:rPr>
        <w:t>Cerebral palsy is a lifelong condition yet in many EU Member States, it is considered by the healthcare system as a primarily paediatric condition. State support for (re)habilitation ends at the age of 18 and specialised medical care becomes hard to find</w:t>
      </w:r>
      <w:r>
        <w:rPr>
          <w:rStyle w:val="None"/>
          <w:vertAlign w:val="superscript"/>
        </w:rPr>
        <w:footnoteReference w:id="15"/>
      </w:r>
      <w:r w:rsidRPr="00BA7B0A">
        <w:rPr>
          <w:rFonts w:eastAsia="Arial Unicode MS" w:cs="Arial Unicode MS"/>
          <w:lang w:val="en-US"/>
        </w:rPr>
        <w:t>. Through its support for national healthcare systems under the EU4Health programme, the EU can raise awareness that cerebral palsy and similar conditions require lifelong access to (re)habilitation services.</w:t>
      </w:r>
    </w:p>
    <w:p w14:paraId="2BBA40E3" w14:textId="77777777" w:rsidR="008B49E9" w:rsidRDefault="008B49E9">
      <w:pPr>
        <w:pStyle w:val="Body"/>
      </w:pPr>
    </w:p>
    <w:p w14:paraId="23581936" w14:textId="77777777" w:rsidR="008B49E9" w:rsidRDefault="008B49E9">
      <w:pPr>
        <w:pStyle w:val="Body"/>
      </w:pPr>
    </w:p>
    <w:p w14:paraId="05CBF0CE" w14:textId="77777777" w:rsidR="008B49E9" w:rsidRDefault="008B49E9">
      <w:pPr>
        <w:pStyle w:val="Body"/>
      </w:pPr>
    </w:p>
    <w:p w14:paraId="7BE1CD8C" w14:textId="77777777" w:rsidR="008B49E9" w:rsidRDefault="008B49E9">
      <w:pPr>
        <w:pStyle w:val="Body"/>
      </w:pPr>
    </w:p>
    <w:p w14:paraId="20977556" w14:textId="77777777" w:rsidR="008B49E9" w:rsidRDefault="008B49E9">
      <w:pPr>
        <w:pStyle w:val="Body"/>
      </w:pPr>
    </w:p>
    <w:p w14:paraId="6D7D3949" w14:textId="77777777" w:rsidR="008B49E9" w:rsidRDefault="008B49E9">
      <w:pPr>
        <w:pStyle w:val="Body"/>
      </w:pPr>
    </w:p>
    <w:p w14:paraId="780B8593" w14:textId="77777777" w:rsidR="008B49E9" w:rsidRDefault="00BA7B0A">
      <w:pPr>
        <w:pStyle w:val="Heading3"/>
      </w:pPr>
      <w:bookmarkStart w:id="25" w:name="_Toc25"/>
      <w:r>
        <w:rPr>
          <w:rFonts w:eastAsia="Arial Unicode MS" w:cs="Arial Unicode MS"/>
          <w:lang w:val="en-US"/>
        </w:rPr>
        <w:t>Article 27 - Work and employment</w:t>
      </w:r>
      <w:bookmarkEnd w:id="25"/>
    </w:p>
    <w:p w14:paraId="6D105382" w14:textId="77777777" w:rsidR="008B49E9" w:rsidRDefault="008B49E9">
      <w:pPr>
        <w:pStyle w:val="Body"/>
      </w:pPr>
    </w:p>
    <w:p w14:paraId="26608CDA" w14:textId="77777777" w:rsidR="008B49E9" w:rsidRDefault="00BA7B0A">
      <w:pPr>
        <w:pStyle w:val="Body"/>
      </w:pPr>
      <w:r w:rsidRPr="00BA7B0A">
        <w:rPr>
          <w:rFonts w:eastAsia="Arial Unicode MS" w:cs="Arial Unicode MS"/>
          <w:lang w:val="en-US"/>
        </w:rPr>
        <w:t xml:space="preserve">The proportion of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cerebral palsy in genuine full-time employment compared to the general population is extremely low across all EU Member States</w:t>
      </w:r>
      <w:r>
        <w:rPr>
          <w:rStyle w:val="None"/>
          <w:vertAlign w:val="superscript"/>
        </w:rPr>
        <w:footnoteReference w:id="16"/>
      </w:r>
      <w:r w:rsidRPr="00BA7B0A">
        <w:rPr>
          <w:rFonts w:eastAsia="Arial Unicode MS" w:cs="Arial Unicode MS"/>
          <w:lang w:val="en-US"/>
        </w:rPr>
        <w:t xml:space="preserve"> </w:t>
      </w:r>
      <w:r>
        <w:rPr>
          <w:rStyle w:val="None"/>
          <w:vertAlign w:val="superscript"/>
        </w:rPr>
        <w:footnoteReference w:id="17"/>
      </w:r>
      <w:r w:rsidRPr="00BA7B0A">
        <w:rPr>
          <w:rFonts w:eastAsia="Arial Unicode MS" w:cs="Arial Unicode MS"/>
          <w:lang w:val="en-US"/>
        </w:rPr>
        <w:t xml:space="preserve"> </w:t>
      </w:r>
      <w:r>
        <w:rPr>
          <w:rStyle w:val="None"/>
          <w:vertAlign w:val="superscript"/>
        </w:rPr>
        <w:footnoteReference w:id="18"/>
      </w:r>
      <w:r w:rsidRPr="00BA7B0A">
        <w:rPr>
          <w:rFonts w:eastAsia="Arial Unicode MS" w:cs="Arial Unicode MS"/>
          <w:lang w:val="en-US"/>
        </w:rPr>
        <w:t xml:space="preserve"> </w:t>
      </w:r>
      <w:r>
        <w:rPr>
          <w:rStyle w:val="None"/>
          <w:vertAlign w:val="superscript"/>
        </w:rPr>
        <w:footnoteReference w:id="19"/>
      </w:r>
      <w:r w:rsidRPr="00BA7B0A">
        <w:rPr>
          <w:rFonts w:eastAsia="Arial Unicode MS" w:cs="Arial Unicode MS"/>
          <w:lang w:val="en-US"/>
        </w:rPr>
        <w:t xml:space="preserve"> </w:t>
      </w:r>
      <w:r>
        <w:rPr>
          <w:rStyle w:val="None"/>
          <w:vertAlign w:val="superscript"/>
        </w:rPr>
        <w:footnoteReference w:id="20"/>
      </w:r>
      <w:r w:rsidRPr="00BA7B0A">
        <w:rPr>
          <w:rFonts w:eastAsia="Arial Unicode MS" w:cs="Arial Unicode MS"/>
          <w:lang w:val="en-US"/>
        </w:rPr>
        <w:t xml:space="preserve">. Sheltered workshops, in which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disability are paid wages far below the legal minimum wage, are no substitute for employment in the wider economy. EU law prohibits discrimination in employment on the grounds of disability, yet significant barriers remain. Prejudice is only one of the obstacles that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disability must overcome. In many Member States, social security payments to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disability are incompatible with income from full-time employment, even though such people incur</w:t>
      </w:r>
      <w:r w:rsidRPr="00BA7B0A">
        <w:rPr>
          <w:rFonts w:eastAsia="Arial Unicode MS" w:cs="Arial Unicode MS"/>
          <w:lang w:val="en-US"/>
        </w:rPr>
        <w:t xml:space="preserve"> significant additional out-of-pocket expenditure (see Article 28).  Employers may even be open in principle to the prospect of employing a person with </w:t>
      </w:r>
      <w:proofErr w:type="gramStart"/>
      <w:r w:rsidRPr="00BA7B0A">
        <w:rPr>
          <w:rFonts w:eastAsia="Arial Unicode MS" w:cs="Arial Unicode MS"/>
          <w:lang w:val="en-US"/>
        </w:rPr>
        <w:t>disability</w:t>
      </w:r>
      <w:proofErr w:type="gramEnd"/>
      <w:r w:rsidRPr="00BA7B0A">
        <w:rPr>
          <w:rFonts w:eastAsia="Arial Unicode MS" w:cs="Arial Unicode MS"/>
          <w:lang w:val="en-US"/>
        </w:rPr>
        <w:t xml:space="preserve"> but have a lack of knowledge of to provide and fund the reasonable accommodation that might be required, which may be additionally challenging in the case of an employee with a complex disability such as cerebral palsy. The EU can support Member States and the Social Partners to develop a plan for inclusive employment drawing on examples of best p</w:t>
      </w:r>
      <w:r w:rsidRPr="00BA7B0A">
        <w:rPr>
          <w:rFonts w:eastAsia="Arial Unicode MS" w:cs="Arial Unicode MS"/>
          <w:lang w:val="en-US"/>
        </w:rPr>
        <w:t>ractice from across the Union.</w:t>
      </w:r>
    </w:p>
    <w:p w14:paraId="61084CF4" w14:textId="77777777" w:rsidR="008B49E9" w:rsidRDefault="00BA7B0A">
      <w:pPr>
        <w:pStyle w:val="Heading3"/>
      </w:pPr>
      <w:bookmarkStart w:id="26" w:name="_Toc26"/>
      <w:r>
        <w:rPr>
          <w:rFonts w:eastAsia="Arial Unicode MS" w:cs="Arial Unicode MS"/>
          <w:lang w:val="en-US"/>
        </w:rPr>
        <w:t>Article 28 - Adequate standard of living and social protection</w:t>
      </w:r>
      <w:bookmarkEnd w:id="26"/>
    </w:p>
    <w:p w14:paraId="167D0A9B" w14:textId="77777777" w:rsidR="008B49E9" w:rsidRDefault="008B49E9">
      <w:pPr>
        <w:pStyle w:val="Body"/>
      </w:pPr>
    </w:p>
    <w:p w14:paraId="560C873E" w14:textId="77777777" w:rsidR="008B49E9" w:rsidRDefault="00BA7B0A">
      <w:pPr>
        <w:pStyle w:val="Body"/>
      </w:pPr>
      <w:r w:rsidRPr="00BA7B0A">
        <w:rPr>
          <w:rFonts w:eastAsia="Arial Unicode MS" w:cs="Arial Unicode MS"/>
          <w:lang w:val="en-US"/>
        </w:rPr>
        <w:t xml:space="preserve">Persons with cerebral palsy and similar disabilities incur significant additional </w:t>
      </w:r>
      <w:r>
        <w:rPr>
          <w:rFonts w:eastAsia="Arial Unicode MS" w:cs="Arial Unicode MS"/>
          <w:lang w:val="en-US"/>
        </w:rPr>
        <w:t xml:space="preserve">out-of-pocket </w:t>
      </w:r>
      <w:r w:rsidRPr="00BA7B0A">
        <w:rPr>
          <w:rFonts w:eastAsia="Arial Unicode MS" w:cs="Arial Unicode MS"/>
          <w:lang w:val="en-US"/>
        </w:rPr>
        <w:t xml:space="preserve">expenditure due, for example, to essential services such as (re)habilitation (see Article 26 above), certain assistive devices (see Article 20 above) or adequate healthcare provision (see Article 25 above) not being covered by the State. This means that their cost of living is higher than the average </w:t>
      </w:r>
      <w:proofErr w:type="gramStart"/>
      <w:r w:rsidRPr="00BA7B0A">
        <w:rPr>
          <w:rFonts w:eastAsia="Arial Unicode MS" w:cs="Arial Unicode MS"/>
          <w:lang w:val="en-US"/>
        </w:rPr>
        <w:t>person</w:t>
      </w:r>
      <w:proofErr w:type="gramEnd"/>
      <w:r w:rsidRPr="00BA7B0A">
        <w:rPr>
          <w:rFonts w:eastAsia="Arial Unicode MS" w:cs="Arial Unicode MS"/>
          <w:lang w:val="en-US"/>
        </w:rPr>
        <w:t>, which their social protection in the form of disability allowance is too low to compensate. The situation is further compounded by the fact that disability allowance is usually incompatible with paid em</w:t>
      </w:r>
      <w:r w:rsidRPr="00BA7B0A">
        <w:rPr>
          <w:rFonts w:eastAsia="Arial Unicode MS" w:cs="Arial Unicode MS"/>
          <w:lang w:val="en-US"/>
        </w:rPr>
        <w:t xml:space="preserve">ployment and withdrawn in the case that the person with disability finds a job. As a result,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disabilities are more likely to be poor, even more so if they experience intersectional disability, and are more likely to be homeless or in substandard housing. In the EU</w:t>
      </w:r>
      <w:r w:rsidRPr="00BA7B0A">
        <w:rPr>
          <w:rFonts w:eastAsia="Arial Unicode MS" w:cs="Arial Unicode MS"/>
          <w:lang w:val="en-US"/>
        </w:rPr>
        <w:t>’</w:t>
      </w:r>
      <w:r w:rsidRPr="00BA7B0A">
        <w:rPr>
          <w:rFonts w:eastAsia="Arial Unicode MS" w:cs="Arial Unicode MS"/>
          <w:lang w:val="en-US"/>
        </w:rPr>
        <w:t xml:space="preserve">s efforts to address economic inequality, it must pay special attention to the vicious circle of poverty into which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disabilities are often forced.</w:t>
      </w:r>
    </w:p>
    <w:p w14:paraId="39AD326F" w14:textId="77777777" w:rsidR="008B49E9" w:rsidRDefault="00BA7B0A">
      <w:pPr>
        <w:pStyle w:val="Heading3"/>
      </w:pPr>
      <w:bookmarkStart w:id="27" w:name="_Toc27"/>
      <w:r>
        <w:rPr>
          <w:rFonts w:eastAsia="Arial Unicode MS" w:cs="Arial Unicode MS"/>
          <w:lang w:val="en-US"/>
        </w:rPr>
        <w:t>Article 29 - Participation in political and public life</w:t>
      </w:r>
      <w:bookmarkEnd w:id="27"/>
    </w:p>
    <w:p w14:paraId="4474AF28" w14:textId="77777777" w:rsidR="008B49E9" w:rsidRDefault="008B49E9">
      <w:pPr>
        <w:pStyle w:val="Body"/>
      </w:pPr>
    </w:p>
    <w:p w14:paraId="4B705B69" w14:textId="77777777" w:rsidR="008B49E9" w:rsidRDefault="00BA7B0A">
      <w:pPr>
        <w:pStyle w:val="Body"/>
      </w:pPr>
      <w:r w:rsidRPr="00BA7B0A">
        <w:rPr>
          <w:rFonts w:eastAsia="Arial Unicode MS" w:cs="Arial Unicode MS"/>
          <w:lang w:val="en-US"/>
        </w:rPr>
        <w:t>400,000 EU citizens were disenfranchised at the European Parliament elections in 2019 on the grounds of lack of legal capacity due to their disability</w:t>
      </w:r>
      <w:r>
        <w:rPr>
          <w:rStyle w:val="None"/>
          <w:vertAlign w:val="superscript"/>
        </w:rPr>
        <w:footnoteReference w:id="21"/>
      </w:r>
      <w:r w:rsidRPr="00BA7B0A">
        <w:rPr>
          <w:rFonts w:eastAsia="Arial Unicode MS" w:cs="Arial Unicode MS"/>
          <w:lang w:val="en-US"/>
        </w:rPr>
        <w:t xml:space="preserve">.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cerebral palsy and complex disabilities, who may have a combination of motor, cognitive, visual or other impairments, face multiple barriers to participation in political and public life. These include restrictions on voting rights for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under legal guardianship, the accessibility of polling stations or the voting process itself, or denial of the right to be accompanied by a third party of their choice. Solutions exist that take account of concerns surrounding the independence and secre</w:t>
      </w:r>
      <w:r w:rsidRPr="00BA7B0A">
        <w:rPr>
          <w:rFonts w:eastAsia="Arial Unicode MS" w:cs="Arial Unicode MS"/>
          <w:lang w:val="en-US"/>
        </w:rPr>
        <w:t>cy of the electoral process, such as the AccessibleVote rewarded by a ZeroProject prize in 2023</w:t>
      </w:r>
      <w:r>
        <w:rPr>
          <w:rStyle w:val="None"/>
          <w:vertAlign w:val="superscript"/>
        </w:rPr>
        <w:footnoteReference w:id="22"/>
      </w:r>
      <w:r w:rsidRPr="00BA7B0A">
        <w:rPr>
          <w:rFonts w:eastAsia="Arial Unicode MS" w:cs="Arial Unicode MS"/>
          <w:lang w:val="en-US"/>
        </w:rPr>
        <w:t>, but legislators and electoral authorities in EU Member States have proven reluctant to implement them. While the competence of the EU in this field is limited, it can share knowledge and encourage the uptake of accessible voting solutions by highlighting examples of best practice.</w:t>
      </w:r>
    </w:p>
    <w:p w14:paraId="306FA8BB" w14:textId="77777777" w:rsidR="008B49E9" w:rsidRDefault="00BA7B0A">
      <w:pPr>
        <w:pStyle w:val="Heading3"/>
      </w:pPr>
      <w:bookmarkStart w:id="28" w:name="_Toc28"/>
      <w:r>
        <w:rPr>
          <w:rFonts w:eastAsia="Arial Unicode MS" w:cs="Arial Unicode MS"/>
          <w:lang w:val="en-US"/>
        </w:rPr>
        <w:t>Article 30 - Participation in cultural life, recreation, leisure and sport</w:t>
      </w:r>
      <w:bookmarkEnd w:id="28"/>
    </w:p>
    <w:p w14:paraId="46A8E2C1" w14:textId="77777777" w:rsidR="008B49E9" w:rsidRDefault="008B49E9">
      <w:pPr>
        <w:pStyle w:val="Body"/>
      </w:pPr>
    </w:p>
    <w:p w14:paraId="580FD144" w14:textId="77777777" w:rsidR="008B49E9" w:rsidRDefault="00BA7B0A">
      <w:pPr>
        <w:pStyle w:val="Body"/>
      </w:pPr>
      <w:r w:rsidRPr="00BA7B0A">
        <w:rPr>
          <w:rFonts w:eastAsia="Arial Unicode MS" w:cs="Arial Unicode MS"/>
          <w:lang w:val="en-US"/>
        </w:rPr>
        <w:t xml:space="preserve">Participation in culture, recreation, leisure and sport offers opportunities for social inclusion and personal wellbeing to all who benefit. For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CP and similar disabilities, many barriers unfortunately stand in their way. Sports facilities are often inaccessible, with the only accessible ones </w:t>
      </w:r>
      <w:proofErr w:type="gramStart"/>
      <w:r w:rsidRPr="00BA7B0A">
        <w:rPr>
          <w:rFonts w:eastAsia="Arial Unicode MS" w:cs="Arial Unicode MS"/>
          <w:lang w:val="en-US"/>
        </w:rPr>
        <w:t>being located in</w:t>
      </w:r>
      <w:proofErr w:type="gramEnd"/>
      <w:r w:rsidRPr="00BA7B0A">
        <w:rPr>
          <w:rFonts w:eastAsia="Arial Unicode MS" w:cs="Arial Unicode MS"/>
          <w:lang w:val="en-US"/>
        </w:rPr>
        <w:t xml:space="preserve"> big cities. Adapted or inclusive sporting activities are often small-scale and lack competitive opportunities, which can de-motivating for participants. Cultural associations are often unaware of their obligations regarding accessibility. When travelling to different venues, hotels often don</w:t>
      </w:r>
      <w:r w:rsidRPr="00BA7B0A">
        <w:rPr>
          <w:rFonts w:eastAsia="Arial Unicode MS" w:cs="Arial Unicode MS"/>
          <w:lang w:val="en-US"/>
        </w:rPr>
        <w:t>’</w:t>
      </w:r>
      <w:r w:rsidRPr="00BA7B0A">
        <w:rPr>
          <w:rFonts w:eastAsia="Arial Unicode MS" w:cs="Arial Unicode MS"/>
          <w:lang w:val="en-US"/>
        </w:rPr>
        <w:t xml:space="preserve">t offer accessible rooms. In all cases,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disability are rarely consulted on the design of activities. To ensure that this right is better respected, the EU can use its funding programmes to prioritise activities that include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disability in a meaningful way.</w:t>
      </w:r>
    </w:p>
    <w:p w14:paraId="71DBFEA8" w14:textId="77777777" w:rsidR="008B49E9" w:rsidRDefault="00BA7B0A">
      <w:pPr>
        <w:pStyle w:val="Heading3"/>
      </w:pPr>
      <w:bookmarkStart w:id="29" w:name="_Toc29"/>
      <w:r>
        <w:rPr>
          <w:rFonts w:eastAsia="Arial Unicode MS" w:cs="Arial Unicode MS"/>
          <w:lang w:val="en-US"/>
        </w:rPr>
        <w:t>Article 31 - Statistics and data collection</w:t>
      </w:r>
      <w:bookmarkEnd w:id="29"/>
    </w:p>
    <w:p w14:paraId="1FC574E2" w14:textId="77777777" w:rsidR="008B49E9" w:rsidRDefault="008B49E9">
      <w:pPr>
        <w:pStyle w:val="Body"/>
      </w:pPr>
    </w:p>
    <w:p w14:paraId="7521D3B2" w14:textId="77777777" w:rsidR="008B49E9" w:rsidRDefault="00BA7B0A">
      <w:pPr>
        <w:pStyle w:val="Body"/>
      </w:pPr>
      <w:r w:rsidRPr="00BA7B0A">
        <w:rPr>
          <w:rFonts w:eastAsia="Arial Unicode MS" w:cs="Arial Unicode MS"/>
          <w:lang w:val="en-US"/>
        </w:rPr>
        <w:t xml:space="preserve">Lack of comparable official data on disability undermines efforts to demonstrate the extent to which the rights of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disability are infringed or respected</w:t>
      </w:r>
      <w:r>
        <w:rPr>
          <w:rStyle w:val="None"/>
          <w:vertAlign w:val="superscript"/>
        </w:rPr>
        <w:footnoteReference w:id="23"/>
      </w:r>
      <w:r w:rsidRPr="00BA7B0A">
        <w:rPr>
          <w:rFonts w:eastAsia="Arial Unicode MS" w:cs="Arial Unicode MS"/>
          <w:lang w:val="en-US"/>
        </w:rPr>
        <w:t xml:space="preserve">. In this regard, the European Union Statistical Office (EUROSTAT) is to be commended for beginning to publish </w:t>
      </w:r>
      <w:proofErr w:type="gramStart"/>
      <w:r w:rsidRPr="00BA7B0A">
        <w:rPr>
          <w:rFonts w:eastAsia="Arial Unicode MS" w:cs="Arial Unicode MS"/>
          <w:lang w:val="en-US"/>
        </w:rPr>
        <w:t>Europe-wide comparable</w:t>
      </w:r>
      <w:proofErr w:type="gramEnd"/>
      <w:r w:rsidRPr="00BA7B0A">
        <w:rPr>
          <w:rFonts w:eastAsia="Arial Unicode MS" w:cs="Arial Unicode MS"/>
          <w:lang w:val="en-US"/>
        </w:rPr>
        <w:t xml:space="preserve"> data on disability</w:t>
      </w:r>
      <w:r>
        <w:rPr>
          <w:rStyle w:val="None"/>
          <w:vertAlign w:val="superscript"/>
        </w:rPr>
        <w:footnoteReference w:id="24"/>
      </w:r>
      <w:r w:rsidRPr="00BA7B0A">
        <w:rPr>
          <w:rFonts w:eastAsia="Arial Unicode MS" w:cs="Arial Unicode MS"/>
          <w:lang w:val="en-US"/>
        </w:rPr>
        <w:t>. Disability is, however, diverse, and drawing implementable conclusions may require more refined definitions of specific disability groups. Much work has been done to gather data for research purposes through cerebral palsy registers under the Surveillance of Cerebral Palsy in Europe (SCPE) network</w:t>
      </w:r>
      <w:r>
        <w:rPr>
          <w:rStyle w:val="None"/>
          <w:vertAlign w:val="superscript"/>
        </w:rPr>
        <w:footnoteReference w:id="25"/>
      </w:r>
      <w:r w:rsidRPr="00BA7B0A">
        <w:rPr>
          <w:rFonts w:eastAsia="Arial Unicode MS" w:cs="Arial Unicode MS"/>
          <w:lang w:val="en-US"/>
        </w:rPr>
        <w:t xml:space="preserve">. </w:t>
      </w:r>
      <w:r w:rsidRPr="00BA7B0A">
        <w:rPr>
          <w:rFonts w:eastAsia="Arial Unicode MS" w:cs="Arial Unicode MS"/>
          <w:lang w:val="en-US"/>
        </w:rPr>
        <w:t>At international level, the Global Burden of Disease studies are defining more clearly the impact of different conditions, including disabilities, at a fine level of detail</w:t>
      </w:r>
      <w:r>
        <w:rPr>
          <w:rStyle w:val="None"/>
          <w:vertAlign w:val="superscript"/>
        </w:rPr>
        <w:footnoteReference w:id="26"/>
      </w:r>
      <w:r w:rsidRPr="00BA7B0A">
        <w:rPr>
          <w:rFonts w:eastAsia="Arial Unicode MS" w:cs="Arial Unicode MS"/>
          <w:lang w:val="en-US"/>
        </w:rPr>
        <w:t xml:space="preserve">. There are therefore important foundations on which the EU and other actors can build </w:t>
      </w:r>
      <w:proofErr w:type="gramStart"/>
      <w:r w:rsidRPr="00BA7B0A">
        <w:rPr>
          <w:rFonts w:eastAsia="Arial Unicode MS" w:cs="Arial Unicode MS"/>
          <w:lang w:val="en-US"/>
        </w:rPr>
        <w:t>in order to</w:t>
      </w:r>
      <w:proofErr w:type="gramEnd"/>
      <w:r w:rsidRPr="00BA7B0A">
        <w:rPr>
          <w:rFonts w:eastAsia="Arial Unicode MS" w:cs="Arial Unicode MS"/>
          <w:lang w:val="en-US"/>
        </w:rPr>
        <w:t xml:space="preserve"> improve statistics concerning the full range of disabilities. Involving organisations of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with disabilities, which is rare at present, can also help to improve the quality of data collection.</w:t>
      </w:r>
    </w:p>
    <w:p w14:paraId="2DC34C73" w14:textId="77777777" w:rsidR="008B49E9" w:rsidRDefault="008B49E9">
      <w:pPr>
        <w:pStyle w:val="Body"/>
      </w:pPr>
    </w:p>
    <w:p w14:paraId="3858AA20" w14:textId="77777777" w:rsidR="008B49E9" w:rsidRDefault="00BA7B0A">
      <w:pPr>
        <w:pStyle w:val="Body"/>
      </w:pPr>
      <w:r w:rsidRPr="00BA7B0A">
        <w:rPr>
          <w:rFonts w:eastAsia="Arial Unicode MS" w:cs="Arial Unicode MS"/>
          <w:lang w:val="en-US"/>
        </w:rPr>
        <w:t>It should be noted that the database of the SCPE network was until recently hosted by the European Commission</w:t>
      </w:r>
      <w:r w:rsidRPr="00BA7B0A">
        <w:rPr>
          <w:rFonts w:eastAsia="Arial Unicode MS" w:cs="Arial Unicode MS"/>
          <w:lang w:val="en-US"/>
        </w:rPr>
        <w:t>’</w:t>
      </w:r>
      <w:r w:rsidRPr="00BA7B0A">
        <w:rPr>
          <w:rFonts w:eastAsia="Arial Unicode MS" w:cs="Arial Unicode MS"/>
          <w:lang w:val="en-US"/>
        </w:rPr>
        <w:t>s Joint Research Centre. This support was, however, withdrawn. For the EU to benefit from accurate and detailed statistics on persons with cerebral palsy on its territory, including their status in terms of health, education, employment and other factors, it would be advisable for the EU to renew its support for the SCPE network.</w:t>
      </w:r>
    </w:p>
    <w:p w14:paraId="3C835901" w14:textId="77777777" w:rsidR="008B49E9" w:rsidRDefault="00BA7B0A">
      <w:pPr>
        <w:pStyle w:val="Heading3"/>
      </w:pPr>
      <w:bookmarkStart w:id="30" w:name="_Toc30"/>
      <w:r>
        <w:rPr>
          <w:rFonts w:eastAsia="Arial Unicode MS" w:cs="Arial Unicode MS"/>
          <w:lang w:val="en-US"/>
        </w:rPr>
        <w:t>Article 32 - International cooperation</w:t>
      </w:r>
      <w:bookmarkEnd w:id="30"/>
    </w:p>
    <w:p w14:paraId="15FA4ADD" w14:textId="77777777" w:rsidR="008B49E9" w:rsidRDefault="008B49E9">
      <w:pPr>
        <w:pStyle w:val="Body"/>
      </w:pPr>
    </w:p>
    <w:p w14:paraId="3E16CF69" w14:textId="77777777" w:rsidR="008B49E9" w:rsidRDefault="00BA7B0A">
      <w:pPr>
        <w:pStyle w:val="Body"/>
      </w:pPr>
      <w:r w:rsidRPr="00BA7B0A">
        <w:rPr>
          <w:rFonts w:eastAsia="Arial Unicode MS" w:cs="Arial Unicode MS"/>
          <w:lang w:val="en-US"/>
        </w:rPr>
        <w:t xml:space="preserve">The European Union is the largest donor of developmental aid in the world. The latest estimates suggest that up to 50 million </w:t>
      </w:r>
      <w:proofErr w:type="gramStart"/>
      <w:r w:rsidRPr="00BA7B0A">
        <w:rPr>
          <w:rFonts w:eastAsia="Arial Unicode MS" w:cs="Arial Unicode MS"/>
          <w:lang w:val="en-US"/>
        </w:rPr>
        <w:t>persons</w:t>
      </w:r>
      <w:proofErr w:type="gramEnd"/>
      <w:r w:rsidRPr="00BA7B0A">
        <w:rPr>
          <w:rFonts w:eastAsia="Arial Unicode MS" w:cs="Arial Unicode MS"/>
          <w:lang w:val="en-US"/>
        </w:rPr>
        <w:t xml:space="preserve"> globally have cerebral palsy or a closely related condition</w:t>
      </w:r>
      <w:r>
        <w:rPr>
          <w:rStyle w:val="None"/>
          <w:vertAlign w:val="superscript"/>
        </w:rPr>
        <w:footnoteReference w:id="27"/>
      </w:r>
      <w:r w:rsidRPr="00BA7B0A">
        <w:rPr>
          <w:rFonts w:eastAsia="Arial Unicode MS" w:cs="Arial Unicode MS"/>
          <w:lang w:val="en-US"/>
        </w:rPr>
        <w:t>. Both the prevalence and the severity of cerebral palsy are significantly greater in low-</w:t>
      </w:r>
      <w:proofErr w:type="gramStart"/>
      <w:r w:rsidRPr="00BA7B0A">
        <w:rPr>
          <w:rFonts w:eastAsia="Arial Unicode MS" w:cs="Arial Unicode MS"/>
          <w:lang w:val="en-US"/>
        </w:rPr>
        <w:t>income</w:t>
      </w:r>
      <w:proofErr w:type="gramEnd"/>
      <w:r w:rsidRPr="00BA7B0A">
        <w:rPr>
          <w:rFonts w:eastAsia="Arial Unicode MS" w:cs="Arial Unicode MS"/>
          <w:lang w:val="en-US"/>
        </w:rPr>
        <w:t xml:space="preserve"> than in high-income countries</w:t>
      </w:r>
      <w:r>
        <w:rPr>
          <w:rStyle w:val="None"/>
          <w:vertAlign w:val="superscript"/>
        </w:rPr>
        <w:footnoteReference w:id="28"/>
      </w:r>
      <w:r w:rsidRPr="00BA7B0A">
        <w:rPr>
          <w:rFonts w:eastAsia="Arial Unicode MS" w:cs="Arial Unicode MS"/>
          <w:lang w:val="en-US"/>
        </w:rPr>
        <w:t>, due to factors including poor newborn and maternal healthcare, malnutrition, as well as lack of access to (re)habilitation and assistive technology. The EU can make a significant difference to international cooperation on cerebral palsy by prioritising programmes that address the root causes of millions of individuals with cerebral palsy and their family members being excluded from economic and social opportunities.</w:t>
      </w:r>
    </w:p>
    <w:p w14:paraId="0C1FC1CB" w14:textId="77777777" w:rsidR="008B49E9" w:rsidRDefault="008B49E9">
      <w:pPr>
        <w:pStyle w:val="Body"/>
      </w:pPr>
    </w:p>
    <w:p w14:paraId="395A49A2" w14:textId="77777777" w:rsidR="008B49E9" w:rsidRDefault="008B49E9">
      <w:pPr>
        <w:pStyle w:val="Body"/>
      </w:pPr>
    </w:p>
    <w:p w14:paraId="57C7B13A" w14:textId="77777777" w:rsidR="008B49E9" w:rsidRDefault="008B49E9">
      <w:pPr>
        <w:pStyle w:val="Body"/>
      </w:pPr>
    </w:p>
    <w:p w14:paraId="22E6F50F" w14:textId="77777777" w:rsidR="008B49E9" w:rsidRDefault="008B49E9">
      <w:pPr>
        <w:pStyle w:val="Body"/>
      </w:pPr>
    </w:p>
    <w:p w14:paraId="11540503" w14:textId="77777777" w:rsidR="008B49E9" w:rsidRDefault="008B49E9">
      <w:pPr>
        <w:pStyle w:val="Body"/>
      </w:pPr>
    </w:p>
    <w:p w14:paraId="5F50FF48" w14:textId="77777777" w:rsidR="008B49E9" w:rsidRDefault="008B49E9">
      <w:pPr>
        <w:pStyle w:val="Body"/>
      </w:pPr>
    </w:p>
    <w:p w14:paraId="415E5A07" w14:textId="77777777" w:rsidR="008B49E9" w:rsidRDefault="008B49E9">
      <w:pPr>
        <w:pStyle w:val="Body"/>
      </w:pPr>
    </w:p>
    <w:p w14:paraId="5BB09575" w14:textId="77777777" w:rsidR="008B49E9" w:rsidRDefault="008B49E9">
      <w:pPr>
        <w:pStyle w:val="Body"/>
      </w:pPr>
    </w:p>
    <w:p w14:paraId="20629E52" w14:textId="77777777" w:rsidR="008B49E9" w:rsidRDefault="008B49E9">
      <w:pPr>
        <w:pStyle w:val="Body"/>
      </w:pPr>
    </w:p>
    <w:p w14:paraId="02606A16" w14:textId="77777777" w:rsidR="008B49E9" w:rsidRDefault="008B49E9">
      <w:pPr>
        <w:pStyle w:val="Body"/>
      </w:pPr>
    </w:p>
    <w:p w14:paraId="47D28D9B" w14:textId="77777777" w:rsidR="008B49E9" w:rsidRDefault="008B49E9">
      <w:pPr>
        <w:pStyle w:val="Body"/>
      </w:pPr>
    </w:p>
    <w:p w14:paraId="738F5550" w14:textId="77777777" w:rsidR="008B49E9" w:rsidRDefault="008B49E9">
      <w:pPr>
        <w:pStyle w:val="Body"/>
      </w:pPr>
    </w:p>
    <w:p w14:paraId="5CC8E562" w14:textId="77777777" w:rsidR="008B49E9" w:rsidRDefault="008B49E9">
      <w:pPr>
        <w:pStyle w:val="Body"/>
      </w:pPr>
    </w:p>
    <w:p w14:paraId="2214BC3E" w14:textId="77777777" w:rsidR="008B49E9" w:rsidRDefault="008B49E9">
      <w:pPr>
        <w:pStyle w:val="Body"/>
      </w:pPr>
    </w:p>
    <w:p w14:paraId="10864F9F" w14:textId="77777777" w:rsidR="008B49E9" w:rsidRDefault="008B49E9">
      <w:pPr>
        <w:pStyle w:val="Body"/>
      </w:pPr>
    </w:p>
    <w:p w14:paraId="0BA949FA" w14:textId="77777777" w:rsidR="008B49E9" w:rsidRDefault="008B49E9">
      <w:pPr>
        <w:pStyle w:val="Body"/>
      </w:pPr>
    </w:p>
    <w:p w14:paraId="7887ACAC" w14:textId="77777777" w:rsidR="008B49E9" w:rsidRDefault="008B49E9">
      <w:pPr>
        <w:pStyle w:val="Body"/>
      </w:pPr>
    </w:p>
    <w:p w14:paraId="07F82CD0" w14:textId="77777777" w:rsidR="008B49E9" w:rsidRDefault="008B49E9">
      <w:pPr>
        <w:pStyle w:val="Body"/>
      </w:pPr>
    </w:p>
    <w:p w14:paraId="56DBD172" w14:textId="77777777" w:rsidR="008B49E9" w:rsidRDefault="008B49E9">
      <w:pPr>
        <w:pStyle w:val="Body"/>
      </w:pPr>
    </w:p>
    <w:p w14:paraId="49FEF0DC" w14:textId="77777777" w:rsidR="008B49E9" w:rsidRDefault="008B49E9">
      <w:pPr>
        <w:pStyle w:val="Body"/>
      </w:pPr>
    </w:p>
    <w:p w14:paraId="546AF7B8" w14:textId="77777777" w:rsidR="008B49E9" w:rsidRDefault="008B49E9">
      <w:pPr>
        <w:pStyle w:val="Body"/>
      </w:pPr>
    </w:p>
    <w:p w14:paraId="26AE38D8" w14:textId="77777777" w:rsidR="008B49E9" w:rsidRDefault="008B49E9">
      <w:pPr>
        <w:pStyle w:val="Body"/>
      </w:pPr>
    </w:p>
    <w:p w14:paraId="04C778A2" w14:textId="77777777" w:rsidR="008B49E9" w:rsidRDefault="008B49E9">
      <w:pPr>
        <w:pStyle w:val="Body"/>
      </w:pPr>
    </w:p>
    <w:p w14:paraId="736BA13C" w14:textId="77777777" w:rsidR="008B49E9" w:rsidRDefault="008B49E9">
      <w:pPr>
        <w:pStyle w:val="Body"/>
      </w:pPr>
    </w:p>
    <w:p w14:paraId="03157875" w14:textId="77777777" w:rsidR="008B49E9" w:rsidRDefault="008B49E9">
      <w:pPr>
        <w:pStyle w:val="Body"/>
      </w:pPr>
    </w:p>
    <w:p w14:paraId="69BAC524" w14:textId="77777777" w:rsidR="008B49E9" w:rsidRDefault="008B49E9">
      <w:pPr>
        <w:pStyle w:val="Body"/>
      </w:pPr>
    </w:p>
    <w:p w14:paraId="3D29EF77" w14:textId="77777777" w:rsidR="008B49E9" w:rsidRDefault="008B49E9">
      <w:pPr>
        <w:pStyle w:val="Body"/>
      </w:pPr>
    </w:p>
    <w:p w14:paraId="0CD47C9A" w14:textId="77777777" w:rsidR="008B49E9" w:rsidRDefault="008B49E9">
      <w:pPr>
        <w:pStyle w:val="Body"/>
      </w:pPr>
    </w:p>
    <w:p w14:paraId="4EBCE7A7" w14:textId="77777777" w:rsidR="008B49E9" w:rsidRDefault="008B49E9">
      <w:pPr>
        <w:pStyle w:val="Body"/>
      </w:pPr>
    </w:p>
    <w:p w14:paraId="400FC4FD" w14:textId="77777777" w:rsidR="008B49E9" w:rsidRDefault="008B49E9">
      <w:pPr>
        <w:pStyle w:val="Body"/>
      </w:pPr>
    </w:p>
    <w:p w14:paraId="3804F727" w14:textId="77777777" w:rsidR="008B49E9" w:rsidRDefault="008B49E9">
      <w:pPr>
        <w:pStyle w:val="Body"/>
      </w:pPr>
    </w:p>
    <w:p w14:paraId="318A5375" w14:textId="77777777" w:rsidR="008B49E9" w:rsidRDefault="00BA7B0A">
      <w:pPr>
        <w:pStyle w:val="Heading2"/>
        <w:rPr>
          <w:rStyle w:val="None"/>
          <w:b w:val="0"/>
          <w:bCs w:val="0"/>
        </w:rPr>
      </w:pPr>
      <w:bookmarkStart w:id="31" w:name="_Toc31"/>
      <w:r w:rsidRPr="00BA7B0A">
        <w:rPr>
          <w:rFonts w:eastAsia="Arial Unicode MS" w:cs="Arial Unicode MS"/>
          <w:lang w:val="en-US"/>
        </w:rPr>
        <w:t>Credits</w:t>
      </w:r>
      <w:bookmarkEnd w:id="31"/>
    </w:p>
    <w:p w14:paraId="22B08380" w14:textId="77777777" w:rsidR="008B49E9" w:rsidRDefault="008B49E9">
      <w:pPr>
        <w:pStyle w:val="Body"/>
        <w:rPr>
          <w:rStyle w:val="None"/>
        </w:rPr>
      </w:pPr>
    </w:p>
    <w:p w14:paraId="68B190BA" w14:textId="77777777" w:rsidR="008B49E9" w:rsidRDefault="00BA7B0A">
      <w:pPr>
        <w:pStyle w:val="Body"/>
        <w:rPr>
          <w:rStyle w:val="None"/>
        </w:rPr>
      </w:pPr>
      <w:r w:rsidRPr="00BA7B0A">
        <w:rPr>
          <w:rStyle w:val="None"/>
          <w:lang w:val="en-US"/>
        </w:rPr>
        <w:t xml:space="preserve">© Cerebral Palsy European Union </w:t>
      </w:r>
      <w:r w:rsidRPr="00BA7B0A">
        <w:rPr>
          <w:rStyle w:val="None"/>
          <w:lang w:val="en-US"/>
        </w:rPr>
        <w:t>Association vzw</w:t>
      </w:r>
    </w:p>
    <w:p w14:paraId="7F0A177E" w14:textId="77777777" w:rsidR="008B49E9" w:rsidRDefault="008B49E9">
      <w:pPr>
        <w:pStyle w:val="Body"/>
        <w:rPr>
          <w:rStyle w:val="None"/>
        </w:rPr>
      </w:pPr>
    </w:p>
    <w:p w14:paraId="41343A81" w14:textId="77777777" w:rsidR="008B49E9" w:rsidRDefault="00BA7B0A">
      <w:pPr>
        <w:pStyle w:val="Body"/>
        <w:rPr>
          <w:b/>
          <w:bCs/>
        </w:rPr>
      </w:pPr>
      <w:r w:rsidRPr="00BA7B0A">
        <w:rPr>
          <w:b/>
          <w:bCs/>
          <w:lang w:val="en-US"/>
        </w:rPr>
        <w:t xml:space="preserve">Coordinator: </w:t>
      </w:r>
    </w:p>
    <w:p w14:paraId="0BB538EA" w14:textId="77777777" w:rsidR="008B49E9" w:rsidRDefault="00BA7B0A">
      <w:pPr>
        <w:pStyle w:val="Body"/>
        <w:rPr>
          <w:rStyle w:val="None"/>
        </w:rPr>
      </w:pPr>
      <w:r w:rsidRPr="00BA7B0A">
        <w:rPr>
          <w:rStyle w:val="None"/>
          <w:lang w:val="en-US"/>
        </w:rPr>
        <w:t>John Coughlan, Cerebral Palsy Europe</w:t>
      </w:r>
    </w:p>
    <w:p w14:paraId="42551883" w14:textId="77777777" w:rsidR="008B49E9" w:rsidRDefault="008B49E9">
      <w:pPr>
        <w:pStyle w:val="Body"/>
        <w:rPr>
          <w:rStyle w:val="None"/>
        </w:rPr>
      </w:pPr>
    </w:p>
    <w:p w14:paraId="559A3992" w14:textId="77777777" w:rsidR="008B49E9" w:rsidRDefault="00BA7B0A">
      <w:pPr>
        <w:pStyle w:val="Body"/>
        <w:rPr>
          <w:b/>
          <w:bCs/>
        </w:rPr>
      </w:pPr>
      <w:proofErr w:type="gramStart"/>
      <w:r>
        <w:rPr>
          <w:b/>
          <w:bCs/>
          <w:lang w:val="fr-FR"/>
        </w:rPr>
        <w:t>Contributors:</w:t>
      </w:r>
      <w:proofErr w:type="gramEnd"/>
      <w:r>
        <w:rPr>
          <w:b/>
          <w:bCs/>
          <w:lang w:val="fr-FR"/>
        </w:rPr>
        <w:t xml:space="preserve"> </w:t>
      </w:r>
    </w:p>
    <w:p w14:paraId="189F8A08" w14:textId="77777777" w:rsidR="008B49E9" w:rsidRDefault="00BA7B0A">
      <w:pPr>
        <w:pStyle w:val="Body"/>
        <w:rPr>
          <w:rStyle w:val="None"/>
        </w:rPr>
      </w:pPr>
      <w:r>
        <w:rPr>
          <w:rStyle w:val="None"/>
          <w:lang w:val="fr-FR"/>
        </w:rPr>
        <w:t>Matthieu Chatelin, Fondation Paralysie Cérébrale (France) &amp; Cerebral Palsy Europe</w:t>
      </w:r>
    </w:p>
    <w:p w14:paraId="3B7F0F47" w14:textId="77777777" w:rsidR="008B49E9" w:rsidRDefault="00BA7B0A">
      <w:pPr>
        <w:pStyle w:val="Body"/>
        <w:rPr>
          <w:rStyle w:val="None"/>
        </w:rPr>
      </w:pPr>
      <w:r w:rsidRPr="00BA7B0A">
        <w:rPr>
          <w:rStyle w:val="None"/>
          <w:lang w:val="es-ES"/>
        </w:rPr>
        <w:t>Agnes Kojc, Zveza Sonček (Slovenia) &amp; Cerebral Palsy Europe</w:t>
      </w:r>
    </w:p>
    <w:p w14:paraId="1479DD61" w14:textId="77777777" w:rsidR="008B49E9" w:rsidRDefault="00BA7B0A">
      <w:pPr>
        <w:pStyle w:val="Body"/>
        <w:rPr>
          <w:rStyle w:val="None"/>
        </w:rPr>
      </w:pPr>
      <w:r w:rsidRPr="00BA7B0A">
        <w:rPr>
          <w:rStyle w:val="None"/>
          <w:lang w:val="es-ES"/>
        </w:rPr>
        <w:t>Bente Maimann, Global Cerebral Palsy Clinical Trials Network (Denmark)</w:t>
      </w:r>
    </w:p>
    <w:p w14:paraId="222E89C3" w14:textId="77777777" w:rsidR="008B49E9" w:rsidRDefault="00BA7B0A">
      <w:pPr>
        <w:pStyle w:val="Body"/>
        <w:rPr>
          <w:rStyle w:val="None"/>
        </w:rPr>
      </w:pPr>
      <w:r w:rsidRPr="00BA7B0A">
        <w:rPr>
          <w:rStyle w:val="None"/>
          <w:lang w:val="es-ES"/>
        </w:rPr>
        <w:t>Teresa Mano da Costa, Associação de Paralisia Cerebral de São Miguel (Portugal)</w:t>
      </w:r>
    </w:p>
    <w:p w14:paraId="6E67C82B" w14:textId="77777777" w:rsidR="008B49E9" w:rsidRDefault="00BA7B0A">
      <w:pPr>
        <w:pStyle w:val="Body"/>
        <w:rPr>
          <w:rStyle w:val="None"/>
        </w:rPr>
      </w:pPr>
      <w:r w:rsidRPr="00BA7B0A">
        <w:rPr>
          <w:rStyle w:val="None"/>
          <w:lang w:val="en-US"/>
        </w:rPr>
        <w:t>Jeanne Nicklas-Faust, Bundesvereinigung Lebenshilfe e.V. (Germany)</w:t>
      </w:r>
    </w:p>
    <w:p w14:paraId="1E76FAA8" w14:textId="77777777" w:rsidR="008B49E9" w:rsidRDefault="00BA7B0A">
      <w:pPr>
        <w:pStyle w:val="Body"/>
        <w:rPr>
          <w:rStyle w:val="None"/>
        </w:rPr>
      </w:pPr>
      <w:r w:rsidRPr="00BA7B0A">
        <w:rPr>
          <w:rStyle w:val="None"/>
          <w:lang w:val="en-US"/>
        </w:rPr>
        <w:t>Fatiha Maria Quaratino, Fight the Stroke Foundation (Italy)</w:t>
      </w:r>
    </w:p>
    <w:p w14:paraId="557ABB33" w14:textId="77777777" w:rsidR="008B49E9" w:rsidRDefault="00BA7B0A">
      <w:pPr>
        <w:pStyle w:val="Body"/>
      </w:pPr>
      <w:r w:rsidRPr="00BA7B0A">
        <w:rPr>
          <w:rStyle w:val="None"/>
          <w:lang w:val="en-US"/>
        </w:rPr>
        <w:t xml:space="preserve">Sabine Vinçon, </w:t>
      </w:r>
      <w:r>
        <w:rPr>
          <w:rStyle w:val="None"/>
          <w:lang w:val="en-US"/>
        </w:rPr>
        <w:t xml:space="preserve">Queen Margaret University, Edinburgh </w:t>
      </w:r>
      <w:r w:rsidRPr="00BA7B0A">
        <w:rPr>
          <w:rStyle w:val="None"/>
          <w:lang w:val="en-US"/>
        </w:rPr>
        <w:t xml:space="preserve">(UK) </w:t>
      </w:r>
      <w:r>
        <w:rPr>
          <w:rStyle w:val="None"/>
          <w:lang w:val="en-US"/>
        </w:rPr>
        <w:t>&amp; University College Cork</w:t>
      </w:r>
      <w:r w:rsidRPr="00BA7B0A">
        <w:rPr>
          <w:rStyle w:val="None"/>
          <w:lang w:val="en-US"/>
        </w:rPr>
        <w:t xml:space="preserve"> (Ireland)</w:t>
      </w:r>
    </w:p>
    <w:sectPr w:rsidR="008B49E9">
      <w:headerReference w:type="default" r:id="rId7"/>
      <w:footerReference w:type="default" r:id="rId8"/>
      <w:pgSz w:w="11906" w:h="16838"/>
      <w:pgMar w:top="1417" w:right="1134" w:bottom="1417" w:left="1134" w:header="709" w:footer="85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C3CDF" w14:textId="77777777" w:rsidR="00BA7B0A" w:rsidRDefault="00BA7B0A">
      <w:r>
        <w:separator/>
      </w:r>
    </w:p>
  </w:endnote>
  <w:endnote w:type="continuationSeparator" w:id="0">
    <w:p w14:paraId="389C4BC7" w14:textId="77777777" w:rsidR="00BA7B0A" w:rsidRDefault="00BA7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302F" w14:textId="77777777" w:rsidR="008B49E9" w:rsidRDefault="00BA7B0A">
    <w:pPr>
      <w:pStyle w:val="HeaderFooter"/>
      <w:tabs>
        <w:tab w:val="clear" w:pos="9020"/>
        <w:tab w:val="center" w:pos="4819"/>
        <w:tab w:val="right" w:pos="9638"/>
      </w:tabs>
    </w:pPr>
    <w:r>
      <w:rPr>
        <w:sz w:val="20"/>
        <w:szCs w:val="20"/>
      </w:rPr>
      <w:tab/>
    </w:r>
    <w:r>
      <w:rPr>
        <w:sz w:val="20"/>
        <w:szCs w:val="20"/>
        <w:lang w:val="en-US"/>
      </w:rPr>
      <w:t xml:space="preserve">Page </w:t>
    </w:r>
    <w:r>
      <w:rPr>
        <w:sz w:val="20"/>
        <w:szCs w:val="20"/>
      </w:rPr>
      <w:fldChar w:fldCharType="begin"/>
    </w:r>
    <w:r>
      <w:rPr>
        <w:sz w:val="20"/>
        <w:szCs w:val="20"/>
      </w:rPr>
      <w:instrText xml:space="preserve"> PAGE </w:instrText>
    </w:r>
    <w:r>
      <w:rPr>
        <w:sz w:val="20"/>
        <w:szCs w:val="20"/>
      </w:rPr>
      <w:fldChar w:fldCharType="separate"/>
    </w:r>
    <w:r>
      <w:rPr>
        <w:rFonts w:hint="eastAsia"/>
        <w:noProof/>
        <w:sz w:val="20"/>
        <w:szCs w:val="20"/>
      </w:rPr>
      <w:t>2</w:t>
    </w:r>
    <w:r>
      <w:rPr>
        <w:sz w:val="20"/>
        <w:szCs w:val="20"/>
      </w:rPr>
      <w:fldChar w:fldCharType="end"/>
    </w:r>
    <w:r>
      <w:rPr>
        <w:sz w:val="20"/>
        <w:szCs w:val="20"/>
        <w:lang w:val="en-US"/>
      </w:rPr>
      <w:t xml:space="preserve"> of </w:t>
    </w:r>
    <w:r>
      <w:rPr>
        <w:sz w:val="20"/>
        <w:szCs w:val="20"/>
      </w:rPr>
      <w:fldChar w:fldCharType="begin"/>
    </w:r>
    <w:r>
      <w:rPr>
        <w:sz w:val="20"/>
        <w:szCs w:val="20"/>
      </w:rPr>
      <w:instrText xml:space="preserve"> NUMPAGES </w:instrText>
    </w:r>
    <w:r>
      <w:rPr>
        <w:sz w:val="20"/>
        <w:szCs w:val="20"/>
      </w:rPr>
      <w:fldChar w:fldCharType="separate"/>
    </w:r>
    <w:r>
      <w:rPr>
        <w:rFonts w:hint="eastAsia"/>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3EFA3" w14:textId="77777777" w:rsidR="008B49E9" w:rsidRDefault="00BA7B0A">
      <w:r>
        <w:separator/>
      </w:r>
    </w:p>
  </w:footnote>
  <w:footnote w:type="continuationSeparator" w:id="0">
    <w:p w14:paraId="50C928DB" w14:textId="77777777" w:rsidR="008B49E9" w:rsidRDefault="00BA7B0A">
      <w:r>
        <w:continuationSeparator/>
      </w:r>
    </w:p>
  </w:footnote>
  <w:footnote w:type="continuationNotice" w:id="1">
    <w:p w14:paraId="0E1CD8BC" w14:textId="77777777" w:rsidR="008B49E9" w:rsidRDefault="008B49E9"/>
  </w:footnote>
  <w:footnote w:id="2">
    <w:p w14:paraId="377A83A9" w14:textId="77777777" w:rsidR="008B49E9" w:rsidRDefault="00BA7B0A">
      <w:pPr>
        <w:pStyle w:val="Footnote"/>
      </w:pPr>
      <w:r>
        <w:rPr>
          <w:sz w:val="18"/>
          <w:szCs w:val="18"/>
          <w:vertAlign w:val="superscript"/>
        </w:rPr>
        <w:footnoteRef/>
      </w:r>
      <w:r>
        <w:rPr>
          <w:sz w:val="18"/>
          <w:szCs w:val="18"/>
          <w:lang w:val="it-IT"/>
        </w:rPr>
        <w:t xml:space="preserve"> https://www.istat.it/it/files/2023/11/Report-presidi-assistenziali-Anno-2021.pdf</w:t>
      </w:r>
    </w:p>
  </w:footnote>
  <w:footnote w:id="3">
    <w:p w14:paraId="7219CD26" w14:textId="77777777" w:rsidR="008B49E9" w:rsidRDefault="00BA7B0A">
      <w:pPr>
        <w:pStyle w:val="Footnote"/>
      </w:pPr>
      <w:r>
        <w:rPr>
          <w:sz w:val="18"/>
          <w:szCs w:val="18"/>
          <w:vertAlign w:val="superscript"/>
        </w:rPr>
        <w:footnoteRef/>
      </w:r>
      <w:r>
        <w:rPr>
          <w:sz w:val="18"/>
          <w:szCs w:val="18"/>
          <w:lang w:val="en-US"/>
        </w:rPr>
        <w:t xml:space="preserve"> Romeo, D. M., Venezia, I., Pede, E., &amp; Brogna, C. (2023). Cerebral palsy and sex differences in children: A narrative review of the literature. Journal of Neuroscience Research, 101, 783</w:t>
      </w:r>
      <w:r>
        <w:rPr>
          <w:sz w:val="18"/>
          <w:szCs w:val="18"/>
        </w:rPr>
        <w:t xml:space="preserve">–795. </w:t>
      </w:r>
      <w:hyperlink r:id="rId1" w:history="1">
        <w:r>
          <w:rPr>
            <w:rStyle w:val="Hyperlink0"/>
            <w:sz w:val="18"/>
            <w:szCs w:val="18"/>
            <w:lang w:val="en-US"/>
          </w:rPr>
          <w:t>https://doi.org/10.1002/jnr.25020</w:t>
        </w:r>
      </w:hyperlink>
    </w:p>
  </w:footnote>
  <w:footnote w:id="4">
    <w:p w14:paraId="62E01414" w14:textId="77777777" w:rsidR="008B49E9" w:rsidRDefault="00BA7B0A">
      <w:pPr>
        <w:pStyle w:val="Footnote"/>
      </w:pPr>
      <w:r>
        <w:rPr>
          <w:rStyle w:val="None"/>
          <w:sz w:val="18"/>
          <w:szCs w:val="18"/>
          <w:vertAlign w:val="superscript"/>
        </w:rPr>
        <w:footnoteRef/>
      </w:r>
      <w:r>
        <w:rPr>
          <w:sz w:val="18"/>
          <w:szCs w:val="18"/>
          <w:lang w:val="en-US"/>
        </w:rPr>
        <w:t xml:space="preserve"> German Institute for Human Rights. (2023). Parallel Report to the UN Committee on the Rights of Persons with Disabilities for Germany</w:t>
      </w:r>
      <w:r>
        <w:rPr>
          <w:sz w:val="18"/>
          <w:szCs w:val="18"/>
          <w:rtl/>
        </w:rPr>
        <w:t>’</w:t>
      </w:r>
      <w:r>
        <w:rPr>
          <w:sz w:val="18"/>
          <w:szCs w:val="18"/>
          <w:lang w:val="en-US"/>
        </w:rPr>
        <w:t xml:space="preserve">s 2nd/3rd State Party review procedure. </w:t>
      </w:r>
    </w:p>
  </w:footnote>
  <w:footnote w:id="5">
    <w:p w14:paraId="496F250C" w14:textId="77777777" w:rsidR="008B49E9" w:rsidRDefault="00BA7B0A">
      <w:pPr>
        <w:pStyle w:val="Footnote"/>
      </w:pPr>
      <w:r>
        <w:rPr>
          <w:rStyle w:val="None"/>
          <w:sz w:val="18"/>
          <w:szCs w:val="18"/>
          <w:vertAlign w:val="superscript"/>
        </w:rPr>
        <w:footnoteRef/>
      </w:r>
      <w:r>
        <w:rPr>
          <w:sz w:val="18"/>
          <w:szCs w:val="18"/>
          <w:lang w:val="en-US"/>
        </w:rPr>
        <w:t xml:space="preserve"> https://eu-for-children.europa.eu/</w:t>
      </w:r>
    </w:p>
  </w:footnote>
  <w:footnote w:id="6">
    <w:p w14:paraId="47ED18C6" w14:textId="77777777" w:rsidR="008B49E9" w:rsidRDefault="00BA7B0A">
      <w:pPr>
        <w:pStyle w:val="Footnote"/>
      </w:pPr>
      <w:r>
        <w:rPr>
          <w:rStyle w:val="None"/>
          <w:sz w:val="18"/>
          <w:szCs w:val="18"/>
          <w:vertAlign w:val="superscript"/>
        </w:rPr>
        <w:footnoteRef/>
      </w:r>
      <w:r>
        <w:rPr>
          <w:sz w:val="18"/>
          <w:szCs w:val="18"/>
          <w:lang w:val="en-US"/>
        </w:rPr>
        <w:t xml:space="preserve"> Committee on the Rights of Persons with Disabilities. (2023) Concluding observations on the combined second and third periodic reports of Germany. Adopted by the Committee at its twenty-ninth session (14 August-8 September 2023)</w:t>
      </w:r>
    </w:p>
  </w:footnote>
  <w:footnote w:id="7">
    <w:p w14:paraId="6DDC2E7B" w14:textId="77777777" w:rsidR="008B49E9" w:rsidRDefault="00BA7B0A">
      <w:pPr>
        <w:pStyle w:val="Footnote"/>
      </w:pPr>
      <w:r>
        <w:rPr>
          <w:rStyle w:val="None"/>
          <w:sz w:val="18"/>
          <w:szCs w:val="18"/>
          <w:vertAlign w:val="superscript"/>
        </w:rPr>
        <w:footnoteRef/>
      </w:r>
      <w:r>
        <w:rPr>
          <w:sz w:val="18"/>
          <w:szCs w:val="18"/>
          <w:lang w:val="en-US"/>
        </w:rPr>
        <w:t xml:space="preserve"> Alliance of German Non-Governmental Organisations on the CRPD. (2023). Human Rights Now! Joint Civil Society Report on the 2nd and 3rd States Report of the German Federal Government on the Implementation of the United Nations Convention on the Rights of Persons with Disabilities by Germany.</w:t>
      </w:r>
    </w:p>
  </w:footnote>
  <w:footnote w:id="8">
    <w:p w14:paraId="32F01A9F" w14:textId="77777777" w:rsidR="008B49E9" w:rsidRDefault="00BA7B0A">
      <w:pPr>
        <w:pStyle w:val="Footnote"/>
      </w:pPr>
      <w:r>
        <w:rPr>
          <w:rStyle w:val="None"/>
          <w:sz w:val="18"/>
          <w:szCs w:val="18"/>
          <w:vertAlign w:val="superscript"/>
        </w:rPr>
        <w:footnoteRef/>
      </w:r>
      <w:r>
        <w:rPr>
          <w:sz w:val="18"/>
          <w:szCs w:val="18"/>
        </w:rPr>
        <w:t xml:space="preserve"> E</w:t>
      </w:r>
      <w:r>
        <w:rPr>
          <w:sz w:val="18"/>
          <w:szCs w:val="18"/>
          <w:lang w:val="de-DE"/>
        </w:rPr>
        <w:t>urope’s</w:t>
      </w:r>
      <w:r>
        <w:rPr>
          <w:sz w:val="18"/>
          <w:szCs w:val="18"/>
        </w:rPr>
        <w:t xml:space="preserve"> C</w:t>
      </w:r>
      <w:r>
        <w:rPr>
          <w:sz w:val="18"/>
          <w:szCs w:val="18"/>
          <w:lang w:val="de-DE"/>
        </w:rPr>
        <w:t xml:space="preserve">hoice: </w:t>
      </w:r>
      <w:r>
        <w:rPr>
          <w:sz w:val="18"/>
          <w:szCs w:val="18"/>
        </w:rPr>
        <w:t>P</w:t>
      </w:r>
      <w:r>
        <w:rPr>
          <w:sz w:val="18"/>
          <w:szCs w:val="18"/>
          <w:lang w:val="de-DE"/>
        </w:rPr>
        <w:t>olitical</w:t>
      </w:r>
      <w:r>
        <w:rPr>
          <w:sz w:val="18"/>
          <w:szCs w:val="18"/>
        </w:rPr>
        <w:t xml:space="preserve"> G</w:t>
      </w:r>
      <w:r>
        <w:rPr>
          <w:sz w:val="18"/>
          <w:szCs w:val="18"/>
          <w:lang w:val="de-DE"/>
        </w:rPr>
        <w:t>uidelines for the</w:t>
      </w:r>
      <w:r>
        <w:rPr>
          <w:sz w:val="18"/>
          <w:szCs w:val="18"/>
        </w:rPr>
        <w:t xml:space="preserve"> N</w:t>
      </w:r>
      <w:r>
        <w:rPr>
          <w:sz w:val="18"/>
          <w:szCs w:val="18"/>
          <w:lang w:val="de-DE"/>
        </w:rPr>
        <w:t>ext European</w:t>
      </w:r>
      <w:r>
        <w:rPr>
          <w:sz w:val="18"/>
          <w:szCs w:val="18"/>
        </w:rPr>
        <w:t xml:space="preserve"> </w:t>
      </w:r>
      <w:r>
        <w:rPr>
          <w:sz w:val="18"/>
          <w:szCs w:val="18"/>
          <w:lang w:val="de-DE"/>
        </w:rPr>
        <w:t xml:space="preserve">Commission </w:t>
      </w:r>
      <w:r>
        <w:rPr>
          <w:sz w:val="18"/>
          <w:szCs w:val="18"/>
          <w:lang w:val="en-US"/>
        </w:rPr>
        <w:t>2024</w:t>
      </w:r>
      <w:r>
        <w:rPr>
          <w:sz w:val="18"/>
          <w:szCs w:val="18"/>
        </w:rPr>
        <w:t>−</w:t>
      </w:r>
      <w:r>
        <w:rPr>
          <w:sz w:val="18"/>
          <w:szCs w:val="18"/>
        </w:rPr>
        <w:t>2029</w:t>
      </w:r>
      <w:r>
        <w:rPr>
          <w:sz w:val="18"/>
          <w:szCs w:val="18"/>
          <w:lang w:val="de-DE"/>
        </w:rPr>
        <w:t>, Strasbourg, 18 July 2024</w:t>
      </w:r>
    </w:p>
  </w:footnote>
  <w:footnote w:id="9">
    <w:p w14:paraId="403A1C01" w14:textId="77777777" w:rsidR="008B49E9" w:rsidRDefault="00BA7B0A">
      <w:pPr>
        <w:pStyle w:val="Footnote"/>
      </w:pPr>
      <w:r>
        <w:rPr>
          <w:rStyle w:val="None"/>
          <w:sz w:val="18"/>
          <w:szCs w:val="18"/>
          <w:vertAlign w:val="superscript"/>
        </w:rPr>
        <w:footnoteRef/>
      </w:r>
      <w:r>
        <w:rPr>
          <w:sz w:val="18"/>
          <w:szCs w:val="18"/>
          <w:lang w:val="en-US"/>
        </w:rPr>
        <w:t xml:space="preserve"> Himmelmann K, Sundh V. Survival with cerebral palsy over five decades in western Sweden. Dev Med Child Neurol. 2015 Aug;57(8):762-7. doi: 10.1111/dmcn.12718. Epub 2015 Feb 19. PMID: 25694102.</w:t>
      </w:r>
    </w:p>
  </w:footnote>
  <w:footnote w:id="10">
    <w:p w14:paraId="10512ED4" w14:textId="77777777" w:rsidR="008B49E9" w:rsidRDefault="00BA7B0A">
      <w:pPr>
        <w:pStyle w:val="Footnote"/>
      </w:pPr>
      <w:r>
        <w:rPr>
          <w:rStyle w:val="None"/>
          <w:sz w:val="18"/>
          <w:szCs w:val="18"/>
          <w:vertAlign w:val="superscript"/>
        </w:rPr>
        <w:footnoteRef/>
      </w:r>
      <w:r>
        <w:rPr>
          <w:sz w:val="18"/>
          <w:szCs w:val="18"/>
        </w:rPr>
        <w:t xml:space="preserve"> A. Durufl</w:t>
      </w:r>
      <w:r>
        <w:rPr>
          <w:sz w:val="18"/>
          <w:szCs w:val="18"/>
          <w:lang w:val="fr-FR"/>
        </w:rPr>
        <w:t xml:space="preserve">é-Tapin, A. Colin, B. Nicolas, C. Lebreton, F. Dauvergne, P. Gallien, </w:t>
      </w:r>
      <w:r>
        <w:rPr>
          <w:sz w:val="18"/>
          <w:szCs w:val="18"/>
          <w:lang w:val="en-US"/>
        </w:rPr>
        <w:t>Analysis of the medical causes of death in cerebral palsy,</w:t>
      </w:r>
      <w:r>
        <w:rPr>
          <w:sz w:val="18"/>
          <w:szCs w:val="18"/>
          <w:lang w:val="fr-FR"/>
        </w:rPr>
        <w:t xml:space="preserve"> </w:t>
      </w:r>
      <w:r>
        <w:rPr>
          <w:sz w:val="18"/>
          <w:szCs w:val="18"/>
          <w:lang w:val="en-US"/>
        </w:rPr>
        <w:t>Annals of Physical and Rehabilitation Medicine,</w:t>
      </w:r>
      <w:r>
        <w:rPr>
          <w:sz w:val="18"/>
          <w:szCs w:val="18"/>
          <w:lang w:val="fr-FR"/>
        </w:rPr>
        <w:t xml:space="preserve"> </w:t>
      </w:r>
      <w:r>
        <w:rPr>
          <w:sz w:val="18"/>
          <w:szCs w:val="18"/>
          <w:lang w:val="en-US"/>
        </w:rPr>
        <w:t>Volume 57, Issue 1,</w:t>
      </w:r>
      <w:r>
        <w:rPr>
          <w:sz w:val="18"/>
          <w:szCs w:val="18"/>
          <w:lang w:val="fr-FR"/>
        </w:rPr>
        <w:t xml:space="preserve"> </w:t>
      </w:r>
      <w:r>
        <w:rPr>
          <w:sz w:val="18"/>
          <w:szCs w:val="18"/>
        </w:rPr>
        <w:t>2014,</w:t>
      </w:r>
      <w:r>
        <w:rPr>
          <w:sz w:val="18"/>
          <w:szCs w:val="18"/>
          <w:lang w:val="fr-FR"/>
        </w:rPr>
        <w:t xml:space="preserve"> </w:t>
      </w:r>
      <w:r>
        <w:rPr>
          <w:sz w:val="18"/>
          <w:szCs w:val="18"/>
          <w:lang w:val="en-US"/>
        </w:rPr>
        <w:t>Pages 24-37,</w:t>
      </w:r>
      <w:r>
        <w:rPr>
          <w:sz w:val="18"/>
          <w:szCs w:val="18"/>
          <w:lang w:val="fr-FR"/>
        </w:rPr>
        <w:t xml:space="preserve"> </w:t>
      </w:r>
      <w:r>
        <w:rPr>
          <w:sz w:val="18"/>
          <w:szCs w:val="18"/>
        </w:rPr>
        <w:t>ISSN 1877-0657,</w:t>
      </w:r>
      <w:r>
        <w:rPr>
          <w:sz w:val="18"/>
          <w:szCs w:val="18"/>
          <w:lang w:val="fr-FR"/>
        </w:rPr>
        <w:t xml:space="preserve"> </w:t>
      </w:r>
      <w:r>
        <w:rPr>
          <w:sz w:val="18"/>
          <w:szCs w:val="18"/>
        </w:rPr>
        <w:t>https://doi.org/10.1016/j.rehab.2013.11.002.</w:t>
      </w:r>
    </w:p>
  </w:footnote>
  <w:footnote w:id="11">
    <w:p w14:paraId="157E340A" w14:textId="77777777" w:rsidR="008B49E9" w:rsidRDefault="00BA7B0A">
      <w:pPr>
        <w:pStyle w:val="Footnote"/>
      </w:pPr>
      <w:r>
        <w:rPr>
          <w:rStyle w:val="None"/>
          <w:sz w:val="18"/>
          <w:szCs w:val="18"/>
          <w:vertAlign w:val="superscript"/>
        </w:rPr>
        <w:footnoteRef/>
      </w:r>
      <w:r>
        <w:rPr>
          <w:sz w:val="18"/>
          <w:szCs w:val="18"/>
          <w:lang w:val="en-US"/>
        </w:rPr>
        <w:t xml:space="preserve"> EDF Human Rights Report 2024 - Legal capacity: Personal choice and control</w:t>
      </w:r>
      <w:r>
        <w:rPr>
          <w:sz w:val="18"/>
          <w:szCs w:val="18"/>
          <w:lang w:val="fr-FR"/>
        </w:rPr>
        <w:t xml:space="preserve"> (</w:t>
      </w:r>
      <w:r>
        <w:rPr>
          <w:sz w:val="18"/>
          <w:szCs w:val="18"/>
          <w:lang w:val="en-US"/>
        </w:rPr>
        <w:t>https://www.edf-feph.org/publications/human-rights-report-2024-legal-capacity/</w:t>
      </w:r>
      <w:r>
        <w:rPr>
          <w:sz w:val="18"/>
          <w:szCs w:val="18"/>
          <w:lang w:val="fr-FR"/>
        </w:rPr>
        <w:t>)</w:t>
      </w:r>
    </w:p>
  </w:footnote>
  <w:footnote w:id="12">
    <w:p w14:paraId="259F1FE1" w14:textId="77777777" w:rsidR="008B49E9" w:rsidRDefault="00BA7B0A">
      <w:pPr>
        <w:pStyle w:val="Footnote"/>
      </w:pPr>
      <w:r>
        <w:rPr>
          <w:rStyle w:val="None"/>
          <w:sz w:val="18"/>
          <w:szCs w:val="18"/>
          <w:vertAlign w:val="superscript"/>
        </w:rPr>
        <w:footnoteRef/>
      </w:r>
      <w:r>
        <w:rPr>
          <w:sz w:val="18"/>
          <w:szCs w:val="18"/>
          <w:lang w:val="en-US"/>
        </w:rPr>
        <w:t xml:space="preserve"> https://commission.europa.eu/strategy-and-policy/policies/justice-and-fundamental-rights/rights-child/child-friendly-justice_en</w:t>
      </w:r>
    </w:p>
  </w:footnote>
  <w:footnote w:id="13">
    <w:p w14:paraId="6496AFB6" w14:textId="77777777" w:rsidR="008B49E9" w:rsidRDefault="00BA7B0A">
      <w:pPr>
        <w:pStyle w:val="Footnote"/>
      </w:pPr>
      <w:r>
        <w:rPr>
          <w:rStyle w:val="None"/>
          <w:sz w:val="18"/>
          <w:szCs w:val="18"/>
          <w:vertAlign w:val="superscript"/>
        </w:rPr>
        <w:footnoteRef/>
      </w:r>
      <w:r>
        <w:rPr>
          <w:sz w:val="18"/>
          <w:szCs w:val="18"/>
          <w:lang w:val="en-US"/>
        </w:rPr>
        <w:t xml:space="preserve"> https://digital-strategy.ec.europa.eu/en/policies/online-privacy</w:t>
      </w:r>
    </w:p>
  </w:footnote>
  <w:footnote w:id="14">
    <w:p w14:paraId="03DFC312" w14:textId="77777777" w:rsidR="008B49E9" w:rsidRDefault="00BA7B0A">
      <w:pPr>
        <w:pStyle w:val="Footnote"/>
      </w:pPr>
      <w:r>
        <w:rPr>
          <w:rStyle w:val="None"/>
          <w:sz w:val="18"/>
          <w:szCs w:val="18"/>
          <w:vertAlign w:val="superscript"/>
        </w:rPr>
        <w:footnoteRef/>
      </w:r>
      <w:r>
        <w:rPr>
          <w:sz w:val="18"/>
          <w:szCs w:val="18"/>
          <w:lang w:val="en-US"/>
        </w:rPr>
        <w:t xml:space="preserve"> Alliance of German Non-Governmental Organisations on the CRPD. (2023). Human Rights Now! Joint Civil Society Report on the 2nd and 3rd States Report of the German Federal Government on the Implementation of the United Nations Convention on the Rights of Persons with Disabilities by Germany</w:t>
      </w:r>
      <w:r>
        <w:rPr>
          <w:sz w:val="18"/>
          <w:szCs w:val="18"/>
          <w:lang w:val="fr-FR"/>
        </w:rPr>
        <w:t>.</w:t>
      </w:r>
    </w:p>
  </w:footnote>
  <w:footnote w:id="15">
    <w:p w14:paraId="3A4B36DF" w14:textId="77777777" w:rsidR="008B49E9" w:rsidRDefault="00BA7B0A">
      <w:pPr>
        <w:pStyle w:val="Footnote"/>
      </w:pPr>
      <w:r>
        <w:rPr>
          <w:rStyle w:val="None"/>
          <w:sz w:val="18"/>
          <w:szCs w:val="18"/>
          <w:vertAlign w:val="superscript"/>
        </w:rPr>
        <w:footnoteRef/>
      </w:r>
      <w:r>
        <w:rPr>
          <w:sz w:val="18"/>
          <w:szCs w:val="18"/>
          <w:lang w:val="en-US"/>
        </w:rPr>
        <w:t xml:space="preserve"> https://www.stateofmind.it/2019/01/paralisi-cerebrale-adulti/</w:t>
      </w:r>
    </w:p>
  </w:footnote>
  <w:footnote w:id="16">
    <w:p w14:paraId="7284DEBA" w14:textId="77777777" w:rsidR="008B49E9" w:rsidRDefault="00BA7B0A">
      <w:pPr>
        <w:pStyle w:val="Footnote"/>
      </w:pPr>
      <w:r>
        <w:rPr>
          <w:rStyle w:val="None"/>
          <w:sz w:val="18"/>
          <w:szCs w:val="18"/>
          <w:vertAlign w:val="superscript"/>
        </w:rPr>
        <w:footnoteRef/>
      </w:r>
      <w:r>
        <w:rPr>
          <w:sz w:val="18"/>
          <w:szCs w:val="18"/>
          <w:lang w:val="en-US"/>
        </w:rPr>
        <w:t xml:space="preserve"> Pettersson K, Rodby-Bousquet E. Living Conditions and Social Outcomes in Adults With Cerebral</w:t>
      </w:r>
      <w:r>
        <w:rPr>
          <w:sz w:val="18"/>
          <w:szCs w:val="18"/>
          <w:lang w:val="fr-FR"/>
        </w:rPr>
        <w:t xml:space="preserve"> </w:t>
      </w:r>
      <w:r>
        <w:rPr>
          <w:sz w:val="18"/>
          <w:szCs w:val="18"/>
          <w:lang w:val="en-US"/>
        </w:rPr>
        <w:t>Palsy. Frontiers in Neurology, 2021</w:t>
      </w:r>
    </w:p>
  </w:footnote>
  <w:footnote w:id="17">
    <w:p w14:paraId="6E617DFA" w14:textId="77777777" w:rsidR="008B49E9" w:rsidRDefault="00BA7B0A">
      <w:pPr>
        <w:pStyle w:val="Footnote"/>
      </w:pPr>
      <w:r>
        <w:rPr>
          <w:rStyle w:val="None"/>
          <w:sz w:val="18"/>
          <w:szCs w:val="18"/>
          <w:vertAlign w:val="superscript"/>
        </w:rPr>
        <w:footnoteRef/>
      </w:r>
      <w:r>
        <w:rPr>
          <w:sz w:val="18"/>
          <w:szCs w:val="18"/>
        </w:rPr>
        <w:t xml:space="preserve"> Rožkalne Z, Mukā</w:t>
      </w:r>
      <w:r>
        <w:rPr>
          <w:sz w:val="18"/>
          <w:szCs w:val="18"/>
          <w:lang w:val="en-US"/>
        </w:rPr>
        <w:t>ns M, V</w:t>
      </w:r>
      <w:r>
        <w:rPr>
          <w:sz w:val="18"/>
          <w:szCs w:val="18"/>
        </w:rPr>
        <w:t>ē</w:t>
      </w:r>
      <w:r>
        <w:rPr>
          <w:sz w:val="18"/>
          <w:szCs w:val="18"/>
          <w:lang w:val="en-US"/>
        </w:rPr>
        <w:t>tra A. Transition-Age Young Adults with Cerebral Palsy: Level of</w:t>
      </w:r>
      <w:r>
        <w:rPr>
          <w:sz w:val="18"/>
          <w:szCs w:val="18"/>
          <w:lang w:val="fr-FR"/>
        </w:rPr>
        <w:t xml:space="preserve"> </w:t>
      </w:r>
      <w:r>
        <w:rPr>
          <w:sz w:val="18"/>
          <w:szCs w:val="18"/>
          <w:lang w:val="en-US"/>
        </w:rPr>
        <w:t>Participation and the Influencing Factors. Medicina (Kaunas). 2019</w:t>
      </w:r>
    </w:p>
  </w:footnote>
  <w:footnote w:id="18">
    <w:p w14:paraId="2D2ADC21" w14:textId="77777777" w:rsidR="008B49E9" w:rsidRDefault="00BA7B0A">
      <w:pPr>
        <w:pStyle w:val="Footnote"/>
      </w:pPr>
      <w:r>
        <w:rPr>
          <w:rStyle w:val="None"/>
          <w:sz w:val="18"/>
          <w:szCs w:val="18"/>
          <w:vertAlign w:val="superscript"/>
        </w:rPr>
        <w:footnoteRef/>
      </w:r>
      <w:r>
        <w:rPr>
          <w:sz w:val="18"/>
          <w:szCs w:val="18"/>
          <w:lang w:val="nl-NL"/>
        </w:rPr>
        <w:t xml:space="preserve"> Benner, J.L., Hilberink, S.R., Veenis, T., van der Slot, W.M.A. and Roebroeck, M.E., Course of</w:t>
      </w:r>
      <w:r>
        <w:rPr>
          <w:sz w:val="18"/>
          <w:szCs w:val="18"/>
          <w:lang w:val="fr-FR"/>
        </w:rPr>
        <w:t xml:space="preserve"> </w:t>
      </w:r>
      <w:r>
        <w:rPr>
          <w:sz w:val="18"/>
          <w:szCs w:val="18"/>
          <w:lang w:val="en-US"/>
        </w:rPr>
        <w:t>employment in adults with cerebral palsy over a 14-year period. Dev Med Child Neurol. 2017</w:t>
      </w:r>
    </w:p>
  </w:footnote>
  <w:footnote w:id="19">
    <w:p w14:paraId="604B9EA6" w14:textId="77777777" w:rsidR="008B49E9" w:rsidRDefault="00BA7B0A">
      <w:pPr>
        <w:pStyle w:val="Footnote"/>
      </w:pPr>
      <w:r>
        <w:rPr>
          <w:rStyle w:val="None"/>
          <w:sz w:val="18"/>
          <w:szCs w:val="18"/>
          <w:vertAlign w:val="superscript"/>
        </w:rPr>
        <w:footnoteRef/>
      </w:r>
      <w:r>
        <w:rPr>
          <w:sz w:val="18"/>
          <w:szCs w:val="18"/>
          <w:lang w:val="it-IT"/>
        </w:rPr>
        <w:t xml:space="preserve"> Pagliano E, Casalino T, Mazzanti S, Bianchi E, Fazzi E, Picciolini O, Frigerio A, Rossi A, Gallino F,</w:t>
      </w:r>
      <w:r>
        <w:rPr>
          <w:sz w:val="18"/>
          <w:szCs w:val="18"/>
          <w:lang w:val="fr-FR"/>
        </w:rPr>
        <w:t xml:space="preserve"> </w:t>
      </w:r>
      <w:r>
        <w:rPr>
          <w:sz w:val="18"/>
          <w:szCs w:val="18"/>
          <w:lang w:val="it-IT"/>
        </w:rPr>
        <w:t>Villani A, Landi N, Roberti L, Militerni R, Di Brina C, Tornetta L, Martielli M, Brizio M, Rodocanachi M,</w:t>
      </w:r>
      <w:r>
        <w:rPr>
          <w:sz w:val="18"/>
          <w:szCs w:val="18"/>
          <w:lang w:val="fr-FR"/>
        </w:rPr>
        <w:t xml:space="preserve"> </w:t>
      </w:r>
      <w:r>
        <w:rPr>
          <w:sz w:val="18"/>
          <w:szCs w:val="18"/>
          <w:lang w:val="it-IT"/>
        </w:rPr>
        <w:t>Tessarollo V, Galli J, Dusi E, Meschini L, Malinconico E, Baranello G, Anderloni A, Fedrizzi E. Being</w:t>
      </w:r>
      <w:r>
        <w:rPr>
          <w:sz w:val="18"/>
          <w:szCs w:val="18"/>
          <w:lang w:val="fr-FR"/>
        </w:rPr>
        <w:t xml:space="preserve"> </w:t>
      </w:r>
      <w:r>
        <w:rPr>
          <w:sz w:val="18"/>
          <w:szCs w:val="18"/>
          <w:lang w:val="en-US"/>
        </w:rPr>
        <w:t>adults with cerebral palsy: results of a multicenter Italian study on quality of life and participation. Neurol</w:t>
      </w:r>
      <w:r>
        <w:rPr>
          <w:sz w:val="18"/>
          <w:szCs w:val="18"/>
          <w:lang w:val="fr-FR"/>
        </w:rPr>
        <w:t xml:space="preserve"> </w:t>
      </w:r>
      <w:r>
        <w:rPr>
          <w:sz w:val="18"/>
          <w:szCs w:val="18"/>
          <w:lang w:val="it-IT"/>
        </w:rPr>
        <w:t>Sci. 2021</w:t>
      </w:r>
    </w:p>
  </w:footnote>
  <w:footnote w:id="20">
    <w:p w14:paraId="50123D24" w14:textId="77777777" w:rsidR="008B49E9" w:rsidRDefault="00BA7B0A">
      <w:pPr>
        <w:pStyle w:val="Footnote"/>
      </w:pPr>
      <w:r>
        <w:rPr>
          <w:rStyle w:val="None"/>
          <w:sz w:val="18"/>
          <w:szCs w:val="18"/>
          <w:vertAlign w:val="superscript"/>
        </w:rPr>
        <w:footnoteRef/>
      </w:r>
      <w:r>
        <w:rPr>
          <w:sz w:val="18"/>
          <w:szCs w:val="18"/>
          <w:lang w:val="en-US"/>
        </w:rPr>
        <w:t xml:space="preserve"> Vidart N, &amp; SPARCLE team project. Employment and higher education in young adults with Cerebral</w:t>
      </w:r>
      <w:r>
        <w:rPr>
          <w:sz w:val="18"/>
          <w:szCs w:val="18"/>
          <w:lang w:val="fr-FR"/>
        </w:rPr>
        <w:t xml:space="preserve"> </w:t>
      </w:r>
      <w:r>
        <w:rPr>
          <w:sz w:val="18"/>
          <w:szCs w:val="18"/>
          <w:lang w:val="en-US"/>
        </w:rPr>
        <w:t>Palsy: A cross-sectional analysis of the SPARCLE study. 2023 (Submitted)</w:t>
      </w:r>
    </w:p>
  </w:footnote>
  <w:footnote w:id="21">
    <w:p w14:paraId="66C06B10" w14:textId="77777777" w:rsidR="008B49E9" w:rsidRDefault="00BA7B0A">
      <w:pPr>
        <w:pStyle w:val="Footnote"/>
      </w:pPr>
      <w:r>
        <w:rPr>
          <w:rStyle w:val="None"/>
          <w:sz w:val="18"/>
          <w:szCs w:val="18"/>
          <w:vertAlign w:val="superscript"/>
        </w:rPr>
        <w:footnoteRef/>
      </w:r>
      <w:r>
        <w:rPr>
          <w:sz w:val="18"/>
          <w:szCs w:val="18"/>
          <w:lang w:val="en-US"/>
        </w:rPr>
        <w:t xml:space="preserve"> EDF 6th Human Rights Report 2022: political participation of persons with disabilities</w:t>
      </w:r>
      <w:r>
        <w:rPr>
          <w:sz w:val="18"/>
          <w:szCs w:val="18"/>
          <w:lang w:val="fr-FR"/>
        </w:rPr>
        <w:t xml:space="preserve"> (</w:t>
      </w:r>
      <w:r>
        <w:rPr>
          <w:sz w:val="18"/>
          <w:szCs w:val="18"/>
          <w:lang w:val="en-US"/>
        </w:rPr>
        <w:t>https://www.edf-feph.org/publications/human-rights-report-2022-political-participation-of-persons-with-disabilities/</w:t>
      </w:r>
      <w:r>
        <w:rPr>
          <w:sz w:val="18"/>
          <w:szCs w:val="18"/>
          <w:lang w:val="fr-FR"/>
        </w:rPr>
        <w:t>)</w:t>
      </w:r>
    </w:p>
  </w:footnote>
  <w:footnote w:id="22">
    <w:p w14:paraId="7ED82E9C" w14:textId="77777777" w:rsidR="008B49E9" w:rsidRDefault="00BA7B0A">
      <w:pPr>
        <w:pStyle w:val="Footnote"/>
      </w:pPr>
      <w:r>
        <w:rPr>
          <w:rStyle w:val="None"/>
          <w:sz w:val="18"/>
          <w:szCs w:val="18"/>
          <w:vertAlign w:val="superscript"/>
        </w:rPr>
        <w:footnoteRef/>
      </w:r>
      <w:r>
        <w:rPr>
          <w:sz w:val="18"/>
          <w:szCs w:val="18"/>
          <w:lang w:val="en-US"/>
        </w:rPr>
        <w:t xml:space="preserve"> https://zeroproject.org/view/project/d750a7f3-22ac-4444-ad1b-95b6d1c40f37</w:t>
      </w:r>
    </w:p>
  </w:footnote>
  <w:footnote w:id="23">
    <w:p w14:paraId="468102CB" w14:textId="77777777" w:rsidR="008B49E9" w:rsidRDefault="00BA7B0A">
      <w:pPr>
        <w:pStyle w:val="Footnote"/>
      </w:pPr>
      <w:r>
        <w:rPr>
          <w:rStyle w:val="None"/>
          <w:sz w:val="18"/>
          <w:szCs w:val="18"/>
          <w:vertAlign w:val="superscript"/>
        </w:rPr>
        <w:footnoteRef/>
      </w:r>
      <w:r>
        <w:rPr>
          <w:sz w:val="18"/>
          <w:szCs w:val="18"/>
          <w:lang w:val="en-US"/>
        </w:rPr>
        <w:t xml:space="preserve"> https://alleyoop.ilsole24ore.com/2022/11/09/disabilita-dati/</w:t>
      </w:r>
    </w:p>
  </w:footnote>
  <w:footnote w:id="24">
    <w:p w14:paraId="5E5503C8" w14:textId="77777777" w:rsidR="008B49E9" w:rsidRDefault="00BA7B0A">
      <w:pPr>
        <w:pStyle w:val="Footnote"/>
      </w:pPr>
      <w:r>
        <w:rPr>
          <w:rStyle w:val="None"/>
          <w:sz w:val="18"/>
          <w:szCs w:val="18"/>
          <w:vertAlign w:val="superscript"/>
        </w:rPr>
        <w:footnoteRef/>
      </w:r>
      <w:r>
        <w:rPr>
          <w:sz w:val="18"/>
          <w:szCs w:val="18"/>
          <w:lang w:val="en-US"/>
        </w:rPr>
        <w:t xml:space="preserve"> https://ec.europa.eu/eurostat/statistics-explained/index.php?title=Disability_statistics</w:t>
      </w:r>
    </w:p>
  </w:footnote>
  <w:footnote w:id="25">
    <w:p w14:paraId="7E7EE7EB" w14:textId="77777777" w:rsidR="008B49E9" w:rsidRDefault="00BA7B0A">
      <w:pPr>
        <w:pStyle w:val="Footnote"/>
      </w:pPr>
      <w:r>
        <w:rPr>
          <w:rStyle w:val="None"/>
          <w:sz w:val="18"/>
          <w:szCs w:val="18"/>
          <w:vertAlign w:val="superscript"/>
        </w:rPr>
        <w:footnoteRef/>
      </w:r>
      <w:r>
        <w:rPr>
          <w:sz w:val="18"/>
          <w:szCs w:val="18"/>
          <w:lang w:val="en-US"/>
        </w:rPr>
        <w:t xml:space="preserve"> https://scpe.edu.eacd.org/scpe.php</w:t>
      </w:r>
    </w:p>
  </w:footnote>
  <w:footnote w:id="26">
    <w:p w14:paraId="65942186" w14:textId="77777777" w:rsidR="008B49E9" w:rsidRDefault="00BA7B0A">
      <w:pPr>
        <w:pStyle w:val="Footnote"/>
      </w:pPr>
      <w:r>
        <w:rPr>
          <w:rStyle w:val="None"/>
          <w:sz w:val="18"/>
          <w:szCs w:val="18"/>
          <w:vertAlign w:val="superscript"/>
        </w:rPr>
        <w:footnoteRef/>
      </w:r>
      <w:r>
        <w:rPr>
          <w:sz w:val="18"/>
          <w:szCs w:val="18"/>
          <w:lang w:val="en-US"/>
        </w:rPr>
        <w:t xml:space="preserve"> https://www.healthdata.org/research-analysis/gbd</w:t>
      </w:r>
    </w:p>
  </w:footnote>
  <w:footnote w:id="27">
    <w:p w14:paraId="7ED6F4F5" w14:textId="77777777" w:rsidR="008B49E9" w:rsidRDefault="00BA7B0A">
      <w:pPr>
        <w:pStyle w:val="Footnote"/>
      </w:pPr>
      <w:r>
        <w:rPr>
          <w:rStyle w:val="None"/>
          <w:sz w:val="18"/>
          <w:szCs w:val="18"/>
          <w:vertAlign w:val="superscript"/>
        </w:rPr>
        <w:footnoteRef/>
      </w:r>
      <w:r>
        <w:rPr>
          <w:sz w:val="18"/>
          <w:szCs w:val="18"/>
          <w:lang w:val="en-US"/>
        </w:rPr>
        <w:t xml:space="preserve"> Cieza A, Causey K, Kamenov K, Hanson SW, Chatterji S, Vos T. Global estimates of the need for rehabilitation based on the Global Burden of Disease study 2019: a systematic analysis for the Global Burden of Disease Study 2019. Lancet. 2021 Dec 19;396(10267):2006-2017. doi: 10.1016/S0140-6736(20)32340-0. Epub 2020 Dec 1.</w:t>
      </w:r>
    </w:p>
  </w:footnote>
  <w:footnote w:id="28">
    <w:p w14:paraId="17804EB2" w14:textId="77777777" w:rsidR="008B49E9" w:rsidRDefault="00BA7B0A">
      <w:pPr>
        <w:pStyle w:val="Footnote"/>
      </w:pPr>
      <w:r>
        <w:rPr>
          <w:rStyle w:val="None"/>
          <w:sz w:val="18"/>
          <w:szCs w:val="18"/>
          <w:vertAlign w:val="superscript"/>
        </w:rPr>
        <w:footnoteRef/>
      </w:r>
      <w:r>
        <w:rPr>
          <w:sz w:val="18"/>
          <w:szCs w:val="18"/>
          <w:lang w:val="en-US"/>
        </w:rPr>
        <w:t xml:space="preserve"> McIntyre S, Goldsmith S, Webb A, Ehlinger V, Hollung SJ, McConnell K, Arnaud C, Smithers-Sheedy H, Oskoui M, Khandaker G, Himmelmann K; Global CP Prevalence Group*. Global prevalence of cerebral palsy: A systematic analysis. Dev Med Child Neurol. 2022 Dec;64(12):1494-1506. doi: 10.1111/dmcn.15346. Epub 2022 Aug 11. PMID: 35952356; PMCID: PMC9804547.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EFF66" w14:textId="77777777" w:rsidR="008B49E9" w:rsidRDefault="00BA7B0A">
    <w:pPr>
      <w:pStyle w:val="HeaderFooter"/>
      <w:tabs>
        <w:tab w:val="clear" w:pos="9020"/>
        <w:tab w:val="center" w:pos="4819"/>
        <w:tab w:val="right" w:pos="9638"/>
      </w:tabs>
    </w:pPr>
    <w:r>
      <w:rPr>
        <w:b/>
        <w:bCs/>
        <w:sz w:val="20"/>
        <w:szCs w:val="20"/>
      </w:rPr>
      <w:t>Cerebral Palsy Europe</w:t>
    </w:r>
    <w:r>
      <w:rPr>
        <w:b/>
        <w:bCs/>
        <w:sz w:val="20"/>
        <w:szCs w:val="20"/>
      </w:rPr>
      <w:tab/>
    </w:r>
    <w:r>
      <w:rPr>
        <w:b/>
        <w:bCs/>
        <w:sz w:val="20"/>
        <w:szCs w:val="20"/>
      </w:rPr>
      <w:tab/>
    </w:r>
    <w:r>
      <w:rPr>
        <w:b/>
        <w:bCs/>
        <w:sz w:val="20"/>
        <w:szCs w:val="20"/>
      </w:rPr>
      <w:t>EU Implementation of UNCRPD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9E9"/>
    <w:rsid w:val="00741919"/>
    <w:rsid w:val="008B49E9"/>
    <w:rsid w:val="00BA7B0A"/>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719C7"/>
  <w15:docId w15:val="{4EDEF13A-0853-42C2-A82D-7C7EA05A1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CH"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outlineLvl w:val="1"/>
    </w:pPr>
    <w:rPr>
      <w:rFonts w:ascii="Helvetica Neue" w:eastAsia="Helvetica Neue" w:hAnsi="Helvetica Neue" w:cs="Helvetica Neue"/>
      <w:b/>
      <w:bCs/>
      <w:color w:val="000000"/>
      <w:sz w:val="32"/>
      <w:szCs w:val="32"/>
      <w14:textOutline w14:w="0" w14:cap="flat" w14:cmpd="sng" w14:algn="ctr">
        <w14:noFill/>
        <w14:prstDash w14:val="solid"/>
        <w14:bevel/>
      </w14:textOutline>
    </w:rPr>
  </w:style>
  <w:style w:type="paragraph" w:styleId="Heading3">
    <w:name w:val="heading 3"/>
    <w:next w:val="Body"/>
    <w:uiPriority w:val="9"/>
    <w:unhideWhenUsed/>
    <w:qFormat/>
    <w:pPr>
      <w:keepNext/>
      <w:pBdr>
        <w:top w:val="single" w:sz="4" w:space="3" w:color="515151"/>
      </w:pBdr>
      <w:spacing w:before="360" w:after="40" w:line="288" w:lineRule="auto"/>
      <w:outlineLvl w:val="2"/>
    </w:pPr>
    <w:rPr>
      <w:rFonts w:ascii="Helvetica Neue" w:eastAsia="Helvetica Neue" w:hAnsi="Helvetica Neue" w:cs="Helvetica Neue"/>
      <w:color w:val="000000"/>
      <w:spacing w:val="5"/>
      <w:sz w:val="28"/>
      <w:szCs w:val="28"/>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lang w:val="fr-FR"/>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TOC2parent">
    <w:name w:val="TOC 2 parent"/>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OC2">
    <w:name w:val="toc 2"/>
    <w:basedOn w:val="TOC2parent"/>
    <w:next w:val="TOC2parent"/>
    <w:rPr>
      <w:b/>
      <w:bCs/>
      <w:sz w:val="22"/>
      <w:szCs w:val="22"/>
    </w:rPr>
  </w:style>
  <w:style w:type="paragraph" w:customStyle="1" w:styleId="TOC3parent">
    <w:name w:val="TOC 3 parent"/>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OC3">
    <w:name w:val="toc 3"/>
    <w:basedOn w:val="TOC3parent"/>
    <w:next w:val="TOC3parent"/>
    <w:pPr>
      <w:spacing w:before="80"/>
      <w:ind w:left="283"/>
    </w:pPr>
    <w:rPr>
      <w:sz w:val="22"/>
      <w:szCs w:val="22"/>
    </w:rPr>
  </w:style>
  <w:style w:type="paragraph" w:customStyle="1" w:styleId="Footnote">
    <w:name w:val="Footnote"/>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outline w:val="0"/>
      <w:color w:val="123D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1002/jnr.25020"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2025-02-10T13:39:17+00:00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4F4302B-7C3D-49A7-B823-E1801C44DAA3}"/>
</file>

<file path=customXml/itemProps2.xml><?xml version="1.0" encoding="utf-8"?>
<ds:datastoreItem xmlns:ds="http://schemas.openxmlformats.org/officeDocument/2006/customXml" ds:itemID="{D2F30DB3-BEA5-4E04-9ACC-CAE51AFB60EB}"/>
</file>

<file path=customXml/itemProps3.xml><?xml version="1.0" encoding="utf-8"?>
<ds:datastoreItem xmlns:ds="http://schemas.openxmlformats.org/officeDocument/2006/customXml" ds:itemID="{DAE5AB46-149A-4AFE-B935-99D4D9977F85}"/>
</file>

<file path=docProps/app.xml><?xml version="1.0" encoding="utf-8"?>
<Properties xmlns="http://schemas.openxmlformats.org/officeDocument/2006/extended-properties" xmlns:vt="http://schemas.openxmlformats.org/officeDocument/2006/docPropsVTypes">
  <Template>Normal</Template>
  <TotalTime>3</TotalTime>
  <Pages>15</Pages>
  <Words>5309</Words>
  <Characters>30266</Characters>
  <Application>Microsoft Office Word</Application>
  <DocSecurity>4</DocSecurity>
  <Lines>252</Lines>
  <Paragraphs>71</Paragraphs>
  <ScaleCrop>false</ScaleCrop>
  <Company/>
  <LinksUpToDate>false</LinksUpToDate>
  <CharactersWithSpaces>35504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Robert OUKO</cp:lastModifiedBy>
  <cp:revision>2</cp:revision>
  <dcterms:created xsi:type="dcterms:W3CDTF">2025-02-10T13:39:00Z</dcterms:created>
  <dcterms:modified xsi:type="dcterms:W3CDTF">2025-02-10T13:39:00Z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