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41BDAD" w14:textId="77777777" w:rsidR="00A64F72" w:rsidRDefault="00A64F72">
      <w:pPr>
        <w:spacing w:after="200" w:line="360" w:lineRule="auto"/>
        <w:rPr>
          <w:rFonts w:ascii="Times New Roman" w:eastAsia="Times New Roman" w:hAnsi="Times New Roman" w:cs="Times New Roman"/>
          <w:sz w:val="24"/>
          <w:szCs w:val="24"/>
        </w:rPr>
      </w:pPr>
    </w:p>
    <w:p w14:paraId="03167084" w14:textId="77777777" w:rsidR="00A64F72" w:rsidRPr="00A231AE" w:rsidRDefault="00767B16">
      <w:pPr>
        <w:spacing w:after="200" w:line="360" w:lineRule="auto"/>
        <w:jc w:val="center"/>
        <w:rPr>
          <w:rFonts w:ascii="Times New Roman" w:eastAsia="Times New Roman" w:hAnsi="Times New Roman" w:cs="Times New Roman"/>
          <w:b/>
          <w:sz w:val="24"/>
          <w:szCs w:val="24"/>
          <w:lang w:val="en-US"/>
        </w:rPr>
      </w:pPr>
      <w:r w:rsidRPr="00A231AE">
        <w:rPr>
          <w:rFonts w:ascii="Times New Roman" w:eastAsia="Times New Roman" w:hAnsi="Times New Roman" w:cs="Times New Roman"/>
          <w:b/>
          <w:sz w:val="24"/>
          <w:szCs w:val="24"/>
          <w:lang w:val="en-US"/>
        </w:rPr>
        <w:t>Girl-child pregnancy in Brazil</w:t>
      </w:r>
      <w:r>
        <w:rPr>
          <w:rFonts w:ascii="Times New Roman" w:eastAsia="Times New Roman" w:hAnsi="Times New Roman" w:cs="Times New Roman"/>
          <w:b/>
          <w:sz w:val="24"/>
          <w:szCs w:val="24"/>
          <w:vertAlign w:val="superscript"/>
        </w:rPr>
        <w:footnoteReference w:id="1"/>
      </w:r>
    </w:p>
    <w:p w14:paraId="0EE72331" w14:textId="77777777" w:rsidR="00A64F72" w:rsidRDefault="00767B16">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Committee on the Elimination of Discrimination against Women (CEDAW)</w:t>
      </w:r>
    </w:p>
    <w:p w14:paraId="543DBADC" w14:textId="77777777" w:rsidR="00A64F72" w:rsidRPr="00A231AE" w:rsidRDefault="00767B16">
      <w:pPr>
        <w:spacing w:after="200" w:line="360" w:lineRule="auto"/>
        <w:jc w:val="center"/>
        <w:rPr>
          <w:rFonts w:ascii="Times New Roman" w:eastAsia="Times New Roman" w:hAnsi="Times New Roman" w:cs="Times New Roman"/>
          <w:b/>
          <w:color w:val="000000" w:themeColor="text1"/>
          <w:sz w:val="24"/>
          <w:szCs w:val="24"/>
        </w:rPr>
      </w:pPr>
      <w:r w:rsidRPr="00A231AE">
        <w:rPr>
          <w:rFonts w:ascii="Times New Roman" w:eastAsia="Calibri" w:hAnsi="Times New Roman" w:cs="Times New Roman" w:hint="cs"/>
          <w:b/>
          <w:color w:val="000000" w:themeColor="text1"/>
          <w:sz w:val="24"/>
          <w:szCs w:val="24"/>
        </w:rPr>
        <w:t xml:space="preserve">88th </w:t>
      </w:r>
      <w:r w:rsidRPr="00A231AE">
        <w:rPr>
          <w:rFonts w:ascii="Times New Roman" w:eastAsia="Times New Roman" w:hAnsi="Times New Roman" w:cs="Times New Roman" w:hint="cs"/>
          <w:b/>
          <w:color w:val="000000" w:themeColor="text1"/>
          <w:sz w:val="24"/>
          <w:szCs w:val="24"/>
        </w:rPr>
        <w:t>session (May 13-31, 2024)</w:t>
      </w:r>
      <w:bookmarkStart w:id="0" w:name="_GoBack"/>
      <w:bookmarkEnd w:id="0"/>
    </w:p>
    <w:p w14:paraId="5F367345" w14:textId="77777777" w:rsidR="00A64F72" w:rsidRDefault="00767B16">
      <w:pPr>
        <w:spacing w:after="200" w:line="360" w:lineRule="auto"/>
        <w:jc w:val="center"/>
        <w:rPr>
          <w:rFonts w:ascii="Times New Roman" w:eastAsia="Times New Roman" w:hAnsi="Times New Roman" w:cs="Times New Roman"/>
          <w:b/>
          <w:color w:val="000000" w:themeColor="text1"/>
          <w:sz w:val="24"/>
          <w:szCs w:val="24"/>
        </w:rPr>
      </w:pPr>
      <w:r w:rsidRPr="00A231AE">
        <w:rPr>
          <w:rFonts w:ascii="Times New Roman" w:eastAsia="Times New Roman" w:hAnsi="Times New Roman" w:cs="Times New Roman" w:hint="cs"/>
          <w:b/>
          <w:color w:val="000000" w:themeColor="text1"/>
          <w:sz w:val="24"/>
          <w:szCs w:val="24"/>
        </w:rPr>
        <w:t>State party: Brazil</w:t>
      </w:r>
    </w:p>
    <w:p w14:paraId="6646014E" w14:textId="544422F7" w:rsidR="00A231AE" w:rsidRPr="00A231AE" w:rsidRDefault="00A231AE" w:rsidP="00A231AE">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14 April 2024</w:t>
      </w:r>
    </w:p>
    <w:p w14:paraId="46F106BE" w14:textId="77777777" w:rsidR="00A64F72" w:rsidRDefault="00767B16">
      <w:pPr>
        <w:spacing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Submitted by:</w:t>
      </w:r>
    </w:p>
    <w:p w14:paraId="279C7759"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Anis - Institute of Bioethics</w:t>
      </w:r>
    </w:p>
    <w:p w14:paraId="389B6062"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Brazilian Interdisciplinary AIDS Association - ABIA</w:t>
      </w:r>
    </w:p>
    <w:p w14:paraId="3BCD5B48"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Conectas Human Rights</w:t>
      </w:r>
    </w:p>
    <w:p w14:paraId="50339E2A"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Catholics for the Right to Decide (CDD)</w:t>
      </w:r>
    </w:p>
    <w:p w14:paraId="67479642"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Latin American and Caribbean Committee for the Defense of Women's Rights (CLADEM/Brazil)</w:t>
      </w:r>
    </w:p>
    <w:p w14:paraId="405C5C7C"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Criola</w:t>
      </w:r>
    </w:p>
    <w:p w14:paraId="3254DA36"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Feminist Sexuality and Health Collective (CFSS)</w:t>
      </w:r>
    </w:p>
    <w:p w14:paraId="7C44294C"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RS Legal Abortion Forum</w:t>
      </w:r>
    </w:p>
    <w:p w14:paraId="5DF14716"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Ipas</w:t>
      </w:r>
    </w:p>
    <w:p w14:paraId="0C410836"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Land, Work and Citizenship Institute (ITTC)</w:t>
      </w:r>
    </w:p>
    <w:p w14:paraId="35E4C4B4"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Not Arrested, Not Dead (NPNM)</w:t>
      </w:r>
    </w:p>
    <w:p w14:paraId="245AF300"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Feminist Health Network Sexual Rights and Reproductive Rights (RFS)</w:t>
      </w:r>
    </w:p>
    <w:p w14:paraId="50291706" w14:textId="77777777" w:rsidR="00A64F72" w:rsidRDefault="00767B16">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Medical Network for the Right to Decide</w:t>
      </w:r>
    </w:p>
    <w:p w14:paraId="68BEE101" w14:textId="21009CB9" w:rsidR="00A64F72" w:rsidRPr="00A231AE" w:rsidRDefault="006D69D2" w:rsidP="00A231AE">
      <w:pPr>
        <w:spacing w:line="360" w:lineRule="auto"/>
        <w:jc w:val="both"/>
        <w:rPr>
          <w:rFonts w:ascii="Times New Roman" w:eastAsia="Times New Roman" w:hAnsi="Times New Roman" w:cs="Times New Roman"/>
          <w:sz w:val="20"/>
          <w:szCs w:val="20"/>
        </w:rPr>
      </w:pPr>
      <w:hyperlink r:id="rId8">
        <w:r w:rsidR="00767B16">
          <w:rPr>
            <w:rFonts w:ascii="Times New Roman" w:eastAsia="Times New Roman" w:hAnsi="Times New Roman" w:cs="Times New Roman"/>
            <w:sz w:val="20"/>
            <w:szCs w:val="20"/>
          </w:rPr>
          <w:t>Sexuality Policy Watch</w:t>
        </w:r>
      </w:hyperlink>
      <w:r w:rsidR="00767B16">
        <w:rPr>
          <w:rFonts w:ascii="Times New Roman" w:eastAsia="Times New Roman" w:hAnsi="Times New Roman" w:cs="Times New Roman"/>
          <w:sz w:val="20"/>
          <w:szCs w:val="20"/>
        </w:rPr>
        <w:t xml:space="preserve"> (SPW)</w:t>
      </w:r>
    </w:p>
    <w:p w14:paraId="683069E2" w14:textId="77777777" w:rsidR="00A64F72" w:rsidRDefault="00767B16">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 Overview</w:t>
      </w:r>
    </w:p>
    <w:p w14:paraId="245B034E"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The purpose of this report is to present information for Brazil's review to the CEDAW Committee, seeking to highlight the persistence of violations of girls' reproductive rights in the light of the articles of the Convention on the Elimination of All Forms of Discrimination against Women (CEDAW) and questions to Brazil (CEDAW/C/BRA/QPR/8-9, par.2, par.5, par.9 and par.19).</w:t>
      </w:r>
    </w:p>
    <w:p w14:paraId="529A990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Pregnancy and forced motherhood during childhood or adolescence are serious human rights violations. This social problem takes Brazil further away from gender equality (SDGs 3, 5 and 16 combined - Sustainable Development Goals).</w:t>
      </w:r>
    </w:p>
    <w:p w14:paraId="0FECBB1F" w14:textId="77777777" w:rsidR="00A64F72" w:rsidRDefault="00A64F72">
      <w:pPr>
        <w:spacing w:after="200" w:line="360" w:lineRule="auto"/>
        <w:jc w:val="both"/>
        <w:rPr>
          <w:rFonts w:ascii="Times New Roman" w:eastAsia="Times New Roman" w:hAnsi="Times New Roman" w:cs="Times New Roman"/>
          <w:sz w:val="24"/>
          <w:szCs w:val="24"/>
        </w:rPr>
      </w:pPr>
    </w:p>
    <w:p w14:paraId="07D33C21" w14:textId="77777777" w:rsidR="00A64F72" w:rsidRDefault="00767B16">
      <w:pPr>
        <w:spacing w:after="20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t>II. Access to reproductive rights for children in Brazil</w:t>
      </w:r>
    </w:p>
    <w:p w14:paraId="4DB66361" w14:textId="77777777" w:rsidR="00A64F72" w:rsidRDefault="00767B16">
      <w:pPr>
        <w:numPr>
          <w:ilvl w:val="0"/>
          <w:numId w:val="1"/>
        </w:numPr>
        <w:pBdr>
          <w:top w:val="nil"/>
          <w:left w:val="nil"/>
          <w:bottom w:val="nil"/>
          <w:right w:val="nil"/>
          <w:between w:val="nil"/>
        </w:pBdr>
        <w:spacing w:after="200" w:line="360" w:lineRule="auto"/>
        <w:jc w:val="both"/>
      </w:pPr>
      <w:r>
        <w:rPr>
          <w:rFonts w:ascii="Times New Roman" w:eastAsia="Times New Roman" w:hAnsi="Times New Roman" w:cs="Times New Roman"/>
          <w:sz w:val="24"/>
          <w:szCs w:val="24"/>
        </w:rPr>
        <w:t>The reading of the Human Rights and Sexual and Reproductive Rights of Girls and Women is in the context of gender violence in Brazil. The country has shown high rates of femicide, domestic violence, obstetric violence and racism, rape, child sexual violence and other forms of violence in childhood, accentuated, above all, in the period of the COVID-19 pandemic and crossed by cisheteronormative patriarchal racism</w:t>
      </w:r>
    </w:p>
    <w:p w14:paraId="690F4C37" w14:textId="77777777" w:rsidR="00A64F72" w:rsidRDefault="00767B16">
      <w:pPr>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II.1 Data on sexual violence and pregnancy in childhood</w:t>
      </w:r>
    </w:p>
    <w:p w14:paraId="0AEBBADE"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Brazil is experiencing an epidemic of forced pregnancies in childhood and adolescence, which are directly associated with the crime of rape of a vulnerable person, when the victim is under 14 years of age (art.217-A, Penal Code). According to the Brazilian Public Security Yearbook, the 2023 edition found the highest number of records of rape and rape of a </w:t>
      </w:r>
      <w:r>
        <w:rPr>
          <w:rFonts w:ascii="Times New Roman" w:eastAsia="Times New Roman" w:hAnsi="Times New Roman" w:cs="Times New Roman"/>
          <w:sz w:val="24"/>
          <w:szCs w:val="24"/>
        </w:rPr>
        <w:lastRenderedPageBreak/>
        <w:t>vulnerable person in history, with 74,930 victims. Of these, 6 out of 10 victims are vulnerable people aged between 0 and 13, who are victims of family members and other acquaintances.</w:t>
      </w:r>
    </w:p>
    <w:p w14:paraId="106C84CF"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the number of rapes of vulnerable people rose by 8.2% from 2021 to 2022 and reached 36.9 cases per 100,000 inhabitants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2E2FA87B"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However, although frightening, these figures could be even higher. The data produced by the Public Security Yearbook only takes into account cases reported to the police authorities, disregarding all situations in which people chose not to report. And we know that few cases are actually reported.</w:t>
      </w:r>
    </w:p>
    <w:p w14:paraId="755F41C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highlight w:val="white"/>
        </w:rPr>
        <w:t>According to the Atlas of Violence</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 it is estimated that there are 822,000 cases of rape a year in Brazil, of which only 8.5% come to the attention of the police and only 4.2% are reported to the health system. </w:t>
      </w:r>
      <w:r>
        <w:rPr>
          <w:rFonts w:ascii="Times New Roman" w:eastAsia="Times New Roman" w:hAnsi="Times New Roman" w:cs="Times New Roman"/>
          <w:sz w:val="24"/>
          <w:szCs w:val="24"/>
        </w:rPr>
        <w:t xml:space="preserve">This figure was arrived at by calculating the attrition rate for the country, i.e. the proportion of estimated rape cases that are not identified by either the police or the health system. </w:t>
      </w:r>
    </w:p>
    <w:p w14:paraId="626AAFD4"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An analysis carried out between 2011 and 2015 showed that while more than 30,000 girls under the age of 13 had children in Brazil, less than 5% reported sexual violence. Of those </w:t>
      </w:r>
      <w:r>
        <w:rPr>
          <w:rFonts w:ascii="Times New Roman" w:eastAsia="Times New Roman" w:hAnsi="Times New Roman" w:cs="Times New Roman"/>
          <w:sz w:val="24"/>
          <w:szCs w:val="24"/>
        </w:rPr>
        <w:lastRenderedPageBreak/>
        <w:t>who reported it, only 1.3% had access to emergency contraception, highlighting the worrying precariousness of the realization of sexual and reproductive rights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31E837B3"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Pregnancy data for children under 14 from DATASUS shows that in the last 10 years the average number of births to girls was 20,443.9 per year, totaling an average of 204,438 child or adolescent mothers. Of these, 74.2% were black.</w:t>
      </w:r>
    </w:p>
    <w:p w14:paraId="34ADA625"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Analysis of the historical sequence of births to girls up to the age of 14 points to a gradual decrease in numbers: in 2014, 28,245 girls were mothers, while in 2023, 13,373 births to girls were recorded. However, an analysis of this data from a racial perspective shows that, in those same years, there was an increase in the percentage of black girls who were mothers: in 2014, 70.5% were black girls; by 2023, the percentage of black girls has risen to 74.97%. This increase, however, may be even greater if we consider the percentage of color ignored and the issues of errors in filling in the race question on medical reports, birth certificates, declarations of live birth, among others (DATASUS).  </w:t>
      </w:r>
    </w:p>
    <w:p w14:paraId="04CBA44C"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Currently, Brazil has around 19,000 births a year to girls between the ages of 10 and 14, an early pregnancy rate above the world average and high compared to other countries, even in the younger age groups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 In these cases, it is necessary to consider vulnerability to </w:t>
      </w:r>
      <w:r>
        <w:rPr>
          <w:rFonts w:ascii="Times New Roman" w:eastAsia="Times New Roman" w:hAnsi="Times New Roman" w:cs="Times New Roman"/>
          <w:sz w:val="24"/>
          <w:szCs w:val="24"/>
        </w:rPr>
        <w:lastRenderedPageBreak/>
        <w:t>various types of violence, especially sexual violence, which is a health and human rights problem with significant consequences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 </w:t>
      </w:r>
    </w:p>
    <w:p w14:paraId="136ABCB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For years, society organizations have been trying to raise awareness of the violation of girls' rights in our country. In 2017, Cladem developed the Jugar o Parir (Play or Give Birth) Campaign - Forced Child Pregnancy in Latin America and the Caribbean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 motivated by the Niñas Madres (Girl Mothers) study, in which forced pregnancy in children was understood as a form of torture. International human rights law has already come to the same conclusion that forcing the continuation of a pregnancy resulting from sexual violence can be equated with torture.  </w:t>
      </w:r>
    </w:p>
    <w:p w14:paraId="00D5BE47"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This is because, due to the incomplete physiological development incompatible with a healthy pregnancy, every pregnancy in childhood or adolescence is a life-threatening pregnancy. The World Health Organization (WHO) points out that complications during pregnancy and childbirth are the second leading cause of death among young women aged 15 to 19 worldwide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 Children and adolescents (aged 10 to 19) are at greater risk of eclampsia, puerperal endometritis and systemic infections than women aged 20 to 24</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 In addition, babies </w:t>
      </w:r>
      <w:r>
        <w:rPr>
          <w:rFonts w:ascii="Times New Roman" w:eastAsia="Times New Roman" w:hAnsi="Times New Roman" w:cs="Times New Roman"/>
          <w:sz w:val="24"/>
          <w:szCs w:val="24"/>
        </w:rPr>
        <w:lastRenderedPageBreak/>
        <w:t xml:space="preserve">born to adolescent mothers are at greater risk of low birth weight, premature birth and serious neonatal conditions. </w:t>
      </w:r>
    </w:p>
    <w:p w14:paraId="22F15375" w14:textId="77777777" w:rsidR="00A64F72" w:rsidRDefault="00767B16">
      <w:pPr>
        <w:numPr>
          <w:ilvl w:val="0"/>
          <w:numId w:val="1"/>
        </w:numPr>
        <w:spacing w:after="200" w:line="360" w:lineRule="auto"/>
        <w:ind w:right="-40"/>
        <w:jc w:val="both"/>
      </w:pPr>
      <w:r>
        <w:rPr>
          <w:rFonts w:ascii="Times New Roman" w:eastAsia="Times New Roman" w:hAnsi="Times New Roman" w:cs="Times New Roman"/>
          <w:sz w:val="24"/>
          <w:szCs w:val="24"/>
        </w:rPr>
        <w:t>Added to this are the social risks arising from pregnancy during childhood and adolescence. Pregnancy at an early age restricts the social, economic and political opportunities and capacities of children and adolescents, such as the right to education, limiting their quality of life and their chances of integrating, accompanying and reacting positively in the social environment</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 In this way, pregnancy at an early stage of physiological and psychosocial development is directly linked to girls and young women dropping out of school and interrupting their life plans. Studies show that while the school dropout rate is only 5% among adolescents without children, the dropout rate rises to 47% among young people who become mothers early</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1F1B62AF"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Data from the survey </w:t>
      </w:r>
      <w:r>
        <w:rPr>
          <w:rFonts w:ascii="Times New Roman" w:eastAsia="Times New Roman" w:hAnsi="Times New Roman" w:cs="Times New Roman"/>
          <w:i/>
          <w:sz w:val="24"/>
          <w:szCs w:val="24"/>
        </w:rPr>
        <w:t xml:space="preserve">Investigación sobre la interrelación y los vínculos entre la violencia sexual y la muerte de niñas y adolescentes en la región de América Latina y el Caribe </w:t>
      </w:r>
      <w:r>
        <w:rPr>
          <w:rFonts w:ascii="Times New Roman" w:eastAsia="Times New Roman" w:hAnsi="Times New Roman" w:cs="Times New Roman"/>
          <w:sz w:val="24"/>
          <w:szCs w:val="24"/>
        </w:rPr>
        <w:t>(2010 - 2019)</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 by the Latin American and Caribbean Committee for the Defense of Women's Rights (CLADEM), also points to problems linked to or resulting from child pregnancy, such as the continuation of sexual violence, suicide, the disappearance or trafficking of girls, maternal death and femicide.</w:t>
      </w:r>
    </w:p>
    <w:p w14:paraId="78A594DF" w14:textId="77777777" w:rsidR="00A64F72" w:rsidRDefault="00767B16">
      <w:pPr>
        <w:numPr>
          <w:ilvl w:val="0"/>
          <w:numId w:val="1"/>
        </w:numPr>
        <w:spacing w:after="200" w:line="360" w:lineRule="auto"/>
        <w:ind w:right="-40"/>
        <w:jc w:val="both"/>
      </w:pPr>
      <w:r>
        <w:rPr>
          <w:rFonts w:ascii="Times New Roman" w:eastAsia="Times New Roman" w:hAnsi="Times New Roman" w:cs="Times New Roman"/>
          <w:sz w:val="24"/>
          <w:szCs w:val="24"/>
        </w:rPr>
        <w:lastRenderedPageBreak/>
        <w:t>However, as will be seen below, despite the existence of alarming data on sexual violence and child and adolescent pregnancies, Brazil lacks the structure and investment to tackle sexual violence against girls and guarantee their reproductive rights, with little integration between the institutions of the protection network and a mismatch with the best human rights practices.</w:t>
      </w:r>
    </w:p>
    <w:p w14:paraId="034D278A" w14:textId="77777777" w:rsidR="00A64F72" w:rsidRDefault="00767B16">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II.2 Access to legal abortion by pregnant children and adolescents</w:t>
      </w:r>
    </w:p>
    <w:p w14:paraId="41F27FDF"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Article 217-A of the Penal Code states that sexual relations with minors under the age of 14 constitute the crime of rape of a vulnerable person</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 The provision states that, for the crime to be established, it is enough for there to be carnal conjunction or the practice of a libidinous act with a child under 14. Once the violence has been confirmed, the child must be included in and monitored by services that make up a social assistance and health network that can provide care and take appropriate measures, which includes access to legal abortion.</w:t>
      </w:r>
    </w:p>
    <w:p w14:paraId="0F206456"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In Brazil, abortion is allowed in three situations: (i) in the case of pregnancy resulting from sexual violence (according to art. 128, II, of the Penal Code), (ii) in the case of risk to the life of the pregnant person (according to art. 128, I, of the Penal Code); and in the case of anencephalic fetuses (as defined by the Federal Supreme Court in the ADPF 54 judgment). </w:t>
      </w:r>
    </w:p>
    <w:p w14:paraId="68B5E4F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In the case of pregnant girls, given that any sexual relationship is considered rape of a vulnerable person, under the terms of Article 217-A of the Penal Code, if the sexual violence </w:t>
      </w:r>
      <w:r>
        <w:rPr>
          <w:rFonts w:ascii="Times New Roman" w:eastAsia="Times New Roman" w:hAnsi="Times New Roman" w:cs="Times New Roman"/>
          <w:sz w:val="24"/>
          <w:szCs w:val="24"/>
        </w:rPr>
        <w:lastRenderedPageBreak/>
        <w:t>results in pregnancy, the girl has the right to a legal abortion under Article 128, II of the Penal Code.</w:t>
      </w:r>
    </w:p>
    <w:p w14:paraId="251D107A"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This provision is a protective measure for girls who are victims of sexual violence, whose forced motherhood produces serious rights violations by affecting their life trajectories. In many cases, forced motherhood leads to girls dropping out of school, future precariousness in entering the paid labor market and the intergenerational transmission of poverty</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 </w:t>
      </w:r>
    </w:p>
    <w:p w14:paraId="670DD5C2" w14:textId="77777777" w:rsidR="00A64F72" w:rsidRDefault="00767B16">
      <w:pPr>
        <w:widowControl w:val="0"/>
        <w:numPr>
          <w:ilvl w:val="0"/>
          <w:numId w:val="1"/>
        </w:numPr>
        <w:spacing w:after="200" w:line="360" w:lineRule="auto"/>
        <w:jc w:val="both"/>
      </w:pPr>
      <w:r>
        <w:rPr>
          <w:rFonts w:ascii="Times New Roman" w:eastAsia="Times New Roman" w:hAnsi="Times New Roman" w:cs="Times New Roman"/>
          <w:sz w:val="24"/>
          <w:szCs w:val="24"/>
        </w:rPr>
        <w:t>Despite the high numbers of rapes and births, however, the number of legal abortions for girls under 14 is tiny. Data available on the website aborto.info</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 shows that from 2015 to 2022, the average number of procedures registered on DataSUS with the diagnosis ICD O04 (Abortions for medical and legal reasons) was around 1,800. This number of legal abortions carried out per year is derisory compared to the 25,000 or so girls up to the age of 14 who have children in Brazil every year (on average) and who, having been victims of rape of a vulnerable person, according to the Penal Code, should have had access to legal abortion. </w:t>
      </w:r>
    </w:p>
    <w:p w14:paraId="18CE7195" w14:textId="77777777" w:rsidR="00A64F72" w:rsidRDefault="00767B16">
      <w:pPr>
        <w:widowControl w:val="0"/>
        <w:numPr>
          <w:ilvl w:val="0"/>
          <w:numId w:val="1"/>
        </w:numPr>
        <w:spacing w:after="200" w:line="360" w:lineRule="auto"/>
        <w:jc w:val="both"/>
      </w:pPr>
      <w:r>
        <w:rPr>
          <w:rFonts w:ascii="Times New Roman" w:eastAsia="Times New Roman" w:hAnsi="Times New Roman" w:cs="Times New Roman"/>
          <w:sz w:val="24"/>
          <w:szCs w:val="24"/>
        </w:rPr>
        <w:t>A survey carried out by The Intercept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shows that between 2015 and 2020, only 3.9% of girls between the </w:t>
      </w:r>
      <w:r>
        <w:rPr>
          <w:rFonts w:ascii="Times New Roman" w:eastAsia="Times New Roman" w:hAnsi="Times New Roman" w:cs="Times New Roman"/>
          <w:sz w:val="24"/>
          <w:szCs w:val="24"/>
          <w:highlight w:val="white"/>
        </w:rPr>
        <w:t xml:space="preserve">ages of 10 and 14 who were victims of rape </w:t>
      </w:r>
      <w:r>
        <w:rPr>
          <w:rFonts w:ascii="Times New Roman" w:eastAsia="Times New Roman" w:hAnsi="Times New Roman" w:cs="Times New Roman"/>
          <w:sz w:val="24"/>
          <w:szCs w:val="24"/>
        </w:rPr>
        <w:t>had access to legal abortion. In all, 362 procedures were carried out on children and adolescents, compared to more than 132,000 rapes in this age group. It is estimated that approximately 9,200 of these resulted in pregnancy.</w:t>
      </w:r>
    </w:p>
    <w:p w14:paraId="42E82F81"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lastRenderedPageBreak/>
        <w:t>Between 2018 and 2021, a survey carried out by Gender and Number Magazine (Revista Gênero e Número)</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found that for every girl who had access to legal abortion in Roraima, 31 others gave birth. During this period, 251 children between the ages of 10 and 13 gave birth in the state, while only 8 girls were able to terminate their pregnancies, as required by law.  </w:t>
      </w:r>
    </w:p>
    <w:p w14:paraId="6073418D"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Data from the Reproductive Justice Map exemplifies the reality in the country by analyzing data from the municipality of São Paulo. Based on data provided by the Hospital Information System (DATASUS), a total of 1,538 legal abortions took place between 2019 and 2022, of which only 33 (2.1%) were performed on girls aged between 10 and 14. Per year, therefore, there is an average of 8.25 legal abortions within this age group</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14:paraId="40A6A85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On the other hand, according to data from the Public Security Secretariat, in 2023 the state of São Paulo registered a record number of rapes since 2001, with a total of 14,504 cases - an increase of 9.5% in relation to the occurrences in 2022. Of this total, 11,133 were classified as rape of a vulnerable person, committed against people under the age of 14</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14:paraId="5494336B" w14:textId="77777777" w:rsidR="00A64F72" w:rsidRDefault="00767B16">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200" w:line="360" w:lineRule="auto"/>
        <w:jc w:val="both"/>
      </w:pPr>
      <w:r>
        <w:rPr>
          <w:rFonts w:ascii="Times New Roman" w:eastAsia="Times New Roman" w:hAnsi="Times New Roman" w:cs="Times New Roman"/>
          <w:sz w:val="24"/>
          <w:szCs w:val="24"/>
        </w:rPr>
        <w:t xml:space="preserve">Considering that the percentage of pregnancies resulting from rape in children under the age of 14 is 15% (IPEA), it could be estimated that in the state of São Paulo there are around 1,700 pregnancies in girls under the age of 14 per year.  The fact that in the municipality of São Paulo we have less than 10 terminations per year in the 10-14 age group shows, in </w:t>
      </w:r>
      <w:r>
        <w:rPr>
          <w:rFonts w:ascii="Times New Roman" w:eastAsia="Times New Roman" w:hAnsi="Times New Roman" w:cs="Times New Roman"/>
          <w:sz w:val="24"/>
          <w:szCs w:val="24"/>
        </w:rPr>
        <w:lastRenderedPageBreak/>
        <w:t>comparison with the estimated number of pregnancies, a significant gap in effective access to the right provided for by law</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 </w:t>
      </w:r>
    </w:p>
    <w:p w14:paraId="548583B6"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The panorama of sexual violence in the country, with alarming numbers of girl victims, coupled with the low number of legal abortions for children, demonstrates the existence of barriers to access to the procedure, which will be better detailed in the specific cases explained below. With difficulties in legally terminating pregnancies, these girls and women may resort to clandestine procedures or carry on unwanted pregnancies that cause damage to their physical and mental health and to their educational opportunities and economic and political rights, as recognized in Beijing Declaration and Platform of 1995</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 </w:t>
      </w:r>
    </w:p>
    <w:p w14:paraId="211AAFEA"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The criminalization of abortion, therefore, imposes a series of barriers to access to legal permission and consequently physical, social and emotional impacts on these children who become mothers. The loss of childhood and access to education interfere in the intergenerational cycle of poverty and inequality, making this cruel reality persist, especially for black girls, who are more vulnerable and in more unequal contexts, as is the case in the north, northeast and southeast regions, which are record holders for sexual violence and childbirth. </w:t>
      </w:r>
    </w:p>
    <w:p w14:paraId="17DB72D6" w14:textId="77777777" w:rsidR="00A64F72" w:rsidRDefault="00767B16">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II.3 Cases of children and adolescents who exemplify the lack of access to reproductive rights in the country</w:t>
      </w:r>
    </w:p>
    <w:p w14:paraId="58D13283"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lastRenderedPageBreak/>
        <w:t xml:space="preserve">In recent years, three cases of child pregnancies have become public - even though they are unfortunately not exceptions. These cases have highlighted a network set up by the state to prevent or hinder these children's access to a legal abortion procedure. We will discuss the controversial aspects and the violations committed by the Brazilian state below. </w:t>
      </w:r>
    </w:p>
    <w:p w14:paraId="6C8BC353" w14:textId="77777777" w:rsidR="00A64F72" w:rsidRDefault="00767B16">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III.3.1 The case of girls from ES, SC and PI</w:t>
      </w:r>
    </w:p>
    <w:p w14:paraId="48D12B08" w14:textId="6B021E7C" w:rsidR="00A64F72" w:rsidRDefault="00767B16">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Espírito Santo (ES)</w:t>
      </w:r>
    </w:p>
    <w:p w14:paraId="1B6CB0B1"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In 2020, during the Covid-19 pandemic, it was reported that a girl of just 10, abused by family members in the interior of Espirito Santo, was being formally denied her right to a legal abortion by the state. After a court decision allowing the procedure, the local hospital refused to provide services to the girl, who had to travel more than 1,000 km to have the procedure carried out in another city. In the time between her search for the service and her actual access to legal abortion, her personal details and where she would have the procedure were made public on social media, exposing the mobilization of conservative and extreme right-wing actors to prevent access to legal abortion, as well as attending the hospital to harass the girl and the health professionals. The case, which revealed multiple institutional and social barriers, spurred debate about the advance of conservatism in the child protection councils of various Brazilian states, whose actions contrary to the law can compromise and substantially violate access to rights. According to news reports, there was direct interference by the then federal government to prevent the girl from having the procedure</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and so far there has been no </w:t>
      </w:r>
      <w:r>
        <w:rPr>
          <w:rFonts w:ascii="Times New Roman" w:eastAsia="Times New Roman" w:hAnsi="Times New Roman" w:cs="Times New Roman"/>
          <w:sz w:val="24"/>
          <w:szCs w:val="24"/>
        </w:rPr>
        <w:lastRenderedPageBreak/>
        <w:t>measure of accountability or reparation for the damage caused by these agents. The child had to enter the protection program.</w:t>
      </w:r>
    </w:p>
    <w:p w14:paraId="33C34786" w14:textId="6305A7C5" w:rsidR="00A64F72" w:rsidRDefault="00767B16">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Santa Catarina (SC)</w:t>
      </w:r>
    </w:p>
    <w:p w14:paraId="659BB59F"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In June 2022, the press reported on the case of an 11-year-old girl from the state of Santa Catarina who, also pregnant as a result of sexual violence, suffered embarrassment in order to continue her pregnancy and put the child up for adoption. The girl was subjected to institutional violence and discrimination by a judge and a prosecutor for giving up her legal abortion, during a hearing aimed at debating a protection measure. The institutional reception measure was upheld on the grounds that the risk was no longer that the girl would suffer further violence, but that she would have access to her right to an abortion under the law. Only after the video of the hearing was released, generating enormous pressure from civil society, was the procedure carried out. Despite the violations suffered, state parliamentarians set up a Parliamentary Commission of Inquiry to supposedly investigate the legal abortion, putting the girl and her family, the doctors and journalists who publicized the case under public scrutiny. In June 2023, the National Council of Justice (CNJ), the body responsible for assessing the regularity and effectiveness of the actions of members of the Judiciary, decided to initiate administrative disciplinary proceedings against the judge who acted in the case, pointing out that her behavior could be considered institutional violence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 </w:t>
      </w:r>
    </w:p>
    <w:p w14:paraId="21937BB7" w14:textId="78AB69C5" w:rsidR="00A64F72" w:rsidRDefault="00767B16">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Piauí (PI)</w:t>
      </w:r>
    </w:p>
    <w:p w14:paraId="31FDE4FC"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lastRenderedPageBreak/>
        <w:t>In September 2022, in the northeastern Brazilian state of Piauí, an 11-year-old girl became pregnant for the second time as a result of sexual violence. According to the information that came to light, she lived in a context of extreme family vulnerability and the two acts of violence took place in the domestic sphere.</w:t>
      </w:r>
    </w:p>
    <w:p w14:paraId="744678A7"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Despite the context of violence and the lack of protection from the community or the girl's own family, who were not in her best interests, she was denied an abortion on both occasions. In September 2022, there was already news that the girl had expressed her desire to have an abortion. About two months later, access to the procedure had still not been guaranteed. Documents obtained by civil society organizations point out that the power of decision was left to the parents, without clear information about the adoption from the outset and with the due urgency of measures to support the girl's decision-making, in order to ensure her right of expression without any form of pressure or coercion.</w:t>
      </w:r>
    </w:p>
    <w:p w14:paraId="4E8F8817"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Even with judicial authorization, the girl was not referred to the health service to have the pregnancy terminated, and it was reported on March 27 of 2023 that she had given birth. The Public Defender's Office, appointed as the girl's guardian, acted contrary to its duties, acting as the guardian of the unborn child, to the detriment of the human rights of the child, whose interests should be ensured with absolute priority.</w:t>
      </w:r>
    </w:p>
    <w:p w14:paraId="7364CA1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After a series of requests for action sent by civil society to institutions protecting the rights of children and adolescents, the entities used the prerogative of secrecy of justice in bad faith as an excuse to prevent civil society from accessing information of public interest, even in the face of concrete evidence of irregularities in the actions of the institutions. There is, however, no information on the accountability of all the state actors involved in the process </w:t>
      </w:r>
      <w:r>
        <w:rPr>
          <w:rFonts w:ascii="Times New Roman" w:eastAsia="Times New Roman" w:hAnsi="Times New Roman" w:cs="Times New Roman"/>
          <w:sz w:val="24"/>
          <w:szCs w:val="24"/>
        </w:rPr>
        <w:lastRenderedPageBreak/>
        <w:t>and, especially, the adoption of institutional protocols to prevent new cases like this from recurring.</w:t>
      </w:r>
    </w:p>
    <w:p w14:paraId="7CA90E1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All the cases have in common the violation of the principle of integral protection and the best interests of children and adolescents and the imposition of undue obstacles to legal abortion.  Gestational age was invoked as an impediment to access to the procedure by anti-rights actors - even if, at the time of seeking the procedure, the pregnancy was in its earliest stages. We can see the delay in guaranteeing access to legal abortion through the use of bureaucratic and judicial mechanisms to delay access to the procedure as much as possible, to the point of bringing the pregnancy to term and imposing adoption as the only viable path, questioning the legality of the procedure based on advanced gestational age. There is no limit in Brazilian law on the gestational age at which abortion can be performed, and the methods available allow it to be carried out safely even at late gestational ages, according to recent WHO regulations in its 2022 Abortion Care Guide. The state should guarantee mechanisms to support decision-making by children and adolescents in cases such as those described above and the immediate updating of technical standards that are out of date in relation to the best scientific evidence by the Ministry of Health.</w:t>
      </w:r>
    </w:p>
    <w:p w14:paraId="7C8DBA34" w14:textId="77777777" w:rsidR="00A64F72" w:rsidRDefault="00767B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III.3.2 Difficulty of access by adolescents: cases of Pará and Santa Catarina</w:t>
      </w:r>
    </w:p>
    <w:p w14:paraId="642D4BDC"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In a similar vein, in March 2023, a case was reported in which the Guardianship Council of Igarapé-Miri/PA, in the Amazon region, allegedly acted to prevent a 17-year-old disabled girl from having an abortion. The councillors, who were supposed to prioritize the girl's interests, sent a letter to the Public Prosecutor's Office requesting the institution's intervention to ensure "that the teenager carries the pregnancy further, until she is around 7 or 8 months old, </w:t>
      </w:r>
      <w:r>
        <w:rPr>
          <w:rFonts w:ascii="Times New Roman" w:eastAsia="Times New Roman" w:hAnsi="Times New Roman" w:cs="Times New Roman"/>
          <w:sz w:val="24"/>
          <w:szCs w:val="24"/>
        </w:rPr>
        <w:lastRenderedPageBreak/>
        <w:t>so that the health service can carry out the caesarean section and place the newborn child up for adoption."</w:t>
      </w:r>
      <w:r>
        <w:rPr>
          <w:rFonts w:ascii="Times New Roman" w:eastAsia="Times New Roman" w:hAnsi="Times New Roman" w:cs="Times New Roman"/>
          <w:sz w:val="24"/>
          <w:szCs w:val="24"/>
          <w:vertAlign w:val="superscript"/>
        </w:rPr>
        <w:footnoteReference w:id="24"/>
      </w:r>
    </w:p>
    <w:p w14:paraId="38C41136"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In 2022, the sexual and reproductive rights clinic at the University of Brasilia, Cravinas, worked on a case involving the actions of the Guardianship Council to criminalize the legal abortion of a girl who was a victim of sexual violence in the state of São Paulo. Informed by the hospital where the abortion took place to take measures in relation to the crime, the Guardianship Council called in the Public Prosecutor's Office to investigate the legality of the abortion, sharing the documents of the abortion with the girl and her family, without taking any measures to investigate the violence alleged by the girl. It was necessary to go to court to have the investigation opened against the professional who carried out the legal abortion declared illegal, recognizing that the actions of the Guardianship Council violated the entire system of protection for children and adolescents.</w:t>
      </w:r>
      <w:r>
        <w:rPr>
          <w:rFonts w:ascii="Times New Roman" w:eastAsia="Times New Roman" w:hAnsi="Times New Roman" w:cs="Times New Roman"/>
          <w:sz w:val="24"/>
          <w:szCs w:val="24"/>
          <w:vertAlign w:val="superscript"/>
        </w:rPr>
        <w:footnoteReference w:id="25"/>
      </w:r>
    </w:p>
    <w:p w14:paraId="54D519BC"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There was also a second case in the state of Santa Catarina, in 2023, which exposes a series of shocking human rights violations, especially in relation to the rights of children and adolescents. It involved a teenage girl who faced a tireless struggle to obtain authorization for a legal abortion after being the victim of rape. The teenager found herself in a desperate situation after suffering the violence, seeking help and deciding to terminate her pregnancy. However, her battle encountered significant obstacles in the judicial system. Despite having </w:t>
      </w:r>
      <w:r>
        <w:rPr>
          <w:rFonts w:ascii="Times New Roman" w:eastAsia="Times New Roman" w:hAnsi="Times New Roman" w:cs="Times New Roman"/>
          <w:sz w:val="24"/>
          <w:szCs w:val="24"/>
        </w:rPr>
        <w:lastRenderedPageBreak/>
        <w:t>expressed her desire to terminate the pregnancy and having her mother's consent, the teenager was faced with controversial court decisions. The objection of the teenager's biological parent, who opposed the abortion, triggered a series of events that put the effective application of existing legislation into question.</w:t>
      </w:r>
    </w:p>
    <w:p w14:paraId="0E492854"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The court rulings in Santa Catarina ignored the principles of integral protection laid down in the Statute of the Child and Adolescent (ECA), which should ensure absolute priority for the rights of children and adolescents. Instead, the wishes of the biological parent and a non-governmental organization were considered more relevant than the physical and emotional health of the teenager. The case revealed a series of flaws in the Brazilian legal system, from the lack of effective enforcement of protection laws to the prevalence of prejudice and personal interests over fundamental rights. Even with the support of the Public Prosecutor's Office and the Health Service, the teenager found herself trapped in a cycle of bureaucracy and legal disputes that exposed her to additional suffering, both physical and emotional. Furthermore, even though there was clear evidence of the rape and the associated psychological trauma, the authorities hesitated to act on the teenager's behalf. Protective measures initially granted were later revoked, exposing her to an even more hostile and unprotected environment.</w:t>
      </w:r>
    </w:p>
    <w:p w14:paraId="279CC8A1"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After an exhausting legal battle and growing pressure from civil society, the injunction for abortion was finally granted by the Superior Court of Justice. However, this victory came too late to prevent prolonged and unnecessary suffering for the teenager and her family, who ultimately decided to keep the pregnancy.</w:t>
      </w:r>
    </w:p>
    <w:p w14:paraId="44C97F1C" w14:textId="77777777" w:rsidR="00A64F72" w:rsidRDefault="00767B16">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II.4 Recent setbacks in access to reproductive rights in Brazil</w:t>
      </w:r>
    </w:p>
    <w:p w14:paraId="011E3EFA" w14:textId="77777777" w:rsidR="00A64F72" w:rsidRDefault="00767B16">
      <w:pPr>
        <w:numPr>
          <w:ilvl w:val="0"/>
          <w:numId w:val="1"/>
        </w:numPr>
        <w:pBdr>
          <w:top w:val="nil"/>
          <w:left w:val="nil"/>
          <w:bottom w:val="nil"/>
          <w:right w:val="nil"/>
          <w:between w:val="nil"/>
        </w:pBdr>
        <w:spacing w:after="200" w:line="360" w:lineRule="auto"/>
        <w:jc w:val="both"/>
      </w:pPr>
      <w:r>
        <w:rPr>
          <w:rFonts w:ascii="Times New Roman" w:eastAsia="Times New Roman" w:hAnsi="Times New Roman" w:cs="Times New Roman"/>
          <w:sz w:val="24"/>
          <w:szCs w:val="24"/>
        </w:rPr>
        <w:lastRenderedPageBreak/>
        <w:t>Despite the reality experienced in the country, the Brazilian state has not only failed to act in favor of guaranteeing the reproductive rights of children and adolescents, but has also imposed barriers to access to these rights, which have particularly affected girls.</w:t>
      </w:r>
    </w:p>
    <w:p w14:paraId="00629C38" w14:textId="77777777" w:rsidR="00A64F72" w:rsidRDefault="00767B16">
      <w:pPr>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Closure of legal abortion services</w:t>
      </w:r>
    </w:p>
    <w:p w14:paraId="620FC7F1" w14:textId="77777777" w:rsidR="00A64F72" w:rsidRDefault="00767B16">
      <w:pPr>
        <w:numPr>
          <w:ilvl w:val="0"/>
          <w:numId w:val="1"/>
        </w:numPr>
        <w:tabs>
          <w:tab w:val="left" w:pos="1133"/>
        </w:tabs>
        <w:spacing w:before="200" w:after="20" w:line="360" w:lineRule="auto"/>
        <w:jc w:val="both"/>
      </w:pPr>
      <w:r>
        <w:rPr>
          <w:rFonts w:ascii="Times New Roman" w:eastAsia="Times New Roman" w:hAnsi="Times New Roman" w:cs="Times New Roman"/>
          <w:sz w:val="24"/>
          <w:szCs w:val="24"/>
        </w:rPr>
        <w:t>On December 19, 2023, the São Paulo City Council excluded the Vila Nova Cachoeirinha Hospital and Maternity Hospital from the list of places offering abortion services under the SUS.</w:t>
      </w:r>
    </w:p>
    <w:p w14:paraId="1276455A" w14:textId="77777777" w:rsidR="00A64F72" w:rsidRDefault="00767B16">
      <w:pPr>
        <w:numPr>
          <w:ilvl w:val="0"/>
          <w:numId w:val="1"/>
        </w:numPr>
        <w:tabs>
          <w:tab w:val="left" w:pos="1133"/>
        </w:tabs>
        <w:spacing w:before="200" w:after="20" w:line="360" w:lineRule="auto"/>
        <w:jc w:val="both"/>
      </w:pPr>
      <w:r>
        <w:rPr>
          <w:rFonts w:ascii="Times New Roman" w:eastAsia="Times New Roman" w:hAnsi="Times New Roman" w:cs="Times New Roman"/>
          <w:sz w:val="24"/>
          <w:szCs w:val="24"/>
        </w:rPr>
        <w:t>In addition to the closure of the service, there were also reports of harassment against several employees of the Vila Nova Cachoeirinha Hospital and Maternity, which even ordered the handing over of medical records - protected by medical confidentiality - of women, girls and people with uteruses who had accessed the legal abortion service between 2020 and 2023</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t>
      </w:r>
    </w:p>
    <w:p w14:paraId="5E4F3EC6" w14:textId="77777777" w:rsidR="00A64F72" w:rsidRDefault="00767B16">
      <w:pPr>
        <w:numPr>
          <w:ilvl w:val="0"/>
          <w:numId w:val="1"/>
        </w:numPr>
        <w:tabs>
          <w:tab w:val="left" w:pos="1133"/>
        </w:tabs>
        <w:spacing w:before="200" w:after="20" w:line="360" w:lineRule="auto"/>
        <w:jc w:val="both"/>
      </w:pPr>
      <w:r>
        <w:rPr>
          <w:rFonts w:ascii="Times New Roman" w:eastAsia="Times New Roman" w:hAnsi="Times New Roman" w:cs="Times New Roman"/>
          <w:sz w:val="24"/>
          <w:szCs w:val="24"/>
        </w:rPr>
        <w:t>The case, which was the subject of huge social mobilization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and was also the subject of two popular actions proposed by the Feminist Caucus of the Brazilian Socialist Party </w:t>
      </w:r>
      <w:r>
        <w:rPr>
          <w:rFonts w:ascii="Times New Roman" w:eastAsia="Times New Roman" w:hAnsi="Times New Roman" w:cs="Times New Roman"/>
          <w:sz w:val="24"/>
          <w:szCs w:val="24"/>
        </w:rPr>
        <w:lastRenderedPageBreak/>
        <w:t>(PSOL) and by Luciene Cavalcante, Carlos Giannazi and Celso Giannazi (Plaintiffs), respectively, which are still pending judgment.</w:t>
      </w:r>
    </w:p>
    <w:p w14:paraId="21280ACC" w14:textId="77777777" w:rsidR="00A64F72" w:rsidRDefault="00767B16">
      <w:pPr>
        <w:numPr>
          <w:ilvl w:val="0"/>
          <w:numId w:val="1"/>
        </w:numPr>
        <w:tabs>
          <w:tab w:val="left" w:pos="1133"/>
        </w:tabs>
        <w:spacing w:before="200" w:after="200" w:line="360" w:lineRule="auto"/>
        <w:jc w:val="both"/>
        <w:rPr>
          <w:highlight w:val="white"/>
        </w:rPr>
      </w:pPr>
      <w:r>
        <w:rPr>
          <w:rFonts w:ascii="Times New Roman" w:eastAsia="Times New Roman" w:hAnsi="Times New Roman" w:cs="Times New Roman"/>
          <w:sz w:val="24"/>
          <w:szCs w:val="24"/>
        </w:rPr>
        <w:t>The Hospital e Maternidade de Vila Nova Cachoeirinha was a national reference service for meeting the demand for legal termination of pregnancy: it had highly qualified professionals, protocols for meeting the demand and even a flow of specific cases to be dealt with by the Public Defender's Office, as the coordinator of the Vivas Project told Marie Claire</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 It was also the only service in the state of São Paulo that carried out pregnancy termination procedures on people with gestational age over 22 weeks, in strict compliance with the law, and carried out around 20 procedures a month.</w:t>
      </w:r>
    </w:p>
    <w:p w14:paraId="1832F7EC" w14:textId="77777777" w:rsidR="00A64F72" w:rsidRDefault="00767B16">
      <w:pPr>
        <w:numPr>
          <w:ilvl w:val="0"/>
          <w:numId w:val="1"/>
        </w:numPr>
        <w:tabs>
          <w:tab w:val="left" w:pos="1133"/>
        </w:tabs>
        <w:spacing w:before="200" w:after="200" w:line="360" w:lineRule="auto"/>
        <w:jc w:val="both"/>
        <w:rPr>
          <w:highlight w:val="white"/>
        </w:rPr>
      </w:pPr>
      <w:r>
        <w:rPr>
          <w:rFonts w:ascii="Times New Roman" w:eastAsia="Times New Roman" w:hAnsi="Times New Roman" w:cs="Times New Roman"/>
          <w:sz w:val="24"/>
          <w:szCs w:val="24"/>
        </w:rPr>
        <w:t>Children and adolescents were particularly affected by the closure of the legal abortion service, since in cases of pregnancies resulting from sexual violence, especially those involving children and adolescents, hospital care is usually accessed at an advanced stage of pregnancy</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 either due to fear of reporting or lack of knowledge of rights, or lack of knowledge of the symptoms of pregnancy in the case of children and adolescents. Attending to these cases, therefore, is essential at an advanced gestational age to guarantee the right to health of girls, women and people with a uterus in a situation of extreme vulnerability.</w:t>
      </w:r>
    </w:p>
    <w:p w14:paraId="765DDAF8" w14:textId="77777777" w:rsidR="00A64F72" w:rsidRDefault="00767B16">
      <w:pPr>
        <w:numPr>
          <w:ilvl w:val="0"/>
          <w:numId w:val="1"/>
        </w:numPr>
        <w:tabs>
          <w:tab w:val="left" w:pos="1133"/>
        </w:tabs>
        <w:spacing w:before="200" w:after="200" w:line="360" w:lineRule="auto"/>
        <w:jc w:val="both"/>
      </w:pPr>
      <w:r>
        <w:rPr>
          <w:rFonts w:ascii="Times New Roman" w:eastAsia="Times New Roman" w:hAnsi="Times New Roman" w:cs="Times New Roman"/>
          <w:sz w:val="24"/>
          <w:szCs w:val="24"/>
        </w:rPr>
        <w:t xml:space="preserve"> It is precisely this context of imposing barriers to access to the right to legally terminate a pregnancy that means that, in Latin America alone, around 6.5 million abortions </w:t>
      </w:r>
      <w:r>
        <w:rPr>
          <w:rFonts w:ascii="Times New Roman" w:eastAsia="Times New Roman" w:hAnsi="Times New Roman" w:cs="Times New Roman"/>
          <w:sz w:val="24"/>
          <w:szCs w:val="24"/>
        </w:rPr>
        <w:lastRenderedPageBreak/>
        <w:t>are carried out every year, 60% of which are unsafe</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 Unsafe abortions are a serious threat to the health of women, girls and every person with a uterus: denying or restricting legal abortion can have extremely serious effects on the mental health of people with the capacity to carry a child, including severe depression and, in some cases, suicide</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14:paraId="09A64BD1" w14:textId="77777777" w:rsidR="00A64F72" w:rsidRDefault="00A64F72">
      <w:pPr>
        <w:spacing w:line="240" w:lineRule="auto"/>
        <w:jc w:val="both"/>
        <w:rPr>
          <w:rFonts w:ascii="Times New Roman" w:eastAsia="Times New Roman" w:hAnsi="Times New Roman" w:cs="Times New Roman"/>
          <w:sz w:val="24"/>
          <w:szCs w:val="24"/>
        </w:rPr>
      </w:pPr>
    </w:p>
    <w:p w14:paraId="4BB73DCF" w14:textId="77777777" w:rsidR="00A64F72" w:rsidRDefault="00767B16">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Court decisions that violate reproductive rights</w:t>
      </w:r>
    </w:p>
    <w:p w14:paraId="4FCB0078" w14:textId="77777777" w:rsidR="00A64F72" w:rsidRDefault="00A64F72">
      <w:pPr>
        <w:spacing w:line="240" w:lineRule="auto"/>
        <w:jc w:val="both"/>
        <w:rPr>
          <w:rFonts w:ascii="Times New Roman" w:eastAsia="Times New Roman" w:hAnsi="Times New Roman" w:cs="Times New Roman"/>
          <w:i/>
          <w:sz w:val="24"/>
          <w:szCs w:val="24"/>
        </w:rPr>
      </w:pPr>
    </w:p>
    <w:p w14:paraId="39DDE65E"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As already pointed out in this report, Brazilian legislation determines that sexual relations with minors under the age of 14 constitute the crime of rape of a vulnerable person</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 Therefore, for the crime to be established, it is enough that there is carnal conjunction or the practice of a libidinous act with a minor under the age of 14, and there is no need to discuss the existence of consent.</w:t>
      </w:r>
    </w:p>
    <w:p w14:paraId="10DB77C6"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Until 2023, the Superior Court of Justice (STJ) took the position that </w:t>
      </w:r>
      <w:r>
        <w:rPr>
          <w:rFonts w:ascii="Times New Roman" w:eastAsia="Times New Roman" w:hAnsi="Times New Roman" w:cs="Times New Roman"/>
          <w:i/>
          <w:sz w:val="24"/>
          <w:szCs w:val="24"/>
        </w:rPr>
        <w:t>"in order to characterize the crime of rape of a vulnerable person provided for in art. 217-A, caput, of the Penal Code, it is sufficient for the perpetrator to have carnal conjuncture or perform any libidinous act with a person under the age of 14. The victim's consent, any previous sexual experience or the existence of a romantic relationship between the perpetrator and the victim do not rule out the crime".</w:t>
      </w:r>
    </w:p>
    <w:p w14:paraId="4E8E8F51"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lastRenderedPageBreak/>
        <w:t>However, on March 12, 2024</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 the STJ determined that in very exceptional cases, in which the lack of social relevance of the act is proven, it is possible to remove the presumption of the crime of rape of a vulnerable person in sexual relations with a person under the age of 14.</w:t>
      </w:r>
    </w:p>
    <w:p w14:paraId="4E1CEC98" w14:textId="77777777" w:rsidR="00A64F72" w:rsidRDefault="00767B16">
      <w:pPr>
        <w:numPr>
          <w:ilvl w:val="0"/>
          <w:numId w:val="1"/>
        </w:numPr>
        <w:spacing w:after="200" w:line="360" w:lineRule="auto"/>
        <w:jc w:val="both"/>
      </w:pPr>
      <w:r>
        <w:rPr>
          <w:rFonts w:ascii="Times New Roman" w:eastAsia="Times New Roman" w:hAnsi="Times New Roman" w:cs="Times New Roman"/>
          <w:color w:val="050505"/>
          <w:sz w:val="24"/>
          <w:szCs w:val="24"/>
        </w:rPr>
        <w:t>The crime was reported by the girl's mother, but the defendant appealed on the grounds that he was unaware of the illegality of the act. The case was taken to the STJ, where Justice Reynaldo Soares da Fonseca voted against convicting the aggressor, stating that imprisoning the parent would mean breaking up the family nucleus and that the priority would be to protect the well-being of the child generated in the relationship, who is supported by the parent.</w:t>
      </w:r>
    </w:p>
    <w:p w14:paraId="46AD58B6" w14:textId="77777777" w:rsidR="00A64F72" w:rsidRDefault="00767B16">
      <w:pPr>
        <w:numPr>
          <w:ilvl w:val="0"/>
          <w:numId w:val="1"/>
        </w:numPr>
        <w:spacing w:after="200" w:line="360" w:lineRule="auto"/>
        <w:jc w:val="both"/>
      </w:pPr>
      <w:r>
        <w:rPr>
          <w:rFonts w:ascii="Times New Roman" w:eastAsia="Times New Roman" w:hAnsi="Times New Roman" w:cs="Times New Roman"/>
          <w:color w:val="050505"/>
          <w:sz w:val="24"/>
          <w:szCs w:val="24"/>
        </w:rPr>
        <w:t>In June 2023, the STJ also ruled out the presumption of rape of a vulnerable person in a similar case against a 12-year-old girl. The justification was also based on the protection of the family, which would be deprived of the "material and emotional support of the parent" who, in turn, would suffer from the stigma of being convicted of rape.</w:t>
      </w:r>
    </w:p>
    <w:p w14:paraId="033121A0" w14:textId="77777777" w:rsidR="00A64F72" w:rsidRDefault="00767B16">
      <w:pPr>
        <w:numPr>
          <w:ilvl w:val="0"/>
          <w:numId w:val="1"/>
        </w:numPr>
        <w:spacing w:after="200" w:line="360" w:lineRule="auto"/>
        <w:jc w:val="both"/>
      </w:pPr>
      <w:r>
        <w:rPr>
          <w:rFonts w:ascii="Times New Roman" w:eastAsia="Times New Roman" w:hAnsi="Times New Roman" w:cs="Times New Roman"/>
          <w:color w:val="050505"/>
          <w:sz w:val="24"/>
          <w:szCs w:val="24"/>
        </w:rPr>
        <w:t>Even with two cases reported in less than a year, the STJ states that such cases are "absolutely exceptional". In a dissenting opinion, Justice Daniela Teixeira analyzed that, in addition to the fact that it is unlikely that the defendant was unaware of the illicit relationship with the girl, the Judiciary should not deviate from or relativize what she sees as a standard of civility: the 14-year age limit for understanding rape of a vulnerable person. For her, the carnal conjunction between the child and the defendant does not create a family, but only reinforces the situation of violence.</w:t>
      </w:r>
    </w:p>
    <w:p w14:paraId="0EE3B2FF" w14:textId="77777777" w:rsidR="00A64F72" w:rsidRDefault="00767B16">
      <w:pPr>
        <w:numPr>
          <w:ilvl w:val="0"/>
          <w:numId w:val="1"/>
        </w:numPr>
        <w:spacing w:after="200" w:line="360" w:lineRule="auto"/>
        <w:jc w:val="both"/>
      </w:pPr>
      <w:r>
        <w:rPr>
          <w:rFonts w:ascii="Times New Roman" w:eastAsia="Times New Roman" w:hAnsi="Times New Roman" w:cs="Times New Roman"/>
          <w:color w:val="050505"/>
          <w:sz w:val="24"/>
          <w:szCs w:val="24"/>
        </w:rPr>
        <w:lastRenderedPageBreak/>
        <w:t>It is the state's duty not only to protect girls, women and other social minorities from violence, but also to come up with reparation policies and actions for those who have been victimized and to hold perpetrators accountable. There should be no relativization of any kind for violence against children, which only increases impunity for aggressors and the vulnerability of victims. The emotional involvement and family ties that result from aggression must be understood as an expression and continuation of the violence itself, and it is up to the state to act to break this cycle.</w:t>
      </w:r>
    </w:p>
    <w:p w14:paraId="50569922" w14:textId="77777777" w:rsidR="00A64F72" w:rsidRDefault="00767B16">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Imposition of barriers to access to legal abortion due to gestational age</w:t>
      </w:r>
    </w:p>
    <w:p w14:paraId="253D9C8C" w14:textId="77777777" w:rsidR="00A64F72" w:rsidRDefault="00A64F72">
      <w:pPr>
        <w:spacing w:line="240" w:lineRule="auto"/>
        <w:jc w:val="both"/>
        <w:rPr>
          <w:rFonts w:ascii="Times New Roman" w:eastAsia="Times New Roman" w:hAnsi="Times New Roman" w:cs="Times New Roman"/>
          <w:i/>
          <w:sz w:val="24"/>
          <w:szCs w:val="24"/>
        </w:rPr>
      </w:pPr>
    </w:p>
    <w:p w14:paraId="47AB6F9D" w14:textId="77777777" w:rsidR="00A64F72" w:rsidRDefault="00767B16">
      <w:pPr>
        <w:numPr>
          <w:ilvl w:val="0"/>
          <w:numId w:val="1"/>
        </w:numPr>
        <w:spacing w:line="360" w:lineRule="auto"/>
        <w:jc w:val="both"/>
      </w:pPr>
      <w:r>
        <w:rPr>
          <w:rFonts w:ascii="Times New Roman" w:eastAsia="Times New Roman" w:hAnsi="Times New Roman" w:cs="Times New Roman"/>
          <w:sz w:val="24"/>
          <w:szCs w:val="24"/>
        </w:rPr>
        <w:t xml:space="preserve">Also in 2024, the Federal Council of Medicine (CFM), a federal authority, part of the indirect public administration, issued CFM Resolution No. 2,378/2024, which aimed to </w:t>
      </w:r>
      <w:r>
        <w:rPr>
          <w:rFonts w:ascii="Times New Roman" w:eastAsia="Times New Roman" w:hAnsi="Times New Roman" w:cs="Times New Roman"/>
          <w:i/>
          <w:sz w:val="24"/>
          <w:szCs w:val="24"/>
        </w:rPr>
        <w:t>"regulate the medical act of fetal asystole, for termination of pregnancy, in cases of abortion provided for by law arising from rape".</w:t>
      </w:r>
    </w:p>
    <w:p w14:paraId="16E5C230" w14:textId="77777777" w:rsidR="00A64F72" w:rsidRDefault="00767B16">
      <w:pPr>
        <w:numPr>
          <w:ilvl w:val="0"/>
          <w:numId w:val="1"/>
        </w:numPr>
        <w:spacing w:before="200" w:line="360" w:lineRule="auto"/>
        <w:jc w:val="both"/>
      </w:pPr>
      <w:r>
        <w:rPr>
          <w:rFonts w:ascii="Times New Roman" w:eastAsia="Times New Roman" w:hAnsi="Times New Roman" w:cs="Times New Roman"/>
          <w:sz w:val="24"/>
          <w:szCs w:val="24"/>
          <w:highlight w:val="white"/>
        </w:rPr>
        <w:t>Through this regulation, the CFM, contrary to the best scientific evidence and the recommendations of the World Health Organization (WHO), banned the fetal asystole procedure in cases of pregnancy resulting from rape over 22 weeks.</w:t>
      </w:r>
    </w:p>
    <w:p w14:paraId="07577159" w14:textId="77777777" w:rsidR="00A64F72" w:rsidRDefault="00767B16">
      <w:pPr>
        <w:numPr>
          <w:ilvl w:val="0"/>
          <w:numId w:val="1"/>
        </w:numPr>
        <w:spacing w:before="200" w:line="360" w:lineRule="auto"/>
        <w:jc w:val="both"/>
      </w:pPr>
      <w:r>
        <w:rPr>
          <w:rFonts w:ascii="Times New Roman" w:eastAsia="Times New Roman" w:hAnsi="Times New Roman" w:cs="Times New Roman"/>
          <w:sz w:val="24"/>
          <w:szCs w:val="24"/>
          <w:highlight w:val="white"/>
        </w:rPr>
        <w:t xml:space="preserve">In Brazil, </w:t>
      </w:r>
      <w:r>
        <w:rPr>
          <w:rFonts w:ascii="Times New Roman" w:eastAsia="Times New Roman" w:hAnsi="Times New Roman" w:cs="Times New Roman"/>
          <w:b/>
          <w:sz w:val="24"/>
          <w:szCs w:val="24"/>
          <w:highlight w:val="white"/>
        </w:rPr>
        <w:t xml:space="preserve">according to </w:t>
      </w:r>
      <w:r>
        <w:rPr>
          <w:rFonts w:ascii="Times New Roman" w:eastAsia="Times New Roman" w:hAnsi="Times New Roman" w:cs="Times New Roman"/>
          <w:sz w:val="24"/>
          <w:szCs w:val="24"/>
        </w:rPr>
        <w:t>the Brazilian Federation of Gynecology and Obstetrics Associations (FEBRASGO)</w:t>
      </w:r>
      <w:r>
        <w:rPr>
          <w:rFonts w:ascii="Times New Roman" w:eastAsia="Times New Roman" w:hAnsi="Times New Roman" w:cs="Times New Roman"/>
          <w:b/>
          <w:sz w:val="24"/>
          <w:szCs w:val="24"/>
          <w:highlight w:val="white"/>
        </w:rPr>
        <w:t>, the "induction of fetal asystole is a necessary and essential procedure for proper abortion care"</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vertAlign w:val="superscript"/>
        </w:rPr>
        <w:footnoteReference w:id="34"/>
      </w:r>
      <w:r>
        <w:rPr>
          <w:rFonts w:ascii="Times New Roman" w:eastAsia="Times New Roman" w:hAnsi="Times New Roman" w:cs="Times New Roman"/>
          <w:sz w:val="24"/>
          <w:szCs w:val="24"/>
          <w:highlight w:val="white"/>
        </w:rPr>
        <w:t xml:space="preserve"> If it is impossible to use this procedure, the existing teams in the health services responsible for legal abortion have reported that they are unable to </w:t>
      </w:r>
      <w:r>
        <w:rPr>
          <w:rFonts w:ascii="Times New Roman" w:eastAsia="Times New Roman" w:hAnsi="Times New Roman" w:cs="Times New Roman"/>
          <w:sz w:val="24"/>
          <w:szCs w:val="24"/>
          <w:highlight w:val="white"/>
        </w:rPr>
        <w:lastRenderedPageBreak/>
        <w:t>carry out terminations of pregnancies over 22 weeks. In practice, this means that the resolution prevents health care for survivors of sexual violence in Brazil, including thousands of girls.</w:t>
      </w:r>
    </w:p>
    <w:p w14:paraId="40A428DE" w14:textId="77777777" w:rsidR="00A64F72" w:rsidRDefault="00767B16">
      <w:pPr>
        <w:numPr>
          <w:ilvl w:val="0"/>
          <w:numId w:val="1"/>
        </w:numPr>
        <w:spacing w:before="200" w:line="360" w:lineRule="auto"/>
        <w:jc w:val="both"/>
      </w:pPr>
      <w:r>
        <w:rPr>
          <w:rFonts w:ascii="Times New Roman" w:eastAsia="Times New Roman" w:hAnsi="Times New Roman" w:cs="Times New Roman"/>
          <w:sz w:val="24"/>
          <w:szCs w:val="24"/>
        </w:rPr>
        <w:t>According to a report in Folha de São Paulo</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 FEBRASGO has already been informed of at least four cases of women and girls who have been raped and are more than 22 weeks pregnant, and who have already encountered barriers to accessing services. According to the report, "</w:t>
      </w:r>
      <w:r>
        <w:rPr>
          <w:rFonts w:ascii="Times New Roman" w:eastAsia="Times New Roman" w:hAnsi="Times New Roman" w:cs="Times New Roman"/>
          <w:b/>
          <w:sz w:val="24"/>
          <w:szCs w:val="24"/>
        </w:rPr>
        <w:t>doctors don't know what to do because they feel forbidden by the CFM</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The article reports the case of a 12-year-old girl, 27 weeks pregnant, with a court decision in favor of terminating the pregnancy, who faces difficulties in accessing the service, due to fears on the part of the medical team</w:t>
      </w:r>
      <w:r>
        <w:rPr>
          <w:rFonts w:ascii="Times New Roman" w:eastAsia="Times New Roman" w:hAnsi="Times New Roman" w:cs="Times New Roman"/>
          <w:sz w:val="24"/>
          <w:szCs w:val="24"/>
        </w:rPr>
        <w:t xml:space="preserve">. When interviewed, doctor Rosires Pereira, president of Febrasgo's commission on sexual violence and termination of pregnancy, also reported the </w:t>
      </w:r>
      <w:r>
        <w:rPr>
          <w:rFonts w:ascii="Times New Roman" w:eastAsia="Times New Roman" w:hAnsi="Times New Roman" w:cs="Times New Roman"/>
          <w:b/>
          <w:sz w:val="24"/>
          <w:szCs w:val="24"/>
        </w:rPr>
        <w:t>case of a woman from Curitiba, Paraná, who was raped and held prisoner by her ex-partner. After the man's arrest, she sought a legal abortion service at 24 weeks gestation and is facing difficulties in accessing the procedure</w:t>
      </w:r>
      <w:r>
        <w:rPr>
          <w:rFonts w:ascii="Times New Roman" w:eastAsia="Times New Roman" w:hAnsi="Times New Roman" w:cs="Times New Roman"/>
          <w:sz w:val="24"/>
          <w:szCs w:val="24"/>
        </w:rPr>
        <w:t>.</w:t>
      </w:r>
    </w:p>
    <w:p w14:paraId="74C095B3" w14:textId="77777777" w:rsidR="00A64F72" w:rsidRDefault="00767B16">
      <w:pPr>
        <w:numPr>
          <w:ilvl w:val="0"/>
          <w:numId w:val="1"/>
        </w:numPr>
        <w:spacing w:before="200" w:after="200" w:line="360" w:lineRule="auto"/>
        <w:jc w:val="both"/>
      </w:pPr>
      <w:r>
        <w:rPr>
          <w:rFonts w:ascii="Times New Roman" w:eastAsia="Times New Roman" w:hAnsi="Times New Roman" w:cs="Times New Roman"/>
          <w:sz w:val="24"/>
          <w:szCs w:val="24"/>
        </w:rPr>
        <w:t xml:space="preserve">The report also states that doctors in various regions are already seeking legal protection to continue carrying out the procedure according to the protocols in line with the legislation. </w:t>
      </w:r>
      <w:r>
        <w:rPr>
          <w:rFonts w:ascii="Times New Roman" w:eastAsia="Times New Roman" w:hAnsi="Times New Roman" w:cs="Times New Roman"/>
          <w:b/>
          <w:sz w:val="24"/>
          <w:szCs w:val="24"/>
        </w:rPr>
        <w:t>The need for judicialization, in addition to constituting an unnecessary requirement for access to legal abortion, which further delays care and generates a series of consequences for the physical and mental health of victims of violence, will greatly affect the Brazilian justice system.</w:t>
      </w:r>
      <w:r>
        <w:rPr>
          <w:rFonts w:ascii="Times New Roman" w:eastAsia="Times New Roman" w:hAnsi="Times New Roman" w:cs="Times New Roman"/>
          <w:sz w:val="24"/>
          <w:szCs w:val="24"/>
        </w:rPr>
        <w:t xml:space="preserve"> The number of lawsuits that could arise, considering the massive scenario of sexual violence that affects girls and women in the country, especially the most vulnerable, </w:t>
      </w:r>
      <w:r>
        <w:rPr>
          <w:rFonts w:ascii="Times New Roman" w:eastAsia="Times New Roman" w:hAnsi="Times New Roman" w:cs="Times New Roman"/>
          <w:sz w:val="24"/>
          <w:szCs w:val="24"/>
        </w:rPr>
        <w:lastRenderedPageBreak/>
        <w:t xml:space="preserve">could overload the Judiciary, which will have to deal with hundreds of cases with requests for preliminary injunctions. </w:t>
      </w:r>
    </w:p>
    <w:p w14:paraId="1B3BF80E" w14:textId="77777777" w:rsidR="00A64F72" w:rsidRDefault="00767B16">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III. Conclusion: violations of several articles of CEDAW</w:t>
      </w:r>
    </w:p>
    <w:p w14:paraId="66A7E682"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As will be shown below, the reality experienced by children in Brazil with regard to access to their sexual and reproductive rights is not only alarming, but is a real violation of several articles of CEDAW, the Convention to which Brazil is a signatory.</w:t>
      </w:r>
    </w:p>
    <w:p w14:paraId="5242F69F" w14:textId="77777777" w:rsidR="00A64F72" w:rsidRDefault="00767B16">
      <w:pPr>
        <w:numPr>
          <w:ilvl w:val="0"/>
          <w:numId w:val="1"/>
        </w:numPr>
        <w:spacing w:after="200" w:line="360" w:lineRule="auto"/>
        <w:jc w:val="both"/>
      </w:pPr>
      <w:r>
        <w:rPr>
          <w:rFonts w:ascii="Times New Roman" w:eastAsia="Times New Roman" w:hAnsi="Times New Roman" w:cs="Times New Roman"/>
          <w:i/>
          <w:sz w:val="24"/>
          <w:szCs w:val="24"/>
        </w:rPr>
        <w:t xml:space="preserve">Article 2 </w:t>
      </w:r>
      <w:r>
        <w:rPr>
          <w:rFonts w:ascii="Times New Roman" w:eastAsia="Times New Roman" w:hAnsi="Times New Roman" w:cs="Times New Roman"/>
          <w:sz w:val="24"/>
          <w:szCs w:val="24"/>
        </w:rPr>
        <w:t>Although we have specific legislation to protect women and girls in Brazil, such as the Maria da Penha Law and the Statute of the Child and Adolescent, there are still discriminatory practices that need to be reviewed in the country. Girls' lack of access to reproductive rights when they are victims of sexual violence is a great example of a violation, as occurs in cases of child pregnancy when the majority are only referred for prenatal care, normalizing sexual violence.</w:t>
      </w:r>
    </w:p>
    <w:p w14:paraId="6DFC1317" w14:textId="77777777" w:rsidR="00A64F72" w:rsidRDefault="00767B16">
      <w:pPr>
        <w:numPr>
          <w:ilvl w:val="0"/>
          <w:numId w:val="1"/>
        </w:numPr>
        <w:spacing w:after="200" w:line="360" w:lineRule="auto"/>
        <w:jc w:val="both"/>
      </w:pPr>
      <w:r>
        <w:rPr>
          <w:rFonts w:ascii="Times New Roman" w:eastAsia="Times New Roman" w:hAnsi="Times New Roman" w:cs="Times New Roman"/>
          <w:i/>
          <w:sz w:val="24"/>
          <w:szCs w:val="24"/>
        </w:rPr>
        <w:t>Article 5.</w:t>
      </w:r>
      <w:r>
        <w:rPr>
          <w:rFonts w:ascii="Times New Roman" w:eastAsia="Times New Roman" w:hAnsi="Times New Roman" w:cs="Times New Roman"/>
          <w:sz w:val="24"/>
          <w:szCs w:val="24"/>
        </w:rPr>
        <w:t xml:space="preserve"> The high number of pregnancies in childhood and adolescence is also a result of the high rates of sexual violence against girls in Brazil, which is even higher among black girls.</w:t>
      </w:r>
    </w:p>
    <w:p w14:paraId="7A7557AE" w14:textId="77777777" w:rsidR="00A64F72" w:rsidRDefault="00767B16">
      <w:pPr>
        <w:numPr>
          <w:ilvl w:val="0"/>
          <w:numId w:val="1"/>
        </w:numPr>
        <w:spacing w:after="200" w:line="360" w:lineRule="auto"/>
        <w:jc w:val="both"/>
      </w:pPr>
      <w:r>
        <w:rPr>
          <w:rFonts w:ascii="Times New Roman" w:eastAsia="Times New Roman" w:hAnsi="Times New Roman" w:cs="Times New Roman"/>
          <w:i/>
          <w:sz w:val="24"/>
          <w:szCs w:val="24"/>
        </w:rPr>
        <w:t xml:space="preserve">Article 10: </w:t>
      </w:r>
      <w:r>
        <w:rPr>
          <w:rFonts w:ascii="Times New Roman" w:eastAsia="Times New Roman" w:hAnsi="Times New Roman" w:cs="Times New Roman"/>
          <w:sz w:val="24"/>
          <w:szCs w:val="24"/>
        </w:rPr>
        <w:t>Pregnancy in the early physiological and psychosocial development of children and adolescents is directly linked to school dropout and the interruption of their life project.</w:t>
      </w:r>
    </w:p>
    <w:p w14:paraId="02B1B7DC" w14:textId="77777777" w:rsidR="00A64F72" w:rsidRDefault="00767B16">
      <w:pPr>
        <w:numPr>
          <w:ilvl w:val="0"/>
          <w:numId w:val="1"/>
        </w:numPr>
        <w:spacing w:after="200" w:line="360" w:lineRule="auto"/>
        <w:jc w:val="both"/>
      </w:pPr>
      <w:r>
        <w:rPr>
          <w:rFonts w:ascii="Times New Roman" w:eastAsia="Times New Roman" w:hAnsi="Times New Roman" w:cs="Times New Roman"/>
          <w:i/>
          <w:sz w:val="24"/>
          <w:szCs w:val="24"/>
        </w:rPr>
        <w:t>Article 12</w:t>
      </w:r>
      <w:r>
        <w:rPr>
          <w:rFonts w:ascii="Times New Roman" w:eastAsia="Times New Roman" w:hAnsi="Times New Roman" w:cs="Times New Roman"/>
          <w:sz w:val="24"/>
          <w:szCs w:val="24"/>
        </w:rPr>
        <w:t>: The difficulties faced by girls in accessing reproductive rights, in particular the right to legal abortion, are seen as forms of "discrimination against women in the sphere of medical care", since they are denied access to their right to reproductive health.</w:t>
      </w:r>
    </w:p>
    <w:p w14:paraId="76E719F5" w14:textId="77777777" w:rsidR="00A64F72" w:rsidRDefault="00767B16">
      <w:pPr>
        <w:numPr>
          <w:ilvl w:val="0"/>
          <w:numId w:val="1"/>
        </w:numPr>
        <w:spacing w:after="200" w:line="360" w:lineRule="auto"/>
        <w:jc w:val="both"/>
      </w:pPr>
      <w:r>
        <w:rPr>
          <w:rFonts w:ascii="Times New Roman" w:eastAsia="Times New Roman" w:hAnsi="Times New Roman" w:cs="Times New Roman"/>
          <w:i/>
          <w:sz w:val="24"/>
          <w:szCs w:val="24"/>
        </w:rPr>
        <w:lastRenderedPageBreak/>
        <w:t xml:space="preserve">Article 16.  </w:t>
      </w:r>
      <w:r>
        <w:rPr>
          <w:rFonts w:ascii="Times New Roman" w:eastAsia="Times New Roman" w:hAnsi="Times New Roman" w:cs="Times New Roman"/>
          <w:sz w:val="24"/>
          <w:szCs w:val="24"/>
        </w:rPr>
        <w:t>It deals with discrimination related to marriage and family relationships, making it explicit that girls are not psychologically or neurologically able to live in a stable union with men twice their age or even older, as occurs in more vulnerable communities with less access to state services, and rape of the vulnerable is systematic. Even fewer are in a position to look after babies when they are still between 9 and 14 years old.</w:t>
      </w:r>
    </w:p>
    <w:p w14:paraId="1ADBBE33" w14:textId="77777777" w:rsidR="00A64F72" w:rsidRDefault="00767B16">
      <w:pPr>
        <w:numPr>
          <w:ilvl w:val="0"/>
          <w:numId w:val="1"/>
        </w:numPr>
        <w:spacing w:after="200" w:line="360" w:lineRule="auto"/>
        <w:jc w:val="both"/>
      </w:pPr>
      <w:r>
        <w:rPr>
          <w:rFonts w:ascii="Times New Roman" w:eastAsia="Times New Roman" w:hAnsi="Times New Roman" w:cs="Times New Roman"/>
          <w:sz w:val="24"/>
          <w:szCs w:val="24"/>
        </w:rPr>
        <w:t xml:space="preserve">Finally, in addition to the existence of violations of the Convention, the situation experienced by girls in Brazil violates the CEDAW General Recommendations, especially General Recommendation 28 (State obligations), General Recommendation 19 (violence against women) and General Recommendation 33 (access to justice). </w:t>
      </w:r>
    </w:p>
    <w:p w14:paraId="7B1C6E09" w14:textId="77777777" w:rsidR="00A64F72" w:rsidRDefault="00767B16">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IV. Suggested questions to be answered by the Brazilian state </w:t>
      </w:r>
    </w:p>
    <w:p w14:paraId="0CB6425D"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actions and public policies has the Brazilian state adopted to prevent sexual violence against children?</w:t>
      </w:r>
    </w:p>
    <w:p w14:paraId="471C9D43"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actions and public policies adopted by the Brazilian state to guarantee access to reproductive rights for children, including access to legal abortion?</w:t>
      </w:r>
    </w:p>
    <w:p w14:paraId="2FC9E503"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the Brazilian state guarantee that children have access to their reproductive rights and decide whether to continue a pregnancy in cases of sexual violence?</w:t>
      </w:r>
    </w:p>
    <w:p w14:paraId="6F637D7A"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many specialized services for sexual violence are there in Brazil?  How many health services perform legal abortions in Brazil?</w:t>
      </w:r>
    </w:p>
    <w:p w14:paraId="56D1A5E8"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health care protocol for child victims of sexual violence? Does the protocol include the provision of contraceptive methods and the right to information on legal abortion?</w:t>
      </w:r>
    </w:p>
    <w:p w14:paraId="43D6A766"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Has access to legal abortion been guaranteed in all situations, without any barriers, in accordance with the 1940 Penal Code and the WHO?</w:t>
      </w:r>
    </w:p>
    <w:p w14:paraId="1CE0C009"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there any public policies aimed at preventing and better identifying the occurrence of sexual violence in schools? What are they?</w:t>
      </w:r>
    </w:p>
    <w:p w14:paraId="7533D3C9"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Guardianship Councils and professionals working in health services receive any training in identifying, receiving and referring cases of sexual violence? What content is covered?</w:t>
      </w:r>
    </w:p>
    <w:p w14:paraId="6050C0E6" w14:textId="77777777" w:rsidR="00A64F72" w:rsidRDefault="00767B16">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 there any kind of training for professionals working in the Judiciary so that they are able to conduct and judge cases of sexual violence? What content is covered and how many professionals have already been trained?</w:t>
      </w:r>
    </w:p>
    <w:p w14:paraId="15053390" w14:textId="77777777" w:rsidR="00A64F72" w:rsidRDefault="00767B16">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 Recommendations to the Brazilian State:</w:t>
      </w:r>
    </w:p>
    <w:p w14:paraId="0397E665"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of a health protocol for specialized care for children in situations of sexual violence, with a special guarantee of their access to sexual rights and reproductive rights, including access to legal abortion;</w:t>
      </w:r>
    </w:p>
    <w:p w14:paraId="756E6450"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Monitoring data on sexual violence and childhood pregnancy in Brazil, segmented by race/color, place of residence and age, with the aim of providing parameters for the construction of public policies;</w:t>
      </w:r>
    </w:p>
    <w:p w14:paraId="270B5709"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Guaranteed access to legal abortion at any gestational age, considering that barriers to the procedure imposed at advanced gestational ages mainly affect children in situations of social vulnerability;</w:t>
      </w:r>
    </w:p>
    <w:p w14:paraId="7916C56A"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Providing training for professionals working in care services, including Guardianship Councils, so that they are able to receive cases of sexual violence and make the appropriate referrals, including access to legal abortion, when desired;</w:t>
      </w:r>
    </w:p>
    <w:p w14:paraId="79A068D8"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training for health professionals so that they are able to receive cases of sexual violence and make the appropriate referrals, including access to legal abortion when desired;</w:t>
      </w:r>
    </w:p>
    <w:p w14:paraId="19E3118B"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Regulation of conscientious objection by health professionals in services that perform legal abortion;</w:t>
      </w:r>
    </w:p>
    <w:p w14:paraId="3724CAB4"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training and information for professionals working in the </w:t>
      </w:r>
      <w:hyperlink r:id="rId9">
        <w:r>
          <w:rPr>
            <w:rFonts w:ascii="Times New Roman" w:eastAsia="Times New Roman" w:hAnsi="Times New Roman" w:cs="Times New Roman"/>
            <w:sz w:val="24"/>
            <w:szCs w:val="24"/>
          </w:rPr>
          <w:t>Child and Adolescent Protection Network</w:t>
        </w:r>
      </w:hyperlink>
      <w:r>
        <w:rPr>
          <w:rFonts w:ascii="Times New Roman" w:eastAsia="Times New Roman" w:hAnsi="Times New Roman" w:cs="Times New Roman"/>
          <w:sz w:val="24"/>
          <w:szCs w:val="24"/>
        </w:rPr>
        <w:t>, especially for guardianship counselors, so that they are able to receive cases of sexual violence and make the appropriate health and legal referrals, including access to legal abortion when desired.</w:t>
      </w:r>
    </w:p>
    <w:p w14:paraId="198120A1"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educational institutions provide information on sexual and reproductive rights for children and adolescents, with the aim of helping to identify the occurrence of sexual violence and possible referrals.</w:t>
      </w:r>
    </w:p>
    <w:p w14:paraId="09CD6DAC"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recommend that the Brazilian judiciary carry out trials with a gender perspective, considering the peculiarities that permeate the occurrence of cases of sexual violence and ensuring that the conduct of the proceedings and the decisions handed down are in accordance with the Conventions ratified by the country, in particular CEDAW and the Convention on the Rights of the Child and Adolescent.</w:t>
      </w:r>
    </w:p>
    <w:p w14:paraId="28F52744" w14:textId="77777777" w:rsidR="00A64F72" w:rsidRDefault="00767B16">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Repeal all normative acts and protocols that impose barriers to access to legal abortion for girls, including CFM Resolution 2.378/2024 of the Federal Council of Medicine (CFM).</w:t>
      </w:r>
    </w:p>
    <w:p w14:paraId="5FF035FD" w14:textId="77777777" w:rsidR="00A64F72" w:rsidRDefault="00A64F72">
      <w:pPr>
        <w:spacing w:after="200" w:line="360" w:lineRule="auto"/>
        <w:rPr>
          <w:rFonts w:ascii="Times New Roman" w:eastAsia="Times New Roman" w:hAnsi="Times New Roman" w:cs="Times New Roman"/>
          <w:sz w:val="24"/>
          <w:szCs w:val="24"/>
        </w:rPr>
      </w:pPr>
    </w:p>
    <w:sectPr w:rsidR="00A64F72">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008A2D" w14:textId="77777777" w:rsidR="006D69D2" w:rsidRDefault="006D69D2">
      <w:pPr>
        <w:spacing w:line="240" w:lineRule="auto"/>
      </w:pPr>
      <w:r>
        <w:separator/>
      </w:r>
    </w:p>
  </w:endnote>
  <w:endnote w:type="continuationSeparator" w:id="0">
    <w:p w14:paraId="2B190937" w14:textId="77777777" w:rsidR="006D69D2" w:rsidRDefault="006D69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0D54D85-4A68-473A-A0F7-A2AB51CE2EB1}"/>
    <w:embedBold r:id="rId2" w:fontKey="{A0259AE7-FBF4-4B84-871C-F7F9C4958FDB}"/>
  </w:font>
  <w:font w:name="Roboto">
    <w:charset w:val="00"/>
    <w:family w:val="auto"/>
    <w:pitch w:val="variable"/>
    <w:sig w:usb0="E0000AFF" w:usb1="5000217F" w:usb2="00000021" w:usb3="00000000" w:csb0="0000019F" w:csb1="00000000"/>
    <w:embedRegular r:id="rId3" w:fontKey="{A6EDC5BA-867D-4169-8A25-F152ED78C7CE}"/>
  </w:font>
  <w:font w:name="PT Sans Narrow">
    <w:altName w:val="Arial Narrow"/>
    <w:charset w:val="4D"/>
    <w:family w:val="swiss"/>
    <w:pitch w:val="variable"/>
    <w:sig w:usb0="00000001" w:usb1="5000204B" w:usb2="00000000" w:usb3="00000000" w:csb0="00000097" w:csb1="00000000"/>
  </w:font>
  <w:font w:name="Cambria">
    <w:panose1 w:val="02040503050406030204"/>
    <w:charset w:val="00"/>
    <w:family w:val="roman"/>
    <w:pitch w:val="variable"/>
    <w:sig w:usb0="E00006FF" w:usb1="420024FF" w:usb2="02000000" w:usb3="00000000" w:csb0="0000019F" w:csb1="00000000"/>
    <w:embedRegular r:id="rId4" w:fontKey="{4360884D-2419-425F-9416-90D894A3160C}"/>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FBA50" w14:textId="77777777" w:rsidR="006D69D2" w:rsidRDefault="006D69D2">
      <w:pPr>
        <w:spacing w:line="240" w:lineRule="auto"/>
      </w:pPr>
      <w:r>
        <w:separator/>
      </w:r>
    </w:p>
  </w:footnote>
  <w:footnote w:type="continuationSeparator" w:id="0">
    <w:p w14:paraId="4D2D3279" w14:textId="77777777" w:rsidR="006D69D2" w:rsidRDefault="006D69D2">
      <w:pPr>
        <w:spacing w:line="240" w:lineRule="auto"/>
      </w:pPr>
      <w:r>
        <w:continuationSeparator/>
      </w:r>
    </w:p>
  </w:footnote>
  <w:footnote w:id="1">
    <w:p w14:paraId="7911D77E" w14:textId="693E95AA" w:rsidR="00A64F72" w:rsidRDefault="00767B16">
      <w:pPr>
        <w:spacing w:line="240" w:lineRule="auto"/>
        <w:rPr>
          <w:rFonts w:ascii="Times New Roman" w:eastAsia="Times New Roman" w:hAnsi="Times New Roman" w:cs="Times New Roman"/>
          <w:b/>
          <w:sz w:val="20"/>
          <w:szCs w:val="20"/>
        </w:rPr>
      </w:pPr>
      <w:r>
        <w:rPr>
          <w:vertAlign w:val="superscript"/>
        </w:rPr>
        <w:footnoteRef/>
      </w:r>
      <w:r>
        <w:rPr>
          <w:rFonts w:ascii="Times New Roman" w:eastAsia="Times New Roman" w:hAnsi="Times New Roman" w:cs="Times New Roman"/>
          <w:sz w:val="20"/>
          <w:szCs w:val="20"/>
        </w:rPr>
        <w:t xml:space="preserve"> This document </w:t>
      </w:r>
      <w:r w:rsidR="00A231AE">
        <w:rPr>
          <w:rFonts w:ascii="Times New Roman" w:eastAsia="Times New Roman" w:hAnsi="Times New Roman" w:cs="Times New Roman"/>
          <w:sz w:val="20"/>
          <w:szCs w:val="20"/>
        </w:rPr>
        <w:t>can</w:t>
      </w:r>
      <w:r>
        <w:rPr>
          <w:rFonts w:ascii="Times New Roman" w:eastAsia="Times New Roman" w:hAnsi="Times New Roman" w:cs="Times New Roman"/>
          <w:sz w:val="20"/>
          <w:szCs w:val="20"/>
        </w:rPr>
        <w:t xml:space="preserve"> be published.</w:t>
      </w:r>
    </w:p>
    <w:p w14:paraId="3C850106" w14:textId="77777777" w:rsidR="00A64F72" w:rsidRDefault="00A64F72">
      <w:pPr>
        <w:spacing w:line="240" w:lineRule="auto"/>
        <w:rPr>
          <w:rFonts w:ascii="Times New Roman" w:eastAsia="Times New Roman" w:hAnsi="Times New Roman" w:cs="Times New Roman"/>
          <w:sz w:val="20"/>
          <w:szCs w:val="20"/>
        </w:rPr>
      </w:pPr>
    </w:p>
  </w:footnote>
  <w:footnote w:id="2">
    <w:p w14:paraId="55850D95" w14:textId="77777777" w:rsidR="00A64F72" w:rsidRPr="00A231AE" w:rsidRDefault="00767B16">
      <w:pPr>
        <w:spacing w:line="240" w:lineRule="auto"/>
        <w:jc w:val="both"/>
        <w:rPr>
          <w:rFonts w:ascii="Times New Roman" w:eastAsia="Times New Roman" w:hAnsi="Times New Roman" w:cs="Times New Roman"/>
          <w:sz w:val="20"/>
          <w:szCs w:val="20"/>
          <w:lang w:val="en-US"/>
        </w:rPr>
      </w:pPr>
      <w:r>
        <w:rPr>
          <w:vertAlign w:val="superscript"/>
        </w:rPr>
        <w:footnoteRef/>
      </w:r>
      <w:r w:rsidRPr="00A231AE">
        <w:rPr>
          <w:rFonts w:ascii="Times New Roman" w:eastAsia="Times New Roman" w:hAnsi="Times New Roman" w:cs="Times New Roman"/>
          <w:sz w:val="20"/>
          <w:szCs w:val="20"/>
          <w:lang w:val="en-US"/>
        </w:rPr>
        <w:t xml:space="preserve">BRAZILIAN PUBLIC SECURITY FORUM. Brazilian Public Security Yearbook 2023: Available at: </w:t>
      </w:r>
      <w:hyperlink r:id="rId1">
        <w:r w:rsidRPr="00A231AE">
          <w:rPr>
            <w:rFonts w:ascii="Times New Roman" w:eastAsia="Times New Roman" w:hAnsi="Times New Roman" w:cs="Times New Roman"/>
            <w:color w:val="1155CC"/>
            <w:sz w:val="20"/>
            <w:szCs w:val="20"/>
            <w:u w:val="single"/>
            <w:lang w:val="en-US"/>
          </w:rPr>
          <w:t>https:</w:t>
        </w:r>
      </w:hyperlink>
      <w:r w:rsidRPr="00A231AE">
        <w:rPr>
          <w:rFonts w:ascii="Times New Roman" w:eastAsia="Times New Roman" w:hAnsi="Times New Roman" w:cs="Times New Roman"/>
          <w:sz w:val="20"/>
          <w:szCs w:val="20"/>
          <w:lang w:val="en-US"/>
        </w:rPr>
        <w:t>//apidspace.universilab.com.br/server/api/core/bitstreams/c0c6abca-36ce-4469-aff1-6cdba95bf197/content,https://forumseguranca.org.br/wp-content/uploads/2022/07/14-anuario-2022-violencia-sexual-infantil-os-dados-estao-aqui-para-quem-quiser-ver.pdf. Accessed on: April 14, 2024.</w:t>
      </w:r>
    </w:p>
  </w:footnote>
  <w:footnote w:id="3">
    <w:p w14:paraId="6C66F521"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CERQUEIRA, D.; BUENO, S. (coord.). Atlas of violence 2023. Brasília: Ipea; FBSP, 2023. DOI: https://dx.doi.org/10.38116/riatlasdaviolencia2023.</w:t>
      </w:r>
    </w:p>
  </w:footnote>
  <w:footnote w:id="4">
    <w:p w14:paraId="44D6D153"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Souto R, </w:t>
      </w:r>
      <w:r>
        <w:rPr>
          <w:rFonts w:ascii="Times New Roman" w:eastAsia="Times New Roman" w:hAnsi="Times New Roman" w:cs="Times New Roman"/>
          <w:i/>
          <w:sz w:val="20"/>
          <w:szCs w:val="20"/>
        </w:rPr>
        <w:t xml:space="preserve">et. al. </w:t>
      </w:r>
      <w:r w:rsidRPr="00A231AE">
        <w:rPr>
          <w:rFonts w:ascii="Times New Roman" w:eastAsia="Times New Roman" w:hAnsi="Times New Roman" w:cs="Times New Roman"/>
          <w:sz w:val="20"/>
          <w:szCs w:val="20"/>
          <w:lang w:val="en-US"/>
        </w:rPr>
        <w:t xml:space="preserve">Rape and pregnancy of girls under 13 in Brazil: characteristics and implications for gestational health, labor and birth. </w:t>
      </w:r>
      <w:r>
        <w:rPr>
          <w:rFonts w:ascii="Times New Roman" w:eastAsia="Times New Roman" w:hAnsi="Times New Roman" w:cs="Times New Roman"/>
          <w:sz w:val="20"/>
          <w:szCs w:val="20"/>
        </w:rPr>
        <w:t xml:space="preserve">Revista Ciência &amp; Saúde Coletiva, v. 22, n. 9, 2017, Available at: </w:t>
      </w:r>
      <w:hyperlink r:id="rId2">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 xml:space="preserve">//www.scielo.br/j/csc/a/VrQhZQswBHg5pTFQGJLjmWn/?format=pdf&amp;lang=pt. </w:t>
      </w:r>
    </w:p>
  </w:footnote>
  <w:footnote w:id="5">
    <w:p w14:paraId="00292B02" w14:textId="77777777" w:rsidR="00A64F72" w:rsidRPr="00A231AE" w:rsidRDefault="00767B16">
      <w:pPr>
        <w:spacing w:line="240" w:lineRule="auto"/>
        <w:jc w:val="both"/>
        <w:rPr>
          <w:rFonts w:ascii="Times New Roman" w:eastAsia="Times New Roman" w:hAnsi="Times New Roman" w:cs="Times New Roman"/>
          <w:sz w:val="20"/>
          <w:szCs w:val="20"/>
          <w:lang w:val="en-US"/>
        </w:rPr>
      </w:pPr>
      <w:r>
        <w:rPr>
          <w:vertAlign w:val="superscript"/>
        </w:rPr>
        <w:footnoteRef/>
      </w:r>
      <w:r w:rsidRPr="00A231AE">
        <w:rPr>
          <w:rFonts w:ascii="Times New Roman" w:eastAsia="Times New Roman" w:hAnsi="Times New Roman" w:cs="Times New Roman"/>
          <w:sz w:val="20"/>
          <w:szCs w:val="20"/>
          <w:lang w:val="en-US"/>
        </w:rPr>
        <w:t xml:space="preserve"> RIBEIRO, Fernando. Despite the reduction in teenage pregnancy rates, Brazil has around 19,000 births a year to mothers between the ages of 10 and 14. UNFPA Brazil. September 23, 2021. Available at: https://brazil.unfpa.org/pt-br/news/apesar-da-redu%C3%A7%C3%A3o-dos-%C3%ADndices-de-gravidez-na-adolesc%C3%AAncia-brasil-tem-cerca-de-19-mil</w:t>
      </w:r>
    </w:p>
  </w:footnote>
  <w:footnote w:id="6">
    <w:p w14:paraId="466394A3"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RIBEIRO, Fernando. Despite the reduction in teenage pregnancy rates, Brazil has around 19,000 births a year to mothers between the ages of 10 and 14. UNFPA Brazil. September 23, 2021. Available at: https://brazil.unfpa.org/pt-br/news/apesar-da-redu%C3%A7%C3%A3o-dos-%C3%ADndices-de-gravidez-na-adolesc%C3%AAncia-brasil-tem-cerca-de-19-mil</w:t>
      </w:r>
    </w:p>
  </w:footnote>
  <w:footnote w:id="7">
    <w:p w14:paraId="754A11CC" w14:textId="77777777" w:rsidR="00A64F72" w:rsidRDefault="00767B16">
      <w:pPr>
        <w:spacing w:line="240" w:lineRule="auto"/>
        <w:rPr>
          <w:sz w:val="20"/>
          <w:szCs w:val="20"/>
        </w:rPr>
      </w:pPr>
      <w:r>
        <w:rPr>
          <w:vertAlign w:val="superscript"/>
        </w:rPr>
        <w:footnoteRef/>
      </w:r>
      <w:r>
        <w:rPr>
          <w:sz w:val="20"/>
          <w:szCs w:val="20"/>
        </w:rPr>
        <w:t xml:space="preserve"> CLADEM 2016 Ninas Madres, Balance Regional Forced Childhood Embarrassment and Maternity in Latin America and the Caribbean. Available at https</w:t>
      </w:r>
      <w:hyperlink r:id="rId3">
        <w:r>
          <w:rPr>
            <w:color w:val="1155CC"/>
            <w:sz w:val="20"/>
            <w:szCs w:val="20"/>
            <w:u w:val="single"/>
          </w:rPr>
          <w:t>:</w:t>
        </w:r>
      </w:hyperlink>
      <w:r>
        <w:rPr>
          <w:sz w:val="20"/>
          <w:szCs w:val="20"/>
        </w:rPr>
        <w:t xml:space="preserve">/www.cladem.org/es/publicaciones/regionales  </w:t>
      </w:r>
    </w:p>
  </w:footnote>
  <w:footnote w:id="8">
    <w:p w14:paraId="3599AC81"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WORLD HEALTH ORGANIZATION. Teenage childbirth. 2022. Available at: </w:t>
      </w:r>
      <w:hyperlink r:id="rId4">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//www.who.int/es/news-room/fact-sheets/detail/adolescent-pregnancy. Accessed on 14.4.2024.</w:t>
      </w:r>
    </w:p>
  </w:footnote>
  <w:footnote w:id="9">
    <w:p w14:paraId="637BB231"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WORLD HEALTH ORGANIZATION. Teenage childbirth. 2022. Available at: </w:t>
      </w:r>
      <w:hyperlink r:id="rId5">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//www.who.int/es/news-room/fact-sheets/detail/adolescent-pregnancy. Accessed on 14.4.2024.</w:t>
      </w:r>
    </w:p>
  </w:footnote>
  <w:footnote w:id="10">
    <w:p w14:paraId="1B700022"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CUNHA, Natália; RODRIGUES, Marisa Cosenza. The development of psychosocial skills as a protective factor for child development.  Inter. Psicol. [online]. 2010, vol.1, n. 2, p. 235-248. Available at: http://pepsic.bvsalud.org/scielo.php?script=sci_arttext&amp;pid=S2236-64072010000200008</w:t>
      </w:r>
    </w:p>
  </w:footnote>
  <w:footnote w:id="11">
    <w:p w14:paraId="32C1D545"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CABRAL, Ana Lúcia Borges et al. Teenage pregnancy and its associated risks: a literature review. Brazilian Journal of Health Review, v. 3, n. 6, p.19647-19650. nov./dez.2020. Available at: </w:t>
      </w:r>
      <w:hyperlink r:id="rId6">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//www.brazilianjournals.com/ojs/index.php/BJHR/article/view/22248/17774. Accessed on 14.4.2024.</w:t>
      </w:r>
    </w:p>
  </w:footnote>
  <w:footnote w:id="12">
    <w:p w14:paraId="511F8564" w14:textId="77777777" w:rsidR="00A64F72" w:rsidRDefault="00767B16">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7">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color w:val="1155CC"/>
          <w:sz w:val="20"/>
          <w:szCs w:val="20"/>
          <w:u w:val="single"/>
        </w:rPr>
        <w:t>//cladem.org/investigacion/interrelacion-y-vinculos-entre-la-violencia-sexual-y-la-muerte-de-ninas-y-adolescentes-en-lac.</w:t>
      </w:r>
      <w:r>
        <w:rPr>
          <w:rFonts w:ascii="Times New Roman" w:eastAsia="Times New Roman" w:hAnsi="Times New Roman" w:cs="Times New Roman"/>
          <w:sz w:val="20"/>
          <w:szCs w:val="20"/>
        </w:rPr>
        <w:t xml:space="preserve"> Accessed on 14.4.2024.</w:t>
      </w:r>
    </w:p>
  </w:footnote>
  <w:footnote w:id="13">
    <w:p w14:paraId="414D388D"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 217-A. Having carnal conjunction or practicing another libidinous act with a minor under 14 (fourteen) years of age: (Included by Law No. 12.015, of 2009) Penalty - imprisonment, from 8 (eight) to 15 (fifteen) years. (Included by Law No. 12.015, of 2009). </w:t>
      </w:r>
    </w:p>
  </w:footnote>
  <w:footnote w:id="14">
    <w:p w14:paraId="4A7F504A"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WORLD HEALTH ORGANIZATION. Teenage childbirth. 2022. Available at: https://www.who.int/es/news-room/fact-sheets/detail/adolescent-pregnancy. Accessed on: September 21, 2022.</w:t>
      </w:r>
    </w:p>
  </w:footnote>
  <w:footnote w:id="15">
    <w:p w14:paraId="11380346"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8" w:anchor="abortolegal">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//abortonobrasil.info/#abortolegal. Accessed on: 14.4.2024.</w:t>
      </w:r>
    </w:p>
  </w:footnote>
  <w:footnote w:id="16">
    <w:p w14:paraId="2CE2467C"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9">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//www.intercept.com.br/2023/05/01/estupro-meninas-ate-14-anos-nao-tem-acesso-a-aborto/. Accessed on 14.4.2024.</w:t>
      </w:r>
    </w:p>
  </w:footnote>
  <w:footnote w:id="17">
    <w:p w14:paraId="7FB6C368"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w:t>
      </w:r>
      <w:hyperlink r:id="rId10">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//www.generonumero.media/reportagens/aborto-criancas-roraima/. Accessed on: 14.4.2024.</w:t>
      </w:r>
    </w:p>
  </w:footnote>
  <w:footnote w:id="18">
    <w:p w14:paraId="21736E1C"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11">
        <w:r>
          <w:rPr>
            <w:rFonts w:ascii="Times New Roman" w:eastAsia="Times New Roman" w:hAnsi="Times New Roman" w:cs="Times New Roman"/>
            <w:color w:val="1155CC"/>
            <w:sz w:val="20"/>
            <w:szCs w:val="20"/>
            <w:u w:val="single"/>
          </w:rPr>
          <w:t>http:</w:t>
        </w:r>
      </w:hyperlink>
      <w:r>
        <w:rPr>
          <w:rFonts w:ascii="Times New Roman" w:eastAsia="Times New Roman" w:hAnsi="Times New Roman" w:cs="Times New Roman"/>
          <w:sz w:val="20"/>
          <w:szCs w:val="20"/>
        </w:rPr>
        <w:t>//mapajusticareprodutiva.org.br/aborto-legal/dados-do-municipio-de-sao-paulo/. Accessed on 14.4.2024.</w:t>
      </w:r>
    </w:p>
  </w:footnote>
  <w:footnote w:id="19">
    <w:p w14:paraId="6453EF47"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12">
        <w:r>
          <w:rPr>
            <w:rFonts w:ascii="Times New Roman" w:eastAsia="Times New Roman" w:hAnsi="Times New Roman" w:cs="Times New Roman"/>
            <w:color w:val="1155CC"/>
            <w:sz w:val="20"/>
            <w:szCs w:val="20"/>
            <w:u w:val="single"/>
          </w:rPr>
          <w:t>http:</w:t>
        </w:r>
      </w:hyperlink>
      <w:r>
        <w:rPr>
          <w:rFonts w:ascii="Times New Roman" w:eastAsia="Times New Roman" w:hAnsi="Times New Roman" w:cs="Times New Roman"/>
          <w:sz w:val="20"/>
          <w:szCs w:val="20"/>
        </w:rPr>
        <w:t>//mapajusticareprodutiva.org.br/aborto-legal/dados-do-municipio-de-sao-paulo/. Accessed on 14.4.2024.</w:t>
      </w:r>
    </w:p>
  </w:footnote>
  <w:footnote w:id="20">
    <w:p w14:paraId="030F5F19"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13">
        <w:r>
          <w:rPr>
            <w:rFonts w:ascii="Times New Roman" w:eastAsia="Times New Roman" w:hAnsi="Times New Roman" w:cs="Times New Roman"/>
            <w:color w:val="1155CC"/>
            <w:sz w:val="20"/>
            <w:szCs w:val="20"/>
            <w:u w:val="single"/>
          </w:rPr>
          <w:t>http:</w:t>
        </w:r>
      </w:hyperlink>
      <w:r>
        <w:rPr>
          <w:rFonts w:ascii="Times New Roman" w:eastAsia="Times New Roman" w:hAnsi="Times New Roman" w:cs="Times New Roman"/>
          <w:sz w:val="20"/>
          <w:szCs w:val="20"/>
        </w:rPr>
        <w:t>//mapajusticareprodutiva.org.br/aborto-legal/dados-do-municipio-de-sao-paulo/. Accessed on 14.4.2024.</w:t>
      </w:r>
    </w:p>
  </w:footnote>
  <w:footnote w:id="21">
    <w:p w14:paraId="7FBFEF8F"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UNITED NATIONS ORGANIZATION. Declaration and Platform for Action of the Fourth World Conference on Women. Beijing, 1995. 112 p. Available at: </w:t>
      </w:r>
      <w:hyperlink r:id="rId14">
        <w:r>
          <w:rPr>
            <w:rFonts w:ascii="Times New Roman" w:eastAsia="Times New Roman" w:hAnsi="Times New Roman" w:cs="Times New Roman"/>
            <w:color w:val="1155CC"/>
            <w:sz w:val="20"/>
            <w:szCs w:val="20"/>
            <w:u w:val="single"/>
          </w:rPr>
          <w:t>&lt;http:</w:t>
        </w:r>
      </w:hyperlink>
      <w:r>
        <w:rPr>
          <w:rFonts w:ascii="Times New Roman" w:eastAsia="Times New Roman" w:hAnsi="Times New Roman" w:cs="Times New Roman"/>
          <w:sz w:val="20"/>
          <w:szCs w:val="20"/>
        </w:rPr>
        <w:t>//www.onumulheres.org.br/wp-content/uploads/2014/02/declaracao_pequim.pd&gt;. Accessed on September 20, 2020.</w:t>
      </w:r>
    </w:p>
  </w:footnote>
  <w:footnote w:id="22">
    <w:p w14:paraId="01564AF9"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&lt;https://www1.folha.uol.com.br/cotidiano/2020/09/medica-enviada-para-impedir-aborto-em-menina-capixaba-diz-que-missao-foi-institucional.shtml&gt;; https://www1.folha.uol.com.br/opiniao/2020/09/o-papel-de-damares.shtml?origin=folha. Accessed on 14.4.2024.</w:t>
      </w:r>
    </w:p>
  </w:footnote>
  <w:footnote w:id="23">
    <w:p w14:paraId="6686ECD3"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Available at: </w:t>
      </w:r>
      <w:hyperlink r:id="rId15">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//g1.globo.com/politica/noticia/2023/06/20/cnj-vai-apurar-conduta-de-juiza-que-tentou-impedir-menina-de-11-anos-estuprada-de-fazer-aborto.ghtml. Accessed on 14.4.2024.</w:t>
      </w:r>
    </w:p>
  </w:footnote>
  <w:footnote w:id="24">
    <w:p w14:paraId="61384799" w14:textId="77777777" w:rsidR="00A64F72" w:rsidRDefault="00767B16">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CORREIA, Mariama. BIANCHI, Paula. Guardianship Council tried to prevent abortion of victim of sexual violence in Pará. A Pública. March 17, 2023. Available at: https://apublica.org/2023/03/conselho-tutelar-tentou-impedir-aborto-de-vitima-de-violencia-sexual-no-para/. Accessed on 01 Apr. 2024.</w:t>
      </w:r>
    </w:p>
  </w:footnote>
  <w:footnote w:id="25">
    <w:p w14:paraId="471FA1EE" w14:textId="77777777" w:rsidR="00A64F72" w:rsidRDefault="00767B16">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PAIVA, Leticia.  Guardianship Council denounces doctor for legal abortion of 14-year-old girl. Jota. 26 Jul. 2022. Available at: https://www.jota.info/justica/conselho-tutelar-denunciou-medica-por-aborto-legal-em-menina-de-14-anos-26072022. Accessed on May 5, 2023.</w:t>
      </w:r>
    </w:p>
  </w:footnote>
  <w:footnote w:id="26">
    <w:p w14:paraId="23941023" w14:textId="77777777" w:rsidR="00A64F72" w:rsidRDefault="00767B16">
      <w:pPr>
        <w:spacing w:line="240" w:lineRule="auto"/>
        <w:rPr>
          <w:rFonts w:ascii="Roboto" w:eastAsia="Roboto" w:hAnsi="Roboto" w:cs="Roboto"/>
          <w:sz w:val="18"/>
          <w:szCs w:val="18"/>
        </w:rPr>
      </w:pPr>
      <w:r>
        <w:rPr>
          <w:vertAlign w:val="superscript"/>
        </w:rPr>
        <w:footnoteRef/>
      </w:r>
      <w:r>
        <w:rPr>
          <w:rFonts w:ascii="Roboto" w:eastAsia="Roboto" w:hAnsi="Roboto" w:cs="Roboto"/>
          <w:sz w:val="18"/>
          <w:szCs w:val="18"/>
        </w:rPr>
        <w:t xml:space="preserve"> Available at: </w:t>
      </w:r>
      <w:hyperlink r:id="rId16">
        <w:r>
          <w:rPr>
            <w:rFonts w:ascii="Roboto" w:eastAsia="Roboto" w:hAnsi="Roboto" w:cs="Roboto"/>
            <w:color w:val="1155CC"/>
            <w:sz w:val="18"/>
            <w:szCs w:val="18"/>
            <w:u w:val="single"/>
          </w:rPr>
          <w:t>https:</w:t>
        </w:r>
      </w:hyperlink>
      <w:r>
        <w:rPr>
          <w:rFonts w:ascii="Roboto" w:eastAsia="Roboto" w:hAnsi="Roboto" w:cs="Roboto"/>
          <w:sz w:val="18"/>
          <w:szCs w:val="18"/>
        </w:rPr>
        <w:t>//revistamarieclaire.globo.com/direitos-reprodutivos/noticia/2024/01/prefeitura-de-sp-prontuarios-sigilosos-pacientes-aborto-legal-hospital-vila-nova-cachoeirinha.ghtml. Accessed on 25.2.2024.</w:t>
      </w:r>
    </w:p>
  </w:footnote>
  <w:footnote w:id="27">
    <w:p w14:paraId="023BDF0B" w14:textId="77777777" w:rsidR="00A64F72" w:rsidRDefault="00767B16">
      <w:pPr>
        <w:spacing w:line="240" w:lineRule="auto"/>
        <w:jc w:val="both"/>
        <w:rPr>
          <w:rFonts w:ascii="Roboto" w:eastAsia="Roboto" w:hAnsi="Roboto" w:cs="Roboto"/>
          <w:sz w:val="18"/>
          <w:szCs w:val="18"/>
        </w:rPr>
      </w:pPr>
      <w:r>
        <w:rPr>
          <w:vertAlign w:val="superscript"/>
        </w:rPr>
        <w:footnoteRef/>
      </w:r>
      <w:r>
        <w:rPr>
          <w:rFonts w:ascii="Roboto" w:eastAsia="Roboto" w:hAnsi="Roboto" w:cs="Roboto"/>
          <w:sz w:val="18"/>
          <w:szCs w:val="18"/>
        </w:rPr>
        <w:t xml:space="preserve"> For example, the Brazilian Federation of Gynecology and Obstetrics (Febrasgo), the Regional Council of Psychology of São Paulo and reference organizations on sexual and reproductive rights, available, respectively, at: </w:t>
      </w:r>
      <w:hyperlink r:id="rId17">
        <w:r>
          <w:rPr>
            <w:rFonts w:ascii="Roboto" w:eastAsia="Roboto" w:hAnsi="Roboto" w:cs="Roboto"/>
            <w:color w:val="1155CC"/>
            <w:sz w:val="18"/>
            <w:szCs w:val="18"/>
            <w:u w:val="single"/>
          </w:rPr>
          <w:t>https:</w:t>
        </w:r>
      </w:hyperlink>
      <w:r>
        <w:rPr>
          <w:rFonts w:ascii="Roboto" w:eastAsia="Roboto" w:hAnsi="Roboto" w:cs="Roboto"/>
          <w:sz w:val="18"/>
          <w:szCs w:val="18"/>
        </w:rPr>
        <w:t xml:space="preserve">//www.febrasgo.org.br/pt/noticias/item/1779-nota-de-repudio-pela-suspensao-do-servico-de-atencao-as-vitimas-de-violencia-sexual-e-de-aborto-previsto-em-lei-do-hospital-municipal-e-maternidade-escola-de-vila-nova-de; </w:t>
      </w:r>
      <w:hyperlink r:id="rId18">
        <w:r>
          <w:rPr>
            <w:rFonts w:ascii="Roboto" w:eastAsia="Roboto" w:hAnsi="Roboto" w:cs="Roboto"/>
            <w:color w:val="1155CC"/>
            <w:sz w:val="18"/>
            <w:szCs w:val="18"/>
            <w:u w:val="single"/>
          </w:rPr>
          <w:t xml:space="preserve">https://www.crpsp.org/noticia/view/3166/em-defesa-da-vida-das-mulheres-e-pelo-direito-ao-aborto-legal-e-seguro; </w:t>
        </w:r>
      </w:hyperlink>
      <w:hyperlink r:id="rId19">
        <w:r>
          <w:rPr>
            <w:rFonts w:ascii="Roboto" w:eastAsia="Roboto" w:hAnsi="Roboto" w:cs="Roboto"/>
            <w:color w:val="1155CC"/>
            <w:sz w:val="18"/>
            <w:szCs w:val="18"/>
            <w:u w:val="single"/>
          </w:rPr>
          <w:t xml:space="preserve">https://metoobrasil.org.br/artigos/aborto-legal-me-too-brasil-alerta-para-a-violacao-dos-direitos-das-mulheres-em-sp; </w:t>
        </w:r>
      </w:hyperlink>
      <w:hyperlink r:id="rId20">
        <w:r>
          <w:rPr>
            <w:rFonts w:ascii="Roboto" w:eastAsia="Roboto" w:hAnsi="Roboto" w:cs="Roboto"/>
            <w:color w:val="1155CC"/>
            <w:sz w:val="18"/>
            <w:szCs w:val="18"/>
            <w:u w:val="single"/>
          </w:rPr>
          <w:t>https://www.cfemea.org.br/index.php/pt/radar-feminista-lista/direito-ao-aborto/8553-so-1-8-das-cidades-brasileiras-tem-unidades-de-referencia-para-servico-de-aborto-legal</w:t>
        </w:r>
      </w:hyperlink>
      <w:r>
        <w:rPr>
          <w:rFonts w:ascii="Roboto" w:eastAsia="Roboto" w:hAnsi="Roboto" w:cs="Roboto"/>
          <w:sz w:val="18"/>
          <w:szCs w:val="18"/>
        </w:rPr>
        <w:t xml:space="preserve">; https://anis.org.br/prefeitura-de-sp-fecha-servico-de-aborto-legal-em-hospital-referencia-no-procedimento/. </w:t>
      </w:r>
    </w:p>
  </w:footnote>
  <w:footnote w:id="28">
    <w:p w14:paraId="4DE851AE" w14:textId="77777777" w:rsidR="00A64F72" w:rsidRDefault="00767B16">
      <w:pPr>
        <w:spacing w:line="240" w:lineRule="auto"/>
        <w:rPr>
          <w:rFonts w:ascii="Roboto" w:eastAsia="Roboto" w:hAnsi="Roboto" w:cs="Roboto"/>
          <w:sz w:val="18"/>
          <w:szCs w:val="18"/>
        </w:rPr>
      </w:pPr>
      <w:r>
        <w:rPr>
          <w:vertAlign w:val="superscript"/>
        </w:rPr>
        <w:footnoteRef/>
      </w:r>
      <w:r>
        <w:rPr>
          <w:rFonts w:ascii="Roboto" w:eastAsia="Roboto" w:hAnsi="Roboto" w:cs="Roboto"/>
          <w:sz w:val="18"/>
          <w:szCs w:val="18"/>
        </w:rPr>
        <w:t xml:space="preserve"> Available at: </w:t>
      </w:r>
      <w:hyperlink r:id="rId21">
        <w:r>
          <w:rPr>
            <w:rFonts w:ascii="Roboto" w:eastAsia="Roboto" w:hAnsi="Roboto" w:cs="Roboto"/>
            <w:color w:val="1155CC"/>
            <w:sz w:val="18"/>
            <w:szCs w:val="18"/>
            <w:u w:val="single"/>
          </w:rPr>
          <w:t>https:</w:t>
        </w:r>
      </w:hyperlink>
      <w:r>
        <w:rPr>
          <w:rFonts w:ascii="Roboto" w:eastAsia="Roboto" w:hAnsi="Roboto" w:cs="Roboto"/>
          <w:sz w:val="18"/>
          <w:szCs w:val="18"/>
        </w:rPr>
        <w:t xml:space="preserve">//revistamarieclaire.globo.com/google/amp/direitos-reprodutivos/noticia/2023/12/prefeitura-de-sp-fecha-servico-de-aborto-legal-em-hospital-referencia-ha-30-anos-no-procedimento.ghtml. </w:t>
      </w:r>
    </w:p>
  </w:footnote>
  <w:footnote w:id="29">
    <w:p w14:paraId="64927241" w14:textId="77777777" w:rsidR="00A64F72" w:rsidRDefault="00767B16">
      <w:pPr>
        <w:spacing w:line="240" w:lineRule="auto"/>
        <w:rPr>
          <w:rFonts w:ascii="Roboto" w:eastAsia="Roboto" w:hAnsi="Roboto" w:cs="Roboto"/>
          <w:sz w:val="18"/>
          <w:szCs w:val="18"/>
        </w:rPr>
      </w:pPr>
      <w:r>
        <w:rPr>
          <w:vertAlign w:val="superscript"/>
        </w:rPr>
        <w:footnoteRef/>
      </w:r>
      <w:r>
        <w:rPr>
          <w:rFonts w:ascii="Roboto" w:eastAsia="Roboto" w:hAnsi="Roboto" w:cs="Roboto"/>
          <w:sz w:val="18"/>
          <w:szCs w:val="18"/>
        </w:rPr>
        <w:t xml:space="preserve"> Available at: </w:t>
      </w:r>
      <w:hyperlink r:id="rId22">
        <w:r>
          <w:rPr>
            <w:rFonts w:ascii="Roboto" w:eastAsia="Roboto" w:hAnsi="Roboto" w:cs="Roboto"/>
            <w:color w:val="1155CC"/>
            <w:sz w:val="18"/>
            <w:szCs w:val="18"/>
            <w:u w:val="single"/>
          </w:rPr>
          <w:t>https:</w:t>
        </w:r>
      </w:hyperlink>
      <w:r>
        <w:rPr>
          <w:rFonts w:ascii="Roboto" w:eastAsia="Roboto" w:hAnsi="Roboto" w:cs="Roboto"/>
          <w:sz w:val="18"/>
          <w:szCs w:val="18"/>
        </w:rPr>
        <w:t xml:space="preserve">//www.ncbi.nlm.nih.gov/pmc/articles/PMC6722962/pdf/medicina-55-00474.pdf. Accessed on 24.2.2024. </w:t>
      </w:r>
    </w:p>
  </w:footnote>
  <w:footnote w:id="30">
    <w:p w14:paraId="613603A0" w14:textId="77777777" w:rsidR="00A64F72" w:rsidRDefault="00767B16">
      <w:pPr>
        <w:spacing w:line="240" w:lineRule="auto"/>
        <w:rPr>
          <w:rFonts w:ascii="Roboto" w:eastAsia="Roboto" w:hAnsi="Roboto" w:cs="Roboto"/>
          <w:sz w:val="18"/>
          <w:szCs w:val="18"/>
        </w:rPr>
      </w:pPr>
      <w:r>
        <w:rPr>
          <w:vertAlign w:val="superscript"/>
        </w:rPr>
        <w:footnoteRef/>
      </w:r>
      <w:r>
        <w:rPr>
          <w:rFonts w:ascii="Roboto" w:eastAsia="Roboto" w:hAnsi="Roboto" w:cs="Roboto"/>
          <w:sz w:val="18"/>
          <w:szCs w:val="18"/>
        </w:rPr>
        <w:t xml:space="preserve"> Available at: </w:t>
      </w:r>
      <w:hyperlink r:id="rId23">
        <w:r>
          <w:rPr>
            <w:rFonts w:ascii="Roboto" w:eastAsia="Roboto" w:hAnsi="Roboto" w:cs="Roboto"/>
            <w:color w:val="1155CC"/>
            <w:sz w:val="18"/>
            <w:szCs w:val="18"/>
            <w:u w:val="single"/>
          </w:rPr>
          <w:t>https:</w:t>
        </w:r>
      </w:hyperlink>
      <w:r>
        <w:rPr>
          <w:rFonts w:ascii="Roboto" w:eastAsia="Roboto" w:hAnsi="Roboto" w:cs="Roboto"/>
          <w:sz w:val="18"/>
          <w:szCs w:val="18"/>
        </w:rPr>
        <w:t xml:space="preserve">//www.generonumero.media/reportagens/aborto-america-latina/. Accessed on 24.2.2024. </w:t>
      </w:r>
    </w:p>
  </w:footnote>
  <w:footnote w:id="31">
    <w:p w14:paraId="7035ED0F" w14:textId="77777777" w:rsidR="00A64F72" w:rsidRDefault="00767B16">
      <w:pPr>
        <w:spacing w:line="240" w:lineRule="auto"/>
        <w:rPr>
          <w:rFonts w:ascii="Roboto" w:eastAsia="Roboto" w:hAnsi="Roboto" w:cs="Roboto"/>
          <w:sz w:val="18"/>
          <w:szCs w:val="18"/>
        </w:rPr>
      </w:pPr>
      <w:r>
        <w:rPr>
          <w:vertAlign w:val="superscript"/>
        </w:rPr>
        <w:footnoteRef/>
      </w:r>
      <w:r>
        <w:rPr>
          <w:sz w:val="18"/>
          <w:szCs w:val="18"/>
        </w:rPr>
        <w:t xml:space="preserve"> Report of the UN Special Rapporteur on the Right to Health, UN Doc. A/66/254, August 3, 2011. Available at </w:t>
      </w:r>
      <w:r>
        <w:rPr>
          <w:rFonts w:ascii="Roboto" w:eastAsia="Roboto" w:hAnsi="Roboto" w:cs="Roboto"/>
          <w:sz w:val="18"/>
          <w:szCs w:val="18"/>
        </w:rPr>
        <w:t>https://documents.un.org/doc/undoc/gen/n11/443/58/pdf/n1144358.pdf?token=aXnimbrV2AoXlyL9Da&amp;fe=true. Accessed on 26.2.2024.</w:t>
      </w:r>
    </w:p>
    <w:p w14:paraId="5FD453C8" w14:textId="77777777" w:rsidR="00A64F72" w:rsidRDefault="00A64F72">
      <w:pPr>
        <w:spacing w:line="240" w:lineRule="auto"/>
        <w:rPr>
          <w:rFonts w:ascii="PT Sans Narrow" w:eastAsia="PT Sans Narrow" w:hAnsi="PT Sans Narrow" w:cs="PT Sans Narrow"/>
          <w:sz w:val="20"/>
          <w:szCs w:val="20"/>
        </w:rPr>
      </w:pPr>
    </w:p>
  </w:footnote>
  <w:footnote w:id="32">
    <w:p w14:paraId="6F9EF8BE"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 217-A. Having carnal conjunction or practicing another libidinous act with a minor under 14 (fourteen) years of age: (Included by Law No. 12.015, of 2009) Penalty - imprisonment, from 8 (eight) to 15 (fifteen) years. (Included by Law No. 12.015, of 2009). </w:t>
      </w:r>
    </w:p>
  </w:footnote>
  <w:footnote w:id="33">
    <w:p w14:paraId="40B9901A" w14:textId="77777777" w:rsidR="00A64F72" w:rsidRDefault="00767B1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Available at: </w:t>
      </w:r>
      <w:hyperlink r:id="rId24">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//www.cnnbrasil.com.br/nacional/stj-afasta-tese-de-estupro-em-relacao-entre-homem-de-20-anos-e-menina-de-12/. Accessed on 14.4.2024.</w:t>
      </w:r>
    </w:p>
  </w:footnote>
  <w:footnote w:id="34">
    <w:p w14:paraId="29DA11AF" w14:textId="77777777" w:rsidR="00A64F72" w:rsidRDefault="00767B16">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Available at: </w:t>
      </w:r>
      <w:hyperlink r:id="rId25">
        <w:r>
          <w:rPr>
            <w:rFonts w:ascii="Times New Roman" w:eastAsia="Times New Roman" w:hAnsi="Times New Roman" w:cs="Times New Roman"/>
            <w:color w:val="1155CC"/>
            <w:sz w:val="20"/>
            <w:szCs w:val="20"/>
            <w:u w:val="single"/>
          </w:rPr>
          <w:t>https:</w:t>
        </w:r>
      </w:hyperlink>
      <w:r>
        <w:rPr>
          <w:rFonts w:ascii="Times New Roman" w:eastAsia="Times New Roman" w:hAnsi="Times New Roman" w:cs="Times New Roman"/>
          <w:sz w:val="20"/>
          <w:szCs w:val="20"/>
        </w:rPr>
        <w:t>//www.febrasgo.org.br/pt/noticias/item/1845-nota-da-febrasgo-sobre-a-resolucao-do-cfm-2378. Accessed on: 8.5.2024.</w:t>
      </w:r>
    </w:p>
  </w:footnote>
  <w:footnote w:id="35">
    <w:p w14:paraId="2DE5310E" w14:textId="77777777" w:rsidR="00A64F72" w:rsidRDefault="00767B16">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COLLUCCI, Claudia. Veto on legal abortion procedure already affects care for raped girls. Folha de S. Paulo. 05 Apr, 2024. Available at: https://www1.folha.uol.com.br/equilibrioesaude/2024/04/veto-a-procedimento-de-aborto-legal-ja-afeta-atendimentos-a-meninas-estupradas.shtml?utm_source=whatsapp&amp;utm_medium=social&amp;utm_campaign=compwa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64F5B" w14:textId="41B162C5" w:rsidR="00A64F72" w:rsidRDefault="00767B16">
    <w:pPr>
      <w:jc w:val="center"/>
    </w:pPr>
    <w:r>
      <w:rPr>
        <w:noProof/>
      </w:rPr>
      <w:drawing>
        <wp:inline distT="114300" distB="114300" distL="114300" distR="114300" wp14:anchorId="2C28EB6A" wp14:editId="38DC0ADD">
          <wp:extent cx="884328" cy="747713"/>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884328" cy="747713"/>
                  </a:xfrm>
                  <a:prstGeom prst="rect">
                    <a:avLst/>
                  </a:prstGeom>
                  <a:ln/>
                </pic:spPr>
              </pic:pic>
            </a:graphicData>
          </a:graphic>
        </wp:inline>
      </w:drawing>
    </w:r>
    <w:r>
      <w:rPr>
        <w:noProof/>
      </w:rPr>
      <w:drawing>
        <wp:inline distT="114300" distB="114300" distL="114300" distR="114300" wp14:anchorId="6C999374" wp14:editId="5ABABACE">
          <wp:extent cx="1165112" cy="652463"/>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165112" cy="652463"/>
                  </a:xfrm>
                  <a:prstGeom prst="rect">
                    <a:avLst/>
                  </a:prstGeom>
                  <a:ln/>
                </pic:spPr>
              </pic:pic>
            </a:graphicData>
          </a:graphic>
        </wp:inline>
      </w:drawing>
    </w:r>
    <w:r>
      <w:rPr>
        <w:noProof/>
      </w:rPr>
      <w:drawing>
        <wp:inline distT="114300" distB="114300" distL="114300" distR="114300" wp14:anchorId="489D5FCE" wp14:editId="58713C0C">
          <wp:extent cx="552291" cy="700088"/>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552291" cy="700088"/>
                  </a:xfrm>
                  <a:prstGeom prst="rect">
                    <a:avLst/>
                  </a:prstGeom>
                  <a:ln/>
                </pic:spPr>
              </pic:pic>
            </a:graphicData>
          </a:graphic>
        </wp:inline>
      </w:drawing>
    </w:r>
    <w:r>
      <w:rPr>
        <w:noProof/>
      </w:rPr>
      <w:drawing>
        <wp:inline distT="114300" distB="114300" distL="114300" distR="114300" wp14:anchorId="63171EFE" wp14:editId="4D26E58D">
          <wp:extent cx="1211475" cy="617812"/>
          <wp:effectExtent l="0" t="0" r="0" b="0"/>
          <wp:docPr id="2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
                  <a:srcRect/>
                  <a:stretch>
                    <a:fillRect/>
                  </a:stretch>
                </pic:blipFill>
                <pic:spPr>
                  <a:xfrm>
                    <a:off x="0" y="0"/>
                    <a:ext cx="1211475" cy="617812"/>
                  </a:xfrm>
                  <a:prstGeom prst="rect">
                    <a:avLst/>
                  </a:prstGeom>
                  <a:ln/>
                </pic:spPr>
              </pic:pic>
            </a:graphicData>
          </a:graphic>
        </wp:inline>
      </w:drawing>
    </w:r>
    <w:r>
      <w:rPr>
        <w:rFonts w:ascii="Calibri" w:eastAsia="Calibri" w:hAnsi="Calibri" w:cs="Calibri"/>
        <w:noProof/>
      </w:rPr>
      <w:drawing>
        <wp:inline distT="114300" distB="114300" distL="114300" distR="114300" wp14:anchorId="4C9B6E91" wp14:editId="01ED96CF">
          <wp:extent cx="1125442" cy="484462"/>
          <wp:effectExtent l="0" t="0" r="0" b="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1125442" cy="484462"/>
                  </a:xfrm>
                  <a:prstGeom prst="rect">
                    <a:avLst/>
                  </a:prstGeom>
                  <a:ln/>
                </pic:spPr>
              </pic:pic>
            </a:graphicData>
          </a:graphic>
        </wp:inline>
      </w:drawing>
    </w:r>
    <w:r>
      <w:rPr>
        <w:rFonts w:ascii="Calibri" w:eastAsia="Calibri" w:hAnsi="Calibri" w:cs="Calibri"/>
        <w:noProof/>
      </w:rPr>
      <w:drawing>
        <wp:inline distT="114300" distB="114300" distL="114300" distR="114300" wp14:anchorId="12BF266B" wp14:editId="4A319896">
          <wp:extent cx="951232" cy="699993"/>
          <wp:effectExtent l="0" t="0" r="0" b="0"/>
          <wp:docPr id="2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951232" cy="699993"/>
                  </a:xfrm>
                  <a:prstGeom prst="rect">
                    <a:avLst/>
                  </a:prstGeom>
                  <a:ln/>
                </pic:spPr>
              </pic:pic>
            </a:graphicData>
          </a:graphic>
        </wp:inline>
      </w:drawing>
    </w:r>
    <w:r>
      <w:rPr>
        <w:rFonts w:ascii="Calibri" w:eastAsia="Calibri" w:hAnsi="Calibri" w:cs="Calibri"/>
        <w:noProof/>
      </w:rPr>
      <w:drawing>
        <wp:inline distT="114300" distB="114300" distL="114300" distR="114300" wp14:anchorId="6BB7886F" wp14:editId="7AF9F146">
          <wp:extent cx="765897" cy="760687"/>
          <wp:effectExtent l="0" t="0" r="0" b="0"/>
          <wp:docPr id="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765897" cy="760687"/>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61A9FA4C" wp14:editId="50F416CA">
          <wp:extent cx="1446351" cy="604838"/>
          <wp:effectExtent l="0" t="0" r="0" b="0"/>
          <wp:docPr id="2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1446351" cy="604838"/>
                  </a:xfrm>
                  <a:prstGeom prst="rect">
                    <a:avLst/>
                  </a:prstGeom>
                  <a:ln/>
                </pic:spPr>
              </pic:pic>
            </a:graphicData>
          </a:graphic>
        </wp:inline>
      </w:drawing>
    </w:r>
    <w:r>
      <w:rPr>
        <w:noProof/>
      </w:rPr>
      <w:drawing>
        <wp:inline distT="114300" distB="114300" distL="114300" distR="114300" wp14:anchorId="3F1B33C7" wp14:editId="119E1E74">
          <wp:extent cx="479425" cy="719138"/>
          <wp:effectExtent l="0" t="0" r="0" b="0"/>
          <wp:docPr id="2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a:srcRect/>
                  <a:stretch>
                    <a:fillRect/>
                  </a:stretch>
                </pic:blipFill>
                <pic:spPr>
                  <a:xfrm>
                    <a:off x="0" y="0"/>
                    <a:ext cx="479425" cy="719138"/>
                  </a:xfrm>
                  <a:prstGeom prst="rect">
                    <a:avLst/>
                  </a:prstGeom>
                  <a:ln/>
                </pic:spPr>
              </pic:pic>
            </a:graphicData>
          </a:graphic>
        </wp:inline>
      </w:drawing>
    </w:r>
  </w:p>
  <w:p w14:paraId="5ECF06D6" w14:textId="77777777" w:rsidR="00A64F72" w:rsidRDefault="00767B16">
    <w:pPr>
      <w:jc w:val="center"/>
    </w:pPr>
    <w:r>
      <w:rPr>
        <w:noProof/>
      </w:rPr>
      <w:drawing>
        <wp:inline distT="114300" distB="114300" distL="114300" distR="114300" wp14:anchorId="7A0314B7" wp14:editId="633EA2BF">
          <wp:extent cx="793913" cy="992391"/>
          <wp:effectExtent l="0" t="0" r="0" b="0"/>
          <wp:docPr id="2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793913" cy="992391"/>
                  </a:xfrm>
                  <a:prstGeom prst="rect">
                    <a:avLst/>
                  </a:prstGeom>
                  <a:ln/>
                </pic:spPr>
              </pic:pic>
            </a:graphicData>
          </a:graphic>
        </wp:inline>
      </w:drawing>
    </w:r>
    <w:r>
      <w:rPr>
        <w:noProof/>
      </w:rPr>
      <w:drawing>
        <wp:inline distT="114300" distB="114300" distL="114300" distR="114300" wp14:anchorId="74F6535F" wp14:editId="28E9697C">
          <wp:extent cx="936788" cy="968014"/>
          <wp:effectExtent l="0" t="0" r="0" b="0"/>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936788" cy="968014"/>
                  </a:xfrm>
                  <a:prstGeom prst="rect">
                    <a:avLst/>
                  </a:prstGeom>
                  <a:ln/>
                </pic:spPr>
              </pic:pic>
            </a:graphicData>
          </a:graphic>
        </wp:inline>
      </w:drawing>
    </w:r>
    <w:r>
      <w:rPr>
        <w:noProof/>
      </w:rPr>
      <w:drawing>
        <wp:inline distT="114300" distB="114300" distL="114300" distR="114300" wp14:anchorId="1D808B32" wp14:editId="6768CC23">
          <wp:extent cx="849788" cy="432481"/>
          <wp:effectExtent l="0" t="0" r="0" b="0"/>
          <wp:docPr id="3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849788" cy="432481"/>
                  </a:xfrm>
                  <a:prstGeom prst="rect">
                    <a:avLst/>
                  </a:prstGeom>
                  <a:ln/>
                </pic:spPr>
              </pic:pic>
            </a:graphicData>
          </a:graphic>
        </wp:inline>
      </w:drawing>
    </w:r>
    <w:r>
      <w:rPr>
        <w:noProof/>
      </w:rPr>
      <w:drawing>
        <wp:inline distT="114300" distB="114300" distL="114300" distR="114300" wp14:anchorId="3A6C45CA" wp14:editId="66BE1F83">
          <wp:extent cx="899912" cy="902656"/>
          <wp:effectExtent l="0" t="0" r="0" b="0"/>
          <wp:docPr id="3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899912" cy="902656"/>
                  </a:xfrm>
                  <a:prstGeom prst="rect">
                    <a:avLst/>
                  </a:prstGeom>
                  <a:ln/>
                </pic:spPr>
              </pic:pic>
            </a:graphicData>
          </a:graphic>
        </wp:inline>
      </w:drawing>
    </w:r>
    <w:r>
      <w:rPr>
        <w:noProof/>
      </w:rPr>
      <w:drawing>
        <wp:inline distT="114300" distB="114300" distL="114300" distR="114300" wp14:anchorId="26CBC938" wp14:editId="72F34102">
          <wp:extent cx="1539712" cy="548274"/>
          <wp:effectExtent l="0" t="0" r="0" b="0"/>
          <wp:docPr id="3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1539712" cy="548274"/>
                  </a:xfrm>
                  <a:prstGeom prst="rect">
                    <a:avLst/>
                  </a:prstGeom>
                  <a:ln/>
                </pic:spPr>
              </pic:pic>
            </a:graphicData>
          </a:graphic>
        </wp:inline>
      </w:drawing>
    </w:r>
  </w:p>
  <w:p w14:paraId="47462319" w14:textId="77777777" w:rsidR="00A64F72" w:rsidRDefault="00A64F72">
    <w:pPr>
      <w:jc w:val="center"/>
      <w:rPr>
        <w:rFonts w:ascii="Times New Roman" w:eastAsia="Times New Roman" w:hAnsi="Times New Roman" w:cs="Times New Roman"/>
        <w:b/>
        <w:sz w:val="24"/>
        <w:szCs w:val="24"/>
      </w:rPr>
    </w:pPr>
  </w:p>
  <w:p w14:paraId="68BD4A60" w14:textId="77777777" w:rsidR="00A64F72" w:rsidRDefault="00A64F7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B53403"/>
    <w:multiLevelType w:val="multilevel"/>
    <w:tmpl w:val="373C54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D4615CC"/>
    <w:multiLevelType w:val="multilevel"/>
    <w:tmpl w:val="CD2E07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EEF72B1"/>
    <w:multiLevelType w:val="multilevel"/>
    <w:tmpl w:val="A740E55E"/>
    <w:lvl w:ilvl="0">
      <w:start w:val="1"/>
      <w:numFmt w:val="decimal"/>
      <w:lvlText w:val="%1."/>
      <w:lvlJc w:val="left"/>
      <w:pPr>
        <w:ind w:left="0" w:firstLine="0"/>
      </w:pPr>
      <w:rPr>
        <w:rFonts w:ascii="Times New Roman" w:eastAsia="Times New Roman" w:hAnsi="Times New Roman" w:cs="Times New Roman"/>
        <w:b w:val="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F72"/>
    <w:rsid w:val="00062381"/>
    <w:rsid w:val="003E5812"/>
    <w:rsid w:val="006D69D2"/>
    <w:rsid w:val="007008EB"/>
    <w:rsid w:val="00767B16"/>
    <w:rsid w:val="00A231AE"/>
    <w:rsid w:val="00A64F72"/>
    <w:rsid w:val="00E324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C141B"/>
  <w15:docId w15:val="{D752AF0C-14FF-B542-9B11-077D4807B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after="200"/>
      <w:outlineLvl w:val="0"/>
    </w:pPr>
    <w:rPr>
      <w:rFonts w:ascii="Calibri" w:eastAsia="Calibri" w:hAnsi="Calibri" w:cs="Calibri"/>
      <w:b/>
      <w:sz w:val="24"/>
      <w:szCs w:val="24"/>
    </w:rPr>
  </w:style>
  <w:style w:type="paragraph" w:styleId="Ttulo2">
    <w:name w:val="heading 2"/>
    <w:basedOn w:val="Normal"/>
    <w:next w:val="Normal"/>
    <w:uiPriority w:val="9"/>
    <w:semiHidden/>
    <w:unhideWhenUsed/>
    <w:qFormat/>
    <w:pPr>
      <w:keepNext/>
      <w:keepLines/>
      <w:spacing w:after="200"/>
      <w:outlineLvl w:val="1"/>
    </w:pPr>
    <w:rPr>
      <w:rFonts w:ascii="Calibri" w:eastAsia="Calibri" w:hAnsi="Calibri" w:cs="Calibri"/>
      <w:b/>
      <w:sz w:val="24"/>
      <w:szCs w:val="24"/>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3E5812"/>
    <w:pPr>
      <w:tabs>
        <w:tab w:val="center" w:pos="4252"/>
        <w:tab w:val="right" w:pos="8504"/>
      </w:tabs>
      <w:spacing w:line="240" w:lineRule="auto"/>
    </w:pPr>
  </w:style>
  <w:style w:type="character" w:customStyle="1" w:styleId="CabealhoChar">
    <w:name w:val="Cabeçalho Char"/>
    <w:basedOn w:val="Fontepargpadro"/>
    <w:link w:val="Cabealho"/>
    <w:uiPriority w:val="99"/>
    <w:rsid w:val="003E5812"/>
  </w:style>
  <w:style w:type="paragraph" w:styleId="Rodap">
    <w:name w:val="footer"/>
    <w:basedOn w:val="Normal"/>
    <w:link w:val="RodapChar"/>
    <w:uiPriority w:val="99"/>
    <w:unhideWhenUsed/>
    <w:rsid w:val="003E5812"/>
    <w:pPr>
      <w:tabs>
        <w:tab w:val="center" w:pos="4252"/>
        <w:tab w:val="right" w:pos="8504"/>
      </w:tabs>
      <w:spacing w:line="240" w:lineRule="auto"/>
    </w:pPr>
  </w:style>
  <w:style w:type="character" w:customStyle="1" w:styleId="RodapChar">
    <w:name w:val="Rodapé Char"/>
    <w:basedOn w:val="Fontepargpadro"/>
    <w:link w:val="Rodap"/>
    <w:uiPriority w:val="99"/>
    <w:rsid w:val="003E5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sxpolitics.org/ptb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as.curitiba.pr.gov.br/conteudo.aspx?idf=861" TargetMode="Externa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abortonobrasil.info/" TargetMode="External"/><Relationship Id="rId13" Type="http://schemas.openxmlformats.org/officeDocument/2006/relationships/hyperlink" Target="http://mapajusticareprodutiva.org.br/aborto-legal/dados-do-municipio-de-sao-paulo/" TargetMode="External"/><Relationship Id="rId18" Type="http://schemas.openxmlformats.org/officeDocument/2006/relationships/hyperlink" Target="https://www.crpsp.org/noticia/view/3166/em-defesa-da-vida-das-mulheres-e-pelo-direito-ao-aborto-legal-e-seguro" TargetMode="External"/><Relationship Id="rId3" Type="http://schemas.openxmlformats.org/officeDocument/2006/relationships/hyperlink" Target="http://www.cladem.org/es/publicaciones/regionales" TargetMode="External"/><Relationship Id="rId21" Type="http://schemas.openxmlformats.org/officeDocument/2006/relationships/hyperlink" Target="https://revistamarieclaire.globo.com/google/amp/direitos-reprodutivos/noticia/2023/12/prefeitura-de-sp-fecha-servico-de-aborto-legal-em-hospital-referencia-ha-30-anos-no-procedimento.ghtml" TargetMode="External"/><Relationship Id="rId7" Type="http://schemas.openxmlformats.org/officeDocument/2006/relationships/hyperlink" Target="https://cladem.org/investigacion/interrelacion-y-vinculos-entre-la-violencia-sexual-y-la-muerte-de-ninas-y-adolescentes-en-lac" TargetMode="External"/><Relationship Id="rId12" Type="http://schemas.openxmlformats.org/officeDocument/2006/relationships/hyperlink" Target="http://mapajusticareprodutiva.org.br/aborto-legal/dados-do-municipio-de-sao-paulo/" TargetMode="External"/><Relationship Id="rId17" Type="http://schemas.openxmlformats.org/officeDocument/2006/relationships/hyperlink" Target="https://www.febrasgo.org.br/pt/noticias/item/1779-nota-de-repudio-pela-suspensao-do-servico-de-atencao-as-vitimas-de-violencia-sexual-e-de-aborto-previsto-em-lei-do-hospital-municipal-e-maternidade-escola-de-vila-nova-de" TargetMode="External"/><Relationship Id="rId25" Type="http://schemas.openxmlformats.org/officeDocument/2006/relationships/hyperlink" Target="https://www.febrasgo.org.br/pt/noticias/item/1845-nota-da-febrasgo-sobre-a-resolucao-do-cfm-2378" TargetMode="External"/><Relationship Id="rId2" Type="http://schemas.openxmlformats.org/officeDocument/2006/relationships/hyperlink" Target="https://www.scielo.br/j/csc/a/VrQhZQswBHg5pTFQGJLjmWn/?format=pdf&amp;lang=pt" TargetMode="External"/><Relationship Id="rId16" Type="http://schemas.openxmlformats.org/officeDocument/2006/relationships/hyperlink" Target="https://revistamarieclaire.globo.com/direitos-reprodutivos/noticia/2024/01/prefeitura-de-sp-prontuarios-sigilosos-pacientes-aborto-legal-hospital-vila-nova-cachoeirinha.ghtml" TargetMode="External"/><Relationship Id="rId20" Type="http://schemas.openxmlformats.org/officeDocument/2006/relationships/hyperlink" Target="https://www.cfemea.org.br/index.php/pt/radar-feminista-lista/direito-ao-aborto/8553-so-1-8-das-cidades-brasileiras-tem-unidades-de-referencia-para-servico-de-aborto-legal" TargetMode="External"/><Relationship Id="rId1" Type="http://schemas.openxmlformats.org/officeDocument/2006/relationships/hyperlink" Target="https://apidspace.universilab.com.br/server/api/core/bitstreams/c0c6abca-36ce-4469-aff1-6cdba95bf197/content" TargetMode="External"/><Relationship Id="rId6" Type="http://schemas.openxmlformats.org/officeDocument/2006/relationships/hyperlink" Target="https://www.brazilianjournals.com/ojs/index.php/BJHR/article/view/22248/17774" TargetMode="External"/><Relationship Id="rId11" Type="http://schemas.openxmlformats.org/officeDocument/2006/relationships/hyperlink" Target="http://mapajusticareprodutiva.org.br/aborto-legal/dados-do-municipio-de-sao-paulo/" TargetMode="External"/><Relationship Id="rId24" Type="http://schemas.openxmlformats.org/officeDocument/2006/relationships/hyperlink" Target="https://www.cnnbrasil.com.br/nacional/stj-afasta-tese-de-estupro-em-relacao-entre-homem-de-20-anos-e-menina-de-12/" TargetMode="External"/><Relationship Id="rId5" Type="http://schemas.openxmlformats.org/officeDocument/2006/relationships/hyperlink" Target="https://www.who.int/es/news-room/fact-sheets/detail/adolescent-pregnancy" TargetMode="External"/><Relationship Id="rId15" Type="http://schemas.openxmlformats.org/officeDocument/2006/relationships/hyperlink" Target="https://g1.globo.com/politica/noticia/2023/06/20/cnj-vai-apurar-conduta-de-juiza-que-tentou-impedir-menina-de-11-anos-estuprada-de-fazer-aborto.ghtml" TargetMode="External"/><Relationship Id="rId23" Type="http://schemas.openxmlformats.org/officeDocument/2006/relationships/hyperlink" Target="https://www.generonumero.media/reportagens/aborto-america-latina/" TargetMode="External"/><Relationship Id="rId10" Type="http://schemas.openxmlformats.org/officeDocument/2006/relationships/hyperlink" Target="https://www.generonumero.media/reportagens/aborto-criancas-roraima/" TargetMode="External"/><Relationship Id="rId19" Type="http://schemas.openxmlformats.org/officeDocument/2006/relationships/hyperlink" Target="https://metoobrasil.org.br/artigos/aborto-legal-me-too-brasil-alerta-para-a-violacao-dos-direitos-das-mulheres-em-sp" TargetMode="External"/><Relationship Id="rId4" Type="http://schemas.openxmlformats.org/officeDocument/2006/relationships/hyperlink" Target="https://www.who.int/es/news-room/fact-sheets/detail/adolescent-pregnancy" TargetMode="External"/><Relationship Id="rId9" Type="http://schemas.openxmlformats.org/officeDocument/2006/relationships/hyperlink" Target="https://www.intercept.com.br/2023/05/01/estupro-meninas-ate-14-anos-nao-tem-acesso-a-aborto/" TargetMode="External"/><Relationship Id="rId14" Type="http://schemas.openxmlformats.org/officeDocument/2006/relationships/hyperlink" Target="http://www.onumulheres.org.br/wp-content/uploads/2014/02/declaracao_pequim.pdf" TargetMode="External"/><Relationship Id="rId22" Type="http://schemas.openxmlformats.org/officeDocument/2006/relationships/hyperlink" Target="https://www.ncbi.nlm.nih.gov/pmc/articles/PMC6722962/pdf/medicina-55-00474.pdf"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XQpqvSQ/LLVZbuMyS7matRpC+w==">CgMxLjA4AHIhMS1zR29kcWFwdjZEQTN1U3YzdzNMVkVIUDRQMjV5dVRD</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BDAD83C-6200-4298-90ED-5EB8C620AD06}"/>
</file>

<file path=customXml/itemProps3.xml><?xml version="1.0" encoding="utf-8"?>
<ds:datastoreItem xmlns:ds="http://schemas.openxmlformats.org/officeDocument/2006/customXml" ds:itemID="{4F98B1AF-1409-4567-A232-5C86D2DE6757}"/>
</file>

<file path=docProps/app.xml><?xml version="1.0" encoding="utf-8"?>
<Properties xmlns="http://schemas.openxmlformats.org/officeDocument/2006/extended-properties" xmlns:vt="http://schemas.openxmlformats.org/officeDocument/2006/docPropsVTypes">
  <Template>Normal</Template>
  <TotalTime>4</TotalTime>
  <Pages>27</Pages>
  <Words>6063</Words>
  <Characters>32741</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Rongo</dc:creator>
  <cp:lastModifiedBy>Marina Rongo</cp:lastModifiedBy>
  <cp:revision>3</cp:revision>
  <dcterms:created xsi:type="dcterms:W3CDTF">2024-04-15T06:43:00Z</dcterms:created>
  <dcterms:modified xsi:type="dcterms:W3CDTF">2024-04-16T03:32:00Z</dcterms:modified>
</cp:coreProperties>
</file>