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1F1" w:rsidRPr="0071291D" w:rsidRDefault="005541F1" w:rsidP="0071291D">
      <w:pPr>
        <w:pStyle w:val="H23G"/>
        <w:jc w:val="both"/>
        <w:rPr>
          <w:rFonts w:asciiTheme="minorHAnsi" w:hAnsiTheme="minorHAnsi" w:cstheme="minorHAnsi"/>
        </w:rPr>
      </w:pPr>
    </w:p>
    <w:p w:rsidR="005541F1" w:rsidRPr="0071291D" w:rsidRDefault="005541F1" w:rsidP="0071291D">
      <w:pPr>
        <w:pStyle w:val="H23G"/>
        <w:jc w:val="center"/>
        <w:rPr>
          <w:rFonts w:asciiTheme="minorHAnsi" w:hAnsiTheme="minorHAnsi" w:cstheme="minorHAnsi"/>
          <w:noProof/>
          <w:lang w:val="es-PE" w:eastAsia="es-PE"/>
        </w:rPr>
      </w:pPr>
    </w:p>
    <w:p w:rsidR="00B5042A" w:rsidRPr="0071291D" w:rsidRDefault="00B5042A" w:rsidP="0071291D">
      <w:pPr>
        <w:jc w:val="center"/>
        <w:rPr>
          <w:rFonts w:cstheme="minorHAnsi"/>
          <w:lang w:eastAsia="es-PE"/>
        </w:rPr>
      </w:pPr>
      <w:r w:rsidRPr="0071291D">
        <w:rPr>
          <w:rFonts w:cstheme="minorHAnsi"/>
          <w:noProof/>
          <w:lang w:eastAsia="es-PE"/>
        </w:rPr>
        <w:drawing>
          <wp:inline distT="0" distB="0" distL="0" distR="0" wp14:anchorId="7ADDD9DD" wp14:editId="2BFBE939">
            <wp:extent cx="1072800" cy="10728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jpg"/>
                    <pic:cNvPicPr/>
                  </pic:nvPicPr>
                  <pic:blipFill>
                    <a:blip r:embed="rId8">
                      <a:extLst>
                        <a:ext uri="{28A0092B-C50C-407E-A947-70E740481C1C}">
                          <a14:useLocalDpi xmlns:a14="http://schemas.microsoft.com/office/drawing/2010/main" val="0"/>
                        </a:ext>
                      </a:extLst>
                    </a:blip>
                    <a:stretch>
                      <a:fillRect/>
                    </a:stretch>
                  </pic:blipFill>
                  <pic:spPr>
                    <a:xfrm>
                      <a:off x="0" y="0"/>
                      <a:ext cx="1072800" cy="1072800"/>
                    </a:xfrm>
                    <a:prstGeom prst="rect">
                      <a:avLst/>
                    </a:prstGeom>
                  </pic:spPr>
                </pic:pic>
              </a:graphicData>
            </a:graphic>
          </wp:inline>
        </w:drawing>
      </w:r>
    </w:p>
    <w:p w:rsidR="00B5042A" w:rsidRPr="0071291D" w:rsidRDefault="00B5042A" w:rsidP="0071291D">
      <w:pPr>
        <w:jc w:val="center"/>
        <w:rPr>
          <w:rFonts w:cstheme="minorHAnsi"/>
          <w:lang w:eastAsia="es-PE"/>
        </w:rPr>
      </w:pPr>
    </w:p>
    <w:p w:rsidR="00B5042A" w:rsidRPr="0071291D" w:rsidRDefault="00B5042A" w:rsidP="0071291D">
      <w:pPr>
        <w:jc w:val="center"/>
        <w:rPr>
          <w:rFonts w:cstheme="minorHAnsi"/>
          <w:lang w:eastAsia="es-PE"/>
        </w:rPr>
      </w:pPr>
    </w:p>
    <w:p w:rsidR="005541F1" w:rsidRPr="0071291D" w:rsidRDefault="006B4C58" w:rsidP="0071291D">
      <w:pPr>
        <w:pStyle w:val="H23G"/>
        <w:ind w:left="0" w:firstLine="0"/>
        <w:jc w:val="center"/>
        <w:rPr>
          <w:rFonts w:asciiTheme="minorHAnsi" w:hAnsiTheme="minorHAnsi" w:cstheme="minorHAnsi"/>
          <w:color w:val="222222"/>
          <w:sz w:val="22"/>
          <w:szCs w:val="22"/>
          <w:shd w:val="clear" w:color="auto" w:fill="FFFFFF"/>
        </w:rPr>
      </w:pPr>
      <w:r w:rsidRPr="0071291D">
        <w:rPr>
          <w:rFonts w:asciiTheme="minorHAnsi" w:hAnsiTheme="minorHAnsi" w:cstheme="minorHAnsi"/>
          <w:color w:val="222222"/>
          <w:sz w:val="22"/>
          <w:szCs w:val="22"/>
          <w:shd w:val="clear" w:color="auto" w:fill="FFFFFF"/>
        </w:rPr>
        <w:t>*</w:t>
      </w:r>
    </w:p>
    <w:p w:rsidR="00E43270" w:rsidRPr="0071291D" w:rsidRDefault="00E43270" w:rsidP="0071291D">
      <w:pPr>
        <w:jc w:val="center"/>
        <w:rPr>
          <w:rFonts w:cstheme="minorHAnsi"/>
          <w:lang w:val="es-ES" w:eastAsia="es-ES"/>
        </w:rPr>
      </w:pPr>
    </w:p>
    <w:p w:rsidR="00B5042A" w:rsidRPr="0071291D" w:rsidRDefault="00B5042A" w:rsidP="0071291D">
      <w:pPr>
        <w:pStyle w:val="H23G"/>
        <w:jc w:val="center"/>
        <w:rPr>
          <w:rFonts w:asciiTheme="minorHAnsi" w:hAnsiTheme="minorHAnsi" w:cstheme="minorHAnsi"/>
          <w:sz w:val="36"/>
        </w:rPr>
      </w:pPr>
      <w:r w:rsidRPr="0071291D">
        <w:rPr>
          <w:rFonts w:asciiTheme="minorHAnsi" w:hAnsiTheme="minorHAnsi" w:cstheme="minorHAnsi"/>
          <w:sz w:val="36"/>
        </w:rPr>
        <w:t xml:space="preserve">Uso de la fuerza y </w:t>
      </w:r>
      <w:r w:rsidR="005541F1" w:rsidRPr="0071291D">
        <w:rPr>
          <w:rFonts w:asciiTheme="minorHAnsi" w:hAnsiTheme="minorHAnsi" w:cstheme="minorHAnsi"/>
          <w:sz w:val="36"/>
        </w:rPr>
        <w:t>de</w:t>
      </w:r>
      <w:r w:rsidRPr="0071291D">
        <w:rPr>
          <w:rFonts w:asciiTheme="minorHAnsi" w:hAnsiTheme="minorHAnsi" w:cstheme="minorHAnsi"/>
          <w:sz w:val="36"/>
        </w:rPr>
        <w:t>fensores indígenas</w:t>
      </w:r>
    </w:p>
    <w:p w:rsidR="005541F1" w:rsidRPr="0071291D" w:rsidRDefault="005541F1" w:rsidP="0071291D">
      <w:pPr>
        <w:pStyle w:val="H23G"/>
        <w:jc w:val="center"/>
        <w:rPr>
          <w:rFonts w:asciiTheme="minorHAnsi" w:hAnsiTheme="minorHAnsi" w:cstheme="minorHAnsi"/>
          <w:sz w:val="36"/>
        </w:rPr>
      </w:pPr>
      <w:r w:rsidRPr="0071291D">
        <w:rPr>
          <w:rFonts w:asciiTheme="minorHAnsi" w:hAnsiTheme="minorHAnsi" w:cstheme="minorHAnsi"/>
          <w:sz w:val="36"/>
        </w:rPr>
        <w:t>en el Perú</w:t>
      </w:r>
    </w:p>
    <w:p w:rsidR="005541F1" w:rsidRPr="0071291D" w:rsidRDefault="005541F1" w:rsidP="0071291D">
      <w:pPr>
        <w:jc w:val="center"/>
        <w:rPr>
          <w:rFonts w:cstheme="minorHAnsi"/>
          <w:sz w:val="40"/>
          <w:lang w:val="es-ES" w:eastAsia="es-ES"/>
        </w:rPr>
      </w:pPr>
    </w:p>
    <w:p w:rsidR="005541F1" w:rsidRPr="0071291D" w:rsidRDefault="005541F1" w:rsidP="0071291D">
      <w:pPr>
        <w:jc w:val="center"/>
        <w:rPr>
          <w:rFonts w:cstheme="minorHAnsi"/>
          <w:lang w:val="es-ES" w:eastAsia="es-ES"/>
        </w:rPr>
      </w:pPr>
    </w:p>
    <w:p w:rsidR="005541F1" w:rsidRPr="0071291D" w:rsidRDefault="005541F1" w:rsidP="0071291D">
      <w:pPr>
        <w:jc w:val="center"/>
        <w:rPr>
          <w:rFonts w:cstheme="minorHAnsi"/>
          <w:sz w:val="28"/>
          <w:szCs w:val="28"/>
          <w:lang w:val="es-ES" w:eastAsia="es-ES"/>
        </w:rPr>
      </w:pPr>
      <w:r w:rsidRPr="0071291D">
        <w:rPr>
          <w:rFonts w:cstheme="minorHAnsi"/>
          <w:sz w:val="28"/>
          <w:szCs w:val="28"/>
          <w:lang w:val="es-ES" w:eastAsia="es-ES"/>
        </w:rPr>
        <w:t xml:space="preserve">Informe alternativo </w:t>
      </w:r>
      <w:r w:rsidR="00B5042A" w:rsidRPr="0071291D">
        <w:rPr>
          <w:rFonts w:cstheme="minorHAnsi"/>
          <w:sz w:val="28"/>
          <w:szCs w:val="28"/>
          <w:lang w:val="es-ES" w:eastAsia="es-ES"/>
        </w:rPr>
        <w:t xml:space="preserve"> a los informes periódicos 22° y 23° presentados por el Perú </w:t>
      </w:r>
      <w:r w:rsidRPr="0071291D">
        <w:rPr>
          <w:rFonts w:cstheme="minorHAnsi"/>
          <w:sz w:val="28"/>
          <w:szCs w:val="28"/>
          <w:lang w:val="es-ES" w:eastAsia="es-ES"/>
        </w:rPr>
        <w:t>con ocasión del 95° periodo de   sesiones del CERD</w:t>
      </w:r>
      <w:r w:rsidR="0071291D">
        <w:rPr>
          <w:rFonts w:cstheme="minorHAnsi"/>
          <w:sz w:val="28"/>
          <w:szCs w:val="28"/>
          <w:lang w:val="es-ES" w:eastAsia="es-ES"/>
        </w:rPr>
        <w:t>.</w:t>
      </w:r>
    </w:p>
    <w:p w:rsidR="005541F1" w:rsidRPr="0071291D" w:rsidRDefault="005541F1" w:rsidP="0071291D">
      <w:pPr>
        <w:jc w:val="center"/>
        <w:rPr>
          <w:rFonts w:cstheme="minorHAnsi"/>
          <w:sz w:val="28"/>
          <w:szCs w:val="28"/>
          <w:lang w:val="es-ES" w:eastAsia="es-ES"/>
        </w:rPr>
      </w:pPr>
    </w:p>
    <w:p w:rsidR="00A90DF0" w:rsidRDefault="00A90DF0" w:rsidP="0071291D">
      <w:pPr>
        <w:jc w:val="both"/>
        <w:rPr>
          <w:rFonts w:cstheme="minorHAnsi"/>
          <w:lang w:val="es-ES" w:eastAsia="es-ES"/>
        </w:rPr>
      </w:pPr>
    </w:p>
    <w:p w:rsidR="00EE556C" w:rsidRPr="0071291D" w:rsidRDefault="00EE556C" w:rsidP="0071291D">
      <w:pPr>
        <w:jc w:val="both"/>
        <w:rPr>
          <w:rFonts w:cstheme="minorHAnsi"/>
          <w:lang w:val="es-ES" w:eastAsia="es-ES"/>
        </w:rPr>
      </w:pPr>
    </w:p>
    <w:p w:rsidR="00A90DF0" w:rsidRPr="0071291D" w:rsidRDefault="00A90DF0" w:rsidP="0071291D">
      <w:pPr>
        <w:pBdr>
          <w:bottom w:val="single" w:sz="6" w:space="1" w:color="auto"/>
        </w:pBdr>
        <w:jc w:val="both"/>
        <w:rPr>
          <w:rFonts w:cstheme="minorHAnsi"/>
          <w:lang w:val="es-ES" w:eastAsia="es-ES"/>
        </w:rPr>
      </w:pPr>
    </w:p>
    <w:p w:rsidR="00A90DF0" w:rsidRPr="0071291D" w:rsidRDefault="00A90DF0" w:rsidP="0071291D">
      <w:pPr>
        <w:jc w:val="both"/>
        <w:rPr>
          <w:rFonts w:cstheme="minorHAnsi"/>
          <w:i/>
          <w:color w:val="222222"/>
          <w:sz w:val="20"/>
          <w:szCs w:val="20"/>
          <w:shd w:val="clear" w:color="auto" w:fill="FFFFFF"/>
        </w:rPr>
      </w:pPr>
      <w:r w:rsidRPr="0071291D">
        <w:rPr>
          <w:rFonts w:cstheme="minorHAnsi"/>
          <w:color w:val="222222"/>
          <w:sz w:val="20"/>
          <w:szCs w:val="20"/>
          <w:shd w:val="clear" w:color="auto" w:fill="FFFFFF"/>
        </w:rPr>
        <w:t>*</w:t>
      </w:r>
      <w:r w:rsidRPr="0071291D">
        <w:rPr>
          <w:rFonts w:cstheme="minorHAnsi"/>
          <w:color w:val="222222"/>
          <w:sz w:val="20"/>
          <w:szCs w:val="20"/>
          <w:shd w:val="clear" w:color="auto" w:fill="FFFFFF"/>
        </w:rPr>
        <w:t>La Coordinadora Nacional de Derechos Humanos es una plataforma integrada por 81 organizaciones de la sociedad civil peruana.</w:t>
      </w:r>
      <w:r w:rsidR="003625CF" w:rsidRPr="0071291D">
        <w:rPr>
          <w:rFonts w:cstheme="minorHAnsi"/>
          <w:color w:val="222222"/>
          <w:sz w:val="20"/>
          <w:szCs w:val="20"/>
          <w:shd w:val="clear" w:color="auto" w:fill="FFFFFF"/>
        </w:rPr>
        <w:t xml:space="preserve"> Se encuentra </w:t>
      </w:r>
      <w:r w:rsidR="003625CF" w:rsidRPr="0071291D">
        <w:rPr>
          <w:rFonts w:cstheme="minorHAnsi"/>
          <w:color w:val="222222"/>
          <w:sz w:val="20"/>
          <w:szCs w:val="20"/>
          <w:shd w:val="clear" w:color="auto" w:fill="FFFFFF"/>
        </w:rPr>
        <w:t xml:space="preserve">registrada ante el ECOSOC como </w:t>
      </w:r>
      <w:r w:rsidR="003625CF" w:rsidRPr="0071291D">
        <w:rPr>
          <w:rFonts w:cstheme="minorHAnsi"/>
          <w:i/>
          <w:color w:val="222222"/>
          <w:sz w:val="20"/>
          <w:szCs w:val="20"/>
          <w:shd w:val="clear" w:color="auto" w:fill="FFFFFF"/>
        </w:rPr>
        <w:t>National Coordinator for Human Rights</w:t>
      </w:r>
      <w:r w:rsidR="003625CF" w:rsidRPr="0071291D">
        <w:rPr>
          <w:rFonts w:cstheme="minorHAnsi"/>
          <w:i/>
          <w:color w:val="222222"/>
          <w:sz w:val="20"/>
          <w:szCs w:val="20"/>
          <w:shd w:val="clear" w:color="auto" w:fill="FFFFFF"/>
        </w:rPr>
        <w:t>.</w:t>
      </w:r>
    </w:p>
    <w:p w:rsidR="00E43270" w:rsidRPr="0071291D" w:rsidRDefault="00E43270" w:rsidP="0071291D">
      <w:pPr>
        <w:pStyle w:val="H23G"/>
        <w:ind w:left="0" w:firstLine="0"/>
        <w:jc w:val="both"/>
        <w:rPr>
          <w:rFonts w:asciiTheme="minorHAnsi" w:hAnsiTheme="minorHAnsi" w:cstheme="minorHAnsi"/>
          <w:color w:val="222222"/>
          <w:shd w:val="clear" w:color="auto" w:fill="FFFFFF"/>
        </w:rPr>
      </w:pPr>
      <w:r w:rsidRPr="0071291D">
        <w:rPr>
          <w:rFonts w:asciiTheme="minorHAnsi" w:hAnsiTheme="minorHAnsi" w:cstheme="minorHAnsi"/>
          <w:color w:val="222222"/>
          <w:shd w:val="clear" w:color="auto" w:fill="FFFFFF"/>
        </w:rPr>
        <w:t>**</w:t>
      </w:r>
      <w:r w:rsidRPr="0071291D">
        <w:rPr>
          <w:rFonts w:asciiTheme="minorHAnsi" w:hAnsiTheme="minorHAnsi" w:cstheme="minorHAnsi"/>
          <w:color w:val="222222"/>
          <w:shd w:val="clear" w:color="auto" w:fill="FFFFFF"/>
        </w:rPr>
        <w:t xml:space="preserve"> </w:t>
      </w:r>
      <w:r w:rsidRPr="0071291D">
        <w:rPr>
          <w:rFonts w:asciiTheme="minorHAnsi" w:hAnsiTheme="minorHAnsi" w:cstheme="minorHAnsi"/>
          <w:b w:val="0"/>
          <w:color w:val="222222"/>
          <w:shd w:val="clear" w:color="auto" w:fill="FFFFFF"/>
        </w:rPr>
        <w:t>Se analizan los temas abordados por el Estado peruano en</w:t>
      </w:r>
      <w:r w:rsidRPr="0071291D">
        <w:rPr>
          <w:rFonts w:asciiTheme="minorHAnsi" w:hAnsiTheme="minorHAnsi" w:cstheme="minorHAnsi"/>
          <w:color w:val="222222"/>
          <w:shd w:val="clear" w:color="auto" w:fill="FFFFFF"/>
        </w:rPr>
        <w:t xml:space="preserve"> </w:t>
      </w:r>
      <w:r w:rsidRPr="0071291D">
        <w:rPr>
          <w:rFonts w:asciiTheme="minorHAnsi" w:hAnsiTheme="minorHAnsi" w:cstheme="minorHAnsi"/>
          <w:b w:val="0"/>
          <w:color w:val="222222"/>
          <w:shd w:val="clear" w:color="auto" w:fill="FFFFFF"/>
        </w:rPr>
        <w:t>CERD/C/PER/22-23 p. 150- 157</w:t>
      </w:r>
      <w:r w:rsidR="0071291D">
        <w:rPr>
          <w:rFonts w:asciiTheme="minorHAnsi" w:hAnsiTheme="minorHAnsi" w:cstheme="minorHAnsi"/>
          <w:b w:val="0"/>
          <w:color w:val="222222"/>
          <w:shd w:val="clear" w:color="auto" w:fill="FFFFFF"/>
        </w:rPr>
        <w:t>,</w:t>
      </w:r>
      <w:r w:rsidR="00E869BC">
        <w:rPr>
          <w:rFonts w:asciiTheme="minorHAnsi" w:hAnsiTheme="minorHAnsi" w:cstheme="minorHAnsi"/>
          <w:b w:val="0"/>
          <w:color w:val="222222"/>
          <w:shd w:val="clear" w:color="auto" w:fill="FFFFFF"/>
        </w:rPr>
        <w:t xml:space="preserve"> </w:t>
      </w:r>
      <w:r w:rsidR="0071291D">
        <w:rPr>
          <w:rFonts w:asciiTheme="minorHAnsi" w:hAnsiTheme="minorHAnsi" w:cstheme="minorHAnsi"/>
          <w:b w:val="0"/>
          <w:color w:val="222222"/>
          <w:shd w:val="clear" w:color="auto" w:fill="FFFFFF"/>
        </w:rPr>
        <w:t xml:space="preserve">las </w:t>
      </w:r>
      <w:r w:rsidRPr="0071291D">
        <w:rPr>
          <w:rFonts w:asciiTheme="minorHAnsi" w:hAnsiTheme="minorHAnsi" w:cstheme="minorHAnsi"/>
          <w:b w:val="0"/>
          <w:color w:val="222222"/>
          <w:shd w:val="clear" w:color="auto" w:fill="FFFFFF"/>
        </w:rPr>
        <w:t xml:space="preserve">recomendaciones del Comité contenidas en CERD/C/PER/CO/18-21 p. 23, y las cuestiones </w:t>
      </w:r>
      <w:r w:rsidR="00407834">
        <w:rPr>
          <w:rFonts w:asciiTheme="minorHAnsi" w:hAnsiTheme="minorHAnsi" w:cstheme="minorHAnsi"/>
          <w:b w:val="0"/>
          <w:color w:val="222222"/>
          <w:shd w:val="clear" w:color="auto" w:fill="FFFFFF"/>
        </w:rPr>
        <w:t xml:space="preserve"> </w:t>
      </w:r>
      <w:r w:rsidRPr="0071291D">
        <w:rPr>
          <w:rFonts w:asciiTheme="minorHAnsi" w:hAnsiTheme="minorHAnsi" w:cstheme="minorHAnsi"/>
          <w:b w:val="0"/>
          <w:color w:val="222222"/>
          <w:shd w:val="clear" w:color="auto" w:fill="FFFFFF"/>
        </w:rPr>
        <w:t xml:space="preserve">mencionadas en </w:t>
      </w:r>
      <w:r w:rsidRPr="0071291D">
        <w:rPr>
          <w:rFonts w:asciiTheme="minorHAnsi" w:hAnsiTheme="minorHAnsi" w:cstheme="minorHAnsi"/>
          <w:b w:val="0"/>
        </w:rPr>
        <w:t>CERD/C/PER/Q/22-23</w:t>
      </w:r>
      <w:r w:rsidRPr="0071291D">
        <w:rPr>
          <w:rFonts w:asciiTheme="minorHAnsi" w:hAnsiTheme="minorHAnsi" w:cstheme="minorHAnsi"/>
          <w:b w:val="0"/>
        </w:rPr>
        <w:t xml:space="preserve"> p.</w:t>
      </w:r>
      <w:r w:rsidR="0071291D" w:rsidRPr="0071291D">
        <w:rPr>
          <w:rFonts w:asciiTheme="minorHAnsi" w:hAnsiTheme="minorHAnsi" w:cstheme="minorHAnsi"/>
          <w:b w:val="0"/>
        </w:rPr>
        <w:t>16 y 21.</w:t>
      </w:r>
    </w:p>
    <w:p w:rsidR="00E43270" w:rsidRDefault="00E43270" w:rsidP="0071291D">
      <w:pPr>
        <w:pStyle w:val="H23G"/>
        <w:ind w:left="0" w:firstLine="0"/>
        <w:jc w:val="both"/>
        <w:rPr>
          <w:rFonts w:asciiTheme="minorHAnsi" w:hAnsiTheme="minorHAnsi" w:cstheme="minorHAnsi"/>
          <w:color w:val="222222"/>
          <w:sz w:val="22"/>
          <w:szCs w:val="22"/>
          <w:shd w:val="clear" w:color="auto" w:fill="FFFFFF"/>
        </w:rPr>
      </w:pPr>
    </w:p>
    <w:p w:rsidR="00EE556C" w:rsidRPr="00EE556C" w:rsidRDefault="00EE556C" w:rsidP="00EE556C">
      <w:pPr>
        <w:rPr>
          <w:lang w:val="es-ES" w:eastAsia="es-ES"/>
        </w:rPr>
      </w:pPr>
    </w:p>
    <w:p w:rsidR="00A54E27" w:rsidRPr="0071291D" w:rsidRDefault="0071291D" w:rsidP="00EE556C">
      <w:pPr>
        <w:pStyle w:val="H23G"/>
        <w:ind w:left="0" w:firstLine="0"/>
        <w:jc w:val="both"/>
        <w:rPr>
          <w:rFonts w:asciiTheme="minorHAnsi" w:hAnsiTheme="minorHAnsi" w:cstheme="minorHAnsi"/>
          <w:sz w:val="22"/>
          <w:szCs w:val="22"/>
        </w:rPr>
      </w:pPr>
      <w:r w:rsidRPr="0071291D">
        <w:rPr>
          <w:rFonts w:asciiTheme="minorHAnsi" w:hAnsiTheme="minorHAnsi" w:cstheme="minorHAnsi"/>
          <w:sz w:val="22"/>
          <w:szCs w:val="22"/>
        </w:rPr>
        <w:lastRenderedPageBreak/>
        <w:t>Uso arbitrario de la fuerza</w:t>
      </w:r>
      <w:r w:rsidR="00A54E27" w:rsidRPr="0071291D">
        <w:rPr>
          <w:rFonts w:asciiTheme="minorHAnsi" w:hAnsiTheme="minorHAnsi" w:cstheme="minorHAnsi"/>
          <w:sz w:val="22"/>
          <w:szCs w:val="22"/>
        </w:rPr>
        <w:t xml:space="preserve">       </w:t>
      </w:r>
    </w:p>
    <w:p w:rsidR="0071291D" w:rsidRPr="00EE556C" w:rsidRDefault="00EE556C" w:rsidP="00EE556C">
      <w:pPr>
        <w:jc w:val="both"/>
        <w:rPr>
          <w:rFonts w:cstheme="minorHAnsi"/>
          <w:lang w:val="es-ES" w:eastAsia="es-ES"/>
        </w:rPr>
      </w:pPr>
      <w:r>
        <w:rPr>
          <w:rFonts w:cstheme="minorHAnsi"/>
          <w:lang w:val="es-ES" w:eastAsia="es-ES"/>
        </w:rPr>
        <w:t xml:space="preserve">1. </w:t>
      </w:r>
      <w:r w:rsidR="00FA0947" w:rsidRPr="00EE556C">
        <w:rPr>
          <w:rFonts w:cstheme="minorHAnsi"/>
          <w:lang w:val="es-ES" w:eastAsia="es-ES"/>
        </w:rPr>
        <w:t xml:space="preserve">Desde </w:t>
      </w:r>
      <w:r w:rsidR="00407834" w:rsidRPr="00EE556C">
        <w:rPr>
          <w:rFonts w:cstheme="minorHAnsi"/>
          <w:lang w:val="es-ES" w:eastAsia="es-ES"/>
        </w:rPr>
        <w:t xml:space="preserve">que en agosto del 2015 se promulgó </w:t>
      </w:r>
      <w:r w:rsidR="00FA0947" w:rsidRPr="00EE556C">
        <w:rPr>
          <w:rFonts w:cstheme="minorHAnsi"/>
          <w:lang w:val="es-ES" w:eastAsia="es-ES"/>
        </w:rPr>
        <w:t>el Decreto Legislativo 1186 que regula el uso de la fuerza por parte de la  PNP</w:t>
      </w:r>
      <w:r w:rsidR="00407834" w:rsidRPr="00EE556C">
        <w:rPr>
          <w:rFonts w:cstheme="minorHAnsi"/>
          <w:lang w:val="es-ES" w:eastAsia="es-ES"/>
        </w:rPr>
        <w:t>,</w:t>
      </w:r>
      <w:r w:rsidR="00FA0947" w:rsidRPr="00EE556C">
        <w:rPr>
          <w:rFonts w:cstheme="minorHAnsi"/>
          <w:lang w:val="es-ES" w:eastAsia="es-ES"/>
        </w:rPr>
        <w:t xml:space="preserve"> </w:t>
      </w:r>
      <w:r w:rsidR="00407834" w:rsidRPr="00EE556C">
        <w:rPr>
          <w:rFonts w:cstheme="minorHAnsi"/>
          <w:lang w:val="es-ES" w:eastAsia="es-ES"/>
        </w:rPr>
        <w:t xml:space="preserve">11 </w:t>
      </w:r>
      <w:r w:rsidR="00FA0947" w:rsidRPr="00EE556C">
        <w:rPr>
          <w:rFonts w:cstheme="minorHAnsi"/>
          <w:lang w:val="es-ES" w:eastAsia="es-ES"/>
        </w:rPr>
        <w:t xml:space="preserve"> ciudadanos fallecieron como resultado del</w:t>
      </w:r>
      <w:r w:rsidR="00C41357" w:rsidRPr="00EE556C">
        <w:rPr>
          <w:rFonts w:cstheme="minorHAnsi"/>
          <w:lang w:val="es-ES" w:eastAsia="es-ES"/>
        </w:rPr>
        <w:t xml:space="preserve"> accionar de la PNP en protestas.  </w:t>
      </w:r>
      <w:r w:rsidR="00407834" w:rsidRPr="00EE556C">
        <w:rPr>
          <w:rFonts w:cstheme="minorHAnsi"/>
          <w:lang w:val="es-ES" w:eastAsia="es-ES"/>
        </w:rPr>
        <w:t>10 de los fallecidos</w:t>
      </w:r>
      <w:r w:rsidR="00C41357" w:rsidRPr="00EE556C">
        <w:rPr>
          <w:rFonts w:cstheme="minorHAnsi"/>
          <w:lang w:val="es-ES" w:eastAsia="es-ES"/>
        </w:rPr>
        <w:t xml:space="preserve"> fueron indígenas, lo que evidencia el accionar discriminatorio de las fuerzas del orden. Mientras que las protestas en la capital del país</w:t>
      </w:r>
      <w:r w:rsidR="006C6887" w:rsidRPr="00EE556C">
        <w:rPr>
          <w:rFonts w:cstheme="minorHAnsi"/>
          <w:lang w:val="es-ES" w:eastAsia="es-ES"/>
        </w:rPr>
        <w:t xml:space="preserve"> se abord</w:t>
      </w:r>
      <w:r w:rsidR="00C41357" w:rsidRPr="00EE556C">
        <w:rPr>
          <w:rFonts w:cstheme="minorHAnsi"/>
          <w:lang w:val="es-ES" w:eastAsia="es-ES"/>
        </w:rPr>
        <w:t>an utilizando armas menos letales, en las zonas rurales y territorios indígenas se continúan utilizando armas letales, incluyendo fusiles automáticos.</w:t>
      </w:r>
      <w:r w:rsidR="005542BD" w:rsidRPr="00EE556C">
        <w:rPr>
          <w:rFonts w:cstheme="minorHAnsi"/>
          <w:lang w:val="es-ES" w:eastAsia="es-ES"/>
        </w:rPr>
        <w:t xml:space="preserve"> </w:t>
      </w:r>
    </w:p>
    <w:p w:rsidR="0071291D" w:rsidRPr="0071291D" w:rsidRDefault="0071291D" w:rsidP="0071291D">
      <w:pPr>
        <w:jc w:val="both"/>
        <w:rPr>
          <w:rFonts w:cstheme="minorHAnsi"/>
          <w:lang w:val="es-ES" w:eastAsia="es-ES"/>
        </w:rPr>
      </w:pPr>
      <w:r w:rsidRPr="0071291D">
        <w:rPr>
          <w:rFonts w:cstheme="minorHAnsi"/>
          <w:b/>
          <w:lang w:val="es-ES" w:eastAsia="es-ES"/>
        </w:rPr>
        <w:t>Servicios privados policiales</w:t>
      </w:r>
    </w:p>
    <w:p w:rsidR="0071291D" w:rsidRPr="0071291D" w:rsidRDefault="0071291D" w:rsidP="0071291D">
      <w:pPr>
        <w:jc w:val="both"/>
        <w:rPr>
          <w:rFonts w:cstheme="minorHAnsi"/>
          <w:lang w:val="es-ES" w:eastAsia="es-ES"/>
        </w:rPr>
      </w:pPr>
      <w:r>
        <w:rPr>
          <w:rFonts w:cstheme="minorHAnsi"/>
          <w:lang w:val="es-ES" w:eastAsia="es-ES"/>
        </w:rPr>
        <w:t xml:space="preserve">2. </w:t>
      </w:r>
      <w:r w:rsidR="007E7ACE" w:rsidRPr="0071291D">
        <w:rPr>
          <w:rFonts w:cstheme="minorHAnsi"/>
          <w:lang w:val="es-ES" w:eastAsia="es-ES"/>
        </w:rPr>
        <w:t>U</w:t>
      </w:r>
      <w:r w:rsidR="00025832" w:rsidRPr="0071291D">
        <w:rPr>
          <w:rFonts w:cstheme="minorHAnsi"/>
          <w:lang w:val="es-ES" w:eastAsia="es-ES"/>
        </w:rPr>
        <w:t>n factor que propicia el uso arbitrario de la fuerza es la subordinación de la PNP a empresas extractivas asentadas en territorios indígenas a través de convenios</w:t>
      </w:r>
      <w:r w:rsidR="00025832" w:rsidRPr="0071291D">
        <w:rPr>
          <w:rStyle w:val="Refdenotaalpie"/>
          <w:rFonts w:cstheme="minorHAnsi"/>
          <w:lang w:val="es-ES" w:eastAsia="es-ES"/>
        </w:rPr>
        <w:footnoteReference w:id="1"/>
      </w:r>
      <w:r w:rsidR="00025832" w:rsidRPr="0071291D">
        <w:rPr>
          <w:rFonts w:cstheme="minorHAnsi"/>
          <w:lang w:val="es-ES" w:eastAsia="es-ES"/>
        </w:rPr>
        <w:t>. Estos permiten el establecimiento de contingentes de policía militarizada dentro de los campamentos mineros y petroleros</w:t>
      </w:r>
      <w:r w:rsidR="00025832" w:rsidRPr="0071291D">
        <w:rPr>
          <w:rStyle w:val="Refdenotaalpie"/>
          <w:rFonts w:cstheme="minorHAnsi"/>
          <w:lang w:val="es-ES" w:eastAsia="es-ES"/>
        </w:rPr>
        <w:footnoteReference w:id="2"/>
      </w:r>
      <w:r w:rsidR="00500560" w:rsidRPr="0071291D">
        <w:rPr>
          <w:rFonts w:cstheme="minorHAnsi"/>
          <w:lang w:val="es-ES" w:eastAsia="es-ES"/>
        </w:rPr>
        <w:t>. L</w:t>
      </w:r>
      <w:r w:rsidR="00025832" w:rsidRPr="0071291D">
        <w:rPr>
          <w:rFonts w:cstheme="minorHAnsi"/>
          <w:lang w:val="es-ES" w:eastAsia="es-ES"/>
        </w:rPr>
        <w:t>os efectivos se encuentran equipados con  uniforme y armamento reglamentarios, pero reciben un pago de las empresas y actúan de acuerdo a sus instrucciones.</w:t>
      </w:r>
      <w:r w:rsidR="00DC3067" w:rsidRPr="0071291D">
        <w:rPr>
          <w:rFonts w:cstheme="minorHAnsi"/>
          <w:lang w:val="es-ES" w:eastAsia="es-ES"/>
        </w:rPr>
        <w:t xml:space="preserve"> En el marco de estos convenios se han producido detenciones arbitrarias, abusos sexuales, torturas y ejecuciones extrajudiciales</w:t>
      </w:r>
      <w:r w:rsidR="00DC3067" w:rsidRPr="0071291D">
        <w:rPr>
          <w:rStyle w:val="Refdenotaalpie"/>
          <w:rFonts w:cstheme="minorHAnsi"/>
          <w:lang w:val="es-ES" w:eastAsia="es-ES"/>
        </w:rPr>
        <w:footnoteReference w:id="3"/>
      </w:r>
      <w:r w:rsidR="00F20B69">
        <w:rPr>
          <w:rFonts w:cstheme="minorHAnsi"/>
          <w:lang w:val="es-ES" w:eastAsia="es-ES"/>
        </w:rPr>
        <w:t>. Durante su 162° periodo de sesiones la</w:t>
      </w:r>
      <w:r w:rsidR="00DC3067" w:rsidRPr="0071291D">
        <w:rPr>
          <w:rFonts w:cstheme="minorHAnsi"/>
          <w:lang w:val="es-ES" w:eastAsia="es-ES"/>
        </w:rPr>
        <w:t xml:space="preserve"> CIDH recomendó al Estado peruano en el 2017 la eliminación de los convenios</w:t>
      </w:r>
      <w:r w:rsidR="00DC3067" w:rsidRPr="0071291D">
        <w:rPr>
          <w:rStyle w:val="Refdenotaalpie"/>
          <w:rFonts w:cstheme="minorHAnsi"/>
          <w:lang w:val="es-ES" w:eastAsia="es-ES"/>
        </w:rPr>
        <w:footnoteReference w:id="4"/>
      </w:r>
      <w:r w:rsidR="00DC3067" w:rsidRPr="0071291D">
        <w:rPr>
          <w:rFonts w:cstheme="minorHAnsi"/>
          <w:lang w:val="es-ES" w:eastAsia="es-ES"/>
        </w:rPr>
        <w:t>.</w:t>
      </w:r>
    </w:p>
    <w:p w:rsidR="0071291D" w:rsidRDefault="00500560" w:rsidP="0071291D">
      <w:pPr>
        <w:jc w:val="both"/>
        <w:rPr>
          <w:rFonts w:cstheme="minorHAnsi"/>
          <w:lang w:val="es-ES" w:eastAsia="es-ES"/>
        </w:rPr>
      </w:pPr>
      <w:r w:rsidRPr="0071291D">
        <w:rPr>
          <w:rFonts w:cstheme="minorHAnsi"/>
          <w:b/>
          <w:lang w:val="es-ES" w:eastAsia="es-ES"/>
        </w:rPr>
        <w:t>Estados de emergencia para impedir movilizaciones</w:t>
      </w:r>
      <w:r w:rsidR="00BF12CB" w:rsidRPr="0071291D">
        <w:rPr>
          <w:rFonts w:cstheme="minorHAnsi"/>
          <w:b/>
          <w:lang w:val="es-ES" w:eastAsia="es-ES"/>
        </w:rPr>
        <w:t xml:space="preserve"> </w:t>
      </w:r>
      <w:r w:rsidR="00837EB8" w:rsidRPr="0071291D">
        <w:rPr>
          <w:rFonts w:cstheme="minorHAnsi"/>
          <w:b/>
          <w:lang w:val="es-ES" w:eastAsia="es-ES"/>
        </w:rPr>
        <w:t xml:space="preserve"> indígenas</w:t>
      </w:r>
    </w:p>
    <w:p w:rsidR="0071291D" w:rsidRPr="0071291D" w:rsidRDefault="0071291D" w:rsidP="0071291D">
      <w:pPr>
        <w:jc w:val="both"/>
        <w:rPr>
          <w:rFonts w:cstheme="minorHAnsi"/>
          <w:lang w:val="es-ES" w:eastAsia="es-ES"/>
        </w:rPr>
      </w:pPr>
      <w:r>
        <w:rPr>
          <w:rFonts w:cstheme="minorHAnsi"/>
          <w:lang w:val="es-ES" w:eastAsia="es-ES"/>
        </w:rPr>
        <w:t xml:space="preserve">3. </w:t>
      </w:r>
      <w:r w:rsidR="00BF12CB" w:rsidRPr="0071291D">
        <w:rPr>
          <w:rFonts w:cstheme="minorHAnsi"/>
          <w:lang w:val="es-ES" w:eastAsia="es-ES"/>
        </w:rPr>
        <w:t>Durante l</w:t>
      </w:r>
      <w:r w:rsidR="00837EB8" w:rsidRPr="0071291D">
        <w:rPr>
          <w:rFonts w:cstheme="minorHAnsi"/>
          <w:lang w:val="es-ES" w:eastAsia="es-ES"/>
        </w:rPr>
        <w:t>os últimos diez años en Perú se</w:t>
      </w:r>
      <w:r w:rsidR="00BF12CB" w:rsidRPr="0071291D">
        <w:rPr>
          <w:rFonts w:cstheme="minorHAnsi"/>
          <w:lang w:val="es-ES" w:eastAsia="es-ES"/>
        </w:rPr>
        <w:t xml:space="preserve"> ha venido empleando</w:t>
      </w:r>
      <w:r w:rsidR="00500560" w:rsidRPr="0071291D">
        <w:rPr>
          <w:rFonts w:cstheme="minorHAnsi"/>
          <w:lang w:val="es-ES" w:eastAsia="es-ES"/>
        </w:rPr>
        <w:t xml:space="preserve"> la declaratoria de estado de emergencia </w:t>
      </w:r>
      <w:r w:rsidR="007E7ACE" w:rsidRPr="0071291D">
        <w:rPr>
          <w:rFonts w:cstheme="minorHAnsi"/>
          <w:lang w:val="es-ES" w:eastAsia="es-ES"/>
        </w:rPr>
        <w:t xml:space="preserve"> frente  a la conflictividad social cuando</w:t>
      </w:r>
      <w:r w:rsidR="006C6887" w:rsidRPr="0071291D">
        <w:rPr>
          <w:rFonts w:cstheme="minorHAnsi"/>
          <w:lang w:val="es-ES" w:eastAsia="es-ES"/>
        </w:rPr>
        <w:t xml:space="preserve"> é</w:t>
      </w:r>
      <w:r w:rsidR="007E7ACE" w:rsidRPr="0071291D">
        <w:rPr>
          <w:rFonts w:cstheme="minorHAnsi"/>
          <w:lang w:val="es-ES" w:eastAsia="es-ES"/>
        </w:rPr>
        <w:t>sta alcanzaba sus momentos de mayor escalamiento</w:t>
      </w:r>
      <w:r w:rsidR="00500560" w:rsidRPr="0071291D">
        <w:rPr>
          <w:rFonts w:cstheme="minorHAnsi"/>
          <w:lang w:val="es-ES" w:eastAsia="es-ES"/>
        </w:rPr>
        <w:t>, como la suscitada en torno al proy</w:t>
      </w:r>
      <w:r w:rsidR="00A54E27" w:rsidRPr="0071291D">
        <w:rPr>
          <w:rFonts w:cstheme="minorHAnsi"/>
          <w:lang w:val="es-ES" w:eastAsia="es-ES"/>
        </w:rPr>
        <w:t>ecto minero Conga (</w:t>
      </w:r>
      <w:r w:rsidR="00500560" w:rsidRPr="0071291D">
        <w:rPr>
          <w:rFonts w:cstheme="minorHAnsi"/>
          <w:lang w:val="es-ES" w:eastAsia="es-ES"/>
        </w:rPr>
        <w:t>Cajamarca)</w:t>
      </w:r>
      <w:r w:rsidR="007E7ACE" w:rsidRPr="0071291D">
        <w:rPr>
          <w:rFonts w:cstheme="minorHAnsi"/>
          <w:lang w:val="es-ES" w:eastAsia="es-ES"/>
        </w:rPr>
        <w:t xml:space="preserve"> en el 2012</w:t>
      </w:r>
      <w:r w:rsidR="00500560" w:rsidRPr="0071291D">
        <w:rPr>
          <w:rFonts w:cstheme="minorHAnsi"/>
          <w:lang w:val="es-ES" w:eastAsia="es-ES"/>
        </w:rPr>
        <w:t>. Con el nuevo gobierno la situación se ha agravado, pues el estado de emergencia</w:t>
      </w:r>
      <w:r w:rsidR="00DC3067" w:rsidRPr="0071291D">
        <w:rPr>
          <w:rFonts w:cstheme="minorHAnsi"/>
          <w:lang w:val="es-ES" w:eastAsia="es-ES"/>
        </w:rPr>
        <w:t xml:space="preserve"> se emplea de manera preventiva</w:t>
      </w:r>
      <w:r w:rsidR="00500560" w:rsidRPr="0071291D">
        <w:rPr>
          <w:rFonts w:cstheme="minorHAnsi"/>
          <w:lang w:val="es-ES" w:eastAsia="es-ES"/>
        </w:rPr>
        <w:t>, ante el anuncio de movilizaciones sociales. Es así que el área de influencia del proyecto minero las Bambas</w:t>
      </w:r>
      <w:r w:rsidR="00DC3067" w:rsidRPr="0071291D">
        <w:rPr>
          <w:rFonts w:cstheme="minorHAnsi"/>
          <w:lang w:val="es-ES" w:eastAsia="es-ES"/>
        </w:rPr>
        <w:t xml:space="preserve"> (Cusco)</w:t>
      </w:r>
      <w:r w:rsidR="00500560" w:rsidRPr="0071291D">
        <w:rPr>
          <w:rFonts w:cstheme="minorHAnsi"/>
          <w:lang w:val="es-ES" w:eastAsia="es-ES"/>
        </w:rPr>
        <w:t>, una zona preponderantemente indígena</w:t>
      </w:r>
      <w:r w:rsidR="00DC3067" w:rsidRPr="0071291D">
        <w:rPr>
          <w:rFonts w:cstheme="minorHAnsi"/>
          <w:lang w:val="es-ES" w:eastAsia="es-ES"/>
        </w:rPr>
        <w:t>, se mantiene en estado de emergencia desde el 16 de agosto del 2017 hasta la fecha de presentación de este informe</w:t>
      </w:r>
      <w:r w:rsidR="007E7ACE" w:rsidRPr="0071291D">
        <w:rPr>
          <w:rStyle w:val="Refdenotaalpie"/>
          <w:rFonts w:cstheme="minorHAnsi"/>
          <w:lang w:val="es-ES" w:eastAsia="es-ES"/>
        </w:rPr>
        <w:footnoteReference w:id="5"/>
      </w:r>
      <w:r w:rsidR="00DC3067" w:rsidRPr="0071291D">
        <w:rPr>
          <w:rFonts w:cstheme="minorHAnsi"/>
          <w:lang w:val="es-ES" w:eastAsia="es-ES"/>
        </w:rPr>
        <w:t>.</w:t>
      </w:r>
    </w:p>
    <w:p w:rsidR="0071291D" w:rsidRDefault="005542BD" w:rsidP="0071291D">
      <w:pPr>
        <w:jc w:val="both"/>
        <w:rPr>
          <w:rFonts w:cstheme="minorHAnsi"/>
          <w:lang w:val="es-ES" w:eastAsia="es-ES"/>
        </w:rPr>
      </w:pPr>
      <w:r w:rsidRPr="0071291D">
        <w:rPr>
          <w:rFonts w:cstheme="minorHAnsi"/>
          <w:b/>
          <w:lang w:val="es-ES" w:eastAsia="es-ES"/>
        </w:rPr>
        <w:t>Impunidad</w:t>
      </w:r>
      <w:r w:rsidR="002E45DB" w:rsidRPr="0071291D">
        <w:rPr>
          <w:rFonts w:cstheme="minorHAnsi"/>
          <w:b/>
          <w:lang w:val="es-ES" w:eastAsia="es-ES"/>
        </w:rPr>
        <w:t xml:space="preserve"> del uso arbitrario de la fuerza</w:t>
      </w:r>
    </w:p>
    <w:p w:rsidR="0071291D" w:rsidRPr="0071291D" w:rsidRDefault="0071291D" w:rsidP="0071291D">
      <w:pPr>
        <w:jc w:val="both"/>
        <w:rPr>
          <w:rFonts w:cstheme="minorHAnsi"/>
          <w:lang w:val="es-ES" w:eastAsia="es-ES"/>
        </w:rPr>
      </w:pPr>
      <w:r>
        <w:rPr>
          <w:rFonts w:cstheme="minorHAnsi"/>
          <w:lang w:val="es-ES" w:eastAsia="es-ES"/>
        </w:rPr>
        <w:t xml:space="preserve">4. </w:t>
      </w:r>
      <w:r w:rsidR="005542BD" w:rsidRPr="0071291D">
        <w:rPr>
          <w:rFonts w:cstheme="minorHAnsi"/>
          <w:lang w:val="es-ES" w:eastAsia="es-ES"/>
        </w:rPr>
        <w:t>De acuerdo a la base de datos que mantiene la CNDDHH</w:t>
      </w:r>
      <w:r w:rsidR="006C6887" w:rsidRPr="0071291D">
        <w:rPr>
          <w:rFonts w:cstheme="minorHAnsi"/>
          <w:lang w:val="es-ES" w:eastAsia="es-ES"/>
        </w:rPr>
        <w:t>,</w:t>
      </w:r>
      <w:r w:rsidR="005542BD" w:rsidRPr="0071291D">
        <w:rPr>
          <w:rFonts w:cstheme="minorHAnsi"/>
          <w:lang w:val="es-ES" w:eastAsia="es-ES"/>
        </w:rPr>
        <w:t xml:space="preserve"> desde el 2002 a la fecha 154 civiles fallecieron por la acción de las fuerzas del orden en protestas. En torno a un 60% de los fallecidos eran indígenas.   La totalidad de estas muertes permanece en la impunidad</w:t>
      </w:r>
      <w:r w:rsidR="00ED2023" w:rsidRPr="0071291D">
        <w:rPr>
          <w:rStyle w:val="Refdenotaalpie"/>
          <w:rFonts w:cstheme="minorHAnsi"/>
          <w:lang w:val="es-ES" w:eastAsia="es-ES"/>
        </w:rPr>
        <w:footnoteReference w:id="6"/>
      </w:r>
      <w:r w:rsidR="005542BD" w:rsidRPr="0071291D">
        <w:rPr>
          <w:rFonts w:cstheme="minorHAnsi"/>
          <w:lang w:val="es-ES" w:eastAsia="es-ES"/>
        </w:rPr>
        <w:t>.  Para transformar esta realidad sería necesario que el Perú implemente las recomendaciones</w:t>
      </w:r>
      <w:r w:rsidR="00ED2023" w:rsidRPr="0071291D">
        <w:rPr>
          <w:rFonts w:cstheme="minorHAnsi"/>
          <w:lang w:val="es-ES" w:eastAsia="es-ES"/>
        </w:rPr>
        <w:t xml:space="preserve"> internacionales</w:t>
      </w:r>
      <w:r w:rsidR="00ED2023" w:rsidRPr="0071291D">
        <w:rPr>
          <w:rStyle w:val="Refdenotaalpie"/>
          <w:rFonts w:cstheme="minorHAnsi"/>
          <w:lang w:val="es-ES" w:eastAsia="es-ES"/>
        </w:rPr>
        <w:footnoteReference w:id="7"/>
      </w:r>
      <w:r w:rsidR="005542BD" w:rsidRPr="0071291D">
        <w:rPr>
          <w:rFonts w:cstheme="minorHAnsi"/>
          <w:lang w:val="es-ES" w:eastAsia="es-ES"/>
        </w:rPr>
        <w:t xml:space="preserve"> sobre uniformes, registro de equipos y operaciones policiales</w:t>
      </w:r>
      <w:r w:rsidR="00ED2023" w:rsidRPr="0071291D">
        <w:rPr>
          <w:rFonts w:cstheme="minorHAnsi"/>
          <w:lang w:val="es-ES" w:eastAsia="es-ES"/>
        </w:rPr>
        <w:t xml:space="preserve">, ya que en las condiciones actuales es prácticamente imposible la identificación de los responsables del uso arbitrario de la fuerza. Lamentablemente el proceso de implementación del  </w:t>
      </w:r>
      <w:r w:rsidR="00ED2023" w:rsidRPr="0071291D">
        <w:rPr>
          <w:rFonts w:cstheme="minorHAnsi"/>
          <w:lang w:val="es-ES" w:eastAsia="es-ES"/>
        </w:rPr>
        <w:t>Decreto Legislativo 1186</w:t>
      </w:r>
      <w:r w:rsidR="00ED2023" w:rsidRPr="0071291D">
        <w:rPr>
          <w:rFonts w:cstheme="minorHAnsi"/>
          <w:lang w:val="es-ES" w:eastAsia="es-ES"/>
        </w:rPr>
        <w:t xml:space="preserve"> se encuentra </w:t>
      </w:r>
      <w:r w:rsidR="00ED2023" w:rsidRPr="0071291D">
        <w:rPr>
          <w:rFonts w:cstheme="minorHAnsi"/>
          <w:lang w:val="es-ES" w:eastAsia="es-ES"/>
        </w:rPr>
        <w:lastRenderedPageBreak/>
        <w:t>detenido en lo que a este componente se refiere. Así mismo se requiere fortalecer las capacidades a nivel del Ministerio Público y el Poder Judicial para que estos casos sean investigados con debida diligencia y de conformidad con los estándares internacionales.</w:t>
      </w:r>
    </w:p>
    <w:p w:rsidR="0071291D" w:rsidRDefault="0071291D" w:rsidP="0071291D">
      <w:pPr>
        <w:jc w:val="both"/>
        <w:rPr>
          <w:rFonts w:cstheme="minorHAnsi"/>
          <w:b/>
          <w:lang w:val="es-ES" w:eastAsia="es-ES"/>
        </w:rPr>
      </w:pPr>
      <w:r>
        <w:rPr>
          <w:rFonts w:cstheme="minorHAnsi"/>
          <w:b/>
          <w:lang w:val="es-ES" w:eastAsia="es-ES"/>
        </w:rPr>
        <w:t>Criminalización</w:t>
      </w:r>
    </w:p>
    <w:p w:rsidR="0071291D" w:rsidRPr="0071291D" w:rsidRDefault="0071291D" w:rsidP="0071291D">
      <w:pPr>
        <w:jc w:val="both"/>
        <w:rPr>
          <w:rFonts w:cstheme="minorHAnsi"/>
          <w:lang w:val="es-ES" w:eastAsia="es-ES"/>
        </w:rPr>
      </w:pPr>
      <w:r>
        <w:rPr>
          <w:rFonts w:cstheme="minorHAnsi"/>
          <w:lang w:val="es-ES" w:eastAsia="es-ES"/>
        </w:rPr>
        <w:t xml:space="preserve">5. </w:t>
      </w:r>
      <w:r w:rsidR="002E45DB" w:rsidRPr="0071291D">
        <w:rPr>
          <w:rFonts w:cstheme="minorHAnsi"/>
          <w:lang w:val="es-ES" w:eastAsia="es-ES"/>
        </w:rPr>
        <w:t>La persecución penal arbitraria es la principal forma de hostigamiento a los</w:t>
      </w:r>
      <w:r w:rsidR="002E45DB" w:rsidRPr="0071291D">
        <w:rPr>
          <w:rFonts w:cstheme="minorHAnsi"/>
          <w:b/>
          <w:lang w:val="es-ES" w:eastAsia="es-ES"/>
        </w:rPr>
        <w:t xml:space="preserve"> </w:t>
      </w:r>
      <w:r w:rsidR="00B02966" w:rsidRPr="0071291D">
        <w:rPr>
          <w:rFonts w:cstheme="minorHAnsi"/>
          <w:lang w:val="es-ES" w:eastAsia="es-ES"/>
        </w:rPr>
        <w:t>líderes indígenas en el Perú, especialmente en contextos de conflictividad ecoterritorial. El bloqueo de carreteras se sanciona con 25 años de prisión, pues se con</w:t>
      </w:r>
      <w:r w:rsidR="00500D9B" w:rsidRPr="0071291D">
        <w:rPr>
          <w:rFonts w:cstheme="minorHAnsi"/>
          <w:lang w:val="es-ES" w:eastAsia="es-ES"/>
        </w:rPr>
        <w:t>sidera una forma de extorsión (</w:t>
      </w:r>
      <w:r w:rsidR="00B02966" w:rsidRPr="0071291D">
        <w:rPr>
          <w:rFonts w:cstheme="minorHAnsi"/>
          <w:lang w:val="es-ES" w:eastAsia="es-ES"/>
        </w:rPr>
        <w:t xml:space="preserve">art. 200 del Código Penal). Además se ha modificado la Constitución para permitir la detención </w:t>
      </w:r>
      <w:r w:rsidR="0035542C" w:rsidRPr="0071291D">
        <w:rPr>
          <w:rFonts w:cstheme="minorHAnsi"/>
          <w:lang w:val="es-ES" w:eastAsia="es-ES"/>
        </w:rPr>
        <w:t>policial</w:t>
      </w:r>
      <w:r w:rsidR="00B02966" w:rsidRPr="0071291D">
        <w:rPr>
          <w:rFonts w:cstheme="minorHAnsi"/>
          <w:lang w:val="es-ES" w:eastAsia="es-ES"/>
        </w:rPr>
        <w:t xml:space="preserve"> hasta por 15 días para varias figuras delictivas comúnmente aplicadas a los líderes indígenas</w:t>
      </w:r>
      <w:r w:rsidR="00B02966" w:rsidRPr="0071291D">
        <w:rPr>
          <w:rStyle w:val="Refdenotaalpie"/>
          <w:rFonts w:cstheme="minorHAnsi"/>
          <w:lang w:val="es-ES" w:eastAsia="es-ES"/>
        </w:rPr>
        <w:footnoteReference w:id="8"/>
      </w:r>
      <w:r w:rsidR="00B02966" w:rsidRPr="0071291D">
        <w:rPr>
          <w:rFonts w:cstheme="minorHAnsi"/>
          <w:lang w:val="es-ES" w:eastAsia="es-ES"/>
        </w:rPr>
        <w:t xml:space="preserve">. Aunque el art. </w:t>
      </w:r>
      <w:r w:rsidR="0035542C" w:rsidRPr="0071291D">
        <w:rPr>
          <w:rFonts w:cstheme="minorHAnsi"/>
          <w:lang w:val="es-ES" w:eastAsia="es-ES"/>
        </w:rPr>
        <w:t>149 de la Constitución reconoce</w:t>
      </w:r>
      <w:r w:rsidR="00FB4633" w:rsidRPr="0071291D">
        <w:rPr>
          <w:rFonts w:cstheme="minorHAnsi"/>
          <w:lang w:val="es-ES" w:eastAsia="es-ES"/>
        </w:rPr>
        <w:t xml:space="preserve"> la</w:t>
      </w:r>
      <w:r w:rsidR="00B02966" w:rsidRPr="0071291D">
        <w:rPr>
          <w:rFonts w:cstheme="minorHAnsi"/>
          <w:lang w:val="es-ES" w:eastAsia="es-ES"/>
        </w:rPr>
        <w:t xml:space="preserve"> jurisdic</w:t>
      </w:r>
      <w:r w:rsidR="00FB4633" w:rsidRPr="0071291D">
        <w:rPr>
          <w:rFonts w:cstheme="minorHAnsi"/>
          <w:lang w:val="es-ES" w:eastAsia="es-ES"/>
        </w:rPr>
        <w:t>ción</w:t>
      </w:r>
      <w:r w:rsidR="00B02966" w:rsidRPr="0071291D">
        <w:rPr>
          <w:rFonts w:cstheme="minorHAnsi"/>
          <w:lang w:val="es-ES" w:eastAsia="es-ES"/>
        </w:rPr>
        <w:t xml:space="preserve"> </w:t>
      </w:r>
      <w:r w:rsidR="00837EB8" w:rsidRPr="0071291D">
        <w:rPr>
          <w:rFonts w:cstheme="minorHAnsi"/>
          <w:lang w:val="es-ES" w:eastAsia="es-ES"/>
        </w:rPr>
        <w:t xml:space="preserve">indígena, </w:t>
      </w:r>
      <w:r w:rsidR="00FB4633" w:rsidRPr="0071291D">
        <w:rPr>
          <w:rFonts w:cstheme="minorHAnsi"/>
          <w:lang w:val="es-ES" w:eastAsia="es-ES"/>
        </w:rPr>
        <w:t xml:space="preserve">a las autoridades comunales y ronderas </w:t>
      </w:r>
      <w:r w:rsidR="00B02966" w:rsidRPr="0071291D">
        <w:rPr>
          <w:rFonts w:cstheme="minorHAnsi"/>
          <w:lang w:val="es-ES" w:eastAsia="es-ES"/>
        </w:rPr>
        <w:t xml:space="preserve">se les inician procesos penales por aplicar justicia. En  el 2017 fue condenado a </w:t>
      </w:r>
      <w:r w:rsidR="00B02966" w:rsidRPr="008D7438">
        <w:rPr>
          <w:rFonts w:cstheme="minorHAnsi"/>
          <w:lang w:val="es-ES" w:eastAsia="es-ES"/>
        </w:rPr>
        <w:t>7</w:t>
      </w:r>
      <w:r w:rsidR="00B02966" w:rsidRPr="0071291D">
        <w:rPr>
          <w:rFonts w:cstheme="minorHAnsi"/>
          <w:lang w:val="es-ES" w:eastAsia="es-ES"/>
        </w:rPr>
        <w:t xml:space="preserve"> años de prisión el líder aymara Walter Aduviri, pues se le responsabiliza de alternaciones del orden público cometidas por terceros </w:t>
      </w:r>
      <w:r w:rsidR="00FB4633" w:rsidRPr="0071291D">
        <w:rPr>
          <w:rFonts w:cstheme="minorHAnsi"/>
          <w:lang w:val="es-ES" w:eastAsia="es-ES"/>
        </w:rPr>
        <w:t xml:space="preserve">durante una protesta </w:t>
      </w:r>
      <w:r w:rsidR="00B02966" w:rsidRPr="0071291D">
        <w:rPr>
          <w:rFonts w:cstheme="minorHAnsi"/>
          <w:lang w:val="es-ES" w:eastAsia="es-ES"/>
        </w:rPr>
        <w:t xml:space="preserve">en el año </w:t>
      </w:r>
      <w:r w:rsidR="00B02966" w:rsidRPr="008D7438">
        <w:rPr>
          <w:rFonts w:cstheme="minorHAnsi"/>
          <w:lang w:val="es-ES" w:eastAsia="es-ES"/>
        </w:rPr>
        <w:t>2011.</w:t>
      </w:r>
      <w:r w:rsidR="00B02966" w:rsidRPr="0071291D">
        <w:rPr>
          <w:rFonts w:cstheme="minorHAnsi"/>
          <w:lang w:val="es-ES" w:eastAsia="es-ES"/>
        </w:rPr>
        <w:t xml:space="preserve"> La fiscalía solicita </w:t>
      </w:r>
      <w:r w:rsidR="0090223E" w:rsidRPr="0090223E">
        <w:rPr>
          <w:rFonts w:cstheme="minorHAnsi"/>
          <w:lang w:val="es-ES" w:eastAsia="es-ES"/>
        </w:rPr>
        <w:t>31</w:t>
      </w:r>
      <w:r w:rsidR="00B02966" w:rsidRPr="0071291D">
        <w:rPr>
          <w:rFonts w:cstheme="minorHAnsi"/>
          <w:lang w:val="es-ES" w:eastAsia="es-ES"/>
        </w:rPr>
        <w:t xml:space="preserve"> años de prisión contra </w:t>
      </w:r>
      <w:r w:rsidR="0090223E" w:rsidRPr="0090223E">
        <w:rPr>
          <w:rFonts w:cstheme="minorHAnsi"/>
          <w:lang w:val="es-ES" w:eastAsia="es-ES"/>
        </w:rPr>
        <w:t>21</w:t>
      </w:r>
      <w:r w:rsidR="0090223E">
        <w:rPr>
          <w:rFonts w:cstheme="minorHAnsi"/>
          <w:lang w:val="es-ES" w:eastAsia="es-ES"/>
        </w:rPr>
        <w:t xml:space="preserve"> </w:t>
      </w:r>
      <w:r w:rsidR="00B02966" w:rsidRPr="0071291D">
        <w:rPr>
          <w:rFonts w:cstheme="minorHAnsi"/>
          <w:lang w:val="es-ES" w:eastAsia="es-ES"/>
        </w:rPr>
        <w:t xml:space="preserve">indígenas </w:t>
      </w:r>
      <w:r w:rsidR="0090223E">
        <w:rPr>
          <w:rFonts w:cstheme="minorHAnsi"/>
          <w:lang w:val="es-ES" w:eastAsia="es-ES"/>
        </w:rPr>
        <w:t xml:space="preserve">de los ríos Pastaza y Tigre </w:t>
      </w:r>
      <w:r w:rsidR="00B02966" w:rsidRPr="0071291D">
        <w:rPr>
          <w:rFonts w:cstheme="minorHAnsi"/>
          <w:lang w:val="es-ES" w:eastAsia="es-ES"/>
        </w:rPr>
        <w:t xml:space="preserve">por su participación en una protesta llevada a cabo en el </w:t>
      </w:r>
      <w:r w:rsidR="0090223E" w:rsidRPr="0090223E">
        <w:rPr>
          <w:rFonts w:cstheme="minorHAnsi"/>
          <w:lang w:val="es-ES" w:eastAsia="es-ES"/>
        </w:rPr>
        <w:t>2008</w:t>
      </w:r>
      <w:r w:rsidR="00B02966" w:rsidRPr="0071291D">
        <w:rPr>
          <w:rFonts w:cstheme="minorHAnsi"/>
          <w:lang w:val="es-ES" w:eastAsia="es-ES"/>
        </w:rPr>
        <w:t xml:space="preserve"> frente a los continuos derrames petroleros en el Lote </w:t>
      </w:r>
      <w:r w:rsidR="0090223E" w:rsidRPr="0090223E">
        <w:rPr>
          <w:rFonts w:cstheme="minorHAnsi"/>
          <w:lang w:val="es-ES" w:eastAsia="es-ES"/>
        </w:rPr>
        <w:t>1AB, manejado en ese entonces por Pluspetrol</w:t>
      </w:r>
      <w:r w:rsidR="00B02966" w:rsidRPr="0090223E">
        <w:rPr>
          <w:rFonts w:cstheme="minorHAnsi"/>
          <w:lang w:val="es-ES" w:eastAsia="es-ES"/>
        </w:rPr>
        <w:t>.</w:t>
      </w:r>
      <w:r w:rsidR="000025FC" w:rsidRPr="0071291D">
        <w:rPr>
          <w:rFonts w:cstheme="minorHAnsi"/>
          <w:lang w:val="es-ES" w:eastAsia="es-ES"/>
        </w:rPr>
        <w:t xml:space="preserve"> En Cajamarca el Ministerio Público</w:t>
      </w:r>
      <w:r w:rsidR="00385723" w:rsidRPr="0071291D">
        <w:rPr>
          <w:rFonts w:cstheme="minorHAnsi"/>
          <w:lang w:val="es-ES" w:eastAsia="es-ES"/>
        </w:rPr>
        <w:t xml:space="preserve"> solicita </w:t>
      </w:r>
      <w:r w:rsidR="0090223E" w:rsidRPr="0090223E">
        <w:rPr>
          <w:rFonts w:cstheme="minorHAnsi"/>
          <w:lang w:val="es-ES" w:eastAsia="es-ES"/>
        </w:rPr>
        <w:t>14</w:t>
      </w:r>
      <w:r w:rsidR="00837EB8" w:rsidRPr="0071291D">
        <w:rPr>
          <w:rFonts w:cstheme="minorHAnsi"/>
          <w:lang w:val="es-ES" w:eastAsia="es-ES"/>
        </w:rPr>
        <w:t xml:space="preserve"> años de prisión contra </w:t>
      </w:r>
      <w:r w:rsidR="0090223E" w:rsidRPr="0090223E">
        <w:rPr>
          <w:rFonts w:cstheme="minorHAnsi"/>
          <w:lang w:val="es-ES" w:eastAsia="es-ES"/>
        </w:rPr>
        <w:t>8</w:t>
      </w:r>
      <w:r w:rsidR="00837EB8" w:rsidRPr="0071291D">
        <w:rPr>
          <w:rFonts w:cstheme="minorHAnsi"/>
          <w:lang w:val="es-ES" w:eastAsia="es-ES"/>
        </w:rPr>
        <w:t xml:space="preserve"> ronderos</w:t>
      </w:r>
      <w:r w:rsidR="0090223E">
        <w:rPr>
          <w:rFonts w:cstheme="minorHAnsi"/>
          <w:lang w:val="es-ES" w:eastAsia="es-ES"/>
        </w:rPr>
        <w:t xml:space="preserve"> de Bambamarca</w:t>
      </w:r>
      <w:r w:rsidR="00837EB8" w:rsidRPr="0071291D">
        <w:rPr>
          <w:rFonts w:cstheme="minorHAnsi"/>
          <w:lang w:val="es-ES" w:eastAsia="es-ES"/>
        </w:rPr>
        <w:t xml:space="preserve"> que  en ejercicio de sus facultades jurisdiccionales llevaron</w:t>
      </w:r>
      <w:r w:rsidR="00385723" w:rsidRPr="0071291D">
        <w:rPr>
          <w:rFonts w:cstheme="minorHAnsi"/>
          <w:lang w:val="es-ES" w:eastAsia="es-ES"/>
        </w:rPr>
        <w:t xml:space="preserve"> ante la asamblea comunal a una</w:t>
      </w:r>
      <w:r w:rsidR="000025FC" w:rsidRPr="0071291D">
        <w:rPr>
          <w:rFonts w:cstheme="minorHAnsi"/>
          <w:lang w:val="es-ES" w:eastAsia="es-ES"/>
        </w:rPr>
        <w:t xml:space="preserve"> fiscal por no d</w:t>
      </w:r>
      <w:r w:rsidR="00385723" w:rsidRPr="0071291D">
        <w:rPr>
          <w:rFonts w:cstheme="minorHAnsi"/>
          <w:lang w:val="es-ES" w:eastAsia="es-ES"/>
        </w:rPr>
        <w:t>isponer la necropsia de un joven rondero muerto en extrañas circunstancias</w:t>
      </w:r>
      <w:r w:rsidR="0090223E">
        <w:rPr>
          <w:rStyle w:val="Refdenotaalpie"/>
          <w:rFonts w:cstheme="minorHAnsi"/>
          <w:lang w:val="es-ES" w:eastAsia="es-ES"/>
        </w:rPr>
        <w:footnoteReference w:id="9"/>
      </w:r>
      <w:r w:rsidR="00385723" w:rsidRPr="0071291D">
        <w:rPr>
          <w:rFonts w:cstheme="minorHAnsi"/>
          <w:lang w:val="es-ES" w:eastAsia="es-ES"/>
        </w:rPr>
        <w:t>.</w:t>
      </w:r>
    </w:p>
    <w:p w:rsidR="0071291D" w:rsidRDefault="00082535" w:rsidP="0071291D">
      <w:pPr>
        <w:jc w:val="both"/>
        <w:rPr>
          <w:rFonts w:cstheme="minorHAnsi"/>
          <w:b/>
          <w:lang w:val="es-ES" w:eastAsia="es-ES"/>
        </w:rPr>
      </w:pPr>
      <w:r w:rsidRPr="0071291D">
        <w:rPr>
          <w:rFonts w:cstheme="minorHAnsi"/>
          <w:b/>
          <w:lang w:val="es-ES" w:eastAsia="es-ES"/>
        </w:rPr>
        <w:t xml:space="preserve">Ataques mediante </w:t>
      </w:r>
      <w:r w:rsidR="0071291D">
        <w:rPr>
          <w:rFonts w:cstheme="minorHAnsi"/>
          <w:b/>
          <w:lang w:val="es-ES" w:eastAsia="es-ES"/>
        </w:rPr>
        <w:t>sicarios</w:t>
      </w:r>
    </w:p>
    <w:p w:rsidR="0071291D" w:rsidRPr="0071291D" w:rsidRDefault="0071291D" w:rsidP="0071291D">
      <w:pPr>
        <w:jc w:val="both"/>
        <w:rPr>
          <w:rFonts w:cstheme="minorHAnsi"/>
          <w:lang w:val="es-ES" w:eastAsia="es-ES"/>
        </w:rPr>
      </w:pPr>
      <w:r w:rsidRPr="0071291D">
        <w:rPr>
          <w:rFonts w:cstheme="minorHAnsi"/>
          <w:lang w:val="es-ES" w:eastAsia="es-ES"/>
        </w:rPr>
        <w:t>6.</w:t>
      </w:r>
      <w:r>
        <w:rPr>
          <w:rFonts w:cstheme="minorHAnsi"/>
          <w:b/>
          <w:lang w:val="es-ES" w:eastAsia="es-ES"/>
        </w:rPr>
        <w:t xml:space="preserve"> </w:t>
      </w:r>
      <w:r w:rsidR="004020D3" w:rsidRPr="0071291D">
        <w:rPr>
          <w:rFonts w:cstheme="minorHAnsi"/>
          <w:lang w:val="es-ES" w:eastAsia="es-ES"/>
        </w:rPr>
        <w:t xml:space="preserve">Desde el 2011 a la fecha 18 líderes indígenas y comunales fueron asesinados por sicarios. </w:t>
      </w:r>
      <w:r w:rsidR="0010441A">
        <w:rPr>
          <w:rFonts w:cstheme="minorHAnsi"/>
          <w:lang w:val="es-ES" w:eastAsia="es-ES"/>
        </w:rPr>
        <w:t xml:space="preserve"> En varios casos</w:t>
      </w:r>
      <w:r w:rsidR="0010441A">
        <w:rPr>
          <w:rStyle w:val="Refdenotaalpie"/>
          <w:rFonts w:cstheme="minorHAnsi"/>
          <w:lang w:val="es-ES" w:eastAsia="es-ES"/>
        </w:rPr>
        <w:footnoteReference w:id="10"/>
      </w:r>
      <w:r w:rsidR="0010441A">
        <w:rPr>
          <w:rFonts w:cstheme="minorHAnsi"/>
          <w:lang w:val="es-ES" w:eastAsia="es-ES"/>
        </w:rPr>
        <w:t xml:space="preserve"> habían denunciado ante las autoridades las amenazas que sufrían, pero no recibieron ninguna protección. </w:t>
      </w:r>
      <w:r w:rsidR="004020D3" w:rsidRPr="0071291D">
        <w:rPr>
          <w:rFonts w:cstheme="minorHAnsi"/>
          <w:lang w:val="es-ES" w:eastAsia="es-ES"/>
        </w:rPr>
        <w:t>Solo en dos casos</w:t>
      </w:r>
      <w:r w:rsidR="00A54E27" w:rsidRPr="0071291D">
        <w:rPr>
          <w:rStyle w:val="Refdenotaalpie"/>
          <w:rFonts w:cstheme="minorHAnsi"/>
          <w:lang w:val="es-ES" w:eastAsia="es-ES"/>
        </w:rPr>
        <w:footnoteReference w:id="11"/>
      </w:r>
      <w:r w:rsidR="004020D3" w:rsidRPr="0071291D">
        <w:rPr>
          <w:rFonts w:cstheme="minorHAnsi"/>
          <w:lang w:val="es-ES" w:eastAsia="es-ES"/>
        </w:rPr>
        <w:t xml:space="preserve"> se ha logrado enjuiciar a los sicarios, pero quienes les contrataron permanecen en la impunidad.</w:t>
      </w:r>
    </w:p>
    <w:p w:rsidR="0071291D" w:rsidRDefault="004020D3" w:rsidP="0071291D">
      <w:pPr>
        <w:jc w:val="both"/>
        <w:rPr>
          <w:rFonts w:cstheme="minorHAnsi"/>
          <w:b/>
          <w:lang w:val="es-ES" w:eastAsia="es-ES"/>
        </w:rPr>
      </w:pPr>
      <w:r w:rsidRPr="0071291D">
        <w:rPr>
          <w:rFonts w:cstheme="minorHAnsi"/>
          <w:b/>
          <w:lang w:val="es-ES" w:eastAsia="es-ES"/>
        </w:rPr>
        <w:t>Inexistencia de un mecanismo de protección a defensor</w:t>
      </w:r>
      <w:r w:rsidR="0071291D">
        <w:rPr>
          <w:rFonts w:cstheme="minorHAnsi"/>
          <w:b/>
          <w:lang w:val="es-ES" w:eastAsia="es-ES"/>
        </w:rPr>
        <w:t>es</w:t>
      </w:r>
    </w:p>
    <w:p w:rsidR="005541F1" w:rsidRPr="00BA0692" w:rsidRDefault="0071291D" w:rsidP="0071291D">
      <w:pPr>
        <w:jc w:val="both"/>
        <w:rPr>
          <w:rFonts w:cstheme="minorHAnsi"/>
          <w:b/>
          <w:lang w:val="es-ES" w:eastAsia="es-ES"/>
        </w:rPr>
      </w:pPr>
      <w:r w:rsidRPr="0071291D">
        <w:rPr>
          <w:rFonts w:cstheme="minorHAnsi"/>
          <w:lang w:val="es-ES" w:eastAsia="es-ES"/>
        </w:rPr>
        <w:t>7.</w:t>
      </w:r>
      <w:r>
        <w:rPr>
          <w:rFonts w:cstheme="minorHAnsi"/>
          <w:b/>
          <w:lang w:val="es-ES" w:eastAsia="es-ES"/>
        </w:rPr>
        <w:t xml:space="preserve"> </w:t>
      </w:r>
      <w:r w:rsidR="004020D3" w:rsidRPr="0071291D">
        <w:rPr>
          <w:rFonts w:cstheme="minorHAnsi"/>
          <w:lang w:val="es-ES" w:eastAsia="es-ES"/>
        </w:rPr>
        <w:t>En febrero del 2018 el gobierno promulgó el Plan Nacional de Derechos Humanos 2018- 2021</w:t>
      </w:r>
      <w:r w:rsidR="00EC369D">
        <w:rPr>
          <w:rStyle w:val="Refdenotaalpie"/>
          <w:rFonts w:cstheme="minorHAnsi"/>
          <w:lang w:val="es-ES" w:eastAsia="es-ES"/>
        </w:rPr>
        <w:footnoteReference w:id="12"/>
      </w:r>
      <w:r w:rsidR="004020D3" w:rsidRPr="0071291D">
        <w:rPr>
          <w:rFonts w:cstheme="minorHAnsi"/>
          <w:lang w:val="es-ES" w:eastAsia="es-ES"/>
        </w:rPr>
        <w:t xml:space="preserve"> que contempla el compromiso de contar con un mecanismo de protección para el 2021. El mismo documento señala que la efectividad de este compromiso dependerá de que exista disponibilidad presupuestaria. Pese al acuerdo previo con la sociedad civil el texto aprobado omite considerar una meta que </w:t>
      </w:r>
      <w:r w:rsidR="00A54E27" w:rsidRPr="0071291D">
        <w:rPr>
          <w:rFonts w:cstheme="minorHAnsi"/>
          <w:lang w:val="es-ES" w:eastAsia="es-ES"/>
        </w:rPr>
        <w:t>dé</w:t>
      </w:r>
      <w:r w:rsidR="004020D3" w:rsidRPr="0071291D">
        <w:rPr>
          <w:rFonts w:cstheme="minorHAnsi"/>
          <w:lang w:val="es-ES" w:eastAsia="es-ES"/>
        </w:rPr>
        <w:t xml:space="preserve"> cuenta de la reducción del nivel de riesgo de los</w:t>
      </w:r>
      <w:r w:rsidR="00A54E27" w:rsidRPr="0071291D">
        <w:rPr>
          <w:rFonts w:cstheme="minorHAnsi"/>
          <w:lang w:val="es-ES" w:eastAsia="es-ES"/>
        </w:rPr>
        <w:t xml:space="preserve"> defensores. Además se incluye</w:t>
      </w:r>
      <w:r w:rsidR="004020D3" w:rsidRPr="0071291D">
        <w:rPr>
          <w:rFonts w:cstheme="minorHAnsi"/>
          <w:lang w:val="es-ES" w:eastAsia="es-ES"/>
        </w:rPr>
        <w:t xml:space="preserve"> al Ministerio de Energía y Minas como responsable del mecanismo, vulnerando el requisito de independencia e imparcialidad, ya que este sector promueve las inversiones mineras </w:t>
      </w:r>
      <w:r w:rsidR="00A54E27" w:rsidRPr="0071291D">
        <w:rPr>
          <w:rFonts w:cstheme="minorHAnsi"/>
          <w:lang w:val="es-ES" w:eastAsia="es-ES"/>
        </w:rPr>
        <w:t>que son precisamente el escenario de riesgo para muchos defensores indígenas.  En una audiencia celebrada ante la CIDH en el 2016 el gobierno se comprometió a aprobar en un plazo de 90 días un protocolo para la atención de defensores en riesgo, pero este compromiso hasta la fecha no se cumple.</w:t>
      </w:r>
    </w:p>
    <w:sectPr w:rsidR="005541F1" w:rsidRPr="00BA0692" w:rsidSect="00E869BC">
      <w:footerReference w:type="default" r:id="rId9"/>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7F1" w:rsidRDefault="00EF37F1" w:rsidP="006B4C58">
      <w:pPr>
        <w:spacing w:after="0" w:line="240" w:lineRule="auto"/>
      </w:pPr>
      <w:r>
        <w:separator/>
      </w:r>
    </w:p>
  </w:endnote>
  <w:endnote w:type="continuationSeparator" w:id="0">
    <w:p w:rsidR="00EF37F1" w:rsidRDefault="00EF37F1" w:rsidP="006B4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74717"/>
      <w:docPartObj>
        <w:docPartGallery w:val="Page Numbers (Bottom of Page)"/>
        <w:docPartUnique/>
      </w:docPartObj>
    </w:sdtPr>
    <w:sdtContent>
      <w:p w:rsidR="00E869BC" w:rsidRDefault="00E869BC">
        <w:pPr>
          <w:pStyle w:val="Piedepgina"/>
          <w:jc w:val="right"/>
        </w:pPr>
        <w:r>
          <w:fldChar w:fldCharType="begin"/>
        </w:r>
        <w:r>
          <w:instrText>PAGE   \* MERGEFORMAT</w:instrText>
        </w:r>
        <w:r>
          <w:fldChar w:fldCharType="separate"/>
        </w:r>
        <w:r w:rsidR="002F75D0" w:rsidRPr="002F75D0">
          <w:rPr>
            <w:noProof/>
            <w:lang w:val="es-ES"/>
          </w:rPr>
          <w:t>3</w:t>
        </w:r>
        <w:r>
          <w:fldChar w:fldCharType="end"/>
        </w:r>
      </w:p>
    </w:sdtContent>
  </w:sdt>
  <w:p w:rsidR="00E869BC" w:rsidRDefault="00E869B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7F1" w:rsidRDefault="00EF37F1" w:rsidP="006B4C58">
      <w:pPr>
        <w:spacing w:after="0" w:line="240" w:lineRule="auto"/>
      </w:pPr>
      <w:r>
        <w:separator/>
      </w:r>
    </w:p>
  </w:footnote>
  <w:footnote w:type="continuationSeparator" w:id="0">
    <w:p w:rsidR="00EF37F1" w:rsidRDefault="00EF37F1" w:rsidP="006B4C58">
      <w:pPr>
        <w:spacing w:after="0" w:line="240" w:lineRule="auto"/>
      </w:pPr>
      <w:r>
        <w:continuationSeparator/>
      </w:r>
    </w:p>
  </w:footnote>
  <w:footnote w:id="1">
    <w:p w:rsidR="00025832" w:rsidRPr="002F75D0" w:rsidRDefault="00025832" w:rsidP="0071291D">
      <w:pPr>
        <w:pStyle w:val="Textonotapie"/>
        <w:jc w:val="both"/>
        <w:rPr>
          <w:sz w:val="18"/>
          <w:szCs w:val="18"/>
        </w:rPr>
      </w:pPr>
      <w:r w:rsidRPr="002F75D0">
        <w:rPr>
          <w:rStyle w:val="Refdenotaalpie"/>
          <w:sz w:val="18"/>
          <w:szCs w:val="18"/>
        </w:rPr>
        <w:footnoteRef/>
      </w:r>
      <w:r w:rsidRPr="002F75D0">
        <w:rPr>
          <w:sz w:val="18"/>
          <w:szCs w:val="18"/>
        </w:rPr>
        <w:t xml:space="preserve"> Bajo la figura denominada “servicios extraordinarios complementarios a la función policial”</w:t>
      </w:r>
      <w:r w:rsidR="0071291D" w:rsidRPr="002F75D0">
        <w:rPr>
          <w:sz w:val="18"/>
          <w:szCs w:val="18"/>
        </w:rPr>
        <w:t>.</w:t>
      </w:r>
    </w:p>
  </w:footnote>
  <w:footnote w:id="2">
    <w:p w:rsidR="00025832" w:rsidRPr="002F75D0" w:rsidRDefault="00025832" w:rsidP="0071291D">
      <w:pPr>
        <w:pStyle w:val="Textonotapie"/>
        <w:jc w:val="both"/>
        <w:rPr>
          <w:sz w:val="18"/>
          <w:szCs w:val="18"/>
        </w:rPr>
      </w:pPr>
      <w:r w:rsidRPr="002F75D0">
        <w:rPr>
          <w:rStyle w:val="Refdenotaalpie"/>
          <w:sz w:val="18"/>
          <w:szCs w:val="18"/>
        </w:rPr>
        <w:footnoteRef/>
      </w:r>
      <w:r w:rsidRPr="002F75D0">
        <w:rPr>
          <w:sz w:val="18"/>
          <w:szCs w:val="18"/>
        </w:rPr>
        <w:t xml:space="preserve"> Pertenecientes a una unidad denominada División Nacional de Operaciones Especiales- DINOES, creada para operaciones relacionadas con el narcotráfico y el terrorismo, y no para operaciones de control de protestas,</w:t>
      </w:r>
    </w:p>
  </w:footnote>
  <w:footnote w:id="3">
    <w:p w:rsidR="00DC3067" w:rsidRPr="002F75D0" w:rsidRDefault="00DC3067" w:rsidP="0071291D">
      <w:pPr>
        <w:pStyle w:val="Textonotapie"/>
        <w:jc w:val="both"/>
        <w:rPr>
          <w:sz w:val="18"/>
          <w:szCs w:val="18"/>
        </w:rPr>
      </w:pPr>
      <w:r w:rsidRPr="002F75D0">
        <w:rPr>
          <w:rStyle w:val="Refdenotaalpie"/>
          <w:sz w:val="18"/>
          <w:szCs w:val="18"/>
        </w:rPr>
        <w:footnoteRef/>
      </w:r>
      <w:r w:rsidRPr="002F75D0">
        <w:rPr>
          <w:sz w:val="18"/>
          <w:szCs w:val="18"/>
        </w:rPr>
        <w:t xml:space="preserve"> </w:t>
      </w:r>
      <w:r w:rsidR="00407834" w:rsidRPr="002F75D0">
        <w:rPr>
          <w:sz w:val="18"/>
          <w:szCs w:val="18"/>
        </w:rPr>
        <w:t xml:space="preserve">Los casos más conocidos internacionalmente son los ocurridos en el campamento de Xtrata Tintaya en Espinar (Cusco) en el 2012, y en el campamento de la empresa Monterrico Metals en Piura en el 2005. </w:t>
      </w:r>
    </w:p>
  </w:footnote>
  <w:footnote w:id="4">
    <w:p w:rsidR="00DC3067" w:rsidRPr="002F75D0" w:rsidRDefault="00DC3067" w:rsidP="0071291D">
      <w:pPr>
        <w:pStyle w:val="Textonotapie"/>
        <w:jc w:val="both"/>
        <w:rPr>
          <w:sz w:val="18"/>
          <w:szCs w:val="18"/>
        </w:rPr>
      </w:pPr>
      <w:r w:rsidRPr="002F75D0">
        <w:rPr>
          <w:rStyle w:val="Refdenotaalpie"/>
          <w:sz w:val="18"/>
          <w:szCs w:val="18"/>
        </w:rPr>
        <w:footnoteRef/>
      </w:r>
      <w:r w:rsidRPr="002F75D0">
        <w:rPr>
          <w:sz w:val="18"/>
          <w:szCs w:val="18"/>
        </w:rPr>
        <w:t xml:space="preserve"> </w:t>
      </w:r>
      <w:r w:rsidR="00F20B69" w:rsidRPr="002F75D0">
        <w:rPr>
          <w:sz w:val="18"/>
          <w:szCs w:val="18"/>
        </w:rPr>
        <w:t>En el curso de la audiencia denominada “</w:t>
      </w:r>
      <w:r w:rsidR="00F20B69" w:rsidRPr="002F75D0">
        <w:rPr>
          <w:sz w:val="18"/>
          <w:szCs w:val="18"/>
        </w:rPr>
        <w:t>Derechos humanos e industrias extractivas en Perú</w:t>
      </w:r>
      <w:bookmarkStart w:id="0" w:name="_GoBack"/>
      <w:bookmarkEnd w:id="0"/>
      <w:r w:rsidR="00F20B69" w:rsidRPr="002F75D0">
        <w:rPr>
          <w:sz w:val="18"/>
          <w:szCs w:val="18"/>
        </w:rPr>
        <w:t>.</w:t>
      </w:r>
    </w:p>
  </w:footnote>
  <w:footnote w:id="5">
    <w:p w:rsidR="007E7ACE" w:rsidRPr="002F75D0" w:rsidRDefault="007E7ACE" w:rsidP="0071291D">
      <w:pPr>
        <w:pStyle w:val="Textonotapie"/>
        <w:jc w:val="both"/>
        <w:rPr>
          <w:sz w:val="18"/>
          <w:szCs w:val="18"/>
        </w:rPr>
      </w:pPr>
      <w:r w:rsidRPr="002F75D0">
        <w:rPr>
          <w:rStyle w:val="Refdenotaalpie"/>
          <w:sz w:val="18"/>
          <w:szCs w:val="18"/>
        </w:rPr>
        <w:footnoteRef/>
      </w:r>
      <w:r w:rsidR="00F20B69" w:rsidRPr="002F75D0">
        <w:rPr>
          <w:sz w:val="18"/>
          <w:szCs w:val="18"/>
        </w:rPr>
        <w:t xml:space="preserve">  Mediante Decreto Supremo 85-2017-PCM y prórrogas sucesivas.</w:t>
      </w:r>
    </w:p>
  </w:footnote>
  <w:footnote w:id="6">
    <w:p w:rsidR="00ED2023" w:rsidRPr="002F75D0" w:rsidRDefault="00ED2023" w:rsidP="0071291D">
      <w:pPr>
        <w:pStyle w:val="Textonotapie"/>
        <w:jc w:val="both"/>
        <w:rPr>
          <w:sz w:val="18"/>
          <w:szCs w:val="18"/>
        </w:rPr>
      </w:pPr>
      <w:r w:rsidRPr="002F75D0">
        <w:rPr>
          <w:rStyle w:val="Refdenotaalpie"/>
          <w:sz w:val="18"/>
          <w:szCs w:val="18"/>
        </w:rPr>
        <w:footnoteRef/>
      </w:r>
      <w:r w:rsidRPr="002F75D0">
        <w:rPr>
          <w:sz w:val="18"/>
          <w:szCs w:val="18"/>
        </w:rPr>
        <w:t xml:space="preserve"> Hay una sentencia condenatoria en el proceso seguido por la muerte de cuatro civiles en el </w:t>
      </w:r>
      <w:r w:rsidR="00F20B69" w:rsidRPr="002F75D0">
        <w:rPr>
          <w:sz w:val="18"/>
          <w:szCs w:val="18"/>
        </w:rPr>
        <w:t>2011</w:t>
      </w:r>
      <w:r w:rsidRPr="002F75D0">
        <w:rPr>
          <w:sz w:val="18"/>
          <w:szCs w:val="18"/>
        </w:rPr>
        <w:t xml:space="preserve"> en Huancavelica, pero ha sido apelada.</w:t>
      </w:r>
      <w:r w:rsidR="00F20B69" w:rsidRPr="002F75D0">
        <w:rPr>
          <w:sz w:val="18"/>
          <w:szCs w:val="18"/>
        </w:rPr>
        <w:t xml:space="preserve"> </w:t>
      </w:r>
    </w:p>
  </w:footnote>
  <w:footnote w:id="7">
    <w:p w:rsidR="00ED2023" w:rsidRPr="002F75D0" w:rsidRDefault="00ED2023" w:rsidP="00EE556C">
      <w:pPr>
        <w:shd w:val="clear" w:color="auto" w:fill="FFFFFF"/>
        <w:spacing w:after="0"/>
        <w:jc w:val="both"/>
        <w:rPr>
          <w:rFonts w:eastAsia="Times New Roman" w:cstheme="minorHAnsi"/>
          <w:sz w:val="18"/>
          <w:szCs w:val="18"/>
          <w:lang w:eastAsia="es-PE"/>
        </w:rPr>
      </w:pPr>
      <w:r w:rsidRPr="002F75D0">
        <w:rPr>
          <w:rStyle w:val="Refdenotaalpie"/>
          <w:sz w:val="18"/>
          <w:szCs w:val="18"/>
        </w:rPr>
        <w:footnoteRef/>
      </w:r>
      <w:r w:rsidRPr="002F75D0">
        <w:rPr>
          <w:sz w:val="18"/>
          <w:szCs w:val="18"/>
        </w:rPr>
        <w:t xml:space="preserve"> En especial las contenidas en </w:t>
      </w:r>
      <w:r w:rsidR="00F20B69" w:rsidRPr="002F75D0">
        <w:rPr>
          <w:rFonts w:eastAsia="Times New Roman" w:cstheme="minorHAnsi"/>
          <w:sz w:val="18"/>
          <w:szCs w:val="18"/>
          <w:lang w:eastAsia="es-PE"/>
        </w:rPr>
        <w:t>A</w:t>
      </w:r>
      <w:r w:rsidR="00F20B69" w:rsidRPr="00F20B69">
        <w:rPr>
          <w:rFonts w:eastAsia="Times New Roman" w:cstheme="minorHAnsi"/>
          <w:sz w:val="18"/>
          <w:szCs w:val="18"/>
          <w:lang w:eastAsia="es-PE"/>
        </w:rPr>
        <w:t>/HRC/31/66</w:t>
      </w:r>
      <w:r w:rsidR="00F20B69" w:rsidRPr="002F75D0">
        <w:rPr>
          <w:rFonts w:eastAsia="Times New Roman" w:cstheme="minorHAnsi"/>
          <w:sz w:val="18"/>
          <w:szCs w:val="18"/>
          <w:lang w:eastAsia="es-PE"/>
        </w:rPr>
        <w:t>.</w:t>
      </w:r>
    </w:p>
  </w:footnote>
  <w:footnote w:id="8">
    <w:p w:rsidR="00B02966" w:rsidRPr="002F75D0" w:rsidRDefault="00B02966" w:rsidP="00EE556C">
      <w:pPr>
        <w:pStyle w:val="Textonotapie"/>
        <w:jc w:val="both"/>
        <w:rPr>
          <w:sz w:val="18"/>
          <w:szCs w:val="18"/>
        </w:rPr>
      </w:pPr>
      <w:r w:rsidRPr="002F75D0">
        <w:rPr>
          <w:rStyle w:val="Refdenotaalpie"/>
          <w:sz w:val="18"/>
          <w:szCs w:val="18"/>
        </w:rPr>
        <w:footnoteRef/>
      </w:r>
      <w:r w:rsidRPr="002F75D0">
        <w:rPr>
          <w:sz w:val="18"/>
          <w:szCs w:val="18"/>
        </w:rPr>
        <w:t xml:space="preserve"> </w:t>
      </w:r>
      <w:r w:rsidR="0035542C" w:rsidRPr="002F75D0">
        <w:rPr>
          <w:sz w:val="18"/>
          <w:szCs w:val="18"/>
        </w:rPr>
        <w:t>Art. 2.24 de la Constitución, en relación con la Ley contra el Crimen Organizado (Ley N° 30077).</w:t>
      </w:r>
    </w:p>
  </w:footnote>
  <w:footnote w:id="9">
    <w:p w:rsidR="0090223E" w:rsidRPr="002F75D0" w:rsidRDefault="0090223E">
      <w:pPr>
        <w:pStyle w:val="Textonotapie"/>
        <w:rPr>
          <w:sz w:val="18"/>
          <w:szCs w:val="18"/>
        </w:rPr>
      </w:pPr>
      <w:r w:rsidRPr="002F75D0">
        <w:rPr>
          <w:rStyle w:val="Refdenotaalpie"/>
          <w:sz w:val="18"/>
          <w:szCs w:val="18"/>
        </w:rPr>
        <w:footnoteRef/>
      </w:r>
      <w:r w:rsidRPr="002F75D0">
        <w:rPr>
          <w:sz w:val="18"/>
          <w:szCs w:val="18"/>
        </w:rPr>
        <w:t xml:space="preserve"> Expediente 313-2015-0-0605-JR-PE</w:t>
      </w:r>
      <w:r w:rsidR="0010441A" w:rsidRPr="002F75D0">
        <w:rPr>
          <w:sz w:val="18"/>
          <w:szCs w:val="18"/>
        </w:rPr>
        <w:t>-01.</w:t>
      </w:r>
    </w:p>
  </w:footnote>
  <w:footnote w:id="10">
    <w:p w:rsidR="0010441A" w:rsidRPr="002F75D0" w:rsidRDefault="0010441A">
      <w:pPr>
        <w:pStyle w:val="Textonotapie"/>
        <w:rPr>
          <w:sz w:val="18"/>
          <w:szCs w:val="18"/>
        </w:rPr>
      </w:pPr>
      <w:r w:rsidRPr="002F75D0">
        <w:rPr>
          <w:rStyle w:val="Refdenotaalpie"/>
          <w:sz w:val="18"/>
          <w:szCs w:val="18"/>
        </w:rPr>
        <w:footnoteRef/>
      </w:r>
      <w:r w:rsidRPr="002F75D0">
        <w:rPr>
          <w:sz w:val="18"/>
          <w:szCs w:val="18"/>
        </w:rPr>
        <w:t>Es el caso de Edwin Chota, dirigente de la comunidad asheninka Saweto, asesinado junto con otros tres líderes indígenas por taladores en el 2014.</w:t>
      </w:r>
    </w:p>
  </w:footnote>
  <w:footnote w:id="11">
    <w:p w:rsidR="00A54E27" w:rsidRPr="002F75D0" w:rsidRDefault="00A54E27" w:rsidP="0071291D">
      <w:pPr>
        <w:pStyle w:val="Textonotapie"/>
        <w:jc w:val="both"/>
        <w:rPr>
          <w:sz w:val="18"/>
          <w:szCs w:val="18"/>
        </w:rPr>
      </w:pPr>
      <w:r w:rsidRPr="002F75D0">
        <w:rPr>
          <w:rStyle w:val="Refdenotaalpie"/>
          <w:sz w:val="18"/>
          <w:szCs w:val="18"/>
        </w:rPr>
        <w:footnoteRef/>
      </w:r>
      <w:r w:rsidR="0071291D" w:rsidRPr="002F75D0">
        <w:rPr>
          <w:sz w:val="18"/>
          <w:szCs w:val="18"/>
        </w:rPr>
        <w:t xml:space="preserve"> Esto ocurrió en</w:t>
      </w:r>
      <w:r w:rsidRPr="002F75D0">
        <w:rPr>
          <w:sz w:val="18"/>
          <w:szCs w:val="18"/>
        </w:rPr>
        <w:t xml:space="preserve"> los procesos seguidos por los asesinatos de Hitler Rojas Gonzales y Alberto Roque Cconislla.</w:t>
      </w:r>
    </w:p>
  </w:footnote>
  <w:footnote w:id="12">
    <w:p w:rsidR="00EC369D" w:rsidRPr="002F75D0" w:rsidRDefault="00EC369D">
      <w:pPr>
        <w:pStyle w:val="Textonotapie"/>
        <w:rPr>
          <w:sz w:val="18"/>
          <w:szCs w:val="18"/>
        </w:rPr>
      </w:pPr>
      <w:r w:rsidRPr="002F75D0">
        <w:rPr>
          <w:rStyle w:val="Refdenotaalpie"/>
          <w:sz w:val="18"/>
          <w:szCs w:val="18"/>
        </w:rPr>
        <w:footnoteRef/>
      </w:r>
      <w:r w:rsidRPr="002F75D0">
        <w:rPr>
          <w:sz w:val="18"/>
          <w:szCs w:val="18"/>
        </w:rPr>
        <w:t xml:space="preserve"> </w:t>
      </w:r>
      <w:r w:rsidRPr="002F75D0">
        <w:rPr>
          <w:rFonts w:cstheme="minorHAnsi"/>
          <w:sz w:val="18"/>
          <w:szCs w:val="18"/>
          <w:lang w:val="es-ES" w:eastAsia="es-ES"/>
        </w:rPr>
        <w:t xml:space="preserve">Ver pág. 128 del Plan disponible en </w:t>
      </w:r>
      <w:hyperlink r:id="rId1" w:history="1">
        <w:r w:rsidRPr="002F75D0">
          <w:rPr>
            <w:rStyle w:val="Hipervnculo"/>
            <w:rFonts w:cstheme="minorHAnsi"/>
            <w:sz w:val="18"/>
            <w:szCs w:val="18"/>
            <w:lang w:val="es-ES" w:eastAsia="es-ES"/>
          </w:rPr>
          <w:t>https://www.minjus.gob.pe/wp-content/uploads/2018/02/PNDH-2018-2021.pdf</w:t>
        </w:r>
      </w:hyperlink>
      <w:r w:rsidRPr="002F75D0">
        <w:rPr>
          <w:rFonts w:cstheme="minorHAnsi"/>
          <w:sz w:val="18"/>
          <w:szCs w:val="18"/>
          <w:lang w:val="es-ES" w:eastAsia="es-ES"/>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181EFC"/>
    <w:multiLevelType w:val="hybridMultilevel"/>
    <w:tmpl w:val="4ABED172"/>
    <w:lvl w:ilvl="0" w:tplc="2D36D9A0">
      <w:start w:val="30"/>
      <w:numFmt w:val="bullet"/>
      <w:lvlText w:val=""/>
      <w:lvlJc w:val="left"/>
      <w:pPr>
        <w:ind w:left="720" w:hanging="360"/>
      </w:pPr>
      <w:rPr>
        <w:rFonts w:ascii="Symbol" w:eastAsiaTheme="minorHAnsi" w:hAnsi="Symbol" w:cs="Arial" w:hint="default"/>
        <w:color w:val="2222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nsid w:val="44EF3E9C"/>
    <w:multiLevelType w:val="hybridMultilevel"/>
    <w:tmpl w:val="0328908A"/>
    <w:lvl w:ilvl="0" w:tplc="D4681F3E">
      <w:start w:val="30"/>
      <w:numFmt w:val="bullet"/>
      <w:lvlText w:val=""/>
      <w:lvlJc w:val="left"/>
      <w:pPr>
        <w:ind w:left="720" w:hanging="360"/>
      </w:pPr>
      <w:rPr>
        <w:rFonts w:ascii="Symbol" w:eastAsiaTheme="minorHAnsi" w:hAnsi="Symbol"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nsid w:val="651D5835"/>
    <w:multiLevelType w:val="hybridMultilevel"/>
    <w:tmpl w:val="E6D6587A"/>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nsid w:val="687D5AC2"/>
    <w:multiLevelType w:val="hybridMultilevel"/>
    <w:tmpl w:val="A17242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D45"/>
    <w:rsid w:val="000025FC"/>
    <w:rsid w:val="00025832"/>
    <w:rsid w:val="00082535"/>
    <w:rsid w:val="0010441A"/>
    <w:rsid w:val="002E45DB"/>
    <w:rsid w:val="002F75D0"/>
    <w:rsid w:val="0035542C"/>
    <w:rsid w:val="003625CF"/>
    <w:rsid w:val="00385723"/>
    <w:rsid w:val="004020D3"/>
    <w:rsid w:val="00407834"/>
    <w:rsid w:val="004A2D45"/>
    <w:rsid w:val="00500560"/>
    <w:rsid w:val="00500D9B"/>
    <w:rsid w:val="005541F1"/>
    <w:rsid w:val="005542BD"/>
    <w:rsid w:val="0063449D"/>
    <w:rsid w:val="006B4C58"/>
    <w:rsid w:val="006C6887"/>
    <w:rsid w:val="0071291D"/>
    <w:rsid w:val="007A0676"/>
    <w:rsid w:val="007E7ACE"/>
    <w:rsid w:val="00837EB8"/>
    <w:rsid w:val="008D7438"/>
    <w:rsid w:val="0090223E"/>
    <w:rsid w:val="00A54E27"/>
    <w:rsid w:val="00A90DF0"/>
    <w:rsid w:val="00B02966"/>
    <w:rsid w:val="00B5042A"/>
    <w:rsid w:val="00BA0692"/>
    <w:rsid w:val="00BF12CB"/>
    <w:rsid w:val="00C41357"/>
    <w:rsid w:val="00DC3067"/>
    <w:rsid w:val="00E43270"/>
    <w:rsid w:val="00E869BC"/>
    <w:rsid w:val="00EC369D"/>
    <w:rsid w:val="00ED2023"/>
    <w:rsid w:val="00EE556C"/>
    <w:rsid w:val="00EF37F1"/>
    <w:rsid w:val="00F20B69"/>
    <w:rsid w:val="00FA0947"/>
    <w:rsid w:val="00FB463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1E0D19-9898-4FC8-B672-5CD61FA8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gleTxtG">
    <w:name w:val="_ Single Txt_G"/>
    <w:basedOn w:val="Normal"/>
    <w:qFormat/>
    <w:rsid w:val="005541F1"/>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customStyle="1" w:styleId="H23G">
    <w:name w:val="_ H_2/3_G"/>
    <w:basedOn w:val="Normal"/>
    <w:next w:val="Normal"/>
    <w:qFormat/>
    <w:rsid w:val="005541F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lang w:val="es-ES" w:eastAsia="es-ES"/>
    </w:rPr>
  </w:style>
  <w:style w:type="paragraph" w:styleId="Textonotapie">
    <w:name w:val="footnote text"/>
    <w:basedOn w:val="Normal"/>
    <w:link w:val="TextonotapieCar"/>
    <w:uiPriority w:val="99"/>
    <w:semiHidden/>
    <w:unhideWhenUsed/>
    <w:rsid w:val="006B4C5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6B4C58"/>
    <w:rPr>
      <w:sz w:val="20"/>
      <w:szCs w:val="20"/>
    </w:rPr>
  </w:style>
  <w:style w:type="character" w:styleId="Refdenotaalpie">
    <w:name w:val="footnote reference"/>
    <w:basedOn w:val="Fuentedeprrafopredeter"/>
    <w:uiPriority w:val="99"/>
    <w:semiHidden/>
    <w:unhideWhenUsed/>
    <w:rsid w:val="006B4C58"/>
    <w:rPr>
      <w:vertAlign w:val="superscript"/>
    </w:rPr>
  </w:style>
  <w:style w:type="table" w:styleId="Tablaconcuadrcula">
    <w:name w:val="Table Grid"/>
    <w:basedOn w:val="Tablanormal"/>
    <w:uiPriority w:val="39"/>
    <w:rsid w:val="006B4C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rrafodelista">
    <w:name w:val="List Paragraph"/>
    <w:basedOn w:val="Normal"/>
    <w:uiPriority w:val="34"/>
    <w:qFormat/>
    <w:rsid w:val="00A90DF0"/>
    <w:pPr>
      <w:ind w:left="720"/>
      <w:contextualSpacing/>
    </w:pPr>
  </w:style>
  <w:style w:type="paragraph" w:styleId="Encabezado">
    <w:name w:val="header"/>
    <w:basedOn w:val="Normal"/>
    <w:link w:val="EncabezadoCar"/>
    <w:uiPriority w:val="99"/>
    <w:unhideWhenUsed/>
    <w:rsid w:val="00E869B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69BC"/>
  </w:style>
  <w:style w:type="paragraph" w:styleId="Piedepgina">
    <w:name w:val="footer"/>
    <w:basedOn w:val="Normal"/>
    <w:link w:val="PiedepginaCar"/>
    <w:uiPriority w:val="99"/>
    <w:unhideWhenUsed/>
    <w:rsid w:val="00E869B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69BC"/>
  </w:style>
  <w:style w:type="character" w:styleId="Hipervnculo">
    <w:name w:val="Hyperlink"/>
    <w:basedOn w:val="Fuentedeprrafopredeter"/>
    <w:uiPriority w:val="99"/>
    <w:unhideWhenUsed/>
    <w:rsid w:val="00EC369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485820">
      <w:bodyDiv w:val="1"/>
      <w:marLeft w:val="0"/>
      <w:marRight w:val="0"/>
      <w:marTop w:val="0"/>
      <w:marBottom w:val="0"/>
      <w:divBdr>
        <w:top w:val="none" w:sz="0" w:space="0" w:color="auto"/>
        <w:left w:val="none" w:sz="0" w:space="0" w:color="auto"/>
        <w:bottom w:val="none" w:sz="0" w:space="0" w:color="auto"/>
        <w:right w:val="none" w:sz="0" w:space="0" w:color="auto"/>
      </w:divBdr>
      <w:divsChild>
        <w:div w:id="120850825">
          <w:marLeft w:val="0"/>
          <w:marRight w:val="0"/>
          <w:marTop w:val="0"/>
          <w:marBottom w:val="0"/>
          <w:divBdr>
            <w:top w:val="none" w:sz="0" w:space="0" w:color="auto"/>
            <w:left w:val="none" w:sz="0" w:space="0" w:color="auto"/>
            <w:bottom w:val="none" w:sz="0" w:space="0" w:color="auto"/>
            <w:right w:val="none" w:sz="0" w:space="0" w:color="auto"/>
          </w:divBdr>
        </w:div>
        <w:div w:id="14994949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minjus.gob.pe/wp-content/uploads/2018/02/PNDH-2018-2021.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17175C-9656-4DB9-A698-B5B0BFD5B950}"/>
</file>

<file path=customXml/itemProps2.xml><?xml version="1.0" encoding="utf-8"?>
<ds:datastoreItem xmlns:ds="http://schemas.openxmlformats.org/officeDocument/2006/customXml" ds:itemID="{D2FCAF5D-F488-4770-9697-C580F0977582}"/>
</file>

<file path=customXml/itemProps3.xml><?xml version="1.0" encoding="utf-8"?>
<ds:datastoreItem xmlns:ds="http://schemas.openxmlformats.org/officeDocument/2006/customXml" ds:itemID="{57B67D1E-83EA-4DEF-AFD4-F1558DD63803}"/>
</file>

<file path=customXml/itemProps4.xml><?xml version="1.0" encoding="utf-8"?>
<ds:datastoreItem xmlns:ds="http://schemas.openxmlformats.org/officeDocument/2006/customXml" ds:itemID="{2377D797-5DE5-4B5B-85A6-9C0EA24A0167}"/>
</file>

<file path=docProps/app.xml><?xml version="1.0" encoding="utf-8"?>
<Properties xmlns="http://schemas.openxmlformats.org/officeDocument/2006/extended-properties" xmlns:vt="http://schemas.openxmlformats.org/officeDocument/2006/docPropsVTypes">
  <Template>Normal</Template>
  <TotalTime>11</TotalTime>
  <Pages>3</Pages>
  <Words>976</Words>
  <Characters>5373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c:creator>
  <cp:keywords/>
  <dc:description/>
  <cp:lastModifiedBy>m</cp:lastModifiedBy>
  <cp:revision>3</cp:revision>
  <dcterms:created xsi:type="dcterms:W3CDTF">2018-03-31T03:26:00Z</dcterms:created>
  <dcterms:modified xsi:type="dcterms:W3CDTF">2018-03-31T03:37:00Z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