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911C88" w14:textId="3A7BE026" w:rsidR="0029177A" w:rsidRPr="00006EBC" w:rsidRDefault="00300D33" w:rsidP="00006EBC">
      <w:pPr>
        <w:spacing w:after="0" w:line="240" w:lineRule="auto"/>
        <w:jc w:val="right"/>
        <w:rPr>
          <w:rFonts w:ascii="Garamond" w:hAnsi="Garamond"/>
          <w:b/>
          <w:bCs/>
          <w:lang w:val="es-419"/>
        </w:rPr>
      </w:pPr>
      <w:r>
        <w:rPr>
          <w:rFonts w:ascii="Garamond" w:hAnsi="Garamond"/>
          <w:b/>
          <w:bCs/>
          <w:lang w:val="es-419"/>
        </w:rPr>
        <w:t>6</w:t>
      </w:r>
      <w:r w:rsidR="00672767" w:rsidRPr="00006EBC">
        <w:rPr>
          <w:rFonts w:ascii="Garamond" w:hAnsi="Garamond"/>
          <w:b/>
          <w:bCs/>
          <w:lang w:val="es-419"/>
        </w:rPr>
        <w:t xml:space="preserve"> de enero de 2025</w:t>
      </w:r>
    </w:p>
    <w:p w14:paraId="623090C1" w14:textId="77777777" w:rsidR="00B025F7" w:rsidRPr="00006EBC" w:rsidRDefault="00B025F7" w:rsidP="00006EBC">
      <w:pPr>
        <w:spacing w:after="0" w:line="240" w:lineRule="auto"/>
        <w:jc w:val="both"/>
        <w:rPr>
          <w:rFonts w:ascii="Garamond" w:hAnsi="Garamond"/>
          <w:b/>
          <w:bCs/>
          <w:lang w:val="es-419"/>
        </w:rPr>
      </w:pPr>
    </w:p>
    <w:p w14:paraId="21CC1D5F" w14:textId="77777777" w:rsidR="008828AB" w:rsidRDefault="008828AB" w:rsidP="00006EBC">
      <w:pPr>
        <w:spacing w:after="0" w:line="240" w:lineRule="auto"/>
        <w:jc w:val="both"/>
        <w:rPr>
          <w:rFonts w:ascii="Garamond" w:hAnsi="Garamond"/>
          <w:b/>
          <w:bCs/>
          <w:lang w:val="es-419"/>
        </w:rPr>
      </w:pPr>
    </w:p>
    <w:p w14:paraId="6B17DDAE" w14:textId="1E2F90A0" w:rsidR="00F433FA" w:rsidRPr="00006EBC" w:rsidRDefault="00F433FA" w:rsidP="00006EBC">
      <w:pPr>
        <w:spacing w:after="0" w:line="240" w:lineRule="auto"/>
        <w:jc w:val="both"/>
        <w:rPr>
          <w:rFonts w:ascii="Garamond" w:hAnsi="Garamond"/>
          <w:b/>
          <w:bCs/>
          <w:lang w:val="es-419"/>
        </w:rPr>
      </w:pPr>
      <w:r w:rsidRPr="00006EBC">
        <w:rPr>
          <w:rFonts w:ascii="Garamond" w:hAnsi="Garamond"/>
          <w:b/>
          <w:bCs/>
          <w:lang w:val="es-419"/>
        </w:rPr>
        <w:t xml:space="preserve">Secretaría del Comité de Derechos Humanos </w:t>
      </w:r>
    </w:p>
    <w:p w14:paraId="5720D8A4" w14:textId="77777777" w:rsidR="00F433FA" w:rsidRPr="00006EBC" w:rsidRDefault="00F433FA" w:rsidP="00006EBC">
      <w:pPr>
        <w:spacing w:after="0" w:line="240" w:lineRule="auto"/>
        <w:jc w:val="both"/>
        <w:rPr>
          <w:rFonts w:ascii="Garamond" w:hAnsi="Garamond"/>
          <w:b/>
          <w:bCs/>
          <w:lang w:val="es-419"/>
        </w:rPr>
      </w:pPr>
      <w:r w:rsidRPr="00006EBC">
        <w:rPr>
          <w:rFonts w:ascii="Garamond" w:hAnsi="Garamond"/>
          <w:b/>
          <w:bCs/>
          <w:lang w:val="es-419"/>
        </w:rPr>
        <w:t xml:space="preserve">Oficina del Alto Comisionado de las Naciones Unidas para los Derechos Humanos </w:t>
      </w:r>
    </w:p>
    <w:p w14:paraId="50A641FC" w14:textId="562DAB27" w:rsidR="00F433FA" w:rsidRPr="00006EBC" w:rsidRDefault="00F433FA" w:rsidP="00006EBC">
      <w:pPr>
        <w:spacing w:after="0" w:line="240" w:lineRule="auto"/>
        <w:jc w:val="both"/>
        <w:rPr>
          <w:rFonts w:ascii="Garamond" w:hAnsi="Garamond"/>
          <w:b/>
          <w:bCs/>
          <w:lang w:val="es-419"/>
        </w:rPr>
      </w:pPr>
      <w:r w:rsidRPr="00006EBC">
        <w:rPr>
          <w:rFonts w:ascii="Garamond" w:hAnsi="Garamond"/>
          <w:b/>
          <w:bCs/>
          <w:lang w:val="es-419"/>
        </w:rPr>
        <w:t>Ginebra, Suiza</w:t>
      </w:r>
    </w:p>
    <w:p w14:paraId="1C7057C2" w14:textId="77777777" w:rsidR="00672767" w:rsidRDefault="00672767" w:rsidP="00006EBC">
      <w:pPr>
        <w:spacing w:after="0" w:line="240" w:lineRule="auto"/>
        <w:jc w:val="both"/>
        <w:rPr>
          <w:rFonts w:ascii="Garamond" w:hAnsi="Garamond"/>
          <w:b/>
          <w:bCs/>
          <w:lang w:val="es-419"/>
        </w:rPr>
      </w:pPr>
    </w:p>
    <w:p w14:paraId="55BEBE6E" w14:textId="77777777" w:rsidR="008828AB" w:rsidRPr="00006EBC" w:rsidRDefault="008828AB" w:rsidP="00006EBC">
      <w:pPr>
        <w:spacing w:after="0" w:line="240" w:lineRule="auto"/>
        <w:jc w:val="both"/>
        <w:rPr>
          <w:rFonts w:ascii="Garamond" w:hAnsi="Garamond"/>
          <w:b/>
          <w:bCs/>
          <w:lang w:val="es-419"/>
        </w:rPr>
      </w:pPr>
    </w:p>
    <w:p w14:paraId="6166D7B2" w14:textId="71CC7DE7" w:rsidR="007D0FAB" w:rsidRPr="00006EBC" w:rsidRDefault="007D0FAB" w:rsidP="00006EBC">
      <w:pPr>
        <w:spacing w:after="0" w:line="240" w:lineRule="auto"/>
        <w:jc w:val="right"/>
        <w:rPr>
          <w:rFonts w:ascii="Garamond" w:hAnsi="Garamond"/>
          <w:b/>
          <w:bCs/>
          <w:lang w:val="es-419"/>
        </w:rPr>
      </w:pPr>
      <w:r w:rsidRPr="00006EBC">
        <w:rPr>
          <w:rFonts w:ascii="Garamond" w:hAnsi="Garamond"/>
          <w:b/>
          <w:bCs/>
          <w:lang w:val="es-419"/>
        </w:rPr>
        <w:t>Re</w:t>
      </w:r>
      <w:r w:rsidR="006147CB" w:rsidRPr="00006EBC">
        <w:rPr>
          <w:rFonts w:ascii="Garamond" w:hAnsi="Garamond"/>
          <w:b/>
          <w:bCs/>
          <w:lang w:val="es-419"/>
        </w:rPr>
        <w:t xml:space="preserve">: Aportes </w:t>
      </w:r>
      <w:r w:rsidRPr="00006EBC">
        <w:rPr>
          <w:rFonts w:ascii="Garamond" w:hAnsi="Garamond"/>
          <w:b/>
          <w:bCs/>
          <w:lang w:val="es-419"/>
        </w:rPr>
        <w:t>para la elaboración de la lista de cuestiones previas a la presentación de informes de República Dominicana</w:t>
      </w:r>
    </w:p>
    <w:p w14:paraId="1E226A9F" w14:textId="1D6A480B" w:rsidR="007D0FAB" w:rsidRPr="00006EBC" w:rsidRDefault="007D0FAB" w:rsidP="00006EBC">
      <w:pPr>
        <w:spacing w:after="0" w:line="240" w:lineRule="auto"/>
        <w:jc w:val="right"/>
        <w:rPr>
          <w:rFonts w:ascii="Garamond" w:hAnsi="Garamond"/>
          <w:b/>
          <w:bCs/>
          <w:lang w:val="es-419"/>
        </w:rPr>
      </w:pPr>
      <w:r w:rsidRPr="00006EBC">
        <w:rPr>
          <w:rFonts w:ascii="Garamond" w:hAnsi="Garamond"/>
          <w:b/>
          <w:bCs/>
          <w:lang w:val="es-419"/>
        </w:rPr>
        <w:t>143</w:t>
      </w:r>
      <w:r w:rsidR="00201290" w:rsidRPr="00006EBC">
        <w:rPr>
          <w:rFonts w:ascii="Garamond" w:hAnsi="Garamond"/>
          <w:b/>
          <w:bCs/>
          <w:lang w:val="es-419"/>
        </w:rPr>
        <w:t>º Período de Sesiones del Comité de Derechos Humanos</w:t>
      </w:r>
    </w:p>
    <w:p w14:paraId="5B992BC5" w14:textId="77777777" w:rsidR="00201290" w:rsidRPr="00006EBC" w:rsidRDefault="00201290" w:rsidP="00006EBC">
      <w:pPr>
        <w:spacing w:after="0" w:line="240" w:lineRule="auto"/>
        <w:jc w:val="right"/>
        <w:rPr>
          <w:rFonts w:ascii="Garamond" w:hAnsi="Garamond"/>
          <w:lang w:val="es-419"/>
        </w:rPr>
      </w:pPr>
    </w:p>
    <w:p w14:paraId="6DDF304C" w14:textId="77777777" w:rsidR="006147CB" w:rsidRPr="00006EBC" w:rsidRDefault="006147CB" w:rsidP="00006EBC">
      <w:pPr>
        <w:spacing w:after="0" w:line="240" w:lineRule="auto"/>
        <w:jc w:val="both"/>
        <w:rPr>
          <w:rFonts w:ascii="Garamond" w:hAnsi="Garamond"/>
          <w:lang w:val="es-419"/>
        </w:rPr>
      </w:pPr>
    </w:p>
    <w:p w14:paraId="6FD8CD0D" w14:textId="77777777" w:rsidR="001C2BB6" w:rsidRDefault="00F433FA" w:rsidP="00006EBC">
      <w:pPr>
        <w:spacing w:after="0" w:line="240" w:lineRule="auto"/>
        <w:jc w:val="both"/>
        <w:rPr>
          <w:rFonts w:ascii="Garamond" w:hAnsi="Garamond"/>
          <w:lang w:val="es-419"/>
        </w:rPr>
      </w:pPr>
      <w:r w:rsidRPr="00006EBC">
        <w:rPr>
          <w:rFonts w:ascii="Garamond" w:hAnsi="Garamond"/>
          <w:lang w:val="es-419"/>
        </w:rPr>
        <w:t>La</w:t>
      </w:r>
      <w:r w:rsidR="00FD0E25">
        <w:rPr>
          <w:rFonts w:ascii="Garamond" w:hAnsi="Garamond"/>
          <w:lang w:val="es-419"/>
        </w:rPr>
        <w:t xml:space="preserve"> Red de Abogadas Feministas por el derecho a decidir de Centroamérica y República Dominicana y CIPAF, </w:t>
      </w:r>
      <w:r w:rsidRPr="00006EBC">
        <w:rPr>
          <w:rFonts w:ascii="Garamond" w:hAnsi="Garamond"/>
          <w:lang w:val="es-419"/>
        </w:rPr>
        <w:t>organizaciones que suscribimos la presente comunicación</w:t>
      </w:r>
      <w:r w:rsidR="00FD0E25">
        <w:rPr>
          <w:rFonts w:ascii="Garamond" w:hAnsi="Garamond"/>
          <w:lang w:val="es-419"/>
        </w:rPr>
        <w:t>,</w:t>
      </w:r>
      <w:r w:rsidRPr="00006EBC">
        <w:rPr>
          <w:rFonts w:ascii="Garamond" w:hAnsi="Garamond"/>
          <w:lang w:val="es-419"/>
        </w:rPr>
        <w:t xml:space="preserve"> nos permitimos presentar ante este Honorable Comité </w:t>
      </w:r>
      <w:r w:rsidR="00A63803" w:rsidRPr="00006EBC">
        <w:rPr>
          <w:rFonts w:ascii="Garamond" w:hAnsi="Garamond"/>
          <w:lang w:val="es-419"/>
        </w:rPr>
        <w:t xml:space="preserve">de Derechos Humanos (“el Comité”) </w:t>
      </w:r>
      <w:r w:rsidRPr="00006EBC">
        <w:rPr>
          <w:rFonts w:ascii="Garamond" w:hAnsi="Garamond"/>
          <w:lang w:val="es-419"/>
        </w:rPr>
        <w:t>nuestr</w:t>
      </w:r>
      <w:r w:rsidR="007A7BE6" w:rsidRPr="00006EBC">
        <w:rPr>
          <w:rFonts w:ascii="Garamond" w:hAnsi="Garamond"/>
          <w:lang w:val="es-419"/>
        </w:rPr>
        <w:t xml:space="preserve">os aportes y comentarios en el marco de la adopción de la lista de cuestiones previas </w:t>
      </w:r>
      <w:r w:rsidR="00A63803" w:rsidRPr="00006EBC">
        <w:rPr>
          <w:rFonts w:ascii="Garamond" w:hAnsi="Garamond"/>
          <w:lang w:val="es-419"/>
        </w:rPr>
        <w:t xml:space="preserve">a la presentación del </w:t>
      </w:r>
      <w:r w:rsidR="004B3011" w:rsidRPr="00006EBC">
        <w:rPr>
          <w:rFonts w:ascii="Garamond" w:hAnsi="Garamond"/>
          <w:lang w:val="es-419"/>
        </w:rPr>
        <w:t>7mo I</w:t>
      </w:r>
      <w:r w:rsidR="00A63803" w:rsidRPr="00006EBC">
        <w:rPr>
          <w:rFonts w:ascii="Garamond" w:hAnsi="Garamond"/>
          <w:lang w:val="es-419"/>
        </w:rPr>
        <w:t xml:space="preserve">nforme </w:t>
      </w:r>
      <w:r w:rsidR="00A93B65" w:rsidRPr="00006EBC">
        <w:rPr>
          <w:rFonts w:ascii="Garamond" w:hAnsi="Garamond"/>
          <w:lang w:val="es-419"/>
        </w:rPr>
        <w:t xml:space="preserve">relativo al cumplimiento por parte de la República Dominicana del Pacto Internacional de Derechos Civiles y Políticos. </w:t>
      </w:r>
      <w:r w:rsidR="00061B73" w:rsidRPr="00006EBC">
        <w:rPr>
          <w:rFonts w:ascii="Garamond" w:hAnsi="Garamond"/>
          <w:lang w:val="es-419"/>
        </w:rPr>
        <w:t xml:space="preserve">Solicitamos atentamente que esta información sea considerada por este Comité durante su 143º Periodo de Sesiones. </w:t>
      </w:r>
    </w:p>
    <w:p w14:paraId="7773A63E" w14:textId="4B540CBA" w:rsidR="005A2A50" w:rsidRDefault="005A2A50" w:rsidP="00006EBC">
      <w:pPr>
        <w:spacing w:after="0" w:line="240" w:lineRule="auto"/>
        <w:jc w:val="both"/>
        <w:rPr>
          <w:rFonts w:ascii="Garamond" w:hAnsi="Garamond"/>
          <w:lang w:val="es-419"/>
        </w:rPr>
      </w:pPr>
    </w:p>
    <w:p w14:paraId="29B30FBE" w14:textId="7FD72CAD" w:rsidR="00F42186" w:rsidRPr="009147EC" w:rsidRDefault="00515BFB" w:rsidP="00006EBC">
      <w:pPr>
        <w:spacing w:after="0" w:line="240" w:lineRule="auto"/>
        <w:jc w:val="both"/>
        <w:rPr>
          <w:rFonts w:ascii="Garamond" w:hAnsi="Garamond"/>
          <w:lang w:val="es-419"/>
        </w:rPr>
      </w:pPr>
      <w:r w:rsidRPr="00515BFB">
        <w:rPr>
          <w:rFonts w:ascii="Garamond" w:hAnsi="Garamond"/>
          <w:lang w:val="es-419"/>
        </w:rPr>
        <w:t>La Red de Abogadas Feministas por el Derecho a Decidir de Centroamericana y República Dominicana es una red que reúne a abogadas feministas y abogados aliados de Costa Rica, El Salvador, Guatemala, Honduras, Panamá y República Dominicana que defendemos a mujeres, personas gestantes, profesionales de la salud y acompañantes criminalizadas por el delito de aborto o delitos relacionados en Centroamérica y el Caribe, y que</w:t>
      </w:r>
      <w:r w:rsidRPr="00E25B45">
        <w:rPr>
          <w:rFonts w:ascii="Garamond" w:hAnsi="Garamond"/>
          <w:lang w:val="es-419"/>
        </w:rPr>
        <w:t>, en general, usamos el derecho de manera creativa y estratégica para eliminar barreras de acceso aborto</w:t>
      </w:r>
      <w:r w:rsidR="00626171" w:rsidRPr="00E25B45">
        <w:rPr>
          <w:rFonts w:ascii="Garamond" w:hAnsi="Garamond"/>
          <w:lang w:val="es-419"/>
        </w:rPr>
        <w:t xml:space="preserve">. </w:t>
      </w:r>
      <w:r w:rsidR="00FD0E25" w:rsidRPr="00E25B45">
        <w:rPr>
          <w:rFonts w:ascii="Garamond" w:hAnsi="Garamond"/>
          <w:lang w:val="es-419"/>
        </w:rPr>
        <w:t xml:space="preserve">Asimismo, </w:t>
      </w:r>
      <w:r w:rsidR="004019E1" w:rsidRPr="00E25B45">
        <w:rPr>
          <w:rFonts w:ascii="Garamond" w:hAnsi="Garamond"/>
          <w:lang w:val="es-419"/>
        </w:rPr>
        <w:t xml:space="preserve">el Centro de Investigación para la Acción Femenina (CIPAF) </w:t>
      </w:r>
      <w:r w:rsidR="009147EC" w:rsidRPr="00E25B45">
        <w:rPr>
          <w:rFonts w:ascii="Garamond" w:hAnsi="Garamond"/>
          <w:lang w:val="es-419"/>
        </w:rPr>
        <w:t>es una organización pionera en el movimiento feminista en la República Dominicana, fundada en el año 1979, que trabaja estrechamente con otros movimientos para el fortalecimiento de la equidad de género y la democracia.</w:t>
      </w:r>
    </w:p>
    <w:p w14:paraId="59D00BD1" w14:textId="77777777" w:rsidR="00F261A2" w:rsidRPr="00006EBC" w:rsidRDefault="00F261A2" w:rsidP="00006EBC">
      <w:pPr>
        <w:spacing w:after="0" w:line="240" w:lineRule="auto"/>
        <w:jc w:val="both"/>
        <w:rPr>
          <w:rFonts w:ascii="Garamond" w:hAnsi="Garamond"/>
          <w:lang w:val="es-419"/>
        </w:rPr>
      </w:pPr>
    </w:p>
    <w:p w14:paraId="03667D3B" w14:textId="77777777" w:rsidR="0040354D" w:rsidRPr="00006EBC" w:rsidRDefault="002A1882" w:rsidP="00006EBC">
      <w:pPr>
        <w:spacing w:after="0" w:line="240" w:lineRule="auto"/>
        <w:jc w:val="both"/>
        <w:rPr>
          <w:rFonts w:ascii="Garamond" w:hAnsi="Garamond"/>
          <w:lang w:val="es-419"/>
        </w:rPr>
      </w:pPr>
      <w:r w:rsidRPr="00006EBC">
        <w:rPr>
          <w:rFonts w:ascii="Garamond" w:hAnsi="Garamond"/>
          <w:lang w:val="es-419"/>
        </w:rPr>
        <w:t>En esta oportunidad, las organizaciones presentaremos información específicamente sobre: i) la situación de mortalidad materna</w:t>
      </w:r>
      <w:r w:rsidR="00A1649B" w:rsidRPr="00006EBC">
        <w:rPr>
          <w:rFonts w:ascii="Garamond" w:hAnsi="Garamond"/>
          <w:lang w:val="es-419"/>
        </w:rPr>
        <w:t xml:space="preserve">, </w:t>
      </w:r>
      <w:proofErr w:type="spellStart"/>
      <w:r w:rsidR="00A1649B" w:rsidRPr="00006EBC">
        <w:rPr>
          <w:rFonts w:ascii="Garamond" w:hAnsi="Garamond"/>
          <w:lang w:val="es-419"/>
        </w:rPr>
        <w:t>ii</w:t>
      </w:r>
      <w:proofErr w:type="spellEnd"/>
      <w:r w:rsidR="00A1649B" w:rsidRPr="00006EBC">
        <w:rPr>
          <w:rFonts w:ascii="Garamond" w:hAnsi="Garamond"/>
          <w:lang w:val="es-419"/>
        </w:rPr>
        <w:t>) embarazo infantil y adolescente</w:t>
      </w:r>
      <w:r w:rsidR="00DC5F5A" w:rsidRPr="00006EBC">
        <w:rPr>
          <w:rFonts w:ascii="Garamond" w:hAnsi="Garamond"/>
          <w:lang w:val="es-419"/>
        </w:rPr>
        <w:t xml:space="preserve">, </w:t>
      </w:r>
      <w:proofErr w:type="spellStart"/>
      <w:r w:rsidR="00DC5F5A" w:rsidRPr="00006EBC">
        <w:rPr>
          <w:rFonts w:ascii="Garamond" w:hAnsi="Garamond"/>
          <w:lang w:val="es-419"/>
        </w:rPr>
        <w:t>iii</w:t>
      </w:r>
      <w:proofErr w:type="spellEnd"/>
      <w:r w:rsidR="00DC5F5A" w:rsidRPr="00006EBC">
        <w:rPr>
          <w:rFonts w:ascii="Garamond" w:hAnsi="Garamond"/>
          <w:lang w:val="es-419"/>
        </w:rPr>
        <w:t>) acceso a servicios de salud reproductiva</w:t>
      </w:r>
      <w:r w:rsidR="00A1649B" w:rsidRPr="00006EBC">
        <w:rPr>
          <w:rFonts w:ascii="Garamond" w:hAnsi="Garamond"/>
          <w:lang w:val="es-419"/>
        </w:rPr>
        <w:t xml:space="preserve"> y </w:t>
      </w:r>
      <w:proofErr w:type="spellStart"/>
      <w:r w:rsidR="00A1649B" w:rsidRPr="00006EBC">
        <w:rPr>
          <w:rFonts w:ascii="Garamond" w:hAnsi="Garamond"/>
          <w:lang w:val="es-419"/>
        </w:rPr>
        <w:t>i</w:t>
      </w:r>
      <w:r w:rsidR="00DC5F5A" w:rsidRPr="00006EBC">
        <w:rPr>
          <w:rFonts w:ascii="Garamond" w:hAnsi="Garamond"/>
          <w:lang w:val="es-419"/>
        </w:rPr>
        <w:t>v</w:t>
      </w:r>
      <w:proofErr w:type="spellEnd"/>
      <w:r w:rsidR="00A1649B" w:rsidRPr="00006EBC">
        <w:rPr>
          <w:rFonts w:ascii="Garamond" w:hAnsi="Garamond"/>
          <w:lang w:val="es-419"/>
        </w:rPr>
        <w:t xml:space="preserve">) la criminalización de la interrupción voluntaria del embarazo en todos los casos. </w:t>
      </w:r>
    </w:p>
    <w:p w14:paraId="3AE45E7A" w14:textId="77777777" w:rsidR="0040354D" w:rsidRPr="00006EBC" w:rsidRDefault="0040354D" w:rsidP="00006EBC">
      <w:pPr>
        <w:spacing w:after="0" w:line="240" w:lineRule="auto"/>
        <w:jc w:val="both"/>
        <w:rPr>
          <w:rFonts w:ascii="Garamond" w:hAnsi="Garamond"/>
          <w:lang w:val="es-419"/>
        </w:rPr>
      </w:pPr>
    </w:p>
    <w:p w14:paraId="06C8471F" w14:textId="6281863D" w:rsidR="00F85A52" w:rsidRDefault="00A1649B" w:rsidP="00006EBC">
      <w:pPr>
        <w:spacing w:after="0" w:line="240" w:lineRule="auto"/>
        <w:jc w:val="both"/>
        <w:rPr>
          <w:rFonts w:ascii="Garamond" w:hAnsi="Garamond"/>
          <w:lang w:val="es-419"/>
        </w:rPr>
      </w:pPr>
      <w:r w:rsidRPr="00006EBC">
        <w:rPr>
          <w:rFonts w:ascii="Garamond" w:hAnsi="Garamond"/>
          <w:lang w:val="es-419"/>
        </w:rPr>
        <w:t xml:space="preserve">Cabe destacar que, en general, </w:t>
      </w:r>
      <w:r w:rsidR="0016786B" w:rsidRPr="00006EBC">
        <w:rPr>
          <w:rFonts w:ascii="Garamond" w:hAnsi="Garamond"/>
          <w:lang w:val="es-419"/>
        </w:rPr>
        <w:t>nuestra valoración como organizaciones de sociedad civil es que</w:t>
      </w:r>
      <w:r w:rsidR="00F85A52" w:rsidRPr="00006EBC">
        <w:rPr>
          <w:rFonts w:ascii="Garamond" w:hAnsi="Garamond"/>
          <w:lang w:val="es-419"/>
        </w:rPr>
        <w:t>,</w:t>
      </w:r>
      <w:r w:rsidR="0016786B" w:rsidRPr="00006EBC">
        <w:rPr>
          <w:rFonts w:ascii="Garamond" w:hAnsi="Garamond"/>
          <w:lang w:val="es-419"/>
        </w:rPr>
        <w:t xml:space="preserve"> si bien se han adoptado ciertas medidas en algunos aspectos de las recomendaciones emitidas por este Comité en su última revisión periódica relativa al 6</w:t>
      </w:r>
      <w:r w:rsidR="00B31F79" w:rsidRPr="00006EBC">
        <w:rPr>
          <w:rFonts w:ascii="Garamond" w:hAnsi="Garamond"/>
          <w:lang w:val="es-419"/>
        </w:rPr>
        <w:t>º</w:t>
      </w:r>
      <w:r w:rsidR="0016786B" w:rsidRPr="00006EBC">
        <w:rPr>
          <w:rFonts w:ascii="Garamond" w:hAnsi="Garamond"/>
          <w:lang w:val="es-419"/>
        </w:rPr>
        <w:t xml:space="preserve"> informe de país, </w:t>
      </w:r>
      <w:r w:rsidR="00F85A52" w:rsidRPr="00006EBC">
        <w:rPr>
          <w:rFonts w:ascii="Garamond" w:hAnsi="Garamond"/>
          <w:lang w:val="es-419"/>
        </w:rPr>
        <w:t xml:space="preserve">el Estado dominicano continúa sin dar cumplimiento </w:t>
      </w:r>
      <w:r w:rsidR="00474EDA" w:rsidRPr="00006EBC">
        <w:rPr>
          <w:rFonts w:ascii="Garamond" w:hAnsi="Garamond"/>
          <w:lang w:val="es-419"/>
        </w:rPr>
        <w:t>a sus obligaciones en materia de derechos sexuales y reproductivos conforme al Pacto Internacional de Derechos Civiles y Políticos (en adelante “el Pacto”)</w:t>
      </w:r>
      <w:r w:rsidR="00FD5B24" w:rsidRPr="00006EBC">
        <w:rPr>
          <w:rFonts w:ascii="Garamond" w:hAnsi="Garamond"/>
          <w:lang w:val="es-419"/>
        </w:rPr>
        <w:t xml:space="preserve">. Por lo tanto, </w:t>
      </w:r>
      <w:r w:rsidR="0040354D" w:rsidRPr="00006EBC">
        <w:rPr>
          <w:rFonts w:ascii="Garamond" w:hAnsi="Garamond"/>
          <w:lang w:val="es-419"/>
        </w:rPr>
        <w:t xml:space="preserve">en esta oportunidad también </w:t>
      </w:r>
      <w:r w:rsidR="00FD5B24" w:rsidRPr="00006EBC">
        <w:rPr>
          <w:rFonts w:ascii="Garamond" w:hAnsi="Garamond"/>
          <w:lang w:val="es-419"/>
        </w:rPr>
        <w:t xml:space="preserve">presentamos </w:t>
      </w:r>
      <w:r w:rsidR="00541C5B" w:rsidRPr="00006EBC">
        <w:rPr>
          <w:rFonts w:ascii="Garamond" w:hAnsi="Garamond"/>
          <w:lang w:val="es-419"/>
        </w:rPr>
        <w:t xml:space="preserve">nuestras solicitudes para </w:t>
      </w:r>
      <w:r w:rsidR="0040354D" w:rsidRPr="00006EBC">
        <w:rPr>
          <w:rFonts w:ascii="Garamond" w:hAnsi="Garamond"/>
          <w:lang w:val="es-419"/>
        </w:rPr>
        <w:t xml:space="preserve">que </w:t>
      </w:r>
      <w:r w:rsidR="006B1334" w:rsidRPr="00006EBC">
        <w:rPr>
          <w:rFonts w:ascii="Garamond" w:hAnsi="Garamond"/>
          <w:lang w:val="es-419"/>
        </w:rPr>
        <w:t xml:space="preserve">estas temáticas continúen siendo </w:t>
      </w:r>
      <w:r w:rsidR="00541C5B" w:rsidRPr="00006EBC">
        <w:rPr>
          <w:rFonts w:ascii="Garamond" w:hAnsi="Garamond"/>
          <w:lang w:val="es-419"/>
        </w:rPr>
        <w:t>consideradas</w:t>
      </w:r>
      <w:r w:rsidR="006B1334" w:rsidRPr="00006EBC">
        <w:rPr>
          <w:rFonts w:ascii="Garamond" w:hAnsi="Garamond"/>
          <w:lang w:val="es-419"/>
        </w:rPr>
        <w:t xml:space="preserve"> por el Comité e incluidas desde esta </w:t>
      </w:r>
      <w:r w:rsidR="00B31F79" w:rsidRPr="00006EBC">
        <w:rPr>
          <w:rFonts w:ascii="Garamond" w:hAnsi="Garamond"/>
          <w:lang w:val="es-419"/>
        </w:rPr>
        <w:t xml:space="preserve">etapa de la lista de cuestiones y previo a la presentación del 7º informe de país. </w:t>
      </w:r>
      <w:r w:rsidR="00A32FD3">
        <w:rPr>
          <w:rFonts w:ascii="Garamond" w:hAnsi="Garamond"/>
          <w:lang w:val="es-419"/>
        </w:rPr>
        <w:t xml:space="preserve">En la etapa correspondiente, las organizaciones remitiremos igualmente información más detallada sobre las preocupaciones planteadas en este documento </w:t>
      </w:r>
      <w:r w:rsidR="008828AB">
        <w:rPr>
          <w:rFonts w:ascii="Garamond" w:hAnsi="Garamond"/>
          <w:lang w:val="es-419"/>
        </w:rPr>
        <w:t xml:space="preserve">para que sean igualmente consideradas durante la evaluación de país. </w:t>
      </w:r>
    </w:p>
    <w:p w14:paraId="2C1E36F8" w14:textId="77777777" w:rsidR="008828AB" w:rsidRPr="00006EBC" w:rsidRDefault="008828AB" w:rsidP="00006EBC">
      <w:pPr>
        <w:spacing w:after="0" w:line="240" w:lineRule="auto"/>
        <w:jc w:val="both"/>
        <w:rPr>
          <w:rFonts w:ascii="Garamond" w:hAnsi="Garamond"/>
          <w:lang w:val="es-419"/>
        </w:rPr>
      </w:pPr>
    </w:p>
    <w:p w14:paraId="6932F8A7" w14:textId="77777777" w:rsidR="00A1649B" w:rsidRDefault="00A1649B" w:rsidP="00006EBC">
      <w:pPr>
        <w:spacing w:after="0" w:line="240" w:lineRule="auto"/>
        <w:jc w:val="both"/>
        <w:rPr>
          <w:rFonts w:ascii="Garamond" w:hAnsi="Garamond"/>
          <w:lang w:val="es-419"/>
        </w:rPr>
      </w:pPr>
    </w:p>
    <w:p w14:paraId="358C03E1" w14:textId="77777777" w:rsidR="008828AB" w:rsidRDefault="008828AB" w:rsidP="00006EBC">
      <w:pPr>
        <w:spacing w:after="0" w:line="240" w:lineRule="auto"/>
        <w:jc w:val="both"/>
        <w:rPr>
          <w:rFonts w:ascii="Garamond" w:hAnsi="Garamond"/>
          <w:lang w:val="es-419"/>
        </w:rPr>
      </w:pPr>
    </w:p>
    <w:p w14:paraId="0A2C2DC7" w14:textId="77777777" w:rsidR="008828AB" w:rsidRPr="00006EBC" w:rsidRDefault="008828AB" w:rsidP="00006EBC">
      <w:pPr>
        <w:spacing w:after="0" w:line="240" w:lineRule="auto"/>
        <w:jc w:val="both"/>
        <w:rPr>
          <w:rFonts w:ascii="Garamond" w:hAnsi="Garamond"/>
          <w:lang w:val="es-419"/>
        </w:rPr>
      </w:pPr>
    </w:p>
    <w:p w14:paraId="4BDAABE9" w14:textId="7BFEBCB6" w:rsidR="00A1649B" w:rsidRPr="00006EBC" w:rsidRDefault="00A1649B" w:rsidP="00006EBC">
      <w:pPr>
        <w:pStyle w:val="ListParagraph"/>
        <w:numPr>
          <w:ilvl w:val="0"/>
          <w:numId w:val="1"/>
        </w:numPr>
        <w:spacing w:after="0" w:line="240" w:lineRule="auto"/>
        <w:jc w:val="both"/>
        <w:rPr>
          <w:rFonts w:ascii="Garamond" w:hAnsi="Garamond"/>
          <w:b/>
          <w:bCs/>
          <w:lang w:val="es-419"/>
        </w:rPr>
      </w:pPr>
      <w:r w:rsidRPr="00006EBC">
        <w:rPr>
          <w:rFonts w:ascii="Garamond" w:hAnsi="Garamond"/>
          <w:b/>
          <w:bCs/>
          <w:lang w:val="es-419"/>
        </w:rPr>
        <w:t>La situación de mortalidad materna en la República Domi</w:t>
      </w:r>
      <w:r w:rsidR="00B41C8A" w:rsidRPr="00006EBC">
        <w:rPr>
          <w:rFonts w:ascii="Garamond" w:hAnsi="Garamond"/>
          <w:b/>
          <w:bCs/>
          <w:lang w:val="es-419"/>
        </w:rPr>
        <w:t>nicana</w:t>
      </w:r>
    </w:p>
    <w:p w14:paraId="256DD4D3" w14:textId="77777777" w:rsidR="00A56FD9" w:rsidRDefault="00A56FD9" w:rsidP="00006EBC">
      <w:pPr>
        <w:spacing w:after="0" w:line="240" w:lineRule="auto"/>
        <w:jc w:val="both"/>
        <w:rPr>
          <w:rFonts w:ascii="Garamond" w:hAnsi="Garamond"/>
          <w:lang w:val="es-419"/>
        </w:rPr>
      </w:pPr>
    </w:p>
    <w:p w14:paraId="385D03AD" w14:textId="77777777" w:rsidR="000203BC" w:rsidRDefault="00546A8E" w:rsidP="007E2987">
      <w:pPr>
        <w:spacing w:line="240" w:lineRule="auto"/>
        <w:jc w:val="both"/>
        <w:rPr>
          <w:rFonts w:ascii="Garamond" w:hAnsi="Garamond"/>
          <w:lang w:val="es-419"/>
        </w:rPr>
      </w:pPr>
      <w:r>
        <w:rPr>
          <w:rFonts w:ascii="Garamond" w:hAnsi="Garamond"/>
          <w:lang w:val="es-419"/>
        </w:rPr>
        <w:t xml:space="preserve">Como ha reconocido este Comité, </w:t>
      </w:r>
      <w:r w:rsidR="00814846">
        <w:rPr>
          <w:rFonts w:ascii="Garamond" w:hAnsi="Garamond"/>
          <w:lang w:val="es-419"/>
        </w:rPr>
        <w:t>la mortalidad materna es una</w:t>
      </w:r>
      <w:r>
        <w:rPr>
          <w:rFonts w:ascii="Garamond" w:hAnsi="Garamond"/>
          <w:lang w:val="es-419"/>
        </w:rPr>
        <w:t xml:space="preserve"> problemática relacionada </w:t>
      </w:r>
      <w:r w:rsidR="001730D3">
        <w:rPr>
          <w:rFonts w:ascii="Garamond" w:hAnsi="Garamond"/>
          <w:lang w:val="es-419"/>
        </w:rPr>
        <w:t xml:space="preserve">entre otros factores, </w:t>
      </w:r>
      <w:r>
        <w:rPr>
          <w:rFonts w:ascii="Garamond" w:hAnsi="Garamond"/>
          <w:lang w:val="es-419"/>
        </w:rPr>
        <w:t xml:space="preserve">con </w:t>
      </w:r>
      <w:r w:rsidR="001730D3">
        <w:rPr>
          <w:rFonts w:ascii="Garamond" w:hAnsi="Garamond"/>
          <w:lang w:val="es-419"/>
        </w:rPr>
        <w:t>un elevado número de abortos inseguros debido al marco normativo restrictivo en el país</w:t>
      </w:r>
      <w:r w:rsidR="001730D3">
        <w:rPr>
          <w:rStyle w:val="FootnoteReference"/>
          <w:rFonts w:ascii="Garamond" w:hAnsi="Garamond"/>
          <w:lang w:val="es-419"/>
        </w:rPr>
        <w:footnoteReference w:id="1"/>
      </w:r>
      <w:r w:rsidR="001730D3">
        <w:rPr>
          <w:rFonts w:ascii="Garamond" w:hAnsi="Garamond"/>
          <w:lang w:val="es-419"/>
        </w:rPr>
        <w:t xml:space="preserve">. </w:t>
      </w:r>
    </w:p>
    <w:p w14:paraId="3E9586F2" w14:textId="2594236C" w:rsidR="0023586E" w:rsidRPr="0023586E" w:rsidRDefault="00E7144E" w:rsidP="0023586E">
      <w:pPr>
        <w:spacing w:line="240" w:lineRule="auto"/>
        <w:jc w:val="both"/>
        <w:rPr>
          <w:rFonts w:ascii="Garamond" w:hAnsi="Garamond"/>
          <w:lang w:val="es-419"/>
        </w:rPr>
      </w:pPr>
      <w:r>
        <w:rPr>
          <w:rFonts w:ascii="Garamond" w:hAnsi="Garamond"/>
          <w:lang w:val="es-419"/>
        </w:rPr>
        <w:t>En efecto, e</w:t>
      </w:r>
      <w:r w:rsidR="002F7D2B" w:rsidRPr="001970A9">
        <w:rPr>
          <w:rFonts w:ascii="Garamond" w:hAnsi="Garamond"/>
          <w:lang w:val="es-419"/>
        </w:rPr>
        <w:t>l aborto en condiciones de riesgo es la tercera causa de mortalidad materna en la República Dominicana</w:t>
      </w:r>
      <w:r w:rsidR="002F7D2B">
        <w:rPr>
          <w:rStyle w:val="FootnoteReference"/>
          <w:rFonts w:ascii="Garamond" w:hAnsi="Garamond"/>
          <w:lang w:val="es-419"/>
        </w:rPr>
        <w:footnoteReference w:id="2"/>
      </w:r>
      <w:r w:rsidR="002F7D2B" w:rsidRPr="001970A9">
        <w:rPr>
          <w:rFonts w:ascii="Garamond" w:hAnsi="Garamond"/>
          <w:lang w:val="es-419"/>
        </w:rPr>
        <w:t xml:space="preserve">, </w:t>
      </w:r>
      <w:r w:rsidR="00814846">
        <w:rPr>
          <w:rFonts w:ascii="Garamond" w:hAnsi="Garamond"/>
          <w:lang w:val="es-419"/>
        </w:rPr>
        <w:t>y el país continúa registrando altas tasas de mortalidad materna en la región de América Latina y el Caribe</w:t>
      </w:r>
      <w:r w:rsidR="00814846">
        <w:rPr>
          <w:rStyle w:val="FootnoteReference"/>
          <w:rFonts w:ascii="Garamond" w:hAnsi="Garamond"/>
          <w:lang w:val="es-419"/>
        </w:rPr>
        <w:footnoteReference w:id="3"/>
      </w:r>
      <w:r w:rsidR="00814846">
        <w:rPr>
          <w:rFonts w:ascii="Garamond" w:hAnsi="Garamond"/>
          <w:lang w:val="es-419"/>
        </w:rPr>
        <w:t xml:space="preserve">. </w:t>
      </w:r>
      <w:r w:rsidR="00FE4827">
        <w:rPr>
          <w:rFonts w:ascii="Garamond" w:hAnsi="Garamond"/>
          <w:lang w:val="es-419"/>
        </w:rPr>
        <w:t xml:space="preserve">Para el período </w:t>
      </w:r>
      <w:r w:rsidR="00587824">
        <w:rPr>
          <w:rFonts w:ascii="Garamond" w:hAnsi="Garamond"/>
          <w:lang w:val="es-419"/>
        </w:rPr>
        <w:t xml:space="preserve">2015-2020, la República Dominicana se ubicó entre los 10 países </w:t>
      </w:r>
      <w:r w:rsidR="00D77F3D">
        <w:rPr>
          <w:rFonts w:ascii="Garamond" w:hAnsi="Garamond"/>
          <w:lang w:val="es-419"/>
        </w:rPr>
        <w:t>“con el mayor porcentaje de muertes maternas” de la región</w:t>
      </w:r>
      <w:r w:rsidR="00D77F3D">
        <w:rPr>
          <w:rStyle w:val="FootnoteReference"/>
          <w:rFonts w:ascii="Garamond" w:hAnsi="Garamond"/>
          <w:lang w:val="es-419"/>
        </w:rPr>
        <w:footnoteReference w:id="4"/>
      </w:r>
      <w:r w:rsidR="009178D8">
        <w:rPr>
          <w:rFonts w:ascii="Garamond" w:hAnsi="Garamond"/>
          <w:lang w:val="es-419"/>
        </w:rPr>
        <w:t xml:space="preserve">, y </w:t>
      </w:r>
      <w:r w:rsidR="00192C5D">
        <w:rPr>
          <w:rFonts w:ascii="Garamond" w:hAnsi="Garamond"/>
          <w:lang w:val="es-419"/>
        </w:rPr>
        <w:t xml:space="preserve">en 2020 </w:t>
      </w:r>
      <w:r w:rsidR="0023586E">
        <w:rPr>
          <w:rFonts w:ascii="Garamond" w:hAnsi="Garamond"/>
          <w:lang w:val="es-419"/>
        </w:rPr>
        <w:t>“la razón de mortalidad materna aumentó a 126 por cada 1000.000 nacidos vivos”</w:t>
      </w:r>
      <w:r w:rsidR="00B21E8E">
        <w:rPr>
          <w:rStyle w:val="FootnoteReference"/>
          <w:rFonts w:ascii="Garamond" w:hAnsi="Garamond"/>
          <w:lang w:val="es-419"/>
        </w:rPr>
        <w:footnoteReference w:id="5"/>
      </w:r>
      <w:r w:rsidR="00C26776">
        <w:rPr>
          <w:rFonts w:ascii="Garamond" w:hAnsi="Garamond"/>
          <w:lang w:val="es-419"/>
        </w:rPr>
        <w:t>,</w:t>
      </w:r>
      <w:r w:rsidR="00B21E8E">
        <w:rPr>
          <w:rFonts w:ascii="Garamond" w:hAnsi="Garamond"/>
          <w:lang w:val="es-419"/>
        </w:rPr>
        <w:t xml:space="preserve"> muy por </w:t>
      </w:r>
      <w:r w:rsidR="00C26776">
        <w:rPr>
          <w:rFonts w:ascii="Garamond" w:hAnsi="Garamond"/>
          <w:lang w:val="es-419"/>
        </w:rPr>
        <w:t xml:space="preserve">encima del promedio </w:t>
      </w:r>
      <w:r w:rsidR="00840EF5">
        <w:rPr>
          <w:rFonts w:ascii="Garamond" w:hAnsi="Garamond"/>
          <w:lang w:val="es-419"/>
        </w:rPr>
        <w:t>de la región</w:t>
      </w:r>
      <w:r w:rsidR="00840EF5">
        <w:rPr>
          <w:rStyle w:val="FootnoteReference"/>
          <w:rFonts w:ascii="Garamond" w:hAnsi="Garamond"/>
          <w:lang w:val="es-419"/>
        </w:rPr>
        <w:footnoteReference w:id="6"/>
      </w:r>
      <w:r w:rsidR="00840EF5">
        <w:rPr>
          <w:rFonts w:ascii="Garamond" w:hAnsi="Garamond"/>
          <w:lang w:val="es-419"/>
        </w:rPr>
        <w:t xml:space="preserve">. </w:t>
      </w:r>
    </w:p>
    <w:p w14:paraId="2B72C12F" w14:textId="6362DF42" w:rsidR="002F7D2B" w:rsidRPr="000203BC" w:rsidRDefault="002F7D2B" w:rsidP="007E2987">
      <w:pPr>
        <w:spacing w:line="240" w:lineRule="auto"/>
        <w:jc w:val="both"/>
        <w:rPr>
          <w:rFonts w:ascii="Garamond" w:hAnsi="Garamond"/>
          <w:lang w:val="es-419"/>
        </w:rPr>
      </w:pPr>
      <w:r w:rsidRPr="001970A9">
        <w:rPr>
          <w:rFonts w:ascii="Garamond" w:hAnsi="Garamond"/>
          <w:lang w:val="es-419"/>
        </w:rPr>
        <w:t>La mayoría de las muertes maternas se producen entre mujeres y niñas de los sectores sociales con mayor vulnerabilidad, como resultado de las altas desigualdades de ingresos y educación, la residencia geográfica, la edad, la pertenencia étnica, la situación migratoria o la condición de discapacidad</w:t>
      </w:r>
      <w:r>
        <w:rPr>
          <w:rStyle w:val="FootnoteReference"/>
          <w:rFonts w:ascii="Garamond" w:hAnsi="Garamond"/>
          <w:lang w:val="es-419"/>
        </w:rPr>
        <w:footnoteReference w:id="7"/>
      </w:r>
      <w:r w:rsidRPr="001970A9">
        <w:rPr>
          <w:rFonts w:ascii="Garamond" w:hAnsi="Garamond"/>
          <w:lang w:val="es-419"/>
        </w:rPr>
        <w:t>. </w:t>
      </w:r>
    </w:p>
    <w:p w14:paraId="37D4A97C" w14:textId="69C01CFF" w:rsidR="00B205EF" w:rsidRPr="00006EBC" w:rsidRDefault="00AE471B" w:rsidP="00006EBC">
      <w:pPr>
        <w:pStyle w:val="ListParagraph"/>
        <w:numPr>
          <w:ilvl w:val="0"/>
          <w:numId w:val="1"/>
        </w:numPr>
        <w:spacing w:after="0" w:line="240" w:lineRule="auto"/>
        <w:jc w:val="both"/>
        <w:rPr>
          <w:rFonts w:ascii="Garamond" w:hAnsi="Garamond"/>
          <w:b/>
          <w:bCs/>
          <w:lang w:val="es-419"/>
        </w:rPr>
      </w:pPr>
      <w:r>
        <w:rPr>
          <w:rFonts w:ascii="Garamond" w:hAnsi="Garamond"/>
          <w:b/>
          <w:bCs/>
          <w:lang w:val="es-419"/>
        </w:rPr>
        <w:t xml:space="preserve">Embarazo infantil y adolescente, y </w:t>
      </w:r>
      <w:r w:rsidR="00157320" w:rsidRPr="00006EBC">
        <w:rPr>
          <w:rFonts w:ascii="Garamond" w:hAnsi="Garamond"/>
          <w:b/>
          <w:bCs/>
          <w:lang w:val="es-419"/>
        </w:rPr>
        <w:t>Acceso a servicios de salud reproductiva, incluyendo acceso a información</w:t>
      </w:r>
    </w:p>
    <w:p w14:paraId="4B139F0F" w14:textId="77777777" w:rsidR="008C3325" w:rsidRPr="00006EBC" w:rsidRDefault="008C3325" w:rsidP="00006EBC">
      <w:pPr>
        <w:pStyle w:val="ListParagraph"/>
        <w:spacing w:after="0" w:line="240" w:lineRule="auto"/>
        <w:jc w:val="both"/>
        <w:rPr>
          <w:rFonts w:ascii="Garamond" w:hAnsi="Garamond"/>
          <w:b/>
          <w:bCs/>
          <w:lang w:val="es-419"/>
        </w:rPr>
      </w:pPr>
    </w:p>
    <w:p w14:paraId="5F74A13E" w14:textId="53A48F6B" w:rsidR="005F1949" w:rsidRDefault="005F1949" w:rsidP="00244063">
      <w:pPr>
        <w:spacing w:after="0" w:line="240" w:lineRule="auto"/>
        <w:jc w:val="both"/>
        <w:rPr>
          <w:rFonts w:ascii="Garamond" w:hAnsi="Garamond"/>
          <w:lang w:val="es-419"/>
        </w:rPr>
      </w:pPr>
      <w:r>
        <w:rPr>
          <w:rFonts w:ascii="Garamond" w:hAnsi="Garamond"/>
          <w:lang w:val="es-419"/>
        </w:rPr>
        <w:t>Las organizaciones tenemos en cuenta que en el marco del seguimiento a la recomendación relativa a</w:t>
      </w:r>
      <w:r w:rsidRPr="00006EBC">
        <w:rPr>
          <w:rFonts w:ascii="Garamond" w:hAnsi="Garamond"/>
          <w:lang w:val="es-419"/>
        </w:rPr>
        <w:t xml:space="preserve"> “garantizar el acceso pleno a los servicios de salud sexual y reproductiva y a la educación para sensibilizar a hombres, mujeres y adolescentes en todo el país”</w:t>
      </w:r>
      <w:r w:rsidRPr="00006EBC">
        <w:rPr>
          <w:rStyle w:val="FootnoteReference"/>
          <w:rFonts w:ascii="Garamond" w:hAnsi="Garamond"/>
          <w:lang w:val="es-419"/>
        </w:rPr>
        <w:footnoteReference w:id="8"/>
      </w:r>
      <w:r>
        <w:rPr>
          <w:rFonts w:ascii="Garamond" w:hAnsi="Garamond"/>
          <w:lang w:val="es-419"/>
        </w:rPr>
        <w:t xml:space="preserve">, </w:t>
      </w:r>
      <w:r w:rsidRPr="00006EBC">
        <w:rPr>
          <w:rFonts w:ascii="Garamond" w:hAnsi="Garamond"/>
          <w:lang w:val="es-419"/>
        </w:rPr>
        <w:t xml:space="preserve">la República Dominicana presentó información </w:t>
      </w:r>
      <w:r>
        <w:rPr>
          <w:rFonts w:ascii="Garamond" w:hAnsi="Garamond"/>
          <w:lang w:val="es-419"/>
        </w:rPr>
        <w:t xml:space="preserve">a este Comité </w:t>
      </w:r>
      <w:r w:rsidRPr="00006EBC">
        <w:rPr>
          <w:rFonts w:ascii="Garamond" w:hAnsi="Garamond"/>
          <w:lang w:val="es-419"/>
        </w:rPr>
        <w:t xml:space="preserve">sobre distintas medidas de política pública en este ámbito, entre otras: i) la inclusión en el plan de acción de 2021 en materia de embarazo adolescente y matrimonio infantil, lo relativo a “la educación sexual y la violencia contra las niñas y adolescentes”, y </w:t>
      </w:r>
      <w:proofErr w:type="spellStart"/>
      <w:r w:rsidRPr="00006EBC">
        <w:rPr>
          <w:rFonts w:ascii="Garamond" w:hAnsi="Garamond"/>
          <w:lang w:val="es-419"/>
        </w:rPr>
        <w:t>ii</w:t>
      </w:r>
      <w:proofErr w:type="spellEnd"/>
      <w:r w:rsidRPr="00006EBC">
        <w:rPr>
          <w:rFonts w:ascii="Garamond" w:hAnsi="Garamond"/>
          <w:lang w:val="es-419"/>
        </w:rPr>
        <w:t xml:space="preserve">) el establecimiento </w:t>
      </w:r>
      <w:r w:rsidRPr="00006EBC">
        <w:rPr>
          <w:rFonts w:ascii="Garamond" w:hAnsi="Garamond"/>
          <w:lang w:val="es-419"/>
        </w:rPr>
        <w:lastRenderedPageBreak/>
        <w:t>del Centro de Promoción de Salud Integral de Adolescentes “cuya misión es educar a adolescentes sobre la salud sexual y reproductiva”</w:t>
      </w:r>
      <w:r w:rsidRPr="00006EBC">
        <w:rPr>
          <w:rStyle w:val="FootnoteReference"/>
          <w:rFonts w:ascii="Garamond" w:hAnsi="Garamond"/>
          <w:lang w:val="es-419"/>
        </w:rPr>
        <w:footnoteReference w:id="9"/>
      </w:r>
      <w:r w:rsidRPr="00006EBC">
        <w:rPr>
          <w:rFonts w:ascii="Garamond" w:hAnsi="Garamond"/>
          <w:lang w:val="es-419"/>
        </w:rPr>
        <w:t>.</w:t>
      </w:r>
    </w:p>
    <w:p w14:paraId="5763073C" w14:textId="77777777" w:rsidR="005F1949" w:rsidRDefault="005F1949" w:rsidP="00244063">
      <w:pPr>
        <w:spacing w:after="0" w:line="240" w:lineRule="auto"/>
        <w:jc w:val="both"/>
        <w:rPr>
          <w:rFonts w:ascii="Garamond" w:hAnsi="Garamond"/>
          <w:lang w:val="es-419"/>
        </w:rPr>
      </w:pPr>
    </w:p>
    <w:p w14:paraId="015CCA71" w14:textId="5CED2ED6" w:rsidR="005F1949" w:rsidRPr="00006EBC" w:rsidRDefault="005F1949" w:rsidP="005F1949">
      <w:pPr>
        <w:spacing w:after="0" w:line="240" w:lineRule="auto"/>
        <w:jc w:val="both"/>
        <w:rPr>
          <w:rFonts w:ascii="Garamond" w:hAnsi="Garamond"/>
          <w:lang w:val="es-419"/>
        </w:rPr>
      </w:pPr>
      <w:r>
        <w:rPr>
          <w:rFonts w:ascii="Garamond" w:hAnsi="Garamond"/>
          <w:lang w:val="es-419"/>
        </w:rPr>
        <w:t xml:space="preserve">Al respecto consideramos </w:t>
      </w:r>
      <w:r w:rsidRPr="00006EBC">
        <w:rPr>
          <w:rFonts w:ascii="Garamond" w:hAnsi="Garamond"/>
          <w:lang w:val="es-419"/>
        </w:rPr>
        <w:t>que si bien se han adelantado ciertos esfuerzos institucionales, el acceso a educación sexual integral en la República Dominicana no está garantizado, lo cual no sólo es parte del ámbito de protección de derechos reproductivos que el Estado está llamado a garantizar conforme a sus obligaciones a la luz del Pacto, sino que es un componente esencial como bien ha identificado este Comité, para dar un cumplimiento integral a las recomendaciones en materia de reducción de la tasa de embarazo adolescente e infantil,</w:t>
      </w:r>
      <w:r>
        <w:rPr>
          <w:rFonts w:ascii="Garamond" w:hAnsi="Garamond"/>
          <w:lang w:val="es-419"/>
        </w:rPr>
        <w:t xml:space="preserve"> así como de</w:t>
      </w:r>
      <w:r w:rsidRPr="00006EBC">
        <w:rPr>
          <w:rFonts w:ascii="Garamond" w:hAnsi="Garamond"/>
          <w:lang w:val="es-419"/>
        </w:rPr>
        <w:t xml:space="preserve"> interrupción voluntaria del embarazo y prevención de la violencia sexual. </w:t>
      </w:r>
    </w:p>
    <w:p w14:paraId="247EFB25" w14:textId="77777777" w:rsidR="005F1949" w:rsidRPr="005F1949" w:rsidRDefault="005F1949" w:rsidP="00244063">
      <w:pPr>
        <w:spacing w:after="0" w:line="240" w:lineRule="auto"/>
        <w:jc w:val="both"/>
        <w:rPr>
          <w:rFonts w:ascii="Garamond" w:hAnsi="Garamond"/>
          <w:lang w:val="es-419"/>
        </w:rPr>
      </w:pPr>
    </w:p>
    <w:p w14:paraId="6D66898E" w14:textId="5F5A9C7A" w:rsidR="00244063" w:rsidRPr="00617E90" w:rsidRDefault="00800894" w:rsidP="00244063">
      <w:pPr>
        <w:spacing w:after="0" w:line="240" w:lineRule="auto"/>
        <w:jc w:val="both"/>
        <w:rPr>
          <w:rFonts w:ascii="Garamond" w:hAnsi="Garamond"/>
          <w:lang w:val="es-419"/>
        </w:rPr>
      </w:pPr>
      <w:r>
        <w:rPr>
          <w:rFonts w:ascii="Garamond" w:hAnsi="Garamond"/>
          <w:lang w:val="es-ES"/>
        </w:rPr>
        <w:t xml:space="preserve">En efecto, la </w:t>
      </w:r>
      <w:r w:rsidR="002F7D2B" w:rsidRPr="002F7D2B">
        <w:rPr>
          <w:rFonts w:ascii="Garamond" w:hAnsi="Garamond"/>
          <w:lang w:val="es-ES"/>
        </w:rPr>
        <w:t xml:space="preserve">República Dominicana </w:t>
      </w:r>
      <w:r>
        <w:rPr>
          <w:rFonts w:ascii="Garamond" w:hAnsi="Garamond"/>
          <w:lang w:val="es-ES"/>
        </w:rPr>
        <w:t>continúa siendo</w:t>
      </w:r>
      <w:r w:rsidR="002F7D2B" w:rsidRPr="001970A9">
        <w:rPr>
          <w:rFonts w:ascii="Garamond" w:hAnsi="Garamond"/>
          <w:lang w:val="es-ES"/>
        </w:rPr>
        <w:t xml:space="preserve"> el país con la tasa más alta de embarazo adolescente de América Latina y el Caribe. </w:t>
      </w:r>
      <w:r w:rsidR="00244063" w:rsidRPr="00617E90">
        <w:rPr>
          <w:rFonts w:ascii="Garamond" w:hAnsi="Garamond"/>
          <w:lang w:val="es-419"/>
        </w:rPr>
        <w:t xml:space="preserve">Entre 2015 y 2020, </w:t>
      </w:r>
      <w:r w:rsidR="00244063">
        <w:rPr>
          <w:rFonts w:ascii="Garamond" w:hAnsi="Garamond"/>
          <w:lang w:val="es-419"/>
        </w:rPr>
        <w:t xml:space="preserve">la tasa de fecundidad </w:t>
      </w:r>
      <w:r w:rsidR="00244063" w:rsidRPr="00617E90">
        <w:rPr>
          <w:rFonts w:ascii="Garamond" w:hAnsi="Garamond"/>
          <w:lang w:val="es-419"/>
        </w:rPr>
        <w:t xml:space="preserve">fue de 94,3 nacidos vivos por cada 1.000 niñas de entre 15 y 19 </w:t>
      </w:r>
      <w:proofErr w:type="gramStart"/>
      <w:r w:rsidR="00244063" w:rsidRPr="00617E90">
        <w:rPr>
          <w:rFonts w:ascii="Garamond" w:hAnsi="Garamond"/>
          <w:lang w:val="es-419"/>
        </w:rPr>
        <w:t>años de edad</w:t>
      </w:r>
      <w:proofErr w:type="gramEnd"/>
      <w:r w:rsidR="00244063" w:rsidRPr="00617E90">
        <w:rPr>
          <w:rFonts w:ascii="Garamond" w:hAnsi="Garamond"/>
          <w:lang w:val="es-419"/>
        </w:rPr>
        <w:t xml:space="preserve"> (57% mayor al promedio de la región), y de 1,7 nacidos vivos por cada 1.000 niñas de entre 10 y 14 años. En el año 2022 se registraron 25.461 embarazos entre niñas y adolescentes de 10 a 19 </w:t>
      </w:r>
      <w:proofErr w:type="gramStart"/>
      <w:r w:rsidR="00244063" w:rsidRPr="00617E90">
        <w:rPr>
          <w:rFonts w:ascii="Garamond" w:hAnsi="Garamond"/>
          <w:lang w:val="es-419"/>
        </w:rPr>
        <w:t>años de edad</w:t>
      </w:r>
      <w:proofErr w:type="gramEnd"/>
      <w:r w:rsidR="00244063" w:rsidRPr="00617E90">
        <w:rPr>
          <w:rFonts w:ascii="Garamond" w:hAnsi="Garamond"/>
          <w:lang w:val="es-419"/>
        </w:rPr>
        <w:t xml:space="preserve"> y casi el 20% de los nacimientos, abortos</w:t>
      </w:r>
      <w:r w:rsidR="00E85C72">
        <w:rPr>
          <w:rStyle w:val="FootnoteReference"/>
          <w:rFonts w:ascii="Garamond" w:hAnsi="Garamond"/>
          <w:lang w:val="es-419"/>
        </w:rPr>
        <w:footnoteReference w:id="10"/>
      </w:r>
      <w:r w:rsidR="00244063" w:rsidRPr="00617E90">
        <w:rPr>
          <w:rFonts w:ascii="Garamond" w:hAnsi="Garamond"/>
          <w:lang w:val="es-419"/>
        </w:rPr>
        <w:t xml:space="preserve"> y pérdidas gestacionales atendidos en centros de salud públicos dicho año</w:t>
      </w:r>
      <w:r w:rsidR="00B75B54">
        <w:rPr>
          <w:rFonts w:ascii="Garamond" w:hAnsi="Garamond"/>
          <w:lang w:val="es-419"/>
        </w:rPr>
        <w:t xml:space="preserve">. </w:t>
      </w:r>
    </w:p>
    <w:p w14:paraId="0C81C841" w14:textId="77777777" w:rsidR="00244063" w:rsidRDefault="00244063" w:rsidP="00006EBC">
      <w:pPr>
        <w:spacing w:after="0" w:line="240" w:lineRule="auto"/>
        <w:jc w:val="both"/>
        <w:rPr>
          <w:rFonts w:ascii="Garamond" w:hAnsi="Garamond"/>
          <w:lang w:val="es-ES"/>
        </w:rPr>
      </w:pPr>
    </w:p>
    <w:p w14:paraId="00C12A32" w14:textId="0023EF2F" w:rsidR="000B2C79" w:rsidRDefault="00C05D4A" w:rsidP="00006EBC">
      <w:pPr>
        <w:spacing w:after="0" w:line="240" w:lineRule="auto"/>
        <w:jc w:val="both"/>
        <w:rPr>
          <w:rFonts w:ascii="Garamond" w:hAnsi="Garamond"/>
          <w:lang w:val="es-ES"/>
        </w:rPr>
      </w:pPr>
      <w:r>
        <w:rPr>
          <w:rFonts w:ascii="Garamond" w:hAnsi="Garamond"/>
          <w:lang w:val="es-ES"/>
        </w:rPr>
        <w:t xml:space="preserve">De acuerdo con </w:t>
      </w:r>
      <w:r w:rsidR="004E3A47">
        <w:rPr>
          <w:rFonts w:ascii="Garamond" w:hAnsi="Garamond"/>
          <w:lang w:val="es-ES"/>
        </w:rPr>
        <w:t>datos de la Oficina Nacional de Estadística</w:t>
      </w:r>
      <w:r w:rsidR="000B2C79">
        <w:rPr>
          <w:rFonts w:ascii="Garamond" w:hAnsi="Garamond"/>
          <w:lang w:val="es-ES"/>
        </w:rPr>
        <w:t xml:space="preserve"> “una de las características de la maternidad adolescente [en la República Dominicana] es la marcada </w:t>
      </w:r>
      <w:r w:rsidR="00EF4BC0">
        <w:rPr>
          <w:rFonts w:ascii="Garamond" w:hAnsi="Garamond"/>
          <w:lang w:val="es-ES"/>
        </w:rPr>
        <w:t>diferencia de edad de la madre con el padre. En general, esta diferencia de edad supera los 1’ años, pero se observan casos donde esta diferencia es de hasta 30 años y más, y se observa que la edad promedio de hombres que embarazan a las adolescentes es de 25.13 años</w:t>
      </w:r>
      <w:r w:rsidR="00D0381F">
        <w:rPr>
          <w:rFonts w:ascii="Garamond" w:hAnsi="Garamond"/>
          <w:lang w:val="es-ES"/>
        </w:rPr>
        <w:t xml:space="preserve">”. La propia </w:t>
      </w:r>
      <w:r w:rsidR="00675119">
        <w:rPr>
          <w:rFonts w:ascii="Garamond" w:hAnsi="Garamond"/>
          <w:lang w:val="es-ES"/>
        </w:rPr>
        <w:t>institución reconoce que “esto coloca a las adolescentes en mayores riesgos”</w:t>
      </w:r>
      <w:r w:rsidR="00DA030C">
        <w:rPr>
          <w:rStyle w:val="FootnoteReference"/>
          <w:rFonts w:ascii="Garamond" w:hAnsi="Garamond"/>
          <w:lang w:val="es-ES"/>
        </w:rPr>
        <w:footnoteReference w:id="11"/>
      </w:r>
      <w:r w:rsidR="00675119">
        <w:rPr>
          <w:rFonts w:ascii="Garamond" w:hAnsi="Garamond"/>
          <w:lang w:val="es-ES"/>
        </w:rPr>
        <w:t xml:space="preserve">. </w:t>
      </w:r>
    </w:p>
    <w:p w14:paraId="0275F97D" w14:textId="77777777" w:rsidR="00C05D4A" w:rsidRDefault="00C05D4A" w:rsidP="00006EBC">
      <w:pPr>
        <w:spacing w:after="0" w:line="240" w:lineRule="auto"/>
        <w:jc w:val="both"/>
        <w:rPr>
          <w:rFonts w:ascii="Garamond" w:hAnsi="Garamond"/>
          <w:lang w:val="es-ES"/>
        </w:rPr>
      </w:pPr>
    </w:p>
    <w:p w14:paraId="426F4339" w14:textId="668F8EC9" w:rsidR="002F7D2B" w:rsidRDefault="002F7D2B" w:rsidP="00006EBC">
      <w:pPr>
        <w:spacing w:after="0" w:line="240" w:lineRule="auto"/>
        <w:jc w:val="both"/>
        <w:rPr>
          <w:rFonts w:ascii="Garamond" w:hAnsi="Garamond"/>
          <w:lang w:val="es-419"/>
        </w:rPr>
      </w:pPr>
      <w:r w:rsidRPr="001970A9">
        <w:rPr>
          <w:rFonts w:ascii="Garamond" w:hAnsi="Garamond"/>
          <w:lang w:val="es-ES"/>
        </w:rPr>
        <w:t xml:space="preserve">A esta intersección de género y edad, se suma la situación de pobreza como un factor </w:t>
      </w:r>
      <w:r w:rsidRPr="002F7D2B">
        <w:rPr>
          <w:rFonts w:ascii="Garamond" w:hAnsi="Garamond"/>
          <w:lang w:val="es-ES"/>
        </w:rPr>
        <w:t xml:space="preserve">adicional </w:t>
      </w:r>
      <w:r w:rsidRPr="001970A9">
        <w:rPr>
          <w:rFonts w:ascii="Garamond" w:hAnsi="Garamond"/>
          <w:lang w:val="es-ES"/>
        </w:rPr>
        <w:t xml:space="preserve">de discriminación, dado que en </w:t>
      </w:r>
      <w:r w:rsidRPr="002F7D2B">
        <w:rPr>
          <w:rFonts w:ascii="Garamond" w:hAnsi="Garamond"/>
          <w:lang w:val="es-ES"/>
        </w:rPr>
        <w:t>el país</w:t>
      </w:r>
      <w:r w:rsidRPr="001970A9">
        <w:rPr>
          <w:rFonts w:ascii="Garamond" w:hAnsi="Garamond"/>
          <w:lang w:val="es-ES"/>
        </w:rPr>
        <w:t xml:space="preserve"> el 50% de las adolescentes del quintil más pobre son madres, están embarazadas o están en una unión. Solo el 11% de este grupo sabía cómo quedarse embarazada y el 91% no se quedó embarazada intencionalmente</w:t>
      </w:r>
      <w:r>
        <w:rPr>
          <w:rStyle w:val="FootnoteReference"/>
          <w:rFonts w:ascii="Garamond" w:hAnsi="Garamond"/>
          <w:lang w:val="es-ES"/>
        </w:rPr>
        <w:footnoteReference w:id="12"/>
      </w:r>
      <w:r w:rsidRPr="001970A9">
        <w:rPr>
          <w:rFonts w:ascii="Garamond" w:hAnsi="Garamond"/>
          <w:lang w:val="es-ES"/>
        </w:rPr>
        <w:t xml:space="preserve">. </w:t>
      </w:r>
    </w:p>
    <w:p w14:paraId="2AFBFA82" w14:textId="77777777" w:rsidR="00617E90" w:rsidRPr="00617E90" w:rsidRDefault="00617E90" w:rsidP="00635D54">
      <w:pPr>
        <w:spacing w:after="0" w:line="240" w:lineRule="auto"/>
        <w:jc w:val="both"/>
        <w:rPr>
          <w:rFonts w:ascii="Garamond" w:hAnsi="Garamond"/>
          <w:lang w:val="es-419"/>
        </w:rPr>
      </w:pPr>
    </w:p>
    <w:p w14:paraId="33635F35" w14:textId="77777777" w:rsidR="00072DA8" w:rsidRDefault="00635D54" w:rsidP="007E077E">
      <w:pPr>
        <w:spacing w:after="0" w:line="240" w:lineRule="auto"/>
        <w:jc w:val="both"/>
        <w:rPr>
          <w:rFonts w:ascii="Garamond" w:hAnsi="Garamond"/>
          <w:lang w:val="es-419"/>
        </w:rPr>
      </w:pPr>
      <w:r w:rsidRPr="00006EBC">
        <w:rPr>
          <w:rFonts w:ascii="Garamond" w:hAnsi="Garamond"/>
          <w:lang w:val="es-419"/>
        </w:rPr>
        <w:t>Como ha señalado este Comité</w:t>
      </w:r>
      <w:r>
        <w:rPr>
          <w:rFonts w:ascii="Garamond" w:hAnsi="Garamond"/>
          <w:lang w:val="es-419"/>
        </w:rPr>
        <w:t>,</w:t>
      </w:r>
      <w:r w:rsidRPr="00006EBC">
        <w:rPr>
          <w:rFonts w:ascii="Garamond" w:hAnsi="Garamond"/>
          <w:lang w:val="es-419"/>
        </w:rPr>
        <w:t xml:space="preserve"> </w:t>
      </w:r>
      <w:r>
        <w:rPr>
          <w:rFonts w:ascii="Garamond" w:hAnsi="Garamond"/>
          <w:lang w:val="es-419"/>
        </w:rPr>
        <w:t xml:space="preserve">la República Dominicana </w:t>
      </w:r>
      <w:r w:rsidR="0078583C">
        <w:rPr>
          <w:rFonts w:ascii="Garamond" w:hAnsi="Garamond"/>
          <w:lang w:val="es-419"/>
        </w:rPr>
        <w:t>estos</w:t>
      </w:r>
      <w:r>
        <w:rPr>
          <w:rFonts w:ascii="Garamond" w:hAnsi="Garamond"/>
          <w:lang w:val="es-419"/>
        </w:rPr>
        <w:t xml:space="preserve"> “altos índices de embarazo infantil y adolescente, </w:t>
      </w:r>
      <w:r w:rsidR="0078583C">
        <w:rPr>
          <w:rFonts w:ascii="Garamond" w:hAnsi="Garamond"/>
          <w:lang w:val="es-419"/>
        </w:rPr>
        <w:t>[se debe]</w:t>
      </w:r>
      <w:r>
        <w:rPr>
          <w:rFonts w:ascii="Garamond" w:hAnsi="Garamond"/>
          <w:lang w:val="es-419"/>
        </w:rPr>
        <w:t xml:space="preserve"> entre otras cosas a la falta de servicios adecuados de salud reproductiva y a una información inadecuada e insuficiente”</w:t>
      </w:r>
      <w:r>
        <w:rPr>
          <w:rStyle w:val="FootnoteReference"/>
          <w:rFonts w:ascii="Garamond" w:hAnsi="Garamond"/>
          <w:lang w:val="es-419"/>
        </w:rPr>
        <w:footnoteReference w:id="13"/>
      </w:r>
      <w:r>
        <w:rPr>
          <w:rFonts w:ascii="Garamond" w:hAnsi="Garamond"/>
          <w:lang w:val="es-419"/>
        </w:rPr>
        <w:t>. También, esta es una problemática vinculada a los altos índices de violencia sexual que se registran en el país especialmente con niñas y adolescentes como principales víctimas</w:t>
      </w:r>
      <w:r w:rsidR="00BE7F6D">
        <w:rPr>
          <w:rFonts w:ascii="Garamond" w:hAnsi="Garamond"/>
          <w:lang w:val="es-419"/>
        </w:rPr>
        <w:t xml:space="preserve">. </w:t>
      </w:r>
    </w:p>
    <w:p w14:paraId="1F1C7E11" w14:textId="77777777" w:rsidR="00072DA8" w:rsidRDefault="00072DA8" w:rsidP="007E077E">
      <w:pPr>
        <w:spacing w:after="0" w:line="240" w:lineRule="auto"/>
        <w:jc w:val="both"/>
        <w:rPr>
          <w:rFonts w:ascii="Garamond" w:hAnsi="Garamond"/>
          <w:lang w:val="es-419"/>
        </w:rPr>
      </w:pPr>
    </w:p>
    <w:p w14:paraId="23A7AB9F" w14:textId="62090F8A" w:rsidR="007E077E" w:rsidRDefault="00467D27" w:rsidP="007E077E">
      <w:pPr>
        <w:spacing w:after="0" w:line="240" w:lineRule="auto"/>
        <w:jc w:val="both"/>
        <w:rPr>
          <w:rFonts w:ascii="Garamond" w:hAnsi="Garamond"/>
          <w:lang w:val="es-419"/>
        </w:rPr>
      </w:pPr>
      <w:r>
        <w:rPr>
          <w:rFonts w:ascii="Garamond" w:hAnsi="Garamond"/>
          <w:lang w:val="es-419"/>
        </w:rPr>
        <w:t>De acuerdo con datos de UNICEF sobre el país,</w:t>
      </w:r>
      <w:r w:rsidR="00985067">
        <w:rPr>
          <w:rFonts w:ascii="Garamond" w:hAnsi="Garamond"/>
          <w:lang w:val="es-419"/>
        </w:rPr>
        <w:t xml:space="preserve"> “un 29% de las víctimas de delitos sexuales reportados son menores de edad”</w:t>
      </w:r>
      <w:r w:rsidR="00072DA8">
        <w:rPr>
          <w:rFonts w:ascii="Garamond" w:hAnsi="Garamond"/>
          <w:lang w:val="es-419"/>
        </w:rPr>
        <w:t>,</w:t>
      </w:r>
      <w:r w:rsidR="00861920">
        <w:rPr>
          <w:rFonts w:ascii="Garamond" w:hAnsi="Garamond"/>
          <w:lang w:val="es-419"/>
        </w:rPr>
        <w:t xml:space="preserve"> a lo que también se suma que un “37% de las mujeres jóvenes en </w:t>
      </w:r>
      <w:r w:rsidR="00861920">
        <w:rPr>
          <w:rFonts w:ascii="Garamond" w:hAnsi="Garamond"/>
          <w:lang w:val="es-419"/>
        </w:rPr>
        <w:lastRenderedPageBreak/>
        <w:t xml:space="preserve">República Dominicana </w:t>
      </w:r>
      <w:r w:rsidR="00861920" w:rsidRPr="00861920">
        <w:rPr>
          <w:rFonts w:ascii="Garamond" w:hAnsi="Garamond"/>
          <w:lang w:val="es-419"/>
        </w:rPr>
        <w:t>se casaron o unieron antes de los 18 años y un 10% antes de los 15</w:t>
      </w:r>
      <w:r w:rsidR="00861920">
        <w:rPr>
          <w:rFonts w:ascii="Garamond" w:hAnsi="Garamond"/>
          <w:lang w:val="es-419"/>
        </w:rPr>
        <w:t>”</w:t>
      </w:r>
      <w:r w:rsidR="00861920" w:rsidRPr="00861920">
        <w:rPr>
          <w:rFonts w:ascii="Garamond" w:hAnsi="Garamond"/>
          <w:lang w:val="es-419"/>
        </w:rPr>
        <w:t>.</w:t>
      </w:r>
      <w:r w:rsidR="00072DA8">
        <w:rPr>
          <w:rFonts w:ascii="Garamond" w:hAnsi="Garamond"/>
          <w:lang w:val="es-419"/>
        </w:rPr>
        <w:t xml:space="preserve"> Esto también guarda relación con las cifras antes señaladas sobre la brecha </w:t>
      </w:r>
      <w:r w:rsidR="00D417F0">
        <w:rPr>
          <w:rFonts w:ascii="Garamond" w:hAnsi="Garamond"/>
          <w:lang w:val="es-419"/>
        </w:rPr>
        <w:t>de edad</w:t>
      </w:r>
      <w:r w:rsidR="008C18B4">
        <w:rPr>
          <w:rFonts w:ascii="Garamond" w:hAnsi="Garamond"/>
          <w:lang w:val="es-419"/>
        </w:rPr>
        <w:t xml:space="preserve">. </w:t>
      </w:r>
      <w:r w:rsidR="00A6533C">
        <w:rPr>
          <w:rFonts w:ascii="Garamond" w:hAnsi="Garamond"/>
          <w:lang w:val="es-419"/>
        </w:rPr>
        <w:t xml:space="preserve"> </w:t>
      </w:r>
    </w:p>
    <w:p w14:paraId="32EE31F9" w14:textId="77777777" w:rsidR="00D47EB1" w:rsidRDefault="00D47EB1" w:rsidP="007E077E">
      <w:pPr>
        <w:spacing w:after="0" w:line="240" w:lineRule="auto"/>
        <w:jc w:val="both"/>
        <w:rPr>
          <w:rFonts w:ascii="Garamond" w:hAnsi="Garamond"/>
          <w:lang w:val="es-419"/>
        </w:rPr>
      </w:pPr>
    </w:p>
    <w:p w14:paraId="52CDA6A7" w14:textId="52270442" w:rsidR="00D47EB1" w:rsidRPr="00861920" w:rsidRDefault="008C18B4" w:rsidP="007E077E">
      <w:pPr>
        <w:spacing w:after="0" w:line="240" w:lineRule="auto"/>
        <w:jc w:val="both"/>
        <w:rPr>
          <w:rFonts w:ascii="Garamond" w:hAnsi="Garamond"/>
          <w:lang w:val="es-419"/>
        </w:rPr>
      </w:pPr>
      <w:r>
        <w:rPr>
          <w:rFonts w:ascii="Garamond" w:hAnsi="Garamond"/>
          <w:lang w:val="es-419"/>
        </w:rPr>
        <w:t xml:space="preserve">UNICEF también señala que </w:t>
      </w:r>
      <w:r w:rsidR="00C13FA2">
        <w:rPr>
          <w:rFonts w:ascii="Garamond" w:hAnsi="Garamond"/>
          <w:lang w:val="es-419"/>
        </w:rPr>
        <w:t>si bien:</w:t>
      </w:r>
    </w:p>
    <w:p w14:paraId="4237AD97" w14:textId="77777777" w:rsidR="007E077E" w:rsidRDefault="007E077E" w:rsidP="007E077E">
      <w:pPr>
        <w:spacing w:after="0" w:line="240" w:lineRule="auto"/>
        <w:jc w:val="both"/>
        <w:rPr>
          <w:rFonts w:ascii="Garamond" w:hAnsi="Garamond"/>
          <w:lang w:val="es-419"/>
        </w:rPr>
      </w:pPr>
    </w:p>
    <w:p w14:paraId="63CDC568" w14:textId="64FB9528" w:rsidR="007E077E" w:rsidRPr="00467D27" w:rsidRDefault="00467D27" w:rsidP="00A76CC7">
      <w:pPr>
        <w:spacing w:after="0" w:line="240" w:lineRule="auto"/>
        <w:ind w:left="720" w:right="900"/>
        <w:jc w:val="both"/>
        <w:rPr>
          <w:rFonts w:ascii="Garamond" w:hAnsi="Garamond"/>
          <w:lang w:val="es-419"/>
        </w:rPr>
      </w:pPr>
      <w:r w:rsidRPr="00467D27">
        <w:rPr>
          <w:rFonts w:ascii="Garamond" w:hAnsi="Garamond"/>
          <w:lang w:val="es-419"/>
        </w:rPr>
        <w:t>El Gobierno ha realizado importantes esfuerzos para superar estas situaciones</w:t>
      </w:r>
      <w:r w:rsidR="00C13FA2">
        <w:rPr>
          <w:rFonts w:ascii="Garamond" w:hAnsi="Garamond"/>
          <w:lang w:val="es-419"/>
        </w:rPr>
        <w:t xml:space="preserve"> […]</w:t>
      </w:r>
      <w:r w:rsidRPr="00467D27">
        <w:rPr>
          <w:rFonts w:ascii="Garamond" w:hAnsi="Garamond"/>
          <w:lang w:val="es-419"/>
        </w:rPr>
        <w:t xml:space="preserve"> persisten importantes barreras por superar: escasa inversión en la niñez y adolescencia, bajo acceso y calidad de los servicios sociales, insuficiente coordinación intersectorial, baja calidad de los sistemas de información y debilidad de mecanismos de monitoreo y evaluación de la política pública dirigida a la niñez y la adolescencia. A esto se suma la persistencia de pautas culturales y prácticas sociales discriminatorias que reproducen la desigualdad de género, el machismo y la aceptación de prácticas que violan los derechos de la niñez y la adolescencia, y de una manera notoria en el caso de las niñas, mujeres adolescentes, niños y adolescentes con diversidad funcional y el colectivo LGTBIQ+</w:t>
      </w:r>
      <w:r w:rsidR="00C13FA2">
        <w:rPr>
          <w:rStyle w:val="FootnoteReference"/>
          <w:rFonts w:ascii="Garamond" w:hAnsi="Garamond"/>
          <w:lang w:val="es-419"/>
        </w:rPr>
        <w:footnoteReference w:id="14"/>
      </w:r>
      <w:r w:rsidRPr="00467D27">
        <w:rPr>
          <w:rFonts w:ascii="Garamond" w:hAnsi="Garamond"/>
          <w:lang w:val="es-419"/>
        </w:rPr>
        <w:t>.</w:t>
      </w:r>
    </w:p>
    <w:p w14:paraId="7BEF977D" w14:textId="77777777" w:rsidR="00EC3709" w:rsidRPr="00006EBC" w:rsidRDefault="00EC3709" w:rsidP="00006EBC">
      <w:pPr>
        <w:spacing w:after="0" w:line="240" w:lineRule="auto"/>
        <w:jc w:val="both"/>
        <w:rPr>
          <w:rFonts w:ascii="Garamond" w:hAnsi="Garamond"/>
          <w:lang w:val="es-419"/>
        </w:rPr>
      </w:pPr>
    </w:p>
    <w:p w14:paraId="3E6054BF" w14:textId="3B322FBC" w:rsidR="00B41C8A" w:rsidRPr="00006EBC" w:rsidRDefault="00B41C8A" w:rsidP="00006EBC">
      <w:pPr>
        <w:pStyle w:val="ListParagraph"/>
        <w:numPr>
          <w:ilvl w:val="0"/>
          <w:numId w:val="1"/>
        </w:numPr>
        <w:spacing w:after="0" w:line="240" w:lineRule="auto"/>
        <w:jc w:val="both"/>
        <w:rPr>
          <w:rFonts w:ascii="Garamond" w:hAnsi="Garamond"/>
          <w:b/>
          <w:bCs/>
          <w:lang w:val="es-419"/>
        </w:rPr>
      </w:pPr>
      <w:r w:rsidRPr="00006EBC">
        <w:rPr>
          <w:rFonts w:ascii="Garamond" w:hAnsi="Garamond"/>
          <w:b/>
          <w:bCs/>
          <w:lang w:val="es-419"/>
        </w:rPr>
        <w:t>Criminalización de la interrupción voluntaria del embarazo</w:t>
      </w:r>
    </w:p>
    <w:p w14:paraId="52604B6A" w14:textId="77777777" w:rsidR="00FC5870" w:rsidRPr="00006EBC" w:rsidRDefault="00FC5870" w:rsidP="00006EBC">
      <w:pPr>
        <w:spacing w:after="0" w:line="240" w:lineRule="auto"/>
        <w:jc w:val="both"/>
        <w:rPr>
          <w:rFonts w:ascii="Garamond" w:hAnsi="Garamond"/>
          <w:lang w:val="es-419"/>
        </w:rPr>
      </w:pPr>
    </w:p>
    <w:p w14:paraId="16692A06" w14:textId="35B2708A" w:rsidR="00B41C8A" w:rsidRPr="00006EBC" w:rsidRDefault="00D06326" w:rsidP="00006EBC">
      <w:pPr>
        <w:spacing w:after="0" w:line="240" w:lineRule="auto"/>
        <w:jc w:val="both"/>
        <w:rPr>
          <w:rFonts w:ascii="Garamond" w:hAnsi="Garamond"/>
          <w:lang w:val="es-419"/>
        </w:rPr>
      </w:pPr>
      <w:r w:rsidRPr="00006EBC">
        <w:rPr>
          <w:rFonts w:ascii="Garamond" w:hAnsi="Garamond"/>
          <w:lang w:val="es-419"/>
        </w:rPr>
        <w:t xml:space="preserve">En sus observaciones finales sobre el sexto informe periódico, este Comité </w:t>
      </w:r>
      <w:r w:rsidR="00FC5870" w:rsidRPr="00006EBC">
        <w:rPr>
          <w:rFonts w:ascii="Garamond" w:hAnsi="Garamond"/>
          <w:lang w:val="es-419"/>
        </w:rPr>
        <w:t>expresó su preoc</w:t>
      </w:r>
      <w:r w:rsidR="00461C3E" w:rsidRPr="00006EBC">
        <w:rPr>
          <w:rFonts w:ascii="Garamond" w:hAnsi="Garamond"/>
          <w:lang w:val="es-419"/>
        </w:rPr>
        <w:t>upación por</w:t>
      </w:r>
      <w:r w:rsidR="006966E3">
        <w:rPr>
          <w:rFonts w:ascii="Garamond" w:hAnsi="Garamond"/>
          <w:lang w:val="es-419"/>
        </w:rPr>
        <w:t xml:space="preserve"> la</w:t>
      </w:r>
      <w:r w:rsidR="00461C3E" w:rsidRPr="00006EBC">
        <w:rPr>
          <w:rFonts w:ascii="Garamond" w:hAnsi="Garamond"/>
          <w:lang w:val="es-419"/>
        </w:rPr>
        <w:t xml:space="preserve"> </w:t>
      </w:r>
      <w:r w:rsidR="00952A8E" w:rsidRPr="00006EBC">
        <w:rPr>
          <w:rFonts w:ascii="Garamond" w:hAnsi="Garamond"/>
          <w:lang w:val="es-419"/>
        </w:rPr>
        <w:t>criminalización de</w:t>
      </w:r>
      <w:r w:rsidR="00C26154" w:rsidRPr="00006EBC">
        <w:rPr>
          <w:rFonts w:ascii="Garamond" w:hAnsi="Garamond"/>
          <w:lang w:val="es-419"/>
        </w:rPr>
        <w:t xml:space="preserve"> la</w:t>
      </w:r>
      <w:r w:rsidR="00952A8E" w:rsidRPr="00006EBC">
        <w:rPr>
          <w:rFonts w:ascii="Garamond" w:hAnsi="Garamond"/>
          <w:lang w:val="es-419"/>
        </w:rPr>
        <w:t xml:space="preserve"> interrupción voluntaria del embarazo, incluyendo </w:t>
      </w:r>
      <w:r w:rsidR="00B205EF" w:rsidRPr="00006EBC">
        <w:rPr>
          <w:rFonts w:ascii="Garamond" w:hAnsi="Garamond"/>
          <w:lang w:val="es-419"/>
        </w:rPr>
        <w:t>“</w:t>
      </w:r>
      <w:r w:rsidR="00952A8E" w:rsidRPr="00006EBC">
        <w:rPr>
          <w:rFonts w:ascii="Garamond" w:hAnsi="Garamond"/>
          <w:lang w:val="es-419"/>
        </w:rPr>
        <w:t>cuando la vida o la salud de la mujer o niña embarazada estén en riesgo</w:t>
      </w:r>
      <w:r w:rsidR="00FF42DB" w:rsidRPr="00006EBC">
        <w:rPr>
          <w:rFonts w:ascii="Garamond" w:hAnsi="Garamond"/>
          <w:lang w:val="es-419"/>
        </w:rPr>
        <w:t xml:space="preserve">, […] especialmente </w:t>
      </w:r>
      <w:r w:rsidR="00B205EF" w:rsidRPr="00006EBC">
        <w:rPr>
          <w:rFonts w:ascii="Garamond" w:hAnsi="Garamond"/>
          <w:lang w:val="es-419"/>
        </w:rPr>
        <w:t>en los casos en que el embarazo sea el resultado de una violación o incesto o cuando no sea viable</w:t>
      </w:r>
      <w:r w:rsidR="00C26154" w:rsidRPr="00006EBC">
        <w:rPr>
          <w:rFonts w:ascii="Garamond" w:hAnsi="Garamond"/>
          <w:lang w:val="es-419"/>
        </w:rPr>
        <w:t>, así como en todas las demás circunstancias</w:t>
      </w:r>
      <w:r w:rsidR="00B205EF" w:rsidRPr="00006EBC">
        <w:rPr>
          <w:rFonts w:ascii="Garamond" w:hAnsi="Garamond"/>
          <w:lang w:val="es-419"/>
        </w:rPr>
        <w:t>”.</w:t>
      </w:r>
      <w:r w:rsidR="00C26154" w:rsidRPr="00006EBC">
        <w:rPr>
          <w:rFonts w:ascii="Garamond" w:hAnsi="Garamond"/>
          <w:lang w:val="es-419"/>
        </w:rPr>
        <w:t xml:space="preserve"> En consecuencia, el Comité </w:t>
      </w:r>
      <w:r w:rsidR="0058452B" w:rsidRPr="00006EBC">
        <w:rPr>
          <w:rFonts w:ascii="Garamond" w:hAnsi="Garamond"/>
          <w:lang w:val="es-419"/>
        </w:rPr>
        <w:t>formuló varias recomendaciones al Estado enfocadas en modificar y revisar su legislación en este ámbito</w:t>
      </w:r>
      <w:r w:rsidR="009474C0" w:rsidRPr="00006EBC">
        <w:rPr>
          <w:rStyle w:val="FootnoteReference"/>
          <w:rFonts w:ascii="Garamond" w:hAnsi="Garamond"/>
          <w:lang w:val="es-419"/>
        </w:rPr>
        <w:footnoteReference w:id="15"/>
      </w:r>
      <w:r w:rsidR="0058452B" w:rsidRPr="00006EBC">
        <w:rPr>
          <w:rFonts w:ascii="Garamond" w:hAnsi="Garamond"/>
          <w:lang w:val="es-419"/>
        </w:rPr>
        <w:t xml:space="preserve">. </w:t>
      </w:r>
      <w:r w:rsidR="00A14DEB" w:rsidRPr="00006EBC">
        <w:rPr>
          <w:rFonts w:ascii="Garamond" w:hAnsi="Garamond"/>
          <w:lang w:val="es-419"/>
        </w:rPr>
        <w:t xml:space="preserve">En el marco del seguimiento, el Estado dominicano informó sobre el proceso </w:t>
      </w:r>
      <w:r w:rsidR="00FE29FA" w:rsidRPr="00006EBC">
        <w:rPr>
          <w:rFonts w:ascii="Garamond" w:hAnsi="Garamond"/>
          <w:lang w:val="es-419"/>
        </w:rPr>
        <w:t>de reforma del Código Penal adelantado ante el Congreso en el año 2021</w:t>
      </w:r>
      <w:r w:rsidR="00FE29FA" w:rsidRPr="00006EBC">
        <w:rPr>
          <w:rStyle w:val="FootnoteReference"/>
          <w:rFonts w:ascii="Garamond" w:hAnsi="Garamond"/>
          <w:lang w:val="es-419"/>
        </w:rPr>
        <w:footnoteReference w:id="16"/>
      </w:r>
      <w:r w:rsidR="00FE29FA" w:rsidRPr="00006EBC">
        <w:rPr>
          <w:rFonts w:ascii="Garamond" w:hAnsi="Garamond"/>
          <w:lang w:val="es-419"/>
        </w:rPr>
        <w:t xml:space="preserve">. </w:t>
      </w:r>
      <w:r w:rsidR="00226ED0">
        <w:rPr>
          <w:rFonts w:ascii="Garamond" w:hAnsi="Garamond"/>
          <w:lang w:val="es-419"/>
        </w:rPr>
        <w:t xml:space="preserve">A la fecha, </w:t>
      </w:r>
      <w:r w:rsidR="0097226F">
        <w:rPr>
          <w:rFonts w:ascii="Garamond" w:hAnsi="Garamond"/>
          <w:lang w:val="es-419"/>
        </w:rPr>
        <w:t xml:space="preserve">el proyecto de nuevo Código Penal aún continúa pendiente de aprobación </w:t>
      </w:r>
      <w:r w:rsidR="00D10CA2">
        <w:rPr>
          <w:rFonts w:ascii="Garamond" w:hAnsi="Garamond"/>
          <w:lang w:val="es-419"/>
        </w:rPr>
        <w:t>por</w:t>
      </w:r>
      <w:r w:rsidR="0097226F">
        <w:rPr>
          <w:rFonts w:ascii="Garamond" w:hAnsi="Garamond"/>
          <w:lang w:val="es-419"/>
        </w:rPr>
        <w:t xml:space="preserve"> el Congreso, luego de más de dos décadas de iniciado el trámite legislativo. Asimismo, el proyecto actualmente existente mantiene la prohibición absoluta del aborto.  </w:t>
      </w:r>
    </w:p>
    <w:p w14:paraId="2E22E510" w14:textId="77777777" w:rsidR="009474C0" w:rsidRPr="00006EBC" w:rsidRDefault="009474C0" w:rsidP="00006EBC">
      <w:pPr>
        <w:spacing w:after="0" w:line="240" w:lineRule="auto"/>
        <w:jc w:val="both"/>
        <w:rPr>
          <w:rFonts w:ascii="Garamond" w:hAnsi="Garamond"/>
          <w:lang w:val="es-419"/>
        </w:rPr>
      </w:pPr>
    </w:p>
    <w:p w14:paraId="4CF5F0FA" w14:textId="77777777" w:rsidR="00C07619" w:rsidRPr="00C07619" w:rsidRDefault="00C07619" w:rsidP="00C07619">
      <w:pPr>
        <w:spacing w:after="0" w:line="240" w:lineRule="auto"/>
        <w:jc w:val="both"/>
        <w:rPr>
          <w:rFonts w:ascii="Garamond" w:hAnsi="Garamond"/>
          <w:lang w:val="es-419"/>
        </w:rPr>
      </w:pPr>
      <w:r w:rsidRPr="00C07619">
        <w:rPr>
          <w:rFonts w:ascii="Garamond" w:hAnsi="Garamond"/>
          <w:lang w:val="es-419"/>
        </w:rPr>
        <w:t>El aborto es un servicio de salud sexual y reproductiva esencial y sensible al tiempo, por lo que debe estar a disponibilidad de las mujeres y personas gestantes de conformidad con sus necesidades personales. En 2022, la Organización Mundial de la Salud (OMS) publicó la actualización de las Directrices sobre la atención para el aborto,</w:t>
      </w:r>
      <w:r w:rsidRPr="4779C4B5">
        <w:rPr>
          <w:rStyle w:val="FootnoteReference"/>
          <w:rFonts w:ascii="Garamond" w:hAnsi="Garamond"/>
        </w:rPr>
        <w:footnoteReference w:id="17"/>
      </w:r>
      <w:r w:rsidRPr="00C07619">
        <w:rPr>
          <w:rFonts w:ascii="Garamond" w:hAnsi="Garamond"/>
          <w:lang w:val="es-419"/>
        </w:rPr>
        <w:t xml:space="preserve"> principal referente a nivel internacional de los Estados para la implementación de los servicios, que compila todas las recomendaciones y declaraciones óptimas de la OMS para la práctica clínica o la política pública de estos servicios, conforme a la evidencia científica. </w:t>
      </w:r>
    </w:p>
    <w:p w14:paraId="122A95DE" w14:textId="77777777" w:rsidR="00C07619" w:rsidRDefault="00C07619" w:rsidP="00C07619">
      <w:pPr>
        <w:spacing w:after="0" w:line="240" w:lineRule="auto"/>
        <w:jc w:val="both"/>
        <w:rPr>
          <w:rFonts w:ascii="Garamond" w:hAnsi="Garamond"/>
          <w:lang w:val="es-419"/>
        </w:rPr>
      </w:pPr>
    </w:p>
    <w:p w14:paraId="06C42079" w14:textId="77777777" w:rsidR="00C07619" w:rsidRDefault="00C07619" w:rsidP="00C07619">
      <w:pPr>
        <w:spacing w:after="0" w:line="240" w:lineRule="auto"/>
        <w:jc w:val="both"/>
        <w:rPr>
          <w:rFonts w:ascii="Garamond" w:hAnsi="Garamond"/>
          <w:lang w:val="es-419"/>
        </w:rPr>
      </w:pPr>
      <w:r w:rsidRPr="00C07619">
        <w:rPr>
          <w:rFonts w:ascii="Garamond" w:hAnsi="Garamond"/>
          <w:lang w:val="es-419"/>
        </w:rPr>
        <w:t xml:space="preserve">En sus Directrices, la OMS identifica recomendaciones basadas en datos empíricos para mejorar la legislación y las políticas relativas al aborto como parte de un entorno propicio para el acceso universal a una atención para el aborto de calidad. En este sentido, recomienda la despenalización total del aborto, entendiendo esta como la eliminación del aborto de todas las leyes penales, la no aplicación de otros delitos punibles (por ejemplo, asesinato, homicidio) al aborto, y garantizar que no haya sanciones penales por abortar, ayudar a abortar, proporcionar información sobre el aborto o practicar </w:t>
      </w:r>
      <w:r w:rsidRPr="00C07619">
        <w:rPr>
          <w:rFonts w:ascii="Garamond" w:hAnsi="Garamond"/>
          <w:lang w:val="es-419"/>
        </w:rPr>
        <w:lastRenderedPageBreak/>
        <w:t xml:space="preserve">un aborto, para todos los agentes participantes. Asimismo, no recomienda la promulgación de leyes y otras reglamentaciones que restrinjan el aborto basándose en supuestos y recomienda que el aborto esté accesible a demanda de la mujer, niña y otra persona embarazada. </w:t>
      </w:r>
    </w:p>
    <w:p w14:paraId="2D1E65A0" w14:textId="77777777" w:rsidR="00C07619" w:rsidRDefault="00C07619" w:rsidP="00C07619">
      <w:pPr>
        <w:spacing w:after="0" w:line="240" w:lineRule="auto"/>
        <w:jc w:val="both"/>
        <w:rPr>
          <w:rFonts w:ascii="Garamond" w:hAnsi="Garamond"/>
          <w:lang w:val="es-419"/>
        </w:rPr>
      </w:pPr>
    </w:p>
    <w:p w14:paraId="022D704A" w14:textId="602E050C" w:rsidR="00C07619" w:rsidRPr="00C07619" w:rsidRDefault="002E59C1" w:rsidP="00C07619">
      <w:pPr>
        <w:spacing w:after="0" w:line="240" w:lineRule="auto"/>
        <w:jc w:val="both"/>
        <w:rPr>
          <w:rFonts w:ascii="Garamond" w:hAnsi="Garamond"/>
          <w:lang w:val="es-419"/>
        </w:rPr>
      </w:pPr>
      <w:r>
        <w:rPr>
          <w:rFonts w:ascii="Garamond" w:hAnsi="Garamond"/>
          <w:lang w:val="es-419"/>
        </w:rPr>
        <w:t>En consecuencia,</w:t>
      </w:r>
      <w:r w:rsidR="00C07619" w:rsidRPr="00C07619">
        <w:rPr>
          <w:rFonts w:ascii="Garamond" w:hAnsi="Garamond"/>
          <w:lang w:val="es-419"/>
        </w:rPr>
        <w:t xml:space="preserve"> los Estados deben legislar en materia de interrupción del embarazo conforme a lo establecido en las Directrices de la OMS para garantizar un marco jurídico que acorde con los derechos sexuales y reproductivos de las mujeres y personas gestantes. </w:t>
      </w:r>
    </w:p>
    <w:p w14:paraId="24396D19" w14:textId="77777777" w:rsidR="00C07619" w:rsidRDefault="00C07619" w:rsidP="00C07619">
      <w:pPr>
        <w:spacing w:after="0" w:line="240" w:lineRule="auto"/>
        <w:jc w:val="both"/>
        <w:rPr>
          <w:rFonts w:ascii="Garamond" w:hAnsi="Garamond"/>
          <w:lang w:val="es-419"/>
        </w:rPr>
      </w:pPr>
    </w:p>
    <w:p w14:paraId="4A1B23FD" w14:textId="77777777" w:rsidR="00C07619" w:rsidRDefault="00C07619" w:rsidP="00C07619">
      <w:pPr>
        <w:spacing w:after="0" w:line="240" w:lineRule="auto"/>
        <w:jc w:val="both"/>
        <w:rPr>
          <w:rFonts w:ascii="Garamond" w:hAnsi="Garamond"/>
          <w:lang w:val="es-419"/>
        </w:rPr>
      </w:pPr>
      <w:r w:rsidRPr="4779C4B5">
        <w:rPr>
          <w:rFonts w:ascii="Garamond" w:hAnsi="Garamond"/>
          <w:lang w:val="es-419"/>
        </w:rPr>
        <w:t>A la luz de lo anterior, las organizaciones informamos con preocupación al Comité que, a la fecha, el Estado dominicano no ha dado cumplimiento a la recomendación relativa a las modificaciones legislativas en materia de interrupción voluntaria del embarazo. Así, la República Dominicana sigue siendo uno de los cinco países de la región que prohíbe en forma absoluta el aborto, y mantiene vigente las disposiciones del Código Penal que data de 1884 y criminaliza a la mujer, al personal de salud y a toda persona que coopere directa o indirectamente, a penas que oscilan entre los 6 meses y los 20 años de prisión.</w:t>
      </w:r>
    </w:p>
    <w:p w14:paraId="379469E0" w14:textId="77777777" w:rsidR="006B5CB1" w:rsidRDefault="006B5CB1" w:rsidP="00006EBC">
      <w:pPr>
        <w:spacing w:after="0" w:line="240" w:lineRule="auto"/>
        <w:jc w:val="both"/>
        <w:rPr>
          <w:rFonts w:ascii="Garamond" w:hAnsi="Garamond"/>
          <w:lang w:val="es-419"/>
        </w:rPr>
      </w:pPr>
    </w:p>
    <w:p w14:paraId="60368DD7" w14:textId="6AFA47A2" w:rsidR="007C6F2B" w:rsidRDefault="006B5CB1" w:rsidP="00006EBC">
      <w:pPr>
        <w:spacing w:after="0" w:line="240" w:lineRule="auto"/>
        <w:jc w:val="both"/>
        <w:rPr>
          <w:rFonts w:ascii="Garamond" w:hAnsi="Garamond"/>
          <w:lang w:val="es-419"/>
        </w:rPr>
      </w:pPr>
      <w:r>
        <w:rPr>
          <w:rFonts w:ascii="Garamond" w:hAnsi="Garamond"/>
          <w:lang w:val="es-419"/>
        </w:rPr>
        <w:t xml:space="preserve">Las organizaciones </w:t>
      </w:r>
      <w:r w:rsidR="008671C4">
        <w:rPr>
          <w:rFonts w:ascii="Garamond" w:hAnsi="Garamond"/>
          <w:lang w:val="es-419"/>
        </w:rPr>
        <w:t>ponemos a disposición de</w:t>
      </w:r>
      <w:r>
        <w:rPr>
          <w:rFonts w:ascii="Garamond" w:hAnsi="Garamond"/>
          <w:lang w:val="es-419"/>
        </w:rPr>
        <w:t xml:space="preserve"> este Comité los resultados de un </w:t>
      </w:r>
      <w:r w:rsidR="00AE1441">
        <w:rPr>
          <w:rFonts w:ascii="Garamond" w:hAnsi="Garamond"/>
          <w:lang w:val="es-419"/>
        </w:rPr>
        <w:t>informe</w:t>
      </w:r>
      <w:r>
        <w:rPr>
          <w:rFonts w:ascii="Garamond" w:hAnsi="Garamond"/>
          <w:lang w:val="es-419"/>
        </w:rPr>
        <w:t xml:space="preserve"> </w:t>
      </w:r>
      <w:r w:rsidR="00AE1441">
        <w:rPr>
          <w:rFonts w:ascii="Garamond" w:hAnsi="Garamond"/>
          <w:lang w:val="es-419"/>
        </w:rPr>
        <w:t>presentado en 2023</w:t>
      </w:r>
      <w:r>
        <w:rPr>
          <w:rFonts w:ascii="Garamond" w:hAnsi="Garamond"/>
          <w:lang w:val="es-419"/>
        </w:rPr>
        <w:t xml:space="preserve"> por </w:t>
      </w:r>
      <w:r w:rsidR="008671C4">
        <w:rPr>
          <w:rFonts w:ascii="Garamond" w:hAnsi="Garamond"/>
          <w:lang w:val="es-419"/>
        </w:rPr>
        <w:t>CLADEM-RD y el Núcleo de Apoyo a la Mujer</w:t>
      </w:r>
      <w:r w:rsidR="008671C4">
        <w:rPr>
          <w:rStyle w:val="FootnoteReference"/>
          <w:rFonts w:ascii="Garamond" w:hAnsi="Garamond"/>
          <w:lang w:val="es-419"/>
        </w:rPr>
        <w:footnoteReference w:id="18"/>
      </w:r>
      <w:r w:rsidR="008671C4">
        <w:rPr>
          <w:rFonts w:ascii="Garamond" w:hAnsi="Garamond"/>
          <w:lang w:val="es-419"/>
        </w:rPr>
        <w:t xml:space="preserve">, </w:t>
      </w:r>
      <w:r w:rsidR="00394013">
        <w:rPr>
          <w:rFonts w:ascii="Garamond" w:hAnsi="Garamond"/>
          <w:lang w:val="es-419"/>
        </w:rPr>
        <w:t>que</w:t>
      </w:r>
      <w:r w:rsidR="00AE1441">
        <w:rPr>
          <w:rFonts w:ascii="Garamond" w:hAnsi="Garamond"/>
          <w:lang w:val="es-419"/>
        </w:rPr>
        <w:t xml:space="preserve"> </w:t>
      </w:r>
      <w:r w:rsidR="006F34CB" w:rsidRPr="006F34CB">
        <w:rPr>
          <w:rFonts w:ascii="Garamond" w:hAnsi="Garamond"/>
          <w:lang w:val="es-419"/>
        </w:rPr>
        <w:t xml:space="preserve">recoge los resultados de </w:t>
      </w:r>
      <w:r w:rsidR="00AE1441">
        <w:rPr>
          <w:rFonts w:ascii="Garamond" w:hAnsi="Garamond"/>
          <w:lang w:val="es-419"/>
        </w:rPr>
        <w:t>una</w:t>
      </w:r>
      <w:r w:rsidR="006F34CB" w:rsidRPr="006F34CB">
        <w:rPr>
          <w:rFonts w:ascii="Garamond" w:hAnsi="Garamond"/>
          <w:lang w:val="es-419"/>
        </w:rPr>
        <w:t xml:space="preserve"> investigación </w:t>
      </w:r>
      <w:r w:rsidR="00AE1441">
        <w:rPr>
          <w:rFonts w:ascii="Garamond" w:hAnsi="Garamond"/>
          <w:lang w:val="es-419"/>
        </w:rPr>
        <w:t xml:space="preserve">en el país </w:t>
      </w:r>
      <w:r w:rsidR="006F34CB" w:rsidRPr="006F34CB">
        <w:rPr>
          <w:rFonts w:ascii="Garamond" w:hAnsi="Garamond"/>
          <w:lang w:val="es-419"/>
        </w:rPr>
        <w:t>sobre persecución penal del aborto y otros eventos obstétricos en la República Dominicana</w:t>
      </w:r>
      <w:r w:rsidR="00AE1441">
        <w:rPr>
          <w:rFonts w:ascii="Garamond" w:hAnsi="Garamond"/>
          <w:lang w:val="es-419"/>
        </w:rPr>
        <w:t>. Entre otros aspectos, el estudio sugiere que la persecución penal del aborto en el país</w:t>
      </w:r>
      <w:r w:rsidR="00B12500">
        <w:rPr>
          <w:rFonts w:ascii="Garamond" w:hAnsi="Garamond"/>
          <w:lang w:val="es-419"/>
        </w:rPr>
        <w:t xml:space="preserve"> es una realidad actual</w:t>
      </w:r>
      <w:r w:rsidR="004F67F5">
        <w:rPr>
          <w:rFonts w:ascii="Garamond" w:hAnsi="Garamond"/>
          <w:lang w:val="es-419"/>
        </w:rPr>
        <w:t>,</w:t>
      </w:r>
      <w:r w:rsidR="00B12500">
        <w:rPr>
          <w:rFonts w:ascii="Garamond" w:hAnsi="Garamond"/>
          <w:lang w:val="es-419"/>
        </w:rPr>
        <w:t xml:space="preserve"> y da lugar a sanciones severas contra mujeres y niñas, que enfrentan sentencias de prisión de hasta treinta años como consecuencia de la imputación de delitos de mayor gravedad.</w:t>
      </w:r>
    </w:p>
    <w:p w14:paraId="19389102" w14:textId="77777777" w:rsidR="00D534ED" w:rsidRDefault="00D534ED" w:rsidP="00006EBC">
      <w:pPr>
        <w:spacing w:after="0" w:line="240" w:lineRule="auto"/>
        <w:jc w:val="both"/>
        <w:rPr>
          <w:rFonts w:ascii="Garamond" w:hAnsi="Garamond"/>
          <w:lang w:val="es-419"/>
        </w:rPr>
      </w:pPr>
    </w:p>
    <w:p w14:paraId="1DA8E587" w14:textId="1C6ACC80" w:rsidR="00D534ED" w:rsidRDefault="00D534ED" w:rsidP="00006EBC">
      <w:pPr>
        <w:spacing w:after="0" w:line="240" w:lineRule="auto"/>
        <w:jc w:val="both"/>
        <w:rPr>
          <w:rFonts w:ascii="Garamond" w:hAnsi="Garamond"/>
          <w:lang w:val="es-419"/>
        </w:rPr>
      </w:pPr>
      <w:r>
        <w:rPr>
          <w:rFonts w:ascii="Garamond" w:hAnsi="Garamond"/>
          <w:lang w:val="es-419"/>
        </w:rPr>
        <w:t>También, el estudio concluye con base en los casos analizados</w:t>
      </w:r>
      <w:r w:rsidR="0056092E">
        <w:rPr>
          <w:rFonts w:ascii="Garamond" w:hAnsi="Garamond"/>
          <w:lang w:val="es-419"/>
        </w:rPr>
        <w:t xml:space="preserve"> que</w:t>
      </w:r>
      <w:r>
        <w:rPr>
          <w:rFonts w:ascii="Garamond" w:hAnsi="Garamond"/>
          <w:lang w:val="es-419"/>
        </w:rPr>
        <w:t>:</w:t>
      </w:r>
    </w:p>
    <w:p w14:paraId="5D16D199" w14:textId="77777777" w:rsidR="00C97938" w:rsidRDefault="00C97938" w:rsidP="00006EBC">
      <w:pPr>
        <w:spacing w:after="0" w:line="240" w:lineRule="auto"/>
        <w:jc w:val="both"/>
        <w:rPr>
          <w:rFonts w:ascii="Garamond" w:hAnsi="Garamond"/>
          <w:lang w:val="es-419"/>
        </w:rPr>
      </w:pPr>
    </w:p>
    <w:p w14:paraId="45467357" w14:textId="741A67E9" w:rsidR="00D534ED" w:rsidRDefault="0056092E" w:rsidP="00CD4B07">
      <w:pPr>
        <w:spacing w:after="0" w:line="240" w:lineRule="auto"/>
        <w:ind w:left="720" w:right="900"/>
        <w:jc w:val="both"/>
        <w:rPr>
          <w:rFonts w:ascii="Garamond" w:hAnsi="Garamond"/>
          <w:lang w:val="es-419"/>
        </w:rPr>
      </w:pPr>
      <w:r>
        <w:rPr>
          <w:rFonts w:ascii="Garamond" w:hAnsi="Garamond"/>
          <w:lang w:val="es-419"/>
        </w:rPr>
        <w:t>[…] los</w:t>
      </w:r>
      <w:r w:rsidR="00D534ED" w:rsidRPr="00D534ED">
        <w:rPr>
          <w:rFonts w:ascii="Garamond" w:hAnsi="Garamond"/>
          <w:lang w:val="es-419"/>
        </w:rPr>
        <w:t xml:space="preserve"> procesos de investigación y judicialización que llevaron a prisión a estas mujeres se basaron en visiones estereotipadas sobre el comportamiento correcto de las mujeres </w:t>
      </w:r>
      <w:proofErr w:type="gramStart"/>
      <w:r w:rsidR="00D534ED" w:rsidRPr="00D534ED">
        <w:rPr>
          <w:rFonts w:ascii="Garamond" w:hAnsi="Garamond"/>
          <w:lang w:val="es-419"/>
        </w:rPr>
        <w:t>en relación al</w:t>
      </w:r>
      <w:proofErr w:type="gramEnd"/>
      <w:r w:rsidR="00D534ED" w:rsidRPr="00D534ED">
        <w:rPr>
          <w:rFonts w:ascii="Garamond" w:hAnsi="Garamond"/>
          <w:lang w:val="es-419"/>
        </w:rPr>
        <w:t xml:space="preserve"> embarazo y la maternidad. Asimismo, se evidencia que las condenas fueron</w:t>
      </w:r>
      <w:r w:rsidR="00CD4B07">
        <w:rPr>
          <w:rFonts w:ascii="Garamond" w:hAnsi="Garamond"/>
          <w:lang w:val="es-419"/>
        </w:rPr>
        <w:t xml:space="preserve"> </w:t>
      </w:r>
      <w:r w:rsidR="00D534ED" w:rsidRPr="00D534ED">
        <w:rPr>
          <w:rFonts w:ascii="Garamond" w:hAnsi="Garamond"/>
          <w:lang w:val="es-419"/>
        </w:rPr>
        <w:t>dictadas</w:t>
      </w:r>
      <w:r w:rsidR="00CD4B07">
        <w:rPr>
          <w:rFonts w:ascii="Garamond" w:hAnsi="Garamond"/>
          <w:lang w:val="es-419"/>
        </w:rPr>
        <w:t xml:space="preserve"> </w:t>
      </w:r>
      <w:r w:rsidR="00D534ED" w:rsidRPr="00D534ED">
        <w:rPr>
          <w:rFonts w:ascii="Garamond" w:hAnsi="Garamond"/>
          <w:lang w:val="es-419"/>
        </w:rPr>
        <w:t>a</w:t>
      </w:r>
      <w:r w:rsidR="00CD4B07">
        <w:rPr>
          <w:rFonts w:ascii="Garamond" w:hAnsi="Garamond"/>
          <w:lang w:val="es-419"/>
        </w:rPr>
        <w:t xml:space="preserve"> </w:t>
      </w:r>
      <w:r w:rsidR="00D534ED" w:rsidRPr="00D534ED">
        <w:rPr>
          <w:rFonts w:ascii="Garamond" w:hAnsi="Garamond"/>
          <w:lang w:val="es-419"/>
        </w:rPr>
        <w:t>pesar</w:t>
      </w:r>
      <w:r w:rsidR="00CD4B07">
        <w:rPr>
          <w:rFonts w:ascii="Garamond" w:hAnsi="Garamond"/>
          <w:lang w:val="es-419"/>
        </w:rPr>
        <w:t xml:space="preserve"> </w:t>
      </w:r>
      <w:r w:rsidR="00D534ED" w:rsidRPr="00D534ED">
        <w:rPr>
          <w:rFonts w:ascii="Garamond" w:hAnsi="Garamond"/>
          <w:lang w:val="es-419"/>
        </w:rPr>
        <w:t>de</w:t>
      </w:r>
      <w:r w:rsidR="00CD4B07">
        <w:rPr>
          <w:rFonts w:ascii="Garamond" w:hAnsi="Garamond"/>
          <w:lang w:val="es-419"/>
        </w:rPr>
        <w:t xml:space="preserve"> </w:t>
      </w:r>
      <w:r w:rsidR="00D534ED" w:rsidRPr="00D534ED">
        <w:rPr>
          <w:rFonts w:ascii="Garamond" w:hAnsi="Garamond"/>
          <w:lang w:val="es-419"/>
        </w:rPr>
        <w:t>no</w:t>
      </w:r>
      <w:r w:rsidR="00CD4B07">
        <w:rPr>
          <w:rFonts w:ascii="Garamond" w:hAnsi="Garamond"/>
          <w:lang w:val="es-419"/>
        </w:rPr>
        <w:t xml:space="preserve"> </w:t>
      </w:r>
      <w:r w:rsidR="00D534ED" w:rsidRPr="00D534ED">
        <w:rPr>
          <w:rFonts w:ascii="Garamond" w:hAnsi="Garamond"/>
          <w:lang w:val="es-419"/>
        </w:rPr>
        <w:t>existir</w:t>
      </w:r>
      <w:r w:rsidR="00CD4B07">
        <w:rPr>
          <w:rFonts w:ascii="Garamond" w:hAnsi="Garamond"/>
          <w:lang w:val="es-419"/>
        </w:rPr>
        <w:t xml:space="preserve"> </w:t>
      </w:r>
      <w:r w:rsidR="00D534ED" w:rsidRPr="00D534ED">
        <w:rPr>
          <w:rFonts w:ascii="Garamond" w:hAnsi="Garamond"/>
          <w:lang w:val="es-419"/>
        </w:rPr>
        <w:t>suficientes,</w:t>
      </w:r>
      <w:r w:rsidR="005D7D66">
        <w:rPr>
          <w:rFonts w:ascii="Garamond" w:hAnsi="Garamond"/>
          <w:lang w:val="es-419"/>
        </w:rPr>
        <w:t xml:space="preserve"> </w:t>
      </w:r>
      <w:r w:rsidR="00D534ED" w:rsidRPr="00D534ED">
        <w:rPr>
          <w:rFonts w:ascii="Garamond" w:hAnsi="Garamond"/>
          <w:lang w:val="es-419"/>
        </w:rPr>
        <w:t>o</w:t>
      </w:r>
      <w:r w:rsidR="00CD4B07">
        <w:rPr>
          <w:rFonts w:ascii="Garamond" w:hAnsi="Garamond"/>
          <w:lang w:val="es-419"/>
        </w:rPr>
        <w:t xml:space="preserve"> </w:t>
      </w:r>
      <w:r w:rsidR="00D534ED" w:rsidRPr="00D534ED">
        <w:rPr>
          <w:rFonts w:ascii="Garamond" w:hAnsi="Garamond"/>
          <w:lang w:val="es-419"/>
        </w:rPr>
        <w:t>incluso,</w:t>
      </w:r>
      <w:r w:rsidR="00CD4B07">
        <w:rPr>
          <w:rFonts w:ascii="Garamond" w:hAnsi="Garamond"/>
          <w:lang w:val="es-419"/>
        </w:rPr>
        <w:t xml:space="preserve"> </w:t>
      </w:r>
      <w:r w:rsidR="00D534ED" w:rsidRPr="00D534ED">
        <w:rPr>
          <w:rFonts w:ascii="Garamond" w:hAnsi="Garamond"/>
          <w:lang w:val="es-419"/>
        </w:rPr>
        <w:t>ninguna</w:t>
      </w:r>
      <w:r w:rsidR="00CD4B07">
        <w:rPr>
          <w:rFonts w:ascii="Garamond" w:hAnsi="Garamond"/>
          <w:lang w:val="es-419"/>
        </w:rPr>
        <w:t xml:space="preserve"> </w:t>
      </w:r>
      <w:r w:rsidR="00D534ED" w:rsidRPr="00D534ED">
        <w:rPr>
          <w:rFonts w:ascii="Garamond" w:hAnsi="Garamond"/>
          <w:lang w:val="es-419"/>
        </w:rPr>
        <w:t>prueba</w:t>
      </w:r>
      <w:r w:rsidR="00CD4B07">
        <w:rPr>
          <w:rFonts w:ascii="Garamond" w:hAnsi="Garamond"/>
          <w:lang w:val="es-419"/>
        </w:rPr>
        <w:t xml:space="preserve"> </w:t>
      </w:r>
      <w:r w:rsidR="00D534ED" w:rsidRPr="00D534ED">
        <w:rPr>
          <w:rFonts w:ascii="Garamond" w:hAnsi="Garamond"/>
          <w:lang w:val="es-419"/>
        </w:rPr>
        <w:t>condenatoria,</w:t>
      </w:r>
      <w:r w:rsidR="00CD4B07">
        <w:rPr>
          <w:rFonts w:ascii="Garamond" w:hAnsi="Garamond"/>
          <w:lang w:val="es-419"/>
        </w:rPr>
        <w:t xml:space="preserve"> </w:t>
      </w:r>
      <w:r w:rsidR="00D534ED" w:rsidRPr="00D534ED">
        <w:rPr>
          <w:rFonts w:ascii="Garamond" w:hAnsi="Garamond"/>
          <w:lang w:val="es-419"/>
        </w:rPr>
        <w:t>y</w:t>
      </w:r>
      <w:r w:rsidR="00CD4B07">
        <w:rPr>
          <w:rFonts w:ascii="Garamond" w:hAnsi="Garamond"/>
          <w:lang w:val="es-419"/>
        </w:rPr>
        <w:t xml:space="preserve"> </w:t>
      </w:r>
      <w:r w:rsidR="00D534ED" w:rsidRPr="00D534ED">
        <w:rPr>
          <w:rFonts w:ascii="Garamond" w:hAnsi="Garamond"/>
          <w:lang w:val="es-419"/>
        </w:rPr>
        <w:t xml:space="preserve">se omitió la realización de diligencias probatorias fundamentales. Paralelamente, todas las pruebas potencialmente favorecedoras a la </w:t>
      </w:r>
      <w:proofErr w:type="gramStart"/>
      <w:r w:rsidR="00D534ED" w:rsidRPr="00D534ED">
        <w:rPr>
          <w:rFonts w:ascii="Garamond" w:hAnsi="Garamond"/>
          <w:lang w:val="es-419"/>
        </w:rPr>
        <w:t>mujer,</w:t>
      </w:r>
      <w:proofErr w:type="gramEnd"/>
      <w:r w:rsidR="00D534ED" w:rsidRPr="00D534ED">
        <w:rPr>
          <w:rFonts w:ascii="Garamond" w:hAnsi="Garamond"/>
          <w:lang w:val="es-419"/>
        </w:rPr>
        <w:t xml:space="preserve"> fueron sistemáticamente rechazadas o ni siquiera contempladas dentro del proceso. En resumen, en los cuatro casos de estudio, se puede comprobar que, tanto el sistema sanitario, como el sistema de justicia, accionan bajo un principio de culpabilidad y responsabilidad de la mujer hasta que ella logre probar lo contrario</w:t>
      </w:r>
      <w:r w:rsidR="00C97938">
        <w:rPr>
          <w:rStyle w:val="FootnoteReference"/>
          <w:rFonts w:ascii="Garamond" w:hAnsi="Garamond"/>
          <w:lang w:val="es-419"/>
        </w:rPr>
        <w:footnoteReference w:id="19"/>
      </w:r>
      <w:r w:rsidR="00C97938">
        <w:rPr>
          <w:rFonts w:ascii="Garamond" w:hAnsi="Garamond"/>
          <w:lang w:val="es-419"/>
        </w:rPr>
        <w:t xml:space="preserve">. </w:t>
      </w:r>
    </w:p>
    <w:p w14:paraId="6EEF4C54" w14:textId="77777777" w:rsidR="00355F8D" w:rsidRDefault="00355F8D" w:rsidP="00006EBC">
      <w:pPr>
        <w:spacing w:after="0" w:line="240" w:lineRule="auto"/>
        <w:jc w:val="both"/>
        <w:rPr>
          <w:rFonts w:ascii="Garamond" w:hAnsi="Garamond"/>
          <w:highlight w:val="yellow"/>
          <w:lang w:val="es-419"/>
        </w:rPr>
      </w:pPr>
    </w:p>
    <w:p w14:paraId="6BF32721" w14:textId="2DF76011" w:rsidR="00917A3C" w:rsidRDefault="00610C17" w:rsidP="00FD54E8">
      <w:pPr>
        <w:spacing w:after="0" w:line="240" w:lineRule="auto"/>
        <w:jc w:val="both"/>
        <w:rPr>
          <w:rFonts w:ascii="Garamond" w:hAnsi="Garamond"/>
          <w:lang w:val="es-419"/>
        </w:rPr>
      </w:pPr>
      <w:r>
        <w:rPr>
          <w:rFonts w:ascii="Garamond" w:hAnsi="Garamond"/>
          <w:lang w:val="es-419"/>
        </w:rPr>
        <w:t>Por otra parte, e</w:t>
      </w:r>
      <w:r w:rsidR="00917A3C">
        <w:rPr>
          <w:rFonts w:ascii="Garamond" w:hAnsi="Garamond"/>
          <w:lang w:val="es-419"/>
        </w:rPr>
        <w:t xml:space="preserve">l </w:t>
      </w:r>
      <w:r w:rsidR="00917A3C" w:rsidRPr="001F3126">
        <w:rPr>
          <w:rFonts w:ascii="Garamond" w:hAnsi="Garamond"/>
          <w:lang w:val="es-419"/>
        </w:rPr>
        <w:t xml:space="preserve">Código Penal </w:t>
      </w:r>
      <w:r w:rsidR="00586267" w:rsidRPr="001F3126">
        <w:rPr>
          <w:rFonts w:ascii="Garamond" w:hAnsi="Garamond"/>
          <w:lang w:val="es-419"/>
        </w:rPr>
        <w:t>dominicano en sus artículos</w:t>
      </w:r>
      <w:r w:rsidR="00917A3C" w:rsidRPr="001F3126">
        <w:rPr>
          <w:rFonts w:ascii="Garamond" w:hAnsi="Garamond"/>
          <w:lang w:val="es-419"/>
        </w:rPr>
        <w:t xml:space="preserve"> 377 y 378, el Código Procesal </w:t>
      </w:r>
      <w:r w:rsidR="00586267" w:rsidRPr="001F3126">
        <w:rPr>
          <w:rFonts w:ascii="Garamond" w:hAnsi="Garamond"/>
          <w:lang w:val="es-419"/>
        </w:rPr>
        <w:t>Penal en sus artículos</w:t>
      </w:r>
      <w:r w:rsidR="00917A3C" w:rsidRPr="001F3126">
        <w:rPr>
          <w:rFonts w:ascii="Garamond" w:hAnsi="Garamond"/>
          <w:lang w:val="es-419"/>
        </w:rPr>
        <w:t xml:space="preserve"> 187 y 197</w:t>
      </w:r>
      <w:r w:rsidR="00586267" w:rsidRPr="001F3126">
        <w:rPr>
          <w:rFonts w:ascii="Garamond" w:hAnsi="Garamond"/>
          <w:lang w:val="es-419"/>
        </w:rPr>
        <w:t>,</w:t>
      </w:r>
      <w:r w:rsidR="00917A3C" w:rsidRPr="001F3126">
        <w:rPr>
          <w:rFonts w:ascii="Garamond" w:hAnsi="Garamond"/>
          <w:lang w:val="es-419"/>
        </w:rPr>
        <w:t xml:space="preserve"> y la Ley General de Salud sancionan la revelación por parte de personal de salud de información conocida en el ejercicio de su profesión</w:t>
      </w:r>
      <w:r w:rsidR="00586267" w:rsidRPr="001F3126">
        <w:rPr>
          <w:rFonts w:ascii="Garamond" w:hAnsi="Garamond"/>
          <w:lang w:val="es-419"/>
        </w:rPr>
        <w:t xml:space="preserve">. </w:t>
      </w:r>
      <w:r w:rsidR="0067298D" w:rsidRPr="001F3126">
        <w:rPr>
          <w:rFonts w:ascii="Garamond" w:hAnsi="Garamond"/>
          <w:lang w:val="es-419"/>
        </w:rPr>
        <w:t xml:space="preserve">Asimismo, el </w:t>
      </w:r>
      <w:r w:rsidR="0067298D" w:rsidRPr="001F3126">
        <w:rPr>
          <w:rFonts w:ascii="Garamond" w:hAnsi="Garamond"/>
          <w:lang w:val="es-419"/>
        </w:rPr>
        <w:t>Protocolo de atención para el manejo integral del embarazo, el parto y el puerperio en adolescentes menores de 15 años</w:t>
      </w:r>
      <w:r w:rsidR="001F3126" w:rsidRPr="001F3126">
        <w:rPr>
          <w:rStyle w:val="FootnoteReference"/>
          <w:rFonts w:ascii="Garamond" w:hAnsi="Garamond"/>
          <w:lang w:val="es-419"/>
        </w:rPr>
        <w:footnoteReference w:id="20"/>
      </w:r>
      <w:r w:rsidR="0067298D" w:rsidRPr="001F3126">
        <w:rPr>
          <w:rFonts w:ascii="Garamond" w:hAnsi="Garamond"/>
          <w:lang w:val="es-419"/>
        </w:rPr>
        <w:t xml:space="preserve">, incluye entre sus principios el respeto a la confidencialidad y privacidad en los servicios de salud, así </w:t>
      </w:r>
      <w:r w:rsidR="0067298D" w:rsidRPr="001F3126">
        <w:rPr>
          <w:rFonts w:ascii="Garamond" w:hAnsi="Garamond"/>
          <w:lang w:val="es-419"/>
        </w:rPr>
        <w:lastRenderedPageBreak/>
        <w:t>como el diagnóstico</w:t>
      </w:r>
      <w:r w:rsidR="001A11C5" w:rsidRPr="001F3126">
        <w:rPr>
          <w:rFonts w:ascii="Garamond" w:hAnsi="Garamond"/>
          <w:lang w:val="es-419"/>
        </w:rPr>
        <w:t xml:space="preserve">. </w:t>
      </w:r>
      <w:r w:rsidR="00586267" w:rsidRPr="001F3126">
        <w:rPr>
          <w:rFonts w:ascii="Garamond" w:hAnsi="Garamond"/>
          <w:lang w:val="es-419"/>
        </w:rPr>
        <w:t>Sin embargo, como lo demuestra la referida investigación sobre persecución penal del aborto y otros eventos</w:t>
      </w:r>
      <w:r w:rsidR="00586267" w:rsidRPr="006F34CB">
        <w:rPr>
          <w:rFonts w:ascii="Garamond" w:hAnsi="Garamond"/>
          <w:lang w:val="es-419"/>
        </w:rPr>
        <w:t xml:space="preserve"> obstétricos en la República Dominicana</w:t>
      </w:r>
      <w:r w:rsidR="00917A3C">
        <w:rPr>
          <w:rFonts w:ascii="Garamond" w:hAnsi="Garamond"/>
          <w:lang w:val="es-419"/>
        </w:rPr>
        <w:t xml:space="preserve">, en la práctica es común que el propio personal médico que atiende </w:t>
      </w:r>
      <w:r w:rsidR="00586267">
        <w:rPr>
          <w:rFonts w:ascii="Garamond" w:hAnsi="Garamond"/>
          <w:lang w:val="es-419"/>
        </w:rPr>
        <w:t xml:space="preserve">casos de emergencias obstétricas sea quien denuncie el caso </w:t>
      </w:r>
      <w:r w:rsidR="00586267" w:rsidRPr="00DF604B">
        <w:rPr>
          <w:rFonts w:ascii="Garamond" w:hAnsi="Garamond"/>
          <w:lang w:val="es-419"/>
        </w:rPr>
        <w:t>a las autoridades.</w:t>
      </w:r>
      <w:r w:rsidR="00586267">
        <w:rPr>
          <w:rFonts w:ascii="Garamond" w:hAnsi="Garamond"/>
          <w:lang w:val="es-419"/>
        </w:rPr>
        <w:t xml:space="preserve">  </w:t>
      </w:r>
    </w:p>
    <w:p w14:paraId="4BFA9B46" w14:textId="77777777" w:rsidR="007F6DA5" w:rsidRDefault="007F6DA5" w:rsidP="00FD54E8">
      <w:pPr>
        <w:spacing w:after="0" w:line="240" w:lineRule="auto"/>
        <w:jc w:val="both"/>
        <w:rPr>
          <w:rFonts w:ascii="Garamond" w:hAnsi="Garamond"/>
          <w:lang w:val="es-419"/>
        </w:rPr>
      </w:pPr>
    </w:p>
    <w:p w14:paraId="3C9A00A0" w14:textId="75C5F3EA" w:rsidR="007F6DA5" w:rsidRDefault="007F6DA5" w:rsidP="00FD54E8">
      <w:pPr>
        <w:spacing w:after="0" w:line="240" w:lineRule="auto"/>
        <w:jc w:val="both"/>
        <w:rPr>
          <w:rFonts w:ascii="Garamond" w:hAnsi="Garamond"/>
          <w:lang w:val="es-419"/>
        </w:rPr>
      </w:pPr>
      <w:r>
        <w:rPr>
          <w:rFonts w:ascii="Garamond" w:hAnsi="Garamond"/>
          <w:lang w:val="es-419"/>
        </w:rPr>
        <w:t>Al respecto, el Comité de la CEDAW</w:t>
      </w:r>
      <w:r w:rsidR="004141EA">
        <w:rPr>
          <w:rFonts w:ascii="Garamond" w:hAnsi="Garamond"/>
          <w:lang w:val="es-419"/>
        </w:rPr>
        <w:t xml:space="preserve"> ha señalado que:</w:t>
      </w:r>
    </w:p>
    <w:p w14:paraId="030F399C" w14:textId="77777777" w:rsidR="007F6DA5" w:rsidRDefault="007F6DA5" w:rsidP="00FD54E8">
      <w:pPr>
        <w:spacing w:after="0" w:line="240" w:lineRule="auto"/>
        <w:jc w:val="both"/>
        <w:rPr>
          <w:rFonts w:ascii="Garamond" w:hAnsi="Garamond"/>
          <w:lang w:val="es-419"/>
        </w:rPr>
      </w:pPr>
    </w:p>
    <w:p w14:paraId="133A7361" w14:textId="47611E4C" w:rsidR="007F6DA5" w:rsidRDefault="007F6DA5" w:rsidP="00FD54E8">
      <w:pPr>
        <w:spacing w:after="0" w:line="240" w:lineRule="auto"/>
        <w:ind w:left="708"/>
        <w:jc w:val="both"/>
        <w:rPr>
          <w:rFonts w:ascii="Garamond" w:hAnsi="Garamond"/>
          <w:lang w:val="es-419"/>
        </w:rPr>
      </w:pPr>
      <w:r w:rsidRPr="004141EA">
        <w:rPr>
          <w:rFonts w:ascii="Garamond" w:hAnsi="Garamond"/>
          <w:lang w:val="es-419"/>
        </w:rPr>
        <w:t>La falta de respeto del carácter confidencial de la información afecta tanto al hombre como a la mujer, pero puede disuadir a la mujer de obtener asesoramiento y tratamiento y, por consiguiente, afectar negativamente su salud y bienestar. Por esa razón, la mujer estará menos dispuesta a obtener atención médica para tratar enfermedades de los órganos genitales, utilizar medios anticonceptivos o atender a casos de aborto incompletos y en los casos en que haya sido víctima de violencia sexual o física</w:t>
      </w:r>
      <w:r w:rsidR="004141EA">
        <w:rPr>
          <w:rStyle w:val="FootnoteReference"/>
          <w:rFonts w:ascii="Garamond" w:hAnsi="Garamond"/>
          <w:lang w:val="es-419"/>
        </w:rPr>
        <w:footnoteReference w:id="21"/>
      </w:r>
      <w:r w:rsidRPr="004141EA">
        <w:rPr>
          <w:rFonts w:ascii="Garamond" w:hAnsi="Garamond"/>
          <w:lang w:val="es-419"/>
        </w:rPr>
        <w:t>.</w:t>
      </w:r>
    </w:p>
    <w:p w14:paraId="78DDB6AF" w14:textId="77777777" w:rsidR="00917A3C" w:rsidRDefault="00917A3C" w:rsidP="00006EBC">
      <w:pPr>
        <w:spacing w:after="0" w:line="240" w:lineRule="auto"/>
        <w:jc w:val="both"/>
        <w:rPr>
          <w:rFonts w:ascii="Garamond" w:hAnsi="Garamond"/>
          <w:lang w:val="es-419"/>
        </w:rPr>
      </w:pPr>
    </w:p>
    <w:p w14:paraId="3127FCA2" w14:textId="7EE7B238" w:rsidR="002C56E3" w:rsidRDefault="002C56E3" w:rsidP="00006EBC">
      <w:pPr>
        <w:spacing w:after="0" w:line="240" w:lineRule="auto"/>
        <w:jc w:val="both"/>
        <w:rPr>
          <w:rFonts w:ascii="Garamond" w:hAnsi="Garamond"/>
          <w:lang w:val="es-419"/>
        </w:rPr>
      </w:pPr>
      <w:r>
        <w:rPr>
          <w:rFonts w:ascii="Garamond" w:hAnsi="Garamond"/>
          <w:lang w:val="es-419"/>
        </w:rPr>
        <w:t xml:space="preserve">Por lo tanto, </w:t>
      </w:r>
      <w:r w:rsidR="007118C7">
        <w:rPr>
          <w:rFonts w:ascii="Garamond" w:hAnsi="Garamond"/>
          <w:lang w:val="es-419"/>
        </w:rPr>
        <w:t xml:space="preserve">la protección de la confidencialidad tiene un impacto clave en la protección de los derechos sexuales y reproductivos de las mujeres, especialmente en un contexto como el de República Dominicana </w:t>
      </w:r>
      <w:r w:rsidR="004A7767">
        <w:rPr>
          <w:rFonts w:ascii="Garamond" w:hAnsi="Garamond"/>
          <w:lang w:val="es-419"/>
        </w:rPr>
        <w:t xml:space="preserve">en el que persiste la prohibición absoluta del aborto. En ese sentido, la forma cómo se ejerce </w:t>
      </w:r>
      <w:r w:rsidR="00BA468C">
        <w:rPr>
          <w:rFonts w:ascii="Garamond" w:hAnsi="Garamond"/>
          <w:lang w:val="es-419"/>
        </w:rPr>
        <w:t xml:space="preserve">y protege </w:t>
      </w:r>
      <w:r w:rsidR="00C27CB6">
        <w:rPr>
          <w:rFonts w:ascii="Garamond" w:hAnsi="Garamond"/>
          <w:lang w:val="es-419"/>
        </w:rPr>
        <w:t xml:space="preserve">el secreto profesional puede dar lugar a situaciones de desprotección </w:t>
      </w:r>
      <w:r w:rsidR="00583272">
        <w:rPr>
          <w:rFonts w:ascii="Garamond" w:hAnsi="Garamond"/>
          <w:lang w:val="es-419"/>
        </w:rPr>
        <w:t>para las mujeres que buscan atención médica, especialmente en casos de aborto</w:t>
      </w:r>
      <w:r w:rsidR="004E4642">
        <w:rPr>
          <w:rFonts w:ascii="Garamond" w:hAnsi="Garamond"/>
          <w:lang w:val="es-419"/>
        </w:rPr>
        <w:t xml:space="preserve">. </w:t>
      </w:r>
      <w:r w:rsidR="0001616D">
        <w:rPr>
          <w:rFonts w:ascii="Garamond" w:hAnsi="Garamond"/>
          <w:lang w:val="es-419"/>
        </w:rPr>
        <w:t xml:space="preserve">El Estado dominicano tiene la obligación de adoptar medidas para asegurar que </w:t>
      </w:r>
      <w:r w:rsidR="00B60F84">
        <w:rPr>
          <w:rFonts w:ascii="Garamond" w:hAnsi="Garamond"/>
          <w:lang w:val="es-419"/>
        </w:rPr>
        <w:t xml:space="preserve">la regulación del secreto profesional sea clara y se aplique de manera consistente </w:t>
      </w:r>
      <w:r w:rsidR="003572A3">
        <w:rPr>
          <w:rFonts w:ascii="Garamond" w:hAnsi="Garamond"/>
          <w:lang w:val="es-419"/>
        </w:rPr>
        <w:t>con sus obligaciones en materia de derechos sexuales y reproductivos</w:t>
      </w:r>
      <w:r w:rsidR="003572A3">
        <w:rPr>
          <w:rStyle w:val="FootnoteReference"/>
          <w:rFonts w:ascii="Garamond" w:hAnsi="Garamond"/>
          <w:lang w:val="es-419"/>
        </w:rPr>
        <w:footnoteReference w:id="22"/>
      </w:r>
      <w:r w:rsidR="003572A3">
        <w:rPr>
          <w:rFonts w:ascii="Garamond" w:hAnsi="Garamond"/>
          <w:lang w:val="es-419"/>
        </w:rPr>
        <w:t>.</w:t>
      </w:r>
    </w:p>
    <w:p w14:paraId="48E015C1" w14:textId="77777777" w:rsidR="00B41C8A" w:rsidRPr="00006EBC" w:rsidRDefault="00B41C8A" w:rsidP="00006EBC">
      <w:pPr>
        <w:spacing w:after="0" w:line="240" w:lineRule="auto"/>
        <w:jc w:val="both"/>
        <w:rPr>
          <w:rFonts w:ascii="Garamond" w:hAnsi="Garamond"/>
          <w:lang w:val="es-419"/>
        </w:rPr>
      </w:pPr>
    </w:p>
    <w:p w14:paraId="77BAED23" w14:textId="6DEC9704" w:rsidR="00B41C8A" w:rsidRPr="00006EBC" w:rsidRDefault="00B41C8A" w:rsidP="00006EBC">
      <w:pPr>
        <w:pStyle w:val="ListParagraph"/>
        <w:numPr>
          <w:ilvl w:val="0"/>
          <w:numId w:val="1"/>
        </w:numPr>
        <w:spacing w:after="0" w:line="240" w:lineRule="auto"/>
        <w:jc w:val="both"/>
        <w:rPr>
          <w:rFonts w:ascii="Garamond" w:hAnsi="Garamond"/>
          <w:b/>
          <w:bCs/>
          <w:lang w:val="es-419"/>
        </w:rPr>
      </w:pPr>
      <w:r w:rsidRPr="00006EBC">
        <w:rPr>
          <w:rFonts w:ascii="Garamond" w:hAnsi="Garamond"/>
          <w:b/>
          <w:bCs/>
          <w:lang w:val="es-419"/>
        </w:rPr>
        <w:t xml:space="preserve">Solicitudes </w:t>
      </w:r>
    </w:p>
    <w:p w14:paraId="217AC35C" w14:textId="77777777" w:rsidR="007B6C7E" w:rsidRPr="00006EBC" w:rsidRDefault="007B6C7E" w:rsidP="00006EBC">
      <w:pPr>
        <w:spacing w:after="0" w:line="240" w:lineRule="auto"/>
        <w:jc w:val="both"/>
        <w:rPr>
          <w:rFonts w:ascii="Garamond" w:hAnsi="Garamond"/>
          <w:lang w:val="es-419"/>
        </w:rPr>
      </w:pPr>
    </w:p>
    <w:p w14:paraId="585C4760" w14:textId="48691F24" w:rsidR="008D1894" w:rsidRPr="00261B41" w:rsidRDefault="002A6B17" w:rsidP="00006EBC">
      <w:pPr>
        <w:spacing w:after="0" w:line="240" w:lineRule="auto"/>
        <w:jc w:val="both"/>
        <w:rPr>
          <w:rFonts w:ascii="Garamond" w:hAnsi="Garamond"/>
          <w:lang w:val="es-419"/>
        </w:rPr>
      </w:pPr>
      <w:r>
        <w:rPr>
          <w:rFonts w:ascii="Garamond" w:hAnsi="Garamond"/>
          <w:lang w:val="es-419"/>
        </w:rPr>
        <w:t xml:space="preserve">Las organizaciones reiteramos a este Honorable Comité que tenga en consideración </w:t>
      </w:r>
      <w:r w:rsidR="00E123CD">
        <w:rPr>
          <w:rFonts w:ascii="Garamond" w:hAnsi="Garamond"/>
          <w:lang w:val="es-419"/>
        </w:rPr>
        <w:t xml:space="preserve">nuestras observaciones sobre las temáticas abordadas para la elaboración de la lista de cuestiones previo al 7º informe de la República Dominicana. Al respecto, </w:t>
      </w:r>
      <w:r w:rsidR="002F6034">
        <w:rPr>
          <w:rFonts w:ascii="Garamond" w:hAnsi="Garamond"/>
          <w:lang w:val="es-419"/>
        </w:rPr>
        <w:t>solicitamos respetuosamente que este Comité considere las siguientes preguntas para el país:</w:t>
      </w:r>
    </w:p>
    <w:p w14:paraId="7A5F7B7D" w14:textId="77777777" w:rsidR="008D1894" w:rsidRDefault="008D1894" w:rsidP="00006EBC">
      <w:pPr>
        <w:spacing w:after="0" w:line="240" w:lineRule="auto"/>
        <w:jc w:val="both"/>
        <w:rPr>
          <w:rFonts w:ascii="Garamond" w:hAnsi="Garamond"/>
          <w:lang w:val="es-419"/>
        </w:rPr>
      </w:pPr>
    </w:p>
    <w:p w14:paraId="13CE5F2A" w14:textId="23A6D2B4" w:rsidR="002F6034" w:rsidRDefault="004C0AAC" w:rsidP="004C0AAC">
      <w:pPr>
        <w:pStyle w:val="ListParagraph"/>
        <w:numPr>
          <w:ilvl w:val="0"/>
          <w:numId w:val="2"/>
        </w:numPr>
        <w:spacing w:after="0" w:line="240" w:lineRule="auto"/>
        <w:jc w:val="both"/>
        <w:rPr>
          <w:rFonts w:ascii="Garamond" w:hAnsi="Garamond"/>
          <w:lang w:val="es-419"/>
        </w:rPr>
      </w:pPr>
      <w:r>
        <w:rPr>
          <w:rFonts w:ascii="Garamond" w:hAnsi="Garamond"/>
          <w:lang w:val="es-419"/>
        </w:rPr>
        <w:t xml:space="preserve">Informe sobre las medidas adoptadas </w:t>
      </w:r>
      <w:r w:rsidR="001F557F" w:rsidRPr="001F557F">
        <w:rPr>
          <w:rFonts w:ascii="Garamond" w:hAnsi="Garamond"/>
          <w:lang w:val="es-419"/>
        </w:rPr>
        <w:t>para regular el aborto como un servicio de salud acorde con las Directrices de la Organización Mundial de la Salud</w:t>
      </w:r>
      <w:r w:rsidR="004B37CF">
        <w:rPr>
          <w:rFonts w:ascii="Garamond" w:hAnsi="Garamond"/>
          <w:lang w:val="es-419"/>
        </w:rPr>
        <w:t xml:space="preserve">. </w:t>
      </w:r>
    </w:p>
    <w:p w14:paraId="173A767B" w14:textId="2830CE64" w:rsidR="00E67A3D" w:rsidRDefault="00046F1F" w:rsidP="004C0AAC">
      <w:pPr>
        <w:pStyle w:val="ListParagraph"/>
        <w:numPr>
          <w:ilvl w:val="0"/>
          <w:numId w:val="2"/>
        </w:numPr>
        <w:spacing w:after="0" w:line="240" w:lineRule="auto"/>
        <w:jc w:val="both"/>
        <w:rPr>
          <w:rFonts w:ascii="Garamond" w:hAnsi="Garamond"/>
          <w:lang w:val="es-419"/>
        </w:rPr>
      </w:pPr>
      <w:r>
        <w:rPr>
          <w:rFonts w:ascii="Garamond" w:hAnsi="Garamond"/>
          <w:lang w:val="es-419"/>
        </w:rPr>
        <w:t>E</w:t>
      </w:r>
      <w:r w:rsidR="00590BE6">
        <w:rPr>
          <w:rFonts w:ascii="Garamond" w:hAnsi="Garamond"/>
          <w:lang w:val="es-419"/>
        </w:rPr>
        <w:t>n los últimos diez años, cuán</w:t>
      </w:r>
      <w:r w:rsidR="00D200C2">
        <w:rPr>
          <w:rFonts w:ascii="Garamond" w:hAnsi="Garamond"/>
          <w:lang w:val="es-419"/>
        </w:rPr>
        <w:t>tos procesos judiciales ha iniciado</w:t>
      </w:r>
      <w:r>
        <w:rPr>
          <w:rFonts w:ascii="Garamond" w:hAnsi="Garamond"/>
          <w:lang w:val="es-419"/>
        </w:rPr>
        <w:t xml:space="preserve"> el Ministerio Público</w:t>
      </w:r>
      <w:r w:rsidR="00D200C2">
        <w:rPr>
          <w:rFonts w:ascii="Garamond" w:hAnsi="Garamond"/>
          <w:lang w:val="es-419"/>
        </w:rPr>
        <w:t xml:space="preserve"> </w:t>
      </w:r>
      <w:r w:rsidR="00590BE6">
        <w:rPr>
          <w:rFonts w:ascii="Garamond" w:hAnsi="Garamond"/>
          <w:lang w:val="es-419"/>
        </w:rPr>
        <w:t>por el delito de aborto</w:t>
      </w:r>
      <w:r w:rsidR="00D200C2">
        <w:rPr>
          <w:rFonts w:ascii="Garamond" w:hAnsi="Garamond"/>
          <w:lang w:val="es-419"/>
        </w:rPr>
        <w:t>, incluyendo a mujeres y proveedores de salud</w:t>
      </w:r>
      <w:r>
        <w:rPr>
          <w:rFonts w:ascii="Garamond" w:hAnsi="Garamond"/>
          <w:lang w:val="es-419"/>
        </w:rPr>
        <w:t xml:space="preserve">, y cuántos casos han alcanzado la etapa de juicio y sentencia. </w:t>
      </w:r>
    </w:p>
    <w:p w14:paraId="78BD7148" w14:textId="425DA542" w:rsidR="00A92D9B" w:rsidRDefault="00A92D9B" w:rsidP="00A92D9B">
      <w:pPr>
        <w:pStyle w:val="ListParagraph"/>
        <w:numPr>
          <w:ilvl w:val="0"/>
          <w:numId w:val="2"/>
        </w:numPr>
        <w:spacing w:after="0" w:line="240" w:lineRule="auto"/>
        <w:jc w:val="both"/>
        <w:rPr>
          <w:rFonts w:ascii="Garamond" w:hAnsi="Garamond"/>
          <w:lang w:val="es-419"/>
        </w:rPr>
      </w:pPr>
      <w:r w:rsidRPr="4779C4B5">
        <w:rPr>
          <w:rFonts w:ascii="Garamond" w:hAnsi="Garamond"/>
          <w:lang w:val="es-419"/>
        </w:rPr>
        <w:t xml:space="preserve">Explicar las medidas que ha implementado </w:t>
      </w:r>
      <w:r>
        <w:rPr>
          <w:rFonts w:ascii="Garamond" w:hAnsi="Garamond"/>
          <w:lang w:val="es-419"/>
        </w:rPr>
        <w:t xml:space="preserve">el Estado </w:t>
      </w:r>
      <w:r w:rsidRPr="4779C4B5">
        <w:rPr>
          <w:rFonts w:ascii="Garamond" w:hAnsi="Garamond"/>
          <w:lang w:val="es-419"/>
        </w:rPr>
        <w:t>para prevenir la violencia por razones de género, particularmente la violencia sexual y garantizar los derechos de las mujeres y niñas sobrevivientes de violencia sexual, incluyendo</w:t>
      </w:r>
      <w:r w:rsidR="0087599A">
        <w:rPr>
          <w:rFonts w:ascii="Garamond" w:hAnsi="Garamond"/>
          <w:lang w:val="es-419"/>
        </w:rPr>
        <w:t xml:space="preserve"> </w:t>
      </w:r>
      <w:r w:rsidRPr="4779C4B5">
        <w:rPr>
          <w:rFonts w:ascii="Garamond" w:hAnsi="Garamond"/>
          <w:lang w:val="es-419"/>
        </w:rPr>
        <w:t xml:space="preserve">la atención integral a su salud sexual y </w:t>
      </w:r>
      <w:r w:rsidR="00261B41" w:rsidRPr="4779C4B5">
        <w:rPr>
          <w:rFonts w:ascii="Garamond" w:hAnsi="Garamond"/>
          <w:lang w:val="es-419"/>
        </w:rPr>
        <w:t>reproductiva</w:t>
      </w:r>
      <w:r w:rsidR="0087599A">
        <w:rPr>
          <w:rFonts w:ascii="Garamond" w:hAnsi="Garamond"/>
          <w:lang w:val="es-419"/>
        </w:rPr>
        <w:t xml:space="preserve">. </w:t>
      </w:r>
    </w:p>
    <w:p w14:paraId="16AFC4EE" w14:textId="06390595" w:rsidR="00A92D9B" w:rsidRPr="00B34E3F" w:rsidRDefault="00A92D9B" w:rsidP="00A92D9B">
      <w:pPr>
        <w:pStyle w:val="ListParagraph"/>
        <w:numPr>
          <w:ilvl w:val="0"/>
          <w:numId w:val="2"/>
        </w:numPr>
        <w:spacing w:after="0" w:line="240" w:lineRule="auto"/>
        <w:jc w:val="both"/>
        <w:rPr>
          <w:rFonts w:ascii="Garamond" w:hAnsi="Garamond"/>
          <w:lang w:val="es-419"/>
        </w:rPr>
      </w:pPr>
      <w:r w:rsidRPr="00B34E3F">
        <w:rPr>
          <w:rFonts w:ascii="Garamond" w:hAnsi="Garamond"/>
          <w:lang w:val="es-419"/>
        </w:rPr>
        <w:t>Explicar las medidas que ha implementado</w:t>
      </w:r>
      <w:r w:rsidR="00261B41" w:rsidRPr="00B34E3F">
        <w:rPr>
          <w:rFonts w:ascii="Garamond" w:hAnsi="Garamond"/>
          <w:lang w:val="es-419"/>
        </w:rPr>
        <w:t xml:space="preserve"> el Estado</w:t>
      </w:r>
      <w:r w:rsidRPr="00B34E3F">
        <w:rPr>
          <w:rFonts w:ascii="Garamond" w:hAnsi="Garamond"/>
          <w:lang w:val="es-419"/>
        </w:rPr>
        <w:t xml:space="preserve"> para </w:t>
      </w:r>
      <w:r w:rsidR="008202B3" w:rsidRPr="00B34E3F">
        <w:rPr>
          <w:rFonts w:ascii="Garamond" w:hAnsi="Garamond"/>
          <w:lang w:val="es-419"/>
        </w:rPr>
        <w:t xml:space="preserve">asegurar que la regulación del secreto profesional y su aplicación, especialmente durante la atención a emergencias obstétricas, se realice de manera consistente con los estándares de derechos humanos en </w:t>
      </w:r>
      <w:r w:rsidR="00B34E3F" w:rsidRPr="00B34E3F">
        <w:rPr>
          <w:rFonts w:ascii="Garamond" w:hAnsi="Garamond"/>
          <w:lang w:val="es-419"/>
        </w:rPr>
        <w:t xml:space="preserve">la materia. </w:t>
      </w:r>
    </w:p>
    <w:p w14:paraId="1015A691" w14:textId="3AEC2F39" w:rsidR="001A2025" w:rsidRDefault="00363A32" w:rsidP="004C0AAC">
      <w:pPr>
        <w:pStyle w:val="ListParagraph"/>
        <w:numPr>
          <w:ilvl w:val="0"/>
          <w:numId w:val="2"/>
        </w:numPr>
        <w:spacing w:after="0" w:line="240" w:lineRule="auto"/>
        <w:jc w:val="both"/>
        <w:rPr>
          <w:rFonts w:ascii="Garamond" w:hAnsi="Garamond"/>
          <w:lang w:val="es-419"/>
        </w:rPr>
      </w:pPr>
      <w:r>
        <w:rPr>
          <w:rFonts w:ascii="Garamond" w:hAnsi="Garamond"/>
          <w:lang w:val="es-419"/>
        </w:rPr>
        <w:lastRenderedPageBreak/>
        <w:t xml:space="preserve">Presentar información estadística actualizada sobre </w:t>
      </w:r>
      <w:r w:rsidR="00BE02B4">
        <w:rPr>
          <w:rFonts w:ascii="Garamond" w:hAnsi="Garamond"/>
          <w:lang w:val="es-419"/>
        </w:rPr>
        <w:t xml:space="preserve">embarazo adolescente y </w:t>
      </w:r>
      <w:r w:rsidR="00BB2DA3">
        <w:rPr>
          <w:rFonts w:ascii="Garamond" w:hAnsi="Garamond"/>
          <w:lang w:val="es-419"/>
        </w:rPr>
        <w:t xml:space="preserve">mortalidad materna en la República Dominicana, incluyendo por causas asociadas a abortos inseguros. </w:t>
      </w:r>
    </w:p>
    <w:p w14:paraId="6EB3D350" w14:textId="27CB9DE1" w:rsidR="001C1BD5" w:rsidRDefault="001C1BD5" w:rsidP="004C0AAC">
      <w:pPr>
        <w:pStyle w:val="ListParagraph"/>
        <w:numPr>
          <w:ilvl w:val="0"/>
          <w:numId w:val="2"/>
        </w:numPr>
        <w:spacing w:after="0" w:line="240" w:lineRule="auto"/>
        <w:jc w:val="both"/>
        <w:rPr>
          <w:rFonts w:ascii="Garamond" w:hAnsi="Garamond"/>
          <w:lang w:val="es-419"/>
        </w:rPr>
      </w:pPr>
      <w:r>
        <w:rPr>
          <w:rFonts w:ascii="Garamond" w:hAnsi="Garamond"/>
          <w:lang w:val="es-419"/>
        </w:rPr>
        <w:t xml:space="preserve">Explicar las medidas que ha implementado el Estado para atender </w:t>
      </w:r>
      <w:r w:rsidR="0021133D">
        <w:rPr>
          <w:rFonts w:ascii="Garamond" w:hAnsi="Garamond"/>
          <w:lang w:val="es-419"/>
        </w:rPr>
        <w:t xml:space="preserve">el alto número de embarazos en niñas y adolescentes, incluyendo </w:t>
      </w:r>
      <w:r w:rsidR="00C21B07">
        <w:rPr>
          <w:rFonts w:ascii="Garamond" w:hAnsi="Garamond"/>
          <w:lang w:val="es-419"/>
        </w:rPr>
        <w:t xml:space="preserve">la atención a casos de violencia sexual. </w:t>
      </w:r>
    </w:p>
    <w:p w14:paraId="65D6F569" w14:textId="59662550" w:rsidR="00CE31D3" w:rsidRPr="001607EE" w:rsidRDefault="00863DB5" w:rsidP="00006EBC">
      <w:pPr>
        <w:pStyle w:val="ListParagraph"/>
        <w:numPr>
          <w:ilvl w:val="0"/>
          <w:numId w:val="2"/>
        </w:numPr>
        <w:spacing w:after="0" w:line="240" w:lineRule="auto"/>
        <w:jc w:val="both"/>
        <w:rPr>
          <w:rFonts w:ascii="Garamond" w:hAnsi="Garamond"/>
          <w:lang w:val="es-419"/>
        </w:rPr>
      </w:pPr>
      <w:r>
        <w:rPr>
          <w:rFonts w:ascii="Garamond" w:hAnsi="Garamond"/>
          <w:lang w:val="es-419"/>
        </w:rPr>
        <w:t xml:space="preserve">¿Cuál es el </w:t>
      </w:r>
      <w:r w:rsidR="00355CE1">
        <w:rPr>
          <w:rFonts w:ascii="Garamond" w:hAnsi="Garamond"/>
          <w:lang w:val="es-419"/>
        </w:rPr>
        <w:t xml:space="preserve">balance de impacto en la </w:t>
      </w:r>
      <w:r>
        <w:rPr>
          <w:rFonts w:ascii="Garamond" w:hAnsi="Garamond"/>
          <w:lang w:val="es-419"/>
        </w:rPr>
        <w:t xml:space="preserve">implementación del plan de acción de 2021 en materia de </w:t>
      </w:r>
      <w:r w:rsidR="00355CE1">
        <w:rPr>
          <w:rFonts w:ascii="Garamond" w:hAnsi="Garamond"/>
          <w:lang w:val="es-419"/>
        </w:rPr>
        <w:t>educación sexual integral?</w:t>
      </w:r>
      <w:r w:rsidR="008D1894">
        <w:rPr>
          <w:rFonts w:ascii="Garamond" w:hAnsi="Garamond"/>
          <w:lang w:val="es-419"/>
        </w:rPr>
        <w:t xml:space="preserve"> </w:t>
      </w:r>
    </w:p>
    <w:p w14:paraId="28317E03" w14:textId="77777777" w:rsidR="00CE31D3" w:rsidRPr="00006EBC" w:rsidRDefault="00CE31D3" w:rsidP="00006EBC">
      <w:pPr>
        <w:spacing w:after="0" w:line="240" w:lineRule="auto"/>
        <w:jc w:val="both"/>
        <w:rPr>
          <w:rFonts w:ascii="Garamond" w:hAnsi="Garamond"/>
          <w:lang w:val="es-419"/>
        </w:rPr>
      </w:pPr>
    </w:p>
    <w:p w14:paraId="7F9186C6" w14:textId="77777777" w:rsidR="00CE31D3" w:rsidRPr="00006EBC" w:rsidRDefault="00CE31D3" w:rsidP="00006EBC">
      <w:pPr>
        <w:spacing w:after="0" w:line="240" w:lineRule="auto"/>
        <w:jc w:val="both"/>
        <w:rPr>
          <w:rFonts w:ascii="Garamond" w:hAnsi="Garamond"/>
          <w:lang w:val="es-419"/>
        </w:rPr>
      </w:pPr>
    </w:p>
    <w:p w14:paraId="08A54F5A" w14:textId="77777777" w:rsidR="00377A42" w:rsidRPr="00006EBC" w:rsidRDefault="00377A42" w:rsidP="00006EBC">
      <w:pPr>
        <w:spacing w:after="0" w:line="240" w:lineRule="auto"/>
        <w:jc w:val="both"/>
        <w:rPr>
          <w:rFonts w:ascii="Garamond" w:hAnsi="Garamond"/>
          <w:lang w:val="es-419"/>
        </w:rPr>
      </w:pPr>
    </w:p>
    <w:p w14:paraId="6441A58A" w14:textId="77777777" w:rsidR="00CE31D3" w:rsidRPr="00006EBC" w:rsidRDefault="00CE31D3" w:rsidP="00006EBC">
      <w:pPr>
        <w:spacing w:after="0" w:line="240" w:lineRule="auto"/>
        <w:jc w:val="both"/>
        <w:rPr>
          <w:rFonts w:ascii="Garamond" w:hAnsi="Garamond"/>
          <w:lang w:val="es-419"/>
        </w:rPr>
      </w:pPr>
    </w:p>
    <w:p w14:paraId="3CF33588" w14:textId="77777777" w:rsidR="00CE31D3" w:rsidRPr="00006EBC" w:rsidRDefault="00CE31D3" w:rsidP="00006EBC">
      <w:pPr>
        <w:spacing w:after="0" w:line="240" w:lineRule="auto"/>
        <w:jc w:val="both"/>
        <w:rPr>
          <w:rFonts w:ascii="Garamond" w:hAnsi="Garamond"/>
          <w:lang w:val="es-419"/>
        </w:rPr>
      </w:pPr>
    </w:p>
    <w:p w14:paraId="1FB13436" w14:textId="77777777" w:rsidR="000B2BF4" w:rsidRPr="00006EBC" w:rsidRDefault="000B2BF4" w:rsidP="00006EBC">
      <w:pPr>
        <w:spacing w:after="0" w:line="240" w:lineRule="auto"/>
        <w:jc w:val="both"/>
        <w:rPr>
          <w:rFonts w:ascii="Garamond" w:hAnsi="Garamond"/>
          <w:lang w:val="es-419"/>
        </w:rPr>
      </w:pPr>
    </w:p>
    <w:p w14:paraId="0C7378CB" w14:textId="77777777" w:rsidR="000B2BF4" w:rsidRPr="00006EBC" w:rsidRDefault="000B2BF4" w:rsidP="00006EBC">
      <w:pPr>
        <w:spacing w:after="0" w:line="240" w:lineRule="auto"/>
        <w:jc w:val="both"/>
        <w:rPr>
          <w:rFonts w:ascii="Garamond" w:hAnsi="Garamond"/>
          <w:lang w:val="es-419"/>
        </w:rPr>
      </w:pPr>
    </w:p>
    <w:sectPr w:rsidR="000B2BF4" w:rsidRPr="00006EBC">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AFE9C6" w14:textId="77777777" w:rsidR="00404513" w:rsidRDefault="00404513" w:rsidP="00E06952">
      <w:pPr>
        <w:spacing w:after="0" w:line="240" w:lineRule="auto"/>
      </w:pPr>
      <w:r>
        <w:separator/>
      </w:r>
    </w:p>
  </w:endnote>
  <w:endnote w:type="continuationSeparator" w:id="0">
    <w:p w14:paraId="45BA3909" w14:textId="77777777" w:rsidR="00404513" w:rsidRDefault="00404513" w:rsidP="00E06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8DF3B1" w14:textId="77777777" w:rsidR="00404513" w:rsidRDefault="00404513" w:rsidP="00E06952">
      <w:pPr>
        <w:spacing w:after="0" w:line="240" w:lineRule="auto"/>
      </w:pPr>
      <w:r>
        <w:separator/>
      </w:r>
    </w:p>
  </w:footnote>
  <w:footnote w:type="continuationSeparator" w:id="0">
    <w:p w14:paraId="2B8403E5" w14:textId="77777777" w:rsidR="00404513" w:rsidRDefault="00404513" w:rsidP="00E06952">
      <w:pPr>
        <w:spacing w:after="0" w:line="240" w:lineRule="auto"/>
      </w:pPr>
      <w:r>
        <w:continuationSeparator/>
      </w:r>
    </w:p>
  </w:footnote>
  <w:footnote w:id="1">
    <w:p w14:paraId="1AF46BFF" w14:textId="2F154F1D" w:rsidR="001730D3" w:rsidRPr="00C07619" w:rsidRDefault="001730D3" w:rsidP="00C07619">
      <w:pPr>
        <w:pStyle w:val="FootnoteText"/>
        <w:jc w:val="both"/>
        <w:rPr>
          <w:rFonts w:ascii="Garamond" w:hAnsi="Garamond"/>
          <w:lang w:val="es-ES"/>
        </w:rPr>
      </w:pPr>
      <w:r w:rsidRPr="00C07619">
        <w:rPr>
          <w:rStyle w:val="FootnoteReference"/>
          <w:rFonts w:ascii="Garamond" w:hAnsi="Garamond"/>
        </w:rPr>
        <w:footnoteRef/>
      </w:r>
      <w:r w:rsidRPr="00C07619">
        <w:rPr>
          <w:rFonts w:ascii="Garamond" w:hAnsi="Garamond"/>
        </w:rPr>
        <w:t xml:space="preserve"> </w:t>
      </w:r>
      <w:r w:rsidR="00767AB5" w:rsidRPr="00C07619">
        <w:rPr>
          <w:rFonts w:ascii="Garamond" w:hAnsi="Garamond"/>
        </w:rPr>
        <w:t xml:space="preserve">CCPR/C/DOM/CO/6, </w:t>
      </w:r>
      <w:proofErr w:type="spellStart"/>
      <w:r w:rsidR="00767AB5" w:rsidRPr="00C07619">
        <w:rPr>
          <w:rFonts w:ascii="Garamond" w:hAnsi="Garamond"/>
        </w:rPr>
        <w:t>párr</w:t>
      </w:r>
      <w:proofErr w:type="spellEnd"/>
      <w:r w:rsidR="00767AB5" w:rsidRPr="00C07619">
        <w:rPr>
          <w:rFonts w:ascii="Garamond" w:hAnsi="Garamond"/>
        </w:rPr>
        <w:t xml:space="preserve">. </w:t>
      </w:r>
      <w:r w:rsidR="00767AB5" w:rsidRPr="00C07619">
        <w:rPr>
          <w:rFonts w:ascii="Garamond" w:hAnsi="Garamond"/>
          <w:lang w:val="es-ES"/>
        </w:rPr>
        <w:t xml:space="preserve">15. </w:t>
      </w:r>
    </w:p>
  </w:footnote>
  <w:footnote w:id="2">
    <w:p w14:paraId="53B775BF" w14:textId="2A5A787C" w:rsidR="002F7D2B" w:rsidRPr="00C07619" w:rsidRDefault="002F7D2B" w:rsidP="00C07619">
      <w:pPr>
        <w:pStyle w:val="FootnoteText"/>
        <w:jc w:val="both"/>
        <w:rPr>
          <w:rFonts w:ascii="Garamond" w:hAnsi="Garamond"/>
          <w:lang w:val="es-ES"/>
        </w:rPr>
      </w:pPr>
      <w:r w:rsidRPr="00C07619">
        <w:rPr>
          <w:rStyle w:val="FootnoteReference"/>
          <w:rFonts w:ascii="Garamond" w:hAnsi="Garamond"/>
        </w:rPr>
        <w:footnoteRef/>
      </w:r>
      <w:r w:rsidRPr="00C07619">
        <w:rPr>
          <w:rFonts w:ascii="Garamond" w:hAnsi="Garamond"/>
          <w:lang w:val="es-ES"/>
        </w:rPr>
        <w:t xml:space="preserve"> Fondo de Población de Naciones Unidas (UNFPA). </w:t>
      </w:r>
      <w:hyperlink r:id="rId1" w:history="1">
        <w:r w:rsidRPr="00C07619">
          <w:rPr>
            <w:rStyle w:val="Hyperlink"/>
            <w:rFonts w:ascii="Garamond" w:hAnsi="Garamond"/>
            <w:lang w:val="es-ES"/>
          </w:rPr>
          <w:t>Documento del programa para la República Dominicana (2023-2027)</w:t>
        </w:r>
      </w:hyperlink>
      <w:r w:rsidRPr="00C07619">
        <w:rPr>
          <w:rFonts w:ascii="Garamond" w:hAnsi="Garamond"/>
          <w:lang w:val="es-ES"/>
        </w:rPr>
        <w:t>. DP/FPA/CPD/DOM/7. 1 de diciembre de 2022, párr. 6.</w:t>
      </w:r>
    </w:p>
  </w:footnote>
  <w:footnote w:id="3">
    <w:p w14:paraId="7BE9D1E2" w14:textId="6B8127C1" w:rsidR="00814846" w:rsidRPr="00C07619" w:rsidRDefault="00814846" w:rsidP="00C07619">
      <w:pPr>
        <w:pStyle w:val="FootnoteText"/>
        <w:jc w:val="both"/>
        <w:rPr>
          <w:rFonts w:ascii="Garamond" w:hAnsi="Garamond"/>
          <w:lang w:val="es-419"/>
        </w:rPr>
      </w:pPr>
      <w:r w:rsidRPr="00C07619">
        <w:rPr>
          <w:rStyle w:val="FootnoteReference"/>
          <w:rFonts w:ascii="Garamond" w:hAnsi="Garamond"/>
        </w:rPr>
        <w:footnoteRef/>
      </w:r>
      <w:r w:rsidRPr="00C07619">
        <w:rPr>
          <w:rFonts w:ascii="Garamond" w:hAnsi="Garamond"/>
          <w:lang w:val="es-419"/>
        </w:rPr>
        <w:t xml:space="preserve"> Ver entre otras: </w:t>
      </w:r>
      <w:r w:rsidRPr="00C07619">
        <w:rPr>
          <w:rFonts w:ascii="Garamond" w:hAnsi="Garamond"/>
          <w:lang w:val="es-ES"/>
        </w:rPr>
        <w:t xml:space="preserve">UNFPA. </w:t>
      </w:r>
      <w:hyperlink r:id="rId2" w:history="1">
        <w:r w:rsidRPr="00C07619">
          <w:rPr>
            <w:rStyle w:val="Hyperlink"/>
            <w:rFonts w:ascii="Garamond" w:hAnsi="Garamond"/>
            <w:lang w:val="es-ES"/>
          </w:rPr>
          <w:t>República Dominicana</w:t>
        </w:r>
      </w:hyperlink>
      <w:r w:rsidRPr="00C07619">
        <w:rPr>
          <w:rFonts w:ascii="Garamond" w:hAnsi="Garamond"/>
          <w:lang w:val="es-ES"/>
        </w:rPr>
        <w:t xml:space="preserve">: 46% mujeres dominicanas no accede a anticonceptivos y 23% no puede tomar decisiones sobre su salud sexual y reproductiva. </w:t>
      </w:r>
      <w:r w:rsidRPr="00C07619">
        <w:rPr>
          <w:rFonts w:ascii="Garamond" w:hAnsi="Garamond"/>
          <w:lang w:val="es-419"/>
        </w:rPr>
        <w:t>24 de abril de 2023; OECD/</w:t>
      </w:r>
      <w:proofErr w:type="spellStart"/>
      <w:r w:rsidRPr="00C07619">
        <w:rPr>
          <w:rFonts w:ascii="Garamond" w:hAnsi="Garamond"/>
          <w:lang w:val="es-419"/>
        </w:rPr>
        <w:t>The</w:t>
      </w:r>
      <w:proofErr w:type="spellEnd"/>
      <w:r w:rsidRPr="00C07619">
        <w:rPr>
          <w:rFonts w:ascii="Garamond" w:hAnsi="Garamond"/>
          <w:lang w:val="es-419"/>
        </w:rPr>
        <w:t xml:space="preserve"> </w:t>
      </w:r>
      <w:proofErr w:type="spellStart"/>
      <w:r w:rsidRPr="00C07619">
        <w:rPr>
          <w:rFonts w:ascii="Garamond" w:hAnsi="Garamond"/>
          <w:lang w:val="es-419"/>
        </w:rPr>
        <w:t>World</w:t>
      </w:r>
      <w:proofErr w:type="spellEnd"/>
      <w:r w:rsidRPr="00C07619">
        <w:rPr>
          <w:rFonts w:ascii="Garamond" w:hAnsi="Garamond"/>
          <w:lang w:val="es-419"/>
        </w:rPr>
        <w:t xml:space="preserve"> Bank (2023), </w:t>
      </w:r>
      <w:proofErr w:type="spellStart"/>
      <w:r w:rsidRPr="00C07619">
        <w:rPr>
          <w:rFonts w:ascii="Garamond" w:hAnsi="Garamond"/>
          <w:lang w:val="es-419"/>
        </w:rPr>
        <w:t>Health</w:t>
      </w:r>
      <w:proofErr w:type="spellEnd"/>
      <w:r w:rsidRPr="00C07619">
        <w:rPr>
          <w:rFonts w:ascii="Garamond" w:hAnsi="Garamond"/>
          <w:lang w:val="es-419"/>
        </w:rPr>
        <w:t xml:space="preserve"> at a </w:t>
      </w:r>
      <w:proofErr w:type="spellStart"/>
      <w:r w:rsidRPr="00C07619">
        <w:rPr>
          <w:rFonts w:ascii="Garamond" w:hAnsi="Garamond"/>
          <w:lang w:val="es-419"/>
        </w:rPr>
        <w:t>Glance</w:t>
      </w:r>
      <w:proofErr w:type="spellEnd"/>
      <w:r w:rsidRPr="00C07619">
        <w:rPr>
          <w:rFonts w:ascii="Garamond" w:hAnsi="Garamond"/>
          <w:lang w:val="es-419"/>
        </w:rPr>
        <w:t xml:space="preserve">: </w:t>
      </w:r>
      <w:proofErr w:type="spellStart"/>
      <w:r w:rsidRPr="00C07619">
        <w:rPr>
          <w:rFonts w:ascii="Garamond" w:hAnsi="Garamond"/>
          <w:lang w:val="es-419"/>
        </w:rPr>
        <w:t>Latin</w:t>
      </w:r>
      <w:proofErr w:type="spellEnd"/>
      <w:r w:rsidRPr="00C07619">
        <w:rPr>
          <w:rFonts w:ascii="Garamond" w:hAnsi="Garamond"/>
          <w:lang w:val="es-419"/>
        </w:rPr>
        <w:t xml:space="preserve"> </w:t>
      </w:r>
      <w:proofErr w:type="spellStart"/>
      <w:r w:rsidRPr="00C07619">
        <w:rPr>
          <w:rFonts w:ascii="Garamond" w:hAnsi="Garamond"/>
          <w:lang w:val="es-419"/>
        </w:rPr>
        <w:t>America</w:t>
      </w:r>
      <w:proofErr w:type="spellEnd"/>
      <w:r w:rsidRPr="00C07619">
        <w:rPr>
          <w:rFonts w:ascii="Garamond" w:hAnsi="Garamond"/>
          <w:lang w:val="es-419"/>
        </w:rPr>
        <w:t xml:space="preserve"> and </w:t>
      </w:r>
      <w:proofErr w:type="spellStart"/>
      <w:r w:rsidRPr="00C07619">
        <w:rPr>
          <w:rFonts w:ascii="Garamond" w:hAnsi="Garamond"/>
          <w:lang w:val="es-419"/>
        </w:rPr>
        <w:t>the</w:t>
      </w:r>
      <w:proofErr w:type="spellEnd"/>
      <w:r w:rsidRPr="00C07619">
        <w:rPr>
          <w:rFonts w:ascii="Garamond" w:hAnsi="Garamond"/>
          <w:lang w:val="es-419"/>
        </w:rPr>
        <w:t xml:space="preserve"> </w:t>
      </w:r>
      <w:proofErr w:type="spellStart"/>
      <w:r w:rsidRPr="00C07619">
        <w:rPr>
          <w:rFonts w:ascii="Garamond" w:hAnsi="Garamond"/>
          <w:lang w:val="es-419"/>
        </w:rPr>
        <w:t>Caribbean</w:t>
      </w:r>
      <w:proofErr w:type="spellEnd"/>
      <w:r w:rsidRPr="00C07619">
        <w:rPr>
          <w:rFonts w:ascii="Garamond" w:hAnsi="Garamond"/>
          <w:lang w:val="es-419"/>
        </w:rPr>
        <w:t xml:space="preserve"> 2023, OECD Publishing, Paris, pág. 90, </w:t>
      </w:r>
      <w:hyperlink r:id="rId3" w:history="1">
        <w:r w:rsidRPr="00C07619">
          <w:rPr>
            <w:rStyle w:val="Hyperlink"/>
            <w:rFonts w:ascii="Garamond" w:hAnsi="Garamond"/>
            <w:lang w:val="es-419"/>
          </w:rPr>
          <w:t>https://doi.org/10.1787/532b0e2d-en</w:t>
        </w:r>
      </w:hyperlink>
      <w:r w:rsidR="00D7717A" w:rsidRPr="00C07619">
        <w:rPr>
          <w:rFonts w:ascii="Garamond" w:hAnsi="Garamond"/>
          <w:lang w:val="es-419"/>
        </w:rPr>
        <w:t xml:space="preserve">; y </w:t>
      </w:r>
      <w:r w:rsidR="00CA2ADF" w:rsidRPr="00C07619">
        <w:rPr>
          <w:rFonts w:ascii="Garamond" w:hAnsi="Garamond"/>
          <w:lang w:val="es-419"/>
        </w:rPr>
        <w:t xml:space="preserve">Comisión Interinstitucional de Alto Nivel para el Desarrollo Sostenible. Informe Nacional Voluntario 2021. </w:t>
      </w:r>
      <w:r w:rsidR="007E45DE" w:rsidRPr="00C07619">
        <w:rPr>
          <w:rFonts w:ascii="Garamond" w:hAnsi="Garamond"/>
          <w:lang w:val="es-419"/>
        </w:rPr>
        <w:t xml:space="preserve">Julio, 2021. </w:t>
      </w:r>
      <w:hyperlink r:id="rId4" w:history="1">
        <w:r w:rsidR="007E45DE" w:rsidRPr="00C07619">
          <w:rPr>
            <w:rStyle w:val="Hyperlink"/>
            <w:rFonts w:ascii="Garamond" w:hAnsi="Garamond"/>
            <w:lang w:val="es-419"/>
          </w:rPr>
          <w:t>https://mepyd.gob.do/publicaciones/informe-nacional-voluntario-2021-crecimiento-con-equidad-y-respeto-al-medioambiente</w:t>
        </w:r>
      </w:hyperlink>
      <w:r w:rsidR="007E45DE" w:rsidRPr="00C07619">
        <w:rPr>
          <w:rFonts w:ascii="Garamond" w:hAnsi="Garamond"/>
          <w:lang w:val="es-419"/>
        </w:rPr>
        <w:t xml:space="preserve"> </w:t>
      </w:r>
    </w:p>
  </w:footnote>
  <w:footnote w:id="4">
    <w:p w14:paraId="4FC7E327" w14:textId="47133FED" w:rsidR="001441B4" w:rsidRPr="00C07619" w:rsidRDefault="00D77F3D" w:rsidP="00C07619">
      <w:pPr>
        <w:pStyle w:val="FootnoteText"/>
        <w:jc w:val="both"/>
        <w:rPr>
          <w:rFonts w:ascii="Garamond" w:hAnsi="Garamond"/>
          <w:lang w:val="es-419"/>
        </w:rPr>
      </w:pPr>
      <w:r w:rsidRPr="00C07619">
        <w:rPr>
          <w:rStyle w:val="FootnoteReference"/>
          <w:rFonts w:ascii="Garamond" w:hAnsi="Garamond"/>
        </w:rPr>
        <w:footnoteRef/>
      </w:r>
      <w:r w:rsidRPr="00C07619">
        <w:rPr>
          <w:rFonts w:ascii="Garamond" w:hAnsi="Garamond"/>
          <w:lang w:val="es-419"/>
        </w:rPr>
        <w:t xml:space="preserve"> Ver: </w:t>
      </w:r>
      <w:r w:rsidR="0074596F" w:rsidRPr="00C07619">
        <w:rPr>
          <w:rFonts w:ascii="Garamond" w:hAnsi="Garamond"/>
          <w:lang w:val="es-419"/>
        </w:rPr>
        <w:t xml:space="preserve">Grupo de Trabajo Regional para la Reducción de la Mortalidad Materna. </w:t>
      </w:r>
      <w:r w:rsidR="001441B4" w:rsidRPr="00C07619">
        <w:rPr>
          <w:rFonts w:ascii="Garamond" w:hAnsi="Garamond"/>
          <w:lang w:val="es-419"/>
        </w:rPr>
        <w:t xml:space="preserve">Informe de Análisis de situación de la mortalidad materna para América Latina y el Caribe. Noviembre, 2024. </w:t>
      </w:r>
      <w:hyperlink r:id="rId5" w:history="1">
        <w:r w:rsidR="00795E6B" w:rsidRPr="00C07619">
          <w:rPr>
            <w:rStyle w:val="Hyperlink"/>
            <w:rFonts w:ascii="Garamond" w:hAnsi="Garamond"/>
            <w:lang w:val="es-419"/>
          </w:rPr>
          <w:t>https://lac.unfpa.org/sites/default/files/pub-pdf/2024-12/LAC.pdf</w:t>
        </w:r>
      </w:hyperlink>
      <w:r w:rsidR="00795E6B" w:rsidRPr="00C07619">
        <w:rPr>
          <w:rFonts w:ascii="Garamond" w:hAnsi="Garamond"/>
          <w:lang w:val="es-419"/>
        </w:rPr>
        <w:t xml:space="preserve"> </w:t>
      </w:r>
    </w:p>
  </w:footnote>
  <w:footnote w:id="5">
    <w:p w14:paraId="218ABA16" w14:textId="52137650" w:rsidR="00B21E8E" w:rsidRPr="00C07619" w:rsidRDefault="00B21E8E" w:rsidP="00C07619">
      <w:pPr>
        <w:pStyle w:val="FootnoteText"/>
        <w:jc w:val="both"/>
        <w:rPr>
          <w:rFonts w:ascii="Garamond" w:hAnsi="Garamond"/>
          <w:lang w:val="es-419"/>
        </w:rPr>
      </w:pPr>
      <w:r w:rsidRPr="00C07619">
        <w:rPr>
          <w:rStyle w:val="FootnoteReference"/>
          <w:rFonts w:ascii="Garamond" w:hAnsi="Garamond"/>
        </w:rPr>
        <w:footnoteRef/>
      </w:r>
      <w:r w:rsidRPr="00C07619">
        <w:rPr>
          <w:rFonts w:ascii="Garamond" w:hAnsi="Garamond"/>
          <w:lang w:val="es-419"/>
        </w:rPr>
        <w:t xml:space="preserve"> </w:t>
      </w:r>
      <w:r w:rsidR="00735534" w:rsidRPr="00C07619">
        <w:rPr>
          <w:rFonts w:ascii="Garamond" w:hAnsi="Garamond"/>
          <w:lang w:val="es-419"/>
        </w:rPr>
        <w:t xml:space="preserve">Ver: Comisión Interinstitucional de Alto Nivel para el Desarrollo Sostenible. Informe Nacional Voluntario 2021. Julio, 2021. </w:t>
      </w:r>
      <w:hyperlink r:id="rId6" w:history="1">
        <w:r w:rsidR="00735534" w:rsidRPr="00C07619">
          <w:rPr>
            <w:rStyle w:val="Hyperlink"/>
            <w:rFonts w:ascii="Garamond" w:hAnsi="Garamond"/>
            <w:lang w:val="es-419"/>
          </w:rPr>
          <w:t>https://mepyd.gob.do/publicaciones/informe-nacional-voluntario-2021-crecimiento-con-equidad-y-respeto-al-medioambiente</w:t>
        </w:r>
      </w:hyperlink>
    </w:p>
  </w:footnote>
  <w:footnote w:id="6">
    <w:p w14:paraId="3F1FA15B" w14:textId="417BB51D" w:rsidR="00840EF5" w:rsidRPr="00C07619" w:rsidRDefault="00840EF5" w:rsidP="00C07619">
      <w:pPr>
        <w:pStyle w:val="FootnoteText"/>
        <w:jc w:val="both"/>
        <w:rPr>
          <w:rFonts w:ascii="Garamond" w:hAnsi="Garamond"/>
          <w:lang w:val="es-419"/>
        </w:rPr>
      </w:pPr>
      <w:r w:rsidRPr="00C07619">
        <w:rPr>
          <w:rStyle w:val="FootnoteReference"/>
          <w:rFonts w:ascii="Garamond" w:hAnsi="Garamond"/>
        </w:rPr>
        <w:footnoteRef/>
      </w:r>
      <w:r w:rsidRPr="00C07619">
        <w:rPr>
          <w:rFonts w:ascii="Garamond" w:hAnsi="Garamond"/>
          <w:lang w:val="es-419"/>
        </w:rPr>
        <w:t xml:space="preserve"> Ver: </w:t>
      </w:r>
      <w:r w:rsidR="00A20790" w:rsidRPr="00C07619">
        <w:rPr>
          <w:rFonts w:ascii="Garamond" w:hAnsi="Garamond"/>
          <w:lang w:val="es-419"/>
        </w:rPr>
        <w:t xml:space="preserve">Fundación Gates. </w:t>
      </w:r>
      <w:r w:rsidR="00DC64F1" w:rsidRPr="00C07619">
        <w:rPr>
          <w:rFonts w:ascii="Garamond" w:hAnsi="Garamond"/>
          <w:lang w:val="es-419"/>
        </w:rPr>
        <w:t xml:space="preserve">Proyecciones de mortalidad materna </w:t>
      </w:r>
      <w:r w:rsidR="004640F4" w:rsidRPr="00C07619">
        <w:rPr>
          <w:rFonts w:ascii="Garamond" w:hAnsi="Garamond"/>
          <w:lang w:val="es-419"/>
        </w:rPr>
        <w:t xml:space="preserve">2021. </w:t>
      </w:r>
      <w:hyperlink r:id="rId7" w:history="1">
        <w:r w:rsidR="004640F4" w:rsidRPr="00C07619">
          <w:rPr>
            <w:rStyle w:val="Hyperlink"/>
            <w:rFonts w:ascii="Garamond" w:hAnsi="Garamond"/>
            <w:lang w:val="es-419"/>
          </w:rPr>
          <w:t>https://www.gatesfoundation.org/goalkeepers/report/2021-report/progress-indicators/maternal-mortality/</w:t>
        </w:r>
      </w:hyperlink>
      <w:r w:rsidR="004640F4" w:rsidRPr="00C07619">
        <w:rPr>
          <w:rFonts w:ascii="Garamond" w:hAnsi="Garamond"/>
          <w:lang w:val="es-419"/>
        </w:rPr>
        <w:t xml:space="preserve"> </w:t>
      </w:r>
    </w:p>
  </w:footnote>
  <w:footnote w:id="7">
    <w:p w14:paraId="14F1D11D" w14:textId="2B50C59E" w:rsidR="002F7D2B" w:rsidRPr="00C07619" w:rsidRDefault="002F7D2B" w:rsidP="00C07619">
      <w:pPr>
        <w:pStyle w:val="FootnoteText"/>
        <w:jc w:val="both"/>
        <w:rPr>
          <w:rFonts w:ascii="Garamond" w:hAnsi="Garamond"/>
          <w:lang w:val="es-419"/>
        </w:rPr>
      </w:pPr>
      <w:r w:rsidRPr="00C07619">
        <w:rPr>
          <w:rStyle w:val="FootnoteReference"/>
          <w:rFonts w:ascii="Garamond" w:hAnsi="Garamond"/>
        </w:rPr>
        <w:footnoteRef/>
      </w:r>
      <w:r w:rsidRPr="00C07619">
        <w:rPr>
          <w:rFonts w:ascii="Garamond" w:hAnsi="Garamond"/>
          <w:lang w:val="es-ES"/>
        </w:rPr>
        <w:t xml:space="preserve"> UNFPA. Documento del programa para la República Dominicana (2023-2027),</w:t>
      </w:r>
      <w:r w:rsidRPr="00C07619">
        <w:rPr>
          <w:rFonts w:ascii="Garamond" w:hAnsi="Garamond"/>
          <w:i/>
          <w:iCs/>
          <w:lang w:val="es-ES"/>
        </w:rPr>
        <w:t xml:space="preserve"> </w:t>
      </w:r>
      <w:r w:rsidRPr="00C07619">
        <w:rPr>
          <w:rFonts w:ascii="Garamond" w:hAnsi="Garamond"/>
          <w:lang w:val="es-ES"/>
        </w:rPr>
        <w:t xml:space="preserve">párr. </w:t>
      </w:r>
      <w:r w:rsidRPr="00C07619">
        <w:rPr>
          <w:rFonts w:ascii="Garamond" w:hAnsi="Garamond"/>
          <w:lang w:val="es-419"/>
        </w:rPr>
        <w:t>7</w:t>
      </w:r>
      <w:r w:rsidR="0068055F" w:rsidRPr="00C07619">
        <w:rPr>
          <w:rFonts w:ascii="Garamond" w:hAnsi="Garamond"/>
          <w:lang w:val="es-419"/>
        </w:rPr>
        <w:t xml:space="preserve">, </w:t>
      </w:r>
      <w:hyperlink r:id="rId8" w:history="1">
        <w:r w:rsidR="0068055F" w:rsidRPr="00C07619">
          <w:rPr>
            <w:rStyle w:val="Hyperlink"/>
            <w:rFonts w:ascii="Garamond" w:hAnsi="Garamond"/>
            <w:lang w:val="es-419"/>
          </w:rPr>
          <w:t>https://dominicanrepublic.unfpa.org/es/publications/programa-de-pa%C3%ADs-7-2023-2027-unfpa-rep%C3%BAblica-dominicana</w:t>
        </w:r>
      </w:hyperlink>
      <w:r w:rsidR="0068055F" w:rsidRPr="00C07619">
        <w:rPr>
          <w:rFonts w:ascii="Garamond" w:hAnsi="Garamond"/>
          <w:lang w:val="es-419"/>
        </w:rPr>
        <w:t xml:space="preserve"> </w:t>
      </w:r>
      <w:r w:rsidR="001A358A" w:rsidRPr="00C07619">
        <w:rPr>
          <w:rFonts w:ascii="Garamond" w:hAnsi="Garamond"/>
          <w:lang w:val="es-419"/>
        </w:rPr>
        <w:t xml:space="preserve">Ver también: Santos Mercedes KD, Patricio Baldera J. Desigualdades sociales en la mortalidad materna, República Dominicana, 2016. </w:t>
      </w:r>
      <w:proofErr w:type="spellStart"/>
      <w:r w:rsidR="001A358A" w:rsidRPr="00C07619">
        <w:rPr>
          <w:rFonts w:ascii="Garamond" w:hAnsi="Garamond"/>
          <w:lang w:val="es-419"/>
        </w:rPr>
        <w:t>cysa</w:t>
      </w:r>
      <w:proofErr w:type="spellEnd"/>
      <w:r w:rsidR="001A358A" w:rsidRPr="00C07619">
        <w:rPr>
          <w:rFonts w:ascii="Garamond" w:hAnsi="Garamond"/>
          <w:lang w:val="es-419"/>
        </w:rPr>
        <w:t xml:space="preserve"> [Internet]. 14 de octubre de 2023 [citado 14 de octubre de 2023];7(3):23-36. Disponible en: </w:t>
      </w:r>
      <w:hyperlink r:id="rId9" w:history="1">
        <w:r w:rsidR="001A358A" w:rsidRPr="00C07619">
          <w:rPr>
            <w:rStyle w:val="Hyperlink"/>
            <w:rFonts w:ascii="Garamond" w:hAnsi="Garamond"/>
            <w:lang w:val="es-419"/>
          </w:rPr>
          <w:t>https://revistas.intec.edu.do/index.php/cisa/article/view/2656</w:t>
        </w:r>
      </w:hyperlink>
      <w:r w:rsidR="001A358A" w:rsidRPr="00C07619">
        <w:rPr>
          <w:rFonts w:ascii="Garamond" w:hAnsi="Garamond"/>
          <w:lang w:val="es-419"/>
        </w:rPr>
        <w:t xml:space="preserve"> </w:t>
      </w:r>
    </w:p>
  </w:footnote>
  <w:footnote w:id="8">
    <w:p w14:paraId="6C9BE887" w14:textId="77777777" w:rsidR="005F1949" w:rsidRPr="00C07619" w:rsidRDefault="005F1949" w:rsidP="00C07619">
      <w:pPr>
        <w:pStyle w:val="FootnoteText"/>
        <w:jc w:val="both"/>
        <w:rPr>
          <w:rFonts w:ascii="Garamond" w:hAnsi="Garamond"/>
        </w:rPr>
      </w:pPr>
      <w:r w:rsidRPr="00C07619">
        <w:rPr>
          <w:rStyle w:val="FootnoteReference"/>
          <w:rFonts w:ascii="Garamond" w:hAnsi="Garamond"/>
        </w:rPr>
        <w:footnoteRef/>
      </w:r>
      <w:r w:rsidRPr="00C07619">
        <w:rPr>
          <w:rFonts w:ascii="Garamond" w:hAnsi="Garamond"/>
        </w:rPr>
        <w:t xml:space="preserve"> CCPR/C/DOM/CO/6, </w:t>
      </w:r>
      <w:proofErr w:type="spellStart"/>
      <w:r w:rsidRPr="00C07619">
        <w:rPr>
          <w:rFonts w:ascii="Garamond" w:hAnsi="Garamond"/>
        </w:rPr>
        <w:t>párr</w:t>
      </w:r>
      <w:proofErr w:type="spellEnd"/>
      <w:r w:rsidRPr="00C07619">
        <w:rPr>
          <w:rFonts w:ascii="Garamond" w:hAnsi="Garamond"/>
        </w:rPr>
        <w:t>. 16.</w:t>
      </w:r>
      <w:r w:rsidRPr="00C07619">
        <w:rPr>
          <w:rFonts w:ascii="Garamond" w:hAnsi="Garamond"/>
          <w:b/>
          <w:bCs/>
        </w:rPr>
        <w:t xml:space="preserve"> </w:t>
      </w:r>
    </w:p>
  </w:footnote>
  <w:footnote w:id="9">
    <w:p w14:paraId="3434644D" w14:textId="77777777" w:rsidR="005F1949" w:rsidRPr="00C07619" w:rsidRDefault="005F1949" w:rsidP="00C07619">
      <w:pPr>
        <w:pStyle w:val="FootnoteText"/>
        <w:jc w:val="both"/>
        <w:rPr>
          <w:rFonts w:ascii="Garamond" w:hAnsi="Garamond"/>
        </w:rPr>
      </w:pPr>
      <w:r w:rsidRPr="00C07619">
        <w:rPr>
          <w:rStyle w:val="FootnoteReference"/>
          <w:rFonts w:ascii="Garamond" w:hAnsi="Garamond"/>
        </w:rPr>
        <w:footnoteRef/>
      </w:r>
      <w:r w:rsidRPr="00C07619">
        <w:rPr>
          <w:rFonts w:ascii="Garamond" w:hAnsi="Garamond"/>
        </w:rPr>
        <w:t xml:space="preserve"> Ver: CCPR/C/133/3/Add.1.</w:t>
      </w:r>
    </w:p>
  </w:footnote>
  <w:footnote w:id="10">
    <w:p w14:paraId="32A339E8" w14:textId="6337C310" w:rsidR="00E85C72" w:rsidRPr="00C07619" w:rsidRDefault="00E85C72" w:rsidP="00C07619">
      <w:pPr>
        <w:pStyle w:val="FootnoteText"/>
        <w:jc w:val="both"/>
        <w:rPr>
          <w:rFonts w:ascii="Garamond" w:hAnsi="Garamond"/>
          <w:lang w:val="es-419"/>
        </w:rPr>
      </w:pPr>
      <w:r w:rsidRPr="00C07619">
        <w:rPr>
          <w:rStyle w:val="FootnoteReference"/>
          <w:rFonts w:ascii="Garamond" w:hAnsi="Garamond"/>
        </w:rPr>
        <w:footnoteRef/>
      </w:r>
      <w:r w:rsidRPr="00C07619">
        <w:rPr>
          <w:rFonts w:ascii="Garamond" w:hAnsi="Garamond"/>
        </w:rPr>
        <w:t xml:space="preserve"> Human Rights Watch. </w:t>
      </w:r>
      <w:hyperlink r:id="rId10" w:history="1">
        <w:r w:rsidRPr="00C07619">
          <w:rPr>
            <w:rStyle w:val="Hyperlink"/>
            <w:rFonts w:ascii="Garamond" w:hAnsi="Garamond"/>
            <w:lang w:val="es-419"/>
          </w:rPr>
          <w:t>República Dominicana: Presentación al Comité de los Derechos del Niño de las Naciones Unidas.</w:t>
        </w:r>
      </w:hyperlink>
      <w:r w:rsidRPr="00C07619">
        <w:rPr>
          <w:rFonts w:ascii="Garamond" w:hAnsi="Garamond"/>
          <w:lang w:val="es-419"/>
        </w:rPr>
        <w:t xml:space="preserve"> 31 de</w:t>
      </w:r>
      <w:r w:rsidR="00831C73" w:rsidRPr="00C07619">
        <w:rPr>
          <w:rFonts w:ascii="Garamond" w:hAnsi="Garamond"/>
          <w:lang w:val="es-419"/>
        </w:rPr>
        <w:t xml:space="preserve"> agosto de 2023, citando: Organización Panamericana de la Salud (OPS), “Tablero de Indicadores Fundamentales, Tasa de Fertilidad en Adolescentes (Nacimientos/1,000 mujeres de 15 a 19 años)</w:t>
      </w:r>
      <w:proofErr w:type="gramStart"/>
      <w:r w:rsidR="00831C73" w:rsidRPr="00C07619">
        <w:rPr>
          <w:rFonts w:ascii="Garamond" w:hAnsi="Garamond"/>
          <w:lang w:val="es-419"/>
        </w:rPr>
        <w:t xml:space="preserve">” </w:t>
      </w:r>
      <w:r w:rsidR="0001124B" w:rsidRPr="00C07619">
        <w:rPr>
          <w:rFonts w:ascii="Garamond" w:hAnsi="Garamond"/>
          <w:lang w:val="es-419"/>
        </w:rPr>
        <w:t>.</w:t>
      </w:r>
      <w:proofErr w:type="gramEnd"/>
      <w:r w:rsidR="0001124B" w:rsidRPr="00C07619">
        <w:rPr>
          <w:rFonts w:ascii="Garamond" w:hAnsi="Garamond"/>
          <w:lang w:val="es-419"/>
        </w:rPr>
        <w:t xml:space="preserve"> </w:t>
      </w:r>
    </w:p>
  </w:footnote>
  <w:footnote w:id="11">
    <w:p w14:paraId="67CA9207" w14:textId="3C45CA1C" w:rsidR="00DA030C" w:rsidRPr="00C07619" w:rsidRDefault="00DA030C" w:rsidP="00C07619">
      <w:pPr>
        <w:pStyle w:val="FootnoteText"/>
        <w:jc w:val="both"/>
        <w:rPr>
          <w:rFonts w:ascii="Garamond" w:hAnsi="Garamond"/>
          <w:lang w:val="es-419"/>
        </w:rPr>
      </w:pPr>
      <w:r w:rsidRPr="00C07619">
        <w:rPr>
          <w:rStyle w:val="FootnoteReference"/>
          <w:rFonts w:ascii="Garamond" w:hAnsi="Garamond"/>
        </w:rPr>
        <w:footnoteRef/>
      </w:r>
      <w:r w:rsidRPr="00C07619">
        <w:rPr>
          <w:rFonts w:ascii="Garamond" w:hAnsi="Garamond"/>
          <w:lang w:val="es-419"/>
        </w:rPr>
        <w:t xml:space="preserve"> </w:t>
      </w:r>
      <w:r w:rsidR="001F2798" w:rsidRPr="00C07619">
        <w:rPr>
          <w:rFonts w:ascii="Garamond" w:hAnsi="Garamond"/>
          <w:lang w:val="es-419"/>
        </w:rPr>
        <w:t>Dirección de Información y Estadísticas de Salud del Ministerio de Salud Pública.</w:t>
      </w:r>
      <w:r w:rsidR="0071456E" w:rsidRPr="00C07619">
        <w:rPr>
          <w:rFonts w:ascii="Garamond" w:hAnsi="Garamond"/>
          <w:lang w:val="es-419"/>
        </w:rPr>
        <w:t xml:space="preserve"> Embarazos en adolescentes en República Dominicana. </w:t>
      </w:r>
      <w:r w:rsidR="00B74A06" w:rsidRPr="00C07619">
        <w:rPr>
          <w:rFonts w:ascii="Garamond" w:hAnsi="Garamond"/>
          <w:lang w:val="es-419"/>
        </w:rPr>
        <w:t xml:space="preserve">2017 hasta primer trimestre 2024. </w:t>
      </w:r>
      <w:hyperlink r:id="rId11" w:history="1">
        <w:r w:rsidR="00B74A06" w:rsidRPr="00C07619">
          <w:rPr>
            <w:rStyle w:val="Hyperlink"/>
            <w:rFonts w:ascii="Garamond" w:hAnsi="Garamond"/>
            <w:lang w:val="es-419"/>
          </w:rPr>
          <w:t>https://www.one.gob.do/media/d4gdbqvc/infograf%C3%ADa-embarazo-en-adolescentes-primer-simestre-2024.pdf</w:t>
        </w:r>
      </w:hyperlink>
      <w:r w:rsidR="00B74A06" w:rsidRPr="00C07619">
        <w:rPr>
          <w:rFonts w:ascii="Garamond" w:hAnsi="Garamond"/>
          <w:lang w:val="es-419"/>
        </w:rPr>
        <w:t xml:space="preserve"> </w:t>
      </w:r>
    </w:p>
  </w:footnote>
  <w:footnote w:id="12">
    <w:p w14:paraId="34BBFC47" w14:textId="5928DB63" w:rsidR="002F7D2B" w:rsidRPr="00C07619" w:rsidRDefault="002F7D2B" w:rsidP="00C07619">
      <w:pPr>
        <w:pStyle w:val="FootnoteText"/>
        <w:jc w:val="both"/>
        <w:rPr>
          <w:rFonts w:ascii="Garamond" w:hAnsi="Garamond"/>
        </w:rPr>
      </w:pPr>
      <w:r w:rsidRPr="00C07619">
        <w:rPr>
          <w:rStyle w:val="FootnoteReference"/>
          <w:rFonts w:ascii="Garamond" w:hAnsi="Garamond"/>
        </w:rPr>
        <w:footnoteRef/>
      </w:r>
      <w:r w:rsidRPr="00C07619">
        <w:rPr>
          <w:rFonts w:ascii="Garamond" w:hAnsi="Garamond"/>
          <w:lang w:val="es-ES"/>
        </w:rPr>
        <w:t xml:space="preserve"> UNFPA. Documento del programa para la República Dominicana (2023-2027),</w:t>
      </w:r>
      <w:r w:rsidRPr="00C07619">
        <w:rPr>
          <w:rFonts w:ascii="Garamond" w:hAnsi="Garamond"/>
          <w:i/>
          <w:iCs/>
          <w:lang w:val="es-ES"/>
        </w:rPr>
        <w:t xml:space="preserve"> </w:t>
      </w:r>
      <w:proofErr w:type="spellStart"/>
      <w:r w:rsidRPr="00C07619">
        <w:rPr>
          <w:rFonts w:ascii="Garamond" w:hAnsi="Garamond"/>
          <w:i/>
          <w:iCs/>
          <w:lang w:val="es-ES"/>
        </w:rPr>
        <w:t>op.cit</w:t>
      </w:r>
      <w:proofErr w:type="spellEnd"/>
      <w:r w:rsidRPr="00C07619">
        <w:rPr>
          <w:rFonts w:ascii="Garamond" w:hAnsi="Garamond"/>
          <w:lang w:val="es-ES"/>
        </w:rPr>
        <w:t xml:space="preserve">., párr. </w:t>
      </w:r>
      <w:r w:rsidRPr="00C07619">
        <w:rPr>
          <w:rFonts w:ascii="Garamond" w:hAnsi="Garamond"/>
        </w:rPr>
        <w:t>12.</w:t>
      </w:r>
    </w:p>
  </w:footnote>
  <w:footnote w:id="13">
    <w:p w14:paraId="027CC590" w14:textId="77777777" w:rsidR="00635D54" w:rsidRPr="00C07619" w:rsidRDefault="00635D54" w:rsidP="00C07619">
      <w:pPr>
        <w:pStyle w:val="FootnoteText"/>
        <w:jc w:val="both"/>
        <w:rPr>
          <w:rFonts w:ascii="Garamond" w:hAnsi="Garamond"/>
        </w:rPr>
      </w:pPr>
      <w:r w:rsidRPr="00C07619">
        <w:rPr>
          <w:rStyle w:val="FootnoteReference"/>
          <w:rFonts w:ascii="Garamond" w:hAnsi="Garamond"/>
        </w:rPr>
        <w:footnoteRef/>
      </w:r>
      <w:r w:rsidRPr="00C07619">
        <w:rPr>
          <w:rFonts w:ascii="Garamond" w:hAnsi="Garamond"/>
        </w:rPr>
        <w:t xml:space="preserve"> CCPR/C/DOM/CO/6, </w:t>
      </w:r>
      <w:proofErr w:type="spellStart"/>
      <w:r w:rsidRPr="00C07619">
        <w:rPr>
          <w:rFonts w:ascii="Garamond" w:hAnsi="Garamond"/>
        </w:rPr>
        <w:t>párr</w:t>
      </w:r>
      <w:proofErr w:type="spellEnd"/>
      <w:r w:rsidRPr="00C07619">
        <w:rPr>
          <w:rFonts w:ascii="Garamond" w:hAnsi="Garamond"/>
        </w:rPr>
        <w:t xml:space="preserve">. 15. </w:t>
      </w:r>
    </w:p>
  </w:footnote>
  <w:footnote w:id="14">
    <w:p w14:paraId="2295FBFF" w14:textId="134BA6B5" w:rsidR="00C13FA2" w:rsidRPr="00C07619" w:rsidRDefault="00C13FA2" w:rsidP="00C07619">
      <w:pPr>
        <w:pStyle w:val="FootnoteText"/>
        <w:jc w:val="both"/>
        <w:rPr>
          <w:rFonts w:ascii="Garamond" w:hAnsi="Garamond"/>
          <w:lang w:val="es-419"/>
        </w:rPr>
      </w:pPr>
      <w:r w:rsidRPr="00C07619">
        <w:rPr>
          <w:rStyle w:val="FootnoteReference"/>
          <w:rFonts w:ascii="Garamond" w:hAnsi="Garamond"/>
        </w:rPr>
        <w:footnoteRef/>
      </w:r>
      <w:r w:rsidRPr="00C07619">
        <w:rPr>
          <w:rFonts w:ascii="Garamond" w:hAnsi="Garamond"/>
          <w:lang w:val="es-419"/>
        </w:rPr>
        <w:t xml:space="preserve"> </w:t>
      </w:r>
      <w:r w:rsidR="00256679" w:rsidRPr="00C07619">
        <w:rPr>
          <w:rFonts w:ascii="Garamond" w:hAnsi="Garamond"/>
          <w:lang w:val="es-419"/>
        </w:rPr>
        <w:t xml:space="preserve">UNICEF. República Dominicana. </w:t>
      </w:r>
      <w:hyperlink r:id="rId12" w:history="1">
        <w:r w:rsidR="00256679" w:rsidRPr="00C07619">
          <w:rPr>
            <w:rStyle w:val="Hyperlink"/>
            <w:rFonts w:ascii="Garamond" w:hAnsi="Garamond"/>
            <w:lang w:val="es-419"/>
          </w:rPr>
          <w:t>https://www.unicef.org/dominicanrepublic/protecci%C3%B3n</w:t>
        </w:r>
      </w:hyperlink>
      <w:r w:rsidR="00256679" w:rsidRPr="00C07619">
        <w:rPr>
          <w:rFonts w:ascii="Garamond" w:hAnsi="Garamond"/>
          <w:lang w:val="es-419"/>
        </w:rPr>
        <w:t xml:space="preserve"> </w:t>
      </w:r>
    </w:p>
  </w:footnote>
  <w:footnote w:id="15">
    <w:p w14:paraId="07B1E8AD" w14:textId="412C2A4A" w:rsidR="009474C0" w:rsidRPr="00C07619" w:rsidRDefault="009474C0" w:rsidP="00C07619">
      <w:pPr>
        <w:pStyle w:val="FootnoteText"/>
        <w:jc w:val="both"/>
        <w:rPr>
          <w:rFonts w:ascii="Garamond" w:hAnsi="Garamond"/>
          <w:lang w:val="es-ES"/>
        </w:rPr>
      </w:pPr>
      <w:r w:rsidRPr="00C07619">
        <w:rPr>
          <w:rStyle w:val="FootnoteReference"/>
          <w:rFonts w:ascii="Garamond" w:hAnsi="Garamond"/>
        </w:rPr>
        <w:footnoteRef/>
      </w:r>
      <w:r w:rsidRPr="00C07619">
        <w:rPr>
          <w:rFonts w:ascii="Garamond" w:hAnsi="Garamond"/>
          <w:lang w:val="es-419"/>
        </w:rPr>
        <w:t xml:space="preserve"> </w:t>
      </w:r>
      <w:r w:rsidR="00637C94" w:rsidRPr="00C07619">
        <w:rPr>
          <w:rFonts w:ascii="Garamond" w:hAnsi="Garamond"/>
          <w:lang w:val="es-419"/>
        </w:rPr>
        <w:t xml:space="preserve">CCPR/C/DOM/CO/6, </w:t>
      </w:r>
      <w:proofErr w:type="spellStart"/>
      <w:r w:rsidR="00637C94" w:rsidRPr="00C07619">
        <w:rPr>
          <w:rFonts w:ascii="Garamond" w:hAnsi="Garamond"/>
          <w:lang w:val="es-419"/>
        </w:rPr>
        <w:t>párrs</w:t>
      </w:r>
      <w:proofErr w:type="spellEnd"/>
      <w:r w:rsidR="00637C94" w:rsidRPr="00C07619">
        <w:rPr>
          <w:rFonts w:ascii="Garamond" w:hAnsi="Garamond"/>
          <w:lang w:val="es-419"/>
        </w:rPr>
        <w:t xml:space="preserve">. </w:t>
      </w:r>
      <w:r w:rsidR="00637C94" w:rsidRPr="00C07619">
        <w:rPr>
          <w:rFonts w:ascii="Garamond" w:hAnsi="Garamond"/>
          <w:lang w:val="es-ES"/>
        </w:rPr>
        <w:t xml:space="preserve">15-16. </w:t>
      </w:r>
    </w:p>
  </w:footnote>
  <w:footnote w:id="16">
    <w:p w14:paraId="5F646127" w14:textId="66A483B1" w:rsidR="00FE29FA" w:rsidRPr="00C07619" w:rsidRDefault="00FE29FA" w:rsidP="00C07619">
      <w:pPr>
        <w:pStyle w:val="FootnoteText"/>
        <w:jc w:val="both"/>
        <w:rPr>
          <w:rFonts w:ascii="Garamond" w:hAnsi="Garamond"/>
          <w:lang w:val="es-419"/>
        </w:rPr>
      </w:pPr>
      <w:r w:rsidRPr="00C07619">
        <w:rPr>
          <w:rStyle w:val="FootnoteReference"/>
          <w:rFonts w:ascii="Garamond" w:hAnsi="Garamond"/>
        </w:rPr>
        <w:footnoteRef/>
      </w:r>
      <w:r w:rsidRPr="00C07619">
        <w:rPr>
          <w:rFonts w:ascii="Garamond" w:hAnsi="Garamond"/>
          <w:lang w:val="es-ES"/>
        </w:rPr>
        <w:t xml:space="preserve"> </w:t>
      </w:r>
      <w:r w:rsidRPr="00C07619">
        <w:rPr>
          <w:rFonts w:ascii="Garamond" w:hAnsi="Garamond"/>
          <w:lang w:val="es-419"/>
        </w:rPr>
        <w:t xml:space="preserve">Ver: CCPR/C/133/3/Add.1. </w:t>
      </w:r>
    </w:p>
  </w:footnote>
  <w:footnote w:id="17">
    <w:p w14:paraId="0E406B78" w14:textId="77777777" w:rsidR="00C07619" w:rsidRPr="00C07619" w:rsidRDefault="00C07619" w:rsidP="00C07619">
      <w:pPr>
        <w:pStyle w:val="FootnoteText"/>
        <w:jc w:val="both"/>
        <w:rPr>
          <w:rFonts w:ascii="Garamond" w:hAnsi="Garamond"/>
          <w:lang w:val="es-419"/>
        </w:rPr>
      </w:pPr>
      <w:r w:rsidRPr="00C07619">
        <w:rPr>
          <w:rStyle w:val="FootnoteReference"/>
          <w:rFonts w:ascii="Garamond" w:hAnsi="Garamond"/>
        </w:rPr>
        <w:footnoteRef/>
      </w:r>
      <w:r w:rsidRPr="00C07619">
        <w:rPr>
          <w:rFonts w:ascii="Garamond" w:hAnsi="Garamond"/>
          <w:lang w:val="es-419"/>
        </w:rPr>
        <w:t xml:space="preserve"> Ver </w:t>
      </w:r>
      <w:hyperlink r:id="rId13" w:history="1">
        <w:r w:rsidRPr="00C07619">
          <w:rPr>
            <w:rStyle w:val="Hyperlink"/>
            <w:rFonts w:ascii="Garamond" w:hAnsi="Garamond"/>
            <w:lang w:val="es-419"/>
          </w:rPr>
          <w:t>Directrices sobre la atención para el aborto</w:t>
        </w:r>
      </w:hyperlink>
    </w:p>
  </w:footnote>
  <w:footnote w:id="18">
    <w:p w14:paraId="639E662F" w14:textId="343A8D37" w:rsidR="008671C4" w:rsidRPr="001F3126" w:rsidRDefault="008671C4" w:rsidP="00C07619">
      <w:pPr>
        <w:pStyle w:val="FootnoteText"/>
        <w:jc w:val="both"/>
        <w:rPr>
          <w:rFonts w:ascii="Garamond" w:hAnsi="Garamond"/>
          <w:lang w:val="es-419"/>
        </w:rPr>
      </w:pPr>
      <w:r w:rsidRPr="00C07619">
        <w:rPr>
          <w:rStyle w:val="FootnoteReference"/>
          <w:rFonts w:ascii="Garamond" w:hAnsi="Garamond"/>
        </w:rPr>
        <w:footnoteRef/>
      </w:r>
      <w:r w:rsidRPr="00C07619">
        <w:rPr>
          <w:rFonts w:ascii="Garamond" w:hAnsi="Garamond"/>
          <w:lang w:val="es-419"/>
        </w:rPr>
        <w:t xml:space="preserve"> </w:t>
      </w:r>
      <w:r w:rsidR="00575C8D" w:rsidRPr="001F3126">
        <w:rPr>
          <w:rFonts w:ascii="Garamond" w:hAnsi="Garamond"/>
          <w:lang w:val="es-419"/>
        </w:rPr>
        <w:t xml:space="preserve">CLADEM-RD y Núcleo de Apoyo a la Mujer. </w:t>
      </w:r>
      <w:hyperlink r:id="rId14" w:history="1">
        <w:r w:rsidR="00575C8D" w:rsidRPr="001F3126">
          <w:rPr>
            <w:rStyle w:val="Hyperlink"/>
            <w:rFonts w:ascii="Garamond" w:hAnsi="Garamond"/>
            <w:lang w:val="es-419"/>
          </w:rPr>
          <w:t>Criminalización y persecución de eventos obstétricos en la República Dominicana</w:t>
        </w:r>
      </w:hyperlink>
      <w:r w:rsidR="00575C8D" w:rsidRPr="001F3126">
        <w:rPr>
          <w:rFonts w:ascii="Garamond" w:hAnsi="Garamond"/>
          <w:lang w:val="es-419"/>
        </w:rPr>
        <w:t xml:space="preserve">. Enero 2023. </w:t>
      </w:r>
      <w:r w:rsidRPr="001F3126">
        <w:rPr>
          <w:rFonts w:ascii="Garamond" w:hAnsi="Garamond"/>
          <w:lang w:val="es-419"/>
        </w:rPr>
        <w:t xml:space="preserve"> </w:t>
      </w:r>
    </w:p>
  </w:footnote>
  <w:footnote w:id="19">
    <w:p w14:paraId="23B7770B" w14:textId="588424B7" w:rsidR="00C97938" w:rsidRPr="001F3126" w:rsidRDefault="00C97938" w:rsidP="00C07619">
      <w:pPr>
        <w:pStyle w:val="FootnoteText"/>
        <w:jc w:val="both"/>
        <w:rPr>
          <w:rFonts w:ascii="Garamond" w:hAnsi="Garamond"/>
          <w:lang w:val="es-419"/>
        </w:rPr>
      </w:pPr>
      <w:r w:rsidRPr="001F3126">
        <w:rPr>
          <w:rStyle w:val="FootnoteReference"/>
          <w:rFonts w:ascii="Garamond" w:hAnsi="Garamond"/>
        </w:rPr>
        <w:footnoteRef/>
      </w:r>
      <w:r w:rsidRPr="001F3126">
        <w:rPr>
          <w:rFonts w:ascii="Garamond" w:hAnsi="Garamond"/>
          <w:lang w:val="es-419"/>
        </w:rPr>
        <w:t xml:space="preserve"> CLADEM-RD y Núcleo de Apoyo a la Mujer. Criminalización y persecución de eventos obstétricos en la República Dominicana. Enero 2023, pág. 8. </w:t>
      </w:r>
    </w:p>
  </w:footnote>
  <w:footnote w:id="20">
    <w:p w14:paraId="062D4A97" w14:textId="0D8E5609" w:rsidR="001F3126" w:rsidRPr="001F3126" w:rsidRDefault="001F3126">
      <w:pPr>
        <w:pStyle w:val="FootnoteText"/>
        <w:rPr>
          <w:lang w:val="es-419"/>
        </w:rPr>
      </w:pPr>
      <w:r w:rsidRPr="001F3126">
        <w:rPr>
          <w:rStyle w:val="FootnoteReference"/>
          <w:rFonts w:ascii="Garamond" w:hAnsi="Garamond"/>
        </w:rPr>
        <w:footnoteRef/>
      </w:r>
      <w:r w:rsidRPr="001F3126">
        <w:rPr>
          <w:rFonts w:ascii="Garamond" w:hAnsi="Garamond"/>
          <w:lang w:val="es-419"/>
        </w:rPr>
        <w:t xml:space="preserve"> Disponible en: </w:t>
      </w:r>
      <w:hyperlink r:id="rId15" w:history="1">
        <w:r w:rsidRPr="001F3126">
          <w:rPr>
            <w:rStyle w:val="Hyperlink"/>
            <w:rFonts w:ascii="Garamond" w:hAnsi="Garamond"/>
            <w:lang w:val="es-419"/>
          </w:rPr>
          <w:t>https://repositorio.sns.gob.do/wpfd_file/protocolo-de-atencion-manejo-integral-del-embarazo-el-parto-y-el-puerperio-en-adolescentes-menores-de-15-anos-2/</w:t>
        </w:r>
      </w:hyperlink>
      <w:r>
        <w:rPr>
          <w:lang w:val="es-419"/>
        </w:rPr>
        <w:t xml:space="preserve"> </w:t>
      </w:r>
    </w:p>
  </w:footnote>
  <w:footnote w:id="21">
    <w:p w14:paraId="45BC1413" w14:textId="160D2F87" w:rsidR="004141EA" w:rsidRPr="004141EA" w:rsidRDefault="004141EA" w:rsidP="004141EA">
      <w:pPr>
        <w:pStyle w:val="FootnoteText"/>
        <w:jc w:val="both"/>
        <w:rPr>
          <w:rFonts w:ascii="Garamond" w:hAnsi="Garamond"/>
          <w:lang w:val="es-419"/>
        </w:rPr>
      </w:pPr>
      <w:r w:rsidRPr="004141EA">
        <w:rPr>
          <w:rStyle w:val="FootnoteReference"/>
          <w:rFonts w:ascii="Garamond" w:hAnsi="Garamond"/>
        </w:rPr>
        <w:footnoteRef/>
      </w:r>
      <w:r w:rsidRPr="004141EA">
        <w:rPr>
          <w:rFonts w:ascii="Garamond" w:hAnsi="Garamond"/>
          <w:lang w:val="es-419"/>
        </w:rPr>
        <w:t xml:space="preserve"> </w:t>
      </w:r>
      <w:r w:rsidRPr="004141EA">
        <w:rPr>
          <w:rFonts w:ascii="Garamond" w:hAnsi="Garamond"/>
          <w:lang w:val="es-419"/>
        </w:rPr>
        <w:t xml:space="preserve">Oficina del Alto Comisionado (1999) La Mujer y la Salud. </w:t>
      </w:r>
      <w:r w:rsidRPr="004141EA">
        <w:rPr>
          <w:rFonts w:ascii="Garamond" w:hAnsi="Garamond"/>
          <w:lang w:val="pt-PT"/>
        </w:rPr>
        <w:t xml:space="preserve">CEDAW/RG/1999/24, párrafo 12 (d) </w:t>
      </w:r>
      <w:r w:rsidRPr="004141EA">
        <w:rPr>
          <w:rFonts w:ascii="Garamond" w:hAnsi="Garamond"/>
        </w:rPr>
        <w:fldChar w:fldCharType="begin"/>
      </w:r>
      <w:r w:rsidRPr="004141EA">
        <w:rPr>
          <w:rFonts w:ascii="Garamond" w:hAnsi="Garamond"/>
          <w:lang w:val="es-419"/>
        </w:rPr>
        <w:instrText>HYPERLINK "https://www.acnur.org/fileadmin/Documentos/BDL/2001/1280.pdf"</w:instrText>
      </w:r>
      <w:r w:rsidRPr="004141EA">
        <w:rPr>
          <w:rFonts w:ascii="Garamond" w:hAnsi="Garamond"/>
        </w:rPr>
      </w:r>
      <w:r w:rsidRPr="004141EA">
        <w:rPr>
          <w:rFonts w:ascii="Garamond" w:hAnsi="Garamond"/>
        </w:rPr>
        <w:fldChar w:fldCharType="separate"/>
      </w:r>
      <w:r w:rsidRPr="004141EA">
        <w:rPr>
          <w:rStyle w:val="Hyperlink"/>
          <w:rFonts w:ascii="Garamond" w:hAnsi="Garamond"/>
          <w:lang w:val="pt-PT"/>
        </w:rPr>
        <w:t>https://www.acnur.org/fileadmin/Documentos/BDL/2001/1280.pdf</w:t>
      </w:r>
      <w:r w:rsidRPr="004141EA">
        <w:rPr>
          <w:rStyle w:val="Hyperlink"/>
          <w:rFonts w:ascii="Garamond" w:hAnsi="Garamond"/>
          <w:lang w:val="pt-PT"/>
        </w:rPr>
        <w:fldChar w:fldCharType="end"/>
      </w:r>
    </w:p>
  </w:footnote>
  <w:footnote w:id="22">
    <w:p w14:paraId="19AD16A4" w14:textId="380CB3E9" w:rsidR="003572A3" w:rsidRPr="008202B3" w:rsidRDefault="003572A3" w:rsidP="003B1BA0">
      <w:pPr>
        <w:pStyle w:val="FootnoteText"/>
        <w:jc w:val="both"/>
        <w:rPr>
          <w:rFonts w:ascii="Garamond" w:hAnsi="Garamond"/>
          <w:lang w:val="es-419"/>
        </w:rPr>
      </w:pPr>
      <w:r w:rsidRPr="008202B3">
        <w:rPr>
          <w:rStyle w:val="FootnoteReference"/>
          <w:rFonts w:ascii="Garamond" w:hAnsi="Garamond"/>
        </w:rPr>
        <w:footnoteRef/>
      </w:r>
      <w:r w:rsidRPr="008202B3">
        <w:rPr>
          <w:rFonts w:ascii="Garamond" w:hAnsi="Garamond"/>
          <w:lang w:val="es-419"/>
        </w:rPr>
        <w:t xml:space="preserve"> Ver al respecto</w:t>
      </w:r>
      <w:r w:rsidR="003B1BA0" w:rsidRPr="008202B3">
        <w:rPr>
          <w:rFonts w:ascii="Garamond" w:hAnsi="Garamond"/>
          <w:lang w:val="es-419"/>
        </w:rPr>
        <w:t xml:space="preserve"> los lineamientos que ha establecido la Corte Interamericana de Derechos Humanos y que deberían ser adoptados por los Estados de la región</w:t>
      </w:r>
      <w:r w:rsidRPr="008202B3">
        <w:rPr>
          <w:rFonts w:ascii="Garamond" w:hAnsi="Garamond"/>
          <w:lang w:val="es-419"/>
        </w:rPr>
        <w:t xml:space="preserve">: </w:t>
      </w:r>
      <w:r w:rsidR="003B1BA0" w:rsidRPr="008202B3">
        <w:rPr>
          <w:rFonts w:ascii="Garamond" w:hAnsi="Garamond"/>
          <w:lang w:val="es-419"/>
        </w:rPr>
        <w:t xml:space="preserve">Corte IDH. Caso Manuela y otros Vs. El Salvador. Excepciones preliminares, Fondo, Reparaciones y Costas. </w:t>
      </w:r>
      <w:proofErr w:type="spellStart"/>
      <w:r w:rsidR="003B1BA0" w:rsidRPr="008202B3">
        <w:rPr>
          <w:rFonts w:ascii="Garamond" w:hAnsi="Garamond"/>
        </w:rPr>
        <w:t>Sentencia</w:t>
      </w:r>
      <w:proofErr w:type="spellEnd"/>
      <w:r w:rsidR="003B1BA0" w:rsidRPr="008202B3">
        <w:rPr>
          <w:rFonts w:ascii="Garamond" w:hAnsi="Garamond"/>
        </w:rPr>
        <w:t xml:space="preserve"> de 2 de </w:t>
      </w:r>
      <w:proofErr w:type="spellStart"/>
      <w:r w:rsidR="003B1BA0" w:rsidRPr="008202B3">
        <w:rPr>
          <w:rFonts w:ascii="Garamond" w:hAnsi="Garamond"/>
        </w:rPr>
        <w:t>noviembre</w:t>
      </w:r>
      <w:proofErr w:type="spellEnd"/>
      <w:r w:rsidR="003B1BA0" w:rsidRPr="008202B3">
        <w:rPr>
          <w:rFonts w:ascii="Garamond" w:hAnsi="Garamond"/>
        </w:rPr>
        <w:t xml:space="preserve"> de 2021. Serie C No. 441</w:t>
      </w:r>
      <w:r w:rsidR="003B1BA0" w:rsidRPr="008202B3">
        <w:rPr>
          <w:rFonts w:ascii="Garamond" w:hAnsi="Garamond"/>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614F3E" w14:textId="1E35229E" w:rsidR="005A2A50" w:rsidRDefault="00E565E1">
    <w:pPr>
      <w:pStyle w:val="Header"/>
    </w:pPr>
    <w:r>
      <w:rPr>
        <w:noProof/>
      </w:rPr>
      <w:drawing>
        <wp:anchor distT="0" distB="0" distL="114300" distR="114300" simplePos="0" relativeHeight="251658240" behindDoc="1" locked="0" layoutInCell="1" allowOverlap="1" wp14:anchorId="563EDD52" wp14:editId="1F61A035">
          <wp:simplePos x="0" y="0"/>
          <wp:positionH relativeFrom="column">
            <wp:posOffset>1817370</wp:posOffset>
          </wp:positionH>
          <wp:positionV relativeFrom="paragraph">
            <wp:posOffset>94409</wp:posOffset>
          </wp:positionV>
          <wp:extent cx="939800" cy="290195"/>
          <wp:effectExtent l="0" t="0" r="0" b="0"/>
          <wp:wrapTight wrapText="bothSides">
            <wp:wrapPolygon edited="0">
              <wp:start x="0" y="0"/>
              <wp:lineTo x="0" y="19851"/>
              <wp:lineTo x="21016" y="19851"/>
              <wp:lineTo x="21016" y="0"/>
              <wp:lineTo x="0" y="0"/>
            </wp:wrapPolygon>
          </wp:wrapTight>
          <wp:docPr id="1948143534" name="image2.png" descr="A group of logos and text&#10;&#10;Description automatically generated"/>
          <wp:cNvGraphicFramePr/>
          <a:graphic xmlns:a="http://schemas.openxmlformats.org/drawingml/2006/main">
            <a:graphicData uri="http://schemas.openxmlformats.org/drawingml/2006/picture">
              <pic:pic xmlns:pic="http://schemas.openxmlformats.org/drawingml/2006/picture">
                <pic:nvPicPr>
                  <pic:cNvPr id="1948143534" name="image2.png" descr="A group of logos and text&#10;&#10;Description automatically generated"/>
                  <pic:cNvPicPr preferRelativeResize="0"/>
                </pic:nvPicPr>
                <pic:blipFill rotWithShape="1">
                  <a:blip r:embed="rId1">
                    <a:extLst>
                      <a:ext uri="{28A0092B-C50C-407E-A947-70E740481C1C}">
                        <a14:useLocalDpi xmlns:a14="http://schemas.microsoft.com/office/drawing/2010/main" val="0"/>
                      </a:ext>
                    </a:extLst>
                  </a:blip>
                  <a:srcRect l="59126" t="84371" r="25030" b="3164"/>
                  <a:stretch/>
                </pic:blipFill>
                <pic:spPr bwMode="auto">
                  <a:xfrm>
                    <a:off x="0" y="0"/>
                    <a:ext cx="939800" cy="290195"/>
                  </a:xfrm>
                  <a:prstGeom prst="rect">
                    <a:avLst/>
                  </a:prstGeom>
                  <a:ln>
                    <a:noFill/>
                  </a:ln>
                  <a:extLst>
                    <a:ext uri="{53640926-AAD7-44D8-BBD7-CCE9431645EC}">
                      <a14:shadowObscured xmlns:a14="http://schemas.microsoft.com/office/drawing/2010/main"/>
                    </a:ext>
                  </a:extLst>
                </pic:spPr>
              </pic:pic>
            </a:graphicData>
          </a:graphic>
        </wp:anchor>
      </w:drawing>
    </w:r>
    <w:r w:rsidR="005A2A50" w:rsidRPr="005A2A50">
      <w:drawing>
        <wp:anchor distT="0" distB="0" distL="114300" distR="114300" simplePos="0" relativeHeight="251659264" behindDoc="1" locked="0" layoutInCell="1" allowOverlap="1" wp14:anchorId="320B65ED" wp14:editId="53E9D272">
          <wp:simplePos x="0" y="0"/>
          <wp:positionH relativeFrom="margin">
            <wp:align>left</wp:align>
          </wp:positionH>
          <wp:positionV relativeFrom="paragraph">
            <wp:posOffset>13111</wp:posOffset>
          </wp:positionV>
          <wp:extent cx="1485239" cy="445572"/>
          <wp:effectExtent l="0" t="0" r="1270" b="0"/>
          <wp:wrapTight wrapText="bothSides">
            <wp:wrapPolygon edited="0">
              <wp:start x="0" y="0"/>
              <wp:lineTo x="0" y="20337"/>
              <wp:lineTo x="21341" y="20337"/>
              <wp:lineTo x="21341" y="0"/>
              <wp:lineTo x="0" y="0"/>
            </wp:wrapPolygon>
          </wp:wrapTight>
          <wp:docPr id="5" name="Imagen 4" descr="Un dibujo con letras">
            <a:extLst xmlns:a="http://schemas.openxmlformats.org/drawingml/2006/main">
              <a:ext uri="{FF2B5EF4-FFF2-40B4-BE49-F238E27FC236}">
                <a16:creationId xmlns:a16="http://schemas.microsoft.com/office/drawing/2014/main" id="{67D07FCC-A59B-B6A2-4706-298AAE8BB8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descr="Un dibujo con letras">
                    <a:extLst>
                      <a:ext uri="{FF2B5EF4-FFF2-40B4-BE49-F238E27FC236}">
                        <a16:creationId xmlns:a16="http://schemas.microsoft.com/office/drawing/2014/main" id="{67D07FCC-A59B-B6A2-4706-298AAE8BB8F9}"/>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485239" cy="44557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9175A21"/>
    <w:multiLevelType w:val="hybridMultilevel"/>
    <w:tmpl w:val="091E2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D520741"/>
    <w:multiLevelType w:val="hybridMultilevel"/>
    <w:tmpl w:val="240C59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81072455">
    <w:abstractNumId w:val="0"/>
  </w:num>
  <w:num w:numId="2" w16cid:durableId="16874360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65B"/>
    <w:rsid w:val="00006EBC"/>
    <w:rsid w:val="0001124B"/>
    <w:rsid w:val="0001616D"/>
    <w:rsid w:val="0001728C"/>
    <w:rsid w:val="000203BC"/>
    <w:rsid w:val="00020E3B"/>
    <w:rsid w:val="00026260"/>
    <w:rsid w:val="0003085B"/>
    <w:rsid w:val="00046F1F"/>
    <w:rsid w:val="00061B73"/>
    <w:rsid w:val="00072DA8"/>
    <w:rsid w:val="000A072E"/>
    <w:rsid w:val="000A3F66"/>
    <w:rsid w:val="000A3FBE"/>
    <w:rsid w:val="000B2BF4"/>
    <w:rsid w:val="000B2C79"/>
    <w:rsid w:val="001441B4"/>
    <w:rsid w:val="00145CA9"/>
    <w:rsid w:val="00157320"/>
    <w:rsid w:val="001607EE"/>
    <w:rsid w:val="0016786B"/>
    <w:rsid w:val="001730D3"/>
    <w:rsid w:val="00192C5D"/>
    <w:rsid w:val="001970A9"/>
    <w:rsid w:val="001A11C5"/>
    <w:rsid w:val="001A2025"/>
    <w:rsid w:val="001A358A"/>
    <w:rsid w:val="001C1BD5"/>
    <w:rsid w:val="001C2BB6"/>
    <w:rsid w:val="001C4E02"/>
    <w:rsid w:val="001D56F0"/>
    <w:rsid w:val="001D6950"/>
    <w:rsid w:val="001F17FD"/>
    <w:rsid w:val="001F2798"/>
    <w:rsid w:val="001F3126"/>
    <w:rsid w:val="001F557F"/>
    <w:rsid w:val="00201290"/>
    <w:rsid w:val="002015D1"/>
    <w:rsid w:val="0021133D"/>
    <w:rsid w:val="002141ED"/>
    <w:rsid w:val="00226ED0"/>
    <w:rsid w:val="00227AF6"/>
    <w:rsid w:val="0023586E"/>
    <w:rsid w:val="00241B61"/>
    <w:rsid w:val="00244063"/>
    <w:rsid w:val="00251D2A"/>
    <w:rsid w:val="00256679"/>
    <w:rsid w:val="00261B41"/>
    <w:rsid w:val="00274DD5"/>
    <w:rsid w:val="00275C52"/>
    <w:rsid w:val="0029177A"/>
    <w:rsid w:val="00292811"/>
    <w:rsid w:val="00295A22"/>
    <w:rsid w:val="002A1882"/>
    <w:rsid w:val="002A6B17"/>
    <w:rsid w:val="002B6924"/>
    <w:rsid w:val="002C56E3"/>
    <w:rsid w:val="002E59C1"/>
    <w:rsid w:val="002F6034"/>
    <w:rsid w:val="002F7D2B"/>
    <w:rsid w:val="00300D33"/>
    <w:rsid w:val="00341D78"/>
    <w:rsid w:val="003541E6"/>
    <w:rsid w:val="00355CE1"/>
    <w:rsid w:val="00355F8D"/>
    <w:rsid w:val="003572A3"/>
    <w:rsid w:val="00363A32"/>
    <w:rsid w:val="00377A42"/>
    <w:rsid w:val="00381B09"/>
    <w:rsid w:val="00385FF8"/>
    <w:rsid w:val="00387296"/>
    <w:rsid w:val="00394013"/>
    <w:rsid w:val="003B1BA0"/>
    <w:rsid w:val="003E2233"/>
    <w:rsid w:val="0040105F"/>
    <w:rsid w:val="004019E1"/>
    <w:rsid w:val="0040354D"/>
    <w:rsid w:val="00404513"/>
    <w:rsid w:val="004141EA"/>
    <w:rsid w:val="00415608"/>
    <w:rsid w:val="00461C3E"/>
    <w:rsid w:val="004640F4"/>
    <w:rsid w:val="00467D27"/>
    <w:rsid w:val="00472AE8"/>
    <w:rsid w:val="00474B25"/>
    <w:rsid w:val="00474EDA"/>
    <w:rsid w:val="00475447"/>
    <w:rsid w:val="004A7767"/>
    <w:rsid w:val="004B3011"/>
    <w:rsid w:val="004B37CF"/>
    <w:rsid w:val="004B67B9"/>
    <w:rsid w:val="004C0AAC"/>
    <w:rsid w:val="004C685A"/>
    <w:rsid w:val="004E3A47"/>
    <w:rsid w:val="004E4642"/>
    <w:rsid w:val="004E57F5"/>
    <w:rsid w:val="004F425F"/>
    <w:rsid w:val="004F67F5"/>
    <w:rsid w:val="00510A26"/>
    <w:rsid w:val="00515BFB"/>
    <w:rsid w:val="00541C5B"/>
    <w:rsid w:val="00546A8E"/>
    <w:rsid w:val="00556F25"/>
    <w:rsid w:val="0056092E"/>
    <w:rsid w:val="00575C8D"/>
    <w:rsid w:val="005809D9"/>
    <w:rsid w:val="00583272"/>
    <w:rsid w:val="0058452B"/>
    <w:rsid w:val="00586267"/>
    <w:rsid w:val="00587824"/>
    <w:rsid w:val="00590BE6"/>
    <w:rsid w:val="005A2A50"/>
    <w:rsid w:val="005D7D66"/>
    <w:rsid w:val="005F1949"/>
    <w:rsid w:val="00610135"/>
    <w:rsid w:val="00610C17"/>
    <w:rsid w:val="00612DA1"/>
    <w:rsid w:val="006147CB"/>
    <w:rsid w:val="00617E90"/>
    <w:rsid w:val="00626171"/>
    <w:rsid w:val="006261BF"/>
    <w:rsid w:val="00635D54"/>
    <w:rsid w:val="00637C94"/>
    <w:rsid w:val="0064631E"/>
    <w:rsid w:val="0065795C"/>
    <w:rsid w:val="00672767"/>
    <w:rsid w:val="0067298D"/>
    <w:rsid w:val="00675119"/>
    <w:rsid w:val="00675E88"/>
    <w:rsid w:val="0068055F"/>
    <w:rsid w:val="006966E3"/>
    <w:rsid w:val="006A4332"/>
    <w:rsid w:val="006B1334"/>
    <w:rsid w:val="006B4F72"/>
    <w:rsid w:val="006B5CB1"/>
    <w:rsid w:val="006D6806"/>
    <w:rsid w:val="006D73EC"/>
    <w:rsid w:val="006D7B6E"/>
    <w:rsid w:val="006E4F21"/>
    <w:rsid w:val="006F0E10"/>
    <w:rsid w:val="006F343C"/>
    <w:rsid w:val="006F34CB"/>
    <w:rsid w:val="007118C7"/>
    <w:rsid w:val="0071456E"/>
    <w:rsid w:val="00731FAC"/>
    <w:rsid w:val="00735534"/>
    <w:rsid w:val="0074596F"/>
    <w:rsid w:val="0076237E"/>
    <w:rsid w:val="00767AB5"/>
    <w:rsid w:val="0078583C"/>
    <w:rsid w:val="00795E6B"/>
    <w:rsid w:val="007A3D91"/>
    <w:rsid w:val="007A7BE6"/>
    <w:rsid w:val="007B6C7E"/>
    <w:rsid w:val="007C374C"/>
    <w:rsid w:val="007C6F2B"/>
    <w:rsid w:val="007C7266"/>
    <w:rsid w:val="007D0FAB"/>
    <w:rsid w:val="007E077E"/>
    <w:rsid w:val="007E2987"/>
    <w:rsid w:val="007E45DE"/>
    <w:rsid w:val="007F6DA5"/>
    <w:rsid w:val="00800894"/>
    <w:rsid w:val="00806F4C"/>
    <w:rsid w:val="00814846"/>
    <w:rsid w:val="008202B3"/>
    <w:rsid w:val="008220CD"/>
    <w:rsid w:val="008265E6"/>
    <w:rsid w:val="00831C73"/>
    <w:rsid w:val="00840EF5"/>
    <w:rsid w:val="00861920"/>
    <w:rsid w:val="00863DB5"/>
    <w:rsid w:val="008671C4"/>
    <w:rsid w:val="008750EB"/>
    <w:rsid w:val="008757DF"/>
    <w:rsid w:val="0087599A"/>
    <w:rsid w:val="008828AB"/>
    <w:rsid w:val="008B1627"/>
    <w:rsid w:val="008B40E3"/>
    <w:rsid w:val="008C18B4"/>
    <w:rsid w:val="008C3325"/>
    <w:rsid w:val="008D1894"/>
    <w:rsid w:val="008F4947"/>
    <w:rsid w:val="0090000C"/>
    <w:rsid w:val="009071D2"/>
    <w:rsid w:val="009147EC"/>
    <w:rsid w:val="009178D8"/>
    <w:rsid w:val="00917A3C"/>
    <w:rsid w:val="009474C0"/>
    <w:rsid w:val="00952A8E"/>
    <w:rsid w:val="00962249"/>
    <w:rsid w:val="0097226F"/>
    <w:rsid w:val="00985067"/>
    <w:rsid w:val="00985F42"/>
    <w:rsid w:val="009A2539"/>
    <w:rsid w:val="009A6154"/>
    <w:rsid w:val="009D33C9"/>
    <w:rsid w:val="009E5526"/>
    <w:rsid w:val="009F30C1"/>
    <w:rsid w:val="009F760F"/>
    <w:rsid w:val="00A14DEB"/>
    <w:rsid w:val="00A15518"/>
    <w:rsid w:val="00A1649B"/>
    <w:rsid w:val="00A20790"/>
    <w:rsid w:val="00A32FD3"/>
    <w:rsid w:val="00A41666"/>
    <w:rsid w:val="00A56FD9"/>
    <w:rsid w:val="00A57BF2"/>
    <w:rsid w:val="00A63803"/>
    <w:rsid w:val="00A6533C"/>
    <w:rsid w:val="00A76CC7"/>
    <w:rsid w:val="00A92D9B"/>
    <w:rsid w:val="00A93B65"/>
    <w:rsid w:val="00AA2091"/>
    <w:rsid w:val="00AA265B"/>
    <w:rsid w:val="00AD14AE"/>
    <w:rsid w:val="00AE1441"/>
    <w:rsid w:val="00AE471B"/>
    <w:rsid w:val="00AF1B7D"/>
    <w:rsid w:val="00B025F7"/>
    <w:rsid w:val="00B12500"/>
    <w:rsid w:val="00B205EF"/>
    <w:rsid w:val="00B21E8E"/>
    <w:rsid w:val="00B3034D"/>
    <w:rsid w:val="00B31F79"/>
    <w:rsid w:val="00B34E3F"/>
    <w:rsid w:val="00B41C8A"/>
    <w:rsid w:val="00B60F84"/>
    <w:rsid w:val="00B74A06"/>
    <w:rsid w:val="00B75B54"/>
    <w:rsid w:val="00B85D97"/>
    <w:rsid w:val="00BA468C"/>
    <w:rsid w:val="00BB2DA3"/>
    <w:rsid w:val="00BE02B4"/>
    <w:rsid w:val="00BE6618"/>
    <w:rsid w:val="00BE7F6D"/>
    <w:rsid w:val="00BF70A6"/>
    <w:rsid w:val="00C00AE7"/>
    <w:rsid w:val="00C05D4A"/>
    <w:rsid w:val="00C07619"/>
    <w:rsid w:val="00C13FA2"/>
    <w:rsid w:val="00C21B07"/>
    <w:rsid w:val="00C26154"/>
    <w:rsid w:val="00C26776"/>
    <w:rsid w:val="00C27CB6"/>
    <w:rsid w:val="00C36F02"/>
    <w:rsid w:val="00C37A1A"/>
    <w:rsid w:val="00C41F01"/>
    <w:rsid w:val="00C705C5"/>
    <w:rsid w:val="00C97938"/>
    <w:rsid w:val="00CA2ADF"/>
    <w:rsid w:val="00CD4B07"/>
    <w:rsid w:val="00CE31D3"/>
    <w:rsid w:val="00D00A37"/>
    <w:rsid w:val="00D0381F"/>
    <w:rsid w:val="00D06326"/>
    <w:rsid w:val="00D10CA2"/>
    <w:rsid w:val="00D200C2"/>
    <w:rsid w:val="00D22864"/>
    <w:rsid w:val="00D32545"/>
    <w:rsid w:val="00D4042E"/>
    <w:rsid w:val="00D417F0"/>
    <w:rsid w:val="00D47EB1"/>
    <w:rsid w:val="00D534ED"/>
    <w:rsid w:val="00D7717A"/>
    <w:rsid w:val="00D77F3D"/>
    <w:rsid w:val="00DA030C"/>
    <w:rsid w:val="00DC4D1B"/>
    <w:rsid w:val="00DC59CA"/>
    <w:rsid w:val="00DC5F5A"/>
    <w:rsid w:val="00DC64F1"/>
    <w:rsid w:val="00DC7FC5"/>
    <w:rsid w:val="00DD09BC"/>
    <w:rsid w:val="00DF0054"/>
    <w:rsid w:val="00DF604B"/>
    <w:rsid w:val="00E06952"/>
    <w:rsid w:val="00E123CD"/>
    <w:rsid w:val="00E23D41"/>
    <w:rsid w:val="00E241CC"/>
    <w:rsid w:val="00E25B45"/>
    <w:rsid w:val="00E3795A"/>
    <w:rsid w:val="00E53DC1"/>
    <w:rsid w:val="00E565E1"/>
    <w:rsid w:val="00E644E5"/>
    <w:rsid w:val="00E67A3D"/>
    <w:rsid w:val="00E70B99"/>
    <w:rsid w:val="00E7144E"/>
    <w:rsid w:val="00E71705"/>
    <w:rsid w:val="00E74408"/>
    <w:rsid w:val="00E85C72"/>
    <w:rsid w:val="00EC0B05"/>
    <w:rsid w:val="00EC3709"/>
    <w:rsid w:val="00EF24C8"/>
    <w:rsid w:val="00EF4BC0"/>
    <w:rsid w:val="00EF726E"/>
    <w:rsid w:val="00F10647"/>
    <w:rsid w:val="00F261A2"/>
    <w:rsid w:val="00F42186"/>
    <w:rsid w:val="00F433FA"/>
    <w:rsid w:val="00F505B2"/>
    <w:rsid w:val="00F756F7"/>
    <w:rsid w:val="00F85A52"/>
    <w:rsid w:val="00FA0290"/>
    <w:rsid w:val="00FC5870"/>
    <w:rsid w:val="00FD0E25"/>
    <w:rsid w:val="00FD54E8"/>
    <w:rsid w:val="00FD5B24"/>
    <w:rsid w:val="00FD65AD"/>
    <w:rsid w:val="00FE29FA"/>
    <w:rsid w:val="00FE4827"/>
    <w:rsid w:val="00FF0B5C"/>
    <w:rsid w:val="00FF312D"/>
    <w:rsid w:val="00FF42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56D822"/>
  <w15:chartTrackingRefBased/>
  <w15:docId w15:val="{07BA086B-5C46-4331-89A4-4EEBFFA40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26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26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26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26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26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26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26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26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26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26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26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26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26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26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26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26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26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265B"/>
    <w:rPr>
      <w:rFonts w:eastAsiaTheme="majorEastAsia" w:cstheme="majorBidi"/>
      <w:color w:val="272727" w:themeColor="text1" w:themeTint="D8"/>
    </w:rPr>
  </w:style>
  <w:style w:type="paragraph" w:styleId="Title">
    <w:name w:val="Title"/>
    <w:basedOn w:val="Normal"/>
    <w:next w:val="Normal"/>
    <w:link w:val="TitleChar"/>
    <w:uiPriority w:val="10"/>
    <w:qFormat/>
    <w:rsid w:val="00AA26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26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26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26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265B"/>
    <w:pPr>
      <w:spacing w:before="160"/>
      <w:jc w:val="center"/>
    </w:pPr>
    <w:rPr>
      <w:i/>
      <w:iCs/>
      <w:color w:val="404040" w:themeColor="text1" w:themeTint="BF"/>
    </w:rPr>
  </w:style>
  <w:style w:type="character" w:customStyle="1" w:styleId="QuoteChar">
    <w:name w:val="Quote Char"/>
    <w:basedOn w:val="DefaultParagraphFont"/>
    <w:link w:val="Quote"/>
    <w:uiPriority w:val="29"/>
    <w:rsid w:val="00AA265B"/>
    <w:rPr>
      <w:i/>
      <w:iCs/>
      <w:color w:val="404040" w:themeColor="text1" w:themeTint="BF"/>
    </w:rPr>
  </w:style>
  <w:style w:type="paragraph" w:styleId="ListParagraph">
    <w:name w:val="List Paragraph"/>
    <w:basedOn w:val="Normal"/>
    <w:uiPriority w:val="34"/>
    <w:qFormat/>
    <w:rsid w:val="00AA265B"/>
    <w:pPr>
      <w:ind w:left="720"/>
      <w:contextualSpacing/>
    </w:pPr>
  </w:style>
  <w:style w:type="character" w:styleId="IntenseEmphasis">
    <w:name w:val="Intense Emphasis"/>
    <w:basedOn w:val="DefaultParagraphFont"/>
    <w:uiPriority w:val="21"/>
    <w:qFormat/>
    <w:rsid w:val="00AA265B"/>
    <w:rPr>
      <w:i/>
      <w:iCs/>
      <w:color w:val="0F4761" w:themeColor="accent1" w:themeShade="BF"/>
    </w:rPr>
  </w:style>
  <w:style w:type="paragraph" w:styleId="IntenseQuote">
    <w:name w:val="Intense Quote"/>
    <w:basedOn w:val="Normal"/>
    <w:next w:val="Normal"/>
    <w:link w:val="IntenseQuoteChar"/>
    <w:uiPriority w:val="30"/>
    <w:qFormat/>
    <w:rsid w:val="00AA26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265B"/>
    <w:rPr>
      <w:i/>
      <w:iCs/>
      <w:color w:val="0F4761" w:themeColor="accent1" w:themeShade="BF"/>
    </w:rPr>
  </w:style>
  <w:style w:type="character" w:styleId="IntenseReference">
    <w:name w:val="Intense Reference"/>
    <w:basedOn w:val="DefaultParagraphFont"/>
    <w:uiPriority w:val="32"/>
    <w:qFormat/>
    <w:rsid w:val="00AA265B"/>
    <w:rPr>
      <w:b/>
      <w:bCs/>
      <w:smallCaps/>
      <w:color w:val="0F4761" w:themeColor="accent1" w:themeShade="BF"/>
      <w:spacing w:val="5"/>
    </w:rPr>
  </w:style>
  <w:style w:type="character" w:styleId="CommentReference">
    <w:name w:val="annotation reference"/>
    <w:basedOn w:val="DefaultParagraphFont"/>
    <w:uiPriority w:val="99"/>
    <w:semiHidden/>
    <w:unhideWhenUsed/>
    <w:rsid w:val="00E71705"/>
    <w:rPr>
      <w:sz w:val="16"/>
      <w:szCs w:val="16"/>
    </w:rPr>
  </w:style>
  <w:style w:type="paragraph" w:styleId="CommentText">
    <w:name w:val="annotation text"/>
    <w:basedOn w:val="Normal"/>
    <w:link w:val="CommentTextChar"/>
    <w:uiPriority w:val="99"/>
    <w:unhideWhenUsed/>
    <w:rsid w:val="00E71705"/>
    <w:pPr>
      <w:spacing w:line="240" w:lineRule="auto"/>
    </w:pPr>
    <w:rPr>
      <w:sz w:val="20"/>
      <w:szCs w:val="20"/>
    </w:rPr>
  </w:style>
  <w:style w:type="character" w:customStyle="1" w:styleId="CommentTextChar">
    <w:name w:val="Comment Text Char"/>
    <w:basedOn w:val="DefaultParagraphFont"/>
    <w:link w:val="CommentText"/>
    <w:uiPriority w:val="99"/>
    <w:rsid w:val="00E71705"/>
    <w:rPr>
      <w:sz w:val="20"/>
      <w:szCs w:val="20"/>
    </w:rPr>
  </w:style>
  <w:style w:type="paragraph" w:styleId="CommentSubject">
    <w:name w:val="annotation subject"/>
    <w:basedOn w:val="CommentText"/>
    <w:next w:val="CommentText"/>
    <w:link w:val="CommentSubjectChar"/>
    <w:uiPriority w:val="99"/>
    <w:semiHidden/>
    <w:unhideWhenUsed/>
    <w:rsid w:val="00E71705"/>
    <w:rPr>
      <w:b/>
      <w:bCs/>
    </w:rPr>
  </w:style>
  <w:style w:type="character" w:customStyle="1" w:styleId="CommentSubjectChar">
    <w:name w:val="Comment Subject Char"/>
    <w:basedOn w:val="CommentTextChar"/>
    <w:link w:val="CommentSubject"/>
    <w:uiPriority w:val="99"/>
    <w:semiHidden/>
    <w:rsid w:val="00E71705"/>
    <w:rPr>
      <w:b/>
      <w:bCs/>
      <w:sz w:val="20"/>
      <w:szCs w:val="20"/>
    </w:rPr>
  </w:style>
  <w:style w:type="character" w:styleId="Hyperlink">
    <w:name w:val="Hyperlink"/>
    <w:basedOn w:val="DefaultParagraphFont"/>
    <w:uiPriority w:val="99"/>
    <w:unhideWhenUsed/>
    <w:rsid w:val="00E71705"/>
    <w:rPr>
      <w:color w:val="467886" w:themeColor="hyperlink"/>
      <w:u w:val="single"/>
    </w:rPr>
  </w:style>
  <w:style w:type="character" w:styleId="UnresolvedMention">
    <w:name w:val="Unresolved Mention"/>
    <w:basedOn w:val="DefaultParagraphFont"/>
    <w:uiPriority w:val="99"/>
    <w:semiHidden/>
    <w:unhideWhenUsed/>
    <w:rsid w:val="00E71705"/>
    <w:rPr>
      <w:color w:val="605E5C"/>
      <w:shd w:val="clear" w:color="auto" w:fill="E1DFDD"/>
    </w:rPr>
  </w:style>
  <w:style w:type="table" w:styleId="TableGrid">
    <w:name w:val="Table Grid"/>
    <w:basedOn w:val="TableNormal"/>
    <w:uiPriority w:val="39"/>
    <w:rsid w:val="00CE31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E06952"/>
    <w:pPr>
      <w:spacing w:after="0" w:line="240" w:lineRule="auto"/>
    </w:pPr>
    <w:rPr>
      <w:sz w:val="20"/>
      <w:szCs w:val="20"/>
    </w:rPr>
  </w:style>
  <w:style w:type="character" w:customStyle="1" w:styleId="FootnoteTextChar">
    <w:name w:val="Footnote Text Char"/>
    <w:basedOn w:val="DefaultParagraphFont"/>
    <w:link w:val="FootnoteText"/>
    <w:uiPriority w:val="99"/>
    <w:rsid w:val="00E06952"/>
    <w:rPr>
      <w:sz w:val="20"/>
      <w:szCs w:val="20"/>
    </w:rPr>
  </w:style>
  <w:style w:type="character" w:styleId="FootnoteReference">
    <w:name w:val="footnote reference"/>
    <w:basedOn w:val="DefaultParagraphFont"/>
    <w:uiPriority w:val="99"/>
    <w:semiHidden/>
    <w:unhideWhenUsed/>
    <w:rsid w:val="00E06952"/>
    <w:rPr>
      <w:vertAlign w:val="superscript"/>
    </w:rPr>
  </w:style>
  <w:style w:type="paragraph" w:styleId="Revision">
    <w:name w:val="Revision"/>
    <w:hidden/>
    <w:uiPriority w:val="99"/>
    <w:semiHidden/>
    <w:rsid w:val="002F7D2B"/>
    <w:pPr>
      <w:spacing w:after="0" w:line="240" w:lineRule="auto"/>
    </w:pPr>
  </w:style>
  <w:style w:type="paragraph" w:styleId="NormalWeb">
    <w:name w:val="Normal (Web)"/>
    <w:basedOn w:val="Normal"/>
    <w:uiPriority w:val="99"/>
    <w:semiHidden/>
    <w:unhideWhenUsed/>
    <w:rsid w:val="002F7D2B"/>
    <w:rPr>
      <w:rFonts w:ascii="Times New Roman" w:hAnsi="Times New Roman" w:cs="Times New Roman"/>
    </w:rPr>
  </w:style>
  <w:style w:type="paragraph" w:styleId="Header">
    <w:name w:val="header"/>
    <w:basedOn w:val="Normal"/>
    <w:link w:val="HeaderChar"/>
    <w:uiPriority w:val="99"/>
    <w:unhideWhenUsed/>
    <w:rsid w:val="005A2A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2A50"/>
  </w:style>
  <w:style w:type="paragraph" w:styleId="Footer">
    <w:name w:val="footer"/>
    <w:basedOn w:val="Normal"/>
    <w:link w:val="FooterChar"/>
    <w:uiPriority w:val="99"/>
    <w:unhideWhenUsed/>
    <w:rsid w:val="005A2A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2A50"/>
  </w:style>
  <w:style w:type="character" w:styleId="FollowedHyperlink">
    <w:name w:val="FollowedHyperlink"/>
    <w:basedOn w:val="DefaultParagraphFont"/>
    <w:uiPriority w:val="99"/>
    <w:semiHidden/>
    <w:unhideWhenUsed/>
    <w:rsid w:val="00D2286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223409">
      <w:bodyDiv w:val="1"/>
      <w:marLeft w:val="0"/>
      <w:marRight w:val="0"/>
      <w:marTop w:val="0"/>
      <w:marBottom w:val="0"/>
      <w:divBdr>
        <w:top w:val="none" w:sz="0" w:space="0" w:color="auto"/>
        <w:left w:val="none" w:sz="0" w:space="0" w:color="auto"/>
        <w:bottom w:val="none" w:sz="0" w:space="0" w:color="auto"/>
        <w:right w:val="none" w:sz="0" w:space="0" w:color="auto"/>
      </w:divBdr>
    </w:div>
    <w:div w:id="559898439">
      <w:bodyDiv w:val="1"/>
      <w:marLeft w:val="0"/>
      <w:marRight w:val="0"/>
      <w:marTop w:val="0"/>
      <w:marBottom w:val="0"/>
      <w:divBdr>
        <w:top w:val="none" w:sz="0" w:space="0" w:color="auto"/>
        <w:left w:val="none" w:sz="0" w:space="0" w:color="auto"/>
        <w:bottom w:val="none" w:sz="0" w:space="0" w:color="auto"/>
        <w:right w:val="none" w:sz="0" w:space="0" w:color="auto"/>
      </w:divBdr>
    </w:div>
    <w:div w:id="666128051">
      <w:bodyDiv w:val="1"/>
      <w:marLeft w:val="0"/>
      <w:marRight w:val="0"/>
      <w:marTop w:val="0"/>
      <w:marBottom w:val="0"/>
      <w:divBdr>
        <w:top w:val="none" w:sz="0" w:space="0" w:color="auto"/>
        <w:left w:val="none" w:sz="0" w:space="0" w:color="auto"/>
        <w:bottom w:val="none" w:sz="0" w:space="0" w:color="auto"/>
        <w:right w:val="none" w:sz="0" w:space="0" w:color="auto"/>
      </w:divBdr>
    </w:div>
    <w:div w:id="1120688516">
      <w:bodyDiv w:val="1"/>
      <w:marLeft w:val="0"/>
      <w:marRight w:val="0"/>
      <w:marTop w:val="0"/>
      <w:marBottom w:val="0"/>
      <w:divBdr>
        <w:top w:val="none" w:sz="0" w:space="0" w:color="auto"/>
        <w:left w:val="none" w:sz="0" w:space="0" w:color="auto"/>
        <w:bottom w:val="none" w:sz="0" w:space="0" w:color="auto"/>
        <w:right w:val="none" w:sz="0" w:space="0" w:color="auto"/>
      </w:divBdr>
    </w:div>
    <w:div w:id="1325284681">
      <w:bodyDiv w:val="1"/>
      <w:marLeft w:val="0"/>
      <w:marRight w:val="0"/>
      <w:marTop w:val="0"/>
      <w:marBottom w:val="0"/>
      <w:divBdr>
        <w:top w:val="none" w:sz="0" w:space="0" w:color="auto"/>
        <w:left w:val="none" w:sz="0" w:space="0" w:color="auto"/>
        <w:bottom w:val="none" w:sz="0" w:space="0" w:color="auto"/>
        <w:right w:val="none" w:sz="0" w:space="0" w:color="auto"/>
      </w:divBdr>
    </w:div>
    <w:div w:id="1394743365">
      <w:bodyDiv w:val="1"/>
      <w:marLeft w:val="0"/>
      <w:marRight w:val="0"/>
      <w:marTop w:val="0"/>
      <w:marBottom w:val="0"/>
      <w:divBdr>
        <w:top w:val="none" w:sz="0" w:space="0" w:color="auto"/>
        <w:left w:val="none" w:sz="0" w:space="0" w:color="auto"/>
        <w:bottom w:val="none" w:sz="0" w:space="0" w:color="auto"/>
        <w:right w:val="none" w:sz="0" w:space="0" w:color="auto"/>
      </w:divBdr>
    </w:div>
    <w:div w:id="1592352500">
      <w:bodyDiv w:val="1"/>
      <w:marLeft w:val="0"/>
      <w:marRight w:val="0"/>
      <w:marTop w:val="0"/>
      <w:marBottom w:val="0"/>
      <w:divBdr>
        <w:top w:val="none" w:sz="0" w:space="0" w:color="auto"/>
        <w:left w:val="none" w:sz="0" w:space="0" w:color="auto"/>
        <w:bottom w:val="none" w:sz="0" w:space="0" w:color="auto"/>
        <w:right w:val="none" w:sz="0" w:space="0" w:color="auto"/>
      </w:divBdr>
    </w:div>
    <w:div w:id="1788624623">
      <w:bodyDiv w:val="1"/>
      <w:marLeft w:val="0"/>
      <w:marRight w:val="0"/>
      <w:marTop w:val="0"/>
      <w:marBottom w:val="0"/>
      <w:divBdr>
        <w:top w:val="none" w:sz="0" w:space="0" w:color="auto"/>
        <w:left w:val="none" w:sz="0" w:space="0" w:color="auto"/>
        <w:bottom w:val="none" w:sz="0" w:space="0" w:color="auto"/>
        <w:right w:val="none" w:sz="0" w:space="0" w:color="auto"/>
      </w:divBdr>
    </w:div>
    <w:div w:id="1904246682">
      <w:bodyDiv w:val="1"/>
      <w:marLeft w:val="0"/>
      <w:marRight w:val="0"/>
      <w:marTop w:val="0"/>
      <w:marBottom w:val="0"/>
      <w:divBdr>
        <w:top w:val="none" w:sz="0" w:space="0" w:color="auto"/>
        <w:left w:val="none" w:sz="0" w:space="0" w:color="auto"/>
        <w:bottom w:val="none" w:sz="0" w:space="0" w:color="auto"/>
        <w:right w:val="none" w:sz="0" w:space="0" w:color="auto"/>
      </w:divBdr>
    </w:div>
    <w:div w:id="192460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dominicanrepublic.unfpa.org/es/publications/programa-de-pa%C3%ADs-7-2023-2027-unfpa-rep%C3%BAblica-dominicana" TargetMode="External"/><Relationship Id="rId13" Type="http://schemas.openxmlformats.org/officeDocument/2006/relationships/hyperlink" Target="https://www.who.int/es/publications/i/item/9789240039483" TargetMode="External"/><Relationship Id="rId3" Type="http://schemas.openxmlformats.org/officeDocument/2006/relationships/hyperlink" Target="https://doi.org/10.1787/532b0e2d-en" TargetMode="External"/><Relationship Id="rId7" Type="http://schemas.openxmlformats.org/officeDocument/2006/relationships/hyperlink" Target="https://www.gatesfoundation.org/goalkeepers/report/2021-report/progress-indicators/maternal-mortality/" TargetMode="External"/><Relationship Id="rId12" Type="http://schemas.openxmlformats.org/officeDocument/2006/relationships/hyperlink" Target="https://www.unicef.org/dominicanrepublic/protecci%C3%B3n" TargetMode="External"/><Relationship Id="rId2" Type="http://schemas.openxmlformats.org/officeDocument/2006/relationships/hyperlink" Target="https://dominicanrepublic.unfpa.org/es/news/46-mujeres-dominicanas-no-accede-anticonceptivos-y-23-no-puede-tomar-decisiones-sobre-su-salud" TargetMode="External"/><Relationship Id="rId1" Type="http://schemas.openxmlformats.org/officeDocument/2006/relationships/hyperlink" Target="https://dominicanrepublic.unfpa.org/sites/default/files/pub-pdf/es_dp.fpa_.cpd_.dom_.7_-_dominican_republic_cpd_-_final_-_1dec22.pdf" TargetMode="External"/><Relationship Id="rId6" Type="http://schemas.openxmlformats.org/officeDocument/2006/relationships/hyperlink" Target="https://mepyd.gob.do/publicaciones/informe-nacional-voluntario-2021-crecimiento-con-equidad-y-respeto-al-medioambiente" TargetMode="External"/><Relationship Id="rId11" Type="http://schemas.openxmlformats.org/officeDocument/2006/relationships/hyperlink" Target="https://www.one.gob.do/media/d4gdbqvc/infograf%C3%ADa-embarazo-en-adolescentes-primer-simestre-2024.pdf" TargetMode="External"/><Relationship Id="rId5" Type="http://schemas.openxmlformats.org/officeDocument/2006/relationships/hyperlink" Target="https://lac.unfpa.org/sites/default/files/pub-pdf/2024-12/LAC.pdf" TargetMode="External"/><Relationship Id="rId15" Type="http://schemas.openxmlformats.org/officeDocument/2006/relationships/hyperlink" Target="https://repositorio.sns.gob.do/wpfd_file/protocolo-de-atencion-manejo-integral-del-embarazo-el-parto-y-el-puerperio-en-adolescentes-menores-de-15-anos-2/" TargetMode="External"/><Relationship Id="rId10" Type="http://schemas.openxmlformats.org/officeDocument/2006/relationships/hyperlink" Target="https://dominicanrepublic.unfpa.org/sites/default/files/pub-pdf/es_dp.fpa_.cpd_.dom_.7_-_dominican_republic_cpd_-_final_-_1dec22.pdf" TargetMode="External"/><Relationship Id="rId4" Type="http://schemas.openxmlformats.org/officeDocument/2006/relationships/hyperlink" Target="https://mepyd.gob.do/publicaciones/informe-nacional-voluntario-2021-crecimiento-con-equidad-y-respeto-al-medioambiente" TargetMode="External"/><Relationship Id="rId9" Type="http://schemas.openxmlformats.org/officeDocument/2006/relationships/hyperlink" Target="https://revistas.intec.edu.do/index.php/cisa/article/view/2656" TargetMode="External"/><Relationship Id="rId14" Type="http://schemas.openxmlformats.org/officeDocument/2006/relationships/hyperlink" Target="https://cladem.org/archivos/investigacion/criminalizacion-y-persecucion-de-eventos-obstetricos-rd.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2025-01-08T07:55:28+00:00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3A759AC-690A-4C39-B99F-353E09357D36}">
  <ds:schemaRefs>
    <ds:schemaRef ds:uri="http://schemas.openxmlformats.org/officeDocument/2006/bibliography"/>
  </ds:schemaRefs>
</ds:datastoreItem>
</file>

<file path=customXml/itemProps2.xml><?xml version="1.0" encoding="utf-8"?>
<ds:datastoreItem xmlns:ds="http://schemas.openxmlformats.org/officeDocument/2006/customXml" ds:itemID="{D345E4FA-7C37-47E6-820F-D0C2B75B2B8D}"/>
</file>

<file path=customXml/itemProps3.xml><?xml version="1.0" encoding="utf-8"?>
<ds:datastoreItem xmlns:ds="http://schemas.openxmlformats.org/officeDocument/2006/customXml" ds:itemID="{FF78262E-FBE7-4BC8-A1B0-F0577D3EE2B1}"/>
</file>

<file path=customXml/itemProps4.xml><?xml version="1.0" encoding="utf-8"?>
<ds:datastoreItem xmlns:ds="http://schemas.openxmlformats.org/officeDocument/2006/customXml" ds:itemID="{5BC90CDA-D8B5-4CF8-AC79-0E62590896F3}"/>
</file>

<file path=docProps/app.xml><?xml version="1.0" encoding="utf-8"?>
<Properties xmlns="http://schemas.openxmlformats.org/officeDocument/2006/extended-properties" xmlns:vt="http://schemas.openxmlformats.org/officeDocument/2006/docPropsVTypes">
  <Template>Normal</Template>
  <TotalTime>175</TotalTime>
  <Pages>7</Pages>
  <Words>2584</Words>
  <Characters>14733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Selene Soto</dc:creator>
  <cp:keywords/>
  <dc:description/>
  <cp:lastModifiedBy>Selene Soto</cp:lastModifiedBy>
  <cp:revision>125</cp:revision>
  <dcterms:created xsi:type="dcterms:W3CDTF">2024-12-06T20:53:00Z</dcterms:created>
  <dcterms:modified xsi:type="dcterms:W3CDTF">2025-01-06T20:18:00Z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