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F2DD9" w14:textId="2EB380A6" w:rsidR="006A3AD9" w:rsidRPr="00594400" w:rsidRDefault="006A3AD9" w:rsidP="006A3AD9">
      <w:pPr>
        <w:pBdr>
          <w:bottom w:val="single" w:sz="18" w:space="1" w:color="auto"/>
        </w:pBdr>
        <w:jc w:val="center"/>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4400">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Maat for Peace</w:t>
      </w:r>
      <w:r w:rsidRPr="00594400">
        <w:rPr>
          <w:rFonts w:asciiTheme="majorBidi" w:hAnsiTheme="majorBidi" w:cstheme="majorBidi"/>
          <w:b/>
          <w:color w:val="1F3864" w:themeColor="accent5" w:themeShade="8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Report submitted to </w:t>
      </w:r>
      <w:r w:rsidRPr="00594400">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6A3AD9">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Human Rights Committee </w:t>
      </w:r>
      <w:r w:rsidRPr="00594400">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regarding</w:t>
      </w:r>
      <w:r>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Iraq</w:t>
      </w:r>
    </w:p>
    <w:p w14:paraId="6B424CE7" w14:textId="6038FE53" w:rsidR="006A3AD9" w:rsidRPr="00594400" w:rsidRDefault="006A3AD9" w:rsidP="006A3AD9">
      <w:pPr>
        <w:pBdr>
          <w:bottom w:val="single" w:sz="18" w:space="1" w:color="auto"/>
        </w:pBdr>
        <w:jc w:val="center"/>
        <w:rPr>
          <w:rFonts w:asciiTheme="majorBidi" w:hAnsiTheme="majorBidi" w:cstheme="majorBidi"/>
          <w:b/>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3AD9">
        <w:rPr>
          <w:rFonts w:asciiTheme="majorBidi" w:hAnsiTheme="majorBidi" w:cstheme="majorBidi"/>
          <w:b/>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Follow-up to the Concluding Observations</w:t>
      </w:r>
    </w:p>
    <w:p w14:paraId="344C80EA" w14:textId="77777777" w:rsidR="006A3AD9" w:rsidRPr="004E2543" w:rsidRDefault="006A3AD9" w:rsidP="006A3AD9">
      <w:pPr>
        <w:jc w:val="both"/>
        <w:rPr>
          <w:rFonts w:asciiTheme="majorBidi" w:hAnsiTheme="majorBidi" w:cstheme="majorBidi"/>
        </w:rPr>
      </w:pPr>
      <w:r w:rsidRPr="003656D7">
        <w:rPr>
          <w:rFonts w:asciiTheme="majorBidi" w:hAnsiTheme="majorBidi" w:cstheme="majorBidi"/>
        </w:rPr>
        <w:t>Maat for Peace</w:t>
      </w:r>
      <w:r w:rsidRPr="004E2543">
        <w:rPr>
          <w:rFonts w:asciiTheme="majorBidi" w:hAnsiTheme="majorBidi" w:cstheme="majorBidi"/>
        </w:rPr>
        <w:t xml:space="preserve">, Development and Human Rights submits this report to the Human Rights Committee to provide additional information regarding the follow-up to the concluding observations on Iraq, particularly the recommendations contained in paragraphs 9 (Transitional Justice), 17 (Counter-Terrorism Measures), and 21 (Prohibition of Torture and Other Cruel, Inhuman or Degrading Treatment or Punishment). This report follows </w:t>
      </w:r>
      <w:r w:rsidRPr="003656D7">
        <w:rPr>
          <w:rFonts w:asciiTheme="majorBidi" w:hAnsiTheme="majorBidi" w:cstheme="majorBidi"/>
        </w:rPr>
        <w:t>Maat’s</w:t>
      </w:r>
      <w:r w:rsidRPr="004E2543">
        <w:rPr>
          <w:rFonts w:asciiTheme="majorBidi" w:hAnsiTheme="majorBidi" w:cstheme="majorBidi"/>
        </w:rPr>
        <w:t xml:space="preserve"> review of the information submitted by Iraq concerning the measures taken to implement the above-mentioned recommendations.</w:t>
      </w:r>
    </w:p>
    <w:p w14:paraId="75FA6A2B" w14:textId="77777777" w:rsidR="006A3AD9" w:rsidRPr="006A3AD9" w:rsidRDefault="006A3AD9" w:rsidP="006A3AD9">
      <w:pPr>
        <w:pStyle w:val="ListParagraph"/>
        <w:numPr>
          <w:ilvl w:val="0"/>
          <w:numId w:val="64"/>
        </w:numPr>
        <w:jc w:val="both"/>
        <w:rPr>
          <w:rFonts w:asciiTheme="majorBidi" w:hAnsiTheme="majorBidi" w:cstheme="majorBidi"/>
          <w:b/>
          <w:bCs/>
          <w:color w:val="C45911" w:themeColor="accent2" w:themeShade="BF"/>
          <w:sz w:val="28"/>
          <w:szCs w:val="28"/>
        </w:rPr>
      </w:pPr>
      <w:r w:rsidRPr="006A3AD9">
        <w:rPr>
          <w:rFonts w:asciiTheme="majorBidi" w:hAnsiTheme="majorBidi" w:cstheme="majorBidi"/>
          <w:b/>
          <w:bCs/>
          <w:color w:val="C45911" w:themeColor="accent2" w:themeShade="BF"/>
          <w:sz w:val="28"/>
          <w:szCs w:val="28"/>
        </w:rPr>
        <w:t>Transitional Justice</w:t>
      </w:r>
    </w:p>
    <w:p w14:paraId="22C7F9AB" w14:textId="77777777" w:rsidR="006A3AD9" w:rsidRPr="004E2543" w:rsidRDefault="006A3AD9" w:rsidP="006A3AD9">
      <w:pPr>
        <w:jc w:val="both"/>
        <w:rPr>
          <w:rFonts w:asciiTheme="majorBidi" w:hAnsiTheme="majorBidi" w:cstheme="majorBidi"/>
        </w:rPr>
      </w:pPr>
      <w:r w:rsidRPr="004E2543">
        <w:rPr>
          <w:rFonts w:asciiTheme="majorBidi" w:hAnsiTheme="majorBidi" w:cstheme="majorBidi"/>
        </w:rPr>
        <w:t xml:space="preserve">The Human Rights Committee recommended that the Iraqi State investigate and prosecute all serious violations, including the sexual crimes committed by </w:t>
      </w:r>
      <w:r w:rsidRPr="003656D7">
        <w:rPr>
          <w:rFonts w:asciiTheme="majorBidi" w:hAnsiTheme="majorBidi" w:cstheme="majorBidi"/>
        </w:rPr>
        <w:t xml:space="preserve">Da'esh/ISIL </w:t>
      </w:r>
      <w:r w:rsidRPr="004E2543">
        <w:rPr>
          <w:rFonts w:asciiTheme="majorBidi" w:hAnsiTheme="majorBidi" w:cstheme="majorBidi"/>
        </w:rPr>
        <w:t xml:space="preserve">against Yazidi women and girls, ensure full reparation for victims, and expedite the adoption of legislation to protect persons from enforced disappearance. More than four years after the issuance of these recommendations, </w:t>
      </w:r>
      <w:r w:rsidRPr="003656D7">
        <w:rPr>
          <w:rFonts w:asciiTheme="majorBidi" w:hAnsiTheme="majorBidi" w:cstheme="majorBidi"/>
        </w:rPr>
        <w:t>Maat</w:t>
      </w:r>
      <w:r w:rsidRPr="004E2543">
        <w:rPr>
          <w:rFonts w:asciiTheme="majorBidi" w:hAnsiTheme="majorBidi" w:cstheme="majorBidi"/>
        </w:rPr>
        <w:t xml:space="preserve"> confirms that the situation on the ground reveals a clear lack of progress in ensuring accountability and justice.</w:t>
      </w:r>
    </w:p>
    <w:p w14:paraId="6CC1ED4F" w14:textId="77777777" w:rsidR="006A3AD9" w:rsidRPr="004E2543" w:rsidRDefault="006A3AD9" w:rsidP="006A3AD9">
      <w:pPr>
        <w:jc w:val="both"/>
        <w:rPr>
          <w:rFonts w:asciiTheme="majorBidi" w:hAnsiTheme="majorBidi" w:cstheme="majorBidi"/>
        </w:rPr>
      </w:pPr>
      <w:r w:rsidRPr="004E2543">
        <w:rPr>
          <w:rFonts w:asciiTheme="majorBidi" w:hAnsiTheme="majorBidi" w:cstheme="majorBidi"/>
        </w:rPr>
        <w:t xml:space="preserve">With regard to accountability for crimes committed by </w:t>
      </w:r>
      <w:r w:rsidRPr="003656D7">
        <w:rPr>
          <w:rFonts w:asciiTheme="majorBidi" w:hAnsiTheme="majorBidi" w:cstheme="majorBidi"/>
        </w:rPr>
        <w:t xml:space="preserve">Da'esh/ISIL, </w:t>
      </w:r>
      <w:r w:rsidRPr="004E2543">
        <w:rPr>
          <w:rFonts w:asciiTheme="majorBidi" w:hAnsiTheme="majorBidi" w:cstheme="majorBidi"/>
        </w:rPr>
        <w:t xml:space="preserve">the termination of the mandate of </w:t>
      </w:r>
      <w:bookmarkStart w:id="0" w:name="OLE_LINK3"/>
      <w:r w:rsidRPr="004E2543">
        <w:rPr>
          <w:rFonts w:asciiTheme="majorBidi" w:hAnsiTheme="majorBidi" w:cstheme="majorBidi"/>
        </w:rPr>
        <w:t xml:space="preserve">the </w:t>
      </w:r>
      <w:bookmarkStart w:id="1" w:name="OLE_LINK7"/>
      <w:bookmarkStart w:id="2" w:name="OLE_LINK2"/>
      <w:bookmarkEnd w:id="0"/>
      <w:r w:rsidRPr="003656D7">
        <w:rPr>
          <w:rFonts w:asciiTheme="majorBidi" w:hAnsiTheme="majorBidi" w:cstheme="majorBidi"/>
        </w:rPr>
        <w:t xml:space="preserve">United Nations Investigative Team to Promote Accountability for Crimes Committed by Da'esh/ISIL </w:t>
      </w:r>
      <w:bookmarkEnd w:id="1"/>
      <w:r w:rsidRPr="004E2543">
        <w:rPr>
          <w:rFonts w:asciiTheme="majorBidi" w:hAnsiTheme="majorBidi" w:cstheme="majorBidi"/>
        </w:rPr>
        <w:t>(UNITAD</w:t>
      </w:r>
      <w:bookmarkEnd w:id="2"/>
      <w:r w:rsidRPr="004E2543">
        <w:rPr>
          <w:rFonts w:asciiTheme="majorBidi" w:hAnsiTheme="majorBidi" w:cstheme="majorBidi"/>
        </w:rPr>
        <w:t xml:space="preserve">) in September 2024, at the request of the Iraqi Government itself, constituted a major setback. Dozens of mass graves remain unopened and human remains have yet to be exhumed, while survivor networks have expressed serious concerns that the absence of the international investigative team will create a gap in documenting and preserving evidence of genocide for use in criminal proceedings against perpetrators. </w:t>
      </w:r>
      <w:bookmarkStart w:id="3" w:name="OLE_LINK4"/>
      <w:r w:rsidRPr="004E2543">
        <w:rPr>
          <w:rFonts w:asciiTheme="majorBidi" w:hAnsiTheme="majorBidi" w:cstheme="majorBidi"/>
        </w:rPr>
        <w:t xml:space="preserve">The </w:t>
      </w:r>
      <w:bookmarkEnd w:id="3"/>
      <w:r w:rsidRPr="003656D7">
        <w:rPr>
          <w:rFonts w:asciiTheme="majorBidi" w:hAnsiTheme="majorBidi" w:cstheme="majorBidi"/>
        </w:rPr>
        <w:t>Coalition for Just Reparations (</w:t>
      </w:r>
      <w:bookmarkStart w:id="4" w:name="OLE_LINK9"/>
      <w:r w:rsidRPr="003656D7">
        <w:rPr>
          <w:rFonts w:asciiTheme="majorBidi" w:hAnsiTheme="majorBidi" w:cstheme="majorBidi"/>
        </w:rPr>
        <w:t>C4JR</w:t>
      </w:r>
      <w:bookmarkEnd w:id="4"/>
      <w:r w:rsidRPr="003656D7">
        <w:rPr>
          <w:rFonts w:asciiTheme="majorBidi" w:hAnsiTheme="majorBidi" w:cstheme="majorBidi"/>
        </w:rPr>
        <w:t xml:space="preserve">) </w:t>
      </w:r>
      <w:r w:rsidRPr="004E2543">
        <w:rPr>
          <w:rFonts w:asciiTheme="majorBidi" w:hAnsiTheme="majorBidi" w:cstheme="majorBidi"/>
        </w:rPr>
        <w:t>has likewise expressed deep concern over the potential consequences of prematurely ending UNITAD's mandate.</w:t>
      </w:r>
      <w:r w:rsidRPr="003656D7">
        <w:rPr>
          <w:rStyle w:val="FootnoteReference"/>
          <w:rFonts w:asciiTheme="majorBidi" w:hAnsiTheme="majorBidi" w:cstheme="majorBidi"/>
        </w:rPr>
        <w:footnoteReference w:id="1"/>
      </w:r>
    </w:p>
    <w:p w14:paraId="66B9E7E2" w14:textId="77777777" w:rsidR="006A3AD9" w:rsidRPr="004E2543" w:rsidRDefault="006A3AD9" w:rsidP="006A3AD9">
      <w:pPr>
        <w:jc w:val="both"/>
        <w:rPr>
          <w:rFonts w:asciiTheme="majorBidi" w:hAnsiTheme="majorBidi" w:cstheme="majorBidi"/>
        </w:rPr>
      </w:pPr>
      <w:r w:rsidRPr="004E2543">
        <w:rPr>
          <w:rFonts w:asciiTheme="majorBidi" w:hAnsiTheme="majorBidi" w:cstheme="majorBidi"/>
        </w:rPr>
        <w:lastRenderedPageBreak/>
        <w:t xml:space="preserve">As for the draft Law on the Protection of Persons from Enforced Disappearance, it has remained pending since the Government submitted it to the Council of Representatives for a vote in August 2023. The draft has faced widespread criticism for lacking mechanisms and procedures to document missing persons and record the circumstances of their disappearance and abduction. At the same time, estimates reviewed by </w:t>
      </w:r>
      <w:r w:rsidRPr="003656D7">
        <w:rPr>
          <w:rFonts w:asciiTheme="majorBidi" w:hAnsiTheme="majorBidi" w:cstheme="majorBidi"/>
        </w:rPr>
        <w:t>Maat</w:t>
      </w:r>
      <w:r w:rsidRPr="004E2543">
        <w:rPr>
          <w:rFonts w:asciiTheme="majorBidi" w:hAnsiTheme="majorBidi" w:cstheme="majorBidi"/>
        </w:rPr>
        <w:t xml:space="preserve"> indicate that the number of forcibly disappeared persons in Iraq ranges between 250,000 and one million, making it one of the most significant cases of enforced disappearance worldwide.</w:t>
      </w:r>
      <w:r w:rsidRPr="003656D7">
        <w:rPr>
          <w:rStyle w:val="FootnoteReference"/>
          <w:rFonts w:asciiTheme="majorBidi" w:hAnsiTheme="majorBidi" w:cstheme="majorBidi"/>
        </w:rPr>
        <w:footnoteReference w:id="2"/>
      </w:r>
    </w:p>
    <w:p w14:paraId="0501B06E" w14:textId="77777777" w:rsidR="006A3AD9" w:rsidRPr="004E2543" w:rsidRDefault="006A3AD9" w:rsidP="006A3AD9">
      <w:pPr>
        <w:jc w:val="both"/>
        <w:rPr>
          <w:rFonts w:asciiTheme="majorBidi" w:hAnsiTheme="majorBidi" w:cstheme="majorBidi"/>
        </w:rPr>
      </w:pPr>
      <w:r w:rsidRPr="004E2543">
        <w:rPr>
          <w:rFonts w:asciiTheme="majorBidi" w:hAnsiTheme="majorBidi" w:cstheme="majorBidi"/>
        </w:rPr>
        <w:t xml:space="preserve">With respect to reparations, although the adoption of the Yazidi Female Survivors Law No. 8 of 2021 represented a significant step forward and a source of hope, </w:t>
      </w:r>
      <w:r w:rsidRPr="003656D7">
        <w:rPr>
          <w:rFonts w:asciiTheme="majorBidi" w:hAnsiTheme="majorBidi" w:cstheme="majorBidi"/>
        </w:rPr>
        <w:t>Maat</w:t>
      </w:r>
      <w:r w:rsidRPr="004E2543">
        <w:rPr>
          <w:rFonts w:asciiTheme="majorBidi" w:hAnsiTheme="majorBidi" w:cstheme="majorBidi"/>
        </w:rPr>
        <w:t xml:space="preserve"> reviewed an assessment of the implementation of the Law, which revealed a substantial implementation gap between its legal commitments and the actual situation of survivors. The shortcomings are not limited to delays in the actual disbursement of reparations, but also extend to repeated attempts within Parliament to undermine the Law by broadening the definition of beneficiaries or changing its title. Such efforts threaten to weaken the legal foundation upon which the Law was originally based as a symbolic recognition of the genocide committed specifically against the Yazidis. </w:t>
      </w:r>
      <w:r w:rsidRPr="003656D7">
        <w:rPr>
          <w:rFonts w:asciiTheme="majorBidi" w:hAnsiTheme="majorBidi" w:cstheme="majorBidi"/>
        </w:rPr>
        <w:t>Maat</w:t>
      </w:r>
      <w:r w:rsidRPr="004E2543">
        <w:rPr>
          <w:rFonts w:asciiTheme="majorBidi" w:hAnsiTheme="majorBidi" w:cstheme="majorBidi"/>
        </w:rPr>
        <w:t xml:space="preserve"> emphasizes that adopting amendments of this nature would result in thousands of victims losing their eligibility to register and would hinder implementation of the Law. It would also undermine the confidence of the Yazidi community, first in the Iraqi legislature and subsequently in the Iraqi Government.</w:t>
      </w:r>
      <w:r w:rsidRPr="003656D7">
        <w:rPr>
          <w:rStyle w:val="FootnoteReference"/>
          <w:rFonts w:asciiTheme="majorBidi" w:hAnsiTheme="majorBidi" w:cstheme="majorBidi"/>
        </w:rPr>
        <w:footnoteReference w:id="3"/>
      </w:r>
    </w:p>
    <w:p w14:paraId="2CDA31F2" w14:textId="77777777" w:rsidR="006A3AD9" w:rsidRPr="006A3AD9" w:rsidRDefault="006A3AD9" w:rsidP="006A3AD9">
      <w:pPr>
        <w:pStyle w:val="ListParagraph"/>
        <w:numPr>
          <w:ilvl w:val="0"/>
          <w:numId w:val="64"/>
        </w:numPr>
        <w:jc w:val="both"/>
        <w:rPr>
          <w:rFonts w:asciiTheme="majorBidi" w:hAnsiTheme="majorBidi" w:cstheme="majorBidi"/>
          <w:b/>
          <w:bCs/>
          <w:color w:val="C45911" w:themeColor="accent2" w:themeShade="BF"/>
          <w:sz w:val="28"/>
          <w:szCs w:val="28"/>
        </w:rPr>
      </w:pPr>
      <w:r w:rsidRPr="006A3AD9">
        <w:rPr>
          <w:rFonts w:asciiTheme="majorBidi" w:hAnsiTheme="majorBidi" w:cstheme="majorBidi"/>
          <w:b/>
          <w:bCs/>
          <w:color w:val="C45911" w:themeColor="accent2" w:themeShade="BF"/>
          <w:sz w:val="28"/>
          <w:szCs w:val="28"/>
        </w:rPr>
        <w:t>Counter-Terrorism Measures</w:t>
      </w:r>
    </w:p>
    <w:p w14:paraId="49BADD6A" w14:textId="77777777" w:rsidR="006A3AD9" w:rsidRPr="004E2543" w:rsidRDefault="006A3AD9" w:rsidP="006A3AD9">
      <w:pPr>
        <w:jc w:val="both"/>
        <w:rPr>
          <w:rFonts w:asciiTheme="majorBidi" w:hAnsiTheme="majorBidi" w:cstheme="majorBidi"/>
        </w:rPr>
      </w:pPr>
      <w:r w:rsidRPr="004E2543">
        <w:rPr>
          <w:rFonts w:asciiTheme="majorBidi" w:hAnsiTheme="majorBidi" w:cstheme="majorBidi"/>
        </w:rPr>
        <w:t xml:space="preserve">While the Human Rights Committee called on Iraq to bring its counter-terrorism legislation, including through amendments to the Anti-Terrorism Law No. 13 of 2005 and the National Counter-Terrorism Strategy, into conformity with international standards, </w:t>
      </w:r>
      <w:r w:rsidRPr="003656D7">
        <w:rPr>
          <w:rFonts w:asciiTheme="majorBidi" w:hAnsiTheme="majorBidi" w:cstheme="majorBidi"/>
        </w:rPr>
        <w:t>Maat</w:t>
      </w:r>
      <w:r w:rsidRPr="004E2543">
        <w:rPr>
          <w:rFonts w:asciiTheme="majorBidi" w:hAnsiTheme="majorBidi" w:cstheme="majorBidi"/>
        </w:rPr>
        <w:t xml:space="preserve"> notes that the Iraqi Government has not taken the legislative, policy or other measures necessary to implement this recommendation. It has merely prepared a draft amendment to the Anti-Terrorism Law and submitted it to the Iraqi Council of Representatives for discussion as part of the legislative process. To date, however, the Council of Representatives has not taken any decision on the draft, meaning that the Law continues to contain ambiguities that were among the Committee's concerns. </w:t>
      </w:r>
      <w:r w:rsidRPr="003656D7">
        <w:rPr>
          <w:rFonts w:asciiTheme="majorBidi" w:hAnsiTheme="majorBidi" w:cstheme="majorBidi"/>
        </w:rPr>
        <w:t>Maat</w:t>
      </w:r>
      <w:r w:rsidRPr="004E2543">
        <w:rPr>
          <w:rFonts w:asciiTheme="majorBidi" w:hAnsiTheme="majorBidi" w:cstheme="majorBidi"/>
        </w:rPr>
        <w:t xml:space="preserve"> further emphasizes that Article 4 of the Law, which defines terrorist acts, contains broad and vague language that allows for wide-ranging interpretation, thereby posing a threat to fundamental </w:t>
      </w:r>
      <w:r w:rsidRPr="004E2543">
        <w:rPr>
          <w:rFonts w:asciiTheme="majorBidi" w:hAnsiTheme="majorBidi" w:cstheme="majorBidi"/>
        </w:rPr>
        <w:lastRenderedPageBreak/>
        <w:t>freedoms. The Law is drafted in a manner that permits the prosecution of any person deemed to have acted against the established order, rather than being confined exclusively to terrorists.</w:t>
      </w:r>
      <w:r w:rsidRPr="003656D7">
        <w:rPr>
          <w:rStyle w:val="FootnoteReference"/>
          <w:rFonts w:asciiTheme="majorBidi" w:hAnsiTheme="majorBidi" w:cstheme="majorBidi"/>
        </w:rPr>
        <w:footnoteReference w:id="4"/>
      </w:r>
    </w:p>
    <w:p w14:paraId="20CD16CF" w14:textId="77777777" w:rsidR="006A3AD9" w:rsidRPr="004E2543" w:rsidRDefault="006A3AD9" w:rsidP="006A3AD9">
      <w:pPr>
        <w:jc w:val="both"/>
        <w:rPr>
          <w:rFonts w:asciiTheme="majorBidi" w:hAnsiTheme="majorBidi" w:cstheme="majorBidi"/>
        </w:rPr>
      </w:pPr>
      <w:r w:rsidRPr="003656D7">
        <w:rPr>
          <w:rFonts w:asciiTheme="majorBidi" w:hAnsiTheme="majorBidi" w:cstheme="majorBidi"/>
        </w:rPr>
        <w:t>Maat</w:t>
      </w:r>
      <w:r w:rsidRPr="004E2543">
        <w:rPr>
          <w:rFonts w:asciiTheme="majorBidi" w:hAnsiTheme="majorBidi" w:cstheme="majorBidi"/>
        </w:rPr>
        <w:t xml:space="preserve"> further notes that this ambiguity has increasingly been used expansively for political purposes beyond its original intent of addressing crimes committed by </w:t>
      </w:r>
      <w:bookmarkStart w:id="5" w:name="OLE_LINK1"/>
      <w:r w:rsidRPr="003656D7">
        <w:rPr>
          <w:rFonts w:asciiTheme="majorBidi" w:hAnsiTheme="majorBidi" w:cstheme="majorBidi"/>
        </w:rPr>
        <w:t>Da'esh/ISIL</w:t>
      </w:r>
      <w:r w:rsidRPr="004E2543">
        <w:rPr>
          <w:rFonts w:asciiTheme="majorBidi" w:hAnsiTheme="majorBidi" w:cstheme="majorBidi"/>
        </w:rPr>
        <w:t xml:space="preserve">. </w:t>
      </w:r>
      <w:bookmarkEnd w:id="5"/>
      <w:r w:rsidRPr="004E2543">
        <w:rPr>
          <w:rFonts w:asciiTheme="majorBidi" w:hAnsiTheme="majorBidi" w:cstheme="majorBidi"/>
        </w:rPr>
        <w:t xml:space="preserve">In June 2026, the </w:t>
      </w:r>
      <w:bookmarkStart w:id="6" w:name="OLE_LINK5"/>
      <w:r w:rsidRPr="004E2543">
        <w:rPr>
          <w:rFonts w:asciiTheme="majorBidi" w:hAnsiTheme="majorBidi" w:cstheme="majorBidi"/>
        </w:rPr>
        <w:t xml:space="preserve">Iraqi Supreme Judicial Council </w:t>
      </w:r>
      <w:bookmarkEnd w:id="6"/>
      <w:r w:rsidRPr="004E2543">
        <w:rPr>
          <w:rFonts w:asciiTheme="majorBidi" w:hAnsiTheme="majorBidi" w:cstheme="majorBidi"/>
        </w:rPr>
        <w:t xml:space="preserve">instructed the competent courts to apply the provisions of the Anti-Terrorism Law, which carry penalties of up to capital punishment, to the manufacture, use, and possession of drones. Some viewed this step as an attempt to tighten restrictions on Iraqi armed factions possessing such capabilities, although its implementation still requires further legal review and interpretation to clarify the applicable enforcement mechanisms. </w:t>
      </w:r>
      <w:r w:rsidRPr="003656D7">
        <w:rPr>
          <w:rFonts w:asciiTheme="majorBidi" w:hAnsiTheme="majorBidi" w:cstheme="majorBidi"/>
        </w:rPr>
        <w:t>Maat</w:t>
      </w:r>
      <w:r w:rsidRPr="004E2543">
        <w:rPr>
          <w:rFonts w:asciiTheme="majorBidi" w:hAnsiTheme="majorBidi" w:cstheme="majorBidi"/>
        </w:rPr>
        <w:t xml:space="preserve"> emphasizes that this directive came in the context of the military confrontation between the United States and Israel, on the one hand, and Iran, on the other, which has been ongoing since 28 February 2026. During this period, Iraqi armed factions aligned with Iran intensified drone attacks against United States and other foreign targets inside and outside Iraq. Consequently, a law that had previously been used against Sunni civilians in Iraq has, due to current political considerations, come to be used against Shiite factions aligned with Iran, a shift that is fundamentally attributable to the Law's legislative ambiguity.</w:t>
      </w:r>
      <w:r w:rsidRPr="003656D7">
        <w:rPr>
          <w:rStyle w:val="FootnoteReference"/>
          <w:rFonts w:asciiTheme="majorBidi" w:hAnsiTheme="majorBidi" w:cstheme="majorBidi"/>
        </w:rPr>
        <w:footnoteReference w:id="5"/>
      </w:r>
    </w:p>
    <w:p w14:paraId="76F0BADE" w14:textId="77777777" w:rsidR="006A3AD9" w:rsidRPr="004E2543" w:rsidRDefault="006A3AD9" w:rsidP="006A3AD9">
      <w:pPr>
        <w:jc w:val="both"/>
        <w:rPr>
          <w:rFonts w:asciiTheme="majorBidi" w:hAnsiTheme="majorBidi" w:cstheme="majorBidi"/>
        </w:rPr>
      </w:pPr>
      <w:r w:rsidRPr="004E2543">
        <w:rPr>
          <w:rFonts w:asciiTheme="majorBidi" w:hAnsiTheme="majorBidi" w:cstheme="majorBidi"/>
        </w:rPr>
        <w:t xml:space="preserve">In another context, </w:t>
      </w:r>
      <w:r w:rsidRPr="003656D7">
        <w:rPr>
          <w:rFonts w:asciiTheme="majorBidi" w:hAnsiTheme="majorBidi" w:cstheme="majorBidi"/>
        </w:rPr>
        <w:t>Maat</w:t>
      </w:r>
      <w:r w:rsidRPr="004E2543">
        <w:rPr>
          <w:rFonts w:asciiTheme="majorBidi" w:hAnsiTheme="majorBidi" w:cstheme="majorBidi"/>
        </w:rPr>
        <w:t xml:space="preserve"> notes that reliance on coerced confessions and anonymous-source testimony remains the principal basis for the majority of terrorism convictions, including death sentences, the pace of which has accelerated since the end of 2023. Information reviewed by </w:t>
      </w:r>
      <w:r w:rsidRPr="003656D7">
        <w:rPr>
          <w:rFonts w:asciiTheme="majorBidi" w:hAnsiTheme="majorBidi" w:cstheme="majorBidi"/>
        </w:rPr>
        <w:t>Maat</w:t>
      </w:r>
      <w:r w:rsidRPr="004E2543">
        <w:rPr>
          <w:rFonts w:asciiTheme="majorBidi" w:hAnsiTheme="majorBidi" w:cstheme="majorBidi"/>
        </w:rPr>
        <w:t xml:space="preserve"> confirms the continued practice of extracting confessions through torture and coercion, as well as reliance on reports submitted by the "secret informant" system in Iraq, which are often motivated by personal revenge or sectarian considerations.</w:t>
      </w:r>
      <w:r w:rsidRPr="003656D7">
        <w:rPr>
          <w:rStyle w:val="FootnoteReference"/>
          <w:rFonts w:asciiTheme="majorBidi" w:hAnsiTheme="majorBidi" w:cstheme="majorBidi"/>
        </w:rPr>
        <w:footnoteReference w:id="6"/>
      </w:r>
      <w:r w:rsidRPr="004E2543">
        <w:rPr>
          <w:rFonts w:asciiTheme="majorBidi" w:hAnsiTheme="majorBidi" w:cstheme="majorBidi"/>
        </w:rPr>
        <w:t xml:space="preserve"> </w:t>
      </w:r>
      <w:r w:rsidRPr="003656D7">
        <w:rPr>
          <w:rFonts w:asciiTheme="majorBidi" w:hAnsiTheme="majorBidi" w:cstheme="majorBidi"/>
        </w:rPr>
        <w:t>Maat</w:t>
      </w:r>
      <w:r w:rsidRPr="004E2543">
        <w:rPr>
          <w:rFonts w:asciiTheme="majorBidi" w:hAnsiTheme="majorBidi" w:cstheme="majorBidi"/>
        </w:rPr>
        <w:t xml:space="preserve"> further notes that the General Amnesty Law, adopted by Parliament on 21 January 2025 and expected to serve as a mechanism for remedying the consequences of trials based on coerced confessions or "secret informant" reports, has in practice been applied in a highly selective manner depending on the type of offence. One year after its adoption, the Law has faced political and human rights criticism because persons convicted of drug-related offences, murder, and theft have benefited from its provisions, whereas detainees convicted of terrorism-related offences in </w:t>
      </w:r>
      <w:r w:rsidRPr="003656D7">
        <w:rPr>
          <w:rFonts w:asciiTheme="majorBidi" w:hAnsiTheme="majorBidi" w:cstheme="majorBidi"/>
        </w:rPr>
        <w:t xml:space="preserve">particular, </w:t>
      </w:r>
      <w:r w:rsidRPr="004E2543">
        <w:rPr>
          <w:rFonts w:asciiTheme="majorBidi" w:hAnsiTheme="majorBidi" w:cstheme="majorBidi"/>
        </w:rPr>
        <w:t xml:space="preserve">the group most affected by the </w:t>
      </w:r>
      <w:r w:rsidRPr="004E2543">
        <w:rPr>
          <w:rFonts w:asciiTheme="majorBidi" w:hAnsiTheme="majorBidi" w:cstheme="majorBidi"/>
        </w:rPr>
        <w:lastRenderedPageBreak/>
        <w:t>problem of coerced confessions</w:t>
      </w:r>
      <w:r w:rsidRPr="003656D7">
        <w:rPr>
          <w:rFonts w:asciiTheme="majorBidi" w:hAnsiTheme="majorBidi" w:cstheme="majorBidi"/>
        </w:rPr>
        <w:t xml:space="preserve">, </w:t>
      </w:r>
      <w:r w:rsidRPr="004E2543">
        <w:rPr>
          <w:rFonts w:asciiTheme="majorBidi" w:hAnsiTheme="majorBidi" w:cstheme="majorBidi"/>
        </w:rPr>
        <w:t xml:space="preserve">have faced restrictions in benefiting from it. </w:t>
      </w:r>
      <w:r w:rsidRPr="003656D7">
        <w:rPr>
          <w:rFonts w:asciiTheme="majorBidi" w:hAnsiTheme="majorBidi" w:cstheme="majorBidi"/>
        </w:rPr>
        <w:t>Maat</w:t>
      </w:r>
      <w:r w:rsidRPr="004E2543">
        <w:rPr>
          <w:rFonts w:asciiTheme="majorBidi" w:hAnsiTheme="majorBidi" w:cstheme="majorBidi"/>
        </w:rPr>
        <w:t xml:space="preserve"> maintains that this exception is inconsistent with the constitutional basis upon which the Law was established. Excluding a particular category, especially persons detained on terrorism-related charges, without a clear legal provision justifying such exclusion, constitutes a violation of the principle of equality before the law and transforms the Law from an instrument of judicial reform into an unjust selective mechanism, contrary to Article 19 of the Iraqi Constitution concerning equality before the law and the guarantees of due process.</w:t>
      </w:r>
      <w:r w:rsidRPr="003656D7">
        <w:rPr>
          <w:rStyle w:val="FootnoteReference"/>
          <w:rFonts w:asciiTheme="majorBidi" w:hAnsiTheme="majorBidi" w:cstheme="majorBidi"/>
        </w:rPr>
        <w:footnoteReference w:id="7"/>
      </w:r>
    </w:p>
    <w:p w14:paraId="0C3DD548" w14:textId="77777777" w:rsidR="006A3AD9" w:rsidRPr="006A3AD9" w:rsidRDefault="006A3AD9" w:rsidP="006A3AD9">
      <w:pPr>
        <w:pStyle w:val="ListParagraph"/>
        <w:numPr>
          <w:ilvl w:val="0"/>
          <w:numId w:val="64"/>
        </w:numPr>
        <w:jc w:val="both"/>
        <w:rPr>
          <w:rFonts w:asciiTheme="majorBidi" w:hAnsiTheme="majorBidi" w:cstheme="majorBidi"/>
          <w:b/>
          <w:bCs/>
          <w:color w:val="C45911" w:themeColor="accent2" w:themeShade="BF"/>
          <w:sz w:val="28"/>
          <w:szCs w:val="28"/>
        </w:rPr>
      </w:pPr>
      <w:r w:rsidRPr="006A3AD9">
        <w:rPr>
          <w:rFonts w:asciiTheme="majorBidi" w:hAnsiTheme="majorBidi" w:cstheme="majorBidi"/>
          <w:b/>
          <w:bCs/>
          <w:color w:val="C45911" w:themeColor="accent2" w:themeShade="BF"/>
          <w:sz w:val="28"/>
          <w:szCs w:val="28"/>
        </w:rPr>
        <w:t>Prohibition of Torture and Other Cruel, Inhuman or Degrading Treatment or Punishment</w:t>
      </w:r>
    </w:p>
    <w:p w14:paraId="3B2BDDBC" w14:textId="77777777" w:rsidR="006A3AD9" w:rsidRPr="004E2543" w:rsidRDefault="006A3AD9" w:rsidP="006A3AD9">
      <w:pPr>
        <w:jc w:val="both"/>
        <w:rPr>
          <w:rFonts w:asciiTheme="majorBidi" w:hAnsiTheme="majorBidi" w:cstheme="majorBidi"/>
        </w:rPr>
      </w:pPr>
      <w:r w:rsidRPr="004E2543">
        <w:rPr>
          <w:rFonts w:asciiTheme="majorBidi" w:hAnsiTheme="majorBidi" w:cstheme="majorBidi"/>
        </w:rPr>
        <w:t>While the Committee recommended that the Iraqi Government take steps to expedite the adoption of the draft Anti-Torture Law and ensure that its definition of torture is fully consistent with article 7 of the International Covenant on Civil and Political Rights and other applicable international standards, the Iraqi Government has merely approved, during its seventh regular session of 2025, the draft Law on the Prohibition of Torture and Inhuman Treatment and referred it to Parliament to complete the legislative process. However, at the time of drafting this report, the bill has yet to enter into force, despite the years that have elapsed since its preparation.</w:t>
      </w:r>
    </w:p>
    <w:p w14:paraId="1CE64014" w14:textId="77777777" w:rsidR="006A3AD9" w:rsidRPr="004E2543" w:rsidRDefault="006A3AD9" w:rsidP="006A3AD9">
      <w:pPr>
        <w:jc w:val="both"/>
        <w:rPr>
          <w:rFonts w:asciiTheme="majorBidi" w:hAnsiTheme="majorBidi" w:cstheme="majorBidi"/>
        </w:rPr>
      </w:pPr>
      <w:r w:rsidRPr="003656D7">
        <w:rPr>
          <w:rFonts w:asciiTheme="majorBidi" w:hAnsiTheme="majorBidi" w:cstheme="majorBidi"/>
        </w:rPr>
        <w:t>Maat</w:t>
      </w:r>
      <w:r w:rsidRPr="004E2543">
        <w:rPr>
          <w:rFonts w:asciiTheme="majorBidi" w:hAnsiTheme="majorBidi" w:cstheme="majorBidi"/>
        </w:rPr>
        <w:t xml:space="preserve"> emphasizes that the core of the torture crisis in Iraq lies in the fact that its practice is not confined to recognized penal institutions that can be subjected to oversight, but extends to a parallel detention system that operates explicitly outside the applicable legal framework. Although Law No. 14 of 2018 assigns the administration of correctional and rehabilitation institutions exclusively to the Ministry of Justice, the reality on the ground reveals the existence of detention and holding facilities operated by the Ministry of the Interior, the Counter-Terrorism Service, the Ministry of Defence, and the Iraqi National Intelligence Service. This adversely affects the rights of prisoners, as the laws, regulations, and instructions governing the rights of convicted persons and detainees differ from one ministry and one authority to another.</w:t>
      </w:r>
      <w:r w:rsidRPr="003656D7">
        <w:rPr>
          <w:rStyle w:val="FootnoteReference"/>
          <w:rFonts w:asciiTheme="majorBidi" w:hAnsiTheme="majorBidi" w:cstheme="majorBidi"/>
        </w:rPr>
        <w:footnoteReference w:id="8"/>
      </w:r>
      <w:r w:rsidRPr="004E2543">
        <w:rPr>
          <w:rFonts w:asciiTheme="majorBidi" w:hAnsiTheme="majorBidi" w:cstheme="majorBidi"/>
        </w:rPr>
        <w:t xml:space="preserve"> This institutional fragmentation not only contributes to the practice of torture but also facilitates a widespread system of extortion controlled by prison officials themselves. </w:t>
      </w:r>
      <w:r w:rsidRPr="003656D7">
        <w:rPr>
          <w:rFonts w:asciiTheme="majorBidi" w:hAnsiTheme="majorBidi" w:cstheme="majorBidi"/>
        </w:rPr>
        <w:t>Maat</w:t>
      </w:r>
      <w:r w:rsidRPr="004E2543">
        <w:rPr>
          <w:rFonts w:asciiTheme="majorBidi" w:hAnsiTheme="majorBidi" w:cstheme="majorBidi"/>
        </w:rPr>
        <w:t xml:space="preserve"> reviewed reports published in August 2023 indicating that prisons are among the largest centres of corruption in Iraq, with a basic mobile phone reportedly </w:t>
      </w:r>
      <w:r w:rsidRPr="004E2543">
        <w:rPr>
          <w:rFonts w:asciiTheme="majorBidi" w:hAnsiTheme="majorBidi" w:cstheme="majorBidi"/>
        </w:rPr>
        <w:lastRenderedPageBreak/>
        <w:t>being sold to prisoners for 2.8 million Iraqi dinars, while a "private family visit" costs between US$400 and US$500.</w:t>
      </w:r>
      <w:r w:rsidRPr="003656D7">
        <w:rPr>
          <w:rStyle w:val="FootnoteReference"/>
          <w:rFonts w:asciiTheme="majorBidi" w:hAnsiTheme="majorBidi" w:cstheme="majorBidi"/>
        </w:rPr>
        <w:footnoteReference w:id="9"/>
      </w:r>
    </w:p>
    <w:p w14:paraId="4834FD62" w14:textId="77777777" w:rsidR="006A3AD9" w:rsidRPr="004E2543" w:rsidRDefault="006A3AD9" w:rsidP="006A3AD9">
      <w:pPr>
        <w:jc w:val="both"/>
        <w:rPr>
          <w:rFonts w:asciiTheme="majorBidi" w:hAnsiTheme="majorBidi" w:cstheme="majorBidi"/>
        </w:rPr>
      </w:pPr>
      <w:r w:rsidRPr="004E2543">
        <w:rPr>
          <w:rFonts w:asciiTheme="majorBidi" w:hAnsiTheme="majorBidi" w:cstheme="majorBidi"/>
        </w:rPr>
        <w:t xml:space="preserve">In this context, reports reviewed by </w:t>
      </w:r>
      <w:r w:rsidRPr="003656D7">
        <w:rPr>
          <w:rFonts w:asciiTheme="majorBidi" w:hAnsiTheme="majorBidi" w:cstheme="majorBidi"/>
        </w:rPr>
        <w:t>Maat</w:t>
      </w:r>
      <w:r w:rsidRPr="004E2543">
        <w:rPr>
          <w:rFonts w:asciiTheme="majorBidi" w:hAnsiTheme="majorBidi" w:cstheme="majorBidi"/>
        </w:rPr>
        <w:t xml:space="preserve"> indicate that Iraqi prisons and detention centres continued to experience severe overcrowding, widespread torture, inadequate medical care, and a lack of transparency regarding the fate of detainees and prisoners throughout 2025. During that year, at least 400 prisoners died in prisons and detention centres across Iraq. The files relating to 140 of those deaths were closed without disclosing any information regarding the causes of death or the circumstances preceding them, and without allowing family members access to information or medical reports. This reinforces impunity in the absence of independent oversight or genuine accountability. At the same time, Iraqi prisons continue to suffer from unprecedented overcrowding, with occupancy rates exceeding 300 per cent of capacity in some facilities, while arrests and detentions continue at a high rate without corresponding investment in prison infrastructure or improvements to essential health and humanitarian services for inmates. Estimates reviewed by </w:t>
      </w:r>
      <w:r w:rsidRPr="003656D7">
        <w:rPr>
          <w:rFonts w:asciiTheme="majorBidi" w:hAnsiTheme="majorBidi" w:cstheme="majorBidi"/>
        </w:rPr>
        <w:t>Maat</w:t>
      </w:r>
      <w:r w:rsidRPr="004E2543">
        <w:rPr>
          <w:rFonts w:asciiTheme="majorBidi" w:hAnsiTheme="majorBidi" w:cstheme="majorBidi"/>
        </w:rPr>
        <w:t xml:space="preserve"> indicate that the number of prisoners and detainees in Iraqi prisons has reached 67,000, while the actual capacity does not exceed 25,000.</w:t>
      </w:r>
      <w:r w:rsidRPr="003656D7">
        <w:rPr>
          <w:rStyle w:val="FootnoteReference"/>
          <w:rFonts w:asciiTheme="majorBidi" w:hAnsiTheme="majorBidi" w:cstheme="majorBidi"/>
        </w:rPr>
        <w:footnoteReference w:id="10"/>
      </w:r>
    </w:p>
    <w:p w14:paraId="33E96255" w14:textId="77777777" w:rsidR="006A3AD9" w:rsidRPr="004E2543" w:rsidRDefault="006A3AD9" w:rsidP="006A3AD9">
      <w:pPr>
        <w:jc w:val="both"/>
        <w:rPr>
          <w:rFonts w:asciiTheme="majorBidi" w:hAnsiTheme="majorBidi" w:cstheme="majorBidi"/>
        </w:rPr>
      </w:pPr>
      <w:r w:rsidRPr="003656D7">
        <w:rPr>
          <w:rFonts w:asciiTheme="majorBidi" w:hAnsiTheme="majorBidi" w:cstheme="majorBidi"/>
        </w:rPr>
        <w:t>Maat</w:t>
      </w:r>
      <w:r w:rsidRPr="004E2543">
        <w:rPr>
          <w:rFonts w:asciiTheme="majorBidi" w:hAnsiTheme="majorBidi" w:cstheme="majorBidi"/>
        </w:rPr>
        <w:t xml:space="preserve"> further notes that, since 2025, available information has increasingly exposed conditions in Nasiriyah Central Prison, commonly known as "Al-Hout" ("The Whale"), which is considered one of the facilities where the most serious violations have occurred as a result of overcrowding and the absence of adequate health care. The prison has recorded dozens of deaths linked to disease, medical neglect, and poor conditions of detention, while prison authorities have been unable to provide adequate ventilation or safe drinking water. In August 2025, </w:t>
      </w:r>
      <w:r w:rsidRPr="003656D7">
        <w:rPr>
          <w:rFonts w:asciiTheme="majorBidi" w:hAnsiTheme="majorBidi" w:cstheme="majorBidi"/>
        </w:rPr>
        <w:t>Maat</w:t>
      </w:r>
      <w:r w:rsidRPr="004E2543">
        <w:rPr>
          <w:rFonts w:asciiTheme="majorBidi" w:hAnsiTheme="majorBidi" w:cstheme="majorBidi"/>
        </w:rPr>
        <w:t xml:space="preserve"> reviewed information indicating that a fire broke out inside Al-Hout Prison, resulting in the deaths of 27 inmates, without any clarification being provided by the relevant authorities.</w:t>
      </w:r>
      <w:r w:rsidRPr="003656D7">
        <w:rPr>
          <w:rStyle w:val="FootnoteReference"/>
          <w:rFonts w:asciiTheme="majorBidi" w:hAnsiTheme="majorBidi" w:cstheme="majorBidi"/>
        </w:rPr>
        <w:footnoteReference w:id="11"/>
      </w:r>
    </w:p>
    <w:p w14:paraId="1B6E2688" w14:textId="77777777" w:rsidR="006A3AD9" w:rsidRPr="006A3AD9" w:rsidRDefault="006A3AD9" w:rsidP="006A3AD9">
      <w:pPr>
        <w:jc w:val="both"/>
        <w:rPr>
          <w:rFonts w:asciiTheme="majorBidi" w:hAnsiTheme="majorBidi" w:cstheme="majorBidi"/>
          <w:color w:val="C45911" w:themeColor="accent2" w:themeShade="BF"/>
          <w:sz w:val="28"/>
          <w:szCs w:val="28"/>
        </w:rPr>
      </w:pPr>
      <w:r w:rsidRPr="006A3AD9">
        <w:rPr>
          <w:rFonts w:asciiTheme="majorBidi" w:hAnsiTheme="majorBidi" w:cstheme="majorBidi"/>
          <w:b/>
          <w:bCs/>
          <w:color w:val="C45911" w:themeColor="accent2" w:themeShade="BF"/>
          <w:sz w:val="28"/>
          <w:szCs w:val="28"/>
        </w:rPr>
        <w:t>Maat for Peace, Development and Human Rights recommends the following:</w:t>
      </w:r>
    </w:p>
    <w:p w14:paraId="6BC8E61A" w14:textId="77777777" w:rsidR="006A3AD9" w:rsidRPr="004E2543" w:rsidRDefault="006A3AD9" w:rsidP="006A3AD9">
      <w:pPr>
        <w:numPr>
          <w:ilvl w:val="0"/>
          <w:numId w:val="63"/>
        </w:numPr>
        <w:tabs>
          <w:tab w:val="clear" w:pos="360"/>
          <w:tab w:val="num" w:pos="720"/>
        </w:tabs>
        <w:jc w:val="both"/>
        <w:rPr>
          <w:rFonts w:asciiTheme="majorBidi" w:hAnsiTheme="majorBidi" w:cstheme="majorBidi"/>
        </w:rPr>
      </w:pPr>
      <w:r w:rsidRPr="004E2543">
        <w:rPr>
          <w:rFonts w:asciiTheme="majorBidi" w:hAnsiTheme="majorBidi" w:cstheme="majorBidi"/>
        </w:rPr>
        <w:t xml:space="preserve">Expedite the adoption of the Law on the Protection of Persons from Enforced Disappearance without further delay by urging the Council of Representatives to vote on the draft law, while </w:t>
      </w:r>
      <w:r w:rsidRPr="004E2543">
        <w:rPr>
          <w:rFonts w:asciiTheme="majorBidi" w:hAnsiTheme="majorBidi" w:cstheme="majorBidi"/>
        </w:rPr>
        <w:lastRenderedPageBreak/>
        <w:t>ensuring that the definition of enforced disappearance contained therein is consistent with the International Convention for the Protection of All Persons from Enforced Disappearance.</w:t>
      </w:r>
    </w:p>
    <w:p w14:paraId="15306437" w14:textId="77777777" w:rsidR="006A3AD9" w:rsidRPr="004E2543" w:rsidRDefault="006A3AD9" w:rsidP="006A3AD9">
      <w:pPr>
        <w:numPr>
          <w:ilvl w:val="0"/>
          <w:numId w:val="63"/>
        </w:numPr>
        <w:tabs>
          <w:tab w:val="clear" w:pos="360"/>
          <w:tab w:val="num" w:pos="720"/>
        </w:tabs>
        <w:jc w:val="both"/>
        <w:rPr>
          <w:rFonts w:asciiTheme="majorBidi" w:hAnsiTheme="majorBidi" w:cstheme="majorBidi"/>
        </w:rPr>
      </w:pPr>
      <w:r w:rsidRPr="004E2543">
        <w:rPr>
          <w:rFonts w:asciiTheme="majorBidi" w:hAnsiTheme="majorBidi" w:cstheme="majorBidi"/>
        </w:rPr>
        <w:t>Amend Anti-Terrorism Law No. 13 of 2005 to confine the definition of terrorist acts to clearly defined material and mental elements and to preclude any subsequent expansion of its application through administrative or judicial directives without legislative amendment adopted by Parliament.</w:t>
      </w:r>
    </w:p>
    <w:p w14:paraId="7C8153B0" w14:textId="77777777" w:rsidR="006A3AD9" w:rsidRPr="004E2543" w:rsidRDefault="006A3AD9" w:rsidP="006A3AD9">
      <w:pPr>
        <w:numPr>
          <w:ilvl w:val="0"/>
          <w:numId w:val="63"/>
        </w:numPr>
        <w:tabs>
          <w:tab w:val="clear" w:pos="360"/>
          <w:tab w:val="num" w:pos="720"/>
        </w:tabs>
        <w:jc w:val="both"/>
        <w:rPr>
          <w:rFonts w:asciiTheme="majorBidi" w:hAnsiTheme="majorBidi" w:cstheme="majorBidi"/>
        </w:rPr>
      </w:pPr>
      <w:r w:rsidRPr="004E2543">
        <w:rPr>
          <w:rFonts w:asciiTheme="majorBidi" w:hAnsiTheme="majorBidi" w:cstheme="majorBidi"/>
        </w:rPr>
        <w:t>Suspend the implementation of death sentences based on confessions or testimony provided by a secret informant until an independent judicial review has verified the integrity of the proceedings, in line with the Committee's explicit encouragement not to impose mandatory death sentences.</w:t>
      </w:r>
    </w:p>
    <w:p w14:paraId="0874929C" w14:textId="77777777" w:rsidR="006A3AD9" w:rsidRPr="004E2543" w:rsidRDefault="006A3AD9" w:rsidP="006A3AD9">
      <w:pPr>
        <w:numPr>
          <w:ilvl w:val="0"/>
          <w:numId w:val="63"/>
        </w:numPr>
        <w:tabs>
          <w:tab w:val="clear" w:pos="360"/>
          <w:tab w:val="num" w:pos="720"/>
        </w:tabs>
        <w:jc w:val="both"/>
        <w:rPr>
          <w:rFonts w:asciiTheme="majorBidi" w:hAnsiTheme="majorBidi" w:cstheme="majorBidi"/>
        </w:rPr>
      </w:pPr>
      <w:r w:rsidRPr="004E2543">
        <w:rPr>
          <w:rFonts w:asciiTheme="majorBidi" w:hAnsiTheme="majorBidi" w:cstheme="majorBidi"/>
        </w:rPr>
        <w:t>Amend the General Amnesty Law of 2025 to remove the exclusion of persons detained on terrorism-related charges from the review of convictions based on tainted evidence, thereby ensuring equality before the law as guaranteed under article 19 of the Constitution.</w:t>
      </w:r>
    </w:p>
    <w:p w14:paraId="7B290DF6" w14:textId="77777777" w:rsidR="006A3AD9" w:rsidRPr="004E2543" w:rsidRDefault="006A3AD9" w:rsidP="006A3AD9">
      <w:pPr>
        <w:numPr>
          <w:ilvl w:val="0"/>
          <w:numId w:val="63"/>
        </w:numPr>
        <w:tabs>
          <w:tab w:val="clear" w:pos="360"/>
          <w:tab w:val="num" w:pos="720"/>
        </w:tabs>
        <w:jc w:val="both"/>
        <w:rPr>
          <w:rFonts w:asciiTheme="majorBidi" w:hAnsiTheme="majorBidi" w:cstheme="majorBidi"/>
        </w:rPr>
      </w:pPr>
      <w:r w:rsidRPr="004E2543">
        <w:rPr>
          <w:rFonts w:asciiTheme="majorBidi" w:hAnsiTheme="majorBidi" w:cstheme="majorBidi"/>
        </w:rPr>
        <w:t>Close all unofficial places of detention operated by other security bodies in accordance with the Inmates Reform Law No. 14 of 2018, and transfer all detainees to official institutions subject to legal oversight.</w:t>
      </w:r>
    </w:p>
    <w:p w14:paraId="0F992E1C" w14:textId="574A9B81" w:rsidR="00FF5FE5" w:rsidRPr="000A38C7" w:rsidRDefault="006A3AD9" w:rsidP="000A38C7">
      <w:pPr>
        <w:numPr>
          <w:ilvl w:val="0"/>
          <w:numId w:val="63"/>
        </w:numPr>
        <w:tabs>
          <w:tab w:val="clear" w:pos="360"/>
          <w:tab w:val="num" w:pos="720"/>
        </w:tabs>
        <w:jc w:val="both"/>
        <w:rPr>
          <w:rFonts w:asciiTheme="majorBidi" w:hAnsiTheme="majorBidi" w:cstheme="majorBidi"/>
          <w:rtl/>
        </w:rPr>
      </w:pPr>
      <w:r w:rsidRPr="004E2543">
        <w:rPr>
          <w:rFonts w:asciiTheme="majorBidi" w:hAnsiTheme="majorBidi" w:cstheme="majorBidi"/>
        </w:rPr>
        <w:t>Ensure the equal application of the law to all armed groups by effectively implementing the June 2026 decision of the Supreme Judicial Council concerning the application of the Anti-Terrorism Law to drone operators equally and without exception to all armed factions, while publishing clear and transparent implementation mechanisms.</w:t>
      </w:r>
    </w:p>
    <w:sectPr w:rsidR="00FF5FE5" w:rsidRPr="000A38C7"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1E348" w14:textId="77777777" w:rsidR="008A3BF6" w:rsidRDefault="008A3BF6" w:rsidP="004F6D5A">
      <w:pPr>
        <w:spacing w:after="0" w:line="240" w:lineRule="auto"/>
      </w:pPr>
      <w:r>
        <w:separator/>
      </w:r>
    </w:p>
  </w:endnote>
  <w:endnote w:type="continuationSeparator" w:id="0">
    <w:p w14:paraId="5838FE1E" w14:textId="77777777" w:rsidR="008A3BF6" w:rsidRDefault="008A3BF6"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54D42" w14:textId="77777777" w:rsidR="008A3BF6" w:rsidRDefault="008A3BF6" w:rsidP="004F6D5A">
      <w:pPr>
        <w:spacing w:after="0" w:line="240" w:lineRule="auto"/>
      </w:pPr>
      <w:r>
        <w:separator/>
      </w:r>
    </w:p>
  </w:footnote>
  <w:footnote w:type="continuationSeparator" w:id="0">
    <w:p w14:paraId="1B13DEF9" w14:textId="77777777" w:rsidR="008A3BF6" w:rsidRDefault="008A3BF6" w:rsidP="004F6D5A">
      <w:pPr>
        <w:spacing w:after="0" w:line="240" w:lineRule="auto"/>
      </w:pPr>
      <w:r>
        <w:continuationSeparator/>
      </w:r>
    </w:p>
  </w:footnote>
  <w:footnote w:id="1">
    <w:p w14:paraId="154FEE7B" w14:textId="77777777" w:rsidR="006A3AD9" w:rsidRPr="000A38C7" w:rsidRDefault="006A3AD9" w:rsidP="006A3AD9">
      <w:pPr>
        <w:pStyle w:val="FootnoteText"/>
        <w:rPr>
          <w:rFonts w:asciiTheme="majorBidi" w:hAnsiTheme="majorBidi" w:cstheme="majorBidi"/>
          <w:sz w:val="16"/>
          <w:szCs w:val="16"/>
        </w:rPr>
      </w:pPr>
      <w:r w:rsidRPr="000A38C7">
        <w:rPr>
          <w:rStyle w:val="FootnoteReference"/>
          <w:rFonts w:asciiTheme="majorBidi" w:hAnsiTheme="majorBidi" w:cstheme="majorBidi"/>
          <w:sz w:val="16"/>
          <w:szCs w:val="16"/>
        </w:rPr>
        <w:footnoteRef/>
      </w:r>
      <w:r w:rsidRPr="000A38C7">
        <w:rPr>
          <w:rFonts w:asciiTheme="majorBidi" w:hAnsiTheme="majorBidi" w:cstheme="majorBidi"/>
          <w:sz w:val="16"/>
          <w:szCs w:val="16"/>
        </w:rPr>
        <w:t xml:space="preserve"> C4JR publishes a new report: The position of Iraqi civil society and survivor networks on Iraq’s request to end the mandate of the United Nations Investigative Team to Promote Accountability for Crimes Committed by Da'esh/ISIL (UNITAD) in September 2024, link: </w:t>
      </w:r>
      <w:hyperlink r:id="rId1" w:history="1">
        <w:r w:rsidRPr="000A38C7">
          <w:rPr>
            <w:rStyle w:val="Hyperlink"/>
            <w:rFonts w:asciiTheme="majorBidi" w:hAnsiTheme="majorBidi" w:cstheme="majorBidi"/>
            <w:sz w:val="16"/>
            <w:szCs w:val="16"/>
          </w:rPr>
          <w:t>https://tinyurl.com/2blwbl38</w:t>
        </w:r>
      </w:hyperlink>
      <w:r w:rsidRPr="000A38C7">
        <w:rPr>
          <w:rFonts w:asciiTheme="majorBidi" w:hAnsiTheme="majorBidi" w:cstheme="majorBidi"/>
          <w:sz w:val="16"/>
          <w:szCs w:val="16"/>
        </w:rPr>
        <w:t xml:space="preserve"> </w:t>
      </w:r>
    </w:p>
  </w:footnote>
  <w:footnote w:id="2">
    <w:p w14:paraId="367C965D" w14:textId="77777777" w:rsidR="006A3AD9" w:rsidRPr="000A38C7" w:rsidRDefault="006A3AD9" w:rsidP="006A3AD9">
      <w:pPr>
        <w:pStyle w:val="FootnoteText"/>
        <w:rPr>
          <w:rFonts w:asciiTheme="majorBidi" w:hAnsiTheme="majorBidi" w:cstheme="majorBidi"/>
          <w:sz w:val="16"/>
          <w:szCs w:val="16"/>
        </w:rPr>
      </w:pPr>
      <w:r w:rsidRPr="000A38C7">
        <w:rPr>
          <w:rStyle w:val="FootnoteReference"/>
          <w:rFonts w:asciiTheme="majorBidi" w:hAnsiTheme="majorBidi" w:cstheme="majorBidi"/>
          <w:sz w:val="16"/>
          <w:szCs w:val="16"/>
        </w:rPr>
        <w:footnoteRef/>
      </w:r>
      <w:r w:rsidRPr="000A38C7">
        <w:rPr>
          <w:rFonts w:asciiTheme="majorBidi" w:hAnsiTheme="majorBidi" w:cstheme="majorBidi"/>
          <w:sz w:val="16"/>
          <w:szCs w:val="16"/>
        </w:rPr>
        <w:t xml:space="preserve"> International Day for Victims of Enforced Disappearances. Missing people in Iraq are an ongoing dilemma, link: </w:t>
      </w:r>
      <w:hyperlink r:id="rId2" w:history="1">
        <w:r w:rsidRPr="000A38C7">
          <w:rPr>
            <w:rStyle w:val="Hyperlink"/>
            <w:rFonts w:asciiTheme="majorBidi" w:hAnsiTheme="majorBidi" w:cstheme="majorBidi"/>
            <w:sz w:val="16"/>
            <w:szCs w:val="16"/>
          </w:rPr>
          <w:t>https://tinyurl.com/2c843eld</w:t>
        </w:r>
      </w:hyperlink>
      <w:r w:rsidRPr="000A38C7">
        <w:rPr>
          <w:rFonts w:asciiTheme="majorBidi" w:hAnsiTheme="majorBidi" w:cstheme="majorBidi"/>
          <w:sz w:val="16"/>
          <w:szCs w:val="16"/>
        </w:rPr>
        <w:t xml:space="preserve"> </w:t>
      </w:r>
    </w:p>
  </w:footnote>
  <w:footnote w:id="3">
    <w:p w14:paraId="64A131AB" w14:textId="77777777" w:rsidR="006A3AD9" w:rsidRPr="000A38C7" w:rsidRDefault="006A3AD9" w:rsidP="006A3AD9">
      <w:pPr>
        <w:pStyle w:val="FootnoteText"/>
        <w:rPr>
          <w:rFonts w:asciiTheme="majorBidi" w:hAnsiTheme="majorBidi" w:cstheme="majorBidi"/>
          <w:sz w:val="16"/>
          <w:szCs w:val="16"/>
        </w:rPr>
      </w:pPr>
      <w:r w:rsidRPr="000A38C7">
        <w:rPr>
          <w:rStyle w:val="FootnoteReference"/>
          <w:rFonts w:asciiTheme="majorBidi" w:hAnsiTheme="majorBidi" w:cstheme="majorBidi"/>
          <w:sz w:val="16"/>
          <w:szCs w:val="16"/>
        </w:rPr>
        <w:footnoteRef/>
      </w:r>
      <w:r w:rsidRPr="000A38C7">
        <w:rPr>
          <w:rFonts w:asciiTheme="majorBidi" w:hAnsiTheme="majorBidi" w:cstheme="majorBidi"/>
          <w:sz w:val="16"/>
          <w:szCs w:val="16"/>
        </w:rPr>
        <w:t xml:space="preserve"> The Fair Compensation Alliance’s annual report on the Yazidi Women Survivors Law of 2024, link: </w:t>
      </w:r>
      <w:hyperlink r:id="rId3" w:history="1">
        <w:r w:rsidRPr="000A38C7">
          <w:rPr>
            <w:rStyle w:val="Hyperlink"/>
            <w:rFonts w:asciiTheme="majorBidi" w:hAnsiTheme="majorBidi" w:cstheme="majorBidi"/>
            <w:sz w:val="16"/>
            <w:szCs w:val="16"/>
          </w:rPr>
          <w:t>https://tinyurl.com/23qcfakl</w:t>
        </w:r>
      </w:hyperlink>
      <w:r w:rsidRPr="000A38C7">
        <w:rPr>
          <w:rFonts w:asciiTheme="majorBidi" w:hAnsiTheme="majorBidi" w:cstheme="majorBidi"/>
          <w:sz w:val="16"/>
          <w:szCs w:val="16"/>
        </w:rPr>
        <w:t xml:space="preserve"> </w:t>
      </w:r>
    </w:p>
  </w:footnote>
  <w:footnote w:id="4">
    <w:p w14:paraId="16FB5CB1" w14:textId="77777777" w:rsidR="006A3AD9" w:rsidRPr="000A38C7" w:rsidRDefault="006A3AD9" w:rsidP="006A3AD9">
      <w:pPr>
        <w:pStyle w:val="FootnoteText"/>
        <w:rPr>
          <w:rFonts w:asciiTheme="majorBidi" w:hAnsiTheme="majorBidi" w:cstheme="majorBidi"/>
          <w:sz w:val="16"/>
          <w:szCs w:val="16"/>
        </w:rPr>
      </w:pPr>
      <w:r w:rsidRPr="000A38C7">
        <w:rPr>
          <w:rStyle w:val="FootnoteReference"/>
          <w:rFonts w:asciiTheme="majorBidi" w:hAnsiTheme="majorBidi" w:cstheme="majorBidi"/>
          <w:sz w:val="16"/>
          <w:szCs w:val="16"/>
        </w:rPr>
        <w:footnoteRef/>
      </w:r>
      <w:r w:rsidRPr="000A38C7">
        <w:rPr>
          <w:rFonts w:asciiTheme="majorBidi" w:hAnsiTheme="majorBidi" w:cstheme="majorBidi"/>
          <w:sz w:val="16"/>
          <w:szCs w:val="16"/>
        </w:rPr>
        <w:t xml:space="preserve"> Evaluation of the Anti-Terrorism Law in Iraq No. 13 of 2005, link: </w:t>
      </w:r>
      <w:hyperlink r:id="rId4" w:history="1">
        <w:r w:rsidRPr="000A38C7">
          <w:rPr>
            <w:rStyle w:val="Hyperlink"/>
            <w:rFonts w:asciiTheme="majorBidi" w:hAnsiTheme="majorBidi" w:cstheme="majorBidi"/>
            <w:sz w:val="16"/>
            <w:szCs w:val="16"/>
          </w:rPr>
          <w:t>https://tinyurl.com/22vm6uc4</w:t>
        </w:r>
      </w:hyperlink>
      <w:r w:rsidRPr="000A38C7">
        <w:rPr>
          <w:rFonts w:asciiTheme="majorBidi" w:hAnsiTheme="majorBidi" w:cstheme="majorBidi"/>
          <w:sz w:val="16"/>
          <w:szCs w:val="16"/>
        </w:rPr>
        <w:t xml:space="preserve"> </w:t>
      </w:r>
    </w:p>
  </w:footnote>
  <w:footnote w:id="5">
    <w:p w14:paraId="441FB789" w14:textId="77777777" w:rsidR="006A3AD9" w:rsidRPr="000A38C7" w:rsidRDefault="006A3AD9" w:rsidP="006A3AD9">
      <w:pPr>
        <w:pStyle w:val="FootnoteText"/>
        <w:rPr>
          <w:rFonts w:asciiTheme="majorBidi" w:hAnsiTheme="majorBidi" w:cstheme="majorBidi"/>
          <w:sz w:val="16"/>
          <w:szCs w:val="16"/>
        </w:rPr>
      </w:pPr>
      <w:r w:rsidRPr="000A38C7">
        <w:rPr>
          <w:rStyle w:val="FootnoteReference"/>
          <w:rFonts w:asciiTheme="majorBidi" w:hAnsiTheme="majorBidi" w:cstheme="majorBidi"/>
          <w:sz w:val="16"/>
          <w:szCs w:val="16"/>
        </w:rPr>
        <w:footnoteRef/>
      </w:r>
      <w:r w:rsidRPr="000A38C7">
        <w:rPr>
          <w:rFonts w:asciiTheme="majorBidi" w:hAnsiTheme="majorBidi" w:cstheme="majorBidi"/>
          <w:sz w:val="16"/>
          <w:szCs w:val="16"/>
        </w:rPr>
        <w:t xml:space="preserve"> The Supreme Judicial Council directs the competent courts to apply the provisions of the Anti-Terrorism Law No. (13) of 2005 to anyone who manufactures, uses, or possesses drones that are used for purposes that violate the law, June 24, 2026, link: </w:t>
      </w:r>
      <w:hyperlink r:id="rId5" w:history="1">
        <w:r w:rsidRPr="000A38C7">
          <w:rPr>
            <w:rStyle w:val="Hyperlink"/>
            <w:rFonts w:asciiTheme="majorBidi" w:hAnsiTheme="majorBidi" w:cstheme="majorBidi"/>
            <w:sz w:val="16"/>
            <w:szCs w:val="16"/>
          </w:rPr>
          <w:t>https://tinyurl.com/29d8bhvz</w:t>
        </w:r>
      </w:hyperlink>
      <w:r w:rsidRPr="000A38C7">
        <w:rPr>
          <w:rFonts w:asciiTheme="majorBidi" w:hAnsiTheme="majorBidi" w:cstheme="majorBidi"/>
          <w:sz w:val="16"/>
          <w:szCs w:val="16"/>
        </w:rPr>
        <w:t xml:space="preserve"> </w:t>
      </w:r>
    </w:p>
  </w:footnote>
  <w:footnote w:id="6">
    <w:p w14:paraId="0FD0D651" w14:textId="77777777" w:rsidR="006A3AD9" w:rsidRPr="000A38C7" w:rsidRDefault="006A3AD9" w:rsidP="006A3AD9">
      <w:pPr>
        <w:pStyle w:val="FootnoteText"/>
        <w:rPr>
          <w:rFonts w:asciiTheme="majorBidi" w:hAnsiTheme="majorBidi" w:cstheme="majorBidi"/>
          <w:sz w:val="16"/>
          <w:szCs w:val="16"/>
        </w:rPr>
      </w:pPr>
      <w:r w:rsidRPr="000A38C7">
        <w:rPr>
          <w:rStyle w:val="FootnoteReference"/>
          <w:rFonts w:asciiTheme="majorBidi" w:hAnsiTheme="majorBidi" w:cstheme="majorBidi"/>
          <w:sz w:val="16"/>
          <w:szCs w:val="16"/>
        </w:rPr>
        <w:footnoteRef/>
      </w:r>
      <w:r w:rsidRPr="000A38C7">
        <w:rPr>
          <w:rFonts w:asciiTheme="majorBidi" w:hAnsiTheme="majorBidi" w:cstheme="majorBidi"/>
          <w:sz w:val="16"/>
          <w:szCs w:val="16"/>
        </w:rPr>
        <w:t xml:space="preserve"> Widespread rejection of the return of mass executions in Iraq, May 18, 2024, link: </w:t>
      </w:r>
      <w:hyperlink r:id="rId6" w:history="1">
        <w:r w:rsidRPr="000A38C7">
          <w:rPr>
            <w:rStyle w:val="Hyperlink"/>
            <w:rFonts w:asciiTheme="majorBidi" w:hAnsiTheme="majorBidi" w:cstheme="majorBidi"/>
            <w:sz w:val="16"/>
            <w:szCs w:val="16"/>
          </w:rPr>
          <w:t>https://tinyurl.com/26lenagu</w:t>
        </w:r>
      </w:hyperlink>
      <w:r w:rsidRPr="000A38C7">
        <w:rPr>
          <w:rFonts w:asciiTheme="majorBidi" w:hAnsiTheme="majorBidi" w:cstheme="majorBidi"/>
          <w:sz w:val="16"/>
          <w:szCs w:val="16"/>
        </w:rPr>
        <w:t xml:space="preserve"> </w:t>
      </w:r>
    </w:p>
  </w:footnote>
  <w:footnote w:id="7">
    <w:p w14:paraId="59BAA935" w14:textId="77777777" w:rsidR="006A3AD9" w:rsidRPr="000A38C7" w:rsidRDefault="006A3AD9" w:rsidP="006A3AD9">
      <w:pPr>
        <w:pStyle w:val="FootnoteText"/>
        <w:rPr>
          <w:rFonts w:asciiTheme="majorBidi" w:hAnsiTheme="majorBidi" w:cstheme="majorBidi"/>
          <w:sz w:val="16"/>
          <w:szCs w:val="16"/>
        </w:rPr>
      </w:pPr>
      <w:r w:rsidRPr="000A38C7">
        <w:rPr>
          <w:rStyle w:val="FootnoteReference"/>
          <w:rFonts w:asciiTheme="majorBidi" w:hAnsiTheme="majorBidi" w:cstheme="majorBidi"/>
          <w:sz w:val="16"/>
          <w:szCs w:val="16"/>
        </w:rPr>
        <w:footnoteRef/>
      </w:r>
      <w:r w:rsidRPr="000A38C7">
        <w:rPr>
          <w:rFonts w:asciiTheme="majorBidi" w:hAnsiTheme="majorBidi" w:cstheme="majorBidi"/>
          <w:sz w:val="16"/>
          <w:szCs w:val="16"/>
        </w:rPr>
        <w:t xml:space="preserve"> The General Amnesty Law collides with interpretations that undermine the principle of equality. Link: </w:t>
      </w:r>
      <w:hyperlink r:id="rId7" w:history="1">
        <w:r w:rsidRPr="000A38C7">
          <w:rPr>
            <w:rStyle w:val="Hyperlink"/>
            <w:rFonts w:asciiTheme="majorBidi" w:hAnsiTheme="majorBidi" w:cstheme="majorBidi"/>
            <w:sz w:val="16"/>
            <w:szCs w:val="16"/>
          </w:rPr>
          <w:t>https://tinyurl.com/2ynfwphq</w:t>
        </w:r>
      </w:hyperlink>
      <w:r w:rsidRPr="000A38C7">
        <w:rPr>
          <w:rFonts w:asciiTheme="majorBidi" w:hAnsiTheme="majorBidi" w:cstheme="majorBidi"/>
          <w:sz w:val="16"/>
          <w:szCs w:val="16"/>
        </w:rPr>
        <w:t xml:space="preserve"> </w:t>
      </w:r>
    </w:p>
  </w:footnote>
  <w:footnote w:id="8">
    <w:p w14:paraId="68FA308A" w14:textId="77777777" w:rsidR="006A3AD9" w:rsidRPr="000A38C7" w:rsidRDefault="006A3AD9" w:rsidP="006A3AD9">
      <w:pPr>
        <w:pStyle w:val="FootnoteText"/>
        <w:rPr>
          <w:rFonts w:asciiTheme="majorBidi" w:hAnsiTheme="majorBidi" w:cstheme="majorBidi"/>
          <w:sz w:val="16"/>
          <w:szCs w:val="16"/>
        </w:rPr>
      </w:pPr>
      <w:r w:rsidRPr="000A38C7">
        <w:rPr>
          <w:rStyle w:val="FootnoteReference"/>
          <w:rFonts w:asciiTheme="majorBidi" w:hAnsiTheme="majorBidi" w:cstheme="majorBidi"/>
          <w:sz w:val="16"/>
          <w:szCs w:val="16"/>
        </w:rPr>
        <w:footnoteRef/>
      </w:r>
      <w:r w:rsidRPr="000A38C7">
        <w:rPr>
          <w:rFonts w:asciiTheme="majorBidi" w:hAnsiTheme="majorBidi" w:cstheme="majorBidi"/>
          <w:sz w:val="16"/>
          <w:szCs w:val="16"/>
        </w:rPr>
        <w:t xml:space="preserve"> Secrets of Iraqi Prisons in Figures on Corruption and Revenge, August 18, 2023, link: </w:t>
      </w:r>
      <w:hyperlink r:id="rId8" w:history="1">
        <w:r w:rsidRPr="000A38C7">
          <w:rPr>
            <w:rStyle w:val="Hyperlink"/>
            <w:rFonts w:asciiTheme="majorBidi" w:hAnsiTheme="majorBidi" w:cstheme="majorBidi"/>
            <w:sz w:val="16"/>
            <w:szCs w:val="16"/>
          </w:rPr>
          <w:t>https://tinyurl.com/2yoca7xl</w:t>
        </w:r>
      </w:hyperlink>
      <w:r w:rsidRPr="000A38C7">
        <w:rPr>
          <w:rFonts w:asciiTheme="majorBidi" w:hAnsiTheme="majorBidi" w:cstheme="majorBidi"/>
          <w:sz w:val="16"/>
          <w:szCs w:val="16"/>
        </w:rPr>
        <w:t xml:space="preserve"> </w:t>
      </w:r>
    </w:p>
  </w:footnote>
  <w:footnote w:id="9">
    <w:p w14:paraId="6125199D" w14:textId="77777777" w:rsidR="006A3AD9" w:rsidRPr="000A38C7" w:rsidRDefault="006A3AD9" w:rsidP="006A3AD9">
      <w:pPr>
        <w:pStyle w:val="FootnoteText"/>
        <w:rPr>
          <w:rFonts w:asciiTheme="majorBidi" w:hAnsiTheme="majorBidi" w:cstheme="majorBidi"/>
          <w:sz w:val="16"/>
          <w:szCs w:val="16"/>
        </w:rPr>
      </w:pPr>
      <w:r w:rsidRPr="000A38C7">
        <w:rPr>
          <w:rStyle w:val="FootnoteReference"/>
          <w:rFonts w:asciiTheme="majorBidi" w:hAnsiTheme="majorBidi" w:cstheme="majorBidi"/>
          <w:sz w:val="16"/>
          <w:szCs w:val="16"/>
        </w:rPr>
        <w:footnoteRef/>
      </w:r>
      <w:r w:rsidRPr="000A38C7">
        <w:rPr>
          <w:rFonts w:asciiTheme="majorBidi" w:hAnsiTheme="majorBidi" w:cstheme="majorBidi"/>
          <w:sz w:val="16"/>
          <w:szCs w:val="16"/>
        </w:rPr>
        <w:t xml:space="preserve"> Ibid</w:t>
      </w:r>
    </w:p>
  </w:footnote>
  <w:footnote w:id="10">
    <w:p w14:paraId="6754830F" w14:textId="77777777" w:rsidR="006A3AD9" w:rsidRPr="000A38C7" w:rsidRDefault="006A3AD9" w:rsidP="006A3AD9">
      <w:pPr>
        <w:pStyle w:val="FootnoteText"/>
        <w:rPr>
          <w:rFonts w:asciiTheme="majorBidi" w:hAnsiTheme="majorBidi" w:cstheme="majorBidi"/>
          <w:sz w:val="16"/>
          <w:szCs w:val="16"/>
        </w:rPr>
      </w:pPr>
      <w:r w:rsidRPr="000A38C7">
        <w:rPr>
          <w:rStyle w:val="FootnoteReference"/>
          <w:rFonts w:asciiTheme="majorBidi" w:hAnsiTheme="majorBidi" w:cstheme="majorBidi"/>
          <w:sz w:val="16"/>
          <w:szCs w:val="16"/>
        </w:rPr>
        <w:footnoteRef/>
      </w:r>
      <w:r w:rsidRPr="000A38C7">
        <w:rPr>
          <w:rFonts w:asciiTheme="majorBidi" w:hAnsiTheme="majorBidi" w:cstheme="majorBidi"/>
          <w:sz w:val="16"/>
          <w:szCs w:val="16"/>
        </w:rPr>
        <w:t xml:space="preserve"> The death of 400 prisoners and detainees inside Iraqi prisons during the year 2025, May 25, 2026, link: </w:t>
      </w:r>
      <w:hyperlink r:id="rId9" w:history="1">
        <w:r w:rsidRPr="000A38C7">
          <w:rPr>
            <w:rStyle w:val="Hyperlink"/>
            <w:rFonts w:asciiTheme="majorBidi" w:hAnsiTheme="majorBidi" w:cstheme="majorBidi"/>
            <w:sz w:val="16"/>
            <w:szCs w:val="16"/>
          </w:rPr>
          <w:t>https://tinyurl.com/28cb76yu</w:t>
        </w:r>
      </w:hyperlink>
      <w:r w:rsidRPr="000A38C7">
        <w:rPr>
          <w:rFonts w:asciiTheme="majorBidi" w:hAnsiTheme="majorBidi" w:cstheme="majorBidi"/>
          <w:sz w:val="16"/>
          <w:szCs w:val="16"/>
        </w:rPr>
        <w:t xml:space="preserve"> </w:t>
      </w:r>
    </w:p>
  </w:footnote>
  <w:footnote w:id="11">
    <w:p w14:paraId="3034CD49" w14:textId="77777777" w:rsidR="006A3AD9" w:rsidRPr="000A38C7" w:rsidRDefault="006A3AD9" w:rsidP="006A3AD9">
      <w:pPr>
        <w:pStyle w:val="FootnoteText"/>
        <w:rPr>
          <w:rFonts w:asciiTheme="majorBidi" w:hAnsiTheme="majorBidi" w:cstheme="majorBidi"/>
          <w:sz w:val="16"/>
          <w:szCs w:val="16"/>
        </w:rPr>
      </w:pPr>
      <w:r w:rsidRPr="000A38C7">
        <w:rPr>
          <w:rStyle w:val="FootnoteReference"/>
          <w:rFonts w:asciiTheme="majorBidi" w:hAnsiTheme="majorBidi" w:cstheme="majorBidi"/>
          <w:sz w:val="16"/>
          <w:szCs w:val="16"/>
        </w:rPr>
        <w:footnoteRef/>
      </w:r>
      <w:r w:rsidRPr="000A38C7">
        <w:rPr>
          <w:rFonts w:asciiTheme="majorBidi" w:hAnsiTheme="majorBidi" w:cstheme="majorBidi"/>
          <w:sz w:val="16"/>
          <w:szCs w:val="16"/>
        </w:rPr>
        <w:t xml:space="preserve"> Deaths are rising and warnings are repeated “without solutions” ... Are Iraq’s prisons turning into silent graves? October 8, 2025, link: </w:t>
      </w:r>
      <w:hyperlink r:id="rId10" w:history="1">
        <w:r w:rsidRPr="000A38C7">
          <w:rPr>
            <w:rStyle w:val="Hyperlink"/>
            <w:rFonts w:asciiTheme="majorBidi" w:hAnsiTheme="majorBidi" w:cstheme="majorBidi"/>
            <w:sz w:val="16"/>
            <w:szCs w:val="16"/>
          </w:rPr>
          <w:t>https://tinyurl.com/273y2sx2</w:t>
        </w:r>
      </w:hyperlink>
      <w:r w:rsidRPr="000A38C7">
        <w:rPr>
          <w:rFonts w:asciiTheme="majorBidi" w:hAnsiTheme="majorBidi" w:cstheme="maj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lang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30EC"/>
    <w:multiLevelType w:val="hybridMultilevel"/>
    <w:tmpl w:val="FEF23BF4"/>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230A0F"/>
    <w:multiLevelType w:val="hybridMultilevel"/>
    <w:tmpl w:val="210C3A14"/>
    <w:lvl w:ilvl="0" w:tplc="124C4772">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085395F"/>
    <w:multiLevelType w:val="multilevel"/>
    <w:tmpl w:val="5CF0E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611B23"/>
    <w:multiLevelType w:val="hybridMultilevel"/>
    <w:tmpl w:val="15C8D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8D2A7B"/>
    <w:multiLevelType w:val="hybridMultilevel"/>
    <w:tmpl w:val="E5C41E70"/>
    <w:lvl w:ilvl="0" w:tplc="E4A2C9A8">
      <w:start w:val="1"/>
      <w:numFmt w:val="decimal"/>
      <w:lvlText w:val="%1."/>
      <w:lvlJc w:val="left"/>
      <w:pPr>
        <w:ind w:left="405" w:hanging="40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3121F5E"/>
    <w:multiLevelType w:val="hybridMultilevel"/>
    <w:tmpl w:val="FD7043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141ABA"/>
    <w:multiLevelType w:val="multilevel"/>
    <w:tmpl w:val="FBAA4B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F6627D5"/>
    <w:multiLevelType w:val="hybridMultilevel"/>
    <w:tmpl w:val="A894C0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4682BD2"/>
    <w:multiLevelType w:val="hybridMultilevel"/>
    <w:tmpl w:val="A762D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9EB2DF9"/>
    <w:multiLevelType w:val="multilevel"/>
    <w:tmpl w:val="D67AB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4C325A9B"/>
    <w:multiLevelType w:val="hybridMultilevel"/>
    <w:tmpl w:val="F10E6E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D53309C"/>
    <w:multiLevelType w:val="multilevel"/>
    <w:tmpl w:val="23B40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69B11BD"/>
    <w:multiLevelType w:val="hybridMultilevel"/>
    <w:tmpl w:val="512467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AE764FB"/>
    <w:multiLevelType w:val="multilevel"/>
    <w:tmpl w:val="55F2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6C8C0842"/>
    <w:multiLevelType w:val="multilevel"/>
    <w:tmpl w:val="0130DC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1"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2E259D"/>
    <w:multiLevelType w:val="hybridMultilevel"/>
    <w:tmpl w:val="5290B222"/>
    <w:lvl w:ilvl="0" w:tplc="0C0EB82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08B47DF"/>
    <w:multiLevelType w:val="multilevel"/>
    <w:tmpl w:val="E95A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0C46772"/>
    <w:multiLevelType w:val="multilevel"/>
    <w:tmpl w:val="7756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0358AD"/>
    <w:multiLevelType w:val="hybridMultilevel"/>
    <w:tmpl w:val="4D9A6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50474DA"/>
    <w:multiLevelType w:val="hybridMultilevel"/>
    <w:tmpl w:val="57467B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1"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8"/>
  </w:num>
  <w:num w:numId="2" w16cid:durableId="319427900">
    <w:abstractNumId w:val="8"/>
  </w:num>
  <w:num w:numId="3" w16cid:durableId="483819352">
    <w:abstractNumId w:val="2"/>
  </w:num>
  <w:num w:numId="4" w16cid:durableId="1550531087">
    <w:abstractNumId w:val="21"/>
  </w:num>
  <w:num w:numId="5" w16cid:durableId="365302262">
    <w:abstractNumId w:val="5"/>
  </w:num>
  <w:num w:numId="6" w16cid:durableId="1490904455">
    <w:abstractNumId w:val="44"/>
  </w:num>
  <w:num w:numId="7" w16cid:durableId="1975796718">
    <w:abstractNumId w:val="57"/>
  </w:num>
  <w:num w:numId="8" w16cid:durableId="168910388">
    <w:abstractNumId w:val="61"/>
  </w:num>
  <w:num w:numId="9" w16cid:durableId="864364265">
    <w:abstractNumId w:val="42"/>
  </w:num>
  <w:num w:numId="10" w16cid:durableId="1110662610">
    <w:abstractNumId w:val="46"/>
  </w:num>
  <w:num w:numId="11" w16cid:durableId="48504678">
    <w:abstractNumId w:val="35"/>
  </w:num>
  <w:num w:numId="12" w16cid:durableId="1057243330">
    <w:abstractNumId w:val="60"/>
  </w:num>
  <w:num w:numId="13" w16cid:durableId="113838224">
    <w:abstractNumId w:val="33"/>
  </w:num>
  <w:num w:numId="14" w16cid:durableId="1819300015">
    <w:abstractNumId w:val="11"/>
  </w:num>
  <w:num w:numId="15" w16cid:durableId="1354769003">
    <w:abstractNumId w:val="40"/>
  </w:num>
  <w:num w:numId="16" w16cid:durableId="765884069">
    <w:abstractNumId w:val="22"/>
  </w:num>
  <w:num w:numId="17" w16cid:durableId="1830708544">
    <w:abstractNumId w:val="1"/>
  </w:num>
  <w:num w:numId="18" w16cid:durableId="1195772453">
    <w:abstractNumId w:val="30"/>
  </w:num>
  <w:num w:numId="19" w16cid:durableId="116266373">
    <w:abstractNumId w:val="3"/>
  </w:num>
  <w:num w:numId="20" w16cid:durableId="1165899663">
    <w:abstractNumId w:val="17"/>
  </w:num>
  <w:num w:numId="21" w16cid:durableId="1921870603">
    <w:abstractNumId w:val="63"/>
  </w:num>
  <w:num w:numId="22" w16cid:durableId="1106846340">
    <w:abstractNumId w:val="20"/>
  </w:num>
  <w:num w:numId="23" w16cid:durableId="1120413215">
    <w:abstractNumId w:val="27"/>
  </w:num>
  <w:num w:numId="24" w16cid:durableId="884490536">
    <w:abstractNumId w:val="43"/>
  </w:num>
  <w:num w:numId="25" w16cid:durableId="1098991049">
    <w:abstractNumId w:val="49"/>
  </w:num>
  <w:num w:numId="26" w16cid:durableId="631596808">
    <w:abstractNumId w:val="12"/>
  </w:num>
  <w:num w:numId="27" w16cid:durableId="1306087360">
    <w:abstractNumId w:val="10"/>
  </w:num>
  <w:num w:numId="28" w16cid:durableId="909191109">
    <w:abstractNumId w:val="36"/>
  </w:num>
  <w:num w:numId="29" w16cid:durableId="556204899">
    <w:abstractNumId w:val="37"/>
  </w:num>
  <w:num w:numId="30" w16cid:durableId="1668284805">
    <w:abstractNumId w:val="23"/>
  </w:num>
  <w:num w:numId="31" w16cid:durableId="1777868951">
    <w:abstractNumId w:val="34"/>
  </w:num>
  <w:num w:numId="32" w16cid:durableId="1614898655">
    <w:abstractNumId w:val="9"/>
  </w:num>
  <w:num w:numId="33" w16cid:durableId="364449577">
    <w:abstractNumId w:val="19"/>
  </w:num>
  <w:num w:numId="34" w16cid:durableId="248081818">
    <w:abstractNumId w:val="59"/>
  </w:num>
  <w:num w:numId="35" w16cid:durableId="1742749116">
    <w:abstractNumId w:val="51"/>
  </w:num>
  <w:num w:numId="36" w16cid:durableId="1632056943">
    <w:abstractNumId w:val="39"/>
  </w:num>
  <w:num w:numId="37" w16cid:durableId="16198188">
    <w:abstractNumId w:val="48"/>
  </w:num>
  <w:num w:numId="38" w16cid:durableId="995642619">
    <w:abstractNumId w:val="31"/>
  </w:num>
  <w:num w:numId="39" w16cid:durableId="1951429902">
    <w:abstractNumId w:val="62"/>
  </w:num>
  <w:num w:numId="40" w16cid:durableId="1660618793">
    <w:abstractNumId w:val="32"/>
  </w:num>
  <w:num w:numId="41" w16cid:durableId="566649021">
    <w:abstractNumId w:val="58"/>
  </w:num>
  <w:num w:numId="42" w16cid:durableId="230387690">
    <w:abstractNumId w:val="25"/>
  </w:num>
  <w:num w:numId="43" w16cid:durableId="335613693">
    <w:abstractNumId w:val="4"/>
  </w:num>
  <w:num w:numId="44" w16cid:durableId="1955866269">
    <w:abstractNumId w:val="7"/>
  </w:num>
  <w:num w:numId="45" w16cid:durableId="1236166310">
    <w:abstractNumId w:val="41"/>
  </w:num>
  <w:num w:numId="46" w16cid:durableId="1135757983">
    <w:abstractNumId w:val="53"/>
  </w:num>
  <w:num w:numId="47" w16cid:durableId="1772360755">
    <w:abstractNumId w:val="47"/>
  </w:num>
  <w:num w:numId="48" w16cid:durableId="562985464">
    <w:abstractNumId w:val="13"/>
  </w:num>
  <w:num w:numId="49" w16cid:durableId="1870022964">
    <w:abstractNumId w:val="29"/>
  </w:num>
  <w:num w:numId="50" w16cid:durableId="373162735">
    <w:abstractNumId w:val="54"/>
  </w:num>
  <w:num w:numId="51" w16cid:durableId="844592064">
    <w:abstractNumId w:val="18"/>
  </w:num>
  <w:num w:numId="52" w16cid:durableId="682244457">
    <w:abstractNumId w:val="14"/>
  </w:num>
  <w:num w:numId="53" w16cid:durableId="605160969">
    <w:abstractNumId w:val="15"/>
  </w:num>
  <w:num w:numId="54" w16cid:durableId="226651262">
    <w:abstractNumId w:val="45"/>
  </w:num>
  <w:num w:numId="55" w16cid:durableId="792362620">
    <w:abstractNumId w:val="16"/>
  </w:num>
  <w:num w:numId="56" w16cid:durableId="1907451665">
    <w:abstractNumId w:val="26"/>
  </w:num>
  <w:num w:numId="57" w16cid:durableId="750152853">
    <w:abstractNumId w:val="38"/>
  </w:num>
  <w:num w:numId="58" w16cid:durableId="1980304613">
    <w:abstractNumId w:val="55"/>
  </w:num>
  <w:num w:numId="59" w16cid:durableId="548999783">
    <w:abstractNumId w:val="24"/>
  </w:num>
  <w:num w:numId="60" w16cid:durableId="1187408458">
    <w:abstractNumId w:val="56"/>
  </w:num>
  <w:num w:numId="61" w16cid:durableId="2028097834">
    <w:abstractNumId w:val="0"/>
  </w:num>
  <w:num w:numId="62" w16cid:durableId="196507285">
    <w:abstractNumId w:val="52"/>
  </w:num>
  <w:num w:numId="63" w16cid:durableId="325012440">
    <w:abstractNumId w:val="50"/>
  </w:num>
  <w:num w:numId="64" w16cid:durableId="19664962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50"/>
    <w:rsid w:val="00015BCC"/>
    <w:rsid w:val="0002084A"/>
    <w:rsid w:val="00042C6F"/>
    <w:rsid w:val="0004495D"/>
    <w:rsid w:val="0004619A"/>
    <w:rsid w:val="00046C49"/>
    <w:rsid w:val="00047ED5"/>
    <w:rsid w:val="00050B79"/>
    <w:rsid w:val="00067F6E"/>
    <w:rsid w:val="00086352"/>
    <w:rsid w:val="00093D9F"/>
    <w:rsid w:val="0009467C"/>
    <w:rsid w:val="000A0E24"/>
    <w:rsid w:val="000A1102"/>
    <w:rsid w:val="000A38C7"/>
    <w:rsid w:val="000B5D57"/>
    <w:rsid w:val="000B6F75"/>
    <w:rsid w:val="000C5FAC"/>
    <w:rsid w:val="000C7C14"/>
    <w:rsid w:val="000D0F83"/>
    <w:rsid w:val="00101544"/>
    <w:rsid w:val="00107673"/>
    <w:rsid w:val="00114CCA"/>
    <w:rsid w:val="001167C4"/>
    <w:rsid w:val="001520D3"/>
    <w:rsid w:val="00156C09"/>
    <w:rsid w:val="001668A8"/>
    <w:rsid w:val="001931EE"/>
    <w:rsid w:val="00196443"/>
    <w:rsid w:val="001A6E66"/>
    <w:rsid w:val="001B13EB"/>
    <w:rsid w:val="001B450B"/>
    <w:rsid w:val="001C7043"/>
    <w:rsid w:val="001D1DBC"/>
    <w:rsid w:val="001D4419"/>
    <w:rsid w:val="001D532C"/>
    <w:rsid w:val="001D6213"/>
    <w:rsid w:val="001F354D"/>
    <w:rsid w:val="001F47FD"/>
    <w:rsid w:val="001F78AB"/>
    <w:rsid w:val="00213E34"/>
    <w:rsid w:val="002257CD"/>
    <w:rsid w:val="002305C5"/>
    <w:rsid w:val="002533B2"/>
    <w:rsid w:val="00270D2C"/>
    <w:rsid w:val="00284AAE"/>
    <w:rsid w:val="0028723E"/>
    <w:rsid w:val="002876FE"/>
    <w:rsid w:val="0029400A"/>
    <w:rsid w:val="002B3176"/>
    <w:rsid w:val="002C79F5"/>
    <w:rsid w:val="002D0B34"/>
    <w:rsid w:val="002D5B01"/>
    <w:rsid w:val="002D65A3"/>
    <w:rsid w:val="002D7273"/>
    <w:rsid w:val="002E028A"/>
    <w:rsid w:val="002F00BC"/>
    <w:rsid w:val="00307051"/>
    <w:rsid w:val="003216C7"/>
    <w:rsid w:val="00326F85"/>
    <w:rsid w:val="003319F3"/>
    <w:rsid w:val="0033662F"/>
    <w:rsid w:val="003439F7"/>
    <w:rsid w:val="00360DAB"/>
    <w:rsid w:val="00371F59"/>
    <w:rsid w:val="00372B51"/>
    <w:rsid w:val="0038184B"/>
    <w:rsid w:val="00383811"/>
    <w:rsid w:val="00390234"/>
    <w:rsid w:val="003A0EBE"/>
    <w:rsid w:val="003A1F96"/>
    <w:rsid w:val="003A60A9"/>
    <w:rsid w:val="003A745E"/>
    <w:rsid w:val="003B6A40"/>
    <w:rsid w:val="003B7C83"/>
    <w:rsid w:val="003C01C1"/>
    <w:rsid w:val="00401F8D"/>
    <w:rsid w:val="004055DB"/>
    <w:rsid w:val="004134D4"/>
    <w:rsid w:val="00414D42"/>
    <w:rsid w:val="00424B8B"/>
    <w:rsid w:val="004273C5"/>
    <w:rsid w:val="00434DDB"/>
    <w:rsid w:val="00436AE3"/>
    <w:rsid w:val="004650D2"/>
    <w:rsid w:val="00477C56"/>
    <w:rsid w:val="00484A19"/>
    <w:rsid w:val="00490571"/>
    <w:rsid w:val="0049174B"/>
    <w:rsid w:val="004A7201"/>
    <w:rsid w:val="004E4E5C"/>
    <w:rsid w:val="004F0624"/>
    <w:rsid w:val="004F28E4"/>
    <w:rsid w:val="004F6D5A"/>
    <w:rsid w:val="004F6EC6"/>
    <w:rsid w:val="004F7950"/>
    <w:rsid w:val="005025C7"/>
    <w:rsid w:val="00505CB3"/>
    <w:rsid w:val="005132DF"/>
    <w:rsid w:val="005148DF"/>
    <w:rsid w:val="0051677C"/>
    <w:rsid w:val="00531689"/>
    <w:rsid w:val="00531CED"/>
    <w:rsid w:val="00543435"/>
    <w:rsid w:val="005612DD"/>
    <w:rsid w:val="00566EF4"/>
    <w:rsid w:val="005779BB"/>
    <w:rsid w:val="0058685C"/>
    <w:rsid w:val="005A3794"/>
    <w:rsid w:val="005A38AA"/>
    <w:rsid w:val="005B3A8D"/>
    <w:rsid w:val="005C3446"/>
    <w:rsid w:val="005C5962"/>
    <w:rsid w:val="005D38D7"/>
    <w:rsid w:val="005E2E96"/>
    <w:rsid w:val="005E642C"/>
    <w:rsid w:val="006057A0"/>
    <w:rsid w:val="006105E2"/>
    <w:rsid w:val="00640577"/>
    <w:rsid w:val="006412F6"/>
    <w:rsid w:val="006416BE"/>
    <w:rsid w:val="00644334"/>
    <w:rsid w:val="00644785"/>
    <w:rsid w:val="00646A53"/>
    <w:rsid w:val="00672737"/>
    <w:rsid w:val="006807A3"/>
    <w:rsid w:val="00682278"/>
    <w:rsid w:val="00683E71"/>
    <w:rsid w:val="00690C3F"/>
    <w:rsid w:val="00693967"/>
    <w:rsid w:val="006946CB"/>
    <w:rsid w:val="006A3AD9"/>
    <w:rsid w:val="006B1AFB"/>
    <w:rsid w:val="006C53FC"/>
    <w:rsid w:val="006D3370"/>
    <w:rsid w:val="006E24B7"/>
    <w:rsid w:val="006F5D15"/>
    <w:rsid w:val="007110B7"/>
    <w:rsid w:val="00713444"/>
    <w:rsid w:val="00720C57"/>
    <w:rsid w:val="007343CC"/>
    <w:rsid w:val="00737F10"/>
    <w:rsid w:val="00741D51"/>
    <w:rsid w:val="007421E4"/>
    <w:rsid w:val="0074772B"/>
    <w:rsid w:val="0075015E"/>
    <w:rsid w:val="00755B2C"/>
    <w:rsid w:val="00771104"/>
    <w:rsid w:val="007733D2"/>
    <w:rsid w:val="00786D2C"/>
    <w:rsid w:val="007A17F9"/>
    <w:rsid w:val="007A3C77"/>
    <w:rsid w:val="007B5697"/>
    <w:rsid w:val="007C2144"/>
    <w:rsid w:val="007C3E73"/>
    <w:rsid w:val="007E38ED"/>
    <w:rsid w:val="007E56C8"/>
    <w:rsid w:val="007F62CB"/>
    <w:rsid w:val="00823531"/>
    <w:rsid w:val="00823F46"/>
    <w:rsid w:val="00826C6D"/>
    <w:rsid w:val="008343DF"/>
    <w:rsid w:val="00843A10"/>
    <w:rsid w:val="00850AC2"/>
    <w:rsid w:val="008566A8"/>
    <w:rsid w:val="00860C1C"/>
    <w:rsid w:val="00871BB0"/>
    <w:rsid w:val="00875304"/>
    <w:rsid w:val="008823E1"/>
    <w:rsid w:val="00884133"/>
    <w:rsid w:val="0088439C"/>
    <w:rsid w:val="00887892"/>
    <w:rsid w:val="008A0867"/>
    <w:rsid w:val="008A08B6"/>
    <w:rsid w:val="008A3BF6"/>
    <w:rsid w:val="008B71B3"/>
    <w:rsid w:val="008F0744"/>
    <w:rsid w:val="008F2641"/>
    <w:rsid w:val="0091285A"/>
    <w:rsid w:val="00917D82"/>
    <w:rsid w:val="00920472"/>
    <w:rsid w:val="00925A72"/>
    <w:rsid w:val="009337BF"/>
    <w:rsid w:val="009412A9"/>
    <w:rsid w:val="00977777"/>
    <w:rsid w:val="009850AD"/>
    <w:rsid w:val="00990858"/>
    <w:rsid w:val="009B028E"/>
    <w:rsid w:val="009B226C"/>
    <w:rsid w:val="009C623E"/>
    <w:rsid w:val="009D1F8F"/>
    <w:rsid w:val="009E15C5"/>
    <w:rsid w:val="009E290C"/>
    <w:rsid w:val="00A03228"/>
    <w:rsid w:val="00A044D4"/>
    <w:rsid w:val="00A10665"/>
    <w:rsid w:val="00A15C06"/>
    <w:rsid w:val="00A162C1"/>
    <w:rsid w:val="00A21CC4"/>
    <w:rsid w:val="00A3015D"/>
    <w:rsid w:val="00A31EA7"/>
    <w:rsid w:val="00A3448D"/>
    <w:rsid w:val="00A37636"/>
    <w:rsid w:val="00A45C79"/>
    <w:rsid w:val="00A537CE"/>
    <w:rsid w:val="00A62BBF"/>
    <w:rsid w:val="00A63977"/>
    <w:rsid w:val="00A64F85"/>
    <w:rsid w:val="00A736DD"/>
    <w:rsid w:val="00A81650"/>
    <w:rsid w:val="00A81860"/>
    <w:rsid w:val="00A83C1E"/>
    <w:rsid w:val="00AB2EAB"/>
    <w:rsid w:val="00AC1E6F"/>
    <w:rsid w:val="00AD6242"/>
    <w:rsid w:val="00AE7B0F"/>
    <w:rsid w:val="00AF7FD1"/>
    <w:rsid w:val="00B01D47"/>
    <w:rsid w:val="00B038A2"/>
    <w:rsid w:val="00B23185"/>
    <w:rsid w:val="00B327FC"/>
    <w:rsid w:val="00B35D5B"/>
    <w:rsid w:val="00B36D64"/>
    <w:rsid w:val="00B50DC2"/>
    <w:rsid w:val="00B53978"/>
    <w:rsid w:val="00B66916"/>
    <w:rsid w:val="00B736F1"/>
    <w:rsid w:val="00B76BA7"/>
    <w:rsid w:val="00B8399C"/>
    <w:rsid w:val="00B84902"/>
    <w:rsid w:val="00BA7411"/>
    <w:rsid w:val="00BB081A"/>
    <w:rsid w:val="00BB10FB"/>
    <w:rsid w:val="00BB2414"/>
    <w:rsid w:val="00BB2E0C"/>
    <w:rsid w:val="00BC12C8"/>
    <w:rsid w:val="00BC2D2E"/>
    <w:rsid w:val="00BC41A1"/>
    <w:rsid w:val="00BD5FAD"/>
    <w:rsid w:val="00BE6F35"/>
    <w:rsid w:val="00BF14D3"/>
    <w:rsid w:val="00BF1B11"/>
    <w:rsid w:val="00BF406C"/>
    <w:rsid w:val="00BF478D"/>
    <w:rsid w:val="00C0706B"/>
    <w:rsid w:val="00C26FE4"/>
    <w:rsid w:val="00C34E13"/>
    <w:rsid w:val="00C351FE"/>
    <w:rsid w:val="00C43C98"/>
    <w:rsid w:val="00C47923"/>
    <w:rsid w:val="00C67416"/>
    <w:rsid w:val="00C86D0C"/>
    <w:rsid w:val="00CC193E"/>
    <w:rsid w:val="00CC2F15"/>
    <w:rsid w:val="00CC606D"/>
    <w:rsid w:val="00CD3720"/>
    <w:rsid w:val="00CD497F"/>
    <w:rsid w:val="00CD5381"/>
    <w:rsid w:val="00D01C6A"/>
    <w:rsid w:val="00D03E1E"/>
    <w:rsid w:val="00D11899"/>
    <w:rsid w:val="00D500E7"/>
    <w:rsid w:val="00D56CB6"/>
    <w:rsid w:val="00D57B63"/>
    <w:rsid w:val="00D65CAF"/>
    <w:rsid w:val="00D674C8"/>
    <w:rsid w:val="00D759CA"/>
    <w:rsid w:val="00DA1879"/>
    <w:rsid w:val="00DA4B1D"/>
    <w:rsid w:val="00DB04A9"/>
    <w:rsid w:val="00DB1A2D"/>
    <w:rsid w:val="00DB5AB9"/>
    <w:rsid w:val="00DC1357"/>
    <w:rsid w:val="00DC35AC"/>
    <w:rsid w:val="00DD77D6"/>
    <w:rsid w:val="00DD79E0"/>
    <w:rsid w:val="00DE35AB"/>
    <w:rsid w:val="00DE6A62"/>
    <w:rsid w:val="00DF1EE4"/>
    <w:rsid w:val="00DF3596"/>
    <w:rsid w:val="00E10DA8"/>
    <w:rsid w:val="00E12DC0"/>
    <w:rsid w:val="00E23D01"/>
    <w:rsid w:val="00E3117B"/>
    <w:rsid w:val="00E4520A"/>
    <w:rsid w:val="00E45A93"/>
    <w:rsid w:val="00E473C6"/>
    <w:rsid w:val="00E47C87"/>
    <w:rsid w:val="00E55456"/>
    <w:rsid w:val="00E820AA"/>
    <w:rsid w:val="00E94DD0"/>
    <w:rsid w:val="00E9641B"/>
    <w:rsid w:val="00EA2C34"/>
    <w:rsid w:val="00EA4670"/>
    <w:rsid w:val="00EB150E"/>
    <w:rsid w:val="00EB7424"/>
    <w:rsid w:val="00ED3ED2"/>
    <w:rsid w:val="00ED7702"/>
    <w:rsid w:val="00EE28C0"/>
    <w:rsid w:val="00EF597D"/>
    <w:rsid w:val="00EF6E5F"/>
    <w:rsid w:val="00F12806"/>
    <w:rsid w:val="00F27F37"/>
    <w:rsid w:val="00F52D36"/>
    <w:rsid w:val="00F533B4"/>
    <w:rsid w:val="00F56B3D"/>
    <w:rsid w:val="00F60E10"/>
    <w:rsid w:val="00F6155D"/>
    <w:rsid w:val="00F67576"/>
    <w:rsid w:val="00F715CB"/>
    <w:rsid w:val="00F72F2C"/>
    <w:rsid w:val="00F8429A"/>
    <w:rsid w:val="00F871C7"/>
    <w:rsid w:val="00F94355"/>
    <w:rsid w:val="00FA13E3"/>
    <w:rsid w:val="00FA426E"/>
    <w:rsid w:val="00FA5CD7"/>
    <w:rsid w:val="00FD2C1E"/>
    <w:rsid w:val="00FE0211"/>
    <w:rsid w:val="00FE6606"/>
    <w:rsid w:val="00FF5F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8E1D3"/>
  <w15:docId w15:val="{07A2FAF7-B3D2-4556-A7C2-48C68B5A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F5"/>
    <w:pPr>
      <w:spacing w:line="278" w:lineRule="auto"/>
    </w:pPr>
    <w:rPr>
      <w:kern w:val="2"/>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441339222">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960460772">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2yoca7xl" TargetMode="External"/><Relationship Id="rId3" Type="http://schemas.openxmlformats.org/officeDocument/2006/relationships/hyperlink" Target="https://tinyurl.com/23qcfakl" TargetMode="External"/><Relationship Id="rId7" Type="http://schemas.openxmlformats.org/officeDocument/2006/relationships/hyperlink" Target="https://tinyurl.com/2ynfwphq" TargetMode="External"/><Relationship Id="rId2" Type="http://schemas.openxmlformats.org/officeDocument/2006/relationships/hyperlink" Target="https://tinyurl.com/2c843eld" TargetMode="External"/><Relationship Id="rId1" Type="http://schemas.openxmlformats.org/officeDocument/2006/relationships/hyperlink" Target="https://tinyurl.com/2blwbl38" TargetMode="External"/><Relationship Id="rId6" Type="http://schemas.openxmlformats.org/officeDocument/2006/relationships/hyperlink" Target="https://tinyurl.com/26lenagu" TargetMode="External"/><Relationship Id="rId5" Type="http://schemas.openxmlformats.org/officeDocument/2006/relationships/hyperlink" Target="https://tinyurl.com/29d8bhvz" TargetMode="External"/><Relationship Id="rId10" Type="http://schemas.openxmlformats.org/officeDocument/2006/relationships/hyperlink" Target="https://tinyurl.com/273y2sx2" TargetMode="External"/><Relationship Id="rId4" Type="http://schemas.openxmlformats.org/officeDocument/2006/relationships/hyperlink" Target="https://tinyurl.com/22vm6uc4" TargetMode="External"/><Relationship Id="rId9" Type="http://schemas.openxmlformats.org/officeDocument/2006/relationships/hyperlink" Target="https://tinyurl.com/28cb76y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2048</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cp:lastModifiedBy>
  <cp:revision>2</cp:revision>
  <dcterms:created xsi:type="dcterms:W3CDTF">2026-07-30T09:58:00Z</dcterms:created>
  <dcterms:modified xsi:type="dcterms:W3CDTF">2026-07-30T09:58:00Z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