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ANEXO -</w:t>
      </w:r>
      <w:r w:rsidDel="00000000" w:rsidR="00000000" w:rsidRPr="00000000">
        <w:rPr>
          <w:b w:val="1"/>
          <w:color w:val="ff0000"/>
          <w:rtl w:val="0"/>
        </w:rPr>
        <w:t xml:space="preserve"> </w:t>
      </w:r>
      <w:r w:rsidDel="00000000" w:rsidR="00000000" w:rsidRPr="00000000">
        <w:rPr>
          <w:b w:val="1"/>
          <w:rtl w:val="0"/>
        </w:rPr>
        <w:t xml:space="preserve">Valoración del N</w:t>
      </w:r>
      <w:r w:rsidDel="00000000" w:rsidR="00000000" w:rsidRPr="00000000">
        <w:rPr>
          <w:b w:val="1"/>
          <w:rtl w:val="0"/>
        </w:rPr>
        <w:t xml:space="preserve">oveno informe periódico de España Comité para la Eliminación de la Discriminación contra la Mujer</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jc w:val="right"/>
        <w:rPr>
          <w:sz w:val="18"/>
          <w:szCs w:val="18"/>
        </w:rPr>
      </w:pPr>
      <w:r w:rsidDel="00000000" w:rsidR="00000000" w:rsidRPr="00000000">
        <w:rPr>
          <w:rtl w:val="0"/>
        </w:rPr>
      </w:r>
    </w:p>
    <w:p w:rsidR="00000000" w:rsidDel="00000000" w:rsidP="00000000" w:rsidRDefault="00000000" w:rsidRPr="00000000" w14:paraId="00000007">
      <w:pPr>
        <w:spacing w:after="120" w:before="240" w:line="276" w:lineRule="auto"/>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008">
      <w:pPr>
        <w:spacing w:after="120" w:before="240" w:line="276"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Durante 2020, las organizaciones sociales feministas agrupadas en la Plataforma Cedaw-Estambul-Beijing sombra (PCEB), elaboraron un informe “sombra” que ha encontrado innumerables obstáculos y dificultades, marcadas por la demora en la elaboración del informe oficial - ni notificada ni informada a las organizaciones feministas -  que ha generado considerables perjuicios por el sobreesfuerzo y gran frustración por la ausencia de comunicación e interlocución con las representantes del gobierno español relativo al proceso CEDAW.</w:t>
      </w:r>
    </w:p>
    <w:p w:rsidR="00000000" w:rsidDel="00000000" w:rsidP="00000000" w:rsidRDefault="00000000" w:rsidRPr="00000000" w14:paraId="00000009">
      <w:pPr>
        <w:spacing w:after="120" w:before="240" w:line="276" w:lineRule="auto"/>
        <w:jc w:val="both"/>
        <w:rPr>
          <w:strike w:val="1"/>
        </w:rPr>
      </w:pPr>
      <w:r w:rsidDel="00000000" w:rsidR="00000000" w:rsidRPr="00000000">
        <w:rPr>
          <w:rFonts w:ascii="Roboto" w:cs="Roboto" w:eastAsia="Roboto" w:hAnsi="Roboto"/>
          <w:highlight w:val="white"/>
          <w:rtl w:val="0"/>
        </w:rPr>
        <w:t xml:space="preserve">Finalmente, y tras varias revisiones derivadas de la necesidad de actualización periódica por la demora gubernamental, la PCEB cerró y editó su informe sombra en mayo 2022. Poco después el Gobierno de España dio a conocer su informe, y la PCEB acordó considerar y dar respuesta al mismo por medio de un análisis específico que se anexará al informe sombra.</w:t>
      </w:r>
      <w:r w:rsidDel="00000000" w:rsidR="00000000" w:rsidRPr="00000000">
        <w:rPr>
          <w:rtl w:val="0"/>
        </w:rPr>
      </w:r>
    </w:p>
    <w:p w:rsidR="00000000" w:rsidDel="00000000" w:rsidP="00000000" w:rsidRDefault="00000000" w:rsidRPr="00000000" w14:paraId="0000000A">
      <w:pPr>
        <w:spacing w:after="120" w:before="240" w:line="276" w:lineRule="auto"/>
        <w:jc w:val="both"/>
        <w:rPr>
          <w:b w:val="1"/>
        </w:rPr>
      </w:pPr>
      <w:r w:rsidDel="00000000" w:rsidR="00000000" w:rsidRPr="00000000">
        <w:rPr>
          <w:b w:val="1"/>
          <w:rtl w:val="0"/>
        </w:rPr>
        <w:t xml:space="preserve">Algunas observaciones generales</w:t>
      </w:r>
    </w:p>
    <w:p w:rsidR="00000000" w:rsidDel="00000000" w:rsidP="00000000" w:rsidRDefault="00000000" w:rsidRPr="00000000" w14:paraId="0000000B">
      <w:pPr>
        <w:spacing w:after="120" w:before="240" w:line="276" w:lineRule="auto"/>
        <w:jc w:val="both"/>
        <w:rPr>
          <w:strike w:val="1"/>
        </w:rPr>
      </w:pPr>
      <w:r w:rsidDel="00000000" w:rsidR="00000000" w:rsidRPr="00000000">
        <w:rPr>
          <w:rtl w:val="0"/>
        </w:rPr>
        <w:t xml:space="preserve">Entendemos que el informe presentado por el gobierno de España adolece de carencias relevantes. </w:t>
      </w:r>
      <w:r w:rsidDel="00000000" w:rsidR="00000000" w:rsidRPr="00000000">
        <w:rPr>
          <w:rtl w:val="0"/>
        </w:rPr>
      </w:r>
    </w:p>
    <w:p w:rsidR="00000000" w:rsidDel="00000000" w:rsidP="00000000" w:rsidRDefault="00000000" w:rsidRPr="00000000" w14:paraId="0000000C">
      <w:pPr>
        <w:spacing w:after="120" w:before="240" w:line="276" w:lineRule="auto"/>
        <w:jc w:val="both"/>
        <w:rPr/>
      </w:pPr>
      <w:r w:rsidDel="00000000" w:rsidR="00000000" w:rsidRPr="00000000">
        <w:rPr>
          <w:rtl w:val="0"/>
        </w:rPr>
        <w:t xml:space="preserve">El informe resulta muy descriptivo y arroja escasa información relevante relativa al grado de progreso, o retroceso, de los avances de los derechos de las mujeres y niñas respecto a periodos anteriores o respecto al grado de cumplimiento del marco legislativo nacional y autonómico así como planes específicos, limitándose a listar las actuaciones desarrolladas desde 2015 hasta marzo de 2022 en tono complaciente. </w:t>
      </w:r>
    </w:p>
    <w:p w:rsidR="00000000" w:rsidDel="00000000" w:rsidP="00000000" w:rsidRDefault="00000000" w:rsidRPr="00000000" w14:paraId="0000000D">
      <w:pPr>
        <w:spacing w:after="120" w:before="240" w:line="276" w:lineRule="auto"/>
        <w:jc w:val="both"/>
        <w:rPr/>
      </w:pPr>
      <w:r w:rsidDel="00000000" w:rsidR="00000000" w:rsidRPr="00000000">
        <w:rPr>
          <w:rtl w:val="0"/>
        </w:rPr>
        <w:t xml:space="preserve">En este sentido, entendemos que el presente informe no resulta un adecuado instrumento de rendición de cuentas ni </w:t>
      </w:r>
      <w:r w:rsidDel="00000000" w:rsidR="00000000" w:rsidRPr="00000000">
        <w:rPr>
          <w:i w:val="1"/>
          <w:rtl w:val="0"/>
        </w:rPr>
        <w:t xml:space="preserve">análisis exhaustivo</w:t>
      </w:r>
      <w:r w:rsidDel="00000000" w:rsidR="00000000" w:rsidRPr="00000000">
        <w:rPr>
          <w:rtl w:val="0"/>
        </w:rPr>
        <w:t xml:space="preserve"> incumpliendo tanto el artículo 18.2 de la Convención como las recomendaciones del Comité CEDAW al no examinar </w:t>
      </w:r>
      <w:r w:rsidDel="00000000" w:rsidR="00000000" w:rsidRPr="00000000">
        <w:rPr>
          <w:i w:val="1"/>
          <w:rtl w:val="0"/>
        </w:rPr>
        <w:t xml:space="preserve">los progresos realizados a fin de asegurar el disfrute de los derechos en virtud de la Convención y la situación actual al respecto</w:t>
      </w:r>
      <w:r w:rsidDel="00000000" w:rsidR="00000000" w:rsidRPr="00000000">
        <w:rPr>
          <w:b w:val="1"/>
          <w:i w:val="1"/>
          <w:sz w:val="24"/>
          <w:szCs w:val="24"/>
          <w:vertAlign w:val="superscript"/>
        </w:rPr>
        <w:footnoteReference w:customMarkFollows="0" w:id="0"/>
      </w:r>
      <w:r w:rsidDel="00000000" w:rsidR="00000000" w:rsidRPr="00000000">
        <w:rPr>
          <w:i w:val="1"/>
          <w:rtl w:val="0"/>
        </w:rPr>
        <w:t xml:space="preserve"> </w:t>
      </w:r>
      <w:r w:rsidDel="00000000" w:rsidR="00000000" w:rsidRPr="00000000">
        <w:rPr>
          <w:rtl w:val="0"/>
        </w:rPr>
        <w:t xml:space="preserve">y</w:t>
      </w:r>
      <w:r w:rsidDel="00000000" w:rsidR="00000000" w:rsidRPr="00000000">
        <w:rPr>
          <w:rtl w:val="0"/>
        </w:rPr>
        <w:t xml:space="preserve"> las </w:t>
      </w:r>
      <w:r w:rsidDel="00000000" w:rsidR="00000000" w:rsidRPr="00000000">
        <w:rPr>
          <w:i w:val="1"/>
          <w:rtl w:val="0"/>
        </w:rPr>
        <w:t xml:space="preserve">Directrices Armonizadas para la presentación de informes a los órganos creados en virtud de tratados internacionales de derechos humanos (párrafos 9 y 25, y A.4.2,  HRI/GEN/2/Rev.6 de 3 de junio 2009)</w:t>
      </w:r>
      <w:r w:rsidDel="00000000" w:rsidR="00000000" w:rsidRPr="00000000">
        <w:rPr>
          <w:rtl w:val="0"/>
        </w:rPr>
        <w:t xml:space="preserve">. Por ello, </w:t>
      </w:r>
      <w:r w:rsidDel="00000000" w:rsidR="00000000" w:rsidRPr="00000000">
        <w:rPr>
          <w:rtl w:val="0"/>
        </w:rPr>
        <w:t xml:space="preserve">exigimos </w:t>
      </w:r>
      <w:r w:rsidDel="00000000" w:rsidR="00000000" w:rsidRPr="00000000">
        <w:rPr>
          <w:rtl w:val="0"/>
        </w:rPr>
        <w:t xml:space="preserve">un mayor esfuerzo en el establecimiento de criterios e indicadores relevantes para el examen exhaustivo durante la elaboración y presentación de los informes oficiales de forma que informen apropiadamente acerca del grado de progreso en las políticas públicas y los compromisos y objetivos adoptados a nivel internacional y nacional.</w:t>
      </w:r>
    </w:p>
    <w:p w:rsidR="00000000" w:rsidDel="00000000" w:rsidP="00000000" w:rsidRDefault="00000000" w:rsidRPr="00000000" w14:paraId="0000000E">
      <w:pPr>
        <w:spacing w:after="120" w:before="240" w:lineRule="auto"/>
        <w:jc w:val="both"/>
        <w:rPr/>
      </w:pPr>
      <w:r w:rsidDel="00000000" w:rsidR="00000000" w:rsidRPr="00000000">
        <w:rPr>
          <w:rtl w:val="0"/>
        </w:rPr>
        <w:t xml:space="preserve">Por otro lado, parece conveniente recordar al gobierno de España que las Comunidades Autónomas y gobiernos locales también se encuentran sujetas a la CEDAW</w:t>
      </w:r>
      <w:r w:rsidDel="00000000" w:rsidR="00000000" w:rsidRPr="00000000">
        <w:rPr>
          <w:sz w:val="24"/>
          <w:szCs w:val="24"/>
          <w:vertAlign w:val="superscript"/>
        </w:rPr>
        <w:footnoteReference w:customMarkFollows="0" w:id="1"/>
      </w:r>
      <w:r w:rsidDel="00000000" w:rsidR="00000000" w:rsidRPr="00000000">
        <w:rPr>
          <w:rtl w:val="0"/>
        </w:rPr>
        <w:t xml:space="preserve">. Consecuentemente, sería </w:t>
      </w:r>
      <w:r w:rsidDel="00000000" w:rsidR="00000000" w:rsidRPr="00000000">
        <w:rPr>
          <w:rtl w:val="0"/>
        </w:rPr>
        <w:t xml:space="preserve">necesario </w:t>
      </w:r>
      <w:r w:rsidDel="00000000" w:rsidR="00000000" w:rsidRPr="00000000">
        <w:rPr>
          <w:rtl w:val="0"/>
        </w:rPr>
        <w:t xml:space="preserve">que este informe incluyera información y análisis del progreso e implementación, no sólo de los organismos estatales, sino del conjunto de la administración pública, incluida autonómica, instando a todas las comunidades a rendir cuentas en el marco de sus competencias y la presentación de la misma anexa al presente informe. Este aspecto resulta especialmente relevante dado que las competencias en políticas de igualdad se encuentran altamente descentralizadas y su aplicación corresponde a los niveles autonómicos.</w:t>
      </w:r>
    </w:p>
    <w:p w:rsidR="00000000" w:rsidDel="00000000" w:rsidP="00000000" w:rsidRDefault="00000000" w:rsidRPr="00000000" w14:paraId="0000000F">
      <w:pPr>
        <w:spacing w:after="120" w:before="240" w:lineRule="auto"/>
        <w:jc w:val="both"/>
        <w:rPr/>
      </w:pPr>
      <w:r w:rsidDel="00000000" w:rsidR="00000000" w:rsidRPr="00000000">
        <w:rPr>
          <w:rtl w:val="0"/>
        </w:rPr>
        <w:t xml:space="preserve">Asimismo, el informe incumple las recomendaciones del Comité CEDAW que instan a los Estados partes a</w:t>
      </w:r>
      <w:r w:rsidDel="00000000" w:rsidR="00000000" w:rsidRPr="00000000">
        <w:rPr>
          <w:i w:val="1"/>
          <w:rtl w:val="0"/>
        </w:rPr>
        <w:t xml:space="preserve"> asegurarse de que el informe se prepare mediante un proceso participativo,</w:t>
      </w:r>
      <w:r w:rsidDel="00000000" w:rsidR="00000000" w:rsidRPr="00000000">
        <w:rPr>
          <w:rtl w:val="0"/>
        </w:rPr>
        <w:t xml:space="preserve"> como se indica en el párrafo 45 de las directrices armonizadas</w:t>
      </w:r>
      <w:r w:rsidDel="00000000" w:rsidR="00000000" w:rsidRPr="00000000">
        <w:rPr>
          <w:i w:val="1"/>
          <w:rtl w:val="0"/>
        </w:rPr>
        <w:t xml:space="preserve">. </w:t>
      </w:r>
      <w:r w:rsidDel="00000000" w:rsidR="00000000" w:rsidRPr="00000000">
        <w:rPr>
          <w:rtl w:val="0"/>
        </w:rPr>
        <w:t xml:space="preserve">Tanto l</w:t>
      </w:r>
      <w:r w:rsidDel="00000000" w:rsidR="00000000" w:rsidRPr="00000000">
        <w:rPr>
          <w:rtl w:val="0"/>
        </w:rPr>
        <w:t xml:space="preserve">a</w:t>
      </w:r>
      <w:r w:rsidDel="00000000" w:rsidR="00000000" w:rsidRPr="00000000">
        <w:rPr>
          <w:rtl w:val="0"/>
        </w:rPr>
        <w:t xml:space="preserve"> PCEB, principal interlocutor de los anteriores gobiernos de España</w:t>
      </w:r>
      <w:r w:rsidDel="00000000" w:rsidR="00000000" w:rsidRPr="00000000">
        <w:rPr>
          <w:rtl w:val="0"/>
        </w:rPr>
        <w:t xml:space="preserve">, </w:t>
      </w:r>
      <w:r w:rsidDel="00000000" w:rsidR="00000000" w:rsidRPr="00000000">
        <w:rPr>
          <w:rFonts w:ascii="Roboto" w:cs="Roboto" w:eastAsia="Roboto" w:hAnsi="Roboto"/>
          <w:sz w:val="21"/>
          <w:szCs w:val="21"/>
          <w:highlight w:val="white"/>
          <w:rtl w:val="0"/>
        </w:rPr>
        <w:t xml:space="preserve">como las organizaciones que la componen,</w:t>
      </w:r>
      <w:r w:rsidDel="00000000" w:rsidR="00000000" w:rsidRPr="00000000">
        <w:rPr>
          <w:rtl w:val="0"/>
        </w:rPr>
        <w:t xml:space="preserve"> se han visto excluidas no sólo del proceso de elaboración del presente informe, sino de cualquier cauce de comunicación: sin recibir información acerca de los plazos de elaboración y entrega del informe, perjudicando a los planes de trabajo y de incidencia que la PCEB y sus organizaciones miembras iban estableciendo en cumplimiento con la labor de seguimiento e incidencia que guía a la PCEB ni respuesta a los mails y solicitudes registradas oficialmente.</w:t>
      </w:r>
    </w:p>
    <w:p w:rsidR="00000000" w:rsidDel="00000000" w:rsidP="00000000" w:rsidRDefault="00000000" w:rsidRPr="00000000" w14:paraId="00000010">
      <w:pPr>
        <w:spacing w:after="120" w:before="240" w:lineRule="auto"/>
        <w:rPr>
          <w:b w:val="1"/>
        </w:rPr>
      </w:pPr>
      <w:r w:rsidDel="00000000" w:rsidR="00000000" w:rsidRPr="00000000">
        <w:rPr>
          <w:b w:val="1"/>
          <w:rtl w:val="0"/>
        </w:rPr>
        <w:t xml:space="preserve">Sobre algunas cuestiones específicas</w:t>
      </w:r>
      <w:r w:rsidDel="00000000" w:rsidR="00000000" w:rsidRPr="00000000">
        <w:rPr>
          <w:rtl w:val="0"/>
        </w:rPr>
      </w:r>
    </w:p>
    <w:p w:rsidR="00000000" w:rsidDel="00000000" w:rsidP="00000000" w:rsidRDefault="00000000" w:rsidRPr="00000000" w14:paraId="00000011">
      <w:pPr>
        <w:spacing w:after="120" w:before="240" w:lineRule="auto"/>
        <w:jc w:val="both"/>
        <w:rPr/>
      </w:pPr>
      <w:r w:rsidDel="00000000" w:rsidR="00000000" w:rsidRPr="00000000">
        <w:rPr>
          <w:rtl w:val="0"/>
        </w:rPr>
        <w:t xml:space="preserve">Sin pretender profundizar en las cuestiones presentadas por considerar que el informe sombra ofrece sobrados datos y evidencias que matizan ciertas afirmaciones vertidas en el informe oficial, consideramos relevante trasladar ciertas consideraciones específicas debido a su significancia.</w:t>
      </w:r>
    </w:p>
    <w:p w:rsidR="00000000" w:rsidDel="00000000" w:rsidP="00000000" w:rsidRDefault="00000000" w:rsidRPr="00000000" w14:paraId="00000012">
      <w:pPr>
        <w:spacing w:after="120" w:before="240" w:lineRule="auto"/>
        <w:jc w:val="both"/>
        <w:rPr/>
      </w:pPr>
      <w:r w:rsidDel="00000000" w:rsidR="00000000" w:rsidRPr="00000000">
        <w:rPr>
          <w:b w:val="1"/>
          <w:rtl w:val="0"/>
        </w:rPr>
        <w:t xml:space="preserve">1. Información y datos desglosados: </w:t>
      </w:r>
      <w:r w:rsidDel="00000000" w:rsidR="00000000" w:rsidRPr="00000000">
        <w:rPr>
          <w:rtl w:val="0"/>
        </w:rPr>
        <w:t xml:space="preserve">A pesar de la Ley Orgánica 3/2007 de 22 de marzo, para la igualdad efectiva de mujeres y hombres (LOIEMH), en la práctica no todas las estadísticas y encuestas oficiales aparecen desagregadas por sexo y, en algunos casos, resulta irrelevante o insuficiente (SIUSS).</w:t>
      </w:r>
    </w:p>
    <w:p w:rsidR="00000000" w:rsidDel="00000000" w:rsidP="00000000" w:rsidRDefault="00000000" w:rsidRPr="00000000" w14:paraId="00000013">
      <w:pPr>
        <w:spacing w:after="120" w:before="240" w:lineRule="auto"/>
        <w:jc w:val="both"/>
        <w:rPr/>
      </w:pPr>
      <w:r w:rsidDel="00000000" w:rsidR="00000000" w:rsidRPr="00000000">
        <w:rPr>
          <w:rtl w:val="0"/>
        </w:rPr>
        <w:t xml:space="preserve">La</w:t>
      </w:r>
      <w:hyperlink r:id="rId7">
        <w:r w:rsidDel="00000000" w:rsidR="00000000" w:rsidRPr="00000000">
          <w:rPr>
            <w:rtl w:val="0"/>
          </w:rPr>
          <w:t xml:space="preserve"> </w:t>
        </w:r>
      </w:hyperlink>
      <w:hyperlink r:id="rId8">
        <w:r w:rsidDel="00000000" w:rsidR="00000000" w:rsidRPr="00000000">
          <w:rPr>
            <w:i w:val="1"/>
            <w:color w:val="1155cc"/>
            <w:u w:val="single"/>
            <w:rtl w:val="0"/>
          </w:rPr>
          <w:t xml:space="preserve">Revisión por pares de los indicadores disponibles en 72 informes de la Red Nacional de Vigilancia Epidemiológica (RENAVE)</w:t>
        </w:r>
      </w:hyperlink>
      <w:r w:rsidDel="00000000" w:rsidR="00000000" w:rsidRPr="00000000">
        <w:rPr>
          <w:i w:val="1"/>
          <w:rtl w:val="0"/>
        </w:rPr>
        <w:t xml:space="preserve"> y el Estudio Nacional de Sero-Epidemiología (ENE-COVID-19)</w:t>
      </w: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t xml:space="preserve">concluyen que el 54% de los indicadores desagregados dejaron de publicarse y el 23% perdieron su d</w:t>
      </w:r>
      <w:r w:rsidDel="00000000" w:rsidR="00000000" w:rsidRPr="00000000">
        <w:rPr>
          <w:rtl w:val="0"/>
        </w:rPr>
        <w:t xml:space="preserve">esagregación en pandemia</w:t>
      </w:r>
      <w:r w:rsidDel="00000000" w:rsidR="00000000" w:rsidRPr="00000000">
        <w:rPr>
          <w:rtl w:val="0"/>
        </w:rPr>
        <w:t xml:space="preserve">. </w:t>
      </w:r>
      <w:r w:rsidDel="00000000" w:rsidR="00000000" w:rsidRPr="00000000">
        <w:rPr>
          <w:rFonts w:ascii="Roboto" w:cs="Roboto" w:eastAsia="Roboto" w:hAnsi="Roboto"/>
          <w:highlight w:val="white"/>
          <w:rtl w:val="0"/>
        </w:rPr>
        <w:t xml:space="preserve">Ni</w:t>
      </w:r>
      <w:r w:rsidDel="00000000" w:rsidR="00000000" w:rsidRPr="00000000">
        <w:rPr>
          <w:rFonts w:ascii="Roboto" w:cs="Roboto" w:eastAsia="Roboto" w:hAnsi="Roboto"/>
          <w:highlight w:val="white"/>
          <w:rtl w:val="0"/>
        </w:rPr>
        <w:t xml:space="preserve"> se desagregaron datos de cuidadoras contagiadas ni mortalidad/morbilidad en residencias de ancianos.</w:t>
      </w:r>
      <w:r w:rsidDel="00000000" w:rsidR="00000000" w:rsidRPr="00000000">
        <w:rPr>
          <w:rtl w:val="0"/>
        </w:rPr>
        <w:t xml:space="preserve"> </w:t>
      </w:r>
    </w:p>
    <w:p w:rsidR="00000000" w:rsidDel="00000000" w:rsidP="00000000" w:rsidRDefault="00000000" w:rsidRPr="00000000" w14:paraId="00000014">
      <w:pPr>
        <w:spacing w:after="120" w:before="240" w:lineRule="auto"/>
        <w:jc w:val="both"/>
        <w:rPr/>
      </w:pPr>
      <w:r w:rsidDel="00000000" w:rsidR="00000000" w:rsidRPr="00000000">
        <w:rPr>
          <w:rtl w:val="0"/>
        </w:rPr>
        <w:t xml:space="preserve">Tampoco se desglosan datos desagregados relativos a etnias o grupos en situación de vulnerabilidad (por ej. población gitana) como denuncia el Relator Especial sobre la extrema pobreza y los derechos humanos en su informe sobre España</w:t>
      </w:r>
      <w:r w:rsidDel="00000000" w:rsidR="00000000" w:rsidRPr="00000000">
        <w:rPr>
          <w:sz w:val="24"/>
          <w:szCs w:val="24"/>
          <w:vertAlign w:val="superscript"/>
        </w:rPr>
        <w:footnoteReference w:customMarkFollows="0" w:id="2"/>
      </w:r>
      <w:r w:rsidDel="00000000" w:rsidR="00000000" w:rsidRPr="00000000">
        <w:rPr>
          <w:rtl w:val="0"/>
        </w:rPr>
        <w:t xml:space="preserve"> .</w:t>
      </w:r>
    </w:p>
    <w:p w:rsidR="00000000" w:rsidDel="00000000" w:rsidP="00000000" w:rsidRDefault="00000000" w:rsidRPr="00000000" w14:paraId="00000015">
      <w:pPr>
        <w:spacing w:after="120" w:before="240" w:lineRule="auto"/>
        <w:jc w:val="both"/>
        <w:rPr/>
      </w:pPr>
      <w:r w:rsidDel="00000000" w:rsidR="00000000" w:rsidRPr="00000000">
        <w:rPr>
          <w:rtl w:val="0"/>
        </w:rPr>
        <w:t xml:space="preserve">No se informa acerca de las medidas a adoptar para evitar que la “Ley Trans”</w:t>
      </w:r>
      <w:r w:rsidDel="00000000" w:rsidR="00000000" w:rsidRPr="00000000">
        <w:rPr>
          <w:sz w:val="24"/>
          <w:szCs w:val="24"/>
          <w:vertAlign w:val="superscript"/>
        </w:rPr>
        <w:footnoteReference w:customMarkFollows="0" w:id="3"/>
      </w:r>
      <w:r w:rsidDel="00000000" w:rsidR="00000000" w:rsidRPr="00000000">
        <w:rPr>
          <w:rtl w:val="0"/>
        </w:rPr>
        <w:t xml:space="preserve"> menoscabe esta obligación, cuando se insta a sustituir el “sexo” por la categoría “identidad de género” que, además, legitima los estereotipos sexistas. </w:t>
      </w:r>
      <w:r w:rsidDel="00000000" w:rsidR="00000000" w:rsidRPr="00000000">
        <w:rPr>
          <w:rtl w:val="0"/>
        </w:rPr>
      </w:r>
    </w:p>
    <w:p w:rsidR="00000000" w:rsidDel="00000000" w:rsidP="00000000" w:rsidRDefault="00000000" w:rsidRPr="00000000" w14:paraId="00000016">
      <w:pPr>
        <w:spacing w:after="120" w:before="240" w:lineRule="auto"/>
        <w:jc w:val="both"/>
        <w:rPr/>
      </w:pPr>
      <w:r w:rsidDel="00000000" w:rsidR="00000000" w:rsidRPr="00000000">
        <w:rPr>
          <w:b w:val="1"/>
          <w:rtl w:val="0"/>
        </w:rPr>
        <w:t xml:space="preserve">2. Visibilidad de la Convención: Actuaciones en la Administración de Justicia</w:t>
      </w:r>
      <w:r w:rsidDel="00000000" w:rsidR="00000000" w:rsidRPr="00000000">
        <w:rPr>
          <w:rtl w:val="0"/>
        </w:rPr>
        <w:t xml:space="preserve">: </w:t>
      </w:r>
      <w:r w:rsidDel="00000000" w:rsidR="00000000" w:rsidRPr="00000000">
        <w:rPr>
          <w:rtl w:val="0"/>
        </w:rPr>
        <w:t xml:space="preserve">Llama la atención la ausencia de referencias a un </w:t>
      </w:r>
      <w:r w:rsidDel="00000000" w:rsidR="00000000" w:rsidRPr="00000000">
        <w:rPr>
          <w:b w:val="1"/>
          <w:rtl w:val="0"/>
        </w:rPr>
        <w:t xml:space="preserve">periodo marcado por actuaciones y sentencias escandalosas y contrarias a la CEDAW</w:t>
      </w:r>
      <w:r w:rsidDel="00000000" w:rsidR="00000000" w:rsidRPr="00000000">
        <w:rPr>
          <w:rtl w:val="0"/>
        </w:rPr>
        <w:t xml:space="preserve"> por parte de jueces y juezas que han generado una amplia movilización social, y que han sido denunciadas por organismos internacionales. Así, en febrero 2022, un equipo de expertos/as en DDHH de las Naciones Unidas - entre ellas la Relatora especial sobre la violencia contra las mujeres, Reem Alsalem-, denunció las </w:t>
      </w:r>
      <w:r w:rsidDel="00000000" w:rsidR="00000000" w:rsidRPr="00000000">
        <w:rPr>
          <w:i w:val="1"/>
          <w:rtl w:val="0"/>
        </w:rPr>
        <w:t xml:space="preserve">actitudes patriarcales </w:t>
      </w:r>
      <w:r w:rsidDel="00000000" w:rsidR="00000000" w:rsidRPr="00000000">
        <w:rPr>
          <w:rtl w:val="0"/>
        </w:rPr>
        <w:t xml:space="preserve">y </w:t>
      </w:r>
      <w:r w:rsidDel="00000000" w:rsidR="00000000" w:rsidRPr="00000000">
        <w:rPr>
          <w:i w:val="1"/>
          <w:rtl w:val="0"/>
        </w:rPr>
        <w:t xml:space="preserve">sesgos de género</w:t>
      </w:r>
      <w:r w:rsidDel="00000000" w:rsidR="00000000" w:rsidRPr="00000000">
        <w:rPr>
          <w:rtl w:val="0"/>
        </w:rPr>
        <w:t xml:space="preserve"> arraigadas en el sistema legal del estado español y el mantenimiento del falso SAP que deriva en una</w:t>
      </w:r>
      <w:hyperlink r:id="rId9">
        <w:r w:rsidDel="00000000" w:rsidR="00000000" w:rsidRPr="00000000">
          <w:rPr>
            <w:rtl w:val="0"/>
          </w:rPr>
          <w:t xml:space="preserve"> </w:t>
        </w:r>
      </w:hyperlink>
      <w:hyperlink r:id="rId10">
        <w:r w:rsidDel="00000000" w:rsidR="00000000" w:rsidRPr="00000000">
          <w:rPr>
            <w:color w:val="1155cc"/>
            <w:u w:val="single"/>
            <w:rtl w:val="0"/>
          </w:rPr>
          <w:t xml:space="preserve">desprotección de menores</w:t>
        </w:r>
      </w:hyperlink>
      <w:r w:rsidDel="00000000" w:rsidR="00000000" w:rsidRPr="00000000">
        <w:rPr>
          <w:rtl w:val="0"/>
        </w:rPr>
        <w:t xml:space="preserve"> y mujeres así como la</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criminalización de madres protectoras</w:t>
        </w:r>
      </w:hyperlink>
      <w:r w:rsidDel="00000000" w:rsidR="00000000" w:rsidRPr="00000000">
        <w:rPr>
          <w:rtl w:val="0"/>
        </w:rPr>
        <w:t xml:space="preserve">. </w:t>
      </w:r>
    </w:p>
    <w:p w:rsidR="00000000" w:rsidDel="00000000" w:rsidP="00000000" w:rsidRDefault="00000000" w:rsidRPr="00000000" w14:paraId="00000017">
      <w:pPr>
        <w:spacing w:after="120" w:before="240" w:lineRule="auto"/>
        <w:jc w:val="both"/>
        <w:rPr/>
      </w:pPr>
      <w:r w:rsidDel="00000000" w:rsidR="00000000" w:rsidRPr="00000000">
        <w:rPr>
          <w:rtl w:val="0"/>
        </w:rPr>
        <w:t xml:space="preserve">Ello refleja la urgencia de esfuerzos más contundentes. No obstante, a día de hoy, se desconoce si se ha procedido a implementar la </w:t>
      </w:r>
      <w:r w:rsidDel="00000000" w:rsidR="00000000" w:rsidRPr="00000000">
        <w:rPr>
          <w:b w:val="1"/>
          <w:i w:val="1"/>
          <w:rtl w:val="0"/>
        </w:rPr>
        <w:t xml:space="preserve">recomendación </w:t>
      </w:r>
      <w:r w:rsidDel="00000000" w:rsidR="00000000" w:rsidRPr="00000000">
        <w:rPr>
          <w:rtl w:val="0"/>
        </w:rPr>
        <w:t xml:space="preserve">realizada en el marco del caso González-Carreño </w:t>
      </w:r>
      <w:r w:rsidDel="00000000" w:rsidR="00000000" w:rsidRPr="00000000">
        <w:rPr>
          <w:b w:val="1"/>
          <w:i w:val="1"/>
          <w:rtl w:val="0"/>
        </w:rPr>
        <w:t xml:space="preserve">que instaba a investigar los fallos en las estructuras y en las prácticas estatales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8">
      <w:pPr>
        <w:spacing w:after="120" w:before="240" w:lineRule="auto"/>
        <w:jc w:val="both"/>
        <w:rPr/>
      </w:pPr>
      <w:r w:rsidDel="00000000" w:rsidR="00000000" w:rsidRPr="00000000">
        <w:rPr>
          <w:b w:val="1"/>
          <w:rtl w:val="0"/>
        </w:rPr>
        <w:t xml:space="preserve">3. </w:t>
      </w:r>
      <w:r w:rsidDel="00000000" w:rsidR="00000000" w:rsidRPr="00000000">
        <w:rPr>
          <w:rtl w:val="0"/>
        </w:rPr>
        <w:t xml:space="preserve">Respecto a los </w:t>
      </w:r>
      <w:r w:rsidDel="00000000" w:rsidR="00000000" w:rsidRPr="00000000">
        <w:rPr>
          <w:b w:val="1"/>
          <w:rtl w:val="0"/>
        </w:rPr>
        <w:t xml:space="preserve">presupuestos estatales</w:t>
      </w:r>
      <w:r w:rsidDel="00000000" w:rsidR="00000000" w:rsidRPr="00000000">
        <w:rPr>
          <w:rtl w:val="0"/>
        </w:rPr>
        <w:t xml:space="preserve">, se oculta el hecho de que, a pesar del crecimiento sostenido de los presupuestos iniciado en 2015/16 tras casi una década de recortes, dicho crecimiento continuaba relegando el gasto social y de género y era “</w:t>
      </w:r>
      <w:r w:rsidDel="00000000" w:rsidR="00000000" w:rsidRPr="00000000">
        <w:rPr>
          <w:i w:val="1"/>
          <w:rtl w:val="0"/>
        </w:rPr>
        <w:t xml:space="preserve">antisocial, ineficiente e insostenible</w:t>
      </w:r>
      <w:r w:rsidDel="00000000" w:rsidR="00000000" w:rsidRPr="00000000">
        <w:rPr>
          <w:rtl w:val="0"/>
        </w:rPr>
        <w:t xml:space="preserve">”</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(Manifiesto 2018</w:t>
        </w:r>
      </w:hyperlink>
      <w:r w:rsidDel="00000000" w:rsidR="00000000" w:rsidRPr="00000000">
        <w:rPr>
          <w:rtl w:val="0"/>
        </w:rPr>
        <w:t xml:space="preserve">) hasta 2021. Y a pesar del crecimiento del gasto social en 2021 no se ha cubierto aún el déficit originado. </w:t>
      </w:r>
    </w:p>
    <w:p w:rsidR="00000000" w:rsidDel="00000000" w:rsidP="00000000" w:rsidRDefault="00000000" w:rsidRPr="00000000" w14:paraId="00000019">
      <w:pPr>
        <w:spacing w:after="120" w:before="240" w:lineRule="auto"/>
        <w:jc w:val="both"/>
        <w:rPr/>
      </w:pPr>
      <w:r w:rsidDel="00000000" w:rsidR="00000000" w:rsidRPr="00000000">
        <w:rPr>
          <w:rtl w:val="0"/>
        </w:rPr>
        <w:t xml:space="preserve">En 2021,</w:t>
      </w:r>
      <w:r w:rsidDel="00000000" w:rsidR="00000000" w:rsidRPr="00000000">
        <w:rPr>
          <w:rtl w:val="0"/>
        </w:rPr>
        <w:t xml:space="preserve"> las </w:t>
      </w:r>
      <w:r w:rsidDel="00000000" w:rsidR="00000000" w:rsidRPr="00000000">
        <w:rPr>
          <w:i w:val="1"/>
          <w:rtl w:val="0"/>
        </w:rPr>
        <w:t xml:space="preserve">políticas específicas de igualdad y contra la violencia de género </w:t>
      </w:r>
      <w:r w:rsidDel="00000000" w:rsidR="00000000" w:rsidRPr="00000000">
        <w:rPr>
          <w:rtl w:val="0"/>
        </w:rPr>
        <w:t xml:space="preserve">ascendieron un 156% respecto a 2018. Pero el 80% del mismo se dirigía a subvenciones a otras entidades, - el 85% Comunidades Autónomas - con escasa supervisión por parte del Ministerio de Igualdad. La gestión ineficaz se refleja en el hecho de que, en 2019, sólo el 10% de las CCAA y el 70% de los ayuntamientos gastaron totalmente los fondos, según </w:t>
      </w:r>
      <w:r w:rsidDel="00000000" w:rsidR="00000000" w:rsidRPr="00000000">
        <w:rPr>
          <w:i w:val="1"/>
          <w:rtl w:val="0"/>
        </w:rPr>
        <w:t xml:space="preserve">Delegación del Gobierno contra la Violencia de Género</w:t>
      </w:r>
      <w:r w:rsidDel="00000000" w:rsidR="00000000" w:rsidRPr="00000000">
        <w:rPr>
          <w:rtl w:val="0"/>
        </w:rPr>
        <w:t xml:space="preserve">. Aún más, la delegada de Gobierno reconoció en la comparecencia ante la Comisión parlamentaria de seguimiento y evaluación del Pacto de Estado del 14 de octubre 2020, que estos fondos tienen un seguimiento “artesanal”, careciendo de un sistema de indicadores objetivos de seguimiento y evaluación y de una aplicación informática de recogida y difusión de datos. </w:t>
      </w:r>
    </w:p>
    <w:p w:rsidR="00000000" w:rsidDel="00000000" w:rsidP="00000000" w:rsidRDefault="00000000" w:rsidRPr="00000000" w14:paraId="0000001A">
      <w:pPr>
        <w:spacing w:after="120" w:before="240" w:lineRule="auto"/>
        <w:jc w:val="both"/>
        <w:rPr/>
      </w:pPr>
      <w:r w:rsidDel="00000000" w:rsidR="00000000" w:rsidRPr="00000000">
        <w:rPr>
          <w:rtl w:val="0"/>
        </w:rPr>
        <w:t xml:space="preserve">No obstante, nada se refleja en el informe del Gobierno a pesar de las graves implicaciones y consecuencias para el disfrute y garantía de los derechos de mujeres y niñas.</w:t>
      </w:r>
    </w:p>
    <w:p w:rsidR="00000000" w:rsidDel="00000000" w:rsidP="00000000" w:rsidRDefault="00000000" w:rsidRPr="00000000" w14:paraId="0000001B">
      <w:pPr>
        <w:spacing w:after="120" w:before="240" w:lineRule="auto"/>
        <w:jc w:val="both"/>
        <w:rPr/>
      </w:pPr>
      <w:r w:rsidDel="00000000" w:rsidR="00000000" w:rsidRPr="00000000">
        <w:rPr>
          <w:b w:val="1"/>
          <w:rtl w:val="0"/>
        </w:rPr>
        <w:t xml:space="preserve">4. </w:t>
      </w:r>
      <w:r w:rsidDel="00000000" w:rsidR="00000000" w:rsidRPr="00000000">
        <w:rPr>
          <w:rtl w:val="0"/>
        </w:rPr>
        <w:t xml:space="preserve">Respecto a las </w:t>
      </w:r>
      <w:r w:rsidDel="00000000" w:rsidR="00000000" w:rsidRPr="00000000">
        <w:rPr>
          <w:b w:val="1"/>
          <w:rtl w:val="0"/>
        </w:rPr>
        <w:t xml:space="preserve">Medidas especiales de carácter temporal, </w:t>
      </w:r>
      <w:r w:rsidDel="00000000" w:rsidR="00000000" w:rsidRPr="00000000">
        <w:rPr>
          <w:rtl w:val="0"/>
        </w:rPr>
        <w:t xml:space="preserve">apenas se ha avanzado ni se promueven medidas o recursos efectivos para la plena inclusión de colectivos vulnerabilizados como las mujeres y niñas gitanas, mujeres con discapacidades, del mundo rural, refugiadas/asiladas, familias monoparentales, víctimas de violencia de género y/o mujeres en situación de situación de trata y/o prostitución quienes, por el contrario, han visto mermada su situación con el impacto Covid y la brecha digital, durante el deficiente funcionamiento de las administraciones en pandemia.  </w:t>
      </w:r>
    </w:p>
    <w:p w:rsidR="00000000" w:rsidDel="00000000" w:rsidP="00000000" w:rsidRDefault="00000000" w:rsidRPr="00000000" w14:paraId="0000001C">
      <w:pPr>
        <w:spacing w:after="120" w:before="240" w:lineRule="auto"/>
        <w:jc w:val="both"/>
        <w:rPr/>
      </w:pPr>
      <w:r w:rsidDel="00000000" w:rsidR="00000000" w:rsidRPr="00000000">
        <w:rPr>
          <w:b w:val="1"/>
          <w:rtl w:val="0"/>
        </w:rPr>
        <w:t xml:space="preserve">5. Estereotipos: </w:t>
      </w:r>
      <w:r w:rsidDel="00000000" w:rsidR="00000000" w:rsidRPr="00000000">
        <w:rPr>
          <w:rtl w:val="0"/>
        </w:rPr>
        <w:t xml:space="preserve">A pesar de las afirmaciones acerca de los esfuerzos para la prevención y eliminación del sexismo y los estereotipos en el ámbito académico y escolar, </w:t>
      </w:r>
      <w:r w:rsidDel="00000000" w:rsidR="00000000" w:rsidRPr="00000000">
        <w:rPr>
          <w:rtl w:val="0"/>
        </w:rPr>
        <w:t xml:space="preserve">la realidad es que el sistema educativo español está muy lejos aún de incorporar la coeducación y la educación afectivo sexual indispensable para la consecución de estos fines, en parte como consecuencia de las resistencias de muchas CCAA. Tampoco se han cumplido las medidas del Pacto de Estado relacionadas con la inclusión de estas materias en los Grados y Posgrados universitarios.</w:t>
      </w:r>
      <w:r w:rsidDel="00000000" w:rsidR="00000000" w:rsidRPr="00000000">
        <w:rPr>
          <w:rtl w:val="0"/>
        </w:rPr>
      </w:r>
    </w:p>
    <w:p w:rsidR="00000000" w:rsidDel="00000000" w:rsidP="00000000" w:rsidRDefault="00000000" w:rsidRPr="00000000" w14:paraId="0000001D">
      <w:pPr>
        <w:spacing w:after="120" w:before="240" w:lineRule="auto"/>
        <w:jc w:val="both"/>
        <w:rPr/>
      </w:pPr>
      <w:r w:rsidDel="00000000" w:rsidR="00000000" w:rsidRPr="00000000">
        <w:rPr>
          <w:rtl w:val="0"/>
        </w:rPr>
        <w:t xml:space="preserve">A esta situación, que permanece enquistada desde hace muchos años en España, hay que sumarle que el proceso para la aprobación de la llamada Ley Trans ha promovido el incremento de materiales educativos y protocolos que naturalizan y legitiman dichos estereotipos sexistas en sus contenidos contraviniendo los anteriores esfuerzos por alcanzar una plena coeducación libre de los mismos. Estas iniciativas han sido denunciadas (Confluencia Feminista,</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DOFEMCO</w:t>
        </w:r>
      </w:hyperlink>
      <w:r w:rsidDel="00000000" w:rsidR="00000000" w:rsidRPr="00000000">
        <w:rPr>
          <w:rtl w:val="0"/>
        </w:rPr>
        <w:t xml:space="preserve">,</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Contraborrado</w:t>
        </w:r>
      </w:hyperlink>
      <w:r w:rsidDel="00000000" w:rsidR="00000000" w:rsidRPr="00000000">
        <w:rPr>
          <w:rtl w:val="0"/>
        </w:rPr>
        <w:t xml:space="preserve">). </w:t>
      </w:r>
    </w:p>
    <w:p w:rsidR="00000000" w:rsidDel="00000000" w:rsidP="00000000" w:rsidRDefault="00000000" w:rsidRPr="00000000" w14:paraId="0000001E">
      <w:pPr>
        <w:spacing w:after="120" w:before="240" w:lineRule="auto"/>
        <w:jc w:val="both"/>
        <w:rPr/>
      </w:pPr>
      <w:r w:rsidDel="00000000" w:rsidR="00000000" w:rsidRPr="00000000">
        <w:rPr>
          <w:b w:val="1"/>
          <w:rtl w:val="0"/>
        </w:rPr>
        <w:t xml:space="preserve">6.Violencia por razón de género contra las mujeres: </w:t>
      </w:r>
      <w:r w:rsidDel="00000000" w:rsidR="00000000" w:rsidRPr="00000000">
        <w:rPr>
          <w:rtl w:val="0"/>
        </w:rPr>
        <w:t xml:space="preserve">Sobre el Pacto de Estado contra la Violencia de Género (PEVG) el informe no informa acerca de las principales y significativas deficiencias y dificultades en su implementación, algunas de las cuales han sido ya mencionadas, ni identifica posibles medidas para su superación. A nivel de CCAA la publicación de datos es irregular o nula.</w:t>
      </w:r>
    </w:p>
    <w:p w:rsidR="00000000" w:rsidDel="00000000" w:rsidP="00000000" w:rsidRDefault="00000000" w:rsidRPr="00000000" w14:paraId="0000001F">
      <w:pPr>
        <w:spacing w:after="120" w:before="240" w:lineRule="auto"/>
        <w:jc w:val="both"/>
        <w:rPr/>
      </w:pPr>
      <w:r w:rsidDel="00000000" w:rsidR="00000000" w:rsidRPr="00000000">
        <w:rPr>
          <w:rtl w:val="0"/>
        </w:rPr>
        <w:t xml:space="preserve">Tampoco se hace referencia a la violencia dentro de las Fuerzas y Cuerpos de Seguridad del Estado (FFCCSE), a pesar de la existencia de informes (</w:t>
      </w:r>
      <w:hyperlink r:id="rId19">
        <w:r w:rsidDel="00000000" w:rsidR="00000000" w:rsidRPr="00000000">
          <w:rPr>
            <w:i w:val="1"/>
            <w:color w:val="1155cc"/>
            <w:u w:val="single"/>
            <w:rtl w:val="0"/>
          </w:rPr>
          <w:t xml:space="preserve">Aculturación y purplewashing en el Ejército español. Un estudio sobre las mujeres símbolo</w:t>
        </w:r>
      </w:hyperlink>
      <w:r w:rsidDel="00000000" w:rsidR="00000000" w:rsidRPr="00000000">
        <w:rPr>
          <w:rtl w:val="0"/>
        </w:rPr>
        <w:t xml:space="preserve">) que revelan habituales situaciones de abuso y violencia sexual en el Ejército.</w:t>
      </w:r>
    </w:p>
    <w:p w:rsidR="00000000" w:rsidDel="00000000" w:rsidP="00000000" w:rsidRDefault="00000000" w:rsidRPr="00000000" w14:paraId="00000020">
      <w:pPr>
        <w:spacing w:after="120" w:before="240" w:lineRule="auto"/>
        <w:jc w:val="both"/>
        <w:rPr/>
      </w:pPr>
      <w:r w:rsidDel="00000000" w:rsidR="00000000" w:rsidRPr="00000000">
        <w:rPr>
          <w:b w:val="1"/>
          <w:rtl w:val="0"/>
        </w:rPr>
        <w:t xml:space="preserve">8. Participación: </w:t>
      </w:r>
      <w:r w:rsidDel="00000000" w:rsidR="00000000" w:rsidRPr="00000000">
        <w:rPr>
          <w:rtl w:val="0"/>
        </w:rPr>
        <w:t xml:space="preserve">Ciertamente, tal y como se señala en el informe oficial, se ha incrementado la participación de mujeres en los </w:t>
      </w:r>
      <w:r w:rsidDel="00000000" w:rsidR="00000000" w:rsidRPr="00000000">
        <w:rPr>
          <w:i w:val="1"/>
          <w:rtl w:val="0"/>
        </w:rPr>
        <w:t xml:space="preserve">consejos de administración</w:t>
      </w:r>
      <w:r w:rsidDel="00000000" w:rsidR="00000000" w:rsidRPr="00000000">
        <w:rPr>
          <w:rtl w:val="0"/>
        </w:rPr>
        <w:t xml:space="preserve">, especialmente entre las que cotizan en el IBEX-35 (alrededor del 34% en marzo 2022) pero la representación femenina en los </w:t>
      </w:r>
      <w:r w:rsidDel="00000000" w:rsidR="00000000" w:rsidRPr="00000000">
        <w:rPr>
          <w:i w:val="1"/>
          <w:rtl w:val="0"/>
        </w:rPr>
        <w:t xml:space="preserve">comités de dirección</w:t>
      </w:r>
      <w:r w:rsidDel="00000000" w:rsidR="00000000" w:rsidRPr="00000000">
        <w:rPr>
          <w:rtl w:val="0"/>
        </w:rPr>
        <w:t xml:space="preserve"> de estas empresas desciende hasta el 18,32% (</w:t>
      </w:r>
      <w:hyperlink r:id="rId20">
        <w:r w:rsidDel="00000000" w:rsidR="00000000" w:rsidRPr="00000000">
          <w:rPr>
            <w:color w:val="1155cc"/>
            <w:u w:val="single"/>
            <w:rtl w:val="0"/>
          </w:rPr>
          <w:t xml:space="preserve">X Informe 'Las mujeres en los Consejos de las empresas cotizadas'</w:t>
        </w:r>
      </w:hyperlink>
      <w:r w:rsidDel="00000000" w:rsidR="00000000" w:rsidRPr="00000000">
        <w:rPr>
          <w:rtl w:val="0"/>
        </w:rPr>
        <w:t xml:space="preserve">).</w:t>
      </w:r>
    </w:p>
    <w:p w:rsidR="00000000" w:rsidDel="00000000" w:rsidP="00000000" w:rsidRDefault="00000000" w:rsidRPr="00000000" w14:paraId="00000021">
      <w:pPr>
        <w:spacing w:after="120" w:before="240" w:lineRule="auto"/>
        <w:jc w:val="both"/>
        <w:rPr/>
      </w:pPr>
      <w:r w:rsidDel="00000000" w:rsidR="00000000" w:rsidRPr="00000000">
        <w:rPr>
          <w:rtl w:val="0"/>
        </w:rPr>
        <w:t xml:space="preserve">Además, la representación femenina en el resto de empresas cotizadas se queda en el 25,8% (22,9% en 2020), por debajo de las recomendaciones de la CNMV para 2020. Consecuentemente, la media de representación femenina en las empresas cotizadas españolas es del 28,72%, por debajo del 30% recomendado por la CNMV para 2020, y lejos de la recomendación de</w:t>
      </w:r>
      <w:hyperlink r:id="rId21">
        <w:r w:rsidDel="00000000" w:rsidR="00000000" w:rsidRPr="00000000">
          <w:rPr>
            <w:rtl w:val="0"/>
          </w:rPr>
          <w:t xml:space="preserve"> </w:t>
        </w:r>
      </w:hyperlink>
      <w:hyperlink r:id="rId22">
        <w:r w:rsidDel="00000000" w:rsidR="00000000" w:rsidRPr="00000000">
          <w:rPr>
            <w:color w:val="1155cc"/>
            <w:u w:val="single"/>
            <w:rtl w:val="0"/>
          </w:rPr>
          <w:t xml:space="preserve">alcanzar el 40% en 2022</w:t>
        </w:r>
      </w:hyperlink>
      <w:r w:rsidDel="00000000" w:rsidR="00000000" w:rsidRPr="00000000">
        <w:rPr>
          <w:rtl w:val="0"/>
        </w:rPr>
        <w:t xml:space="preserve">.</w:t>
      </w:r>
    </w:p>
    <w:p w:rsidR="00000000" w:rsidDel="00000000" w:rsidP="00000000" w:rsidRDefault="00000000" w:rsidRPr="00000000" w14:paraId="00000022">
      <w:pPr>
        <w:spacing w:after="120" w:before="240" w:lineRule="auto"/>
        <w:ind w:left="0" w:firstLine="0"/>
        <w:jc w:val="both"/>
        <w:rPr/>
      </w:pPr>
      <w:r w:rsidDel="00000000" w:rsidR="00000000" w:rsidRPr="00000000">
        <w:rPr>
          <w:b w:val="1"/>
          <w:rtl w:val="0"/>
        </w:rPr>
        <w:t xml:space="preserve">11. Empleo y empoderamiento económico: </w:t>
      </w:r>
      <w:r w:rsidDel="00000000" w:rsidR="00000000" w:rsidRPr="00000000">
        <w:rPr>
          <w:rtl w:val="0"/>
        </w:rPr>
        <w:t xml:space="preserve">A pesar de la aprobación y reforma de marcos legislativos, la desigualdad de las mujeres en el empleo, las cotizaciones en la Seguridad Social y la</w:t>
      </w:r>
      <w:hyperlink r:id="rId23">
        <w:r w:rsidDel="00000000" w:rsidR="00000000" w:rsidRPr="00000000">
          <w:rPr>
            <w:rtl w:val="0"/>
          </w:rPr>
          <w:t xml:space="preserve"> </w:t>
        </w:r>
      </w:hyperlink>
      <w:hyperlink r:id="rId24">
        <w:r w:rsidDel="00000000" w:rsidR="00000000" w:rsidRPr="00000000">
          <w:rPr>
            <w:color w:val="1155cc"/>
            <w:u w:val="single"/>
            <w:rtl w:val="0"/>
          </w:rPr>
          <w:t xml:space="preserve">brecha educativa</w:t>
        </w:r>
      </w:hyperlink>
      <w:r w:rsidDel="00000000" w:rsidR="00000000" w:rsidRPr="00000000">
        <w:rPr>
          <w:rtl w:val="0"/>
        </w:rPr>
        <w:t xml:space="preserve"> se mantiene e incluso incrementa (</w:t>
      </w:r>
      <w:hyperlink r:id="rId25">
        <w:r w:rsidDel="00000000" w:rsidR="00000000" w:rsidRPr="00000000">
          <w:rPr>
            <w:i w:val="1"/>
            <w:color w:val="1155cc"/>
            <w:u w:val="single"/>
            <w:rtl w:val="0"/>
          </w:rPr>
          <w:t xml:space="preserve">Radiografía de la brecha de género en la formación STEAM</w:t>
        </w:r>
      </w:hyperlink>
      <w:r w:rsidDel="00000000" w:rsidR="00000000" w:rsidRPr="00000000">
        <w:rPr>
          <w:rtl w:val="0"/>
        </w:rPr>
        <w:t xml:space="preserve">, 2022. Ministerio Educación).</w:t>
      </w:r>
    </w:p>
    <w:p w:rsidR="00000000" w:rsidDel="00000000" w:rsidP="00000000" w:rsidRDefault="00000000" w:rsidRPr="00000000" w14:paraId="00000023">
      <w:pPr>
        <w:spacing w:after="120" w:before="240" w:lineRule="auto"/>
        <w:ind w:left="0" w:firstLine="0"/>
        <w:jc w:val="both"/>
        <w:rPr/>
      </w:pPr>
      <w:r w:rsidDel="00000000" w:rsidR="00000000" w:rsidRPr="00000000">
        <w:rPr>
          <w:b w:val="1"/>
          <w:rtl w:val="0"/>
        </w:rPr>
        <w:t xml:space="preserve">12. Salud. </w:t>
      </w:r>
      <w:r w:rsidDel="00000000" w:rsidR="00000000" w:rsidRPr="00000000">
        <w:rPr>
          <w:rtl w:val="0"/>
        </w:rPr>
        <w:t xml:space="preserve">La urgencia de la respuesta al COVID ha relegado la equidad, perspectiva de género y la salud sexual y reproductiva, tanto en las actuaciones de formación, como en indicadores y respuestas sanitarias.</w:t>
      </w:r>
    </w:p>
    <w:p w:rsidR="00000000" w:rsidDel="00000000" w:rsidP="00000000" w:rsidRDefault="00000000" w:rsidRPr="00000000" w14:paraId="00000024">
      <w:pPr>
        <w:spacing w:after="120" w:before="240" w:lineRule="auto"/>
        <w:ind w:left="0" w:firstLine="0"/>
        <w:jc w:val="both"/>
        <w:rPr/>
      </w:pPr>
      <w:r w:rsidDel="00000000" w:rsidR="00000000" w:rsidRPr="00000000">
        <w:rPr>
          <w:rtl w:val="0"/>
        </w:rPr>
        <w:t xml:space="preserve">Por otro lado, la existencia de protocolos no garantiza la implementación de los mismos. Existen numerosos protocolos, sobre violencia sexual, MGF, etc. tanto a nivel estatal como en las comunidades autónomas e incluso desarrollados por servicios provinciales que finalmente no se implementan o si lo hacen se realiza de forma descoordinada y carencias en formación (Ej:</w:t>
      </w:r>
      <w:r w:rsidDel="00000000" w:rsidR="00000000" w:rsidRPr="00000000">
        <w:rPr>
          <w:color w:val="414651"/>
          <w:rtl w:val="0"/>
        </w:rPr>
        <w:t xml:space="preserve">“</w:t>
      </w:r>
      <w:hyperlink r:id="rId26">
        <w:r w:rsidDel="00000000" w:rsidR="00000000" w:rsidRPr="00000000">
          <w:rPr>
            <w:i w:val="1"/>
            <w:color w:val="1155cc"/>
            <w:u w:val="single"/>
            <w:rtl w:val="0"/>
          </w:rPr>
          <w:t xml:space="preserve">Tratamiento de la Violencia sexual en la Comunidad Autónoma Andaluza</w:t>
        </w:r>
      </w:hyperlink>
      <w:r w:rsidDel="00000000" w:rsidR="00000000" w:rsidRPr="00000000">
        <w:rPr>
          <w:i w:val="1"/>
          <w:color w:val="414651"/>
          <w:rtl w:val="0"/>
        </w:rPr>
        <w:t xml:space="preserve">”</w:t>
      </w:r>
      <w:r w:rsidDel="00000000" w:rsidR="00000000" w:rsidRPr="00000000">
        <w:rPr>
          <w:rtl w:val="0"/>
        </w:rPr>
        <w:t xml:space="preserve">).</w:t>
      </w:r>
    </w:p>
    <w:p w:rsidR="00000000" w:rsidDel="00000000" w:rsidP="00000000" w:rsidRDefault="00000000" w:rsidRPr="00000000" w14:paraId="00000025">
      <w:pPr>
        <w:spacing w:after="120" w:before="240" w:lineRule="auto"/>
        <w:ind w:left="0" w:firstLine="0"/>
        <w:jc w:val="both"/>
        <w:rPr/>
      </w:pPr>
      <w:r w:rsidDel="00000000" w:rsidR="00000000" w:rsidRPr="00000000">
        <w:rPr>
          <w:b w:val="1"/>
          <w:rtl w:val="0"/>
        </w:rPr>
        <w:t xml:space="preserve">16. COVID: </w:t>
      </w:r>
      <w:r w:rsidDel="00000000" w:rsidR="00000000" w:rsidRPr="00000000">
        <w:rPr>
          <w:rtl w:val="0"/>
        </w:rPr>
        <w:t xml:space="preserve">A pesar de lo positivo del anuncio de beneficiar a las personas sin recursos de subsistencia con un </w:t>
      </w:r>
      <w:r w:rsidDel="00000000" w:rsidR="00000000" w:rsidRPr="00000000">
        <w:rPr>
          <w:i w:val="1"/>
          <w:rtl w:val="0"/>
        </w:rPr>
        <w:t xml:space="preserve">Ingreso Mínimo Vital</w:t>
      </w:r>
      <w:r w:rsidDel="00000000" w:rsidR="00000000" w:rsidRPr="00000000">
        <w:rPr>
          <w:rtl w:val="0"/>
        </w:rPr>
        <w:t xml:space="preserve"> (IMV) dirigido a paliar el impacto del COVID, que ascendía a 461,50 euros mensuales, se incumple la </w:t>
      </w:r>
      <w:r w:rsidDel="00000000" w:rsidR="00000000" w:rsidRPr="00000000">
        <w:rPr>
          <w:i w:val="1"/>
          <w:rtl w:val="0"/>
        </w:rPr>
        <w:t xml:space="preserve">Carta Social Europea</w:t>
      </w:r>
      <w:r w:rsidDel="00000000" w:rsidR="00000000" w:rsidRPr="00000000">
        <w:rPr>
          <w:rtl w:val="0"/>
        </w:rPr>
        <w:t xml:space="preserve"> que fijaba la cuantía mínima en este tipo de prestaciones en 739,00 euros mensuales (en el caso español). Asimismo, en octubre 2020 apenas alcanzó a 88.207 familias, un 10,37% de lo previsto inicialmente.</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sectPr>
      <w:pgSz w:h="16834" w:w="11909" w:orient="portrait"/>
      <w:pgMar w:bottom="541.1811023622045" w:top="850.3937007874016"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8">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Ver párrafo 9, Nota Orientativa para los Estados partes sobre la preparación de informes de conformidad con el art. 18 de la CEDAW, CEDAW/C/74/3 de 18 de diciembre 2019.</w:t>
      </w:r>
    </w:p>
  </w:footnote>
  <w:footnote w:id="1">
    <w:p w:rsidR="00000000" w:rsidDel="00000000" w:rsidP="00000000" w:rsidRDefault="00000000" w:rsidRPr="00000000" w14:paraId="0000002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Observaciones finales del Comité para la Eliminación de la Discriminación contra la Mujer 7 de agosto de 2009, CEDAW/C/ESP/CO/6, párrafo 10.</w:t>
      </w:r>
      <w:r w:rsidDel="00000000" w:rsidR="00000000" w:rsidRPr="00000000">
        <w:rPr>
          <w:rtl w:val="0"/>
        </w:rPr>
      </w:r>
    </w:p>
  </w:footnote>
  <w:footnote w:id="2">
    <w:p w:rsidR="00000000" w:rsidDel="00000000" w:rsidP="00000000" w:rsidRDefault="00000000" w:rsidRPr="00000000" w14:paraId="0000002A">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Ver </w:t>
      </w:r>
      <w:r w:rsidDel="00000000" w:rsidR="00000000" w:rsidRPr="00000000">
        <w:rPr>
          <w:i w:val="1"/>
          <w:sz w:val="16"/>
          <w:szCs w:val="16"/>
          <w:rtl w:val="0"/>
        </w:rPr>
        <w:t xml:space="preserve">Informe del Relator Especial de las Naciones Unidas sobre la extrema pobreza y los derechos humanos, Philip Alston, sobre la conclusión de su visita oficial a España</w:t>
      </w:r>
      <w:r w:rsidDel="00000000" w:rsidR="00000000" w:rsidRPr="00000000">
        <w:rPr>
          <w:sz w:val="16"/>
          <w:szCs w:val="16"/>
          <w:rtl w:val="0"/>
        </w:rPr>
        <w:t xml:space="preserve">, 27 de enero – 7 de febrero de 2020, A/HRC/44/40/Add.2.</w:t>
      </w:r>
    </w:p>
  </w:footnote>
  <w:footnote w:id="3">
    <w:p w:rsidR="00000000" w:rsidDel="00000000" w:rsidP="00000000" w:rsidRDefault="00000000" w:rsidRPr="00000000" w14:paraId="0000002B">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“Anteproyecto de ley para la Igualdad real y efectiva de las personas trans y para la garantía de los derechos LGTBI", aprobado por el Consejo de Ministros el 27 de junio de 2022 y, actualmente, en proceso de trámite parlamentario.</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diarioabierto.es/wp-content/uploads/2022/03/X-Informe-de-Mujeres-consejeras-en-el-Ibex-35.pdf" TargetMode="External"/><Relationship Id="rId22" Type="http://schemas.openxmlformats.org/officeDocument/2006/relationships/hyperlink" Target="https://www.elperiodico.com/es/economia/20200115/cnmv-albella-mujeres-consejos-empresas-codigo-buen-gobierno-villarejo-7807811" TargetMode="External"/><Relationship Id="rId21" Type="http://schemas.openxmlformats.org/officeDocument/2006/relationships/hyperlink" Target="https://www.elperiodico.com/es/economia/20200115/cnmv-albella-mujeres-consejos-empresas-codigo-buen-gobierno-villarejo-7807811" TargetMode="External"/><Relationship Id="rId24" Type="http://schemas.openxmlformats.org/officeDocument/2006/relationships/hyperlink" Target="https://elpais.com/educacion/2022-02-11/alarma-por-la-brecha-de-genero-educativa-la-proporcion-de-mujeres-cae-cada-curso-en-matematicas-informatica-y-tecnologia.html" TargetMode="External"/><Relationship Id="rId23" Type="http://schemas.openxmlformats.org/officeDocument/2006/relationships/hyperlink" Target="https://elpais.com/educacion/2022-02-11/alarma-por-la-brecha-de-genero-educativa-la-proporcion-de-mujeres-cae-cada-curso-en-matematicas-informatica-y-tecnologia.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lpais.com/sociedad/2021-12-09/la-onu-advierte-de-que-el-sistema-judicial-espanol-no-protege-a-los-menores-de-los-padres-abusivos.html" TargetMode="External"/><Relationship Id="rId26" Type="http://schemas.openxmlformats.org/officeDocument/2006/relationships/hyperlink" Target="https://creacionpositiva.org/onewebmedia/diagnosis%20libro_crea_2_version_web.pdf" TargetMode="External"/><Relationship Id="rId25" Type="http://schemas.openxmlformats.org/officeDocument/2006/relationships/hyperlink" Target="https://www.educacionyfp.gob.es/dam/jcr:95061d7e-da6f-46ad-a828-53f5d604697c/libro-steam-1-2-22-web-.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ncbi.nlm.nih.gov/pmc/articles/PMC8249676/" TargetMode="External"/><Relationship Id="rId8" Type="http://schemas.openxmlformats.org/officeDocument/2006/relationships/hyperlink" Target="https://www.ncbi.nlm.nih.gov/pmc/articles/PMC8249676/" TargetMode="External"/><Relationship Id="rId11" Type="http://schemas.openxmlformats.org/officeDocument/2006/relationships/hyperlink" Target="https://www.ohchr.org/en/press-releases/2022/02/spain-un-experts-denounce-child-custody-decision-ignores-evidence-sexual" TargetMode="External"/><Relationship Id="rId10" Type="http://schemas.openxmlformats.org/officeDocument/2006/relationships/hyperlink" Target="https://elpais.com/sociedad/2021-12-09/la-onu-advierte-de-que-el-sistema-judicial-espanol-no-protege-a-los-menores-de-los-padres-abusivos.html" TargetMode="External"/><Relationship Id="rId13" Type="http://schemas.openxmlformats.org/officeDocument/2006/relationships/hyperlink" Target="https://impactodegeneroya.org/wp-content/uploads/2022/06/Manifiesto-PGE-2018-16.05.pdf" TargetMode="External"/><Relationship Id="rId12" Type="http://schemas.openxmlformats.org/officeDocument/2006/relationships/hyperlink" Target="https://www.ohchr.org/en/press-releases/2022/02/spain-un-experts-denounce-child-custody-decision-ignores-evidence-sexual" TargetMode="External"/><Relationship Id="rId15" Type="http://schemas.openxmlformats.org/officeDocument/2006/relationships/hyperlink" Target="https://dofemco.org/" TargetMode="External"/><Relationship Id="rId14" Type="http://schemas.openxmlformats.org/officeDocument/2006/relationships/hyperlink" Target="https://impactodegeneroya.org/wp-content/uploads/2022/06/Manifiesto-PGE-2018-16.05.pdf" TargetMode="External"/><Relationship Id="rId17" Type="http://schemas.openxmlformats.org/officeDocument/2006/relationships/hyperlink" Target="https://contraelborradodelasmujeres.org/educacion/" TargetMode="External"/><Relationship Id="rId16" Type="http://schemas.openxmlformats.org/officeDocument/2006/relationships/hyperlink" Target="https://dofemco.org/" TargetMode="External"/><Relationship Id="rId19" Type="http://schemas.openxmlformats.org/officeDocument/2006/relationships/hyperlink" Target="http://centredelas.org/wp-content/uploads/2020/06/informe41_PurplewashingEjercito_CAST_web_DEF_compressed.pdf" TargetMode="External"/><Relationship Id="rId18" Type="http://schemas.openxmlformats.org/officeDocument/2006/relationships/hyperlink" Target="https://contraelborradodelasmujeres.org/educac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