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250D7" w:rsidRPr="000971AE" w14:paraId="0EE523CD" w14:textId="77777777">
        <w:trPr>
          <w:cantSplit/>
          <w:trHeight w:hRule="exact" w:val="851"/>
        </w:trPr>
        <w:tc>
          <w:tcPr>
            <w:tcW w:w="1276" w:type="dxa"/>
            <w:tcBorders>
              <w:bottom w:val="single" w:sz="4" w:space="0" w:color="auto"/>
            </w:tcBorders>
            <w:vAlign w:val="bottom"/>
          </w:tcPr>
          <w:p w14:paraId="2D764A45" w14:textId="77777777" w:rsidR="007125A6" w:rsidRDefault="007125A6">
            <w:pPr>
              <w:spacing w:after="80"/>
            </w:pPr>
          </w:p>
        </w:tc>
        <w:tc>
          <w:tcPr>
            <w:tcW w:w="2268" w:type="dxa"/>
            <w:tcBorders>
              <w:bottom w:val="single" w:sz="4" w:space="0" w:color="auto"/>
            </w:tcBorders>
            <w:vAlign w:val="bottom"/>
          </w:tcPr>
          <w:p w14:paraId="2E0BFB14" w14:textId="3B87168F" w:rsidR="007125A6" w:rsidRPr="000971AE" w:rsidRDefault="007125A6">
            <w:pPr>
              <w:spacing w:after="80" w:line="300" w:lineRule="exact"/>
              <w:rPr>
                <w:b/>
                <w:sz w:val="24"/>
                <w:szCs w:val="24"/>
              </w:rPr>
            </w:pPr>
          </w:p>
        </w:tc>
        <w:tc>
          <w:tcPr>
            <w:tcW w:w="6095" w:type="dxa"/>
            <w:gridSpan w:val="2"/>
            <w:tcBorders>
              <w:bottom w:val="single" w:sz="4" w:space="0" w:color="auto"/>
            </w:tcBorders>
            <w:vAlign w:val="bottom"/>
          </w:tcPr>
          <w:p w14:paraId="1CAC0915" w14:textId="77777777" w:rsidR="007125A6" w:rsidRPr="000971AE" w:rsidRDefault="00EA6A67">
            <w:pPr>
              <w:suppressAutoHyphens w:val="0"/>
              <w:spacing w:after="20"/>
              <w:jc w:val="right"/>
            </w:pPr>
            <w:r w:rsidRPr="000971AE">
              <w:rPr>
                <w:sz w:val="40"/>
              </w:rPr>
              <w:t>CRPD</w:t>
            </w:r>
            <w:r w:rsidRPr="000971AE">
              <w:t>/C/MDA/RQ/2-3</w:t>
            </w:r>
          </w:p>
        </w:tc>
      </w:tr>
      <w:tr w:rsidR="009250D7" w:rsidRPr="000971AE" w14:paraId="1580B40B" w14:textId="77777777">
        <w:trPr>
          <w:cantSplit/>
          <w:trHeight w:hRule="exact" w:val="2835"/>
        </w:trPr>
        <w:tc>
          <w:tcPr>
            <w:tcW w:w="1276" w:type="dxa"/>
            <w:tcBorders>
              <w:top w:val="single" w:sz="4" w:space="0" w:color="auto"/>
              <w:bottom w:val="single" w:sz="12" w:space="0" w:color="auto"/>
            </w:tcBorders>
          </w:tcPr>
          <w:p w14:paraId="079B39A8" w14:textId="4FAD0434" w:rsidR="007125A6" w:rsidRPr="000971AE" w:rsidRDefault="007125A6">
            <w:pPr>
              <w:spacing w:before="120"/>
              <w:jc w:val="center"/>
            </w:pPr>
          </w:p>
        </w:tc>
        <w:tc>
          <w:tcPr>
            <w:tcW w:w="5528" w:type="dxa"/>
            <w:gridSpan w:val="2"/>
            <w:tcBorders>
              <w:top w:val="single" w:sz="4" w:space="0" w:color="auto"/>
              <w:bottom w:val="single" w:sz="12" w:space="0" w:color="auto"/>
            </w:tcBorders>
          </w:tcPr>
          <w:p w14:paraId="68FF8EC3" w14:textId="77777777" w:rsidR="007125A6" w:rsidRPr="000971AE" w:rsidRDefault="00EA6A67">
            <w:pPr>
              <w:spacing w:before="120" w:line="380" w:lineRule="exact"/>
            </w:pPr>
            <w:r w:rsidRPr="000971AE">
              <w:rPr>
                <w:b/>
                <w:sz w:val="34"/>
                <w:szCs w:val="40"/>
              </w:rPr>
              <w:t>Convention on the Rights</w:t>
            </w:r>
            <w:r w:rsidRPr="000971AE">
              <w:rPr>
                <w:b/>
                <w:sz w:val="34"/>
                <w:szCs w:val="40"/>
              </w:rPr>
              <w:br/>
              <w:t>of Persons with Disabilities</w:t>
            </w:r>
          </w:p>
        </w:tc>
        <w:tc>
          <w:tcPr>
            <w:tcW w:w="2835" w:type="dxa"/>
            <w:tcBorders>
              <w:top w:val="single" w:sz="4" w:space="0" w:color="auto"/>
              <w:bottom w:val="single" w:sz="12" w:space="0" w:color="auto"/>
            </w:tcBorders>
          </w:tcPr>
          <w:p w14:paraId="2F14B98A" w14:textId="77777777" w:rsidR="007125A6" w:rsidRPr="000971AE" w:rsidRDefault="00EA6A67">
            <w:pPr>
              <w:suppressAutoHyphens w:val="0"/>
              <w:spacing w:before="240" w:line="240" w:lineRule="exact"/>
              <w:rPr>
                <w:lang w:val="en-US"/>
              </w:rPr>
            </w:pPr>
            <w:r w:rsidRPr="000971AE">
              <w:rPr>
                <w:lang w:val="en-US"/>
              </w:rPr>
              <w:t>Distr.: General</w:t>
            </w:r>
          </w:p>
          <w:p w14:paraId="491EAFC9" w14:textId="100FB5CF" w:rsidR="007125A6" w:rsidRDefault="00AE01B3">
            <w:pPr>
              <w:suppressAutoHyphens w:val="0"/>
              <w:rPr>
                <w:lang w:val="en-US"/>
              </w:rPr>
            </w:pPr>
            <w:r>
              <w:rPr>
                <w:lang w:val="en-US"/>
              </w:rPr>
              <w:t>9</w:t>
            </w:r>
            <w:r w:rsidR="00EA6A67" w:rsidRPr="000971AE">
              <w:rPr>
                <w:lang w:val="en-US"/>
              </w:rPr>
              <w:t xml:space="preserve"> October 2025</w:t>
            </w:r>
          </w:p>
          <w:p w14:paraId="6D5B5FF1" w14:textId="2A4F0232" w:rsidR="00AE01B3" w:rsidRPr="00AE01B3" w:rsidRDefault="00AE01B3">
            <w:pPr>
              <w:suppressAutoHyphens w:val="0"/>
              <w:rPr>
                <w:b/>
                <w:bCs/>
                <w:lang w:val="en-US"/>
              </w:rPr>
            </w:pPr>
            <w:r>
              <w:rPr>
                <w:b/>
                <w:bCs/>
                <w:lang w:val="en-US"/>
              </w:rPr>
              <w:t>ADVANCE UN</w:t>
            </w:r>
            <w:r w:rsidR="00221214">
              <w:rPr>
                <w:b/>
                <w:bCs/>
                <w:lang w:val="en-US"/>
              </w:rPr>
              <w:t>E</w:t>
            </w:r>
            <w:r>
              <w:rPr>
                <w:b/>
                <w:bCs/>
                <w:lang w:val="en-US"/>
              </w:rPr>
              <w:t>DITED VERSION</w:t>
            </w:r>
          </w:p>
          <w:p w14:paraId="394A84E4" w14:textId="77777777" w:rsidR="007125A6" w:rsidRPr="000971AE" w:rsidRDefault="007125A6">
            <w:pPr>
              <w:suppressAutoHyphens w:val="0"/>
              <w:rPr>
                <w:lang w:val="en-US"/>
              </w:rPr>
            </w:pPr>
          </w:p>
          <w:p w14:paraId="702D50C6" w14:textId="5B18AE16" w:rsidR="007125A6" w:rsidRPr="000971AE" w:rsidRDefault="00EA6A67" w:rsidP="00AE01B3">
            <w:pPr>
              <w:suppressAutoHyphens w:val="0"/>
              <w:rPr>
                <w:lang w:val="en-US"/>
              </w:rPr>
            </w:pPr>
            <w:r w:rsidRPr="000971AE">
              <w:rPr>
                <w:lang w:val="en-US"/>
              </w:rPr>
              <w:t>Original: English</w:t>
            </w:r>
          </w:p>
        </w:tc>
      </w:tr>
    </w:tbl>
    <w:p w14:paraId="0587C412" w14:textId="77777777" w:rsidR="007125A6" w:rsidRPr="000971AE" w:rsidRDefault="00EA6A67">
      <w:pPr>
        <w:spacing w:before="120"/>
        <w:rPr>
          <w:b/>
          <w:sz w:val="24"/>
        </w:rPr>
      </w:pPr>
      <w:r w:rsidRPr="000971AE">
        <w:rPr>
          <w:b/>
          <w:sz w:val="24"/>
        </w:rPr>
        <w:t>Committee on the Rights of Persons with Disabilities</w:t>
      </w:r>
    </w:p>
    <w:p w14:paraId="0F9039DF" w14:textId="77777777" w:rsidR="007125A6" w:rsidRPr="000971AE" w:rsidRDefault="00EA6A67" w:rsidP="002A5398">
      <w:pPr>
        <w:pStyle w:val="HMG"/>
      </w:pPr>
      <w:r w:rsidRPr="000971AE">
        <w:tab/>
      </w:r>
      <w:r w:rsidRPr="000971AE">
        <w:tab/>
      </w:r>
      <w:r w:rsidR="002A5398" w:rsidRPr="000971AE">
        <w:t>Replies of the Republic of Moldova to the list of issues in relation to its</w:t>
      </w:r>
      <w:r w:rsidRPr="000971AE">
        <w:t xml:space="preserve"> </w:t>
      </w:r>
      <w:r w:rsidR="002A5398" w:rsidRPr="000971AE">
        <w:t>combined second and third reports</w:t>
      </w:r>
      <w:r w:rsidRPr="000971AE">
        <w:rPr>
          <w:rStyle w:val="FootnoteReference"/>
          <w:b w:val="0"/>
          <w:sz w:val="20"/>
          <w:vertAlign w:val="baseline"/>
        </w:rPr>
        <w:footnoteReference w:customMarkFollows="1" w:id="2"/>
        <w:t>*</w:t>
      </w:r>
    </w:p>
    <w:p w14:paraId="2B08C687" w14:textId="5A185977" w:rsidR="007125A6" w:rsidRPr="000971AE" w:rsidRDefault="00EA6A67">
      <w:pPr>
        <w:pStyle w:val="SingleTxtG"/>
        <w:jc w:val="right"/>
      </w:pPr>
      <w:r w:rsidRPr="000971AE">
        <w:t xml:space="preserve"> </w:t>
      </w:r>
      <w:r w:rsidR="00CF305B" w:rsidRPr="000971AE">
        <w:t xml:space="preserve">[Date received: </w:t>
      </w:r>
      <w:r w:rsidRPr="000971AE">
        <w:t>9 October 2025</w:t>
      </w:r>
      <w:r w:rsidR="00CF305B" w:rsidRPr="000971AE">
        <w:t>]</w:t>
      </w:r>
    </w:p>
    <w:p w14:paraId="599353EF" w14:textId="2E3C9FE6" w:rsidR="00EA6A67" w:rsidRPr="000971AE" w:rsidRDefault="00EA6A67">
      <w:pPr>
        <w:suppressAutoHyphens w:val="0"/>
        <w:spacing w:after="200" w:line="276" w:lineRule="auto"/>
        <w:rPr>
          <w:rFonts w:eastAsiaTheme="minorHAnsi"/>
        </w:rPr>
      </w:pPr>
      <w:r w:rsidRPr="000971AE">
        <w:br w:type="page"/>
      </w:r>
    </w:p>
    <w:p w14:paraId="630AEBCB" w14:textId="7061F92E" w:rsidR="003251EC" w:rsidRPr="000971AE" w:rsidRDefault="003251EC" w:rsidP="003251EC">
      <w:pPr>
        <w:pStyle w:val="H1G"/>
        <w:rPr>
          <w:lang w:val="en-US" w:eastAsia="ru-MD"/>
        </w:rPr>
      </w:pPr>
      <w:r w:rsidRPr="000971AE">
        <w:rPr>
          <w:lang w:val="en-US" w:eastAsia="ru-MD"/>
        </w:rPr>
        <w:lastRenderedPageBreak/>
        <w:tab/>
      </w:r>
      <w:r w:rsidRPr="000971AE">
        <w:rPr>
          <w:lang w:val="en-US" w:eastAsia="ru-MD"/>
        </w:rPr>
        <w:tab/>
        <w:t>Abbreviations</w:t>
      </w:r>
    </w:p>
    <w:p w14:paraId="3504A94E" w14:textId="77777777" w:rsidR="003251EC" w:rsidRPr="000971AE" w:rsidRDefault="003251EC" w:rsidP="000C0BE5">
      <w:pPr>
        <w:pStyle w:val="SingleTxtG"/>
      </w:pPr>
      <w:r w:rsidRPr="000971AE">
        <w:t xml:space="preserve">ANOFM – National Employment Agency </w:t>
      </w:r>
    </w:p>
    <w:p w14:paraId="0EDFF805" w14:textId="77777777" w:rsidR="003251EC" w:rsidRPr="000971AE" w:rsidRDefault="003251EC" w:rsidP="000C0BE5">
      <w:pPr>
        <w:pStyle w:val="SingleTxtG"/>
      </w:pPr>
      <w:r w:rsidRPr="000971AE">
        <w:t>ANP – National Agency of Penitentiaries</w:t>
      </w:r>
    </w:p>
    <w:p w14:paraId="413A93C2" w14:textId="77777777" w:rsidR="003251EC" w:rsidRPr="000971AE" w:rsidRDefault="003251EC" w:rsidP="000C0BE5">
      <w:pPr>
        <w:pStyle w:val="SingleTxtG"/>
      </w:pPr>
      <w:r w:rsidRPr="000971AE">
        <w:t>ANPCV – National Agency for Preventing and Combating Violence against Women and Domestic Violence</w:t>
      </w:r>
    </w:p>
    <w:p w14:paraId="7F435F4D" w14:textId="77777777" w:rsidR="003251EC" w:rsidRPr="000971AE" w:rsidRDefault="003251EC" w:rsidP="000C0BE5">
      <w:pPr>
        <w:pStyle w:val="SingleTxtG"/>
      </w:pPr>
      <w:r w:rsidRPr="000971AE">
        <w:t>ANRCETI – National Regulatory Agency for Communications and Electronics and Information Technology</w:t>
      </w:r>
    </w:p>
    <w:p w14:paraId="56AC0768" w14:textId="77777777" w:rsidR="003251EC" w:rsidRPr="000971AE" w:rsidRDefault="003251EC" w:rsidP="000C0BE5">
      <w:pPr>
        <w:pStyle w:val="SingleTxtG"/>
      </w:pPr>
      <w:r w:rsidRPr="000971AE">
        <w:t>AST – Agency for Technical Supervision</w:t>
      </w:r>
    </w:p>
    <w:p w14:paraId="20A4F321" w14:textId="77777777" w:rsidR="003251EC" w:rsidRPr="000971AE" w:rsidRDefault="003251EC" w:rsidP="000C0BE5">
      <w:pPr>
        <w:pStyle w:val="SingleTxtG"/>
      </w:pPr>
      <w:r w:rsidRPr="000971AE">
        <w:t>ATAS – Territorial Agency for Social Assistance</w:t>
      </w:r>
    </w:p>
    <w:p w14:paraId="7310045D" w14:textId="77777777" w:rsidR="003251EC" w:rsidRPr="000971AE" w:rsidRDefault="003251EC" w:rsidP="000C0BE5">
      <w:pPr>
        <w:pStyle w:val="SingleTxtG"/>
      </w:pPr>
      <w:r w:rsidRPr="000971AE">
        <w:t>CCSM – Community Mental Health Center</w:t>
      </w:r>
    </w:p>
    <w:p w14:paraId="488459A6" w14:textId="77777777" w:rsidR="003251EC" w:rsidRPr="000971AE" w:rsidRDefault="003251EC" w:rsidP="000C0BE5">
      <w:pPr>
        <w:pStyle w:val="SingleTxtG"/>
      </w:pPr>
      <w:r w:rsidRPr="000971AE">
        <w:t>CDA – Lawyers' Law Center</w:t>
      </w:r>
    </w:p>
    <w:p w14:paraId="18700482" w14:textId="77777777" w:rsidR="003251EC" w:rsidRPr="000971AE" w:rsidRDefault="003251EC" w:rsidP="000C0BE5">
      <w:pPr>
        <w:pStyle w:val="SingleTxtG"/>
      </w:pPr>
      <w:r w:rsidRPr="000971AE">
        <w:t>CEC – Central Electoral Commission</w:t>
      </w:r>
    </w:p>
    <w:p w14:paraId="1C69A27B" w14:textId="77777777" w:rsidR="003251EC" w:rsidRPr="000971AE" w:rsidRDefault="003251EC" w:rsidP="000C0BE5">
      <w:pPr>
        <w:pStyle w:val="SingleTxtG"/>
      </w:pPr>
      <w:r w:rsidRPr="000971AE">
        <w:t>CNAJGS – National Center for State-Guaranteed Legal Aid</w:t>
      </w:r>
    </w:p>
    <w:p w14:paraId="1B8B0574" w14:textId="77777777" w:rsidR="003251EC" w:rsidRPr="000971AE" w:rsidRDefault="003251EC" w:rsidP="000C0BE5">
      <w:pPr>
        <w:pStyle w:val="SingleTxtG"/>
      </w:pPr>
      <w:r w:rsidRPr="000971AE">
        <w:t xml:space="preserve">CNAM – National Health Insurance Company </w:t>
      </w:r>
    </w:p>
    <w:p w14:paraId="3F5CF288" w14:textId="77777777" w:rsidR="003251EC" w:rsidRPr="000971AE" w:rsidRDefault="003251EC" w:rsidP="000C0BE5">
      <w:pPr>
        <w:pStyle w:val="SingleTxtG"/>
      </w:pPr>
      <w:r w:rsidRPr="000971AE">
        <w:t xml:space="preserve">CNDDCM – National Council for the Determination of Disability and Work Capacity </w:t>
      </w:r>
    </w:p>
    <w:p w14:paraId="6BD11881" w14:textId="77777777" w:rsidR="003251EC" w:rsidRPr="000971AE" w:rsidRDefault="003251EC" w:rsidP="000C0BE5">
      <w:pPr>
        <w:pStyle w:val="SingleTxtG"/>
      </w:pPr>
      <w:r w:rsidRPr="000971AE">
        <w:t>CNDO – National Council for Human Rights</w:t>
      </w:r>
    </w:p>
    <w:p w14:paraId="4FA6098B" w14:textId="77777777" w:rsidR="003251EC" w:rsidRPr="000971AE" w:rsidRDefault="003251EC" w:rsidP="000C0BE5">
      <w:pPr>
        <w:pStyle w:val="SingleTxtG"/>
      </w:pPr>
      <w:r w:rsidRPr="000971AE">
        <w:t>CNDPD - National Council for the Rights of Persons with Disabilities</w:t>
      </w:r>
    </w:p>
    <w:p w14:paraId="2FC8FCED" w14:textId="77777777" w:rsidR="003251EC" w:rsidRPr="000971AE" w:rsidRDefault="003251EC" w:rsidP="000C0BE5">
      <w:pPr>
        <w:pStyle w:val="SingleTxtG"/>
      </w:pPr>
      <w:r w:rsidRPr="000971AE">
        <w:t>CNSM – National Trade Unions Confederation of Moldova</w:t>
      </w:r>
    </w:p>
    <w:p w14:paraId="4C9BEB5C" w14:textId="77777777" w:rsidR="003251EC" w:rsidRPr="000971AE" w:rsidRDefault="003251EC" w:rsidP="000C0BE5">
      <w:pPr>
        <w:pStyle w:val="SingleTxtG"/>
      </w:pPr>
      <w:r w:rsidRPr="000971AE">
        <w:t xml:space="preserve">CRAP/SAP - Republican Center for Psycho-Pedagogical Assistance / Psycho-Pedagogical Assistance Service  </w:t>
      </w:r>
    </w:p>
    <w:p w14:paraId="14A10B68" w14:textId="77777777" w:rsidR="003251EC" w:rsidRPr="000971AE" w:rsidRDefault="003251EC" w:rsidP="000C0BE5">
      <w:pPr>
        <w:pStyle w:val="SingleTxtG"/>
      </w:pPr>
      <w:r w:rsidRPr="000971AE">
        <w:t>CREPOR – Republican Experimental Center for Prosthetics, Orthopedics and Rehabilitation</w:t>
      </w:r>
    </w:p>
    <w:p w14:paraId="013F463D" w14:textId="77777777" w:rsidR="003251EC" w:rsidRPr="000971AE" w:rsidRDefault="003251EC" w:rsidP="000C0BE5">
      <w:pPr>
        <w:pStyle w:val="SingleTxtG"/>
      </w:pPr>
      <w:r w:rsidRPr="000971AE">
        <w:t>CRPD – UN Convention on the Rights of Persons with Disabilities</w:t>
      </w:r>
    </w:p>
    <w:p w14:paraId="73764123" w14:textId="77777777" w:rsidR="003251EC" w:rsidRPr="000971AE" w:rsidRDefault="003251EC" w:rsidP="000C0BE5">
      <w:pPr>
        <w:pStyle w:val="SingleTxtG"/>
      </w:pPr>
      <w:r w:rsidRPr="000971AE">
        <w:t xml:space="preserve">CSPT – youth-friendly health center </w:t>
      </w:r>
    </w:p>
    <w:p w14:paraId="1AADD7A6" w14:textId="77777777" w:rsidR="003251EC" w:rsidRPr="000971AE" w:rsidRDefault="003251EC" w:rsidP="000C0BE5">
      <w:pPr>
        <w:pStyle w:val="SingleTxtG"/>
      </w:pPr>
      <w:r w:rsidRPr="000971AE">
        <w:t xml:space="preserve">EC - Equality Council </w:t>
      </w:r>
    </w:p>
    <w:p w14:paraId="1A36CAF5" w14:textId="77777777" w:rsidR="003251EC" w:rsidRPr="000971AE" w:rsidRDefault="003251EC" w:rsidP="000C0BE5">
      <w:pPr>
        <w:pStyle w:val="SingleTxtG"/>
      </w:pPr>
      <w:r w:rsidRPr="000971AE">
        <w:t>GD – Government Decision</w:t>
      </w:r>
    </w:p>
    <w:p w14:paraId="4314CFB4" w14:textId="77777777" w:rsidR="003251EC" w:rsidRPr="000971AE" w:rsidRDefault="003251EC" w:rsidP="000C0BE5">
      <w:pPr>
        <w:pStyle w:val="SingleTxtG"/>
      </w:pPr>
      <w:r w:rsidRPr="000971AE">
        <w:t>GPI – General Police Inspectorate</w:t>
      </w:r>
    </w:p>
    <w:p w14:paraId="1070F6CC" w14:textId="77777777" w:rsidR="003251EC" w:rsidRPr="000971AE" w:rsidRDefault="003251EC" w:rsidP="000C0BE5">
      <w:pPr>
        <w:pStyle w:val="SingleTxtG"/>
      </w:pPr>
      <w:r w:rsidRPr="000971AE">
        <w:t xml:space="preserve">ICD – International Classification of Disability </w:t>
      </w:r>
    </w:p>
    <w:p w14:paraId="58B8B1BF" w14:textId="77777777" w:rsidR="003251EC" w:rsidRPr="000971AE" w:rsidRDefault="003251EC" w:rsidP="000C0BE5">
      <w:pPr>
        <w:pStyle w:val="SingleTxtG"/>
      </w:pPr>
      <w:r w:rsidRPr="000971AE">
        <w:t>ICF – International Classification of Functionalities</w:t>
      </w:r>
    </w:p>
    <w:p w14:paraId="4087CAB9" w14:textId="77777777" w:rsidR="003251EC" w:rsidRPr="000971AE" w:rsidRDefault="003251EC" w:rsidP="000C0BE5">
      <w:pPr>
        <w:pStyle w:val="SingleTxtG"/>
      </w:pPr>
      <w:r w:rsidRPr="000971AE">
        <w:t>IGM – General Inspectorate for Migration</w:t>
      </w:r>
    </w:p>
    <w:p w14:paraId="3478E8FC" w14:textId="77777777" w:rsidR="003251EC" w:rsidRPr="000971AE" w:rsidRDefault="003251EC" w:rsidP="000C0BE5">
      <w:pPr>
        <w:pStyle w:val="SingleTxtG"/>
      </w:pPr>
      <w:r w:rsidRPr="000971AE">
        <w:t>IMSP CRRC - IMSP Republican Children Rehabilitation Center</w:t>
      </w:r>
    </w:p>
    <w:p w14:paraId="1D8ED3DB" w14:textId="77777777" w:rsidR="003251EC" w:rsidRPr="000971AE" w:rsidRDefault="003251EC" w:rsidP="000C0BE5">
      <w:pPr>
        <w:pStyle w:val="SingleTxtG"/>
      </w:pPr>
      <w:r w:rsidRPr="000971AE">
        <w:t xml:space="preserve">LPA – local public authority </w:t>
      </w:r>
    </w:p>
    <w:p w14:paraId="0B6236E7" w14:textId="77777777" w:rsidR="003251EC" w:rsidRPr="000971AE" w:rsidRDefault="003251EC" w:rsidP="000C0BE5">
      <w:pPr>
        <w:pStyle w:val="SingleTxtG"/>
      </w:pPr>
      <w:r w:rsidRPr="000971AE">
        <w:t xml:space="preserve">MAI – Ministry of Internal Affairs </w:t>
      </w:r>
    </w:p>
    <w:p w14:paraId="51E0F430" w14:textId="77777777" w:rsidR="003251EC" w:rsidRPr="000971AE" w:rsidRDefault="003251EC" w:rsidP="000C0BE5">
      <w:pPr>
        <w:pStyle w:val="SingleTxtG"/>
      </w:pPr>
      <w:r w:rsidRPr="000971AE">
        <w:t xml:space="preserve">MC – Ministry of Culture  </w:t>
      </w:r>
    </w:p>
    <w:p w14:paraId="3E04BF16" w14:textId="77777777" w:rsidR="003251EC" w:rsidRPr="000971AE" w:rsidRDefault="003251EC" w:rsidP="000C0BE5">
      <w:pPr>
        <w:pStyle w:val="SingleTxtG"/>
      </w:pPr>
      <w:r w:rsidRPr="000971AE">
        <w:t>MEC – Ministry of Education and Research</w:t>
      </w:r>
    </w:p>
    <w:p w14:paraId="57238D2D" w14:textId="77777777" w:rsidR="003251EC" w:rsidRPr="000971AE" w:rsidRDefault="003251EC" w:rsidP="000C0BE5">
      <w:pPr>
        <w:pStyle w:val="SingleTxtG"/>
      </w:pPr>
      <w:r w:rsidRPr="000971AE">
        <w:t>MIRD – Minister of Infrastructure and Regional Development</w:t>
      </w:r>
    </w:p>
    <w:p w14:paraId="09EBDD8E" w14:textId="77777777" w:rsidR="003251EC" w:rsidRPr="000971AE" w:rsidRDefault="003251EC" w:rsidP="000C0BE5">
      <w:pPr>
        <w:pStyle w:val="SingleTxtG"/>
      </w:pPr>
      <w:r w:rsidRPr="000971AE">
        <w:t>MoLSP - Ministry of Labor and Social Protection</w:t>
      </w:r>
    </w:p>
    <w:p w14:paraId="389F3AC5" w14:textId="77777777" w:rsidR="003251EC" w:rsidRPr="000971AE" w:rsidRDefault="003251EC" w:rsidP="000C0BE5">
      <w:pPr>
        <w:pStyle w:val="SingleTxtG"/>
      </w:pPr>
      <w:r w:rsidRPr="000971AE">
        <w:t xml:space="preserve">NBS – National Bureau of Statistics </w:t>
      </w:r>
    </w:p>
    <w:p w14:paraId="4F9E7B85" w14:textId="77777777" w:rsidR="003251EC" w:rsidRPr="000971AE" w:rsidRDefault="003251EC" w:rsidP="000C0BE5">
      <w:pPr>
        <w:pStyle w:val="SingleTxtG"/>
      </w:pPr>
      <w:r w:rsidRPr="000971AE">
        <w:t xml:space="preserve">NGO – non-governmental organization </w:t>
      </w:r>
    </w:p>
    <w:p w14:paraId="0DF582FF" w14:textId="77777777" w:rsidR="003251EC" w:rsidRPr="000971AE" w:rsidRDefault="003251EC" w:rsidP="000C0BE5">
      <w:pPr>
        <w:pStyle w:val="SingleTxtG"/>
      </w:pPr>
      <w:r w:rsidRPr="000971AE">
        <w:t>NIJ – National Institute of Justice</w:t>
      </w:r>
    </w:p>
    <w:p w14:paraId="1EAF36C6" w14:textId="77777777" w:rsidR="003251EC" w:rsidRPr="000971AE" w:rsidRDefault="003251EC" w:rsidP="000C0BE5">
      <w:pPr>
        <w:pStyle w:val="SingleTxtG"/>
      </w:pPr>
      <w:r w:rsidRPr="000971AE">
        <w:t xml:space="preserve">OAP - Ombudsman's Office </w:t>
      </w:r>
    </w:p>
    <w:p w14:paraId="42D4FE01" w14:textId="77777777" w:rsidR="003251EC" w:rsidRPr="000971AE" w:rsidRDefault="003251EC" w:rsidP="000C0BE5">
      <w:pPr>
        <w:pStyle w:val="SingleTxtG"/>
      </w:pPr>
      <w:r w:rsidRPr="000971AE">
        <w:lastRenderedPageBreak/>
        <w:t>PIA - individual support plan</w:t>
      </w:r>
    </w:p>
    <w:p w14:paraId="00214F6C" w14:textId="77777777" w:rsidR="003251EC" w:rsidRPr="000971AE" w:rsidRDefault="003251EC" w:rsidP="000C0BE5">
      <w:pPr>
        <w:pStyle w:val="SingleTxtG"/>
      </w:pPr>
      <w:r w:rsidRPr="000971AE">
        <w:t>PIRIS – individual rehabilitation and social inclusion program</w:t>
      </w:r>
    </w:p>
    <w:p w14:paraId="18F09AA8" w14:textId="77777777" w:rsidR="003251EC" w:rsidRPr="000971AE" w:rsidRDefault="003251EC" w:rsidP="000C0BE5">
      <w:pPr>
        <w:pStyle w:val="SingleTxtG"/>
      </w:pPr>
      <w:r w:rsidRPr="000971AE">
        <w:t>RAC – temporary refugees accommodation center</w:t>
      </w:r>
    </w:p>
    <w:p w14:paraId="6169F041" w14:textId="77777777" w:rsidR="003251EC" w:rsidRPr="000971AE" w:rsidRDefault="003251EC" w:rsidP="000C0BE5">
      <w:pPr>
        <w:pStyle w:val="SingleTxtG"/>
      </w:pPr>
      <w:r w:rsidRPr="000971AE">
        <w:t>SAP – psycho-pedagogic assistance service</w:t>
      </w:r>
    </w:p>
    <w:p w14:paraId="3832D1ED" w14:textId="77777777" w:rsidR="003251EC" w:rsidRPr="000971AE" w:rsidRDefault="003251EC" w:rsidP="000C0BE5">
      <w:pPr>
        <w:pStyle w:val="SingleTxtG"/>
      </w:pPr>
      <w:r w:rsidRPr="000971AE">
        <w:t xml:space="preserve">SDGs – Sustainable Development Goals </w:t>
      </w:r>
    </w:p>
    <w:p w14:paraId="10AC34C3" w14:textId="77777777" w:rsidR="003251EC" w:rsidRPr="000971AE" w:rsidRDefault="003251EC" w:rsidP="000C0BE5">
      <w:pPr>
        <w:pStyle w:val="SingleTxtG"/>
      </w:pPr>
      <w:r w:rsidRPr="000971AE">
        <w:t xml:space="preserve">SEN – Special Educational Needs </w:t>
      </w:r>
    </w:p>
    <w:p w14:paraId="3970D124" w14:textId="77777777" w:rsidR="003251EC" w:rsidRPr="000971AE" w:rsidRDefault="003251EC" w:rsidP="000C0BE5">
      <w:pPr>
        <w:pStyle w:val="SingleTxtG"/>
      </w:pPr>
      <w:r w:rsidRPr="000971AE">
        <w:t>SIA – automated information system</w:t>
      </w:r>
    </w:p>
    <w:p w14:paraId="381423AD" w14:textId="77777777" w:rsidR="003251EC" w:rsidRPr="000971AE" w:rsidRDefault="003251EC" w:rsidP="000C0BE5">
      <w:pPr>
        <w:pStyle w:val="SingleTxtG"/>
      </w:pPr>
      <w:r w:rsidRPr="000971AE">
        <w:t>STAS – territorial social assistance structure</w:t>
      </w:r>
    </w:p>
    <w:p w14:paraId="77A97644" w14:textId="77777777" w:rsidR="003251EC" w:rsidRPr="000971AE" w:rsidRDefault="003251EC" w:rsidP="000C0BE5">
      <w:pPr>
        <w:pStyle w:val="SingleTxtG"/>
      </w:pPr>
      <w:r w:rsidRPr="000971AE">
        <w:t>STOFM – territorial employment structure</w:t>
      </w:r>
    </w:p>
    <w:p w14:paraId="6330EC20" w14:textId="77777777" w:rsidR="003251EC" w:rsidRPr="000971AE" w:rsidRDefault="003251EC">
      <w:pPr>
        <w:suppressAutoHyphens w:val="0"/>
        <w:spacing w:after="200" w:line="276" w:lineRule="auto"/>
        <w:rPr>
          <w:rFonts w:eastAsiaTheme="minorHAnsi"/>
          <w:b/>
          <w:sz w:val="28"/>
          <w:lang w:eastAsia="ru-MD"/>
        </w:rPr>
      </w:pPr>
      <w:r w:rsidRPr="000971AE">
        <w:rPr>
          <w:lang w:eastAsia="ru-MD"/>
        </w:rPr>
        <w:br w:type="page"/>
      </w:r>
    </w:p>
    <w:p w14:paraId="7FB60A11" w14:textId="2A55F067" w:rsidR="00EA6A67" w:rsidRPr="000971AE" w:rsidRDefault="00EA6A67" w:rsidP="00EE4623">
      <w:pPr>
        <w:pStyle w:val="HChG"/>
        <w:numPr>
          <w:ilvl w:val="0"/>
          <w:numId w:val="29"/>
        </w:numPr>
        <w:rPr>
          <w:lang w:val="en-US" w:eastAsia="ru-MD"/>
        </w:rPr>
      </w:pPr>
      <w:r w:rsidRPr="000971AE">
        <w:rPr>
          <w:lang w:val="en-US" w:eastAsia="ru-MD"/>
        </w:rPr>
        <w:lastRenderedPageBreak/>
        <w:t>Purpose and general obligations</w:t>
      </w:r>
      <w:r w:rsidR="007E5D01">
        <w:rPr>
          <w:lang w:val="en-US" w:eastAsia="ru-MD"/>
        </w:rPr>
        <w:br/>
      </w:r>
      <w:r w:rsidR="00C15334" w:rsidRPr="000971AE">
        <w:rPr>
          <w:lang w:val="en-US" w:eastAsia="ru-MD"/>
        </w:rPr>
        <w:t>(arts 1-4)</w:t>
      </w:r>
    </w:p>
    <w:p w14:paraId="71B533E1" w14:textId="435E4CA0" w:rsidR="00EE4623" w:rsidRPr="000971AE" w:rsidRDefault="00EE4623" w:rsidP="003C5CBA">
      <w:pPr>
        <w:pStyle w:val="H1G"/>
      </w:pPr>
      <w:r w:rsidRPr="000971AE">
        <w:tab/>
      </w:r>
      <w:r w:rsidR="003C5CBA" w:rsidRPr="000971AE">
        <w:tab/>
      </w:r>
      <w:r w:rsidR="003C5CBA" w:rsidRPr="000971AE">
        <w:tab/>
      </w:r>
      <w:r w:rsidRPr="000971AE">
        <w:t>Reply to paragraph 1 of the list of issues (CRPD/C/</w:t>
      </w:r>
      <w:r w:rsidR="001D258D" w:rsidRPr="000971AE">
        <w:t>MDA</w:t>
      </w:r>
      <w:r w:rsidRPr="000971AE">
        <w:t>/Q/</w:t>
      </w:r>
      <w:r w:rsidR="001D258D" w:rsidRPr="000971AE">
        <w:t>2-3</w:t>
      </w:r>
      <w:r w:rsidRPr="000971AE">
        <w:t>)</w:t>
      </w:r>
    </w:p>
    <w:p w14:paraId="05AD283D" w14:textId="163F3D0E"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During 2021–2025, the Republic of Moldova (RM) has made major progress in the implementation of the CRPD, coordinated by the Ministry of Labor and Social Protection (MoLSP): ratification of the Optional Protocol, digitization of the disability determination process, regulation of prosthetic services and free distribution of assistive devices, recognition of legal capacity with support measures, consultation of representative organizations of persons with disabilities in the legislative process, strengthening of coordination structures (CNDPD), development of alternative community services – sheltered housing, community houses, day centers, mobile teams. Social inclusion measures included: subsidizing employers, increasing compensation for transport (+33%), indexation of pensions and allowances (+100%). More than 120,000 people have benefited from financial and humanitarian support through partnerships with donors and local NGOs. Starting with 2023, the reform of the social assistance system aims to expand local services to prevent exclusion and increase the autonomy of people with disabilities.</w:t>
      </w:r>
    </w:p>
    <w:p w14:paraId="344D9BA1" w14:textId="258E8DF7" w:rsidR="00DF0BE2" w:rsidRPr="000971AE" w:rsidRDefault="003C5CBA" w:rsidP="00DF0BE2">
      <w:pPr>
        <w:pStyle w:val="H1G"/>
        <w:rPr>
          <w:szCs w:val="24"/>
          <w:lang w:val="en-US" w:eastAsia="ru-MD"/>
        </w:rPr>
      </w:pPr>
      <w:r w:rsidRPr="000971AE">
        <w:tab/>
      </w:r>
      <w:r w:rsidRPr="000971AE">
        <w:tab/>
      </w:r>
      <w:r w:rsidR="00DF0BE2" w:rsidRPr="000971AE">
        <w:t>Reply to paragraph 1 (b) of the list of issues</w:t>
      </w:r>
    </w:p>
    <w:p w14:paraId="5EED5B97" w14:textId="170F9E36"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 xml:space="preserve">The disability determination, regulated by GD 357/2018, is carried out within up to 30 working days by CNDDCM, based on the person's file and the approved criteria. The process is based on ICD-10 and partly ICF, involving specialists at local level (doctors, psychologists, social workers, STOFM, SAP, STAS) and at central level (multidisciplinary experts). Upon disability status establishment, people receive PIRIS (Order MoLSP 104/2022). The process was strengthened by digitization in IS "Disability and work capacity determination", training of specialists based on human rights, procedure standardization (MoLSP Order 105/2022) and development of the Methodology for the evaluation of children/students (MEC Order 55/2025). RM applies a transitional approach from the medical model to the social and human rights model, disability being defined as the result of interaction between functional limitations and environmental/attitudinal barriers. The identification of barriers is carried out MoLSP through studies and awareness campaigns. </w:t>
      </w:r>
    </w:p>
    <w:p w14:paraId="4B293A19" w14:textId="4ED1EAB4" w:rsidR="00DF0BE2" w:rsidRPr="000971AE" w:rsidRDefault="003C5CBA" w:rsidP="00DF0BE2">
      <w:pPr>
        <w:pStyle w:val="H1G"/>
        <w:rPr>
          <w:szCs w:val="24"/>
          <w:lang w:val="en-US" w:eastAsia="ru-MD"/>
        </w:rPr>
      </w:pPr>
      <w:r w:rsidRPr="000971AE">
        <w:tab/>
      </w:r>
      <w:r w:rsidRPr="000971AE">
        <w:tab/>
      </w:r>
      <w:r w:rsidR="00DF0BE2" w:rsidRPr="000971AE">
        <w:t>Reply to paragraph 1 (c) of the list of issues</w:t>
      </w:r>
    </w:p>
    <w:p w14:paraId="6492A4C2" w14:textId="58ED149C"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bCs/>
          <w:lang w:val="en-US" w:eastAsia="ru-MD"/>
        </w:rPr>
        <w:t>RM</w:t>
      </w:r>
      <w:r w:rsidRPr="000971AE">
        <w:rPr>
          <w:lang w:val="en-US" w:eastAsia="ru-MD"/>
        </w:rPr>
        <w:t xml:space="preserve"> has inter-institutional coordination mechanisms and dialogue platforms that bring together public authorities and organizations of persons with disabilities, ensuring a participatory and transparent process in promoting and implementing the legal framework. NGOs complement official monitoring with independent reports on respect of rights. In the context of social reform, ATAS were created, subordinated to the MoLSP, responsible for the unitary implementation of state policy, prevention of risk situations and promotion of social inclusion. ATAS also provide methodological support to LPAs and social service providers. The social assistance measures are also extended to the citizens on the left bank of Nistru River, through the designated agencies. </w:t>
      </w:r>
    </w:p>
    <w:p w14:paraId="3E2B7E21" w14:textId="57C7C3B2" w:rsidR="00DF0BE2" w:rsidRPr="000971AE" w:rsidRDefault="003C5CBA" w:rsidP="00DF0BE2">
      <w:pPr>
        <w:pStyle w:val="H1G"/>
        <w:rPr>
          <w:szCs w:val="24"/>
          <w:lang w:val="en-US" w:eastAsia="ru-MD"/>
        </w:rPr>
      </w:pPr>
      <w:r w:rsidRPr="000971AE">
        <w:tab/>
      </w:r>
      <w:r w:rsidRPr="000971AE">
        <w:tab/>
      </w:r>
      <w:r w:rsidR="00DF0BE2" w:rsidRPr="000971AE">
        <w:t>Reply to paragraph 1 (d) of the list of issues</w:t>
      </w:r>
    </w:p>
    <w:p w14:paraId="68C786D5" w14:textId="340652C1"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 xml:space="preserve">The issue of disability is integrated into national policies and programmes: </w:t>
      </w:r>
      <w:r w:rsidRPr="000971AE">
        <w:rPr>
          <w:i/>
          <w:lang w:val="en-US" w:eastAsia="ru-MD"/>
        </w:rPr>
        <w:t>the "Prosperous, Safe, European MOLDOVA" Programme</w:t>
      </w:r>
      <w:r w:rsidRPr="000971AE">
        <w:rPr>
          <w:lang w:val="en-US" w:eastAsia="ru-MD"/>
        </w:rPr>
        <w:t xml:space="preserve">; </w:t>
      </w:r>
      <w:r w:rsidRPr="000971AE">
        <w:rPr>
          <w:i/>
          <w:lang w:val="en-US" w:eastAsia="ru-MD"/>
        </w:rPr>
        <w:t>National Programme on Ensuring Respect for Human Rights for 2024-2027</w:t>
      </w:r>
      <w:r w:rsidRPr="000971AE">
        <w:rPr>
          <w:lang w:val="en-US" w:eastAsia="ru-MD"/>
        </w:rPr>
        <w:t xml:space="preserve"> (GD  164/2024) and in other public policy documents: </w:t>
      </w:r>
      <w:r w:rsidRPr="000971AE">
        <w:rPr>
          <w:i/>
          <w:lang w:val="en-US" w:eastAsia="ru-MD"/>
        </w:rPr>
        <w:t>National Development Strategy "European Moldova 2030"</w:t>
      </w:r>
      <w:r w:rsidRPr="000971AE">
        <w:rPr>
          <w:lang w:val="en-US" w:eastAsia="ru-MD"/>
        </w:rPr>
        <w:t xml:space="preserve"> and 13 sectoral strategies (regional development (GD  40/2022); child protection (GD  347/2022); Roma population (GD  576/2022); employment (GD  785/2022); statistics (GD  954/2022); education (GD  114/2023); inclusive education (GD  950/2023); youth (GD  168/2023); equality between women and men (GD  203/2023); violence against women/in family (GD  </w:t>
      </w:r>
      <w:r w:rsidRPr="000971AE">
        <w:rPr>
          <w:lang w:val="en-US" w:eastAsia="ru-MD"/>
        </w:rPr>
        <w:lastRenderedPageBreak/>
        <w:t>332/2023); health (GD  387/2023); active and healthy aging (GD  434/2023); mental health (GD  971/2023).</w:t>
      </w:r>
    </w:p>
    <w:p w14:paraId="2F9115F6" w14:textId="77777777"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 xml:space="preserve">Clear, efficient and inclusive mechanisms have been established and strengthened for disability integration in all national programmes and for active participation of persons with disabilities, through their representative organisations, in the development and monitoring of mentioned programmes: the National Council for Human Rights; CNDPD (on parliamentary platform, inclusive format); independent mechanism for monitoring the Convention implementation. </w:t>
      </w:r>
    </w:p>
    <w:p w14:paraId="6C0446D2" w14:textId="63B7CEDC" w:rsidR="00EA6A67" w:rsidRPr="000971AE" w:rsidRDefault="00120FED" w:rsidP="00120FED">
      <w:pPr>
        <w:pStyle w:val="HChG"/>
        <w:rPr>
          <w:lang w:val="en-US" w:eastAsia="ru-MD"/>
        </w:rPr>
      </w:pPr>
      <w:r w:rsidRPr="000971AE">
        <w:rPr>
          <w:lang w:val="en-US" w:eastAsia="ru-MD"/>
        </w:rPr>
        <w:tab/>
      </w:r>
      <w:r w:rsidR="00EA6A67" w:rsidRPr="000971AE">
        <w:rPr>
          <w:lang w:val="en-US" w:eastAsia="ru-MD"/>
        </w:rPr>
        <w:t>B.</w:t>
      </w:r>
      <w:r w:rsidRPr="000971AE">
        <w:rPr>
          <w:lang w:val="en-US" w:eastAsia="ru-MD"/>
        </w:rPr>
        <w:tab/>
      </w:r>
      <w:r w:rsidR="00EA6A67" w:rsidRPr="000971AE">
        <w:rPr>
          <w:lang w:val="en-US" w:eastAsia="ru-MD"/>
        </w:rPr>
        <w:t>Specific rights</w:t>
      </w:r>
      <w:r w:rsidR="007E5D01">
        <w:rPr>
          <w:lang w:val="en-US" w:eastAsia="ru-MD"/>
        </w:rPr>
        <w:br/>
      </w:r>
      <w:r w:rsidR="000E730E">
        <w:rPr>
          <w:lang w:val="en-US" w:eastAsia="ru-MD"/>
        </w:rPr>
        <w:t>(arts. 5-30)</w:t>
      </w:r>
      <w:r w:rsidR="00EA6A67" w:rsidRPr="000971AE">
        <w:rPr>
          <w:lang w:val="en-US" w:eastAsia="ru-MD"/>
        </w:rPr>
        <w:tab/>
      </w:r>
    </w:p>
    <w:p w14:paraId="7B1DD8ED" w14:textId="4B094C43" w:rsidR="00EA6A67" w:rsidRPr="000971AE" w:rsidRDefault="00EA6A67" w:rsidP="00120FED">
      <w:pPr>
        <w:pStyle w:val="H1G"/>
        <w:rPr>
          <w:lang w:val="en-US" w:eastAsia="ru-MD"/>
        </w:rPr>
      </w:pPr>
      <w:r w:rsidRPr="000971AE">
        <w:rPr>
          <w:lang w:val="en-US" w:eastAsia="ru-MD"/>
        </w:rPr>
        <w:tab/>
      </w:r>
      <w:r w:rsidR="00120FED" w:rsidRPr="000971AE">
        <w:rPr>
          <w:lang w:val="en-US" w:eastAsia="ru-MD"/>
        </w:rPr>
        <w:tab/>
      </w:r>
      <w:r w:rsidRPr="000971AE">
        <w:rPr>
          <w:lang w:val="en-US" w:eastAsia="ru-MD"/>
        </w:rPr>
        <w:t>Article 5</w:t>
      </w:r>
      <w:r w:rsidR="007E5D01">
        <w:rPr>
          <w:lang w:val="en-US" w:eastAsia="ru-MD"/>
        </w:rPr>
        <w:br/>
      </w:r>
      <w:r w:rsidRPr="000971AE">
        <w:rPr>
          <w:lang w:val="en-US" w:eastAsia="ru-MD"/>
        </w:rPr>
        <w:t>Equality and non-discrimination</w:t>
      </w:r>
    </w:p>
    <w:p w14:paraId="32046DC1" w14:textId="3AAA89FA" w:rsidR="00DE6112" w:rsidRPr="000971AE" w:rsidRDefault="003C5CBA" w:rsidP="00DE6112">
      <w:pPr>
        <w:pStyle w:val="H1G"/>
        <w:rPr>
          <w:szCs w:val="24"/>
          <w:lang w:val="en-US" w:eastAsia="ru-MD"/>
        </w:rPr>
      </w:pPr>
      <w:r w:rsidRPr="000971AE">
        <w:tab/>
      </w:r>
      <w:r w:rsidRPr="000971AE">
        <w:tab/>
      </w:r>
      <w:r w:rsidR="00DE6112" w:rsidRPr="000971AE">
        <w:t>Reply to paragraph 2 (a) of the list of issues</w:t>
      </w:r>
    </w:p>
    <w:p w14:paraId="4317F901" w14:textId="1128EC5A"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Law 2/2023 strengthened the legislative and institutional framework in the field of equality and non-discrimination. The amendments aimed at clarifying the Equality Council’s (EC) competences, extending the non-discrimination criteria, improving data collection and establishing more effective monitoring and reporting mechanisms. The EC structure was expanded from 20 to 33 units, the post of Secretary General was introduced and the Monitoring Directorate was created, to ensure the implementation of decisions and a more effective response to cases of discrimination.</w:t>
      </w:r>
    </w:p>
    <w:p w14:paraId="09B86D6A" w14:textId="77777777" w:rsidR="00EA6A67" w:rsidRPr="000971AE" w:rsidRDefault="00EA6A67" w:rsidP="002F07A4">
      <w:pPr>
        <w:pStyle w:val="SingleTxtG"/>
        <w:rPr>
          <w:lang w:val="en-US" w:eastAsia="ru-MD"/>
        </w:rPr>
      </w:pPr>
      <w:r w:rsidRPr="000971AE">
        <w:rPr>
          <w:lang w:val="en-US" w:eastAsia="ru-MD"/>
        </w:rPr>
        <w:t xml:space="preserve">In 2023, the EC received 261 complaints of discrimination, of which only a small proportion concerned the disability criterion. </w:t>
      </w:r>
    </w:p>
    <w:p w14:paraId="103BBE19" w14:textId="1EB74FD7" w:rsidR="00DE6112" w:rsidRPr="000971AE" w:rsidRDefault="003C5CBA" w:rsidP="00DE6112">
      <w:pPr>
        <w:pStyle w:val="H1G"/>
        <w:rPr>
          <w:szCs w:val="24"/>
          <w:lang w:val="en-US" w:eastAsia="ru-MD"/>
        </w:rPr>
      </w:pPr>
      <w:r w:rsidRPr="000971AE">
        <w:tab/>
      </w:r>
      <w:r w:rsidRPr="000971AE">
        <w:tab/>
      </w:r>
      <w:r w:rsidR="00DE6112" w:rsidRPr="000971AE">
        <w:t>Reply to paragraph 2 (b) of the list of issues</w:t>
      </w:r>
    </w:p>
    <w:p w14:paraId="034A2B04" w14:textId="6E0DFCA8"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The national regulatory framework shall sanction the refusal to properly arrange access for persons with disabilities. According to the Contravention Code:</w:t>
      </w:r>
    </w:p>
    <w:p w14:paraId="4F60F213" w14:textId="77777777" w:rsidR="00EA6A67" w:rsidRPr="000971AE" w:rsidRDefault="00EA6A67" w:rsidP="002F07A4">
      <w:pPr>
        <w:pStyle w:val="Bullet1G"/>
        <w:rPr>
          <w:lang w:val="en-US" w:eastAsia="ru-MD"/>
        </w:rPr>
      </w:pPr>
      <w:r w:rsidRPr="000971AE">
        <w:rPr>
          <w:lang w:val="en-US" w:eastAsia="ru-MD"/>
        </w:rPr>
        <w:t>Art. 177 (1) letter g) – failure to provide access to constructions and buildings;</w:t>
      </w:r>
    </w:p>
    <w:p w14:paraId="55339088" w14:textId="77777777" w:rsidR="00EA6A67" w:rsidRPr="000971AE" w:rsidRDefault="00EA6A67" w:rsidP="002F07A4">
      <w:pPr>
        <w:pStyle w:val="Bullet1G"/>
        <w:rPr>
          <w:lang w:val="en-US" w:eastAsia="ru-MD"/>
        </w:rPr>
      </w:pPr>
      <w:r w:rsidRPr="000971AE">
        <w:rPr>
          <w:lang w:val="en-US" w:eastAsia="ru-MD"/>
        </w:rPr>
        <w:t>Art. 227 (3) – non-compliance with the regulations on roads and road infrastructure;</w:t>
      </w:r>
    </w:p>
    <w:p w14:paraId="363C82C8" w14:textId="77777777" w:rsidR="00EA6A67" w:rsidRPr="000971AE" w:rsidRDefault="00EA6A67" w:rsidP="002F07A4">
      <w:pPr>
        <w:pStyle w:val="Bullet1G"/>
        <w:rPr>
          <w:lang w:val="en-US" w:eastAsia="ru-MD"/>
        </w:rPr>
      </w:pPr>
      <w:r w:rsidRPr="000971AE">
        <w:rPr>
          <w:lang w:val="en-US" w:eastAsia="ru-MD"/>
        </w:rPr>
        <w:t>Art. 197 item 17) – violations in road transportation;</w:t>
      </w:r>
    </w:p>
    <w:p w14:paraId="4A71F02C" w14:textId="77777777" w:rsidR="00EA6A67" w:rsidRPr="000971AE" w:rsidRDefault="00EA6A67" w:rsidP="002F07A4">
      <w:pPr>
        <w:pStyle w:val="Bullet1G"/>
        <w:rPr>
          <w:lang w:val="en-US" w:eastAsia="ru-MD"/>
        </w:rPr>
      </w:pPr>
      <w:r w:rsidRPr="000971AE">
        <w:rPr>
          <w:lang w:val="en-US" w:eastAsia="ru-MD"/>
        </w:rPr>
        <w:t>Art. 221¹ – lack of adaptation of public transportation means;</w:t>
      </w:r>
    </w:p>
    <w:p w14:paraId="1017A6B2" w14:textId="77777777" w:rsidR="00EA6A67" w:rsidRPr="000971AE" w:rsidRDefault="00EA6A67" w:rsidP="002F07A4">
      <w:pPr>
        <w:pStyle w:val="Bullet1G"/>
        <w:rPr>
          <w:lang w:val="en-US" w:eastAsia="ru-MD"/>
        </w:rPr>
      </w:pPr>
      <w:r w:rsidRPr="000971AE">
        <w:rPr>
          <w:lang w:val="en-US" w:eastAsia="ru-MD"/>
        </w:rPr>
        <w:t>Art. 711 – discrimination regarding access to public services and goods;</w:t>
      </w:r>
    </w:p>
    <w:p w14:paraId="7662C4EA" w14:textId="77777777" w:rsidR="00EA6A67" w:rsidRPr="000971AE" w:rsidRDefault="00EA6A67" w:rsidP="002F07A4">
      <w:pPr>
        <w:pStyle w:val="Bullet1G"/>
        <w:rPr>
          <w:lang w:val="en-US" w:eastAsia="ru-MD"/>
        </w:rPr>
      </w:pPr>
      <w:r w:rsidRPr="000971AE">
        <w:rPr>
          <w:lang w:val="en-US" w:eastAsia="ru-MD"/>
        </w:rPr>
        <w:t>Art. 56¹ (5) – failure to reasonably adapt the workplaces;</w:t>
      </w:r>
    </w:p>
    <w:p w14:paraId="4629456F" w14:textId="77777777" w:rsidR="00EA6A67" w:rsidRPr="000971AE" w:rsidRDefault="00EA6A67" w:rsidP="002F07A4">
      <w:pPr>
        <w:pStyle w:val="Bullet1G"/>
        <w:rPr>
          <w:lang w:val="en-US" w:eastAsia="ru-MD"/>
        </w:rPr>
      </w:pPr>
      <w:r w:rsidRPr="000971AE">
        <w:rPr>
          <w:lang w:val="en-US" w:eastAsia="ru-MD"/>
        </w:rPr>
        <w:t>Art. 312¹ – failure to provide mimic-gestural interpreting.</w:t>
      </w:r>
    </w:p>
    <w:p w14:paraId="38599A0D" w14:textId="77777777"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Fines vary between 50 and 500 conventional units, and decisions can be appealed within 15 days.</w:t>
      </w:r>
    </w:p>
    <w:p w14:paraId="1440F6FA" w14:textId="766425C3" w:rsidR="00DE6112" w:rsidRPr="000971AE" w:rsidRDefault="002F07A4" w:rsidP="00DE6112">
      <w:pPr>
        <w:pStyle w:val="H1G"/>
        <w:rPr>
          <w:szCs w:val="24"/>
          <w:lang w:val="en-US" w:eastAsia="ru-MD"/>
        </w:rPr>
      </w:pPr>
      <w:r w:rsidRPr="000971AE">
        <w:tab/>
      </w:r>
      <w:r w:rsidRPr="000971AE">
        <w:tab/>
      </w:r>
      <w:r w:rsidR="00DE6112" w:rsidRPr="000971AE">
        <w:t>Reply to paragraph 2 (c) of the list of issues</w:t>
      </w:r>
    </w:p>
    <w:p w14:paraId="6077BFAF" w14:textId="31F14C15"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 xml:space="preserve">Between 2020–2024, the EC examined 161 complaints of discrimination on grounds of disability, targeting in particular access to social services, pensions, care, work and health. In 67 cases, discrimination was found, with decisions in the areas of access to goods and services, labor and education, of which only 23 recommendations were implemented. The EC issued 21 advisory opinions on draft regulations, identifying discriminatory situations. </w:t>
      </w:r>
    </w:p>
    <w:p w14:paraId="7C609293" w14:textId="70364626" w:rsidR="00DE6112" w:rsidRPr="000971AE" w:rsidRDefault="002F07A4" w:rsidP="00DE6112">
      <w:pPr>
        <w:pStyle w:val="H1G"/>
        <w:rPr>
          <w:szCs w:val="24"/>
          <w:lang w:val="en-US" w:eastAsia="ru-MD"/>
        </w:rPr>
      </w:pPr>
      <w:r w:rsidRPr="000971AE">
        <w:tab/>
      </w:r>
      <w:r w:rsidRPr="000971AE">
        <w:tab/>
      </w:r>
      <w:r w:rsidR="00DE6112" w:rsidRPr="000971AE">
        <w:t>Reply to paragraph 2 (d) of the list of issues</w:t>
      </w:r>
    </w:p>
    <w:p w14:paraId="6D018A0B" w14:textId="774F67C0"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The normative framework prohibits any form of discrimination or support of discriminatory behaviors, based on real or alleged criteria. The EC is the authority responsible for preventing and combating discrimination and has the task of dealing with complaints through official decisions. The EC decision produces legal effects after communication and can be challenged directly in court by the injured party, without going through the preliminary procedure.</w:t>
      </w:r>
    </w:p>
    <w:p w14:paraId="6F19B04B" w14:textId="2F2B8AC7" w:rsidR="00EA6A67" w:rsidRPr="000971AE" w:rsidRDefault="00120FED" w:rsidP="00120FED">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6</w:t>
      </w:r>
      <w:r w:rsidR="00F525DA">
        <w:rPr>
          <w:lang w:val="en-US" w:eastAsia="ru-MD"/>
        </w:rPr>
        <w:br/>
      </w:r>
      <w:r w:rsidR="00EA6A67" w:rsidRPr="000971AE">
        <w:rPr>
          <w:lang w:val="en-US" w:eastAsia="ru-MD"/>
        </w:rPr>
        <w:t>Women with disabilities</w:t>
      </w:r>
    </w:p>
    <w:p w14:paraId="7981FBB5" w14:textId="2F7C8CCE" w:rsidR="00DE6112" w:rsidRPr="000971AE" w:rsidRDefault="002F07A4" w:rsidP="00DE6112">
      <w:pPr>
        <w:pStyle w:val="H1G"/>
        <w:rPr>
          <w:szCs w:val="24"/>
          <w:lang w:val="en-US" w:eastAsia="ru-MD"/>
        </w:rPr>
      </w:pPr>
      <w:r w:rsidRPr="000971AE">
        <w:tab/>
      </w:r>
      <w:r w:rsidRPr="000971AE">
        <w:tab/>
      </w:r>
      <w:r w:rsidR="00DE6112" w:rsidRPr="000971AE">
        <w:t>Reply to paragraph 3 (a) of the list of issues</w:t>
      </w:r>
    </w:p>
    <w:p w14:paraId="478D2774" w14:textId="47EDB67D"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Law 45/2007 constitutes the national regulatory framework for prevention of domestic violence, including specific measures for women with disabilities. Art. 201¹ was introduced in the Criminal Code of the Republic of Moldova through the Law 196/2016, to sanction physical, psychological and economic violence, and art. 781 on contravention liability for injuries was introduced in the Contravention Code.</w:t>
      </w:r>
    </w:p>
    <w:p w14:paraId="0D2F70E0" w14:textId="77777777"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Moldova ratified the Istanbul Convention through Law 144/2021, strengthening its commitment to preventing and combating violence against women and domestic violence. Law 231/2024 introduced the "violence against women", "femicide" and extended the powers of ANPCV in the collection of systematic data. In July 2025, the Parliament adopted amendments to strengthen the protection of women, including those with disabilities, against all forms of violence and harassment, including digital violence.</w:t>
      </w:r>
    </w:p>
    <w:p w14:paraId="5029FB74" w14:textId="3C42C7EC" w:rsidR="00DE6112" w:rsidRPr="000971AE" w:rsidRDefault="002F07A4" w:rsidP="00DE6112">
      <w:pPr>
        <w:pStyle w:val="H1G"/>
        <w:rPr>
          <w:szCs w:val="24"/>
          <w:lang w:val="en-US" w:eastAsia="ru-MD"/>
        </w:rPr>
      </w:pPr>
      <w:r w:rsidRPr="000971AE">
        <w:tab/>
      </w:r>
      <w:r w:rsidRPr="000971AE">
        <w:tab/>
      </w:r>
      <w:r w:rsidR="00DE6112" w:rsidRPr="000971AE">
        <w:t>Reply to paragraph 3 (b) of the list of issues</w:t>
      </w:r>
    </w:p>
    <w:p w14:paraId="7009EBC8" w14:textId="11A708C6"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In 2024, 15,976 complaints related to domestic violence were registered, up by 4.93% compared to 2023, of which 1,174 were police notifications. There were 1,575 crimes in the field of family relations (+13% compared to 2023) and 33 deaths caused by domestic violence.</w:t>
      </w:r>
    </w:p>
    <w:p w14:paraId="47A75084" w14:textId="77777777"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Based on Law 45/2007, the ANPCV which coordinates data collection and analysis, conducts studies and information campaigns, was established, and its Organization and Functioning Regulation was approved through GD  926/2023. In 2025, ANPCV completed the creation of the SI "VioData", which includes disaggregated data, including disability. The "Register of Aggressors" continues to be a specialized system for registration of persons who have committed acts of violence and the measures applied to them.</w:t>
      </w:r>
    </w:p>
    <w:p w14:paraId="337C6D84" w14:textId="1C8CEAC7" w:rsidR="00DE6112" w:rsidRPr="000971AE" w:rsidRDefault="002F07A4" w:rsidP="00DE6112">
      <w:pPr>
        <w:pStyle w:val="H1G"/>
        <w:rPr>
          <w:szCs w:val="24"/>
          <w:lang w:val="en-US" w:eastAsia="ru-MD"/>
        </w:rPr>
      </w:pPr>
      <w:r w:rsidRPr="000971AE">
        <w:tab/>
      </w:r>
      <w:r w:rsidRPr="000971AE">
        <w:tab/>
      </w:r>
      <w:r w:rsidR="00DE6112" w:rsidRPr="000971AE">
        <w:t>Reply to paragraph 3 (c) of the list of issues</w:t>
      </w:r>
    </w:p>
    <w:p w14:paraId="78C8B157" w14:textId="592DE6E7"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 xml:space="preserve">Prosecutors have the competence to carry out criminal prosecution, control the legality of procedural actions, represent the prosecution in cases of violence against women and in the family, applying punishments and programs to reduce violent behavior. The criminal investigation is carried out as a priority, in 16–45 days, regardless of complaint withdrawal, ensuring procedural rights and access to justice. In 642 criminal cases, including with victims with disabilities, prosecutors completed the criminal investigation and sent the indictments to court. The Police intervention is carried out according to the GIP Order 93/2023, and the Prosecutor General's Office analyzes the cases and presents conclusions to the Monitoring Commission. </w:t>
      </w:r>
    </w:p>
    <w:p w14:paraId="661CD8C9" w14:textId="412FC3F0" w:rsidR="00DE6112" w:rsidRPr="000971AE" w:rsidRDefault="002F07A4" w:rsidP="00DE6112">
      <w:pPr>
        <w:pStyle w:val="H1G"/>
        <w:rPr>
          <w:szCs w:val="24"/>
          <w:lang w:val="en-US" w:eastAsia="ru-MD"/>
        </w:rPr>
      </w:pPr>
      <w:r w:rsidRPr="000971AE">
        <w:tab/>
      </w:r>
      <w:r w:rsidRPr="000971AE">
        <w:tab/>
      </w:r>
      <w:r w:rsidR="00DE6112" w:rsidRPr="000971AE">
        <w:t>Reply to paragraph 3 (d) of the list of issues</w:t>
      </w:r>
    </w:p>
    <w:p w14:paraId="46484B32" w14:textId="196D8425"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The Programme for Promoting and Ensuring Equality between Women and Men 2023–2027 (GD  203/2023) aims to increase the level of gender equality in health, education, labour market, entrepreneurship, social protection and local development, adapted to the context and needs of RM. Objective 5 promotes the involvement of women, including those from underrepresented groups, in leadership positions and decision-making processes at central and local level.</w:t>
      </w:r>
    </w:p>
    <w:p w14:paraId="21CB6753" w14:textId="157FF5F8" w:rsidR="00DE6112" w:rsidRPr="000971AE" w:rsidRDefault="002F07A4" w:rsidP="00DE6112">
      <w:pPr>
        <w:pStyle w:val="H1G"/>
        <w:rPr>
          <w:szCs w:val="24"/>
          <w:lang w:val="en-US" w:eastAsia="ru-MD"/>
        </w:rPr>
      </w:pPr>
      <w:r w:rsidRPr="000971AE">
        <w:tab/>
      </w:r>
      <w:r w:rsidRPr="000971AE">
        <w:tab/>
      </w:r>
      <w:r w:rsidR="00DE6112" w:rsidRPr="000971AE">
        <w:t>Reply to paragraph 3 (e) of the list of issues</w:t>
      </w:r>
    </w:p>
    <w:p w14:paraId="5E7988EA" w14:textId="42AC8AD9"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RM has made progress in promoting gender equity, including for women with disabilities, through measures such as ensuring a minimum quota of 40% for women's participation in decision-making, reducing wage discrimination through job evaluation guidelines, expanding pre-school education, eliminating barriers to access to social benefits, and actions in health and youth development areas. The Programme provides for the promotion of women, including those from underrepresented groups, in leadership and decision-making positions at central and local level.</w:t>
      </w:r>
    </w:p>
    <w:p w14:paraId="77866B58" w14:textId="2009B2D1" w:rsidR="00EA6A67" w:rsidRPr="000971AE" w:rsidRDefault="00120FED" w:rsidP="00120FED">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7</w:t>
      </w:r>
      <w:r w:rsidR="00F525DA">
        <w:rPr>
          <w:lang w:val="en-US" w:eastAsia="ru-MD"/>
        </w:rPr>
        <w:br/>
      </w:r>
      <w:r w:rsidR="00EA6A67" w:rsidRPr="000971AE">
        <w:rPr>
          <w:lang w:val="en-US" w:eastAsia="ru-MD"/>
        </w:rPr>
        <w:t>Children with disabilities</w:t>
      </w:r>
    </w:p>
    <w:p w14:paraId="10931067" w14:textId="19DB16B3" w:rsidR="00DE6112" w:rsidRPr="000971AE" w:rsidRDefault="002F07A4" w:rsidP="00DE6112">
      <w:pPr>
        <w:pStyle w:val="H1G"/>
        <w:rPr>
          <w:szCs w:val="24"/>
          <w:lang w:val="en-US" w:eastAsia="ru-MD"/>
        </w:rPr>
      </w:pPr>
      <w:r w:rsidRPr="000971AE">
        <w:tab/>
      </w:r>
      <w:r w:rsidRPr="000971AE">
        <w:tab/>
      </w:r>
      <w:r w:rsidR="00DE6112" w:rsidRPr="000971AE">
        <w:t>Reply to paragraph 4 (a) of the list of issues</w:t>
      </w:r>
    </w:p>
    <w:p w14:paraId="7AD11636" w14:textId="2360ED68" w:rsidR="00EA6A67" w:rsidRPr="000971AE" w:rsidRDefault="00EA6A67" w:rsidP="00E924CC">
      <w:pPr>
        <w:pStyle w:val="SingleTxtG"/>
        <w:numPr>
          <w:ilvl w:val="0"/>
          <w:numId w:val="31"/>
        </w:numPr>
        <w:tabs>
          <w:tab w:val="clear" w:pos="2268"/>
          <w:tab w:val="clear" w:pos="2835"/>
        </w:tabs>
        <w:ind w:left="1134" w:firstLine="0"/>
        <w:rPr>
          <w:color w:val="000000"/>
          <w:lang w:val="en-US" w:eastAsia="ru-MD"/>
        </w:rPr>
      </w:pPr>
      <w:r w:rsidRPr="000971AE">
        <w:rPr>
          <w:lang w:val="en-US" w:eastAsia="ru-MD"/>
        </w:rPr>
        <w:t xml:space="preserve">Art.13, Law 370/2023, guarantees children with disabilities equal access to social protection, medical services, rehabilitation, education and work, encouraging their active participation in the community. The authorities are implementing deinstitutionalization measures and alternative services, including through support for parents and caregivers. Parents benefit from information, while specialists and teachers are trained to support their children. The parinteste.md </w:t>
      </w:r>
      <w:r w:rsidRPr="000971AE">
        <w:rPr>
          <w:color w:val="000000"/>
          <w:lang w:val="en-US" w:eastAsia="ru-MD"/>
        </w:rPr>
        <w:t>and abilitare.md platforms provide free access to information and parental support.</w:t>
      </w:r>
    </w:p>
    <w:p w14:paraId="424E1093" w14:textId="77777777"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Through the "Restart" reform, 150 specialists were hired on children's rights protection, and the number of children with SEN integrated into education increased in 2025. The institutions have psychologists, speech therapists and psychopedagogues, and 95 Resource Centers for Inclusive Education have been equipped with assistive technologies. 21 schools received inclusive sports equipment.</w:t>
      </w:r>
    </w:p>
    <w:p w14:paraId="2A1E85C3" w14:textId="3D507AE8" w:rsidR="00DE6112" w:rsidRPr="000971AE" w:rsidRDefault="002F07A4" w:rsidP="00DE6112">
      <w:pPr>
        <w:pStyle w:val="H1G"/>
        <w:rPr>
          <w:szCs w:val="24"/>
          <w:lang w:val="en-US" w:eastAsia="ru-MD"/>
        </w:rPr>
      </w:pPr>
      <w:r w:rsidRPr="000971AE">
        <w:tab/>
      </w:r>
      <w:r w:rsidRPr="000971AE">
        <w:tab/>
      </w:r>
      <w:r w:rsidR="00DE6112" w:rsidRPr="000971AE">
        <w:t>Reply to paragraph 4 (b) of the list of issues</w:t>
      </w:r>
    </w:p>
    <w:p w14:paraId="47DEB417" w14:textId="677C91AD"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Intersectoral cooperation in support of children at risk, including those with disabilities, is provided for in Law 140/2013 and GD  270/2014, which establishes the procedure for child's needs complex assessment and for an individualized assistance plan development. GD  507/2023 regulates the extension of Early Intervention Services for children with developmental disorders, through interdisciplinary teams at home.</w:t>
      </w:r>
    </w:p>
    <w:p w14:paraId="45AFA448" w14:textId="77777777"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CRAP/SAP organized the "Learning Together" campaign, bringing together about 3,000. The rehabilitation of children is provided by the IMSP Republican Children Rehabilitation Center, equipped with modern technologies and multidisciplinary teams, as well as by specialized NGOs ("Tony Hawks", "Speranța", "SOS Autism" etc.). In rural areas, 33 ATAS mobile teams provide access to rehabilitation.</w:t>
      </w:r>
      <w:bookmarkStart w:id="0" w:name="_Hlk208946225"/>
      <w:bookmarkEnd w:id="0"/>
    </w:p>
    <w:p w14:paraId="574FC1EF" w14:textId="424CC329" w:rsidR="00C30A25" w:rsidRPr="000971AE" w:rsidRDefault="002F07A4" w:rsidP="00C30A25">
      <w:pPr>
        <w:pStyle w:val="H1G"/>
        <w:rPr>
          <w:szCs w:val="24"/>
          <w:lang w:val="en-US" w:eastAsia="ru-MD"/>
        </w:rPr>
      </w:pPr>
      <w:r w:rsidRPr="000971AE">
        <w:tab/>
      </w:r>
      <w:r w:rsidRPr="000971AE">
        <w:tab/>
      </w:r>
      <w:r w:rsidR="00C30A25" w:rsidRPr="000971AE">
        <w:t>Reply to paragraph 4 (c) of the list of issues</w:t>
      </w:r>
    </w:p>
    <w:p w14:paraId="7E3E3465" w14:textId="2FEB29A0"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Providing family-type placement for children with disabilities is a priority for the Government. The deinstitutionalization process continued through boarding schools reorganization, the children being reintegrated into biological families or in alternative services such as Professional Parental Assistance, guardianship/</w:t>
      </w:r>
      <w:r w:rsidRPr="000971AE">
        <w:rPr>
          <w:color w:val="000000"/>
          <w:lang w:val="en-US" w:eastAsia="ru-MD"/>
        </w:rPr>
        <w:t>curatorship</w:t>
      </w:r>
      <w:r w:rsidRPr="000971AE">
        <w:rPr>
          <w:lang w:val="en-US" w:eastAsia="ru-MD"/>
        </w:rPr>
        <w:t xml:space="preserve"> or family-type children's homes. In total, 238 children with disabilities benefited from foster care in 2024.</w:t>
      </w:r>
    </w:p>
    <w:p w14:paraId="336D0984" w14:textId="77777777"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Access to early intervention is ensured through CNAM, which has contracted 14 national providers, for 5,754 children and their families, including children with autism spectrum disorders, through interdisciplinary consultation, psychological support and early stimulation programs.</w:t>
      </w:r>
    </w:p>
    <w:p w14:paraId="5D4FD162" w14:textId="6D4BD342" w:rsidR="00C30A25" w:rsidRPr="000971AE" w:rsidRDefault="002F07A4" w:rsidP="00C30A25">
      <w:pPr>
        <w:pStyle w:val="H1G"/>
        <w:rPr>
          <w:szCs w:val="24"/>
          <w:lang w:val="en-US" w:eastAsia="ru-MD"/>
        </w:rPr>
      </w:pPr>
      <w:r w:rsidRPr="000971AE">
        <w:tab/>
      </w:r>
      <w:r w:rsidRPr="000971AE">
        <w:tab/>
      </w:r>
      <w:r w:rsidR="00C30A25" w:rsidRPr="000971AE">
        <w:t>Reply to paragraph 4 (</w:t>
      </w:r>
      <w:r w:rsidR="00CD435B" w:rsidRPr="000971AE">
        <w:t>d</w:t>
      </w:r>
      <w:r w:rsidR="00C30A25" w:rsidRPr="000971AE">
        <w:t>) of the list of issues</w:t>
      </w:r>
    </w:p>
    <w:p w14:paraId="7912EC7C" w14:textId="2640FF66"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Lowering the age of marriage by up to two years for justified reasons provides flexibility in exceptional situations, allowing capable minors to assume responsibility for marriage earlier. This is relevant for communities such as Roma, where early marriages have cultural and social significance. The involvement of the guardianship authority and parents’ consent ensures that these marriages are carried out responsibly and legally, protecting minors from abuse. Maintaining this rule allows for the observance of traditions without imposing an absolute ban, preventing unofficial or illegal marriages and providing a clear mechanism for evaluating applications. Thus, the law balances children's rights protection with adaptation to diverse social realities.</w:t>
      </w:r>
    </w:p>
    <w:p w14:paraId="66074196" w14:textId="5D1335C6"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8</w:t>
      </w:r>
      <w:r w:rsidR="004F5866">
        <w:rPr>
          <w:lang w:val="en-US" w:eastAsia="ru-MD"/>
        </w:rPr>
        <w:br/>
        <w:t>Awareness-r</w:t>
      </w:r>
      <w:r w:rsidR="00EA6A67" w:rsidRPr="000971AE">
        <w:rPr>
          <w:lang w:val="en-US" w:eastAsia="ru-MD"/>
        </w:rPr>
        <w:t>aising</w:t>
      </w:r>
    </w:p>
    <w:p w14:paraId="0FD8E812" w14:textId="336FC360" w:rsidR="00CD435B" w:rsidRPr="000971AE" w:rsidRDefault="002F07A4" w:rsidP="00CD435B">
      <w:pPr>
        <w:pStyle w:val="H1G"/>
        <w:rPr>
          <w:szCs w:val="24"/>
          <w:lang w:val="en-US" w:eastAsia="ru-MD"/>
        </w:rPr>
      </w:pPr>
      <w:r w:rsidRPr="000971AE">
        <w:tab/>
      </w:r>
      <w:r w:rsidRPr="000971AE">
        <w:tab/>
      </w:r>
      <w:r w:rsidR="00CD435B" w:rsidRPr="000971AE">
        <w:t>Reply to paragraph 5 (a) of the list of issues</w:t>
      </w:r>
    </w:p>
    <w:p w14:paraId="3F6C111A" w14:textId="681B6D8F" w:rsidR="00EA6A67" w:rsidRPr="000971AE" w:rsidRDefault="00EA6A67" w:rsidP="00E924CC">
      <w:pPr>
        <w:pStyle w:val="SingleTxtG"/>
        <w:numPr>
          <w:ilvl w:val="0"/>
          <w:numId w:val="31"/>
        </w:numPr>
        <w:tabs>
          <w:tab w:val="clear" w:pos="2268"/>
          <w:tab w:val="clear" w:pos="2835"/>
        </w:tabs>
        <w:ind w:left="1134" w:firstLine="0"/>
        <w:rPr>
          <w:lang w:val="en-US"/>
        </w:rPr>
      </w:pPr>
      <w:r w:rsidRPr="000971AE">
        <w:rPr>
          <w:lang w:val="en-US"/>
        </w:rPr>
        <w:t>RM has taken important steps in raising awareness and educating persons with disabilities and their organizations about the rights established by the Convention and the mechanism of the Optional Protocol. By placing the information on its official website, the MoLSP informs and educates the population, but also the people with disabilities and their organizations. MoLSP, together with development partners and NGOs, organized training sessions, workshops and awareness campaigns. Participation of both representatives of central public authorities and civil society in TV and radio programs dedicated to the problems of persons with disabilities, is another effective way of educating and informing</w:t>
      </w:r>
      <w:r w:rsidRPr="000971AE">
        <w:rPr>
          <w:vertAlign w:val="superscript"/>
        </w:rPr>
        <w:footnoteReference w:id="3"/>
      </w:r>
      <w:r w:rsidRPr="000971AE">
        <w:rPr>
          <w:lang w:val="en-US"/>
        </w:rPr>
        <w:t xml:space="preserve">.  </w:t>
      </w:r>
    </w:p>
    <w:p w14:paraId="1A9DAED4" w14:textId="54DAE0D9" w:rsidR="00CD435B" w:rsidRPr="000971AE" w:rsidRDefault="00C559B9" w:rsidP="003B268F">
      <w:pPr>
        <w:pStyle w:val="H1G"/>
        <w:rPr>
          <w:szCs w:val="24"/>
          <w:lang w:val="en-US" w:eastAsia="ru-MD"/>
        </w:rPr>
      </w:pPr>
      <w:r w:rsidRPr="000971AE">
        <w:tab/>
      </w:r>
      <w:r w:rsidRPr="000971AE">
        <w:tab/>
      </w:r>
      <w:r w:rsidR="00CD435B" w:rsidRPr="000971AE">
        <w:t>Reply to paragraph 5 (</w:t>
      </w:r>
      <w:r w:rsidR="003B268F" w:rsidRPr="000971AE">
        <w:t>b</w:t>
      </w:r>
      <w:r w:rsidR="00CD435B" w:rsidRPr="000971AE">
        <w:t>) of the list of issues</w:t>
      </w:r>
    </w:p>
    <w:p w14:paraId="2FD8E4B8" w14:textId="08440740" w:rsidR="00EA6A67" w:rsidRPr="000971AE" w:rsidRDefault="00EA6A67" w:rsidP="00E924CC">
      <w:pPr>
        <w:pStyle w:val="SingleTxtG"/>
        <w:numPr>
          <w:ilvl w:val="0"/>
          <w:numId w:val="31"/>
        </w:numPr>
        <w:tabs>
          <w:tab w:val="clear" w:pos="2268"/>
          <w:tab w:val="clear" w:pos="2835"/>
        </w:tabs>
        <w:ind w:left="1134" w:firstLine="0"/>
        <w:rPr>
          <w:lang w:val="en-US"/>
        </w:rPr>
      </w:pPr>
      <w:r w:rsidRPr="000971AE">
        <w:rPr>
          <w:lang w:val="en-US"/>
        </w:rPr>
        <w:t xml:space="preserve">Progress has been made in involving persons with disabilities and their organisations in the development, implementation and monitoring of policies against stigma and discrimination. The CNDPD held 85 meetings in 2022-2024, including online. The Council's specialized </w:t>
      </w:r>
      <w:r w:rsidRPr="000971AE">
        <w:rPr>
          <w:lang w:val="en-US" w:eastAsia="ru-MD"/>
        </w:rPr>
        <w:t>commission</w:t>
      </w:r>
      <w:r w:rsidRPr="000971AE">
        <w:rPr>
          <w:lang w:val="en-US"/>
        </w:rPr>
        <w:t xml:space="preserve"> (MoLSP Order 155/2024), monitors the application of the Convention, involving around 50 NGOs. The participation of persons with disabilities in public consultations is mandatory according to Law 100/2017, being involved in the development of national programs.</w:t>
      </w:r>
    </w:p>
    <w:p w14:paraId="400876BE" w14:textId="4E5D75A7" w:rsidR="00D97719" w:rsidRPr="000971AE" w:rsidRDefault="00C559B9" w:rsidP="00D97719">
      <w:pPr>
        <w:pStyle w:val="H1G"/>
        <w:rPr>
          <w:szCs w:val="24"/>
          <w:lang w:val="en-US" w:eastAsia="ru-MD"/>
        </w:rPr>
      </w:pPr>
      <w:r w:rsidRPr="000971AE">
        <w:tab/>
      </w:r>
      <w:r w:rsidRPr="000971AE">
        <w:tab/>
      </w:r>
      <w:r w:rsidR="00D97719" w:rsidRPr="000971AE">
        <w:t>Reply to paragraph 5 (c) of the list of issues</w:t>
      </w:r>
    </w:p>
    <w:p w14:paraId="2ECB2B41" w14:textId="2CBBF9C8"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 xml:space="preserve">According to Law 139/2012 and art. 36, Law 60/2012, the Regulation on </w:t>
      </w:r>
      <w:r w:rsidRPr="000971AE">
        <w:rPr>
          <w:i/>
          <w:iCs/>
          <w:lang w:val="en-US" w:eastAsia="ru-MD"/>
        </w:rPr>
        <w:t>de minimis</w:t>
      </w:r>
      <w:r w:rsidRPr="000971AE">
        <w:rPr>
          <w:lang w:val="en-US" w:eastAsia="ru-MD"/>
        </w:rPr>
        <w:t xml:space="preserve"> aid was approved. This provides grants to organisations that promote the participation of persons with disabilities in all areas of life.</w:t>
      </w:r>
    </w:p>
    <w:p w14:paraId="4347303C" w14:textId="77777777" w:rsidR="00EA6A67" w:rsidRPr="000971AE" w:rsidRDefault="00EA6A67" w:rsidP="00E924CC">
      <w:pPr>
        <w:pStyle w:val="SingleTxtG"/>
        <w:numPr>
          <w:ilvl w:val="0"/>
          <w:numId w:val="31"/>
        </w:numPr>
        <w:tabs>
          <w:tab w:val="clear" w:pos="2268"/>
          <w:tab w:val="clear" w:pos="2835"/>
        </w:tabs>
        <w:ind w:left="1134" w:firstLine="0"/>
        <w:rPr>
          <w:lang w:val="en-US" w:eastAsia="ru-MD"/>
        </w:rPr>
      </w:pPr>
      <w:r w:rsidRPr="000971AE">
        <w:rPr>
          <w:lang w:val="en-US" w:eastAsia="ru-MD"/>
        </w:rPr>
        <w:t>MoLSP provides support to organizations to attract funding from development partners in order to carry out awareness campaigns and promote the priorities of the Convention and persons with disabilities, in line with national policies.</w:t>
      </w:r>
    </w:p>
    <w:p w14:paraId="1D123C8D" w14:textId="46B5F4D9"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9</w:t>
      </w:r>
      <w:r w:rsidR="004F5866">
        <w:rPr>
          <w:lang w:val="en-US" w:eastAsia="ru-MD"/>
        </w:rPr>
        <w:br/>
      </w:r>
      <w:r w:rsidR="00EA6A67" w:rsidRPr="000971AE">
        <w:rPr>
          <w:lang w:val="en-US" w:eastAsia="ru-MD"/>
        </w:rPr>
        <w:t>Accessibility</w:t>
      </w:r>
    </w:p>
    <w:p w14:paraId="117FA5C7" w14:textId="571560A3" w:rsidR="00D97719" w:rsidRPr="000971AE" w:rsidRDefault="00C559B9" w:rsidP="00D97719">
      <w:pPr>
        <w:pStyle w:val="H1G"/>
        <w:rPr>
          <w:szCs w:val="24"/>
          <w:lang w:val="en-US" w:eastAsia="ru-MD"/>
        </w:rPr>
      </w:pPr>
      <w:r w:rsidRPr="000971AE">
        <w:tab/>
      </w:r>
      <w:r w:rsidRPr="000971AE">
        <w:tab/>
      </w:r>
      <w:r w:rsidR="00D97719" w:rsidRPr="000971AE">
        <w:t>Reply to paragraph 6 (a) of the list of issues</w:t>
      </w:r>
    </w:p>
    <w:p w14:paraId="5FA99D06" w14:textId="01EA5E0B"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 xml:space="preserve">Art. 2, Law 60/2012 defines the concepts of 'reasonable adaptation' and 'universal design'. In order to align the legislation in the field of construction and urban planning with this law: </w:t>
      </w:r>
    </w:p>
    <w:p w14:paraId="08F9EB0A" w14:textId="77777777" w:rsidR="00EA6A67" w:rsidRPr="000971AE" w:rsidRDefault="00EA6A67" w:rsidP="001B5D94">
      <w:pPr>
        <w:pStyle w:val="Bullet1G"/>
        <w:rPr>
          <w:lang w:val="en-US" w:eastAsia="ru-MD"/>
        </w:rPr>
      </w:pPr>
      <w:r w:rsidRPr="000971AE">
        <w:rPr>
          <w:lang w:val="en-US" w:eastAsia="ru-MD"/>
        </w:rPr>
        <w:t>The Urban Planning and Construction Code 434/2023 provides: the identification and elimination of barriers; design of real estate, public services and infrastructure according to the principle of universal design; accessibility of housing, public transport and social, cultural, tourist and sports buildings; construction of social infrastructure – adapted to the needs of people with disabilities.</w:t>
      </w:r>
    </w:p>
    <w:p w14:paraId="76BA9BC5" w14:textId="77777777" w:rsidR="00EA6A67" w:rsidRPr="000971AE" w:rsidRDefault="00EA6A67" w:rsidP="001B5D94">
      <w:pPr>
        <w:pStyle w:val="Bullet1G"/>
        <w:rPr>
          <w:lang w:val="en-US" w:eastAsia="ru-MD"/>
        </w:rPr>
      </w:pPr>
      <w:r w:rsidRPr="000971AE">
        <w:rPr>
          <w:lang w:val="en-US" w:eastAsia="ru-MD"/>
        </w:rPr>
        <w:t>Accessibility norms and standards (NCM C.01.06-2014, CP C.01.02:2018, NCM C.01.03-2017, SM ISO 21544-2:2016) have been revised and aligned with international standards and EU requirements.</w:t>
      </w:r>
    </w:p>
    <w:p w14:paraId="6FF6DD28" w14:textId="77777777" w:rsidR="00EA6A67" w:rsidRPr="000971AE" w:rsidRDefault="00EA6A67" w:rsidP="001B5D94">
      <w:pPr>
        <w:pStyle w:val="Bullet1G"/>
        <w:rPr>
          <w:lang w:val="en-US" w:eastAsia="ru-MD"/>
        </w:rPr>
      </w:pPr>
      <w:r w:rsidRPr="000971AE">
        <w:rPr>
          <w:lang w:val="en-US" w:eastAsia="ru-MD"/>
        </w:rPr>
        <w:t>MIRD Order 148/2024 approves checklists for state control, including on transportation of people with disabilities and walking devices.</w:t>
      </w:r>
    </w:p>
    <w:p w14:paraId="4957F94C" w14:textId="77D61234" w:rsidR="00D97719" w:rsidRPr="000971AE" w:rsidRDefault="001B5D94" w:rsidP="00D97719">
      <w:pPr>
        <w:pStyle w:val="H1G"/>
        <w:rPr>
          <w:szCs w:val="24"/>
          <w:lang w:val="en-US" w:eastAsia="ru-MD"/>
        </w:rPr>
      </w:pPr>
      <w:r w:rsidRPr="000971AE">
        <w:tab/>
      </w:r>
      <w:r w:rsidRPr="000971AE">
        <w:tab/>
      </w:r>
      <w:r w:rsidR="00D97719" w:rsidRPr="000971AE">
        <w:t>Reply to paragraph 6 (b) of the list of issues</w:t>
      </w:r>
    </w:p>
    <w:p w14:paraId="6C8F4CD4" w14:textId="1E548B5F"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In the process of construction or renovation, buildings must comply with the regulations on accessibility for persons with disabilities. In case of non-compliance, sanctions are applied: natural persons (physical person): 140–240 conventional units; persons with a position of responsibility: 200–300 units; legal entities: 350–500 units. AST has the competence to ascertain contraventions, apply sanctions, stop works and impose corrective measures.</w:t>
      </w:r>
    </w:p>
    <w:p w14:paraId="50834040" w14:textId="77777777"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CRAP/SAP has developed the concept and accessibility standards for all levels of education, adapted to children/pupils/students with physical, intellectual, hearing, visual or ASD disabilities. According to Law 241/2007, ANRCETI establishes requirements for communication service providers, so that persons with disabilities have equivalent access to services. MoLSP has started the process of transposing EU Directive 2019/882.</w:t>
      </w:r>
      <w:bookmarkStart w:id="1" w:name="_Hlk208946290"/>
      <w:bookmarkEnd w:id="1"/>
    </w:p>
    <w:p w14:paraId="3D3E1079" w14:textId="0B55FCC1" w:rsidR="00406562" w:rsidRPr="000971AE" w:rsidRDefault="001B5D94" w:rsidP="00406562">
      <w:pPr>
        <w:pStyle w:val="H1G"/>
        <w:rPr>
          <w:szCs w:val="24"/>
          <w:lang w:val="en-US" w:eastAsia="ru-MD"/>
        </w:rPr>
      </w:pPr>
      <w:r w:rsidRPr="000971AE">
        <w:tab/>
      </w:r>
      <w:r w:rsidRPr="000971AE">
        <w:tab/>
      </w:r>
      <w:r w:rsidR="00406562" w:rsidRPr="000971AE">
        <w:t>Reply to paragraph 6 (c) of the list of issues</w:t>
      </w:r>
    </w:p>
    <w:p w14:paraId="5644ABFE" w14:textId="3AD8F5BE"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The technical questionnaire for assessing infrastructure accessibility for people with disabilities (MIRD Order 64/2022), in accordance with Law 60/2012. The questionnaire is used by the building administration to identify accessibility problems and implement remedial measures.</w:t>
      </w:r>
    </w:p>
    <w:p w14:paraId="60D4C86A" w14:textId="793FEA94" w:rsidR="00406562" w:rsidRPr="000971AE" w:rsidRDefault="001B5D94" w:rsidP="00406562">
      <w:pPr>
        <w:pStyle w:val="H1G"/>
        <w:rPr>
          <w:szCs w:val="24"/>
          <w:lang w:val="en-US" w:eastAsia="ru-MD"/>
        </w:rPr>
      </w:pPr>
      <w:r w:rsidRPr="000971AE">
        <w:tab/>
      </w:r>
      <w:r w:rsidRPr="000971AE">
        <w:tab/>
      </w:r>
      <w:r w:rsidR="00406562" w:rsidRPr="000971AE">
        <w:t>Reply to paragraph 6 (d) of the list of issues</w:t>
      </w:r>
    </w:p>
    <w:p w14:paraId="238719D3" w14:textId="133FB7E8"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 xml:space="preserve">The EC identifies the main problems of persons with disabilities: inaccessibility of the physical environment, transport and information. Public transport, especially suburban, interurban and taxis, often remains inaccessible, the only adapted means being in Chisinau and Balti. New infrastructure is adapting, but old buildings and roads limit participation in social life, education, work and health. In 2020-2024, the EC issued 41 recommendations on accessibility, of which 51% were implemented; non-implementation implies legislative changes, display of the symbol for guide dogs, tax and customs policies, adaptations in judicial processes and local infrastructure accessibility. </w:t>
      </w:r>
    </w:p>
    <w:p w14:paraId="5721A468" w14:textId="66ECB450" w:rsidR="00626E94" w:rsidRPr="000971AE" w:rsidRDefault="001B5D94" w:rsidP="00626E94">
      <w:pPr>
        <w:pStyle w:val="H1G"/>
        <w:rPr>
          <w:szCs w:val="24"/>
          <w:lang w:val="en-US" w:eastAsia="ru-MD"/>
        </w:rPr>
      </w:pPr>
      <w:r w:rsidRPr="000971AE">
        <w:tab/>
      </w:r>
      <w:r w:rsidRPr="000971AE">
        <w:tab/>
      </w:r>
      <w:r w:rsidR="00626E94" w:rsidRPr="000971AE">
        <w:t>Reply to paragraph 6 (e) of the list of issues</w:t>
      </w:r>
    </w:p>
    <w:p w14:paraId="10F6725F" w14:textId="1F10CCE4"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The national public procurement system, governed by Law 131/2015, is based on transparency, equal treatment, non-discrimination and fair competition. Announcements and documentation are published in the SIA "State Register of Public Procurement", and bids are submitted through the same system. The Ministry of Finance, the Public Procurement Agency and the National Agency for the Settlement of Appeals coordinate and monitor compliance with the legislation. Law 60/2012 and EU Directive 2019/882 transposition ensure the accessibility of information and products/services, including web pages.</w:t>
      </w:r>
    </w:p>
    <w:p w14:paraId="3BD67A6E" w14:textId="3C678042" w:rsidR="00626E94" w:rsidRPr="000971AE" w:rsidRDefault="001B5D94" w:rsidP="00626E94">
      <w:pPr>
        <w:pStyle w:val="H1G"/>
        <w:rPr>
          <w:szCs w:val="24"/>
          <w:lang w:val="en-US" w:eastAsia="ru-MD"/>
        </w:rPr>
      </w:pPr>
      <w:r w:rsidRPr="000971AE">
        <w:tab/>
      </w:r>
      <w:r w:rsidRPr="000971AE">
        <w:tab/>
      </w:r>
      <w:r w:rsidR="00626E94" w:rsidRPr="000971AE">
        <w:t>Reply to paragraph 6 (f) of the list of issues</w:t>
      </w:r>
    </w:p>
    <w:p w14:paraId="598E5B43" w14:textId="208034DB"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The Directive 882/2019 transposition prioritises accessibility in public transport, in particular digital and informational components, for inclusion of persons with disabilities. In Chisinau, buses with ramps, spaces for trolleys and audio-visual systems were purchased, and waiting stations were adapted. There are 19 taxi operators with adapted units.</w:t>
      </w:r>
    </w:p>
    <w:p w14:paraId="454FEE62" w14:textId="211835BD"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11</w:t>
      </w:r>
      <w:r w:rsidR="00CB2F38">
        <w:rPr>
          <w:lang w:val="en-US" w:eastAsia="ru-MD"/>
        </w:rPr>
        <w:br/>
      </w:r>
      <w:r w:rsidR="00EA6A67" w:rsidRPr="000971AE">
        <w:rPr>
          <w:lang w:val="en-US" w:eastAsia="ru-MD"/>
        </w:rPr>
        <w:t>Situations of risk and humanitarian emergencies</w:t>
      </w:r>
    </w:p>
    <w:p w14:paraId="6F1A3A6D" w14:textId="7188A6D5" w:rsidR="00DB6EDF" w:rsidRPr="000971AE" w:rsidRDefault="001B5D94" w:rsidP="00DB6EDF">
      <w:pPr>
        <w:pStyle w:val="H1G"/>
        <w:rPr>
          <w:szCs w:val="24"/>
          <w:lang w:val="en-US" w:eastAsia="ru-MD"/>
        </w:rPr>
      </w:pPr>
      <w:r w:rsidRPr="000971AE">
        <w:tab/>
      </w:r>
      <w:r w:rsidRPr="000971AE">
        <w:tab/>
      </w:r>
      <w:r w:rsidR="00DB6EDF" w:rsidRPr="000971AE">
        <w:t>Reply to paragraph 7 (a) of the list of issues</w:t>
      </w:r>
    </w:p>
    <w:p w14:paraId="267905A9" w14:textId="0B7818C2"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Information materials have been distributed to displaced persons from Ukraine through IGM and UNHCR-Moldova, available on government and NGO websites, in accessible formats (easy text, videos with subtitles). Documentation and accommodation centres provide information on temporary protection, asylum and integration. Green lines operated by IGM, MoLSP and NGOs have been set up, with staff trained to provide assistance tailored to the needs of people with disabilities.</w:t>
      </w:r>
    </w:p>
    <w:p w14:paraId="3483A179" w14:textId="6AC05E3B" w:rsidR="00616954" w:rsidRPr="000971AE" w:rsidRDefault="001B5D94" w:rsidP="00616954">
      <w:pPr>
        <w:pStyle w:val="H1G"/>
        <w:rPr>
          <w:szCs w:val="24"/>
          <w:lang w:val="en-US" w:eastAsia="ru-MD"/>
        </w:rPr>
      </w:pPr>
      <w:r w:rsidRPr="000971AE">
        <w:tab/>
      </w:r>
      <w:r w:rsidRPr="000971AE">
        <w:tab/>
      </w:r>
      <w:r w:rsidR="00616954" w:rsidRPr="000971AE">
        <w:t>Reply to paragraph 7 (b) of the list of issues</w:t>
      </w:r>
    </w:p>
    <w:p w14:paraId="0BDAF8FE" w14:textId="5F7D1245"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All persons who requested information or right of residence/protection received support and were documented. In 2023-2025, 75,991 people were documented with temporary protection; 214 people have refugee status and 516 have humanitarian protection status. A new information system "Migration" is being developed. MoLSP coordinates 20 temporary placement centers with about 1,500 people, including 94 with disabilities; in 2024 - 1,399 people with disabilities from Ukraine obtained temporary protection.</w:t>
      </w:r>
    </w:p>
    <w:p w14:paraId="2F21ED7F" w14:textId="2A14CB80" w:rsidR="00616954" w:rsidRPr="000971AE" w:rsidRDefault="001B5D94" w:rsidP="00616954">
      <w:pPr>
        <w:pStyle w:val="H1G"/>
        <w:rPr>
          <w:szCs w:val="24"/>
          <w:lang w:val="en-US" w:eastAsia="ru-MD"/>
        </w:rPr>
      </w:pPr>
      <w:r w:rsidRPr="000971AE">
        <w:tab/>
      </w:r>
      <w:r w:rsidRPr="000971AE">
        <w:tab/>
      </w:r>
      <w:r w:rsidR="00616954" w:rsidRPr="000971AE">
        <w:t>Reply to paragraph 7 (c) of the list of issues</w:t>
      </w:r>
    </w:p>
    <w:p w14:paraId="6A8EDE85" w14:textId="506E7DEF"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 xml:space="preserve">The MIA shall apply procedures for prevention, identification and determination of statelessness, providing assistance to persons with disabilities. ANOFM supports access to work for foreign citizens, stateless persons and internationally protected persons, including those displaced from Ukraine, through information, counselling, training and employment support. In 2024, 539 people from Ukraine benefited from employment services (272 employees), and in the first half of 2025, 314 received support (104 employees). All categories of foreigners have access to information and professional guidance. </w:t>
      </w:r>
    </w:p>
    <w:p w14:paraId="4B597C8C" w14:textId="1BB91EA8" w:rsidR="001F42CD" w:rsidRPr="000971AE" w:rsidRDefault="001B5D94" w:rsidP="001F42CD">
      <w:pPr>
        <w:pStyle w:val="H1G"/>
        <w:rPr>
          <w:szCs w:val="24"/>
          <w:lang w:val="en-US" w:eastAsia="ru-MD"/>
        </w:rPr>
      </w:pPr>
      <w:r w:rsidRPr="000971AE">
        <w:tab/>
      </w:r>
      <w:r w:rsidRPr="000971AE">
        <w:tab/>
      </w:r>
      <w:r w:rsidR="001F42CD" w:rsidRPr="000971AE">
        <w:t>Reply to paragraph 7 (d) of the list of issues</w:t>
      </w:r>
    </w:p>
    <w:p w14:paraId="05FB81A4" w14:textId="4F51C1F2"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By Exceptional Situation Committee Provision 54/2022 and GD 21/2023, social protection measures were established for children with disabilities and displaced persons from Ukraine. MoLSP provides places in RACs adapted to quality standards, with priority for those with special needs. " Deaf Association" offers interpreters for people with hearing impairment, and the Free Helpline (0800 10 808) works around the clock. MoLSP keeps track of and identifies the needs of people with disabilities through questionnaires applied in RACs and host families.</w:t>
      </w:r>
    </w:p>
    <w:p w14:paraId="61AC18DA" w14:textId="4CA76F88" w:rsidR="008562D5" w:rsidRPr="000971AE" w:rsidRDefault="001B5D94" w:rsidP="008562D5">
      <w:pPr>
        <w:pStyle w:val="H1G"/>
        <w:rPr>
          <w:szCs w:val="24"/>
          <w:lang w:val="en-US" w:eastAsia="ru-MD"/>
        </w:rPr>
      </w:pPr>
      <w:r w:rsidRPr="000971AE">
        <w:tab/>
      </w:r>
      <w:r w:rsidRPr="000971AE">
        <w:tab/>
      </w:r>
      <w:r w:rsidR="008562D5" w:rsidRPr="000971AE">
        <w:t>Reply to paragraph 7 (e) of the list of issues</w:t>
      </w:r>
    </w:p>
    <w:p w14:paraId="1CA92495" w14:textId="724A85ED"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According to GD 21/2023 and Order 182/2023, MoLSP coordinates RACs that provide placement, nutrition, counseling, recreational activities and support for social integration, as well as referrals to educational, medical and employment services. Foreigners benefit from legal advice through IGM, CNAJGS and CDA, and Law 298/2022 extends legal aid to people with severe disabilities. Children with SEN are integrated without discrimination in public schools, supported by 1,609 support teachers, 552 psychologists, 370 speech therapists and 33 psychopedagogues.</w:t>
      </w:r>
      <w:bookmarkStart w:id="2" w:name="_Hlk208946413"/>
      <w:bookmarkEnd w:id="2"/>
    </w:p>
    <w:p w14:paraId="1FED1DDB" w14:textId="0EEB65E5"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12</w:t>
      </w:r>
      <w:r w:rsidR="00CB2F38">
        <w:rPr>
          <w:lang w:val="en-US" w:eastAsia="ru-MD"/>
        </w:rPr>
        <w:br/>
      </w:r>
      <w:r w:rsidR="00EA6A67" w:rsidRPr="000971AE">
        <w:rPr>
          <w:lang w:val="en-US" w:eastAsia="ru-MD"/>
        </w:rPr>
        <w:t>Equal recognition before the law</w:t>
      </w:r>
    </w:p>
    <w:p w14:paraId="2C5FFCC5" w14:textId="4C962CB1" w:rsidR="008562D5" w:rsidRPr="000971AE" w:rsidRDefault="001B5D94" w:rsidP="008562D5">
      <w:pPr>
        <w:pStyle w:val="H1G"/>
        <w:rPr>
          <w:szCs w:val="24"/>
          <w:lang w:val="en-US" w:eastAsia="ru-MD"/>
        </w:rPr>
      </w:pPr>
      <w:r w:rsidRPr="000971AE">
        <w:tab/>
      </w:r>
      <w:r w:rsidRPr="000971AE">
        <w:tab/>
      </w:r>
      <w:r w:rsidR="008562D5" w:rsidRPr="000971AE">
        <w:t>Reply to paragraph 8 (a) of the list of issues</w:t>
      </w:r>
    </w:p>
    <w:p w14:paraId="669F1719" w14:textId="26A3B519"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Law 60/2012 guarantees persons with disabilities equal legal capacity and protection against abuse, including through legal assistance and decision-making support. Articles 9 and 10 provide for the right to property, income management and legal protection, and subsequent amendments to the Civil Code allow contractual or judicial measures for protection and assistance in decision-making. Law 66/2017 restored the full capacity of the previously limited persons, and during the reporting period, 22 contractual measures and 23 protection mandates were applied. Law 114/2024 provides guarantees for mental health, mental well-being and free access to judicial and extrajudicial expertise for people with serious mental illnesses.</w:t>
      </w:r>
    </w:p>
    <w:p w14:paraId="11C249E8" w14:textId="493B8D28" w:rsidR="008378A6" w:rsidRPr="000971AE" w:rsidRDefault="001B5D94" w:rsidP="008378A6">
      <w:pPr>
        <w:pStyle w:val="H1G"/>
        <w:rPr>
          <w:szCs w:val="24"/>
          <w:lang w:val="en-US" w:eastAsia="ru-MD"/>
        </w:rPr>
      </w:pPr>
      <w:r w:rsidRPr="000971AE">
        <w:tab/>
      </w:r>
      <w:r w:rsidRPr="000971AE">
        <w:tab/>
      </w:r>
      <w:r w:rsidR="008378A6" w:rsidRPr="000971AE">
        <w:t>Reply to paragraph 8 (b) of the list of issues</w:t>
      </w:r>
    </w:p>
    <w:p w14:paraId="0046114C" w14:textId="53EB9CD6"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 xml:space="preserve">The principles of regulating the exercise capacity of individuals with disabilities (Law 66/2017), correspond to the principles of legal protection of incapable adults, as follows: respect for human rights; flexibility in legal measure; necessary and subsidiary nature; proportionality; fair and effective nature of the procedure; pre-eminence of the interests and well-being of the subject; respect for the will and feelings of the subject; consultation. </w:t>
      </w:r>
    </w:p>
    <w:p w14:paraId="4DA09DB4" w14:textId="596B86D5" w:rsidR="008378A6" w:rsidRPr="000971AE" w:rsidRDefault="001B5D94" w:rsidP="008378A6">
      <w:pPr>
        <w:pStyle w:val="H1G"/>
        <w:rPr>
          <w:szCs w:val="24"/>
          <w:lang w:val="en-US" w:eastAsia="ru-MD"/>
        </w:rPr>
      </w:pPr>
      <w:r w:rsidRPr="000971AE">
        <w:rPr>
          <w:lang w:val="en-US"/>
        </w:rPr>
        <w:tab/>
      </w:r>
      <w:r w:rsidRPr="000971AE">
        <w:rPr>
          <w:lang w:val="en-US"/>
        </w:rPr>
        <w:tab/>
      </w:r>
      <w:r w:rsidR="008378A6" w:rsidRPr="000971AE">
        <w:t>Reply to paragraph 8 (c) of the list of issues</w:t>
      </w:r>
    </w:p>
    <w:p w14:paraId="1B1243B7" w14:textId="68AAD111" w:rsidR="00EA6A67" w:rsidRPr="000971AE" w:rsidRDefault="00EA6A67" w:rsidP="006F51E6">
      <w:pPr>
        <w:pStyle w:val="SingleTxtG"/>
        <w:numPr>
          <w:ilvl w:val="0"/>
          <w:numId w:val="31"/>
        </w:numPr>
        <w:tabs>
          <w:tab w:val="clear" w:pos="2268"/>
          <w:tab w:val="clear" w:pos="2835"/>
        </w:tabs>
        <w:ind w:left="1134" w:firstLine="0"/>
        <w:rPr>
          <w:color w:val="000000"/>
          <w:lang w:val="en-US" w:eastAsia="ru-MD"/>
        </w:rPr>
      </w:pPr>
      <w:r w:rsidRPr="000971AE">
        <w:rPr>
          <w:lang w:val="en-US" w:eastAsia="ru-MD"/>
        </w:rPr>
        <w:t xml:space="preserve">Legislation has progressed to facilitate access to legal aid for persons with disabilities, including by simplifying procedures, extending eligibility and providing services free of charge to those with severe disabilities, regardless of income, including </w:t>
      </w:r>
      <w:r w:rsidRPr="000971AE">
        <w:rPr>
          <w:color w:val="000000"/>
          <w:lang w:val="en-US" w:eastAsia="ru-MD"/>
        </w:rPr>
        <w:t>advocacy and information campaigns.</w:t>
      </w:r>
    </w:p>
    <w:p w14:paraId="7B246E55" w14:textId="11D0CB4D" w:rsidR="001D4F9C" w:rsidRPr="000971AE" w:rsidRDefault="001B5D94" w:rsidP="001D4F9C">
      <w:pPr>
        <w:pStyle w:val="H1G"/>
        <w:rPr>
          <w:szCs w:val="24"/>
          <w:lang w:val="en-US" w:eastAsia="ru-MD"/>
        </w:rPr>
      </w:pPr>
      <w:r w:rsidRPr="000971AE">
        <w:rPr>
          <w:lang w:val="en-US"/>
        </w:rPr>
        <w:tab/>
      </w:r>
      <w:r w:rsidRPr="000971AE">
        <w:rPr>
          <w:lang w:val="en-US"/>
        </w:rPr>
        <w:tab/>
      </w:r>
      <w:r w:rsidR="001D4F9C" w:rsidRPr="000971AE">
        <w:t>Reply to paragraph 8 (d) of the list of issues</w:t>
      </w:r>
    </w:p>
    <w:p w14:paraId="26BC7250" w14:textId="39985C72"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The amended Civil Code provides for the protection of persons with disabilities or mental disorders, through contractual measures (assistance or protection mandate) or judicial measures (provisional protection, guardianship, curatorship). The local guardianship authorities supervise the application of these measures and the protection of the legal capacity of the protected persons.</w:t>
      </w:r>
    </w:p>
    <w:p w14:paraId="31FC129E" w14:textId="4B07FDCA" w:rsidR="00781B52" w:rsidRPr="000971AE" w:rsidRDefault="001B5D94" w:rsidP="00781B52">
      <w:pPr>
        <w:pStyle w:val="H1G"/>
        <w:rPr>
          <w:szCs w:val="24"/>
          <w:lang w:val="en-US" w:eastAsia="ru-MD"/>
        </w:rPr>
      </w:pPr>
      <w:r w:rsidRPr="000971AE">
        <w:tab/>
      </w:r>
      <w:r w:rsidRPr="000971AE">
        <w:tab/>
      </w:r>
      <w:r w:rsidR="00781B52" w:rsidRPr="000971AE">
        <w:t>Reply to paragraph 8 (e) of the list of issues</w:t>
      </w:r>
    </w:p>
    <w:p w14:paraId="267A3D15" w14:textId="56818682"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b/>
          <w:color w:val="000000"/>
          <w:lang w:val="en-US" w:eastAsia="ru-MD"/>
        </w:rPr>
        <w:t>A</w:t>
      </w:r>
      <w:r w:rsidRPr="000971AE">
        <w:rPr>
          <w:lang w:val="en-US" w:eastAsia="ru-MD"/>
        </w:rPr>
        <w:t>rt.31, Civil Code prohibits the deprivation or limitation of natural persons’ capacity to use and exercise. Previously limited persons acquire full capacity, and guardianship and curatorship cease by right. Measures of judicial protection (curatorship, guardianship) are applied only in exceptional cases and cease at the end of the established term or by a final court decision.</w:t>
      </w:r>
    </w:p>
    <w:p w14:paraId="3A861630" w14:textId="4CDFB9C8" w:rsidR="00EA6A67" w:rsidRPr="000971AE" w:rsidRDefault="00EA6A67" w:rsidP="003251EC">
      <w:pPr>
        <w:pStyle w:val="H1G"/>
        <w:rPr>
          <w:lang w:val="en-US" w:eastAsia="ru-MD"/>
        </w:rPr>
      </w:pPr>
      <w:r w:rsidRPr="000971AE">
        <w:rPr>
          <w:lang w:val="en-US" w:eastAsia="ru-MD"/>
        </w:rPr>
        <w:tab/>
      </w:r>
      <w:r w:rsidR="003251EC" w:rsidRPr="000971AE">
        <w:rPr>
          <w:lang w:val="en-US" w:eastAsia="ru-MD"/>
        </w:rPr>
        <w:tab/>
      </w:r>
      <w:r w:rsidR="003251EC" w:rsidRPr="000971AE">
        <w:rPr>
          <w:lang w:val="en-US" w:eastAsia="ru-MD"/>
        </w:rPr>
        <w:tab/>
      </w:r>
      <w:r w:rsidRPr="000971AE">
        <w:rPr>
          <w:lang w:val="en-US" w:eastAsia="ru-MD"/>
        </w:rPr>
        <w:t>Article 13</w:t>
      </w:r>
      <w:r w:rsidR="00CB2F38">
        <w:rPr>
          <w:lang w:val="en-US" w:eastAsia="ru-MD"/>
        </w:rPr>
        <w:br/>
      </w:r>
      <w:r w:rsidRPr="000971AE">
        <w:rPr>
          <w:lang w:val="en-US" w:eastAsia="ru-MD"/>
        </w:rPr>
        <w:t>Access to justice</w:t>
      </w:r>
    </w:p>
    <w:p w14:paraId="6B143B87" w14:textId="03E7DFBA" w:rsidR="00781B52" w:rsidRPr="000971AE" w:rsidRDefault="002B05D3" w:rsidP="00781B52">
      <w:pPr>
        <w:pStyle w:val="H1G"/>
        <w:rPr>
          <w:szCs w:val="24"/>
          <w:lang w:val="en-US" w:eastAsia="ru-MD"/>
        </w:rPr>
      </w:pPr>
      <w:r w:rsidRPr="000971AE">
        <w:tab/>
      </w:r>
      <w:r w:rsidRPr="000971AE">
        <w:tab/>
      </w:r>
      <w:r w:rsidR="00781B52" w:rsidRPr="000971AE">
        <w:t>Reply to paragraph 9 (a) of the list of issues</w:t>
      </w:r>
    </w:p>
    <w:p w14:paraId="450DF4D2" w14:textId="1D2F5746"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Law 264/2008 regulates the authorisation of interpreters and translators for judicial institutions, including interpreters for the language of deaf and deafblind persons (7 in 2012, 9 in 2017 and 5 in 2023). The National Portal of Courts offers an accessible menu to people with disabilities, complying with 100% accessibility standards in 2024, and the courts' websites have been similarly evaluated. GD  164/2024 provides for the implementation of technical regulations for physical and informational accessibility.</w:t>
      </w:r>
    </w:p>
    <w:p w14:paraId="699DAEAD" w14:textId="45BF65B0" w:rsidR="00781B52" w:rsidRPr="000971AE" w:rsidRDefault="002B05D3" w:rsidP="00781B52">
      <w:pPr>
        <w:pStyle w:val="H1G"/>
        <w:rPr>
          <w:szCs w:val="24"/>
          <w:lang w:val="en-US" w:eastAsia="ru-MD"/>
        </w:rPr>
      </w:pPr>
      <w:r w:rsidRPr="000971AE">
        <w:tab/>
      </w:r>
      <w:r w:rsidRPr="000971AE">
        <w:tab/>
      </w:r>
      <w:r w:rsidR="00781B52" w:rsidRPr="000971AE">
        <w:t>Reply to paragraph 9 (b) of the list of issues</w:t>
      </w:r>
    </w:p>
    <w:p w14:paraId="4375FDC5" w14:textId="5B43DB9B"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The new court buildings will comply with accessibility requirements for persons with disabilities according to the updated Plan. Measures are also being carried out to make existing premises accessible, including the installation of tactile paving and the provision of interpreters, although full adaptation is limited in historic buildings. The significant increase in accessibility will be achieved with construction of new premises.</w:t>
      </w:r>
    </w:p>
    <w:p w14:paraId="3A9A54BF" w14:textId="000327DA" w:rsidR="00781B52" w:rsidRPr="000971AE" w:rsidRDefault="002B05D3" w:rsidP="00781B52">
      <w:pPr>
        <w:pStyle w:val="H1G"/>
        <w:rPr>
          <w:szCs w:val="24"/>
          <w:lang w:val="en-US" w:eastAsia="ru-MD"/>
        </w:rPr>
      </w:pPr>
      <w:r w:rsidRPr="000971AE">
        <w:tab/>
      </w:r>
      <w:r w:rsidRPr="000971AE">
        <w:tab/>
      </w:r>
      <w:r w:rsidR="00781B52" w:rsidRPr="000971AE">
        <w:t>Reply to paragraph 9 (c) of the list of issues</w:t>
      </w:r>
    </w:p>
    <w:p w14:paraId="20955479" w14:textId="0A62625C"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 xml:space="preserve">In 2022, </w:t>
      </w:r>
      <w:r w:rsidRPr="000971AE">
        <w:rPr>
          <w:i/>
          <w:iCs/>
          <w:lang w:val="en-US" w:eastAsia="ru-MD"/>
        </w:rPr>
        <w:t>the Quality Standards of the activity of lawyers on cases involving persons with intellectual and psycho-social disabilities in criminal, contravention and civil proceedings were approved</w:t>
      </w:r>
      <w:r w:rsidRPr="000971AE">
        <w:rPr>
          <w:lang w:val="en-US" w:eastAsia="ru-MD"/>
        </w:rPr>
        <w:t>.  In 2024, out of a total of 43,530 cases of qualified legal aid, in 1,352 cases the beneficiaries were persons with disabilities (3%).</w:t>
      </w:r>
    </w:p>
    <w:p w14:paraId="1BD65AA2" w14:textId="77777777"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 xml:space="preserve">505 lawyers from the state-guaranteed legal aid system were involved, of which 11 specialize in providing legal aid to people with intellectual and psycho-social disabilities (see table).  </w:t>
      </w:r>
    </w:p>
    <w:tbl>
      <w:tblPr>
        <w:tblW w:w="7370" w:type="dxa"/>
        <w:tblInd w:w="1134" w:type="dxa"/>
        <w:tblLayout w:type="fixed"/>
        <w:tblCellMar>
          <w:left w:w="0" w:type="dxa"/>
          <w:right w:w="0" w:type="dxa"/>
        </w:tblCellMar>
        <w:tblLook w:val="0600" w:firstRow="0" w:lastRow="0" w:firstColumn="0" w:lastColumn="0" w:noHBand="1" w:noVBand="1"/>
      </w:tblPr>
      <w:tblGrid>
        <w:gridCol w:w="3160"/>
        <w:gridCol w:w="910"/>
        <w:gridCol w:w="825"/>
        <w:gridCol w:w="825"/>
        <w:gridCol w:w="825"/>
        <w:gridCol w:w="825"/>
      </w:tblGrid>
      <w:tr w:rsidR="00EA6A67" w:rsidRPr="000971AE" w14:paraId="65DFFD2B" w14:textId="77777777" w:rsidTr="00A30CEF">
        <w:trPr>
          <w:tblHeader/>
        </w:trPr>
        <w:tc>
          <w:tcPr>
            <w:tcW w:w="3885" w:type="dxa"/>
            <w:tcBorders>
              <w:top w:val="single" w:sz="4" w:space="0" w:color="auto"/>
              <w:bottom w:val="single" w:sz="12" w:space="0" w:color="auto"/>
            </w:tcBorders>
            <w:tcMar>
              <w:top w:w="0" w:type="dxa"/>
              <w:left w:w="100" w:type="dxa"/>
              <w:bottom w:w="0" w:type="dxa"/>
              <w:right w:w="100" w:type="dxa"/>
            </w:tcMar>
            <w:vAlign w:val="bottom"/>
          </w:tcPr>
          <w:p w14:paraId="095FC6EE" w14:textId="77777777" w:rsidR="00EA6A67" w:rsidRPr="000971AE" w:rsidRDefault="00EA6A67" w:rsidP="00A30CEF">
            <w:pPr>
              <w:suppressAutoHyphens w:val="0"/>
              <w:spacing w:before="80" w:after="80" w:line="200" w:lineRule="exact"/>
              <w:rPr>
                <w:i/>
                <w:sz w:val="16"/>
                <w:szCs w:val="24"/>
                <w:lang w:val="en-US" w:eastAsia="ru-MD"/>
              </w:rPr>
            </w:pPr>
            <w:r w:rsidRPr="000971AE">
              <w:rPr>
                <w:i/>
                <w:sz w:val="16"/>
                <w:szCs w:val="24"/>
                <w:lang w:val="en-US" w:eastAsia="ru-MD"/>
              </w:rPr>
              <w:t>Indicators</w:t>
            </w:r>
          </w:p>
        </w:tc>
        <w:tc>
          <w:tcPr>
            <w:tcW w:w="1080" w:type="dxa"/>
            <w:tcBorders>
              <w:top w:val="single" w:sz="4" w:space="0" w:color="auto"/>
              <w:bottom w:val="single" w:sz="12" w:space="0" w:color="auto"/>
            </w:tcBorders>
            <w:tcMar>
              <w:top w:w="0" w:type="dxa"/>
              <w:left w:w="100" w:type="dxa"/>
              <w:bottom w:w="0" w:type="dxa"/>
              <w:right w:w="100" w:type="dxa"/>
            </w:tcMar>
            <w:vAlign w:val="bottom"/>
          </w:tcPr>
          <w:p w14:paraId="3A5F5647" w14:textId="77777777" w:rsidR="00EA6A67" w:rsidRPr="000971AE" w:rsidRDefault="00EA6A67" w:rsidP="00A30CEF">
            <w:pPr>
              <w:suppressAutoHyphens w:val="0"/>
              <w:spacing w:before="80" w:after="80" w:line="200" w:lineRule="exact"/>
              <w:jc w:val="right"/>
              <w:rPr>
                <w:i/>
                <w:sz w:val="16"/>
                <w:szCs w:val="24"/>
                <w:lang w:val="en-US" w:eastAsia="ru-MD"/>
              </w:rPr>
            </w:pPr>
            <w:r w:rsidRPr="000971AE">
              <w:rPr>
                <w:i/>
                <w:sz w:val="16"/>
                <w:szCs w:val="24"/>
                <w:lang w:val="en-US" w:eastAsia="ru-MD"/>
              </w:rPr>
              <w:t>2020</w:t>
            </w:r>
          </w:p>
        </w:tc>
        <w:tc>
          <w:tcPr>
            <w:tcW w:w="975" w:type="dxa"/>
            <w:tcBorders>
              <w:top w:val="single" w:sz="4" w:space="0" w:color="auto"/>
              <w:bottom w:val="single" w:sz="12" w:space="0" w:color="auto"/>
            </w:tcBorders>
            <w:tcMar>
              <w:top w:w="0" w:type="dxa"/>
              <w:left w:w="100" w:type="dxa"/>
              <w:bottom w:w="0" w:type="dxa"/>
              <w:right w:w="100" w:type="dxa"/>
            </w:tcMar>
            <w:vAlign w:val="bottom"/>
          </w:tcPr>
          <w:p w14:paraId="767DB602" w14:textId="77777777" w:rsidR="00EA6A67" w:rsidRPr="000971AE" w:rsidRDefault="00EA6A67" w:rsidP="00A30CEF">
            <w:pPr>
              <w:suppressAutoHyphens w:val="0"/>
              <w:spacing w:before="80" w:after="80" w:line="200" w:lineRule="exact"/>
              <w:jc w:val="right"/>
              <w:rPr>
                <w:i/>
                <w:sz w:val="16"/>
                <w:szCs w:val="24"/>
                <w:lang w:val="en-US" w:eastAsia="ru-MD"/>
              </w:rPr>
            </w:pPr>
            <w:r w:rsidRPr="000971AE">
              <w:rPr>
                <w:i/>
                <w:sz w:val="16"/>
                <w:szCs w:val="24"/>
                <w:lang w:val="en-US" w:eastAsia="ru-MD"/>
              </w:rPr>
              <w:t>2021</w:t>
            </w:r>
          </w:p>
        </w:tc>
        <w:tc>
          <w:tcPr>
            <w:tcW w:w="975" w:type="dxa"/>
            <w:tcBorders>
              <w:top w:val="single" w:sz="4" w:space="0" w:color="auto"/>
              <w:bottom w:val="single" w:sz="12" w:space="0" w:color="auto"/>
            </w:tcBorders>
            <w:tcMar>
              <w:top w:w="0" w:type="dxa"/>
              <w:left w:w="100" w:type="dxa"/>
              <w:bottom w:w="0" w:type="dxa"/>
              <w:right w:w="100" w:type="dxa"/>
            </w:tcMar>
            <w:vAlign w:val="bottom"/>
          </w:tcPr>
          <w:p w14:paraId="4FBC7139" w14:textId="77777777" w:rsidR="00EA6A67" w:rsidRPr="000971AE" w:rsidRDefault="00EA6A67" w:rsidP="00A30CEF">
            <w:pPr>
              <w:suppressAutoHyphens w:val="0"/>
              <w:spacing w:before="80" w:after="80" w:line="200" w:lineRule="exact"/>
              <w:jc w:val="right"/>
              <w:rPr>
                <w:i/>
                <w:sz w:val="16"/>
                <w:szCs w:val="24"/>
                <w:lang w:val="en-US" w:eastAsia="ru-MD"/>
              </w:rPr>
            </w:pPr>
            <w:r w:rsidRPr="000971AE">
              <w:rPr>
                <w:i/>
                <w:sz w:val="16"/>
                <w:szCs w:val="24"/>
                <w:lang w:val="en-US" w:eastAsia="ru-MD"/>
              </w:rPr>
              <w:t>2022</w:t>
            </w:r>
          </w:p>
        </w:tc>
        <w:tc>
          <w:tcPr>
            <w:tcW w:w="975" w:type="dxa"/>
            <w:tcBorders>
              <w:top w:val="single" w:sz="4" w:space="0" w:color="auto"/>
              <w:bottom w:val="single" w:sz="12" w:space="0" w:color="auto"/>
            </w:tcBorders>
            <w:tcMar>
              <w:top w:w="0" w:type="dxa"/>
              <w:left w:w="100" w:type="dxa"/>
              <w:bottom w:w="0" w:type="dxa"/>
              <w:right w:w="100" w:type="dxa"/>
            </w:tcMar>
            <w:vAlign w:val="bottom"/>
          </w:tcPr>
          <w:p w14:paraId="0B507359" w14:textId="77777777" w:rsidR="00EA6A67" w:rsidRPr="000971AE" w:rsidRDefault="00EA6A67" w:rsidP="00A30CEF">
            <w:pPr>
              <w:suppressAutoHyphens w:val="0"/>
              <w:spacing w:before="80" w:after="80" w:line="200" w:lineRule="exact"/>
              <w:jc w:val="right"/>
              <w:rPr>
                <w:i/>
                <w:sz w:val="16"/>
                <w:szCs w:val="24"/>
                <w:lang w:val="en-US" w:eastAsia="ru-MD"/>
              </w:rPr>
            </w:pPr>
            <w:r w:rsidRPr="000971AE">
              <w:rPr>
                <w:i/>
                <w:sz w:val="16"/>
                <w:szCs w:val="24"/>
                <w:lang w:val="en-US" w:eastAsia="ru-MD"/>
              </w:rPr>
              <w:t>2023</w:t>
            </w:r>
          </w:p>
        </w:tc>
        <w:tc>
          <w:tcPr>
            <w:tcW w:w="975" w:type="dxa"/>
            <w:tcBorders>
              <w:top w:val="single" w:sz="4" w:space="0" w:color="auto"/>
              <w:bottom w:val="single" w:sz="12" w:space="0" w:color="auto"/>
            </w:tcBorders>
            <w:tcMar>
              <w:top w:w="0" w:type="dxa"/>
              <w:left w:w="100" w:type="dxa"/>
              <w:bottom w:w="0" w:type="dxa"/>
              <w:right w:w="100" w:type="dxa"/>
            </w:tcMar>
            <w:vAlign w:val="bottom"/>
          </w:tcPr>
          <w:p w14:paraId="2865D66E" w14:textId="77777777" w:rsidR="00EA6A67" w:rsidRPr="000971AE" w:rsidRDefault="00EA6A67" w:rsidP="00A30CEF">
            <w:pPr>
              <w:suppressAutoHyphens w:val="0"/>
              <w:spacing w:before="80" w:after="80" w:line="200" w:lineRule="exact"/>
              <w:jc w:val="right"/>
              <w:rPr>
                <w:i/>
                <w:sz w:val="16"/>
                <w:szCs w:val="24"/>
                <w:lang w:val="en-US" w:eastAsia="ru-MD"/>
              </w:rPr>
            </w:pPr>
            <w:r w:rsidRPr="000971AE">
              <w:rPr>
                <w:i/>
                <w:sz w:val="16"/>
                <w:szCs w:val="24"/>
                <w:lang w:val="en-US" w:eastAsia="ru-MD"/>
              </w:rPr>
              <w:t>2024</w:t>
            </w:r>
          </w:p>
        </w:tc>
      </w:tr>
      <w:tr w:rsidR="00EA6A67" w:rsidRPr="000971AE" w14:paraId="7F4F1BBD" w14:textId="77777777" w:rsidTr="00A30CEF">
        <w:tc>
          <w:tcPr>
            <w:tcW w:w="3885" w:type="dxa"/>
            <w:tcBorders>
              <w:top w:val="single" w:sz="12" w:space="0" w:color="auto"/>
            </w:tcBorders>
            <w:tcMar>
              <w:top w:w="0" w:type="dxa"/>
              <w:left w:w="100" w:type="dxa"/>
              <w:bottom w:w="0" w:type="dxa"/>
              <w:right w:w="100" w:type="dxa"/>
            </w:tcMar>
          </w:tcPr>
          <w:p w14:paraId="5D005833" w14:textId="77777777" w:rsidR="00EA6A67" w:rsidRPr="000971AE" w:rsidRDefault="00EA6A67" w:rsidP="00A30CEF">
            <w:pPr>
              <w:suppressAutoHyphens w:val="0"/>
              <w:spacing w:before="40" w:after="40" w:line="220" w:lineRule="exact"/>
              <w:rPr>
                <w:sz w:val="18"/>
                <w:szCs w:val="24"/>
                <w:lang w:val="en-US" w:eastAsia="ru-MD"/>
              </w:rPr>
            </w:pPr>
            <w:r w:rsidRPr="000971AE">
              <w:rPr>
                <w:sz w:val="18"/>
                <w:szCs w:val="24"/>
                <w:lang w:val="en-US" w:eastAsia="ru-MD"/>
              </w:rPr>
              <w:t>Number of persons with disabilities who benefited from qualified legal aid during the reporting period in the process of establishing judicial protection measures</w:t>
            </w:r>
          </w:p>
        </w:tc>
        <w:tc>
          <w:tcPr>
            <w:tcW w:w="1080" w:type="dxa"/>
            <w:tcBorders>
              <w:top w:val="single" w:sz="12" w:space="0" w:color="auto"/>
            </w:tcBorders>
            <w:tcMar>
              <w:top w:w="0" w:type="dxa"/>
              <w:left w:w="100" w:type="dxa"/>
              <w:bottom w:w="0" w:type="dxa"/>
              <w:right w:w="100" w:type="dxa"/>
            </w:tcMar>
            <w:vAlign w:val="bottom"/>
          </w:tcPr>
          <w:p w14:paraId="714486D9"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81</w:t>
            </w:r>
          </w:p>
        </w:tc>
        <w:tc>
          <w:tcPr>
            <w:tcW w:w="975" w:type="dxa"/>
            <w:tcBorders>
              <w:top w:val="single" w:sz="12" w:space="0" w:color="auto"/>
            </w:tcBorders>
            <w:tcMar>
              <w:top w:w="0" w:type="dxa"/>
              <w:left w:w="100" w:type="dxa"/>
              <w:bottom w:w="0" w:type="dxa"/>
              <w:right w:w="100" w:type="dxa"/>
            </w:tcMar>
            <w:vAlign w:val="bottom"/>
          </w:tcPr>
          <w:p w14:paraId="6CF6295E"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200</w:t>
            </w:r>
          </w:p>
        </w:tc>
        <w:tc>
          <w:tcPr>
            <w:tcW w:w="975" w:type="dxa"/>
            <w:tcBorders>
              <w:top w:val="single" w:sz="12" w:space="0" w:color="auto"/>
            </w:tcBorders>
            <w:tcMar>
              <w:top w:w="0" w:type="dxa"/>
              <w:left w:w="100" w:type="dxa"/>
              <w:bottom w:w="0" w:type="dxa"/>
              <w:right w:w="100" w:type="dxa"/>
            </w:tcMar>
            <w:vAlign w:val="bottom"/>
          </w:tcPr>
          <w:p w14:paraId="3A9DE2C6"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272</w:t>
            </w:r>
          </w:p>
        </w:tc>
        <w:tc>
          <w:tcPr>
            <w:tcW w:w="975" w:type="dxa"/>
            <w:tcBorders>
              <w:top w:val="single" w:sz="12" w:space="0" w:color="auto"/>
            </w:tcBorders>
            <w:tcMar>
              <w:top w:w="0" w:type="dxa"/>
              <w:left w:w="100" w:type="dxa"/>
              <w:bottom w:w="0" w:type="dxa"/>
              <w:right w:w="100" w:type="dxa"/>
            </w:tcMar>
            <w:vAlign w:val="bottom"/>
          </w:tcPr>
          <w:p w14:paraId="5611A7DC"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345</w:t>
            </w:r>
          </w:p>
        </w:tc>
        <w:tc>
          <w:tcPr>
            <w:tcW w:w="975" w:type="dxa"/>
            <w:tcBorders>
              <w:top w:val="single" w:sz="12" w:space="0" w:color="auto"/>
            </w:tcBorders>
            <w:tcMar>
              <w:top w:w="0" w:type="dxa"/>
              <w:left w:w="100" w:type="dxa"/>
              <w:bottom w:w="0" w:type="dxa"/>
              <w:right w:w="100" w:type="dxa"/>
            </w:tcMar>
            <w:vAlign w:val="bottom"/>
          </w:tcPr>
          <w:p w14:paraId="7E618C44"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290</w:t>
            </w:r>
          </w:p>
        </w:tc>
      </w:tr>
      <w:tr w:rsidR="00EA6A67" w:rsidRPr="000971AE" w14:paraId="1E02965A" w14:textId="77777777" w:rsidTr="00A30CEF">
        <w:tc>
          <w:tcPr>
            <w:tcW w:w="3885" w:type="dxa"/>
            <w:tcMar>
              <w:top w:w="0" w:type="dxa"/>
              <w:left w:w="100" w:type="dxa"/>
              <w:bottom w:w="0" w:type="dxa"/>
              <w:right w:w="100" w:type="dxa"/>
            </w:tcMar>
          </w:tcPr>
          <w:p w14:paraId="18E8186D" w14:textId="77777777" w:rsidR="00EA6A67" w:rsidRPr="000971AE" w:rsidRDefault="00EA6A67" w:rsidP="00A30CEF">
            <w:pPr>
              <w:suppressAutoHyphens w:val="0"/>
              <w:spacing w:before="40" w:after="40" w:line="220" w:lineRule="exact"/>
              <w:rPr>
                <w:sz w:val="18"/>
                <w:szCs w:val="24"/>
                <w:lang w:val="en-US" w:eastAsia="ru-MD"/>
              </w:rPr>
            </w:pPr>
            <w:r w:rsidRPr="000971AE">
              <w:rPr>
                <w:sz w:val="18"/>
                <w:szCs w:val="24"/>
                <w:lang w:val="en-US" w:eastAsia="ru-MD"/>
              </w:rPr>
              <w:t>....as suspect, accused, culprit, convicted</w:t>
            </w:r>
          </w:p>
        </w:tc>
        <w:tc>
          <w:tcPr>
            <w:tcW w:w="1080" w:type="dxa"/>
            <w:tcMar>
              <w:top w:w="0" w:type="dxa"/>
              <w:left w:w="100" w:type="dxa"/>
              <w:bottom w:w="0" w:type="dxa"/>
              <w:right w:w="100" w:type="dxa"/>
            </w:tcMar>
            <w:vAlign w:val="bottom"/>
          </w:tcPr>
          <w:p w14:paraId="1AFDBD54"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30</w:t>
            </w:r>
          </w:p>
        </w:tc>
        <w:tc>
          <w:tcPr>
            <w:tcW w:w="975" w:type="dxa"/>
            <w:tcMar>
              <w:top w:w="0" w:type="dxa"/>
              <w:left w:w="100" w:type="dxa"/>
              <w:bottom w:w="0" w:type="dxa"/>
              <w:right w:w="100" w:type="dxa"/>
            </w:tcMar>
            <w:vAlign w:val="bottom"/>
          </w:tcPr>
          <w:p w14:paraId="13550E0B"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89</w:t>
            </w:r>
          </w:p>
        </w:tc>
        <w:tc>
          <w:tcPr>
            <w:tcW w:w="975" w:type="dxa"/>
            <w:tcMar>
              <w:top w:w="0" w:type="dxa"/>
              <w:left w:w="100" w:type="dxa"/>
              <w:bottom w:w="0" w:type="dxa"/>
              <w:right w:w="100" w:type="dxa"/>
            </w:tcMar>
            <w:vAlign w:val="bottom"/>
          </w:tcPr>
          <w:p w14:paraId="41087D42"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78</w:t>
            </w:r>
          </w:p>
        </w:tc>
        <w:tc>
          <w:tcPr>
            <w:tcW w:w="975" w:type="dxa"/>
            <w:tcMar>
              <w:top w:w="0" w:type="dxa"/>
              <w:left w:w="100" w:type="dxa"/>
              <w:bottom w:w="0" w:type="dxa"/>
              <w:right w:w="100" w:type="dxa"/>
            </w:tcMar>
            <w:vAlign w:val="bottom"/>
          </w:tcPr>
          <w:p w14:paraId="7DBA2ED4"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98</w:t>
            </w:r>
          </w:p>
        </w:tc>
        <w:tc>
          <w:tcPr>
            <w:tcW w:w="975" w:type="dxa"/>
            <w:tcMar>
              <w:top w:w="0" w:type="dxa"/>
              <w:left w:w="100" w:type="dxa"/>
              <w:bottom w:w="0" w:type="dxa"/>
              <w:right w:w="100" w:type="dxa"/>
            </w:tcMar>
            <w:vAlign w:val="bottom"/>
          </w:tcPr>
          <w:p w14:paraId="6AA383C2"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64</w:t>
            </w:r>
          </w:p>
        </w:tc>
      </w:tr>
      <w:tr w:rsidR="00EA6A67" w:rsidRPr="000971AE" w14:paraId="31B88485" w14:textId="77777777" w:rsidTr="00A30CEF">
        <w:tc>
          <w:tcPr>
            <w:tcW w:w="3885" w:type="dxa"/>
            <w:tcMar>
              <w:top w:w="0" w:type="dxa"/>
              <w:left w:w="100" w:type="dxa"/>
              <w:bottom w:w="0" w:type="dxa"/>
              <w:right w:w="100" w:type="dxa"/>
            </w:tcMar>
          </w:tcPr>
          <w:p w14:paraId="644EAB3F" w14:textId="77777777" w:rsidR="00EA6A67" w:rsidRPr="000971AE" w:rsidRDefault="00EA6A67" w:rsidP="00A30CEF">
            <w:pPr>
              <w:suppressAutoHyphens w:val="0"/>
              <w:spacing w:before="40" w:after="40" w:line="220" w:lineRule="exact"/>
              <w:rPr>
                <w:sz w:val="18"/>
                <w:szCs w:val="24"/>
                <w:lang w:val="en-US" w:eastAsia="ru-MD"/>
              </w:rPr>
            </w:pPr>
            <w:r w:rsidRPr="000971AE">
              <w:rPr>
                <w:sz w:val="18"/>
                <w:szCs w:val="24"/>
                <w:lang w:val="en-US" w:eastAsia="ru-MD"/>
              </w:rPr>
              <w:t xml:space="preserve"> … as injured party</w:t>
            </w:r>
          </w:p>
        </w:tc>
        <w:tc>
          <w:tcPr>
            <w:tcW w:w="1080" w:type="dxa"/>
            <w:tcMar>
              <w:top w:w="0" w:type="dxa"/>
              <w:left w:w="100" w:type="dxa"/>
              <w:bottom w:w="0" w:type="dxa"/>
              <w:right w:w="100" w:type="dxa"/>
            </w:tcMar>
            <w:vAlign w:val="bottom"/>
          </w:tcPr>
          <w:p w14:paraId="390C84B3"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3</w:t>
            </w:r>
          </w:p>
        </w:tc>
        <w:tc>
          <w:tcPr>
            <w:tcW w:w="975" w:type="dxa"/>
            <w:tcMar>
              <w:top w:w="0" w:type="dxa"/>
              <w:left w:w="100" w:type="dxa"/>
              <w:bottom w:w="0" w:type="dxa"/>
              <w:right w:w="100" w:type="dxa"/>
            </w:tcMar>
            <w:vAlign w:val="bottom"/>
          </w:tcPr>
          <w:p w14:paraId="304BA7B0"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14</w:t>
            </w:r>
          </w:p>
        </w:tc>
        <w:tc>
          <w:tcPr>
            <w:tcW w:w="975" w:type="dxa"/>
            <w:tcMar>
              <w:top w:w="0" w:type="dxa"/>
              <w:left w:w="100" w:type="dxa"/>
              <w:bottom w:w="0" w:type="dxa"/>
              <w:right w:w="100" w:type="dxa"/>
            </w:tcMar>
            <w:vAlign w:val="bottom"/>
          </w:tcPr>
          <w:p w14:paraId="616CCA8D"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11</w:t>
            </w:r>
          </w:p>
        </w:tc>
        <w:tc>
          <w:tcPr>
            <w:tcW w:w="975" w:type="dxa"/>
            <w:tcMar>
              <w:top w:w="0" w:type="dxa"/>
              <w:left w:w="100" w:type="dxa"/>
              <w:bottom w:w="0" w:type="dxa"/>
              <w:right w:w="100" w:type="dxa"/>
            </w:tcMar>
            <w:vAlign w:val="bottom"/>
          </w:tcPr>
          <w:p w14:paraId="25A3653B"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16</w:t>
            </w:r>
          </w:p>
        </w:tc>
        <w:tc>
          <w:tcPr>
            <w:tcW w:w="975" w:type="dxa"/>
            <w:tcMar>
              <w:top w:w="0" w:type="dxa"/>
              <w:left w:w="100" w:type="dxa"/>
              <w:bottom w:w="0" w:type="dxa"/>
              <w:right w:w="100" w:type="dxa"/>
            </w:tcMar>
            <w:vAlign w:val="bottom"/>
          </w:tcPr>
          <w:p w14:paraId="086F5264"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18</w:t>
            </w:r>
          </w:p>
        </w:tc>
      </w:tr>
      <w:tr w:rsidR="00EA6A67" w:rsidRPr="000971AE" w14:paraId="2E6A554F" w14:textId="77777777" w:rsidTr="00A30CEF">
        <w:tc>
          <w:tcPr>
            <w:tcW w:w="3885" w:type="dxa"/>
            <w:tcMar>
              <w:top w:w="0" w:type="dxa"/>
              <w:left w:w="100" w:type="dxa"/>
              <w:bottom w:w="0" w:type="dxa"/>
              <w:right w:w="100" w:type="dxa"/>
            </w:tcMar>
          </w:tcPr>
          <w:p w14:paraId="0EC0B304" w14:textId="77777777" w:rsidR="00EA6A67" w:rsidRPr="000971AE" w:rsidRDefault="00EA6A67" w:rsidP="00A30CEF">
            <w:pPr>
              <w:suppressAutoHyphens w:val="0"/>
              <w:spacing w:before="40" w:after="40" w:line="220" w:lineRule="exact"/>
              <w:rPr>
                <w:sz w:val="18"/>
                <w:szCs w:val="24"/>
                <w:lang w:val="en-US" w:eastAsia="ru-MD"/>
              </w:rPr>
            </w:pPr>
            <w:r w:rsidRPr="000971AE">
              <w:rPr>
                <w:sz w:val="18"/>
                <w:szCs w:val="24"/>
                <w:lang w:val="en-US" w:eastAsia="ru-MD"/>
              </w:rPr>
              <w:t xml:space="preserve">Beneficiaries of qualified legal aid in civil lawsuits </w:t>
            </w:r>
          </w:p>
        </w:tc>
        <w:tc>
          <w:tcPr>
            <w:tcW w:w="1080" w:type="dxa"/>
            <w:tcMar>
              <w:top w:w="0" w:type="dxa"/>
              <w:left w:w="100" w:type="dxa"/>
              <w:bottom w:w="0" w:type="dxa"/>
              <w:right w:w="100" w:type="dxa"/>
            </w:tcMar>
            <w:vAlign w:val="bottom"/>
          </w:tcPr>
          <w:p w14:paraId="11A06BFC"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319</w:t>
            </w:r>
          </w:p>
        </w:tc>
        <w:tc>
          <w:tcPr>
            <w:tcW w:w="975" w:type="dxa"/>
            <w:tcMar>
              <w:top w:w="0" w:type="dxa"/>
              <w:left w:w="100" w:type="dxa"/>
              <w:bottom w:w="0" w:type="dxa"/>
              <w:right w:w="100" w:type="dxa"/>
            </w:tcMar>
            <w:vAlign w:val="bottom"/>
          </w:tcPr>
          <w:p w14:paraId="525B599E"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390</w:t>
            </w:r>
          </w:p>
        </w:tc>
        <w:tc>
          <w:tcPr>
            <w:tcW w:w="975" w:type="dxa"/>
            <w:tcMar>
              <w:top w:w="0" w:type="dxa"/>
              <w:left w:w="100" w:type="dxa"/>
              <w:bottom w:w="0" w:type="dxa"/>
              <w:right w:w="100" w:type="dxa"/>
            </w:tcMar>
            <w:vAlign w:val="bottom"/>
          </w:tcPr>
          <w:p w14:paraId="1589EFA6"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428</w:t>
            </w:r>
          </w:p>
        </w:tc>
        <w:tc>
          <w:tcPr>
            <w:tcW w:w="975" w:type="dxa"/>
            <w:tcMar>
              <w:top w:w="0" w:type="dxa"/>
              <w:left w:w="100" w:type="dxa"/>
              <w:bottom w:w="0" w:type="dxa"/>
              <w:right w:w="100" w:type="dxa"/>
            </w:tcMar>
            <w:vAlign w:val="bottom"/>
          </w:tcPr>
          <w:p w14:paraId="67BB6056"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466</w:t>
            </w:r>
          </w:p>
        </w:tc>
        <w:tc>
          <w:tcPr>
            <w:tcW w:w="975" w:type="dxa"/>
            <w:tcMar>
              <w:top w:w="0" w:type="dxa"/>
              <w:left w:w="100" w:type="dxa"/>
              <w:bottom w:w="0" w:type="dxa"/>
              <w:right w:w="100" w:type="dxa"/>
            </w:tcMar>
            <w:vAlign w:val="bottom"/>
          </w:tcPr>
          <w:p w14:paraId="1A6BA374"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506</w:t>
            </w:r>
          </w:p>
        </w:tc>
      </w:tr>
      <w:tr w:rsidR="00EA6A67" w:rsidRPr="000971AE" w14:paraId="166D5331" w14:textId="77777777" w:rsidTr="00A30CEF">
        <w:tc>
          <w:tcPr>
            <w:tcW w:w="3885" w:type="dxa"/>
            <w:tcBorders>
              <w:bottom w:val="single" w:sz="12" w:space="0" w:color="auto"/>
            </w:tcBorders>
            <w:tcMar>
              <w:top w:w="0" w:type="dxa"/>
              <w:left w:w="100" w:type="dxa"/>
              <w:bottom w:w="0" w:type="dxa"/>
              <w:right w:w="100" w:type="dxa"/>
            </w:tcMar>
          </w:tcPr>
          <w:p w14:paraId="40578C12" w14:textId="77777777" w:rsidR="00EA6A67" w:rsidRPr="000971AE" w:rsidRDefault="00EA6A67" w:rsidP="00A30CEF">
            <w:pPr>
              <w:suppressAutoHyphens w:val="0"/>
              <w:spacing w:before="40" w:after="40" w:line="220" w:lineRule="exact"/>
              <w:rPr>
                <w:sz w:val="18"/>
                <w:szCs w:val="24"/>
                <w:lang w:val="en-US" w:eastAsia="ru-MD"/>
              </w:rPr>
            </w:pPr>
            <w:r w:rsidRPr="000971AE">
              <w:rPr>
                <w:sz w:val="18"/>
                <w:szCs w:val="24"/>
                <w:lang w:val="en-US" w:eastAsia="ru-MD"/>
              </w:rPr>
              <w:t>Beneficiaries of qualified legal assistance as a victim of domestic violence in the process of obtaining protection measures</w:t>
            </w:r>
          </w:p>
        </w:tc>
        <w:tc>
          <w:tcPr>
            <w:tcW w:w="1080" w:type="dxa"/>
            <w:tcBorders>
              <w:bottom w:val="single" w:sz="12" w:space="0" w:color="auto"/>
            </w:tcBorders>
            <w:tcMar>
              <w:top w:w="0" w:type="dxa"/>
              <w:left w:w="100" w:type="dxa"/>
              <w:bottom w:w="0" w:type="dxa"/>
              <w:right w:w="100" w:type="dxa"/>
            </w:tcMar>
            <w:vAlign w:val="bottom"/>
          </w:tcPr>
          <w:p w14:paraId="79A5563E"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5</w:t>
            </w:r>
          </w:p>
        </w:tc>
        <w:tc>
          <w:tcPr>
            <w:tcW w:w="975" w:type="dxa"/>
            <w:tcBorders>
              <w:bottom w:val="single" w:sz="12" w:space="0" w:color="auto"/>
            </w:tcBorders>
            <w:tcMar>
              <w:top w:w="0" w:type="dxa"/>
              <w:left w:w="100" w:type="dxa"/>
              <w:bottom w:w="0" w:type="dxa"/>
              <w:right w:w="100" w:type="dxa"/>
            </w:tcMar>
            <w:vAlign w:val="bottom"/>
          </w:tcPr>
          <w:p w14:paraId="56EA8235"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9</w:t>
            </w:r>
          </w:p>
        </w:tc>
        <w:tc>
          <w:tcPr>
            <w:tcW w:w="975" w:type="dxa"/>
            <w:tcBorders>
              <w:bottom w:val="single" w:sz="12" w:space="0" w:color="auto"/>
            </w:tcBorders>
            <w:tcMar>
              <w:top w:w="0" w:type="dxa"/>
              <w:left w:w="100" w:type="dxa"/>
              <w:bottom w:w="0" w:type="dxa"/>
              <w:right w:w="100" w:type="dxa"/>
            </w:tcMar>
            <w:vAlign w:val="bottom"/>
          </w:tcPr>
          <w:p w14:paraId="7D92047D"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7</w:t>
            </w:r>
          </w:p>
        </w:tc>
        <w:tc>
          <w:tcPr>
            <w:tcW w:w="975" w:type="dxa"/>
            <w:tcBorders>
              <w:bottom w:val="single" w:sz="12" w:space="0" w:color="auto"/>
            </w:tcBorders>
            <w:tcMar>
              <w:top w:w="0" w:type="dxa"/>
              <w:left w:w="100" w:type="dxa"/>
              <w:bottom w:w="0" w:type="dxa"/>
              <w:right w:w="100" w:type="dxa"/>
            </w:tcMar>
            <w:vAlign w:val="bottom"/>
          </w:tcPr>
          <w:p w14:paraId="65C33C6C"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7</w:t>
            </w:r>
          </w:p>
        </w:tc>
        <w:tc>
          <w:tcPr>
            <w:tcW w:w="975" w:type="dxa"/>
            <w:tcBorders>
              <w:bottom w:val="single" w:sz="12" w:space="0" w:color="auto"/>
            </w:tcBorders>
            <w:tcMar>
              <w:top w:w="0" w:type="dxa"/>
              <w:left w:w="100" w:type="dxa"/>
              <w:bottom w:w="0" w:type="dxa"/>
              <w:right w:w="100" w:type="dxa"/>
            </w:tcMar>
            <w:vAlign w:val="bottom"/>
          </w:tcPr>
          <w:p w14:paraId="0DF1F5BF" w14:textId="77777777" w:rsidR="00EA6A67" w:rsidRPr="000971AE" w:rsidRDefault="00EA6A67" w:rsidP="00A30CEF">
            <w:pPr>
              <w:suppressAutoHyphens w:val="0"/>
              <w:spacing w:before="40" w:after="40" w:line="220" w:lineRule="exact"/>
              <w:jc w:val="right"/>
              <w:rPr>
                <w:sz w:val="18"/>
                <w:szCs w:val="24"/>
                <w:lang w:val="en-US" w:eastAsia="ru-MD"/>
              </w:rPr>
            </w:pPr>
            <w:r w:rsidRPr="000971AE">
              <w:rPr>
                <w:sz w:val="18"/>
                <w:szCs w:val="24"/>
                <w:lang w:val="en-US" w:eastAsia="ru-MD"/>
              </w:rPr>
              <w:t>12</w:t>
            </w:r>
          </w:p>
        </w:tc>
      </w:tr>
    </w:tbl>
    <w:p w14:paraId="7B1D381E" w14:textId="27DE29BF"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14</w:t>
      </w:r>
      <w:r w:rsidR="00CB2F38">
        <w:rPr>
          <w:lang w:val="en-US" w:eastAsia="ru-MD"/>
        </w:rPr>
        <w:br/>
      </w:r>
      <w:r w:rsidR="00EA4EEC">
        <w:rPr>
          <w:lang w:val="en-US" w:eastAsia="ru-MD"/>
        </w:rPr>
        <w:t xml:space="preserve">Liberty </w:t>
      </w:r>
      <w:r w:rsidR="00EA6A67" w:rsidRPr="000971AE">
        <w:rPr>
          <w:lang w:val="en-US" w:eastAsia="ru-MD"/>
        </w:rPr>
        <w:t>and security of the person</w:t>
      </w:r>
    </w:p>
    <w:p w14:paraId="71156254" w14:textId="40F1FBB1" w:rsidR="00AB0304" w:rsidRPr="000971AE" w:rsidRDefault="0030533C" w:rsidP="00AB0304">
      <w:pPr>
        <w:pStyle w:val="H1G"/>
        <w:rPr>
          <w:szCs w:val="24"/>
          <w:lang w:val="en-US" w:eastAsia="ru-MD"/>
        </w:rPr>
      </w:pPr>
      <w:r w:rsidRPr="000971AE">
        <w:tab/>
      </w:r>
      <w:r w:rsidRPr="000971AE">
        <w:tab/>
      </w:r>
      <w:r w:rsidR="00AB0304" w:rsidRPr="000971AE">
        <w:t>Reply to paragraph 10 (a) of the list of issues</w:t>
      </w:r>
    </w:p>
    <w:p w14:paraId="2AFED561" w14:textId="77F5630D"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Law 114/2024 repealed Law 1402/1997 and regulates the manner of admission and treatment of persons with mental disorders, preventing unlawful or arbitrary deprivation of liberty. Measures restricting liberty comply with the principles of legality, necessity, proportionality and responsibility, indicate the role of the court in authorisation and ensure the protection of fundamental rights, preventing abuses.</w:t>
      </w:r>
    </w:p>
    <w:p w14:paraId="6849E8CF" w14:textId="72FAF6F6" w:rsidR="00AB0304" w:rsidRPr="000971AE" w:rsidRDefault="0030533C" w:rsidP="00AB0304">
      <w:pPr>
        <w:pStyle w:val="H1G"/>
        <w:rPr>
          <w:szCs w:val="24"/>
          <w:lang w:val="en-US" w:eastAsia="ru-MD"/>
        </w:rPr>
      </w:pPr>
      <w:r w:rsidRPr="000971AE">
        <w:tab/>
      </w:r>
      <w:r w:rsidRPr="000971AE">
        <w:tab/>
      </w:r>
      <w:r w:rsidR="00AB0304" w:rsidRPr="000971AE">
        <w:t>Reply to paragraph 10 (b) of the list of issues</w:t>
      </w:r>
    </w:p>
    <w:p w14:paraId="0D4CB518" w14:textId="12DEC88A"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In 2025, the provisional detention isolators of the Police correspond to the requirements and are adapted in accordance with the established regulations, in which the following number of people with disabililties have been detained and maintained:</w:t>
      </w:r>
    </w:p>
    <w:p w14:paraId="52CC1ECD" w14:textId="77777777" w:rsidR="00EA6A67" w:rsidRPr="000971AE" w:rsidRDefault="00EA6A67" w:rsidP="0030533C">
      <w:pPr>
        <w:pStyle w:val="Bullet1G"/>
        <w:rPr>
          <w:lang w:val="en-US" w:eastAsia="ru-MD"/>
        </w:rPr>
      </w:pPr>
      <w:r w:rsidRPr="000971AE">
        <w:rPr>
          <w:lang w:val="en-US" w:eastAsia="ru-MD"/>
        </w:rPr>
        <w:t>4 people with physical disabilities (of which 4 men, including 1 Roma person);</w:t>
      </w:r>
    </w:p>
    <w:p w14:paraId="7BC68A71" w14:textId="77777777" w:rsidR="00EA6A67" w:rsidRPr="000971AE" w:rsidRDefault="00EA6A67" w:rsidP="0030533C">
      <w:pPr>
        <w:pStyle w:val="Bullet1G"/>
        <w:rPr>
          <w:lang w:val="en-US" w:eastAsia="ru-MD"/>
        </w:rPr>
      </w:pPr>
      <w:r w:rsidRPr="000971AE">
        <w:rPr>
          <w:lang w:val="en-US" w:eastAsia="ru-MD"/>
        </w:rPr>
        <w:t xml:space="preserve">6 people with psycho-social disabilities (of which 6 men, including 1 person of Roma ethnicity and 1 person of Ukrainian origin). </w:t>
      </w:r>
    </w:p>
    <w:p w14:paraId="6E6E7329" w14:textId="361E8A34" w:rsidR="00AB0304" w:rsidRPr="000971AE" w:rsidRDefault="0030533C" w:rsidP="00AB0304">
      <w:pPr>
        <w:pStyle w:val="H1G"/>
        <w:rPr>
          <w:lang w:val="en-US" w:eastAsia="ru-MD"/>
        </w:rPr>
      </w:pPr>
      <w:r w:rsidRPr="000971AE">
        <w:rPr>
          <w:lang w:val="en-US" w:eastAsia="ru-MD"/>
        </w:rPr>
        <w:tab/>
      </w:r>
      <w:r w:rsidRPr="000971AE">
        <w:rPr>
          <w:lang w:val="en-US" w:eastAsia="ru-MD"/>
        </w:rPr>
        <w:tab/>
      </w:r>
      <w:r w:rsidR="00AB0304" w:rsidRPr="000971AE">
        <w:rPr>
          <w:lang w:val="en-US" w:eastAsia="ru-MD"/>
        </w:rPr>
        <w:t>Reply to paragraph 10 (c) of the list of issues</w:t>
      </w:r>
    </w:p>
    <w:p w14:paraId="0ABA0771" w14:textId="4DFEF202"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ANP ensures the rights of persons with disabilities in detention are respected, by assigning them to the first floor, close to health facilities and medical wards, to social assistance and benefits (in 2024, 43 out of 113 detainees benefiting from a disability pension); organizes psycho-social programs for reintegration (123 participants in 2024) and disability expertise procedures for 164 detainees. Accessibility is ensured in pre-trial detention isolators in Chisinau, Hincesti, Cahul and Balti.</w:t>
      </w:r>
    </w:p>
    <w:p w14:paraId="3B77C969" w14:textId="567B926C" w:rsidR="00AB0304" w:rsidRPr="000971AE" w:rsidRDefault="0030533C" w:rsidP="00AB0304">
      <w:pPr>
        <w:pStyle w:val="H1G"/>
        <w:rPr>
          <w:lang w:val="en-US" w:eastAsia="ru-MD"/>
        </w:rPr>
      </w:pPr>
      <w:r w:rsidRPr="000971AE">
        <w:rPr>
          <w:lang w:val="en-US" w:eastAsia="ru-MD"/>
        </w:rPr>
        <w:tab/>
      </w:r>
      <w:r w:rsidRPr="000971AE">
        <w:rPr>
          <w:lang w:val="en-US" w:eastAsia="ru-MD"/>
        </w:rPr>
        <w:tab/>
      </w:r>
      <w:r w:rsidR="00AB0304" w:rsidRPr="000971AE">
        <w:rPr>
          <w:lang w:val="en-US" w:eastAsia="ru-MD"/>
        </w:rPr>
        <w:t>Reply to paragraph 10 (d) of the list of issues</w:t>
      </w:r>
    </w:p>
    <w:p w14:paraId="1DBC2D3B" w14:textId="418C73B7"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Law 114/2024 protects against forced hospitalization, which can only be ordered in case of mental disorder, significant risk and therapeutic purpose, with respect for the person's opinion and the lack of less restrictive alternatives. The evaluation is made by psychiatrists, and the final decision must be confirmed by the court within 24 hours. The Criminal Code penalizes illegal hospitalization of an obviously mentally healthy person and restricts hospitalization as a medical coercive measure.</w:t>
      </w:r>
    </w:p>
    <w:p w14:paraId="08FC5E3D" w14:textId="7F4328AE" w:rsidR="00AB0304" w:rsidRPr="000971AE" w:rsidRDefault="0030533C" w:rsidP="00AB0304">
      <w:pPr>
        <w:pStyle w:val="H1G"/>
        <w:rPr>
          <w:lang w:val="en-US" w:eastAsia="ru-MD"/>
        </w:rPr>
      </w:pPr>
      <w:r w:rsidRPr="000971AE">
        <w:rPr>
          <w:lang w:val="en-US" w:eastAsia="ru-MD"/>
        </w:rPr>
        <w:tab/>
      </w:r>
      <w:r w:rsidRPr="000971AE">
        <w:rPr>
          <w:lang w:val="en-US" w:eastAsia="ru-MD"/>
        </w:rPr>
        <w:tab/>
      </w:r>
      <w:r w:rsidR="00AB0304" w:rsidRPr="000971AE">
        <w:rPr>
          <w:lang w:val="en-US" w:eastAsia="ru-MD"/>
        </w:rPr>
        <w:t>Reply to paragraph 10 (e) of the list of issues</w:t>
      </w:r>
    </w:p>
    <w:p w14:paraId="571FE63B" w14:textId="579B6B8A"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 xml:space="preserve">Community mental health services provided in 40 Centres, with national coverage, are developed, providing psychosocial healthcare and rehabilitation, support and mediation in family and community relations. In 2024, 264,747 advisory services were provided for the population, including 39,728 children and adolescents. </w:t>
      </w:r>
    </w:p>
    <w:p w14:paraId="271F53B6" w14:textId="77777777" w:rsidR="00C81728" w:rsidRPr="000971AE" w:rsidRDefault="00C81728">
      <w:pPr>
        <w:suppressAutoHyphens w:val="0"/>
        <w:spacing w:after="200" w:line="276" w:lineRule="auto"/>
        <w:rPr>
          <w:rFonts w:eastAsiaTheme="minorHAnsi"/>
          <w:b/>
          <w:sz w:val="24"/>
          <w:lang w:val="en-US" w:eastAsia="ru-MD"/>
        </w:rPr>
      </w:pPr>
      <w:r w:rsidRPr="000971AE">
        <w:rPr>
          <w:lang w:val="en-US" w:eastAsia="ru-MD"/>
        </w:rPr>
        <w:br w:type="page"/>
      </w:r>
    </w:p>
    <w:p w14:paraId="0A0A011B" w14:textId="110926B9" w:rsidR="00AB0304" w:rsidRPr="000971AE" w:rsidRDefault="0030533C" w:rsidP="00AB0304">
      <w:pPr>
        <w:pStyle w:val="H1G"/>
        <w:rPr>
          <w:lang w:val="en-US" w:eastAsia="ru-MD"/>
        </w:rPr>
      </w:pPr>
      <w:r w:rsidRPr="000971AE">
        <w:rPr>
          <w:lang w:val="en-US" w:eastAsia="ru-MD"/>
        </w:rPr>
        <w:tab/>
      </w:r>
      <w:r w:rsidRPr="000971AE">
        <w:rPr>
          <w:lang w:val="en-US" w:eastAsia="ru-MD"/>
        </w:rPr>
        <w:tab/>
      </w:r>
      <w:r w:rsidR="00AB0304" w:rsidRPr="000971AE">
        <w:rPr>
          <w:lang w:val="en-US" w:eastAsia="ru-MD"/>
        </w:rPr>
        <w:t>Reply to paragraph 10 (f) of the list of issues</w:t>
      </w:r>
    </w:p>
    <w:p w14:paraId="7DD04F4E" w14:textId="6DDB5E9D" w:rsidR="00EA6A67" w:rsidRPr="000971AE" w:rsidRDefault="00EA6A67" w:rsidP="006F51E6">
      <w:pPr>
        <w:pStyle w:val="SingleTxtG"/>
        <w:numPr>
          <w:ilvl w:val="0"/>
          <w:numId w:val="31"/>
        </w:numPr>
        <w:tabs>
          <w:tab w:val="clear" w:pos="2268"/>
          <w:tab w:val="clear" w:pos="2835"/>
        </w:tabs>
        <w:ind w:left="1134" w:firstLine="0"/>
        <w:rPr>
          <w:color w:val="000000"/>
          <w:lang w:val="en-US" w:eastAsia="ru-MD"/>
        </w:rPr>
      </w:pPr>
      <w:r w:rsidRPr="000971AE">
        <w:rPr>
          <w:lang w:val="en-US" w:eastAsia="ru-MD"/>
        </w:rPr>
        <w:t xml:space="preserve">285 persons with disabilities are registered in penitentiary institutions, distributed as follows: </w:t>
      </w:r>
    </w:p>
    <w:tbl>
      <w:tblPr>
        <w:tblW w:w="7370" w:type="dxa"/>
        <w:tblInd w:w="1134" w:type="dxa"/>
        <w:tblLayout w:type="fixed"/>
        <w:tblCellMar>
          <w:left w:w="0" w:type="dxa"/>
          <w:right w:w="0" w:type="dxa"/>
        </w:tblCellMar>
        <w:tblLook w:val="0400" w:firstRow="0" w:lastRow="0" w:firstColumn="0" w:lastColumn="0" w:noHBand="0" w:noVBand="1"/>
      </w:tblPr>
      <w:tblGrid>
        <w:gridCol w:w="578"/>
        <w:gridCol w:w="2654"/>
        <w:gridCol w:w="2932"/>
        <w:gridCol w:w="1206"/>
      </w:tblGrid>
      <w:tr w:rsidR="00EA6A67" w:rsidRPr="000971AE" w14:paraId="470129D0" w14:textId="77777777" w:rsidTr="0030533C">
        <w:trPr>
          <w:tblHeader/>
        </w:trPr>
        <w:tc>
          <w:tcPr>
            <w:tcW w:w="496" w:type="dxa"/>
            <w:tcBorders>
              <w:top w:val="single" w:sz="4" w:space="0" w:color="auto"/>
              <w:bottom w:val="single" w:sz="12" w:space="0" w:color="auto"/>
            </w:tcBorders>
            <w:tcMar>
              <w:top w:w="0" w:type="dxa"/>
              <w:left w:w="108" w:type="dxa"/>
              <w:bottom w:w="0" w:type="dxa"/>
              <w:right w:w="108" w:type="dxa"/>
            </w:tcMar>
            <w:vAlign w:val="bottom"/>
          </w:tcPr>
          <w:p w14:paraId="3B7F566D" w14:textId="77777777" w:rsidR="00EA6A67" w:rsidRPr="000971AE" w:rsidRDefault="00EA6A67" w:rsidP="0030533C">
            <w:pPr>
              <w:suppressAutoHyphens w:val="0"/>
              <w:spacing w:before="80" w:after="80" w:line="200" w:lineRule="exact"/>
              <w:rPr>
                <w:i/>
                <w:sz w:val="16"/>
                <w:szCs w:val="24"/>
                <w:lang w:val="en-US" w:eastAsia="ru-MD"/>
              </w:rPr>
            </w:pPr>
          </w:p>
        </w:tc>
        <w:tc>
          <w:tcPr>
            <w:tcW w:w="4786" w:type="dxa"/>
            <w:gridSpan w:val="2"/>
            <w:tcBorders>
              <w:top w:val="single" w:sz="4" w:space="0" w:color="auto"/>
              <w:bottom w:val="single" w:sz="12" w:space="0" w:color="auto"/>
            </w:tcBorders>
            <w:tcMar>
              <w:top w:w="0" w:type="dxa"/>
              <w:left w:w="108" w:type="dxa"/>
              <w:bottom w:w="0" w:type="dxa"/>
              <w:right w:w="108" w:type="dxa"/>
            </w:tcMar>
            <w:vAlign w:val="bottom"/>
          </w:tcPr>
          <w:p w14:paraId="1F236D70" w14:textId="77777777" w:rsidR="00EA6A67" w:rsidRPr="000971AE" w:rsidRDefault="00EA6A67" w:rsidP="0030533C">
            <w:pPr>
              <w:suppressAutoHyphens w:val="0"/>
              <w:spacing w:before="80" w:after="80" w:line="200" w:lineRule="exact"/>
              <w:jc w:val="right"/>
              <w:rPr>
                <w:i/>
                <w:sz w:val="16"/>
                <w:szCs w:val="24"/>
                <w:lang w:val="en-US" w:eastAsia="ru-MD"/>
              </w:rPr>
            </w:pPr>
          </w:p>
        </w:tc>
        <w:tc>
          <w:tcPr>
            <w:tcW w:w="1033" w:type="dxa"/>
            <w:tcBorders>
              <w:top w:val="single" w:sz="4" w:space="0" w:color="auto"/>
              <w:bottom w:val="single" w:sz="12" w:space="0" w:color="auto"/>
            </w:tcBorders>
            <w:tcMar>
              <w:top w:w="0" w:type="dxa"/>
              <w:left w:w="108" w:type="dxa"/>
              <w:bottom w:w="0" w:type="dxa"/>
              <w:right w:w="108" w:type="dxa"/>
            </w:tcMar>
            <w:vAlign w:val="bottom"/>
          </w:tcPr>
          <w:p w14:paraId="2D2A335C" w14:textId="77777777" w:rsidR="00EA6A67" w:rsidRPr="000971AE" w:rsidRDefault="00EA6A67" w:rsidP="0030533C">
            <w:pPr>
              <w:suppressAutoHyphens w:val="0"/>
              <w:spacing w:before="80" w:after="80" w:line="200" w:lineRule="exact"/>
              <w:jc w:val="right"/>
              <w:rPr>
                <w:i/>
                <w:sz w:val="16"/>
                <w:szCs w:val="24"/>
                <w:lang w:val="en-US" w:eastAsia="ru-MD"/>
              </w:rPr>
            </w:pPr>
            <w:r w:rsidRPr="000971AE">
              <w:rPr>
                <w:i/>
                <w:sz w:val="16"/>
                <w:szCs w:val="24"/>
                <w:lang w:val="en-US" w:eastAsia="ru-MD"/>
              </w:rPr>
              <w:t>No</w:t>
            </w:r>
          </w:p>
        </w:tc>
      </w:tr>
      <w:tr w:rsidR="00EA6A67" w:rsidRPr="000971AE" w14:paraId="1A63B830" w14:textId="77777777" w:rsidTr="0030533C">
        <w:tc>
          <w:tcPr>
            <w:tcW w:w="496" w:type="dxa"/>
            <w:tcBorders>
              <w:top w:val="single" w:sz="12" w:space="0" w:color="auto"/>
            </w:tcBorders>
            <w:tcMar>
              <w:top w:w="0" w:type="dxa"/>
              <w:left w:w="108" w:type="dxa"/>
              <w:bottom w:w="0" w:type="dxa"/>
              <w:right w:w="108" w:type="dxa"/>
            </w:tcMar>
          </w:tcPr>
          <w:p w14:paraId="12ADDECA" w14:textId="77777777" w:rsidR="00EA6A67" w:rsidRPr="000971AE" w:rsidRDefault="00EA6A67" w:rsidP="0030533C">
            <w:pPr>
              <w:suppressAutoHyphens w:val="0"/>
              <w:spacing w:before="40" w:after="40" w:line="220" w:lineRule="exact"/>
              <w:rPr>
                <w:sz w:val="18"/>
                <w:szCs w:val="24"/>
                <w:lang w:val="en-US" w:eastAsia="ru-MD"/>
              </w:rPr>
            </w:pPr>
            <w:r w:rsidRPr="000971AE">
              <w:rPr>
                <w:sz w:val="18"/>
                <w:szCs w:val="24"/>
                <w:lang w:val="en-US" w:eastAsia="ru-MD"/>
              </w:rPr>
              <w:t>1.</w:t>
            </w:r>
          </w:p>
        </w:tc>
        <w:tc>
          <w:tcPr>
            <w:tcW w:w="4786" w:type="dxa"/>
            <w:gridSpan w:val="2"/>
            <w:tcBorders>
              <w:top w:val="single" w:sz="12" w:space="0" w:color="auto"/>
            </w:tcBorders>
            <w:tcMar>
              <w:top w:w="0" w:type="dxa"/>
              <w:left w:w="108" w:type="dxa"/>
              <w:bottom w:w="0" w:type="dxa"/>
              <w:right w:w="108" w:type="dxa"/>
            </w:tcMar>
            <w:vAlign w:val="bottom"/>
          </w:tcPr>
          <w:p w14:paraId="3348B723"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b/>
                <w:sz w:val="18"/>
                <w:szCs w:val="24"/>
                <w:lang w:val="en-US" w:eastAsia="ru-MD"/>
              </w:rPr>
              <w:t>Total number of people with disabilities</w:t>
            </w:r>
          </w:p>
        </w:tc>
        <w:tc>
          <w:tcPr>
            <w:tcW w:w="1033" w:type="dxa"/>
            <w:tcBorders>
              <w:top w:val="single" w:sz="12" w:space="0" w:color="auto"/>
            </w:tcBorders>
            <w:tcMar>
              <w:top w:w="0" w:type="dxa"/>
              <w:left w:w="108" w:type="dxa"/>
              <w:bottom w:w="0" w:type="dxa"/>
              <w:right w:w="108" w:type="dxa"/>
            </w:tcMar>
            <w:vAlign w:val="bottom"/>
          </w:tcPr>
          <w:p w14:paraId="07A685B2"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b/>
                <w:sz w:val="18"/>
                <w:szCs w:val="24"/>
                <w:lang w:val="en-US" w:eastAsia="ru-MD"/>
              </w:rPr>
              <w:t>285</w:t>
            </w:r>
          </w:p>
        </w:tc>
      </w:tr>
      <w:tr w:rsidR="00EA6A67" w:rsidRPr="000971AE" w14:paraId="10085E6F" w14:textId="77777777" w:rsidTr="0030533C">
        <w:tc>
          <w:tcPr>
            <w:tcW w:w="496" w:type="dxa"/>
            <w:vMerge w:val="restart"/>
            <w:tcMar>
              <w:top w:w="0" w:type="dxa"/>
              <w:left w:w="108" w:type="dxa"/>
              <w:bottom w:w="0" w:type="dxa"/>
              <w:right w:w="108" w:type="dxa"/>
            </w:tcMar>
          </w:tcPr>
          <w:p w14:paraId="7E9DB797" w14:textId="77777777" w:rsidR="00EA6A67" w:rsidRPr="000971AE" w:rsidRDefault="00EA6A67" w:rsidP="0030533C">
            <w:pPr>
              <w:suppressAutoHyphens w:val="0"/>
              <w:spacing w:before="40" w:after="40" w:line="220" w:lineRule="exact"/>
              <w:rPr>
                <w:sz w:val="18"/>
                <w:szCs w:val="24"/>
                <w:lang w:val="en-US" w:eastAsia="ru-MD"/>
              </w:rPr>
            </w:pPr>
            <w:r w:rsidRPr="000971AE">
              <w:rPr>
                <w:sz w:val="18"/>
                <w:szCs w:val="24"/>
                <w:lang w:val="en-US" w:eastAsia="ru-MD"/>
              </w:rPr>
              <w:t>2.</w:t>
            </w:r>
          </w:p>
        </w:tc>
        <w:tc>
          <w:tcPr>
            <w:tcW w:w="2274" w:type="dxa"/>
            <w:vMerge w:val="restart"/>
            <w:tcMar>
              <w:top w:w="0" w:type="dxa"/>
              <w:left w:w="108" w:type="dxa"/>
              <w:bottom w:w="0" w:type="dxa"/>
              <w:right w:w="108" w:type="dxa"/>
            </w:tcMar>
            <w:vAlign w:val="bottom"/>
          </w:tcPr>
          <w:p w14:paraId="039917DE"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Gender Distribution</w:t>
            </w:r>
          </w:p>
        </w:tc>
        <w:tc>
          <w:tcPr>
            <w:tcW w:w="2512" w:type="dxa"/>
            <w:tcMar>
              <w:top w:w="0" w:type="dxa"/>
              <w:left w:w="108" w:type="dxa"/>
              <w:bottom w:w="0" w:type="dxa"/>
              <w:right w:w="108" w:type="dxa"/>
            </w:tcMar>
            <w:vAlign w:val="bottom"/>
          </w:tcPr>
          <w:p w14:paraId="23354471"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men</w:t>
            </w:r>
          </w:p>
        </w:tc>
        <w:tc>
          <w:tcPr>
            <w:tcW w:w="1033" w:type="dxa"/>
            <w:tcMar>
              <w:top w:w="0" w:type="dxa"/>
              <w:left w:w="108" w:type="dxa"/>
              <w:bottom w:w="0" w:type="dxa"/>
              <w:right w:w="108" w:type="dxa"/>
            </w:tcMar>
            <w:vAlign w:val="bottom"/>
          </w:tcPr>
          <w:p w14:paraId="4D8F5DA5"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260</w:t>
            </w:r>
          </w:p>
        </w:tc>
      </w:tr>
      <w:tr w:rsidR="00EA6A67" w:rsidRPr="000971AE" w14:paraId="69F67A1A" w14:textId="77777777" w:rsidTr="0030533C">
        <w:tc>
          <w:tcPr>
            <w:tcW w:w="496" w:type="dxa"/>
            <w:vMerge/>
            <w:tcMar>
              <w:top w:w="0" w:type="dxa"/>
              <w:left w:w="108" w:type="dxa"/>
              <w:bottom w:w="0" w:type="dxa"/>
              <w:right w:w="108" w:type="dxa"/>
            </w:tcMar>
          </w:tcPr>
          <w:p w14:paraId="2C1B737C" w14:textId="77777777" w:rsidR="00EA6A67" w:rsidRPr="000971AE" w:rsidRDefault="00EA6A67" w:rsidP="0030533C">
            <w:pPr>
              <w:pBdr>
                <w:top w:val="nil"/>
                <w:left w:val="nil"/>
                <w:bottom w:val="nil"/>
                <w:right w:val="nil"/>
                <w:between w:val="nil"/>
              </w:pBdr>
              <w:suppressAutoHyphens w:val="0"/>
              <w:spacing w:before="40" w:after="40" w:line="220" w:lineRule="exact"/>
              <w:rPr>
                <w:sz w:val="18"/>
                <w:szCs w:val="24"/>
                <w:lang w:val="en-US" w:eastAsia="ru-MD"/>
              </w:rPr>
            </w:pPr>
          </w:p>
        </w:tc>
        <w:tc>
          <w:tcPr>
            <w:tcW w:w="2274" w:type="dxa"/>
            <w:vMerge/>
            <w:tcMar>
              <w:top w:w="0" w:type="dxa"/>
              <w:left w:w="108" w:type="dxa"/>
              <w:bottom w:w="0" w:type="dxa"/>
              <w:right w:w="108" w:type="dxa"/>
            </w:tcMar>
            <w:vAlign w:val="bottom"/>
          </w:tcPr>
          <w:p w14:paraId="342A2780" w14:textId="77777777" w:rsidR="00EA6A67" w:rsidRPr="000971AE" w:rsidRDefault="00EA6A67" w:rsidP="0030533C">
            <w:pPr>
              <w:pBdr>
                <w:top w:val="nil"/>
                <w:left w:val="nil"/>
                <w:bottom w:val="nil"/>
                <w:right w:val="nil"/>
                <w:between w:val="nil"/>
              </w:pBdr>
              <w:suppressAutoHyphens w:val="0"/>
              <w:spacing w:before="40" w:after="40" w:line="220" w:lineRule="exact"/>
              <w:jc w:val="right"/>
              <w:rPr>
                <w:sz w:val="18"/>
                <w:szCs w:val="24"/>
                <w:lang w:val="en-US" w:eastAsia="ru-MD"/>
              </w:rPr>
            </w:pPr>
          </w:p>
        </w:tc>
        <w:tc>
          <w:tcPr>
            <w:tcW w:w="2512" w:type="dxa"/>
            <w:tcMar>
              <w:top w:w="0" w:type="dxa"/>
              <w:left w:w="108" w:type="dxa"/>
              <w:bottom w:w="0" w:type="dxa"/>
              <w:right w:w="108" w:type="dxa"/>
            </w:tcMar>
            <w:vAlign w:val="bottom"/>
          </w:tcPr>
          <w:p w14:paraId="503A2FF7"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women</w:t>
            </w:r>
          </w:p>
        </w:tc>
        <w:tc>
          <w:tcPr>
            <w:tcW w:w="1033" w:type="dxa"/>
            <w:tcMar>
              <w:top w:w="0" w:type="dxa"/>
              <w:left w:w="108" w:type="dxa"/>
              <w:bottom w:w="0" w:type="dxa"/>
              <w:right w:w="108" w:type="dxa"/>
            </w:tcMar>
            <w:vAlign w:val="bottom"/>
          </w:tcPr>
          <w:p w14:paraId="634F0818"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24</w:t>
            </w:r>
          </w:p>
        </w:tc>
      </w:tr>
      <w:tr w:rsidR="00EA6A67" w:rsidRPr="000971AE" w14:paraId="4D4CD701" w14:textId="77777777" w:rsidTr="0030533C">
        <w:tc>
          <w:tcPr>
            <w:tcW w:w="496" w:type="dxa"/>
            <w:vMerge/>
            <w:tcMar>
              <w:top w:w="0" w:type="dxa"/>
              <w:left w:w="108" w:type="dxa"/>
              <w:bottom w:w="0" w:type="dxa"/>
              <w:right w:w="108" w:type="dxa"/>
            </w:tcMar>
          </w:tcPr>
          <w:p w14:paraId="2FB71B2D" w14:textId="77777777" w:rsidR="00EA6A67" w:rsidRPr="000971AE" w:rsidRDefault="00EA6A67" w:rsidP="0030533C">
            <w:pPr>
              <w:pBdr>
                <w:top w:val="nil"/>
                <w:left w:val="nil"/>
                <w:bottom w:val="nil"/>
                <w:right w:val="nil"/>
                <w:between w:val="nil"/>
              </w:pBdr>
              <w:suppressAutoHyphens w:val="0"/>
              <w:spacing w:before="40" w:after="40" w:line="220" w:lineRule="exact"/>
              <w:rPr>
                <w:sz w:val="18"/>
                <w:szCs w:val="24"/>
                <w:lang w:val="en-US" w:eastAsia="ru-MD"/>
              </w:rPr>
            </w:pPr>
          </w:p>
        </w:tc>
        <w:tc>
          <w:tcPr>
            <w:tcW w:w="2274" w:type="dxa"/>
            <w:vMerge/>
            <w:tcMar>
              <w:top w:w="0" w:type="dxa"/>
              <w:left w:w="108" w:type="dxa"/>
              <w:bottom w:w="0" w:type="dxa"/>
              <w:right w:w="108" w:type="dxa"/>
            </w:tcMar>
            <w:vAlign w:val="bottom"/>
          </w:tcPr>
          <w:p w14:paraId="1E9A5E1F" w14:textId="77777777" w:rsidR="00EA6A67" w:rsidRPr="000971AE" w:rsidRDefault="00EA6A67" w:rsidP="0030533C">
            <w:pPr>
              <w:pBdr>
                <w:top w:val="nil"/>
                <w:left w:val="nil"/>
                <w:bottom w:val="nil"/>
                <w:right w:val="nil"/>
                <w:between w:val="nil"/>
              </w:pBdr>
              <w:suppressAutoHyphens w:val="0"/>
              <w:spacing w:before="40" w:after="40" w:line="220" w:lineRule="exact"/>
              <w:jc w:val="right"/>
              <w:rPr>
                <w:sz w:val="18"/>
                <w:szCs w:val="24"/>
                <w:lang w:val="en-US" w:eastAsia="ru-MD"/>
              </w:rPr>
            </w:pPr>
          </w:p>
        </w:tc>
        <w:tc>
          <w:tcPr>
            <w:tcW w:w="2512" w:type="dxa"/>
            <w:tcMar>
              <w:top w:w="0" w:type="dxa"/>
              <w:left w:w="108" w:type="dxa"/>
              <w:bottom w:w="0" w:type="dxa"/>
              <w:right w:w="108" w:type="dxa"/>
            </w:tcMar>
            <w:vAlign w:val="bottom"/>
          </w:tcPr>
          <w:p w14:paraId="23199DC3"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minors (male/female)</w:t>
            </w:r>
          </w:p>
        </w:tc>
        <w:tc>
          <w:tcPr>
            <w:tcW w:w="1033" w:type="dxa"/>
            <w:tcMar>
              <w:top w:w="0" w:type="dxa"/>
              <w:left w:w="108" w:type="dxa"/>
              <w:bottom w:w="0" w:type="dxa"/>
              <w:right w:w="108" w:type="dxa"/>
            </w:tcMar>
            <w:vAlign w:val="bottom"/>
          </w:tcPr>
          <w:p w14:paraId="28C5F4CB"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1/0</w:t>
            </w:r>
          </w:p>
        </w:tc>
      </w:tr>
      <w:tr w:rsidR="00EA6A67" w:rsidRPr="000971AE" w14:paraId="1FFD8C14" w14:textId="77777777" w:rsidTr="0030533C">
        <w:tc>
          <w:tcPr>
            <w:tcW w:w="496" w:type="dxa"/>
            <w:vMerge w:val="restart"/>
            <w:tcMar>
              <w:top w:w="0" w:type="dxa"/>
              <w:left w:w="108" w:type="dxa"/>
              <w:bottom w:w="0" w:type="dxa"/>
              <w:right w:w="108" w:type="dxa"/>
            </w:tcMar>
          </w:tcPr>
          <w:p w14:paraId="17E1113D" w14:textId="77777777" w:rsidR="00EA6A67" w:rsidRPr="000971AE" w:rsidRDefault="00EA6A67" w:rsidP="0030533C">
            <w:pPr>
              <w:suppressAutoHyphens w:val="0"/>
              <w:spacing w:before="40" w:after="40" w:line="220" w:lineRule="exact"/>
              <w:rPr>
                <w:sz w:val="18"/>
                <w:szCs w:val="24"/>
                <w:lang w:val="en-US" w:eastAsia="ru-MD"/>
              </w:rPr>
            </w:pPr>
            <w:r w:rsidRPr="000971AE">
              <w:rPr>
                <w:sz w:val="18"/>
                <w:szCs w:val="24"/>
                <w:lang w:val="en-US" w:eastAsia="ru-MD"/>
              </w:rPr>
              <w:t>3.</w:t>
            </w:r>
          </w:p>
        </w:tc>
        <w:tc>
          <w:tcPr>
            <w:tcW w:w="2274" w:type="dxa"/>
            <w:vMerge w:val="restart"/>
            <w:tcMar>
              <w:top w:w="0" w:type="dxa"/>
              <w:left w:w="108" w:type="dxa"/>
              <w:bottom w:w="0" w:type="dxa"/>
              <w:right w:w="108" w:type="dxa"/>
            </w:tcMar>
            <w:vAlign w:val="bottom"/>
          </w:tcPr>
          <w:p w14:paraId="305F1CC4"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Age distribution</w:t>
            </w:r>
          </w:p>
        </w:tc>
        <w:tc>
          <w:tcPr>
            <w:tcW w:w="2512" w:type="dxa"/>
            <w:tcMar>
              <w:top w:w="0" w:type="dxa"/>
              <w:left w:w="108" w:type="dxa"/>
              <w:bottom w:w="0" w:type="dxa"/>
              <w:right w:w="108" w:type="dxa"/>
            </w:tcMar>
            <w:vAlign w:val="bottom"/>
          </w:tcPr>
          <w:p w14:paraId="4BDF493E"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&lt;30</w:t>
            </w:r>
          </w:p>
        </w:tc>
        <w:tc>
          <w:tcPr>
            <w:tcW w:w="1033" w:type="dxa"/>
            <w:tcMar>
              <w:top w:w="0" w:type="dxa"/>
              <w:left w:w="108" w:type="dxa"/>
              <w:bottom w:w="0" w:type="dxa"/>
              <w:right w:w="108" w:type="dxa"/>
            </w:tcMar>
            <w:vAlign w:val="bottom"/>
          </w:tcPr>
          <w:p w14:paraId="5009B8A6"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28</w:t>
            </w:r>
          </w:p>
        </w:tc>
      </w:tr>
      <w:tr w:rsidR="00EA6A67" w:rsidRPr="000971AE" w14:paraId="043A41D7" w14:textId="77777777" w:rsidTr="0030533C">
        <w:tc>
          <w:tcPr>
            <w:tcW w:w="496" w:type="dxa"/>
            <w:vMerge/>
            <w:tcMar>
              <w:top w:w="0" w:type="dxa"/>
              <w:left w:w="108" w:type="dxa"/>
              <w:bottom w:w="0" w:type="dxa"/>
              <w:right w:w="108" w:type="dxa"/>
            </w:tcMar>
          </w:tcPr>
          <w:p w14:paraId="5CF39196" w14:textId="77777777" w:rsidR="00EA6A67" w:rsidRPr="000971AE" w:rsidRDefault="00EA6A67" w:rsidP="0030533C">
            <w:pPr>
              <w:pBdr>
                <w:top w:val="nil"/>
                <w:left w:val="nil"/>
                <w:bottom w:val="nil"/>
                <w:right w:val="nil"/>
                <w:between w:val="nil"/>
              </w:pBdr>
              <w:suppressAutoHyphens w:val="0"/>
              <w:spacing w:before="40" w:after="40" w:line="220" w:lineRule="exact"/>
              <w:rPr>
                <w:sz w:val="18"/>
                <w:szCs w:val="24"/>
                <w:lang w:val="en-US" w:eastAsia="ru-MD"/>
              </w:rPr>
            </w:pPr>
          </w:p>
        </w:tc>
        <w:tc>
          <w:tcPr>
            <w:tcW w:w="2274" w:type="dxa"/>
            <w:vMerge/>
            <w:tcMar>
              <w:top w:w="0" w:type="dxa"/>
              <w:left w:w="108" w:type="dxa"/>
              <w:bottom w:w="0" w:type="dxa"/>
              <w:right w:w="108" w:type="dxa"/>
            </w:tcMar>
            <w:vAlign w:val="bottom"/>
          </w:tcPr>
          <w:p w14:paraId="07251BC9" w14:textId="77777777" w:rsidR="00EA6A67" w:rsidRPr="000971AE" w:rsidRDefault="00EA6A67" w:rsidP="0030533C">
            <w:pPr>
              <w:pBdr>
                <w:top w:val="nil"/>
                <w:left w:val="nil"/>
                <w:bottom w:val="nil"/>
                <w:right w:val="nil"/>
                <w:between w:val="nil"/>
              </w:pBdr>
              <w:suppressAutoHyphens w:val="0"/>
              <w:spacing w:before="40" w:after="40" w:line="220" w:lineRule="exact"/>
              <w:jc w:val="right"/>
              <w:rPr>
                <w:sz w:val="18"/>
                <w:szCs w:val="24"/>
                <w:lang w:val="en-US" w:eastAsia="ru-MD"/>
              </w:rPr>
            </w:pPr>
          </w:p>
        </w:tc>
        <w:tc>
          <w:tcPr>
            <w:tcW w:w="2512" w:type="dxa"/>
            <w:tcMar>
              <w:top w:w="0" w:type="dxa"/>
              <w:left w:w="108" w:type="dxa"/>
              <w:bottom w:w="0" w:type="dxa"/>
              <w:right w:w="108" w:type="dxa"/>
            </w:tcMar>
            <w:vAlign w:val="bottom"/>
          </w:tcPr>
          <w:p w14:paraId="35A79DE6"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30-55</w:t>
            </w:r>
          </w:p>
        </w:tc>
        <w:tc>
          <w:tcPr>
            <w:tcW w:w="1033" w:type="dxa"/>
            <w:tcMar>
              <w:top w:w="0" w:type="dxa"/>
              <w:left w:w="108" w:type="dxa"/>
              <w:bottom w:w="0" w:type="dxa"/>
              <w:right w:w="108" w:type="dxa"/>
            </w:tcMar>
            <w:vAlign w:val="bottom"/>
          </w:tcPr>
          <w:p w14:paraId="7A615D03"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186</w:t>
            </w:r>
          </w:p>
        </w:tc>
      </w:tr>
      <w:tr w:rsidR="00EA6A67" w:rsidRPr="000971AE" w14:paraId="05B9E8C3" w14:textId="77777777" w:rsidTr="0030533C">
        <w:tc>
          <w:tcPr>
            <w:tcW w:w="496" w:type="dxa"/>
            <w:vMerge/>
            <w:tcMar>
              <w:top w:w="0" w:type="dxa"/>
              <w:left w:w="108" w:type="dxa"/>
              <w:bottom w:w="0" w:type="dxa"/>
              <w:right w:w="108" w:type="dxa"/>
            </w:tcMar>
          </w:tcPr>
          <w:p w14:paraId="49FC916C" w14:textId="77777777" w:rsidR="00EA6A67" w:rsidRPr="000971AE" w:rsidRDefault="00EA6A67" w:rsidP="0030533C">
            <w:pPr>
              <w:pBdr>
                <w:top w:val="nil"/>
                <w:left w:val="nil"/>
                <w:bottom w:val="nil"/>
                <w:right w:val="nil"/>
                <w:between w:val="nil"/>
              </w:pBdr>
              <w:suppressAutoHyphens w:val="0"/>
              <w:spacing w:before="40" w:after="40" w:line="220" w:lineRule="exact"/>
              <w:rPr>
                <w:sz w:val="18"/>
                <w:szCs w:val="24"/>
                <w:lang w:val="en-US" w:eastAsia="ru-MD"/>
              </w:rPr>
            </w:pPr>
          </w:p>
        </w:tc>
        <w:tc>
          <w:tcPr>
            <w:tcW w:w="2274" w:type="dxa"/>
            <w:vMerge/>
            <w:tcMar>
              <w:top w:w="0" w:type="dxa"/>
              <w:left w:w="108" w:type="dxa"/>
              <w:bottom w:w="0" w:type="dxa"/>
              <w:right w:w="108" w:type="dxa"/>
            </w:tcMar>
            <w:vAlign w:val="bottom"/>
          </w:tcPr>
          <w:p w14:paraId="7963BE8A" w14:textId="77777777" w:rsidR="00EA6A67" w:rsidRPr="000971AE" w:rsidRDefault="00EA6A67" w:rsidP="0030533C">
            <w:pPr>
              <w:pBdr>
                <w:top w:val="nil"/>
                <w:left w:val="nil"/>
                <w:bottom w:val="nil"/>
                <w:right w:val="nil"/>
                <w:between w:val="nil"/>
              </w:pBdr>
              <w:suppressAutoHyphens w:val="0"/>
              <w:spacing w:before="40" w:after="40" w:line="220" w:lineRule="exact"/>
              <w:jc w:val="right"/>
              <w:rPr>
                <w:sz w:val="18"/>
                <w:szCs w:val="24"/>
                <w:lang w:val="en-US" w:eastAsia="ru-MD"/>
              </w:rPr>
            </w:pPr>
          </w:p>
        </w:tc>
        <w:tc>
          <w:tcPr>
            <w:tcW w:w="2512" w:type="dxa"/>
            <w:tcMar>
              <w:top w:w="0" w:type="dxa"/>
              <w:left w:w="108" w:type="dxa"/>
              <w:bottom w:w="0" w:type="dxa"/>
              <w:right w:w="108" w:type="dxa"/>
            </w:tcMar>
            <w:vAlign w:val="bottom"/>
          </w:tcPr>
          <w:p w14:paraId="029199F7"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&gt;55</w:t>
            </w:r>
          </w:p>
        </w:tc>
        <w:tc>
          <w:tcPr>
            <w:tcW w:w="1033" w:type="dxa"/>
            <w:tcMar>
              <w:top w:w="0" w:type="dxa"/>
              <w:left w:w="108" w:type="dxa"/>
              <w:bottom w:w="0" w:type="dxa"/>
              <w:right w:w="108" w:type="dxa"/>
            </w:tcMar>
            <w:vAlign w:val="bottom"/>
          </w:tcPr>
          <w:p w14:paraId="26CC4683"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71</w:t>
            </w:r>
          </w:p>
        </w:tc>
      </w:tr>
      <w:tr w:rsidR="00EA6A67" w:rsidRPr="000971AE" w14:paraId="2FF3C3F7" w14:textId="77777777" w:rsidTr="0030533C">
        <w:tc>
          <w:tcPr>
            <w:tcW w:w="496" w:type="dxa"/>
            <w:vMerge w:val="restart"/>
            <w:tcMar>
              <w:top w:w="0" w:type="dxa"/>
              <w:left w:w="108" w:type="dxa"/>
              <w:bottom w:w="0" w:type="dxa"/>
              <w:right w:w="108" w:type="dxa"/>
            </w:tcMar>
          </w:tcPr>
          <w:p w14:paraId="48232ACD" w14:textId="77777777" w:rsidR="00EA6A67" w:rsidRPr="000971AE" w:rsidRDefault="00EA6A67" w:rsidP="0030533C">
            <w:pPr>
              <w:suppressAutoHyphens w:val="0"/>
              <w:spacing w:before="40" w:after="40" w:line="220" w:lineRule="exact"/>
              <w:rPr>
                <w:sz w:val="18"/>
                <w:szCs w:val="24"/>
                <w:lang w:val="en-US" w:eastAsia="ru-MD"/>
              </w:rPr>
            </w:pPr>
            <w:r w:rsidRPr="000971AE">
              <w:rPr>
                <w:sz w:val="18"/>
                <w:szCs w:val="24"/>
                <w:lang w:val="en-US" w:eastAsia="ru-MD"/>
              </w:rPr>
              <w:t>4.</w:t>
            </w:r>
          </w:p>
        </w:tc>
        <w:tc>
          <w:tcPr>
            <w:tcW w:w="2274" w:type="dxa"/>
            <w:vMerge w:val="restart"/>
            <w:tcMar>
              <w:top w:w="0" w:type="dxa"/>
              <w:left w:w="108" w:type="dxa"/>
              <w:bottom w:w="0" w:type="dxa"/>
              <w:right w:w="108" w:type="dxa"/>
            </w:tcMar>
            <w:vAlign w:val="bottom"/>
          </w:tcPr>
          <w:p w14:paraId="082DC987"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Degree of disability</w:t>
            </w:r>
          </w:p>
        </w:tc>
        <w:tc>
          <w:tcPr>
            <w:tcW w:w="2512" w:type="dxa"/>
            <w:tcMar>
              <w:top w:w="0" w:type="dxa"/>
              <w:left w:w="108" w:type="dxa"/>
              <w:bottom w:w="0" w:type="dxa"/>
              <w:right w:w="108" w:type="dxa"/>
            </w:tcMar>
            <w:vAlign w:val="bottom"/>
          </w:tcPr>
          <w:p w14:paraId="5F98E55B"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medium</w:t>
            </w:r>
          </w:p>
        </w:tc>
        <w:tc>
          <w:tcPr>
            <w:tcW w:w="1033" w:type="dxa"/>
            <w:tcMar>
              <w:top w:w="0" w:type="dxa"/>
              <w:left w:w="108" w:type="dxa"/>
              <w:bottom w:w="0" w:type="dxa"/>
              <w:right w:w="108" w:type="dxa"/>
            </w:tcMar>
            <w:vAlign w:val="bottom"/>
          </w:tcPr>
          <w:p w14:paraId="07A3BF6F"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131</w:t>
            </w:r>
          </w:p>
        </w:tc>
      </w:tr>
      <w:tr w:rsidR="00EA6A67" w:rsidRPr="000971AE" w14:paraId="099267B9" w14:textId="77777777" w:rsidTr="0030533C">
        <w:tc>
          <w:tcPr>
            <w:tcW w:w="496" w:type="dxa"/>
            <w:vMerge/>
            <w:tcMar>
              <w:top w:w="0" w:type="dxa"/>
              <w:left w:w="108" w:type="dxa"/>
              <w:bottom w:w="0" w:type="dxa"/>
              <w:right w:w="108" w:type="dxa"/>
            </w:tcMar>
          </w:tcPr>
          <w:p w14:paraId="35B1AEE0" w14:textId="77777777" w:rsidR="00EA6A67" w:rsidRPr="000971AE" w:rsidRDefault="00EA6A67" w:rsidP="0030533C">
            <w:pPr>
              <w:pBdr>
                <w:top w:val="nil"/>
                <w:left w:val="nil"/>
                <w:bottom w:val="nil"/>
                <w:right w:val="nil"/>
                <w:between w:val="nil"/>
              </w:pBdr>
              <w:suppressAutoHyphens w:val="0"/>
              <w:spacing w:before="40" w:after="40" w:line="220" w:lineRule="exact"/>
              <w:rPr>
                <w:sz w:val="18"/>
                <w:szCs w:val="24"/>
                <w:lang w:val="en-US" w:eastAsia="ru-MD"/>
              </w:rPr>
            </w:pPr>
          </w:p>
        </w:tc>
        <w:tc>
          <w:tcPr>
            <w:tcW w:w="2274" w:type="dxa"/>
            <w:vMerge/>
            <w:tcMar>
              <w:top w:w="0" w:type="dxa"/>
              <w:left w:w="108" w:type="dxa"/>
              <w:bottom w:w="0" w:type="dxa"/>
              <w:right w:w="108" w:type="dxa"/>
            </w:tcMar>
            <w:vAlign w:val="bottom"/>
          </w:tcPr>
          <w:p w14:paraId="7C8EA089" w14:textId="77777777" w:rsidR="00EA6A67" w:rsidRPr="000971AE" w:rsidRDefault="00EA6A67" w:rsidP="0030533C">
            <w:pPr>
              <w:pBdr>
                <w:top w:val="nil"/>
                <w:left w:val="nil"/>
                <w:bottom w:val="nil"/>
                <w:right w:val="nil"/>
                <w:between w:val="nil"/>
              </w:pBdr>
              <w:suppressAutoHyphens w:val="0"/>
              <w:spacing w:before="40" w:after="40" w:line="220" w:lineRule="exact"/>
              <w:jc w:val="right"/>
              <w:rPr>
                <w:sz w:val="18"/>
                <w:szCs w:val="24"/>
                <w:lang w:val="en-US" w:eastAsia="ru-MD"/>
              </w:rPr>
            </w:pPr>
          </w:p>
        </w:tc>
        <w:tc>
          <w:tcPr>
            <w:tcW w:w="2512" w:type="dxa"/>
            <w:tcMar>
              <w:top w:w="0" w:type="dxa"/>
              <w:left w:w="108" w:type="dxa"/>
              <w:bottom w:w="0" w:type="dxa"/>
              <w:right w:w="108" w:type="dxa"/>
            </w:tcMar>
            <w:vAlign w:val="bottom"/>
          </w:tcPr>
          <w:p w14:paraId="06B1ADD2"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advanced</w:t>
            </w:r>
          </w:p>
        </w:tc>
        <w:tc>
          <w:tcPr>
            <w:tcW w:w="1033" w:type="dxa"/>
            <w:tcMar>
              <w:top w:w="0" w:type="dxa"/>
              <w:left w:w="108" w:type="dxa"/>
              <w:bottom w:w="0" w:type="dxa"/>
              <w:right w:w="108" w:type="dxa"/>
            </w:tcMar>
            <w:vAlign w:val="bottom"/>
          </w:tcPr>
          <w:p w14:paraId="6966031D"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140</w:t>
            </w:r>
          </w:p>
        </w:tc>
      </w:tr>
      <w:tr w:rsidR="00EA6A67" w:rsidRPr="000971AE" w14:paraId="70B71BDB" w14:textId="77777777" w:rsidTr="0030533C">
        <w:tc>
          <w:tcPr>
            <w:tcW w:w="496" w:type="dxa"/>
            <w:vMerge/>
            <w:tcMar>
              <w:top w:w="0" w:type="dxa"/>
              <w:left w:w="108" w:type="dxa"/>
              <w:bottom w:w="0" w:type="dxa"/>
              <w:right w:w="108" w:type="dxa"/>
            </w:tcMar>
          </w:tcPr>
          <w:p w14:paraId="50A1E52B" w14:textId="77777777" w:rsidR="00EA6A67" w:rsidRPr="000971AE" w:rsidRDefault="00EA6A67" w:rsidP="0030533C">
            <w:pPr>
              <w:pBdr>
                <w:top w:val="nil"/>
                <w:left w:val="nil"/>
                <w:bottom w:val="nil"/>
                <w:right w:val="nil"/>
                <w:between w:val="nil"/>
              </w:pBdr>
              <w:suppressAutoHyphens w:val="0"/>
              <w:spacing w:before="40" w:after="40" w:line="220" w:lineRule="exact"/>
              <w:rPr>
                <w:sz w:val="18"/>
                <w:szCs w:val="24"/>
                <w:lang w:val="en-US" w:eastAsia="ru-MD"/>
              </w:rPr>
            </w:pPr>
          </w:p>
        </w:tc>
        <w:tc>
          <w:tcPr>
            <w:tcW w:w="2274" w:type="dxa"/>
            <w:vMerge/>
            <w:tcMar>
              <w:top w:w="0" w:type="dxa"/>
              <w:left w:w="108" w:type="dxa"/>
              <w:bottom w:w="0" w:type="dxa"/>
              <w:right w:w="108" w:type="dxa"/>
            </w:tcMar>
            <w:vAlign w:val="bottom"/>
          </w:tcPr>
          <w:p w14:paraId="6DE18EF7" w14:textId="77777777" w:rsidR="00EA6A67" w:rsidRPr="000971AE" w:rsidRDefault="00EA6A67" w:rsidP="0030533C">
            <w:pPr>
              <w:pBdr>
                <w:top w:val="nil"/>
                <w:left w:val="nil"/>
                <w:bottom w:val="nil"/>
                <w:right w:val="nil"/>
                <w:between w:val="nil"/>
              </w:pBdr>
              <w:suppressAutoHyphens w:val="0"/>
              <w:spacing w:before="40" w:after="40" w:line="220" w:lineRule="exact"/>
              <w:jc w:val="right"/>
              <w:rPr>
                <w:sz w:val="18"/>
                <w:szCs w:val="24"/>
                <w:lang w:val="en-US" w:eastAsia="ru-MD"/>
              </w:rPr>
            </w:pPr>
          </w:p>
        </w:tc>
        <w:tc>
          <w:tcPr>
            <w:tcW w:w="2512" w:type="dxa"/>
            <w:tcMar>
              <w:top w:w="0" w:type="dxa"/>
              <w:left w:w="108" w:type="dxa"/>
              <w:bottom w:w="0" w:type="dxa"/>
              <w:right w:w="108" w:type="dxa"/>
            </w:tcMar>
            <w:vAlign w:val="bottom"/>
          </w:tcPr>
          <w:p w14:paraId="01368C9A"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severe</w:t>
            </w:r>
          </w:p>
        </w:tc>
        <w:tc>
          <w:tcPr>
            <w:tcW w:w="1033" w:type="dxa"/>
            <w:tcMar>
              <w:top w:w="0" w:type="dxa"/>
              <w:left w:w="108" w:type="dxa"/>
              <w:bottom w:w="0" w:type="dxa"/>
              <w:right w:w="108" w:type="dxa"/>
            </w:tcMar>
            <w:vAlign w:val="bottom"/>
          </w:tcPr>
          <w:p w14:paraId="24BC8E98"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14</w:t>
            </w:r>
          </w:p>
        </w:tc>
      </w:tr>
      <w:tr w:rsidR="00EA6A67" w:rsidRPr="000971AE" w14:paraId="13FDAE4D" w14:textId="77777777" w:rsidTr="0030533C">
        <w:tc>
          <w:tcPr>
            <w:tcW w:w="496" w:type="dxa"/>
            <w:vMerge w:val="restart"/>
            <w:tcMar>
              <w:top w:w="0" w:type="dxa"/>
              <w:left w:w="108" w:type="dxa"/>
              <w:bottom w:w="0" w:type="dxa"/>
              <w:right w:w="108" w:type="dxa"/>
            </w:tcMar>
          </w:tcPr>
          <w:p w14:paraId="3BB4A692" w14:textId="77777777" w:rsidR="00EA6A67" w:rsidRPr="000971AE" w:rsidRDefault="00EA6A67" w:rsidP="0030533C">
            <w:pPr>
              <w:suppressAutoHyphens w:val="0"/>
              <w:spacing w:before="40" w:after="40" w:line="220" w:lineRule="exact"/>
              <w:rPr>
                <w:sz w:val="18"/>
                <w:szCs w:val="24"/>
                <w:lang w:val="en-US" w:eastAsia="ru-MD"/>
              </w:rPr>
            </w:pPr>
            <w:r w:rsidRPr="000971AE">
              <w:rPr>
                <w:sz w:val="18"/>
                <w:szCs w:val="24"/>
                <w:lang w:val="en-US" w:eastAsia="ru-MD"/>
              </w:rPr>
              <w:t>5.</w:t>
            </w:r>
          </w:p>
        </w:tc>
        <w:tc>
          <w:tcPr>
            <w:tcW w:w="2274" w:type="dxa"/>
            <w:vMerge w:val="restart"/>
            <w:tcMar>
              <w:top w:w="0" w:type="dxa"/>
              <w:left w:w="108" w:type="dxa"/>
              <w:bottom w:w="0" w:type="dxa"/>
              <w:right w:w="108" w:type="dxa"/>
            </w:tcMar>
            <w:vAlign w:val="bottom"/>
          </w:tcPr>
          <w:p w14:paraId="1C66F09B"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Functional autonomy</w:t>
            </w:r>
          </w:p>
        </w:tc>
        <w:tc>
          <w:tcPr>
            <w:tcW w:w="2512" w:type="dxa"/>
            <w:tcMar>
              <w:top w:w="0" w:type="dxa"/>
              <w:left w:w="108" w:type="dxa"/>
              <w:bottom w:w="0" w:type="dxa"/>
              <w:right w:w="108" w:type="dxa"/>
            </w:tcMar>
            <w:vAlign w:val="bottom"/>
          </w:tcPr>
          <w:p w14:paraId="34291B50"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Autonomous</w:t>
            </w:r>
          </w:p>
        </w:tc>
        <w:tc>
          <w:tcPr>
            <w:tcW w:w="1033" w:type="dxa"/>
            <w:tcMar>
              <w:top w:w="0" w:type="dxa"/>
              <w:left w:w="108" w:type="dxa"/>
              <w:bottom w:w="0" w:type="dxa"/>
              <w:right w:w="108" w:type="dxa"/>
            </w:tcMar>
            <w:vAlign w:val="bottom"/>
          </w:tcPr>
          <w:p w14:paraId="28099DF6"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188</w:t>
            </w:r>
          </w:p>
        </w:tc>
      </w:tr>
      <w:tr w:rsidR="00EA6A67" w:rsidRPr="000971AE" w14:paraId="39FB5B6F" w14:textId="77777777" w:rsidTr="0030533C">
        <w:tc>
          <w:tcPr>
            <w:tcW w:w="496" w:type="dxa"/>
            <w:vMerge/>
            <w:tcMar>
              <w:top w:w="0" w:type="dxa"/>
              <w:left w:w="108" w:type="dxa"/>
              <w:bottom w:w="0" w:type="dxa"/>
              <w:right w:w="108" w:type="dxa"/>
            </w:tcMar>
          </w:tcPr>
          <w:p w14:paraId="061481D7" w14:textId="77777777" w:rsidR="00EA6A67" w:rsidRPr="000971AE" w:rsidRDefault="00EA6A67" w:rsidP="0030533C">
            <w:pPr>
              <w:pBdr>
                <w:top w:val="nil"/>
                <w:left w:val="nil"/>
                <w:bottom w:val="nil"/>
                <w:right w:val="nil"/>
                <w:between w:val="nil"/>
              </w:pBdr>
              <w:suppressAutoHyphens w:val="0"/>
              <w:spacing w:before="40" w:after="40" w:line="220" w:lineRule="exact"/>
              <w:rPr>
                <w:sz w:val="18"/>
                <w:szCs w:val="24"/>
                <w:lang w:val="en-US" w:eastAsia="ru-MD"/>
              </w:rPr>
            </w:pPr>
          </w:p>
        </w:tc>
        <w:tc>
          <w:tcPr>
            <w:tcW w:w="2274" w:type="dxa"/>
            <w:vMerge/>
            <w:tcMar>
              <w:top w:w="0" w:type="dxa"/>
              <w:left w:w="108" w:type="dxa"/>
              <w:bottom w:w="0" w:type="dxa"/>
              <w:right w:w="108" w:type="dxa"/>
            </w:tcMar>
            <w:vAlign w:val="bottom"/>
          </w:tcPr>
          <w:p w14:paraId="5BC5BB9E" w14:textId="77777777" w:rsidR="00EA6A67" w:rsidRPr="000971AE" w:rsidRDefault="00EA6A67" w:rsidP="0030533C">
            <w:pPr>
              <w:pBdr>
                <w:top w:val="nil"/>
                <w:left w:val="nil"/>
                <w:bottom w:val="nil"/>
                <w:right w:val="nil"/>
                <w:between w:val="nil"/>
              </w:pBdr>
              <w:suppressAutoHyphens w:val="0"/>
              <w:spacing w:before="40" w:after="40" w:line="220" w:lineRule="exact"/>
              <w:jc w:val="right"/>
              <w:rPr>
                <w:sz w:val="18"/>
                <w:szCs w:val="24"/>
                <w:lang w:val="en-US" w:eastAsia="ru-MD"/>
              </w:rPr>
            </w:pPr>
          </w:p>
        </w:tc>
        <w:tc>
          <w:tcPr>
            <w:tcW w:w="2512" w:type="dxa"/>
            <w:tcMar>
              <w:top w:w="0" w:type="dxa"/>
              <w:left w:w="108" w:type="dxa"/>
              <w:bottom w:w="0" w:type="dxa"/>
              <w:right w:w="108" w:type="dxa"/>
            </w:tcMar>
            <w:vAlign w:val="bottom"/>
          </w:tcPr>
          <w:p w14:paraId="4BBB842C"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partially dependent</w:t>
            </w:r>
          </w:p>
        </w:tc>
        <w:tc>
          <w:tcPr>
            <w:tcW w:w="1033" w:type="dxa"/>
            <w:tcMar>
              <w:top w:w="0" w:type="dxa"/>
              <w:left w:w="108" w:type="dxa"/>
              <w:bottom w:w="0" w:type="dxa"/>
              <w:right w:w="108" w:type="dxa"/>
            </w:tcMar>
            <w:vAlign w:val="bottom"/>
          </w:tcPr>
          <w:p w14:paraId="73CA7BC6"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48</w:t>
            </w:r>
          </w:p>
        </w:tc>
      </w:tr>
      <w:tr w:rsidR="00EA6A67" w:rsidRPr="000971AE" w14:paraId="39DF0242" w14:textId="77777777" w:rsidTr="0030533C">
        <w:tc>
          <w:tcPr>
            <w:tcW w:w="496" w:type="dxa"/>
            <w:vMerge/>
            <w:tcMar>
              <w:top w:w="0" w:type="dxa"/>
              <w:left w:w="108" w:type="dxa"/>
              <w:bottom w:w="0" w:type="dxa"/>
              <w:right w:w="108" w:type="dxa"/>
            </w:tcMar>
          </w:tcPr>
          <w:p w14:paraId="7AEF7894" w14:textId="77777777" w:rsidR="00EA6A67" w:rsidRPr="000971AE" w:rsidRDefault="00EA6A67" w:rsidP="0030533C">
            <w:pPr>
              <w:pBdr>
                <w:top w:val="nil"/>
                <w:left w:val="nil"/>
                <w:bottom w:val="nil"/>
                <w:right w:val="nil"/>
                <w:between w:val="nil"/>
              </w:pBdr>
              <w:suppressAutoHyphens w:val="0"/>
              <w:spacing w:before="40" w:after="40" w:line="220" w:lineRule="exact"/>
              <w:rPr>
                <w:sz w:val="18"/>
                <w:szCs w:val="24"/>
                <w:lang w:val="en-US" w:eastAsia="ru-MD"/>
              </w:rPr>
            </w:pPr>
          </w:p>
        </w:tc>
        <w:tc>
          <w:tcPr>
            <w:tcW w:w="2274" w:type="dxa"/>
            <w:vMerge/>
            <w:tcMar>
              <w:top w:w="0" w:type="dxa"/>
              <w:left w:w="108" w:type="dxa"/>
              <w:bottom w:w="0" w:type="dxa"/>
              <w:right w:w="108" w:type="dxa"/>
            </w:tcMar>
            <w:vAlign w:val="bottom"/>
          </w:tcPr>
          <w:p w14:paraId="4FF1BC00" w14:textId="77777777" w:rsidR="00EA6A67" w:rsidRPr="000971AE" w:rsidRDefault="00EA6A67" w:rsidP="0030533C">
            <w:pPr>
              <w:pBdr>
                <w:top w:val="nil"/>
                <w:left w:val="nil"/>
                <w:bottom w:val="nil"/>
                <w:right w:val="nil"/>
                <w:between w:val="nil"/>
              </w:pBdr>
              <w:suppressAutoHyphens w:val="0"/>
              <w:spacing w:before="40" w:after="40" w:line="220" w:lineRule="exact"/>
              <w:jc w:val="right"/>
              <w:rPr>
                <w:sz w:val="18"/>
                <w:szCs w:val="24"/>
                <w:lang w:val="en-US" w:eastAsia="ru-MD"/>
              </w:rPr>
            </w:pPr>
          </w:p>
        </w:tc>
        <w:tc>
          <w:tcPr>
            <w:tcW w:w="2512" w:type="dxa"/>
            <w:tcMar>
              <w:top w:w="0" w:type="dxa"/>
              <w:left w:w="108" w:type="dxa"/>
              <w:bottom w:w="0" w:type="dxa"/>
              <w:right w:w="108" w:type="dxa"/>
            </w:tcMar>
            <w:vAlign w:val="bottom"/>
          </w:tcPr>
          <w:p w14:paraId="07C63E1F"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total dependent</w:t>
            </w:r>
          </w:p>
        </w:tc>
        <w:tc>
          <w:tcPr>
            <w:tcW w:w="1033" w:type="dxa"/>
            <w:tcMar>
              <w:top w:w="0" w:type="dxa"/>
              <w:left w:w="108" w:type="dxa"/>
              <w:bottom w:w="0" w:type="dxa"/>
              <w:right w:w="108" w:type="dxa"/>
            </w:tcMar>
            <w:vAlign w:val="bottom"/>
          </w:tcPr>
          <w:p w14:paraId="5B49D0E0"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49</w:t>
            </w:r>
          </w:p>
        </w:tc>
      </w:tr>
      <w:tr w:rsidR="00EA6A67" w:rsidRPr="000971AE" w14:paraId="7D357C20" w14:textId="77777777" w:rsidTr="0030533C">
        <w:tc>
          <w:tcPr>
            <w:tcW w:w="496" w:type="dxa"/>
            <w:vMerge w:val="restart"/>
            <w:tcMar>
              <w:top w:w="0" w:type="dxa"/>
              <w:left w:w="108" w:type="dxa"/>
              <w:bottom w:w="0" w:type="dxa"/>
              <w:right w:w="108" w:type="dxa"/>
            </w:tcMar>
          </w:tcPr>
          <w:p w14:paraId="3B66727F" w14:textId="77777777" w:rsidR="00EA6A67" w:rsidRPr="000971AE" w:rsidRDefault="00EA6A67" w:rsidP="0030533C">
            <w:pPr>
              <w:suppressAutoHyphens w:val="0"/>
              <w:spacing w:before="40" w:after="40" w:line="220" w:lineRule="exact"/>
              <w:rPr>
                <w:sz w:val="18"/>
                <w:szCs w:val="24"/>
                <w:lang w:val="en-US" w:eastAsia="ru-MD"/>
              </w:rPr>
            </w:pPr>
            <w:r w:rsidRPr="000971AE">
              <w:rPr>
                <w:sz w:val="18"/>
                <w:szCs w:val="24"/>
                <w:lang w:val="en-US" w:eastAsia="ru-MD"/>
              </w:rPr>
              <w:t>6.</w:t>
            </w:r>
          </w:p>
        </w:tc>
        <w:tc>
          <w:tcPr>
            <w:tcW w:w="2274" w:type="dxa"/>
            <w:vMerge w:val="restart"/>
            <w:tcMar>
              <w:top w:w="0" w:type="dxa"/>
              <w:left w:w="108" w:type="dxa"/>
              <w:bottom w:w="0" w:type="dxa"/>
              <w:right w:w="108" w:type="dxa"/>
            </w:tcMar>
            <w:vAlign w:val="bottom"/>
          </w:tcPr>
          <w:p w14:paraId="644347C7"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Types of disabilities</w:t>
            </w:r>
          </w:p>
        </w:tc>
        <w:tc>
          <w:tcPr>
            <w:tcW w:w="2512" w:type="dxa"/>
            <w:tcMar>
              <w:top w:w="0" w:type="dxa"/>
              <w:left w:w="108" w:type="dxa"/>
              <w:bottom w:w="0" w:type="dxa"/>
              <w:right w:w="108" w:type="dxa"/>
            </w:tcMar>
            <w:vAlign w:val="bottom"/>
          </w:tcPr>
          <w:p w14:paraId="04258EBD"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locomotor</w:t>
            </w:r>
          </w:p>
        </w:tc>
        <w:tc>
          <w:tcPr>
            <w:tcW w:w="1033" w:type="dxa"/>
            <w:tcMar>
              <w:top w:w="0" w:type="dxa"/>
              <w:left w:w="108" w:type="dxa"/>
              <w:bottom w:w="0" w:type="dxa"/>
              <w:right w:w="108" w:type="dxa"/>
            </w:tcMar>
            <w:vAlign w:val="bottom"/>
          </w:tcPr>
          <w:p w14:paraId="2FE19C49"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56</w:t>
            </w:r>
          </w:p>
        </w:tc>
      </w:tr>
      <w:tr w:rsidR="00EA6A67" w:rsidRPr="000971AE" w14:paraId="235C882D" w14:textId="77777777" w:rsidTr="0030533C">
        <w:tc>
          <w:tcPr>
            <w:tcW w:w="496" w:type="dxa"/>
            <w:vMerge/>
            <w:tcMar>
              <w:top w:w="0" w:type="dxa"/>
              <w:left w:w="108" w:type="dxa"/>
              <w:bottom w:w="0" w:type="dxa"/>
              <w:right w:w="108" w:type="dxa"/>
            </w:tcMar>
          </w:tcPr>
          <w:p w14:paraId="07E7CF24" w14:textId="77777777" w:rsidR="00EA6A67" w:rsidRPr="000971AE" w:rsidRDefault="00EA6A67" w:rsidP="0030533C">
            <w:pPr>
              <w:pBdr>
                <w:top w:val="nil"/>
                <w:left w:val="nil"/>
                <w:bottom w:val="nil"/>
                <w:right w:val="nil"/>
                <w:between w:val="nil"/>
              </w:pBdr>
              <w:suppressAutoHyphens w:val="0"/>
              <w:spacing w:before="40" w:after="40" w:line="220" w:lineRule="exact"/>
              <w:rPr>
                <w:sz w:val="18"/>
                <w:szCs w:val="24"/>
                <w:lang w:val="en-US" w:eastAsia="ru-MD"/>
              </w:rPr>
            </w:pPr>
          </w:p>
        </w:tc>
        <w:tc>
          <w:tcPr>
            <w:tcW w:w="2274" w:type="dxa"/>
            <w:vMerge/>
            <w:tcMar>
              <w:top w:w="0" w:type="dxa"/>
              <w:left w:w="108" w:type="dxa"/>
              <w:bottom w:w="0" w:type="dxa"/>
              <w:right w:w="108" w:type="dxa"/>
            </w:tcMar>
            <w:vAlign w:val="bottom"/>
          </w:tcPr>
          <w:p w14:paraId="630240C3" w14:textId="77777777" w:rsidR="00EA6A67" w:rsidRPr="000971AE" w:rsidRDefault="00EA6A67" w:rsidP="0030533C">
            <w:pPr>
              <w:pBdr>
                <w:top w:val="nil"/>
                <w:left w:val="nil"/>
                <w:bottom w:val="nil"/>
                <w:right w:val="nil"/>
                <w:between w:val="nil"/>
              </w:pBdr>
              <w:suppressAutoHyphens w:val="0"/>
              <w:spacing w:before="40" w:after="40" w:line="220" w:lineRule="exact"/>
              <w:jc w:val="right"/>
              <w:rPr>
                <w:sz w:val="18"/>
                <w:szCs w:val="24"/>
                <w:lang w:val="en-US" w:eastAsia="ru-MD"/>
              </w:rPr>
            </w:pPr>
          </w:p>
        </w:tc>
        <w:tc>
          <w:tcPr>
            <w:tcW w:w="2512" w:type="dxa"/>
            <w:tcMar>
              <w:top w:w="0" w:type="dxa"/>
              <w:left w:w="108" w:type="dxa"/>
              <w:bottom w:w="0" w:type="dxa"/>
              <w:right w:w="108" w:type="dxa"/>
            </w:tcMar>
            <w:vAlign w:val="bottom"/>
          </w:tcPr>
          <w:p w14:paraId="687B6AE1"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visual</w:t>
            </w:r>
          </w:p>
        </w:tc>
        <w:tc>
          <w:tcPr>
            <w:tcW w:w="1033" w:type="dxa"/>
            <w:tcMar>
              <w:top w:w="0" w:type="dxa"/>
              <w:left w:w="108" w:type="dxa"/>
              <w:bottom w:w="0" w:type="dxa"/>
              <w:right w:w="108" w:type="dxa"/>
            </w:tcMar>
            <w:vAlign w:val="bottom"/>
          </w:tcPr>
          <w:p w14:paraId="61C0251C"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27</w:t>
            </w:r>
          </w:p>
        </w:tc>
      </w:tr>
      <w:tr w:rsidR="00EA6A67" w:rsidRPr="000971AE" w14:paraId="6458D5D7" w14:textId="77777777" w:rsidTr="0030533C">
        <w:tc>
          <w:tcPr>
            <w:tcW w:w="496" w:type="dxa"/>
            <w:vMerge/>
            <w:tcMar>
              <w:top w:w="0" w:type="dxa"/>
              <w:left w:w="108" w:type="dxa"/>
              <w:bottom w:w="0" w:type="dxa"/>
              <w:right w:w="108" w:type="dxa"/>
            </w:tcMar>
          </w:tcPr>
          <w:p w14:paraId="2FE0FA7E" w14:textId="77777777" w:rsidR="00EA6A67" w:rsidRPr="000971AE" w:rsidRDefault="00EA6A67" w:rsidP="0030533C">
            <w:pPr>
              <w:pBdr>
                <w:top w:val="nil"/>
                <w:left w:val="nil"/>
                <w:bottom w:val="nil"/>
                <w:right w:val="nil"/>
                <w:between w:val="nil"/>
              </w:pBdr>
              <w:suppressAutoHyphens w:val="0"/>
              <w:spacing w:before="40" w:after="40" w:line="220" w:lineRule="exact"/>
              <w:rPr>
                <w:sz w:val="18"/>
                <w:szCs w:val="24"/>
                <w:lang w:val="en-US" w:eastAsia="ru-MD"/>
              </w:rPr>
            </w:pPr>
          </w:p>
        </w:tc>
        <w:tc>
          <w:tcPr>
            <w:tcW w:w="2274" w:type="dxa"/>
            <w:vMerge/>
            <w:tcMar>
              <w:top w:w="0" w:type="dxa"/>
              <w:left w:w="108" w:type="dxa"/>
              <w:bottom w:w="0" w:type="dxa"/>
              <w:right w:w="108" w:type="dxa"/>
            </w:tcMar>
            <w:vAlign w:val="bottom"/>
          </w:tcPr>
          <w:p w14:paraId="64F68CF0" w14:textId="77777777" w:rsidR="00EA6A67" w:rsidRPr="000971AE" w:rsidRDefault="00EA6A67" w:rsidP="0030533C">
            <w:pPr>
              <w:pBdr>
                <w:top w:val="nil"/>
                <w:left w:val="nil"/>
                <w:bottom w:val="nil"/>
                <w:right w:val="nil"/>
                <w:between w:val="nil"/>
              </w:pBdr>
              <w:suppressAutoHyphens w:val="0"/>
              <w:spacing w:before="40" w:after="40" w:line="220" w:lineRule="exact"/>
              <w:jc w:val="right"/>
              <w:rPr>
                <w:sz w:val="18"/>
                <w:szCs w:val="24"/>
                <w:lang w:val="en-US" w:eastAsia="ru-MD"/>
              </w:rPr>
            </w:pPr>
          </w:p>
        </w:tc>
        <w:tc>
          <w:tcPr>
            <w:tcW w:w="2512" w:type="dxa"/>
            <w:tcMar>
              <w:top w:w="0" w:type="dxa"/>
              <w:left w:w="108" w:type="dxa"/>
              <w:bottom w:w="0" w:type="dxa"/>
              <w:right w:w="108" w:type="dxa"/>
            </w:tcMar>
            <w:vAlign w:val="bottom"/>
          </w:tcPr>
          <w:p w14:paraId="6189B2DF"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hearing</w:t>
            </w:r>
          </w:p>
        </w:tc>
        <w:tc>
          <w:tcPr>
            <w:tcW w:w="1033" w:type="dxa"/>
            <w:tcMar>
              <w:top w:w="0" w:type="dxa"/>
              <w:left w:w="108" w:type="dxa"/>
              <w:bottom w:w="0" w:type="dxa"/>
              <w:right w:w="108" w:type="dxa"/>
            </w:tcMar>
            <w:vAlign w:val="bottom"/>
          </w:tcPr>
          <w:p w14:paraId="7A9FED20"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9</w:t>
            </w:r>
          </w:p>
        </w:tc>
      </w:tr>
      <w:tr w:rsidR="00EA6A67" w:rsidRPr="000971AE" w14:paraId="5E8AEF38" w14:textId="77777777" w:rsidTr="0030533C">
        <w:tc>
          <w:tcPr>
            <w:tcW w:w="496" w:type="dxa"/>
            <w:vMerge/>
            <w:tcMar>
              <w:top w:w="0" w:type="dxa"/>
              <w:left w:w="108" w:type="dxa"/>
              <w:bottom w:w="0" w:type="dxa"/>
              <w:right w:w="108" w:type="dxa"/>
            </w:tcMar>
          </w:tcPr>
          <w:p w14:paraId="3F1084A1" w14:textId="77777777" w:rsidR="00EA6A67" w:rsidRPr="000971AE" w:rsidRDefault="00EA6A67" w:rsidP="0030533C">
            <w:pPr>
              <w:pBdr>
                <w:top w:val="nil"/>
                <w:left w:val="nil"/>
                <w:bottom w:val="nil"/>
                <w:right w:val="nil"/>
                <w:between w:val="nil"/>
              </w:pBdr>
              <w:suppressAutoHyphens w:val="0"/>
              <w:spacing w:before="40" w:after="40" w:line="220" w:lineRule="exact"/>
              <w:rPr>
                <w:sz w:val="18"/>
                <w:szCs w:val="24"/>
                <w:lang w:val="en-US" w:eastAsia="ru-MD"/>
              </w:rPr>
            </w:pPr>
          </w:p>
        </w:tc>
        <w:tc>
          <w:tcPr>
            <w:tcW w:w="2274" w:type="dxa"/>
            <w:vMerge/>
            <w:tcMar>
              <w:top w:w="0" w:type="dxa"/>
              <w:left w:w="108" w:type="dxa"/>
              <w:bottom w:w="0" w:type="dxa"/>
              <w:right w:w="108" w:type="dxa"/>
            </w:tcMar>
            <w:vAlign w:val="bottom"/>
          </w:tcPr>
          <w:p w14:paraId="77BCE110" w14:textId="77777777" w:rsidR="00EA6A67" w:rsidRPr="000971AE" w:rsidRDefault="00EA6A67" w:rsidP="0030533C">
            <w:pPr>
              <w:pBdr>
                <w:top w:val="nil"/>
                <w:left w:val="nil"/>
                <w:bottom w:val="nil"/>
                <w:right w:val="nil"/>
                <w:between w:val="nil"/>
              </w:pBdr>
              <w:suppressAutoHyphens w:val="0"/>
              <w:spacing w:before="40" w:after="40" w:line="220" w:lineRule="exact"/>
              <w:jc w:val="right"/>
              <w:rPr>
                <w:sz w:val="18"/>
                <w:szCs w:val="24"/>
                <w:lang w:val="en-US" w:eastAsia="ru-MD"/>
              </w:rPr>
            </w:pPr>
          </w:p>
        </w:tc>
        <w:tc>
          <w:tcPr>
            <w:tcW w:w="2512" w:type="dxa"/>
            <w:tcMar>
              <w:top w:w="0" w:type="dxa"/>
              <w:left w:w="108" w:type="dxa"/>
              <w:bottom w:w="0" w:type="dxa"/>
              <w:right w:w="108" w:type="dxa"/>
            </w:tcMar>
            <w:vAlign w:val="bottom"/>
          </w:tcPr>
          <w:p w14:paraId="24131515"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mental/psychic</w:t>
            </w:r>
          </w:p>
        </w:tc>
        <w:tc>
          <w:tcPr>
            <w:tcW w:w="1033" w:type="dxa"/>
            <w:tcMar>
              <w:top w:w="0" w:type="dxa"/>
              <w:left w:w="108" w:type="dxa"/>
              <w:bottom w:w="0" w:type="dxa"/>
              <w:right w:w="108" w:type="dxa"/>
            </w:tcMar>
            <w:vAlign w:val="bottom"/>
          </w:tcPr>
          <w:p w14:paraId="0B1C7A42"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46</w:t>
            </w:r>
          </w:p>
        </w:tc>
      </w:tr>
      <w:tr w:rsidR="00EA6A67" w:rsidRPr="000971AE" w14:paraId="4F016531" w14:textId="77777777" w:rsidTr="0030533C">
        <w:tc>
          <w:tcPr>
            <w:tcW w:w="496" w:type="dxa"/>
            <w:vMerge/>
            <w:tcMar>
              <w:top w:w="0" w:type="dxa"/>
              <w:left w:w="108" w:type="dxa"/>
              <w:bottom w:w="0" w:type="dxa"/>
              <w:right w:w="108" w:type="dxa"/>
            </w:tcMar>
          </w:tcPr>
          <w:p w14:paraId="13082EDC" w14:textId="77777777" w:rsidR="00EA6A67" w:rsidRPr="000971AE" w:rsidRDefault="00EA6A67" w:rsidP="0030533C">
            <w:pPr>
              <w:pBdr>
                <w:top w:val="nil"/>
                <w:left w:val="nil"/>
                <w:bottom w:val="nil"/>
                <w:right w:val="nil"/>
                <w:between w:val="nil"/>
              </w:pBdr>
              <w:suppressAutoHyphens w:val="0"/>
              <w:spacing w:before="40" w:after="40" w:line="220" w:lineRule="exact"/>
              <w:rPr>
                <w:sz w:val="18"/>
                <w:szCs w:val="24"/>
                <w:lang w:val="en-US" w:eastAsia="ru-MD"/>
              </w:rPr>
            </w:pPr>
          </w:p>
        </w:tc>
        <w:tc>
          <w:tcPr>
            <w:tcW w:w="2274" w:type="dxa"/>
            <w:vMerge/>
            <w:tcMar>
              <w:top w:w="0" w:type="dxa"/>
              <w:left w:w="108" w:type="dxa"/>
              <w:bottom w:w="0" w:type="dxa"/>
              <w:right w:w="108" w:type="dxa"/>
            </w:tcMar>
            <w:vAlign w:val="bottom"/>
          </w:tcPr>
          <w:p w14:paraId="3BFA5689" w14:textId="77777777" w:rsidR="00EA6A67" w:rsidRPr="000971AE" w:rsidRDefault="00EA6A67" w:rsidP="0030533C">
            <w:pPr>
              <w:pBdr>
                <w:top w:val="nil"/>
                <w:left w:val="nil"/>
                <w:bottom w:val="nil"/>
                <w:right w:val="nil"/>
                <w:between w:val="nil"/>
              </w:pBdr>
              <w:suppressAutoHyphens w:val="0"/>
              <w:spacing w:before="40" w:after="40" w:line="220" w:lineRule="exact"/>
              <w:jc w:val="right"/>
              <w:rPr>
                <w:sz w:val="18"/>
                <w:szCs w:val="24"/>
                <w:lang w:val="en-US" w:eastAsia="ru-MD"/>
              </w:rPr>
            </w:pPr>
          </w:p>
        </w:tc>
        <w:tc>
          <w:tcPr>
            <w:tcW w:w="2512" w:type="dxa"/>
            <w:tcMar>
              <w:top w:w="0" w:type="dxa"/>
              <w:left w:w="108" w:type="dxa"/>
              <w:bottom w:w="0" w:type="dxa"/>
              <w:right w:w="108" w:type="dxa"/>
            </w:tcMar>
            <w:vAlign w:val="bottom"/>
          </w:tcPr>
          <w:p w14:paraId="0DD68A7B"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intellectual/ neuropsychiatric disorders</w:t>
            </w:r>
          </w:p>
        </w:tc>
        <w:tc>
          <w:tcPr>
            <w:tcW w:w="1033" w:type="dxa"/>
            <w:tcMar>
              <w:top w:w="0" w:type="dxa"/>
              <w:left w:w="108" w:type="dxa"/>
              <w:bottom w:w="0" w:type="dxa"/>
              <w:right w:w="108" w:type="dxa"/>
            </w:tcMar>
            <w:vAlign w:val="bottom"/>
          </w:tcPr>
          <w:p w14:paraId="7A8B59CF"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29</w:t>
            </w:r>
          </w:p>
        </w:tc>
      </w:tr>
      <w:tr w:rsidR="00EA6A67" w:rsidRPr="000971AE" w14:paraId="5928C441" w14:textId="77777777" w:rsidTr="0030533C">
        <w:tc>
          <w:tcPr>
            <w:tcW w:w="496" w:type="dxa"/>
            <w:vMerge/>
            <w:tcMar>
              <w:top w:w="0" w:type="dxa"/>
              <w:left w:w="108" w:type="dxa"/>
              <w:bottom w:w="0" w:type="dxa"/>
              <w:right w:w="108" w:type="dxa"/>
            </w:tcMar>
          </w:tcPr>
          <w:p w14:paraId="0393E08C" w14:textId="77777777" w:rsidR="00EA6A67" w:rsidRPr="000971AE" w:rsidRDefault="00EA6A67" w:rsidP="0030533C">
            <w:pPr>
              <w:pBdr>
                <w:top w:val="nil"/>
                <w:left w:val="nil"/>
                <w:bottom w:val="nil"/>
                <w:right w:val="nil"/>
                <w:between w:val="nil"/>
              </w:pBdr>
              <w:suppressAutoHyphens w:val="0"/>
              <w:spacing w:before="40" w:after="40" w:line="220" w:lineRule="exact"/>
              <w:rPr>
                <w:sz w:val="18"/>
                <w:szCs w:val="24"/>
                <w:lang w:val="en-US" w:eastAsia="ru-MD"/>
              </w:rPr>
            </w:pPr>
          </w:p>
        </w:tc>
        <w:tc>
          <w:tcPr>
            <w:tcW w:w="2274" w:type="dxa"/>
            <w:vMerge/>
            <w:tcMar>
              <w:top w:w="0" w:type="dxa"/>
              <w:left w:w="108" w:type="dxa"/>
              <w:bottom w:w="0" w:type="dxa"/>
              <w:right w:w="108" w:type="dxa"/>
            </w:tcMar>
            <w:vAlign w:val="bottom"/>
          </w:tcPr>
          <w:p w14:paraId="5B1A02DF" w14:textId="77777777" w:rsidR="00EA6A67" w:rsidRPr="000971AE" w:rsidRDefault="00EA6A67" w:rsidP="0030533C">
            <w:pPr>
              <w:pBdr>
                <w:top w:val="nil"/>
                <w:left w:val="nil"/>
                <w:bottom w:val="nil"/>
                <w:right w:val="nil"/>
                <w:between w:val="nil"/>
              </w:pBdr>
              <w:suppressAutoHyphens w:val="0"/>
              <w:spacing w:before="40" w:after="40" w:line="220" w:lineRule="exact"/>
              <w:jc w:val="right"/>
              <w:rPr>
                <w:sz w:val="18"/>
                <w:szCs w:val="24"/>
                <w:lang w:val="en-US" w:eastAsia="ru-MD"/>
              </w:rPr>
            </w:pPr>
          </w:p>
        </w:tc>
        <w:tc>
          <w:tcPr>
            <w:tcW w:w="2512" w:type="dxa"/>
            <w:tcMar>
              <w:top w:w="0" w:type="dxa"/>
              <w:left w:w="108" w:type="dxa"/>
              <w:bottom w:w="0" w:type="dxa"/>
              <w:right w:w="108" w:type="dxa"/>
            </w:tcMar>
            <w:vAlign w:val="bottom"/>
          </w:tcPr>
          <w:p w14:paraId="0FECFEB4"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associated</w:t>
            </w:r>
          </w:p>
        </w:tc>
        <w:tc>
          <w:tcPr>
            <w:tcW w:w="1033" w:type="dxa"/>
            <w:tcMar>
              <w:top w:w="0" w:type="dxa"/>
              <w:left w:w="108" w:type="dxa"/>
              <w:bottom w:w="0" w:type="dxa"/>
              <w:right w:w="108" w:type="dxa"/>
            </w:tcMar>
            <w:vAlign w:val="bottom"/>
          </w:tcPr>
          <w:p w14:paraId="11F40321"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118</w:t>
            </w:r>
          </w:p>
        </w:tc>
      </w:tr>
      <w:tr w:rsidR="00EA6A67" w:rsidRPr="000971AE" w14:paraId="72218B39" w14:textId="77777777" w:rsidTr="0030533C">
        <w:tc>
          <w:tcPr>
            <w:tcW w:w="496" w:type="dxa"/>
            <w:tcBorders>
              <w:bottom w:val="single" w:sz="12" w:space="0" w:color="auto"/>
            </w:tcBorders>
            <w:tcMar>
              <w:top w:w="0" w:type="dxa"/>
              <w:left w:w="108" w:type="dxa"/>
              <w:bottom w:w="0" w:type="dxa"/>
              <w:right w:w="108" w:type="dxa"/>
            </w:tcMar>
          </w:tcPr>
          <w:p w14:paraId="0BFDE575" w14:textId="77777777" w:rsidR="00EA6A67" w:rsidRPr="000971AE" w:rsidRDefault="00EA6A67" w:rsidP="0030533C">
            <w:pPr>
              <w:suppressAutoHyphens w:val="0"/>
              <w:spacing w:before="40" w:after="40" w:line="220" w:lineRule="exact"/>
              <w:rPr>
                <w:sz w:val="18"/>
                <w:szCs w:val="24"/>
                <w:lang w:val="en-US" w:eastAsia="ru-MD"/>
              </w:rPr>
            </w:pPr>
            <w:r w:rsidRPr="000971AE">
              <w:rPr>
                <w:sz w:val="18"/>
                <w:szCs w:val="24"/>
                <w:lang w:val="en-US" w:eastAsia="ru-MD"/>
              </w:rPr>
              <w:t>7.</w:t>
            </w:r>
          </w:p>
        </w:tc>
        <w:tc>
          <w:tcPr>
            <w:tcW w:w="4786" w:type="dxa"/>
            <w:gridSpan w:val="2"/>
            <w:tcBorders>
              <w:bottom w:val="single" w:sz="12" w:space="0" w:color="auto"/>
            </w:tcBorders>
            <w:tcMar>
              <w:top w:w="0" w:type="dxa"/>
              <w:left w:w="108" w:type="dxa"/>
              <w:bottom w:w="0" w:type="dxa"/>
              <w:right w:w="108" w:type="dxa"/>
            </w:tcMar>
            <w:vAlign w:val="bottom"/>
          </w:tcPr>
          <w:p w14:paraId="265865F0"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Personal assistants (from prisoners)</w:t>
            </w:r>
          </w:p>
        </w:tc>
        <w:tc>
          <w:tcPr>
            <w:tcW w:w="1033" w:type="dxa"/>
            <w:tcBorders>
              <w:bottom w:val="single" w:sz="12" w:space="0" w:color="auto"/>
            </w:tcBorders>
            <w:tcMar>
              <w:top w:w="0" w:type="dxa"/>
              <w:left w:w="108" w:type="dxa"/>
              <w:bottom w:w="0" w:type="dxa"/>
              <w:right w:w="108" w:type="dxa"/>
            </w:tcMar>
            <w:vAlign w:val="bottom"/>
          </w:tcPr>
          <w:p w14:paraId="284B7704" w14:textId="77777777" w:rsidR="00EA6A67" w:rsidRPr="000971AE" w:rsidRDefault="00EA6A67" w:rsidP="0030533C">
            <w:pPr>
              <w:suppressAutoHyphens w:val="0"/>
              <w:spacing w:before="40" w:after="40" w:line="220" w:lineRule="exact"/>
              <w:jc w:val="right"/>
              <w:rPr>
                <w:sz w:val="18"/>
                <w:szCs w:val="24"/>
                <w:lang w:val="en-US" w:eastAsia="ru-MD"/>
              </w:rPr>
            </w:pPr>
            <w:r w:rsidRPr="000971AE">
              <w:rPr>
                <w:sz w:val="18"/>
                <w:szCs w:val="24"/>
                <w:lang w:val="en-US" w:eastAsia="ru-MD"/>
              </w:rPr>
              <w:t>16</w:t>
            </w:r>
          </w:p>
        </w:tc>
      </w:tr>
    </w:tbl>
    <w:p w14:paraId="68E38966" w14:textId="77777777" w:rsidR="00C81728" w:rsidRPr="000971AE" w:rsidRDefault="00C81728" w:rsidP="00C81728">
      <w:pPr>
        <w:pStyle w:val="SingleTxtG"/>
        <w:rPr>
          <w:lang w:val="en-US" w:eastAsia="ru-MD"/>
        </w:rPr>
      </w:pPr>
    </w:p>
    <w:p w14:paraId="0BE70172" w14:textId="1074B8D5"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Within the penitentiary institutions there are:</w:t>
      </w:r>
    </w:p>
    <w:p w14:paraId="382F3015" w14:textId="77777777" w:rsidR="00EA6A67" w:rsidRPr="000971AE" w:rsidRDefault="00EA6A67" w:rsidP="00C81728">
      <w:pPr>
        <w:pStyle w:val="Bullet1G"/>
        <w:rPr>
          <w:lang w:val="en-US" w:eastAsia="ru-MD"/>
        </w:rPr>
      </w:pPr>
      <w:r w:rsidRPr="000971AE">
        <w:rPr>
          <w:lang w:val="en-US" w:eastAsia="ru-MD"/>
        </w:rPr>
        <w:t>945 persons - with mental disorders, including 3 minors;</w:t>
      </w:r>
    </w:p>
    <w:p w14:paraId="05545BEA" w14:textId="77777777" w:rsidR="00EA6A67" w:rsidRPr="000971AE" w:rsidRDefault="00EA6A67" w:rsidP="00C81728">
      <w:pPr>
        <w:pStyle w:val="Bullet1G"/>
        <w:rPr>
          <w:lang w:val="en-US" w:eastAsia="ru-MD"/>
        </w:rPr>
      </w:pPr>
      <w:r w:rsidRPr="000971AE">
        <w:rPr>
          <w:lang w:val="en-US" w:eastAsia="ru-MD"/>
        </w:rPr>
        <w:t>683 persons - with personality and behavioral disorders, including 3 minors;</w:t>
      </w:r>
    </w:p>
    <w:p w14:paraId="1056E206" w14:textId="77777777" w:rsidR="00EA6A67" w:rsidRPr="000971AE" w:rsidRDefault="00EA6A67" w:rsidP="00C81728">
      <w:pPr>
        <w:pStyle w:val="Bullet1G"/>
        <w:rPr>
          <w:lang w:val="en-US" w:eastAsia="ru-MD"/>
        </w:rPr>
      </w:pPr>
      <w:r w:rsidRPr="000971AE">
        <w:rPr>
          <w:lang w:val="en-US" w:eastAsia="ru-MD"/>
        </w:rPr>
        <w:t>105 person - with intellectual disability, including 5 minors.</w:t>
      </w:r>
    </w:p>
    <w:p w14:paraId="6CBF8C23" w14:textId="60AEC976" w:rsidR="00AB0304" w:rsidRPr="000971AE" w:rsidRDefault="00C81728" w:rsidP="00AB0304">
      <w:pPr>
        <w:pStyle w:val="H1G"/>
        <w:rPr>
          <w:lang w:val="en-US" w:eastAsia="ru-MD"/>
        </w:rPr>
      </w:pPr>
      <w:r w:rsidRPr="000971AE">
        <w:rPr>
          <w:lang w:val="en-US" w:eastAsia="ru-MD"/>
        </w:rPr>
        <w:tab/>
      </w:r>
      <w:r w:rsidRPr="000971AE">
        <w:rPr>
          <w:lang w:val="en-US" w:eastAsia="ru-MD"/>
        </w:rPr>
        <w:tab/>
      </w:r>
      <w:r w:rsidR="00AB0304" w:rsidRPr="000971AE">
        <w:rPr>
          <w:lang w:val="en-US" w:eastAsia="ru-MD"/>
        </w:rPr>
        <w:t>Reply to paragraph 10 (g) of the list of issues</w:t>
      </w:r>
    </w:p>
    <w:p w14:paraId="7029B4A0" w14:textId="2891F846"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 xml:space="preserve">In order to increase procedural guarantees for prosecuted persons, including persons with disabilities, RM is to further align its legislation with the EU acquis, which also includes specific regulations on the procedural rights of persons with disabilities. </w:t>
      </w:r>
    </w:p>
    <w:p w14:paraId="0B036407" w14:textId="66291CA8" w:rsidR="00EA6A67" w:rsidRPr="000971AE" w:rsidRDefault="00EA6A67" w:rsidP="003251EC">
      <w:pPr>
        <w:pStyle w:val="H1G"/>
        <w:rPr>
          <w:lang w:val="en-US" w:eastAsia="ru-MD"/>
        </w:rPr>
      </w:pPr>
      <w:r w:rsidRPr="000971AE">
        <w:rPr>
          <w:lang w:val="en-US" w:eastAsia="ru-MD"/>
        </w:rPr>
        <w:tab/>
      </w:r>
      <w:r w:rsidR="003251EC" w:rsidRPr="000971AE">
        <w:rPr>
          <w:lang w:val="en-US" w:eastAsia="ru-MD"/>
        </w:rPr>
        <w:tab/>
      </w:r>
      <w:r w:rsidR="003251EC" w:rsidRPr="000971AE">
        <w:rPr>
          <w:lang w:val="en-US" w:eastAsia="ru-MD"/>
        </w:rPr>
        <w:tab/>
      </w:r>
      <w:r w:rsidRPr="000971AE">
        <w:rPr>
          <w:lang w:val="en-US" w:eastAsia="ru-MD"/>
        </w:rPr>
        <w:t>Article 15</w:t>
      </w:r>
      <w:r w:rsidR="00EA4EEC">
        <w:rPr>
          <w:lang w:val="en-US" w:eastAsia="ru-MD"/>
        </w:rPr>
        <w:br/>
      </w:r>
      <w:r w:rsidRPr="000971AE">
        <w:rPr>
          <w:lang w:val="en-US" w:eastAsia="ru-MD"/>
        </w:rPr>
        <w:t>Freedom from torture or cruel, inhuman, or degrading treatment or punishment</w:t>
      </w:r>
    </w:p>
    <w:p w14:paraId="7FB938B3" w14:textId="5CCD9318" w:rsidR="00AB0304" w:rsidRPr="000971AE" w:rsidRDefault="00030949" w:rsidP="00AB0304">
      <w:pPr>
        <w:pStyle w:val="H1G"/>
        <w:rPr>
          <w:lang w:val="en-US" w:eastAsia="ru-MD"/>
        </w:rPr>
      </w:pPr>
      <w:r w:rsidRPr="000971AE">
        <w:rPr>
          <w:lang w:val="en-US" w:eastAsia="ru-MD"/>
        </w:rPr>
        <w:tab/>
      </w:r>
      <w:r w:rsidRPr="000971AE">
        <w:rPr>
          <w:lang w:val="en-US" w:eastAsia="ru-MD"/>
        </w:rPr>
        <w:tab/>
      </w:r>
      <w:r w:rsidR="00AB0304" w:rsidRPr="000971AE">
        <w:rPr>
          <w:lang w:val="en-US" w:eastAsia="ru-MD"/>
        </w:rPr>
        <w:t>Reply to paragraph 1</w:t>
      </w:r>
      <w:r w:rsidR="00D00E7D" w:rsidRPr="000971AE">
        <w:rPr>
          <w:lang w:val="en-US" w:eastAsia="ru-MD"/>
        </w:rPr>
        <w:t>1</w:t>
      </w:r>
      <w:r w:rsidR="00AB0304" w:rsidRPr="000971AE">
        <w:rPr>
          <w:lang w:val="en-US" w:eastAsia="ru-MD"/>
        </w:rPr>
        <w:t xml:space="preserve"> (</w:t>
      </w:r>
      <w:r w:rsidR="00D00E7D" w:rsidRPr="000971AE">
        <w:rPr>
          <w:lang w:val="en-US" w:eastAsia="ru-MD"/>
        </w:rPr>
        <w:t>a</w:t>
      </w:r>
      <w:r w:rsidR="00AB0304" w:rsidRPr="000971AE">
        <w:rPr>
          <w:lang w:val="en-US" w:eastAsia="ru-MD"/>
        </w:rPr>
        <w:t>) of the list of issues</w:t>
      </w:r>
    </w:p>
    <w:p w14:paraId="1C210470" w14:textId="7DCAF22F"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An Interinstitutional Working Group was established in 2024 to identify and remediate the deficiencies in application of the Regulation on Torture, Inhuman or Degrading Treatment. ANP has established the Electronic Register (Order 150/2024) for rapid documentation of cases of injuries, physical force or other ill-treatment, with automatic reporting to the Prosecutor's Office and the OAP. The skills of involved staff have been strengthened; GD  164/2024 provides for the reporting of all situations with medical data protection.</w:t>
      </w:r>
    </w:p>
    <w:p w14:paraId="3F341A15" w14:textId="5A4ED03E" w:rsidR="00D00E7D" w:rsidRPr="000971AE" w:rsidRDefault="004754DD" w:rsidP="00D00E7D">
      <w:pPr>
        <w:pStyle w:val="H1G"/>
        <w:rPr>
          <w:lang w:val="en-US" w:eastAsia="ru-MD"/>
        </w:rPr>
      </w:pPr>
      <w:r w:rsidRPr="000971AE">
        <w:rPr>
          <w:lang w:val="en-US" w:eastAsia="ru-MD"/>
        </w:rPr>
        <w:tab/>
      </w:r>
      <w:r w:rsidRPr="000971AE">
        <w:rPr>
          <w:lang w:val="en-US" w:eastAsia="ru-MD"/>
        </w:rPr>
        <w:tab/>
      </w:r>
      <w:r w:rsidR="00D00E7D" w:rsidRPr="000971AE">
        <w:rPr>
          <w:lang w:val="en-US" w:eastAsia="ru-MD"/>
        </w:rPr>
        <w:t>Reply to paragraph 11 (b) of the list of issues</w:t>
      </w:r>
    </w:p>
    <w:p w14:paraId="39B3F064" w14:textId="1FF72307"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In 2025, members of the Mechanism carried out a monitoring visit to the Provisional Detention Isolator of the Police Directorate of Chisinau municipality, adapted for the detention of people with physical disabilities.</w:t>
      </w:r>
    </w:p>
    <w:p w14:paraId="5DE96153" w14:textId="50255C8F" w:rsidR="00D00E7D" w:rsidRPr="000971AE" w:rsidRDefault="004754DD" w:rsidP="00D00E7D">
      <w:pPr>
        <w:pStyle w:val="H1G"/>
        <w:rPr>
          <w:lang w:val="en-US" w:eastAsia="ru-MD"/>
        </w:rPr>
      </w:pPr>
      <w:r w:rsidRPr="000971AE">
        <w:rPr>
          <w:lang w:val="en-US" w:eastAsia="ru-MD"/>
        </w:rPr>
        <w:tab/>
      </w:r>
      <w:r w:rsidRPr="000971AE">
        <w:rPr>
          <w:lang w:val="en-US" w:eastAsia="ru-MD"/>
        </w:rPr>
        <w:tab/>
      </w:r>
      <w:r w:rsidR="00D00E7D" w:rsidRPr="000971AE">
        <w:rPr>
          <w:lang w:val="en-US" w:eastAsia="ru-MD"/>
        </w:rPr>
        <w:t>Reply to paragraph 11 (c) of the list of issues</w:t>
      </w:r>
    </w:p>
    <w:p w14:paraId="4719EC8B" w14:textId="7F44DECE" w:rsidR="00EA6A67" w:rsidRPr="000971AE" w:rsidRDefault="00EA6A67" w:rsidP="006F51E6">
      <w:pPr>
        <w:pStyle w:val="SingleTxtG"/>
        <w:numPr>
          <w:ilvl w:val="0"/>
          <w:numId w:val="31"/>
        </w:numPr>
        <w:tabs>
          <w:tab w:val="clear" w:pos="2268"/>
          <w:tab w:val="clear" w:pos="2835"/>
        </w:tabs>
        <w:ind w:left="1134" w:firstLine="0"/>
        <w:rPr>
          <w:lang w:val="en-US" w:eastAsia="ru-MD"/>
        </w:rPr>
      </w:pPr>
      <w:r w:rsidRPr="000971AE">
        <w:rPr>
          <w:lang w:val="en-US" w:eastAsia="ru-MD"/>
        </w:rPr>
        <w:t>All ATAS units reaffirm their commitment to support integration of the disability dimension into the legal and institutional framework for the prevention, reporting and investigation of cases of torture and other forms of inhuman or degrading treatment, thereby contributing to ensuring equitable access and effective protection for all persons with disabilities.</w:t>
      </w:r>
    </w:p>
    <w:p w14:paraId="3AB43EA4" w14:textId="4961F34E" w:rsidR="00D00E7D" w:rsidRPr="000971AE" w:rsidRDefault="004754DD" w:rsidP="00D00E7D">
      <w:pPr>
        <w:pStyle w:val="H1G"/>
        <w:rPr>
          <w:lang w:val="en-US" w:eastAsia="ru-MD"/>
        </w:rPr>
      </w:pPr>
      <w:r w:rsidRPr="000971AE">
        <w:rPr>
          <w:lang w:val="en-US" w:eastAsia="ru-MD"/>
        </w:rPr>
        <w:tab/>
      </w:r>
      <w:r w:rsidRPr="000971AE">
        <w:rPr>
          <w:lang w:val="en-US" w:eastAsia="ru-MD"/>
        </w:rPr>
        <w:tab/>
      </w:r>
      <w:r w:rsidR="00D00E7D" w:rsidRPr="000971AE">
        <w:rPr>
          <w:lang w:val="en-US" w:eastAsia="ru-MD"/>
        </w:rPr>
        <w:t>Reply to paragraph 11 (d) of the list of issues</w:t>
      </w:r>
    </w:p>
    <w:p w14:paraId="48945D86" w14:textId="35DAAFFA"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The pre-trial detention isolators in Chisinau, Hincesti, Cahul and Balti have been adapted for the accessibility of persons with locomotor disabilities, and the Ministry of Internal Affairs undertakes to equip them with adapted wheelchairs and special vehicles. ATAS RACs support the elimination of non-consensual practices for people with intellectual or psychosocial disabilities and promote measures focused on respect, consent and inclusion.</w:t>
      </w:r>
    </w:p>
    <w:p w14:paraId="7ED4AD06" w14:textId="36B4D300" w:rsidR="00EA6A67" w:rsidRPr="000971AE" w:rsidRDefault="00EA6A67" w:rsidP="003251EC">
      <w:pPr>
        <w:pStyle w:val="H1G"/>
        <w:rPr>
          <w:lang w:val="en-US" w:eastAsia="ru-MD"/>
        </w:rPr>
      </w:pPr>
      <w:r w:rsidRPr="000971AE">
        <w:rPr>
          <w:lang w:val="en-US" w:eastAsia="ru-MD"/>
        </w:rPr>
        <w:tab/>
      </w:r>
      <w:r w:rsidR="003251EC" w:rsidRPr="000971AE">
        <w:rPr>
          <w:lang w:val="en-US" w:eastAsia="ru-MD"/>
        </w:rPr>
        <w:tab/>
      </w:r>
      <w:r w:rsidR="003251EC" w:rsidRPr="000971AE">
        <w:rPr>
          <w:lang w:val="en-US" w:eastAsia="ru-MD"/>
        </w:rPr>
        <w:tab/>
      </w:r>
      <w:r w:rsidRPr="000971AE">
        <w:rPr>
          <w:lang w:val="en-US" w:eastAsia="ru-MD"/>
        </w:rPr>
        <w:t>Article 16</w:t>
      </w:r>
      <w:r w:rsidR="00FC33FA">
        <w:rPr>
          <w:lang w:val="en-US" w:eastAsia="ru-MD"/>
        </w:rPr>
        <w:br/>
      </w:r>
      <w:r w:rsidRPr="000971AE">
        <w:rPr>
          <w:lang w:val="en-US" w:eastAsia="ru-MD"/>
        </w:rPr>
        <w:t>Freedom from exploitation, violence and abuse</w:t>
      </w:r>
    </w:p>
    <w:p w14:paraId="4151CBB7" w14:textId="3A18D6E0" w:rsidR="00D00E7D" w:rsidRPr="000971AE" w:rsidRDefault="004754DD" w:rsidP="00D00E7D">
      <w:pPr>
        <w:pStyle w:val="H1G"/>
        <w:rPr>
          <w:lang w:val="en-US" w:eastAsia="ru-MD"/>
        </w:rPr>
      </w:pPr>
      <w:r w:rsidRPr="000971AE">
        <w:rPr>
          <w:lang w:val="en-US" w:eastAsia="ru-MD"/>
        </w:rPr>
        <w:tab/>
      </w:r>
      <w:r w:rsidRPr="000971AE">
        <w:rPr>
          <w:lang w:val="en-US" w:eastAsia="ru-MD"/>
        </w:rPr>
        <w:tab/>
      </w:r>
      <w:r w:rsidR="00D00E7D" w:rsidRPr="000971AE">
        <w:rPr>
          <w:lang w:val="en-US" w:eastAsia="ru-MD"/>
        </w:rPr>
        <w:t>Reply to paragraph 12 (a) of the list of issues</w:t>
      </w:r>
    </w:p>
    <w:p w14:paraId="3FFECD18" w14:textId="09411B9C"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 xml:space="preserve">Police inspectorates shall work with the STAS, the Public Prosecutor's Office, courts and NGOs to ensure coordinated intervention and support to victims, in particular young women with disabilities, through psychological counselling, free legal aid and vocational training programmes. Law 256/2023 and GD  332/2023 prioritize the protection of vulnerable groups, and GD  822/2024 created the "Register of aggressors" to streamline interventions.  </w:t>
      </w:r>
    </w:p>
    <w:p w14:paraId="42619AD6" w14:textId="1F11D3E7" w:rsidR="00D00E7D" w:rsidRPr="000971AE" w:rsidRDefault="004754DD" w:rsidP="00D00E7D">
      <w:pPr>
        <w:pStyle w:val="H1G"/>
        <w:rPr>
          <w:lang w:val="en-US" w:eastAsia="ru-MD"/>
        </w:rPr>
      </w:pPr>
      <w:r w:rsidRPr="000971AE">
        <w:rPr>
          <w:lang w:val="en-US" w:eastAsia="ru-MD"/>
        </w:rPr>
        <w:tab/>
      </w:r>
      <w:r w:rsidRPr="000971AE">
        <w:rPr>
          <w:lang w:val="en-US" w:eastAsia="ru-MD"/>
        </w:rPr>
        <w:tab/>
      </w:r>
      <w:r w:rsidR="00D00E7D" w:rsidRPr="000971AE">
        <w:rPr>
          <w:lang w:val="en-US" w:eastAsia="ru-MD"/>
        </w:rPr>
        <w:t>Reply to paragraph 12 (b) of the list of issues</w:t>
      </w:r>
    </w:p>
    <w:p w14:paraId="2D0EECC2" w14:textId="35183A38"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The NIJ organised training sessions for judges, prosecutors and specialists, focusing on non-discrimination, equal opportunities and combating gender-based violence, domestic violence, children's rights and the particularities of sexual crimes, both physical and online. Law 45/2007 has been updated to include protection against digital and institutional violence. In 2025, 2,845 restraining orders and 105 requests for protection ordinances were issued, and ATAS implemented measures to prevent violence and abuse against people with disabilities in social services.</w:t>
      </w:r>
    </w:p>
    <w:p w14:paraId="3202F641" w14:textId="1C99D9F2" w:rsidR="00D00E7D" w:rsidRPr="000971AE" w:rsidRDefault="004754DD" w:rsidP="00D00E7D">
      <w:pPr>
        <w:pStyle w:val="H1G"/>
        <w:rPr>
          <w:lang w:val="en-US" w:eastAsia="ru-MD"/>
        </w:rPr>
      </w:pPr>
      <w:r w:rsidRPr="000971AE">
        <w:rPr>
          <w:lang w:val="en-US" w:eastAsia="ru-MD"/>
        </w:rPr>
        <w:tab/>
      </w:r>
      <w:r w:rsidRPr="000971AE">
        <w:rPr>
          <w:lang w:val="en-US" w:eastAsia="ru-MD"/>
        </w:rPr>
        <w:tab/>
      </w:r>
      <w:r w:rsidR="00D00E7D" w:rsidRPr="000971AE">
        <w:rPr>
          <w:lang w:val="en-US" w:eastAsia="ru-MD"/>
        </w:rPr>
        <w:t>Reply to paragraph 12 (c) of the list of issues</w:t>
      </w:r>
    </w:p>
    <w:p w14:paraId="309D9C8E" w14:textId="01E3BCAF"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For an effective implementation of prevention and combatting domestic violence, the IGM applies the provisions of the GPI Order 93/2023. In the investigation of each case, the ascertaining officer completes the questionnaire for finding and assessing the risk, as well as the risk of lethality, for the early identification of the danger. ATAS are actively involved in strengthening an early and coherent intervention framework to prevent and combat violence against persons with disabilities. The actions are aimed, also, to fully supporting victims in the process of recovery and access to justice.</w:t>
      </w:r>
    </w:p>
    <w:p w14:paraId="298BB167" w14:textId="0BEDB075" w:rsidR="00EA6A67" w:rsidRPr="000971AE" w:rsidRDefault="00EA6A67" w:rsidP="003251EC">
      <w:pPr>
        <w:pStyle w:val="H1G"/>
        <w:rPr>
          <w:lang w:val="en-US" w:eastAsia="ru-MD"/>
        </w:rPr>
      </w:pPr>
      <w:r w:rsidRPr="000971AE">
        <w:rPr>
          <w:rFonts w:ascii="Calibri" w:eastAsia="Calibri" w:hAnsi="Calibri" w:cs="Calibri"/>
          <w:sz w:val="22"/>
          <w:szCs w:val="22"/>
          <w:lang w:val="en-US" w:eastAsia="ru-MD"/>
        </w:rPr>
        <w:tab/>
      </w:r>
      <w:r w:rsidR="003251EC" w:rsidRPr="000971AE">
        <w:rPr>
          <w:rFonts w:ascii="Calibri" w:eastAsia="Calibri" w:hAnsi="Calibri" w:cs="Calibri"/>
          <w:sz w:val="22"/>
          <w:szCs w:val="22"/>
          <w:lang w:val="en-US" w:eastAsia="ru-MD"/>
        </w:rPr>
        <w:tab/>
      </w:r>
      <w:r w:rsidR="003251EC" w:rsidRPr="000971AE">
        <w:rPr>
          <w:rFonts w:ascii="Calibri" w:eastAsia="Calibri" w:hAnsi="Calibri" w:cs="Calibri"/>
          <w:sz w:val="22"/>
          <w:szCs w:val="22"/>
          <w:lang w:val="en-US" w:eastAsia="ru-MD"/>
        </w:rPr>
        <w:tab/>
      </w:r>
      <w:r w:rsidRPr="000971AE">
        <w:rPr>
          <w:lang w:val="en-US" w:eastAsia="ru-MD"/>
        </w:rPr>
        <w:t>Article 17</w:t>
      </w:r>
      <w:r w:rsidR="00FC33FA">
        <w:rPr>
          <w:lang w:val="en-US" w:eastAsia="ru-MD"/>
        </w:rPr>
        <w:br/>
      </w:r>
      <w:r w:rsidRPr="000971AE">
        <w:rPr>
          <w:lang w:val="en-US" w:eastAsia="ru-MD"/>
        </w:rPr>
        <w:t>Protecting the integrity of the person</w:t>
      </w:r>
    </w:p>
    <w:p w14:paraId="3A5503BD" w14:textId="6AD63762" w:rsidR="004614D6" w:rsidRPr="000971AE" w:rsidRDefault="004754DD" w:rsidP="004614D6">
      <w:pPr>
        <w:pStyle w:val="H1G"/>
        <w:rPr>
          <w:lang w:val="en-US" w:eastAsia="ru-MD"/>
        </w:rPr>
      </w:pPr>
      <w:r w:rsidRPr="000971AE">
        <w:rPr>
          <w:lang w:val="en-US" w:eastAsia="ru-MD"/>
        </w:rPr>
        <w:tab/>
      </w:r>
      <w:r w:rsidRPr="000971AE">
        <w:rPr>
          <w:lang w:val="en-US" w:eastAsia="ru-MD"/>
        </w:rPr>
        <w:tab/>
      </w:r>
      <w:r w:rsidR="004614D6" w:rsidRPr="000971AE">
        <w:rPr>
          <w:lang w:val="en-US" w:eastAsia="ru-MD"/>
        </w:rPr>
        <w:t>Reply to paragraph 13 (a) of the list of issues</w:t>
      </w:r>
    </w:p>
    <w:p w14:paraId="6F2190A3" w14:textId="51367622"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The right of persons with disabilities and other citizens to the protection of physical and mental integrity, is guaranteed by a set of fundamental normative acts, including: the Constitution, Law 60/2012, Law 411/1995, Law 138/2012, National programs and government decisions in health and social protection areas.</w:t>
      </w:r>
    </w:p>
    <w:p w14:paraId="77DE2F2A" w14:textId="748697CB" w:rsidR="004614D6" w:rsidRPr="000971AE" w:rsidRDefault="004754DD" w:rsidP="004614D6">
      <w:pPr>
        <w:pStyle w:val="H1G"/>
        <w:rPr>
          <w:lang w:val="en-US" w:eastAsia="ru-MD"/>
        </w:rPr>
      </w:pPr>
      <w:r w:rsidRPr="000971AE">
        <w:rPr>
          <w:lang w:val="en-US" w:eastAsia="ru-MD"/>
        </w:rPr>
        <w:tab/>
      </w:r>
      <w:r w:rsidRPr="000971AE">
        <w:rPr>
          <w:lang w:val="en-US" w:eastAsia="ru-MD"/>
        </w:rPr>
        <w:tab/>
      </w:r>
      <w:r w:rsidR="004614D6" w:rsidRPr="000971AE">
        <w:rPr>
          <w:lang w:val="en-US" w:eastAsia="ru-MD"/>
        </w:rPr>
        <w:t>Reply to paragraph 13 (b) of the list of issues</w:t>
      </w:r>
    </w:p>
    <w:p w14:paraId="75B69D58" w14:textId="217F2A13"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Law 138/2012 guarantees the individual reproductive rights, as part of human rights, protecting intimate, family and private life and ensuring freedom of decisions in family planning. This includes the right to decide freely on the number and timing of childbirths, on the use of contraception, access to quality health services and information on reproductive health. The Civil Code provides that medical treatments are performed only with informed consent, and for people unable to express it, treatment can only be carried out in compliance with the legal framework and in emergency situations.</w:t>
      </w:r>
    </w:p>
    <w:p w14:paraId="1C39EFBB" w14:textId="474B26C9" w:rsidR="004614D6" w:rsidRPr="000971AE" w:rsidRDefault="00A33336" w:rsidP="004614D6">
      <w:pPr>
        <w:pStyle w:val="H1G"/>
        <w:rPr>
          <w:lang w:val="en-US" w:eastAsia="ru-MD"/>
        </w:rPr>
      </w:pPr>
      <w:r w:rsidRPr="000971AE">
        <w:rPr>
          <w:lang w:val="en-US" w:eastAsia="ru-MD"/>
        </w:rPr>
        <w:tab/>
      </w:r>
      <w:r w:rsidRPr="000971AE">
        <w:rPr>
          <w:lang w:val="en-US" w:eastAsia="ru-MD"/>
        </w:rPr>
        <w:tab/>
      </w:r>
      <w:r w:rsidR="004614D6" w:rsidRPr="000971AE">
        <w:rPr>
          <w:lang w:val="en-US" w:eastAsia="ru-MD"/>
        </w:rPr>
        <w:t>Reply to paragraph 13 (c) of the list of issues</w:t>
      </w:r>
    </w:p>
    <w:p w14:paraId="79BF3AF7" w14:textId="4F9C4D10"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 xml:space="preserve">The access of persons with disabilities to sexual and reproductive health services was strengthened by GD  681/2018. All 41 CSPTs have adapted their services for adolescents with disabilities through physical improvements of accessibility and online consultancy. In 2021, 70% of the centers were physically accessible, 29 offered online information, and 30 had adjustable gynecological chairs. Sexual education activities and multidisciplinary services targeted girls and women with disabilities, reaching more than 440,000 people in 2021–2022, most of them young people from rural areas. Psychological consultations, distribution of contraceptives and testing for genital infections and HIV have been intensified. In order to improve access, mobile teams have been piloted, and the "Support Line 080080022" telephone line offers round-the-clock counseling. The needs of adolescents with disabilities were assessed and informative materials were developed. </w:t>
      </w:r>
      <w:bookmarkStart w:id="3" w:name="_Hlk208946543"/>
      <w:bookmarkEnd w:id="3"/>
    </w:p>
    <w:p w14:paraId="38461BA1" w14:textId="061098B6"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18</w:t>
      </w:r>
      <w:r w:rsidR="003436CA">
        <w:rPr>
          <w:lang w:val="en-US" w:eastAsia="ru-MD"/>
        </w:rPr>
        <w:br/>
      </w:r>
      <w:r w:rsidR="00EA6A67" w:rsidRPr="000971AE">
        <w:rPr>
          <w:lang w:val="en-US" w:eastAsia="ru-MD"/>
        </w:rPr>
        <w:t xml:space="preserve">Freedom of movement and </w:t>
      </w:r>
      <w:r w:rsidR="003436CA">
        <w:rPr>
          <w:lang w:val="en-US" w:eastAsia="ru-MD"/>
        </w:rPr>
        <w:t>nationality</w:t>
      </w:r>
    </w:p>
    <w:p w14:paraId="1B6986A2" w14:textId="0AD3068F" w:rsidR="004614D6" w:rsidRPr="000971AE" w:rsidRDefault="00A33336" w:rsidP="004614D6">
      <w:pPr>
        <w:pStyle w:val="H1G"/>
        <w:rPr>
          <w:lang w:val="en-US" w:eastAsia="ru-MD"/>
        </w:rPr>
      </w:pPr>
      <w:r w:rsidRPr="000971AE">
        <w:rPr>
          <w:lang w:val="en-US" w:eastAsia="ru-MD"/>
        </w:rPr>
        <w:tab/>
      </w:r>
      <w:r w:rsidRPr="000971AE">
        <w:rPr>
          <w:lang w:val="en-US" w:eastAsia="ru-MD"/>
        </w:rPr>
        <w:tab/>
      </w:r>
      <w:r w:rsidR="004614D6" w:rsidRPr="000971AE">
        <w:rPr>
          <w:lang w:val="en-US" w:eastAsia="ru-MD"/>
        </w:rPr>
        <w:t>Reply to paragraph 14 (a) of the list of issues</w:t>
      </w:r>
    </w:p>
    <w:p w14:paraId="749EB9BD" w14:textId="5B1FB0B4"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 xml:space="preserve">In order to support the Roma population, the Programme for the support of the Roma population 2022-2025 has been approved. The main priority areas are: education; health; work; social protection; participation in public life, including decision-making processes; combating discrimination; the rights of migrants and the fight against trafficking in human beings; the activity of community mediators; culture and media, with a focus on people with disabilities. </w:t>
      </w:r>
    </w:p>
    <w:p w14:paraId="08488817" w14:textId="77777777"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 xml:space="preserve">GD164/2024 regulates concrete measures for ethnic perspective integration: promoting intercultural dialogue, mutual respect; awareness of vulnerable groups (persons with disabilities, etc.) of their rights and the remedies available to claim these rights, etc. </w:t>
      </w:r>
    </w:p>
    <w:p w14:paraId="3004EDE6" w14:textId="31331BDD" w:rsidR="005C53D6" w:rsidRPr="000971AE" w:rsidRDefault="00A33336" w:rsidP="005C53D6">
      <w:pPr>
        <w:pStyle w:val="H1G"/>
        <w:rPr>
          <w:lang w:val="en-US" w:eastAsia="ru-MD"/>
        </w:rPr>
      </w:pPr>
      <w:r w:rsidRPr="000971AE">
        <w:rPr>
          <w:lang w:val="en-US" w:eastAsia="ru-MD"/>
        </w:rPr>
        <w:tab/>
      </w:r>
      <w:r w:rsidRPr="000971AE">
        <w:rPr>
          <w:lang w:val="en-US" w:eastAsia="ru-MD"/>
        </w:rPr>
        <w:tab/>
      </w:r>
      <w:r w:rsidR="005C53D6" w:rsidRPr="000971AE">
        <w:rPr>
          <w:lang w:val="en-US" w:eastAsia="ru-MD"/>
        </w:rPr>
        <w:t>Reply to paragraph 14 (b) of the list of issues</w:t>
      </w:r>
    </w:p>
    <w:p w14:paraId="61999AB8" w14:textId="5DF570F7" w:rsidR="00EA6A67" w:rsidRPr="000971AE" w:rsidRDefault="00EA6A67" w:rsidP="000971AE">
      <w:pPr>
        <w:pStyle w:val="SingleTxtG"/>
        <w:numPr>
          <w:ilvl w:val="0"/>
          <w:numId w:val="31"/>
        </w:numPr>
        <w:tabs>
          <w:tab w:val="clear" w:pos="2268"/>
          <w:tab w:val="clear" w:pos="2835"/>
        </w:tabs>
        <w:ind w:left="1134" w:firstLine="0"/>
        <w:rPr>
          <w:b/>
          <w:u w:val="single"/>
          <w:lang w:val="en-US" w:eastAsia="ru-MD"/>
        </w:rPr>
      </w:pPr>
      <w:r w:rsidRPr="000971AE">
        <w:rPr>
          <w:lang w:val="en-US" w:eastAsia="ru-MD"/>
        </w:rPr>
        <w:t xml:space="preserve">The legal status of asylum seekers, beneficiaries of international protection, temporary protection and political asylum, as well as the procedure for granting, terminating and cancelling protection is regulated by Law 270/2008. By Law  297/2024, Law 270/2008, aiming at the rapid identification of persons in need of special procedural guarantees, ensuring the highest quality standards within the asylum procedure, regulating the minimum standards for granting temporary protection, the responsibilities of the authorities according to the areas of competence; the notion of </w:t>
      </w:r>
      <w:r w:rsidRPr="000971AE">
        <w:rPr>
          <w:i/>
          <w:lang w:val="en-US" w:eastAsia="ru-MD"/>
        </w:rPr>
        <w:t>asylum seeker with special needs</w:t>
      </w:r>
      <w:r w:rsidRPr="000971AE">
        <w:rPr>
          <w:lang w:val="en-US" w:eastAsia="ru-MD"/>
        </w:rPr>
        <w:t xml:space="preserve"> was introduced</w:t>
      </w:r>
      <w:r w:rsidRPr="000971AE">
        <w:rPr>
          <w:i/>
          <w:lang w:val="en-US" w:eastAsia="ru-MD"/>
        </w:rPr>
        <w:t>,</w:t>
      </w:r>
      <w:r w:rsidRPr="000971AE">
        <w:rPr>
          <w:lang w:val="en-US" w:eastAsia="ru-MD"/>
        </w:rPr>
        <w:t xml:space="preserve"> including for persons with disabilities, including psychosocial and intellectual disabilities, with mental and behavioral disorders, whose special needs are ascertained following individual assessment. Special regulations referring to persons with disabilities are also contained in art. 6, Law 274/2011. </w:t>
      </w:r>
    </w:p>
    <w:p w14:paraId="5CD15FCE" w14:textId="25765827"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19</w:t>
      </w:r>
      <w:r w:rsidR="003436CA">
        <w:rPr>
          <w:lang w:val="en-US" w:eastAsia="ru-MD"/>
        </w:rPr>
        <w:br/>
      </w:r>
      <w:r w:rsidR="00EA6A67" w:rsidRPr="000971AE">
        <w:rPr>
          <w:lang w:val="en-US" w:eastAsia="ru-MD"/>
        </w:rPr>
        <w:t>Living independently and being included in the community</w:t>
      </w:r>
    </w:p>
    <w:p w14:paraId="621A1F65" w14:textId="0D04F408" w:rsidR="005C53D6" w:rsidRPr="000971AE" w:rsidRDefault="00A33336" w:rsidP="005C53D6">
      <w:pPr>
        <w:pStyle w:val="H1G"/>
        <w:rPr>
          <w:lang w:val="en-US" w:eastAsia="ru-MD"/>
        </w:rPr>
      </w:pPr>
      <w:r w:rsidRPr="000971AE">
        <w:rPr>
          <w:lang w:val="en-US" w:eastAsia="ru-MD"/>
        </w:rPr>
        <w:tab/>
      </w:r>
      <w:r w:rsidRPr="000971AE">
        <w:rPr>
          <w:lang w:val="en-US" w:eastAsia="ru-MD"/>
        </w:rPr>
        <w:tab/>
      </w:r>
      <w:r w:rsidR="005C53D6" w:rsidRPr="000971AE">
        <w:rPr>
          <w:lang w:val="en-US" w:eastAsia="ru-MD"/>
        </w:rPr>
        <w:t>Reply to paragraph 15 (a) of the list of issues</w:t>
      </w:r>
    </w:p>
    <w:p w14:paraId="67554F4E" w14:textId="35A2AA1C"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The reform of the residential system for persons with intellectual and psychosocial disabilities aims at their deinstitutionalization, through the development of community social services, integration into daily activities and prevention of institutionalization, promoting independent living in the community. The merger of two centers is an important action in the process. Deinstitutionalization is carried out with multidisciplinary teams, respecting human rights and community integration. Although the reform is progressing slower due to limited financial resources, progress is visible: the number of people with disabilities in residential institutions decreased from 2,126 in 2020 to around 1,700 in the first half of 2025.</w:t>
      </w:r>
    </w:p>
    <w:p w14:paraId="68D0C055" w14:textId="693D6FD6" w:rsidR="0005744A" w:rsidRPr="000971AE" w:rsidRDefault="00A33336"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15 (b) of the list of issues</w:t>
      </w:r>
    </w:p>
    <w:p w14:paraId="27F28010" w14:textId="45001505"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The deinstitutionalisation process mid-term evaluation concluded the need to continue the reform, by developing social services that ensure the right to independent living and inclusion in the community, strengthening the normative and institutional framework, reorganising temporary accomodation centres and expanding community services. A rights-centred approach, tailored to individual care needs, is proposed to prevent abuse and enhance social roles.</w:t>
      </w:r>
    </w:p>
    <w:p w14:paraId="1110D752" w14:textId="77777777" w:rsidR="00B140B4" w:rsidRDefault="00B140B4">
      <w:pPr>
        <w:suppressAutoHyphens w:val="0"/>
        <w:spacing w:after="200" w:line="276" w:lineRule="auto"/>
        <w:rPr>
          <w:rFonts w:eastAsiaTheme="minorHAnsi"/>
          <w:b/>
          <w:sz w:val="24"/>
          <w:lang w:val="en-US" w:eastAsia="ru-MD"/>
        </w:rPr>
      </w:pPr>
      <w:r>
        <w:rPr>
          <w:lang w:val="en-US" w:eastAsia="ru-MD"/>
        </w:rPr>
        <w:br w:type="page"/>
      </w:r>
    </w:p>
    <w:p w14:paraId="2F9E8B5E" w14:textId="6D91E526" w:rsidR="0005744A" w:rsidRPr="000971AE" w:rsidRDefault="00C0562D"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15 (c) of the list of issues</w:t>
      </w:r>
    </w:p>
    <w:tbl>
      <w:tblPr>
        <w:tblW w:w="7370" w:type="dxa"/>
        <w:tblInd w:w="1134" w:type="dxa"/>
        <w:tblLayout w:type="fixed"/>
        <w:tblCellMar>
          <w:left w:w="0" w:type="dxa"/>
          <w:right w:w="0" w:type="dxa"/>
        </w:tblCellMar>
        <w:tblLook w:val="0600" w:firstRow="0" w:lastRow="0" w:firstColumn="0" w:lastColumn="0" w:noHBand="1" w:noVBand="1"/>
      </w:tblPr>
      <w:tblGrid>
        <w:gridCol w:w="825"/>
        <w:gridCol w:w="959"/>
        <w:gridCol w:w="659"/>
        <w:gridCol w:w="897"/>
        <w:gridCol w:w="631"/>
        <w:gridCol w:w="643"/>
        <w:gridCol w:w="586"/>
        <w:gridCol w:w="2170"/>
      </w:tblGrid>
      <w:tr w:rsidR="00EA6A67" w:rsidRPr="000971AE" w14:paraId="28F17296" w14:textId="77777777" w:rsidTr="00A33336">
        <w:trPr>
          <w:tblHeader/>
        </w:trPr>
        <w:tc>
          <w:tcPr>
            <w:tcW w:w="1021" w:type="dxa"/>
            <w:vMerge w:val="restart"/>
            <w:tcBorders>
              <w:top w:val="single" w:sz="4" w:space="0" w:color="auto"/>
              <w:bottom w:val="single" w:sz="12" w:space="0" w:color="auto"/>
            </w:tcBorders>
            <w:tcMar>
              <w:top w:w="100" w:type="dxa"/>
              <w:left w:w="100" w:type="dxa"/>
              <w:bottom w:w="100" w:type="dxa"/>
              <w:right w:w="100" w:type="dxa"/>
            </w:tcMar>
            <w:vAlign w:val="bottom"/>
          </w:tcPr>
          <w:p w14:paraId="14A90C9E" w14:textId="77777777" w:rsidR="00EA6A67" w:rsidRPr="000971AE" w:rsidRDefault="00EA6A67" w:rsidP="00A33336">
            <w:pPr>
              <w:suppressAutoHyphens w:val="0"/>
              <w:spacing w:before="80" w:after="80" w:line="200" w:lineRule="exact"/>
              <w:rPr>
                <w:rFonts w:eastAsia="Calibri"/>
                <w:i/>
                <w:sz w:val="16"/>
                <w:lang w:val="en-US" w:eastAsia="ru-MD"/>
              </w:rPr>
            </w:pPr>
          </w:p>
        </w:tc>
        <w:tc>
          <w:tcPr>
            <w:tcW w:w="1200" w:type="dxa"/>
            <w:vMerge w:val="restart"/>
            <w:tcBorders>
              <w:top w:val="single" w:sz="4" w:space="0" w:color="auto"/>
              <w:bottom w:val="single" w:sz="12" w:space="0" w:color="auto"/>
            </w:tcBorders>
            <w:tcMar>
              <w:top w:w="100" w:type="dxa"/>
              <w:left w:w="100" w:type="dxa"/>
              <w:bottom w:w="100" w:type="dxa"/>
              <w:right w:w="100" w:type="dxa"/>
            </w:tcMar>
            <w:vAlign w:val="bottom"/>
          </w:tcPr>
          <w:p w14:paraId="3455B9A7" w14:textId="77777777" w:rsidR="00EA6A67" w:rsidRPr="000971AE" w:rsidRDefault="00EA6A67" w:rsidP="00A33336">
            <w:pPr>
              <w:suppressAutoHyphens w:val="0"/>
              <w:spacing w:before="80" w:after="80" w:line="200" w:lineRule="exact"/>
              <w:jc w:val="right"/>
              <w:rPr>
                <w:rFonts w:eastAsia="Calibri"/>
                <w:i/>
                <w:sz w:val="16"/>
                <w:lang w:val="en-US" w:eastAsia="ru-MD"/>
              </w:rPr>
            </w:pPr>
            <w:r w:rsidRPr="000971AE">
              <w:rPr>
                <w:rFonts w:eastAsia="Calibri"/>
                <w:i/>
                <w:sz w:val="16"/>
                <w:lang w:val="en-US" w:eastAsia="ru-MD"/>
              </w:rPr>
              <w:t>Total beneficiaries</w:t>
            </w:r>
          </w:p>
        </w:tc>
        <w:tc>
          <w:tcPr>
            <w:tcW w:w="2684" w:type="dxa"/>
            <w:gridSpan w:val="3"/>
            <w:tcBorders>
              <w:top w:val="single" w:sz="4" w:space="0" w:color="auto"/>
              <w:bottom w:val="single" w:sz="12" w:space="0" w:color="auto"/>
            </w:tcBorders>
            <w:tcMar>
              <w:top w:w="100" w:type="dxa"/>
              <w:left w:w="100" w:type="dxa"/>
              <w:bottom w:w="100" w:type="dxa"/>
              <w:right w:w="100" w:type="dxa"/>
            </w:tcMar>
            <w:vAlign w:val="bottom"/>
          </w:tcPr>
          <w:p w14:paraId="57C0149B" w14:textId="77777777" w:rsidR="00EA6A67" w:rsidRPr="000971AE" w:rsidRDefault="00EA6A67" w:rsidP="00A33336">
            <w:pPr>
              <w:suppressAutoHyphens w:val="0"/>
              <w:spacing w:before="80" w:after="80" w:line="200" w:lineRule="exact"/>
              <w:jc w:val="right"/>
              <w:rPr>
                <w:rFonts w:eastAsia="Calibri"/>
                <w:i/>
                <w:sz w:val="16"/>
                <w:lang w:val="en-US" w:eastAsia="ru-MD"/>
              </w:rPr>
            </w:pPr>
            <w:r w:rsidRPr="000971AE">
              <w:rPr>
                <w:rFonts w:eastAsia="Calibri"/>
                <w:i/>
                <w:sz w:val="16"/>
                <w:lang w:val="en-US" w:eastAsia="ru-MD"/>
              </w:rPr>
              <w:t>Number of beneficiaries in services by degree of disability</w:t>
            </w:r>
          </w:p>
        </w:tc>
        <w:tc>
          <w:tcPr>
            <w:tcW w:w="780" w:type="dxa"/>
            <w:vMerge w:val="restart"/>
            <w:tcBorders>
              <w:top w:val="single" w:sz="4" w:space="0" w:color="auto"/>
              <w:bottom w:val="single" w:sz="12" w:space="0" w:color="auto"/>
            </w:tcBorders>
            <w:tcMar>
              <w:top w:w="100" w:type="dxa"/>
              <w:left w:w="100" w:type="dxa"/>
              <w:bottom w:w="100" w:type="dxa"/>
              <w:right w:w="100" w:type="dxa"/>
            </w:tcMar>
            <w:vAlign w:val="bottom"/>
          </w:tcPr>
          <w:p w14:paraId="7EE36F72" w14:textId="77777777" w:rsidR="00EA6A67" w:rsidRPr="000971AE" w:rsidRDefault="00EA6A67" w:rsidP="00A33336">
            <w:pPr>
              <w:suppressAutoHyphens w:val="0"/>
              <w:spacing w:before="80" w:after="80" w:line="200" w:lineRule="exact"/>
              <w:jc w:val="right"/>
              <w:rPr>
                <w:rFonts w:eastAsia="Calibri"/>
                <w:i/>
                <w:sz w:val="16"/>
                <w:lang w:val="en-US" w:eastAsia="ru-MD"/>
              </w:rPr>
            </w:pPr>
          </w:p>
          <w:p w14:paraId="76377341" w14:textId="77777777" w:rsidR="00EA6A67" w:rsidRPr="000971AE" w:rsidRDefault="00EA6A67" w:rsidP="00A33336">
            <w:pPr>
              <w:suppressAutoHyphens w:val="0"/>
              <w:spacing w:before="80" w:after="80" w:line="200" w:lineRule="exact"/>
              <w:jc w:val="right"/>
              <w:rPr>
                <w:rFonts w:eastAsia="Calibri"/>
                <w:i/>
                <w:sz w:val="16"/>
                <w:lang w:val="en-US" w:eastAsia="ru-MD"/>
              </w:rPr>
            </w:pPr>
          </w:p>
          <w:p w14:paraId="484D74C8" w14:textId="77777777" w:rsidR="00EA6A67" w:rsidRPr="000971AE" w:rsidRDefault="00EA6A67" w:rsidP="00A33336">
            <w:pPr>
              <w:suppressAutoHyphens w:val="0"/>
              <w:spacing w:before="80" w:after="80" w:line="200" w:lineRule="exact"/>
              <w:jc w:val="right"/>
              <w:rPr>
                <w:rFonts w:eastAsia="Calibri"/>
                <w:i/>
                <w:sz w:val="16"/>
                <w:lang w:val="en-US" w:eastAsia="ru-MD"/>
              </w:rPr>
            </w:pPr>
            <w:r w:rsidRPr="000971AE">
              <w:rPr>
                <w:rFonts w:eastAsia="Calibri"/>
                <w:i/>
                <w:sz w:val="16"/>
                <w:lang w:val="en-US" w:eastAsia="ru-MD"/>
              </w:rPr>
              <w:t xml:space="preserve">Adults </w:t>
            </w:r>
          </w:p>
        </w:tc>
        <w:tc>
          <w:tcPr>
            <w:tcW w:w="705" w:type="dxa"/>
            <w:vMerge w:val="restart"/>
            <w:tcBorders>
              <w:top w:val="single" w:sz="4" w:space="0" w:color="auto"/>
              <w:bottom w:val="single" w:sz="12" w:space="0" w:color="auto"/>
            </w:tcBorders>
            <w:tcMar>
              <w:top w:w="100" w:type="dxa"/>
              <w:left w:w="100" w:type="dxa"/>
              <w:bottom w:w="100" w:type="dxa"/>
              <w:right w:w="100" w:type="dxa"/>
            </w:tcMar>
            <w:vAlign w:val="bottom"/>
          </w:tcPr>
          <w:p w14:paraId="5E85F359" w14:textId="77777777" w:rsidR="00EA6A67" w:rsidRPr="000971AE" w:rsidRDefault="00EA6A67" w:rsidP="00A33336">
            <w:pPr>
              <w:suppressAutoHyphens w:val="0"/>
              <w:spacing w:before="80" w:after="80" w:line="200" w:lineRule="exact"/>
              <w:jc w:val="right"/>
              <w:rPr>
                <w:rFonts w:eastAsia="Calibri"/>
                <w:i/>
                <w:sz w:val="16"/>
                <w:lang w:val="en-US" w:eastAsia="ru-MD"/>
              </w:rPr>
            </w:pPr>
          </w:p>
          <w:p w14:paraId="53D57D3D" w14:textId="77777777" w:rsidR="00EA6A67" w:rsidRPr="000971AE" w:rsidRDefault="00EA6A67" w:rsidP="00A33336">
            <w:pPr>
              <w:suppressAutoHyphens w:val="0"/>
              <w:spacing w:before="80" w:after="80" w:line="200" w:lineRule="exact"/>
              <w:jc w:val="right"/>
              <w:rPr>
                <w:rFonts w:eastAsia="Calibri"/>
                <w:i/>
                <w:sz w:val="16"/>
                <w:lang w:val="en-US" w:eastAsia="ru-MD"/>
              </w:rPr>
            </w:pPr>
          </w:p>
          <w:p w14:paraId="40327A2E" w14:textId="77777777" w:rsidR="00EA6A67" w:rsidRPr="000971AE" w:rsidRDefault="00EA6A67" w:rsidP="00A33336">
            <w:pPr>
              <w:suppressAutoHyphens w:val="0"/>
              <w:spacing w:before="80" w:after="80" w:line="200" w:lineRule="exact"/>
              <w:jc w:val="right"/>
              <w:rPr>
                <w:rFonts w:eastAsia="Calibri"/>
                <w:i/>
                <w:sz w:val="16"/>
                <w:lang w:val="en-US" w:eastAsia="ru-MD"/>
              </w:rPr>
            </w:pPr>
            <w:r w:rsidRPr="000971AE">
              <w:rPr>
                <w:rFonts w:eastAsia="Calibri"/>
                <w:i/>
                <w:sz w:val="16"/>
                <w:lang w:val="en-US" w:eastAsia="ru-MD"/>
              </w:rPr>
              <w:t>Children</w:t>
            </w:r>
          </w:p>
        </w:tc>
        <w:tc>
          <w:tcPr>
            <w:tcW w:w="2805" w:type="dxa"/>
            <w:vMerge w:val="restart"/>
            <w:tcBorders>
              <w:top w:val="single" w:sz="4" w:space="0" w:color="auto"/>
              <w:bottom w:val="single" w:sz="12" w:space="0" w:color="auto"/>
            </w:tcBorders>
            <w:tcMar>
              <w:top w:w="100" w:type="dxa"/>
              <w:left w:w="100" w:type="dxa"/>
              <w:bottom w:w="100" w:type="dxa"/>
              <w:right w:w="100" w:type="dxa"/>
            </w:tcMar>
            <w:vAlign w:val="bottom"/>
          </w:tcPr>
          <w:p w14:paraId="6B861B90" w14:textId="77777777" w:rsidR="00EA6A67" w:rsidRPr="000971AE" w:rsidRDefault="00EA6A67" w:rsidP="00A33336">
            <w:pPr>
              <w:suppressAutoHyphens w:val="0"/>
              <w:spacing w:before="80" w:after="80" w:line="200" w:lineRule="exact"/>
              <w:jc w:val="right"/>
              <w:rPr>
                <w:rFonts w:eastAsia="Calibri"/>
                <w:i/>
                <w:sz w:val="16"/>
                <w:lang w:val="en-US" w:eastAsia="ru-MD"/>
              </w:rPr>
            </w:pPr>
          </w:p>
          <w:p w14:paraId="12DC4FE3" w14:textId="77777777" w:rsidR="00EA6A67" w:rsidRPr="000971AE" w:rsidRDefault="00EA6A67" w:rsidP="00A33336">
            <w:pPr>
              <w:suppressAutoHyphens w:val="0"/>
              <w:spacing w:before="80" w:after="80" w:line="200" w:lineRule="exact"/>
              <w:jc w:val="right"/>
              <w:rPr>
                <w:rFonts w:eastAsia="Calibri"/>
                <w:i/>
                <w:sz w:val="16"/>
                <w:lang w:val="en-US" w:eastAsia="ru-MD"/>
              </w:rPr>
            </w:pPr>
            <w:r w:rsidRPr="000971AE">
              <w:rPr>
                <w:rFonts w:eastAsia="Calibri"/>
                <w:i/>
                <w:sz w:val="16"/>
                <w:lang w:val="en-US" w:eastAsia="ru-MD"/>
              </w:rPr>
              <w:t>Territorial administrative unit</w:t>
            </w:r>
          </w:p>
        </w:tc>
      </w:tr>
      <w:tr w:rsidR="00EA6A67" w:rsidRPr="000971AE" w14:paraId="49D0D415" w14:textId="77777777" w:rsidTr="00AA140D">
        <w:trPr>
          <w:tblHeader/>
        </w:trPr>
        <w:tc>
          <w:tcPr>
            <w:tcW w:w="1021" w:type="dxa"/>
            <w:vMerge/>
            <w:tcBorders>
              <w:top w:val="single" w:sz="12" w:space="0" w:color="auto"/>
              <w:bottom w:val="single" w:sz="12" w:space="0" w:color="auto"/>
            </w:tcBorders>
            <w:tcMar>
              <w:top w:w="100" w:type="dxa"/>
              <w:left w:w="100" w:type="dxa"/>
              <w:bottom w:w="100" w:type="dxa"/>
              <w:right w:w="100" w:type="dxa"/>
            </w:tcMar>
            <w:vAlign w:val="bottom"/>
          </w:tcPr>
          <w:p w14:paraId="51C5A408" w14:textId="77777777" w:rsidR="00EA6A67" w:rsidRPr="000971AE" w:rsidRDefault="00EA6A67" w:rsidP="00A33336">
            <w:pPr>
              <w:pBdr>
                <w:top w:val="nil"/>
                <w:left w:val="nil"/>
                <w:bottom w:val="nil"/>
                <w:right w:val="nil"/>
                <w:between w:val="nil"/>
              </w:pBdr>
              <w:suppressAutoHyphens w:val="0"/>
              <w:spacing w:before="40" w:after="40" w:line="220" w:lineRule="exact"/>
              <w:rPr>
                <w:rFonts w:eastAsia="Calibri"/>
                <w:b/>
                <w:sz w:val="18"/>
                <w:lang w:val="en-US" w:eastAsia="ru-MD"/>
              </w:rPr>
            </w:pPr>
          </w:p>
        </w:tc>
        <w:tc>
          <w:tcPr>
            <w:tcW w:w="1200" w:type="dxa"/>
            <w:vMerge/>
            <w:tcBorders>
              <w:top w:val="single" w:sz="12" w:space="0" w:color="auto"/>
              <w:bottom w:val="single" w:sz="12" w:space="0" w:color="auto"/>
            </w:tcBorders>
            <w:tcMar>
              <w:top w:w="100" w:type="dxa"/>
              <w:left w:w="100" w:type="dxa"/>
              <w:bottom w:w="100" w:type="dxa"/>
              <w:right w:w="100" w:type="dxa"/>
            </w:tcMar>
            <w:vAlign w:val="bottom"/>
          </w:tcPr>
          <w:p w14:paraId="2632A1F2" w14:textId="77777777" w:rsidR="00EA6A67" w:rsidRPr="000971AE" w:rsidRDefault="00EA6A67" w:rsidP="00A33336">
            <w:pPr>
              <w:pBdr>
                <w:top w:val="nil"/>
                <w:left w:val="nil"/>
                <w:bottom w:val="nil"/>
                <w:right w:val="nil"/>
                <w:between w:val="nil"/>
              </w:pBdr>
              <w:suppressAutoHyphens w:val="0"/>
              <w:spacing w:before="40" w:after="40" w:line="220" w:lineRule="exact"/>
              <w:jc w:val="right"/>
              <w:rPr>
                <w:rFonts w:eastAsia="Calibri"/>
                <w:b/>
                <w:sz w:val="18"/>
                <w:lang w:val="en-US" w:eastAsia="ru-MD"/>
              </w:rPr>
            </w:pPr>
          </w:p>
        </w:tc>
        <w:tc>
          <w:tcPr>
            <w:tcW w:w="802" w:type="dxa"/>
            <w:tcBorders>
              <w:top w:val="single" w:sz="12" w:space="0" w:color="auto"/>
              <w:bottom w:val="single" w:sz="12" w:space="0" w:color="auto"/>
            </w:tcBorders>
            <w:tcMar>
              <w:top w:w="100" w:type="dxa"/>
              <w:left w:w="100" w:type="dxa"/>
              <w:bottom w:w="100" w:type="dxa"/>
              <w:right w:w="100" w:type="dxa"/>
            </w:tcMar>
            <w:vAlign w:val="bottom"/>
          </w:tcPr>
          <w:p w14:paraId="7F7B8EFC"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severe</w:t>
            </w:r>
          </w:p>
        </w:tc>
        <w:tc>
          <w:tcPr>
            <w:tcW w:w="1117" w:type="dxa"/>
            <w:tcBorders>
              <w:top w:val="single" w:sz="12" w:space="0" w:color="auto"/>
              <w:bottom w:val="single" w:sz="12" w:space="0" w:color="auto"/>
            </w:tcBorders>
            <w:tcMar>
              <w:top w:w="100" w:type="dxa"/>
              <w:left w:w="100" w:type="dxa"/>
              <w:bottom w:w="100" w:type="dxa"/>
              <w:right w:w="100" w:type="dxa"/>
            </w:tcMar>
            <w:vAlign w:val="bottom"/>
          </w:tcPr>
          <w:p w14:paraId="42296417"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advanced</w:t>
            </w:r>
          </w:p>
        </w:tc>
        <w:tc>
          <w:tcPr>
            <w:tcW w:w="765" w:type="dxa"/>
            <w:tcBorders>
              <w:top w:val="single" w:sz="12" w:space="0" w:color="auto"/>
              <w:bottom w:val="single" w:sz="12" w:space="0" w:color="auto"/>
            </w:tcBorders>
            <w:tcMar>
              <w:top w:w="100" w:type="dxa"/>
              <w:left w:w="100" w:type="dxa"/>
              <w:bottom w:w="100" w:type="dxa"/>
              <w:right w:w="100" w:type="dxa"/>
            </w:tcMar>
            <w:vAlign w:val="bottom"/>
          </w:tcPr>
          <w:p w14:paraId="48F19AA6"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medium</w:t>
            </w:r>
          </w:p>
        </w:tc>
        <w:tc>
          <w:tcPr>
            <w:tcW w:w="780" w:type="dxa"/>
            <w:vMerge/>
            <w:tcBorders>
              <w:top w:val="single" w:sz="12" w:space="0" w:color="auto"/>
              <w:bottom w:val="single" w:sz="12" w:space="0" w:color="auto"/>
            </w:tcBorders>
            <w:tcMar>
              <w:top w:w="100" w:type="dxa"/>
              <w:left w:w="100" w:type="dxa"/>
              <w:bottom w:w="100" w:type="dxa"/>
              <w:right w:w="100" w:type="dxa"/>
            </w:tcMar>
            <w:vAlign w:val="bottom"/>
          </w:tcPr>
          <w:p w14:paraId="77C6B967" w14:textId="77777777" w:rsidR="00EA6A67" w:rsidRPr="000971AE" w:rsidRDefault="00EA6A67" w:rsidP="00A33336">
            <w:pPr>
              <w:pBdr>
                <w:top w:val="nil"/>
                <w:left w:val="nil"/>
                <w:bottom w:val="nil"/>
                <w:right w:val="nil"/>
                <w:between w:val="nil"/>
              </w:pBdr>
              <w:suppressAutoHyphens w:val="0"/>
              <w:spacing w:before="40" w:after="40" w:line="220" w:lineRule="exact"/>
              <w:jc w:val="right"/>
              <w:rPr>
                <w:rFonts w:eastAsia="Calibri"/>
                <w:sz w:val="18"/>
                <w:lang w:val="en-US" w:eastAsia="ru-MD"/>
              </w:rPr>
            </w:pPr>
          </w:p>
        </w:tc>
        <w:tc>
          <w:tcPr>
            <w:tcW w:w="705" w:type="dxa"/>
            <w:vMerge/>
            <w:tcBorders>
              <w:top w:val="single" w:sz="12" w:space="0" w:color="auto"/>
              <w:bottom w:val="single" w:sz="12" w:space="0" w:color="auto"/>
            </w:tcBorders>
            <w:tcMar>
              <w:top w:w="100" w:type="dxa"/>
              <w:left w:w="100" w:type="dxa"/>
              <w:bottom w:w="100" w:type="dxa"/>
              <w:right w:w="100" w:type="dxa"/>
            </w:tcMar>
            <w:vAlign w:val="bottom"/>
          </w:tcPr>
          <w:p w14:paraId="1DC3A23A" w14:textId="77777777" w:rsidR="00EA6A67" w:rsidRPr="000971AE" w:rsidRDefault="00EA6A67" w:rsidP="00A33336">
            <w:pPr>
              <w:pBdr>
                <w:top w:val="nil"/>
                <w:left w:val="nil"/>
                <w:bottom w:val="nil"/>
                <w:right w:val="nil"/>
                <w:between w:val="nil"/>
              </w:pBdr>
              <w:suppressAutoHyphens w:val="0"/>
              <w:spacing w:before="40" w:after="40" w:line="220" w:lineRule="exact"/>
              <w:jc w:val="right"/>
              <w:rPr>
                <w:rFonts w:eastAsia="Calibri"/>
                <w:sz w:val="18"/>
                <w:lang w:val="en-US" w:eastAsia="ru-MD"/>
              </w:rPr>
            </w:pPr>
          </w:p>
        </w:tc>
        <w:tc>
          <w:tcPr>
            <w:tcW w:w="2805" w:type="dxa"/>
            <w:vMerge/>
            <w:tcBorders>
              <w:top w:val="single" w:sz="12" w:space="0" w:color="auto"/>
              <w:bottom w:val="single" w:sz="12" w:space="0" w:color="auto"/>
            </w:tcBorders>
            <w:tcMar>
              <w:top w:w="100" w:type="dxa"/>
              <w:left w:w="100" w:type="dxa"/>
              <w:bottom w:w="100" w:type="dxa"/>
              <w:right w:w="100" w:type="dxa"/>
            </w:tcMar>
            <w:vAlign w:val="bottom"/>
          </w:tcPr>
          <w:p w14:paraId="75333DA5" w14:textId="77777777" w:rsidR="00EA6A67" w:rsidRPr="000971AE" w:rsidRDefault="00EA6A67" w:rsidP="00A33336">
            <w:pPr>
              <w:pBdr>
                <w:top w:val="nil"/>
                <w:left w:val="nil"/>
                <w:bottom w:val="nil"/>
                <w:right w:val="nil"/>
                <w:between w:val="nil"/>
              </w:pBdr>
              <w:suppressAutoHyphens w:val="0"/>
              <w:spacing w:before="40" w:after="40" w:line="220" w:lineRule="exact"/>
              <w:jc w:val="right"/>
              <w:rPr>
                <w:rFonts w:eastAsia="Calibri"/>
                <w:sz w:val="18"/>
                <w:lang w:val="en-US" w:eastAsia="ru-MD"/>
              </w:rPr>
            </w:pPr>
          </w:p>
        </w:tc>
      </w:tr>
      <w:tr w:rsidR="00AA140D" w:rsidRPr="000971AE" w14:paraId="1AA1F63E" w14:textId="77777777" w:rsidTr="00AA140D">
        <w:tc>
          <w:tcPr>
            <w:tcW w:w="1021" w:type="dxa"/>
            <w:tcBorders>
              <w:top w:val="single" w:sz="12" w:space="0" w:color="auto"/>
              <w:bottom w:val="single" w:sz="2" w:space="0" w:color="auto"/>
            </w:tcBorders>
            <w:tcMar>
              <w:top w:w="0" w:type="dxa"/>
              <w:left w:w="40" w:type="dxa"/>
              <w:bottom w:w="0" w:type="dxa"/>
              <w:right w:w="40" w:type="dxa"/>
            </w:tcMar>
          </w:tcPr>
          <w:p w14:paraId="6B650E41" w14:textId="77777777" w:rsidR="00EA6A67" w:rsidRPr="000971AE" w:rsidRDefault="00EA6A67" w:rsidP="00A33336">
            <w:pPr>
              <w:suppressAutoHyphens w:val="0"/>
              <w:spacing w:before="40" w:after="40" w:line="220" w:lineRule="exact"/>
              <w:rPr>
                <w:rFonts w:eastAsia="Calibri"/>
                <w:sz w:val="18"/>
                <w:lang w:val="en-US" w:eastAsia="ru-MD"/>
              </w:rPr>
            </w:pPr>
            <w:r w:rsidRPr="000971AE">
              <w:rPr>
                <w:rFonts w:eastAsia="Calibri"/>
                <w:sz w:val="18"/>
                <w:lang w:val="en-US" w:eastAsia="ru-MD"/>
              </w:rPr>
              <w:t>Community House</w:t>
            </w:r>
          </w:p>
        </w:tc>
        <w:tc>
          <w:tcPr>
            <w:tcW w:w="1200" w:type="dxa"/>
            <w:tcBorders>
              <w:top w:val="single" w:sz="12" w:space="0" w:color="auto"/>
              <w:bottom w:val="single" w:sz="2" w:space="0" w:color="auto"/>
            </w:tcBorders>
            <w:tcMar>
              <w:top w:w="0" w:type="dxa"/>
              <w:left w:w="40" w:type="dxa"/>
              <w:bottom w:w="0" w:type="dxa"/>
              <w:right w:w="40" w:type="dxa"/>
            </w:tcMar>
            <w:vAlign w:val="bottom"/>
          </w:tcPr>
          <w:p w14:paraId="1EE0D1A5"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108</w:t>
            </w:r>
          </w:p>
        </w:tc>
        <w:tc>
          <w:tcPr>
            <w:tcW w:w="802" w:type="dxa"/>
            <w:tcBorders>
              <w:top w:val="single" w:sz="12" w:space="0" w:color="auto"/>
              <w:bottom w:val="single" w:sz="2" w:space="0" w:color="auto"/>
            </w:tcBorders>
            <w:tcMar>
              <w:top w:w="0" w:type="dxa"/>
              <w:left w:w="40" w:type="dxa"/>
              <w:bottom w:w="0" w:type="dxa"/>
              <w:right w:w="40" w:type="dxa"/>
            </w:tcMar>
            <w:vAlign w:val="bottom"/>
          </w:tcPr>
          <w:p w14:paraId="31D76E80"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108</w:t>
            </w:r>
          </w:p>
        </w:tc>
        <w:tc>
          <w:tcPr>
            <w:tcW w:w="1117" w:type="dxa"/>
            <w:tcBorders>
              <w:top w:val="single" w:sz="12" w:space="0" w:color="auto"/>
              <w:bottom w:val="single" w:sz="2" w:space="0" w:color="auto"/>
            </w:tcBorders>
            <w:tcMar>
              <w:top w:w="0" w:type="dxa"/>
              <w:left w:w="40" w:type="dxa"/>
              <w:bottom w:w="0" w:type="dxa"/>
              <w:right w:w="40" w:type="dxa"/>
            </w:tcMar>
            <w:vAlign w:val="bottom"/>
          </w:tcPr>
          <w:p w14:paraId="30B6E9E3"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w:t>
            </w:r>
          </w:p>
        </w:tc>
        <w:tc>
          <w:tcPr>
            <w:tcW w:w="765" w:type="dxa"/>
            <w:tcBorders>
              <w:top w:val="single" w:sz="12" w:space="0" w:color="auto"/>
              <w:bottom w:val="single" w:sz="2" w:space="0" w:color="auto"/>
            </w:tcBorders>
            <w:tcMar>
              <w:top w:w="0" w:type="dxa"/>
              <w:left w:w="40" w:type="dxa"/>
              <w:bottom w:w="0" w:type="dxa"/>
              <w:right w:w="40" w:type="dxa"/>
            </w:tcMar>
            <w:vAlign w:val="bottom"/>
          </w:tcPr>
          <w:p w14:paraId="74376495"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w:t>
            </w:r>
          </w:p>
        </w:tc>
        <w:tc>
          <w:tcPr>
            <w:tcW w:w="780" w:type="dxa"/>
            <w:tcBorders>
              <w:top w:val="single" w:sz="12" w:space="0" w:color="auto"/>
              <w:bottom w:val="single" w:sz="2" w:space="0" w:color="auto"/>
            </w:tcBorders>
            <w:tcMar>
              <w:top w:w="0" w:type="dxa"/>
              <w:left w:w="40" w:type="dxa"/>
              <w:bottom w:w="0" w:type="dxa"/>
              <w:right w:w="40" w:type="dxa"/>
            </w:tcMar>
            <w:vAlign w:val="bottom"/>
          </w:tcPr>
          <w:p w14:paraId="0C1A8E09"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44</w:t>
            </w:r>
          </w:p>
        </w:tc>
        <w:tc>
          <w:tcPr>
            <w:tcW w:w="705" w:type="dxa"/>
            <w:tcBorders>
              <w:top w:val="single" w:sz="12" w:space="0" w:color="auto"/>
              <w:bottom w:val="single" w:sz="2" w:space="0" w:color="auto"/>
            </w:tcBorders>
            <w:tcMar>
              <w:top w:w="0" w:type="dxa"/>
              <w:left w:w="40" w:type="dxa"/>
              <w:bottom w:w="0" w:type="dxa"/>
              <w:right w:w="40" w:type="dxa"/>
            </w:tcMar>
            <w:vAlign w:val="bottom"/>
          </w:tcPr>
          <w:p w14:paraId="71C7A3F1"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64</w:t>
            </w:r>
          </w:p>
        </w:tc>
        <w:tc>
          <w:tcPr>
            <w:tcW w:w="2805" w:type="dxa"/>
            <w:tcBorders>
              <w:top w:val="single" w:sz="12" w:space="0" w:color="auto"/>
              <w:bottom w:val="single" w:sz="2" w:space="0" w:color="auto"/>
            </w:tcBorders>
            <w:tcMar>
              <w:top w:w="0" w:type="dxa"/>
              <w:left w:w="40" w:type="dxa"/>
              <w:bottom w:w="0" w:type="dxa"/>
              <w:right w:w="40" w:type="dxa"/>
            </w:tcMar>
            <w:vAlign w:val="bottom"/>
          </w:tcPr>
          <w:p w14:paraId="12E948FE" w14:textId="77777777" w:rsidR="00EA6A67" w:rsidRPr="000971AE" w:rsidRDefault="00EA6A67" w:rsidP="00A33336">
            <w:pPr>
              <w:suppressAutoHyphens w:val="0"/>
              <w:spacing w:before="40" w:after="40" w:line="220" w:lineRule="exact"/>
              <w:jc w:val="right"/>
              <w:rPr>
                <w:rFonts w:eastAsia="Calibri"/>
                <w:sz w:val="18"/>
                <w:lang w:val="pt-BR" w:eastAsia="ru-MD"/>
              </w:rPr>
            </w:pPr>
            <w:r w:rsidRPr="000971AE">
              <w:rPr>
                <w:rFonts w:eastAsia="Calibri"/>
                <w:sz w:val="18"/>
                <w:lang w:val="pt-BR" w:eastAsia="ru-MD"/>
              </w:rPr>
              <w:t>Drochia, Soroca, Balti, Falesti, Riscani, Singerei, Dubasari - Cocieri, Orhei, Ialoveni, Hincesti, Cantemir, Telenești, Anenii Noi - Chirca, Nisporeni, Ungheni.</w:t>
            </w:r>
          </w:p>
        </w:tc>
      </w:tr>
      <w:tr w:rsidR="00AA140D" w:rsidRPr="000971AE" w14:paraId="2DFBE3DA" w14:textId="77777777" w:rsidTr="00AA140D">
        <w:tc>
          <w:tcPr>
            <w:tcW w:w="1021" w:type="dxa"/>
            <w:tcBorders>
              <w:top w:val="single" w:sz="2" w:space="0" w:color="auto"/>
              <w:bottom w:val="single" w:sz="2" w:space="0" w:color="auto"/>
            </w:tcBorders>
            <w:tcMar>
              <w:top w:w="0" w:type="dxa"/>
              <w:left w:w="40" w:type="dxa"/>
              <w:bottom w:w="0" w:type="dxa"/>
              <w:right w:w="40" w:type="dxa"/>
            </w:tcMar>
          </w:tcPr>
          <w:p w14:paraId="52706451" w14:textId="77777777" w:rsidR="00EA6A67" w:rsidRPr="000971AE" w:rsidRDefault="00EA6A67" w:rsidP="00A33336">
            <w:pPr>
              <w:suppressAutoHyphens w:val="0"/>
              <w:spacing w:before="40" w:after="40" w:line="220" w:lineRule="exact"/>
              <w:rPr>
                <w:rFonts w:eastAsia="Calibri"/>
                <w:sz w:val="18"/>
                <w:lang w:val="en-US" w:eastAsia="ru-MD"/>
              </w:rPr>
            </w:pPr>
            <w:r w:rsidRPr="000971AE">
              <w:rPr>
                <w:rFonts w:eastAsia="Calibri"/>
                <w:sz w:val="18"/>
                <w:lang w:val="en-US" w:eastAsia="ru-MD"/>
              </w:rPr>
              <w:t>Protected Housing</w:t>
            </w:r>
          </w:p>
        </w:tc>
        <w:tc>
          <w:tcPr>
            <w:tcW w:w="1200" w:type="dxa"/>
            <w:tcBorders>
              <w:top w:val="single" w:sz="2" w:space="0" w:color="auto"/>
              <w:bottom w:val="single" w:sz="2" w:space="0" w:color="auto"/>
            </w:tcBorders>
            <w:tcMar>
              <w:top w:w="0" w:type="dxa"/>
              <w:left w:w="40" w:type="dxa"/>
              <w:bottom w:w="0" w:type="dxa"/>
              <w:right w:w="40" w:type="dxa"/>
            </w:tcMar>
            <w:vAlign w:val="bottom"/>
          </w:tcPr>
          <w:p w14:paraId="3CC54F51"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 xml:space="preserve">       126</w:t>
            </w:r>
          </w:p>
        </w:tc>
        <w:tc>
          <w:tcPr>
            <w:tcW w:w="802" w:type="dxa"/>
            <w:tcBorders>
              <w:top w:val="single" w:sz="2" w:space="0" w:color="auto"/>
              <w:bottom w:val="single" w:sz="2" w:space="0" w:color="auto"/>
            </w:tcBorders>
            <w:tcMar>
              <w:top w:w="0" w:type="dxa"/>
              <w:left w:w="40" w:type="dxa"/>
              <w:bottom w:w="0" w:type="dxa"/>
              <w:right w:w="40" w:type="dxa"/>
            </w:tcMar>
            <w:vAlign w:val="bottom"/>
          </w:tcPr>
          <w:p w14:paraId="7880B2BC"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57</w:t>
            </w:r>
          </w:p>
        </w:tc>
        <w:tc>
          <w:tcPr>
            <w:tcW w:w="1117" w:type="dxa"/>
            <w:tcBorders>
              <w:top w:val="single" w:sz="2" w:space="0" w:color="auto"/>
              <w:bottom w:val="single" w:sz="2" w:space="0" w:color="auto"/>
            </w:tcBorders>
            <w:tcMar>
              <w:top w:w="0" w:type="dxa"/>
              <w:left w:w="40" w:type="dxa"/>
              <w:bottom w:w="0" w:type="dxa"/>
              <w:right w:w="40" w:type="dxa"/>
            </w:tcMar>
            <w:vAlign w:val="bottom"/>
          </w:tcPr>
          <w:p w14:paraId="7C55CE1B"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68</w:t>
            </w:r>
          </w:p>
        </w:tc>
        <w:tc>
          <w:tcPr>
            <w:tcW w:w="765" w:type="dxa"/>
            <w:tcBorders>
              <w:top w:val="single" w:sz="2" w:space="0" w:color="auto"/>
              <w:bottom w:val="single" w:sz="2" w:space="0" w:color="auto"/>
            </w:tcBorders>
            <w:tcMar>
              <w:top w:w="0" w:type="dxa"/>
              <w:left w:w="40" w:type="dxa"/>
              <w:bottom w:w="0" w:type="dxa"/>
              <w:right w:w="40" w:type="dxa"/>
            </w:tcMar>
            <w:vAlign w:val="bottom"/>
          </w:tcPr>
          <w:p w14:paraId="02D0CCBC"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1</w:t>
            </w:r>
          </w:p>
        </w:tc>
        <w:tc>
          <w:tcPr>
            <w:tcW w:w="780" w:type="dxa"/>
            <w:tcBorders>
              <w:top w:val="single" w:sz="2" w:space="0" w:color="auto"/>
              <w:bottom w:val="single" w:sz="2" w:space="0" w:color="auto"/>
            </w:tcBorders>
            <w:tcMar>
              <w:top w:w="0" w:type="dxa"/>
              <w:left w:w="40" w:type="dxa"/>
              <w:bottom w:w="0" w:type="dxa"/>
              <w:right w:w="40" w:type="dxa"/>
            </w:tcMar>
            <w:vAlign w:val="bottom"/>
          </w:tcPr>
          <w:p w14:paraId="1F4B0391"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126</w:t>
            </w:r>
          </w:p>
        </w:tc>
        <w:tc>
          <w:tcPr>
            <w:tcW w:w="705" w:type="dxa"/>
            <w:tcBorders>
              <w:top w:val="single" w:sz="2" w:space="0" w:color="auto"/>
              <w:bottom w:val="single" w:sz="2" w:space="0" w:color="auto"/>
            </w:tcBorders>
            <w:tcMar>
              <w:top w:w="0" w:type="dxa"/>
              <w:left w:w="40" w:type="dxa"/>
              <w:bottom w:w="0" w:type="dxa"/>
              <w:right w:w="40" w:type="dxa"/>
            </w:tcMar>
            <w:vAlign w:val="bottom"/>
          </w:tcPr>
          <w:p w14:paraId="1BD49F28"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w:t>
            </w:r>
          </w:p>
        </w:tc>
        <w:tc>
          <w:tcPr>
            <w:tcW w:w="2805" w:type="dxa"/>
            <w:tcBorders>
              <w:top w:val="single" w:sz="2" w:space="0" w:color="auto"/>
              <w:bottom w:val="single" w:sz="2" w:space="0" w:color="auto"/>
            </w:tcBorders>
            <w:tcMar>
              <w:top w:w="0" w:type="dxa"/>
              <w:left w:w="40" w:type="dxa"/>
              <w:bottom w:w="0" w:type="dxa"/>
              <w:right w:w="40" w:type="dxa"/>
            </w:tcMar>
            <w:vAlign w:val="bottom"/>
          </w:tcPr>
          <w:p w14:paraId="46EA84F7"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or. Bălți, Dubăsari, or. Hincesti, Călărași, Fălești, Orhei, Cantemir, Glodeni</w:t>
            </w:r>
          </w:p>
        </w:tc>
      </w:tr>
      <w:tr w:rsidR="00AA140D" w:rsidRPr="000971AE" w14:paraId="0B5FDD60" w14:textId="77777777" w:rsidTr="00C0562D">
        <w:tc>
          <w:tcPr>
            <w:tcW w:w="1021" w:type="dxa"/>
            <w:tcBorders>
              <w:top w:val="single" w:sz="2" w:space="0" w:color="auto"/>
              <w:bottom w:val="single" w:sz="2" w:space="0" w:color="auto"/>
            </w:tcBorders>
            <w:tcMar>
              <w:top w:w="0" w:type="dxa"/>
              <w:left w:w="40" w:type="dxa"/>
              <w:bottom w:w="0" w:type="dxa"/>
              <w:right w:w="40" w:type="dxa"/>
            </w:tcMar>
          </w:tcPr>
          <w:p w14:paraId="33610028" w14:textId="77777777" w:rsidR="00EA6A67" w:rsidRPr="000971AE" w:rsidRDefault="00EA6A67" w:rsidP="00A33336">
            <w:pPr>
              <w:suppressAutoHyphens w:val="0"/>
              <w:spacing w:before="40" w:after="40" w:line="220" w:lineRule="exact"/>
              <w:rPr>
                <w:rFonts w:eastAsia="Calibri"/>
                <w:sz w:val="18"/>
                <w:lang w:val="en-US" w:eastAsia="ru-MD"/>
              </w:rPr>
            </w:pPr>
            <w:r w:rsidRPr="000971AE">
              <w:rPr>
                <w:rFonts w:eastAsia="Calibri"/>
                <w:sz w:val="18"/>
                <w:lang w:val="en-US" w:eastAsia="ru-MD"/>
              </w:rPr>
              <w:t>Personal Assistance</w:t>
            </w:r>
          </w:p>
        </w:tc>
        <w:tc>
          <w:tcPr>
            <w:tcW w:w="1200" w:type="dxa"/>
            <w:tcBorders>
              <w:top w:val="single" w:sz="2" w:space="0" w:color="auto"/>
              <w:bottom w:val="single" w:sz="2" w:space="0" w:color="auto"/>
            </w:tcBorders>
            <w:tcMar>
              <w:top w:w="0" w:type="dxa"/>
              <w:left w:w="40" w:type="dxa"/>
              <w:bottom w:w="0" w:type="dxa"/>
              <w:right w:w="40" w:type="dxa"/>
            </w:tcMar>
            <w:vAlign w:val="bottom"/>
          </w:tcPr>
          <w:p w14:paraId="2B4FCFD4"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6621</w:t>
            </w:r>
          </w:p>
        </w:tc>
        <w:tc>
          <w:tcPr>
            <w:tcW w:w="802" w:type="dxa"/>
            <w:tcBorders>
              <w:top w:val="single" w:sz="2" w:space="0" w:color="auto"/>
              <w:bottom w:val="single" w:sz="2" w:space="0" w:color="auto"/>
            </w:tcBorders>
            <w:tcMar>
              <w:top w:w="0" w:type="dxa"/>
              <w:left w:w="40" w:type="dxa"/>
              <w:bottom w:w="0" w:type="dxa"/>
              <w:right w:w="40" w:type="dxa"/>
            </w:tcMar>
            <w:vAlign w:val="bottom"/>
          </w:tcPr>
          <w:p w14:paraId="2FE4D4EE"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6621</w:t>
            </w:r>
          </w:p>
        </w:tc>
        <w:tc>
          <w:tcPr>
            <w:tcW w:w="1117" w:type="dxa"/>
            <w:tcBorders>
              <w:top w:val="single" w:sz="2" w:space="0" w:color="auto"/>
              <w:bottom w:val="single" w:sz="2" w:space="0" w:color="auto"/>
            </w:tcBorders>
            <w:tcMar>
              <w:top w:w="0" w:type="dxa"/>
              <w:left w:w="40" w:type="dxa"/>
              <w:bottom w:w="0" w:type="dxa"/>
              <w:right w:w="40" w:type="dxa"/>
            </w:tcMar>
            <w:vAlign w:val="bottom"/>
          </w:tcPr>
          <w:p w14:paraId="78C96AED"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w:t>
            </w:r>
          </w:p>
        </w:tc>
        <w:tc>
          <w:tcPr>
            <w:tcW w:w="765" w:type="dxa"/>
            <w:tcBorders>
              <w:top w:val="single" w:sz="2" w:space="0" w:color="auto"/>
              <w:bottom w:val="single" w:sz="2" w:space="0" w:color="auto"/>
            </w:tcBorders>
            <w:tcMar>
              <w:top w:w="0" w:type="dxa"/>
              <w:left w:w="40" w:type="dxa"/>
              <w:bottom w:w="0" w:type="dxa"/>
              <w:right w:w="40" w:type="dxa"/>
            </w:tcMar>
            <w:vAlign w:val="bottom"/>
          </w:tcPr>
          <w:p w14:paraId="6217F657"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w:t>
            </w:r>
          </w:p>
        </w:tc>
        <w:tc>
          <w:tcPr>
            <w:tcW w:w="780" w:type="dxa"/>
            <w:tcBorders>
              <w:top w:val="single" w:sz="2" w:space="0" w:color="auto"/>
              <w:bottom w:val="single" w:sz="2" w:space="0" w:color="auto"/>
            </w:tcBorders>
            <w:tcMar>
              <w:top w:w="0" w:type="dxa"/>
              <w:left w:w="40" w:type="dxa"/>
              <w:bottom w:w="0" w:type="dxa"/>
              <w:right w:w="40" w:type="dxa"/>
            </w:tcMar>
            <w:vAlign w:val="bottom"/>
          </w:tcPr>
          <w:p w14:paraId="4C524557"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5148</w:t>
            </w:r>
          </w:p>
        </w:tc>
        <w:tc>
          <w:tcPr>
            <w:tcW w:w="705" w:type="dxa"/>
            <w:tcBorders>
              <w:top w:val="single" w:sz="2" w:space="0" w:color="auto"/>
              <w:bottom w:val="single" w:sz="2" w:space="0" w:color="auto"/>
            </w:tcBorders>
            <w:tcMar>
              <w:top w:w="0" w:type="dxa"/>
              <w:left w:w="40" w:type="dxa"/>
              <w:bottom w:w="0" w:type="dxa"/>
              <w:right w:w="40" w:type="dxa"/>
            </w:tcMar>
            <w:vAlign w:val="bottom"/>
          </w:tcPr>
          <w:p w14:paraId="0B3AFD5D"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1473</w:t>
            </w:r>
          </w:p>
        </w:tc>
        <w:tc>
          <w:tcPr>
            <w:tcW w:w="2805" w:type="dxa"/>
            <w:tcBorders>
              <w:top w:val="single" w:sz="2" w:space="0" w:color="auto"/>
              <w:bottom w:val="single" w:sz="2" w:space="0" w:color="auto"/>
            </w:tcBorders>
            <w:tcMar>
              <w:top w:w="0" w:type="dxa"/>
              <w:left w:w="40" w:type="dxa"/>
              <w:bottom w:w="0" w:type="dxa"/>
              <w:right w:w="40" w:type="dxa"/>
            </w:tcMar>
            <w:vAlign w:val="bottom"/>
          </w:tcPr>
          <w:p w14:paraId="71169BB2"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in all local STASs</w:t>
            </w:r>
          </w:p>
        </w:tc>
      </w:tr>
      <w:tr w:rsidR="00C0562D" w:rsidRPr="000971AE" w14:paraId="54498AE4" w14:textId="77777777" w:rsidTr="00C0562D">
        <w:tc>
          <w:tcPr>
            <w:tcW w:w="1021" w:type="dxa"/>
            <w:tcBorders>
              <w:top w:val="single" w:sz="2" w:space="0" w:color="auto"/>
            </w:tcBorders>
            <w:tcMar>
              <w:top w:w="0" w:type="dxa"/>
              <w:left w:w="40" w:type="dxa"/>
              <w:bottom w:w="0" w:type="dxa"/>
              <w:right w:w="40" w:type="dxa"/>
            </w:tcMar>
          </w:tcPr>
          <w:p w14:paraId="77BC59F4" w14:textId="77777777" w:rsidR="00EA6A67" w:rsidRPr="000971AE" w:rsidRDefault="00EA6A67" w:rsidP="00A33336">
            <w:pPr>
              <w:suppressAutoHyphens w:val="0"/>
              <w:spacing w:before="40" w:after="40" w:line="220" w:lineRule="exact"/>
              <w:rPr>
                <w:rFonts w:eastAsia="Calibri"/>
                <w:sz w:val="18"/>
                <w:lang w:val="en-US" w:eastAsia="ru-MD"/>
              </w:rPr>
            </w:pPr>
            <w:r w:rsidRPr="000971AE">
              <w:rPr>
                <w:rFonts w:eastAsia="Calibri"/>
                <w:sz w:val="18"/>
                <w:lang w:val="en-US" w:eastAsia="ru-MD"/>
              </w:rPr>
              <w:t>Mobile Team</w:t>
            </w:r>
          </w:p>
        </w:tc>
        <w:tc>
          <w:tcPr>
            <w:tcW w:w="1200" w:type="dxa"/>
            <w:tcBorders>
              <w:top w:val="single" w:sz="2" w:space="0" w:color="auto"/>
              <w:bottom w:val="single" w:sz="2" w:space="0" w:color="auto"/>
            </w:tcBorders>
            <w:tcMar>
              <w:top w:w="0" w:type="dxa"/>
              <w:left w:w="40" w:type="dxa"/>
              <w:bottom w:w="0" w:type="dxa"/>
              <w:right w:w="40" w:type="dxa"/>
            </w:tcMar>
            <w:vAlign w:val="bottom"/>
          </w:tcPr>
          <w:p w14:paraId="0FD3DAAF"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990</w:t>
            </w:r>
          </w:p>
        </w:tc>
        <w:tc>
          <w:tcPr>
            <w:tcW w:w="802" w:type="dxa"/>
            <w:tcBorders>
              <w:top w:val="single" w:sz="2" w:space="0" w:color="auto"/>
              <w:bottom w:val="single" w:sz="2" w:space="0" w:color="auto"/>
            </w:tcBorders>
            <w:tcMar>
              <w:top w:w="0" w:type="dxa"/>
              <w:left w:w="40" w:type="dxa"/>
              <w:bottom w:w="0" w:type="dxa"/>
              <w:right w:w="40" w:type="dxa"/>
            </w:tcMar>
            <w:vAlign w:val="bottom"/>
          </w:tcPr>
          <w:p w14:paraId="4D79148F"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682</w:t>
            </w:r>
          </w:p>
        </w:tc>
        <w:tc>
          <w:tcPr>
            <w:tcW w:w="1117" w:type="dxa"/>
            <w:tcBorders>
              <w:top w:val="single" w:sz="2" w:space="0" w:color="auto"/>
              <w:bottom w:val="single" w:sz="2" w:space="0" w:color="auto"/>
            </w:tcBorders>
            <w:tcMar>
              <w:top w:w="0" w:type="dxa"/>
              <w:left w:w="40" w:type="dxa"/>
              <w:bottom w:w="0" w:type="dxa"/>
              <w:right w:w="40" w:type="dxa"/>
            </w:tcMar>
            <w:vAlign w:val="bottom"/>
          </w:tcPr>
          <w:p w14:paraId="39169980"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297</w:t>
            </w:r>
          </w:p>
        </w:tc>
        <w:tc>
          <w:tcPr>
            <w:tcW w:w="765" w:type="dxa"/>
            <w:tcBorders>
              <w:top w:val="single" w:sz="2" w:space="0" w:color="auto"/>
              <w:bottom w:val="single" w:sz="2" w:space="0" w:color="auto"/>
            </w:tcBorders>
            <w:tcMar>
              <w:top w:w="0" w:type="dxa"/>
              <w:left w:w="40" w:type="dxa"/>
              <w:bottom w:w="0" w:type="dxa"/>
              <w:right w:w="40" w:type="dxa"/>
            </w:tcMar>
            <w:vAlign w:val="bottom"/>
          </w:tcPr>
          <w:p w14:paraId="330B9E64"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11</w:t>
            </w:r>
          </w:p>
        </w:tc>
        <w:tc>
          <w:tcPr>
            <w:tcW w:w="780" w:type="dxa"/>
            <w:tcBorders>
              <w:top w:val="single" w:sz="2" w:space="0" w:color="auto"/>
              <w:bottom w:val="single" w:sz="2" w:space="0" w:color="auto"/>
            </w:tcBorders>
            <w:tcMar>
              <w:top w:w="0" w:type="dxa"/>
              <w:left w:w="40" w:type="dxa"/>
              <w:bottom w:w="0" w:type="dxa"/>
              <w:right w:w="40" w:type="dxa"/>
            </w:tcMar>
            <w:vAlign w:val="bottom"/>
          </w:tcPr>
          <w:p w14:paraId="5FC82277"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265</w:t>
            </w:r>
          </w:p>
        </w:tc>
        <w:tc>
          <w:tcPr>
            <w:tcW w:w="705" w:type="dxa"/>
            <w:tcBorders>
              <w:top w:val="single" w:sz="2" w:space="0" w:color="auto"/>
              <w:bottom w:val="single" w:sz="2" w:space="0" w:color="auto"/>
            </w:tcBorders>
            <w:tcMar>
              <w:top w:w="0" w:type="dxa"/>
              <w:left w:w="40" w:type="dxa"/>
              <w:bottom w:w="0" w:type="dxa"/>
              <w:right w:w="40" w:type="dxa"/>
            </w:tcMar>
            <w:vAlign w:val="bottom"/>
          </w:tcPr>
          <w:p w14:paraId="1BDF1BA7"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714</w:t>
            </w:r>
          </w:p>
        </w:tc>
        <w:tc>
          <w:tcPr>
            <w:tcW w:w="2805" w:type="dxa"/>
            <w:tcBorders>
              <w:top w:val="single" w:sz="2" w:space="0" w:color="auto"/>
              <w:bottom w:val="single" w:sz="2" w:space="0" w:color="auto"/>
            </w:tcBorders>
            <w:tcMar>
              <w:top w:w="0" w:type="dxa"/>
              <w:left w:w="40" w:type="dxa"/>
              <w:bottom w:w="0" w:type="dxa"/>
              <w:right w:w="40" w:type="dxa"/>
            </w:tcMar>
            <w:vAlign w:val="bottom"/>
          </w:tcPr>
          <w:p w14:paraId="5934A923"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in all 33 local STASs</w:t>
            </w:r>
          </w:p>
        </w:tc>
      </w:tr>
      <w:tr w:rsidR="00C0562D" w:rsidRPr="000971AE" w14:paraId="14FB1FA3" w14:textId="77777777" w:rsidTr="00C0562D">
        <w:tc>
          <w:tcPr>
            <w:tcW w:w="1021" w:type="dxa"/>
            <w:tcBorders>
              <w:bottom w:val="single" w:sz="2" w:space="0" w:color="auto"/>
            </w:tcBorders>
            <w:tcMar>
              <w:top w:w="0" w:type="dxa"/>
              <w:left w:w="40" w:type="dxa"/>
              <w:bottom w:w="0" w:type="dxa"/>
              <w:right w:w="40" w:type="dxa"/>
            </w:tcMar>
          </w:tcPr>
          <w:p w14:paraId="24622B3D" w14:textId="77777777" w:rsidR="00EA6A67" w:rsidRPr="000971AE" w:rsidRDefault="00EA6A67" w:rsidP="00A33336">
            <w:pPr>
              <w:suppressAutoHyphens w:val="0"/>
              <w:spacing w:before="40" w:after="40" w:line="220" w:lineRule="exact"/>
              <w:rPr>
                <w:rFonts w:eastAsia="Calibri"/>
                <w:sz w:val="18"/>
                <w:lang w:val="en-US" w:eastAsia="ru-MD"/>
              </w:rPr>
            </w:pPr>
            <w:r w:rsidRPr="000971AE">
              <w:rPr>
                <w:rFonts w:eastAsia="Calibri"/>
                <w:sz w:val="18"/>
                <w:lang w:val="en-US" w:eastAsia="ru-MD"/>
              </w:rPr>
              <w:t>Respiro</w:t>
            </w:r>
          </w:p>
        </w:tc>
        <w:tc>
          <w:tcPr>
            <w:tcW w:w="1200" w:type="dxa"/>
            <w:tcBorders>
              <w:top w:val="single" w:sz="2" w:space="0" w:color="auto"/>
              <w:bottom w:val="single" w:sz="2" w:space="0" w:color="auto"/>
            </w:tcBorders>
            <w:tcMar>
              <w:top w:w="0" w:type="dxa"/>
              <w:left w:w="40" w:type="dxa"/>
              <w:bottom w:w="0" w:type="dxa"/>
              <w:right w:w="40" w:type="dxa"/>
            </w:tcMar>
            <w:vAlign w:val="bottom"/>
          </w:tcPr>
          <w:p w14:paraId="652197E7"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25</w:t>
            </w:r>
          </w:p>
        </w:tc>
        <w:tc>
          <w:tcPr>
            <w:tcW w:w="802" w:type="dxa"/>
            <w:tcBorders>
              <w:top w:val="single" w:sz="2" w:space="0" w:color="auto"/>
              <w:bottom w:val="single" w:sz="2" w:space="0" w:color="auto"/>
            </w:tcBorders>
            <w:tcMar>
              <w:top w:w="0" w:type="dxa"/>
              <w:left w:w="40" w:type="dxa"/>
              <w:bottom w:w="0" w:type="dxa"/>
              <w:right w:w="40" w:type="dxa"/>
            </w:tcMar>
            <w:vAlign w:val="bottom"/>
          </w:tcPr>
          <w:p w14:paraId="54CD6377"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25</w:t>
            </w:r>
          </w:p>
        </w:tc>
        <w:tc>
          <w:tcPr>
            <w:tcW w:w="1117" w:type="dxa"/>
            <w:tcBorders>
              <w:top w:val="single" w:sz="2" w:space="0" w:color="auto"/>
              <w:bottom w:val="single" w:sz="2" w:space="0" w:color="auto"/>
            </w:tcBorders>
            <w:tcMar>
              <w:top w:w="0" w:type="dxa"/>
              <w:left w:w="40" w:type="dxa"/>
              <w:bottom w:w="0" w:type="dxa"/>
              <w:right w:w="40" w:type="dxa"/>
            </w:tcMar>
            <w:vAlign w:val="bottom"/>
          </w:tcPr>
          <w:p w14:paraId="666DB14F"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w:t>
            </w:r>
          </w:p>
        </w:tc>
        <w:tc>
          <w:tcPr>
            <w:tcW w:w="765" w:type="dxa"/>
            <w:tcBorders>
              <w:top w:val="single" w:sz="2" w:space="0" w:color="auto"/>
              <w:bottom w:val="single" w:sz="2" w:space="0" w:color="auto"/>
            </w:tcBorders>
            <w:tcMar>
              <w:top w:w="0" w:type="dxa"/>
              <w:left w:w="40" w:type="dxa"/>
              <w:bottom w:w="0" w:type="dxa"/>
              <w:right w:w="40" w:type="dxa"/>
            </w:tcMar>
            <w:vAlign w:val="bottom"/>
          </w:tcPr>
          <w:p w14:paraId="1937FED1"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w:t>
            </w:r>
          </w:p>
        </w:tc>
        <w:tc>
          <w:tcPr>
            <w:tcW w:w="780" w:type="dxa"/>
            <w:tcBorders>
              <w:top w:val="single" w:sz="2" w:space="0" w:color="auto"/>
              <w:bottom w:val="single" w:sz="2" w:space="0" w:color="auto"/>
            </w:tcBorders>
            <w:tcMar>
              <w:top w:w="0" w:type="dxa"/>
              <w:left w:w="40" w:type="dxa"/>
              <w:bottom w:w="0" w:type="dxa"/>
              <w:right w:w="40" w:type="dxa"/>
            </w:tcMar>
            <w:vAlign w:val="bottom"/>
          </w:tcPr>
          <w:p w14:paraId="1437469C"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25</w:t>
            </w:r>
          </w:p>
        </w:tc>
        <w:tc>
          <w:tcPr>
            <w:tcW w:w="705" w:type="dxa"/>
            <w:tcBorders>
              <w:top w:val="single" w:sz="2" w:space="0" w:color="auto"/>
              <w:bottom w:val="single" w:sz="2" w:space="0" w:color="auto"/>
            </w:tcBorders>
            <w:tcMar>
              <w:top w:w="0" w:type="dxa"/>
              <w:left w:w="40" w:type="dxa"/>
              <w:bottom w:w="0" w:type="dxa"/>
              <w:right w:w="40" w:type="dxa"/>
            </w:tcMar>
            <w:vAlign w:val="bottom"/>
          </w:tcPr>
          <w:p w14:paraId="279C885E"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0</w:t>
            </w:r>
          </w:p>
        </w:tc>
        <w:tc>
          <w:tcPr>
            <w:tcW w:w="2805" w:type="dxa"/>
            <w:tcBorders>
              <w:top w:val="single" w:sz="2" w:space="0" w:color="auto"/>
              <w:bottom w:val="single" w:sz="2" w:space="0" w:color="auto"/>
            </w:tcBorders>
            <w:tcMar>
              <w:top w:w="0" w:type="dxa"/>
              <w:left w:w="40" w:type="dxa"/>
              <w:bottom w:w="0" w:type="dxa"/>
              <w:right w:w="40" w:type="dxa"/>
            </w:tcMar>
            <w:vAlign w:val="bottom"/>
          </w:tcPr>
          <w:p w14:paraId="3B2852BE" w14:textId="77777777" w:rsidR="00EA6A67" w:rsidRPr="000971AE" w:rsidRDefault="00EA6A67" w:rsidP="00A33336">
            <w:pPr>
              <w:suppressAutoHyphens w:val="0"/>
              <w:spacing w:before="40" w:after="40" w:line="220" w:lineRule="exact"/>
              <w:jc w:val="right"/>
              <w:rPr>
                <w:rFonts w:eastAsia="Calibri"/>
                <w:sz w:val="18"/>
                <w:lang w:val="pt-BR" w:eastAsia="ru-MD"/>
              </w:rPr>
            </w:pPr>
            <w:r w:rsidRPr="000971AE">
              <w:rPr>
                <w:rFonts w:eastAsia="Calibri"/>
                <w:sz w:val="18"/>
                <w:lang w:val="pt-BR" w:eastAsia="ru-MD"/>
              </w:rPr>
              <w:t>Cimișlia, Telenești, Fălești, Ungheni, Orhei</w:t>
            </w:r>
          </w:p>
        </w:tc>
      </w:tr>
      <w:tr w:rsidR="00A33336" w:rsidRPr="00221214" w14:paraId="0AE1FDF3" w14:textId="77777777" w:rsidTr="00C0562D">
        <w:tc>
          <w:tcPr>
            <w:tcW w:w="1021" w:type="dxa"/>
            <w:tcBorders>
              <w:top w:val="single" w:sz="2" w:space="0" w:color="auto"/>
              <w:bottom w:val="single" w:sz="12" w:space="0" w:color="auto"/>
            </w:tcBorders>
            <w:tcMar>
              <w:top w:w="0" w:type="dxa"/>
              <w:left w:w="40" w:type="dxa"/>
              <w:bottom w:w="0" w:type="dxa"/>
              <w:right w:w="40" w:type="dxa"/>
            </w:tcMar>
          </w:tcPr>
          <w:p w14:paraId="00F9772D" w14:textId="77777777" w:rsidR="00EA6A67" w:rsidRPr="000971AE" w:rsidRDefault="00EA6A67" w:rsidP="00A33336">
            <w:pPr>
              <w:suppressAutoHyphens w:val="0"/>
              <w:spacing w:before="40" w:after="40" w:line="220" w:lineRule="exact"/>
              <w:rPr>
                <w:rFonts w:eastAsia="Calibri"/>
                <w:sz w:val="18"/>
                <w:lang w:val="en-US" w:eastAsia="ru-MD"/>
              </w:rPr>
            </w:pPr>
            <w:r w:rsidRPr="000971AE">
              <w:rPr>
                <w:rFonts w:eastAsia="Calibri"/>
                <w:sz w:val="18"/>
                <w:lang w:val="en-US" w:eastAsia="ru-MD"/>
              </w:rPr>
              <w:t>Foster care for adults</w:t>
            </w:r>
          </w:p>
        </w:tc>
        <w:tc>
          <w:tcPr>
            <w:tcW w:w="1200" w:type="dxa"/>
            <w:tcBorders>
              <w:top w:val="single" w:sz="2" w:space="0" w:color="auto"/>
              <w:bottom w:val="single" w:sz="12" w:space="0" w:color="auto"/>
            </w:tcBorders>
            <w:tcMar>
              <w:top w:w="0" w:type="dxa"/>
              <w:left w:w="40" w:type="dxa"/>
              <w:bottom w:w="0" w:type="dxa"/>
              <w:right w:w="40" w:type="dxa"/>
            </w:tcMar>
            <w:vAlign w:val="bottom"/>
          </w:tcPr>
          <w:p w14:paraId="7D5DAD58"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41</w:t>
            </w:r>
          </w:p>
        </w:tc>
        <w:tc>
          <w:tcPr>
            <w:tcW w:w="802" w:type="dxa"/>
            <w:tcBorders>
              <w:top w:val="single" w:sz="2" w:space="0" w:color="auto"/>
              <w:bottom w:val="single" w:sz="12" w:space="0" w:color="auto"/>
            </w:tcBorders>
            <w:tcMar>
              <w:top w:w="0" w:type="dxa"/>
              <w:left w:w="40" w:type="dxa"/>
              <w:bottom w:w="0" w:type="dxa"/>
              <w:right w:w="40" w:type="dxa"/>
            </w:tcMar>
            <w:vAlign w:val="bottom"/>
          </w:tcPr>
          <w:p w14:paraId="0DD00B6C"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25</w:t>
            </w:r>
          </w:p>
        </w:tc>
        <w:tc>
          <w:tcPr>
            <w:tcW w:w="1117" w:type="dxa"/>
            <w:tcBorders>
              <w:top w:val="single" w:sz="2" w:space="0" w:color="auto"/>
              <w:bottom w:val="single" w:sz="12" w:space="0" w:color="auto"/>
            </w:tcBorders>
            <w:tcMar>
              <w:top w:w="0" w:type="dxa"/>
              <w:left w:w="40" w:type="dxa"/>
              <w:bottom w:w="0" w:type="dxa"/>
              <w:right w:w="40" w:type="dxa"/>
            </w:tcMar>
            <w:vAlign w:val="bottom"/>
          </w:tcPr>
          <w:p w14:paraId="0152F665"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0</w:t>
            </w:r>
          </w:p>
        </w:tc>
        <w:tc>
          <w:tcPr>
            <w:tcW w:w="765" w:type="dxa"/>
            <w:tcBorders>
              <w:top w:val="single" w:sz="2" w:space="0" w:color="auto"/>
              <w:bottom w:val="single" w:sz="12" w:space="0" w:color="auto"/>
            </w:tcBorders>
            <w:tcMar>
              <w:top w:w="0" w:type="dxa"/>
              <w:left w:w="40" w:type="dxa"/>
              <w:bottom w:w="0" w:type="dxa"/>
              <w:right w:w="40" w:type="dxa"/>
            </w:tcMar>
            <w:vAlign w:val="bottom"/>
          </w:tcPr>
          <w:p w14:paraId="66C33118"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0</w:t>
            </w:r>
          </w:p>
        </w:tc>
        <w:tc>
          <w:tcPr>
            <w:tcW w:w="780" w:type="dxa"/>
            <w:tcBorders>
              <w:top w:val="single" w:sz="2" w:space="0" w:color="auto"/>
              <w:bottom w:val="single" w:sz="12" w:space="0" w:color="auto"/>
            </w:tcBorders>
            <w:tcMar>
              <w:top w:w="0" w:type="dxa"/>
              <w:left w:w="40" w:type="dxa"/>
              <w:bottom w:w="0" w:type="dxa"/>
              <w:right w:w="40" w:type="dxa"/>
            </w:tcMar>
            <w:vAlign w:val="bottom"/>
          </w:tcPr>
          <w:p w14:paraId="693F4C98"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41</w:t>
            </w:r>
          </w:p>
        </w:tc>
        <w:tc>
          <w:tcPr>
            <w:tcW w:w="705" w:type="dxa"/>
            <w:tcBorders>
              <w:top w:val="single" w:sz="2" w:space="0" w:color="auto"/>
              <w:bottom w:val="single" w:sz="12" w:space="0" w:color="auto"/>
            </w:tcBorders>
            <w:tcMar>
              <w:top w:w="0" w:type="dxa"/>
              <w:left w:w="40" w:type="dxa"/>
              <w:bottom w:w="0" w:type="dxa"/>
              <w:right w:w="40" w:type="dxa"/>
            </w:tcMar>
            <w:vAlign w:val="bottom"/>
          </w:tcPr>
          <w:p w14:paraId="3C6A5795" w14:textId="77777777" w:rsidR="00EA6A67" w:rsidRPr="000971AE" w:rsidRDefault="00EA6A67" w:rsidP="00A33336">
            <w:pPr>
              <w:suppressAutoHyphens w:val="0"/>
              <w:spacing w:before="40" w:after="40" w:line="220" w:lineRule="exact"/>
              <w:jc w:val="right"/>
              <w:rPr>
                <w:rFonts w:eastAsia="Calibri"/>
                <w:sz w:val="18"/>
                <w:lang w:val="en-US" w:eastAsia="ru-MD"/>
              </w:rPr>
            </w:pPr>
            <w:r w:rsidRPr="000971AE">
              <w:rPr>
                <w:rFonts w:eastAsia="Calibri"/>
                <w:sz w:val="18"/>
                <w:lang w:val="en-US" w:eastAsia="ru-MD"/>
              </w:rPr>
              <w:t>0</w:t>
            </w:r>
          </w:p>
        </w:tc>
        <w:tc>
          <w:tcPr>
            <w:tcW w:w="2805" w:type="dxa"/>
            <w:tcBorders>
              <w:top w:val="single" w:sz="2" w:space="0" w:color="auto"/>
              <w:bottom w:val="single" w:sz="12" w:space="0" w:color="auto"/>
            </w:tcBorders>
            <w:tcMar>
              <w:top w:w="0" w:type="dxa"/>
              <w:left w:w="40" w:type="dxa"/>
              <w:bottom w:w="0" w:type="dxa"/>
              <w:right w:w="40" w:type="dxa"/>
            </w:tcMar>
            <w:vAlign w:val="bottom"/>
          </w:tcPr>
          <w:p w14:paraId="56AECC57" w14:textId="77777777" w:rsidR="00EA6A67" w:rsidRPr="000971AE" w:rsidRDefault="00EA6A67" w:rsidP="00A33336">
            <w:pPr>
              <w:suppressAutoHyphens w:val="0"/>
              <w:spacing w:before="40" w:after="40" w:line="220" w:lineRule="exact"/>
              <w:jc w:val="right"/>
              <w:rPr>
                <w:rFonts w:eastAsia="Calibri"/>
                <w:sz w:val="18"/>
                <w:lang w:val="pt-BR" w:eastAsia="ru-MD"/>
              </w:rPr>
            </w:pPr>
            <w:r w:rsidRPr="000971AE">
              <w:rPr>
                <w:rFonts w:eastAsia="Calibri"/>
                <w:sz w:val="18"/>
                <w:lang w:val="pt-BR" w:eastAsia="ru-MD"/>
              </w:rPr>
              <w:t>Ialoveni, Telenești, Orhei, Ungheni, Straseni</w:t>
            </w:r>
          </w:p>
        </w:tc>
      </w:tr>
    </w:tbl>
    <w:p w14:paraId="6D6B0191" w14:textId="4D9FD2C9" w:rsidR="00EA6A67" w:rsidRPr="000971AE" w:rsidRDefault="003251EC" w:rsidP="003251EC">
      <w:pPr>
        <w:pStyle w:val="H1G"/>
        <w:rPr>
          <w:lang w:val="en-US" w:eastAsia="ru-MD"/>
        </w:rPr>
      </w:pPr>
      <w:r w:rsidRPr="00221214">
        <w:rPr>
          <w:lang w:val="es-ES" w:eastAsia="ru-MD"/>
        </w:rPr>
        <w:tab/>
      </w:r>
      <w:r w:rsidRPr="00221214">
        <w:rPr>
          <w:lang w:val="es-ES" w:eastAsia="ru-MD"/>
        </w:rPr>
        <w:tab/>
      </w:r>
      <w:r w:rsidR="00EA6A67" w:rsidRPr="000971AE">
        <w:rPr>
          <w:lang w:val="en-US" w:eastAsia="ru-MD"/>
        </w:rPr>
        <w:t>Article 20</w:t>
      </w:r>
      <w:r w:rsidR="00B140B4">
        <w:rPr>
          <w:lang w:val="en-US" w:eastAsia="ru-MD"/>
        </w:rPr>
        <w:br/>
      </w:r>
      <w:r w:rsidR="00EA6A67" w:rsidRPr="000971AE">
        <w:rPr>
          <w:lang w:val="en-US" w:eastAsia="ru-MD"/>
        </w:rPr>
        <w:t>Personal mobility</w:t>
      </w:r>
    </w:p>
    <w:p w14:paraId="1CECF78B" w14:textId="285BCA05" w:rsidR="0005744A" w:rsidRPr="000971AE" w:rsidRDefault="00051B19"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16 (a) of the list of issues</w:t>
      </w:r>
    </w:p>
    <w:p w14:paraId="3D2804C6" w14:textId="6388E723"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 xml:space="preserve">Law 60/2012 provides that persons with locomotor disabilities, persons with severe or advanced disabilities, children with disabilities, and companions of persons with severe disabilities or children with disabilities shall benefit, at least once a quarter, from compensation for transportation services, granted from the state budget. </w:t>
      </w:r>
    </w:p>
    <w:p w14:paraId="6F325C12" w14:textId="3CAC53BB" w:rsidR="0005744A" w:rsidRPr="000971AE" w:rsidRDefault="00051B19"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16 (b) of the list of issues</w:t>
      </w:r>
    </w:p>
    <w:p w14:paraId="434BE563" w14:textId="3F0F4D69"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For the implementation of Article 51, Law 60/2012, the GD 567/2011 (updated) establishes the framework for the provision of technical aids. CREPOR ensures:</w:t>
      </w:r>
      <w:bookmarkStart w:id="4" w:name="_Hlk208946564"/>
      <w:bookmarkEnd w:id="4"/>
    </w:p>
    <w:p w14:paraId="51ABEF6A" w14:textId="77777777" w:rsidR="00EA6A67" w:rsidRPr="000971AE" w:rsidRDefault="00EA6A67" w:rsidP="00051B19">
      <w:pPr>
        <w:pStyle w:val="Bullet1G"/>
        <w:rPr>
          <w:lang w:val="en-US" w:eastAsia="ru-MD"/>
        </w:rPr>
      </w:pPr>
      <w:r w:rsidRPr="000971AE">
        <w:rPr>
          <w:lang w:val="en-US" w:eastAsia="ru-MD"/>
        </w:rPr>
        <w:t xml:space="preserve">free of charge for people with severe, advanced or medium locomotor disabilities, children with disabilities and children with locomotor disorders under 18 years of age; </w:t>
      </w:r>
    </w:p>
    <w:p w14:paraId="4C0C974A" w14:textId="77777777" w:rsidR="00EA6A67" w:rsidRPr="000971AE" w:rsidRDefault="00EA6A67" w:rsidP="00051B19">
      <w:pPr>
        <w:pStyle w:val="Bullet1G"/>
        <w:rPr>
          <w:lang w:val="en-US" w:eastAsia="ru-MD"/>
        </w:rPr>
      </w:pPr>
      <w:r w:rsidRPr="000971AE">
        <w:rPr>
          <w:lang w:val="en-US" w:eastAsia="ru-MD"/>
        </w:rPr>
        <w:t>with partial payment (50% discount) for other eligible categories. For the visually impaired, clear criteria of eligibility and prescription of assistive devices are established.</w:t>
      </w:r>
    </w:p>
    <w:p w14:paraId="2BB6BED8" w14:textId="04262D7A" w:rsidR="0005744A" w:rsidRPr="000971AE" w:rsidRDefault="00051B19"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16 (c) of the list of issues</w:t>
      </w:r>
    </w:p>
    <w:p w14:paraId="1A14CD4C" w14:textId="2E2A98D0"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By Law 423/2023, local/municipal councils can grant transportation facilities for certain categories of people, a financially supported measure to compensate for lost income. MIRD Order 148/2024 introduced checklists for public transport accessibility assessment.</w:t>
      </w:r>
    </w:p>
    <w:p w14:paraId="2B14A72A" w14:textId="275280EC"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21</w:t>
      </w:r>
      <w:r w:rsidR="00B140B4">
        <w:rPr>
          <w:lang w:val="en-US" w:eastAsia="ru-MD"/>
        </w:rPr>
        <w:br/>
      </w:r>
      <w:r w:rsidR="00EA6A67" w:rsidRPr="000971AE">
        <w:rPr>
          <w:lang w:val="en-US" w:eastAsia="ru-MD"/>
        </w:rPr>
        <w:t>Freedom of expression and opinion, and access to information</w:t>
      </w:r>
    </w:p>
    <w:p w14:paraId="2098BD37" w14:textId="721F450A" w:rsidR="0005744A" w:rsidRPr="000971AE" w:rsidRDefault="00EC2D04"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17 (a) of the list of issues</w:t>
      </w:r>
    </w:p>
    <w:p w14:paraId="525DC5D5" w14:textId="006745B1"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 xml:space="preserve">GD 728/2023 sets minimum accessibility requirements for official websites and social media profiles of public authorities, aiming at image labelling, colour contrast, clear information structure, accessible menus, plain language, subtitling of audio-video materials and constant accessibility testing. The GD provides for the use of the </w:t>
      </w:r>
      <w:r w:rsidRPr="000971AE">
        <w:rPr>
          <w:b/>
          <w:lang w:val="en-US" w:eastAsia="ru-MD"/>
        </w:rPr>
        <w:t>ONEST</w:t>
      </w:r>
      <w:r w:rsidRPr="000971AE">
        <w:rPr>
          <w:lang w:val="en-US" w:eastAsia="ru-MD"/>
        </w:rPr>
        <w:t xml:space="preserve"> font for uniformity and readability.</w:t>
      </w:r>
    </w:p>
    <w:p w14:paraId="727B5278" w14:textId="77777777"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Law 241/2007 of electronic communications mandates ANRCETI to ensure equivalent access for users with disabilities. Decision of the Board of Directors 58/2018 imposes on providers the obligation to adapt the services both in urban and rural areas. In 2024, ANRCETI verified 34 operators, assessing compliance with accessibility rules and obligations towards people with disabilities. Providers of communications and postal services are obliged to provide home assistance for contracting, paying or troubleshooting.</w:t>
      </w:r>
    </w:p>
    <w:p w14:paraId="269C88D2" w14:textId="64FC185C" w:rsidR="0005744A" w:rsidRPr="000971AE" w:rsidRDefault="00EC2D04"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17 (b) of the list of issues</w:t>
      </w:r>
    </w:p>
    <w:p w14:paraId="0017BA7C" w14:textId="45722B0C"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The sign language interpretation service for people with hearing impairments was established by GD 333/2014, with the aim of facilitating their communication with public authorities and institutions. The service is provided by the Deaf Association, financed from the state budget through the MoLSP.</w:t>
      </w:r>
    </w:p>
    <w:p w14:paraId="2959E850" w14:textId="77777777"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Law 264/2008 regulates the authorisation and organisation of the activity of interpreters and translators, including in courts, criminal prosecution bodies and other legal institutions. The number of authorized sign interpreters for deaf or deafblind people varied: 7 in 2012, 9 in 2017 and 5 in 2023. In parallel, the Deaf Association has hired interpreters for current services: 12 in 2022, 11 in 2023 and 2024, respectively 12 in 2025.</w:t>
      </w:r>
    </w:p>
    <w:p w14:paraId="7932008E" w14:textId="77777777"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Interpreters work throughout the country, including online, serving various authorities and institutions (healthcare, courts, notarial offices, educational institutions, banks, but also cultural, educational, social and media events).</w:t>
      </w:r>
    </w:p>
    <w:p w14:paraId="5A24F221" w14:textId="3D041792" w:rsidR="0005744A" w:rsidRPr="000971AE" w:rsidRDefault="00EC2D04"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17 (c) of the list of issues</w:t>
      </w:r>
    </w:p>
    <w:p w14:paraId="0E4C379B" w14:textId="7B463CEA"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Law 72/2025 guarantees equal access to electronic communication services and obliges providers to provide information in accessible formats. The Media Services Code 174/2018 requires sign language interpretation or synchronous titling for news programs and other important programs, as well as a minimum of 60 minutes of accessible content per month. The secondary regulations set clear accessibility standards. The Board of Directors monitors compliance with the rules, applying sanctions and ensuring online access through the official website, with menus for visually impaired people and feedback mechanisms.</w:t>
      </w:r>
    </w:p>
    <w:p w14:paraId="1CFDFE11" w14:textId="2724B1B1"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22</w:t>
      </w:r>
      <w:r w:rsidR="00B140B4">
        <w:rPr>
          <w:lang w:val="en-US" w:eastAsia="ru-MD"/>
        </w:rPr>
        <w:br/>
      </w:r>
      <w:r w:rsidR="00EA6A67" w:rsidRPr="000971AE">
        <w:rPr>
          <w:lang w:val="en-US" w:eastAsia="ru-MD"/>
        </w:rPr>
        <w:t>Respect for privacy</w:t>
      </w:r>
    </w:p>
    <w:p w14:paraId="3479BCD8" w14:textId="031754B7" w:rsidR="0005744A" w:rsidRPr="000971AE" w:rsidRDefault="00EC2D04"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18 (a) of the list of issues</w:t>
      </w:r>
    </w:p>
    <w:p w14:paraId="570893F6" w14:textId="4D26E4C5"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 xml:space="preserve">The legal protection of the data of persons with disabilities is ensured by Law 133/2011, which establishes that data may only be processed by medical personnel or persons </w:t>
      </w:r>
      <w:r w:rsidRPr="000971AE">
        <w:rPr>
          <w:rFonts w:eastAsia="Calibri"/>
          <w:lang w:val="en-US" w:eastAsia="ru-MD"/>
        </w:rPr>
        <w:t xml:space="preserve">subject to an </w:t>
      </w:r>
      <w:r w:rsidRPr="000971AE">
        <w:rPr>
          <w:lang w:val="en-US" w:eastAsia="ru-MD"/>
        </w:rPr>
        <w:t>equivalent</w:t>
      </w:r>
      <w:r w:rsidRPr="000971AE">
        <w:rPr>
          <w:rFonts w:eastAsia="Calibri"/>
          <w:lang w:val="en-US" w:eastAsia="ru-MD"/>
        </w:rPr>
        <w:t xml:space="preserve"> regime of professional confidentiality</w:t>
      </w:r>
      <w:r w:rsidRPr="000971AE">
        <w:rPr>
          <w:lang w:val="en-US" w:eastAsia="ru-MD"/>
        </w:rPr>
        <w:t>. Starting with August 2026, the guarantees will be strengthened by the entry into force of Law 195/2024, which extends the protection of data subjects' rights in the context of the digitization of public and medical services.</w:t>
      </w:r>
    </w:p>
    <w:p w14:paraId="7F2130A3" w14:textId="77777777"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CNDDCM applies strict measures to protect personal and medical data – respect for confidentiality, processing with person’s informed consent, and secure storage in information systems. According to the CNPDCP, no complaints were received during the reference period explicitly invoking the status of persons with disabilities of the data subjects.</w:t>
      </w:r>
    </w:p>
    <w:p w14:paraId="2834A6D2" w14:textId="059BA240" w:rsidR="0005744A" w:rsidRPr="000971AE" w:rsidRDefault="00EC2D04"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18 (b) of the list of issues</w:t>
      </w:r>
    </w:p>
    <w:p w14:paraId="3753C91D" w14:textId="20CAAD78"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 xml:space="preserve">The Civil Code recognizes the right to protection of personal data and provides that all protection measures are exercised in compliance with fundamental rights and freedoms, as well as the dignity of the person. Law 195/2024 strengthens the protection of privacy and personal data, prohibiting the processing of sensitive data on racial or ethnic origin, political opinions, religion, philosophical beliefs, trade union membership, genetic data, biometric data, data on health or sex life/sexual orientation. </w:t>
      </w:r>
    </w:p>
    <w:p w14:paraId="24572698" w14:textId="644BEE1D"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23</w:t>
      </w:r>
      <w:r w:rsidR="00B140B4">
        <w:rPr>
          <w:lang w:val="en-US" w:eastAsia="ru-MD"/>
        </w:rPr>
        <w:br/>
      </w:r>
      <w:r w:rsidR="00EA6A67" w:rsidRPr="000971AE">
        <w:rPr>
          <w:lang w:val="en-US" w:eastAsia="ru-MD"/>
        </w:rPr>
        <w:t>Respect for home and the family</w:t>
      </w:r>
    </w:p>
    <w:p w14:paraId="2E8F01C6" w14:textId="506AC598" w:rsidR="0005744A" w:rsidRPr="000971AE" w:rsidRDefault="00EC2D04"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19 (a) of the list of issues</w:t>
      </w:r>
    </w:p>
    <w:p w14:paraId="3E704C84" w14:textId="568998CB"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The right of persons with disabilities to marriage and child-rearing shall be protected at national level. The Constitution guarantees the freedom to found a family on the basis of free consent and equal rights between spouses. Family Code 1316/2000 provides that marriage requires mutual consent, expressed personally and unconditionally, without imposing restrictions related to disability, although it includes the obligation of the partners to inform each other about the state of health before marriage.</w:t>
      </w:r>
    </w:p>
    <w:p w14:paraId="08A62B92" w14:textId="62530BEB" w:rsidR="0005744A" w:rsidRPr="000971AE" w:rsidRDefault="00EC2D04"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19 (</w:t>
      </w:r>
      <w:r w:rsidR="00B140B4">
        <w:rPr>
          <w:lang w:val="en-US" w:eastAsia="ru-MD"/>
        </w:rPr>
        <w:t>b</w:t>
      </w:r>
      <w:r w:rsidR="0005744A" w:rsidRPr="000971AE">
        <w:rPr>
          <w:lang w:val="en-US" w:eastAsia="ru-MD"/>
        </w:rPr>
        <w:t>) of the list of issues</w:t>
      </w:r>
    </w:p>
    <w:p w14:paraId="75343FBD" w14:textId="5659D1B9"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According to GD  874/2024, perinatal care is provided to all persons equally and without discrimination. Order MoH/MoLSP  555/2020 provides that people with disabilities is part of the vulnerable groups eligible to receive contraceptives free of charge. In 2025, Order 770/2025 approved the Instruction on the prevention and post-prevention of pregnancy during adolescence, regulating educational actions, interventions, intersectoral collaboration and support measures for the prevention and management of pregnancy among students.</w:t>
      </w:r>
    </w:p>
    <w:p w14:paraId="707E230E" w14:textId="670E60BE"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24</w:t>
      </w:r>
      <w:r w:rsidR="0003652A">
        <w:rPr>
          <w:lang w:val="en-US" w:eastAsia="ru-MD"/>
        </w:rPr>
        <w:br/>
      </w:r>
      <w:r w:rsidR="00EA6A67" w:rsidRPr="000971AE">
        <w:rPr>
          <w:lang w:val="en-US" w:eastAsia="ru-MD"/>
        </w:rPr>
        <w:t>Education</w:t>
      </w:r>
    </w:p>
    <w:p w14:paraId="746FF7EC" w14:textId="6C4E543C" w:rsidR="0005744A" w:rsidRPr="000971AE" w:rsidRDefault="00DE35F5"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20 (a) of the list of issues</w:t>
      </w:r>
    </w:p>
    <w:p w14:paraId="3213B16B" w14:textId="538F5236"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Data on students with disabilities are collected and published annually by the NBS. Based on GD  421/2024, the NBS transmits this information to the CNDDCM disaggregated by educational levels, place of residence, gender and territory.</w:t>
      </w:r>
      <w:bookmarkStart w:id="5" w:name="_Hlk208946617"/>
      <w:bookmarkEnd w:id="5"/>
    </w:p>
    <w:p w14:paraId="388A2DEA" w14:textId="77777777"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CRAP/SAP, monitors children with SEN and/or disabilities. In the 2024–2025 academic year, 15,590 children/pupils with SEN were registered in general education institutions, of which: 2,740 children in early education (+20.15% compared to 2024), including 1,042 with disabilities; 12,950 pupils in primary and general secondary education (+11.57%), of which 3,691 with disabilities; 790 students in technical vocational (627 in Vocational Schools, 88 in Centers of Excellence and 75 in Colleges). The constant increase in the number of SEN children reflects both the consolidation of the statistical mechanisms provided by GD  421/2024, as well as the extension of educational support services offered at national level.</w:t>
      </w:r>
    </w:p>
    <w:p w14:paraId="0A73E316" w14:textId="3D00DCC2" w:rsidR="0005744A" w:rsidRPr="000971AE" w:rsidRDefault="00DE35F5"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20 (b) of the list of issues</w:t>
      </w:r>
    </w:p>
    <w:p w14:paraId="28102DE5" w14:textId="4B66C9C1"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In order to support the inclusion of children with disabilities in public schools, the Financing Methodology based on standard cost per child for public preschool education institutions (GD  685/2024) was approved. The new financing formula will be piloted.</w:t>
      </w:r>
    </w:p>
    <w:p w14:paraId="4C3AAAFC" w14:textId="27A67A9A" w:rsidR="0005744A" w:rsidRPr="000971AE" w:rsidRDefault="00DE35F5"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20 (c) of the list of issues</w:t>
      </w:r>
    </w:p>
    <w:p w14:paraId="0FBD7366" w14:textId="7FDFD565"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 xml:space="preserve">The normative and methodological framework for the identification of SEN children has been developed and revised, including: </w:t>
      </w:r>
    </w:p>
    <w:p w14:paraId="7200D549" w14:textId="6EBFE096" w:rsidR="00EA6A67" w:rsidRPr="000971AE" w:rsidRDefault="00EA6A67" w:rsidP="00DE35F5">
      <w:pPr>
        <w:pStyle w:val="Bullet1G"/>
        <w:rPr>
          <w:lang w:val="en-US" w:eastAsia="ru-MD"/>
        </w:rPr>
      </w:pPr>
      <w:r w:rsidRPr="000971AE">
        <w:rPr>
          <w:lang w:val="en-US" w:eastAsia="ru-MD"/>
        </w:rPr>
        <w:t>inclusion of SEN and/or disabled children in preschool, preschool and general education institutions (in the process of approval)</w:t>
      </w:r>
    </w:p>
    <w:p w14:paraId="25034B6E" w14:textId="77F432FF" w:rsidR="00EA6A67" w:rsidRPr="000971AE" w:rsidRDefault="00EA6A67" w:rsidP="00DE35F5">
      <w:pPr>
        <w:pStyle w:val="Bullet1G"/>
        <w:rPr>
          <w:lang w:val="en-US" w:eastAsia="ru-MD"/>
        </w:rPr>
      </w:pPr>
      <w:r w:rsidRPr="000971AE">
        <w:rPr>
          <w:lang w:val="en-US" w:eastAsia="ru-MD"/>
        </w:rPr>
        <w:t>assessing child/student development</w:t>
      </w:r>
    </w:p>
    <w:p w14:paraId="0A7182D2" w14:textId="5885B710" w:rsidR="00EA6A67" w:rsidRPr="000971AE" w:rsidRDefault="00EA6A67" w:rsidP="00DE35F5">
      <w:pPr>
        <w:pStyle w:val="Bullet1G"/>
        <w:rPr>
          <w:lang w:val="en-US" w:eastAsia="ru-MD"/>
        </w:rPr>
      </w:pPr>
      <w:r w:rsidRPr="000971AE">
        <w:rPr>
          <w:lang w:val="en-US" w:eastAsia="ru-MD"/>
        </w:rPr>
        <w:t>inclusive vocational education and training in technical vocational education (under approval).</w:t>
      </w:r>
    </w:p>
    <w:p w14:paraId="2B16AE28" w14:textId="743B74AF" w:rsidR="0005744A" w:rsidRPr="000971AE" w:rsidRDefault="0030567C"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20 (d) of the list of issues</w:t>
      </w:r>
    </w:p>
    <w:p w14:paraId="3FB46D2F" w14:textId="6D0C3666"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The number of students enrolled in special education for the 2024-2025 school year, in schools for children with intellectual or physical development deficiencies, was 0.5 thousand. This figure remains constant compared to the level recorded in the previous year.</w:t>
      </w:r>
    </w:p>
    <w:p w14:paraId="5EAA9705" w14:textId="1E1ECF66" w:rsidR="0005744A" w:rsidRPr="000971AE" w:rsidRDefault="0030567C"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20 (e) of the list of issues</w:t>
      </w:r>
    </w:p>
    <w:p w14:paraId="07CD7513" w14:textId="205CBC8D"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 xml:space="preserve">In the 2024-2025, 249 children with visual disabilities (40 children from kindergarten and 209 children from school) and 299 children with hearing impairments (59 children from kindergarten and 240 children from school) were enrolled. About 2000 teachers benefited from training on the educational inclusion of children with hearing and vision impairments. </w:t>
      </w:r>
    </w:p>
    <w:p w14:paraId="1ED8D249" w14:textId="71BFEEE3" w:rsidR="0005744A" w:rsidRPr="000971AE" w:rsidRDefault="0030567C"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20 (f) of the list of issues</w:t>
      </w:r>
    </w:p>
    <w:p w14:paraId="70111AF0" w14:textId="717B4071"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The standardization and conceptualization of the process for educational institutions accessibility at all levels for children and students with disabilities is part of the MEC Action Plan for 2025 (action 2.72). Higher education institutions ensure accessibility and adaptation to the specific needs of students with physical, intellectual, hearing and visual disabilities, through physical, informational and pedagogical measures. Units that have integrated students with disabilities or autism spectrum disorders (ASD) are equipped with appropriate assistive technologies and equipment to facilitate their full and equitable participation.</w:t>
      </w:r>
    </w:p>
    <w:p w14:paraId="5B435C80" w14:textId="4E703EE8"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25</w:t>
      </w:r>
      <w:r w:rsidR="0003652A">
        <w:rPr>
          <w:lang w:val="en-US" w:eastAsia="ru-MD"/>
        </w:rPr>
        <w:br/>
      </w:r>
      <w:r w:rsidR="00EA6A67" w:rsidRPr="000971AE">
        <w:rPr>
          <w:lang w:val="en-US" w:eastAsia="ru-MD"/>
        </w:rPr>
        <w:t>Health</w:t>
      </w:r>
    </w:p>
    <w:p w14:paraId="42DEC697" w14:textId="7B925360" w:rsidR="0005744A" w:rsidRPr="000971AE" w:rsidRDefault="0030567C"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21 (a) of the list of issues</w:t>
      </w:r>
    </w:p>
    <w:p w14:paraId="42408952" w14:textId="7F6FA1F1"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In 2022, more than 10,000 people with disabilities benefited from medical rehabilitation, mental health, care and prosthetics services, with a slight increase compared to previous years. Law 114/2024 pays special attention to vulnerable groups (children, people with disabilities and elderly), facilitating access to mental health services and counseling, and GD  971/2023 regulates involuntary hospitalization and medical coercion measures according to legal guarantees. Psychiatric hospitals treated on average 28,349 patients, and neurological and psychological rehabilitation was provided by 43 hospital institutions and the 40 CCSM. Order 1089/288 of 2024 guarantees the provision of all medical services to people with disabilities, giving priority to scheduling and the possibility of hospitalization of people with severe disabilities with a personal assistant.</w:t>
      </w:r>
    </w:p>
    <w:p w14:paraId="66415CF7" w14:textId="3BDA8424" w:rsidR="0005744A" w:rsidRPr="000971AE" w:rsidRDefault="0030567C"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21 (b) of the list of issues</w:t>
      </w:r>
    </w:p>
    <w:p w14:paraId="40E0DB11" w14:textId="0D65D644"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GD 21/2024 was approved for the regulation of a centralized and systematic collection of data on persons with disabilities, based on a Matrix with over 100 statistical indicators, based on the CRPD provisions. It supports monitoring the rights of persons with disabilities and the development of social policies. CNDDCM centralizes the data from authorities/institutions and the academic environment and publishes an annual statistical compendium.</w:t>
      </w:r>
    </w:p>
    <w:p w14:paraId="74A85720" w14:textId="0227F0DB" w:rsidR="00E924CC" w:rsidRPr="000971AE" w:rsidRDefault="00E924CC" w:rsidP="00E924CC">
      <w:pPr>
        <w:pStyle w:val="H1G"/>
        <w:rPr>
          <w:lang w:val="en-US" w:eastAsia="ru-MD"/>
        </w:rPr>
      </w:pPr>
      <w:r w:rsidRPr="000971AE">
        <w:rPr>
          <w:lang w:val="en-US" w:eastAsia="ru-MD"/>
        </w:rPr>
        <w:tab/>
      </w:r>
      <w:r w:rsidRPr="000971AE">
        <w:rPr>
          <w:lang w:val="en-US" w:eastAsia="ru-MD"/>
        </w:rPr>
        <w:tab/>
        <w:t>Reply to paragraph 21 (c) of the list of issues</w:t>
      </w:r>
    </w:p>
    <w:p w14:paraId="0D40F192" w14:textId="1D576229"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 xml:space="preserve">CNAM has concluded contracts with four in vitro fertilization providers, ensuring access to these procedures for all beneficiaries in the mandatory health insurance system, including for persons with disabilities. </w:t>
      </w:r>
    </w:p>
    <w:p w14:paraId="0F803214" w14:textId="75B156AB"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26</w:t>
      </w:r>
      <w:r w:rsidR="0003652A">
        <w:rPr>
          <w:lang w:val="en-US" w:eastAsia="ru-MD"/>
        </w:rPr>
        <w:br/>
      </w:r>
      <w:r w:rsidR="00EA6A67" w:rsidRPr="000971AE">
        <w:rPr>
          <w:lang w:val="en-US" w:eastAsia="ru-MD"/>
        </w:rPr>
        <w:t>Habilitation and rehabilitation</w:t>
      </w:r>
    </w:p>
    <w:p w14:paraId="656B46D2" w14:textId="57D2C975" w:rsidR="0005744A" w:rsidRPr="000971AE" w:rsidRDefault="00E924CC" w:rsidP="0005744A">
      <w:pPr>
        <w:pStyle w:val="H1G"/>
        <w:rPr>
          <w:lang w:val="en-US" w:eastAsia="ru-MD"/>
        </w:rPr>
      </w:pPr>
      <w:r w:rsidRPr="000971AE">
        <w:rPr>
          <w:lang w:val="en-US" w:eastAsia="ru-MD"/>
        </w:rPr>
        <w:tab/>
      </w:r>
      <w:r w:rsidRPr="000971AE">
        <w:rPr>
          <w:lang w:val="en-US" w:eastAsia="ru-MD"/>
        </w:rPr>
        <w:tab/>
      </w:r>
      <w:r w:rsidR="0005744A" w:rsidRPr="000971AE">
        <w:rPr>
          <w:lang w:val="en-US" w:eastAsia="ru-MD"/>
        </w:rPr>
        <w:t>Reply to paragraph 22 (a) of the list of issues</w:t>
      </w:r>
    </w:p>
    <w:p w14:paraId="440DDA0B" w14:textId="1D04B29B"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CNAM provides rehabilitation services in rural areas through 35 district hospitals and contracts specialized providers for early intervention, benefiting 5,754 children and their families in 2025. MoLSP regulates the provision of assistive devices for people with low vision and blind people, CREPOR provides rehabilitation services, technical aids and assistive devices. The services are offered on an outpatient, inpatient basis or through mobile teams (33 at the territorial level), and sanatorium rehabilitation is available free of charge or with a discount. IMSP CRRC provides integrated diagnostic, early intervention, recovery and rehabilitation services, prioritizing women and girls with disabilities.</w:t>
      </w:r>
    </w:p>
    <w:p w14:paraId="21164930" w14:textId="565523D2" w:rsidR="00CB4BC9" w:rsidRPr="000971AE" w:rsidRDefault="00E924CC" w:rsidP="00CB4BC9">
      <w:pPr>
        <w:pStyle w:val="H1G"/>
        <w:rPr>
          <w:lang w:val="en-US" w:eastAsia="ru-MD"/>
        </w:rPr>
      </w:pPr>
      <w:r w:rsidRPr="000971AE">
        <w:rPr>
          <w:lang w:val="en-US" w:eastAsia="ru-MD"/>
        </w:rPr>
        <w:tab/>
      </w:r>
      <w:r w:rsidRPr="000971AE">
        <w:rPr>
          <w:lang w:val="en-US" w:eastAsia="ru-MD"/>
        </w:rPr>
        <w:tab/>
      </w:r>
      <w:r w:rsidR="00CB4BC9" w:rsidRPr="000971AE">
        <w:rPr>
          <w:lang w:val="en-US" w:eastAsia="ru-MD"/>
        </w:rPr>
        <w:t>Reply to paragraph 22 (b) of the list of issues</w:t>
      </w:r>
    </w:p>
    <w:p w14:paraId="6272BB59" w14:textId="15917541"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color w:val="000000"/>
          <w:lang w:val="en-US" w:eastAsia="ru-MD"/>
        </w:rPr>
        <w:t xml:space="preserve">STAS </w:t>
      </w:r>
      <w:r w:rsidRPr="000971AE">
        <w:rPr>
          <w:lang w:val="en-US" w:eastAsia="ru-MD"/>
        </w:rPr>
        <w:t>shall apply procedures for evaluation of habilitation and rehabilitation programmes and services in order to ensure their effectiveness in promoting independence, inclusion and active participation of persons with disabilities in the life of the community.</w:t>
      </w:r>
    </w:p>
    <w:p w14:paraId="668A3FFD" w14:textId="2E2242A5"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27</w:t>
      </w:r>
      <w:r w:rsidR="002A544D">
        <w:rPr>
          <w:lang w:val="en-US" w:eastAsia="ru-MD"/>
        </w:rPr>
        <w:br/>
      </w:r>
      <w:r w:rsidR="00EA6A67" w:rsidRPr="000971AE">
        <w:rPr>
          <w:lang w:val="en-US" w:eastAsia="ru-MD"/>
        </w:rPr>
        <w:t>Work and employment</w:t>
      </w:r>
    </w:p>
    <w:p w14:paraId="60842CD4" w14:textId="1C2EBB37" w:rsidR="00CB4BC9" w:rsidRPr="000971AE" w:rsidRDefault="00E924CC" w:rsidP="00CB4BC9">
      <w:pPr>
        <w:pStyle w:val="H1G"/>
        <w:rPr>
          <w:lang w:val="en-US" w:eastAsia="ru-MD"/>
        </w:rPr>
      </w:pPr>
      <w:bookmarkStart w:id="6" w:name="_heading=h.yuthimnv5vy8" w:colFirst="0" w:colLast="0"/>
      <w:bookmarkEnd w:id="6"/>
      <w:r w:rsidRPr="000971AE">
        <w:rPr>
          <w:lang w:val="en-US" w:eastAsia="ru-MD"/>
        </w:rPr>
        <w:tab/>
      </w:r>
      <w:r w:rsidRPr="000971AE">
        <w:rPr>
          <w:lang w:val="en-US" w:eastAsia="ru-MD"/>
        </w:rPr>
        <w:tab/>
      </w:r>
      <w:r w:rsidR="00CB4BC9" w:rsidRPr="000971AE">
        <w:rPr>
          <w:lang w:val="en-US" w:eastAsia="ru-MD"/>
        </w:rPr>
        <w:t>Reply to paragraph 23 (a) of the list of issues</w:t>
      </w:r>
    </w:p>
    <w:p w14:paraId="60C5B403" w14:textId="3F6C6311"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In RM, the disability is determined according to the bio-psycho-social model, through an interdisciplinary approach (CNDDCM reform, 2018). Law 60/2012 guarantees the right of persons with disabilities to work, depending on their professional capacity and the recommendations of the PIRIS, including workplace adaptation, assistive technologies, home work, guidance and professional training.</w:t>
      </w:r>
    </w:p>
    <w:p w14:paraId="1B97AE89" w14:textId="77777777"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People with disabilities looking for a job can benefit from ANOFM services: information, intermediation, professional training, internships and skills certification. Employers receive subsidies for employing people with disabilities, adapting jobs, mobility and starting businesses. People with advanced or severe disabilities working in another locality receive a non-taxable monthly subsidy for transportation.</w:t>
      </w:r>
    </w:p>
    <w:p w14:paraId="28DBAF9A" w14:textId="6634430A" w:rsidR="00CB4BC9" w:rsidRPr="000971AE" w:rsidRDefault="00E924CC" w:rsidP="00CB4BC9">
      <w:pPr>
        <w:pStyle w:val="H1G"/>
        <w:rPr>
          <w:lang w:val="en-US" w:eastAsia="ru-MD"/>
        </w:rPr>
      </w:pPr>
      <w:r w:rsidRPr="000971AE">
        <w:rPr>
          <w:lang w:val="en-US" w:eastAsia="ru-MD"/>
        </w:rPr>
        <w:tab/>
      </w:r>
      <w:r w:rsidRPr="000971AE">
        <w:rPr>
          <w:lang w:val="en-US" w:eastAsia="ru-MD"/>
        </w:rPr>
        <w:tab/>
      </w:r>
      <w:r w:rsidR="00CB4BC9" w:rsidRPr="000971AE">
        <w:rPr>
          <w:lang w:val="en-US" w:eastAsia="ru-MD"/>
        </w:rPr>
        <w:t>Reply to paragraph 23 (b) of the list of issues</w:t>
      </w:r>
    </w:p>
    <w:p w14:paraId="250F7046" w14:textId="369E9B88"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The employment of people with disabilities is a priority of the National Employment Program 2022–2026 (GD  785/2022). Law 105/2018, amended in 2023, defines the adaptation of the workplace. Employers can receive subsidies of up to 50% for people with medium disabilities and 75% for those with advanced or severe disabilities, for purchasing equipment, adapting the space and hiring support staff. Decisions on the type of equipment and costs are made by a multidisciplinary commission that includes ANOFM representatives, doctors and occupational health specialists.</w:t>
      </w:r>
    </w:p>
    <w:p w14:paraId="5C52F13D" w14:textId="77777777"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 xml:space="preserve">Also, people with disabilities benefit from a free assisted employment service, provided by accredited providers, which supports obtaining and keeping a job through an individualized and multidisciplinary approach. </w:t>
      </w:r>
    </w:p>
    <w:p w14:paraId="5780200A" w14:textId="5A06F9F2" w:rsidR="00C00A6B" w:rsidRPr="000971AE" w:rsidRDefault="00E924CC" w:rsidP="00C00A6B">
      <w:pPr>
        <w:pStyle w:val="H1G"/>
        <w:rPr>
          <w:lang w:val="en-US" w:eastAsia="ru-MD"/>
        </w:rPr>
      </w:pPr>
      <w:r w:rsidRPr="000971AE">
        <w:rPr>
          <w:lang w:val="en-US" w:eastAsia="ru-MD"/>
        </w:rPr>
        <w:tab/>
      </w:r>
      <w:r w:rsidRPr="000971AE">
        <w:rPr>
          <w:lang w:val="en-US" w:eastAsia="ru-MD"/>
        </w:rPr>
        <w:tab/>
      </w:r>
      <w:r w:rsidR="00C00A6B" w:rsidRPr="000971AE">
        <w:rPr>
          <w:lang w:val="en-US" w:eastAsia="ru-MD"/>
        </w:rPr>
        <w:t>Reply to paragraph 23 (c) of the list of issues</w:t>
      </w:r>
    </w:p>
    <w:p w14:paraId="74FD99C2" w14:textId="0B85BD01"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In 2024, the training of labour inspectors was carried out with the support of the CNSM. Trade union inspectors participated, as trainers, in 77 seminars on labour legislation, occupational safety and health and workplace design, including for people with disabilities. During the same period, 1,381 consultations were provided to trade union members on legal framework application in the field of labour and OSH, including issues related to persons with disabilities. The CNSM organised a seminar dedicated to the social inclusion of persons with disabilities in the social protection system.</w:t>
      </w:r>
      <w:bookmarkStart w:id="7" w:name="_Hlk208946686"/>
      <w:bookmarkEnd w:id="7"/>
    </w:p>
    <w:p w14:paraId="436558DE" w14:textId="3E295CE0" w:rsidR="00C00A6B" w:rsidRPr="000971AE" w:rsidRDefault="00E924CC" w:rsidP="00C00A6B">
      <w:pPr>
        <w:pStyle w:val="H1G"/>
        <w:rPr>
          <w:lang w:val="en-US" w:eastAsia="ru-MD"/>
        </w:rPr>
      </w:pPr>
      <w:r w:rsidRPr="000971AE">
        <w:rPr>
          <w:lang w:val="en-US" w:eastAsia="ru-MD"/>
        </w:rPr>
        <w:tab/>
      </w:r>
      <w:r w:rsidRPr="000971AE">
        <w:rPr>
          <w:lang w:val="en-US" w:eastAsia="ru-MD"/>
        </w:rPr>
        <w:tab/>
      </w:r>
      <w:r w:rsidR="00C00A6B" w:rsidRPr="000971AE">
        <w:rPr>
          <w:lang w:val="en-US" w:eastAsia="ru-MD"/>
        </w:rPr>
        <w:t>Reply to paragraph 23 (d) of the list of issues</w:t>
      </w:r>
    </w:p>
    <w:p w14:paraId="40009732" w14:textId="31472AF0"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 xml:space="preserve">Law 105/2018, as amended in 2024, provides for active services and measures for the employment of persons with disabilities, including the obligation for employers to publish vacancies on </w:t>
      </w:r>
      <w:hyperlink r:id="rId10">
        <w:r w:rsidRPr="000971AE">
          <w:rPr>
            <w:color w:val="0000FF"/>
            <w:lang w:val="en-US" w:eastAsia="ru-MD"/>
          </w:rPr>
          <w:t>www.angajat.md</w:t>
        </w:r>
      </w:hyperlink>
      <w:r w:rsidRPr="000971AE">
        <w:rPr>
          <w:lang w:val="en-US" w:eastAsia="ru-MD"/>
        </w:rPr>
        <w:t xml:space="preserve"> within 5 working days. Employment can also be done through social insertion enterprises (Law 223/2017). ANOFM promotes the employment of people with disabilities and has developed the Guide "More than a job". The State Labor Inspectorate controls compliance with the employment quota, monitoring in 2024 264 units, 488 reserved places and 597 employees with disabilities. Promotion of the quota is also achieved through collective agreements between the authorities, employers and trade unions.</w:t>
      </w:r>
    </w:p>
    <w:p w14:paraId="71B52C68" w14:textId="2CCF54F7"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28</w:t>
      </w:r>
      <w:r w:rsidR="002A544D">
        <w:rPr>
          <w:lang w:val="en-US" w:eastAsia="ru-MD"/>
        </w:rPr>
        <w:br/>
      </w:r>
      <w:r w:rsidR="00EA6A67" w:rsidRPr="000971AE">
        <w:rPr>
          <w:lang w:val="en-US" w:eastAsia="ru-MD"/>
        </w:rPr>
        <w:t>Adequate standard of living and social protection</w:t>
      </w:r>
    </w:p>
    <w:p w14:paraId="5EC53EB0" w14:textId="2A06ECEF" w:rsidR="00EA180D" w:rsidRPr="000971AE" w:rsidRDefault="00E924CC" w:rsidP="00EA180D">
      <w:pPr>
        <w:pStyle w:val="H1G"/>
        <w:rPr>
          <w:lang w:val="en-US" w:eastAsia="ru-MD"/>
        </w:rPr>
      </w:pPr>
      <w:r w:rsidRPr="000971AE">
        <w:rPr>
          <w:lang w:val="en-US" w:eastAsia="ru-MD"/>
        </w:rPr>
        <w:tab/>
      </w:r>
      <w:r w:rsidRPr="000971AE">
        <w:rPr>
          <w:lang w:val="en-US" w:eastAsia="ru-MD"/>
        </w:rPr>
        <w:tab/>
      </w:r>
      <w:r w:rsidR="00EA180D" w:rsidRPr="000971AE">
        <w:rPr>
          <w:lang w:val="en-US" w:eastAsia="ru-MD"/>
        </w:rPr>
        <w:t>Reply to paragraph 24 (a) of the list of issues</w:t>
      </w:r>
    </w:p>
    <w:p w14:paraId="4E758A6A" w14:textId="59B6E93B"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As of 2025, a new case management system in social assistance has been implemented. To this end, workshops were organized with mixed teams to define the work process and develop standardized forms (application, evaluation, individual assistance plan, monitoring form). The conditions for initiating, reviewing and closing cases have been established, as well as the referral mechanisms to other services. The process is supported by a dedicated digital module in the e-Social platform, which is being tested.</w:t>
      </w:r>
      <w:bookmarkStart w:id="8" w:name="_Hlk208946720"/>
      <w:bookmarkStart w:id="9" w:name="_Hlk208946712"/>
      <w:bookmarkEnd w:id="8"/>
      <w:bookmarkEnd w:id="9"/>
    </w:p>
    <w:p w14:paraId="75B3A85B" w14:textId="23190B25" w:rsidR="00EA180D" w:rsidRPr="000971AE" w:rsidRDefault="00E924CC" w:rsidP="00EA180D">
      <w:pPr>
        <w:pStyle w:val="H1G"/>
        <w:rPr>
          <w:lang w:val="en-US" w:eastAsia="ru-MD"/>
        </w:rPr>
      </w:pPr>
      <w:r w:rsidRPr="000971AE">
        <w:rPr>
          <w:lang w:val="en-US" w:eastAsia="ru-MD"/>
        </w:rPr>
        <w:tab/>
      </w:r>
      <w:r w:rsidRPr="000971AE">
        <w:rPr>
          <w:lang w:val="en-US" w:eastAsia="ru-MD"/>
        </w:rPr>
        <w:tab/>
      </w:r>
      <w:r w:rsidR="00EA180D" w:rsidRPr="000971AE">
        <w:rPr>
          <w:lang w:val="en-US" w:eastAsia="ru-MD"/>
        </w:rPr>
        <w:t>Reply to paragraph 24 (b) of the list of issues</w:t>
      </w:r>
    </w:p>
    <w:p w14:paraId="0E4BEF6F" w14:textId="1FD8A999"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Allowances for persons with severe, severe and medium disabilities, including children with disabilities, are granted to those who do not benefit from a state social insurance pension and are not fully supported by the state. According to Law 547/2003, social assistance is part of the national social protection system and aims to prevent and reduce the risks of marginalization of vulnerable persons.</w:t>
      </w:r>
    </w:p>
    <w:p w14:paraId="122D3085" w14:textId="77777777"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People with disabilities can receive different allowances depending on the degree of disability, age and social situation (Law 499/1999). These include: allowances for people with severe, severe and medium disabilities; for children with disabilities up to 18 years of age; for people who have lost their maintainer; for people who provide care, accompaniment or supervision to children with severe disabilities, people with childhood disabilities or blind people.</w:t>
      </w:r>
    </w:p>
    <w:p w14:paraId="6AAB24D2" w14:textId="77777777"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In order to effectively integrate individual needs into public policies, MoLSP, together with development partners, conducts the Disability Additional Cost Analysis, determining the extra costs associated with different types of disabilities and the costs of the goods and services needed.</w:t>
      </w:r>
    </w:p>
    <w:p w14:paraId="1D72B693" w14:textId="4E1522B7" w:rsidR="00EA180D" w:rsidRPr="000971AE" w:rsidRDefault="00E924CC" w:rsidP="00EA180D">
      <w:pPr>
        <w:pStyle w:val="H1G"/>
        <w:rPr>
          <w:lang w:val="en-US" w:eastAsia="ru-MD"/>
        </w:rPr>
      </w:pPr>
      <w:r w:rsidRPr="000971AE">
        <w:rPr>
          <w:lang w:val="en-US" w:eastAsia="ru-MD"/>
        </w:rPr>
        <w:tab/>
      </w:r>
      <w:r w:rsidRPr="000971AE">
        <w:rPr>
          <w:lang w:val="en-US" w:eastAsia="ru-MD"/>
        </w:rPr>
        <w:tab/>
      </w:r>
      <w:r w:rsidR="00EA180D" w:rsidRPr="000971AE">
        <w:rPr>
          <w:lang w:val="en-US" w:eastAsia="ru-MD"/>
        </w:rPr>
        <w:t>Reply to paragraph 24 (c) of the list of issues</w:t>
      </w:r>
    </w:p>
    <w:p w14:paraId="42B08992" w14:textId="5CBF4D77"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Law 46/2025 amending certain normative acts (aspects related to the survivor's pension for children with severe disabilities and persons with severe disabilities from childhood) made amendments to Law 499/1999 on state social allowances for some categories of citizens.</w:t>
      </w:r>
    </w:p>
    <w:p w14:paraId="099A747E" w14:textId="77777777"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Thus, the allowance in case of loss of the maintainer is established: children up to 18 years of age (pupils and students of secondary, specialized and higher education institutions, except for non-attendance education, – until graduation from the respective educational institution, but not more than until the age of 23) and persons with severe disabilities from childhood – for the period in which they are classified as disabled,  if they are not in full state maintenance.</w:t>
      </w:r>
    </w:p>
    <w:p w14:paraId="3A99B612" w14:textId="0A4482C6" w:rsidR="0092426A" w:rsidRPr="000971AE" w:rsidRDefault="00E924CC" w:rsidP="0092426A">
      <w:pPr>
        <w:pStyle w:val="H1G"/>
        <w:rPr>
          <w:lang w:val="en-US" w:eastAsia="ru-MD"/>
        </w:rPr>
      </w:pPr>
      <w:r w:rsidRPr="000971AE">
        <w:rPr>
          <w:lang w:val="en-US" w:eastAsia="ru-MD"/>
        </w:rPr>
        <w:tab/>
      </w:r>
      <w:r w:rsidRPr="000971AE">
        <w:rPr>
          <w:lang w:val="en-US" w:eastAsia="ru-MD"/>
        </w:rPr>
        <w:tab/>
      </w:r>
      <w:r w:rsidR="0092426A" w:rsidRPr="000971AE">
        <w:rPr>
          <w:lang w:val="en-US" w:eastAsia="ru-MD"/>
        </w:rPr>
        <w:t>Reply to paragraph 24 (d) of the list of issues</w:t>
      </w:r>
    </w:p>
    <w:p w14:paraId="0573C012" w14:textId="4BE2F1DB"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State social allowances for persons with disabilities shall be established according to the degree of disability and shall be indexed annually according to the evolution of the increase in prices. Thus, in the period 2020–2025, the amount of pensions and social allowances for people with disabilities increased by 142.91%, and compensations for transport services by 33%.</w:t>
      </w:r>
    </w:p>
    <w:p w14:paraId="449C3227" w14:textId="77777777"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According to Law 547/2003, beneficiaries of social assistance are disadvantaged persons or families who, based on the application, the social survey and the ascertaining acts, are granted social benefits and/or services. Social assistance is provided without discrimination, regardless of race, gender, language, religion, political opinions, citizenship or ethnicity. In 2024, 835 Roma people benefited from social services, and 324 Roma beneficiaries were accommodated and assisted in RACs for displaced persons from other states.</w:t>
      </w:r>
    </w:p>
    <w:p w14:paraId="373CE42D" w14:textId="50B85331"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29</w:t>
      </w:r>
      <w:r w:rsidR="002A544D">
        <w:rPr>
          <w:lang w:val="en-US" w:eastAsia="ru-MD"/>
        </w:rPr>
        <w:br/>
      </w:r>
      <w:r w:rsidR="00EA6A67" w:rsidRPr="000971AE">
        <w:rPr>
          <w:lang w:val="en-US" w:eastAsia="ru-MD"/>
        </w:rPr>
        <w:t>Participation in political and public life</w:t>
      </w:r>
    </w:p>
    <w:p w14:paraId="406E83F1" w14:textId="5BDFDBC2" w:rsidR="0092426A" w:rsidRPr="000971AE" w:rsidRDefault="00E924CC" w:rsidP="0092426A">
      <w:pPr>
        <w:pStyle w:val="H1G"/>
        <w:rPr>
          <w:lang w:val="en-US" w:eastAsia="ru-MD"/>
        </w:rPr>
      </w:pPr>
      <w:r w:rsidRPr="000971AE">
        <w:rPr>
          <w:lang w:val="en-US" w:eastAsia="ru-MD"/>
        </w:rPr>
        <w:tab/>
      </w:r>
      <w:r w:rsidRPr="000971AE">
        <w:rPr>
          <w:lang w:val="en-US" w:eastAsia="ru-MD"/>
        </w:rPr>
        <w:tab/>
      </w:r>
      <w:r w:rsidR="0092426A" w:rsidRPr="000971AE">
        <w:rPr>
          <w:lang w:val="en-US" w:eastAsia="ru-MD"/>
        </w:rPr>
        <w:t>Reply to paragraph 25 (a) of the list of issues</w:t>
      </w:r>
    </w:p>
    <w:p w14:paraId="360A5C4E" w14:textId="2CB93450"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The electoral rights of persons with disabilities and the accessibility of polling stations are regulated by CEC acts (Regulations 1186/2023 and 1187/2023). In the 2023 local elections, 8.2% of the polling stations were accessible, 35.2% partially, 56.5% inaccessible. In the 2024 presidential elections, 39% of the polling stations were accessible. A similar assessment is planned for the 2025 parliamentary elections. The CEC continuously monitors accessibility, equips the polling stations with assistive devices (Braille, adapted booths, magnifying glasses) and trains officials to support voters with disabilities.</w:t>
      </w:r>
      <w:bookmarkStart w:id="10" w:name="_Hlk208946735"/>
      <w:bookmarkEnd w:id="10"/>
    </w:p>
    <w:p w14:paraId="021A8D1B" w14:textId="28F4C41D" w:rsidR="0092426A" w:rsidRPr="000971AE" w:rsidRDefault="00E924CC" w:rsidP="0092426A">
      <w:pPr>
        <w:pStyle w:val="H1G"/>
        <w:rPr>
          <w:lang w:val="en-US" w:eastAsia="ru-MD"/>
        </w:rPr>
      </w:pPr>
      <w:r w:rsidRPr="000971AE">
        <w:rPr>
          <w:lang w:val="en-US" w:eastAsia="ru-MD"/>
        </w:rPr>
        <w:tab/>
      </w:r>
      <w:r w:rsidRPr="000971AE">
        <w:rPr>
          <w:lang w:val="en-US" w:eastAsia="ru-MD"/>
        </w:rPr>
        <w:tab/>
      </w:r>
      <w:r w:rsidR="0092426A" w:rsidRPr="000971AE">
        <w:rPr>
          <w:lang w:val="en-US" w:eastAsia="ru-MD"/>
        </w:rPr>
        <w:t>Reply to paragraph 25 (b) of the list of issues</w:t>
      </w:r>
    </w:p>
    <w:p w14:paraId="4683DA87" w14:textId="6080AE76"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In order to promote the participation of persons with disabilities in political parties and in the electoral process, the CEC has carried out extensive information campaigns in the last three national elections. The informative materials were translated into five languages of ethnic minorities and adapted for people with hearing and visual impairments, including video and audio spots with sign language. In collaboration with eight associations of people with special needs, the CEC has developed the "Voter's Guide" for this category.</w:t>
      </w:r>
    </w:p>
    <w:p w14:paraId="4B633DBE" w14:textId="77777777"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As part of the "Know your electoral right" campaign (2023–2025), the CEC discussed with local authorities about electoral processes and encouraged the participation of young people, women, ethnic minorities and people with disabilities. The CEC promoted social inclusion by recommending political parties that people with special needs should be included in the process of nominating candidates or members of electoral bodies.</w:t>
      </w:r>
    </w:p>
    <w:p w14:paraId="314B2ACA" w14:textId="2A059CF3" w:rsidR="0092426A" w:rsidRPr="000971AE" w:rsidRDefault="00E924CC" w:rsidP="0092426A">
      <w:pPr>
        <w:pStyle w:val="H1G"/>
        <w:rPr>
          <w:lang w:val="en-US" w:eastAsia="ru-MD"/>
        </w:rPr>
      </w:pPr>
      <w:r w:rsidRPr="000971AE">
        <w:rPr>
          <w:lang w:val="en-US" w:eastAsia="ru-MD"/>
        </w:rPr>
        <w:tab/>
      </w:r>
      <w:r w:rsidRPr="000971AE">
        <w:rPr>
          <w:lang w:val="en-US" w:eastAsia="ru-MD"/>
        </w:rPr>
        <w:tab/>
      </w:r>
      <w:r w:rsidR="0092426A" w:rsidRPr="000971AE">
        <w:rPr>
          <w:lang w:val="en-US" w:eastAsia="ru-MD"/>
        </w:rPr>
        <w:t>Reply to paragraph 25 (c) of the list of issues</w:t>
      </w:r>
    </w:p>
    <w:p w14:paraId="39446D8D" w14:textId="4DE3BAE0"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The number of persons with disabilities in elective positions is 139 persons (83 men and 56 women). The gender distribution of persons with disabilities designated as candidates in the last 5 elections held in the country:</w:t>
      </w:r>
    </w:p>
    <w:tbl>
      <w:tblPr>
        <w:tblW w:w="7370" w:type="dxa"/>
        <w:tblInd w:w="1134" w:type="dxa"/>
        <w:tblLayout w:type="fixed"/>
        <w:tblCellMar>
          <w:left w:w="0" w:type="dxa"/>
          <w:right w:w="0" w:type="dxa"/>
        </w:tblCellMar>
        <w:tblLook w:val="0400" w:firstRow="0" w:lastRow="0" w:firstColumn="0" w:lastColumn="0" w:noHBand="0" w:noVBand="1"/>
      </w:tblPr>
      <w:tblGrid>
        <w:gridCol w:w="4013"/>
        <w:gridCol w:w="1119"/>
        <w:gridCol w:w="1119"/>
        <w:gridCol w:w="1119"/>
      </w:tblGrid>
      <w:tr w:rsidR="00EA6A67" w:rsidRPr="000971AE" w14:paraId="75A30178" w14:textId="77777777" w:rsidTr="00E924CC">
        <w:trPr>
          <w:tblHeader/>
        </w:trPr>
        <w:tc>
          <w:tcPr>
            <w:tcW w:w="5098" w:type="dxa"/>
            <w:tcBorders>
              <w:top w:val="single" w:sz="4" w:space="0" w:color="auto"/>
              <w:bottom w:val="single" w:sz="12" w:space="0" w:color="auto"/>
            </w:tcBorders>
            <w:vAlign w:val="bottom"/>
          </w:tcPr>
          <w:p w14:paraId="112B97A9" w14:textId="77777777" w:rsidR="00EA6A67" w:rsidRPr="000971AE" w:rsidRDefault="00EA6A67" w:rsidP="00E924CC">
            <w:pPr>
              <w:suppressAutoHyphens w:val="0"/>
              <w:spacing w:before="80" w:after="80" w:line="200" w:lineRule="exact"/>
              <w:rPr>
                <w:i/>
                <w:sz w:val="16"/>
                <w:szCs w:val="24"/>
                <w:lang w:val="en-US" w:eastAsia="ru-MD"/>
              </w:rPr>
            </w:pPr>
          </w:p>
        </w:tc>
        <w:tc>
          <w:tcPr>
            <w:tcW w:w="1417" w:type="dxa"/>
            <w:tcBorders>
              <w:top w:val="single" w:sz="4" w:space="0" w:color="auto"/>
              <w:bottom w:val="single" w:sz="12" w:space="0" w:color="auto"/>
            </w:tcBorders>
            <w:vAlign w:val="bottom"/>
          </w:tcPr>
          <w:p w14:paraId="5065F547" w14:textId="77777777" w:rsidR="00EA6A67" w:rsidRPr="000971AE" w:rsidRDefault="00EA6A67" w:rsidP="00E924CC">
            <w:pPr>
              <w:suppressAutoHyphens w:val="0"/>
              <w:spacing w:before="80" w:after="80" w:line="200" w:lineRule="exact"/>
              <w:jc w:val="right"/>
              <w:rPr>
                <w:i/>
                <w:sz w:val="16"/>
                <w:szCs w:val="24"/>
                <w:lang w:val="en-US" w:eastAsia="ru-MD"/>
              </w:rPr>
            </w:pPr>
            <w:r w:rsidRPr="000971AE">
              <w:rPr>
                <w:i/>
                <w:sz w:val="16"/>
                <w:szCs w:val="24"/>
                <w:lang w:val="en-US" w:eastAsia="ru-MD"/>
              </w:rPr>
              <w:t>Men</w:t>
            </w:r>
          </w:p>
        </w:tc>
        <w:tc>
          <w:tcPr>
            <w:tcW w:w="1418" w:type="dxa"/>
            <w:tcBorders>
              <w:top w:val="single" w:sz="4" w:space="0" w:color="auto"/>
              <w:bottom w:val="single" w:sz="12" w:space="0" w:color="auto"/>
            </w:tcBorders>
            <w:vAlign w:val="bottom"/>
          </w:tcPr>
          <w:p w14:paraId="727F782F" w14:textId="77777777" w:rsidR="00EA6A67" w:rsidRPr="000971AE" w:rsidRDefault="00EA6A67" w:rsidP="00E924CC">
            <w:pPr>
              <w:suppressAutoHyphens w:val="0"/>
              <w:spacing w:before="80" w:after="80" w:line="200" w:lineRule="exact"/>
              <w:jc w:val="right"/>
              <w:rPr>
                <w:i/>
                <w:sz w:val="16"/>
                <w:szCs w:val="24"/>
                <w:lang w:val="en-US" w:eastAsia="ru-MD"/>
              </w:rPr>
            </w:pPr>
            <w:r w:rsidRPr="000971AE">
              <w:rPr>
                <w:i/>
                <w:sz w:val="16"/>
                <w:szCs w:val="24"/>
                <w:lang w:val="en-US" w:eastAsia="ru-MD"/>
              </w:rPr>
              <w:t>Women</w:t>
            </w:r>
          </w:p>
        </w:tc>
        <w:tc>
          <w:tcPr>
            <w:tcW w:w="1417" w:type="dxa"/>
            <w:tcBorders>
              <w:top w:val="single" w:sz="4" w:space="0" w:color="auto"/>
              <w:bottom w:val="single" w:sz="12" w:space="0" w:color="auto"/>
            </w:tcBorders>
            <w:vAlign w:val="bottom"/>
          </w:tcPr>
          <w:p w14:paraId="1F32A9A6" w14:textId="77777777" w:rsidR="00EA6A67" w:rsidRPr="000971AE" w:rsidRDefault="00EA6A67" w:rsidP="00E924CC">
            <w:pPr>
              <w:suppressAutoHyphens w:val="0"/>
              <w:spacing w:before="80" w:after="80" w:line="200" w:lineRule="exact"/>
              <w:jc w:val="right"/>
              <w:rPr>
                <w:i/>
                <w:sz w:val="16"/>
                <w:szCs w:val="24"/>
                <w:lang w:val="en-US" w:eastAsia="ru-MD"/>
              </w:rPr>
            </w:pPr>
            <w:r w:rsidRPr="000971AE">
              <w:rPr>
                <w:i/>
                <w:sz w:val="16"/>
                <w:szCs w:val="24"/>
                <w:lang w:val="en-US" w:eastAsia="ru-MD"/>
              </w:rPr>
              <w:t>Total</w:t>
            </w:r>
          </w:p>
        </w:tc>
      </w:tr>
      <w:tr w:rsidR="00EA6A67" w:rsidRPr="000971AE" w14:paraId="28CE232E" w14:textId="77777777" w:rsidTr="00E924CC">
        <w:tc>
          <w:tcPr>
            <w:tcW w:w="5098" w:type="dxa"/>
            <w:tcBorders>
              <w:top w:val="single" w:sz="12" w:space="0" w:color="auto"/>
            </w:tcBorders>
          </w:tcPr>
          <w:p w14:paraId="097C5354" w14:textId="77777777" w:rsidR="00EA6A67" w:rsidRPr="000971AE" w:rsidRDefault="00EA6A67" w:rsidP="00E924CC">
            <w:pPr>
              <w:suppressAutoHyphens w:val="0"/>
              <w:spacing w:before="40" w:after="40" w:line="220" w:lineRule="exact"/>
              <w:rPr>
                <w:sz w:val="18"/>
                <w:szCs w:val="24"/>
                <w:lang w:val="en-US" w:eastAsia="ru-MD"/>
              </w:rPr>
            </w:pPr>
            <w:r w:rsidRPr="000971AE">
              <w:rPr>
                <w:sz w:val="18"/>
                <w:szCs w:val="24"/>
                <w:lang w:val="en-US" w:eastAsia="ru-MD"/>
              </w:rPr>
              <w:t>Elections for the position of President of RM on 20.10.2024</w:t>
            </w:r>
          </w:p>
        </w:tc>
        <w:tc>
          <w:tcPr>
            <w:tcW w:w="1417" w:type="dxa"/>
            <w:tcBorders>
              <w:top w:val="single" w:sz="12" w:space="0" w:color="auto"/>
            </w:tcBorders>
            <w:vAlign w:val="bottom"/>
          </w:tcPr>
          <w:p w14:paraId="01958560" w14:textId="77777777" w:rsidR="00EA6A67" w:rsidRPr="000971AE" w:rsidRDefault="00EA6A67" w:rsidP="00E924CC">
            <w:pPr>
              <w:suppressAutoHyphens w:val="0"/>
              <w:spacing w:before="40" w:after="40" w:line="220" w:lineRule="exact"/>
              <w:jc w:val="right"/>
              <w:rPr>
                <w:sz w:val="18"/>
                <w:szCs w:val="24"/>
                <w:lang w:val="en-US" w:eastAsia="ru-MD"/>
              </w:rPr>
            </w:pPr>
            <w:r w:rsidRPr="000971AE">
              <w:rPr>
                <w:sz w:val="18"/>
                <w:szCs w:val="24"/>
                <w:lang w:val="en-US" w:eastAsia="ru-MD"/>
              </w:rPr>
              <w:t>0</w:t>
            </w:r>
          </w:p>
        </w:tc>
        <w:tc>
          <w:tcPr>
            <w:tcW w:w="1418" w:type="dxa"/>
            <w:tcBorders>
              <w:top w:val="single" w:sz="12" w:space="0" w:color="auto"/>
            </w:tcBorders>
            <w:vAlign w:val="bottom"/>
          </w:tcPr>
          <w:p w14:paraId="602A6EC4" w14:textId="77777777" w:rsidR="00EA6A67" w:rsidRPr="000971AE" w:rsidRDefault="00EA6A67" w:rsidP="00E924CC">
            <w:pPr>
              <w:suppressAutoHyphens w:val="0"/>
              <w:spacing w:before="40" w:after="40" w:line="220" w:lineRule="exact"/>
              <w:jc w:val="right"/>
              <w:rPr>
                <w:sz w:val="18"/>
                <w:szCs w:val="24"/>
                <w:lang w:val="en-US" w:eastAsia="ru-MD"/>
              </w:rPr>
            </w:pPr>
            <w:r w:rsidRPr="000971AE">
              <w:rPr>
                <w:sz w:val="18"/>
                <w:szCs w:val="24"/>
                <w:lang w:val="en-US" w:eastAsia="ru-MD"/>
              </w:rPr>
              <w:t>0</w:t>
            </w:r>
          </w:p>
        </w:tc>
        <w:tc>
          <w:tcPr>
            <w:tcW w:w="1417" w:type="dxa"/>
            <w:tcBorders>
              <w:top w:val="single" w:sz="12" w:space="0" w:color="auto"/>
            </w:tcBorders>
            <w:vAlign w:val="bottom"/>
          </w:tcPr>
          <w:p w14:paraId="56E84C90" w14:textId="77777777" w:rsidR="00EA6A67" w:rsidRPr="000971AE" w:rsidRDefault="00EA6A67" w:rsidP="00E924CC">
            <w:pPr>
              <w:suppressAutoHyphens w:val="0"/>
              <w:spacing w:before="40" w:after="40" w:line="220" w:lineRule="exact"/>
              <w:jc w:val="right"/>
              <w:rPr>
                <w:sz w:val="18"/>
                <w:szCs w:val="24"/>
                <w:lang w:val="en-US" w:eastAsia="ru-MD"/>
              </w:rPr>
            </w:pPr>
            <w:r w:rsidRPr="000971AE">
              <w:rPr>
                <w:sz w:val="18"/>
                <w:szCs w:val="24"/>
                <w:lang w:val="en-US" w:eastAsia="ru-MD"/>
              </w:rPr>
              <w:t>0</w:t>
            </w:r>
          </w:p>
        </w:tc>
      </w:tr>
      <w:tr w:rsidR="00EA6A67" w:rsidRPr="000971AE" w14:paraId="367D49DD" w14:textId="77777777" w:rsidTr="00E924CC">
        <w:tc>
          <w:tcPr>
            <w:tcW w:w="5098" w:type="dxa"/>
          </w:tcPr>
          <w:p w14:paraId="072860A6" w14:textId="77777777" w:rsidR="00EA6A67" w:rsidRPr="000971AE" w:rsidRDefault="00EA6A67" w:rsidP="00E924CC">
            <w:pPr>
              <w:suppressAutoHyphens w:val="0"/>
              <w:spacing w:before="40" w:after="40" w:line="220" w:lineRule="exact"/>
              <w:rPr>
                <w:sz w:val="18"/>
                <w:szCs w:val="24"/>
                <w:lang w:val="en-US" w:eastAsia="ru-MD"/>
              </w:rPr>
            </w:pPr>
            <w:r w:rsidRPr="000971AE">
              <w:rPr>
                <w:sz w:val="18"/>
                <w:szCs w:val="24"/>
                <w:lang w:val="en-US" w:eastAsia="ru-MD"/>
              </w:rPr>
              <w:t>General local elections of 05.11.2023</w:t>
            </w:r>
          </w:p>
        </w:tc>
        <w:tc>
          <w:tcPr>
            <w:tcW w:w="1417" w:type="dxa"/>
            <w:vAlign w:val="bottom"/>
          </w:tcPr>
          <w:p w14:paraId="331077FA" w14:textId="77777777" w:rsidR="00EA6A67" w:rsidRPr="000971AE" w:rsidRDefault="00EA6A67" w:rsidP="00E924CC">
            <w:pPr>
              <w:suppressAutoHyphens w:val="0"/>
              <w:spacing w:before="40" w:after="40" w:line="220" w:lineRule="exact"/>
              <w:jc w:val="right"/>
              <w:rPr>
                <w:sz w:val="18"/>
                <w:szCs w:val="24"/>
                <w:lang w:val="en-US" w:eastAsia="ru-MD"/>
              </w:rPr>
            </w:pPr>
            <w:r w:rsidRPr="000971AE">
              <w:rPr>
                <w:sz w:val="18"/>
                <w:szCs w:val="24"/>
                <w:lang w:val="en-US" w:eastAsia="ru-MD"/>
              </w:rPr>
              <w:t>396</w:t>
            </w:r>
          </w:p>
        </w:tc>
        <w:tc>
          <w:tcPr>
            <w:tcW w:w="1418" w:type="dxa"/>
            <w:vAlign w:val="bottom"/>
          </w:tcPr>
          <w:p w14:paraId="19D78A17" w14:textId="77777777" w:rsidR="00EA6A67" w:rsidRPr="000971AE" w:rsidRDefault="00EA6A67" w:rsidP="00E924CC">
            <w:pPr>
              <w:suppressAutoHyphens w:val="0"/>
              <w:spacing w:before="40" w:after="40" w:line="220" w:lineRule="exact"/>
              <w:jc w:val="right"/>
              <w:rPr>
                <w:sz w:val="18"/>
                <w:szCs w:val="24"/>
                <w:lang w:val="en-US" w:eastAsia="ru-MD"/>
              </w:rPr>
            </w:pPr>
            <w:r w:rsidRPr="000971AE">
              <w:rPr>
                <w:sz w:val="18"/>
                <w:szCs w:val="24"/>
                <w:lang w:val="en-US" w:eastAsia="ru-MD"/>
              </w:rPr>
              <w:t>269</w:t>
            </w:r>
          </w:p>
        </w:tc>
        <w:tc>
          <w:tcPr>
            <w:tcW w:w="1417" w:type="dxa"/>
            <w:vAlign w:val="bottom"/>
          </w:tcPr>
          <w:p w14:paraId="7CD946C7" w14:textId="77777777" w:rsidR="00EA6A67" w:rsidRPr="000971AE" w:rsidRDefault="00EA6A67" w:rsidP="00E924CC">
            <w:pPr>
              <w:suppressAutoHyphens w:val="0"/>
              <w:spacing w:before="40" w:after="40" w:line="220" w:lineRule="exact"/>
              <w:jc w:val="right"/>
              <w:rPr>
                <w:sz w:val="18"/>
                <w:szCs w:val="24"/>
                <w:lang w:val="en-US" w:eastAsia="ru-MD"/>
              </w:rPr>
            </w:pPr>
            <w:r w:rsidRPr="000971AE">
              <w:rPr>
                <w:sz w:val="18"/>
                <w:szCs w:val="24"/>
                <w:lang w:val="en-US" w:eastAsia="ru-MD"/>
              </w:rPr>
              <w:t>665</w:t>
            </w:r>
          </w:p>
        </w:tc>
      </w:tr>
      <w:tr w:rsidR="00EA6A67" w:rsidRPr="000971AE" w14:paraId="167B6DD1" w14:textId="77777777" w:rsidTr="00E924CC">
        <w:tc>
          <w:tcPr>
            <w:tcW w:w="5098" w:type="dxa"/>
          </w:tcPr>
          <w:p w14:paraId="7F8769A4" w14:textId="77777777" w:rsidR="00EA6A67" w:rsidRPr="000971AE" w:rsidRDefault="00EA6A67" w:rsidP="00E924CC">
            <w:pPr>
              <w:suppressAutoHyphens w:val="0"/>
              <w:spacing w:before="40" w:after="40" w:line="220" w:lineRule="exact"/>
              <w:rPr>
                <w:sz w:val="18"/>
                <w:szCs w:val="24"/>
                <w:lang w:val="en-US" w:eastAsia="ru-MD"/>
              </w:rPr>
            </w:pPr>
            <w:r w:rsidRPr="000971AE">
              <w:rPr>
                <w:sz w:val="18"/>
                <w:szCs w:val="24"/>
                <w:lang w:val="en-US" w:eastAsia="ru-MD"/>
              </w:rPr>
              <w:t>Early parliamentary elections of 11.07.2021</w:t>
            </w:r>
          </w:p>
        </w:tc>
        <w:tc>
          <w:tcPr>
            <w:tcW w:w="1417" w:type="dxa"/>
            <w:vAlign w:val="bottom"/>
          </w:tcPr>
          <w:p w14:paraId="08ECA7ED" w14:textId="77777777" w:rsidR="00EA6A67" w:rsidRPr="000971AE" w:rsidRDefault="00EA6A67" w:rsidP="00E924CC">
            <w:pPr>
              <w:suppressAutoHyphens w:val="0"/>
              <w:spacing w:before="40" w:after="40" w:line="220" w:lineRule="exact"/>
              <w:jc w:val="right"/>
              <w:rPr>
                <w:sz w:val="18"/>
                <w:szCs w:val="24"/>
                <w:lang w:val="en-US" w:eastAsia="ru-MD"/>
              </w:rPr>
            </w:pPr>
            <w:r w:rsidRPr="000971AE">
              <w:rPr>
                <w:sz w:val="18"/>
                <w:szCs w:val="24"/>
                <w:lang w:val="en-US" w:eastAsia="ru-MD"/>
              </w:rPr>
              <w:t>3</w:t>
            </w:r>
          </w:p>
        </w:tc>
        <w:tc>
          <w:tcPr>
            <w:tcW w:w="1418" w:type="dxa"/>
            <w:vAlign w:val="bottom"/>
          </w:tcPr>
          <w:p w14:paraId="79F2DF93" w14:textId="77777777" w:rsidR="00EA6A67" w:rsidRPr="000971AE" w:rsidRDefault="00EA6A67" w:rsidP="00E924CC">
            <w:pPr>
              <w:suppressAutoHyphens w:val="0"/>
              <w:spacing w:before="40" w:after="40" w:line="220" w:lineRule="exact"/>
              <w:jc w:val="right"/>
              <w:rPr>
                <w:sz w:val="18"/>
                <w:szCs w:val="24"/>
                <w:lang w:val="en-US" w:eastAsia="ru-MD"/>
              </w:rPr>
            </w:pPr>
            <w:r w:rsidRPr="000971AE">
              <w:rPr>
                <w:sz w:val="18"/>
                <w:szCs w:val="24"/>
                <w:lang w:val="en-US" w:eastAsia="ru-MD"/>
              </w:rPr>
              <w:t>5</w:t>
            </w:r>
          </w:p>
        </w:tc>
        <w:tc>
          <w:tcPr>
            <w:tcW w:w="1417" w:type="dxa"/>
            <w:vAlign w:val="bottom"/>
          </w:tcPr>
          <w:p w14:paraId="7577F83F" w14:textId="77777777" w:rsidR="00EA6A67" w:rsidRPr="000971AE" w:rsidRDefault="00EA6A67" w:rsidP="00E924CC">
            <w:pPr>
              <w:suppressAutoHyphens w:val="0"/>
              <w:spacing w:before="40" w:after="40" w:line="220" w:lineRule="exact"/>
              <w:jc w:val="right"/>
              <w:rPr>
                <w:sz w:val="18"/>
                <w:szCs w:val="24"/>
                <w:lang w:val="en-US" w:eastAsia="ru-MD"/>
              </w:rPr>
            </w:pPr>
            <w:r w:rsidRPr="000971AE">
              <w:rPr>
                <w:sz w:val="18"/>
                <w:szCs w:val="24"/>
                <w:lang w:val="en-US" w:eastAsia="ru-MD"/>
              </w:rPr>
              <w:t>8</w:t>
            </w:r>
          </w:p>
        </w:tc>
      </w:tr>
      <w:tr w:rsidR="00EA6A67" w:rsidRPr="000971AE" w14:paraId="004278BA" w14:textId="77777777" w:rsidTr="00E924CC">
        <w:tc>
          <w:tcPr>
            <w:tcW w:w="5098" w:type="dxa"/>
          </w:tcPr>
          <w:p w14:paraId="1830B82E" w14:textId="77777777" w:rsidR="00EA6A67" w:rsidRPr="000971AE" w:rsidRDefault="00EA6A67" w:rsidP="00E924CC">
            <w:pPr>
              <w:suppressAutoHyphens w:val="0"/>
              <w:spacing w:before="40" w:after="40" w:line="220" w:lineRule="exact"/>
              <w:rPr>
                <w:sz w:val="18"/>
                <w:szCs w:val="24"/>
                <w:lang w:val="en-US" w:eastAsia="ru-MD"/>
              </w:rPr>
            </w:pPr>
            <w:r w:rsidRPr="000971AE">
              <w:rPr>
                <w:sz w:val="18"/>
                <w:szCs w:val="24"/>
                <w:lang w:val="en-US" w:eastAsia="ru-MD"/>
              </w:rPr>
              <w:t>Elections for the position of President of RM on 01.11.2020</w:t>
            </w:r>
          </w:p>
        </w:tc>
        <w:tc>
          <w:tcPr>
            <w:tcW w:w="1417" w:type="dxa"/>
            <w:vAlign w:val="bottom"/>
          </w:tcPr>
          <w:p w14:paraId="20167A9B" w14:textId="77777777" w:rsidR="00EA6A67" w:rsidRPr="000971AE" w:rsidRDefault="00EA6A67" w:rsidP="00E924CC">
            <w:pPr>
              <w:suppressAutoHyphens w:val="0"/>
              <w:spacing w:before="40" w:after="40" w:line="220" w:lineRule="exact"/>
              <w:jc w:val="right"/>
              <w:rPr>
                <w:sz w:val="18"/>
                <w:szCs w:val="24"/>
                <w:lang w:val="en-US" w:eastAsia="ru-MD"/>
              </w:rPr>
            </w:pPr>
            <w:r w:rsidRPr="000971AE">
              <w:rPr>
                <w:sz w:val="18"/>
                <w:szCs w:val="24"/>
                <w:lang w:val="en-US" w:eastAsia="ru-MD"/>
              </w:rPr>
              <w:t>0</w:t>
            </w:r>
          </w:p>
        </w:tc>
        <w:tc>
          <w:tcPr>
            <w:tcW w:w="1418" w:type="dxa"/>
            <w:vAlign w:val="bottom"/>
          </w:tcPr>
          <w:p w14:paraId="196A4123" w14:textId="77777777" w:rsidR="00EA6A67" w:rsidRPr="000971AE" w:rsidRDefault="00EA6A67" w:rsidP="00E924CC">
            <w:pPr>
              <w:suppressAutoHyphens w:val="0"/>
              <w:spacing w:before="40" w:after="40" w:line="220" w:lineRule="exact"/>
              <w:jc w:val="right"/>
              <w:rPr>
                <w:sz w:val="18"/>
                <w:szCs w:val="24"/>
                <w:lang w:val="en-US" w:eastAsia="ru-MD"/>
              </w:rPr>
            </w:pPr>
            <w:r w:rsidRPr="000971AE">
              <w:rPr>
                <w:sz w:val="18"/>
                <w:szCs w:val="24"/>
                <w:lang w:val="en-US" w:eastAsia="ru-MD"/>
              </w:rPr>
              <w:t>0</w:t>
            </w:r>
          </w:p>
        </w:tc>
        <w:tc>
          <w:tcPr>
            <w:tcW w:w="1417" w:type="dxa"/>
            <w:vAlign w:val="bottom"/>
          </w:tcPr>
          <w:p w14:paraId="1C51915E" w14:textId="77777777" w:rsidR="00EA6A67" w:rsidRPr="000971AE" w:rsidRDefault="00EA6A67" w:rsidP="00E924CC">
            <w:pPr>
              <w:suppressAutoHyphens w:val="0"/>
              <w:spacing w:before="40" w:after="40" w:line="220" w:lineRule="exact"/>
              <w:jc w:val="right"/>
              <w:rPr>
                <w:sz w:val="18"/>
                <w:szCs w:val="24"/>
                <w:lang w:val="en-US" w:eastAsia="ru-MD"/>
              </w:rPr>
            </w:pPr>
            <w:r w:rsidRPr="000971AE">
              <w:rPr>
                <w:sz w:val="18"/>
                <w:szCs w:val="24"/>
                <w:lang w:val="en-US" w:eastAsia="ru-MD"/>
              </w:rPr>
              <w:t>0</w:t>
            </w:r>
          </w:p>
        </w:tc>
      </w:tr>
      <w:tr w:rsidR="00EA6A67" w:rsidRPr="000971AE" w14:paraId="2F2F2103" w14:textId="77777777" w:rsidTr="00E924CC">
        <w:tc>
          <w:tcPr>
            <w:tcW w:w="5098" w:type="dxa"/>
            <w:tcBorders>
              <w:bottom w:val="single" w:sz="12" w:space="0" w:color="auto"/>
            </w:tcBorders>
          </w:tcPr>
          <w:p w14:paraId="111E262E" w14:textId="77777777" w:rsidR="00EA6A67" w:rsidRPr="000971AE" w:rsidRDefault="00EA6A67" w:rsidP="00E924CC">
            <w:pPr>
              <w:suppressAutoHyphens w:val="0"/>
              <w:spacing w:before="40" w:after="40" w:line="220" w:lineRule="exact"/>
              <w:rPr>
                <w:sz w:val="18"/>
                <w:szCs w:val="24"/>
                <w:lang w:val="en-US" w:eastAsia="ru-MD"/>
              </w:rPr>
            </w:pPr>
            <w:r w:rsidRPr="000971AE">
              <w:rPr>
                <w:sz w:val="18"/>
                <w:szCs w:val="24"/>
                <w:lang w:val="en-US" w:eastAsia="ru-MD"/>
              </w:rPr>
              <w:t>General local elections of 20.10.2019</w:t>
            </w:r>
          </w:p>
        </w:tc>
        <w:tc>
          <w:tcPr>
            <w:tcW w:w="1417" w:type="dxa"/>
            <w:tcBorders>
              <w:bottom w:val="single" w:sz="12" w:space="0" w:color="auto"/>
            </w:tcBorders>
            <w:vAlign w:val="bottom"/>
          </w:tcPr>
          <w:p w14:paraId="4CAB6570" w14:textId="77777777" w:rsidR="00EA6A67" w:rsidRPr="000971AE" w:rsidRDefault="00EA6A67" w:rsidP="00E924CC">
            <w:pPr>
              <w:suppressAutoHyphens w:val="0"/>
              <w:spacing w:before="40" w:after="40" w:line="220" w:lineRule="exact"/>
              <w:jc w:val="right"/>
              <w:rPr>
                <w:sz w:val="18"/>
                <w:szCs w:val="24"/>
                <w:lang w:val="en-US" w:eastAsia="ru-MD"/>
              </w:rPr>
            </w:pPr>
            <w:r w:rsidRPr="000971AE">
              <w:rPr>
                <w:sz w:val="18"/>
                <w:szCs w:val="24"/>
                <w:lang w:val="en-US" w:eastAsia="ru-MD"/>
              </w:rPr>
              <w:t>383</w:t>
            </w:r>
          </w:p>
        </w:tc>
        <w:tc>
          <w:tcPr>
            <w:tcW w:w="1418" w:type="dxa"/>
            <w:tcBorders>
              <w:bottom w:val="single" w:sz="12" w:space="0" w:color="auto"/>
            </w:tcBorders>
            <w:vAlign w:val="bottom"/>
          </w:tcPr>
          <w:p w14:paraId="665F60C5" w14:textId="77777777" w:rsidR="00EA6A67" w:rsidRPr="000971AE" w:rsidRDefault="00EA6A67" w:rsidP="00E924CC">
            <w:pPr>
              <w:suppressAutoHyphens w:val="0"/>
              <w:spacing w:before="40" w:after="40" w:line="220" w:lineRule="exact"/>
              <w:jc w:val="right"/>
              <w:rPr>
                <w:sz w:val="18"/>
                <w:szCs w:val="24"/>
                <w:lang w:val="en-US" w:eastAsia="ru-MD"/>
              </w:rPr>
            </w:pPr>
            <w:r w:rsidRPr="000971AE">
              <w:rPr>
                <w:sz w:val="18"/>
                <w:szCs w:val="24"/>
                <w:lang w:val="en-US" w:eastAsia="ru-MD"/>
              </w:rPr>
              <w:t>290</w:t>
            </w:r>
          </w:p>
        </w:tc>
        <w:tc>
          <w:tcPr>
            <w:tcW w:w="1417" w:type="dxa"/>
            <w:tcBorders>
              <w:bottom w:val="single" w:sz="12" w:space="0" w:color="auto"/>
            </w:tcBorders>
            <w:vAlign w:val="bottom"/>
          </w:tcPr>
          <w:p w14:paraId="741044DF" w14:textId="77777777" w:rsidR="00EA6A67" w:rsidRPr="000971AE" w:rsidRDefault="00EA6A67" w:rsidP="00E924CC">
            <w:pPr>
              <w:suppressAutoHyphens w:val="0"/>
              <w:spacing w:before="40" w:after="40" w:line="220" w:lineRule="exact"/>
              <w:jc w:val="right"/>
              <w:rPr>
                <w:sz w:val="18"/>
                <w:szCs w:val="24"/>
                <w:lang w:val="en-US" w:eastAsia="ru-MD"/>
              </w:rPr>
            </w:pPr>
            <w:r w:rsidRPr="000971AE">
              <w:rPr>
                <w:sz w:val="18"/>
                <w:szCs w:val="24"/>
                <w:lang w:val="en-US" w:eastAsia="ru-MD"/>
              </w:rPr>
              <w:t>673</w:t>
            </w:r>
          </w:p>
        </w:tc>
      </w:tr>
    </w:tbl>
    <w:p w14:paraId="3082050E" w14:textId="3B8226F4" w:rsidR="0092426A" w:rsidRPr="000971AE" w:rsidRDefault="00E924CC" w:rsidP="0092426A">
      <w:pPr>
        <w:pStyle w:val="H1G"/>
        <w:rPr>
          <w:lang w:val="en-US" w:eastAsia="ru-MD"/>
        </w:rPr>
      </w:pPr>
      <w:r w:rsidRPr="000971AE">
        <w:rPr>
          <w:lang w:val="en-US" w:eastAsia="ru-MD"/>
        </w:rPr>
        <w:tab/>
      </w:r>
      <w:r w:rsidRPr="000971AE">
        <w:rPr>
          <w:lang w:val="en-US" w:eastAsia="ru-MD"/>
        </w:rPr>
        <w:tab/>
      </w:r>
      <w:r w:rsidR="0092426A" w:rsidRPr="000971AE">
        <w:rPr>
          <w:lang w:val="en-US" w:eastAsia="ru-MD"/>
        </w:rPr>
        <w:t>Reply to paragraph 25 (d) of the list of issues</w:t>
      </w:r>
    </w:p>
    <w:p w14:paraId="3E124FA0" w14:textId="5AD43082"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Civil society organisations active in the field of disability shall be supported by their involvement in working groups, commissions and councils at national and sectoral level, such as the CNDPD or the CNDO, which allows them to participate directly in decision-making processes. MoLSP, in partnership with donors, provides methodological guidance for the development of projects, methodologies, tools, guides and informative materials.</w:t>
      </w:r>
      <w:bookmarkStart w:id="11" w:name="_Hlk208946811"/>
      <w:bookmarkEnd w:id="11"/>
    </w:p>
    <w:p w14:paraId="5F85774D" w14:textId="0A66E81F"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30</w:t>
      </w:r>
      <w:r w:rsidR="002A544D">
        <w:rPr>
          <w:lang w:val="en-US" w:eastAsia="ru-MD"/>
        </w:rPr>
        <w:br/>
      </w:r>
      <w:r w:rsidR="00EA6A67" w:rsidRPr="000971AE">
        <w:rPr>
          <w:lang w:val="en-US" w:eastAsia="ru-MD"/>
        </w:rPr>
        <w:t>Participation in cultural life, recreation, leisure and sports</w:t>
      </w:r>
    </w:p>
    <w:p w14:paraId="1407E76B" w14:textId="487DA90F" w:rsidR="00193060" w:rsidRPr="000971AE" w:rsidRDefault="00E924CC" w:rsidP="00193060">
      <w:pPr>
        <w:pStyle w:val="H1G"/>
        <w:rPr>
          <w:lang w:val="en-US" w:eastAsia="ru-MD"/>
        </w:rPr>
      </w:pPr>
      <w:r w:rsidRPr="000971AE">
        <w:rPr>
          <w:lang w:val="en-US" w:eastAsia="ru-MD"/>
        </w:rPr>
        <w:tab/>
      </w:r>
      <w:r w:rsidRPr="000971AE">
        <w:rPr>
          <w:lang w:val="en-US" w:eastAsia="ru-MD"/>
        </w:rPr>
        <w:tab/>
      </w:r>
      <w:r w:rsidR="00193060" w:rsidRPr="000971AE">
        <w:rPr>
          <w:lang w:val="en-US" w:eastAsia="ru-MD"/>
        </w:rPr>
        <w:t>Reply to paragraph 26 (a) of the list of issues</w:t>
      </w:r>
    </w:p>
    <w:p w14:paraId="1E3EBE6F" w14:textId="784FB9FA"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Cultural institutions and libraries have implemented accessibility measures for people with disabilities: elevators and elevator platforms, ramps, adapted toilets, guided tours with audio-description and sign language. The National Museum of Romanian Literature (2025–2028) will include a ramp, audio guidance, accessible signage and digitization of exhibitions, with free access for children with disabilities. The Museums of History and Ethnography have made similar adaptations. The Association of the Deaf organized the sports forum "Happy Starts ASRM" (2024), and the National Library offered digital and interactive services. The MC proposed to include accessibility in the "European Village" program for sports infrastructure.</w:t>
      </w:r>
    </w:p>
    <w:p w14:paraId="071D76BF" w14:textId="5286FD2D" w:rsidR="00193060" w:rsidRPr="000971AE" w:rsidRDefault="00E924CC" w:rsidP="00193060">
      <w:pPr>
        <w:pStyle w:val="H1G"/>
        <w:rPr>
          <w:lang w:val="en-US" w:eastAsia="ru-MD"/>
        </w:rPr>
      </w:pPr>
      <w:r w:rsidRPr="000971AE">
        <w:rPr>
          <w:lang w:val="en-US" w:eastAsia="ru-MD"/>
        </w:rPr>
        <w:tab/>
      </w:r>
      <w:r w:rsidRPr="000971AE">
        <w:rPr>
          <w:lang w:val="en-US" w:eastAsia="ru-MD"/>
        </w:rPr>
        <w:tab/>
      </w:r>
      <w:r w:rsidR="00193060" w:rsidRPr="000971AE">
        <w:rPr>
          <w:lang w:val="en-US" w:eastAsia="ru-MD"/>
        </w:rPr>
        <w:t>Reply to paragraph 26 (b) of the list of issues</w:t>
      </w:r>
    </w:p>
    <w:p w14:paraId="681C6CA8" w14:textId="488372B5"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Law 60/2012 guarantees persons with disabilities equal rights with those of other citizens in areas such as education, social protection, healthcare, rehabilitation, work, public life, the physical environment, transport, information technologies and other public services. According to Article 25, the state shall ensure the access of persons with disabilities to information and mass media, as well as to information technology and electronic communications, the responsibility for implementation being the responsibility of each competent public authority.</w:t>
      </w:r>
    </w:p>
    <w:p w14:paraId="25815C0C" w14:textId="77777777" w:rsidR="00EA6A67" w:rsidRPr="000971AE" w:rsidRDefault="00EA6A67" w:rsidP="000971AE">
      <w:pPr>
        <w:pStyle w:val="SingleTxtG"/>
        <w:numPr>
          <w:ilvl w:val="0"/>
          <w:numId w:val="31"/>
        </w:numPr>
        <w:tabs>
          <w:tab w:val="clear" w:pos="2268"/>
          <w:tab w:val="clear" w:pos="2835"/>
        </w:tabs>
        <w:ind w:left="1134" w:firstLine="0"/>
        <w:rPr>
          <w:lang w:val="en-US" w:eastAsia="ru-MD"/>
        </w:rPr>
      </w:pPr>
      <w:bookmarkStart w:id="12" w:name="_Hlk208946753"/>
      <w:r w:rsidRPr="000971AE">
        <w:rPr>
          <w:lang w:val="en-US" w:eastAsia="ru-MD"/>
        </w:rPr>
        <w:t>MEC, MC, central and local authorities and economic agents must ensure the editing of educational materials and artistic literature through alternative communication systems, such as Braille, audio variants or simplified language. Public institutions must make web pages accessible according to international guidelines and comply with the accessibility criterion when purchasing equipment and software. Economic agents that offer communication and information services are obliged to grant discounts to people with disabilities for these services.</w:t>
      </w:r>
      <w:bookmarkEnd w:id="12"/>
    </w:p>
    <w:p w14:paraId="0E4507EC" w14:textId="26CD7B06" w:rsidR="00193060" w:rsidRPr="000971AE" w:rsidRDefault="00E924CC" w:rsidP="00193060">
      <w:pPr>
        <w:pStyle w:val="H1G"/>
        <w:rPr>
          <w:lang w:val="en-US" w:eastAsia="ru-MD"/>
        </w:rPr>
      </w:pPr>
      <w:r w:rsidRPr="000971AE">
        <w:rPr>
          <w:lang w:val="en-US" w:eastAsia="ru-MD"/>
        </w:rPr>
        <w:tab/>
      </w:r>
      <w:r w:rsidRPr="000971AE">
        <w:rPr>
          <w:lang w:val="en-US" w:eastAsia="ru-MD"/>
        </w:rPr>
        <w:tab/>
      </w:r>
      <w:r w:rsidR="00193060" w:rsidRPr="000971AE">
        <w:rPr>
          <w:lang w:val="en-US" w:eastAsia="ru-MD"/>
        </w:rPr>
        <w:t>Reply to paragraph 26 (c) of the list of issues</w:t>
      </w:r>
    </w:p>
    <w:p w14:paraId="6EB50B3A" w14:textId="46EC9ED4"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Museums in RM have developed cultural and educational programmes adapted to persons with disabilities, including multisensory guides and interactive activities. The National Museum of Art organized events for schools and specialized centers, with guides adapted to children and adults. The National Museum of History carried out visits and workshops for visually impaired students, with 1,267 beneficiaries between 2020-2025, and collaborated with the ELPIS Association for the exhibition "UNHEARD VOICES". The National Museum of Ethnography has implemented an Audio Guide including in sign language and the AR application "Find the dinotary (</w:t>
      </w:r>
      <w:r w:rsidRPr="000971AE">
        <w:rPr>
          <w:i/>
          <w:iCs/>
          <w:lang w:val="en-US" w:eastAsia="ru-MD"/>
        </w:rPr>
        <w:t>Găsește Dinoteriul</w:t>
      </w:r>
      <w:r w:rsidRPr="000971AE">
        <w:rPr>
          <w:lang w:val="en-US" w:eastAsia="ru-MD"/>
        </w:rPr>
        <w:t>)", as well as tactile workshops for visually impaired students. The National Museum of Romanian Literature includes creators with disabilities in events and exhibitions, promoting access and artistic expression. These measures ensure the active participation of persons with disabilities in cultural and educational life.</w:t>
      </w:r>
    </w:p>
    <w:p w14:paraId="327CAC3A" w14:textId="45450592"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31</w:t>
      </w:r>
      <w:r w:rsidR="002A544D">
        <w:rPr>
          <w:lang w:val="en-US" w:eastAsia="ru-MD"/>
        </w:rPr>
        <w:br/>
      </w:r>
      <w:r w:rsidR="00EA6A67" w:rsidRPr="000971AE">
        <w:rPr>
          <w:lang w:val="en-US" w:eastAsia="ru-MD"/>
        </w:rPr>
        <w:t>Statistics and data collection</w:t>
      </w:r>
    </w:p>
    <w:p w14:paraId="51ECB8A3" w14:textId="65D9C043" w:rsidR="00193060" w:rsidRPr="000971AE" w:rsidRDefault="00E924CC" w:rsidP="00193060">
      <w:pPr>
        <w:pStyle w:val="H1G"/>
        <w:rPr>
          <w:lang w:val="en-US" w:eastAsia="ru-MD"/>
        </w:rPr>
      </w:pPr>
      <w:r w:rsidRPr="000971AE">
        <w:rPr>
          <w:lang w:val="en-US" w:eastAsia="ru-MD"/>
        </w:rPr>
        <w:tab/>
      </w:r>
      <w:r w:rsidRPr="000971AE">
        <w:rPr>
          <w:lang w:val="en-US" w:eastAsia="ru-MD"/>
        </w:rPr>
        <w:tab/>
      </w:r>
      <w:r w:rsidR="00193060" w:rsidRPr="000971AE">
        <w:rPr>
          <w:lang w:val="en-US" w:eastAsia="ru-MD"/>
        </w:rPr>
        <w:t>Reply to paragraph 27 (a) of the list of issues</w:t>
      </w:r>
    </w:p>
    <w:p w14:paraId="73E80628" w14:textId="77EC45D2"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The NBS collects and publishes data on persons with disabilities annually in areas such as demography, labour market, education, social protection, transport and living standards, through Statistical Releases, the Statbank and the Sustainable Development Goals platform, in accordance with national programmes and EU standards. To improve data quality, the NBS implements research and statistics from various sources (labour force survey, EHIS, CBGC, EU-SILC, SESPROS, ICT use and violence studies), using the GALI standard for measuring limitations in daily activities. Law 256/2023 gave CNDDCM the obligation to collect and report annual statistical data, disaggregated by sex, age, type and degree of disability and environment of residence, according to the Matrix of indicators (GD  421/2024). The first Statistical Compendium on the Rights of Persons with Disabilities (2019–2022) was produced with the support of development partners</w:t>
      </w:r>
      <w:r w:rsidRPr="000971AE">
        <w:rPr>
          <w:vertAlign w:val="superscript"/>
          <w:lang w:val="en-US" w:eastAsia="ru-MD"/>
        </w:rPr>
        <w:footnoteReference w:id="4"/>
      </w:r>
      <w:r w:rsidRPr="000971AE">
        <w:rPr>
          <w:lang w:val="en-US" w:eastAsia="ru-MD"/>
        </w:rPr>
        <w:t>, and the elaboration of the second is ongoing.</w:t>
      </w:r>
    </w:p>
    <w:p w14:paraId="30282B37" w14:textId="5AA2C393" w:rsidR="00193060" w:rsidRPr="000971AE" w:rsidRDefault="00E924CC" w:rsidP="00193060">
      <w:pPr>
        <w:pStyle w:val="H1G"/>
        <w:rPr>
          <w:lang w:val="en-US" w:eastAsia="ru-MD"/>
        </w:rPr>
      </w:pPr>
      <w:r w:rsidRPr="000971AE">
        <w:rPr>
          <w:lang w:val="en-US" w:eastAsia="ru-MD"/>
        </w:rPr>
        <w:tab/>
      </w:r>
      <w:r w:rsidRPr="000971AE">
        <w:rPr>
          <w:lang w:val="en-US" w:eastAsia="ru-MD"/>
        </w:rPr>
        <w:tab/>
      </w:r>
      <w:r w:rsidR="00193060" w:rsidRPr="000971AE">
        <w:rPr>
          <w:lang w:val="en-US" w:eastAsia="ru-MD"/>
        </w:rPr>
        <w:t>Reply to paragraph 27 (b) of the list of issues</w:t>
      </w:r>
    </w:p>
    <w:p w14:paraId="27412B9D" w14:textId="69DF39A4"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 xml:space="preserve">According to the 2024 Population and Housing Census Questionnaire, data were collected on the difficulties in carrying out daily activities based on 4 domains (Vision, Hearing, Memorization/concentration, Mobility) according to the minimum set of questions recommended by the Washington Group. The information on difficulties in carrying out daily activities was collected for persons aged 2 years and over at the free declaration of the persons surveyed. </w:t>
      </w:r>
    </w:p>
    <w:p w14:paraId="0A32DBEA" w14:textId="77777777"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Data on the Washington Group's indicators of functioning were collected through the Generations and Gender Study (5 domains in wave 1 (2020) and 6 domains in wave 2 (2025), and the "Quality of Life Survey" (2024).</w:t>
      </w:r>
    </w:p>
    <w:p w14:paraId="5C2B441F" w14:textId="7BE740FA"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32</w:t>
      </w:r>
      <w:r w:rsidR="002A544D">
        <w:rPr>
          <w:lang w:val="en-US" w:eastAsia="ru-MD"/>
        </w:rPr>
        <w:br/>
      </w:r>
      <w:r w:rsidR="00EA6A67" w:rsidRPr="000971AE">
        <w:rPr>
          <w:lang w:val="en-US" w:eastAsia="ru-MD"/>
        </w:rPr>
        <w:t>International cooperation</w:t>
      </w:r>
    </w:p>
    <w:p w14:paraId="06DF7F57" w14:textId="7D233541" w:rsidR="00717813" w:rsidRPr="000971AE" w:rsidRDefault="00E924CC" w:rsidP="00717813">
      <w:pPr>
        <w:pStyle w:val="H1G"/>
        <w:rPr>
          <w:lang w:val="en-US" w:eastAsia="ru-MD"/>
        </w:rPr>
      </w:pPr>
      <w:r w:rsidRPr="000971AE">
        <w:rPr>
          <w:lang w:val="en-US" w:eastAsia="ru-MD"/>
        </w:rPr>
        <w:tab/>
      </w:r>
      <w:r w:rsidRPr="000971AE">
        <w:rPr>
          <w:lang w:val="en-US" w:eastAsia="ru-MD"/>
        </w:rPr>
        <w:tab/>
      </w:r>
      <w:r w:rsidR="00717813" w:rsidRPr="000971AE">
        <w:rPr>
          <w:lang w:val="en-US" w:eastAsia="ru-MD"/>
        </w:rPr>
        <w:t>Reply to paragraph 28 of the list of issues</w:t>
      </w:r>
    </w:p>
    <w:p w14:paraId="02E1483C" w14:textId="3965C4D4"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The involvement of persons with disabilities and their representative organizations in international and national development programs in RM is achieved through (i) consultation and participation in the decision-making process (in various councils, working groups and commissions at national and sectoral level), ensuring the direct contribution of these persons in the development, monitoring and evaluation of national and international programs. (ii) involvement in international programmes and sustainable development (participates in the implementation of the 2030 Agenda for Sustainable Development and the SDGs by contributing to the collection and analysis of data on the inclusion of persons with disabilities, participation in the assessment of progress and monitoring of statistical indicators on the rights and inclusion of persons with disabilities, etc.).</w:t>
      </w:r>
    </w:p>
    <w:p w14:paraId="179CD9A6" w14:textId="3F94D2CB" w:rsidR="00EA6A67" w:rsidRPr="000971AE" w:rsidRDefault="003251EC" w:rsidP="003251EC">
      <w:pPr>
        <w:pStyle w:val="H1G"/>
        <w:rPr>
          <w:lang w:val="en-US" w:eastAsia="ru-MD"/>
        </w:rPr>
      </w:pPr>
      <w:r w:rsidRPr="000971AE">
        <w:rPr>
          <w:lang w:val="en-US" w:eastAsia="ru-MD"/>
        </w:rPr>
        <w:tab/>
      </w:r>
      <w:r w:rsidRPr="000971AE">
        <w:rPr>
          <w:lang w:val="en-US" w:eastAsia="ru-MD"/>
        </w:rPr>
        <w:tab/>
      </w:r>
      <w:r w:rsidR="00EA6A67" w:rsidRPr="000971AE">
        <w:rPr>
          <w:lang w:val="en-US" w:eastAsia="ru-MD"/>
        </w:rPr>
        <w:t>Article 33</w:t>
      </w:r>
      <w:r w:rsidR="002A544D">
        <w:rPr>
          <w:lang w:val="en-US" w:eastAsia="ru-MD"/>
        </w:rPr>
        <w:br/>
      </w:r>
      <w:r w:rsidR="00EA6A67" w:rsidRPr="000971AE">
        <w:rPr>
          <w:lang w:val="en-US" w:eastAsia="ru-MD"/>
        </w:rPr>
        <w:t>National implementation and monitoring</w:t>
      </w:r>
    </w:p>
    <w:p w14:paraId="6E96D656" w14:textId="6A936E9C" w:rsidR="00717813" w:rsidRPr="000971AE" w:rsidRDefault="000971AE" w:rsidP="000971AE">
      <w:pPr>
        <w:pStyle w:val="H1G"/>
        <w:rPr>
          <w:lang w:val="en-US" w:eastAsia="ru-MD"/>
        </w:rPr>
      </w:pPr>
      <w:r>
        <w:rPr>
          <w:lang w:val="en-US" w:eastAsia="ru-MD"/>
        </w:rPr>
        <w:tab/>
      </w:r>
      <w:r>
        <w:rPr>
          <w:lang w:val="en-US" w:eastAsia="ru-MD"/>
        </w:rPr>
        <w:tab/>
      </w:r>
      <w:r w:rsidR="00717813" w:rsidRPr="000971AE">
        <w:rPr>
          <w:lang w:val="en-US" w:eastAsia="ru-MD"/>
        </w:rPr>
        <w:t>Reply to paragraph 29 (a) of the list of issues</w:t>
      </w:r>
    </w:p>
    <w:p w14:paraId="77568374" w14:textId="34442CC9"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 xml:space="preserve">RM has taken robust steps to align the principles of functionality of the PLO with international standards. In 2024, the salaries of OAP employees were increased to ensure the functional and financial independence of the institution. In this regard, the salary for the staff of the institution was increased by approximately 10% for management positions and 20% for executive positions. In the context of the European integration agenda, the implementation of the salary reform is an objective of the Government that will target all public authorities and institutions. </w:t>
      </w:r>
    </w:p>
    <w:p w14:paraId="13418FF3" w14:textId="15EC0B64" w:rsidR="00717813" w:rsidRPr="000971AE" w:rsidRDefault="00E924CC" w:rsidP="00717813">
      <w:pPr>
        <w:pStyle w:val="H1G"/>
        <w:rPr>
          <w:lang w:val="en-US" w:eastAsia="ru-MD"/>
        </w:rPr>
      </w:pPr>
      <w:r w:rsidRPr="000971AE">
        <w:rPr>
          <w:lang w:val="en-US" w:eastAsia="ru-MD"/>
        </w:rPr>
        <w:tab/>
      </w:r>
      <w:r w:rsidRPr="000971AE">
        <w:rPr>
          <w:lang w:val="en-US" w:eastAsia="ru-MD"/>
        </w:rPr>
        <w:tab/>
      </w:r>
      <w:r w:rsidR="00717813" w:rsidRPr="000971AE">
        <w:rPr>
          <w:lang w:val="en-US" w:eastAsia="ru-MD"/>
        </w:rPr>
        <w:t>Reply to paragraph 29 (b) of the list of issues</w:t>
      </w:r>
    </w:p>
    <w:p w14:paraId="4CFDFB4A" w14:textId="62728F22" w:rsidR="00EA6A67" w:rsidRPr="000971AE"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As of 01.01.2024, MoLSP has taken over the competences of LPA II on the development and management of the social assistance system through ATAS. Citizens from localities on the left bank of the Dniester benefit from social services through the designated territorial structures: Bender – ATAS South-East, Camenca – ATAS North-East, Dubasari – ATAS Center, Grigoriopol – ATAS Center, Ribnita – ATAS Center-East, Slobozia – ATAS South-East, Tiraspol – ATAS South-East. The reform ensures access to social assistance for the entire country, including for people with disabilities on the left bank of the Dniester. In all ATAS and STAS, the position of specialist in the protection of the rights of persons with disabilities has been established, and social measures are financed from the state budget and with the support of development partners.</w:t>
      </w:r>
      <w:bookmarkStart w:id="13" w:name="_Hlk208946839"/>
      <w:bookmarkEnd w:id="13"/>
    </w:p>
    <w:p w14:paraId="5C1E69A0" w14:textId="4C55A530" w:rsidR="00717813" w:rsidRPr="000971AE" w:rsidRDefault="00E924CC" w:rsidP="00717813">
      <w:pPr>
        <w:pStyle w:val="H1G"/>
        <w:rPr>
          <w:lang w:val="en-US" w:eastAsia="ru-MD"/>
        </w:rPr>
      </w:pPr>
      <w:r w:rsidRPr="000971AE">
        <w:rPr>
          <w:lang w:val="en-US" w:eastAsia="ru-MD"/>
        </w:rPr>
        <w:tab/>
      </w:r>
      <w:r w:rsidRPr="000971AE">
        <w:rPr>
          <w:lang w:val="en-US" w:eastAsia="ru-MD"/>
        </w:rPr>
        <w:tab/>
      </w:r>
      <w:r w:rsidR="00717813" w:rsidRPr="000971AE">
        <w:rPr>
          <w:lang w:val="en-US" w:eastAsia="ru-MD"/>
        </w:rPr>
        <w:t>Reply to paragraph 29 (c) of the list of issues</w:t>
      </w:r>
    </w:p>
    <w:p w14:paraId="469E335A" w14:textId="4DBF3C90" w:rsidR="00EA6A67" w:rsidRPr="00EA6A67" w:rsidRDefault="00EA6A67" w:rsidP="000971AE">
      <w:pPr>
        <w:pStyle w:val="SingleTxtG"/>
        <w:numPr>
          <w:ilvl w:val="0"/>
          <w:numId w:val="31"/>
        </w:numPr>
        <w:tabs>
          <w:tab w:val="clear" w:pos="2268"/>
          <w:tab w:val="clear" w:pos="2835"/>
        </w:tabs>
        <w:ind w:left="1134" w:firstLine="0"/>
        <w:rPr>
          <w:lang w:val="en-US" w:eastAsia="ru-MD"/>
        </w:rPr>
      </w:pPr>
      <w:r w:rsidRPr="000971AE">
        <w:rPr>
          <w:lang w:val="en-US" w:eastAsia="ru-MD"/>
        </w:rPr>
        <w:t>See the reply to Article 8(a) and (b).</w:t>
      </w:r>
      <w:r w:rsidRPr="00EA6A67">
        <w:rPr>
          <w:lang w:val="en-US" w:eastAsia="ru-MD"/>
        </w:rPr>
        <w:t xml:space="preserve"> </w:t>
      </w:r>
    </w:p>
    <w:p w14:paraId="66CF1704" w14:textId="35E2708D" w:rsidR="007125A6" w:rsidRPr="00EA6A67" w:rsidRDefault="00EA6A67" w:rsidP="00EA6A67">
      <w:pPr>
        <w:spacing w:before="240"/>
        <w:ind w:left="1134" w:right="1134"/>
        <w:jc w:val="center"/>
        <w:rPr>
          <w:u w:val="single"/>
        </w:rPr>
      </w:pPr>
      <w:r>
        <w:rPr>
          <w:u w:val="single"/>
        </w:rPr>
        <w:tab/>
      </w:r>
      <w:r>
        <w:rPr>
          <w:u w:val="single"/>
        </w:rPr>
        <w:tab/>
      </w:r>
      <w:r>
        <w:rPr>
          <w:u w:val="single"/>
        </w:rPr>
        <w:tab/>
      </w:r>
      <w:r>
        <w:rPr>
          <w:u w:val="single"/>
        </w:rPr>
        <w:tab/>
      </w:r>
    </w:p>
    <w:sectPr w:rsidR="007125A6" w:rsidRPr="00EA6A67">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380CB" w14:textId="77777777" w:rsidR="00B33395" w:rsidRDefault="00B33395"/>
  </w:endnote>
  <w:endnote w:type="continuationSeparator" w:id="0">
    <w:p w14:paraId="5E36B17C" w14:textId="77777777" w:rsidR="00B33395" w:rsidRDefault="00B33395">
      <w:pPr>
        <w:pStyle w:val="Footer"/>
      </w:pPr>
    </w:p>
  </w:endnote>
  <w:endnote w:type="continuationNotice" w:id="1">
    <w:p w14:paraId="08B40354" w14:textId="77777777" w:rsidR="00B33395" w:rsidRDefault="00B333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15C25" w14:textId="77777777" w:rsidR="007125A6" w:rsidRDefault="00EA6A67">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7B1AB5">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9DDB9" w14:textId="77777777" w:rsidR="007125A6" w:rsidRDefault="00CF305B">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9DE3F" w14:textId="1ED580AC" w:rsidR="007125A6" w:rsidRDefault="00EA6A67">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20B96ABC" wp14:editId="04407AA7">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GE.25-</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9250D7" w14:paraId="0CD6BF05" w14:textId="77777777">
      <w:tc>
        <w:tcPr>
          <w:tcW w:w="1848" w:type="dxa"/>
          <w:vAlign w:val="bottom"/>
        </w:tcPr>
        <w:p w14:paraId="3EC01F42" w14:textId="77777777" w:rsidR="007125A6" w:rsidRDefault="00EA6A67">
          <w:pPr>
            <w:pStyle w:val="Footer"/>
            <w:spacing w:before="120" w:after="120"/>
            <w:jc w:val="right"/>
          </w:pPr>
          <w:r>
            <w:rPr>
              <w:noProof/>
              <w:sz w:val="20"/>
              <w:lang w:val="fr-CH" w:eastAsia="fr-CH"/>
            </w:rPr>
            <w:drawing>
              <wp:inline distT="0" distB="0" distL="0" distR="0" wp14:anchorId="38AE0FAB" wp14:editId="089BD30A">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6B7BF0EE" w14:textId="77777777" w:rsidR="007125A6" w:rsidRDefault="007125A6">
          <w:pPr>
            <w:pStyle w:val="Footer"/>
            <w:jc w:val="right"/>
          </w:pPr>
        </w:p>
      </w:tc>
    </w:tr>
  </w:tbl>
  <w:p w14:paraId="256ACD4D" w14:textId="77777777" w:rsidR="007125A6" w:rsidRDefault="00712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92A73" w14:textId="77777777" w:rsidR="00B33395" w:rsidRDefault="00EA6A67">
      <w:pPr>
        <w:pStyle w:val="Footer"/>
        <w:tabs>
          <w:tab w:val="right" w:pos="2155"/>
        </w:tabs>
        <w:spacing w:after="80" w:line="240" w:lineRule="atLeast"/>
        <w:ind w:left="680"/>
        <w:rPr>
          <w:u w:val="single"/>
        </w:rPr>
      </w:pPr>
      <w:r>
        <w:rPr>
          <w:u w:val="single"/>
        </w:rPr>
        <w:tab/>
      </w:r>
    </w:p>
  </w:footnote>
  <w:footnote w:type="continuationSeparator" w:id="0">
    <w:p w14:paraId="45EDA80A" w14:textId="77777777" w:rsidR="00B33395" w:rsidRDefault="00EA6A67">
      <w:pPr>
        <w:pStyle w:val="Footer"/>
        <w:tabs>
          <w:tab w:val="right" w:pos="2155"/>
        </w:tabs>
        <w:spacing w:after="80" w:line="240" w:lineRule="atLeast"/>
        <w:ind w:left="680"/>
        <w:rPr>
          <w:u w:val="single"/>
        </w:rPr>
      </w:pPr>
      <w:r>
        <w:rPr>
          <w:u w:val="single"/>
        </w:rPr>
        <w:tab/>
      </w:r>
    </w:p>
  </w:footnote>
  <w:footnote w:type="continuationNotice" w:id="1">
    <w:p w14:paraId="42D64B87" w14:textId="77777777" w:rsidR="00B33395" w:rsidRDefault="00B33395">
      <w:pPr>
        <w:rPr>
          <w:sz w:val="2"/>
          <w:szCs w:val="2"/>
        </w:rPr>
      </w:pPr>
    </w:p>
  </w:footnote>
  <w:footnote w:id="2">
    <w:p w14:paraId="5CFBD7C9" w14:textId="77777777" w:rsidR="002A5398" w:rsidRPr="00E57D91" w:rsidRDefault="00EA6A67" w:rsidP="002A5398">
      <w:pPr>
        <w:pStyle w:val="FootnoteText"/>
      </w:pPr>
      <w:r>
        <w:tab/>
      </w:r>
      <w:r w:rsidRPr="000863F9">
        <w:rPr>
          <w:rStyle w:val="FootnoteReference"/>
          <w:sz w:val="20"/>
          <w:vertAlign w:val="baseline"/>
        </w:rPr>
        <w:t>*</w:t>
      </w:r>
      <w:r>
        <w:rPr>
          <w:sz w:val="20"/>
        </w:rPr>
        <w:tab/>
      </w:r>
      <w:r w:rsidRPr="00E57D91">
        <w:t>The present document is being issued without formal editing.</w:t>
      </w:r>
    </w:p>
  </w:footnote>
  <w:footnote w:id="3">
    <w:p w14:paraId="11C641FD" w14:textId="05598EE6" w:rsidR="00EA6A67" w:rsidRDefault="001B5D94" w:rsidP="001B5D94">
      <w:pPr>
        <w:pStyle w:val="FootnoteText"/>
        <w:rPr>
          <w:color w:val="0563C1"/>
          <w:u w:val="single"/>
        </w:rPr>
      </w:pPr>
      <w:r>
        <w:rPr>
          <w:color w:val="000000"/>
        </w:rPr>
        <w:tab/>
      </w:r>
      <w:r w:rsidR="00EA6A67">
        <w:rPr>
          <w:vertAlign w:val="superscript"/>
        </w:rPr>
        <w:footnoteRef/>
      </w:r>
      <w:r>
        <w:rPr>
          <w:color w:val="000000"/>
        </w:rPr>
        <w:tab/>
      </w:r>
      <w:hyperlink r:id="rId1" w:history="1">
        <w:r w:rsidRPr="00CD0353">
          <w:rPr>
            <w:rStyle w:val="Hyperlink"/>
          </w:rPr>
          <w:t>https://radiomoldova.md/f/ro/10931</w:t>
        </w:r>
      </w:hyperlink>
      <w:r w:rsidR="00EA6A67">
        <w:rPr>
          <w:color w:val="000000"/>
        </w:rPr>
        <w:t xml:space="preserve">; </w:t>
      </w:r>
      <w:hyperlink r:id="rId2">
        <w:r w:rsidR="00EA6A67" w:rsidRPr="00E924CC">
          <w:rPr>
            <w:color w:val="0000CC"/>
            <w:u w:val="single"/>
          </w:rPr>
          <w:t>https://www.youtube.com/watch?v=0_eC6Vc2_BQ</w:t>
        </w:r>
      </w:hyperlink>
      <w:r w:rsidR="00EA6A67" w:rsidRPr="00E924CC">
        <w:rPr>
          <w:color w:val="0000CC"/>
        </w:rPr>
        <w:t xml:space="preserve">; </w:t>
      </w:r>
      <w:hyperlink r:id="rId3">
        <w:r w:rsidR="00EA6A67" w:rsidRPr="00E924CC">
          <w:rPr>
            <w:color w:val="0000CC"/>
            <w:u w:val="single"/>
          </w:rPr>
          <w:t>https://www.facebook.com/100063709443996/videos/spa%C8%9Biul-public-asigurarea-drepturilor-persoanelor-cu-dizabilit%C4%83%C8%9Bi-%C3%AEn-republica-m/1017645110136256/</w:t>
        </w:r>
      </w:hyperlink>
    </w:p>
  </w:footnote>
  <w:footnote w:id="4">
    <w:p w14:paraId="7DDE4446" w14:textId="7E3386FC" w:rsidR="00EA6A67" w:rsidRDefault="00E924CC" w:rsidP="00E924CC">
      <w:pPr>
        <w:pStyle w:val="FootnoteText"/>
      </w:pPr>
      <w:r>
        <w:tab/>
      </w:r>
      <w:r w:rsidR="00EA6A67">
        <w:rPr>
          <w:vertAlign w:val="superscript"/>
        </w:rPr>
        <w:footnoteRef/>
      </w:r>
      <w:r>
        <w:tab/>
      </w:r>
      <w:hyperlink r:id="rId4" w:history="1">
        <w:r w:rsidRPr="00CD0353">
          <w:rPr>
            <w:rStyle w:val="Hyperlink"/>
          </w:rPr>
          <w:t>https://social.gov.md/wp-content/uploads/2023/07/Compendiu-statistic-privind-monitorizarea-drepturilor-persoanelor-cu-dizabilitati-in-Republica-Moldova-pentru-anii-2019-2022-1.pdf</w:t>
        </w:r>
      </w:hyperlink>
      <w:r w:rsidR="00EA6A6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5314D" w14:textId="77777777" w:rsidR="007125A6" w:rsidRDefault="00CF305B">
    <w:pPr>
      <w:pStyle w:val="Header"/>
    </w:pPr>
    <w:r>
      <w:t>CRPD/C/MDA/RQ/2-3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D384D" w14:textId="77777777" w:rsidR="007125A6" w:rsidRDefault="00CF305B">
    <w:pPr>
      <w:pStyle w:val="Header"/>
      <w:jc w:val="right"/>
    </w:pPr>
    <w:r>
      <w:t>CRPD/C/MDA/RQ/2-3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7E75F" w14:textId="77777777" w:rsidR="007125A6" w:rsidRDefault="007125A6">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5249AC0">
      <w:start w:val="1"/>
      <w:numFmt w:val="decimal"/>
      <w:lvlText w:val="%1."/>
      <w:lvlJc w:val="left"/>
      <w:pPr>
        <w:tabs>
          <w:tab w:val="num" w:pos="0"/>
        </w:tabs>
        <w:ind w:left="1134" w:firstLine="0"/>
      </w:pPr>
      <w:rPr>
        <w:rFonts w:ascii="Times New Roman" w:hAnsi="Times New Roman" w:hint="default"/>
        <w:b w:val="0"/>
        <w:i w:val="0"/>
        <w:sz w:val="20"/>
      </w:rPr>
    </w:lvl>
    <w:lvl w:ilvl="1" w:tplc="4066E90A" w:tentative="1">
      <w:start w:val="1"/>
      <w:numFmt w:val="lowerLetter"/>
      <w:lvlText w:val="%2."/>
      <w:lvlJc w:val="left"/>
      <w:pPr>
        <w:tabs>
          <w:tab w:val="num" w:pos="1440"/>
        </w:tabs>
        <w:ind w:left="1440" w:hanging="360"/>
      </w:pPr>
    </w:lvl>
    <w:lvl w:ilvl="2" w:tplc="AB9897AC" w:tentative="1">
      <w:start w:val="1"/>
      <w:numFmt w:val="lowerRoman"/>
      <w:lvlText w:val="%3."/>
      <w:lvlJc w:val="right"/>
      <w:pPr>
        <w:tabs>
          <w:tab w:val="num" w:pos="2160"/>
        </w:tabs>
        <w:ind w:left="2160" w:hanging="180"/>
      </w:pPr>
    </w:lvl>
    <w:lvl w:ilvl="3" w:tplc="13F0622A" w:tentative="1">
      <w:start w:val="1"/>
      <w:numFmt w:val="decimal"/>
      <w:lvlText w:val="%4."/>
      <w:lvlJc w:val="left"/>
      <w:pPr>
        <w:tabs>
          <w:tab w:val="num" w:pos="2880"/>
        </w:tabs>
        <w:ind w:left="2880" w:hanging="360"/>
      </w:pPr>
    </w:lvl>
    <w:lvl w:ilvl="4" w:tplc="4EEC3524" w:tentative="1">
      <w:start w:val="1"/>
      <w:numFmt w:val="lowerLetter"/>
      <w:lvlText w:val="%5."/>
      <w:lvlJc w:val="left"/>
      <w:pPr>
        <w:tabs>
          <w:tab w:val="num" w:pos="3600"/>
        </w:tabs>
        <w:ind w:left="3600" w:hanging="360"/>
      </w:pPr>
    </w:lvl>
    <w:lvl w:ilvl="5" w:tplc="ED6A99A6" w:tentative="1">
      <w:start w:val="1"/>
      <w:numFmt w:val="lowerRoman"/>
      <w:lvlText w:val="%6."/>
      <w:lvlJc w:val="right"/>
      <w:pPr>
        <w:tabs>
          <w:tab w:val="num" w:pos="4320"/>
        </w:tabs>
        <w:ind w:left="4320" w:hanging="180"/>
      </w:pPr>
    </w:lvl>
    <w:lvl w:ilvl="6" w:tplc="131A4B7C" w:tentative="1">
      <w:start w:val="1"/>
      <w:numFmt w:val="decimal"/>
      <w:lvlText w:val="%7."/>
      <w:lvlJc w:val="left"/>
      <w:pPr>
        <w:tabs>
          <w:tab w:val="num" w:pos="5040"/>
        </w:tabs>
        <w:ind w:left="5040" w:hanging="360"/>
      </w:pPr>
    </w:lvl>
    <w:lvl w:ilvl="7" w:tplc="5D7A7EBC" w:tentative="1">
      <w:start w:val="1"/>
      <w:numFmt w:val="lowerLetter"/>
      <w:lvlText w:val="%8."/>
      <w:lvlJc w:val="left"/>
      <w:pPr>
        <w:tabs>
          <w:tab w:val="num" w:pos="5760"/>
        </w:tabs>
        <w:ind w:left="5760" w:hanging="360"/>
      </w:pPr>
    </w:lvl>
    <w:lvl w:ilvl="8" w:tplc="6DA2468E" w:tentative="1">
      <w:start w:val="1"/>
      <w:numFmt w:val="lowerRoman"/>
      <w:lvlText w:val="%9."/>
      <w:lvlJc w:val="right"/>
      <w:pPr>
        <w:tabs>
          <w:tab w:val="num" w:pos="6480"/>
        </w:tabs>
        <w:ind w:left="6480" w:hanging="180"/>
      </w:pPr>
    </w:lvl>
  </w:abstractNum>
  <w:abstractNum w:abstractNumId="11" w15:restartNumberingAfterBreak="0">
    <w:nsid w:val="095B196E"/>
    <w:multiLevelType w:val="hybridMultilevel"/>
    <w:tmpl w:val="B6321DFA"/>
    <w:lvl w:ilvl="0" w:tplc="FB547DCE">
      <w:start w:val="1"/>
      <w:numFmt w:val="upperLetter"/>
      <w:lvlText w:val="%1."/>
      <w:lvlJc w:val="left"/>
      <w:pPr>
        <w:ind w:left="1130" w:hanging="550"/>
      </w:pPr>
      <w:rPr>
        <w:rFonts w:hint="default"/>
      </w:rPr>
    </w:lvl>
    <w:lvl w:ilvl="1" w:tplc="20000019" w:tentative="1">
      <w:start w:val="1"/>
      <w:numFmt w:val="lowerLetter"/>
      <w:lvlText w:val="%2."/>
      <w:lvlJc w:val="left"/>
      <w:pPr>
        <w:ind w:left="1660" w:hanging="360"/>
      </w:pPr>
    </w:lvl>
    <w:lvl w:ilvl="2" w:tplc="2000001B" w:tentative="1">
      <w:start w:val="1"/>
      <w:numFmt w:val="lowerRoman"/>
      <w:lvlText w:val="%3."/>
      <w:lvlJc w:val="right"/>
      <w:pPr>
        <w:ind w:left="2380" w:hanging="180"/>
      </w:pPr>
    </w:lvl>
    <w:lvl w:ilvl="3" w:tplc="2000000F" w:tentative="1">
      <w:start w:val="1"/>
      <w:numFmt w:val="decimal"/>
      <w:lvlText w:val="%4."/>
      <w:lvlJc w:val="left"/>
      <w:pPr>
        <w:ind w:left="3100" w:hanging="360"/>
      </w:pPr>
    </w:lvl>
    <w:lvl w:ilvl="4" w:tplc="20000019" w:tentative="1">
      <w:start w:val="1"/>
      <w:numFmt w:val="lowerLetter"/>
      <w:lvlText w:val="%5."/>
      <w:lvlJc w:val="left"/>
      <w:pPr>
        <w:ind w:left="3820" w:hanging="360"/>
      </w:pPr>
    </w:lvl>
    <w:lvl w:ilvl="5" w:tplc="2000001B" w:tentative="1">
      <w:start w:val="1"/>
      <w:numFmt w:val="lowerRoman"/>
      <w:lvlText w:val="%6."/>
      <w:lvlJc w:val="right"/>
      <w:pPr>
        <w:ind w:left="4540" w:hanging="180"/>
      </w:pPr>
    </w:lvl>
    <w:lvl w:ilvl="6" w:tplc="2000000F" w:tentative="1">
      <w:start w:val="1"/>
      <w:numFmt w:val="decimal"/>
      <w:lvlText w:val="%7."/>
      <w:lvlJc w:val="left"/>
      <w:pPr>
        <w:ind w:left="5260" w:hanging="360"/>
      </w:pPr>
    </w:lvl>
    <w:lvl w:ilvl="7" w:tplc="20000019" w:tentative="1">
      <w:start w:val="1"/>
      <w:numFmt w:val="lowerLetter"/>
      <w:lvlText w:val="%8."/>
      <w:lvlJc w:val="left"/>
      <w:pPr>
        <w:ind w:left="5980" w:hanging="360"/>
      </w:pPr>
    </w:lvl>
    <w:lvl w:ilvl="8" w:tplc="2000001B" w:tentative="1">
      <w:start w:val="1"/>
      <w:numFmt w:val="lowerRoman"/>
      <w:lvlText w:val="%9."/>
      <w:lvlJc w:val="right"/>
      <w:pPr>
        <w:ind w:left="6700" w:hanging="180"/>
      </w:pPr>
    </w:lvl>
  </w:abstractNum>
  <w:abstractNum w:abstractNumId="12" w15:restartNumberingAfterBreak="0">
    <w:nsid w:val="0D954887"/>
    <w:multiLevelType w:val="hybridMultilevel"/>
    <w:tmpl w:val="2B362816"/>
    <w:lvl w:ilvl="0" w:tplc="F690865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A3C456C" w:tentative="1">
      <w:start w:val="1"/>
      <w:numFmt w:val="lowerLetter"/>
      <w:lvlText w:val="%2."/>
      <w:lvlJc w:val="left"/>
      <w:pPr>
        <w:tabs>
          <w:tab w:val="num" w:pos="1440"/>
        </w:tabs>
        <w:ind w:left="1440" w:hanging="360"/>
      </w:pPr>
    </w:lvl>
    <w:lvl w:ilvl="2" w:tplc="8DA20176" w:tentative="1">
      <w:start w:val="1"/>
      <w:numFmt w:val="lowerRoman"/>
      <w:lvlText w:val="%3."/>
      <w:lvlJc w:val="right"/>
      <w:pPr>
        <w:tabs>
          <w:tab w:val="num" w:pos="2160"/>
        </w:tabs>
        <w:ind w:left="2160" w:hanging="180"/>
      </w:pPr>
    </w:lvl>
    <w:lvl w:ilvl="3" w:tplc="54DACA6C" w:tentative="1">
      <w:start w:val="1"/>
      <w:numFmt w:val="decimal"/>
      <w:lvlText w:val="%4."/>
      <w:lvlJc w:val="left"/>
      <w:pPr>
        <w:tabs>
          <w:tab w:val="num" w:pos="2880"/>
        </w:tabs>
        <w:ind w:left="2880" w:hanging="360"/>
      </w:pPr>
    </w:lvl>
    <w:lvl w:ilvl="4" w:tplc="42A2D4FC" w:tentative="1">
      <w:start w:val="1"/>
      <w:numFmt w:val="lowerLetter"/>
      <w:lvlText w:val="%5."/>
      <w:lvlJc w:val="left"/>
      <w:pPr>
        <w:tabs>
          <w:tab w:val="num" w:pos="3600"/>
        </w:tabs>
        <w:ind w:left="3600" w:hanging="360"/>
      </w:pPr>
    </w:lvl>
    <w:lvl w:ilvl="5" w:tplc="42DA1C9E" w:tentative="1">
      <w:start w:val="1"/>
      <w:numFmt w:val="lowerRoman"/>
      <w:lvlText w:val="%6."/>
      <w:lvlJc w:val="right"/>
      <w:pPr>
        <w:tabs>
          <w:tab w:val="num" w:pos="4320"/>
        </w:tabs>
        <w:ind w:left="4320" w:hanging="180"/>
      </w:pPr>
    </w:lvl>
    <w:lvl w:ilvl="6" w:tplc="24BEF9D4" w:tentative="1">
      <w:start w:val="1"/>
      <w:numFmt w:val="decimal"/>
      <w:lvlText w:val="%7."/>
      <w:lvlJc w:val="left"/>
      <w:pPr>
        <w:tabs>
          <w:tab w:val="num" w:pos="5040"/>
        </w:tabs>
        <w:ind w:left="5040" w:hanging="360"/>
      </w:pPr>
    </w:lvl>
    <w:lvl w:ilvl="7" w:tplc="C868ED46" w:tentative="1">
      <w:start w:val="1"/>
      <w:numFmt w:val="lowerLetter"/>
      <w:lvlText w:val="%8."/>
      <w:lvlJc w:val="left"/>
      <w:pPr>
        <w:tabs>
          <w:tab w:val="num" w:pos="5760"/>
        </w:tabs>
        <w:ind w:left="5760" w:hanging="360"/>
      </w:pPr>
    </w:lvl>
    <w:lvl w:ilvl="8" w:tplc="5F00F6AC" w:tentative="1">
      <w:start w:val="1"/>
      <w:numFmt w:val="lowerRoman"/>
      <w:lvlText w:val="%9."/>
      <w:lvlJc w:val="right"/>
      <w:pPr>
        <w:tabs>
          <w:tab w:val="num" w:pos="6480"/>
        </w:tabs>
        <w:ind w:left="6480" w:hanging="180"/>
      </w:pPr>
    </w:lvl>
  </w:abstractNum>
  <w:abstractNum w:abstractNumId="13" w15:restartNumberingAfterBreak="0">
    <w:nsid w:val="18790E40"/>
    <w:multiLevelType w:val="multilevel"/>
    <w:tmpl w:val="B7109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E253887"/>
    <w:multiLevelType w:val="hybridMultilevel"/>
    <w:tmpl w:val="497EC7CC"/>
    <w:lvl w:ilvl="0" w:tplc="BD3AD378">
      <w:start w:val="1"/>
      <w:numFmt w:val="bullet"/>
      <w:lvlText w:val="•"/>
      <w:lvlJc w:val="left"/>
      <w:pPr>
        <w:tabs>
          <w:tab w:val="num" w:pos="2268"/>
        </w:tabs>
        <w:ind w:left="2268" w:hanging="170"/>
      </w:pPr>
      <w:rPr>
        <w:rFonts w:ascii="Times New Roman" w:hAnsi="Times New Roman" w:cs="Times New Roman" w:hint="default"/>
      </w:rPr>
    </w:lvl>
    <w:lvl w:ilvl="1" w:tplc="2BE0AAFA" w:tentative="1">
      <w:start w:val="1"/>
      <w:numFmt w:val="bullet"/>
      <w:lvlText w:val="o"/>
      <w:lvlJc w:val="left"/>
      <w:pPr>
        <w:tabs>
          <w:tab w:val="num" w:pos="1440"/>
        </w:tabs>
        <w:ind w:left="1440" w:hanging="360"/>
      </w:pPr>
      <w:rPr>
        <w:rFonts w:ascii="Courier New" w:hAnsi="Courier New" w:hint="default"/>
      </w:rPr>
    </w:lvl>
    <w:lvl w:ilvl="2" w:tplc="DA4C2F16" w:tentative="1">
      <w:start w:val="1"/>
      <w:numFmt w:val="bullet"/>
      <w:lvlText w:val=""/>
      <w:lvlJc w:val="left"/>
      <w:pPr>
        <w:tabs>
          <w:tab w:val="num" w:pos="2160"/>
        </w:tabs>
        <w:ind w:left="2160" w:hanging="360"/>
      </w:pPr>
      <w:rPr>
        <w:rFonts w:ascii="Wingdings" w:hAnsi="Wingdings" w:hint="default"/>
      </w:rPr>
    </w:lvl>
    <w:lvl w:ilvl="3" w:tplc="E5768A88" w:tentative="1">
      <w:start w:val="1"/>
      <w:numFmt w:val="bullet"/>
      <w:lvlText w:val=""/>
      <w:lvlJc w:val="left"/>
      <w:pPr>
        <w:tabs>
          <w:tab w:val="num" w:pos="2880"/>
        </w:tabs>
        <w:ind w:left="2880" w:hanging="360"/>
      </w:pPr>
      <w:rPr>
        <w:rFonts w:ascii="Symbol" w:hAnsi="Symbol" w:hint="default"/>
      </w:rPr>
    </w:lvl>
    <w:lvl w:ilvl="4" w:tplc="13CAA440" w:tentative="1">
      <w:start w:val="1"/>
      <w:numFmt w:val="bullet"/>
      <w:lvlText w:val="o"/>
      <w:lvlJc w:val="left"/>
      <w:pPr>
        <w:tabs>
          <w:tab w:val="num" w:pos="3600"/>
        </w:tabs>
        <w:ind w:left="3600" w:hanging="360"/>
      </w:pPr>
      <w:rPr>
        <w:rFonts w:ascii="Courier New" w:hAnsi="Courier New" w:hint="default"/>
      </w:rPr>
    </w:lvl>
    <w:lvl w:ilvl="5" w:tplc="D6D65F52" w:tentative="1">
      <w:start w:val="1"/>
      <w:numFmt w:val="bullet"/>
      <w:lvlText w:val=""/>
      <w:lvlJc w:val="left"/>
      <w:pPr>
        <w:tabs>
          <w:tab w:val="num" w:pos="4320"/>
        </w:tabs>
        <w:ind w:left="4320" w:hanging="360"/>
      </w:pPr>
      <w:rPr>
        <w:rFonts w:ascii="Wingdings" w:hAnsi="Wingdings" w:hint="default"/>
      </w:rPr>
    </w:lvl>
    <w:lvl w:ilvl="6" w:tplc="42C02D9E" w:tentative="1">
      <w:start w:val="1"/>
      <w:numFmt w:val="bullet"/>
      <w:lvlText w:val=""/>
      <w:lvlJc w:val="left"/>
      <w:pPr>
        <w:tabs>
          <w:tab w:val="num" w:pos="5040"/>
        </w:tabs>
        <w:ind w:left="5040" w:hanging="360"/>
      </w:pPr>
      <w:rPr>
        <w:rFonts w:ascii="Symbol" w:hAnsi="Symbol" w:hint="default"/>
      </w:rPr>
    </w:lvl>
    <w:lvl w:ilvl="7" w:tplc="686EA7B4" w:tentative="1">
      <w:start w:val="1"/>
      <w:numFmt w:val="bullet"/>
      <w:lvlText w:val="o"/>
      <w:lvlJc w:val="left"/>
      <w:pPr>
        <w:tabs>
          <w:tab w:val="num" w:pos="5760"/>
        </w:tabs>
        <w:ind w:left="5760" w:hanging="360"/>
      </w:pPr>
      <w:rPr>
        <w:rFonts w:ascii="Courier New" w:hAnsi="Courier New" w:hint="default"/>
      </w:rPr>
    </w:lvl>
    <w:lvl w:ilvl="8" w:tplc="5282A37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572011"/>
    <w:multiLevelType w:val="multilevel"/>
    <w:tmpl w:val="BF86EAA8"/>
    <w:lvl w:ilvl="0">
      <w:start w:val="1"/>
      <w:numFmt w:val="upperLetter"/>
      <w:lvlText w:val="%1."/>
      <w:lvlJc w:val="left"/>
      <w:pPr>
        <w:ind w:left="1130" w:hanging="510"/>
      </w:pPr>
    </w:lvl>
    <w:lvl w:ilvl="1">
      <w:start w:val="1"/>
      <w:numFmt w:val="lowerLetter"/>
      <w:lvlText w:val="%2."/>
      <w:lvlJc w:val="left"/>
      <w:pPr>
        <w:ind w:left="1700" w:hanging="360"/>
      </w:pPr>
    </w:lvl>
    <w:lvl w:ilvl="2">
      <w:start w:val="1"/>
      <w:numFmt w:val="lowerRoman"/>
      <w:lvlText w:val="%3."/>
      <w:lvlJc w:val="right"/>
      <w:pPr>
        <w:ind w:left="2420" w:hanging="180"/>
      </w:pPr>
    </w:lvl>
    <w:lvl w:ilvl="3">
      <w:start w:val="1"/>
      <w:numFmt w:val="decimal"/>
      <w:lvlText w:val="%4."/>
      <w:lvlJc w:val="left"/>
      <w:pPr>
        <w:ind w:left="3140" w:hanging="360"/>
      </w:pPr>
    </w:lvl>
    <w:lvl w:ilvl="4">
      <w:start w:val="1"/>
      <w:numFmt w:val="lowerLetter"/>
      <w:lvlText w:val="%5."/>
      <w:lvlJc w:val="left"/>
      <w:pPr>
        <w:ind w:left="3860" w:hanging="360"/>
      </w:pPr>
    </w:lvl>
    <w:lvl w:ilvl="5">
      <w:start w:val="1"/>
      <w:numFmt w:val="lowerRoman"/>
      <w:lvlText w:val="%6."/>
      <w:lvlJc w:val="right"/>
      <w:pPr>
        <w:ind w:left="4580" w:hanging="180"/>
      </w:pPr>
    </w:lvl>
    <w:lvl w:ilvl="6">
      <w:start w:val="1"/>
      <w:numFmt w:val="decimal"/>
      <w:lvlText w:val="%7."/>
      <w:lvlJc w:val="left"/>
      <w:pPr>
        <w:ind w:left="5300" w:hanging="360"/>
      </w:pPr>
    </w:lvl>
    <w:lvl w:ilvl="7">
      <w:start w:val="1"/>
      <w:numFmt w:val="lowerLetter"/>
      <w:lvlText w:val="%8."/>
      <w:lvlJc w:val="left"/>
      <w:pPr>
        <w:ind w:left="6020" w:hanging="360"/>
      </w:pPr>
    </w:lvl>
    <w:lvl w:ilvl="8">
      <w:start w:val="1"/>
      <w:numFmt w:val="lowerRoman"/>
      <w:lvlText w:val="%9."/>
      <w:lvlJc w:val="right"/>
      <w:pPr>
        <w:ind w:left="6740" w:hanging="180"/>
      </w:pPr>
    </w:lvl>
  </w:abstractNum>
  <w:abstractNum w:abstractNumId="16" w15:restartNumberingAfterBreak="0">
    <w:nsid w:val="25A860AF"/>
    <w:multiLevelType w:val="hybridMultilevel"/>
    <w:tmpl w:val="710C63BE"/>
    <w:lvl w:ilvl="0" w:tplc="DDF0D1AC">
      <w:start w:val="1"/>
      <w:numFmt w:val="lowerLetter"/>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77C440C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47D89F84" w:tentative="1">
      <w:start w:val="1"/>
      <w:numFmt w:val="bullet"/>
      <w:lvlText w:val="o"/>
      <w:lvlJc w:val="left"/>
      <w:pPr>
        <w:tabs>
          <w:tab w:val="num" w:pos="1440"/>
        </w:tabs>
        <w:ind w:left="1440" w:hanging="360"/>
      </w:pPr>
      <w:rPr>
        <w:rFonts w:ascii="Courier New" w:hAnsi="Courier New" w:hint="default"/>
      </w:rPr>
    </w:lvl>
    <w:lvl w:ilvl="2" w:tplc="32BE286C" w:tentative="1">
      <w:start w:val="1"/>
      <w:numFmt w:val="bullet"/>
      <w:lvlText w:val=""/>
      <w:lvlJc w:val="left"/>
      <w:pPr>
        <w:tabs>
          <w:tab w:val="num" w:pos="2160"/>
        </w:tabs>
        <w:ind w:left="2160" w:hanging="360"/>
      </w:pPr>
      <w:rPr>
        <w:rFonts w:ascii="Wingdings" w:hAnsi="Wingdings" w:hint="default"/>
      </w:rPr>
    </w:lvl>
    <w:lvl w:ilvl="3" w:tplc="3B98B906" w:tentative="1">
      <w:start w:val="1"/>
      <w:numFmt w:val="bullet"/>
      <w:lvlText w:val=""/>
      <w:lvlJc w:val="left"/>
      <w:pPr>
        <w:tabs>
          <w:tab w:val="num" w:pos="2880"/>
        </w:tabs>
        <w:ind w:left="2880" w:hanging="360"/>
      </w:pPr>
      <w:rPr>
        <w:rFonts w:ascii="Symbol" w:hAnsi="Symbol" w:hint="default"/>
      </w:rPr>
    </w:lvl>
    <w:lvl w:ilvl="4" w:tplc="AEA807A0" w:tentative="1">
      <w:start w:val="1"/>
      <w:numFmt w:val="bullet"/>
      <w:lvlText w:val="o"/>
      <w:lvlJc w:val="left"/>
      <w:pPr>
        <w:tabs>
          <w:tab w:val="num" w:pos="3600"/>
        </w:tabs>
        <w:ind w:left="3600" w:hanging="360"/>
      </w:pPr>
      <w:rPr>
        <w:rFonts w:ascii="Courier New" w:hAnsi="Courier New" w:hint="default"/>
      </w:rPr>
    </w:lvl>
    <w:lvl w:ilvl="5" w:tplc="DA629710" w:tentative="1">
      <w:start w:val="1"/>
      <w:numFmt w:val="bullet"/>
      <w:lvlText w:val=""/>
      <w:lvlJc w:val="left"/>
      <w:pPr>
        <w:tabs>
          <w:tab w:val="num" w:pos="4320"/>
        </w:tabs>
        <w:ind w:left="4320" w:hanging="360"/>
      </w:pPr>
      <w:rPr>
        <w:rFonts w:ascii="Wingdings" w:hAnsi="Wingdings" w:hint="default"/>
      </w:rPr>
    </w:lvl>
    <w:lvl w:ilvl="6" w:tplc="A5367046" w:tentative="1">
      <w:start w:val="1"/>
      <w:numFmt w:val="bullet"/>
      <w:lvlText w:val=""/>
      <w:lvlJc w:val="left"/>
      <w:pPr>
        <w:tabs>
          <w:tab w:val="num" w:pos="5040"/>
        </w:tabs>
        <w:ind w:left="5040" w:hanging="360"/>
      </w:pPr>
      <w:rPr>
        <w:rFonts w:ascii="Symbol" w:hAnsi="Symbol" w:hint="default"/>
      </w:rPr>
    </w:lvl>
    <w:lvl w:ilvl="7" w:tplc="B03A38EC" w:tentative="1">
      <w:start w:val="1"/>
      <w:numFmt w:val="bullet"/>
      <w:lvlText w:val="o"/>
      <w:lvlJc w:val="left"/>
      <w:pPr>
        <w:tabs>
          <w:tab w:val="num" w:pos="5760"/>
        </w:tabs>
        <w:ind w:left="5760" w:hanging="360"/>
      </w:pPr>
      <w:rPr>
        <w:rFonts w:ascii="Courier New" w:hAnsi="Courier New" w:hint="default"/>
      </w:rPr>
    </w:lvl>
    <w:lvl w:ilvl="8" w:tplc="2A94D97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D80805"/>
    <w:multiLevelType w:val="hybridMultilevel"/>
    <w:tmpl w:val="971EC1AC"/>
    <w:lvl w:ilvl="0" w:tplc="83C49D26">
      <w:start w:val="1"/>
      <w:numFmt w:val="decimal"/>
      <w:lvlText w:val="%1."/>
      <w:lvlJc w:val="left"/>
      <w:pPr>
        <w:ind w:left="1854"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9" w15:restartNumberingAfterBreak="0">
    <w:nsid w:val="36F92654"/>
    <w:multiLevelType w:val="multilevel"/>
    <w:tmpl w:val="1BB8EA8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8253306"/>
    <w:multiLevelType w:val="multilevel"/>
    <w:tmpl w:val="488818FE"/>
    <w:lvl w:ilvl="0">
      <w:start w:val="27"/>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ACF4EB2"/>
    <w:multiLevelType w:val="hybridMultilevel"/>
    <w:tmpl w:val="CB6C816A"/>
    <w:lvl w:ilvl="0" w:tplc="FF784F32">
      <w:start w:val="1"/>
      <w:numFmt w:val="bullet"/>
      <w:pStyle w:val="Bullet2G"/>
      <w:lvlText w:val="•"/>
      <w:lvlJc w:val="left"/>
      <w:pPr>
        <w:tabs>
          <w:tab w:val="num" w:pos="2268"/>
        </w:tabs>
        <w:ind w:left="2268" w:hanging="170"/>
      </w:pPr>
      <w:rPr>
        <w:rFonts w:ascii="Times New Roman" w:hAnsi="Times New Roman" w:cs="Times New Roman" w:hint="default"/>
      </w:rPr>
    </w:lvl>
    <w:lvl w:ilvl="1" w:tplc="C0200F06" w:tentative="1">
      <w:start w:val="1"/>
      <w:numFmt w:val="bullet"/>
      <w:lvlText w:val="o"/>
      <w:lvlJc w:val="left"/>
      <w:pPr>
        <w:tabs>
          <w:tab w:val="num" w:pos="3708"/>
        </w:tabs>
        <w:ind w:left="3708" w:hanging="360"/>
      </w:pPr>
      <w:rPr>
        <w:rFonts w:ascii="Courier New" w:hAnsi="Courier New" w:hint="default"/>
      </w:rPr>
    </w:lvl>
    <w:lvl w:ilvl="2" w:tplc="D49275C6" w:tentative="1">
      <w:start w:val="1"/>
      <w:numFmt w:val="bullet"/>
      <w:lvlText w:val=""/>
      <w:lvlJc w:val="left"/>
      <w:pPr>
        <w:tabs>
          <w:tab w:val="num" w:pos="4428"/>
        </w:tabs>
        <w:ind w:left="4428" w:hanging="360"/>
      </w:pPr>
      <w:rPr>
        <w:rFonts w:ascii="Wingdings" w:hAnsi="Wingdings" w:hint="default"/>
      </w:rPr>
    </w:lvl>
    <w:lvl w:ilvl="3" w:tplc="AD8ECCCC" w:tentative="1">
      <w:start w:val="1"/>
      <w:numFmt w:val="bullet"/>
      <w:lvlText w:val=""/>
      <w:lvlJc w:val="left"/>
      <w:pPr>
        <w:tabs>
          <w:tab w:val="num" w:pos="5148"/>
        </w:tabs>
        <w:ind w:left="5148" w:hanging="360"/>
      </w:pPr>
      <w:rPr>
        <w:rFonts w:ascii="Symbol" w:hAnsi="Symbol" w:hint="default"/>
      </w:rPr>
    </w:lvl>
    <w:lvl w:ilvl="4" w:tplc="6598E652" w:tentative="1">
      <w:start w:val="1"/>
      <w:numFmt w:val="bullet"/>
      <w:lvlText w:val="o"/>
      <w:lvlJc w:val="left"/>
      <w:pPr>
        <w:tabs>
          <w:tab w:val="num" w:pos="5868"/>
        </w:tabs>
        <w:ind w:left="5868" w:hanging="360"/>
      </w:pPr>
      <w:rPr>
        <w:rFonts w:ascii="Courier New" w:hAnsi="Courier New" w:hint="default"/>
      </w:rPr>
    </w:lvl>
    <w:lvl w:ilvl="5" w:tplc="9F3C3308" w:tentative="1">
      <w:start w:val="1"/>
      <w:numFmt w:val="bullet"/>
      <w:lvlText w:val=""/>
      <w:lvlJc w:val="left"/>
      <w:pPr>
        <w:tabs>
          <w:tab w:val="num" w:pos="6588"/>
        </w:tabs>
        <w:ind w:left="6588" w:hanging="360"/>
      </w:pPr>
      <w:rPr>
        <w:rFonts w:ascii="Wingdings" w:hAnsi="Wingdings" w:hint="default"/>
      </w:rPr>
    </w:lvl>
    <w:lvl w:ilvl="6" w:tplc="0A5CF0D8" w:tentative="1">
      <w:start w:val="1"/>
      <w:numFmt w:val="bullet"/>
      <w:lvlText w:val=""/>
      <w:lvlJc w:val="left"/>
      <w:pPr>
        <w:tabs>
          <w:tab w:val="num" w:pos="7308"/>
        </w:tabs>
        <w:ind w:left="7308" w:hanging="360"/>
      </w:pPr>
      <w:rPr>
        <w:rFonts w:ascii="Symbol" w:hAnsi="Symbol" w:hint="default"/>
      </w:rPr>
    </w:lvl>
    <w:lvl w:ilvl="7" w:tplc="44C80524" w:tentative="1">
      <w:start w:val="1"/>
      <w:numFmt w:val="bullet"/>
      <w:lvlText w:val="o"/>
      <w:lvlJc w:val="left"/>
      <w:pPr>
        <w:tabs>
          <w:tab w:val="num" w:pos="8028"/>
        </w:tabs>
        <w:ind w:left="8028" w:hanging="360"/>
      </w:pPr>
      <w:rPr>
        <w:rFonts w:ascii="Courier New" w:hAnsi="Courier New" w:hint="default"/>
      </w:rPr>
    </w:lvl>
    <w:lvl w:ilvl="8" w:tplc="B19E9F60"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8D4575"/>
    <w:multiLevelType w:val="multilevel"/>
    <w:tmpl w:val="C16A849A"/>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7FEE3222"/>
    <w:lvl w:ilvl="0" w:tplc="9AEE164C">
      <w:start w:val="1"/>
      <w:numFmt w:val="bullet"/>
      <w:pStyle w:val="Bullet1G"/>
      <w:lvlText w:val="•"/>
      <w:lvlJc w:val="left"/>
      <w:pPr>
        <w:tabs>
          <w:tab w:val="num" w:pos="1701"/>
        </w:tabs>
        <w:ind w:left="1701" w:hanging="170"/>
      </w:pPr>
      <w:rPr>
        <w:rFonts w:ascii="Times New Roman" w:hAnsi="Times New Roman" w:cs="Times New Roman" w:hint="default"/>
      </w:rPr>
    </w:lvl>
    <w:lvl w:ilvl="1" w:tplc="D3E6C810" w:tentative="1">
      <w:start w:val="1"/>
      <w:numFmt w:val="bullet"/>
      <w:lvlText w:val="o"/>
      <w:lvlJc w:val="left"/>
      <w:pPr>
        <w:tabs>
          <w:tab w:val="num" w:pos="3141"/>
        </w:tabs>
        <w:ind w:left="3141" w:hanging="360"/>
      </w:pPr>
      <w:rPr>
        <w:rFonts w:ascii="Courier New" w:hAnsi="Courier New" w:hint="default"/>
      </w:rPr>
    </w:lvl>
    <w:lvl w:ilvl="2" w:tplc="C63A5406" w:tentative="1">
      <w:start w:val="1"/>
      <w:numFmt w:val="bullet"/>
      <w:lvlText w:val=""/>
      <w:lvlJc w:val="left"/>
      <w:pPr>
        <w:tabs>
          <w:tab w:val="num" w:pos="3861"/>
        </w:tabs>
        <w:ind w:left="3861" w:hanging="360"/>
      </w:pPr>
      <w:rPr>
        <w:rFonts w:ascii="Wingdings" w:hAnsi="Wingdings" w:hint="default"/>
      </w:rPr>
    </w:lvl>
    <w:lvl w:ilvl="3" w:tplc="D2B4F594" w:tentative="1">
      <w:start w:val="1"/>
      <w:numFmt w:val="bullet"/>
      <w:lvlText w:val=""/>
      <w:lvlJc w:val="left"/>
      <w:pPr>
        <w:tabs>
          <w:tab w:val="num" w:pos="4581"/>
        </w:tabs>
        <w:ind w:left="4581" w:hanging="360"/>
      </w:pPr>
      <w:rPr>
        <w:rFonts w:ascii="Symbol" w:hAnsi="Symbol" w:hint="default"/>
      </w:rPr>
    </w:lvl>
    <w:lvl w:ilvl="4" w:tplc="D7C2AA20" w:tentative="1">
      <w:start w:val="1"/>
      <w:numFmt w:val="bullet"/>
      <w:lvlText w:val="o"/>
      <w:lvlJc w:val="left"/>
      <w:pPr>
        <w:tabs>
          <w:tab w:val="num" w:pos="5301"/>
        </w:tabs>
        <w:ind w:left="5301" w:hanging="360"/>
      </w:pPr>
      <w:rPr>
        <w:rFonts w:ascii="Courier New" w:hAnsi="Courier New" w:hint="default"/>
      </w:rPr>
    </w:lvl>
    <w:lvl w:ilvl="5" w:tplc="39CA67AE" w:tentative="1">
      <w:start w:val="1"/>
      <w:numFmt w:val="bullet"/>
      <w:lvlText w:val=""/>
      <w:lvlJc w:val="left"/>
      <w:pPr>
        <w:tabs>
          <w:tab w:val="num" w:pos="6021"/>
        </w:tabs>
        <w:ind w:left="6021" w:hanging="360"/>
      </w:pPr>
      <w:rPr>
        <w:rFonts w:ascii="Wingdings" w:hAnsi="Wingdings" w:hint="default"/>
      </w:rPr>
    </w:lvl>
    <w:lvl w:ilvl="6" w:tplc="0B003F24" w:tentative="1">
      <w:start w:val="1"/>
      <w:numFmt w:val="bullet"/>
      <w:lvlText w:val=""/>
      <w:lvlJc w:val="left"/>
      <w:pPr>
        <w:tabs>
          <w:tab w:val="num" w:pos="6741"/>
        </w:tabs>
        <w:ind w:left="6741" w:hanging="360"/>
      </w:pPr>
      <w:rPr>
        <w:rFonts w:ascii="Symbol" w:hAnsi="Symbol" w:hint="default"/>
      </w:rPr>
    </w:lvl>
    <w:lvl w:ilvl="7" w:tplc="A3FEDBFA" w:tentative="1">
      <w:start w:val="1"/>
      <w:numFmt w:val="bullet"/>
      <w:lvlText w:val="o"/>
      <w:lvlJc w:val="left"/>
      <w:pPr>
        <w:tabs>
          <w:tab w:val="num" w:pos="7461"/>
        </w:tabs>
        <w:ind w:left="7461" w:hanging="360"/>
      </w:pPr>
      <w:rPr>
        <w:rFonts w:ascii="Courier New" w:hAnsi="Courier New" w:hint="default"/>
      </w:rPr>
    </w:lvl>
    <w:lvl w:ilvl="8" w:tplc="957AD0F8"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18397290">
    <w:abstractNumId w:val="26"/>
  </w:num>
  <w:num w:numId="2" w16cid:durableId="1868642044">
    <w:abstractNumId w:val="21"/>
  </w:num>
  <w:num w:numId="3" w16cid:durableId="1015963286">
    <w:abstractNumId w:val="12"/>
  </w:num>
  <w:num w:numId="4" w16cid:durableId="1405181504">
    <w:abstractNumId w:val="8"/>
  </w:num>
  <w:num w:numId="5" w16cid:durableId="838276451">
    <w:abstractNumId w:val="3"/>
  </w:num>
  <w:num w:numId="6" w16cid:durableId="1558861231">
    <w:abstractNumId w:val="2"/>
  </w:num>
  <w:num w:numId="7" w16cid:durableId="1197043268">
    <w:abstractNumId w:val="1"/>
  </w:num>
  <w:num w:numId="8" w16cid:durableId="1153764819">
    <w:abstractNumId w:val="0"/>
  </w:num>
  <w:num w:numId="9" w16cid:durableId="238907534">
    <w:abstractNumId w:val="9"/>
  </w:num>
  <w:num w:numId="10" w16cid:durableId="94325547">
    <w:abstractNumId w:val="7"/>
  </w:num>
  <w:num w:numId="11" w16cid:durableId="155266917">
    <w:abstractNumId w:val="6"/>
  </w:num>
  <w:num w:numId="12" w16cid:durableId="1554733885">
    <w:abstractNumId w:val="5"/>
  </w:num>
  <w:num w:numId="13" w16cid:durableId="1005786498">
    <w:abstractNumId w:val="4"/>
  </w:num>
  <w:num w:numId="14" w16cid:durableId="948857796">
    <w:abstractNumId w:val="17"/>
  </w:num>
  <w:num w:numId="15" w16cid:durableId="496919799">
    <w:abstractNumId w:val="14"/>
  </w:num>
  <w:num w:numId="16" w16cid:durableId="1669669419">
    <w:abstractNumId w:val="10"/>
  </w:num>
  <w:num w:numId="17" w16cid:durableId="60952587">
    <w:abstractNumId w:val="24"/>
  </w:num>
  <w:num w:numId="18" w16cid:durableId="679044260">
    <w:abstractNumId w:val="25"/>
  </w:num>
  <w:num w:numId="19" w16cid:durableId="878905392">
    <w:abstractNumId w:val="23"/>
  </w:num>
  <w:num w:numId="20" w16cid:durableId="140006591">
    <w:abstractNumId w:val="27"/>
  </w:num>
  <w:num w:numId="21" w16cid:durableId="1981181887">
    <w:abstractNumId w:val="26"/>
  </w:num>
  <w:num w:numId="22" w16cid:durableId="1792897803">
    <w:abstractNumId w:val="21"/>
  </w:num>
  <w:num w:numId="23" w16cid:durableId="620040553">
    <w:abstractNumId w:val="12"/>
  </w:num>
  <w:num w:numId="24" w16cid:durableId="1082483587">
    <w:abstractNumId w:val="22"/>
  </w:num>
  <w:num w:numId="25" w16cid:durableId="1950968847">
    <w:abstractNumId w:val="20"/>
  </w:num>
  <w:num w:numId="26" w16cid:durableId="1571690887">
    <w:abstractNumId w:val="13"/>
  </w:num>
  <w:num w:numId="27" w16cid:durableId="765884684">
    <w:abstractNumId w:val="15"/>
  </w:num>
  <w:num w:numId="28" w16cid:durableId="443116609">
    <w:abstractNumId w:val="19"/>
  </w:num>
  <w:num w:numId="29" w16cid:durableId="1825585662">
    <w:abstractNumId w:val="11"/>
  </w:num>
  <w:num w:numId="30" w16cid:durableId="255333269">
    <w:abstractNumId w:val="16"/>
  </w:num>
  <w:num w:numId="31" w16cid:durableId="14041814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5A6"/>
    <w:rsid w:val="00030949"/>
    <w:rsid w:val="0003652A"/>
    <w:rsid w:val="00051B19"/>
    <w:rsid w:val="0005744A"/>
    <w:rsid w:val="000863F9"/>
    <w:rsid w:val="000971AE"/>
    <w:rsid w:val="000C0BE5"/>
    <w:rsid w:val="000E730E"/>
    <w:rsid w:val="00120FED"/>
    <w:rsid w:val="00193060"/>
    <w:rsid w:val="001B5D94"/>
    <w:rsid w:val="001D258D"/>
    <w:rsid w:val="001D4F9C"/>
    <w:rsid w:val="001F42CD"/>
    <w:rsid w:val="00221214"/>
    <w:rsid w:val="002A5398"/>
    <w:rsid w:val="002A544D"/>
    <w:rsid w:val="002B05D3"/>
    <w:rsid w:val="002F07A4"/>
    <w:rsid w:val="0030533C"/>
    <w:rsid w:val="0030567C"/>
    <w:rsid w:val="003251EC"/>
    <w:rsid w:val="003436CA"/>
    <w:rsid w:val="00374F6C"/>
    <w:rsid w:val="00396F36"/>
    <w:rsid w:val="003B268F"/>
    <w:rsid w:val="003C415F"/>
    <w:rsid w:val="003C5CBA"/>
    <w:rsid w:val="00406562"/>
    <w:rsid w:val="00423147"/>
    <w:rsid w:val="004614D6"/>
    <w:rsid w:val="004754DD"/>
    <w:rsid w:val="004F5866"/>
    <w:rsid w:val="004F7FC0"/>
    <w:rsid w:val="00500A51"/>
    <w:rsid w:val="005C53D6"/>
    <w:rsid w:val="005F1E6F"/>
    <w:rsid w:val="00616954"/>
    <w:rsid w:val="00617F96"/>
    <w:rsid w:val="00626E94"/>
    <w:rsid w:val="00657578"/>
    <w:rsid w:val="006640A8"/>
    <w:rsid w:val="006F51E6"/>
    <w:rsid w:val="007125A6"/>
    <w:rsid w:val="00717813"/>
    <w:rsid w:val="00781B52"/>
    <w:rsid w:val="007A6067"/>
    <w:rsid w:val="007B1AB5"/>
    <w:rsid w:val="007E5D01"/>
    <w:rsid w:val="008378A6"/>
    <w:rsid w:val="008562D5"/>
    <w:rsid w:val="0092426A"/>
    <w:rsid w:val="009250D7"/>
    <w:rsid w:val="009957F5"/>
    <w:rsid w:val="00A30CEF"/>
    <w:rsid w:val="00A33336"/>
    <w:rsid w:val="00A47E78"/>
    <w:rsid w:val="00AA140D"/>
    <w:rsid w:val="00AB0304"/>
    <w:rsid w:val="00AE01B3"/>
    <w:rsid w:val="00B140B4"/>
    <w:rsid w:val="00B33395"/>
    <w:rsid w:val="00BE3A51"/>
    <w:rsid w:val="00C00A6B"/>
    <w:rsid w:val="00C0562D"/>
    <w:rsid w:val="00C15334"/>
    <w:rsid w:val="00C30A25"/>
    <w:rsid w:val="00C559B9"/>
    <w:rsid w:val="00C81728"/>
    <w:rsid w:val="00C90426"/>
    <w:rsid w:val="00CB2F38"/>
    <w:rsid w:val="00CB4BC9"/>
    <w:rsid w:val="00CC3A34"/>
    <w:rsid w:val="00CD435B"/>
    <w:rsid w:val="00CE6C2F"/>
    <w:rsid w:val="00CF305B"/>
    <w:rsid w:val="00D00E7D"/>
    <w:rsid w:val="00D97719"/>
    <w:rsid w:val="00DB6EDF"/>
    <w:rsid w:val="00DE35F5"/>
    <w:rsid w:val="00DE6112"/>
    <w:rsid w:val="00DF0BE2"/>
    <w:rsid w:val="00E57D91"/>
    <w:rsid w:val="00E924CC"/>
    <w:rsid w:val="00EA180D"/>
    <w:rsid w:val="00EA4EEC"/>
    <w:rsid w:val="00EA6A67"/>
    <w:rsid w:val="00EC2D04"/>
    <w:rsid w:val="00EE4623"/>
    <w:rsid w:val="00F525DA"/>
    <w:rsid w:val="00FC33F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54A7DD"/>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E6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EA6A67"/>
  </w:style>
  <w:style w:type="table" w:customStyle="1" w:styleId="TableNormal0">
    <w:name w:val="TableNormal"/>
    <w:rsid w:val="00EA6A67"/>
    <w:pPr>
      <w:spacing w:after="160" w:line="259" w:lineRule="auto"/>
    </w:pPr>
    <w:rPr>
      <w:rFonts w:ascii="Calibri" w:eastAsia="Calibri" w:hAnsi="Calibri" w:cs="Calibri"/>
      <w:lang w:val="pt-BR" w:eastAsia="ru-MD"/>
    </w:rPr>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EA6A67"/>
    <w:pPr>
      <w:suppressAutoHyphens w:val="0"/>
      <w:spacing w:after="80" w:line="240" w:lineRule="auto"/>
    </w:pPr>
    <w:rPr>
      <w:rFonts w:ascii="Calibri" w:eastAsia="Calibri" w:hAnsi="Calibri" w:cs="Calibri"/>
      <w:sz w:val="56"/>
      <w:szCs w:val="56"/>
      <w:lang w:val="pt-BR" w:eastAsia="ru-MD"/>
    </w:rPr>
  </w:style>
  <w:style w:type="character" w:customStyle="1" w:styleId="TitleChar">
    <w:name w:val="Title Char"/>
    <w:basedOn w:val="DefaultParagraphFont"/>
    <w:link w:val="Title"/>
    <w:uiPriority w:val="10"/>
    <w:rsid w:val="00EA6A67"/>
    <w:rPr>
      <w:rFonts w:ascii="Calibri" w:eastAsia="Calibri" w:hAnsi="Calibri" w:cs="Calibri"/>
      <w:sz w:val="56"/>
      <w:szCs w:val="56"/>
      <w:lang w:val="pt-BR" w:eastAsia="ru-MD"/>
    </w:rPr>
  </w:style>
  <w:style w:type="character" w:customStyle="1" w:styleId="1">
    <w:name w:val="Заголовок 1 Знак"/>
    <w:basedOn w:val="DefaultParagraphFont"/>
    <w:uiPriority w:val="9"/>
    <w:rsid w:val="00EA6A67"/>
    <w:rPr>
      <w:rFonts w:ascii="Calibri Light" w:eastAsia="DengXian Light" w:hAnsi="Calibri Light" w:cs="Times New Roman"/>
      <w:color w:val="2F5496"/>
      <w:sz w:val="40"/>
      <w:szCs w:val="40"/>
    </w:rPr>
  </w:style>
  <w:style w:type="character" w:customStyle="1" w:styleId="2">
    <w:name w:val="Заголовок 2 Знак"/>
    <w:basedOn w:val="DefaultParagraphFont"/>
    <w:uiPriority w:val="9"/>
    <w:semiHidden/>
    <w:rsid w:val="00EA6A67"/>
    <w:rPr>
      <w:rFonts w:ascii="Calibri Light" w:eastAsia="DengXian Light" w:hAnsi="Calibri Light" w:cs="Times New Roman"/>
      <w:color w:val="2F5496"/>
      <w:sz w:val="32"/>
      <w:szCs w:val="32"/>
    </w:rPr>
  </w:style>
  <w:style w:type="character" w:customStyle="1" w:styleId="3">
    <w:name w:val="Заголовок 3 Знак"/>
    <w:basedOn w:val="DefaultParagraphFont"/>
    <w:uiPriority w:val="9"/>
    <w:semiHidden/>
    <w:rsid w:val="00EA6A67"/>
    <w:rPr>
      <w:rFonts w:eastAsia="DengXian Light" w:cs="Times New Roman"/>
      <w:color w:val="2F5496"/>
      <w:sz w:val="28"/>
      <w:szCs w:val="28"/>
    </w:rPr>
  </w:style>
  <w:style w:type="character" w:customStyle="1" w:styleId="4">
    <w:name w:val="Заголовок 4 Знак"/>
    <w:basedOn w:val="DefaultParagraphFont"/>
    <w:uiPriority w:val="9"/>
    <w:semiHidden/>
    <w:rsid w:val="00EA6A67"/>
    <w:rPr>
      <w:rFonts w:eastAsia="DengXian Light" w:cs="Times New Roman"/>
      <w:i/>
      <w:iCs/>
      <w:color w:val="2F5496"/>
    </w:rPr>
  </w:style>
  <w:style w:type="character" w:customStyle="1" w:styleId="5">
    <w:name w:val="Заголовок 5 Знак"/>
    <w:basedOn w:val="DefaultParagraphFont"/>
    <w:uiPriority w:val="9"/>
    <w:semiHidden/>
    <w:rsid w:val="00EA6A67"/>
    <w:rPr>
      <w:rFonts w:eastAsia="DengXian Light" w:cs="Times New Roman"/>
      <w:color w:val="2F5496"/>
    </w:rPr>
  </w:style>
  <w:style w:type="character" w:customStyle="1" w:styleId="6">
    <w:name w:val="Заголовок 6 Знак"/>
    <w:basedOn w:val="DefaultParagraphFont"/>
    <w:uiPriority w:val="9"/>
    <w:semiHidden/>
    <w:rsid w:val="00EA6A67"/>
    <w:rPr>
      <w:rFonts w:eastAsia="DengXian Light" w:cs="Times New Roman"/>
      <w:i/>
      <w:iCs/>
      <w:color w:val="595959"/>
    </w:rPr>
  </w:style>
  <w:style w:type="character" w:customStyle="1" w:styleId="a">
    <w:name w:val="Заголовок Знак"/>
    <w:basedOn w:val="DefaultParagraphFont"/>
    <w:uiPriority w:val="10"/>
    <w:rsid w:val="00EA6A67"/>
    <w:rPr>
      <w:rFonts w:ascii="Calibri Light" w:eastAsia="DengXian Light" w:hAnsi="Calibri Light" w:cs="Times New Roman"/>
      <w:spacing w:val="-10"/>
      <w:kern w:val="28"/>
      <w:sz w:val="56"/>
      <w:szCs w:val="56"/>
    </w:rPr>
  </w:style>
  <w:style w:type="character" w:customStyle="1" w:styleId="a0">
    <w:name w:val="Подзаголовок Знак"/>
    <w:basedOn w:val="DefaultParagraphFont"/>
    <w:uiPriority w:val="11"/>
    <w:rsid w:val="00EA6A67"/>
    <w:rPr>
      <w:rFonts w:eastAsia="DengXian Light" w:cs="Times New Roman"/>
      <w:color w:val="595959"/>
      <w:spacing w:val="15"/>
      <w:sz w:val="28"/>
      <w:szCs w:val="28"/>
    </w:rPr>
  </w:style>
  <w:style w:type="paragraph" w:customStyle="1" w:styleId="Quote1">
    <w:name w:val="Quote1"/>
    <w:next w:val="Quote"/>
    <w:link w:val="QuoteChar"/>
    <w:uiPriority w:val="29"/>
    <w:qFormat/>
    <w:rsid w:val="00EA6A67"/>
    <w:pPr>
      <w:spacing w:before="160" w:after="160" w:line="259" w:lineRule="auto"/>
      <w:jc w:val="center"/>
    </w:pPr>
    <w:rPr>
      <w:i/>
      <w:iCs/>
      <w:color w:val="404040"/>
    </w:rPr>
  </w:style>
  <w:style w:type="character" w:customStyle="1" w:styleId="QuoteChar">
    <w:name w:val="Quote Char"/>
    <w:basedOn w:val="DefaultParagraphFont"/>
    <w:link w:val="Quote1"/>
    <w:uiPriority w:val="29"/>
    <w:rsid w:val="00EA6A67"/>
    <w:rPr>
      <w:i/>
      <w:iCs/>
      <w:color w:val="404040"/>
    </w:rPr>
  </w:style>
  <w:style w:type="paragraph" w:styleId="ListParagraph">
    <w:name w:val="List Paragraph"/>
    <w:uiPriority w:val="34"/>
    <w:qFormat/>
    <w:rsid w:val="00EA6A67"/>
    <w:pPr>
      <w:spacing w:after="160" w:line="259" w:lineRule="auto"/>
      <w:ind w:left="720"/>
      <w:contextualSpacing/>
    </w:pPr>
    <w:rPr>
      <w:rFonts w:ascii="Calibri" w:eastAsia="Calibri" w:hAnsi="Calibri" w:cs="Calibri"/>
      <w:lang w:val="pt-BR" w:eastAsia="ru-MD"/>
    </w:rPr>
  </w:style>
  <w:style w:type="character" w:customStyle="1" w:styleId="IntenseEmphasis1">
    <w:name w:val="Intense Emphasis1"/>
    <w:basedOn w:val="DefaultParagraphFont"/>
    <w:uiPriority w:val="21"/>
    <w:qFormat/>
    <w:rsid w:val="00EA6A67"/>
    <w:rPr>
      <w:i/>
      <w:iCs/>
      <w:color w:val="2F5496"/>
    </w:rPr>
  </w:style>
  <w:style w:type="paragraph" w:customStyle="1" w:styleId="IntenseQuote1">
    <w:name w:val="Intense Quote1"/>
    <w:next w:val="IntenseQuote"/>
    <w:link w:val="IntenseQuoteChar"/>
    <w:uiPriority w:val="30"/>
    <w:qFormat/>
    <w:rsid w:val="00EA6A67"/>
    <w:pPr>
      <w:pBdr>
        <w:top w:val="single" w:sz="4" w:space="10" w:color="2F5496"/>
        <w:bottom w:val="single" w:sz="4" w:space="10" w:color="2F5496"/>
      </w:pBdr>
      <w:spacing w:before="360" w:after="360" w:line="259" w:lineRule="auto"/>
      <w:ind w:left="864" w:right="864"/>
      <w:jc w:val="center"/>
    </w:pPr>
    <w:rPr>
      <w:i/>
      <w:iCs/>
      <w:color w:val="2F5496"/>
    </w:rPr>
  </w:style>
  <w:style w:type="character" w:customStyle="1" w:styleId="IntenseQuoteChar">
    <w:name w:val="Intense Quote Char"/>
    <w:basedOn w:val="DefaultParagraphFont"/>
    <w:link w:val="IntenseQuote1"/>
    <w:uiPriority w:val="30"/>
    <w:rsid w:val="00EA6A67"/>
    <w:rPr>
      <w:i/>
      <w:iCs/>
      <w:color w:val="2F5496"/>
    </w:rPr>
  </w:style>
  <w:style w:type="character" w:customStyle="1" w:styleId="IntenseReference1">
    <w:name w:val="Intense Reference1"/>
    <w:basedOn w:val="DefaultParagraphFont"/>
    <w:uiPriority w:val="32"/>
    <w:qFormat/>
    <w:rsid w:val="00EA6A67"/>
    <w:rPr>
      <w:b/>
      <w:bCs/>
      <w:smallCaps/>
      <w:color w:val="2F5496"/>
      <w:spacing w:val="5"/>
    </w:rPr>
  </w:style>
  <w:style w:type="paragraph" w:customStyle="1" w:styleId="10">
    <w:name w:val="Обычный1"/>
    <w:rsid w:val="00EA6A67"/>
    <w:pPr>
      <w:spacing w:before="100" w:beforeAutospacing="1" w:after="100" w:afterAutospacing="1" w:line="256" w:lineRule="auto"/>
    </w:pPr>
    <w:rPr>
      <w:rFonts w:ascii="DengXian" w:eastAsia="DengXian" w:hAnsi="DengXian" w:cs="Times New Roman"/>
      <w:lang w:val="pt-BR" w:eastAsia="ru-MD"/>
    </w:rPr>
  </w:style>
  <w:style w:type="paragraph" w:styleId="NormalWeb">
    <w:name w:val="Normal (Web)"/>
    <w:uiPriority w:val="99"/>
    <w:semiHidden/>
    <w:unhideWhenUsed/>
    <w:rsid w:val="00EA6A67"/>
    <w:pPr>
      <w:spacing w:after="160" w:line="259" w:lineRule="auto"/>
    </w:pPr>
    <w:rPr>
      <w:rFonts w:ascii="Times New Roman" w:eastAsia="Calibri" w:hAnsi="Times New Roman" w:cs="Times New Roman"/>
      <w:sz w:val="24"/>
      <w:szCs w:val="24"/>
      <w:lang w:val="pt-BR" w:eastAsia="ru-MD"/>
    </w:rPr>
  </w:style>
  <w:style w:type="paragraph" w:styleId="CommentText">
    <w:name w:val="annotation text"/>
    <w:link w:val="CommentTextChar"/>
    <w:uiPriority w:val="99"/>
    <w:semiHidden/>
    <w:unhideWhenUsed/>
    <w:rsid w:val="00EA6A67"/>
    <w:pPr>
      <w:spacing w:after="160" w:line="240" w:lineRule="auto"/>
    </w:pPr>
    <w:rPr>
      <w:rFonts w:ascii="Calibri" w:eastAsia="Calibri" w:hAnsi="Calibri" w:cs="Calibri"/>
      <w:sz w:val="20"/>
      <w:szCs w:val="20"/>
      <w:lang w:val="pt-BR" w:eastAsia="ru-MD"/>
    </w:rPr>
  </w:style>
  <w:style w:type="character" w:customStyle="1" w:styleId="CommentTextChar">
    <w:name w:val="Comment Text Char"/>
    <w:basedOn w:val="DefaultParagraphFont"/>
    <w:link w:val="CommentText"/>
    <w:uiPriority w:val="99"/>
    <w:semiHidden/>
    <w:rsid w:val="00EA6A67"/>
    <w:rPr>
      <w:rFonts w:ascii="Calibri" w:eastAsia="Calibri" w:hAnsi="Calibri" w:cs="Calibri"/>
      <w:sz w:val="20"/>
      <w:szCs w:val="20"/>
      <w:lang w:val="pt-BR" w:eastAsia="ru-MD"/>
    </w:rPr>
  </w:style>
  <w:style w:type="character" w:styleId="CommentReference">
    <w:name w:val="annotation reference"/>
    <w:basedOn w:val="DefaultParagraphFont"/>
    <w:uiPriority w:val="99"/>
    <w:semiHidden/>
    <w:unhideWhenUsed/>
    <w:rsid w:val="00EA6A67"/>
    <w:rPr>
      <w:sz w:val="16"/>
      <w:szCs w:val="16"/>
    </w:rPr>
  </w:style>
  <w:style w:type="character" w:styleId="UnresolvedMention">
    <w:name w:val="Unresolved Mention"/>
    <w:basedOn w:val="DefaultParagraphFont"/>
    <w:uiPriority w:val="99"/>
    <w:semiHidden/>
    <w:unhideWhenUsed/>
    <w:rsid w:val="00EA6A67"/>
    <w:rPr>
      <w:color w:val="605E5C"/>
      <w:shd w:val="clear" w:color="auto" w:fill="E1DFDD"/>
    </w:rPr>
  </w:style>
  <w:style w:type="paragraph" w:styleId="Revision">
    <w:name w:val="Revision"/>
    <w:hidden/>
    <w:uiPriority w:val="99"/>
    <w:semiHidden/>
    <w:rsid w:val="00EA6A67"/>
    <w:pPr>
      <w:spacing w:after="0" w:line="240" w:lineRule="auto"/>
    </w:pPr>
    <w:rPr>
      <w:rFonts w:ascii="Calibri" w:eastAsia="Calibri" w:hAnsi="Calibri" w:cs="Calibri"/>
      <w:lang w:val="pt-BR" w:eastAsia="ru-MD"/>
    </w:rPr>
  </w:style>
  <w:style w:type="paragraph" w:styleId="Subtitle">
    <w:name w:val="Subtitle"/>
    <w:basedOn w:val="Normal"/>
    <w:next w:val="Normal"/>
    <w:link w:val="SubtitleChar"/>
    <w:uiPriority w:val="11"/>
    <w:qFormat/>
    <w:rsid w:val="00EA6A67"/>
    <w:pPr>
      <w:suppressAutoHyphens w:val="0"/>
      <w:spacing w:after="160" w:line="259" w:lineRule="auto"/>
    </w:pPr>
    <w:rPr>
      <w:rFonts w:ascii="Calibri" w:eastAsia="Calibri" w:hAnsi="Calibri" w:cs="Calibri"/>
      <w:color w:val="595959"/>
      <w:sz w:val="28"/>
      <w:szCs w:val="28"/>
      <w:lang w:val="pt-BR" w:eastAsia="ru-MD"/>
    </w:rPr>
  </w:style>
  <w:style w:type="character" w:customStyle="1" w:styleId="SubtitleChar">
    <w:name w:val="Subtitle Char"/>
    <w:basedOn w:val="DefaultParagraphFont"/>
    <w:link w:val="Subtitle"/>
    <w:uiPriority w:val="11"/>
    <w:rsid w:val="00EA6A67"/>
    <w:rPr>
      <w:rFonts w:ascii="Calibri" w:eastAsia="Calibri" w:hAnsi="Calibri" w:cs="Calibri"/>
      <w:color w:val="595959"/>
      <w:sz w:val="28"/>
      <w:szCs w:val="28"/>
      <w:lang w:val="pt-BR" w:eastAsia="ru-MD"/>
    </w:rPr>
  </w:style>
  <w:style w:type="paragraph" w:styleId="Quote">
    <w:name w:val="Quote"/>
    <w:basedOn w:val="Normal"/>
    <w:next w:val="Normal"/>
    <w:link w:val="QuoteChar1"/>
    <w:uiPriority w:val="29"/>
    <w:semiHidden/>
    <w:qFormat/>
    <w:rsid w:val="00EA6A67"/>
    <w:pPr>
      <w:spacing w:before="200" w:after="160"/>
      <w:ind w:left="864" w:right="864"/>
      <w:jc w:val="center"/>
    </w:pPr>
    <w:rPr>
      <w:i/>
      <w:iCs/>
      <w:color w:val="404040" w:themeColor="text1" w:themeTint="BF"/>
    </w:rPr>
  </w:style>
  <w:style w:type="character" w:customStyle="1" w:styleId="QuoteChar1">
    <w:name w:val="Quote Char1"/>
    <w:basedOn w:val="DefaultParagraphFont"/>
    <w:link w:val="Quote"/>
    <w:uiPriority w:val="29"/>
    <w:semiHidden/>
    <w:rsid w:val="00EA6A67"/>
    <w:rPr>
      <w:rFonts w:ascii="Times New Roman" w:eastAsia="Times New Roman" w:hAnsi="Times New Roman" w:cs="Times New Roman"/>
      <w:i/>
      <w:iCs/>
      <w:color w:val="404040" w:themeColor="text1" w:themeTint="BF"/>
      <w:sz w:val="20"/>
      <w:szCs w:val="20"/>
      <w:lang w:val="en-GB"/>
    </w:rPr>
  </w:style>
  <w:style w:type="character" w:styleId="IntenseEmphasis">
    <w:name w:val="Intense Emphasis"/>
    <w:basedOn w:val="DefaultParagraphFont"/>
    <w:uiPriority w:val="21"/>
    <w:semiHidden/>
    <w:qFormat/>
    <w:rsid w:val="00EA6A67"/>
    <w:rPr>
      <w:i/>
      <w:iCs/>
      <w:color w:val="4F81BD" w:themeColor="accent1"/>
    </w:rPr>
  </w:style>
  <w:style w:type="paragraph" w:styleId="IntenseQuote">
    <w:name w:val="Intense Quote"/>
    <w:basedOn w:val="Normal"/>
    <w:next w:val="Normal"/>
    <w:link w:val="IntenseQuoteChar1"/>
    <w:uiPriority w:val="30"/>
    <w:semiHidden/>
    <w:qFormat/>
    <w:rsid w:val="00EA6A6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1">
    <w:name w:val="Intense Quote Char1"/>
    <w:basedOn w:val="DefaultParagraphFont"/>
    <w:link w:val="IntenseQuote"/>
    <w:uiPriority w:val="30"/>
    <w:semiHidden/>
    <w:rsid w:val="00EA6A67"/>
    <w:rPr>
      <w:rFonts w:ascii="Times New Roman" w:eastAsia="Times New Roman" w:hAnsi="Times New Roman" w:cs="Times New Roman"/>
      <w:i/>
      <w:iCs/>
      <w:color w:val="4F81BD" w:themeColor="accent1"/>
      <w:sz w:val="20"/>
      <w:szCs w:val="20"/>
      <w:lang w:val="en-GB"/>
    </w:rPr>
  </w:style>
  <w:style w:type="character" w:styleId="IntenseReference">
    <w:name w:val="Intense Reference"/>
    <w:basedOn w:val="DefaultParagraphFont"/>
    <w:uiPriority w:val="32"/>
    <w:semiHidden/>
    <w:qFormat/>
    <w:rsid w:val="00EA6A67"/>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www.angajat.m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facebook.com/100063709443996/videos/spa%C8%9Biul-public-asigurarea-drepturilor-persoanelor-cu-dizabilit%C4%83%C8%9Bi-%C3%AEn-republica-m/1017645110136256/" TargetMode="External"/><Relationship Id="rId2" Type="http://schemas.openxmlformats.org/officeDocument/2006/relationships/hyperlink" Target="https://www.youtube.com/watch?v=0_eC6Vc2_BQ" TargetMode="External"/><Relationship Id="rId1" Type="http://schemas.openxmlformats.org/officeDocument/2006/relationships/hyperlink" Target="https://radiomoldova.md/f/ro/10931" TargetMode="External"/><Relationship Id="rId4" Type="http://schemas.openxmlformats.org/officeDocument/2006/relationships/hyperlink" Target="https://social.gov.md/wp-content/uploads/2023/07/Compendiu-statistic-privind-monitorizarea-drepturilor-persoanelor-cu-dizabilitati-in-Republica-Moldova-pentru-anii-2019-202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2025-10-10T14:33:49+00:00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e9efe8616f3b3c91ae4caf530174e78c">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7214e6599b6500a281e595bb96ade9b4"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837B86-8B9F-41CD-ADA6-C530A9CE0974}">
  <ds:schemaRefs>
    <ds:schemaRef ds:uri="http://schemas.microsoft.com/sharepoint/v3/contenttype/forms"/>
  </ds:schemaRefs>
</ds:datastoreItem>
</file>

<file path=customXml/itemProps2.xml><?xml version="1.0" encoding="utf-8"?>
<ds:datastoreItem xmlns:ds="http://schemas.openxmlformats.org/officeDocument/2006/customXml" ds:itemID="{436B7DB0-09CB-4817-8767-AFE7813275CB}">
  <ds:schemaRefs>
    <ds:schemaRef ds:uri="http://schemas.microsoft.com/office/2006/metadata/properties"/>
    <ds:schemaRef ds:uri="http://schemas.microsoft.com/office/infopath/2007/PartnerControls"/>
    <ds:schemaRef ds:uri="c11320bd-0376-468b-ae19-b827459cb638"/>
    <ds:schemaRef ds:uri="985ec44e-1bab-4c0b-9df0-6ba128686fc9"/>
    <ds:schemaRef ds:uri="c43d6523-f909-4250-bbe1-6bcdc0c7194c"/>
    <ds:schemaRef ds:uri="11a6fe0c-d8de-4390-afb3-d9c7c54181f0"/>
  </ds:schemaRefs>
</ds:datastoreItem>
</file>

<file path=customXml/itemProps3.xml><?xml version="1.0" encoding="utf-8"?>
<ds:datastoreItem xmlns:ds="http://schemas.openxmlformats.org/officeDocument/2006/customXml" ds:itemID="{FD440EDB-0418-48F7-87BB-C58872617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5</Pages>
  <Words>10962</Words>
  <Characters>62484</Characters>
  <Application>Microsoft Office Word</Application>
  <DocSecurity>0</DocSecurity>
  <Lines>520</Lines>
  <Paragraphs>146</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73300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CRPD/C/MDA/RQ/2-3</dc:title>
  <dc:creator>Gloria</dc:creator>
  <cp:lastModifiedBy>Robert OUKO</cp:lastModifiedBy>
  <cp:revision>4</cp:revision>
  <cp:lastPrinted>2017-10-25T12:09:00Z</cp:lastPrinted>
  <dcterms:created xsi:type="dcterms:W3CDTF">2025-11-06T12:07:00Z</dcterms:created>
  <dcterms:modified xsi:type="dcterms:W3CDTF">2025-11-06T12:17:00Z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0x0101001A3F5FACD05E93499D4EAF05403D4F75</vt:lpwstr>
  </property>
  <property fmtid="{D5CDD505-2E9C-101B-9397-08002B2CF9AE}" pid="8" name="count">
    <vt:lpwstr>the Republic of Moldova</vt:lpwstr>
  </property>
  <property fmtid="{D5CDD505-2E9C-101B-9397-08002B2CF9AE}" pid="9" name="countw">
    <vt:lpwstr>the Republic of Moldova</vt:lpwstr>
  </property>
  <property fmtid="{D5CDD505-2E9C-101B-9397-08002B2CF9AE}" pid="10" name="countwd">
    <vt:lpwstr>the Republic of Moldova</vt:lpwstr>
  </property>
  <property fmtid="{D5CDD505-2E9C-101B-9397-08002B2CF9AE}" pid="11" name="date">
    <vt:lpwstr>10 October 2025</vt:lpwstr>
  </property>
  <property fmtid="{D5CDD505-2E9C-101B-9397-08002B2CF9AE}" pid="12" name="Date-Generated">
    <vt:filetime>2025-10-10T14:29:59Z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174200</vt:r8>
  </property>
  <property fmtid="{D5CDD505-2E9C-101B-9397-08002B2CF9AE}" pid="22" name="Org">
    <vt:lpwstr>OHCHR</vt:lpwstr>
  </property>
  <property fmtid="{D5CDD505-2E9C-101B-9397-08002B2CF9AE}" pid="23" name="prep">
    <vt:lpwstr> combined second and third reports of the Republic of Moldova</vt:lpwstr>
  </property>
  <property fmtid="{D5CDD505-2E9C-101B-9397-08002B2CF9AE}" pid="24" name="preps">
    <vt:lpwstr> combined second and third reports of the Republic of Moldova</vt:lpwstr>
  </property>
  <property fmtid="{D5CDD505-2E9C-101B-9397-08002B2CF9AE}" pid="25" name="prepw">
    <vt:lpwstr> combined second and third reports</vt:lpwstr>
  </property>
  <property fmtid="{D5CDD505-2E9C-101B-9397-08002B2CF9AE}" pid="26" name="prepwc">
    <vt:lpwstr>Combined second and third reports </vt:lpwstr>
  </property>
  <property fmtid="{D5CDD505-2E9C-101B-9397-08002B2CF9AE}" pid="27" name="prepws">
    <vt:lpwstr>Combined second and third reports </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C/MDA/RQ/2-3</vt:lpwstr>
  </property>
  <property fmtid="{D5CDD505-2E9C-101B-9397-08002B2CF9AE}" pid="33" name="symh">
    <vt:lpwstr>CRPD/C/MDA/RQ/2-3</vt:lpwstr>
  </property>
  <property fmtid="{D5CDD505-2E9C-101B-9397-08002B2CF9AE}" pid="34" name="Title">
    <vt:lpwstr>CRPD/C/MDA/RQ/2-3</vt:lpwstr>
  </property>
  <property fmtid="{D5CDD505-2E9C-101B-9397-08002B2CF9AE}" pid="35" name="tlang">
    <vt:lpwstr/>
  </property>
  <property fmtid="{D5CDD505-2E9C-101B-9397-08002B2CF9AE}" pid="36" name="virs">
    <vt:lpwstr>Arabic, English, French and Spanish only</vt:lpwstr>
  </property>
</Properties>
</file>