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79001A" w:rsidRDefault="00C05D9B" w:rsidP="00626C39">
      <w:pPr>
        <w:rPr>
          <w:color w:val="auto"/>
          <w:sz w:val="24"/>
          <w:szCs w:val="24"/>
        </w:rPr>
      </w:pPr>
    </w:p>
    <w:p w14:paraId="1C720C6D" w14:textId="77777777" w:rsidR="005403E3" w:rsidRPr="0079001A" w:rsidRDefault="005403E3" w:rsidP="00626C39">
      <w:pPr>
        <w:rPr>
          <w:color w:val="auto"/>
          <w:sz w:val="24"/>
          <w:szCs w:val="24"/>
        </w:rPr>
      </w:pPr>
    </w:p>
    <w:p w14:paraId="5E537D0D" w14:textId="77777777" w:rsidR="005403E3" w:rsidRPr="0079001A" w:rsidRDefault="005403E3" w:rsidP="00626C39">
      <w:pPr>
        <w:rPr>
          <w:color w:val="auto"/>
          <w:sz w:val="24"/>
          <w:szCs w:val="24"/>
        </w:rPr>
      </w:pPr>
    </w:p>
    <w:p w14:paraId="43F13231" w14:textId="3FBDC52A" w:rsidR="004B1E4E" w:rsidRPr="0079001A" w:rsidRDefault="00D66CC2" w:rsidP="004B1E4E">
      <w:pPr>
        <w:jc w:val="center"/>
        <w:rPr>
          <w:b/>
          <w:sz w:val="24"/>
          <w:szCs w:val="24"/>
        </w:rPr>
      </w:pPr>
      <w:r w:rsidRPr="0079001A">
        <w:rPr>
          <w:b/>
          <w:sz w:val="24"/>
          <w:szCs w:val="24"/>
        </w:rPr>
        <w:t>Somalia</w:t>
      </w:r>
      <w:r w:rsidR="004B1E4E" w:rsidRPr="0079001A">
        <w:rPr>
          <w:b/>
          <w:sz w:val="24"/>
          <w:szCs w:val="24"/>
        </w:rPr>
        <w:t xml:space="preserve">’s Compliance with </w:t>
      </w:r>
      <w:r w:rsidR="00F02B2B" w:rsidRPr="0079001A">
        <w:rPr>
          <w:b/>
          <w:sz w:val="24"/>
          <w:szCs w:val="24"/>
        </w:rPr>
        <w:t>t</w:t>
      </w:r>
      <w:r w:rsidRPr="0079001A">
        <w:rPr>
          <w:b/>
          <w:sz w:val="24"/>
          <w:szCs w:val="24"/>
        </w:rPr>
        <w:t>he Convention Against Torture</w:t>
      </w:r>
      <w:r w:rsidR="00E114C5" w:rsidRPr="0079001A">
        <w:rPr>
          <w:b/>
          <w:sz w:val="24"/>
          <w:szCs w:val="24"/>
        </w:rPr>
        <w:t xml:space="preserve">: </w:t>
      </w:r>
      <w:r w:rsidRPr="0079001A">
        <w:rPr>
          <w:b/>
          <w:sz w:val="24"/>
          <w:szCs w:val="24"/>
        </w:rPr>
        <w:t>The Death Penalty</w:t>
      </w:r>
    </w:p>
    <w:p w14:paraId="171F4CCF" w14:textId="77777777" w:rsidR="004B1E4E" w:rsidRPr="0079001A" w:rsidRDefault="004B1E4E" w:rsidP="004B1E4E">
      <w:pPr>
        <w:jc w:val="center"/>
        <w:rPr>
          <w:sz w:val="24"/>
          <w:szCs w:val="24"/>
        </w:rPr>
      </w:pPr>
    </w:p>
    <w:p w14:paraId="26D24DDC" w14:textId="77777777" w:rsidR="004B1E4E" w:rsidRPr="0079001A" w:rsidRDefault="004B1E4E" w:rsidP="004B1E4E">
      <w:pPr>
        <w:jc w:val="center"/>
        <w:rPr>
          <w:b/>
          <w:sz w:val="24"/>
          <w:szCs w:val="24"/>
        </w:rPr>
      </w:pPr>
      <w:r w:rsidRPr="0079001A">
        <w:rPr>
          <w:b/>
          <w:sz w:val="24"/>
          <w:szCs w:val="24"/>
        </w:rPr>
        <w:t xml:space="preserve">Submitted by </w:t>
      </w:r>
      <w:r w:rsidR="00AA7FCB" w:rsidRPr="0079001A">
        <w:rPr>
          <w:b/>
          <w:sz w:val="24"/>
          <w:szCs w:val="24"/>
        </w:rPr>
        <w:t>T</w:t>
      </w:r>
      <w:r w:rsidRPr="0079001A">
        <w:rPr>
          <w:b/>
          <w:sz w:val="24"/>
          <w:szCs w:val="24"/>
        </w:rPr>
        <w:t>he Advocates for Human Rights</w:t>
      </w:r>
    </w:p>
    <w:p w14:paraId="6D01AE49" w14:textId="77777777" w:rsidR="004B1E4E" w:rsidRPr="0079001A" w:rsidRDefault="004B1E4E" w:rsidP="004B1E4E">
      <w:pPr>
        <w:jc w:val="center"/>
        <w:rPr>
          <w:sz w:val="24"/>
          <w:szCs w:val="24"/>
        </w:rPr>
      </w:pPr>
      <w:r w:rsidRPr="0079001A">
        <w:rPr>
          <w:sz w:val="24"/>
          <w:szCs w:val="24"/>
        </w:rPr>
        <w:t>a non-governmental organization in special consultative status with ECOSOC</w:t>
      </w:r>
      <w:r w:rsidR="00624A10" w:rsidRPr="0079001A">
        <w:rPr>
          <w:sz w:val="24"/>
          <w:szCs w:val="24"/>
        </w:rPr>
        <w:t xml:space="preserve"> since 1996</w:t>
      </w:r>
    </w:p>
    <w:p w14:paraId="74881DA7" w14:textId="4566512D" w:rsidR="004B1E4E" w:rsidRDefault="0093589C" w:rsidP="004B1E4E">
      <w:pPr>
        <w:jc w:val="center"/>
        <w:rPr>
          <w:sz w:val="24"/>
          <w:szCs w:val="24"/>
        </w:rPr>
      </w:pPr>
      <w:r>
        <w:rPr>
          <w:sz w:val="24"/>
          <w:szCs w:val="24"/>
        </w:rPr>
        <w:t>and</w:t>
      </w:r>
    </w:p>
    <w:p w14:paraId="502F90BF" w14:textId="019E685C" w:rsidR="0093589C" w:rsidRDefault="0093589C" w:rsidP="004B1E4E">
      <w:pPr>
        <w:jc w:val="center"/>
        <w:rPr>
          <w:b/>
          <w:bCs/>
          <w:sz w:val="24"/>
          <w:szCs w:val="24"/>
        </w:rPr>
      </w:pPr>
      <w:r>
        <w:rPr>
          <w:b/>
          <w:bCs/>
          <w:sz w:val="24"/>
          <w:szCs w:val="24"/>
        </w:rPr>
        <w:t>The World Coalition Against the Death Penalty</w:t>
      </w:r>
    </w:p>
    <w:p w14:paraId="32583D7D" w14:textId="77777777" w:rsidR="0093589C" w:rsidRPr="0093589C" w:rsidRDefault="0093589C" w:rsidP="004B1E4E">
      <w:pPr>
        <w:jc w:val="center"/>
        <w:rPr>
          <w:b/>
          <w:bCs/>
          <w:sz w:val="24"/>
          <w:szCs w:val="24"/>
        </w:rPr>
      </w:pPr>
    </w:p>
    <w:p w14:paraId="24E688AE" w14:textId="5AE13814" w:rsidR="004B1E4E" w:rsidRPr="0079001A" w:rsidRDefault="004B1E4E" w:rsidP="004B1E4E">
      <w:pPr>
        <w:jc w:val="center"/>
        <w:rPr>
          <w:b/>
          <w:bCs/>
          <w:sz w:val="24"/>
          <w:szCs w:val="24"/>
        </w:rPr>
      </w:pPr>
      <w:r w:rsidRPr="0079001A">
        <w:rPr>
          <w:b/>
          <w:bCs/>
          <w:sz w:val="24"/>
          <w:szCs w:val="24"/>
        </w:rPr>
        <w:t xml:space="preserve">for the </w:t>
      </w:r>
      <w:r w:rsidR="005F6160" w:rsidRPr="0079001A">
        <w:rPr>
          <w:b/>
          <w:bCs/>
          <w:sz w:val="24"/>
          <w:szCs w:val="24"/>
        </w:rPr>
        <w:t>75th</w:t>
      </w:r>
      <w:r w:rsidRPr="0079001A">
        <w:rPr>
          <w:b/>
          <w:bCs/>
          <w:sz w:val="24"/>
          <w:szCs w:val="24"/>
        </w:rPr>
        <w:t xml:space="preserve"> Session of the </w:t>
      </w:r>
      <w:r w:rsidR="005F6160" w:rsidRPr="0079001A">
        <w:rPr>
          <w:b/>
          <w:bCs/>
          <w:sz w:val="24"/>
          <w:szCs w:val="24"/>
        </w:rPr>
        <w:t>Committee Against Torture</w:t>
      </w:r>
    </w:p>
    <w:p w14:paraId="3B163C2D" w14:textId="14D7553E" w:rsidR="004B1E4E" w:rsidRPr="0079001A" w:rsidRDefault="005F6160" w:rsidP="004B1E4E">
      <w:pPr>
        <w:jc w:val="center"/>
        <w:rPr>
          <w:b/>
          <w:bCs/>
          <w:sz w:val="24"/>
          <w:szCs w:val="24"/>
        </w:rPr>
      </w:pPr>
      <w:r w:rsidRPr="0079001A">
        <w:rPr>
          <w:b/>
          <w:bCs/>
          <w:sz w:val="24"/>
          <w:szCs w:val="24"/>
        </w:rPr>
        <w:t>31 October–25 November 2022</w:t>
      </w:r>
    </w:p>
    <w:p w14:paraId="42599716" w14:textId="02060FAC" w:rsidR="00C214BA" w:rsidRPr="0079001A" w:rsidRDefault="00C214BA" w:rsidP="004B1E4E">
      <w:pPr>
        <w:jc w:val="center"/>
        <w:rPr>
          <w:b/>
          <w:bCs/>
          <w:sz w:val="24"/>
          <w:szCs w:val="24"/>
        </w:rPr>
      </w:pPr>
    </w:p>
    <w:p w14:paraId="3D93E372" w14:textId="62ED58BE" w:rsidR="00C214BA" w:rsidRPr="0079001A" w:rsidRDefault="00C214BA" w:rsidP="004B1E4E">
      <w:pPr>
        <w:jc w:val="center"/>
        <w:rPr>
          <w:b/>
          <w:bCs/>
          <w:sz w:val="24"/>
          <w:szCs w:val="24"/>
        </w:rPr>
      </w:pPr>
      <w:r w:rsidRPr="0079001A">
        <w:rPr>
          <w:b/>
          <w:bCs/>
          <w:sz w:val="24"/>
          <w:szCs w:val="24"/>
        </w:rPr>
        <w:t xml:space="preserve">Submitted </w:t>
      </w:r>
      <w:r w:rsidR="005F6160" w:rsidRPr="0079001A">
        <w:rPr>
          <w:b/>
          <w:bCs/>
          <w:sz w:val="24"/>
          <w:szCs w:val="24"/>
        </w:rPr>
        <w:t>3 October 2022</w:t>
      </w:r>
    </w:p>
    <w:p w14:paraId="5F0F5054" w14:textId="77777777" w:rsidR="001565F9" w:rsidRPr="0079001A" w:rsidRDefault="001565F9" w:rsidP="005132BB">
      <w:pPr>
        <w:rPr>
          <w:sz w:val="24"/>
          <w:szCs w:val="24"/>
        </w:rPr>
      </w:pPr>
    </w:p>
    <w:p w14:paraId="69899961" w14:textId="77777777" w:rsidR="005132BB" w:rsidRPr="0079001A" w:rsidRDefault="005132BB" w:rsidP="00626C39">
      <w:pPr>
        <w:rPr>
          <w:color w:val="auto"/>
          <w:sz w:val="24"/>
          <w:szCs w:val="24"/>
        </w:rPr>
      </w:pPr>
    </w:p>
    <w:p w14:paraId="64B92EAF" w14:textId="6FE9775C" w:rsidR="27553789" w:rsidRPr="0079001A" w:rsidRDefault="004B1E4E" w:rsidP="20EBB8F7">
      <w:pPr>
        <w:jc w:val="both"/>
        <w:rPr>
          <w:b/>
          <w:bCs/>
          <w:sz w:val="24"/>
          <w:szCs w:val="24"/>
        </w:rPr>
      </w:pPr>
      <w:r w:rsidRPr="0079001A">
        <w:rPr>
          <w:b/>
          <w:sz w:val="24"/>
          <w:szCs w:val="24"/>
        </w:rPr>
        <w:t xml:space="preserve">The Advocates for Human Rights </w:t>
      </w:r>
      <w:r w:rsidRPr="0079001A">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27553789" w:rsidRPr="0079001A">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7AE434B8" w14:textId="77777777" w:rsidR="00F4107A" w:rsidRPr="0079001A" w:rsidRDefault="00F4107A" w:rsidP="00626C39">
      <w:pPr>
        <w:rPr>
          <w:color w:val="auto"/>
          <w:sz w:val="24"/>
          <w:szCs w:val="24"/>
        </w:rPr>
      </w:pPr>
    </w:p>
    <w:p w14:paraId="0877AB27" w14:textId="77777777" w:rsidR="00884C3A" w:rsidRPr="0079001A" w:rsidRDefault="00884C3A" w:rsidP="00884C3A">
      <w:pPr>
        <w:jc w:val="both"/>
        <w:rPr>
          <w:sz w:val="24"/>
          <w:szCs w:val="24"/>
        </w:rPr>
      </w:pPr>
      <w:r w:rsidRPr="0079001A">
        <w:rPr>
          <w:b/>
          <w:sz w:val="24"/>
          <w:szCs w:val="24"/>
        </w:rPr>
        <w:t>The World Coalition Against the Death Penalty</w:t>
      </w:r>
      <w:r w:rsidRPr="0079001A">
        <w:rPr>
          <w:sz w:val="24"/>
          <w:szCs w:val="24"/>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FC77D31" w14:textId="77777777" w:rsidR="004B1E4E" w:rsidRPr="0079001A" w:rsidRDefault="004B1E4E" w:rsidP="004B1E4E">
      <w:pPr>
        <w:jc w:val="center"/>
        <w:rPr>
          <w:b/>
          <w:caps/>
          <w:color w:val="auto"/>
          <w:sz w:val="24"/>
          <w:szCs w:val="24"/>
        </w:rPr>
      </w:pPr>
      <w:r w:rsidRPr="0079001A">
        <w:rPr>
          <w:color w:val="auto"/>
          <w:sz w:val="24"/>
          <w:szCs w:val="24"/>
        </w:rPr>
        <w:br w:type="page"/>
      </w:r>
      <w:r w:rsidRPr="0079001A">
        <w:rPr>
          <w:b/>
          <w:caps/>
          <w:color w:val="auto"/>
          <w:sz w:val="24"/>
          <w:szCs w:val="24"/>
        </w:rPr>
        <w:lastRenderedPageBreak/>
        <w:t>Executive Summary</w:t>
      </w:r>
    </w:p>
    <w:p w14:paraId="431A8E80" w14:textId="77777777" w:rsidR="004B1E4E" w:rsidRPr="0079001A" w:rsidRDefault="004B1E4E" w:rsidP="00626C39">
      <w:pPr>
        <w:rPr>
          <w:color w:val="auto"/>
          <w:sz w:val="24"/>
          <w:szCs w:val="24"/>
        </w:rPr>
      </w:pPr>
    </w:p>
    <w:p w14:paraId="6CD9AC33" w14:textId="6E41A41D" w:rsidR="004B1E4E" w:rsidRPr="0079001A" w:rsidRDefault="00F13FB8" w:rsidP="00F13FB8">
      <w:pPr>
        <w:numPr>
          <w:ilvl w:val="0"/>
          <w:numId w:val="8"/>
        </w:numPr>
        <w:autoSpaceDE w:val="0"/>
        <w:autoSpaceDN w:val="0"/>
        <w:adjustRightInd w:val="0"/>
        <w:spacing w:after="120"/>
        <w:ind w:left="360"/>
        <w:jc w:val="both"/>
        <w:rPr>
          <w:color w:val="auto"/>
          <w:sz w:val="24"/>
          <w:szCs w:val="24"/>
        </w:rPr>
      </w:pPr>
      <w:r w:rsidRPr="0079001A">
        <w:rPr>
          <w:color w:val="auto"/>
          <w:sz w:val="24"/>
          <w:szCs w:val="24"/>
        </w:rPr>
        <w:t xml:space="preserve">This report outlines human rights violations in Somalia in the context of the death penalty and persons charged with capital crimes. As explained in further detail below, </w:t>
      </w:r>
      <w:r w:rsidR="00057E11" w:rsidRPr="0079001A">
        <w:rPr>
          <w:color w:val="auto"/>
          <w:sz w:val="24"/>
          <w:szCs w:val="24"/>
        </w:rPr>
        <w:t xml:space="preserve">torture is prevalent </w:t>
      </w:r>
      <w:r w:rsidR="00A12C84" w:rsidRPr="0079001A">
        <w:rPr>
          <w:color w:val="auto"/>
          <w:sz w:val="24"/>
          <w:szCs w:val="24"/>
        </w:rPr>
        <w:t>in detention facilities and impunity persists. T</w:t>
      </w:r>
      <w:r w:rsidRPr="0079001A">
        <w:rPr>
          <w:color w:val="auto"/>
          <w:sz w:val="24"/>
          <w:szCs w:val="24"/>
        </w:rPr>
        <w:t xml:space="preserve">he </w:t>
      </w:r>
      <w:r w:rsidR="0099285A" w:rsidRPr="0079001A">
        <w:rPr>
          <w:color w:val="auto"/>
          <w:sz w:val="24"/>
          <w:szCs w:val="24"/>
        </w:rPr>
        <w:t>G</w:t>
      </w:r>
      <w:r w:rsidRPr="0079001A">
        <w:rPr>
          <w:color w:val="auto"/>
          <w:sz w:val="24"/>
          <w:szCs w:val="24"/>
        </w:rPr>
        <w:t xml:space="preserve">overnment of Somalia, and other actors within the jurisdiction of Somalia, continue to impose and carry out death sentences, including for offenses that do not constitute the “most serious crimes.” In addition, military courts often pronounce death sentences against civilians, and civilian courts lack independence and impartiality. Minors continue to be subject to the death penalty. </w:t>
      </w:r>
    </w:p>
    <w:p w14:paraId="75B00959" w14:textId="2ADC2184" w:rsidR="008F2F99" w:rsidRPr="0079001A" w:rsidRDefault="00DB7A71" w:rsidP="008F2F99">
      <w:pPr>
        <w:spacing w:after="120"/>
        <w:jc w:val="center"/>
        <w:rPr>
          <w:b/>
          <w:color w:val="auto"/>
          <w:sz w:val="24"/>
          <w:szCs w:val="24"/>
        </w:rPr>
      </w:pPr>
      <w:r w:rsidRPr="0079001A">
        <w:rPr>
          <w:b/>
          <w:color w:val="auto"/>
          <w:sz w:val="24"/>
          <w:szCs w:val="24"/>
        </w:rPr>
        <w:t xml:space="preserve">Somalia </w:t>
      </w:r>
      <w:r w:rsidR="008F2F99" w:rsidRPr="0079001A">
        <w:rPr>
          <w:b/>
          <w:color w:val="auto"/>
          <w:sz w:val="24"/>
          <w:szCs w:val="24"/>
        </w:rPr>
        <w:t xml:space="preserve">fails to uphold its obligations under the </w:t>
      </w:r>
      <w:r w:rsidRPr="0079001A">
        <w:rPr>
          <w:b/>
          <w:color w:val="auto"/>
          <w:sz w:val="24"/>
          <w:szCs w:val="24"/>
        </w:rPr>
        <w:t xml:space="preserve">Convention Against Torture </w:t>
      </w:r>
    </w:p>
    <w:p w14:paraId="58DF1F50" w14:textId="15C4063C" w:rsidR="00757A1C" w:rsidRPr="0079001A" w:rsidRDefault="00847D99" w:rsidP="00DB2219">
      <w:pPr>
        <w:keepNext/>
        <w:numPr>
          <w:ilvl w:val="0"/>
          <w:numId w:val="9"/>
        </w:numPr>
        <w:spacing w:before="240" w:after="120" w:line="259" w:lineRule="auto"/>
        <w:ind w:left="720" w:hanging="360"/>
        <w:jc w:val="both"/>
        <w:rPr>
          <w:b/>
          <w:bCs/>
          <w:color w:val="000000" w:themeColor="text1"/>
          <w:sz w:val="24"/>
          <w:szCs w:val="24"/>
        </w:rPr>
      </w:pPr>
      <w:r w:rsidRPr="0079001A">
        <w:rPr>
          <w:b/>
          <w:bCs/>
          <w:color w:val="auto"/>
          <w:sz w:val="24"/>
          <w:szCs w:val="24"/>
        </w:rPr>
        <w:t>Torture (List of Issues</w:t>
      </w:r>
      <w:r w:rsidR="00203821" w:rsidRPr="0079001A">
        <w:rPr>
          <w:b/>
          <w:bCs/>
          <w:color w:val="auto"/>
          <w:sz w:val="24"/>
          <w:szCs w:val="24"/>
        </w:rPr>
        <w:t xml:space="preserve"> Prior to Reporting (LOIPR)</w:t>
      </w:r>
      <w:r w:rsidRPr="0079001A">
        <w:rPr>
          <w:b/>
          <w:bCs/>
          <w:color w:val="auto"/>
          <w:sz w:val="24"/>
          <w:szCs w:val="24"/>
        </w:rPr>
        <w:t>, para. 1)</w:t>
      </w:r>
    </w:p>
    <w:p w14:paraId="639881D3" w14:textId="7ECEE12A" w:rsidR="00757A1C" w:rsidRPr="0079001A" w:rsidRDefault="0EBE9756" w:rsidP="00AC040C">
      <w:pPr>
        <w:numPr>
          <w:ilvl w:val="0"/>
          <w:numId w:val="8"/>
        </w:numPr>
        <w:spacing w:after="120"/>
        <w:ind w:left="360"/>
        <w:jc w:val="both"/>
        <w:rPr>
          <w:b/>
          <w:bCs/>
          <w:color w:val="auto"/>
          <w:sz w:val="24"/>
          <w:szCs w:val="24"/>
        </w:rPr>
      </w:pPr>
      <w:r w:rsidRPr="0079001A">
        <w:rPr>
          <w:color w:val="auto"/>
          <w:sz w:val="24"/>
          <w:szCs w:val="24"/>
        </w:rPr>
        <w:t xml:space="preserve">In its </w:t>
      </w:r>
      <w:r w:rsidR="005C19DE" w:rsidRPr="0079001A">
        <w:rPr>
          <w:color w:val="auto"/>
          <w:sz w:val="24"/>
          <w:szCs w:val="24"/>
        </w:rPr>
        <w:t xml:space="preserve">2018 </w:t>
      </w:r>
      <w:r w:rsidRPr="0079001A">
        <w:rPr>
          <w:color w:val="auto"/>
          <w:sz w:val="24"/>
          <w:szCs w:val="24"/>
        </w:rPr>
        <w:t>List of Issues</w:t>
      </w:r>
      <w:r w:rsidR="005C19DE" w:rsidRPr="0079001A">
        <w:rPr>
          <w:color w:val="auto"/>
          <w:sz w:val="24"/>
          <w:szCs w:val="24"/>
        </w:rPr>
        <w:t xml:space="preserve"> Prior to Reporting</w:t>
      </w:r>
      <w:r w:rsidRPr="0079001A">
        <w:rPr>
          <w:color w:val="auto"/>
          <w:sz w:val="24"/>
          <w:szCs w:val="24"/>
        </w:rPr>
        <w:t>, the Committee asked for information</w:t>
      </w:r>
      <w:r w:rsidR="3717CDEF" w:rsidRPr="0079001A">
        <w:rPr>
          <w:color w:val="auto"/>
          <w:sz w:val="24"/>
          <w:szCs w:val="24"/>
        </w:rPr>
        <w:t xml:space="preserve"> from the State Party</w:t>
      </w:r>
      <w:r w:rsidRPr="0079001A">
        <w:rPr>
          <w:color w:val="auto"/>
          <w:sz w:val="24"/>
          <w:szCs w:val="24"/>
        </w:rPr>
        <w:t xml:space="preserve"> on</w:t>
      </w:r>
      <w:r w:rsidR="17FFB4B4" w:rsidRPr="0079001A">
        <w:rPr>
          <w:color w:val="auto"/>
          <w:sz w:val="24"/>
          <w:szCs w:val="24"/>
        </w:rPr>
        <w:t xml:space="preserve"> measures taken</w:t>
      </w:r>
      <w:r w:rsidR="224AD979" w:rsidRPr="0079001A">
        <w:rPr>
          <w:color w:val="auto"/>
          <w:sz w:val="24"/>
          <w:szCs w:val="24"/>
        </w:rPr>
        <w:t xml:space="preserve"> </w:t>
      </w:r>
      <w:r w:rsidRPr="0079001A">
        <w:rPr>
          <w:color w:val="auto"/>
          <w:sz w:val="24"/>
          <w:szCs w:val="24"/>
        </w:rPr>
        <w:t xml:space="preserve">“to adopt </w:t>
      </w:r>
      <w:r w:rsidR="0052155C" w:rsidRPr="0079001A">
        <w:rPr>
          <w:color w:val="auto"/>
          <w:sz w:val="24"/>
          <w:szCs w:val="24"/>
        </w:rPr>
        <w:t>a</w:t>
      </w:r>
      <w:r w:rsidRPr="0079001A">
        <w:rPr>
          <w:color w:val="auto"/>
          <w:sz w:val="24"/>
          <w:szCs w:val="24"/>
        </w:rPr>
        <w:t xml:space="preserve"> definition of t</w:t>
      </w:r>
      <w:r w:rsidR="7E469E45" w:rsidRPr="0079001A">
        <w:rPr>
          <w:color w:val="auto"/>
          <w:sz w:val="24"/>
          <w:szCs w:val="24"/>
        </w:rPr>
        <w:t>orture in domestic criminal law” and</w:t>
      </w:r>
      <w:r w:rsidR="053BC844" w:rsidRPr="0079001A">
        <w:rPr>
          <w:color w:val="auto"/>
          <w:sz w:val="24"/>
          <w:szCs w:val="24"/>
        </w:rPr>
        <w:t xml:space="preserve"> </w:t>
      </w:r>
      <w:r w:rsidR="0E77AE2E" w:rsidRPr="0079001A">
        <w:rPr>
          <w:color w:val="auto"/>
          <w:sz w:val="24"/>
          <w:szCs w:val="24"/>
        </w:rPr>
        <w:t>“explicitly criminalize attempts to commit torture and acts constituting complicity or participation in torture</w:t>
      </w:r>
      <w:r w:rsidR="701A0170" w:rsidRPr="0079001A">
        <w:rPr>
          <w:color w:val="auto"/>
          <w:sz w:val="24"/>
          <w:szCs w:val="24"/>
        </w:rPr>
        <w:t>.</w:t>
      </w:r>
      <w:r w:rsidR="0E77AE2E" w:rsidRPr="0079001A">
        <w:rPr>
          <w:color w:val="auto"/>
          <w:sz w:val="24"/>
          <w:szCs w:val="24"/>
        </w:rPr>
        <w:t>”</w:t>
      </w:r>
      <w:r w:rsidR="004D51DD" w:rsidRPr="0079001A">
        <w:rPr>
          <w:rStyle w:val="FootnoteReference"/>
          <w:color w:val="auto"/>
          <w:sz w:val="24"/>
          <w:szCs w:val="24"/>
        </w:rPr>
        <w:footnoteReference w:id="2"/>
      </w:r>
    </w:p>
    <w:p w14:paraId="6CD72747" w14:textId="2C45531F" w:rsidR="00F16374" w:rsidRPr="0079001A" w:rsidRDefault="00551220" w:rsidP="00F16374">
      <w:pPr>
        <w:numPr>
          <w:ilvl w:val="0"/>
          <w:numId w:val="8"/>
        </w:numPr>
        <w:spacing w:after="120"/>
        <w:ind w:left="360"/>
        <w:jc w:val="both"/>
        <w:rPr>
          <w:color w:val="auto"/>
          <w:sz w:val="24"/>
          <w:szCs w:val="24"/>
        </w:rPr>
      </w:pPr>
      <w:r w:rsidRPr="0079001A">
        <w:rPr>
          <w:color w:val="auto"/>
          <w:sz w:val="24"/>
          <w:szCs w:val="24"/>
        </w:rPr>
        <w:t>In its</w:t>
      </w:r>
      <w:r w:rsidR="25447B17" w:rsidRPr="0079001A">
        <w:rPr>
          <w:color w:val="auto"/>
          <w:sz w:val="24"/>
          <w:szCs w:val="24"/>
        </w:rPr>
        <w:t xml:space="preserve"> State Party Report</w:t>
      </w:r>
      <w:r w:rsidRPr="0079001A">
        <w:rPr>
          <w:color w:val="auto"/>
          <w:sz w:val="24"/>
          <w:szCs w:val="24"/>
        </w:rPr>
        <w:t>, Somalia</w:t>
      </w:r>
      <w:r w:rsidR="25447B17" w:rsidRPr="0079001A">
        <w:rPr>
          <w:color w:val="auto"/>
          <w:sz w:val="24"/>
          <w:szCs w:val="24"/>
        </w:rPr>
        <w:t xml:space="preserve"> pointed to </w:t>
      </w:r>
      <w:r w:rsidR="0052155C" w:rsidRPr="0079001A">
        <w:rPr>
          <w:color w:val="auto"/>
          <w:sz w:val="24"/>
          <w:szCs w:val="24"/>
        </w:rPr>
        <w:t xml:space="preserve">articles 15(2) and 15(4) of the </w:t>
      </w:r>
      <w:r w:rsidR="25447B17" w:rsidRPr="0079001A">
        <w:rPr>
          <w:color w:val="auto"/>
          <w:sz w:val="24"/>
          <w:szCs w:val="24"/>
        </w:rPr>
        <w:t>Consti</w:t>
      </w:r>
      <w:r w:rsidR="47C5BD5C" w:rsidRPr="0079001A">
        <w:rPr>
          <w:color w:val="auto"/>
          <w:sz w:val="24"/>
          <w:szCs w:val="24"/>
        </w:rPr>
        <w:t xml:space="preserve">tution’s Bill of Rights, which guarantee the right </w:t>
      </w:r>
      <w:r w:rsidR="00105C37" w:rsidRPr="0079001A">
        <w:rPr>
          <w:color w:val="auto"/>
          <w:sz w:val="24"/>
          <w:szCs w:val="24"/>
        </w:rPr>
        <w:t xml:space="preserve">to </w:t>
      </w:r>
      <w:r w:rsidR="47C5BD5C" w:rsidRPr="0079001A">
        <w:rPr>
          <w:color w:val="auto"/>
          <w:sz w:val="24"/>
          <w:szCs w:val="24"/>
        </w:rPr>
        <w:t>from torture and inhumane treatment as a form of violence and prohibit “traditional practices that amount to tort</w:t>
      </w:r>
      <w:r w:rsidR="308A4841" w:rsidRPr="0079001A">
        <w:rPr>
          <w:color w:val="auto"/>
          <w:sz w:val="24"/>
          <w:szCs w:val="24"/>
        </w:rPr>
        <w:t>ure.”</w:t>
      </w:r>
      <w:r w:rsidR="00AC040C" w:rsidRPr="0079001A">
        <w:rPr>
          <w:rStyle w:val="FootnoteReference"/>
          <w:color w:val="auto"/>
          <w:sz w:val="24"/>
          <w:szCs w:val="24"/>
        </w:rPr>
        <w:footnoteReference w:id="3"/>
      </w:r>
      <w:r w:rsidR="1622BB86" w:rsidRPr="0079001A">
        <w:rPr>
          <w:color w:val="auto"/>
          <w:sz w:val="24"/>
          <w:szCs w:val="24"/>
        </w:rPr>
        <w:t xml:space="preserve"> The </w:t>
      </w:r>
      <w:r w:rsidRPr="0079001A">
        <w:rPr>
          <w:color w:val="auto"/>
          <w:sz w:val="24"/>
          <w:szCs w:val="24"/>
        </w:rPr>
        <w:t>r</w:t>
      </w:r>
      <w:r w:rsidR="1622BB86" w:rsidRPr="0079001A">
        <w:rPr>
          <w:color w:val="auto"/>
          <w:sz w:val="24"/>
          <w:szCs w:val="24"/>
        </w:rPr>
        <w:t xml:space="preserve">eport also described efforts to comprehensively review the 1962 Somali Penal </w:t>
      </w:r>
      <w:r w:rsidR="021F26D2" w:rsidRPr="0079001A">
        <w:rPr>
          <w:color w:val="auto"/>
          <w:sz w:val="24"/>
          <w:szCs w:val="24"/>
        </w:rPr>
        <w:t xml:space="preserve">Code, which </w:t>
      </w:r>
      <w:r w:rsidR="007D24DC" w:rsidRPr="0079001A">
        <w:rPr>
          <w:color w:val="auto"/>
          <w:sz w:val="24"/>
          <w:szCs w:val="24"/>
        </w:rPr>
        <w:t xml:space="preserve">the government expects </w:t>
      </w:r>
      <w:r w:rsidR="769E4A44" w:rsidRPr="0079001A">
        <w:rPr>
          <w:color w:val="auto"/>
          <w:sz w:val="24"/>
          <w:szCs w:val="24"/>
        </w:rPr>
        <w:t>to be revised to include a definition of torture.</w:t>
      </w:r>
      <w:r w:rsidR="00AC040C" w:rsidRPr="0079001A">
        <w:rPr>
          <w:rStyle w:val="FootnoteReference"/>
          <w:color w:val="auto"/>
          <w:sz w:val="24"/>
          <w:szCs w:val="24"/>
        </w:rPr>
        <w:footnoteReference w:id="4"/>
      </w:r>
      <w:r w:rsidR="769E4A44" w:rsidRPr="0079001A">
        <w:rPr>
          <w:color w:val="auto"/>
          <w:sz w:val="24"/>
          <w:szCs w:val="24"/>
        </w:rPr>
        <w:t xml:space="preserve"> </w:t>
      </w:r>
      <w:r w:rsidR="2206333F" w:rsidRPr="0079001A">
        <w:rPr>
          <w:color w:val="auto"/>
          <w:sz w:val="24"/>
          <w:szCs w:val="24"/>
        </w:rPr>
        <w:t>A bill drafted through the Ministry of Women and Human Rights Development</w:t>
      </w:r>
      <w:r w:rsidR="6128EA7D" w:rsidRPr="0079001A">
        <w:rPr>
          <w:color w:val="auto"/>
          <w:sz w:val="24"/>
          <w:szCs w:val="24"/>
        </w:rPr>
        <w:t xml:space="preserve"> that features a definition of torture </w:t>
      </w:r>
      <w:r w:rsidR="007D24DC" w:rsidRPr="0079001A">
        <w:rPr>
          <w:color w:val="auto"/>
          <w:sz w:val="24"/>
          <w:szCs w:val="24"/>
        </w:rPr>
        <w:t xml:space="preserve">awaits </w:t>
      </w:r>
      <w:r w:rsidR="6128EA7D" w:rsidRPr="0079001A">
        <w:rPr>
          <w:color w:val="auto"/>
          <w:sz w:val="24"/>
          <w:szCs w:val="24"/>
        </w:rPr>
        <w:t>its first reading.</w:t>
      </w:r>
      <w:r w:rsidR="00AC040C" w:rsidRPr="0079001A">
        <w:rPr>
          <w:rStyle w:val="FootnoteReference"/>
          <w:color w:val="auto"/>
          <w:sz w:val="24"/>
          <w:szCs w:val="24"/>
        </w:rPr>
        <w:footnoteReference w:id="5"/>
      </w:r>
    </w:p>
    <w:p w14:paraId="7E4FBC1C" w14:textId="1BE26B5A" w:rsidR="00EA0EEB" w:rsidRPr="0079001A" w:rsidRDefault="0F472DCD" w:rsidP="00127C52">
      <w:pPr>
        <w:numPr>
          <w:ilvl w:val="0"/>
          <w:numId w:val="8"/>
        </w:numPr>
        <w:spacing w:after="120"/>
        <w:ind w:left="360"/>
        <w:jc w:val="both"/>
        <w:rPr>
          <w:color w:val="auto"/>
          <w:sz w:val="24"/>
          <w:szCs w:val="24"/>
        </w:rPr>
      </w:pPr>
      <w:r w:rsidRPr="0079001A">
        <w:rPr>
          <w:color w:val="auto"/>
          <w:sz w:val="24"/>
          <w:szCs w:val="24"/>
        </w:rPr>
        <w:t>Despite these efforts, t</w:t>
      </w:r>
      <w:r w:rsidR="748A3DC1" w:rsidRPr="0079001A">
        <w:rPr>
          <w:color w:val="auto"/>
          <w:sz w:val="24"/>
          <w:szCs w:val="24"/>
        </w:rPr>
        <w:t xml:space="preserve">orture and cruel, inhuman, or degrading treatment by </w:t>
      </w:r>
      <w:r w:rsidR="483DE30F" w:rsidRPr="0079001A">
        <w:rPr>
          <w:color w:val="auto"/>
          <w:sz w:val="24"/>
          <w:szCs w:val="24"/>
        </w:rPr>
        <w:t xml:space="preserve">government agencies </w:t>
      </w:r>
      <w:r w:rsidR="007517A0" w:rsidRPr="0079001A">
        <w:rPr>
          <w:color w:val="auto"/>
          <w:sz w:val="24"/>
          <w:szCs w:val="24"/>
        </w:rPr>
        <w:t xml:space="preserve">and </w:t>
      </w:r>
      <w:r w:rsidR="748A3DC1" w:rsidRPr="0079001A">
        <w:rPr>
          <w:color w:val="auto"/>
          <w:sz w:val="24"/>
          <w:szCs w:val="24"/>
        </w:rPr>
        <w:t xml:space="preserve">government-affiliated clan militias </w:t>
      </w:r>
      <w:r w:rsidR="005C19DE" w:rsidRPr="0079001A">
        <w:rPr>
          <w:color w:val="auto"/>
          <w:sz w:val="24"/>
          <w:szCs w:val="24"/>
        </w:rPr>
        <w:t xml:space="preserve">remain </w:t>
      </w:r>
      <w:r w:rsidR="748A3DC1" w:rsidRPr="0079001A">
        <w:rPr>
          <w:color w:val="auto"/>
          <w:sz w:val="24"/>
          <w:szCs w:val="24"/>
        </w:rPr>
        <w:t>frequent</w:t>
      </w:r>
      <w:r w:rsidR="6BE36AC8" w:rsidRPr="0079001A">
        <w:rPr>
          <w:color w:val="auto"/>
          <w:sz w:val="24"/>
          <w:szCs w:val="24"/>
        </w:rPr>
        <w:t>, and a culture of impunity persist</w:t>
      </w:r>
      <w:r w:rsidR="00BB5255" w:rsidRPr="0079001A">
        <w:rPr>
          <w:color w:val="auto"/>
          <w:sz w:val="24"/>
          <w:szCs w:val="24"/>
        </w:rPr>
        <w:t>s</w:t>
      </w:r>
      <w:r w:rsidR="748A3DC1" w:rsidRPr="0079001A">
        <w:rPr>
          <w:color w:val="auto"/>
          <w:sz w:val="24"/>
          <w:szCs w:val="24"/>
        </w:rPr>
        <w:t>.</w:t>
      </w:r>
      <w:r w:rsidR="00F16374" w:rsidRPr="0079001A">
        <w:rPr>
          <w:rStyle w:val="FootnoteReference"/>
          <w:color w:val="auto"/>
          <w:sz w:val="24"/>
          <w:szCs w:val="24"/>
        </w:rPr>
        <w:footnoteReference w:id="6"/>
      </w:r>
      <w:r w:rsidR="24ACF474" w:rsidRPr="0079001A">
        <w:rPr>
          <w:color w:val="auto"/>
          <w:sz w:val="24"/>
          <w:szCs w:val="24"/>
        </w:rPr>
        <w:t xml:space="preserve"> The National Intelligence and Security Agency</w:t>
      </w:r>
      <w:r w:rsidR="748A3DC1" w:rsidRPr="0079001A">
        <w:rPr>
          <w:color w:val="auto"/>
          <w:sz w:val="24"/>
          <w:szCs w:val="24"/>
        </w:rPr>
        <w:t xml:space="preserve"> </w:t>
      </w:r>
      <w:r w:rsidR="007517A0" w:rsidRPr="0079001A">
        <w:rPr>
          <w:color w:val="auto"/>
          <w:sz w:val="24"/>
          <w:szCs w:val="24"/>
        </w:rPr>
        <w:t xml:space="preserve">has held people </w:t>
      </w:r>
      <w:r w:rsidR="21F6BED7" w:rsidRPr="0079001A">
        <w:rPr>
          <w:color w:val="auto"/>
          <w:sz w:val="24"/>
          <w:szCs w:val="24"/>
        </w:rPr>
        <w:t xml:space="preserve">in detention for lengthy periods and </w:t>
      </w:r>
      <w:r w:rsidR="007517A0" w:rsidRPr="0079001A">
        <w:rPr>
          <w:color w:val="auto"/>
          <w:sz w:val="24"/>
          <w:szCs w:val="24"/>
        </w:rPr>
        <w:t xml:space="preserve">there are reports of ill-treatment during </w:t>
      </w:r>
      <w:r w:rsidR="21F6BED7" w:rsidRPr="0079001A">
        <w:rPr>
          <w:color w:val="auto"/>
          <w:sz w:val="24"/>
          <w:szCs w:val="24"/>
        </w:rPr>
        <w:t xml:space="preserve">interrogations, including a case </w:t>
      </w:r>
      <w:r w:rsidR="007517A0" w:rsidRPr="0079001A">
        <w:rPr>
          <w:color w:val="auto"/>
          <w:sz w:val="24"/>
          <w:szCs w:val="24"/>
        </w:rPr>
        <w:t xml:space="preserve">in which </w:t>
      </w:r>
      <w:r w:rsidR="007F366A" w:rsidRPr="0079001A">
        <w:rPr>
          <w:color w:val="auto"/>
          <w:sz w:val="24"/>
          <w:szCs w:val="24"/>
        </w:rPr>
        <w:t xml:space="preserve">authorities repeatedly beat </w:t>
      </w:r>
      <w:r w:rsidR="21F6BED7" w:rsidRPr="0079001A">
        <w:rPr>
          <w:color w:val="auto"/>
          <w:sz w:val="24"/>
          <w:szCs w:val="24"/>
        </w:rPr>
        <w:t>a 16</w:t>
      </w:r>
      <w:r w:rsidR="007F366A" w:rsidRPr="0079001A">
        <w:rPr>
          <w:color w:val="auto"/>
          <w:sz w:val="24"/>
          <w:szCs w:val="24"/>
        </w:rPr>
        <w:t>-</w:t>
      </w:r>
      <w:r w:rsidR="21F6BED7" w:rsidRPr="0079001A">
        <w:rPr>
          <w:color w:val="auto"/>
          <w:sz w:val="24"/>
          <w:szCs w:val="24"/>
        </w:rPr>
        <w:t>year</w:t>
      </w:r>
      <w:r w:rsidR="007F366A" w:rsidRPr="0079001A">
        <w:rPr>
          <w:color w:val="auto"/>
          <w:sz w:val="24"/>
          <w:szCs w:val="24"/>
        </w:rPr>
        <w:t>-</w:t>
      </w:r>
      <w:r w:rsidR="21F6BED7" w:rsidRPr="0079001A">
        <w:rPr>
          <w:color w:val="auto"/>
          <w:sz w:val="24"/>
          <w:szCs w:val="24"/>
        </w:rPr>
        <w:t>old for days.</w:t>
      </w:r>
      <w:r w:rsidR="00F16374" w:rsidRPr="0079001A">
        <w:rPr>
          <w:rStyle w:val="FootnoteReference"/>
          <w:color w:val="auto"/>
          <w:sz w:val="24"/>
          <w:szCs w:val="24"/>
        </w:rPr>
        <w:footnoteReference w:id="7"/>
      </w:r>
      <w:r w:rsidR="21F6BED7" w:rsidRPr="0079001A">
        <w:rPr>
          <w:color w:val="auto"/>
          <w:sz w:val="24"/>
          <w:szCs w:val="24"/>
        </w:rPr>
        <w:t xml:space="preserve"> Multiple reports </w:t>
      </w:r>
      <w:r w:rsidR="007F366A" w:rsidRPr="0079001A">
        <w:rPr>
          <w:color w:val="auto"/>
          <w:sz w:val="24"/>
          <w:szCs w:val="24"/>
        </w:rPr>
        <w:t xml:space="preserve">suggest </w:t>
      </w:r>
      <w:r w:rsidR="21F6BED7" w:rsidRPr="0079001A">
        <w:rPr>
          <w:color w:val="auto"/>
          <w:sz w:val="24"/>
          <w:szCs w:val="24"/>
        </w:rPr>
        <w:t xml:space="preserve">that </w:t>
      </w:r>
      <w:r w:rsidR="42274A7A" w:rsidRPr="0079001A">
        <w:rPr>
          <w:color w:val="auto"/>
          <w:sz w:val="24"/>
          <w:szCs w:val="24"/>
        </w:rPr>
        <w:t>government agents</w:t>
      </w:r>
      <w:r w:rsidR="00A86186" w:rsidRPr="0079001A">
        <w:rPr>
          <w:color w:val="auto"/>
          <w:sz w:val="24"/>
          <w:szCs w:val="24"/>
        </w:rPr>
        <w:t xml:space="preserve">, including </w:t>
      </w:r>
      <w:r w:rsidR="42274A7A" w:rsidRPr="0079001A">
        <w:rPr>
          <w:color w:val="auto"/>
          <w:sz w:val="24"/>
          <w:szCs w:val="24"/>
        </w:rPr>
        <w:t>security forces</w:t>
      </w:r>
      <w:r w:rsidR="00A86186" w:rsidRPr="0079001A">
        <w:rPr>
          <w:color w:val="auto"/>
          <w:sz w:val="24"/>
          <w:szCs w:val="24"/>
        </w:rPr>
        <w:t xml:space="preserve">, </w:t>
      </w:r>
      <w:r w:rsidR="42274A7A" w:rsidRPr="0079001A">
        <w:rPr>
          <w:color w:val="auto"/>
          <w:sz w:val="24"/>
          <w:szCs w:val="24"/>
        </w:rPr>
        <w:t>raped and sexually abused individuals.</w:t>
      </w:r>
      <w:r w:rsidR="00F16374" w:rsidRPr="0079001A">
        <w:rPr>
          <w:rStyle w:val="FootnoteReference"/>
          <w:color w:val="auto"/>
          <w:sz w:val="24"/>
          <w:szCs w:val="24"/>
        </w:rPr>
        <w:footnoteReference w:id="8"/>
      </w:r>
    </w:p>
    <w:p w14:paraId="793D32BD" w14:textId="168FDBD9" w:rsidR="39BD6373" w:rsidRPr="0079001A" w:rsidRDefault="00847D99" w:rsidP="1098890A">
      <w:pPr>
        <w:keepNext/>
        <w:numPr>
          <w:ilvl w:val="0"/>
          <w:numId w:val="9"/>
        </w:numPr>
        <w:spacing w:before="240" w:after="120" w:line="259" w:lineRule="auto"/>
        <w:ind w:left="720" w:hanging="360"/>
        <w:rPr>
          <w:b/>
          <w:bCs/>
          <w:color w:val="000000" w:themeColor="text1"/>
          <w:sz w:val="24"/>
          <w:szCs w:val="24"/>
        </w:rPr>
      </w:pPr>
      <w:r w:rsidRPr="0079001A">
        <w:rPr>
          <w:b/>
          <w:bCs/>
          <w:color w:val="auto"/>
          <w:sz w:val="24"/>
          <w:szCs w:val="24"/>
        </w:rPr>
        <w:t>Legal safeguards, due process, military courts, and the death penalty (</w:t>
      </w:r>
      <w:r w:rsidR="00074BB0" w:rsidRPr="0079001A">
        <w:rPr>
          <w:b/>
          <w:bCs/>
          <w:color w:val="auto"/>
          <w:sz w:val="24"/>
          <w:szCs w:val="24"/>
        </w:rPr>
        <w:t>LOIPR</w:t>
      </w:r>
      <w:r w:rsidRPr="0079001A">
        <w:rPr>
          <w:b/>
          <w:bCs/>
          <w:color w:val="auto"/>
          <w:sz w:val="24"/>
          <w:szCs w:val="24"/>
        </w:rPr>
        <w:t xml:space="preserve"> paras. 2, 4)</w:t>
      </w:r>
    </w:p>
    <w:p w14:paraId="01B0B23D" w14:textId="54B861A1" w:rsidR="41AAE032" w:rsidRPr="0079001A" w:rsidRDefault="41AAE032" w:rsidP="1098890A">
      <w:pPr>
        <w:numPr>
          <w:ilvl w:val="0"/>
          <w:numId w:val="8"/>
        </w:numPr>
        <w:spacing w:after="120"/>
        <w:ind w:left="360"/>
        <w:jc w:val="both"/>
        <w:rPr>
          <w:color w:val="auto"/>
          <w:sz w:val="24"/>
          <w:szCs w:val="24"/>
        </w:rPr>
      </w:pPr>
      <w:r w:rsidRPr="0079001A">
        <w:rPr>
          <w:color w:val="auto"/>
          <w:sz w:val="24"/>
          <w:szCs w:val="24"/>
        </w:rPr>
        <w:t>In its List of Issues</w:t>
      </w:r>
      <w:r w:rsidR="00074BB0" w:rsidRPr="0079001A">
        <w:rPr>
          <w:color w:val="auto"/>
          <w:sz w:val="24"/>
          <w:szCs w:val="24"/>
        </w:rPr>
        <w:t xml:space="preserve"> Prior to Report</w:t>
      </w:r>
      <w:r w:rsidR="00203821" w:rsidRPr="0079001A">
        <w:rPr>
          <w:color w:val="auto"/>
          <w:sz w:val="24"/>
          <w:szCs w:val="24"/>
        </w:rPr>
        <w:t>ing</w:t>
      </w:r>
      <w:r w:rsidRPr="0079001A">
        <w:rPr>
          <w:color w:val="auto"/>
          <w:sz w:val="24"/>
          <w:szCs w:val="24"/>
        </w:rPr>
        <w:t>, the Committee asked the State Party to provide information on measures taken to ensure that “all detai</w:t>
      </w:r>
      <w:r w:rsidR="0CE2ABC9" w:rsidRPr="0079001A">
        <w:rPr>
          <w:color w:val="auto"/>
          <w:sz w:val="24"/>
          <w:szCs w:val="24"/>
        </w:rPr>
        <w:t xml:space="preserve">nees enjoy in law and in practice all </w:t>
      </w:r>
      <w:r w:rsidR="0CE2ABC9" w:rsidRPr="0079001A">
        <w:rPr>
          <w:color w:val="auto"/>
          <w:sz w:val="24"/>
          <w:szCs w:val="24"/>
        </w:rPr>
        <w:lastRenderedPageBreak/>
        <w:t>legal safeguards from the outset of their deprivation of liberty.”</w:t>
      </w:r>
      <w:r w:rsidRPr="0079001A">
        <w:rPr>
          <w:rStyle w:val="FootnoteReference"/>
          <w:color w:val="auto"/>
          <w:sz w:val="24"/>
          <w:szCs w:val="24"/>
        </w:rPr>
        <w:footnoteReference w:id="9"/>
      </w:r>
      <w:r w:rsidR="2A6579E0" w:rsidRPr="0079001A">
        <w:rPr>
          <w:color w:val="auto"/>
          <w:sz w:val="24"/>
          <w:szCs w:val="24"/>
        </w:rPr>
        <w:t xml:space="preserve"> The</w:t>
      </w:r>
      <w:r w:rsidR="00074BB0" w:rsidRPr="0079001A">
        <w:rPr>
          <w:color w:val="auto"/>
          <w:sz w:val="24"/>
          <w:szCs w:val="24"/>
        </w:rPr>
        <w:t xml:space="preserve"> Committee</w:t>
      </w:r>
      <w:r w:rsidR="2A6579E0" w:rsidRPr="0079001A">
        <w:rPr>
          <w:color w:val="auto"/>
          <w:sz w:val="24"/>
          <w:szCs w:val="24"/>
        </w:rPr>
        <w:t xml:space="preserve"> further requested clarification as to if and how military courts can try civilians and asked for information on measure</w:t>
      </w:r>
      <w:r w:rsidR="00B308BE" w:rsidRPr="0079001A">
        <w:rPr>
          <w:color w:val="auto"/>
          <w:sz w:val="24"/>
          <w:szCs w:val="24"/>
        </w:rPr>
        <w:t>s</w:t>
      </w:r>
      <w:r w:rsidR="2A6579E0" w:rsidRPr="0079001A">
        <w:rPr>
          <w:color w:val="auto"/>
          <w:sz w:val="24"/>
          <w:szCs w:val="24"/>
        </w:rPr>
        <w:t xml:space="preserve"> taken to transfer cases </w:t>
      </w:r>
      <w:r w:rsidR="45E78954" w:rsidRPr="0079001A">
        <w:rPr>
          <w:color w:val="auto"/>
          <w:sz w:val="24"/>
          <w:szCs w:val="24"/>
        </w:rPr>
        <w:t>in military courts back to civilian courts.</w:t>
      </w:r>
      <w:r w:rsidRPr="0079001A">
        <w:rPr>
          <w:rStyle w:val="FootnoteReference"/>
          <w:color w:val="auto"/>
          <w:sz w:val="24"/>
          <w:szCs w:val="24"/>
        </w:rPr>
        <w:footnoteReference w:id="10"/>
      </w:r>
    </w:p>
    <w:p w14:paraId="1017E55B" w14:textId="3ABC969C" w:rsidR="0B0A711A" w:rsidRPr="0079001A" w:rsidRDefault="0B0A711A" w:rsidP="1098890A">
      <w:pPr>
        <w:numPr>
          <w:ilvl w:val="0"/>
          <w:numId w:val="8"/>
        </w:numPr>
        <w:spacing w:after="120"/>
        <w:ind w:left="360"/>
        <w:jc w:val="both"/>
        <w:rPr>
          <w:color w:val="auto"/>
          <w:sz w:val="24"/>
          <w:szCs w:val="24"/>
        </w:rPr>
      </w:pPr>
      <w:bookmarkStart w:id="0" w:name="_Ref115291723"/>
      <w:r w:rsidRPr="0079001A">
        <w:rPr>
          <w:color w:val="auto"/>
          <w:sz w:val="24"/>
          <w:szCs w:val="24"/>
        </w:rPr>
        <w:t xml:space="preserve">Responding in its State Party Report, Somalia pointed to its </w:t>
      </w:r>
      <w:r w:rsidR="338A0B7D" w:rsidRPr="0079001A">
        <w:rPr>
          <w:color w:val="auto"/>
          <w:sz w:val="24"/>
          <w:szCs w:val="24"/>
        </w:rPr>
        <w:t>Constitution</w:t>
      </w:r>
      <w:r w:rsidRPr="0079001A">
        <w:rPr>
          <w:color w:val="auto"/>
          <w:sz w:val="24"/>
          <w:szCs w:val="24"/>
        </w:rPr>
        <w:t xml:space="preserve"> as the guarantee of legal safeguards for suspects and detainees.</w:t>
      </w:r>
      <w:r w:rsidRPr="0079001A">
        <w:rPr>
          <w:rStyle w:val="FootnoteReference"/>
          <w:color w:val="auto"/>
          <w:sz w:val="24"/>
          <w:szCs w:val="24"/>
        </w:rPr>
        <w:footnoteReference w:id="11"/>
      </w:r>
      <w:r w:rsidR="084446BE" w:rsidRPr="0079001A">
        <w:rPr>
          <w:color w:val="auto"/>
          <w:sz w:val="24"/>
          <w:szCs w:val="24"/>
        </w:rPr>
        <w:t xml:space="preserve"> </w:t>
      </w:r>
      <w:r w:rsidR="750F754E" w:rsidRPr="0079001A">
        <w:rPr>
          <w:color w:val="auto"/>
          <w:sz w:val="24"/>
          <w:szCs w:val="24"/>
        </w:rPr>
        <w:t xml:space="preserve">The State Party also stated that </w:t>
      </w:r>
      <w:r w:rsidR="00E2079E" w:rsidRPr="0079001A">
        <w:rPr>
          <w:color w:val="auto"/>
          <w:sz w:val="24"/>
          <w:szCs w:val="24"/>
        </w:rPr>
        <w:t xml:space="preserve">although </w:t>
      </w:r>
      <w:r w:rsidR="750F754E" w:rsidRPr="0079001A">
        <w:rPr>
          <w:color w:val="auto"/>
          <w:sz w:val="24"/>
          <w:szCs w:val="24"/>
        </w:rPr>
        <w:t>military courts</w:t>
      </w:r>
      <w:r w:rsidR="00E2079E" w:rsidRPr="0079001A">
        <w:rPr>
          <w:color w:val="auto"/>
          <w:sz w:val="24"/>
          <w:szCs w:val="24"/>
        </w:rPr>
        <w:t xml:space="preserve"> are authorized </w:t>
      </w:r>
      <w:r w:rsidR="750F754E" w:rsidRPr="0079001A">
        <w:rPr>
          <w:color w:val="auto"/>
          <w:sz w:val="24"/>
          <w:szCs w:val="24"/>
        </w:rPr>
        <w:t xml:space="preserve">to try civilians, </w:t>
      </w:r>
      <w:r w:rsidR="00E2079E" w:rsidRPr="0079001A">
        <w:rPr>
          <w:color w:val="auto"/>
          <w:sz w:val="24"/>
          <w:szCs w:val="24"/>
        </w:rPr>
        <w:t xml:space="preserve">the government uses them in that capacity </w:t>
      </w:r>
      <w:r w:rsidR="750F754E" w:rsidRPr="0079001A">
        <w:rPr>
          <w:color w:val="auto"/>
          <w:sz w:val="24"/>
          <w:szCs w:val="24"/>
        </w:rPr>
        <w:t>only in special cases regarding national security</w:t>
      </w:r>
      <w:r w:rsidR="00E2079E" w:rsidRPr="0079001A">
        <w:rPr>
          <w:color w:val="auto"/>
          <w:sz w:val="24"/>
          <w:szCs w:val="24"/>
        </w:rPr>
        <w:t>,</w:t>
      </w:r>
      <w:r w:rsidR="26B4B27D" w:rsidRPr="0079001A">
        <w:rPr>
          <w:color w:val="auto"/>
          <w:sz w:val="24"/>
          <w:szCs w:val="24"/>
        </w:rPr>
        <w:t xml:space="preserve"> and </w:t>
      </w:r>
      <w:r w:rsidR="00E2079E" w:rsidRPr="0079001A">
        <w:rPr>
          <w:color w:val="auto"/>
          <w:sz w:val="24"/>
          <w:szCs w:val="24"/>
        </w:rPr>
        <w:t xml:space="preserve">even in those circumstances, military courts </w:t>
      </w:r>
      <w:r w:rsidR="26B4B27D" w:rsidRPr="0079001A">
        <w:rPr>
          <w:color w:val="auto"/>
          <w:sz w:val="24"/>
          <w:szCs w:val="24"/>
        </w:rPr>
        <w:t>must adhere to strict due process safeguards.</w:t>
      </w:r>
      <w:r w:rsidRPr="0079001A">
        <w:rPr>
          <w:rStyle w:val="FootnoteReference"/>
          <w:color w:val="auto"/>
          <w:sz w:val="24"/>
          <w:szCs w:val="24"/>
        </w:rPr>
        <w:footnoteReference w:id="12"/>
      </w:r>
      <w:r w:rsidR="26B4B27D" w:rsidRPr="0079001A">
        <w:rPr>
          <w:color w:val="auto"/>
          <w:sz w:val="24"/>
          <w:szCs w:val="24"/>
        </w:rPr>
        <w:t xml:space="preserve"> The</w:t>
      </w:r>
      <w:r w:rsidR="008467A2" w:rsidRPr="0079001A">
        <w:rPr>
          <w:color w:val="auto"/>
          <w:sz w:val="24"/>
          <w:szCs w:val="24"/>
        </w:rPr>
        <w:t xml:space="preserve"> government asserts that </w:t>
      </w:r>
      <w:r w:rsidR="26B4B27D" w:rsidRPr="0079001A">
        <w:rPr>
          <w:color w:val="auto"/>
          <w:sz w:val="24"/>
          <w:szCs w:val="24"/>
        </w:rPr>
        <w:t>the new Mogadishu Prison and Court Complex</w:t>
      </w:r>
      <w:r w:rsidR="008467A2" w:rsidRPr="0079001A">
        <w:rPr>
          <w:color w:val="auto"/>
          <w:sz w:val="24"/>
          <w:szCs w:val="24"/>
        </w:rPr>
        <w:t>, built</w:t>
      </w:r>
      <w:r w:rsidR="26B4B27D" w:rsidRPr="0079001A">
        <w:rPr>
          <w:color w:val="auto"/>
          <w:sz w:val="24"/>
          <w:szCs w:val="24"/>
        </w:rPr>
        <w:t xml:space="preserve"> in 2019</w:t>
      </w:r>
      <w:r w:rsidR="008467A2" w:rsidRPr="0079001A">
        <w:rPr>
          <w:color w:val="auto"/>
          <w:sz w:val="24"/>
          <w:szCs w:val="24"/>
        </w:rPr>
        <w:t xml:space="preserve">, will </w:t>
      </w:r>
      <w:r w:rsidR="26B4B27D" w:rsidRPr="0079001A">
        <w:rPr>
          <w:color w:val="auto"/>
          <w:sz w:val="24"/>
          <w:szCs w:val="24"/>
        </w:rPr>
        <w:t xml:space="preserve">likely </w:t>
      </w:r>
      <w:r w:rsidR="106ED2AB" w:rsidRPr="0079001A">
        <w:rPr>
          <w:color w:val="auto"/>
          <w:sz w:val="24"/>
          <w:szCs w:val="24"/>
        </w:rPr>
        <w:t>provid</w:t>
      </w:r>
      <w:r w:rsidR="002F2D8C" w:rsidRPr="0079001A">
        <w:rPr>
          <w:color w:val="auto"/>
          <w:sz w:val="24"/>
          <w:szCs w:val="24"/>
        </w:rPr>
        <w:t>e</w:t>
      </w:r>
      <w:r w:rsidR="106ED2AB" w:rsidRPr="0079001A">
        <w:rPr>
          <w:color w:val="auto"/>
          <w:sz w:val="24"/>
          <w:szCs w:val="24"/>
        </w:rPr>
        <w:t xml:space="preserve"> the judiciary a secure environment to try civilians, leading to a gradual transfer of cases back to civilian courts.</w:t>
      </w:r>
      <w:r w:rsidRPr="0079001A">
        <w:rPr>
          <w:rStyle w:val="FootnoteReference"/>
          <w:color w:val="auto"/>
          <w:sz w:val="24"/>
          <w:szCs w:val="24"/>
        </w:rPr>
        <w:footnoteReference w:id="13"/>
      </w:r>
      <w:bookmarkEnd w:id="0"/>
    </w:p>
    <w:p w14:paraId="6249CBE8" w14:textId="77777777" w:rsidR="00DA586F" w:rsidRPr="0079001A" w:rsidRDefault="00DA586F" w:rsidP="00DA586F">
      <w:pPr>
        <w:numPr>
          <w:ilvl w:val="0"/>
          <w:numId w:val="8"/>
        </w:numPr>
        <w:spacing w:after="120"/>
        <w:ind w:left="360"/>
        <w:jc w:val="both"/>
        <w:rPr>
          <w:color w:val="000000" w:themeColor="text1"/>
          <w:sz w:val="24"/>
          <w:szCs w:val="24"/>
        </w:rPr>
      </w:pPr>
      <w:r w:rsidRPr="0079001A">
        <w:rPr>
          <w:sz w:val="24"/>
          <w:szCs w:val="24"/>
        </w:rPr>
        <w:t>Authorities continue to impose and carry out death sentences in Somalia. In 2019, authorities carried out a</w:t>
      </w:r>
      <w:r w:rsidRPr="0079001A">
        <w:rPr>
          <w:rFonts w:eastAsia="Times"/>
          <w:color w:val="000000" w:themeColor="text1"/>
          <w:sz w:val="24"/>
          <w:szCs w:val="24"/>
        </w:rPr>
        <w:t>t least 12 executions and handed down at least 24 new death sentences, a substantial increase over the 15 death sentences pronounced in 2018.</w:t>
      </w:r>
      <w:r w:rsidRPr="0079001A">
        <w:rPr>
          <w:rStyle w:val="FootnoteReference"/>
          <w:rFonts w:eastAsia="Times"/>
          <w:color w:val="000000" w:themeColor="text1"/>
          <w:sz w:val="24"/>
          <w:szCs w:val="24"/>
        </w:rPr>
        <w:footnoteReference w:id="14"/>
      </w:r>
      <w:r w:rsidRPr="0079001A">
        <w:rPr>
          <w:rFonts w:eastAsia="Times"/>
          <w:color w:val="000000" w:themeColor="text1"/>
          <w:sz w:val="24"/>
          <w:szCs w:val="24"/>
        </w:rPr>
        <w:t xml:space="preserve"> In 2021, Somalia carried out at least 21 executions, up from 11 in 2020.</w:t>
      </w:r>
      <w:r w:rsidRPr="0079001A">
        <w:rPr>
          <w:rStyle w:val="FootnoteReference"/>
          <w:rFonts w:eastAsia="Times"/>
          <w:color w:val="000000" w:themeColor="text1"/>
          <w:sz w:val="24"/>
          <w:szCs w:val="24"/>
        </w:rPr>
        <w:footnoteReference w:id="15"/>
      </w:r>
      <w:r w:rsidRPr="0079001A">
        <w:rPr>
          <w:rFonts w:eastAsia="Times"/>
          <w:color w:val="000000" w:themeColor="text1"/>
          <w:sz w:val="24"/>
          <w:szCs w:val="24"/>
        </w:rPr>
        <w:t xml:space="preserve"> All of the 2021 executions took place on the same day in Puntland.</w:t>
      </w:r>
      <w:r w:rsidRPr="0079001A">
        <w:rPr>
          <w:rStyle w:val="FootnoteReference"/>
          <w:rFonts w:eastAsia="Times"/>
          <w:color w:val="000000" w:themeColor="text1"/>
          <w:sz w:val="24"/>
          <w:szCs w:val="24"/>
        </w:rPr>
        <w:footnoteReference w:id="16"/>
      </w:r>
      <w:r w:rsidRPr="0079001A">
        <w:rPr>
          <w:rFonts w:eastAsia="Times"/>
          <w:color w:val="000000" w:themeColor="text1"/>
          <w:sz w:val="24"/>
          <w:szCs w:val="24"/>
        </w:rPr>
        <w:t xml:space="preserve"> Over 27 new death sentences were also handed down in 2021.</w:t>
      </w:r>
      <w:r w:rsidRPr="0079001A">
        <w:rPr>
          <w:rStyle w:val="FootnoteReference"/>
          <w:rFonts w:eastAsia="Times"/>
          <w:color w:val="000000" w:themeColor="text1"/>
          <w:sz w:val="24"/>
          <w:szCs w:val="24"/>
        </w:rPr>
        <w:footnoteReference w:id="17"/>
      </w:r>
      <w:r w:rsidRPr="0079001A">
        <w:rPr>
          <w:rFonts w:eastAsia="Times"/>
          <w:color w:val="000000" w:themeColor="text1"/>
          <w:sz w:val="24"/>
          <w:szCs w:val="24"/>
        </w:rPr>
        <w:t xml:space="preserve"> These death sentences emanated not from a single judicial system, but from all of the myriad systems that continue to operate due to the lack of a strong federal government.</w:t>
      </w:r>
      <w:r w:rsidRPr="0079001A">
        <w:rPr>
          <w:rStyle w:val="FootnoteReference"/>
          <w:rFonts w:eastAsia="Times"/>
          <w:color w:val="000000" w:themeColor="text1"/>
          <w:sz w:val="24"/>
          <w:szCs w:val="24"/>
        </w:rPr>
        <w:footnoteReference w:id="18"/>
      </w:r>
      <w:r w:rsidRPr="0079001A">
        <w:rPr>
          <w:rFonts w:eastAsia="Times"/>
          <w:color w:val="000000" w:themeColor="text1"/>
          <w:sz w:val="24"/>
          <w:szCs w:val="24"/>
        </w:rPr>
        <w:t xml:space="preserve"> Approximately 150 persons are believed to be under sentence of death in Somalia.</w:t>
      </w:r>
      <w:r w:rsidRPr="0079001A">
        <w:rPr>
          <w:rStyle w:val="FootnoteReference"/>
          <w:rFonts w:eastAsia="Times"/>
          <w:color w:val="000000" w:themeColor="text1"/>
          <w:sz w:val="24"/>
          <w:szCs w:val="24"/>
        </w:rPr>
        <w:footnoteReference w:id="19"/>
      </w:r>
    </w:p>
    <w:p w14:paraId="2B530149" w14:textId="58C5F503" w:rsidR="00DA586F" w:rsidRPr="0079001A" w:rsidRDefault="00DA586F" w:rsidP="00DA586F">
      <w:pPr>
        <w:numPr>
          <w:ilvl w:val="0"/>
          <w:numId w:val="8"/>
        </w:numPr>
        <w:spacing w:after="120"/>
        <w:ind w:left="360"/>
        <w:jc w:val="both"/>
        <w:rPr>
          <w:color w:val="auto"/>
          <w:sz w:val="24"/>
          <w:szCs w:val="24"/>
        </w:rPr>
      </w:pPr>
      <w:r w:rsidRPr="0079001A">
        <w:rPr>
          <w:color w:val="auto"/>
          <w:sz w:val="24"/>
          <w:szCs w:val="24"/>
        </w:rPr>
        <w:t>Federal and regional military courts continue to sentence individuals to death despite due process concerns,</w:t>
      </w:r>
      <w:r w:rsidRPr="0079001A">
        <w:rPr>
          <w:rStyle w:val="FootnoteReference"/>
          <w:color w:val="auto"/>
          <w:sz w:val="24"/>
          <w:szCs w:val="24"/>
        </w:rPr>
        <w:footnoteReference w:id="20"/>
      </w:r>
      <w:r w:rsidRPr="0079001A">
        <w:rPr>
          <w:color w:val="auto"/>
          <w:sz w:val="24"/>
          <w:szCs w:val="24"/>
        </w:rPr>
        <w:t xml:space="preserve"> and sometimes execute people sentenced within days of the court’s verdict.</w:t>
      </w:r>
      <w:r w:rsidRPr="0079001A">
        <w:rPr>
          <w:rStyle w:val="FootnoteReference"/>
          <w:color w:val="auto"/>
          <w:sz w:val="24"/>
          <w:szCs w:val="24"/>
        </w:rPr>
        <w:footnoteReference w:id="21"/>
      </w:r>
      <w:r w:rsidRPr="0079001A">
        <w:rPr>
          <w:color w:val="auto"/>
          <w:sz w:val="24"/>
          <w:szCs w:val="24"/>
        </w:rPr>
        <w:t xml:space="preserve"> Both the unrecognized Republic of Somaliland and the federal government have </w:t>
      </w:r>
      <w:r w:rsidRPr="0079001A">
        <w:rPr>
          <w:color w:val="auto"/>
          <w:sz w:val="24"/>
          <w:szCs w:val="24"/>
        </w:rPr>
        <w:lastRenderedPageBreak/>
        <w:t>carried out executions by shooting.</w:t>
      </w:r>
      <w:r w:rsidRPr="0079001A">
        <w:rPr>
          <w:rStyle w:val="FootnoteReference"/>
          <w:color w:val="auto"/>
          <w:sz w:val="24"/>
          <w:szCs w:val="24"/>
        </w:rPr>
        <w:footnoteReference w:id="22"/>
      </w:r>
      <w:r w:rsidRPr="0079001A">
        <w:rPr>
          <w:color w:val="000000" w:themeColor="text1"/>
          <w:sz w:val="24"/>
          <w:szCs w:val="24"/>
        </w:rPr>
        <w:t xml:space="preserve"> During 2019, separate military courts in Mogadishu and in Somaliland issued death sentences in murder cases. </w:t>
      </w:r>
    </w:p>
    <w:p w14:paraId="00766F4C" w14:textId="4E88AC42" w:rsidR="5C12CC7A" w:rsidRPr="0079001A" w:rsidRDefault="002F2D8C" w:rsidP="1098890A">
      <w:pPr>
        <w:numPr>
          <w:ilvl w:val="0"/>
          <w:numId w:val="8"/>
        </w:numPr>
        <w:spacing w:after="120"/>
        <w:ind w:left="360"/>
        <w:jc w:val="both"/>
        <w:rPr>
          <w:color w:val="000000" w:themeColor="text1"/>
          <w:sz w:val="24"/>
          <w:szCs w:val="24"/>
        </w:rPr>
      </w:pPr>
      <w:r w:rsidRPr="0079001A">
        <w:rPr>
          <w:color w:val="000000" w:themeColor="text1"/>
          <w:sz w:val="24"/>
          <w:szCs w:val="24"/>
        </w:rPr>
        <w:t>C</w:t>
      </w:r>
      <w:r w:rsidR="5C12CC7A" w:rsidRPr="0079001A">
        <w:rPr>
          <w:color w:val="000000" w:themeColor="text1"/>
          <w:sz w:val="24"/>
          <w:szCs w:val="24"/>
        </w:rPr>
        <w:t>ivilian courts of the F</w:t>
      </w:r>
      <w:r w:rsidR="00D308E1" w:rsidRPr="0079001A">
        <w:rPr>
          <w:color w:val="000000" w:themeColor="text1"/>
          <w:sz w:val="24"/>
          <w:szCs w:val="24"/>
        </w:rPr>
        <w:t xml:space="preserve">ederal </w:t>
      </w:r>
      <w:r w:rsidR="5C12CC7A" w:rsidRPr="0079001A">
        <w:rPr>
          <w:color w:val="000000" w:themeColor="text1"/>
          <w:sz w:val="24"/>
          <w:szCs w:val="24"/>
        </w:rPr>
        <w:t>G</w:t>
      </w:r>
      <w:r w:rsidR="00D308E1" w:rsidRPr="0079001A">
        <w:rPr>
          <w:color w:val="000000" w:themeColor="text1"/>
          <w:sz w:val="24"/>
          <w:szCs w:val="24"/>
        </w:rPr>
        <w:t xml:space="preserve">overnment of </w:t>
      </w:r>
      <w:r w:rsidR="5C12CC7A" w:rsidRPr="0079001A">
        <w:rPr>
          <w:color w:val="000000" w:themeColor="text1"/>
          <w:sz w:val="24"/>
          <w:szCs w:val="24"/>
        </w:rPr>
        <w:t>S</w:t>
      </w:r>
      <w:r w:rsidR="00D308E1" w:rsidRPr="0079001A">
        <w:rPr>
          <w:color w:val="000000" w:themeColor="text1"/>
          <w:sz w:val="24"/>
          <w:szCs w:val="24"/>
        </w:rPr>
        <w:t>omalia (FGS)</w:t>
      </w:r>
      <w:r w:rsidR="5C12CC7A" w:rsidRPr="0079001A">
        <w:rPr>
          <w:color w:val="000000" w:themeColor="text1"/>
          <w:sz w:val="24"/>
          <w:szCs w:val="24"/>
        </w:rPr>
        <w:t xml:space="preserve"> are not functional in many areas of Somalia. The FGS has made efforts, in cooperation with the United Nations Development </w:t>
      </w:r>
      <w:proofErr w:type="spellStart"/>
      <w:r w:rsidR="5C12CC7A" w:rsidRPr="0079001A">
        <w:rPr>
          <w:color w:val="000000" w:themeColor="text1"/>
          <w:sz w:val="24"/>
          <w:szCs w:val="24"/>
        </w:rPr>
        <w:t>Programme</w:t>
      </w:r>
      <w:proofErr w:type="spellEnd"/>
      <w:r w:rsidR="5C12CC7A" w:rsidRPr="0079001A">
        <w:rPr>
          <w:color w:val="000000" w:themeColor="text1"/>
          <w:sz w:val="24"/>
          <w:szCs w:val="24"/>
        </w:rPr>
        <w:t>, to increase the number and geographic reach of federal courts, including into recently liberated territories.</w:t>
      </w:r>
      <w:r w:rsidR="5C12CC7A" w:rsidRPr="0079001A">
        <w:rPr>
          <w:rStyle w:val="FootnoteReference"/>
          <w:color w:val="000000" w:themeColor="text1"/>
          <w:sz w:val="24"/>
          <w:szCs w:val="24"/>
        </w:rPr>
        <w:footnoteReference w:id="23"/>
      </w:r>
      <w:r w:rsidR="5C12CC7A" w:rsidRPr="0079001A">
        <w:rPr>
          <w:color w:val="000000" w:themeColor="text1"/>
          <w:sz w:val="24"/>
          <w:szCs w:val="24"/>
        </w:rPr>
        <w:t xml:space="preserve"> </w:t>
      </w:r>
      <w:r w:rsidR="14BC571A" w:rsidRPr="0079001A">
        <w:rPr>
          <w:color w:val="000000" w:themeColor="text1"/>
          <w:sz w:val="24"/>
          <w:szCs w:val="24"/>
        </w:rPr>
        <w:t>In 2017, the FGS also initiated the training of over 350 judicial officers across Somalia in order to bolster the institutional capacity of the judiciary.</w:t>
      </w:r>
      <w:r w:rsidR="5C12CC7A" w:rsidRPr="0079001A">
        <w:rPr>
          <w:rStyle w:val="FootnoteReference"/>
          <w:color w:val="000000" w:themeColor="text1"/>
          <w:sz w:val="24"/>
          <w:szCs w:val="24"/>
        </w:rPr>
        <w:footnoteReference w:id="24"/>
      </w:r>
      <w:r w:rsidR="14BC571A" w:rsidRPr="0079001A">
        <w:rPr>
          <w:color w:val="000000" w:themeColor="text1"/>
          <w:sz w:val="24"/>
          <w:szCs w:val="24"/>
        </w:rPr>
        <w:t xml:space="preserve"> </w:t>
      </w:r>
      <w:r w:rsidR="5C12CC7A" w:rsidRPr="0079001A">
        <w:rPr>
          <w:color w:val="000000" w:themeColor="text1"/>
          <w:sz w:val="24"/>
          <w:szCs w:val="24"/>
        </w:rPr>
        <w:t>Although there have also been some efforts to increase the provision of legal aid, there remains a substantial gap in the availability of legal representation.</w:t>
      </w:r>
      <w:r w:rsidR="5C12CC7A" w:rsidRPr="0079001A">
        <w:rPr>
          <w:rStyle w:val="FootnoteReference"/>
          <w:color w:val="000000" w:themeColor="text1"/>
          <w:sz w:val="24"/>
          <w:szCs w:val="24"/>
        </w:rPr>
        <w:footnoteReference w:id="25"/>
      </w:r>
      <w:r w:rsidR="0819998B" w:rsidRPr="0079001A">
        <w:rPr>
          <w:color w:val="000000" w:themeColor="text1"/>
          <w:sz w:val="24"/>
          <w:szCs w:val="24"/>
        </w:rPr>
        <w:t xml:space="preserve"> </w:t>
      </w:r>
    </w:p>
    <w:p w14:paraId="0D141124" w14:textId="65AAE3D5" w:rsidR="5C12CC7A" w:rsidRPr="0079001A" w:rsidRDefault="5C12CC7A" w:rsidP="1098890A">
      <w:pPr>
        <w:numPr>
          <w:ilvl w:val="0"/>
          <w:numId w:val="8"/>
        </w:numPr>
        <w:spacing w:after="120"/>
        <w:ind w:left="360"/>
        <w:jc w:val="both"/>
        <w:rPr>
          <w:color w:val="000000" w:themeColor="text1"/>
          <w:sz w:val="24"/>
          <w:szCs w:val="24"/>
        </w:rPr>
      </w:pPr>
      <w:r w:rsidRPr="0079001A">
        <w:rPr>
          <w:color w:val="000000" w:themeColor="text1"/>
          <w:sz w:val="24"/>
          <w:szCs w:val="24"/>
        </w:rPr>
        <w:t>Judicial authorities in many areas are subject to improper external influences and corruption, especially in areas controlled by powerful clans.</w:t>
      </w:r>
      <w:r w:rsidR="5E605828" w:rsidRPr="0079001A">
        <w:rPr>
          <w:color w:val="000000" w:themeColor="text1"/>
          <w:sz w:val="24"/>
          <w:szCs w:val="24"/>
        </w:rPr>
        <w:t xml:space="preserve"> </w:t>
      </w:r>
      <w:r w:rsidR="00603D20" w:rsidRPr="0079001A">
        <w:rPr>
          <w:color w:val="000000" w:themeColor="text1"/>
          <w:sz w:val="24"/>
          <w:szCs w:val="24"/>
        </w:rPr>
        <w:t xml:space="preserve">There are reports that </w:t>
      </w:r>
      <w:r w:rsidR="006808BA" w:rsidRPr="0079001A">
        <w:rPr>
          <w:color w:val="000000" w:themeColor="text1"/>
          <w:sz w:val="24"/>
          <w:szCs w:val="24"/>
        </w:rPr>
        <w:t>the judiciary is not able to hold judges accountable</w:t>
      </w:r>
      <w:r w:rsidR="5E605828" w:rsidRPr="0079001A">
        <w:rPr>
          <w:color w:val="000000" w:themeColor="text1"/>
          <w:sz w:val="24"/>
          <w:szCs w:val="24"/>
        </w:rPr>
        <w:t>, enabling them to abuse their power.</w:t>
      </w:r>
      <w:r w:rsidRPr="0079001A">
        <w:rPr>
          <w:rStyle w:val="FootnoteReference"/>
          <w:color w:val="000000" w:themeColor="text1"/>
          <w:sz w:val="24"/>
          <w:szCs w:val="24"/>
        </w:rPr>
        <w:footnoteReference w:id="26"/>
      </w:r>
      <w:r w:rsidR="5E605828" w:rsidRPr="0079001A">
        <w:rPr>
          <w:color w:val="000000" w:themeColor="text1"/>
          <w:sz w:val="24"/>
          <w:szCs w:val="24"/>
        </w:rPr>
        <w:t xml:space="preserve"> </w:t>
      </w:r>
      <w:r w:rsidRPr="0079001A">
        <w:rPr>
          <w:color w:val="000000" w:themeColor="text1"/>
          <w:sz w:val="24"/>
          <w:szCs w:val="24"/>
        </w:rPr>
        <w:t>The separately operated court systems in Puntland and Somaliland are more functional, but lack sufficient and adequately trained judges and, in individual cases, face interference by their respective governments.</w:t>
      </w:r>
      <w:r w:rsidRPr="0079001A">
        <w:rPr>
          <w:rStyle w:val="FootnoteReference"/>
          <w:color w:val="000000" w:themeColor="text1"/>
          <w:sz w:val="24"/>
          <w:szCs w:val="24"/>
        </w:rPr>
        <w:footnoteReference w:id="27"/>
      </w:r>
      <w:r w:rsidR="044E7B95" w:rsidRPr="0079001A">
        <w:rPr>
          <w:color w:val="000000" w:themeColor="text1"/>
          <w:sz w:val="24"/>
          <w:szCs w:val="24"/>
        </w:rPr>
        <w:t xml:space="preserve"> There is no formal judicial system in </w:t>
      </w:r>
      <w:proofErr w:type="spellStart"/>
      <w:r w:rsidR="044E7B95" w:rsidRPr="0079001A">
        <w:rPr>
          <w:color w:val="000000" w:themeColor="text1"/>
          <w:sz w:val="24"/>
          <w:szCs w:val="24"/>
        </w:rPr>
        <w:t>Al-shabaab</w:t>
      </w:r>
      <w:proofErr w:type="spellEnd"/>
      <w:r w:rsidR="044E7B95" w:rsidRPr="0079001A">
        <w:rPr>
          <w:color w:val="000000" w:themeColor="text1"/>
          <w:sz w:val="24"/>
          <w:szCs w:val="24"/>
        </w:rPr>
        <w:t xml:space="preserve"> controlled areas, and defendants there often do not have legal representation or adequate due process safeguards.</w:t>
      </w:r>
      <w:r w:rsidRPr="0079001A">
        <w:rPr>
          <w:rStyle w:val="FootnoteReference"/>
          <w:color w:val="000000" w:themeColor="text1"/>
          <w:sz w:val="24"/>
          <w:szCs w:val="24"/>
        </w:rPr>
        <w:footnoteReference w:id="28"/>
      </w:r>
    </w:p>
    <w:p w14:paraId="55E6B1A8" w14:textId="4529ACC0" w:rsidR="5C12CC7A" w:rsidRPr="0079001A" w:rsidRDefault="5C12CC7A" w:rsidP="1098890A">
      <w:pPr>
        <w:numPr>
          <w:ilvl w:val="0"/>
          <w:numId w:val="8"/>
        </w:numPr>
        <w:spacing w:after="120"/>
        <w:ind w:left="360"/>
        <w:jc w:val="both"/>
        <w:rPr>
          <w:color w:val="000000" w:themeColor="text1"/>
          <w:sz w:val="24"/>
          <w:szCs w:val="24"/>
        </w:rPr>
      </w:pPr>
      <w:r w:rsidRPr="0079001A">
        <w:rPr>
          <w:color w:val="000000" w:themeColor="text1"/>
          <w:sz w:val="24"/>
          <w:szCs w:val="24"/>
        </w:rPr>
        <w:t>Civilians continue to be tried in military courts</w:t>
      </w:r>
      <w:r w:rsidR="489E22E0" w:rsidRPr="0079001A">
        <w:rPr>
          <w:color w:val="000000" w:themeColor="text1"/>
          <w:sz w:val="24"/>
          <w:szCs w:val="24"/>
        </w:rPr>
        <w:t xml:space="preserve">, including cases involving </w:t>
      </w:r>
      <w:r w:rsidR="00EE3AD8" w:rsidRPr="0079001A">
        <w:rPr>
          <w:color w:val="000000" w:themeColor="text1"/>
          <w:sz w:val="24"/>
          <w:szCs w:val="24"/>
        </w:rPr>
        <w:t xml:space="preserve">juvenile offenders </w:t>
      </w:r>
      <w:r w:rsidR="3E9032F9" w:rsidRPr="0079001A">
        <w:rPr>
          <w:color w:val="000000" w:themeColor="text1"/>
          <w:sz w:val="24"/>
          <w:szCs w:val="24"/>
        </w:rPr>
        <w:t>and</w:t>
      </w:r>
      <w:r w:rsidR="00E4597A" w:rsidRPr="0079001A">
        <w:rPr>
          <w:color w:val="000000" w:themeColor="text1"/>
          <w:sz w:val="24"/>
          <w:szCs w:val="24"/>
        </w:rPr>
        <w:t xml:space="preserve"> other</w:t>
      </w:r>
      <w:r w:rsidR="3E9032F9" w:rsidRPr="0079001A">
        <w:rPr>
          <w:color w:val="000000" w:themeColor="text1"/>
          <w:sz w:val="24"/>
          <w:szCs w:val="24"/>
        </w:rPr>
        <w:t xml:space="preserve"> </w:t>
      </w:r>
      <w:r w:rsidR="00E75C72" w:rsidRPr="0079001A">
        <w:rPr>
          <w:color w:val="000000" w:themeColor="text1"/>
          <w:sz w:val="24"/>
          <w:szCs w:val="24"/>
        </w:rPr>
        <w:t xml:space="preserve">cases in which </w:t>
      </w:r>
      <w:r w:rsidR="3E9032F9" w:rsidRPr="0079001A">
        <w:rPr>
          <w:color w:val="000000" w:themeColor="text1"/>
          <w:sz w:val="24"/>
          <w:szCs w:val="24"/>
        </w:rPr>
        <w:t>military courts do not have jurisdiction</w:t>
      </w:r>
      <w:r w:rsidRPr="0079001A">
        <w:rPr>
          <w:color w:val="000000" w:themeColor="text1"/>
          <w:sz w:val="24"/>
          <w:szCs w:val="24"/>
        </w:rPr>
        <w:t>.</w:t>
      </w:r>
      <w:r w:rsidRPr="0079001A">
        <w:rPr>
          <w:rStyle w:val="FootnoteReference"/>
          <w:color w:val="000000" w:themeColor="text1"/>
          <w:sz w:val="24"/>
          <w:szCs w:val="24"/>
        </w:rPr>
        <w:footnoteReference w:id="29"/>
      </w:r>
      <w:r w:rsidR="70627293" w:rsidRPr="0079001A">
        <w:rPr>
          <w:color w:val="000000" w:themeColor="text1"/>
          <w:sz w:val="24"/>
          <w:szCs w:val="24"/>
        </w:rPr>
        <w:t xml:space="preserve"> </w:t>
      </w:r>
      <w:r w:rsidR="00E24232" w:rsidRPr="0079001A">
        <w:rPr>
          <w:color w:val="000000" w:themeColor="text1"/>
          <w:sz w:val="24"/>
          <w:szCs w:val="24"/>
        </w:rPr>
        <w:t>Official reports have raised q</w:t>
      </w:r>
      <w:r w:rsidR="70627293" w:rsidRPr="0079001A">
        <w:rPr>
          <w:color w:val="000000" w:themeColor="text1"/>
          <w:sz w:val="24"/>
          <w:szCs w:val="24"/>
        </w:rPr>
        <w:t xml:space="preserve">uestions regarding whether military courts </w:t>
      </w:r>
      <w:r w:rsidR="07F898D9" w:rsidRPr="0079001A">
        <w:rPr>
          <w:color w:val="000000" w:themeColor="text1"/>
          <w:sz w:val="24"/>
          <w:szCs w:val="24"/>
        </w:rPr>
        <w:t>adequately</w:t>
      </w:r>
      <w:r w:rsidR="70627293" w:rsidRPr="0079001A">
        <w:rPr>
          <w:color w:val="000000" w:themeColor="text1"/>
          <w:sz w:val="24"/>
          <w:szCs w:val="24"/>
        </w:rPr>
        <w:t xml:space="preserve"> enfo</w:t>
      </w:r>
      <w:r w:rsidR="72446381" w:rsidRPr="0079001A">
        <w:rPr>
          <w:color w:val="000000" w:themeColor="text1"/>
          <w:sz w:val="24"/>
          <w:szCs w:val="24"/>
        </w:rPr>
        <w:t>rce procedural safeguards</w:t>
      </w:r>
      <w:r w:rsidR="1F814D60" w:rsidRPr="0079001A">
        <w:rPr>
          <w:color w:val="000000" w:themeColor="text1"/>
          <w:sz w:val="24"/>
          <w:szCs w:val="24"/>
        </w:rPr>
        <w:t>.</w:t>
      </w:r>
      <w:r w:rsidRPr="0079001A">
        <w:rPr>
          <w:rStyle w:val="FootnoteReference"/>
          <w:color w:val="000000" w:themeColor="text1"/>
          <w:sz w:val="24"/>
          <w:szCs w:val="24"/>
        </w:rPr>
        <w:footnoteReference w:id="30"/>
      </w:r>
      <w:r w:rsidR="1F814D60" w:rsidRPr="0079001A">
        <w:rPr>
          <w:color w:val="000000" w:themeColor="text1"/>
          <w:sz w:val="24"/>
          <w:szCs w:val="24"/>
        </w:rPr>
        <w:t xml:space="preserve"> </w:t>
      </w:r>
      <w:r w:rsidRPr="0079001A">
        <w:rPr>
          <w:color w:val="000000" w:themeColor="text1"/>
          <w:sz w:val="24"/>
          <w:szCs w:val="24"/>
        </w:rPr>
        <w:t>Military courts generally do not provide defendants with legal representation and their proceedings lack transparency.</w:t>
      </w:r>
      <w:r w:rsidRPr="0079001A">
        <w:rPr>
          <w:rStyle w:val="FootnoteReference"/>
          <w:color w:val="000000" w:themeColor="text1"/>
          <w:sz w:val="24"/>
          <w:szCs w:val="24"/>
        </w:rPr>
        <w:footnoteReference w:id="31"/>
      </w:r>
      <w:r w:rsidR="062D67C1" w:rsidRPr="0079001A">
        <w:rPr>
          <w:color w:val="000000" w:themeColor="text1"/>
          <w:sz w:val="24"/>
          <w:szCs w:val="24"/>
        </w:rPr>
        <w:t xml:space="preserve"> </w:t>
      </w:r>
      <w:r w:rsidRPr="0079001A">
        <w:rPr>
          <w:color w:val="000000" w:themeColor="text1"/>
          <w:sz w:val="24"/>
          <w:szCs w:val="24"/>
        </w:rPr>
        <w:t>Defendants in FGS military courts do not have a right to appeal</w:t>
      </w:r>
      <w:r w:rsidR="7E444136" w:rsidRPr="0079001A">
        <w:rPr>
          <w:color w:val="000000" w:themeColor="text1"/>
          <w:sz w:val="24"/>
          <w:szCs w:val="24"/>
        </w:rPr>
        <w:t>.</w:t>
      </w:r>
      <w:r w:rsidRPr="0079001A">
        <w:rPr>
          <w:rStyle w:val="FootnoteReference"/>
          <w:color w:val="000000" w:themeColor="text1"/>
          <w:sz w:val="24"/>
          <w:szCs w:val="24"/>
        </w:rPr>
        <w:footnoteReference w:id="32"/>
      </w:r>
    </w:p>
    <w:p w14:paraId="547C01EC" w14:textId="3517D4F5" w:rsidR="5C12CC7A" w:rsidRPr="0079001A" w:rsidRDefault="5C12CC7A" w:rsidP="1098890A">
      <w:pPr>
        <w:numPr>
          <w:ilvl w:val="0"/>
          <w:numId w:val="8"/>
        </w:numPr>
        <w:spacing w:after="120"/>
        <w:ind w:left="360"/>
        <w:jc w:val="both"/>
        <w:rPr>
          <w:color w:val="000000" w:themeColor="text1"/>
          <w:sz w:val="24"/>
          <w:szCs w:val="24"/>
        </w:rPr>
      </w:pPr>
      <w:r w:rsidRPr="0079001A">
        <w:rPr>
          <w:color w:val="000000" w:themeColor="text1"/>
          <w:sz w:val="24"/>
          <w:szCs w:val="24"/>
        </w:rPr>
        <w:t>In its Mid-Term Universal Periodic Review Report, the FGS stated that it was working to</w:t>
      </w:r>
      <w:r w:rsidR="00C73FE7" w:rsidRPr="0079001A">
        <w:rPr>
          <w:color w:val="000000" w:themeColor="text1"/>
          <w:sz w:val="24"/>
          <w:szCs w:val="24"/>
        </w:rPr>
        <w:t xml:space="preserve"> strengthen</w:t>
      </w:r>
      <w:r w:rsidRPr="0079001A">
        <w:rPr>
          <w:color w:val="000000" w:themeColor="text1"/>
          <w:sz w:val="24"/>
          <w:szCs w:val="24"/>
        </w:rPr>
        <w:t xml:space="preserve"> the judiciary so that it will have the ability to handle all cases that should be categorized as civilian. The FGS reported that the new Mogadishu Prison and Courts Complex, </w:t>
      </w:r>
      <w:r w:rsidRPr="0079001A">
        <w:rPr>
          <w:color w:val="000000" w:themeColor="text1"/>
          <w:sz w:val="24"/>
          <w:szCs w:val="24"/>
        </w:rPr>
        <w:lastRenderedPageBreak/>
        <w:t>then under construction, would “mean the end of trying civilian cases in military courts.”</w:t>
      </w:r>
      <w:r w:rsidRPr="0079001A">
        <w:rPr>
          <w:rStyle w:val="FootnoteReference"/>
          <w:color w:val="000000" w:themeColor="text1"/>
          <w:sz w:val="24"/>
          <w:szCs w:val="24"/>
        </w:rPr>
        <w:footnoteReference w:id="33"/>
      </w:r>
      <w:r w:rsidR="436A2EBE" w:rsidRPr="0079001A">
        <w:rPr>
          <w:color w:val="000000" w:themeColor="text1"/>
          <w:sz w:val="24"/>
          <w:szCs w:val="24"/>
        </w:rPr>
        <w:t xml:space="preserve"> </w:t>
      </w:r>
      <w:r w:rsidRPr="0079001A">
        <w:rPr>
          <w:color w:val="000000" w:themeColor="text1"/>
          <w:sz w:val="24"/>
          <w:szCs w:val="24"/>
        </w:rPr>
        <w:t xml:space="preserve">As noted in paragraph </w:t>
      </w:r>
      <w:r w:rsidR="00FC604F" w:rsidRPr="0079001A">
        <w:rPr>
          <w:color w:val="000000" w:themeColor="text1"/>
          <w:sz w:val="24"/>
          <w:szCs w:val="24"/>
        </w:rPr>
        <w:fldChar w:fldCharType="begin"/>
      </w:r>
      <w:r w:rsidR="00FC604F" w:rsidRPr="0079001A">
        <w:rPr>
          <w:color w:val="000000" w:themeColor="text1"/>
          <w:sz w:val="24"/>
          <w:szCs w:val="24"/>
        </w:rPr>
        <w:instrText xml:space="preserve"> REF _Ref115291723 \r \h </w:instrText>
      </w:r>
      <w:r w:rsidR="00FC604F" w:rsidRPr="0079001A">
        <w:rPr>
          <w:color w:val="000000" w:themeColor="text1"/>
          <w:sz w:val="24"/>
          <w:szCs w:val="24"/>
        </w:rPr>
      </w:r>
      <w:r w:rsidR="0079001A" w:rsidRPr="0079001A">
        <w:rPr>
          <w:color w:val="000000" w:themeColor="text1"/>
          <w:sz w:val="24"/>
          <w:szCs w:val="24"/>
        </w:rPr>
        <w:instrText xml:space="preserve"> \* MERGEFORMAT </w:instrText>
      </w:r>
      <w:r w:rsidR="00FC604F" w:rsidRPr="0079001A">
        <w:rPr>
          <w:color w:val="000000" w:themeColor="text1"/>
          <w:sz w:val="24"/>
          <w:szCs w:val="24"/>
        </w:rPr>
        <w:fldChar w:fldCharType="separate"/>
      </w:r>
      <w:r w:rsidR="00FC604F" w:rsidRPr="0079001A">
        <w:rPr>
          <w:color w:val="000000" w:themeColor="text1"/>
          <w:sz w:val="24"/>
          <w:szCs w:val="24"/>
        </w:rPr>
        <w:t>6</w:t>
      </w:r>
      <w:r w:rsidR="00FC604F" w:rsidRPr="0079001A">
        <w:rPr>
          <w:color w:val="000000" w:themeColor="text1"/>
          <w:sz w:val="24"/>
          <w:szCs w:val="24"/>
        </w:rPr>
        <w:fldChar w:fldCharType="end"/>
      </w:r>
      <w:r w:rsidRPr="0079001A">
        <w:rPr>
          <w:color w:val="000000" w:themeColor="text1"/>
          <w:sz w:val="24"/>
          <w:szCs w:val="24"/>
        </w:rPr>
        <w:t>, the complex opened in February 2019</w:t>
      </w:r>
      <w:r w:rsidR="09A3185A" w:rsidRPr="0079001A">
        <w:rPr>
          <w:color w:val="000000" w:themeColor="text1"/>
          <w:sz w:val="24"/>
          <w:szCs w:val="24"/>
        </w:rPr>
        <w:t>.</w:t>
      </w:r>
      <w:r w:rsidRPr="0079001A">
        <w:rPr>
          <w:rStyle w:val="FootnoteReference"/>
          <w:color w:val="000000" w:themeColor="text1"/>
          <w:sz w:val="24"/>
          <w:szCs w:val="24"/>
        </w:rPr>
        <w:footnoteReference w:id="34"/>
      </w:r>
    </w:p>
    <w:p w14:paraId="0798A4F0" w14:textId="77777777" w:rsidR="00400C91" w:rsidRPr="0079001A" w:rsidRDefault="00400C91" w:rsidP="00400C91">
      <w:pPr>
        <w:numPr>
          <w:ilvl w:val="0"/>
          <w:numId w:val="8"/>
        </w:numPr>
        <w:autoSpaceDE w:val="0"/>
        <w:autoSpaceDN w:val="0"/>
        <w:adjustRightInd w:val="0"/>
        <w:spacing w:after="120"/>
        <w:ind w:left="360"/>
        <w:jc w:val="both"/>
        <w:rPr>
          <w:sz w:val="24"/>
          <w:szCs w:val="24"/>
        </w:rPr>
        <w:sectPr w:rsidR="00400C91" w:rsidRPr="0079001A"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pPr>
    </w:p>
    <w:p w14:paraId="3995C218" w14:textId="77777777" w:rsidR="00D84831" w:rsidRPr="0079001A" w:rsidRDefault="00D84831" w:rsidP="00400C91">
      <w:pPr>
        <w:numPr>
          <w:ilvl w:val="0"/>
          <w:numId w:val="8"/>
        </w:numPr>
        <w:autoSpaceDE w:val="0"/>
        <w:autoSpaceDN w:val="0"/>
        <w:adjustRightInd w:val="0"/>
        <w:spacing w:after="120"/>
        <w:ind w:left="360"/>
        <w:jc w:val="both"/>
        <w:rPr>
          <w:sz w:val="24"/>
          <w:szCs w:val="24"/>
        </w:rPr>
      </w:pPr>
      <w:r w:rsidRPr="0079001A">
        <w:rPr>
          <w:sz w:val="24"/>
          <w:szCs w:val="24"/>
        </w:rPr>
        <w:t xml:space="preserve">The death penalty is not limited to “the most serious crimes” in Somalia. In addition to crimes in which the defendant committed an intentional killing, Somalia’s existing penal code permits the use of the death penalty for a host of political crimes, including espionage and many other acts deemed hostile to the State, as well as </w:t>
      </w:r>
      <w:proofErr w:type="gramStart"/>
      <w:r w:rsidRPr="0079001A">
        <w:rPr>
          <w:sz w:val="24"/>
          <w:szCs w:val="24"/>
        </w:rPr>
        <w:t>a number of</w:t>
      </w:r>
      <w:proofErr w:type="gramEnd"/>
      <w:r w:rsidRPr="0079001A">
        <w:rPr>
          <w:sz w:val="24"/>
          <w:szCs w:val="24"/>
        </w:rPr>
        <w:t xml:space="preserve"> crimes that involve endangering public safety, even if they do not result in death. </w:t>
      </w:r>
    </w:p>
    <w:p w14:paraId="4143EC68" w14:textId="6E3E2515" w:rsidR="00400C91" w:rsidRPr="0079001A" w:rsidRDefault="00D84831" w:rsidP="00400C91">
      <w:pPr>
        <w:numPr>
          <w:ilvl w:val="0"/>
          <w:numId w:val="8"/>
        </w:numPr>
        <w:spacing w:after="120"/>
        <w:ind w:left="360"/>
        <w:jc w:val="both"/>
        <w:rPr>
          <w:color w:val="000000" w:themeColor="text1"/>
          <w:sz w:val="24"/>
          <w:szCs w:val="24"/>
        </w:rPr>
      </w:pPr>
      <w:r w:rsidRPr="0079001A">
        <w:rPr>
          <w:color w:val="000000" w:themeColor="text1"/>
          <w:sz w:val="24"/>
          <w:szCs w:val="24"/>
        </w:rPr>
        <w:t xml:space="preserve">A draft penal code completed in 2017 would reduce the number of </w:t>
      </w:r>
      <w:proofErr w:type="gramStart"/>
      <w:r w:rsidR="009D4F46" w:rsidRPr="0079001A">
        <w:rPr>
          <w:color w:val="000000" w:themeColor="text1"/>
          <w:sz w:val="24"/>
          <w:szCs w:val="24"/>
        </w:rPr>
        <w:t>capital</w:t>
      </w:r>
      <w:proofErr w:type="gramEnd"/>
      <w:r w:rsidR="009D4F46" w:rsidRPr="0079001A">
        <w:rPr>
          <w:color w:val="000000" w:themeColor="text1"/>
          <w:sz w:val="24"/>
          <w:szCs w:val="24"/>
        </w:rPr>
        <w:t xml:space="preserve"> crimes</w:t>
      </w:r>
      <w:r w:rsidRPr="0079001A">
        <w:rPr>
          <w:color w:val="000000" w:themeColor="text1"/>
          <w:sz w:val="24"/>
          <w:szCs w:val="24"/>
        </w:rPr>
        <w:t xml:space="preserve">, but </w:t>
      </w:r>
      <w:r w:rsidR="00670DF9" w:rsidRPr="0079001A">
        <w:rPr>
          <w:color w:val="000000" w:themeColor="text1"/>
          <w:sz w:val="24"/>
          <w:szCs w:val="24"/>
        </w:rPr>
        <w:t xml:space="preserve">would nonetheless </w:t>
      </w:r>
      <w:r w:rsidRPr="0079001A">
        <w:rPr>
          <w:color w:val="000000" w:themeColor="text1"/>
          <w:sz w:val="24"/>
          <w:szCs w:val="24"/>
        </w:rPr>
        <w:t>retain the death penalty for at least four crimes, including taking up arms against the State,</w:t>
      </w:r>
      <w:r w:rsidR="00400C91" w:rsidRPr="0079001A">
        <w:rPr>
          <w:rStyle w:val="FootnoteReference"/>
          <w:color w:val="000000" w:themeColor="text1"/>
          <w:sz w:val="24"/>
          <w:szCs w:val="24"/>
        </w:rPr>
        <w:footnoteReference w:id="35"/>
      </w:r>
      <w:r w:rsidR="00400C91" w:rsidRPr="0079001A">
        <w:rPr>
          <w:color w:val="000000" w:themeColor="text1"/>
          <w:sz w:val="24"/>
          <w:szCs w:val="24"/>
        </w:rPr>
        <w:t xml:space="preserve"> genocide,</w:t>
      </w:r>
      <w:r w:rsidR="00400C91" w:rsidRPr="0079001A">
        <w:rPr>
          <w:rStyle w:val="FootnoteReference"/>
          <w:color w:val="000000" w:themeColor="text1"/>
          <w:sz w:val="24"/>
          <w:szCs w:val="24"/>
        </w:rPr>
        <w:footnoteReference w:id="36"/>
      </w:r>
      <w:r w:rsidR="00400C91" w:rsidRPr="0079001A">
        <w:rPr>
          <w:color w:val="000000" w:themeColor="text1"/>
          <w:sz w:val="24"/>
          <w:szCs w:val="24"/>
        </w:rPr>
        <w:t xml:space="preserve"> first degree murder,</w:t>
      </w:r>
      <w:r w:rsidR="00400C91" w:rsidRPr="0079001A">
        <w:rPr>
          <w:rStyle w:val="FootnoteReference"/>
          <w:color w:val="000000" w:themeColor="text1"/>
          <w:sz w:val="24"/>
          <w:szCs w:val="24"/>
        </w:rPr>
        <w:footnoteReference w:id="37"/>
      </w:r>
      <w:r w:rsidR="00400C91" w:rsidRPr="0079001A">
        <w:rPr>
          <w:color w:val="000000" w:themeColor="text1"/>
          <w:sz w:val="24"/>
          <w:szCs w:val="24"/>
        </w:rPr>
        <w:t xml:space="preserve"> and using a weapon of mass destruction.</w:t>
      </w:r>
      <w:r w:rsidR="00400C91" w:rsidRPr="0079001A">
        <w:rPr>
          <w:rStyle w:val="FootnoteReference"/>
          <w:color w:val="000000" w:themeColor="text1"/>
          <w:sz w:val="24"/>
          <w:szCs w:val="24"/>
        </w:rPr>
        <w:footnoteReference w:id="38"/>
      </w:r>
      <w:r w:rsidR="00400C91" w:rsidRPr="0079001A">
        <w:rPr>
          <w:color w:val="000000" w:themeColor="text1"/>
          <w:sz w:val="24"/>
          <w:szCs w:val="24"/>
        </w:rPr>
        <w:t xml:space="preserve"> In addition, the draft </w:t>
      </w:r>
      <w:r w:rsidR="00C02B00" w:rsidRPr="0079001A">
        <w:rPr>
          <w:color w:val="000000" w:themeColor="text1"/>
          <w:sz w:val="24"/>
          <w:szCs w:val="24"/>
        </w:rPr>
        <w:t xml:space="preserve">leaves open the question of </w:t>
      </w:r>
      <w:r w:rsidR="00400C91" w:rsidRPr="0079001A">
        <w:rPr>
          <w:color w:val="000000" w:themeColor="text1"/>
          <w:sz w:val="24"/>
          <w:szCs w:val="24"/>
        </w:rPr>
        <w:t>whether unlawful sexual intercourse should be punishable by death.</w:t>
      </w:r>
      <w:r w:rsidR="00400C91" w:rsidRPr="0079001A">
        <w:rPr>
          <w:rStyle w:val="FootnoteReference"/>
          <w:color w:val="000000" w:themeColor="text1"/>
          <w:sz w:val="24"/>
          <w:szCs w:val="24"/>
        </w:rPr>
        <w:footnoteReference w:id="39"/>
      </w:r>
      <w:r w:rsidR="00400C91" w:rsidRPr="0079001A">
        <w:rPr>
          <w:color w:val="000000" w:themeColor="text1"/>
          <w:sz w:val="24"/>
          <w:szCs w:val="24"/>
        </w:rPr>
        <w:t xml:space="preserve"> The current status of the draft penal code is unclear. In its </w:t>
      </w:r>
      <w:r w:rsidR="00400C91" w:rsidRPr="0079001A">
        <w:rPr>
          <w:sz w:val="24"/>
          <w:szCs w:val="24"/>
        </w:rPr>
        <w:t>Mid-Term Universal Periodic Review Report</w:t>
      </w:r>
      <w:r w:rsidR="00400C91" w:rsidRPr="0079001A">
        <w:rPr>
          <w:color w:val="000000" w:themeColor="text1"/>
          <w:sz w:val="24"/>
          <w:szCs w:val="24"/>
        </w:rPr>
        <w:t>, the FGS reported that the new penal code was under review and expected to be ready in early 2020, but it did not specifically address the 2016 recommendations that had called for the penal code to exclude the death penalty.</w:t>
      </w:r>
      <w:r w:rsidR="00400C91" w:rsidRPr="0079001A">
        <w:rPr>
          <w:rStyle w:val="FootnoteReference"/>
          <w:color w:val="000000" w:themeColor="text1"/>
          <w:sz w:val="24"/>
          <w:szCs w:val="24"/>
        </w:rPr>
        <w:footnoteReference w:id="40"/>
      </w:r>
    </w:p>
    <w:p w14:paraId="6D4453D0" w14:textId="6074010F" w:rsidR="3F56C2F9" w:rsidRPr="0079001A" w:rsidRDefault="003C28DA" w:rsidP="1098890A">
      <w:pPr>
        <w:keepNext/>
        <w:numPr>
          <w:ilvl w:val="0"/>
          <w:numId w:val="9"/>
        </w:numPr>
        <w:spacing w:before="240" w:after="120"/>
        <w:ind w:left="720" w:hanging="360"/>
        <w:jc w:val="both"/>
        <w:rPr>
          <w:b/>
          <w:bCs/>
          <w:color w:val="auto"/>
          <w:sz w:val="24"/>
          <w:szCs w:val="24"/>
        </w:rPr>
      </w:pPr>
      <w:r w:rsidRPr="0079001A">
        <w:rPr>
          <w:b/>
          <w:bCs/>
          <w:color w:val="auto"/>
          <w:sz w:val="24"/>
          <w:szCs w:val="24"/>
        </w:rPr>
        <w:t>Conditions of Detention (</w:t>
      </w:r>
      <w:r w:rsidR="00F36665" w:rsidRPr="0079001A">
        <w:rPr>
          <w:b/>
          <w:bCs/>
          <w:color w:val="auto"/>
          <w:sz w:val="24"/>
          <w:szCs w:val="24"/>
        </w:rPr>
        <w:t>LOIPR</w:t>
      </w:r>
      <w:r w:rsidRPr="0079001A">
        <w:rPr>
          <w:b/>
          <w:bCs/>
          <w:color w:val="auto"/>
          <w:sz w:val="24"/>
          <w:szCs w:val="24"/>
        </w:rPr>
        <w:t xml:space="preserve"> para. </w:t>
      </w:r>
      <w:r w:rsidR="00847D99" w:rsidRPr="0079001A">
        <w:rPr>
          <w:b/>
          <w:bCs/>
          <w:color w:val="auto"/>
          <w:sz w:val="24"/>
          <w:szCs w:val="24"/>
        </w:rPr>
        <w:t>18)</w:t>
      </w:r>
    </w:p>
    <w:p w14:paraId="24F6A8F9" w14:textId="20C37707" w:rsidR="3F56C2F9" w:rsidRPr="0079001A" w:rsidRDefault="3F56C2F9" w:rsidP="00B30274">
      <w:pPr>
        <w:pStyle w:val="ListParagraph"/>
        <w:keepNext/>
        <w:numPr>
          <w:ilvl w:val="0"/>
          <w:numId w:val="8"/>
        </w:numPr>
        <w:spacing w:before="240" w:after="120" w:line="240" w:lineRule="auto"/>
        <w:ind w:left="360"/>
        <w:contextualSpacing w:val="0"/>
        <w:jc w:val="both"/>
        <w:rPr>
          <w:rFonts w:ascii="Times New Roman" w:eastAsia="Times New Roman" w:hAnsi="Times New Roman"/>
          <w:sz w:val="24"/>
          <w:szCs w:val="24"/>
        </w:rPr>
      </w:pPr>
      <w:r w:rsidRPr="0079001A">
        <w:rPr>
          <w:rFonts w:ascii="Times New Roman" w:eastAsia="Times New Roman" w:hAnsi="Times New Roman"/>
          <w:sz w:val="24"/>
          <w:szCs w:val="24"/>
        </w:rPr>
        <w:t>In its 2018 List of Issues, the Committee asked the State Party to “describe measures taken to reduce overcrowdi</w:t>
      </w:r>
      <w:r w:rsidR="54851B57" w:rsidRPr="0079001A">
        <w:rPr>
          <w:rFonts w:ascii="Times New Roman" w:eastAsia="Times New Roman" w:hAnsi="Times New Roman"/>
          <w:sz w:val="24"/>
          <w:szCs w:val="24"/>
        </w:rPr>
        <w:t>ng” and “provide information on the impact of the measures taken to improve the conditions of detention.”</w:t>
      </w:r>
      <w:r w:rsidRPr="0079001A">
        <w:rPr>
          <w:rStyle w:val="FootnoteReference"/>
          <w:rFonts w:ascii="Times New Roman" w:eastAsia="Times New Roman" w:hAnsi="Times New Roman"/>
          <w:sz w:val="24"/>
          <w:szCs w:val="24"/>
        </w:rPr>
        <w:footnoteReference w:id="41"/>
      </w:r>
      <w:r w:rsidR="680A2FEE" w:rsidRPr="0079001A">
        <w:rPr>
          <w:rFonts w:ascii="Times New Roman" w:eastAsia="Times New Roman" w:hAnsi="Times New Roman"/>
          <w:sz w:val="24"/>
          <w:szCs w:val="24"/>
        </w:rPr>
        <w:t xml:space="preserve"> The Committee asked for information regarding efforts to ensure </w:t>
      </w:r>
      <w:r w:rsidR="00F41F7E" w:rsidRPr="0079001A">
        <w:rPr>
          <w:rFonts w:ascii="Times New Roman" w:eastAsia="Times New Roman" w:hAnsi="Times New Roman"/>
          <w:sz w:val="24"/>
          <w:szCs w:val="24"/>
        </w:rPr>
        <w:t xml:space="preserve">that </w:t>
      </w:r>
      <w:r w:rsidR="680A2FEE" w:rsidRPr="0079001A">
        <w:rPr>
          <w:rFonts w:ascii="Times New Roman" w:eastAsia="Times New Roman" w:hAnsi="Times New Roman"/>
          <w:sz w:val="24"/>
          <w:szCs w:val="24"/>
        </w:rPr>
        <w:t>the special needs of minors, women</w:t>
      </w:r>
      <w:r w:rsidR="00F41F7E" w:rsidRPr="0079001A">
        <w:rPr>
          <w:rFonts w:ascii="Times New Roman" w:eastAsia="Times New Roman" w:hAnsi="Times New Roman"/>
          <w:sz w:val="24"/>
          <w:szCs w:val="24"/>
        </w:rPr>
        <w:t>,</w:t>
      </w:r>
      <w:r w:rsidR="680A2FEE" w:rsidRPr="0079001A">
        <w:rPr>
          <w:rFonts w:ascii="Times New Roman" w:eastAsia="Times New Roman" w:hAnsi="Times New Roman"/>
          <w:sz w:val="24"/>
          <w:szCs w:val="24"/>
        </w:rPr>
        <w:t xml:space="preserve"> and persons with disabilities are met in</w:t>
      </w:r>
      <w:r w:rsidR="2A065546" w:rsidRPr="0079001A">
        <w:rPr>
          <w:rFonts w:ascii="Times New Roman" w:eastAsia="Times New Roman" w:hAnsi="Times New Roman"/>
          <w:sz w:val="24"/>
          <w:szCs w:val="24"/>
        </w:rPr>
        <w:t xml:space="preserve"> detention.</w:t>
      </w:r>
      <w:r w:rsidRPr="0079001A">
        <w:rPr>
          <w:rStyle w:val="FootnoteReference"/>
          <w:rFonts w:ascii="Times New Roman" w:eastAsia="Times New Roman" w:hAnsi="Times New Roman"/>
          <w:sz w:val="24"/>
          <w:szCs w:val="24"/>
        </w:rPr>
        <w:footnoteReference w:id="42"/>
      </w:r>
      <w:r w:rsidR="2A065546" w:rsidRPr="0079001A">
        <w:rPr>
          <w:rFonts w:ascii="Times New Roman" w:eastAsia="Times New Roman" w:hAnsi="Times New Roman"/>
          <w:sz w:val="24"/>
          <w:szCs w:val="24"/>
        </w:rPr>
        <w:t xml:space="preserve"> The Committee also asked for updated statistical data from the State Party on the </w:t>
      </w:r>
      <w:r w:rsidR="2A065546" w:rsidRPr="0079001A">
        <w:rPr>
          <w:rFonts w:ascii="Times New Roman" w:eastAsia="Times New Roman" w:hAnsi="Times New Roman"/>
          <w:sz w:val="24"/>
          <w:szCs w:val="24"/>
        </w:rPr>
        <w:lastRenderedPageBreak/>
        <w:t xml:space="preserve">number of deaths in custody, the causes of such deaths, and whether </w:t>
      </w:r>
      <w:r w:rsidR="009E2416" w:rsidRPr="0079001A">
        <w:rPr>
          <w:rFonts w:ascii="Times New Roman" w:eastAsia="Times New Roman" w:hAnsi="Times New Roman"/>
          <w:sz w:val="24"/>
          <w:szCs w:val="24"/>
        </w:rPr>
        <w:t xml:space="preserve">authorities have </w:t>
      </w:r>
      <w:r w:rsidR="2A065546" w:rsidRPr="0079001A">
        <w:rPr>
          <w:rFonts w:ascii="Times New Roman" w:eastAsia="Times New Roman" w:hAnsi="Times New Roman"/>
          <w:sz w:val="24"/>
          <w:szCs w:val="24"/>
        </w:rPr>
        <w:t>investi</w:t>
      </w:r>
      <w:r w:rsidR="63999AE4" w:rsidRPr="0079001A">
        <w:rPr>
          <w:rFonts w:ascii="Times New Roman" w:eastAsia="Times New Roman" w:hAnsi="Times New Roman"/>
          <w:sz w:val="24"/>
          <w:szCs w:val="24"/>
        </w:rPr>
        <w:t>gated</w:t>
      </w:r>
      <w:r w:rsidR="009E2416" w:rsidRPr="0079001A">
        <w:rPr>
          <w:rFonts w:ascii="Times New Roman" w:eastAsia="Times New Roman" w:hAnsi="Times New Roman"/>
          <w:sz w:val="24"/>
          <w:szCs w:val="24"/>
        </w:rPr>
        <w:t xml:space="preserve"> these deaths</w:t>
      </w:r>
      <w:r w:rsidR="63999AE4" w:rsidRPr="0079001A">
        <w:rPr>
          <w:rFonts w:ascii="Times New Roman" w:eastAsia="Times New Roman" w:hAnsi="Times New Roman"/>
          <w:sz w:val="24"/>
          <w:szCs w:val="24"/>
        </w:rPr>
        <w:t>.</w:t>
      </w:r>
      <w:r w:rsidRPr="0079001A">
        <w:rPr>
          <w:rStyle w:val="FootnoteReference"/>
          <w:rFonts w:ascii="Times New Roman" w:eastAsia="Times New Roman" w:hAnsi="Times New Roman"/>
          <w:sz w:val="24"/>
          <w:szCs w:val="24"/>
        </w:rPr>
        <w:footnoteReference w:id="43"/>
      </w:r>
    </w:p>
    <w:p w14:paraId="577AF1F6" w14:textId="28A11C7B" w:rsidR="3AE31193" w:rsidRPr="0079001A" w:rsidRDefault="3AE31193" w:rsidP="00B30274">
      <w:pPr>
        <w:pStyle w:val="ListParagraph"/>
        <w:keepNext/>
        <w:numPr>
          <w:ilvl w:val="0"/>
          <w:numId w:val="8"/>
        </w:numPr>
        <w:spacing w:before="120" w:after="120" w:line="240" w:lineRule="auto"/>
        <w:ind w:left="360"/>
        <w:contextualSpacing w:val="0"/>
        <w:jc w:val="both"/>
        <w:rPr>
          <w:rFonts w:ascii="Times New Roman" w:hAnsi="Times New Roman"/>
          <w:sz w:val="24"/>
          <w:szCs w:val="24"/>
        </w:rPr>
      </w:pPr>
      <w:r w:rsidRPr="0079001A">
        <w:rPr>
          <w:rFonts w:ascii="Times New Roman" w:eastAsia="Times New Roman" w:hAnsi="Times New Roman"/>
          <w:sz w:val="24"/>
          <w:szCs w:val="24"/>
        </w:rPr>
        <w:t xml:space="preserve">In </w:t>
      </w:r>
      <w:r w:rsidR="00EC17E2" w:rsidRPr="0079001A">
        <w:rPr>
          <w:rFonts w:ascii="Times New Roman" w:eastAsia="Times New Roman" w:hAnsi="Times New Roman"/>
          <w:sz w:val="24"/>
          <w:szCs w:val="24"/>
        </w:rPr>
        <w:t>its</w:t>
      </w:r>
      <w:r w:rsidRPr="0079001A">
        <w:rPr>
          <w:rFonts w:ascii="Times New Roman" w:eastAsia="Times New Roman" w:hAnsi="Times New Roman"/>
          <w:sz w:val="24"/>
          <w:szCs w:val="24"/>
        </w:rPr>
        <w:t xml:space="preserve"> State Party Report, Somalia </w:t>
      </w:r>
      <w:r w:rsidR="0892C605" w:rsidRPr="0079001A">
        <w:rPr>
          <w:rFonts w:ascii="Times New Roman" w:eastAsia="Times New Roman" w:hAnsi="Times New Roman"/>
          <w:sz w:val="24"/>
          <w:szCs w:val="24"/>
        </w:rPr>
        <w:t>pointed to</w:t>
      </w:r>
      <w:r w:rsidRPr="0079001A">
        <w:rPr>
          <w:rFonts w:ascii="Times New Roman" w:eastAsia="Times New Roman" w:hAnsi="Times New Roman"/>
          <w:sz w:val="24"/>
          <w:szCs w:val="24"/>
        </w:rPr>
        <w:t xml:space="preserve"> measures taken to ensure adequate prison conditions such as regular visits to detention facilities by the Attorney General’s Office.</w:t>
      </w:r>
      <w:r w:rsidRPr="0079001A">
        <w:rPr>
          <w:rStyle w:val="FootnoteReference"/>
          <w:rFonts w:ascii="Times New Roman" w:eastAsia="Times New Roman" w:hAnsi="Times New Roman"/>
          <w:sz w:val="24"/>
          <w:szCs w:val="24"/>
        </w:rPr>
        <w:footnoteReference w:id="44"/>
      </w:r>
      <w:r w:rsidR="6AA2BEEC" w:rsidRPr="0079001A">
        <w:rPr>
          <w:rFonts w:ascii="Times New Roman" w:eastAsia="Times New Roman" w:hAnsi="Times New Roman"/>
          <w:sz w:val="24"/>
          <w:szCs w:val="24"/>
        </w:rPr>
        <w:t xml:space="preserve"> The Report also </w:t>
      </w:r>
      <w:r w:rsidR="0B184A6C" w:rsidRPr="0079001A">
        <w:rPr>
          <w:rFonts w:ascii="Times New Roman" w:eastAsia="Times New Roman" w:hAnsi="Times New Roman"/>
          <w:sz w:val="24"/>
          <w:szCs w:val="24"/>
        </w:rPr>
        <w:t xml:space="preserve">described </w:t>
      </w:r>
      <w:r w:rsidR="6AA2BEEC" w:rsidRPr="0079001A">
        <w:rPr>
          <w:rFonts w:ascii="Times New Roman" w:eastAsia="Times New Roman" w:hAnsi="Times New Roman"/>
          <w:sz w:val="24"/>
          <w:szCs w:val="24"/>
        </w:rPr>
        <w:t xml:space="preserve">efforts to investigate torture by both the Attorney </w:t>
      </w:r>
      <w:r w:rsidR="2AA66B69" w:rsidRPr="0079001A">
        <w:rPr>
          <w:rFonts w:ascii="Times New Roman" w:eastAsia="Times New Roman" w:hAnsi="Times New Roman"/>
          <w:sz w:val="24"/>
          <w:szCs w:val="24"/>
        </w:rPr>
        <w:t>General’</w:t>
      </w:r>
      <w:r w:rsidR="6AA2BEEC" w:rsidRPr="0079001A">
        <w:rPr>
          <w:rFonts w:ascii="Times New Roman" w:eastAsia="Times New Roman" w:hAnsi="Times New Roman"/>
          <w:sz w:val="24"/>
          <w:szCs w:val="24"/>
        </w:rPr>
        <w:t>s Office and the</w:t>
      </w:r>
      <w:r w:rsidR="79DAE013" w:rsidRPr="0079001A">
        <w:rPr>
          <w:rFonts w:ascii="Times New Roman" w:eastAsia="Times New Roman" w:hAnsi="Times New Roman"/>
          <w:sz w:val="24"/>
          <w:szCs w:val="24"/>
        </w:rPr>
        <w:t xml:space="preserve"> Somali Police Force’s </w:t>
      </w:r>
      <w:r w:rsidR="6AA2BEEC" w:rsidRPr="0079001A">
        <w:rPr>
          <w:rFonts w:ascii="Times New Roman" w:eastAsia="Times New Roman" w:hAnsi="Times New Roman"/>
          <w:sz w:val="24"/>
          <w:szCs w:val="24"/>
        </w:rPr>
        <w:t>Police Oversight Committee</w:t>
      </w:r>
      <w:r w:rsidR="018ED4F6" w:rsidRPr="0079001A">
        <w:rPr>
          <w:rFonts w:ascii="Times New Roman" w:eastAsia="Times New Roman" w:hAnsi="Times New Roman"/>
          <w:sz w:val="24"/>
          <w:szCs w:val="24"/>
        </w:rPr>
        <w:t>.</w:t>
      </w:r>
      <w:r w:rsidRPr="0079001A">
        <w:rPr>
          <w:rStyle w:val="FootnoteReference"/>
          <w:rFonts w:ascii="Times New Roman" w:eastAsia="Times New Roman" w:hAnsi="Times New Roman"/>
          <w:sz w:val="24"/>
          <w:szCs w:val="24"/>
        </w:rPr>
        <w:footnoteReference w:id="45"/>
      </w:r>
      <w:r w:rsidRPr="0079001A">
        <w:rPr>
          <w:rFonts w:ascii="Times New Roman" w:eastAsia="Times New Roman" w:hAnsi="Times New Roman"/>
          <w:sz w:val="24"/>
          <w:szCs w:val="24"/>
        </w:rPr>
        <w:t xml:space="preserve"> </w:t>
      </w:r>
    </w:p>
    <w:p w14:paraId="201ED67E" w14:textId="0B9AF383" w:rsidR="7B5180C1" w:rsidRPr="0079001A" w:rsidRDefault="7B5180C1" w:rsidP="00B30274">
      <w:pPr>
        <w:pStyle w:val="ListParagraph"/>
        <w:keepNext/>
        <w:numPr>
          <w:ilvl w:val="0"/>
          <w:numId w:val="8"/>
        </w:numPr>
        <w:spacing w:before="120" w:after="120" w:line="240" w:lineRule="auto"/>
        <w:ind w:left="360"/>
        <w:contextualSpacing w:val="0"/>
        <w:jc w:val="both"/>
        <w:rPr>
          <w:rFonts w:ascii="Times New Roman" w:eastAsia="Times New Roman" w:hAnsi="Times New Roman"/>
          <w:color w:val="000000" w:themeColor="text1"/>
          <w:sz w:val="24"/>
          <w:szCs w:val="24"/>
        </w:rPr>
      </w:pPr>
      <w:r w:rsidRPr="0079001A">
        <w:rPr>
          <w:rFonts w:ascii="Times New Roman" w:eastAsia="Times New Roman" w:hAnsi="Times New Roman"/>
          <w:sz w:val="24"/>
          <w:szCs w:val="24"/>
        </w:rPr>
        <w:t xml:space="preserve">Despite these efforts, </w:t>
      </w:r>
      <w:r w:rsidR="0CFFDCCB" w:rsidRPr="0079001A">
        <w:rPr>
          <w:rFonts w:ascii="Times New Roman" w:eastAsia="Times New Roman" w:hAnsi="Times New Roman"/>
          <w:sz w:val="24"/>
          <w:szCs w:val="24"/>
        </w:rPr>
        <w:t>o</w:t>
      </w:r>
      <w:r w:rsidRPr="0079001A">
        <w:rPr>
          <w:rFonts w:ascii="Times New Roman" w:eastAsia="Times New Roman" w:hAnsi="Times New Roman"/>
          <w:color w:val="000000" w:themeColor="text1"/>
          <w:sz w:val="24"/>
          <w:szCs w:val="24"/>
        </w:rPr>
        <w:t xml:space="preserve">vercrowding </w:t>
      </w:r>
      <w:r w:rsidR="600FC616" w:rsidRPr="0079001A">
        <w:rPr>
          <w:rFonts w:ascii="Times New Roman" w:eastAsia="Times New Roman" w:hAnsi="Times New Roman"/>
          <w:color w:val="000000" w:themeColor="text1"/>
          <w:sz w:val="24"/>
          <w:szCs w:val="24"/>
        </w:rPr>
        <w:t>and harsh prison conditions remain</w:t>
      </w:r>
      <w:r w:rsidRPr="0079001A">
        <w:rPr>
          <w:rFonts w:ascii="Times New Roman" w:eastAsia="Times New Roman" w:hAnsi="Times New Roman"/>
          <w:color w:val="000000" w:themeColor="text1"/>
          <w:sz w:val="24"/>
          <w:szCs w:val="24"/>
        </w:rPr>
        <w:t xml:space="preserve"> significant problem</w:t>
      </w:r>
      <w:r w:rsidR="385DE211" w:rsidRPr="0079001A">
        <w:rPr>
          <w:rFonts w:ascii="Times New Roman" w:eastAsia="Times New Roman" w:hAnsi="Times New Roman"/>
          <w:color w:val="000000" w:themeColor="text1"/>
          <w:sz w:val="24"/>
          <w:szCs w:val="24"/>
        </w:rPr>
        <w:t>s</w:t>
      </w:r>
      <w:r w:rsidRPr="0079001A">
        <w:rPr>
          <w:rFonts w:ascii="Times New Roman" w:eastAsia="Times New Roman" w:hAnsi="Times New Roman"/>
          <w:color w:val="000000" w:themeColor="text1"/>
          <w:sz w:val="24"/>
          <w:szCs w:val="24"/>
        </w:rPr>
        <w:t xml:space="preserve"> in </w:t>
      </w:r>
      <w:r w:rsidR="782DFC8D" w:rsidRPr="0079001A">
        <w:rPr>
          <w:rFonts w:ascii="Times New Roman" w:eastAsia="Times New Roman" w:hAnsi="Times New Roman"/>
          <w:color w:val="000000" w:themeColor="text1"/>
          <w:sz w:val="24"/>
          <w:szCs w:val="24"/>
        </w:rPr>
        <w:t xml:space="preserve">some </w:t>
      </w:r>
      <w:r w:rsidRPr="0079001A">
        <w:rPr>
          <w:rFonts w:ascii="Times New Roman" w:eastAsia="Times New Roman" w:hAnsi="Times New Roman"/>
          <w:color w:val="000000" w:themeColor="text1"/>
          <w:sz w:val="24"/>
          <w:szCs w:val="24"/>
        </w:rPr>
        <w:t xml:space="preserve">Somali prisons, </w:t>
      </w:r>
      <w:r w:rsidR="3619B433" w:rsidRPr="0079001A">
        <w:rPr>
          <w:rFonts w:ascii="Times New Roman" w:eastAsia="Times New Roman" w:hAnsi="Times New Roman"/>
          <w:color w:val="000000" w:themeColor="text1"/>
          <w:sz w:val="24"/>
          <w:szCs w:val="24"/>
        </w:rPr>
        <w:t>especially in urban prison</w:t>
      </w:r>
      <w:r w:rsidR="1A55F39F" w:rsidRPr="0079001A">
        <w:rPr>
          <w:rFonts w:ascii="Times New Roman" w:eastAsia="Times New Roman" w:hAnsi="Times New Roman"/>
          <w:color w:val="000000" w:themeColor="text1"/>
          <w:sz w:val="24"/>
          <w:szCs w:val="24"/>
        </w:rPr>
        <w:t>s following mass arrests.</w:t>
      </w:r>
      <w:r w:rsidRPr="0079001A">
        <w:rPr>
          <w:rStyle w:val="FootnoteReference"/>
          <w:rFonts w:ascii="Times New Roman" w:eastAsia="Times New Roman" w:hAnsi="Times New Roman"/>
          <w:color w:val="000000" w:themeColor="text1"/>
          <w:sz w:val="24"/>
          <w:szCs w:val="24"/>
        </w:rPr>
        <w:footnoteReference w:id="46"/>
      </w:r>
      <w:r w:rsidRPr="0079001A">
        <w:rPr>
          <w:rFonts w:ascii="Times New Roman" w:eastAsia="Times New Roman" w:hAnsi="Times New Roman"/>
          <w:color w:val="000000" w:themeColor="text1"/>
          <w:sz w:val="24"/>
          <w:szCs w:val="24"/>
        </w:rPr>
        <w:t xml:space="preserve"> </w:t>
      </w:r>
      <w:r w:rsidR="35F467E1" w:rsidRPr="0079001A">
        <w:rPr>
          <w:rFonts w:ascii="Times New Roman" w:eastAsia="Times New Roman" w:hAnsi="Times New Roman"/>
          <w:color w:val="000000" w:themeColor="text1"/>
          <w:sz w:val="24"/>
          <w:szCs w:val="24"/>
        </w:rPr>
        <w:t>Most prisons feature inadequate sanitation, hygiene, medical care, food, and</w:t>
      </w:r>
      <w:r w:rsidR="25D9FBC3" w:rsidRPr="0079001A">
        <w:rPr>
          <w:rFonts w:ascii="Times New Roman" w:eastAsia="Times New Roman" w:hAnsi="Times New Roman"/>
          <w:color w:val="000000" w:themeColor="text1"/>
          <w:sz w:val="24"/>
          <w:szCs w:val="24"/>
        </w:rPr>
        <w:t xml:space="preserve"> water</w:t>
      </w:r>
      <w:r w:rsidR="35F467E1" w:rsidRPr="0079001A">
        <w:rPr>
          <w:rFonts w:ascii="Times New Roman" w:eastAsia="Times New Roman" w:hAnsi="Times New Roman"/>
          <w:color w:val="000000" w:themeColor="text1"/>
          <w:sz w:val="24"/>
          <w:szCs w:val="24"/>
        </w:rPr>
        <w:t xml:space="preserve">. </w:t>
      </w:r>
      <w:r w:rsidR="533CDA24" w:rsidRPr="0079001A">
        <w:rPr>
          <w:rFonts w:ascii="Times New Roman" w:eastAsia="Times New Roman" w:hAnsi="Times New Roman"/>
          <w:color w:val="000000" w:themeColor="text1"/>
          <w:sz w:val="24"/>
          <w:szCs w:val="24"/>
        </w:rPr>
        <w:t>Th</w:t>
      </w:r>
      <w:r w:rsidR="009C7E8A" w:rsidRPr="0079001A">
        <w:rPr>
          <w:rFonts w:ascii="Times New Roman" w:eastAsia="Times New Roman" w:hAnsi="Times New Roman"/>
          <w:color w:val="000000" w:themeColor="text1"/>
          <w:sz w:val="24"/>
          <w:szCs w:val="24"/>
        </w:rPr>
        <w:t>ese conditions</w:t>
      </w:r>
      <w:r w:rsidR="533CDA24" w:rsidRPr="0079001A">
        <w:rPr>
          <w:rFonts w:ascii="Times New Roman" w:eastAsia="Times New Roman" w:hAnsi="Times New Roman"/>
          <w:color w:val="000000" w:themeColor="text1"/>
          <w:sz w:val="24"/>
          <w:szCs w:val="24"/>
        </w:rPr>
        <w:t xml:space="preserve"> force </w:t>
      </w:r>
      <w:r w:rsidR="007F02A6" w:rsidRPr="0079001A">
        <w:rPr>
          <w:rFonts w:ascii="Times New Roman" w:eastAsia="Times New Roman" w:hAnsi="Times New Roman"/>
          <w:color w:val="000000" w:themeColor="text1"/>
          <w:sz w:val="24"/>
          <w:szCs w:val="24"/>
        </w:rPr>
        <w:t xml:space="preserve">people </w:t>
      </w:r>
      <w:r w:rsidR="533CDA24" w:rsidRPr="0079001A">
        <w:rPr>
          <w:rFonts w:ascii="Times New Roman" w:eastAsia="Times New Roman" w:hAnsi="Times New Roman"/>
          <w:color w:val="000000" w:themeColor="text1"/>
          <w:sz w:val="24"/>
          <w:szCs w:val="24"/>
        </w:rPr>
        <w:t>in detention to rely on family members to supplement their diet</w:t>
      </w:r>
      <w:r w:rsidRPr="0079001A">
        <w:rPr>
          <w:rStyle w:val="FootnoteReference"/>
          <w:rFonts w:ascii="Times New Roman" w:eastAsia="Times New Roman" w:hAnsi="Times New Roman"/>
          <w:color w:val="000000" w:themeColor="text1"/>
          <w:sz w:val="24"/>
          <w:szCs w:val="24"/>
        </w:rPr>
        <w:footnoteReference w:id="47"/>
      </w:r>
      <w:r w:rsidR="4A85ADD2" w:rsidRPr="0079001A">
        <w:rPr>
          <w:rFonts w:ascii="Times New Roman" w:eastAsia="Times New Roman" w:hAnsi="Times New Roman"/>
          <w:color w:val="000000" w:themeColor="text1"/>
          <w:sz w:val="24"/>
          <w:szCs w:val="24"/>
        </w:rPr>
        <w:t xml:space="preserve"> </w:t>
      </w:r>
      <w:r w:rsidR="00BC1BF5" w:rsidRPr="0079001A">
        <w:rPr>
          <w:rFonts w:ascii="Times New Roman" w:eastAsia="Times New Roman" w:hAnsi="Times New Roman"/>
          <w:color w:val="000000" w:themeColor="text1"/>
          <w:sz w:val="24"/>
          <w:szCs w:val="24"/>
        </w:rPr>
        <w:t xml:space="preserve">and </w:t>
      </w:r>
      <w:r w:rsidR="4A85ADD2" w:rsidRPr="0079001A">
        <w:rPr>
          <w:rFonts w:ascii="Times New Roman" w:eastAsia="Times New Roman" w:hAnsi="Times New Roman"/>
          <w:color w:val="000000" w:themeColor="text1"/>
          <w:sz w:val="24"/>
          <w:szCs w:val="24"/>
        </w:rPr>
        <w:t>pay for health services.</w:t>
      </w:r>
      <w:r w:rsidRPr="0079001A">
        <w:rPr>
          <w:rStyle w:val="FootnoteReference"/>
          <w:rFonts w:ascii="Times New Roman" w:eastAsia="Times New Roman" w:hAnsi="Times New Roman"/>
          <w:color w:val="000000" w:themeColor="text1"/>
          <w:sz w:val="24"/>
          <w:szCs w:val="24"/>
        </w:rPr>
        <w:footnoteReference w:id="48"/>
      </w:r>
      <w:r w:rsidR="1A3C1613" w:rsidRPr="0079001A">
        <w:rPr>
          <w:rFonts w:ascii="Times New Roman" w:eastAsia="Times New Roman" w:hAnsi="Times New Roman"/>
          <w:color w:val="000000" w:themeColor="text1"/>
          <w:sz w:val="24"/>
          <w:szCs w:val="24"/>
        </w:rPr>
        <w:t xml:space="preserve"> Prison conditions in areas controlled by al-Shabaab were reported as life-threatening, with </w:t>
      </w:r>
      <w:r w:rsidR="00D90CDD" w:rsidRPr="0079001A">
        <w:rPr>
          <w:rFonts w:ascii="Times New Roman" w:eastAsia="Times New Roman" w:hAnsi="Times New Roman"/>
          <w:color w:val="000000" w:themeColor="text1"/>
          <w:sz w:val="24"/>
          <w:szCs w:val="24"/>
        </w:rPr>
        <w:t xml:space="preserve">people </w:t>
      </w:r>
      <w:r w:rsidR="1A3C1613" w:rsidRPr="0079001A">
        <w:rPr>
          <w:rFonts w:ascii="Times New Roman" w:eastAsia="Times New Roman" w:hAnsi="Times New Roman"/>
          <w:color w:val="000000" w:themeColor="text1"/>
          <w:sz w:val="24"/>
          <w:szCs w:val="24"/>
        </w:rPr>
        <w:t xml:space="preserve">detained in inhuman conditions </w:t>
      </w:r>
      <w:r w:rsidR="6BFDB42C" w:rsidRPr="0079001A">
        <w:rPr>
          <w:rFonts w:ascii="Times New Roman" w:eastAsia="Times New Roman" w:hAnsi="Times New Roman"/>
          <w:color w:val="000000" w:themeColor="text1"/>
          <w:sz w:val="24"/>
          <w:szCs w:val="24"/>
        </w:rPr>
        <w:t xml:space="preserve">while having committed </w:t>
      </w:r>
      <w:r w:rsidR="00EA2C1E" w:rsidRPr="0079001A">
        <w:rPr>
          <w:rFonts w:ascii="Times New Roman" w:eastAsia="Times New Roman" w:hAnsi="Times New Roman"/>
          <w:color w:val="000000" w:themeColor="text1"/>
          <w:sz w:val="24"/>
          <w:szCs w:val="24"/>
        </w:rPr>
        <w:t xml:space="preserve">only </w:t>
      </w:r>
      <w:r w:rsidR="6BFDB42C" w:rsidRPr="0079001A">
        <w:rPr>
          <w:rFonts w:ascii="Times New Roman" w:eastAsia="Times New Roman" w:hAnsi="Times New Roman"/>
          <w:color w:val="000000" w:themeColor="text1"/>
          <w:sz w:val="24"/>
          <w:szCs w:val="24"/>
        </w:rPr>
        <w:t>minor offenses.</w:t>
      </w:r>
      <w:r w:rsidRPr="0079001A">
        <w:rPr>
          <w:rStyle w:val="FootnoteReference"/>
          <w:rFonts w:ascii="Times New Roman" w:eastAsia="Times New Roman" w:hAnsi="Times New Roman"/>
          <w:color w:val="000000" w:themeColor="text1"/>
          <w:sz w:val="24"/>
          <w:szCs w:val="24"/>
        </w:rPr>
        <w:footnoteReference w:id="49"/>
      </w:r>
    </w:p>
    <w:p w14:paraId="71434034" w14:textId="1D41E2DC" w:rsidR="003A101A" w:rsidRPr="0079001A" w:rsidRDefault="003A101A" w:rsidP="00B30274">
      <w:pPr>
        <w:numPr>
          <w:ilvl w:val="0"/>
          <w:numId w:val="8"/>
        </w:numPr>
        <w:autoSpaceDE w:val="0"/>
        <w:autoSpaceDN w:val="0"/>
        <w:adjustRightInd w:val="0"/>
        <w:spacing w:after="120"/>
        <w:ind w:left="360"/>
        <w:jc w:val="both"/>
        <w:rPr>
          <w:sz w:val="24"/>
          <w:szCs w:val="24"/>
        </w:rPr>
      </w:pPr>
      <w:bookmarkStart w:id="2" w:name="_Ref52977692"/>
      <w:r w:rsidRPr="0079001A">
        <w:rPr>
          <w:sz w:val="24"/>
          <w:szCs w:val="24"/>
        </w:rPr>
        <w:t>The new Mogadishu Prison and Courts Complex opened in February 2019.</w:t>
      </w:r>
      <w:r w:rsidRPr="0079001A">
        <w:rPr>
          <w:rStyle w:val="FootnoteReference"/>
          <w:sz w:val="24"/>
          <w:szCs w:val="24"/>
        </w:rPr>
        <w:footnoteReference w:id="50"/>
      </w:r>
      <w:r w:rsidRPr="0079001A">
        <w:rPr>
          <w:sz w:val="24"/>
          <w:szCs w:val="24"/>
        </w:rPr>
        <w:t xml:space="preserve"> The inclusion of a newly constructed 250 bed high-security prison</w:t>
      </w:r>
      <w:r w:rsidRPr="0079001A">
        <w:rPr>
          <w:rStyle w:val="FootnoteReference"/>
          <w:sz w:val="24"/>
          <w:szCs w:val="24"/>
        </w:rPr>
        <w:footnoteReference w:id="51"/>
      </w:r>
      <w:r w:rsidRPr="0079001A">
        <w:rPr>
          <w:sz w:val="24"/>
          <w:szCs w:val="24"/>
        </w:rPr>
        <w:t xml:space="preserve"> is likely to be helpful in alleviating overcrowding and other infrastructure problems, </w:t>
      </w:r>
      <w:proofErr w:type="gramStart"/>
      <w:r w:rsidRPr="0079001A">
        <w:rPr>
          <w:sz w:val="24"/>
          <w:szCs w:val="24"/>
        </w:rPr>
        <w:t>assuming that</w:t>
      </w:r>
      <w:proofErr w:type="gramEnd"/>
      <w:r w:rsidRPr="0079001A">
        <w:rPr>
          <w:sz w:val="24"/>
          <w:szCs w:val="24"/>
        </w:rPr>
        <w:t xml:space="preserve"> other needed court reforms prevent an increase in the rate of new incarcerations.</w:t>
      </w:r>
      <w:bookmarkEnd w:id="2"/>
      <w:r w:rsidRPr="0079001A">
        <w:rPr>
          <w:sz w:val="24"/>
          <w:szCs w:val="24"/>
        </w:rPr>
        <w:t xml:space="preserve"> </w:t>
      </w:r>
    </w:p>
    <w:p w14:paraId="16B35CFD" w14:textId="1028D91C" w:rsidR="1098890A" w:rsidRPr="0079001A" w:rsidRDefault="43669EFB" w:rsidP="00B30274">
      <w:pPr>
        <w:pStyle w:val="ListParagraph"/>
        <w:keepNext/>
        <w:numPr>
          <w:ilvl w:val="0"/>
          <w:numId w:val="8"/>
        </w:numPr>
        <w:spacing w:before="120" w:after="120" w:line="240" w:lineRule="auto"/>
        <w:ind w:left="360"/>
        <w:contextualSpacing w:val="0"/>
        <w:jc w:val="both"/>
        <w:rPr>
          <w:rFonts w:ascii="Times New Roman" w:eastAsia="Times New Roman" w:hAnsi="Times New Roman"/>
          <w:color w:val="000000" w:themeColor="text1"/>
          <w:sz w:val="24"/>
          <w:szCs w:val="24"/>
        </w:rPr>
      </w:pPr>
      <w:r w:rsidRPr="0079001A">
        <w:rPr>
          <w:rFonts w:ascii="Times New Roman" w:eastAsia="Times New Roman" w:hAnsi="Times New Roman"/>
          <w:color w:val="000000" w:themeColor="text1"/>
          <w:sz w:val="24"/>
          <w:szCs w:val="24"/>
        </w:rPr>
        <w:t>There have been reports that prisons occasionally did not separate minors from adults during their detention.</w:t>
      </w:r>
      <w:r w:rsidRPr="0079001A">
        <w:rPr>
          <w:rStyle w:val="FootnoteReference"/>
          <w:rFonts w:ascii="Times New Roman" w:eastAsia="Times New Roman" w:hAnsi="Times New Roman"/>
          <w:color w:val="000000" w:themeColor="text1"/>
          <w:sz w:val="24"/>
          <w:szCs w:val="24"/>
        </w:rPr>
        <w:footnoteReference w:id="52"/>
      </w:r>
      <w:r w:rsidRPr="0079001A">
        <w:rPr>
          <w:rFonts w:ascii="Times New Roman" w:eastAsia="Times New Roman" w:hAnsi="Times New Roman"/>
          <w:color w:val="000000" w:themeColor="text1"/>
          <w:sz w:val="24"/>
          <w:szCs w:val="24"/>
        </w:rPr>
        <w:t xml:space="preserve"> </w:t>
      </w:r>
      <w:r w:rsidR="49787D0A" w:rsidRPr="0079001A">
        <w:rPr>
          <w:rFonts w:ascii="Times New Roman" w:eastAsia="Times New Roman" w:hAnsi="Times New Roman"/>
          <w:color w:val="000000" w:themeColor="text1"/>
          <w:sz w:val="24"/>
          <w:szCs w:val="24"/>
        </w:rPr>
        <w:t xml:space="preserve">Minors in detention have </w:t>
      </w:r>
      <w:r w:rsidR="20C26186" w:rsidRPr="0079001A">
        <w:rPr>
          <w:rFonts w:ascii="Times New Roman" w:eastAsia="Times New Roman" w:hAnsi="Times New Roman"/>
          <w:color w:val="000000" w:themeColor="text1"/>
          <w:sz w:val="24"/>
          <w:szCs w:val="24"/>
        </w:rPr>
        <w:t xml:space="preserve">also </w:t>
      </w:r>
      <w:r w:rsidR="49787D0A" w:rsidRPr="0079001A">
        <w:rPr>
          <w:rFonts w:ascii="Times New Roman" w:eastAsia="Times New Roman" w:hAnsi="Times New Roman"/>
          <w:color w:val="000000" w:themeColor="text1"/>
          <w:sz w:val="24"/>
          <w:szCs w:val="24"/>
        </w:rPr>
        <w:t xml:space="preserve">been executed since the </w:t>
      </w:r>
      <w:r w:rsidR="00C419F7" w:rsidRPr="0079001A">
        <w:rPr>
          <w:rFonts w:ascii="Times New Roman" w:eastAsia="Times New Roman" w:hAnsi="Times New Roman"/>
          <w:color w:val="000000" w:themeColor="text1"/>
          <w:sz w:val="24"/>
          <w:szCs w:val="24"/>
        </w:rPr>
        <w:t xml:space="preserve">Committee’s </w:t>
      </w:r>
      <w:r w:rsidR="49787D0A" w:rsidRPr="0079001A">
        <w:rPr>
          <w:rFonts w:ascii="Times New Roman" w:eastAsia="Times New Roman" w:hAnsi="Times New Roman"/>
          <w:color w:val="000000" w:themeColor="text1"/>
          <w:sz w:val="24"/>
          <w:szCs w:val="24"/>
        </w:rPr>
        <w:t>last review of Somalia.</w:t>
      </w:r>
      <w:r w:rsidR="4B99A08A" w:rsidRPr="0079001A">
        <w:rPr>
          <w:rFonts w:ascii="Times New Roman" w:eastAsia="Times New Roman" w:hAnsi="Times New Roman"/>
          <w:color w:val="000000" w:themeColor="text1"/>
          <w:sz w:val="24"/>
          <w:szCs w:val="24"/>
        </w:rPr>
        <w:t xml:space="preserve"> For example, in April 2017, authorities in Puntland executed five boys aged 14 to 17 after a military court convicted them of participating in killings carried out by </w:t>
      </w:r>
      <w:r w:rsidR="00192AFA" w:rsidRPr="0079001A">
        <w:rPr>
          <w:rFonts w:ascii="Times New Roman" w:eastAsia="Times New Roman" w:hAnsi="Times New Roman"/>
          <w:color w:val="000000" w:themeColor="text1"/>
          <w:sz w:val="24"/>
          <w:szCs w:val="24"/>
        </w:rPr>
        <w:t>a</w:t>
      </w:r>
      <w:r w:rsidR="4B99A08A" w:rsidRPr="0079001A">
        <w:rPr>
          <w:rFonts w:ascii="Times New Roman" w:eastAsia="Times New Roman" w:hAnsi="Times New Roman"/>
          <w:color w:val="000000" w:themeColor="text1"/>
          <w:sz w:val="24"/>
          <w:szCs w:val="24"/>
        </w:rPr>
        <w:t>l-</w:t>
      </w:r>
      <w:r w:rsidR="4B99A08A" w:rsidRPr="0079001A">
        <w:rPr>
          <w:rFonts w:ascii="Times New Roman" w:eastAsia="Times New Roman" w:hAnsi="Times New Roman"/>
          <w:color w:val="000000" w:themeColor="text1"/>
          <w:sz w:val="24"/>
          <w:szCs w:val="24"/>
        </w:rPr>
        <w:lastRenderedPageBreak/>
        <w:t>Shabaab.</w:t>
      </w:r>
      <w:r w:rsidRPr="0079001A">
        <w:rPr>
          <w:rStyle w:val="FootnoteReference"/>
          <w:rFonts w:ascii="Times New Roman" w:eastAsia="Times New Roman" w:hAnsi="Times New Roman"/>
          <w:color w:val="000000" w:themeColor="text1"/>
          <w:sz w:val="24"/>
          <w:szCs w:val="24"/>
        </w:rPr>
        <w:footnoteReference w:id="53"/>
      </w:r>
      <w:r w:rsidR="4B99A08A" w:rsidRPr="0079001A">
        <w:rPr>
          <w:rFonts w:ascii="Times New Roman" w:eastAsia="Times New Roman" w:hAnsi="Times New Roman"/>
          <w:color w:val="000000" w:themeColor="text1"/>
          <w:sz w:val="24"/>
          <w:szCs w:val="24"/>
        </w:rPr>
        <w:t xml:space="preserve"> </w:t>
      </w:r>
      <w:r w:rsidR="12242C58" w:rsidRPr="0079001A">
        <w:rPr>
          <w:rFonts w:ascii="Times New Roman" w:eastAsia="Times New Roman" w:hAnsi="Times New Roman"/>
          <w:color w:val="000000" w:themeColor="text1"/>
          <w:sz w:val="24"/>
          <w:szCs w:val="24"/>
        </w:rPr>
        <w:t>Two other boys who had also been convicted in the case told their families they were coerced through torture into confessing to the crimes.</w:t>
      </w:r>
      <w:r w:rsidRPr="0079001A">
        <w:rPr>
          <w:rStyle w:val="FootnoteReference"/>
          <w:rFonts w:ascii="Times New Roman" w:eastAsia="Times New Roman" w:hAnsi="Times New Roman"/>
          <w:color w:val="000000" w:themeColor="text1"/>
          <w:sz w:val="24"/>
          <w:szCs w:val="24"/>
        </w:rPr>
        <w:footnoteReference w:id="54"/>
      </w:r>
    </w:p>
    <w:p w14:paraId="7CC130D1" w14:textId="0A1DD420" w:rsidR="00DE4D80" w:rsidRPr="0079001A" w:rsidRDefault="00A90CC3" w:rsidP="00B30274">
      <w:pPr>
        <w:pStyle w:val="ListParagraph"/>
        <w:keepNext/>
        <w:numPr>
          <w:ilvl w:val="0"/>
          <w:numId w:val="9"/>
        </w:numPr>
        <w:spacing w:before="120" w:after="120" w:line="240" w:lineRule="auto"/>
        <w:jc w:val="both"/>
        <w:rPr>
          <w:rFonts w:ascii="Times New Roman" w:eastAsia="Times New Roman" w:hAnsi="Times New Roman"/>
          <w:b/>
          <w:bCs/>
          <w:kern w:val="28"/>
          <w:sz w:val="24"/>
          <w:szCs w:val="24"/>
        </w:rPr>
      </w:pPr>
      <w:r w:rsidRPr="0079001A">
        <w:rPr>
          <w:rFonts w:ascii="Times New Roman" w:eastAsia="Times New Roman" w:hAnsi="Times New Roman"/>
          <w:b/>
          <w:bCs/>
          <w:kern w:val="28"/>
          <w:sz w:val="24"/>
          <w:szCs w:val="24"/>
        </w:rPr>
        <w:t>Violations of human rights in the context of anti-terrorism</w:t>
      </w:r>
      <w:r w:rsidR="005B44C6" w:rsidRPr="0079001A">
        <w:rPr>
          <w:rFonts w:ascii="Times New Roman" w:eastAsia="Times New Roman" w:hAnsi="Times New Roman"/>
          <w:b/>
          <w:bCs/>
          <w:kern w:val="28"/>
          <w:sz w:val="24"/>
          <w:szCs w:val="24"/>
        </w:rPr>
        <w:t xml:space="preserve"> (</w:t>
      </w:r>
      <w:r w:rsidR="00201990" w:rsidRPr="0079001A">
        <w:rPr>
          <w:rFonts w:ascii="Times New Roman" w:eastAsia="Times New Roman" w:hAnsi="Times New Roman"/>
          <w:b/>
          <w:bCs/>
          <w:kern w:val="28"/>
          <w:sz w:val="24"/>
          <w:szCs w:val="24"/>
        </w:rPr>
        <w:t>LOIPR</w:t>
      </w:r>
      <w:r w:rsidR="005B44C6" w:rsidRPr="0079001A">
        <w:rPr>
          <w:rFonts w:ascii="Times New Roman" w:eastAsia="Times New Roman" w:hAnsi="Times New Roman"/>
          <w:b/>
          <w:bCs/>
          <w:kern w:val="28"/>
          <w:sz w:val="24"/>
          <w:szCs w:val="24"/>
        </w:rPr>
        <w:t>, para. 32)</w:t>
      </w:r>
    </w:p>
    <w:p w14:paraId="17ADCD15" w14:textId="6F56B86E" w:rsidR="00A90CC3" w:rsidRPr="0079001A" w:rsidRDefault="00A90CC3" w:rsidP="00B30274">
      <w:pPr>
        <w:pStyle w:val="ListParagraph"/>
        <w:keepNext/>
        <w:numPr>
          <w:ilvl w:val="0"/>
          <w:numId w:val="8"/>
        </w:numPr>
        <w:spacing w:before="240" w:after="120" w:line="240" w:lineRule="auto"/>
        <w:ind w:left="360"/>
        <w:contextualSpacing w:val="0"/>
        <w:jc w:val="both"/>
        <w:rPr>
          <w:rFonts w:ascii="Times New Roman" w:eastAsia="Times New Roman" w:hAnsi="Times New Roman"/>
          <w:color w:val="000000" w:themeColor="text1"/>
          <w:sz w:val="24"/>
          <w:szCs w:val="24"/>
        </w:rPr>
      </w:pPr>
      <w:r w:rsidRPr="0079001A">
        <w:rPr>
          <w:rFonts w:ascii="Times New Roman" w:eastAsia="Times New Roman" w:hAnsi="Times New Roman"/>
          <w:color w:val="000000" w:themeColor="text1"/>
          <w:sz w:val="24"/>
          <w:szCs w:val="24"/>
        </w:rPr>
        <w:t xml:space="preserve">In its 2018 List of Issues, the Committee requested further information on </w:t>
      </w:r>
      <w:r w:rsidR="00C700EB" w:rsidRPr="0079001A">
        <w:rPr>
          <w:rFonts w:ascii="Times New Roman" w:eastAsia="Times New Roman" w:hAnsi="Times New Roman"/>
          <w:color w:val="000000" w:themeColor="text1"/>
          <w:sz w:val="24"/>
          <w:szCs w:val="24"/>
        </w:rPr>
        <w:t>antiterrorism measures and how they have affected human rights safeguards.</w:t>
      </w:r>
      <w:r w:rsidR="00C700EB" w:rsidRPr="0079001A">
        <w:rPr>
          <w:rStyle w:val="FootnoteReference"/>
          <w:rFonts w:ascii="Times New Roman" w:eastAsia="Times New Roman" w:hAnsi="Times New Roman"/>
          <w:color w:val="000000" w:themeColor="text1"/>
          <w:sz w:val="24"/>
          <w:szCs w:val="24"/>
        </w:rPr>
        <w:footnoteReference w:id="55"/>
      </w:r>
      <w:r w:rsidR="00C700EB" w:rsidRPr="0079001A">
        <w:rPr>
          <w:rFonts w:ascii="Times New Roman" w:eastAsia="Times New Roman" w:hAnsi="Times New Roman"/>
          <w:color w:val="000000" w:themeColor="text1"/>
          <w:sz w:val="24"/>
          <w:szCs w:val="24"/>
        </w:rPr>
        <w:t xml:space="preserve"> </w:t>
      </w:r>
      <w:r w:rsidR="00C67E4A" w:rsidRPr="0079001A">
        <w:rPr>
          <w:rFonts w:ascii="Times New Roman" w:eastAsia="Times New Roman" w:hAnsi="Times New Roman"/>
          <w:color w:val="000000" w:themeColor="text1"/>
          <w:sz w:val="24"/>
          <w:szCs w:val="24"/>
        </w:rPr>
        <w:t xml:space="preserve">The Committee also requested information on </w:t>
      </w:r>
      <w:r w:rsidR="008A2889" w:rsidRPr="0079001A">
        <w:rPr>
          <w:rFonts w:ascii="Times New Roman" w:eastAsia="Times New Roman" w:hAnsi="Times New Roman"/>
          <w:color w:val="000000" w:themeColor="text1"/>
          <w:sz w:val="24"/>
          <w:szCs w:val="24"/>
        </w:rPr>
        <w:t>“</w:t>
      </w:r>
      <w:r w:rsidR="008A2889" w:rsidRPr="0079001A">
        <w:rPr>
          <w:rFonts w:ascii="Times New Roman" w:hAnsi="Times New Roman"/>
          <w:sz w:val="24"/>
          <w:szCs w:val="24"/>
        </w:rPr>
        <w:t>the relevant training given to law enforcement officers; the number of persons convicted under such legislation; the legal safeguards and remedies available to persons subjected to antiterrorism measures in law and in practice; whether there have been any complaints of non-observance of international standards; and the outcome of those complaints.”</w:t>
      </w:r>
      <w:r w:rsidR="008A2889" w:rsidRPr="0079001A">
        <w:rPr>
          <w:rStyle w:val="FootnoteReference"/>
          <w:rFonts w:ascii="Times New Roman" w:hAnsi="Times New Roman"/>
          <w:sz w:val="24"/>
          <w:szCs w:val="24"/>
        </w:rPr>
        <w:footnoteReference w:id="56"/>
      </w:r>
    </w:p>
    <w:p w14:paraId="7CF2C6B0" w14:textId="355F9802" w:rsidR="008051C0" w:rsidRPr="0079001A" w:rsidRDefault="001B012E" w:rsidP="00B30274">
      <w:pPr>
        <w:pStyle w:val="ListParagraph"/>
        <w:keepNext/>
        <w:numPr>
          <w:ilvl w:val="0"/>
          <w:numId w:val="8"/>
        </w:numPr>
        <w:spacing w:before="120" w:after="120" w:line="240" w:lineRule="auto"/>
        <w:ind w:left="360"/>
        <w:contextualSpacing w:val="0"/>
        <w:jc w:val="both"/>
        <w:rPr>
          <w:rFonts w:ascii="Times New Roman" w:eastAsia="Times New Roman" w:hAnsi="Times New Roman"/>
          <w:color w:val="000000" w:themeColor="text1"/>
          <w:sz w:val="24"/>
          <w:szCs w:val="24"/>
        </w:rPr>
      </w:pPr>
      <w:r w:rsidRPr="0079001A">
        <w:rPr>
          <w:rFonts w:ascii="Times New Roman" w:hAnsi="Times New Roman"/>
          <w:sz w:val="24"/>
          <w:szCs w:val="24"/>
        </w:rPr>
        <w:t xml:space="preserve">In its State Party </w:t>
      </w:r>
      <w:r w:rsidR="00A73C4A" w:rsidRPr="0079001A">
        <w:rPr>
          <w:rFonts w:ascii="Times New Roman" w:hAnsi="Times New Roman"/>
          <w:sz w:val="24"/>
          <w:szCs w:val="24"/>
        </w:rPr>
        <w:t>R</w:t>
      </w:r>
      <w:r w:rsidRPr="0079001A">
        <w:rPr>
          <w:rFonts w:ascii="Times New Roman" w:hAnsi="Times New Roman"/>
          <w:sz w:val="24"/>
          <w:szCs w:val="24"/>
        </w:rPr>
        <w:t xml:space="preserve">eport, </w:t>
      </w:r>
      <w:r w:rsidR="00F12065" w:rsidRPr="0079001A">
        <w:rPr>
          <w:rFonts w:ascii="Times New Roman" w:hAnsi="Times New Roman"/>
          <w:sz w:val="24"/>
          <w:szCs w:val="24"/>
        </w:rPr>
        <w:t>Somalia stated tha</w:t>
      </w:r>
      <w:r w:rsidR="00E862AC" w:rsidRPr="0079001A">
        <w:rPr>
          <w:rFonts w:ascii="Times New Roman" w:hAnsi="Times New Roman"/>
          <w:sz w:val="24"/>
          <w:szCs w:val="24"/>
        </w:rPr>
        <w:t xml:space="preserve">t its measures to strike a “balance between human rights and legitimate security concerns” </w:t>
      </w:r>
      <w:r w:rsidR="003F433F" w:rsidRPr="0079001A">
        <w:rPr>
          <w:rFonts w:ascii="Times New Roman" w:hAnsi="Times New Roman"/>
          <w:sz w:val="24"/>
          <w:szCs w:val="24"/>
        </w:rPr>
        <w:t>are a</w:t>
      </w:r>
      <w:r w:rsidR="001F303A" w:rsidRPr="0079001A">
        <w:rPr>
          <w:rFonts w:ascii="Times New Roman" w:hAnsi="Times New Roman"/>
          <w:sz w:val="24"/>
          <w:szCs w:val="24"/>
        </w:rPr>
        <w:t xml:space="preserve"> work in progress.</w:t>
      </w:r>
      <w:r w:rsidR="001F303A" w:rsidRPr="0079001A">
        <w:rPr>
          <w:rStyle w:val="FootnoteReference"/>
          <w:rFonts w:ascii="Times New Roman" w:hAnsi="Times New Roman"/>
          <w:sz w:val="24"/>
          <w:szCs w:val="24"/>
        </w:rPr>
        <w:footnoteReference w:id="57"/>
      </w:r>
      <w:r w:rsidR="007E5307" w:rsidRPr="0079001A">
        <w:rPr>
          <w:rFonts w:ascii="Times New Roman" w:hAnsi="Times New Roman"/>
          <w:sz w:val="24"/>
          <w:szCs w:val="24"/>
        </w:rPr>
        <w:t xml:space="preserve"> It also emphasized that it is difficult </w:t>
      </w:r>
      <w:r w:rsidR="004E7D83" w:rsidRPr="0079001A">
        <w:rPr>
          <w:rFonts w:ascii="Times New Roman" w:hAnsi="Times New Roman"/>
          <w:sz w:val="24"/>
          <w:szCs w:val="24"/>
        </w:rPr>
        <w:t>to obtain exact numbers of cases of non-observance of international standards in the context of antiterrorism.</w:t>
      </w:r>
      <w:r w:rsidR="004E7D83" w:rsidRPr="0079001A">
        <w:rPr>
          <w:rStyle w:val="FootnoteReference"/>
          <w:rFonts w:ascii="Times New Roman" w:hAnsi="Times New Roman"/>
          <w:sz w:val="24"/>
          <w:szCs w:val="24"/>
        </w:rPr>
        <w:footnoteReference w:id="58"/>
      </w:r>
    </w:p>
    <w:p w14:paraId="4BB513C3" w14:textId="08B2B034" w:rsidR="008F0336" w:rsidRPr="0079001A" w:rsidRDefault="008F0336" w:rsidP="00B30274">
      <w:pPr>
        <w:pStyle w:val="ListParagraph"/>
        <w:keepNext/>
        <w:numPr>
          <w:ilvl w:val="0"/>
          <w:numId w:val="8"/>
        </w:numPr>
        <w:spacing w:before="120" w:after="120" w:line="240" w:lineRule="auto"/>
        <w:ind w:left="360"/>
        <w:contextualSpacing w:val="0"/>
        <w:jc w:val="both"/>
        <w:rPr>
          <w:rFonts w:ascii="Times New Roman" w:hAnsi="Times New Roman"/>
          <w:sz w:val="24"/>
          <w:szCs w:val="24"/>
        </w:rPr>
      </w:pPr>
      <w:r w:rsidRPr="0079001A">
        <w:rPr>
          <w:rFonts w:ascii="Times New Roman" w:hAnsi="Times New Roman"/>
          <w:sz w:val="24"/>
          <w:szCs w:val="24"/>
        </w:rPr>
        <w:t xml:space="preserve">As mentioned </w:t>
      </w:r>
      <w:r w:rsidR="00A73C4A" w:rsidRPr="0079001A">
        <w:rPr>
          <w:rFonts w:ascii="Times New Roman" w:hAnsi="Times New Roman"/>
          <w:sz w:val="24"/>
          <w:szCs w:val="24"/>
        </w:rPr>
        <w:t>above</w:t>
      </w:r>
      <w:r w:rsidRPr="0079001A">
        <w:rPr>
          <w:rFonts w:ascii="Times New Roman" w:hAnsi="Times New Roman"/>
          <w:sz w:val="24"/>
          <w:szCs w:val="24"/>
        </w:rPr>
        <w:t>, Somalia retains the death penalty for terrorism-related offenses. In November 2019, an FGS military court sentenced a person to death for an alleged terrorist attack.</w:t>
      </w:r>
      <w:r w:rsidRPr="0079001A">
        <w:rPr>
          <w:rFonts w:ascii="Times New Roman" w:hAnsi="Times New Roman"/>
          <w:sz w:val="24"/>
          <w:szCs w:val="24"/>
          <w:vertAlign w:val="superscript"/>
        </w:rPr>
        <w:footnoteReference w:id="59"/>
      </w:r>
      <w:r w:rsidRPr="0079001A">
        <w:rPr>
          <w:rFonts w:ascii="Times New Roman" w:hAnsi="Times New Roman"/>
          <w:sz w:val="24"/>
          <w:szCs w:val="24"/>
        </w:rPr>
        <w:t xml:space="preserve"> Military courts in Somalia carried out many executions of alleged terrorists in 2020.</w:t>
      </w:r>
      <w:r w:rsidRPr="0079001A">
        <w:rPr>
          <w:rFonts w:ascii="Times New Roman" w:hAnsi="Times New Roman"/>
          <w:sz w:val="24"/>
          <w:szCs w:val="24"/>
          <w:vertAlign w:val="superscript"/>
        </w:rPr>
        <w:footnoteReference w:id="60"/>
      </w:r>
      <w:r w:rsidRPr="0079001A">
        <w:rPr>
          <w:rFonts w:ascii="Times New Roman" w:hAnsi="Times New Roman"/>
          <w:sz w:val="24"/>
          <w:szCs w:val="24"/>
          <w:vertAlign w:val="superscript"/>
        </w:rPr>
        <w:t xml:space="preserve"> </w:t>
      </w:r>
      <w:r w:rsidRPr="0079001A">
        <w:rPr>
          <w:rFonts w:ascii="Times New Roman" w:hAnsi="Times New Roman"/>
          <w:sz w:val="24"/>
          <w:szCs w:val="24"/>
        </w:rPr>
        <w:t>In September 2020, a Puntland military court sentenced to death a person accused of terrorism offenses.</w:t>
      </w:r>
      <w:r w:rsidRPr="0079001A">
        <w:rPr>
          <w:rFonts w:ascii="Times New Roman" w:hAnsi="Times New Roman"/>
          <w:sz w:val="24"/>
          <w:szCs w:val="24"/>
          <w:vertAlign w:val="superscript"/>
        </w:rPr>
        <w:footnoteReference w:id="61"/>
      </w:r>
      <w:r w:rsidRPr="0079001A">
        <w:rPr>
          <w:rFonts w:ascii="Times New Roman" w:hAnsi="Times New Roman"/>
          <w:sz w:val="24"/>
          <w:szCs w:val="24"/>
        </w:rPr>
        <w:t xml:space="preserve"> In 2021, </w:t>
      </w:r>
      <w:r w:rsidR="00482138" w:rsidRPr="0079001A">
        <w:rPr>
          <w:rFonts w:ascii="Times New Roman" w:hAnsi="Times New Roman"/>
          <w:sz w:val="24"/>
          <w:szCs w:val="24"/>
        </w:rPr>
        <w:t xml:space="preserve">courts in Puntland sentenced </w:t>
      </w:r>
      <w:r w:rsidRPr="0079001A">
        <w:rPr>
          <w:rFonts w:ascii="Times New Roman" w:hAnsi="Times New Roman"/>
          <w:sz w:val="24"/>
          <w:szCs w:val="24"/>
        </w:rPr>
        <w:t xml:space="preserve">at least six individuals to death, and </w:t>
      </w:r>
      <w:r w:rsidR="00482138" w:rsidRPr="0079001A">
        <w:rPr>
          <w:rFonts w:ascii="Times New Roman" w:hAnsi="Times New Roman"/>
          <w:sz w:val="24"/>
          <w:szCs w:val="24"/>
        </w:rPr>
        <w:t xml:space="preserve">officials executed </w:t>
      </w:r>
      <w:r w:rsidRPr="0079001A">
        <w:rPr>
          <w:rFonts w:ascii="Times New Roman" w:hAnsi="Times New Roman"/>
          <w:sz w:val="24"/>
          <w:szCs w:val="24"/>
        </w:rPr>
        <w:t>21 individuals by firing squad.</w:t>
      </w:r>
      <w:r w:rsidRPr="0079001A">
        <w:rPr>
          <w:rFonts w:ascii="Times New Roman" w:hAnsi="Times New Roman"/>
          <w:sz w:val="24"/>
          <w:szCs w:val="24"/>
          <w:vertAlign w:val="superscript"/>
        </w:rPr>
        <w:footnoteReference w:id="62"/>
      </w:r>
      <w:r w:rsidRPr="0079001A">
        <w:rPr>
          <w:rFonts w:ascii="Times New Roman" w:hAnsi="Times New Roman"/>
          <w:sz w:val="24"/>
          <w:szCs w:val="24"/>
          <w:vertAlign w:val="superscript"/>
        </w:rPr>
        <w:t xml:space="preserve"> </w:t>
      </w:r>
      <w:r w:rsidRPr="0079001A">
        <w:rPr>
          <w:rFonts w:ascii="Times New Roman" w:hAnsi="Times New Roman"/>
          <w:sz w:val="24"/>
          <w:szCs w:val="24"/>
        </w:rPr>
        <w:t>As recently as July 2022, the al-Shabaab militant group executed seven individuals accused of spying.</w:t>
      </w:r>
      <w:r w:rsidRPr="0079001A">
        <w:rPr>
          <w:rFonts w:ascii="Times New Roman" w:hAnsi="Times New Roman"/>
          <w:sz w:val="24"/>
          <w:szCs w:val="24"/>
          <w:vertAlign w:val="superscript"/>
        </w:rPr>
        <w:footnoteReference w:id="63"/>
      </w:r>
      <w:r w:rsidRPr="0079001A">
        <w:rPr>
          <w:rFonts w:ascii="Times New Roman" w:hAnsi="Times New Roman"/>
          <w:sz w:val="24"/>
          <w:szCs w:val="24"/>
          <w:vertAlign w:val="superscript"/>
        </w:rPr>
        <w:t xml:space="preserve"> </w:t>
      </w:r>
      <w:r w:rsidRPr="0079001A">
        <w:rPr>
          <w:rFonts w:ascii="Times New Roman" w:hAnsi="Times New Roman"/>
          <w:sz w:val="24"/>
          <w:szCs w:val="24"/>
        </w:rPr>
        <w:t>The military also continues to carry out executions, particularly in terrorism-related cases,</w:t>
      </w:r>
      <w:r w:rsidRPr="0079001A">
        <w:rPr>
          <w:rFonts w:ascii="Times New Roman" w:hAnsi="Times New Roman"/>
          <w:sz w:val="24"/>
          <w:szCs w:val="24"/>
          <w:vertAlign w:val="superscript"/>
        </w:rPr>
        <w:footnoteReference w:id="64"/>
      </w:r>
      <w:r w:rsidRPr="0079001A">
        <w:rPr>
          <w:rFonts w:ascii="Times New Roman" w:hAnsi="Times New Roman"/>
          <w:sz w:val="24"/>
          <w:szCs w:val="24"/>
          <w:vertAlign w:val="superscript"/>
        </w:rPr>
        <w:t xml:space="preserve"> </w:t>
      </w:r>
      <w:r w:rsidRPr="0079001A">
        <w:rPr>
          <w:rFonts w:ascii="Times New Roman" w:hAnsi="Times New Roman"/>
          <w:sz w:val="24"/>
          <w:szCs w:val="24"/>
        </w:rPr>
        <w:t xml:space="preserve">and carries out death sentences at a higher </w:t>
      </w:r>
      <w:r w:rsidRPr="0079001A">
        <w:rPr>
          <w:rFonts w:ascii="Times New Roman" w:hAnsi="Times New Roman"/>
          <w:sz w:val="24"/>
          <w:szCs w:val="24"/>
        </w:rPr>
        <w:lastRenderedPageBreak/>
        <w:t>rate than that of civilian courts.</w:t>
      </w:r>
      <w:r w:rsidRPr="0079001A">
        <w:rPr>
          <w:rFonts w:ascii="Times New Roman" w:hAnsi="Times New Roman"/>
          <w:sz w:val="24"/>
          <w:szCs w:val="24"/>
          <w:vertAlign w:val="superscript"/>
        </w:rPr>
        <w:footnoteReference w:id="65"/>
      </w:r>
      <w:r w:rsidRPr="0079001A">
        <w:rPr>
          <w:rFonts w:ascii="Times New Roman" w:hAnsi="Times New Roman"/>
          <w:sz w:val="24"/>
          <w:szCs w:val="24"/>
        </w:rPr>
        <w:t xml:space="preserve"> Somali military authorities have reportedly carried out public executions.</w:t>
      </w:r>
      <w:r w:rsidRPr="0079001A">
        <w:rPr>
          <w:rFonts w:ascii="Times New Roman" w:hAnsi="Times New Roman"/>
          <w:sz w:val="24"/>
          <w:szCs w:val="24"/>
          <w:vertAlign w:val="superscript"/>
        </w:rPr>
        <w:footnoteReference w:id="66"/>
      </w:r>
    </w:p>
    <w:p w14:paraId="5BA5FD26" w14:textId="4A1E6467" w:rsidR="00085935" w:rsidRPr="0079001A" w:rsidRDefault="59BDA487" w:rsidP="003C28DA">
      <w:pPr>
        <w:keepNext/>
        <w:numPr>
          <w:ilvl w:val="0"/>
          <w:numId w:val="9"/>
        </w:numPr>
        <w:spacing w:before="120" w:after="120"/>
        <w:ind w:left="720" w:hanging="360"/>
        <w:jc w:val="both"/>
        <w:rPr>
          <w:b/>
          <w:bCs/>
          <w:color w:val="auto"/>
          <w:sz w:val="24"/>
          <w:szCs w:val="24"/>
        </w:rPr>
      </w:pPr>
      <w:r w:rsidRPr="0079001A">
        <w:rPr>
          <w:b/>
          <w:bCs/>
          <w:color w:val="auto"/>
          <w:sz w:val="24"/>
          <w:szCs w:val="24"/>
        </w:rPr>
        <w:t>Suggested recommendations</w:t>
      </w:r>
      <w:r w:rsidR="48ED83C4" w:rsidRPr="0079001A">
        <w:rPr>
          <w:b/>
          <w:bCs/>
          <w:color w:val="auto"/>
          <w:sz w:val="24"/>
          <w:szCs w:val="24"/>
        </w:rPr>
        <w:t xml:space="preserve"> for</w:t>
      </w:r>
      <w:r w:rsidR="208A59F7" w:rsidRPr="0079001A">
        <w:rPr>
          <w:b/>
          <w:bCs/>
          <w:color w:val="auto"/>
          <w:sz w:val="24"/>
          <w:szCs w:val="24"/>
        </w:rPr>
        <w:t xml:space="preserve"> the Government of </w:t>
      </w:r>
      <w:r w:rsidR="00033570" w:rsidRPr="0079001A">
        <w:rPr>
          <w:b/>
          <w:bCs/>
          <w:color w:val="auto"/>
          <w:sz w:val="24"/>
          <w:szCs w:val="24"/>
        </w:rPr>
        <w:t>Somalia</w:t>
      </w:r>
    </w:p>
    <w:p w14:paraId="09ED740C" w14:textId="5D7B8796" w:rsidR="00111994" w:rsidRPr="0079001A" w:rsidRDefault="3EC135D1" w:rsidP="007B46CD">
      <w:pPr>
        <w:numPr>
          <w:ilvl w:val="0"/>
          <w:numId w:val="8"/>
        </w:numPr>
        <w:spacing w:after="120"/>
        <w:ind w:left="360"/>
        <w:jc w:val="both"/>
        <w:rPr>
          <w:color w:val="auto"/>
          <w:sz w:val="24"/>
          <w:szCs w:val="24"/>
        </w:rPr>
      </w:pPr>
      <w:r w:rsidRPr="0079001A">
        <w:rPr>
          <w:color w:val="auto"/>
          <w:sz w:val="24"/>
          <w:szCs w:val="24"/>
        </w:rPr>
        <w:t xml:space="preserve">The </w:t>
      </w:r>
      <w:r w:rsidR="00D95D4E" w:rsidRPr="0079001A">
        <w:rPr>
          <w:color w:val="auto"/>
          <w:sz w:val="24"/>
          <w:szCs w:val="24"/>
        </w:rPr>
        <w:t xml:space="preserve">coauthors suggest the </w:t>
      </w:r>
      <w:r w:rsidRPr="0079001A">
        <w:rPr>
          <w:color w:val="auto"/>
          <w:sz w:val="24"/>
          <w:szCs w:val="24"/>
        </w:rPr>
        <w:t xml:space="preserve">following </w:t>
      </w:r>
      <w:r w:rsidR="00D95D4E" w:rsidRPr="0079001A">
        <w:rPr>
          <w:color w:val="auto"/>
          <w:sz w:val="24"/>
          <w:szCs w:val="24"/>
        </w:rPr>
        <w:t xml:space="preserve">recommendations for </w:t>
      </w:r>
      <w:r w:rsidRPr="0079001A">
        <w:rPr>
          <w:color w:val="auto"/>
          <w:sz w:val="24"/>
          <w:szCs w:val="24"/>
        </w:rPr>
        <w:t xml:space="preserve">the Government of </w:t>
      </w:r>
      <w:r w:rsidR="00033570" w:rsidRPr="0079001A">
        <w:rPr>
          <w:color w:val="auto"/>
          <w:sz w:val="24"/>
          <w:szCs w:val="24"/>
        </w:rPr>
        <w:t>Somalia</w:t>
      </w:r>
      <w:r w:rsidR="48ED83C4" w:rsidRPr="0079001A">
        <w:rPr>
          <w:color w:val="auto"/>
          <w:sz w:val="24"/>
          <w:szCs w:val="24"/>
        </w:rPr>
        <w:t>:</w:t>
      </w:r>
    </w:p>
    <w:p w14:paraId="2D523B19" w14:textId="4CA6D141" w:rsidR="000C3723" w:rsidRPr="0079001A" w:rsidRDefault="000C3723" w:rsidP="00573F88">
      <w:pPr>
        <w:numPr>
          <w:ilvl w:val="0"/>
          <w:numId w:val="13"/>
        </w:numPr>
        <w:tabs>
          <w:tab w:val="left" w:pos="360"/>
        </w:tabs>
        <w:spacing w:after="120"/>
        <w:ind w:left="1440"/>
        <w:jc w:val="both"/>
        <w:rPr>
          <w:sz w:val="24"/>
          <w:szCs w:val="24"/>
        </w:rPr>
      </w:pPr>
      <w:r w:rsidRPr="0079001A">
        <w:rPr>
          <w:sz w:val="24"/>
          <w:szCs w:val="24"/>
        </w:rPr>
        <w:t>Thoroughly and impartially investigate allegations of torture by security forces in detention facilities, particularly cases of rape and sexual abuse.</w:t>
      </w:r>
    </w:p>
    <w:p w14:paraId="12211208" w14:textId="5917B19D" w:rsidR="000C3723" w:rsidRPr="0079001A" w:rsidRDefault="00805871" w:rsidP="00573F88">
      <w:pPr>
        <w:numPr>
          <w:ilvl w:val="0"/>
          <w:numId w:val="13"/>
        </w:numPr>
        <w:tabs>
          <w:tab w:val="left" w:pos="360"/>
        </w:tabs>
        <w:spacing w:after="120"/>
        <w:ind w:left="1440"/>
        <w:jc w:val="both"/>
        <w:rPr>
          <w:sz w:val="24"/>
          <w:szCs w:val="24"/>
        </w:rPr>
      </w:pPr>
      <w:r w:rsidRPr="0079001A">
        <w:rPr>
          <w:sz w:val="24"/>
          <w:szCs w:val="24"/>
        </w:rPr>
        <w:t xml:space="preserve">Provide a definition of torture in the amended penal code that includes </w:t>
      </w:r>
      <w:r w:rsidR="00875F35" w:rsidRPr="0079001A">
        <w:rPr>
          <w:sz w:val="24"/>
          <w:szCs w:val="24"/>
        </w:rPr>
        <w:t>sexual abuse and rape as forms of torture.</w:t>
      </w:r>
    </w:p>
    <w:p w14:paraId="42D0F81A" w14:textId="6711B4CE" w:rsidR="00573F88" w:rsidRPr="0079001A" w:rsidRDefault="00573F88" w:rsidP="00573F88">
      <w:pPr>
        <w:numPr>
          <w:ilvl w:val="0"/>
          <w:numId w:val="13"/>
        </w:numPr>
        <w:tabs>
          <w:tab w:val="left" w:pos="360"/>
        </w:tabs>
        <w:spacing w:after="120"/>
        <w:ind w:left="1440"/>
        <w:jc w:val="both"/>
        <w:rPr>
          <w:sz w:val="24"/>
          <w:szCs w:val="24"/>
        </w:rPr>
      </w:pPr>
      <w:r w:rsidRPr="0079001A">
        <w:rPr>
          <w:sz w:val="24"/>
          <w:szCs w:val="24"/>
        </w:rPr>
        <w:t>Adopt a moratorium on executions, with a view to the abolition of the death penalty.</w:t>
      </w:r>
    </w:p>
    <w:p w14:paraId="65CAD27D" w14:textId="77777777" w:rsidR="00573F88" w:rsidRPr="0079001A" w:rsidRDefault="00573F88" w:rsidP="00573F88">
      <w:pPr>
        <w:numPr>
          <w:ilvl w:val="0"/>
          <w:numId w:val="13"/>
        </w:numPr>
        <w:tabs>
          <w:tab w:val="left" w:pos="360"/>
        </w:tabs>
        <w:spacing w:after="120"/>
        <w:ind w:left="1440"/>
        <w:jc w:val="both"/>
        <w:rPr>
          <w:sz w:val="24"/>
          <w:szCs w:val="24"/>
        </w:rPr>
      </w:pPr>
      <w:r w:rsidRPr="0079001A">
        <w:rPr>
          <w:sz w:val="24"/>
          <w:szCs w:val="24"/>
        </w:rPr>
        <w:t>Commute all existing death sentences to penalties that are fair, proportionate, and in compliance with international human rights standards.</w:t>
      </w:r>
    </w:p>
    <w:p w14:paraId="30F9E578" w14:textId="106EA13A" w:rsidR="00573F88" w:rsidRPr="0079001A" w:rsidRDefault="00573F88" w:rsidP="00573F88">
      <w:pPr>
        <w:numPr>
          <w:ilvl w:val="0"/>
          <w:numId w:val="13"/>
        </w:numPr>
        <w:tabs>
          <w:tab w:val="left" w:pos="360"/>
        </w:tabs>
        <w:spacing w:after="120"/>
        <w:ind w:left="1440"/>
        <w:jc w:val="both"/>
        <w:rPr>
          <w:sz w:val="24"/>
          <w:szCs w:val="24"/>
        </w:rPr>
      </w:pPr>
      <w:r w:rsidRPr="0079001A">
        <w:rPr>
          <w:sz w:val="24"/>
          <w:szCs w:val="24"/>
        </w:rPr>
        <w:t xml:space="preserve">Issue an immediate decree prohibiting the execution of any person </w:t>
      </w:r>
      <w:r w:rsidR="00B9367E" w:rsidRPr="0079001A">
        <w:rPr>
          <w:sz w:val="24"/>
          <w:szCs w:val="24"/>
        </w:rPr>
        <w:t xml:space="preserve">who was </w:t>
      </w:r>
      <w:r w:rsidRPr="0079001A">
        <w:rPr>
          <w:sz w:val="24"/>
          <w:szCs w:val="24"/>
        </w:rPr>
        <w:t>under the age of 18</w:t>
      </w:r>
      <w:r w:rsidR="00B9367E" w:rsidRPr="0079001A">
        <w:rPr>
          <w:sz w:val="24"/>
          <w:szCs w:val="24"/>
        </w:rPr>
        <w:t xml:space="preserve"> at the time of the alleged offense</w:t>
      </w:r>
      <w:r w:rsidRPr="0079001A">
        <w:rPr>
          <w:sz w:val="24"/>
          <w:szCs w:val="24"/>
        </w:rPr>
        <w:t>.</w:t>
      </w:r>
    </w:p>
    <w:p w14:paraId="7DE5012F" w14:textId="77777777" w:rsidR="00573F88" w:rsidRPr="0079001A" w:rsidRDefault="00573F88" w:rsidP="00573F88">
      <w:pPr>
        <w:numPr>
          <w:ilvl w:val="0"/>
          <w:numId w:val="13"/>
        </w:numPr>
        <w:tabs>
          <w:tab w:val="left" w:pos="360"/>
        </w:tabs>
        <w:spacing w:after="120"/>
        <w:ind w:left="1440"/>
        <w:jc w:val="both"/>
        <w:rPr>
          <w:sz w:val="24"/>
          <w:szCs w:val="24"/>
        </w:rPr>
      </w:pPr>
      <w:r w:rsidRPr="0079001A">
        <w:rPr>
          <w:sz w:val="24"/>
          <w:szCs w:val="24"/>
        </w:rPr>
        <w:t>Amend the penal code to ensure that no person may be sentenced to death or executed for a crime committed when the person was under the age of 18.</w:t>
      </w:r>
    </w:p>
    <w:p w14:paraId="556B6B0C" w14:textId="77777777" w:rsidR="00573F88" w:rsidRPr="0079001A" w:rsidRDefault="00573F88" w:rsidP="00573F88">
      <w:pPr>
        <w:numPr>
          <w:ilvl w:val="0"/>
          <w:numId w:val="13"/>
        </w:numPr>
        <w:tabs>
          <w:tab w:val="left" w:pos="360"/>
        </w:tabs>
        <w:spacing w:after="120"/>
        <w:ind w:left="1440"/>
        <w:jc w:val="both"/>
        <w:rPr>
          <w:sz w:val="24"/>
          <w:szCs w:val="24"/>
        </w:rPr>
      </w:pPr>
      <w:r w:rsidRPr="0079001A">
        <w:rPr>
          <w:sz w:val="24"/>
          <w:szCs w:val="24"/>
        </w:rPr>
        <w:t>Ratify the Second Optional Protocol to the ICCPR and the Optional Protocol to the Convention Against Torture.</w:t>
      </w:r>
    </w:p>
    <w:p w14:paraId="14F698AF" w14:textId="77777777" w:rsidR="00573F88" w:rsidRPr="0079001A" w:rsidRDefault="00573F88" w:rsidP="00573F88">
      <w:pPr>
        <w:numPr>
          <w:ilvl w:val="0"/>
          <w:numId w:val="13"/>
        </w:numPr>
        <w:tabs>
          <w:tab w:val="left" w:pos="360"/>
        </w:tabs>
        <w:spacing w:after="120"/>
        <w:ind w:left="1440"/>
        <w:jc w:val="both"/>
        <w:rPr>
          <w:color w:val="000000" w:themeColor="text1"/>
          <w:sz w:val="24"/>
          <w:szCs w:val="24"/>
        </w:rPr>
      </w:pPr>
      <w:r w:rsidRPr="0079001A">
        <w:rPr>
          <w:sz w:val="24"/>
          <w:szCs w:val="24"/>
        </w:rPr>
        <w:t>Finalize the transfer of all civilian criminal cases from military courts to civilian courts, b</w:t>
      </w:r>
      <w:r w:rsidRPr="0079001A">
        <w:rPr>
          <w:color w:val="000000" w:themeColor="text1"/>
          <w:sz w:val="24"/>
          <w:szCs w:val="24"/>
        </w:rPr>
        <w:t>ar military courts from trying civilians, restrict the jurisdiction of the military courts to offences of an exclusively military nature, and ensure that military and state security courts comply with the fair trial standards set forth in Article 14 of the ICCPR.</w:t>
      </w:r>
    </w:p>
    <w:p w14:paraId="534C2593" w14:textId="19586779" w:rsidR="00573F88" w:rsidRPr="0079001A" w:rsidRDefault="00573F88" w:rsidP="00573F88">
      <w:pPr>
        <w:numPr>
          <w:ilvl w:val="0"/>
          <w:numId w:val="13"/>
        </w:numPr>
        <w:tabs>
          <w:tab w:val="left" w:pos="360"/>
        </w:tabs>
        <w:spacing w:after="120"/>
        <w:ind w:left="1440"/>
        <w:jc w:val="both"/>
        <w:rPr>
          <w:sz w:val="24"/>
          <w:szCs w:val="24"/>
        </w:rPr>
      </w:pPr>
      <w:r w:rsidRPr="0079001A">
        <w:rPr>
          <w:sz w:val="24"/>
          <w:szCs w:val="24"/>
        </w:rPr>
        <w:t xml:space="preserve">Adopt a new penal code that does not provide for the death penalty or, at a minimum, reserves the death penalty only for the “most serious crimes” involving intentional killing by the person </w:t>
      </w:r>
      <w:r w:rsidR="00D80A57" w:rsidRPr="0079001A">
        <w:rPr>
          <w:sz w:val="24"/>
          <w:szCs w:val="24"/>
        </w:rPr>
        <w:t>charged with the death-eligible offense</w:t>
      </w:r>
      <w:r w:rsidRPr="0079001A">
        <w:rPr>
          <w:sz w:val="24"/>
          <w:szCs w:val="24"/>
        </w:rPr>
        <w:t xml:space="preserve">, and work to promote the adoption of </w:t>
      </w:r>
      <w:r w:rsidR="00C65A51" w:rsidRPr="0079001A">
        <w:rPr>
          <w:sz w:val="24"/>
          <w:szCs w:val="24"/>
        </w:rPr>
        <w:t xml:space="preserve">this </w:t>
      </w:r>
      <w:r w:rsidRPr="0079001A">
        <w:rPr>
          <w:sz w:val="24"/>
          <w:szCs w:val="24"/>
        </w:rPr>
        <w:t xml:space="preserve">penal code as a unified model for any other court system that continues to operate within the territory or jurisdiction of the </w:t>
      </w:r>
      <w:r w:rsidR="00C65A51" w:rsidRPr="0079001A">
        <w:rPr>
          <w:sz w:val="24"/>
          <w:szCs w:val="24"/>
        </w:rPr>
        <w:t>G</w:t>
      </w:r>
      <w:r w:rsidRPr="0079001A">
        <w:rPr>
          <w:sz w:val="24"/>
          <w:szCs w:val="24"/>
        </w:rPr>
        <w:t>overnment of Somalia.</w:t>
      </w:r>
    </w:p>
    <w:p w14:paraId="2B4A547E" w14:textId="53A8FA0E" w:rsidR="00573F88" w:rsidRPr="0079001A" w:rsidRDefault="00573F88" w:rsidP="00573F88">
      <w:pPr>
        <w:numPr>
          <w:ilvl w:val="0"/>
          <w:numId w:val="13"/>
        </w:numPr>
        <w:tabs>
          <w:tab w:val="left" w:pos="360"/>
        </w:tabs>
        <w:spacing w:after="120"/>
        <w:ind w:left="1440"/>
        <w:jc w:val="both"/>
        <w:rPr>
          <w:sz w:val="24"/>
          <w:szCs w:val="24"/>
        </w:rPr>
      </w:pPr>
      <w:r w:rsidRPr="0079001A">
        <w:rPr>
          <w:sz w:val="24"/>
          <w:szCs w:val="24"/>
        </w:rPr>
        <w:t xml:space="preserve">Ensure that individuals charged with capital crimes are provided with </w:t>
      </w:r>
      <w:r w:rsidR="00C65A51" w:rsidRPr="0079001A">
        <w:rPr>
          <w:sz w:val="24"/>
          <w:szCs w:val="24"/>
        </w:rPr>
        <w:t xml:space="preserve">free, </w:t>
      </w:r>
      <w:r w:rsidRPr="0079001A">
        <w:rPr>
          <w:sz w:val="24"/>
          <w:szCs w:val="24"/>
        </w:rPr>
        <w:t>effective</w:t>
      </w:r>
      <w:r w:rsidR="00C65A51" w:rsidRPr="0079001A">
        <w:rPr>
          <w:sz w:val="24"/>
          <w:szCs w:val="24"/>
        </w:rPr>
        <w:t>,</w:t>
      </w:r>
      <w:r w:rsidRPr="0079001A">
        <w:rPr>
          <w:sz w:val="24"/>
          <w:szCs w:val="24"/>
        </w:rPr>
        <w:t xml:space="preserve"> </w:t>
      </w:r>
      <w:r w:rsidR="00C65A51" w:rsidRPr="0079001A">
        <w:rPr>
          <w:sz w:val="24"/>
          <w:szCs w:val="24"/>
        </w:rPr>
        <w:t xml:space="preserve">and adequately funded </w:t>
      </w:r>
      <w:r w:rsidRPr="0079001A">
        <w:rPr>
          <w:sz w:val="24"/>
          <w:szCs w:val="24"/>
        </w:rPr>
        <w:t>legal representation.</w:t>
      </w:r>
    </w:p>
    <w:p w14:paraId="5D982250" w14:textId="3DFCB852" w:rsidR="00573F88" w:rsidRPr="0079001A" w:rsidRDefault="00573F88" w:rsidP="00573F88">
      <w:pPr>
        <w:numPr>
          <w:ilvl w:val="0"/>
          <w:numId w:val="13"/>
        </w:numPr>
        <w:spacing w:after="120"/>
        <w:ind w:left="1440"/>
        <w:jc w:val="both"/>
        <w:rPr>
          <w:color w:val="000000" w:themeColor="text1"/>
          <w:sz w:val="24"/>
          <w:szCs w:val="24"/>
        </w:rPr>
      </w:pPr>
      <w:r w:rsidRPr="0079001A">
        <w:rPr>
          <w:color w:val="000000" w:themeColor="text1"/>
          <w:sz w:val="24"/>
          <w:szCs w:val="24"/>
        </w:rPr>
        <w:t>Prohibit the introduction of evidence obtained under duress,</w:t>
      </w:r>
      <w:r w:rsidR="002C616E" w:rsidRPr="0079001A">
        <w:rPr>
          <w:color w:val="000000" w:themeColor="text1"/>
          <w:sz w:val="24"/>
          <w:szCs w:val="24"/>
        </w:rPr>
        <w:t xml:space="preserve"> torture, or cruel, </w:t>
      </w:r>
      <w:proofErr w:type="gramStart"/>
      <w:r w:rsidR="002C616E" w:rsidRPr="0079001A">
        <w:rPr>
          <w:color w:val="000000" w:themeColor="text1"/>
          <w:sz w:val="24"/>
          <w:szCs w:val="24"/>
        </w:rPr>
        <w:t>inhuman</w:t>
      </w:r>
      <w:proofErr w:type="gramEnd"/>
      <w:r w:rsidR="002C616E" w:rsidRPr="0079001A">
        <w:rPr>
          <w:color w:val="000000" w:themeColor="text1"/>
          <w:sz w:val="24"/>
          <w:szCs w:val="24"/>
        </w:rPr>
        <w:t xml:space="preserve"> or degrading treatment,</w:t>
      </w:r>
      <w:r w:rsidRPr="0079001A">
        <w:rPr>
          <w:color w:val="000000" w:themeColor="text1"/>
          <w:sz w:val="24"/>
          <w:szCs w:val="24"/>
        </w:rPr>
        <w:t xml:space="preserve"> and issue guidelines on the steps judges must take when a defendant alleges torture</w:t>
      </w:r>
      <w:r w:rsidR="002C616E" w:rsidRPr="0079001A">
        <w:rPr>
          <w:color w:val="000000" w:themeColor="text1"/>
          <w:sz w:val="24"/>
          <w:szCs w:val="24"/>
        </w:rPr>
        <w:t xml:space="preserve"> or ill-treatment</w:t>
      </w:r>
      <w:r w:rsidRPr="0079001A">
        <w:rPr>
          <w:color w:val="000000" w:themeColor="text1"/>
          <w:sz w:val="24"/>
          <w:szCs w:val="24"/>
        </w:rPr>
        <w:t xml:space="preserve">, including investigating all </w:t>
      </w:r>
      <w:r w:rsidRPr="0079001A">
        <w:rPr>
          <w:color w:val="000000" w:themeColor="text1"/>
          <w:sz w:val="24"/>
          <w:szCs w:val="24"/>
        </w:rPr>
        <w:lastRenderedPageBreak/>
        <w:t>credible allegations and taking immediate steps to protect individuals alleging torture or ill-treatment from retaliation.</w:t>
      </w:r>
    </w:p>
    <w:p w14:paraId="30694E46" w14:textId="77777777" w:rsidR="00573F88" w:rsidRPr="0079001A" w:rsidRDefault="00573F88" w:rsidP="00573F88">
      <w:pPr>
        <w:numPr>
          <w:ilvl w:val="0"/>
          <w:numId w:val="13"/>
        </w:numPr>
        <w:spacing w:after="120"/>
        <w:ind w:left="1440"/>
        <w:jc w:val="both"/>
        <w:rPr>
          <w:color w:val="000000" w:themeColor="text1"/>
          <w:sz w:val="24"/>
          <w:szCs w:val="24"/>
        </w:rPr>
      </w:pPr>
      <w:r w:rsidRPr="0079001A">
        <w:rPr>
          <w:color w:val="000000" w:themeColor="text1"/>
          <w:sz w:val="24"/>
          <w:szCs w:val="24"/>
        </w:rPr>
        <w:t>Ensure that the judiciary is provided with adequate resources and is protected from improper influences from other branches of government and from external sources.</w:t>
      </w:r>
    </w:p>
    <w:p w14:paraId="52ECACE5" w14:textId="77777777" w:rsidR="00573F88" w:rsidRPr="0079001A" w:rsidRDefault="00573F88" w:rsidP="00573F88">
      <w:pPr>
        <w:numPr>
          <w:ilvl w:val="0"/>
          <w:numId w:val="13"/>
        </w:numPr>
        <w:spacing w:after="120"/>
        <w:ind w:left="1440"/>
        <w:jc w:val="both"/>
        <w:rPr>
          <w:color w:val="000000" w:themeColor="text1"/>
          <w:sz w:val="24"/>
          <w:szCs w:val="24"/>
        </w:rPr>
      </w:pPr>
      <w:r w:rsidRPr="0079001A">
        <w:rPr>
          <w:color w:val="000000" w:themeColor="text1"/>
          <w:sz w:val="24"/>
          <w:szCs w:val="24"/>
        </w:rPr>
        <w:t>Establish an independent monitoring mechanism to visit all places where persons may be deprived of their liberty, including military and national security facilities, and extend an open invitation to international observers such as the International Committee of the Red Cross to visit and inspect detention facilities.</w:t>
      </w:r>
    </w:p>
    <w:p w14:paraId="3E4AA44D" w14:textId="3F6CF8DF" w:rsidR="00F51AFD" w:rsidRPr="0079001A" w:rsidRDefault="00573F88" w:rsidP="00573F88">
      <w:pPr>
        <w:pStyle w:val="ListParagraph"/>
        <w:numPr>
          <w:ilvl w:val="0"/>
          <w:numId w:val="13"/>
        </w:numPr>
        <w:spacing w:after="0"/>
        <w:ind w:left="1440"/>
        <w:jc w:val="both"/>
        <w:rPr>
          <w:rFonts w:ascii="Times New Roman" w:eastAsia="Symbol" w:hAnsi="Times New Roman"/>
          <w:color w:val="000000" w:themeColor="text1"/>
          <w:sz w:val="24"/>
          <w:szCs w:val="24"/>
        </w:rPr>
      </w:pPr>
      <w:r w:rsidRPr="0079001A">
        <w:rPr>
          <w:rFonts w:ascii="Times New Roman" w:eastAsia="Times New Roman" w:hAnsi="Times New Roman"/>
          <w:color w:val="000000" w:themeColor="text1"/>
          <w:sz w:val="24"/>
          <w:szCs w:val="24"/>
        </w:rPr>
        <w:t>Ensure that detention conditions comply with the Nelson Mandela Rules.</w:t>
      </w:r>
    </w:p>
    <w:sectPr w:rsidR="00F51AFD" w:rsidRPr="0079001A" w:rsidSect="00400C91">
      <w:endnotePr>
        <w:numFmt w:val="decimal"/>
      </w:endnotePr>
      <w:type w:val="continuous"/>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ABB22" w14:textId="77777777" w:rsidR="002916D8" w:rsidRDefault="002916D8">
      <w:r>
        <w:separator/>
      </w:r>
    </w:p>
  </w:endnote>
  <w:endnote w:type="continuationSeparator" w:id="0">
    <w:p w14:paraId="22BCD1C8" w14:textId="77777777" w:rsidR="002916D8" w:rsidRDefault="002916D8">
      <w:r>
        <w:continuationSeparator/>
      </w:r>
    </w:p>
  </w:endnote>
  <w:endnote w:type="continuationNotice" w:id="1">
    <w:p w14:paraId="6F4209FF" w14:textId="77777777" w:rsidR="002916D8" w:rsidRDefault="002916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9264"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9A774F" id="Line 20"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6E15B67E" w:rsidR="00804604" w:rsidRPr="00345B90" w:rsidRDefault="00AB3FB3"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525F0" w14:textId="77777777" w:rsidR="002916D8" w:rsidRDefault="002916D8">
      <w:r>
        <w:separator/>
      </w:r>
    </w:p>
  </w:footnote>
  <w:footnote w:type="continuationSeparator" w:id="0">
    <w:p w14:paraId="31C20EFE" w14:textId="77777777" w:rsidR="002916D8" w:rsidRDefault="002916D8">
      <w:r>
        <w:continuationSeparator/>
      </w:r>
    </w:p>
  </w:footnote>
  <w:footnote w:type="continuationNotice" w:id="1">
    <w:p w14:paraId="5363C5AE" w14:textId="77777777" w:rsidR="002916D8" w:rsidRDefault="002916D8"/>
  </w:footnote>
  <w:footnote w:id="2">
    <w:p w14:paraId="0857E500" w14:textId="62B6F857" w:rsidR="004D51DD" w:rsidRPr="009B42A0" w:rsidRDefault="004D51DD" w:rsidP="1098890A">
      <w:pPr>
        <w:pStyle w:val="FootnoteText"/>
        <w:rPr>
          <w:i/>
          <w:iCs/>
          <w:color w:val="auto"/>
        </w:rPr>
      </w:pPr>
      <w:r w:rsidRPr="009B42A0">
        <w:rPr>
          <w:rStyle w:val="FootnoteReference"/>
        </w:rPr>
        <w:footnoteRef/>
      </w:r>
      <w:r w:rsidR="1098890A" w:rsidRPr="009B42A0">
        <w:t xml:space="preserve"> Committee Against Torture, </w:t>
      </w:r>
      <w:r w:rsidR="1098890A" w:rsidRPr="009B42A0">
        <w:rPr>
          <w:i/>
          <w:iCs/>
          <w:color w:val="auto"/>
        </w:rPr>
        <w:t xml:space="preserve">List of issues prior to the initial report of Somalia </w:t>
      </w:r>
      <w:r w:rsidR="1098890A" w:rsidRPr="009B42A0">
        <w:rPr>
          <w:color w:val="auto"/>
        </w:rPr>
        <w:t>(Jan. 9, 2018), U.N. Doc CAT/C/SOM/QPR/1, ¶1</w:t>
      </w:r>
    </w:p>
  </w:footnote>
  <w:footnote w:id="3">
    <w:p w14:paraId="214532EC" w14:textId="17B6187B" w:rsidR="1098890A" w:rsidRPr="009B42A0" w:rsidRDefault="1098890A" w:rsidP="1098890A">
      <w:pPr>
        <w:pStyle w:val="FootnoteText"/>
      </w:pPr>
      <w:r w:rsidRPr="009B42A0">
        <w:rPr>
          <w:rStyle w:val="FootnoteReference"/>
          <w:color w:val="000000" w:themeColor="text1"/>
        </w:rPr>
        <w:footnoteRef/>
      </w:r>
      <w:r w:rsidRPr="009B42A0">
        <w:rPr>
          <w:color w:val="000000" w:themeColor="text1"/>
        </w:rPr>
        <w:t xml:space="preserve"> Committee against torture, </w:t>
      </w:r>
      <w:r w:rsidRPr="009B42A0">
        <w:rPr>
          <w:i/>
          <w:iCs/>
          <w:color w:val="000000" w:themeColor="text1"/>
        </w:rPr>
        <w:t>Initial report submitted by Somalia under article 19 of the Convention pursuant to the simplified reporting procedure</w:t>
      </w:r>
      <w:r w:rsidRPr="009B42A0">
        <w:rPr>
          <w:color w:val="000000" w:themeColor="text1"/>
        </w:rPr>
        <w:t xml:space="preserve">, </w:t>
      </w:r>
      <w:r w:rsidRPr="009B42A0">
        <w:rPr>
          <w:i/>
          <w:iCs/>
          <w:color w:val="000000" w:themeColor="text1"/>
        </w:rPr>
        <w:t>due in 1991,</w:t>
      </w:r>
      <w:r w:rsidRPr="009B42A0">
        <w:rPr>
          <w:color w:val="000000" w:themeColor="text1"/>
        </w:rPr>
        <w:t xml:space="preserve"> (Mar. 13, 2020), U.N. Doc. CAT/C/SOM/1, ¶15 </w:t>
      </w:r>
    </w:p>
  </w:footnote>
  <w:footnote w:id="4">
    <w:p w14:paraId="4EFE484F" w14:textId="46412976"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Committee against torture, </w:t>
      </w:r>
      <w:r w:rsidRPr="009B42A0">
        <w:rPr>
          <w:i/>
          <w:iCs/>
          <w:color w:val="000000" w:themeColor="text1"/>
        </w:rPr>
        <w:t>Initial report submitted by Somalia under article 19 of the Convention pursuant to the simplified reporting procedure</w:t>
      </w:r>
      <w:r w:rsidRPr="009B42A0">
        <w:rPr>
          <w:color w:val="000000" w:themeColor="text1"/>
        </w:rPr>
        <w:t xml:space="preserve">, </w:t>
      </w:r>
      <w:r w:rsidRPr="009B42A0">
        <w:rPr>
          <w:i/>
          <w:iCs/>
          <w:color w:val="000000" w:themeColor="text1"/>
        </w:rPr>
        <w:t>due in 1991,</w:t>
      </w:r>
      <w:r w:rsidRPr="009B42A0">
        <w:rPr>
          <w:color w:val="000000" w:themeColor="text1"/>
        </w:rPr>
        <w:t xml:space="preserve"> (Mar. 13, 2020), U.N. Doc. CAT/C/SOM/1, ¶17</w:t>
      </w:r>
    </w:p>
  </w:footnote>
  <w:footnote w:id="5">
    <w:p w14:paraId="3327632B" w14:textId="4282B022"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Committee against torture, </w:t>
      </w:r>
      <w:r w:rsidRPr="009B42A0">
        <w:rPr>
          <w:i/>
          <w:iCs/>
          <w:color w:val="000000" w:themeColor="text1"/>
        </w:rPr>
        <w:t>Initial report submitted by Somalia under article 19 of the Convention pursuant to the simplified reporting procedure</w:t>
      </w:r>
      <w:r w:rsidRPr="009B42A0">
        <w:rPr>
          <w:color w:val="000000" w:themeColor="text1"/>
        </w:rPr>
        <w:t xml:space="preserve">, </w:t>
      </w:r>
      <w:r w:rsidRPr="009B42A0">
        <w:rPr>
          <w:i/>
          <w:iCs/>
          <w:color w:val="000000" w:themeColor="text1"/>
        </w:rPr>
        <w:t>due in 1991,</w:t>
      </w:r>
      <w:r w:rsidRPr="009B42A0">
        <w:rPr>
          <w:color w:val="000000" w:themeColor="text1"/>
        </w:rPr>
        <w:t xml:space="preserve"> (Mar. 13, 2020), U.N. Doc. CAT/C/SOM/1, ¶15</w:t>
      </w:r>
    </w:p>
  </w:footnote>
  <w:footnote w:id="6">
    <w:p w14:paraId="7EBAB9FF" w14:textId="76298224" w:rsidR="1098890A" w:rsidRPr="009B42A0" w:rsidRDefault="1098890A" w:rsidP="1098890A">
      <w:pPr>
        <w:rPr>
          <w:color w:val="000000" w:themeColor="text1"/>
        </w:rPr>
      </w:pPr>
      <w:r w:rsidRPr="009B42A0">
        <w:rPr>
          <w:rStyle w:val="FootnoteReference"/>
          <w:color w:val="000000" w:themeColor="text1"/>
        </w:rPr>
        <w:footnoteRef/>
      </w:r>
      <w:r w:rsidRPr="009B42A0">
        <w:rPr>
          <w:color w:val="000000" w:themeColor="text1"/>
        </w:rPr>
        <w:t xml:space="preserve"> U.S. Department of State, </w:t>
      </w:r>
      <w:r w:rsidRPr="009B42A0">
        <w:rPr>
          <w:i/>
          <w:iCs/>
          <w:color w:val="000000" w:themeColor="text1"/>
        </w:rPr>
        <w:t xml:space="preserve">2021 Country Reports on Human Rights Practices: Somalia, </w:t>
      </w:r>
      <w:r w:rsidRPr="009B42A0">
        <w:rPr>
          <w:color w:val="000000" w:themeColor="text1"/>
        </w:rPr>
        <w:t>4, 6</w:t>
      </w:r>
    </w:p>
  </w:footnote>
  <w:footnote w:id="7">
    <w:p w14:paraId="7C1D18B4" w14:textId="02817158" w:rsidR="1098890A" w:rsidRPr="009B42A0" w:rsidRDefault="1098890A" w:rsidP="1098890A">
      <w:pPr>
        <w:rPr>
          <w:color w:val="000000" w:themeColor="text1"/>
        </w:rPr>
      </w:pPr>
      <w:r w:rsidRPr="009B42A0">
        <w:rPr>
          <w:rStyle w:val="FootnoteReference"/>
          <w:color w:val="000000" w:themeColor="text1"/>
        </w:rPr>
        <w:footnoteRef/>
      </w:r>
      <w:r w:rsidRPr="009B42A0">
        <w:rPr>
          <w:color w:val="000000" w:themeColor="text1"/>
        </w:rPr>
        <w:t xml:space="preserve"> U.S. Department of State, </w:t>
      </w:r>
      <w:r w:rsidRPr="009B42A0">
        <w:rPr>
          <w:i/>
          <w:iCs/>
          <w:color w:val="000000" w:themeColor="text1"/>
        </w:rPr>
        <w:t>2021 Country Reports on Human Rights Practices: Somalia, 6</w:t>
      </w:r>
    </w:p>
  </w:footnote>
  <w:footnote w:id="8">
    <w:p w14:paraId="2243ECC0" w14:textId="6C8193CC" w:rsidR="1098890A" w:rsidRPr="009B42A0" w:rsidRDefault="1098890A" w:rsidP="1098890A">
      <w:pPr>
        <w:rPr>
          <w:color w:val="000000" w:themeColor="text1"/>
        </w:rPr>
      </w:pPr>
      <w:r w:rsidRPr="009B42A0">
        <w:rPr>
          <w:rStyle w:val="FootnoteReference"/>
          <w:color w:val="000000" w:themeColor="text1"/>
        </w:rPr>
        <w:footnoteRef/>
      </w:r>
      <w:r w:rsidRPr="009B42A0">
        <w:rPr>
          <w:color w:val="000000" w:themeColor="text1"/>
        </w:rPr>
        <w:t xml:space="preserve"> U.S. Department of State, </w:t>
      </w:r>
      <w:r w:rsidRPr="009B42A0">
        <w:rPr>
          <w:i/>
          <w:iCs/>
          <w:color w:val="000000" w:themeColor="text1"/>
        </w:rPr>
        <w:t>2021 Country Reports on Human Rights Practices: Somalia, 6.</w:t>
      </w:r>
    </w:p>
  </w:footnote>
  <w:footnote w:id="9">
    <w:p w14:paraId="43FED547" w14:textId="043720E9" w:rsidR="1098890A" w:rsidRPr="009B42A0" w:rsidRDefault="1098890A" w:rsidP="1098890A">
      <w:pPr>
        <w:pStyle w:val="FootnoteText"/>
      </w:pPr>
      <w:r w:rsidRPr="009B42A0">
        <w:rPr>
          <w:rStyle w:val="FootnoteReference"/>
          <w:color w:val="000000" w:themeColor="text1"/>
        </w:rPr>
        <w:footnoteRef/>
      </w:r>
      <w:r w:rsidRPr="009B42A0">
        <w:rPr>
          <w:color w:val="000000" w:themeColor="text1"/>
        </w:rPr>
        <w:t xml:space="preserve"> Committee Against Torture, </w:t>
      </w:r>
      <w:r w:rsidRPr="009B42A0">
        <w:rPr>
          <w:i/>
          <w:iCs/>
          <w:color w:val="000000" w:themeColor="text1"/>
        </w:rPr>
        <w:t>List of Issues prior to the submission of the initial report of Somalia</w:t>
      </w:r>
      <w:r w:rsidRPr="009B42A0">
        <w:rPr>
          <w:color w:val="000000" w:themeColor="text1"/>
        </w:rPr>
        <w:t>, (Jan. 9, 2018) U.N. Doc CAT/C/SOM/QPR/1, ¶2.</w:t>
      </w:r>
    </w:p>
  </w:footnote>
  <w:footnote w:id="10">
    <w:p w14:paraId="35D2572C" w14:textId="43217229"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Committee Against Torture,</w:t>
      </w:r>
      <w:r w:rsidRPr="009B42A0">
        <w:rPr>
          <w:i/>
          <w:iCs/>
          <w:color w:val="000000" w:themeColor="text1"/>
        </w:rPr>
        <w:t xml:space="preserve"> List of Issues prior to the submission of the initial report of Somalia</w:t>
      </w:r>
      <w:r w:rsidRPr="009B42A0">
        <w:rPr>
          <w:color w:val="000000" w:themeColor="text1"/>
        </w:rPr>
        <w:t>, (Jan. 9, 2018) U.N. Doc CAT/C/SOM/QPR/1, ¶</w:t>
      </w:r>
      <w:r w:rsidR="00930B2E" w:rsidRPr="009B42A0">
        <w:rPr>
          <w:color w:val="000000" w:themeColor="text1"/>
        </w:rPr>
        <w:t>4</w:t>
      </w:r>
      <w:r w:rsidRPr="009B42A0">
        <w:rPr>
          <w:color w:val="000000" w:themeColor="text1"/>
        </w:rPr>
        <w:t>.</w:t>
      </w:r>
    </w:p>
  </w:footnote>
  <w:footnote w:id="11">
    <w:p w14:paraId="5430931C" w14:textId="44694FF2" w:rsidR="1098890A" w:rsidRPr="009B42A0" w:rsidRDefault="1098890A" w:rsidP="1098890A">
      <w:pPr>
        <w:pStyle w:val="FootnoteText"/>
      </w:pPr>
      <w:r w:rsidRPr="009B42A0">
        <w:rPr>
          <w:rStyle w:val="FootnoteReference"/>
          <w:color w:val="000000" w:themeColor="text1"/>
        </w:rPr>
        <w:footnoteRef/>
      </w:r>
      <w:r w:rsidRPr="009B42A0">
        <w:rPr>
          <w:color w:val="000000" w:themeColor="text1"/>
        </w:rPr>
        <w:t xml:space="preserve"> Committee against torture,</w:t>
      </w:r>
      <w:r w:rsidRPr="009B42A0">
        <w:rPr>
          <w:i/>
          <w:iCs/>
          <w:color w:val="000000" w:themeColor="text1"/>
        </w:rPr>
        <w:t xml:space="preserve"> Initial report submitted by Somalia under article 19 of the Convention pursuant to the simplified reporting procedure, due in 1991</w:t>
      </w:r>
      <w:r w:rsidRPr="009B42A0">
        <w:rPr>
          <w:color w:val="000000" w:themeColor="text1"/>
        </w:rPr>
        <w:t xml:space="preserve">, (Mar. 13, 2020), U.N. Doc. CAT/C/SOM/1, ¶18. </w:t>
      </w:r>
    </w:p>
  </w:footnote>
  <w:footnote w:id="12">
    <w:p w14:paraId="357F3D13" w14:textId="0583F8ED"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Committee against torture, </w:t>
      </w:r>
      <w:r w:rsidRPr="009B42A0">
        <w:rPr>
          <w:i/>
          <w:iCs/>
          <w:color w:val="000000" w:themeColor="text1"/>
        </w:rPr>
        <w:t>Initial report submitted by Somalia under article 19 of the Convention pursuant to the simplified reporting procedure, due in 1991</w:t>
      </w:r>
      <w:r w:rsidRPr="009B42A0">
        <w:rPr>
          <w:color w:val="000000" w:themeColor="text1"/>
        </w:rPr>
        <w:t>, (Mar. 13, 2020), U.N. Doc. CAT/C/SOM/1, ¶24.</w:t>
      </w:r>
    </w:p>
  </w:footnote>
  <w:footnote w:id="13">
    <w:p w14:paraId="55C82A47" w14:textId="0FA8B1CF"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Committee against torture</w:t>
      </w:r>
      <w:r w:rsidRPr="009B42A0">
        <w:rPr>
          <w:i/>
          <w:iCs/>
          <w:color w:val="000000" w:themeColor="text1"/>
        </w:rPr>
        <w:t>, Initial report submitted by Somalia under article 19 of the Convention pursuant to the simplified reporting procedure</w:t>
      </w:r>
      <w:r w:rsidRPr="009B42A0">
        <w:rPr>
          <w:color w:val="000000" w:themeColor="text1"/>
        </w:rPr>
        <w:t xml:space="preserve">, </w:t>
      </w:r>
      <w:r w:rsidRPr="009B42A0">
        <w:rPr>
          <w:i/>
          <w:iCs/>
          <w:color w:val="000000" w:themeColor="text1"/>
        </w:rPr>
        <w:t>due in 1991,</w:t>
      </w:r>
      <w:r w:rsidRPr="009B42A0">
        <w:rPr>
          <w:color w:val="000000" w:themeColor="text1"/>
        </w:rPr>
        <w:t xml:space="preserve"> (Mar. 13, 2020), U.N. Doc. CAT/C/SOM/1, ¶24.</w:t>
      </w:r>
    </w:p>
  </w:footnote>
  <w:footnote w:id="14">
    <w:p w14:paraId="62489421" w14:textId="77777777" w:rsidR="00DA586F" w:rsidRPr="009B42A0" w:rsidRDefault="00DA586F" w:rsidP="00DA586F">
      <w:pPr>
        <w:pStyle w:val="FootnoteText"/>
        <w:jc w:val="both"/>
        <w:rPr>
          <w:color w:val="auto"/>
        </w:rPr>
      </w:pPr>
      <w:r w:rsidRPr="009B42A0">
        <w:rPr>
          <w:rStyle w:val="FootnoteReference"/>
          <w:color w:val="auto"/>
        </w:rPr>
        <w:footnoteRef/>
      </w:r>
      <w:r w:rsidRPr="009B42A0">
        <w:rPr>
          <w:color w:val="000000" w:themeColor="text1"/>
        </w:rPr>
        <w:t xml:space="preserve"> Amnesty International, </w:t>
      </w:r>
      <w:r w:rsidRPr="009B42A0">
        <w:rPr>
          <w:i/>
          <w:iCs/>
          <w:color w:val="000000" w:themeColor="text1"/>
        </w:rPr>
        <w:t>Global Report: Death Sentences and Executions 2019</w:t>
      </w:r>
      <w:r w:rsidRPr="009B42A0">
        <w:rPr>
          <w:color w:val="000000" w:themeColor="text1"/>
        </w:rPr>
        <w:t xml:space="preserve">, (London, UK: Amnesty International Ltd, 2020) 44,  </w:t>
      </w:r>
      <w:hyperlink r:id="rId1">
        <w:r w:rsidRPr="00814425">
          <w:rPr>
            <w:rStyle w:val="Hyperlink"/>
            <w:color w:val="000000" w:themeColor="text1"/>
            <w:u w:val="none"/>
          </w:rPr>
          <w:t>https://www.amnesty.org/download/Documents/ACT5018472020ENGLISH.PDF</w:t>
        </w:r>
      </w:hyperlink>
      <w:r w:rsidRPr="00814425">
        <w:rPr>
          <w:rStyle w:val="Hyperlink"/>
          <w:color w:val="000000" w:themeColor="text1"/>
          <w:u w:val="none"/>
        </w:rPr>
        <w:t>.</w:t>
      </w:r>
    </w:p>
  </w:footnote>
  <w:footnote w:id="15">
    <w:p w14:paraId="15679B25" w14:textId="77777777" w:rsidR="00DA586F" w:rsidRPr="009B42A0" w:rsidRDefault="00DA586F" w:rsidP="00DA586F">
      <w:pPr>
        <w:pStyle w:val="FootnoteText"/>
      </w:pPr>
      <w:r w:rsidRPr="009B42A0">
        <w:rPr>
          <w:rStyle w:val="FootnoteReference"/>
        </w:rPr>
        <w:footnoteRef/>
      </w:r>
      <w:r w:rsidRPr="009B42A0">
        <w:t xml:space="preserve"> Amnesty International, </w:t>
      </w:r>
      <w:r w:rsidRPr="009B42A0">
        <w:rPr>
          <w:i/>
          <w:iCs/>
        </w:rPr>
        <w:t xml:space="preserve">Death sentences and executions 2021, </w:t>
      </w:r>
      <w:r w:rsidRPr="009B42A0">
        <w:t>(London, UK: Amnesty International Ltd., 2022), 11, available online at https://www.amnesty.org/en/documents/act50/5418/2022/en/.</w:t>
      </w:r>
    </w:p>
  </w:footnote>
  <w:footnote w:id="16">
    <w:p w14:paraId="42B79629" w14:textId="77777777" w:rsidR="00DA586F" w:rsidRPr="009B42A0" w:rsidRDefault="00DA586F" w:rsidP="00DA586F">
      <w:pPr>
        <w:pStyle w:val="FootnoteText"/>
      </w:pPr>
      <w:r w:rsidRPr="009B42A0">
        <w:rPr>
          <w:rStyle w:val="FootnoteReference"/>
        </w:rPr>
        <w:footnoteRef/>
      </w:r>
      <w:r w:rsidRPr="009B42A0">
        <w:t xml:space="preserve"> Amnesty International, </w:t>
      </w:r>
      <w:r w:rsidRPr="009B42A0">
        <w:rPr>
          <w:i/>
          <w:iCs/>
        </w:rPr>
        <w:t xml:space="preserve">Death sentences and executions 2021, </w:t>
      </w:r>
      <w:r w:rsidRPr="009B42A0">
        <w:t>(London, UK: Amnesty International Ltd., 2022), 58, available online at https://www.amnesty.org/en/documents/act50/5418/2022/en/.</w:t>
      </w:r>
    </w:p>
  </w:footnote>
  <w:footnote w:id="17">
    <w:p w14:paraId="180873D2" w14:textId="77777777" w:rsidR="00DA586F" w:rsidRPr="009B42A0" w:rsidRDefault="00DA586F" w:rsidP="00DA586F">
      <w:pPr>
        <w:pStyle w:val="FootnoteText"/>
      </w:pPr>
      <w:r w:rsidRPr="009B42A0">
        <w:rPr>
          <w:rStyle w:val="FootnoteReference"/>
        </w:rPr>
        <w:footnoteRef/>
      </w:r>
      <w:r w:rsidRPr="009B42A0">
        <w:t xml:space="preserve"> Amnesty International, </w:t>
      </w:r>
      <w:r w:rsidRPr="009B42A0">
        <w:rPr>
          <w:i/>
          <w:iCs/>
        </w:rPr>
        <w:t xml:space="preserve">Death sentences and executions 2021, </w:t>
      </w:r>
      <w:r w:rsidRPr="009B42A0">
        <w:t>(London, UK: Amnesty International Ltd., 2022), 11, available online at https://www.amnesty.org/en/documents/act50/5418/2022/en/.</w:t>
      </w:r>
    </w:p>
  </w:footnote>
  <w:footnote w:id="18">
    <w:p w14:paraId="174FF95C" w14:textId="77777777" w:rsidR="00DA586F" w:rsidRPr="009B42A0" w:rsidRDefault="00DA586F" w:rsidP="00DA586F">
      <w:pPr>
        <w:pStyle w:val="FootnoteText"/>
        <w:jc w:val="both"/>
        <w:rPr>
          <w:i/>
          <w:iCs/>
          <w:color w:val="000000" w:themeColor="text1"/>
        </w:rPr>
      </w:pPr>
      <w:r w:rsidRPr="009B42A0">
        <w:rPr>
          <w:rStyle w:val="FootnoteReference"/>
          <w:color w:val="000000" w:themeColor="text1"/>
        </w:rPr>
        <w:footnoteRef/>
      </w:r>
      <w:r w:rsidRPr="009B42A0">
        <w:rPr>
          <w:color w:val="000000" w:themeColor="text1"/>
        </w:rPr>
        <w:t xml:space="preserve"> Mohamed </w:t>
      </w:r>
      <w:proofErr w:type="spellStart"/>
      <w:r w:rsidRPr="009B42A0">
        <w:rPr>
          <w:color w:val="000000" w:themeColor="text1"/>
        </w:rPr>
        <w:t>Olad</w:t>
      </w:r>
      <w:proofErr w:type="spellEnd"/>
      <w:r w:rsidRPr="009B42A0">
        <w:rPr>
          <w:color w:val="000000" w:themeColor="text1"/>
        </w:rPr>
        <w:t xml:space="preserve"> Hassan, </w:t>
      </w:r>
      <w:r w:rsidRPr="009B42A0">
        <w:rPr>
          <w:i/>
          <w:iCs/>
          <w:color w:val="000000" w:themeColor="text1"/>
        </w:rPr>
        <w:t>Executions Increase in Somalia</w:t>
      </w:r>
      <w:r w:rsidRPr="009B42A0">
        <w:rPr>
          <w:color w:val="000000" w:themeColor="text1"/>
        </w:rPr>
        <w:t xml:space="preserve">, Voice of America, May 15, 2017, </w:t>
      </w:r>
      <w:hyperlink r:id="rId2" w:history="1">
        <w:r w:rsidRPr="00814425">
          <w:rPr>
            <w:rStyle w:val="Hyperlink"/>
            <w:color w:val="000000" w:themeColor="text1"/>
            <w:u w:val="none"/>
          </w:rPr>
          <w:t>https://www.voanews.com/africa/executions-increase-somalia</w:t>
        </w:r>
      </w:hyperlink>
      <w:r w:rsidRPr="009B42A0">
        <w:rPr>
          <w:color w:val="000000" w:themeColor="text1"/>
        </w:rPr>
        <w:t xml:space="preserve"> (accessed October 1, 2020)</w:t>
      </w:r>
      <w:r w:rsidRPr="009B42A0">
        <w:rPr>
          <w:i/>
          <w:iCs/>
          <w:color w:val="000000" w:themeColor="text1"/>
        </w:rPr>
        <w:t>.</w:t>
      </w:r>
    </w:p>
  </w:footnote>
  <w:footnote w:id="19">
    <w:p w14:paraId="721E0F7E" w14:textId="77777777" w:rsidR="00DA586F" w:rsidRPr="009B42A0" w:rsidRDefault="00DA586F" w:rsidP="00DA586F">
      <w:pPr>
        <w:pStyle w:val="FootnoteText"/>
        <w:jc w:val="both"/>
        <w:rPr>
          <w:color w:val="000000" w:themeColor="text1"/>
        </w:rPr>
      </w:pPr>
      <w:r w:rsidRPr="009B42A0">
        <w:rPr>
          <w:rStyle w:val="FootnoteReference"/>
          <w:color w:val="000000" w:themeColor="text1"/>
        </w:rPr>
        <w:footnoteRef/>
      </w:r>
      <w:r w:rsidRPr="009B42A0">
        <w:rPr>
          <w:color w:val="000000" w:themeColor="text1"/>
        </w:rPr>
        <w:t xml:space="preserve"> Death Penalty Worldwide</w:t>
      </w:r>
      <w:r w:rsidRPr="009B42A0">
        <w:rPr>
          <w:i/>
          <w:iCs/>
          <w:color w:val="000000" w:themeColor="text1"/>
        </w:rPr>
        <w:t xml:space="preserve">, </w:t>
      </w:r>
      <w:r w:rsidRPr="009B42A0">
        <w:rPr>
          <w:color w:val="000000" w:themeColor="text1"/>
        </w:rPr>
        <w:t xml:space="preserve">“Somalia,” </w:t>
      </w:r>
      <w:r w:rsidRPr="009B42A0">
        <w:rPr>
          <w:i/>
          <w:iCs/>
          <w:color w:val="000000" w:themeColor="text1"/>
        </w:rPr>
        <w:t>supra</w:t>
      </w:r>
      <w:r w:rsidRPr="009B42A0">
        <w:rPr>
          <w:color w:val="000000" w:themeColor="text1"/>
        </w:rPr>
        <w:t>.</w:t>
      </w:r>
    </w:p>
  </w:footnote>
  <w:footnote w:id="20">
    <w:p w14:paraId="06454326" w14:textId="34FA9186" w:rsidR="00DA586F" w:rsidRPr="009B42A0" w:rsidRDefault="00DA586F" w:rsidP="00DA586F">
      <w:pPr>
        <w:pStyle w:val="FootnoteText"/>
        <w:rPr>
          <w:color w:val="000000" w:themeColor="text1"/>
        </w:rPr>
      </w:pPr>
      <w:r w:rsidRPr="009B42A0">
        <w:rPr>
          <w:rStyle w:val="FootnoteReference"/>
          <w:color w:val="000000" w:themeColor="text1"/>
        </w:rPr>
        <w:footnoteRef/>
      </w:r>
      <w:r w:rsidRPr="009B42A0">
        <w:rPr>
          <w:color w:val="000000" w:themeColor="text1"/>
        </w:rPr>
        <w:t xml:space="preserve"> Human Rights Watch, </w:t>
      </w:r>
      <w:r w:rsidRPr="009B42A0">
        <w:rPr>
          <w:i/>
          <w:iCs/>
          <w:color w:val="000000" w:themeColor="text1"/>
        </w:rPr>
        <w:t>Somalia: Events of 2021</w:t>
      </w:r>
      <w:r w:rsidRPr="009B42A0">
        <w:rPr>
          <w:color w:val="000000" w:themeColor="text1"/>
        </w:rPr>
        <w:t xml:space="preserve">, </w:t>
      </w:r>
      <w:r w:rsidRPr="00814425">
        <w:t>https://www.hrw.org/world-report/2022/country-chapters/somalia</w:t>
      </w:r>
      <w:r w:rsidRPr="009B42A0">
        <w:rPr>
          <w:color w:val="000000" w:themeColor="text1"/>
        </w:rPr>
        <w:t xml:space="preserve"> (accessed Aug. 26, 2020)</w:t>
      </w:r>
    </w:p>
  </w:footnote>
  <w:footnote w:id="21">
    <w:p w14:paraId="2A2DAB59" w14:textId="77777777" w:rsidR="00DA586F" w:rsidRPr="009B42A0" w:rsidRDefault="00DA586F" w:rsidP="00DA586F">
      <w:pPr>
        <w:pStyle w:val="FootnoteText"/>
        <w:rPr>
          <w:color w:val="000000" w:themeColor="text1"/>
        </w:rPr>
      </w:pPr>
      <w:r w:rsidRPr="009B42A0">
        <w:rPr>
          <w:rStyle w:val="FootnoteReference"/>
          <w:color w:val="000000" w:themeColor="text1"/>
        </w:rPr>
        <w:footnoteRef/>
      </w:r>
      <w:r w:rsidRPr="009B42A0">
        <w:rPr>
          <w:color w:val="000000" w:themeColor="text1"/>
        </w:rPr>
        <w:t xml:space="preserve"> U.S. Department of State, </w:t>
      </w:r>
      <w:r w:rsidRPr="009B42A0">
        <w:rPr>
          <w:i/>
          <w:iCs/>
          <w:color w:val="000000" w:themeColor="text1"/>
        </w:rPr>
        <w:t>2021 Country Reports on Human Rights Practices: Somalia,</w:t>
      </w:r>
      <w:r w:rsidRPr="009B42A0">
        <w:rPr>
          <w:color w:val="000000" w:themeColor="text1"/>
        </w:rPr>
        <w:t xml:space="preserve"> 4.</w:t>
      </w:r>
    </w:p>
  </w:footnote>
  <w:footnote w:id="22">
    <w:p w14:paraId="3513450F" w14:textId="63F26903" w:rsidR="00DA586F" w:rsidRPr="009B42A0" w:rsidRDefault="00DA586F" w:rsidP="00DA586F">
      <w:pPr>
        <w:pStyle w:val="FootnoteText"/>
        <w:rPr>
          <w:i/>
          <w:iCs/>
        </w:rPr>
      </w:pPr>
      <w:r w:rsidRPr="009B42A0">
        <w:rPr>
          <w:rStyle w:val="FootnoteReference"/>
          <w:color w:val="000000" w:themeColor="text1"/>
        </w:rPr>
        <w:footnoteRef/>
      </w:r>
      <w:r w:rsidRPr="009B42A0">
        <w:rPr>
          <w:color w:val="000000" w:themeColor="text1"/>
        </w:rPr>
        <w:t xml:space="preserve"> Death Penalty Worldwide, </w:t>
      </w:r>
      <w:r w:rsidRPr="009B42A0">
        <w:rPr>
          <w:i/>
          <w:iCs/>
          <w:color w:val="000000" w:themeColor="text1"/>
        </w:rPr>
        <w:t>Somalia</w:t>
      </w:r>
      <w:r w:rsidRPr="009B42A0">
        <w:rPr>
          <w:color w:val="000000" w:themeColor="text1"/>
        </w:rPr>
        <w:t xml:space="preserve">, </w:t>
      </w:r>
      <w:r w:rsidRPr="00814425">
        <w:t>https://deathpenaltyworldwide.org/database/#/results/country?id=67</w:t>
      </w:r>
      <w:r w:rsidRPr="009B42A0">
        <w:t xml:space="preserve"> (accessed Aug. 26, 2020)</w:t>
      </w:r>
    </w:p>
  </w:footnote>
  <w:footnote w:id="23">
    <w:p w14:paraId="4705654E" w14:textId="7090C871"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Human Rights Council, </w:t>
      </w:r>
      <w:r w:rsidRPr="009B42A0">
        <w:rPr>
          <w:i/>
          <w:iCs/>
          <w:color w:val="000000" w:themeColor="text1"/>
        </w:rPr>
        <w:t xml:space="preserve">Report of the Independent Expert </w:t>
      </w:r>
      <w:proofErr w:type="gramStart"/>
      <w:r w:rsidRPr="009B42A0">
        <w:rPr>
          <w:i/>
          <w:iCs/>
          <w:color w:val="000000" w:themeColor="text1"/>
        </w:rPr>
        <w:t>on the situation of</w:t>
      </w:r>
      <w:proofErr w:type="gramEnd"/>
      <w:r w:rsidRPr="009B42A0">
        <w:rPr>
          <w:i/>
          <w:iCs/>
          <w:color w:val="000000" w:themeColor="text1"/>
        </w:rPr>
        <w:t xml:space="preserve"> human rights in Somalia</w:t>
      </w:r>
      <w:r w:rsidRPr="009B42A0">
        <w:rPr>
          <w:color w:val="000000" w:themeColor="text1"/>
        </w:rPr>
        <w:t>, (August 24, 2020), U.N. Doc. A/HRC/45/52, 13.</w:t>
      </w:r>
    </w:p>
  </w:footnote>
  <w:footnote w:id="24">
    <w:p w14:paraId="391DC04C" w14:textId="6F2E9C4F" w:rsidR="1098890A" w:rsidRPr="009B42A0" w:rsidRDefault="1098890A" w:rsidP="1098890A">
      <w:pPr>
        <w:pStyle w:val="FootnoteText"/>
      </w:pPr>
      <w:r w:rsidRPr="009B42A0">
        <w:rPr>
          <w:rStyle w:val="FootnoteReference"/>
          <w:color w:val="000000" w:themeColor="text1"/>
        </w:rPr>
        <w:footnoteRef/>
      </w:r>
      <w:r w:rsidRPr="009B42A0">
        <w:rPr>
          <w:color w:val="000000" w:themeColor="text1"/>
        </w:rPr>
        <w:t xml:space="preserve"> Human Rights Council, </w:t>
      </w:r>
      <w:r w:rsidRPr="009B42A0">
        <w:rPr>
          <w:i/>
          <w:iCs/>
          <w:color w:val="000000" w:themeColor="text1"/>
        </w:rPr>
        <w:t xml:space="preserve">National report submitted in accordance with </w:t>
      </w:r>
      <w:proofErr w:type="spellStart"/>
      <w:r w:rsidRPr="009B42A0">
        <w:rPr>
          <w:i/>
          <w:iCs/>
          <w:color w:val="000000" w:themeColor="text1"/>
        </w:rPr>
        <w:t>paragrah</w:t>
      </w:r>
      <w:proofErr w:type="spellEnd"/>
      <w:r w:rsidRPr="009B42A0">
        <w:rPr>
          <w:i/>
          <w:iCs/>
          <w:color w:val="000000" w:themeColor="text1"/>
        </w:rPr>
        <w:t xml:space="preserve"> 5 of the annex to Human Rights Council resolution 16/21: Somalia</w:t>
      </w:r>
      <w:r w:rsidRPr="009B42A0">
        <w:rPr>
          <w:color w:val="000000" w:themeColor="text1"/>
        </w:rPr>
        <w:t>, (Feb. 26, 2021) U.N. Doc A/HRC/WG.6/38/SOM/1, ¶25.</w:t>
      </w:r>
    </w:p>
  </w:footnote>
  <w:footnote w:id="25">
    <w:p w14:paraId="07761495" w14:textId="0B09582C"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Human Rights Council, </w:t>
      </w:r>
      <w:r w:rsidRPr="009B42A0">
        <w:rPr>
          <w:i/>
          <w:iCs/>
          <w:color w:val="000000" w:themeColor="text1"/>
        </w:rPr>
        <w:t xml:space="preserve">Report of the Independent Expert </w:t>
      </w:r>
      <w:proofErr w:type="gramStart"/>
      <w:r w:rsidRPr="009B42A0">
        <w:rPr>
          <w:i/>
          <w:iCs/>
          <w:color w:val="000000" w:themeColor="text1"/>
        </w:rPr>
        <w:t>on the situation of</w:t>
      </w:r>
      <w:proofErr w:type="gramEnd"/>
      <w:r w:rsidRPr="009B42A0">
        <w:rPr>
          <w:i/>
          <w:iCs/>
          <w:color w:val="000000" w:themeColor="text1"/>
        </w:rPr>
        <w:t xml:space="preserve"> human rights in Somalia</w:t>
      </w:r>
      <w:r w:rsidRPr="009B42A0">
        <w:rPr>
          <w:color w:val="000000" w:themeColor="text1"/>
        </w:rPr>
        <w:t>, (August 24, 2020), U.N. Doc. A/HRC/45/52, 13.</w:t>
      </w:r>
    </w:p>
  </w:footnote>
  <w:footnote w:id="26">
    <w:p w14:paraId="76632D55" w14:textId="4E00B2C5"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U.S. Department of State, </w:t>
      </w:r>
      <w:r w:rsidRPr="009B42A0">
        <w:rPr>
          <w:i/>
          <w:iCs/>
          <w:color w:val="000000" w:themeColor="text1"/>
        </w:rPr>
        <w:t>2021 Country Reports on Human Rights Practices: Somalia,</w:t>
      </w:r>
      <w:r w:rsidRPr="009B42A0">
        <w:rPr>
          <w:color w:val="000000" w:themeColor="text1"/>
        </w:rPr>
        <w:t xml:space="preserve"> 12</w:t>
      </w:r>
    </w:p>
  </w:footnote>
  <w:footnote w:id="27">
    <w:p w14:paraId="4EF8E8EA" w14:textId="4013396F"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U.S. Department of State, </w:t>
      </w:r>
      <w:r w:rsidRPr="009B42A0">
        <w:rPr>
          <w:i/>
          <w:iCs/>
          <w:color w:val="000000" w:themeColor="text1"/>
        </w:rPr>
        <w:t>2019 Country Report, supra,</w:t>
      </w:r>
      <w:r w:rsidRPr="009B42A0">
        <w:rPr>
          <w:color w:val="000000" w:themeColor="text1"/>
        </w:rPr>
        <w:t xml:space="preserve"> 8.</w:t>
      </w:r>
    </w:p>
  </w:footnote>
  <w:footnote w:id="28">
    <w:p w14:paraId="630BD588" w14:textId="5281495D" w:rsidR="1098890A" w:rsidRPr="009B42A0" w:rsidRDefault="1098890A" w:rsidP="1098890A">
      <w:pPr>
        <w:pStyle w:val="FootnoteText"/>
      </w:pPr>
      <w:r w:rsidRPr="009B42A0">
        <w:rPr>
          <w:rStyle w:val="FootnoteReference"/>
          <w:color w:val="000000" w:themeColor="text1"/>
        </w:rPr>
        <w:footnoteRef/>
      </w:r>
      <w:r w:rsidRPr="009B42A0">
        <w:rPr>
          <w:color w:val="000000" w:themeColor="text1"/>
        </w:rPr>
        <w:t xml:space="preserve"> United Kingdom Home Office, </w:t>
      </w:r>
      <w:r w:rsidRPr="009B42A0">
        <w:rPr>
          <w:i/>
          <w:iCs/>
          <w:color w:val="000000" w:themeColor="text1"/>
        </w:rPr>
        <w:t xml:space="preserve">Country Background Note: Somalia </w:t>
      </w:r>
      <w:r w:rsidRPr="009B42A0">
        <w:rPr>
          <w:color w:val="000000" w:themeColor="text1"/>
        </w:rPr>
        <w:t>(December 2020), ¶12.4.1</w:t>
      </w:r>
    </w:p>
  </w:footnote>
  <w:footnote w:id="29">
    <w:p w14:paraId="6EAE1373" w14:textId="0D85BEA5"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U.S. Department of State, </w:t>
      </w:r>
      <w:r w:rsidRPr="009B42A0">
        <w:rPr>
          <w:i/>
          <w:iCs/>
          <w:color w:val="000000" w:themeColor="text1"/>
        </w:rPr>
        <w:t>2021 Country Reports on Human Rights Practices: Somalia,</w:t>
      </w:r>
      <w:r w:rsidRPr="009B42A0">
        <w:rPr>
          <w:color w:val="000000" w:themeColor="text1"/>
        </w:rPr>
        <w:t xml:space="preserve"> 3, 12. </w:t>
      </w:r>
    </w:p>
  </w:footnote>
  <w:footnote w:id="30">
    <w:p w14:paraId="4B53C237" w14:textId="4742CC2D"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U.S. Department of State, </w:t>
      </w:r>
      <w:r w:rsidRPr="009B42A0">
        <w:rPr>
          <w:i/>
          <w:iCs/>
          <w:color w:val="000000" w:themeColor="text1"/>
        </w:rPr>
        <w:t>2021 Country Reports on Human Rights Practices: Somalia,</w:t>
      </w:r>
      <w:r w:rsidRPr="009B42A0">
        <w:rPr>
          <w:color w:val="000000" w:themeColor="text1"/>
        </w:rPr>
        <w:t xml:space="preserve"> 3.</w:t>
      </w:r>
    </w:p>
  </w:footnote>
  <w:footnote w:id="31">
    <w:p w14:paraId="43BE1471" w14:textId="177F554D"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w:t>
      </w:r>
      <w:r w:rsidRPr="009B42A0">
        <w:rPr>
          <w:i/>
          <w:iCs/>
          <w:color w:val="000000" w:themeColor="text1"/>
        </w:rPr>
        <w:t>Report of the Independent Expert, supra,</w:t>
      </w:r>
      <w:r w:rsidRPr="009B42A0">
        <w:rPr>
          <w:color w:val="000000" w:themeColor="text1"/>
        </w:rPr>
        <w:t xml:space="preserve"> 13; U.S. Department of State, </w:t>
      </w:r>
      <w:r w:rsidRPr="009B42A0">
        <w:rPr>
          <w:i/>
          <w:iCs/>
          <w:color w:val="000000" w:themeColor="text1"/>
        </w:rPr>
        <w:t>2021 Country Reports on Human Rights Practices: Somalia,</w:t>
      </w:r>
      <w:r w:rsidRPr="009B42A0">
        <w:rPr>
          <w:color w:val="000000" w:themeColor="text1"/>
        </w:rPr>
        <w:t xml:space="preserve"> 12-13</w:t>
      </w:r>
    </w:p>
  </w:footnote>
  <w:footnote w:id="32">
    <w:p w14:paraId="23F6E31E" w14:textId="66B60644"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Legal Action Worldwide, </w:t>
      </w:r>
      <w:r w:rsidRPr="009B42A0">
        <w:rPr>
          <w:i/>
          <w:iCs/>
          <w:color w:val="000000" w:themeColor="text1"/>
        </w:rPr>
        <w:t>Due Process and the Rule of Law in Somalia: Preliminary Key Findings and Recommendations</w:t>
      </w:r>
      <w:r w:rsidRPr="009B42A0">
        <w:rPr>
          <w:color w:val="000000" w:themeColor="text1"/>
        </w:rPr>
        <w:t xml:space="preserve">, February 2018, 4, </w:t>
      </w:r>
      <w:r w:rsidRPr="00814425">
        <w:t>http://www.legalactionworldwide.org/wp-content/uploads/2018/02/Key-Findings-and-Recommendations-Final-For-Printing-1.pdf</w:t>
      </w:r>
      <w:r w:rsidRPr="009B42A0">
        <w:rPr>
          <w:color w:val="000000" w:themeColor="text1"/>
        </w:rPr>
        <w:t xml:space="preserve"> (accessed October 6, 2020); U.S. Department of State, </w:t>
      </w:r>
      <w:r w:rsidRPr="009B42A0">
        <w:rPr>
          <w:i/>
          <w:iCs/>
          <w:color w:val="000000" w:themeColor="text1"/>
        </w:rPr>
        <w:t>2021 Country Reports on Human Rights Practices: Somalia,</w:t>
      </w:r>
      <w:r w:rsidRPr="009B42A0">
        <w:rPr>
          <w:color w:val="000000" w:themeColor="text1"/>
        </w:rPr>
        <w:t xml:space="preserve"> 12-13</w:t>
      </w:r>
    </w:p>
  </w:footnote>
  <w:footnote w:id="33">
    <w:p w14:paraId="43398664" w14:textId="00E81DF9"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Federal Republic of Somalia,</w:t>
      </w:r>
      <w:r w:rsidRPr="009B42A0">
        <w:rPr>
          <w:i/>
          <w:iCs/>
          <w:color w:val="000000" w:themeColor="text1"/>
        </w:rPr>
        <w:t xml:space="preserve"> Mid-Term Review Report, supra</w:t>
      </w:r>
      <w:r w:rsidRPr="009B42A0">
        <w:rPr>
          <w:rFonts w:eastAsia="Segoe UI"/>
          <w:color w:val="000000" w:themeColor="text1"/>
        </w:rPr>
        <w:t>, ¶</w:t>
      </w:r>
      <w:r w:rsidRPr="009B42A0">
        <w:rPr>
          <w:color w:val="000000" w:themeColor="text1"/>
        </w:rPr>
        <w:t> 3.3.6, 10–11</w:t>
      </w:r>
    </w:p>
  </w:footnote>
  <w:footnote w:id="34">
    <w:p w14:paraId="50A20812" w14:textId="52BD53AD"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United Nations Office on Drugs and Crime, </w:t>
      </w:r>
      <w:r w:rsidRPr="009B42A0">
        <w:rPr>
          <w:i/>
          <w:iCs/>
          <w:color w:val="000000" w:themeColor="text1"/>
        </w:rPr>
        <w:t>UNODC inaugurates Mogadishu prison, court complex in latest support to Somalia</w:t>
      </w:r>
      <w:r w:rsidRPr="009B42A0">
        <w:rPr>
          <w:color w:val="000000" w:themeColor="text1"/>
        </w:rPr>
        <w:t xml:space="preserve">, February 25, 2019, </w:t>
      </w:r>
      <w:r w:rsidRPr="00814425">
        <w:t>https://www.unodc.org/unodc/en/frontpage/2019/February/unodc-inaugurates-mogadishu-prison--court-complex-in-latest-support-to-somalia.html</w:t>
      </w:r>
      <w:r w:rsidRPr="009B42A0">
        <w:rPr>
          <w:color w:val="000000" w:themeColor="text1"/>
        </w:rPr>
        <w:t xml:space="preserve"> (accessed October 6, 2020)</w:t>
      </w:r>
    </w:p>
  </w:footnote>
  <w:footnote w:id="35">
    <w:p w14:paraId="5494F1FD" w14:textId="77777777" w:rsidR="00400C91" w:rsidRPr="009B42A0" w:rsidRDefault="00400C91" w:rsidP="00D84831">
      <w:pPr>
        <w:pStyle w:val="FootnoteText"/>
        <w:jc w:val="both"/>
        <w:rPr>
          <w:color w:val="auto"/>
        </w:rPr>
      </w:pPr>
      <w:r w:rsidRPr="009B42A0">
        <w:rPr>
          <w:rStyle w:val="FootnoteReference"/>
          <w:color w:val="auto"/>
        </w:rPr>
        <w:footnoteRef/>
      </w:r>
      <w:r w:rsidRPr="009B42A0">
        <w:rPr>
          <w:i/>
          <w:color w:val="auto"/>
        </w:rPr>
        <w:t>Draft Report of the Somali Criminal Law Recodification Initiative</w:t>
      </w:r>
      <w:r w:rsidRPr="009B42A0">
        <w:rPr>
          <w:color w:val="auto"/>
        </w:rPr>
        <w:t>, Art. 1101</w:t>
      </w:r>
      <w:r w:rsidRPr="009B42A0">
        <w:rPr>
          <w:color w:val="000000" w:themeColor="text1"/>
        </w:rPr>
        <w:t xml:space="preserve"> (</w:t>
      </w:r>
      <w:r w:rsidRPr="009B42A0">
        <w:rPr>
          <w:color w:val="auto"/>
        </w:rPr>
        <w:t>March 2017</w:t>
      </w:r>
      <w:r w:rsidRPr="009B42A0">
        <w:rPr>
          <w:color w:val="000000" w:themeColor="text1"/>
        </w:rPr>
        <w:t>),</w:t>
      </w:r>
      <w:r w:rsidRPr="009B42A0">
        <w:rPr>
          <w:color w:val="auto"/>
        </w:rPr>
        <w:t xml:space="preserve"> https://www.law.upenn.edu/live/files/6310-vol-1-and-2-somali-recodification.</w:t>
      </w:r>
    </w:p>
  </w:footnote>
  <w:footnote w:id="36">
    <w:p w14:paraId="711449B4" w14:textId="77777777" w:rsidR="00400C91" w:rsidRPr="009B42A0" w:rsidRDefault="00400C91" w:rsidP="00D84831">
      <w:pPr>
        <w:pStyle w:val="FootnoteText"/>
        <w:jc w:val="both"/>
        <w:rPr>
          <w:color w:val="auto"/>
        </w:rPr>
      </w:pPr>
      <w:r w:rsidRPr="009B42A0">
        <w:rPr>
          <w:rStyle w:val="FootnoteReference"/>
          <w:color w:val="auto"/>
        </w:rPr>
        <w:footnoteRef/>
      </w:r>
      <w:r w:rsidRPr="009B42A0">
        <w:rPr>
          <w:color w:val="auto"/>
        </w:rPr>
        <w:t xml:space="preserve"> </w:t>
      </w:r>
      <w:bookmarkStart w:id="1" w:name="_Hlk52887633"/>
      <w:r w:rsidRPr="009B42A0">
        <w:rPr>
          <w:i/>
          <w:color w:val="auto"/>
        </w:rPr>
        <w:t xml:space="preserve">Id., </w:t>
      </w:r>
      <w:r w:rsidRPr="009B42A0">
        <w:rPr>
          <w:color w:val="auto"/>
        </w:rPr>
        <w:t>Art</w:t>
      </w:r>
      <w:bookmarkEnd w:id="1"/>
      <w:r w:rsidRPr="009B42A0">
        <w:rPr>
          <w:color w:val="auto"/>
        </w:rPr>
        <w:t>. 2101.</w:t>
      </w:r>
    </w:p>
  </w:footnote>
  <w:footnote w:id="37">
    <w:p w14:paraId="325C7394" w14:textId="77777777" w:rsidR="00400C91" w:rsidRPr="009B42A0" w:rsidRDefault="00400C91" w:rsidP="00D84831">
      <w:pPr>
        <w:pStyle w:val="FootnoteText"/>
        <w:jc w:val="both"/>
        <w:rPr>
          <w:color w:val="auto"/>
        </w:rPr>
      </w:pPr>
      <w:r w:rsidRPr="009B42A0">
        <w:rPr>
          <w:rStyle w:val="FootnoteReference"/>
          <w:color w:val="auto"/>
        </w:rPr>
        <w:footnoteRef/>
      </w:r>
      <w:r w:rsidRPr="009B42A0">
        <w:rPr>
          <w:color w:val="auto"/>
        </w:rPr>
        <w:t xml:space="preserve"> </w:t>
      </w:r>
      <w:r w:rsidRPr="009B42A0">
        <w:rPr>
          <w:i/>
          <w:color w:val="auto"/>
        </w:rPr>
        <w:t xml:space="preserve">Id., </w:t>
      </w:r>
      <w:r w:rsidRPr="009B42A0">
        <w:rPr>
          <w:color w:val="auto"/>
        </w:rPr>
        <w:t>Art. 3101.</w:t>
      </w:r>
    </w:p>
  </w:footnote>
  <w:footnote w:id="38">
    <w:p w14:paraId="1FCAD1E7" w14:textId="77777777" w:rsidR="00400C91" w:rsidRPr="009B42A0" w:rsidRDefault="00400C91" w:rsidP="00D84831">
      <w:pPr>
        <w:pStyle w:val="FootnoteText"/>
        <w:jc w:val="both"/>
        <w:rPr>
          <w:color w:val="auto"/>
        </w:rPr>
      </w:pPr>
      <w:r w:rsidRPr="009B42A0">
        <w:rPr>
          <w:rStyle w:val="FootnoteReference"/>
          <w:color w:val="auto"/>
        </w:rPr>
        <w:footnoteRef/>
      </w:r>
      <w:r w:rsidRPr="009B42A0">
        <w:rPr>
          <w:color w:val="auto"/>
        </w:rPr>
        <w:t xml:space="preserve"> </w:t>
      </w:r>
      <w:r w:rsidRPr="009B42A0">
        <w:rPr>
          <w:i/>
          <w:color w:val="auto"/>
        </w:rPr>
        <w:t xml:space="preserve">Id., </w:t>
      </w:r>
      <w:r w:rsidRPr="009B42A0">
        <w:rPr>
          <w:color w:val="auto"/>
        </w:rPr>
        <w:t>Art. 7303.</w:t>
      </w:r>
    </w:p>
  </w:footnote>
  <w:footnote w:id="39">
    <w:p w14:paraId="42E35C4A" w14:textId="77777777" w:rsidR="00400C91" w:rsidRPr="009B42A0" w:rsidRDefault="00400C91" w:rsidP="00D84831">
      <w:pPr>
        <w:pStyle w:val="FootnoteText"/>
        <w:jc w:val="both"/>
        <w:rPr>
          <w:color w:val="auto"/>
        </w:rPr>
      </w:pPr>
      <w:r w:rsidRPr="009B42A0">
        <w:rPr>
          <w:rStyle w:val="FootnoteReference"/>
          <w:color w:val="auto"/>
        </w:rPr>
        <w:footnoteRef/>
      </w:r>
      <w:r w:rsidRPr="009B42A0">
        <w:rPr>
          <w:color w:val="auto"/>
        </w:rPr>
        <w:t xml:space="preserve"> </w:t>
      </w:r>
      <w:r w:rsidRPr="009B42A0">
        <w:rPr>
          <w:i/>
          <w:color w:val="auto"/>
        </w:rPr>
        <w:t xml:space="preserve">Id., </w:t>
      </w:r>
      <w:r w:rsidRPr="009B42A0">
        <w:rPr>
          <w:color w:val="auto"/>
        </w:rPr>
        <w:t>Art. 6402, note 22.</w:t>
      </w:r>
    </w:p>
  </w:footnote>
  <w:footnote w:id="40">
    <w:p w14:paraId="275866C4" w14:textId="77777777" w:rsidR="00400C91" w:rsidRPr="009B42A0" w:rsidRDefault="00400C91" w:rsidP="00D84831">
      <w:pPr>
        <w:pStyle w:val="FootnoteText"/>
        <w:jc w:val="both"/>
        <w:rPr>
          <w:color w:val="auto"/>
        </w:rPr>
      </w:pPr>
      <w:r w:rsidRPr="009B42A0">
        <w:rPr>
          <w:rStyle w:val="FootnoteReference"/>
          <w:color w:val="auto"/>
        </w:rPr>
        <w:footnoteRef/>
      </w:r>
      <w:r w:rsidRPr="009B42A0">
        <w:rPr>
          <w:color w:val="auto"/>
        </w:rPr>
        <w:t xml:space="preserve"> Federal Republic of Somalia, </w:t>
      </w:r>
      <w:r w:rsidRPr="009B42A0">
        <w:rPr>
          <w:i/>
          <w:color w:val="auto"/>
        </w:rPr>
        <w:t xml:space="preserve">Mid-Term Review Report on Progress Made by Somalia on the Implementation of Accepted Recommendations </w:t>
      </w:r>
      <w:r w:rsidRPr="009B42A0">
        <w:rPr>
          <w:i/>
          <w:iCs/>
          <w:color w:val="000000" w:themeColor="text1"/>
        </w:rPr>
        <w:t>from</w:t>
      </w:r>
      <w:r w:rsidRPr="009B42A0">
        <w:rPr>
          <w:i/>
          <w:color w:val="auto"/>
        </w:rPr>
        <w:t xml:space="preserve"> the Second Cycle Review in January 2016 Under the Universal Period Review (UPR) Mechanism of the United Nations Human Rights Council</w:t>
      </w:r>
      <w:r w:rsidRPr="009B42A0">
        <w:rPr>
          <w:color w:val="auto"/>
        </w:rPr>
        <w:t xml:space="preserve">, </w:t>
      </w:r>
      <w:r w:rsidRPr="009B42A0">
        <w:rPr>
          <w:color w:val="000000" w:themeColor="text1"/>
        </w:rPr>
        <w:t>¶ 3.3.1,</w:t>
      </w:r>
      <w:r w:rsidRPr="009B42A0">
        <w:rPr>
          <w:color w:val="auto"/>
        </w:rPr>
        <w:t xml:space="preserve"> 9</w:t>
      </w:r>
      <w:r w:rsidRPr="009B42A0">
        <w:rPr>
          <w:color w:val="000000" w:themeColor="text1"/>
        </w:rPr>
        <w:t>. Also available online at https://lib.ohchr.org/HRBodies/UPR/Documents/Session24/SO/Somalia.pdf</w:t>
      </w:r>
    </w:p>
  </w:footnote>
  <w:footnote w:id="41">
    <w:p w14:paraId="0A0688C6" w14:textId="36EAE8C4" w:rsidR="1098890A" w:rsidRPr="009B42A0" w:rsidRDefault="1098890A" w:rsidP="1098890A">
      <w:pPr>
        <w:pStyle w:val="FootnoteText"/>
        <w:rPr>
          <w:i/>
          <w:iCs/>
          <w:color w:val="000000" w:themeColor="text1"/>
        </w:rPr>
      </w:pPr>
      <w:r w:rsidRPr="009B42A0">
        <w:rPr>
          <w:rStyle w:val="FootnoteReference"/>
          <w:color w:val="000000" w:themeColor="text1"/>
        </w:rPr>
        <w:footnoteRef/>
      </w:r>
      <w:r w:rsidRPr="009B42A0">
        <w:rPr>
          <w:color w:val="000000" w:themeColor="text1"/>
        </w:rPr>
        <w:t xml:space="preserve"> Committee Against Torture, </w:t>
      </w:r>
      <w:r w:rsidRPr="009B42A0">
        <w:rPr>
          <w:i/>
          <w:iCs/>
          <w:color w:val="auto"/>
        </w:rPr>
        <w:t xml:space="preserve">List of issues prior to the initial report of Somalia </w:t>
      </w:r>
      <w:r w:rsidRPr="009B42A0">
        <w:rPr>
          <w:color w:val="auto"/>
        </w:rPr>
        <w:t>(Jan. 9, 2018), U.N. Doc CAT/C/SOM/QPR/1, ¶18</w:t>
      </w:r>
    </w:p>
  </w:footnote>
  <w:footnote w:id="42">
    <w:p w14:paraId="06B3596E" w14:textId="2589576F" w:rsidR="1098890A" w:rsidRPr="009B42A0" w:rsidRDefault="1098890A" w:rsidP="1098890A">
      <w:pPr>
        <w:pStyle w:val="FootnoteText"/>
        <w:rPr>
          <w:i/>
          <w:iCs/>
          <w:color w:val="000000" w:themeColor="text1"/>
        </w:rPr>
      </w:pPr>
      <w:r w:rsidRPr="009B42A0">
        <w:rPr>
          <w:rStyle w:val="FootnoteReference"/>
          <w:color w:val="000000" w:themeColor="text1"/>
        </w:rPr>
        <w:footnoteRef/>
      </w:r>
      <w:r w:rsidRPr="009B42A0">
        <w:rPr>
          <w:color w:val="000000" w:themeColor="text1"/>
        </w:rPr>
        <w:t xml:space="preserve"> Committee Against Torture, </w:t>
      </w:r>
      <w:r w:rsidRPr="009B42A0">
        <w:rPr>
          <w:i/>
          <w:iCs/>
          <w:color w:val="auto"/>
        </w:rPr>
        <w:t xml:space="preserve">List of issues prior to the initial report of Somalia </w:t>
      </w:r>
      <w:r w:rsidRPr="009B42A0">
        <w:rPr>
          <w:color w:val="auto"/>
        </w:rPr>
        <w:t>(Jan. 9, 2018), U.N. Doc CAT/C/SOM/QPR/1, ¶19</w:t>
      </w:r>
    </w:p>
  </w:footnote>
  <w:footnote w:id="43">
    <w:p w14:paraId="0A113B50" w14:textId="074E5A33" w:rsidR="1098890A" w:rsidRPr="009B42A0" w:rsidRDefault="1098890A" w:rsidP="1098890A">
      <w:pPr>
        <w:pStyle w:val="FootnoteText"/>
        <w:rPr>
          <w:i/>
          <w:iCs/>
          <w:color w:val="000000" w:themeColor="text1"/>
        </w:rPr>
      </w:pPr>
      <w:r w:rsidRPr="009B42A0">
        <w:rPr>
          <w:rStyle w:val="FootnoteReference"/>
          <w:color w:val="000000" w:themeColor="text1"/>
        </w:rPr>
        <w:footnoteRef/>
      </w:r>
      <w:r w:rsidRPr="009B42A0">
        <w:rPr>
          <w:color w:val="000000" w:themeColor="text1"/>
        </w:rPr>
        <w:t xml:space="preserve"> Committee Against Torture, </w:t>
      </w:r>
      <w:r w:rsidRPr="009B42A0">
        <w:rPr>
          <w:i/>
          <w:iCs/>
          <w:color w:val="auto"/>
        </w:rPr>
        <w:t xml:space="preserve">List of issues prior to the initial report of Somalia </w:t>
      </w:r>
      <w:r w:rsidRPr="009B42A0">
        <w:rPr>
          <w:color w:val="auto"/>
        </w:rPr>
        <w:t>(Jan. 9, 2018), U.N. Doc CAT/C/SOM/QPR/1, ¶21</w:t>
      </w:r>
    </w:p>
  </w:footnote>
  <w:footnote w:id="44">
    <w:p w14:paraId="2FC806C9" w14:textId="45D9E400"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Committee against torture, </w:t>
      </w:r>
      <w:r w:rsidRPr="009B42A0">
        <w:rPr>
          <w:i/>
          <w:iCs/>
          <w:color w:val="000000" w:themeColor="text1"/>
        </w:rPr>
        <w:t>Initial report submitted by Somalia under article 19 of the Convention pursuant to the simplified reporting procedure</w:t>
      </w:r>
      <w:r w:rsidRPr="009B42A0">
        <w:rPr>
          <w:color w:val="000000" w:themeColor="text1"/>
        </w:rPr>
        <w:t xml:space="preserve">, </w:t>
      </w:r>
      <w:r w:rsidRPr="009B42A0">
        <w:rPr>
          <w:i/>
          <w:iCs/>
          <w:color w:val="000000" w:themeColor="text1"/>
        </w:rPr>
        <w:t>due in 1991,</w:t>
      </w:r>
      <w:r w:rsidRPr="009B42A0">
        <w:rPr>
          <w:color w:val="000000" w:themeColor="text1"/>
        </w:rPr>
        <w:t xml:space="preserve"> (Mar. 13, 2020), U.N. Doc. CAT/C/SOM/1, ¶47.</w:t>
      </w:r>
    </w:p>
  </w:footnote>
  <w:footnote w:id="45">
    <w:p w14:paraId="47FF1BE9" w14:textId="6126A575"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Committee against torture, </w:t>
      </w:r>
      <w:r w:rsidRPr="009B42A0">
        <w:rPr>
          <w:i/>
          <w:iCs/>
          <w:color w:val="000000" w:themeColor="text1"/>
        </w:rPr>
        <w:t>Initial report submitted by Somalia under article 19 of the Convention pursuant to the simplified reporting procedure</w:t>
      </w:r>
      <w:r w:rsidRPr="009B42A0">
        <w:rPr>
          <w:color w:val="000000" w:themeColor="text1"/>
        </w:rPr>
        <w:t xml:space="preserve">, </w:t>
      </w:r>
      <w:r w:rsidRPr="009B42A0">
        <w:rPr>
          <w:i/>
          <w:iCs/>
          <w:color w:val="000000" w:themeColor="text1"/>
        </w:rPr>
        <w:t>due in 1991,</w:t>
      </w:r>
      <w:r w:rsidRPr="009B42A0">
        <w:rPr>
          <w:color w:val="000000" w:themeColor="text1"/>
        </w:rPr>
        <w:t xml:space="preserve"> (Mar. 13, 2020), U.N. Doc. CAT/C/SOM/1, ¶47.</w:t>
      </w:r>
    </w:p>
  </w:footnote>
  <w:footnote w:id="46">
    <w:p w14:paraId="0FA4E0E2" w14:textId="03DFD226"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U.S. Department of State, </w:t>
      </w:r>
      <w:r w:rsidRPr="009B42A0">
        <w:rPr>
          <w:i/>
          <w:iCs/>
          <w:color w:val="000000" w:themeColor="text1"/>
        </w:rPr>
        <w:t>2021 Country Reports on Human Rights Practices: Somalia,</w:t>
      </w:r>
      <w:r w:rsidRPr="009B42A0">
        <w:rPr>
          <w:color w:val="000000" w:themeColor="text1"/>
        </w:rPr>
        <w:t xml:space="preserve"> 7.</w:t>
      </w:r>
    </w:p>
  </w:footnote>
  <w:footnote w:id="47">
    <w:p w14:paraId="32422DDC" w14:textId="7B09F322"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U.S. Department of State, </w:t>
      </w:r>
      <w:r w:rsidRPr="009B42A0">
        <w:rPr>
          <w:i/>
          <w:iCs/>
          <w:color w:val="000000" w:themeColor="text1"/>
        </w:rPr>
        <w:t>2019 Country Reports on Human Rights Practices: Somalia,</w:t>
      </w:r>
      <w:r w:rsidRPr="009B42A0">
        <w:rPr>
          <w:color w:val="000000" w:themeColor="text1"/>
        </w:rPr>
        <w:t xml:space="preserve"> 5–6.</w:t>
      </w:r>
    </w:p>
  </w:footnote>
  <w:footnote w:id="48">
    <w:p w14:paraId="59C942C4" w14:textId="35A3401A"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U.S. Department of State, </w:t>
      </w:r>
      <w:r w:rsidRPr="009B42A0">
        <w:rPr>
          <w:i/>
          <w:iCs/>
          <w:color w:val="000000" w:themeColor="text1"/>
        </w:rPr>
        <w:t>2021 Country Reports on Human Rights Practices: Somalia,</w:t>
      </w:r>
      <w:r w:rsidRPr="009B42A0">
        <w:rPr>
          <w:color w:val="000000" w:themeColor="text1"/>
        </w:rPr>
        <w:t xml:space="preserve"> 7.</w:t>
      </w:r>
    </w:p>
  </w:footnote>
  <w:footnote w:id="49">
    <w:p w14:paraId="418ACDBF" w14:textId="1CCB6F2B"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U.S. Department of State, </w:t>
      </w:r>
      <w:r w:rsidRPr="009B42A0">
        <w:rPr>
          <w:i/>
          <w:iCs/>
          <w:color w:val="000000" w:themeColor="text1"/>
        </w:rPr>
        <w:t>2021 Country Reports on Human Rights Practices: Somalia,</w:t>
      </w:r>
      <w:r w:rsidRPr="009B42A0">
        <w:rPr>
          <w:color w:val="000000" w:themeColor="text1"/>
        </w:rPr>
        <w:t xml:space="preserve"> 7.</w:t>
      </w:r>
    </w:p>
  </w:footnote>
  <w:footnote w:id="50">
    <w:p w14:paraId="5B2C9A5E" w14:textId="77777777" w:rsidR="003A101A" w:rsidRPr="009B42A0" w:rsidRDefault="003A101A" w:rsidP="003A101A">
      <w:pPr>
        <w:pStyle w:val="FootnoteText"/>
        <w:jc w:val="both"/>
        <w:rPr>
          <w:color w:val="000000" w:themeColor="text1"/>
        </w:rPr>
      </w:pPr>
      <w:r w:rsidRPr="009B42A0">
        <w:rPr>
          <w:rStyle w:val="FootnoteReference"/>
          <w:color w:val="000000" w:themeColor="text1"/>
        </w:rPr>
        <w:footnoteRef/>
      </w:r>
      <w:r w:rsidRPr="009B42A0">
        <w:rPr>
          <w:color w:val="000000" w:themeColor="text1"/>
        </w:rPr>
        <w:t xml:space="preserve"> United Nations Office on Drugs and Crime, </w:t>
      </w:r>
      <w:r w:rsidRPr="009B42A0">
        <w:rPr>
          <w:i/>
          <w:iCs/>
          <w:color w:val="000000" w:themeColor="text1"/>
        </w:rPr>
        <w:t>UNODC inaugurates Mogadishu prison, court complex in latest support to Somalia</w:t>
      </w:r>
      <w:r w:rsidRPr="009B42A0">
        <w:rPr>
          <w:color w:val="000000" w:themeColor="text1"/>
        </w:rPr>
        <w:t xml:space="preserve">, accessed October 6, 2020, </w:t>
      </w:r>
      <w:hyperlink r:id="rId3" w:history="1">
        <w:r w:rsidRPr="00814425">
          <w:rPr>
            <w:rStyle w:val="Hyperlink"/>
            <w:color w:val="000000" w:themeColor="text1"/>
            <w:u w:val="none"/>
          </w:rPr>
          <w:t>https://www.unodc.org/unodc/en/frontpage/2019/February/unodc-inaugurates-mogadishu-prison--court-complex-in-latest-support-to-somalia.html</w:t>
        </w:r>
      </w:hyperlink>
      <w:r w:rsidRPr="009B42A0">
        <w:rPr>
          <w:color w:val="000000" w:themeColor="text1"/>
        </w:rPr>
        <w:t xml:space="preserve">. </w:t>
      </w:r>
    </w:p>
  </w:footnote>
  <w:footnote w:id="51">
    <w:p w14:paraId="592AECB3" w14:textId="77777777" w:rsidR="003A101A" w:rsidRPr="009B42A0" w:rsidRDefault="003A101A" w:rsidP="003A101A">
      <w:pPr>
        <w:pStyle w:val="FootnoteText"/>
        <w:jc w:val="both"/>
        <w:rPr>
          <w:color w:val="000000" w:themeColor="text1"/>
        </w:rPr>
      </w:pPr>
      <w:r w:rsidRPr="009B42A0">
        <w:rPr>
          <w:rStyle w:val="FootnoteReference"/>
          <w:color w:val="000000" w:themeColor="text1"/>
        </w:rPr>
        <w:footnoteRef/>
      </w:r>
      <w:r w:rsidRPr="009B42A0">
        <w:rPr>
          <w:color w:val="000000" w:themeColor="text1"/>
        </w:rPr>
        <w:t xml:space="preserve"> United Nations Assistance Missions in Somalia, </w:t>
      </w:r>
      <w:r w:rsidRPr="009B42A0">
        <w:rPr>
          <w:i/>
          <w:iCs/>
          <w:color w:val="000000" w:themeColor="text1"/>
        </w:rPr>
        <w:t>Somalia Inaugurates a New Prison and Court Complex</w:t>
      </w:r>
      <w:r w:rsidRPr="009B42A0">
        <w:rPr>
          <w:color w:val="000000" w:themeColor="text1"/>
        </w:rPr>
        <w:t xml:space="preserve">, accessed October 6, 2020, </w:t>
      </w:r>
      <w:r w:rsidRPr="009B42A0">
        <w:t>https://unsom.unmissions.org/somalia-inaugurates-new-prison-and-court-complex</w:t>
      </w:r>
      <w:r w:rsidRPr="009B42A0">
        <w:rPr>
          <w:color w:val="000000" w:themeColor="text1"/>
        </w:rPr>
        <w:t xml:space="preserve">. </w:t>
      </w:r>
    </w:p>
  </w:footnote>
  <w:footnote w:id="52">
    <w:p w14:paraId="043D5F47" w14:textId="3DAC75F9"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U.S. Department of State, </w:t>
      </w:r>
      <w:r w:rsidRPr="009B42A0">
        <w:rPr>
          <w:i/>
          <w:iCs/>
          <w:color w:val="000000" w:themeColor="text1"/>
        </w:rPr>
        <w:t>2021 Country Reports on Human Rights Practices: Somalia,</w:t>
      </w:r>
      <w:r w:rsidRPr="009B42A0">
        <w:rPr>
          <w:color w:val="000000" w:themeColor="text1"/>
        </w:rPr>
        <w:t xml:space="preserve"> 7.</w:t>
      </w:r>
    </w:p>
  </w:footnote>
  <w:footnote w:id="53">
    <w:p w14:paraId="20654C37" w14:textId="36A9E044"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Amnesty International, </w:t>
      </w:r>
      <w:r w:rsidRPr="009B42A0">
        <w:rPr>
          <w:i/>
          <w:iCs/>
          <w:color w:val="000000" w:themeColor="text1"/>
        </w:rPr>
        <w:t>Somalia: Halt execution spree of children in Puntland</w:t>
      </w:r>
      <w:r w:rsidRPr="009B42A0">
        <w:rPr>
          <w:color w:val="000000" w:themeColor="text1"/>
        </w:rPr>
        <w:t xml:space="preserve">, accessed August 25, 2022, </w:t>
      </w:r>
      <w:r w:rsidRPr="00814425">
        <w:t>https://www.amnesty.org/en/latest/news/2017/04/somalia-halt-execution-spree-of-children-in-puntland/</w:t>
      </w:r>
      <w:r w:rsidRPr="009B42A0">
        <w:rPr>
          <w:color w:val="000000" w:themeColor="text1"/>
        </w:rPr>
        <w:t>.</w:t>
      </w:r>
    </w:p>
  </w:footnote>
  <w:footnote w:id="54">
    <w:p w14:paraId="6908265D" w14:textId="6B8712BF" w:rsidR="1098890A" w:rsidRPr="009B42A0" w:rsidRDefault="1098890A" w:rsidP="1098890A">
      <w:pPr>
        <w:pStyle w:val="FootnoteText"/>
        <w:rPr>
          <w:color w:val="000000" w:themeColor="text1"/>
        </w:rPr>
      </w:pPr>
      <w:r w:rsidRPr="009B42A0">
        <w:rPr>
          <w:rStyle w:val="FootnoteReference"/>
          <w:color w:val="000000" w:themeColor="text1"/>
        </w:rPr>
        <w:footnoteRef/>
      </w:r>
      <w:r w:rsidRPr="009B42A0">
        <w:rPr>
          <w:color w:val="000000" w:themeColor="text1"/>
        </w:rPr>
        <w:t xml:space="preserve"> Amnesty International, </w:t>
      </w:r>
      <w:r w:rsidRPr="009B42A0">
        <w:rPr>
          <w:i/>
          <w:iCs/>
          <w:color w:val="000000" w:themeColor="text1"/>
        </w:rPr>
        <w:t>Somalia: Halt execution spree of children in Puntland</w:t>
      </w:r>
      <w:r w:rsidRPr="009B42A0">
        <w:rPr>
          <w:color w:val="000000" w:themeColor="text1"/>
        </w:rPr>
        <w:t xml:space="preserve">, accessed August 25, 2022, </w:t>
      </w:r>
      <w:r w:rsidRPr="00814425">
        <w:t>https://www.amnesty.org/en/latest/news/2017/04/somalia-halt-execution-spree-of-children-in-puntland/</w:t>
      </w:r>
      <w:r w:rsidRPr="009B42A0">
        <w:rPr>
          <w:color w:val="000000" w:themeColor="text1"/>
        </w:rPr>
        <w:t>.</w:t>
      </w:r>
    </w:p>
  </w:footnote>
  <w:footnote w:id="55">
    <w:p w14:paraId="138F74BF" w14:textId="0B587AEA" w:rsidR="00C700EB" w:rsidRPr="009B42A0" w:rsidRDefault="00C700EB">
      <w:pPr>
        <w:pStyle w:val="FootnoteText"/>
      </w:pPr>
      <w:r w:rsidRPr="009B42A0">
        <w:rPr>
          <w:rStyle w:val="FootnoteReference"/>
        </w:rPr>
        <w:footnoteRef/>
      </w:r>
      <w:r w:rsidRPr="009B42A0">
        <w:t xml:space="preserve"> </w:t>
      </w:r>
      <w:r w:rsidRPr="009B42A0">
        <w:rPr>
          <w:color w:val="000000" w:themeColor="text1"/>
        </w:rPr>
        <w:t xml:space="preserve">Committee Against Torture, </w:t>
      </w:r>
      <w:r w:rsidRPr="009B42A0">
        <w:rPr>
          <w:i/>
          <w:iCs/>
          <w:color w:val="auto"/>
        </w:rPr>
        <w:t xml:space="preserve">List of issues prior to the initial report of Somalia </w:t>
      </w:r>
      <w:r w:rsidRPr="009B42A0">
        <w:rPr>
          <w:color w:val="auto"/>
        </w:rPr>
        <w:t>(Jan. 9, 2018), U.N. Doc CAT/C/SOM/QPR/1, ¶32.</w:t>
      </w:r>
    </w:p>
  </w:footnote>
  <w:footnote w:id="56">
    <w:p w14:paraId="6CEE4207" w14:textId="339CA01A" w:rsidR="008A2889" w:rsidRPr="009B42A0" w:rsidRDefault="008A2889">
      <w:pPr>
        <w:pStyle w:val="FootnoteText"/>
      </w:pPr>
      <w:r w:rsidRPr="009B42A0">
        <w:rPr>
          <w:rStyle w:val="FootnoteReference"/>
        </w:rPr>
        <w:footnoteRef/>
      </w:r>
      <w:r w:rsidRPr="009B42A0">
        <w:t xml:space="preserve"> </w:t>
      </w:r>
      <w:r w:rsidRPr="009B42A0">
        <w:rPr>
          <w:color w:val="000000" w:themeColor="text1"/>
        </w:rPr>
        <w:t xml:space="preserve">Committee Against Torture, </w:t>
      </w:r>
      <w:r w:rsidRPr="009B42A0">
        <w:rPr>
          <w:i/>
          <w:iCs/>
          <w:color w:val="auto"/>
        </w:rPr>
        <w:t xml:space="preserve">List of issues prior to the initial report of Somalia </w:t>
      </w:r>
      <w:r w:rsidRPr="009B42A0">
        <w:rPr>
          <w:color w:val="auto"/>
        </w:rPr>
        <w:t>(Jan. 9, 2018), U.N. Doc CAT/C/SOM/QPR/1, ¶32.</w:t>
      </w:r>
    </w:p>
  </w:footnote>
  <w:footnote w:id="57">
    <w:p w14:paraId="697A65DD" w14:textId="5BDDE576" w:rsidR="001F303A" w:rsidRPr="009B42A0" w:rsidRDefault="001F303A">
      <w:pPr>
        <w:pStyle w:val="FootnoteText"/>
      </w:pPr>
      <w:r w:rsidRPr="009B42A0">
        <w:rPr>
          <w:rStyle w:val="FootnoteReference"/>
        </w:rPr>
        <w:footnoteRef/>
      </w:r>
      <w:r w:rsidRPr="009B42A0">
        <w:t xml:space="preserve"> </w:t>
      </w:r>
      <w:r w:rsidRPr="009B42A0">
        <w:rPr>
          <w:color w:val="000000" w:themeColor="text1"/>
        </w:rPr>
        <w:t xml:space="preserve">Committee against torture, </w:t>
      </w:r>
      <w:r w:rsidRPr="009B42A0">
        <w:rPr>
          <w:i/>
          <w:iCs/>
          <w:color w:val="000000" w:themeColor="text1"/>
        </w:rPr>
        <w:t>Initial report submitted by Somalia under article 19 of the Convention pursuant to the simplified reporting procedure</w:t>
      </w:r>
      <w:r w:rsidRPr="009B42A0">
        <w:rPr>
          <w:color w:val="000000" w:themeColor="text1"/>
        </w:rPr>
        <w:t xml:space="preserve">, </w:t>
      </w:r>
      <w:r w:rsidRPr="009B42A0">
        <w:rPr>
          <w:i/>
          <w:iCs/>
          <w:color w:val="000000" w:themeColor="text1"/>
        </w:rPr>
        <w:t>due in 1991,</w:t>
      </w:r>
      <w:r w:rsidRPr="009B42A0">
        <w:rPr>
          <w:color w:val="000000" w:themeColor="text1"/>
        </w:rPr>
        <w:t xml:space="preserve"> (Mar. 13, 2020), U.N. Doc. CAT/C/SOM/1, ¶</w:t>
      </w:r>
      <w:r w:rsidR="007E5307" w:rsidRPr="009B42A0">
        <w:rPr>
          <w:color w:val="000000" w:themeColor="text1"/>
        </w:rPr>
        <w:t>58.</w:t>
      </w:r>
    </w:p>
  </w:footnote>
  <w:footnote w:id="58">
    <w:p w14:paraId="2747E5DD" w14:textId="4ABDD8E3" w:rsidR="004E7D83" w:rsidRPr="009B42A0" w:rsidRDefault="004E7D83">
      <w:pPr>
        <w:pStyle w:val="FootnoteText"/>
      </w:pPr>
      <w:r w:rsidRPr="009B42A0">
        <w:rPr>
          <w:rStyle w:val="FootnoteReference"/>
        </w:rPr>
        <w:footnoteRef/>
      </w:r>
      <w:r w:rsidRPr="009B42A0">
        <w:t xml:space="preserve"> </w:t>
      </w:r>
      <w:r w:rsidRPr="009B42A0">
        <w:rPr>
          <w:color w:val="000000" w:themeColor="text1"/>
        </w:rPr>
        <w:t xml:space="preserve">Committee against torture, </w:t>
      </w:r>
      <w:r w:rsidRPr="009B42A0">
        <w:rPr>
          <w:i/>
          <w:iCs/>
          <w:color w:val="000000" w:themeColor="text1"/>
        </w:rPr>
        <w:t>Initial report submitted by Somalia under article 19 of the Convention pursuant to the simplified reporting procedure</w:t>
      </w:r>
      <w:r w:rsidRPr="009B42A0">
        <w:rPr>
          <w:color w:val="000000" w:themeColor="text1"/>
        </w:rPr>
        <w:t xml:space="preserve">, </w:t>
      </w:r>
      <w:r w:rsidRPr="009B42A0">
        <w:rPr>
          <w:i/>
          <w:iCs/>
          <w:color w:val="000000" w:themeColor="text1"/>
        </w:rPr>
        <w:t>due in 1991,</w:t>
      </w:r>
      <w:r w:rsidRPr="009B42A0">
        <w:rPr>
          <w:color w:val="000000" w:themeColor="text1"/>
        </w:rPr>
        <w:t xml:space="preserve"> (Mar. 13, 2020), U.N. Doc. CAT/C/SOM/1, ¶59.</w:t>
      </w:r>
    </w:p>
  </w:footnote>
  <w:footnote w:id="59">
    <w:p w14:paraId="08031AB8" w14:textId="4F535CFA" w:rsidR="008F0336" w:rsidRPr="009B42A0" w:rsidRDefault="008F0336" w:rsidP="008F0336">
      <w:pPr>
        <w:pStyle w:val="FootnoteText"/>
        <w:rPr>
          <w:color w:val="000000" w:themeColor="text1"/>
        </w:rPr>
      </w:pPr>
      <w:r w:rsidRPr="009B42A0">
        <w:rPr>
          <w:rStyle w:val="FootnoteReference"/>
          <w:color w:val="000000" w:themeColor="text1"/>
        </w:rPr>
        <w:footnoteRef/>
      </w:r>
      <w:r w:rsidRPr="009B42A0">
        <w:rPr>
          <w:color w:val="000000" w:themeColor="text1"/>
        </w:rPr>
        <w:t xml:space="preserve"> </w:t>
      </w:r>
      <w:proofErr w:type="spellStart"/>
      <w:r w:rsidRPr="009B42A0">
        <w:rPr>
          <w:color w:val="000000" w:themeColor="text1"/>
        </w:rPr>
        <w:t>Garowe</w:t>
      </w:r>
      <w:proofErr w:type="spellEnd"/>
      <w:r w:rsidRPr="009B42A0">
        <w:rPr>
          <w:color w:val="000000" w:themeColor="text1"/>
        </w:rPr>
        <w:t xml:space="preserve"> Online, </w:t>
      </w:r>
      <w:r w:rsidRPr="009B42A0">
        <w:rPr>
          <w:i/>
          <w:iCs/>
          <w:color w:val="000000" w:themeColor="text1"/>
        </w:rPr>
        <w:t>Somalia’s military court sentences man to death for role in attack</w:t>
      </w:r>
      <w:r w:rsidRPr="009B42A0">
        <w:rPr>
          <w:color w:val="000000" w:themeColor="text1"/>
        </w:rPr>
        <w:t xml:space="preserve">, Nov. 21, 2019, </w:t>
      </w:r>
      <w:r w:rsidRPr="00814425">
        <w:t>https://www.garoweonline.com/en/news/somalia/somalias-military-court-sentences-man-to-death-for-his-role-in-attack</w:t>
      </w:r>
      <w:r w:rsidRPr="009B42A0">
        <w:rPr>
          <w:color w:val="000000" w:themeColor="text1"/>
        </w:rPr>
        <w:t xml:space="preserve"> (accessed October 6, 2020)</w:t>
      </w:r>
    </w:p>
  </w:footnote>
  <w:footnote w:id="60">
    <w:p w14:paraId="7A24BC36" w14:textId="77777777" w:rsidR="008F0336" w:rsidRPr="009B42A0" w:rsidRDefault="008F0336" w:rsidP="008F0336">
      <w:pPr>
        <w:pStyle w:val="FootnoteText"/>
        <w:rPr>
          <w:color w:val="000000" w:themeColor="text1"/>
        </w:rPr>
      </w:pPr>
      <w:r w:rsidRPr="009B42A0">
        <w:rPr>
          <w:rStyle w:val="FootnoteReference"/>
          <w:color w:val="000000" w:themeColor="text1"/>
        </w:rPr>
        <w:footnoteRef/>
      </w:r>
      <w:r w:rsidRPr="009B42A0">
        <w:rPr>
          <w:color w:val="000000" w:themeColor="text1"/>
        </w:rPr>
        <w:t xml:space="preserve"> </w:t>
      </w:r>
      <w:r w:rsidRPr="009B42A0">
        <w:rPr>
          <w:i/>
          <w:iCs/>
          <w:color w:val="000000" w:themeColor="text1"/>
        </w:rPr>
        <w:t xml:space="preserve">See, </w:t>
      </w:r>
      <w:r w:rsidRPr="009B42A0">
        <w:rPr>
          <w:color w:val="000000" w:themeColor="text1"/>
        </w:rPr>
        <w:t xml:space="preserve">Hands Off Cain, </w:t>
      </w:r>
      <w:r w:rsidRPr="009B42A0">
        <w:rPr>
          <w:i/>
          <w:iCs/>
          <w:color w:val="000000" w:themeColor="text1"/>
        </w:rPr>
        <w:t>Somalia</w:t>
      </w:r>
      <w:r w:rsidRPr="009B42A0">
        <w:rPr>
          <w:color w:val="000000" w:themeColor="text1"/>
        </w:rPr>
        <w:t>, accessed October 6, 2020, www.handsoffcain.info.</w:t>
      </w:r>
    </w:p>
  </w:footnote>
  <w:footnote w:id="61">
    <w:p w14:paraId="6E556CBC" w14:textId="6E50EA01" w:rsidR="008F0336" w:rsidRPr="009B42A0" w:rsidRDefault="008F0336" w:rsidP="008F0336">
      <w:pPr>
        <w:pStyle w:val="FootnoteText"/>
        <w:rPr>
          <w:color w:val="000000" w:themeColor="text1"/>
        </w:rPr>
      </w:pPr>
      <w:r w:rsidRPr="009B42A0">
        <w:rPr>
          <w:rStyle w:val="FootnoteReference"/>
          <w:color w:val="000000" w:themeColor="text1"/>
        </w:rPr>
        <w:footnoteRef/>
      </w:r>
      <w:r w:rsidRPr="009B42A0">
        <w:rPr>
          <w:color w:val="000000" w:themeColor="text1"/>
        </w:rPr>
        <w:t xml:space="preserve"> Hands Off Cain, </w:t>
      </w:r>
      <w:r w:rsidRPr="009B42A0">
        <w:rPr>
          <w:i/>
          <w:iCs/>
        </w:rPr>
        <w:t>Somalia: Puntland military court sentences activists to death and jail terms,</w:t>
      </w:r>
      <w:r w:rsidRPr="009B42A0">
        <w:rPr>
          <w:color w:val="000000" w:themeColor="text1"/>
        </w:rPr>
        <w:t xml:space="preserve"> Sept. 29, 2020, </w:t>
      </w:r>
      <w:r w:rsidRPr="00814425">
        <w:t>http://www.handsoffcain.info/notizia/somalia-puntland-military-court-sentences-activists-to-death-and-jail-terms-60315127</w:t>
      </w:r>
      <w:r w:rsidRPr="009B42A0">
        <w:rPr>
          <w:color w:val="000000" w:themeColor="text1"/>
        </w:rPr>
        <w:t xml:space="preserve"> (accessed October 6, 2020)</w:t>
      </w:r>
    </w:p>
  </w:footnote>
  <w:footnote w:id="62">
    <w:p w14:paraId="5E3951B8" w14:textId="77777777" w:rsidR="008F0336" w:rsidRPr="009B42A0" w:rsidRDefault="008F0336" w:rsidP="008F0336">
      <w:pPr>
        <w:pStyle w:val="FootnoteText"/>
      </w:pPr>
      <w:r w:rsidRPr="009B42A0">
        <w:rPr>
          <w:rStyle w:val="FootnoteReference"/>
          <w:color w:val="000000" w:themeColor="text1"/>
        </w:rPr>
        <w:footnoteRef/>
      </w:r>
      <w:r w:rsidRPr="009B42A0">
        <w:rPr>
          <w:color w:val="000000" w:themeColor="text1"/>
        </w:rPr>
        <w:t xml:space="preserve"> Amnesty International, </w:t>
      </w:r>
      <w:r w:rsidRPr="009B42A0">
        <w:rPr>
          <w:i/>
          <w:iCs/>
          <w:color w:val="000000" w:themeColor="text1"/>
        </w:rPr>
        <w:t>Death Penalty 2021: Facts and Figures</w:t>
      </w:r>
      <w:r w:rsidRPr="009B42A0">
        <w:rPr>
          <w:color w:val="000000" w:themeColor="text1"/>
        </w:rPr>
        <w:t xml:space="preserve"> (May 24, 2022), 58.</w:t>
      </w:r>
    </w:p>
  </w:footnote>
  <w:footnote w:id="63">
    <w:p w14:paraId="36F33A7C" w14:textId="77777777" w:rsidR="008F0336" w:rsidRPr="009B42A0" w:rsidRDefault="008F0336" w:rsidP="008F0336">
      <w:pPr>
        <w:pStyle w:val="FootnoteText"/>
      </w:pPr>
      <w:r w:rsidRPr="009B42A0">
        <w:rPr>
          <w:rStyle w:val="FootnoteReference"/>
          <w:color w:val="000000" w:themeColor="text1"/>
        </w:rPr>
        <w:footnoteRef/>
      </w:r>
      <w:r w:rsidRPr="009B42A0">
        <w:rPr>
          <w:color w:val="000000" w:themeColor="text1"/>
        </w:rPr>
        <w:t xml:space="preserve"> Mohamed </w:t>
      </w:r>
      <w:proofErr w:type="spellStart"/>
      <w:r w:rsidRPr="009B42A0">
        <w:rPr>
          <w:color w:val="000000" w:themeColor="text1"/>
        </w:rPr>
        <w:t>Dhaysane</w:t>
      </w:r>
      <w:proofErr w:type="spellEnd"/>
      <w:proofErr w:type="gramStart"/>
      <w:r w:rsidRPr="009B42A0">
        <w:rPr>
          <w:color w:val="000000" w:themeColor="text1"/>
        </w:rPr>
        <w:t>, ”Al</w:t>
      </w:r>
      <w:proofErr w:type="gramEnd"/>
      <w:r w:rsidRPr="009B42A0">
        <w:rPr>
          <w:color w:val="000000" w:themeColor="text1"/>
        </w:rPr>
        <w:t xml:space="preserve">-Shabab Militants Execute 7 by Firing Squad in Somalia,” </w:t>
      </w:r>
      <w:r w:rsidRPr="009B42A0">
        <w:rPr>
          <w:i/>
          <w:iCs/>
          <w:color w:val="000000" w:themeColor="text1"/>
        </w:rPr>
        <w:t>VOA</w:t>
      </w:r>
      <w:r w:rsidRPr="009B42A0">
        <w:rPr>
          <w:color w:val="000000" w:themeColor="text1"/>
        </w:rPr>
        <w:t>, (accessed Aug. 26, 2022), https://www.voanews.com/a/al-shabab-militants-executes-7-by-firing-squad-in-somalia-/6681012.html</w:t>
      </w:r>
    </w:p>
  </w:footnote>
  <w:footnote w:id="64">
    <w:p w14:paraId="2C17725A" w14:textId="6B7C1D29" w:rsidR="008F0336" w:rsidRPr="009B42A0" w:rsidRDefault="008F0336" w:rsidP="008F0336">
      <w:pPr>
        <w:pStyle w:val="FootnoteText"/>
        <w:spacing w:line="276" w:lineRule="auto"/>
        <w:jc w:val="both"/>
        <w:rPr>
          <w:color w:val="000000" w:themeColor="text1"/>
        </w:rPr>
      </w:pPr>
      <w:r w:rsidRPr="009B42A0">
        <w:rPr>
          <w:rStyle w:val="FootnoteReference"/>
          <w:color w:val="000000" w:themeColor="text1"/>
        </w:rPr>
        <w:footnoteRef/>
      </w:r>
      <w:r w:rsidRPr="009B42A0">
        <w:rPr>
          <w:color w:val="000000" w:themeColor="text1"/>
        </w:rPr>
        <w:t xml:space="preserve"> Mohammed </w:t>
      </w:r>
      <w:proofErr w:type="spellStart"/>
      <w:r w:rsidRPr="009B42A0">
        <w:rPr>
          <w:color w:val="000000" w:themeColor="text1"/>
        </w:rPr>
        <w:t>Dhaysane</w:t>
      </w:r>
      <w:proofErr w:type="spellEnd"/>
      <w:r w:rsidRPr="009B42A0">
        <w:rPr>
          <w:color w:val="000000" w:themeColor="text1"/>
        </w:rPr>
        <w:t xml:space="preserve">, </w:t>
      </w:r>
      <w:r w:rsidRPr="009B42A0">
        <w:rPr>
          <w:i/>
          <w:iCs/>
          <w:color w:val="000000" w:themeColor="text1"/>
        </w:rPr>
        <w:t>Somalia: Military court sentences policeman to death</w:t>
      </w:r>
      <w:r w:rsidRPr="009B42A0">
        <w:rPr>
          <w:color w:val="000000" w:themeColor="text1"/>
        </w:rPr>
        <w:t xml:space="preserve">, Anadolu Agency, Sept. 2, 2019, </w:t>
      </w:r>
      <w:r w:rsidRPr="00814425">
        <w:t>https://www.aa.com.tr/en/africa/somalia-military-court-sentences-policeman-to-death/1570825</w:t>
      </w:r>
      <w:r w:rsidRPr="009B42A0">
        <w:rPr>
          <w:color w:val="000000" w:themeColor="text1"/>
        </w:rPr>
        <w:t xml:space="preserve"> (accessed October 6, 2020); Somaliland.com, </w:t>
      </w:r>
      <w:r w:rsidRPr="009B42A0">
        <w:rPr>
          <w:i/>
          <w:iCs/>
          <w:color w:val="000000" w:themeColor="text1"/>
        </w:rPr>
        <w:t>Military Court hands down death sentence to Somaliland police officer</w:t>
      </w:r>
      <w:r w:rsidRPr="009B42A0">
        <w:rPr>
          <w:color w:val="000000" w:themeColor="text1"/>
        </w:rPr>
        <w:t xml:space="preserve">, Feb. 3, 2020, </w:t>
      </w:r>
    </w:p>
    <w:p w14:paraId="1A8AAF3A" w14:textId="24AA182A" w:rsidR="008F0336" w:rsidRPr="009B42A0" w:rsidRDefault="008F0336" w:rsidP="008F0336">
      <w:pPr>
        <w:spacing w:line="276" w:lineRule="auto"/>
        <w:jc w:val="both"/>
        <w:rPr>
          <w:color w:val="000000" w:themeColor="text1"/>
        </w:rPr>
      </w:pPr>
      <w:r w:rsidRPr="00814425">
        <w:t>https://www.somaliland.com/news/somaliland/military-court-hands-down-death-sentence-to-somaliland-police-officer/</w:t>
      </w:r>
      <w:r w:rsidRPr="009B42A0">
        <w:rPr>
          <w:color w:val="000000" w:themeColor="text1"/>
        </w:rPr>
        <w:t xml:space="preserve"> (accessed October 6, 2020)</w:t>
      </w:r>
    </w:p>
  </w:footnote>
  <w:footnote w:id="65">
    <w:p w14:paraId="55711751" w14:textId="77777777" w:rsidR="008F0336" w:rsidRPr="009B42A0" w:rsidRDefault="008F0336" w:rsidP="008F0336">
      <w:pPr>
        <w:pStyle w:val="FootnoteText"/>
        <w:rPr>
          <w:color w:val="000000" w:themeColor="text1"/>
        </w:rPr>
      </w:pPr>
      <w:r w:rsidRPr="009B42A0">
        <w:rPr>
          <w:rStyle w:val="FootnoteReference"/>
          <w:color w:val="000000" w:themeColor="text1"/>
        </w:rPr>
        <w:footnoteRef/>
      </w:r>
      <w:r w:rsidRPr="009B42A0">
        <w:rPr>
          <w:color w:val="000000" w:themeColor="text1"/>
        </w:rPr>
        <w:t xml:space="preserve"> Interview with expert on Somali law and court systems, September 25, 2020. Notes of the interview are on file at The Advocates for Human Rights.</w:t>
      </w:r>
    </w:p>
  </w:footnote>
  <w:footnote w:id="66">
    <w:p w14:paraId="6E9850B2" w14:textId="0C74A905" w:rsidR="008F0336" w:rsidRPr="009B42A0" w:rsidRDefault="008F0336" w:rsidP="008F0336">
      <w:pPr>
        <w:pStyle w:val="FootnoteText"/>
        <w:rPr>
          <w:color w:val="000000" w:themeColor="text1"/>
        </w:rPr>
      </w:pPr>
      <w:r w:rsidRPr="009B42A0">
        <w:rPr>
          <w:rStyle w:val="FootnoteReference"/>
          <w:color w:val="000000" w:themeColor="text1"/>
        </w:rPr>
        <w:footnoteRef/>
      </w:r>
      <w:r w:rsidRPr="009B42A0">
        <w:rPr>
          <w:color w:val="000000" w:themeColor="text1"/>
        </w:rPr>
        <w:t xml:space="preserve"> Mohamed </w:t>
      </w:r>
      <w:proofErr w:type="spellStart"/>
      <w:r w:rsidRPr="009B42A0">
        <w:rPr>
          <w:color w:val="000000" w:themeColor="text1"/>
        </w:rPr>
        <w:t>Olad</w:t>
      </w:r>
      <w:proofErr w:type="spellEnd"/>
      <w:r w:rsidRPr="009B42A0">
        <w:rPr>
          <w:color w:val="000000" w:themeColor="text1"/>
        </w:rPr>
        <w:t xml:space="preserve"> Hassan, </w:t>
      </w:r>
      <w:r w:rsidRPr="009B42A0">
        <w:rPr>
          <w:i/>
          <w:iCs/>
          <w:color w:val="000000" w:themeColor="text1"/>
        </w:rPr>
        <w:t>Executions Increase in Somalia</w:t>
      </w:r>
      <w:r w:rsidRPr="009B42A0">
        <w:rPr>
          <w:color w:val="000000" w:themeColor="text1"/>
        </w:rPr>
        <w:t xml:space="preserve">, Voice of America, May 15, 2017, </w:t>
      </w:r>
      <w:r w:rsidRPr="00814425">
        <w:t>https://www.voanews.com/africa/executions-increase-somalia</w:t>
      </w:r>
      <w:r w:rsidRPr="009B42A0">
        <w:rPr>
          <w:color w:val="000000" w:themeColor="text1"/>
        </w:rPr>
        <w:t xml:space="preserve"> (accessed October 1,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65420D99" w:rsidR="00804604" w:rsidRDefault="000F7B5E">
    <w:pPr>
      <w:pStyle w:val="Header"/>
    </w:pPr>
    <w:r>
      <w:rPr>
        <w:noProof/>
      </w:rPr>
      <w:drawing>
        <wp:inline distT="0" distB="0" distL="0" distR="0" wp14:anchorId="3210A091" wp14:editId="5DB847DA">
          <wp:extent cx="1343212" cy="609685"/>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3212" cy="609685"/>
                  </a:xfrm>
                  <a:prstGeom prst="rect">
                    <a:avLst/>
                  </a:prstGeom>
                </pic:spPr>
              </pic:pic>
            </a:graphicData>
          </a:graphic>
        </wp:inline>
      </w:drawing>
    </w:r>
    <w:r w:rsidR="002F7A11">
      <w:rPr>
        <w:noProof/>
      </w:rPr>
      <w:drawing>
        <wp:anchor distT="0" distB="0" distL="114300" distR="114300" simplePos="0" relativeHeight="251657216" behindDoc="1" locked="0" layoutInCell="1" allowOverlap="1" wp14:anchorId="0D691956" wp14:editId="02EE7461">
          <wp:simplePos x="0" y="0"/>
          <wp:positionH relativeFrom="column">
            <wp:posOffset>3985895</wp:posOffset>
          </wp:positionH>
          <wp:positionV relativeFrom="paragraph">
            <wp:posOffset>-132080</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4ECA69C"/>
    <w:lvl w:ilvl="0" w:tplc="FFFFFFFF">
      <w:start w:val="1"/>
      <w:numFmt w:val="decimal"/>
      <w:lvlText w:val="%1."/>
      <w:lvlJc w:val="left"/>
      <w:pPr>
        <w:ind w:left="720" w:hanging="360"/>
      </w:pPr>
      <w:rPr>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20885664"/>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946616"/>
    <w:multiLevelType w:val="hybridMultilevel"/>
    <w:tmpl w:val="0EAE6ECA"/>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67D1B3D"/>
    <w:multiLevelType w:val="hybridMultilevel"/>
    <w:tmpl w:val="73DE869C"/>
    <w:lvl w:ilvl="0" w:tplc="FFFFFFFF">
      <w:start w:val="1"/>
      <w:numFmt w:val="upperRoman"/>
      <w:lvlText w:val="%1."/>
      <w:lvlJc w:val="left"/>
      <w:pPr>
        <w:ind w:left="1080" w:hanging="72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341C02"/>
    <w:multiLevelType w:val="hybridMultilevel"/>
    <w:tmpl w:val="97586F42"/>
    <w:lvl w:ilvl="0" w:tplc="B91E4584">
      <w:start w:val="1"/>
      <w:numFmt w:val="decimal"/>
      <w:lvlText w:val="%1."/>
      <w:lvlJc w:val="left"/>
      <w:pPr>
        <w:ind w:left="720" w:hanging="360"/>
      </w:pPr>
    </w:lvl>
    <w:lvl w:ilvl="1" w:tplc="574C725A">
      <w:start w:val="1"/>
      <w:numFmt w:val="lowerLetter"/>
      <w:lvlText w:val="%2."/>
      <w:lvlJc w:val="left"/>
      <w:pPr>
        <w:ind w:left="1440" w:hanging="360"/>
      </w:pPr>
    </w:lvl>
    <w:lvl w:ilvl="2" w:tplc="78A86044">
      <w:start w:val="1"/>
      <w:numFmt w:val="lowerRoman"/>
      <w:lvlText w:val="%3."/>
      <w:lvlJc w:val="right"/>
      <w:pPr>
        <w:ind w:left="2160" w:hanging="180"/>
      </w:pPr>
    </w:lvl>
    <w:lvl w:ilvl="3" w:tplc="9A067656">
      <w:start w:val="1"/>
      <w:numFmt w:val="decimal"/>
      <w:lvlText w:val="%4."/>
      <w:lvlJc w:val="left"/>
      <w:pPr>
        <w:ind w:left="2880" w:hanging="360"/>
      </w:pPr>
    </w:lvl>
    <w:lvl w:ilvl="4" w:tplc="2E942A42">
      <w:start w:val="1"/>
      <w:numFmt w:val="lowerLetter"/>
      <w:lvlText w:val="%5."/>
      <w:lvlJc w:val="left"/>
      <w:pPr>
        <w:ind w:left="3600" w:hanging="360"/>
      </w:pPr>
    </w:lvl>
    <w:lvl w:ilvl="5" w:tplc="A582EB08">
      <w:start w:val="1"/>
      <w:numFmt w:val="lowerRoman"/>
      <w:lvlText w:val="%6."/>
      <w:lvlJc w:val="right"/>
      <w:pPr>
        <w:ind w:left="4320" w:hanging="180"/>
      </w:pPr>
    </w:lvl>
    <w:lvl w:ilvl="6" w:tplc="428C5A6E">
      <w:start w:val="1"/>
      <w:numFmt w:val="decimal"/>
      <w:lvlText w:val="%7."/>
      <w:lvlJc w:val="left"/>
      <w:pPr>
        <w:ind w:left="5040" w:hanging="360"/>
      </w:pPr>
    </w:lvl>
    <w:lvl w:ilvl="7" w:tplc="C874C32E">
      <w:start w:val="1"/>
      <w:numFmt w:val="lowerLetter"/>
      <w:lvlText w:val="%8."/>
      <w:lvlJc w:val="left"/>
      <w:pPr>
        <w:ind w:left="5760" w:hanging="360"/>
      </w:pPr>
    </w:lvl>
    <w:lvl w:ilvl="8" w:tplc="7840BE1C">
      <w:start w:val="1"/>
      <w:numFmt w:val="lowerRoman"/>
      <w:lvlText w:val="%9."/>
      <w:lvlJc w:val="right"/>
      <w:pPr>
        <w:ind w:left="6480" w:hanging="180"/>
      </w:pPr>
    </w:lvl>
  </w:abstractNum>
  <w:num w:numId="1" w16cid:durableId="218131076">
    <w:abstractNumId w:val="12"/>
  </w:num>
  <w:num w:numId="2" w16cid:durableId="1915969075">
    <w:abstractNumId w:val="7"/>
  </w:num>
  <w:num w:numId="3" w16cid:durableId="2029719975">
    <w:abstractNumId w:val="6"/>
  </w:num>
  <w:num w:numId="4" w16cid:durableId="1539776804">
    <w:abstractNumId w:val="10"/>
  </w:num>
  <w:num w:numId="5"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55686896">
    <w:abstractNumId w:val="8"/>
  </w:num>
  <w:num w:numId="7" w16cid:durableId="594171688">
    <w:abstractNumId w:val="1"/>
  </w:num>
  <w:num w:numId="8" w16cid:durableId="1938251912">
    <w:abstractNumId w:val="4"/>
  </w:num>
  <w:num w:numId="9" w16cid:durableId="1784962959">
    <w:abstractNumId w:val="11"/>
  </w:num>
  <w:num w:numId="10" w16cid:durableId="1023946614">
    <w:abstractNumId w:val="2"/>
  </w:num>
  <w:num w:numId="11" w16cid:durableId="891576694">
    <w:abstractNumId w:val="0"/>
  </w:num>
  <w:num w:numId="12" w16cid:durableId="1500121142">
    <w:abstractNumId w:val="5"/>
  </w:num>
  <w:num w:numId="13" w16cid:durableId="4477446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57C8"/>
    <w:rsid w:val="00030F59"/>
    <w:rsid w:val="00033570"/>
    <w:rsid w:val="000342B6"/>
    <w:rsid w:val="00046377"/>
    <w:rsid w:val="00056CF5"/>
    <w:rsid w:val="00057E11"/>
    <w:rsid w:val="000734A4"/>
    <w:rsid w:val="00074BB0"/>
    <w:rsid w:val="000773C9"/>
    <w:rsid w:val="0008238F"/>
    <w:rsid w:val="00085935"/>
    <w:rsid w:val="000910FC"/>
    <w:rsid w:val="0009644E"/>
    <w:rsid w:val="000A1F17"/>
    <w:rsid w:val="000A66B8"/>
    <w:rsid w:val="000B042D"/>
    <w:rsid w:val="000B2332"/>
    <w:rsid w:val="000B4DB3"/>
    <w:rsid w:val="000C3723"/>
    <w:rsid w:val="000C6340"/>
    <w:rsid w:val="000D0680"/>
    <w:rsid w:val="000E1DDC"/>
    <w:rsid w:val="000F1E67"/>
    <w:rsid w:val="000F56E0"/>
    <w:rsid w:val="000F7B5E"/>
    <w:rsid w:val="001008D1"/>
    <w:rsid w:val="00105C37"/>
    <w:rsid w:val="00111994"/>
    <w:rsid w:val="001215B4"/>
    <w:rsid w:val="00127C52"/>
    <w:rsid w:val="00134867"/>
    <w:rsid w:val="00136514"/>
    <w:rsid w:val="00140C7E"/>
    <w:rsid w:val="00143423"/>
    <w:rsid w:val="00147EA4"/>
    <w:rsid w:val="001565F9"/>
    <w:rsid w:val="00160BDA"/>
    <w:rsid w:val="00181B2A"/>
    <w:rsid w:val="0018642B"/>
    <w:rsid w:val="00192AFA"/>
    <w:rsid w:val="001A59C1"/>
    <w:rsid w:val="001A5ED5"/>
    <w:rsid w:val="001A7AF4"/>
    <w:rsid w:val="001B012E"/>
    <w:rsid w:val="001B1AC4"/>
    <w:rsid w:val="001B27D7"/>
    <w:rsid w:val="001B46C2"/>
    <w:rsid w:val="001B799A"/>
    <w:rsid w:val="001C2B85"/>
    <w:rsid w:val="001C42EB"/>
    <w:rsid w:val="001F303A"/>
    <w:rsid w:val="00201990"/>
    <w:rsid w:val="00203821"/>
    <w:rsid w:val="00220D48"/>
    <w:rsid w:val="00237C8C"/>
    <w:rsid w:val="00242F64"/>
    <w:rsid w:val="002439A3"/>
    <w:rsid w:val="00243E14"/>
    <w:rsid w:val="00255789"/>
    <w:rsid w:val="00264CDB"/>
    <w:rsid w:val="00272519"/>
    <w:rsid w:val="002734D9"/>
    <w:rsid w:val="00273933"/>
    <w:rsid w:val="00280AA6"/>
    <w:rsid w:val="00282063"/>
    <w:rsid w:val="00282223"/>
    <w:rsid w:val="002916D8"/>
    <w:rsid w:val="00291BE8"/>
    <w:rsid w:val="002A0797"/>
    <w:rsid w:val="002A4838"/>
    <w:rsid w:val="002C57BC"/>
    <w:rsid w:val="002C616E"/>
    <w:rsid w:val="002D36C6"/>
    <w:rsid w:val="002E34EA"/>
    <w:rsid w:val="002E46A1"/>
    <w:rsid w:val="002F2D8C"/>
    <w:rsid w:val="002F7A11"/>
    <w:rsid w:val="00315C53"/>
    <w:rsid w:val="00322CB1"/>
    <w:rsid w:val="00333D71"/>
    <w:rsid w:val="003369A6"/>
    <w:rsid w:val="00340484"/>
    <w:rsid w:val="00344140"/>
    <w:rsid w:val="00344556"/>
    <w:rsid w:val="00345B90"/>
    <w:rsid w:val="0035378E"/>
    <w:rsid w:val="0035424D"/>
    <w:rsid w:val="00371209"/>
    <w:rsid w:val="00374FD8"/>
    <w:rsid w:val="00375A3A"/>
    <w:rsid w:val="0038184C"/>
    <w:rsid w:val="00390AC3"/>
    <w:rsid w:val="003937C6"/>
    <w:rsid w:val="003A0BC2"/>
    <w:rsid w:val="003A101A"/>
    <w:rsid w:val="003A1D3E"/>
    <w:rsid w:val="003A6F6D"/>
    <w:rsid w:val="003B37CF"/>
    <w:rsid w:val="003B517B"/>
    <w:rsid w:val="003C1E49"/>
    <w:rsid w:val="003C28DA"/>
    <w:rsid w:val="003C60FE"/>
    <w:rsid w:val="003F1F09"/>
    <w:rsid w:val="003F433F"/>
    <w:rsid w:val="00400C91"/>
    <w:rsid w:val="004076CD"/>
    <w:rsid w:val="00417CE5"/>
    <w:rsid w:val="00430A63"/>
    <w:rsid w:val="00450118"/>
    <w:rsid w:val="00450405"/>
    <w:rsid w:val="00453314"/>
    <w:rsid w:val="00476CC4"/>
    <w:rsid w:val="00482138"/>
    <w:rsid w:val="004866AE"/>
    <w:rsid w:val="004A17D9"/>
    <w:rsid w:val="004A5B01"/>
    <w:rsid w:val="004A7D93"/>
    <w:rsid w:val="004A7FF9"/>
    <w:rsid w:val="004B1E4E"/>
    <w:rsid w:val="004B4CAF"/>
    <w:rsid w:val="004B73AF"/>
    <w:rsid w:val="004D2568"/>
    <w:rsid w:val="004D3EE9"/>
    <w:rsid w:val="004D51DD"/>
    <w:rsid w:val="004E7176"/>
    <w:rsid w:val="004E783D"/>
    <w:rsid w:val="004E7D83"/>
    <w:rsid w:val="004F2465"/>
    <w:rsid w:val="004F34E5"/>
    <w:rsid w:val="005132BB"/>
    <w:rsid w:val="0051494C"/>
    <w:rsid w:val="0052155C"/>
    <w:rsid w:val="00524166"/>
    <w:rsid w:val="00524C18"/>
    <w:rsid w:val="005336C2"/>
    <w:rsid w:val="005403E3"/>
    <w:rsid w:val="00551220"/>
    <w:rsid w:val="0055461C"/>
    <w:rsid w:val="00571EF6"/>
    <w:rsid w:val="00573F88"/>
    <w:rsid w:val="0059754B"/>
    <w:rsid w:val="005A1207"/>
    <w:rsid w:val="005B0C1B"/>
    <w:rsid w:val="005B44C6"/>
    <w:rsid w:val="005C183B"/>
    <w:rsid w:val="005C19DE"/>
    <w:rsid w:val="005C58B6"/>
    <w:rsid w:val="005C5BF7"/>
    <w:rsid w:val="005D4EE6"/>
    <w:rsid w:val="005D5F82"/>
    <w:rsid w:val="005F2A19"/>
    <w:rsid w:val="005F6160"/>
    <w:rsid w:val="00603D20"/>
    <w:rsid w:val="0060568A"/>
    <w:rsid w:val="0060622C"/>
    <w:rsid w:val="00607A24"/>
    <w:rsid w:val="0061778F"/>
    <w:rsid w:val="00624A10"/>
    <w:rsid w:val="00626C39"/>
    <w:rsid w:val="006432F7"/>
    <w:rsid w:val="00643D7A"/>
    <w:rsid w:val="00646D29"/>
    <w:rsid w:val="006533EC"/>
    <w:rsid w:val="0066318F"/>
    <w:rsid w:val="00670DF9"/>
    <w:rsid w:val="006808BA"/>
    <w:rsid w:val="006927DD"/>
    <w:rsid w:val="006B7B89"/>
    <w:rsid w:val="006D39C4"/>
    <w:rsid w:val="006E7D5B"/>
    <w:rsid w:val="006F582F"/>
    <w:rsid w:val="007143B8"/>
    <w:rsid w:val="00731693"/>
    <w:rsid w:val="007316AA"/>
    <w:rsid w:val="00741B9C"/>
    <w:rsid w:val="007517A0"/>
    <w:rsid w:val="00757A1C"/>
    <w:rsid w:val="007637D8"/>
    <w:rsid w:val="00765EBC"/>
    <w:rsid w:val="0077231B"/>
    <w:rsid w:val="00774643"/>
    <w:rsid w:val="007838DE"/>
    <w:rsid w:val="0079001A"/>
    <w:rsid w:val="007B46CD"/>
    <w:rsid w:val="007C4387"/>
    <w:rsid w:val="007C7CCE"/>
    <w:rsid w:val="007D24DC"/>
    <w:rsid w:val="007D2FB7"/>
    <w:rsid w:val="007E5307"/>
    <w:rsid w:val="007E79C4"/>
    <w:rsid w:val="007F02A6"/>
    <w:rsid w:val="007F23A8"/>
    <w:rsid w:val="007F366A"/>
    <w:rsid w:val="00804604"/>
    <w:rsid w:val="008051C0"/>
    <w:rsid w:val="00805871"/>
    <w:rsid w:val="0081221D"/>
    <w:rsid w:val="00814425"/>
    <w:rsid w:val="00826961"/>
    <w:rsid w:val="00836428"/>
    <w:rsid w:val="008467A2"/>
    <w:rsid w:val="00847C78"/>
    <w:rsid w:val="00847D99"/>
    <w:rsid w:val="008514F0"/>
    <w:rsid w:val="00852B97"/>
    <w:rsid w:val="00870521"/>
    <w:rsid w:val="00875F35"/>
    <w:rsid w:val="0087642D"/>
    <w:rsid w:val="00876A46"/>
    <w:rsid w:val="008806CE"/>
    <w:rsid w:val="00884C3A"/>
    <w:rsid w:val="008856D7"/>
    <w:rsid w:val="0089523C"/>
    <w:rsid w:val="008A2889"/>
    <w:rsid w:val="008C3B9B"/>
    <w:rsid w:val="008C7B1F"/>
    <w:rsid w:val="008C7B63"/>
    <w:rsid w:val="008E0859"/>
    <w:rsid w:val="008F0336"/>
    <w:rsid w:val="008F0BDD"/>
    <w:rsid w:val="008F2F99"/>
    <w:rsid w:val="008F6084"/>
    <w:rsid w:val="00902B54"/>
    <w:rsid w:val="009057C8"/>
    <w:rsid w:val="0092028E"/>
    <w:rsid w:val="00930B2E"/>
    <w:rsid w:val="0093193B"/>
    <w:rsid w:val="0093589C"/>
    <w:rsid w:val="00947170"/>
    <w:rsid w:val="00947B3D"/>
    <w:rsid w:val="00956E94"/>
    <w:rsid w:val="00962312"/>
    <w:rsid w:val="009627A1"/>
    <w:rsid w:val="009712FE"/>
    <w:rsid w:val="009875AD"/>
    <w:rsid w:val="009924AF"/>
    <w:rsid w:val="0099285A"/>
    <w:rsid w:val="009A7F71"/>
    <w:rsid w:val="009B42A0"/>
    <w:rsid w:val="009B51D7"/>
    <w:rsid w:val="009C7E8A"/>
    <w:rsid w:val="009D3BEA"/>
    <w:rsid w:val="009D4F46"/>
    <w:rsid w:val="009D5161"/>
    <w:rsid w:val="009E2416"/>
    <w:rsid w:val="009E4D16"/>
    <w:rsid w:val="009F12E2"/>
    <w:rsid w:val="009F3358"/>
    <w:rsid w:val="009F478B"/>
    <w:rsid w:val="009F69C1"/>
    <w:rsid w:val="00A0169D"/>
    <w:rsid w:val="00A02C2C"/>
    <w:rsid w:val="00A12C84"/>
    <w:rsid w:val="00A23E2D"/>
    <w:rsid w:val="00A40EE1"/>
    <w:rsid w:val="00A423ED"/>
    <w:rsid w:val="00A536F3"/>
    <w:rsid w:val="00A66266"/>
    <w:rsid w:val="00A73C4A"/>
    <w:rsid w:val="00A75C67"/>
    <w:rsid w:val="00A86186"/>
    <w:rsid w:val="00A90CC3"/>
    <w:rsid w:val="00A91D08"/>
    <w:rsid w:val="00AA6318"/>
    <w:rsid w:val="00AA7FCB"/>
    <w:rsid w:val="00AB3FB3"/>
    <w:rsid w:val="00AB59AE"/>
    <w:rsid w:val="00AB5BD9"/>
    <w:rsid w:val="00AC040C"/>
    <w:rsid w:val="00AD0AA1"/>
    <w:rsid w:val="00AE07A3"/>
    <w:rsid w:val="00AE1CDD"/>
    <w:rsid w:val="00AE372A"/>
    <w:rsid w:val="00B275A9"/>
    <w:rsid w:val="00B30274"/>
    <w:rsid w:val="00B308BE"/>
    <w:rsid w:val="00B40DBF"/>
    <w:rsid w:val="00B44231"/>
    <w:rsid w:val="00B457C4"/>
    <w:rsid w:val="00B54060"/>
    <w:rsid w:val="00B548AB"/>
    <w:rsid w:val="00B71178"/>
    <w:rsid w:val="00B914A2"/>
    <w:rsid w:val="00B9367E"/>
    <w:rsid w:val="00B9541E"/>
    <w:rsid w:val="00BA4CDE"/>
    <w:rsid w:val="00BB0488"/>
    <w:rsid w:val="00BB3ED5"/>
    <w:rsid w:val="00BB4AB9"/>
    <w:rsid w:val="00BB5255"/>
    <w:rsid w:val="00BC07C0"/>
    <w:rsid w:val="00BC1BF5"/>
    <w:rsid w:val="00BD3AFF"/>
    <w:rsid w:val="00BD3CFF"/>
    <w:rsid w:val="00BE59BD"/>
    <w:rsid w:val="00C0097D"/>
    <w:rsid w:val="00C0174A"/>
    <w:rsid w:val="00C02B00"/>
    <w:rsid w:val="00C05D9B"/>
    <w:rsid w:val="00C214BA"/>
    <w:rsid w:val="00C26130"/>
    <w:rsid w:val="00C315B6"/>
    <w:rsid w:val="00C376F3"/>
    <w:rsid w:val="00C4132F"/>
    <w:rsid w:val="00C419F7"/>
    <w:rsid w:val="00C463D2"/>
    <w:rsid w:val="00C62A44"/>
    <w:rsid w:val="00C65A51"/>
    <w:rsid w:val="00C67E4A"/>
    <w:rsid w:val="00C700EB"/>
    <w:rsid w:val="00C73FE7"/>
    <w:rsid w:val="00C80A39"/>
    <w:rsid w:val="00C81936"/>
    <w:rsid w:val="00C84C4C"/>
    <w:rsid w:val="00CA5CC2"/>
    <w:rsid w:val="00CA7D78"/>
    <w:rsid w:val="00CB631F"/>
    <w:rsid w:val="00CC5314"/>
    <w:rsid w:val="00CF5003"/>
    <w:rsid w:val="00D0019C"/>
    <w:rsid w:val="00D17F80"/>
    <w:rsid w:val="00D308E1"/>
    <w:rsid w:val="00D3182B"/>
    <w:rsid w:val="00D52AD6"/>
    <w:rsid w:val="00D66CC2"/>
    <w:rsid w:val="00D80A57"/>
    <w:rsid w:val="00D84831"/>
    <w:rsid w:val="00D861C1"/>
    <w:rsid w:val="00D86901"/>
    <w:rsid w:val="00D90CDD"/>
    <w:rsid w:val="00D92835"/>
    <w:rsid w:val="00D94424"/>
    <w:rsid w:val="00D95D4E"/>
    <w:rsid w:val="00DA586F"/>
    <w:rsid w:val="00DA6DB6"/>
    <w:rsid w:val="00DB7A71"/>
    <w:rsid w:val="00DC373C"/>
    <w:rsid w:val="00DC41C9"/>
    <w:rsid w:val="00DC5473"/>
    <w:rsid w:val="00DC6A3F"/>
    <w:rsid w:val="00DD2F76"/>
    <w:rsid w:val="00DD3996"/>
    <w:rsid w:val="00DE4D80"/>
    <w:rsid w:val="00DE6FE8"/>
    <w:rsid w:val="00E114C5"/>
    <w:rsid w:val="00E13D93"/>
    <w:rsid w:val="00E162F5"/>
    <w:rsid w:val="00E2079E"/>
    <w:rsid w:val="00E24232"/>
    <w:rsid w:val="00E307F3"/>
    <w:rsid w:val="00E3230E"/>
    <w:rsid w:val="00E35775"/>
    <w:rsid w:val="00E4597A"/>
    <w:rsid w:val="00E75C72"/>
    <w:rsid w:val="00E826D1"/>
    <w:rsid w:val="00E862AC"/>
    <w:rsid w:val="00E95CF7"/>
    <w:rsid w:val="00EA0EEB"/>
    <w:rsid w:val="00EA2C1E"/>
    <w:rsid w:val="00EB73B4"/>
    <w:rsid w:val="00EC17E2"/>
    <w:rsid w:val="00ED2912"/>
    <w:rsid w:val="00ED2DCC"/>
    <w:rsid w:val="00EE3AD8"/>
    <w:rsid w:val="00EF2BE5"/>
    <w:rsid w:val="00F02B2B"/>
    <w:rsid w:val="00F042FA"/>
    <w:rsid w:val="00F12065"/>
    <w:rsid w:val="00F13382"/>
    <w:rsid w:val="00F13FB8"/>
    <w:rsid w:val="00F16374"/>
    <w:rsid w:val="00F22813"/>
    <w:rsid w:val="00F2442A"/>
    <w:rsid w:val="00F36665"/>
    <w:rsid w:val="00F4107A"/>
    <w:rsid w:val="00F41F7E"/>
    <w:rsid w:val="00F51AFD"/>
    <w:rsid w:val="00F612FF"/>
    <w:rsid w:val="00F6493F"/>
    <w:rsid w:val="00F75663"/>
    <w:rsid w:val="00F811E7"/>
    <w:rsid w:val="00F9056C"/>
    <w:rsid w:val="00F92EF4"/>
    <w:rsid w:val="00FB4891"/>
    <w:rsid w:val="00FC264E"/>
    <w:rsid w:val="00FC3EAD"/>
    <w:rsid w:val="00FC604F"/>
    <w:rsid w:val="00FC686F"/>
    <w:rsid w:val="00FC7FBE"/>
    <w:rsid w:val="00FD4419"/>
    <w:rsid w:val="00FD79DC"/>
    <w:rsid w:val="00FE0378"/>
    <w:rsid w:val="00FE2347"/>
    <w:rsid w:val="018ED4F6"/>
    <w:rsid w:val="01C41B2D"/>
    <w:rsid w:val="021F26D2"/>
    <w:rsid w:val="0228D2D7"/>
    <w:rsid w:val="025B5FFF"/>
    <w:rsid w:val="03D32E5F"/>
    <w:rsid w:val="044E7B95"/>
    <w:rsid w:val="04875EAA"/>
    <w:rsid w:val="0494A098"/>
    <w:rsid w:val="053BC844"/>
    <w:rsid w:val="053E6FBC"/>
    <w:rsid w:val="062D67C1"/>
    <w:rsid w:val="0654368C"/>
    <w:rsid w:val="06E60562"/>
    <w:rsid w:val="07255C47"/>
    <w:rsid w:val="07F898D9"/>
    <w:rsid w:val="0819998B"/>
    <w:rsid w:val="084446BE"/>
    <w:rsid w:val="0892C605"/>
    <w:rsid w:val="08CAA183"/>
    <w:rsid w:val="091AC99A"/>
    <w:rsid w:val="09A3185A"/>
    <w:rsid w:val="0A294786"/>
    <w:rsid w:val="0A2BF736"/>
    <w:rsid w:val="0A31350C"/>
    <w:rsid w:val="0A9D719E"/>
    <w:rsid w:val="0B0A711A"/>
    <w:rsid w:val="0B184A6C"/>
    <w:rsid w:val="0B4F5E55"/>
    <w:rsid w:val="0CE2ABC9"/>
    <w:rsid w:val="0CEB2EB6"/>
    <w:rsid w:val="0CFFDCCB"/>
    <w:rsid w:val="0D6397F8"/>
    <w:rsid w:val="0E77AE2E"/>
    <w:rsid w:val="0EBE9756"/>
    <w:rsid w:val="0F1890B6"/>
    <w:rsid w:val="0F472DCD"/>
    <w:rsid w:val="1022CF78"/>
    <w:rsid w:val="106ED2AB"/>
    <w:rsid w:val="1098890A"/>
    <w:rsid w:val="12242C58"/>
    <w:rsid w:val="12A88383"/>
    <w:rsid w:val="13199137"/>
    <w:rsid w:val="141E8F01"/>
    <w:rsid w:val="14BC571A"/>
    <w:rsid w:val="14FA4059"/>
    <w:rsid w:val="1622BB86"/>
    <w:rsid w:val="163C6E57"/>
    <w:rsid w:val="166A5A56"/>
    <w:rsid w:val="1699FE82"/>
    <w:rsid w:val="16D3E738"/>
    <w:rsid w:val="17FFB4B4"/>
    <w:rsid w:val="1835CEE3"/>
    <w:rsid w:val="18EF5074"/>
    <w:rsid w:val="197823C9"/>
    <w:rsid w:val="19B335EF"/>
    <w:rsid w:val="1A3C1613"/>
    <w:rsid w:val="1A55F39F"/>
    <w:rsid w:val="1B6D6FA5"/>
    <w:rsid w:val="1D094006"/>
    <w:rsid w:val="1D70FA56"/>
    <w:rsid w:val="1DC57147"/>
    <w:rsid w:val="1E1B545F"/>
    <w:rsid w:val="1E4B94EC"/>
    <w:rsid w:val="1E756C3B"/>
    <w:rsid w:val="1F814D60"/>
    <w:rsid w:val="204A7476"/>
    <w:rsid w:val="208A59F7"/>
    <w:rsid w:val="20C26186"/>
    <w:rsid w:val="20EBB8F7"/>
    <w:rsid w:val="21A07432"/>
    <w:rsid w:val="21F6BED7"/>
    <w:rsid w:val="2206333F"/>
    <w:rsid w:val="22446B79"/>
    <w:rsid w:val="224AD979"/>
    <w:rsid w:val="22AF5E39"/>
    <w:rsid w:val="2340EFD8"/>
    <w:rsid w:val="235A1835"/>
    <w:rsid w:val="2378818A"/>
    <w:rsid w:val="2493193C"/>
    <w:rsid w:val="24ACF474"/>
    <w:rsid w:val="25447B17"/>
    <w:rsid w:val="25D9FBC3"/>
    <w:rsid w:val="2664A613"/>
    <w:rsid w:val="26B4B27D"/>
    <w:rsid w:val="26BE5C02"/>
    <w:rsid w:val="27553789"/>
    <w:rsid w:val="281C4E81"/>
    <w:rsid w:val="29B0315C"/>
    <w:rsid w:val="2A065546"/>
    <w:rsid w:val="2A22B86C"/>
    <w:rsid w:val="2A2D7A47"/>
    <w:rsid w:val="2A6579E0"/>
    <w:rsid w:val="2AA66B69"/>
    <w:rsid w:val="2AD1A6B8"/>
    <w:rsid w:val="2BAE3311"/>
    <w:rsid w:val="2CAA1BDB"/>
    <w:rsid w:val="2DC7AA8A"/>
    <w:rsid w:val="2F2ADC07"/>
    <w:rsid w:val="2F3BC767"/>
    <w:rsid w:val="308A4841"/>
    <w:rsid w:val="3098DACE"/>
    <w:rsid w:val="31995978"/>
    <w:rsid w:val="3284A300"/>
    <w:rsid w:val="32F83FE5"/>
    <w:rsid w:val="335F0128"/>
    <w:rsid w:val="338A0B7D"/>
    <w:rsid w:val="33A7E4E3"/>
    <w:rsid w:val="33F701B4"/>
    <w:rsid w:val="343C743E"/>
    <w:rsid w:val="34E1A92C"/>
    <w:rsid w:val="359A1D8B"/>
    <w:rsid w:val="35AB08EB"/>
    <w:rsid w:val="35F467E1"/>
    <w:rsid w:val="3619B433"/>
    <w:rsid w:val="365C9DFD"/>
    <w:rsid w:val="3696A1EA"/>
    <w:rsid w:val="3717CDEF"/>
    <w:rsid w:val="37DBF1D7"/>
    <w:rsid w:val="38055F67"/>
    <w:rsid w:val="385DE211"/>
    <w:rsid w:val="39B51A4F"/>
    <w:rsid w:val="39BD6373"/>
    <w:rsid w:val="3AE31193"/>
    <w:rsid w:val="3BA5ED86"/>
    <w:rsid w:val="3C33FEB1"/>
    <w:rsid w:val="3CCA1154"/>
    <w:rsid w:val="3CCAD148"/>
    <w:rsid w:val="3CE3F9A5"/>
    <w:rsid w:val="3D5E3579"/>
    <w:rsid w:val="3DB61AD0"/>
    <w:rsid w:val="3DC4A5F7"/>
    <w:rsid w:val="3DC755A7"/>
    <w:rsid w:val="3E9032F9"/>
    <w:rsid w:val="3EAA828E"/>
    <w:rsid w:val="3EC135D1"/>
    <w:rsid w:val="3EFA05DA"/>
    <w:rsid w:val="3F56C2F9"/>
    <w:rsid w:val="40EDBB92"/>
    <w:rsid w:val="41AAE032"/>
    <w:rsid w:val="41B76AC8"/>
    <w:rsid w:val="42274A7A"/>
    <w:rsid w:val="43669EFB"/>
    <w:rsid w:val="436A2EBE"/>
    <w:rsid w:val="4436972B"/>
    <w:rsid w:val="4446FE1C"/>
    <w:rsid w:val="4447D202"/>
    <w:rsid w:val="44D5E32D"/>
    <w:rsid w:val="4527AA6E"/>
    <w:rsid w:val="45E78954"/>
    <w:rsid w:val="4671B38E"/>
    <w:rsid w:val="46B4EFA8"/>
    <w:rsid w:val="46F5CEAB"/>
    <w:rsid w:val="476B883D"/>
    <w:rsid w:val="47C5BD5C"/>
    <w:rsid w:val="481B8331"/>
    <w:rsid w:val="481E32E1"/>
    <w:rsid w:val="483DE30F"/>
    <w:rsid w:val="489E22E0"/>
    <w:rsid w:val="48ED83C4"/>
    <w:rsid w:val="48F8CD77"/>
    <w:rsid w:val="4909B632"/>
    <w:rsid w:val="49787D0A"/>
    <w:rsid w:val="49D3680D"/>
    <w:rsid w:val="4A42BAF3"/>
    <w:rsid w:val="4A85ADD2"/>
    <w:rsid w:val="4AA328FF"/>
    <w:rsid w:val="4B4524B1"/>
    <w:rsid w:val="4B99A08A"/>
    <w:rsid w:val="4D120597"/>
    <w:rsid w:val="4D553C99"/>
    <w:rsid w:val="4DC98EEA"/>
    <w:rsid w:val="4DD4B805"/>
    <w:rsid w:val="4DE566F7"/>
    <w:rsid w:val="4FFCC95A"/>
    <w:rsid w:val="501895D4"/>
    <w:rsid w:val="502C4F93"/>
    <w:rsid w:val="5042A991"/>
    <w:rsid w:val="505BD1EE"/>
    <w:rsid w:val="5074DA68"/>
    <w:rsid w:val="51AD9CD9"/>
    <w:rsid w:val="51CD8E92"/>
    <w:rsid w:val="533CDA24"/>
    <w:rsid w:val="537A4A53"/>
    <w:rsid w:val="54290DB2"/>
    <w:rsid w:val="54851B57"/>
    <w:rsid w:val="55D7507F"/>
    <w:rsid w:val="577320E0"/>
    <w:rsid w:val="57758FA2"/>
    <w:rsid w:val="57D0113C"/>
    <w:rsid w:val="57F9C1C4"/>
    <w:rsid w:val="58914707"/>
    <w:rsid w:val="58BE6C9C"/>
    <w:rsid w:val="5916DEC7"/>
    <w:rsid w:val="59202C18"/>
    <w:rsid w:val="59208EE4"/>
    <w:rsid w:val="59BDA487"/>
    <w:rsid w:val="59CC66F5"/>
    <w:rsid w:val="5AA811F2"/>
    <w:rsid w:val="5B3572FD"/>
    <w:rsid w:val="5C12CC7A"/>
    <w:rsid w:val="5C333EF4"/>
    <w:rsid w:val="5D37A546"/>
    <w:rsid w:val="5E3076E6"/>
    <w:rsid w:val="5E605828"/>
    <w:rsid w:val="5EBCFCFA"/>
    <w:rsid w:val="5F8F6D9C"/>
    <w:rsid w:val="5FA895F9"/>
    <w:rsid w:val="600FC616"/>
    <w:rsid w:val="6058CD5B"/>
    <w:rsid w:val="6060BAE1"/>
    <w:rsid w:val="60AAEEAB"/>
    <w:rsid w:val="60DDDD53"/>
    <w:rsid w:val="6128EA7D"/>
    <w:rsid w:val="6144665A"/>
    <w:rsid w:val="620328E3"/>
    <w:rsid w:val="62F4167F"/>
    <w:rsid w:val="638024CD"/>
    <w:rsid w:val="63999AE4"/>
    <w:rsid w:val="63A6E6CA"/>
    <w:rsid w:val="646ACC45"/>
    <w:rsid w:val="658B0D7E"/>
    <w:rsid w:val="65F5EDB4"/>
    <w:rsid w:val="680A2FEE"/>
    <w:rsid w:val="68726A67"/>
    <w:rsid w:val="68A76AD1"/>
    <w:rsid w:val="6A079D27"/>
    <w:rsid w:val="6AA2BEEC"/>
    <w:rsid w:val="6BE36AC8"/>
    <w:rsid w:val="6BFDB42C"/>
    <w:rsid w:val="6C5A061D"/>
    <w:rsid w:val="6D34A0B3"/>
    <w:rsid w:val="6D3F3DE9"/>
    <w:rsid w:val="6DE693E5"/>
    <w:rsid w:val="6E1ACA06"/>
    <w:rsid w:val="701A0170"/>
    <w:rsid w:val="70627293"/>
    <w:rsid w:val="706583DA"/>
    <w:rsid w:val="708569D2"/>
    <w:rsid w:val="71276584"/>
    <w:rsid w:val="722B1BED"/>
    <w:rsid w:val="72446381"/>
    <w:rsid w:val="733D71B9"/>
    <w:rsid w:val="74651802"/>
    <w:rsid w:val="74849ADA"/>
    <w:rsid w:val="748A3DC1"/>
    <w:rsid w:val="749A54DA"/>
    <w:rsid w:val="750F754E"/>
    <w:rsid w:val="769E4A44"/>
    <w:rsid w:val="76EE999A"/>
    <w:rsid w:val="770895DD"/>
    <w:rsid w:val="7796A708"/>
    <w:rsid w:val="782DFC8D"/>
    <w:rsid w:val="78932B67"/>
    <w:rsid w:val="78A74F2B"/>
    <w:rsid w:val="79DAE013"/>
    <w:rsid w:val="7A21B11B"/>
    <w:rsid w:val="7A4DE8C9"/>
    <w:rsid w:val="7B5180C1"/>
    <w:rsid w:val="7BBA1D37"/>
    <w:rsid w:val="7BC81C79"/>
    <w:rsid w:val="7C28AC76"/>
    <w:rsid w:val="7CCBB205"/>
    <w:rsid w:val="7D20F8C1"/>
    <w:rsid w:val="7D22D7A0"/>
    <w:rsid w:val="7D5561B3"/>
    <w:rsid w:val="7E444136"/>
    <w:rsid w:val="7E469E45"/>
    <w:rsid w:val="7EB7F7B0"/>
    <w:rsid w:val="7EE694DE"/>
    <w:rsid w:val="7EE9448E"/>
    <w:rsid w:val="7EF132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EndnoteTextChar">
    <w:name w:val="Endnote Text Char"/>
    <w:basedOn w:val="DefaultParagraphFont"/>
    <w:link w:val="EndnoteText"/>
    <w:uiPriority w:val="99"/>
    <w:rPr>
      <w:sz w:val="20"/>
      <w:szCs w:val="20"/>
    </w:rPr>
  </w:style>
  <w:style w:type="paragraph" w:styleId="EndnoteText">
    <w:name w:val="endnote text"/>
    <w:basedOn w:val="Normal"/>
    <w:link w:val="EndnoteTextChar"/>
    <w:uiPriority w:val="99"/>
    <w:unhideWhenUsed/>
  </w:style>
  <w:style w:type="character" w:styleId="EndnoteReference">
    <w:name w:val="endnote reference"/>
    <w:uiPriority w:val="99"/>
    <w:unhideWhenUsed/>
    <w:rsid w:val="00D84831"/>
    <w:rPr>
      <w:vertAlign w:val="superscript"/>
    </w:rPr>
  </w:style>
  <w:style w:type="paragraph" w:styleId="Revision">
    <w:name w:val="Revision"/>
    <w:hidden/>
    <w:uiPriority w:val="99"/>
    <w:semiHidden/>
    <w:rsid w:val="00A23E2D"/>
    <w:rPr>
      <w:color w:val="000000"/>
      <w:kern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unodc.org/unodc/en/frontpage/2019/February/unodc-inaugurates-mogadishu-prison--court-complex-in-latest-support-to-somalia.html" TargetMode="External"/><Relationship Id="rId2" Type="http://schemas.openxmlformats.org/officeDocument/2006/relationships/hyperlink" Target="https://www.voanews.com/africa/executions-increase-somalia" TargetMode="External"/><Relationship Id="rId1" Type="http://schemas.openxmlformats.org/officeDocument/2006/relationships/hyperlink" Target="https://www.amnesty.org/download/Documents/ACT5018472020ENGLISH.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customXml/itemProps3.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4.xml><?xml version="1.0" encoding="utf-8"?>
<ds:datastoreItem xmlns:ds="http://schemas.openxmlformats.org/officeDocument/2006/customXml" ds:itemID="{80F7FA5B-511C-44B9-A418-B9BBF55C86C5}"/>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2549</Words>
  <Characters>14062</Characters>
  <Application>Microsoft Office Word</Application>
  <DocSecurity>0</DocSecurity>
  <Lines>117</Lines>
  <Paragraphs>33</Paragraphs>
  <ScaleCrop>false</ScaleCrop>
  <Company>Minnesota Advocates for Human Rights</Company>
  <LinksUpToDate>false</LinksUpToDate>
  <CharactersWithSpaces>16578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4</cp:revision>
  <cp:lastPrinted>2011-09-16T18:52:00Z</cp:lastPrinted>
  <dcterms:created xsi:type="dcterms:W3CDTF">2022-10-03T21:50:00Z</dcterms:created>
  <dcterms:modified xsi:type="dcterms:W3CDTF">2022-10-03T21:52:00Z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0x01010022B3C51BB8F9654FB8068485B2E4975B</vt:lpwstr>
  </property>
  <property fmtid="{D5CDD505-2E9C-101B-9397-08002B2CF9AE}" pid="8" name="MediaServiceImageTags">
    <vt:lpwstr/>
  </property>
</Properties>
</file>