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F4538" w14:textId="77777777" w:rsidR="00386E6B" w:rsidRDefault="00395B68">
      <w:pPr>
        <w:pStyle w:val="Title"/>
        <w:spacing w:after="200"/>
        <w:jc w:val="both"/>
        <w:rPr>
          <w:b/>
        </w:rPr>
      </w:pPr>
      <w:bookmarkStart w:id="0" w:name="_v2vit66g5tpk" w:colFirst="0" w:colLast="0"/>
      <w:bookmarkEnd w:id="0"/>
      <w:r>
        <w:rPr>
          <w:b/>
        </w:rPr>
        <w:t>No más presos en comisarías</w:t>
      </w:r>
    </w:p>
    <w:p w14:paraId="31BF5A59" w14:textId="77777777" w:rsidR="00386E6B" w:rsidRDefault="00395B68">
      <w:pPr>
        <w:pStyle w:val="Subtitle"/>
        <w:spacing w:after="200"/>
      </w:pPr>
      <w:bookmarkStart w:id="1" w:name="_3x7vhi2nobut" w:colFirst="0" w:colLast="0"/>
      <w:bookmarkEnd w:id="1"/>
      <w:r>
        <w:t>Informe de INECIP sobre el uso de dependencias policiales como cárceles en la República Argentina</w:t>
      </w:r>
    </w:p>
    <w:p w14:paraId="14F9DC7B" w14:textId="77777777" w:rsidR="00386E6B" w:rsidRDefault="00395B68">
      <w:pPr>
        <w:pStyle w:val="Heading1"/>
        <w:spacing w:after="200"/>
      </w:pPr>
      <w:bookmarkStart w:id="2" w:name="_ca8apv527pxq" w:colFirst="0" w:colLast="0"/>
      <w:bookmarkEnd w:id="2"/>
      <w:r>
        <w:t>Resumen ejecutivo</w:t>
      </w:r>
    </w:p>
    <w:p w14:paraId="508C0D7C" w14:textId="77777777" w:rsidR="00386E6B" w:rsidRDefault="00395B68">
      <w:pPr>
        <w:numPr>
          <w:ilvl w:val="0"/>
          <w:numId w:val="1"/>
        </w:numPr>
        <w:spacing w:after="200"/>
        <w:jc w:val="both"/>
      </w:pPr>
      <w:r>
        <w:t>En 2017, el Comité contra la Tortura instó al Estado Argentino a “poner fin a la utilización de dependencias policiales como lugares de alojamiento permanente de detenidos y garantizar el cumplimiento de dicha prohibición”</w:t>
      </w:r>
      <w:r>
        <w:rPr>
          <w:vertAlign w:val="superscript"/>
        </w:rPr>
        <w:footnoteReference w:id="1"/>
      </w:r>
      <w:r>
        <w:t xml:space="preserve"> (recomendación 16.b). Sin embargo, la privación de la libertad en el ámbito policial aumentó un 145,1% en el período 2016-2023, incluso muy por encima del aumento registrado en el sistema penitenciario, que fue del 48,5% para el mismo período</w:t>
      </w:r>
      <w:r>
        <w:rPr>
          <w:vertAlign w:val="superscript"/>
        </w:rPr>
        <w:footnoteReference w:id="2"/>
      </w:r>
      <w:r>
        <w:t>.</w:t>
      </w:r>
    </w:p>
    <w:p w14:paraId="27EE2DBB" w14:textId="77777777" w:rsidR="00386E6B" w:rsidRDefault="00395B68">
      <w:pPr>
        <w:numPr>
          <w:ilvl w:val="0"/>
          <w:numId w:val="1"/>
        </w:numPr>
        <w:spacing w:after="200"/>
        <w:jc w:val="both"/>
      </w:pPr>
      <w:r>
        <w:t xml:space="preserve">Dentro de las causas que explican la persistencia de este fenómeno, una de las menos exploradas es la </w:t>
      </w:r>
      <w:r>
        <w:rPr>
          <w:b/>
        </w:rPr>
        <w:t>responsabilidad de jueces y juezas, quienes omiten su deber de verificar las condiciones de detención y rechazar cualquier privación de la libertad en lugares no habilitados para ello, como las comisarías y otras dependencias policiales.</w:t>
      </w:r>
    </w:p>
    <w:p w14:paraId="775D370C" w14:textId="77777777" w:rsidR="00386E6B" w:rsidRDefault="00395B68">
      <w:pPr>
        <w:numPr>
          <w:ilvl w:val="0"/>
          <w:numId w:val="1"/>
        </w:numPr>
        <w:spacing w:after="200"/>
        <w:jc w:val="both"/>
      </w:pPr>
      <w:r>
        <w:t>Por ese motivo, este informe del INECIP tiene por objetivo solicitar al Comité contra la Tortura que en sus próximas observaciones incluya recomendaciones específicamente dirigidas a jueces y juezas para que cumplan con sus deberes convencionales y constitucionales de prevenir y remediar las detenciones de largo plazo en comisarías.</w:t>
      </w:r>
    </w:p>
    <w:p w14:paraId="4E15B893" w14:textId="77777777" w:rsidR="00386E6B" w:rsidRDefault="00395B68">
      <w:pPr>
        <w:spacing w:after="200"/>
        <w:jc w:val="center"/>
      </w:pPr>
      <w:r>
        <w:rPr>
          <w:noProof/>
        </w:rPr>
        <w:lastRenderedPageBreak/>
        <w:drawing>
          <wp:inline distT="114300" distB="114300" distL="114300" distR="114300" wp14:anchorId="6591CAA6" wp14:editId="25182D3B">
            <wp:extent cx="3011325" cy="248164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011325" cy="2481646"/>
                    </a:xfrm>
                    <a:prstGeom prst="rect">
                      <a:avLst/>
                    </a:prstGeom>
                    <a:ln/>
                  </pic:spPr>
                </pic:pic>
              </a:graphicData>
            </a:graphic>
          </wp:inline>
        </w:drawing>
      </w:r>
    </w:p>
    <w:p w14:paraId="3256CAED" w14:textId="77777777" w:rsidR="00386E6B" w:rsidRDefault="00395B68">
      <w:pPr>
        <w:pStyle w:val="Heading1"/>
        <w:spacing w:after="200"/>
      </w:pPr>
      <w:bookmarkStart w:id="3" w:name="_hgdzhp56gnqn" w:colFirst="0" w:colLast="0"/>
      <w:bookmarkEnd w:id="3"/>
      <w:r>
        <w:t>Introducción</w:t>
      </w:r>
    </w:p>
    <w:p w14:paraId="46B3B2AD" w14:textId="77777777" w:rsidR="00386E6B" w:rsidRDefault="00395B68">
      <w:pPr>
        <w:spacing w:after="200"/>
        <w:jc w:val="both"/>
      </w:pPr>
      <w:r>
        <w:t xml:space="preserve">Según el último informe oficial del Sistema Nacional de Estadística sobre Ejecución de la pena </w:t>
      </w:r>
      <w:hyperlink r:id="rId11">
        <w:r>
          <w:t>(SNEEP, 2025)</w:t>
        </w:r>
      </w:hyperlink>
      <w:r>
        <w:t xml:space="preserve">, la tasa de prisionización en los establecimientos penitenciarios de la República Argentina sube de 256 a 284 personas privadas de libertad cada 100.000 habitantes si se consideran las personas detenidas en establecimientos policiales. Al 31 de diciembre del 2023 se encontraban alojadas 13287 personas en comisarías, sub comisarías, alcaidías y otro tipo de dependencias policiales del país </w:t>
      </w:r>
      <w:hyperlink r:id="rId12">
        <w:r>
          <w:t>(CNPT, 2025)</w:t>
        </w:r>
      </w:hyperlink>
      <w:r>
        <w:t xml:space="preserve">. La cantidad de personas alojadas en dependencias policiales creció sostenidamente a lo largo de los últimos años, incluso por encima del porcentaje de crecimiento registrado en el ámbito penitenciario </w:t>
      </w:r>
      <w:hyperlink r:id="rId13">
        <w:r>
          <w:t>(CNPT, 2025)</w:t>
        </w:r>
      </w:hyperlink>
      <w:r>
        <w:t>.</w:t>
      </w:r>
    </w:p>
    <w:p w14:paraId="76DA62BF" w14:textId="77777777" w:rsidR="00386E6B" w:rsidRDefault="00395B68">
      <w:pPr>
        <w:spacing w:after="200"/>
        <w:jc w:val="both"/>
      </w:pPr>
      <w:r>
        <w:t>En los últimos diez años, la cantidad de personas privadas de la libertad en la Argentina pasó de 76.886</w:t>
      </w:r>
      <w:r>
        <w:rPr>
          <w:vertAlign w:val="superscript"/>
        </w:rPr>
        <w:footnoteReference w:id="3"/>
      </w:r>
      <w:r>
        <w:t xml:space="preserve"> a 128.010 </w:t>
      </w:r>
      <w:hyperlink r:id="rId14">
        <w:r>
          <w:t>(CNPT, 2025)</w:t>
        </w:r>
      </w:hyperlink>
      <w:r>
        <w:t>, lo que implica un incremento de algo más del 66%  mientras que la capacidad total de las unidades penitenciarias de todo el país, comparando los datos oficiales del SNEEP en el mismo período pasó de 67.297 a 98.199 plazas, es decir, un incremento de casi 46%. Este desfase produce una situación de creciente gravedad: una de cada diez personas privadas de libertad está imposibilitada de acceder al tratamiento que es finalidad esencial de la pena (PIDCP 10.3; CADH 5.6, R. Mandela 4), ya que muchas de esas pe</w:t>
      </w:r>
      <w:r>
        <w:t xml:space="preserve">rsonas cumplen toda o la mayoría de sus condenas en centros de detención policiales que, en el mejor de los casos, podría albergar detenidos durante unos pocos días. </w:t>
      </w:r>
    </w:p>
    <w:p w14:paraId="330B39AA" w14:textId="77777777" w:rsidR="00386E6B" w:rsidRDefault="00395B68">
      <w:pPr>
        <w:spacing w:after="200"/>
        <w:jc w:val="both"/>
      </w:pPr>
      <w:r>
        <w:t xml:space="preserve">Este informe se enfoca en el abuso de las instalaciones policiales como centros de detención y las responsabilidades institucionales que llevan a esta situación que ha dejado de ser coyuntural. En primer término, presentamos una breve descripción, a manera de ejemplo, de la situación de la Ciudad Autónoma de Buenos Aires. </w:t>
      </w:r>
    </w:p>
    <w:p w14:paraId="50B00766" w14:textId="77777777" w:rsidR="00386E6B" w:rsidRDefault="00386E6B">
      <w:pPr>
        <w:spacing w:after="200"/>
      </w:pPr>
    </w:p>
    <w:p w14:paraId="0C18A954" w14:textId="77777777" w:rsidR="00386E6B" w:rsidRDefault="00395B68">
      <w:pPr>
        <w:pStyle w:val="Heading1"/>
        <w:spacing w:after="200"/>
      </w:pPr>
      <w:bookmarkStart w:id="4" w:name="_fbygcdhrwopj" w:colFirst="0" w:colLast="0"/>
      <w:bookmarkEnd w:id="4"/>
      <w:r>
        <w:t>La situación de las personas detenidas en comisarías y alcaidías de la Ciudad Autónoma de Buenos Aires</w:t>
      </w:r>
    </w:p>
    <w:p w14:paraId="2924A3C1" w14:textId="77777777" w:rsidR="00386E6B" w:rsidRDefault="00395B68">
      <w:pPr>
        <w:spacing w:after="200"/>
        <w:jc w:val="both"/>
      </w:pPr>
      <w:r>
        <w:t xml:space="preserve">Los establecimientos policiales (comisarías y alcaidías) de la Ciudad Autónoma de Buenos Aires alojaban en su conjunto al 31/12/2023 2020 personas </w:t>
      </w:r>
      <w:hyperlink r:id="rId15">
        <w:r>
          <w:rPr>
            <w:color w:val="1155CC"/>
            <w:u w:val="single"/>
          </w:rPr>
          <w:t>(SNEEP, 2025)</w:t>
        </w:r>
      </w:hyperlink>
      <w:r>
        <w:t xml:space="preserve">. En 2024 la cifra ya superó las 2400 personas </w:t>
      </w:r>
      <w:hyperlink r:id="rId16">
        <w:r>
          <w:rPr>
            <w:color w:val="1155CC"/>
            <w:u w:val="single"/>
          </w:rPr>
          <w:t>(MLPT CABA, 2025)</w:t>
        </w:r>
      </w:hyperlink>
      <w:r>
        <w:t>, con lo que la población de detenidos en comisarías de la capital de la República</w:t>
      </w:r>
      <w:r>
        <w:rPr>
          <w:vertAlign w:val="superscript"/>
        </w:rPr>
        <w:footnoteReference w:id="4"/>
      </w:r>
      <w:r>
        <w:t xml:space="preserve"> ya se ubica en tercer lugar, luego de las dos cárceles más grandes de la Argentina, la UP1 de Santa Fe y la UP1 de la provincia de Buenos Aires. </w:t>
      </w:r>
    </w:p>
    <w:p w14:paraId="7DAAEB57" w14:textId="77777777" w:rsidR="00386E6B" w:rsidRDefault="00395B68">
      <w:pPr>
        <w:spacing w:after="200"/>
        <w:jc w:val="both"/>
      </w:pPr>
      <w:r>
        <w:t>Se ha normalizado el alojamiento permanente</w:t>
      </w:r>
      <w:r>
        <w:rPr>
          <w:vertAlign w:val="superscript"/>
        </w:rPr>
        <w:footnoteReference w:id="5"/>
      </w:r>
      <w:r>
        <w:t xml:space="preserve"> en lugares completamente inapropiados:</w:t>
      </w:r>
    </w:p>
    <w:p w14:paraId="21136CB5" w14:textId="77777777" w:rsidR="00386E6B" w:rsidRDefault="00395B68">
      <w:pPr>
        <w:spacing w:after="200"/>
        <w:ind w:left="720"/>
        <w:jc w:val="both"/>
        <w:rPr>
          <w:sz w:val="24"/>
          <w:szCs w:val="24"/>
        </w:rPr>
      </w:pPr>
      <w:r>
        <w:rPr>
          <w:sz w:val="20"/>
          <w:szCs w:val="20"/>
        </w:rPr>
        <w:t>Tanto en las comisarías como  en las alcaidías, el hacinamiento extremo, la carencia de ventilación, la falta  de luz natural y la convivencia forzada en espacios reducidos configuran un  entorno degradante para las personas detenidas (...) El uso de espacios improvisados -pasillos, oficinas o áreas de tránsito- como  “lugares transitorios” es una práctica extendida, que elimina cualquier atisbo  de intimidad o autonomía. La falta de espacios de esparcimiento, que dependen  exclusivamente de la voluntad del</w:t>
      </w:r>
      <w:r>
        <w:rPr>
          <w:sz w:val="20"/>
          <w:szCs w:val="20"/>
        </w:rPr>
        <w:t xml:space="preserve"> personal policial, reduce aún más la calidad  de vida en detención, generando muchas veces malestar y conflictos internos </w:t>
      </w:r>
      <w:hyperlink r:id="rId17">
        <w:r>
          <w:rPr>
            <w:sz w:val="20"/>
            <w:szCs w:val="20"/>
          </w:rPr>
          <w:t>(MLPT CABA, 2025)</w:t>
        </w:r>
      </w:hyperlink>
    </w:p>
    <w:p w14:paraId="013E183A" w14:textId="77777777" w:rsidR="00386E6B" w:rsidRDefault="00395B68">
      <w:pPr>
        <w:spacing w:after="200"/>
        <w:jc w:val="both"/>
        <w:rPr>
          <w:shd w:val="clear" w:color="auto" w:fill="EA9999"/>
        </w:rPr>
      </w:pPr>
      <w:r>
        <w:t xml:space="preserve">Sin desconocer que las condiciones de alojamiento que se registran en los centros penitenciarios de todo el país (y que han sido mencionadas ya por otras organizaciones) no alcanzan los estándares mínimos de dignidad, el alojamiento en las alcaidías y comisarías resultan aún más alarmantes. Pues a las realidades ya conocidas de los complejos se le suman otras cuestiones específicas que profundizan aún más la degradación humana y el padecimiento de las personas privadas de su libertad.  </w:t>
      </w:r>
      <w:r>
        <w:rPr>
          <w:shd w:val="clear" w:color="auto" w:fill="EA9999"/>
        </w:rPr>
        <w:t xml:space="preserve"> </w:t>
      </w:r>
    </w:p>
    <w:p w14:paraId="46340C96" w14:textId="77777777" w:rsidR="00386E6B" w:rsidRDefault="00395B68">
      <w:pPr>
        <w:spacing w:after="200"/>
        <w:jc w:val="both"/>
        <w:rPr>
          <w:shd w:val="clear" w:color="auto" w:fill="EA9999"/>
        </w:rPr>
      </w:pPr>
      <w:r>
        <w:t xml:space="preserve">Para comenzar, y debido a cuestiones infraestructurales, muchas de las personas son alojadas en un segundo o tercer subsuelo sin ningún tipo de ventilación, o en patios, expuestas a las contingencias climáticas. Las celdas se encuentran normalmente excedidas en capacidad, y al no existir pabellones propiamente dichos, los horarios de esparcimiento fuera de ellas son muy restringidos -una o dos horas al día-, y se dan en lugares de escasos metros cuadrados, sin patios ni zonas previstas al efecto. </w:t>
      </w:r>
    </w:p>
    <w:p w14:paraId="55D3B414" w14:textId="77777777" w:rsidR="00386E6B" w:rsidRDefault="00395B68">
      <w:pPr>
        <w:spacing w:after="200"/>
        <w:jc w:val="both"/>
      </w:pPr>
      <w:r>
        <w:t xml:space="preserve">En cuanto a las condiciones socioambientales, se han relevado graves déficits de acceso al agua, la alimentación, la higiene, la atención médica, la seguridad personal, el contacto familiar y con la defensa técnica </w:t>
      </w:r>
      <w:hyperlink r:id="rId18">
        <w:r>
          <w:rPr>
            <w:color w:val="1155CC"/>
            <w:u w:val="single"/>
          </w:rPr>
          <w:t>(MLPT CABA, 2025)</w:t>
        </w:r>
      </w:hyperlink>
      <w:r>
        <w:t xml:space="preserve">. </w:t>
      </w:r>
    </w:p>
    <w:p w14:paraId="35B0438D" w14:textId="77777777" w:rsidR="00386E6B" w:rsidRDefault="00395B68">
      <w:pPr>
        <w:spacing w:after="200"/>
        <w:jc w:val="both"/>
      </w:pPr>
      <w:r>
        <w:t xml:space="preserve">Para tomar real dimensión de la situación, y sólo a modo ejemplificativo: muchas alcaidías y comisarías no cuentan con duchas de agua caliente y los detenidos se ven obligados a bañarse con baldes de agua fría, aún en pleno invierno. En muchos casos, además, los alojamientos no cuentan siquiera con inodoros; en su reemplazo, se ven obligados a utilizar letrinas, baldes, o incluso pozos en el suelo para cumplir sus necesidades fisiológicas. </w:t>
      </w:r>
    </w:p>
    <w:p w14:paraId="461C3B5C" w14:textId="77777777" w:rsidR="00386E6B" w:rsidRDefault="00395B68">
      <w:pPr>
        <w:spacing w:after="200"/>
        <w:jc w:val="both"/>
      </w:pPr>
      <w:r>
        <w:t>En cuanto a la atención médica básica, debe destacarse que estos lugares no cuentan con servicio médico propio, a diferencia de los complejos penitenciarios que, aún con todas sus limitaciones, disponen con médicos de planta permanentes, enfermeros, profesionales de la salud mental (psicólogos y psiquiatras), y también con hospitales penitenciarios (HPC). En contrapartida, las comisarías y alcaidías dependen exclusivamente del sistema de salud público, lo que provoca que personas que requieren atención médi</w:t>
      </w:r>
      <w:r>
        <w:t>ca urgente pasen semanas sin recibirla por falta de disponibilidad de móviles para traslado. Ello, sin mencionar que la atención por parte de profesionales de salud mental o especialistas es prácticamente inaccesible.</w:t>
      </w:r>
      <w:r>
        <w:rPr>
          <w:sz w:val="24"/>
          <w:szCs w:val="24"/>
        </w:rPr>
        <w:t xml:space="preserve">   </w:t>
      </w:r>
    </w:p>
    <w:p w14:paraId="441E08AC" w14:textId="77777777" w:rsidR="00386E6B" w:rsidRDefault="00395B68">
      <w:pPr>
        <w:spacing w:after="200"/>
        <w:jc w:val="both"/>
      </w:pPr>
      <w:r>
        <w:t xml:space="preserve">Además, los centros de detención policiales no ofrecen (a diferencia de los complejos) ningún acceso a trabajo, educación, y durante la permanencia en esos centros no hay evaluaciones criminológicas ni servicios sociales que acerquen a la persona privada de libertad al régimen progresivo garantizado (teóricamente) a nivel legal y convencional. También son frecuentes los traslados y reubicaciones entre dependencias policiales, que no son comunicados ni al juez, ni al defensor, ni a la familia.    </w:t>
      </w:r>
    </w:p>
    <w:p w14:paraId="4F3F7691" w14:textId="77777777" w:rsidR="00386E6B" w:rsidRDefault="00395B68">
      <w:pPr>
        <w:spacing w:after="200"/>
        <w:jc w:val="both"/>
      </w:pPr>
      <w:r>
        <w:t xml:space="preserve">Todos estos problemas colocan a los allí alojados en condiciones de extrema degradación humana y desamparo absoluto, a veces incluso durante el cumplimiento de buena parte -o toda- su condena. La situación ha sido calificada con justeza como una emergencia humanitaria y jurídica </w:t>
      </w:r>
      <w:hyperlink r:id="rId19">
        <w:r>
          <w:t>(MLPT CABA, 2025)</w:t>
        </w:r>
      </w:hyperlink>
      <w:r>
        <w:t>.</w:t>
      </w:r>
    </w:p>
    <w:p w14:paraId="50B46879" w14:textId="77777777" w:rsidR="00386E6B" w:rsidRDefault="00395B68">
      <w:pPr>
        <w:spacing w:after="200"/>
        <w:jc w:val="both"/>
      </w:pPr>
      <w:r>
        <w:t xml:space="preserve">Queremos señalar, para terminar esta descripción, que esta situación en la ciudad más rica del país no es única. Pueden verse al respecto informes aún más graves (si cabe) en otras jurisdicciones provinciales, como los que produjo durante 2024 el Comité Provincial para la Prevención de la Tortura de Tucumán </w:t>
      </w:r>
      <w:hyperlink r:id="rId20">
        <w:r>
          <w:t>(CPPT Tucumán, 2024b, 2024a)</w:t>
        </w:r>
      </w:hyperlink>
      <w:r>
        <w:t xml:space="preserve">. </w:t>
      </w:r>
    </w:p>
    <w:p w14:paraId="3418D4F5" w14:textId="77777777" w:rsidR="00386E6B" w:rsidRDefault="00386E6B">
      <w:pPr>
        <w:spacing w:after="200"/>
      </w:pPr>
    </w:p>
    <w:p w14:paraId="37AE7D2B" w14:textId="77777777" w:rsidR="00386E6B" w:rsidRDefault="00395B68">
      <w:pPr>
        <w:pStyle w:val="Heading1"/>
        <w:spacing w:after="200"/>
        <w:jc w:val="both"/>
      </w:pPr>
      <w:bookmarkStart w:id="5" w:name="_7l43c84lu5oh" w:colFirst="0" w:colLast="0"/>
      <w:bookmarkEnd w:id="5"/>
      <w:r>
        <w:t>Lineamientos político criminales que agravan la situación</w:t>
      </w:r>
    </w:p>
    <w:p w14:paraId="3C049D02" w14:textId="77777777" w:rsidR="00386E6B" w:rsidRDefault="00395B68">
      <w:pPr>
        <w:spacing w:after="200"/>
      </w:pPr>
      <w:r>
        <w:t>Sin ningún ánimo de exhaustividad, no podemos dejar de mencionar en este informe algunas decisiones que no hacen sino agravar la crítica situación:</w:t>
      </w:r>
    </w:p>
    <w:p w14:paraId="18082D05" w14:textId="77777777" w:rsidR="00386E6B" w:rsidRDefault="00395B68">
      <w:pPr>
        <w:pStyle w:val="Heading2"/>
        <w:spacing w:after="200"/>
      </w:pPr>
      <w:bookmarkStart w:id="6" w:name="_w96enux7fd7h" w:colFirst="0" w:colLast="0"/>
      <w:bookmarkEnd w:id="6"/>
      <w:r>
        <w:t>Reformas legislativas recientes</w:t>
      </w:r>
    </w:p>
    <w:p w14:paraId="0CB3E3C0" w14:textId="77777777" w:rsidR="00386E6B" w:rsidRDefault="00395B68">
      <w:pPr>
        <w:spacing w:after="200"/>
        <w:jc w:val="both"/>
        <w:rPr>
          <w:sz w:val="24"/>
          <w:szCs w:val="24"/>
        </w:rPr>
      </w:pPr>
      <w:r>
        <w:t xml:space="preserve">Sobre una política criminal que desde hace años se enfoca en </w:t>
      </w:r>
      <w:r>
        <w:rPr>
          <w:sz w:val="24"/>
          <w:szCs w:val="24"/>
        </w:rPr>
        <w:t xml:space="preserve">la persecución de delitos menores contra la propiedad, de escasa lesividad social -y normalmente, contra el mismo sector socioeconómico especialmente vulnerable-, se ha verificado un creciente número de personas privadas de libertad por delitos menores que según la ley, podrían recibir respuestas alternativas al encierro </w:t>
      </w:r>
      <w:hyperlink r:id="rId21">
        <w:r>
          <w:rPr>
            <w:sz w:val="24"/>
            <w:szCs w:val="24"/>
          </w:rPr>
          <w:t>(CNPT, 2024)</w:t>
        </w:r>
      </w:hyperlink>
      <w:r>
        <w:rPr>
          <w:sz w:val="24"/>
          <w:szCs w:val="24"/>
        </w:rPr>
        <w:t>. Esta situación estructural de verdadero abuso de la prisión preventiva y la pena de encierro viene siendo agravada por reformas penales y procesales que producen una virtual cancelación del sistema de libertad condicional.</w:t>
      </w:r>
    </w:p>
    <w:p w14:paraId="6C34E270" w14:textId="77777777" w:rsidR="00386E6B" w:rsidRDefault="00395B68">
      <w:pPr>
        <w:spacing w:after="200"/>
        <w:jc w:val="both"/>
        <w:rPr>
          <w:sz w:val="24"/>
          <w:szCs w:val="24"/>
        </w:rPr>
      </w:pPr>
      <w:r>
        <w:rPr>
          <w:sz w:val="24"/>
          <w:szCs w:val="24"/>
        </w:rPr>
        <w:t xml:space="preserve">En 2017 se agregaron al Código Penal y a la Ley Federal de Ejecución Penal una larga serie de situaciones en las que se impide a las personas condenadas el acceso a la libertad condicional y otras medidas propias de un régimen progresivo. A comienzos de 2025 una nueva reforma modificó el método de acumulación de condenas sucesivas y la definición legal de la condición de reincidente, con lo cual la enorme mayoría de las personas condenadas se ve impedida de acceder a la libertad condicional, aún durante su </w:t>
      </w:r>
      <w:r>
        <w:rPr>
          <w:sz w:val="24"/>
          <w:szCs w:val="24"/>
        </w:rPr>
        <w:t xml:space="preserve">primera condena de prisión efectiva. A nivel procesal, se modificó el régimen de la prisión preventiva, ampliando el universo de casos a los que esta es aplicable, mediante un sistema de presunciones legales de riesgo procesal que contradice el carácter excepcional del encierro cautelar y viene agravando en forma sostenida los niveles de sobrepoblación, incluso frente a acusaciones bagatelares.    </w:t>
      </w:r>
    </w:p>
    <w:p w14:paraId="43DFCA8A" w14:textId="77777777" w:rsidR="00386E6B" w:rsidRDefault="00395B68">
      <w:pPr>
        <w:pStyle w:val="Heading2"/>
        <w:spacing w:after="200"/>
      </w:pPr>
      <w:bookmarkStart w:id="7" w:name="_q6s20vwpeq6q" w:colFirst="0" w:colLast="0"/>
      <w:bookmarkEnd w:id="7"/>
      <w:r>
        <w:t>Los fiscales y el abuso de la cárcel</w:t>
      </w:r>
    </w:p>
    <w:p w14:paraId="7B69E0AD" w14:textId="77777777" w:rsidR="00386E6B" w:rsidRDefault="00395B68">
      <w:pPr>
        <w:spacing w:after="200"/>
        <w:jc w:val="both"/>
      </w:pPr>
      <w:r>
        <w:t xml:space="preserve">Salvo honrosas excepciones, ni los Ministerios Públicos ni los fiscales en forma individual se hacen cargo de una realidad indiscutible: </w:t>
      </w:r>
      <w:r>
        <w:rPr>
          <w:b/>
        </w:rPr>
        <w:t>en la Argentina ninguna persona es privada de su libertad sin que un fiscal lo haya solicitado.</w:t>
      </w:r>
      <w:r>
        <w:t xml:space="preserve"> En cada una de las provincias, e incluso en la justicia federal, las fiscalías están organizadas jerárquicamente y sus normativas internas habilitan al diseño de políticas uniformes de persecución penal. Esto quiere decir que los Ministerios Públicos tienen la principal herramienta para combatir la sobrepoblación carcelaria y sus graves consecuencias sobre la dignidad humana: si se utilizaran en forma racional y </w:t>
      </w:r>
      <w:r>
        <w:t xml:space="preserve">consistente todas las alternativas al encierro preventivo y a la imposición de penas de cárcel efectiva (sobre todo, como vimos, en el creciente número de condenas de corta duración y por delitos no violentos y hasta bagatelares), se podría limitar el encierro a los casos estrictamente necesarios. </w:t>
      </w:r>
    </w:p>
    <w:p w14:paraId="27DD572B" w14:textId="77777777" w:rsidR="00386E6B" w:rsidRDefault="00395B68">
      <w:pPr>
        <w:spacing w:after="200"/>
        <w:jc w:val="both"/>
      </w:pPr>
      <w:r>
        <w:t>Desde INECIP, siempre hemos reafirmado la importancia de las medidas alternativas a la prisión y la pena, en el entendimiento de que resultan ser un método eficaz de gestión de la conflictividad, no sólo por cuestiones de economía y celeridad procesal, sino también para reducir la tasa de prisionización y a su vez, devolverle a la víctima su rol natural dentro del proceso penal. Sin embargo, se percibe con mucha frecuencia la actitud contraria: directivas que restringen el uso de mecanismos composicionales,</w:t>
      </w:r>
      <w:r>
        <w:t xml:space="preserve"> salidas alternativas y aplicación de institutos del régimen progresivo mucho más allá que las restricciones impuestas por leyes cuya dudosa constitucionalidad y convencionalidad rara vez es disputada por las fiscalías.</w:t>
      </w:r>
    </w:p>
    <w:p w14:paraId="7165CC15" w14:textId="77777777" w:rsidR="00386E6B" w:rsidRDefault="00395B68">
      <w:pPr>
        <w:spacing w:after="200"/>
        <w:jc w:val="both"/>
      </w:pPr>
      <w:r>
        <w:t xml:space="preserve">La conducción del Ministerio Público de cada provincia podría elaborar un listado ordenado de personas cuya liberación anticipada no irrogue riesgo para las víctimas o la legitimación del sistema, de forma tal de reducir la ocupación de plazas penitenciarias a las efectivamente disponibles. </w:t>
      </w:r>
    </w:p>
    <w:p w14:paraId="69533C0F" w14:textId="77777777" w:rsidR="00386E6B" w:rsidRDefault="00395B68">
      <w:pPr>
        <w:spacing w:after="200"/>
        <w:jc w:val="both"/>
      </w:pPr>
      <w:r>
        <w:t>No se trata de negar las responsabilidades de los poderes políticos que de manera irresponsable modifican las normas aumentando la ocupación penal sin antes prever las inversiones necesarias para alojar un número mayor de personas. De lo que sí se trata es de que es responsabilidad del cuerpo de fiscales reconocer que la cárcel es un recurso finito, y que debe ser utilizada con conciencia de su finitud. Cabe a los Ministerios Públicos reconocer a los cupos penitenciarios de cada jurisdicción como límites im</w:t>
      </w:r>
      <w:r>
        <w:t>posibles de traspasar, y poner en evidencia la demagogia punitiva de los discursos de ley y orden.</w:t>
      </w:r>
    </w:p>
    <w:p w14:paraId="39340429" w14:textId="77777777" w:rsidR="00386E6B" w:rsidRDefault="00395B68">
      <w:pPr>
        <w:pStyle w:val="Heading1"/>
        <w:spacing w:after="200"/>
        <w:jc w:val="both"/>
      </w:pPr>
      <w:bookmarkStart w:id="8" w:name="_bvcfx1y872wb" w:colFirst="0" w:colLast="0"/>
      <w:bookmarkEnd w:id="8"/>
      <w:r>
        <w:t xml:space="preserve">La posición de garante de los jueces y juezas  </w:t>
      </w:r>
    </w:p>
    <w:p w14:paraId="1B906446" w14:textId="77777777" w:rsidR="00386E6B" w:rsidRDefault="00395B68">
      <w:pPr>
        <w:spacing w:after="200"/>
        <w:jc w:val="both"/>
      </w:pPr>
      <w:r>
        <w:t>Por último, el punto que consideramos más importante: la responsabilidad personal de los jueces y juezas a cuya disposición se encuentran las personas privadas de libertad, quienes a diario autorizan y consienten estas mortificaciones arriba mencionadas.</w:t>
      </w:r>
    </w:p>
    <w:p w14:paraId="0D63A0EF" w14:textId="77777777" w:rsidR="00386E6B" w:rsidRDefault="00395B68">
      <w:pPr>
        <w:spacing w:after="200"/>
        <w:jc w:val="both"/>
      </w:pPr>
      <w:r>
        <w:t xml:space="preserve">Esa posición de garante se encuentra expresamente establecida en el artículo 18 de la Constitución Nacional Argentina. Y no sólo implica su responsabilidad personal en caso de que una persona detenida sufra un daño en su salud. También abarca la responsabilidad de ese juez o jueza de resolver dentro del marco constitucional y no convalidar detenciones que impliquen situaciones de tortura. </w:t>
      </w:r>
    </w:p>
    <w:p w14:paraId="42219996" w14:textId="77777777" w:rsidR="00386E6B" w:rsidRDefault="00395B68">
      <w:pPr>
        <w:spacing w:after="200"/>
        <w:jc w:val="both"/>
      </w:pPr>
      <w:r>
        <w:t>Lamentablemente, en Argentina se está naturalizando la idea de que los jueces no son responsables por la situación de los detenidos, como si fuera un problema administrativo. Si autoriza mantener a una persona privada de libertad de manera prolongada en el tiempo en lugares que, como vimos, a duras penas permitirían breves detenciones, la Constitución lo hace personalmente responsable.</w:t>
      </w:r>
    </w:p>
    <w:p w14:paraId="1E0DE224" w14:textId="77777777" w:rsidR="00386E6B" w:rsidRDefault="00395B68">
      <w:pPr>
        <w:spacing w:after="200"/>
        <w:jc w:val="both"/>
      </w:pPr>
      <w:r>
        <w:t>De hecho, muchas veces se observa cómo juezas y jueces resuelven que el lugar de alojamiento de las personas detenidas bajo su autoridad es competencia exclusiva del Servicio Penitenciario, limitándose a “reiterar” el pedido de cupo, como si su única potestad fuera la de “solicitar” el respeto de los derechos humanos en lugar de asegurarlo.</w:t>
      </w:r>
    </w:p>
    <w:p w14:paraId="15A93FF8" w14:textId="77777777" w:rsidR="00386E6B" w:rsidRDefault="00395B68">
      <w:pPr>
        <w:spacing w:after="200"/>
        <w:jc w:val="both"/>
      </w:pPr>
      <w:r>
        <w:t xml:space="preserve">Herramientas tan valiosas como los hábeas corpus tienen un bajo nivel de impacto sobre la realidad de esas personas. Los que se presentan mayormente son rechazados, resolviéndose “poner en conocimiento” del tribunal de origen el pedido de realojamiento, atención médica, etc. </w:t>
      </w:r>
    </w:p>
    <w:p w14:paraId="1907CC1C" w14:textId="77777777" w:rsidR="00386E6B" w:rsidRDefault="00395B68">
      <w:pPr>
        <w:spacing w:after="200"/>
        <w:jc w:val="both"/>
      </w:pPr>
      <w:r>
        <w:t>Las posibles explicaciones de este fenómeno son múltiples. En algunos casos, puede responder al verticalismo propio de la estructura judicial y, en algunos casos, la presión hacia jueces que dictan resoluciones adversas a lo esperado por el poder político</w:t>
      </w:r>
      <w:r>
        <w:rPr>
          <w:vertAlign w:val="superscript"/>
        </w:rPr>
        <w:footnoteReference w:id="6"/>
      </w:r>
      <w:r>
        <w:t xml:space="preserve">, todo lo cual afecta la imparcialidad judicial y provoca el temor de los magistrados. En muchos otros casos, puede leerse como simple complicidad, o mera indiferencia. </w:t>
      </w:r>
    </w:p>
    <w:p w14:paraId="5B2E1ECB" w14:textId="77777777" w:rsidR="00386E6B" w:rsidRDefault="00395B68">
      <w:pPr>
        <w:spacing w:after="200"/>
        <w:jc w:val="both"/>
      </w:pPr>
      <w:r>
        <w:t xml:space="preserve">Sin perjuicio del apoyo y el respaldo institucional que debe sostenerse por parte de las organizaciones de la sociedad civil en favor de los jueces y juezas que se consideren insertos dentro del primer grupo, es preciso también orientar los esfuerzos para que en nuestro país deje de naturalizarse la idea de que los jueces no tienen responsabilidad última contra las vejaciones que día a día sufren las personas privadas de su libertad. </w:t>
      </w:r>
    </w:p>
    <w:p w14:paraId="13603CAC" w14:textId="77777777" w:rsidR="00386E6B" w:rsidRDefault="00395B68">
      <w:pPr>
        <w:spacing w:after="200"/>
        <w:jc w:val="both"/>
      </w:pPr>
      <w:r>
        <w:t>No se registra en la Argentina una situación generalizada o sistemática de persecución política a jueces o juezas por el hecho de haberse ocupado activamente de la situación de las personas privadas de la libertad, más allá de casos como los antes mencionados. En cambio, sí existe una sistemática inacción judicial ante una situación generalizada y en alza, que es la utilización de comisarías como cárceles.</w:t>
      </w:r>
    </w:p>
    <w:p w14:paraId="6E044DAD" w14:textId="77777777" w:rsidR="00386E6B" w:rsidRDefault="00395B68">
      <w:pPr>
        <w:spacing w:after="200"/>
        <w:jc w:val="both"/>
        <w:rPr>
          <w:b/>
          <w:u w:val="single"/>
        </w:rPr>
      </w:pPr>
      <w:r>
        <w:rPr>
          <w:b/>
          <w:u w:val="single"/>
        </w:rPr>
        <w:t xml:space="preserve">Por eso, desde INECIP consideramos fundamental que el Comité contra la Tortura incluya dentro de sus recomendaciones un exhorto específico a que los jueces también deban tomar acciones jurisdiccionales específicas y efectivas para reducir y prevenir la detención de personas en comisarías por largo plazo, tal como ya lo ha hecho la propia Cámara Federal de Casación Penal en su Resolución Plenaria Nº 357/2024. </w:t>
      </w:r>
    </w:p>
    <w:p w14:paraId="3624D2B8" w14:textId="77777777" w:rsidR="00386E6B" w:rsidRDefault="00395B68">
      <w:pPr>
        <w:spacing w:after="200"/>
        <w:jc w:val="both"/>
      </w:pPr>
      <w:r>
        <w:t>Por ejemplo, los jueces y las juezas deberían exigirle a las fiscalías que especifiquen el lugar en donde la persona cumplirá su detención ante cada pedido de una medida de privación de libertad, y que garanticen que no se tratará de una comisaría. Restringiendo medidas de encierro cautelar, favoreciendo los regímenes de salidas anticipadas, o incluso promoviendo el uso de medidas alternativas. Esa recomendación se convertiría en un insumo fundamental para el litigio por parte de las defensas.</w:t>
      </w:r>
    </w:p>
    <w:p w14:paraId="3DB4B3D6" w14:textId="77777777" w:rsidR="00386E6B" w:rsidRDefault="00386E6B">
      <w:pPr>
        <w:spacing w:after="200"/>
        <w:ind w:firstLine="720"/>
        <w:jc w:val="both"/>
        <w:rPr>
          <w:sz w:val="24"/>
          <w:szCs w:val="24"/>
          <w:highlight w:val="white"/>
        </w:rPr>
      </w:pPr>
    </w:p>
    <w:p w14:paraId="5863EE29" w14:textId="77777777" w:rsidR="00386E6B" w:rsidRDefault="00395B68">
      <w:pPr>
        <w:pStyle w:val="Heading1"/>
        <w:spacing w:after="200"/>
        <w:jc w:val="both"/>
      </w:pPr>
      <w:bookmarkStart w:id="9" w:name="_c7pixonfqyuy" w:colFirst="0" w:colLast="0"/>
      <w:bookmarkEnd w:id="9"/>
      <w:r>
        <w:t xml:space="preserve">Presentación institucional </w:t>
      </w:r>
    </w:p>
    <w:p w14:paraId="0CB4776F" w14:textId="77777777" w:rsidR="00386E6B" w:rsidRDefault="00395B68">
      <w:pPr>
        <w:spacing w:after="200"/>
        <w:jc w:val="both"/>
        <w:rPr>
          <w:highlight w:val="white"/>
        </w:rPr>
      </w:pPr>
      <w:r>
        <w:rPr>
          <w:highlight w:val="white"/>
        </w:rPr>
        <w:t>El Instituto de Estudios Comparados en Ciencias Penales y Sociales (INECIP) es una organización de la sociedad civil, fundada en 1989, cuyo objetivo central es fomentar la democratización de la justicia penal y el fortalecimiento del Estado de derecho en América Latina. Busca promover, desde una perspectiva científica y técnica, la defensa de los derechos fundamentales de las personas y la construcción de un sistema penal menos violento y más respetuoso de la dignidad humana.</w:t>
      </w:r>
    </w:p>
    <w:p w14:paraId="02569D51" w14:textId="77777777" w:rsidR="00386E6B" w:rsidRDefault="00395B68">
      <w:pPr>
        <w:spacing w:after="200"/>
        <w:jc w:val="both"/>
        <w:rPr>
          <w:highlight w:val="white"/>
        </w:rPr>
      </w:pPr>
      <w:r>
        <w:rPr>
          <w:highlight w:val="white"/>
        </w:rPr>
        <w:t xml:space="preserve">A lo largo de estos treinta años, el INECIP ha participado en reformas procesales en Argentina y en la región, con especial atención en la implementación del modelo acusatorio, la profesionalización de los ministerios públicos y la defensa de las garantías penales. </w:t>
      </w:r>
    </w:p>
    <w:p w14:paraId="4FDDE48C" w14:textId="77777777" w:rsidR="00386E6B" w:rsidRDefault="00395B68">
      <w:pPr>
        <w:spacing w:after="200"/>
        <w:jc w:val="both"/>
        <w:rPr>
          <w:highlight w:val="white"/>
        </w:rPr>
      </w:pPr>
      <w:r>
        <w:rPr>
          <w:highlight w:val="white"/>
        </w:rPr>
        <w:t>Dentro de sus programas de trabajo, se encuentra el de “Cárceles y medidas alternativas”. Este grupo de trabajo (antes denominado "Cárceles y Políticas Penitenciarias") se propone renovar las discusiones teóricas y las propuestas de acción sobre el producto más tangible del sistema penal, que es el encierro carcelario. Buscando contribuir a la búsqueda de algo mejor que una cárcel mejor, y sin dejar de atender a los problemas endémicos de las políticas penitenciarias de la región, profundizamos la reflexión</w:t>
      </w:r>
      <w:r>
        <w:rPr>
          <w:highlight w:val="white"/>
        </w:rPr>
        <w:t xml:space="preserve"> y la acción sobre el amplio menú de opciones que ofrecen los sistemas reformados, tanto en lo que hace a medidas tendientes a asegurar el avance del proceso penal, como para articular y expandir los procesos composicionales y salidas anticipadas de calidad, como para incluir en las sentencias medidas que cumplan mejor que la cárcel con la finalidad esencial que establece para la pena el sistema internacional de derechos humanos.</w:t>
      </w:r>
    </w:p>
    <w:p w14:paraId="0E95AA94" w14:textId="77777777" w:rsidR="00386E6B" w:rsidRDefault="00395B68">
      <w:pPr>
        <w:spacing w:after="200"/>
        <w:jc w:val="both"/>
        <w:rPr>
          <w:highlight w:val="white"/>
        </w:rPr>
      </w:pPr>
      <w:r>
        <w:rPr>
          <w:highlight w:val="white"/>
        </w:rPr>
        <w:t>En los últimos años, este grupo ha impulsado distintas iniciativas y generado diversos insumos, tales como el “</w:t>
      </w:r>
      <w:hyperlink r:id="rId22">
        <w:r>
          <w:rPr>
            <w:color w:val="1155CC"/>
            <w:highlight w:val="white"/>
            <w:u w:val="single"/>
          </w:rPr>
          <w:t>Manual práctico para defenderse de la cárcel</w:t>
        </w:r>
      </w:hyperlink>
      <w:r>
        <w:rPr>
          <w:highlight w:val="white"/>
        </w:rPr>
        <w:t>” (2010) y los informes “</w:t>
      </w:r>
      <w:hyperlink r:id="rId23">
        <w:r>
          <w:rPr>
            <w:color w:val="1155CC"/>
            <w:highlight w:val="white"/>
            <w:u w:val="single"/>
          </w:rPr>
          <w:t>El Estado de la Prisión Preventiva en Argentina. Situación actual y propuestas de cambio</w:t>
        </w:r>
      </w:hyperlink>
      <w:r>
        <w:rPr>
          <w:highlight w:val="white"/>
        </w:rPr>
        <w:t>” (2012) y “</w:t>
      </w:r>
      <w:hyperlink r:id="rId24">
        <w:r>
          <w:rPr>
            <w:color w:val="1155CC"/>
            <w:highlight w:val="white"/>
            <w:u w:val="single"/>
          </w:rPr>
          <w:t>Oficina de Medidas Alternativas y Sustitutivas (OMAS): Prácticas y estrategias</w:t>
        </w:r>
      </w:hyperlink>
      <w:r>
        <w:rPr>
          <w:highlight w:val="white"/>
        </w:rPr>
        <w:t>” (2016).</w:t>
      </w:r>
    </w:p>
    <w:p w14:paraId="1EBDA079" w14:textId="77777777" w:rsidR="00386E6B" w:rsidRDefault="00395B68">
      <w:pPr>
        <w:spacing w:after="200"/>
        <w:jc w:val="both"/>
        <w:rPr>
          <w:highlight w:val="white"/>
        </w:rPr>
      </w:pPr>
      <w:r>
        <w:rPr>
          <w:highlight w:val="white"/>
        </w:rPr>
        <w:t xml:space="preserve">En su compromiso por limitar el uso indiscriminado de la prisión y garantizar condiciones dignas para las personas privadas de libertad, el INECIP promueve desde el 2024 la campaña </w:t>
      </w:r>
      <w:hyperlink r:id="rId25">
        <w:r>
          <w:rPr>
            <w:color w:val="1155CC"/>
            <w:highlight w:val="white"/>
            <w:u w:val="single"/>
          </w:rPr>
          <w:t xml:space="preserve">“No más presos en comisarías” </w:t>
        </w:r>
      </w:hyperlink>
      <w:r>
        <w:rPr>
          <w:highlight w:val="white"/>
        </w:rPr>
        <w:t>que visibiliza la problemática de alojar personas detenidas en dependencias policiales, es decir, lugares que no cumplen con los requisitos mínimos para una detención duradera. Bajo esa iniciativa produce herramientas de incidencia, y se generan datos e insumos para exponer las condiciones inhumanas, la falta de supervisión judicial efectiva y las responsabilidades de los jueces/zas que habilitan esas detenciones.</w:t>
      </w:r>
    </w:p>
    <w:p w14:paraId="6BC1F7FA" w14:textId="77777777" w:rsidR="00386E6B" w:rsidRDefault="00395B68">
      <w:pPr>
        <w:spacing w:after="200"/>
        <w:jc w:val="both"/>
        <w:rPr>
          <w:highlight w:val="white"/>
        </w:rPr>
      </w:pPr>
      <w:r>
        <w:rPr>
          <w:highlight w:val="white"/>
        </w:rPr>
        <w:t xml:space="preserve">Una de las piezas centrales de esta campaña es el </w:t>
      </w:r>
      <w:r>
        <w:rPr>
          <w:b/>
          <w:highlight w:val="white"/>
        </w:rPr>
        <w:t>Ranking provincial de presos en comisarías</w:t>
      </w:r>
      <w:r>
        <w:rPr>
          <w:highlight w:val="white"/>
        </w:rPr>
        <w:t xml:space="preserve">. El ranking, que sistematiza la última información disponible a nivel nacional, que es la que recopila y sistematiza la Comité Nacional para la Prevención de la Tortura (CNPT), tiene como fin visibilizar el estado de vulneración que atraviesan las personas detenidas en comisarías del país. Luego de la primera publicación realizada el año pasado, en el año 2025 presentamos un actualización del </w:t>
      </w:r>
      <w:hyperlink r:id="rId26">
        <w:r>
          <w:rPr>
            <w:color w:val="1155CC"/>
            <w:highlight w:val="white"/>
            <w:u w:val="single"/>
          </w:rPr>
          <w:t>Ranking provincial de personas encerradas en comisarías</w:t>
        </w:r>
      </w:hyperlink>
      <w:r>
        <w:rPr>
          <w:highlight w:val="white"/>
          <w:vertAlign w:val="superscript"/>
        </w:rPr>
        <w:footnoteReference w:id="7"/>
      </w:r>
      <w:r>
        <w:rPr>
          <w:highlight w:val="white"/>
        </w:rPr>
        <w:t xml:space="preserve"> con los datos correspondientes al 31 de diciembre de 2023 (últimos datos disponibles), con el principal objetivo de actualizar el estado de gravedad de esta situación y continuar posicionando este tema en la agenda pública. </w:t>
      </w:r>
    </w:p>
    <w:p w14:paraId="0B53309A" w14:textId="77777777" w:rsidR="00386E6B" w:rsidRDefault="00395B68">
      <w:pPr>
        <w:spacing w:after="200"/>
        <w:jc w:val="both"/>
        <w:rPr>
          <w:b/>
          <w:highlight w:val="white"/>
          <w:u w:val="single"/>
        </w:rPr>
      </w:pPr>
      <w:r>
        <w:rPr>
          <w:highlight w:val="white"/>
        </w:rPr>
        <w:t xml:space="preserve">El  último ranking concluye que la estabilidad en las cifras de personas detenidas,  evidencia que no se trata de un fenómeno coyuntural, sino de un problema estructural, y advierte que la naturalización de esta situación por parte del </w:t>
      </w:r>
      <w:r>
        <w:rPr>
          <w:b/>
          <w:highlight w:val="white"/>
          <w:u w:val="single"/>
        </w:rPr>
        <w:t xml:space="preserve">Poder Judicial es altamente preocupante. </w:t>
      </w:r>
    </w:p>
    <w:p w14:paraId="117C4450" w14:textId="77777777" w:rsidR="00386E6B" w:rsidRDefault="00395B68">
      <w:pPr>
        <w:spacing w:after="200"/>
        <w:jc w:val="both"/>
        <w:rPr>
          <w:highlight w:val="white"/>
        </w:rPr>
      </w:pPr>
      <w:r>
        <w:rPr>
          <w:highlight w:val="white"/>
        </w:rPr>
        <w:t xml:space="preserve">Complementariamente, el INECIP coordina el </w:t>
      </w:r>
      <w:hyperlink r:id="rId27">
        <w:r>
          <w:rPr>
            <w:color w:val="1155CC"/>
            <w:highlight w:val="white"/>
            <w:u w:val="single"/>
          </w:rPr>
          <w:t>Monitor Federal de Presos en Comisarías</w:t>
        </w:r>
      </w:hyperlink>
      <w:r>
        <w:rPr>
          <w:highlight w:val="white"/>
        </w:rPr>
        <w:t xml:space="preserve">. El Monitor es un centro de información para visibilizar las principales novedades sobre la situación de los presos en comisarías del país, así como las acciones de incidencia que se lleven a cabo. Con esta herramienta se busca generar conciencia sobre la gravedad del problema, promover la producción de información fidedigna, actualizada y útil para la toma de decisiones de calidad, y compartir las acciones que se realicen para resolver este grave problema público. </w:t>
      </w:r>
    </w:p>
    <w:p w14:paraId="675565A9" w14:textId="77777777" w:rsidR="00386E6B" w:rsidRDefault="00395B68">
      <w:pPr>
        <w:pStyle w:val="Heading1"/>
        <w:spacing w:after="200"/>
        <w:jc w:val="both"/>
      </w:pPr>
      <w:bookmarkStart w:id="10" w:name="_j5r55r7sxvg5" w:colFirst="0" w:colLast="0"/>
      <w:bookmarkEnd w:id="10"/>
      <w:r>
        <w:t>Informes citados en esta presentación</w:t>
      </w:r>
    </w:p>
    <w:p w14:paraId="5229F1DD" w14:textId="77777777" w:rsidR="00386E6B" w:rsidRDefault="00395B68">
      <w:pPr>
        <w:spacing w:after="200" w:line="480" w:lineRule="auto"/>
        <w:ind w:left="720"/>
      </w:pPr>
      <w:hyperlink r:id="rId28">
        <w:r>
          <w:t xml:space="preserve">CNPT. (2024). </w:t>
        </w:r>
      </w:hyperlink>
      <w:hyperlink r:id="rId29">
        <w:r>
          <w:rPr>
            <w:i/>
          </w:rPr>
          <w:t>La evolución histórica del encarcelamiento de personas con penas cortas en Argentina (2002-2022)</w:t>
        </w:r>
      </w:hyperlink>
      <w:hyperlink r:id="rId30">
        <w:r>
          <w:t xml:space="preserve"> (p. 37 p.). Comité Nacional para la Prevención de la Tortura. https://cnpt.gob.ar/2022/wp-content/uploads/2024/08/Encarcelamiento-de-personas-con-penas-cortas.pdf </w:t>
        </w:r>
      </w:hyperlink>
    </w:p>
    <w:p w14:paraId="2E309396" w14:textId="77777777" w:rsidR="00386E6B" w:rsidRDefault="00395B68">
      <w:pPr>
        <w:spacing w:after="200" w:line="480" w:lineRule="auto"/>
        <w:ind w:left="720"/>
      </w:pPr>
      <w:hyperlink r:id="rId31">
        <w:r>
          <w:t xml:space="preserve">CNPT. (2025). </w:t>
        </w:r>
      </w:hyperlink>
      <w:hyperlink r:id="rId32">
        <w:r>
          <w:rPr>
            <w:i/>
          </w:rPr>
          <w:t>La privación de la libertad en Argentina en datos—Año 2023</w:t>
        </w:r>
      </w:hyperlink>
      <w:hyperlink r:id="rId33">
        <w:r>
          <w:t xml:space="preserve"> (p. 136). Comité Nacional para la Prevención de la Tortura. https://cnpt.gob.ar/2022/wp-content/uploads/2025/03/informe_privacion_libertad_2023-final.pdf </w:t>
        </w:r>
      </w:hyperlink>
    </w:p>
    <w:p w14:paraId="189AB557" w14:textId="77777777" w:rsidR="00386E6B" w:rsidRDefault="00395B68">
      <w:pPr>
        <w:spacing w:after="200" w:line="480" w:lineRule="auto"/>
        <w:ind w:left="720"/>
      </w:pPr>
      <w:hyperlink r:id="rId34">
        <w:r>
          <w:t xml:space="preserve">CPPT Tucumán. (2024a). </w:t>
        </w:r>
      </w:hyperlink>
      <w:hyperlink r:id="rId35">
        <w:r>
          <w:rPr>
            <w:i/>
          </w:rPr>
          <w:t>Informe de la Visita de Monitoreo a la Comisaría de El Colmenar del 10 de setiembre de 2024</w:t>
        </w:r>
      </w:hyperlink>
      <w:hyperlink r:id="rId36">
        <w:r>
          <w:t xml:space="preserve"> (p. 33). Comisión Provincial de Prevención de la Tortura. </w:t>
        </w:r>
      </w:hyperlink>
    </w:p>
    <w:p w14:paraId="022B87E7" w14:textId="77777777" w:rsidR="00386E6B" w:rsidRDefault="00395B68">
      <w:pPr>
        <w:spacing w:after="200" w:line="480" w:lineRule="auto"/>
        <w:ind w:left="720"/>
      </w:pPr>
      <w:hyperlink r:id="rId37">
        <w:r>
          <w:t xml:space="preserve">CPPT Tucumán. (2024b). </w:t>
        </w:r>
      </w:hyperlink>
      <w:hyperlink r:id="rId38">
        <w:r>
          <w:rPr>
            <w:i/>
          </w:rPr>
          <w:t>Informe de visita a  Comisaria 2a, Policia de Tucumán del 7 de junio de 2024</w:t>
        </w:r>
      </w:hyperlink>
      <w:hyperlink r:id="rId39">
        <w:r>
          <w:t xml:space="preserve">. Comisión Provincial de Prevención de la Tortura. </w:t>
        </w:r>
      </w:hyperlink>
    </w:p>
    <w:p w14:paraId="5B094C5C" w14:textId="77777777" w:rsidR="00386E6B" w:rsidRDefault="00395B68">
      <w:pPr>
        <w:spacing w:after="200" w:line="480" w:lineRule="auto"/>
        <w:ind w:left="720"/>
      </w:pPr>
      <w:hyperlink r:id="rId40">
        <w:r>
          <w:t xml:space="preserve">MLPT CABA. (2025). </w:t>
        </w:r>
      </w:hyperlink>
      <w:hyperlink r:id="rId41">
        <w:r>
          <w:rPr>
            <w:i/>
          </w:rPr>
          <w:t>Informe Anual 2024</w:t>
        </w:r>
      </w:hyperlink>
      <w:hyperlink r:id="rId42">
        <w:r>
          <w:t xml:space="preserve"> (p. 84). Mecanismo Local para la Prevención de la Tortura de la CABA. </w:t>
        </w:r>
      </w:hyperlink>
    </w:p>
    <w:p w14:paraId="0EC33C0B" w14:textId="77777777" w:rsidR="00386E6B" w:rsidRDefault="00395B68">
      <w:pPr>
        <w:spacing w:after="200" w:line="480" w:lineRule="auto"/>
        <w:ind w:left="720"/>
      </w:pPr>
      <w:hyperlink r:id="rId43">
        <w:r>
          <w:t xml:space="preserve">SNEEP. (2025). </w:t>
        </w:r>
      </w:hyperlink>
      <w:hyperlink r:id="rId44">
        <w:r>
          <w:rPr>
            <w:i/>
          </w:rPr>
          <w:t>Sistema Nacional de Estadística sobre Ejecución de la pena (SNEEP 2024)</w:t>
        </w:r>
      </w:hyperlink>
      <w:hyperlink r:id="rId45">
        <w:r>
          <w:t xml:space="preserve">. Dirección Nacional de Política Criminal en materia de Justicia y Legislación Penal. </w:t>
        </w:r>
      </w:hyperlink>
    </w:p>
    <w:p w14:paraId="72E33B93" w14:textId="77777777" w:rsidR="00386E6B" w:rsidRDefault="00386E6B">
      <w:pPr>
        <w:spacing w:after="200"/>
        <w:jc w:val="both"/>
        <w:rPr>
          <w:color w:val="222222"/>
          <w:sz w:val="24"/>
          <w:szCs w:val="24"/>
          <w:highlight w:val="white"/>
        </w:rPr>
      </w:pPr>
    </w:p>
    <w:p w14:paraId="12715E7B" w14:textId="77777777" w:rsidR="00386E6B" w:rsidRDefault="00386E6B">
      <w:pPr>
        <w:spacing w:after="200"/>
        <w:jc w:val="both"/>
        <w:rPr>
          <w:color w:val="222222"/>
          <w:sz w:val="24"/>
          <w:szCs w:val="24"/>
          <w:highlight w:val="white"/>
        </w:rPr>
      </w:pPr>
    </w:p>
    <w:p w14:paraId="224253B3" w14:textId="77777777" w:rsidR="00386E6B" w:rsidRDefault="00386E6B">
      <w:pPr>
        <w:spacing w:after="200"/>
        <w:jc w:val="both"/>
        <w:rPr>
          <w:sz w:val="24"/>
          <w:szCs w:val="24"/>
        </w:rPr>
      </w:pPr>
    </w:p>
    <w:sectPr w:rsidR="00386E6B">
      <w:headerReference w:type="default" r:id="rId46"/>
      <w:footerReference w:type="default" r:id="rId4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FFB14" w14:textId="77777777" w:rsidR="00395B68" w:rsidRDefault="00395B68">
      <w:pPr>
        <w:spacing w:line="240" w:lineRule="auto"/>
      </w:pPr>
      <w:r>
        <w:separator/>
      </w:r>
    </w:p>
  </w:endnote>
  <w:endnote w:type="continuationSeparator" w:id="0">
    <w:p w14:paraId="108D599A" w14:textId="77777777" w:rsidR="00395B68" w:rsidRDefault="00395B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5F6B5" w14:textId="77777777" w:rsidR="00386E6B" w:rsidRDefault="00395B68">
    <w:pPr>
      <w:jc w:val="center"/>
      <w:rPr>
        <w:sz w:val="20"/>
        <w:szCs w:val="20"/>
      </w:rPr>
    </w:pPr>
    <w:hyperlink r:id="rId1">
      <w:r>
        <w:rPr>
          <w:color w:val="1155CC"/>
          <w:sz w:val="20"/>
          <w:szCs w:val="20"/>
          <w:u w:val="single"/>
        </w:rPr>
        <w:t>www.inecip.org</w:t>
      </w:r>
    </w:hyperlink>
    <w:r>
      <w:rPr>
        <w:sz w:val="20"/>
        <w:szCs w:val="20"/>
      </w:rPr>
      <w:t xml:space="preserve"> </w:t>
    </w:r>
  </w:p>
  <w:p w14:paraId="435644A3" w14:textId="77777777" w:rsidR="00386E6B" w:rsidRDefault="00395B68">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B45FF" w14:textId="77777777" w:rsidR="00395B68" w:rsidRDefault="00395B68">
      <w:pPr>
        <w:spacing w:line="240" w:lineRule="auto"/>
      </w:pPr>
      <w:r>
        <w:separator/>
      </w:r>
    </w:p>
  </w:footnote>
  <w:footnote w:type="continuationSeparator" w:id="0">
    <w:p w14:paraId="12B5FC0A" w14:textId="77777777" w:rsidR="00395B68" w:rsidRDefault="00395B68">
      <w:pPr>
        <w:spacing w:line="240" w:lineRule="auto"/>
      </w:pPr>
      <w:r>
        <w:continuationSeparator/>
      </w:r>
    </w:p>
  </w:footnote>
  <w:footnote w:id="1">
    <w:p w14:paraId="30DE8D65" w14:textId="77777777" w:rsidR="00386E6B" w:rsidRDefault="00395B68">
      <w:pPr>
        <w:spacing w:line="240" w:lineRule="auto"/>
        <w:rPr>
          <w:sz w:val="20"/>
          <w:szCs w:val="20"/>
        </w:rPr>
      </w:pPr>
      <w:r>
        <w:rPr>
          <w:vertAlign w:val="superscript"/>
        </w:rPr>
        <w:footnoteRef/>
      </w:r>
      <w:r>
        <w:rPr>
          <w:sz w:val="20"/>
          <w:szCs w:val="20"/>
        </w:rPr>
        <w:t xml:space="preserve"> Recomendación 16.b de las “Observaciones finales sobre los informes periódicos quinto y sexto combinados de la Argentina (CAR/C/ARG/CO/5-6).</w:t>
      </w:r>
    </w:p>
  </w:footnote>
  <w:footnote w:id="2">
    <w:p w14:paraId="64E32F02" w14:textId="77777777" w:rsidR="00386E6B" w:rsidRDefault="00395B68">
      <w:pPr>
        <w:spacing w:line="240" w:lineRule="auto"/>
        <w:rPr>
          <w:sz w:val="20"/>
          <w:szCs w:val="20"/>
        </w:rPr>
      </w:pPr>
      <w:r>
        <w:rPr>
          <w:vertAlign w:val="superscript"/>
        </w:rPr>
        <w:footnoteRef/>
      </w:r>
      <w:r>
        <w:rPr>
          <w:sz w:val="20"/>
          <w:szCs w:val="20"/>
        </w:rPr>
        <w:t xml:space="preserve"> Comité Nacional para la Prevención de la Tortura (2024), </w:t>
      </w:r>
      <w:r>
        <w:rPr>
          <w:i/>
          <w:sz w:val="20"/>
          <w:szCs w:val="20"/>
        </w:rPr>
        <w:t>Informe anual 2024</w:t>
      </w:r>
      <w:r>
        <w:rPr>
          <w:sz w:val="20"/>
          <w:szCs w:val="20"/>
        </w:rPr>
        <w:t xml:space="preserve">, disponible en: </w:t>
      </w:r>
      <w:hyperlink r:id="rId1">
        <w:r>
          <w:rPr>
            <w:color w:val="1155CC"/>
            <w:sz w:val="20"/>
            <w:szCs w:val="20"/>
            <w:u w:val="single"/>
          </w:rPr>
          <w:t>https://cnpt.gob.ar/2022/wp-content/uploads/2025/05/Informe-Anual-2024.pdf</w:t>
        </w:r>
      </w:hyperlink>
      <w:r>
        <w:rPr>
          <w:sz w:val="20"/>
          <w:szCs w:val="20"/>
        </w:rPr>
        <w:t xml:space="preserve"> </w:t>
      </w:r>
    </w:p>
  </w:footnote>
  <w:footnote w:id="3">
    <w:p w14:paraId="7A8F5F54" w14:textId="77777777" w:rsidR="00386E6B" w:rsidRDefault="00395B68">
      <w:pPr>
        <w:spacing w:line="240" w:lineRule="auto"/>
        <w:rPr>
          <w:sz w:val="20"/>
          <w:szCs w:val="20"/>
        </w:rPr>
      </w:pPr>
      <w:r>
        <w:rPr>
          <w:vertAlign w:val="superscript"/>
        </w:rPr>
        <w:footnoteRef/>
      </w:r>
      <w:r>
        <w:rPr>
          <w:sz w:val="20"/>
          <w:szCs w:val="20"/>
        </w:rPr>
        <w:t xml:space="preserve"> Si bien no existe una serie estadística consolidada para el año 2014, esta cifra surge de sumar los datos del SNEEP para establecimientos penitenciarios y los de la CNPT para las instalaciones policiales. </w:t>
      </w:r>
    </w:p>
  </w:footnote>
  <w:footnote w:id="4">
    <w:p w14:paraId="6949002A" w14:textId="77777777" w:rsidR="00386E6B" w:rsidRDefault="00395B68">
      <w:pPr>
        <w:spacing w:line="240" w:lineRule="auto"/>
        <w:rPr>
          <w:sz w:val="20"/>
          <w:szCs w:val="20"/>
        </w:rPr>
      </w:pPr>
      <w:r>
        <w:rPr>
          <w:vertAlign w:val="superscript"/>
        </w:rPr>
        <w:footnoteRef/>
      </w:r>
      <w:r>
        <w:rPr>
          <w:sz w:val="20"/>
          <w:szCs w:val="20"/>
        </w:rPr>
        <w:t xml:space="preserve"> A las cifras de detenidos en comisarías y alcaidías policiales deben sumarse las personas detenidas en unidades del Servicio Penitenciario Federal a disposición de jueces de las tres jurisdicciones porteñas, que al 31/12/2023 sumaban 1538 </w:t>
      </w:r>
      <w:hyperlink r:id="rId2">
        <w:r>
          <w:rPr>
            <w:sz w:val="20"/>
            <w:szCs w:val="20"/>
          </w:rPr>
          <w:t>(SNEEP, 2025)</w:t>
        </w:r>
      </w:hyperlink>
      <w:r>
        <w:rPr>
          <w:sz w:val="20"/>
          <w:szCs w:val="20"/>
        </w:rPr>
        <w:t xml:space="preserve">  </w:t>
      </w:r>
    </w:p>
  </w:footnote>
  <w:footnote w:id="5">
    <w:p w14:paraId="309845C4" w14:textId="77777777" w:rsidR="00386E6B" w:rsidRDefault="00395B68">
      <w:pPr>
        <w:spacing w:line="240" w:lineRule="auto"/>
        <w:rPr>
          <w:sz w:val="20"/>
          <w:szCs w:val="20"/>
        </w:rPr>
      </w:pPr>
      <w:r>
        <w:rPr>
          <w:vertAlign w:val="superscript"/>
        </w:rPr>
        <w:footnoteRef/>
      </w:r>
      <w:r>
        <w:rPr>
          <w:sz w:val="20"/>
          <w:szCs w:val="20"/>
        </w:rPr>
        <w:t xml:space="preserve"> El 30% de las personas detenidas en alcaidías policiales de la ciudad permanecieron allí durante más de un año, y la mayoría, más de seis meses </w:t>
      </w:r>
      <w:hyperlink r:id="rId3">
        <w:r>
          <w:rPr>
            <w:sz w:val="20"/>
            <w:szCs w:val="20"/>
          </w:rPr>
          <w:t>(MLPT CABA, 2025)</w:t>
        </w:r>
      </w:hyperlink>
    </w:p>
  </w:footnote>
  <w:footnote w:id="6">
    <w:p w14:paraId="5CB9495E" w14:textId="77777777" w:rsidR="00386E6B" w:rsidRDefault="00395B68">
      <w:pPr>
        <w:spacing w:line="240" w:lineRule="auto"/>
        <w:rPr>
          <w:sz w:val="20"/>
          <w:szCs w:val="20"/>
        </w:rPr>
      </w:pPr>
      <w:r>
        <w:rPr>
          <w:vertAlign w:val="superscript"/>
        </w:rPr>
        <w:footnoteRef/>
      </w:r>
      <w:r>
        <w:rPr>
          <w:sz w:val="20"/>
          <w:szCs w:val="20"/>
        </w:rPr>
        <w:t xml:space="preserve"> Entre los recientes casos paradigmáticos, puede citarse por ejemplo la denuncia efectuada por el Ministerio de Seguridad de la Nación contra la jueza Karina Andrade, del Poder Judicial de la CABA. La magistrada el 13 de marzo del 2025 ordenó la libertad de 100 personas detenidas en una manifestación pública frente al Congreso de la Nación. La jueza dispuso la libertad de los detenidos por entender que no se encontraban corroborados los peligros procesales que indica la ley. En virtud de la decisión, el Min</w:t>
      </w:r>
      <w:r>
        <w:rPr>
          <w:sz w:val="20"/>
          <w:szCs w:val="20"/>
        </w:rPr>
        <w:t xml:space="preserve">isterio de Seguridad de la Nación efectuó una denuncia, que incluyó figuras penales como prevaricato, encubrimiento, sedición, e incumplimiento de deberes de funcionario público. Referencias: </w:t>
      </w:r>
      <w:hyperlink r:id="rId4">
        <w:r>
          <w:rPr>
            <w:color w:val="1155CC"/>
            <w:sz w:val="20"/>
            <w:szCs w:val="20"/>
            <w:u w:val="single"/>
          </w:rPr>
          <w:t>https://www.lanacion.com.ar/politica/el-gobierno-denunciara-este-lunes-a-la-jueza-andrade-por-liberar-a-los-detenidos-y-pedira-su-nid16032025/</w:t>
        </w:r>
      </w:hyperlink>
    </w:p>
    <w:p w14:paraId="4B407AD5" w14:textId="77777777" w:rsidR="00386E6B" w:rsidRDefault="00386E6B">
      <w:pPr>
        <w:spacing w:line="240" w:lineRule="auto"/>
        <w:rPr>
          <w:sz w:val="20"/>
          <w:szCs w:val="20"/>
        </w:rPr>
      </w:pPr>
    </w:p>
  </w:footnote>
  <w:footnote w:id="7">
    <w:p w14:paraId="03B51580" w14:textId="77777777" w:rsidR="00386E6B" w:rsidRDefault="00395B68">
      <w:pPr>
        <w:spacing w:line="240" w:lineRule="auto"/>
        <w:jc w:val="both"/>
        <w:rPr>
          <w:sz w:val="20"/>
          <w:szCs w:val="20"/>
        </w:rPr>
      </w:pPr>
      <w:r>
        <w:rPr>
          <w:vertAlign w:val="superscript"/>
        </w:rPr>
        <w:footnoteRef/>
      </w:r>
      <w:r>
        <w:rPr>
          <w:sz w:val="20"/>
          <w:szCs w:val="20"/>
        </w:rPr>
        <w:t xml:space="preserve"> Se incorporan como anexo el Ranking Provincial de Presos en comisarías-Primera edición (2024) y  el Ranking Provincial de Presos en comisarías-Segunda edición (2025). Ambos son producción del INECIP con los datos disponibles a nivel nacional, que recopila y sistematiza el Comité Nacional para la Prevención de la Tortura (CNPT).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13A6B" w14:textId="77777777" w:rsidR="00386E6B" w:rsidRDefault="00395B68">
    <w:pPr>
      <w:jc w:val="center"/>
    </w:pPr>
    <w:r>
      <w:rPr>
        <w:noProof/>
      </w:rPr>
      <w:drawing>
        <wp:inline distT="114300" distB="114300" distL="114300" distR="114300" wp14:anchorId="2B286E45" wp14:editId="491B216F">
          <wp:extent cx="1065609" cy="8524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65609" cy="85248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B14B70"/>
    <w:multiLevelType w:val="multilevel"/>
    <w:tmpl w:val="B2E0A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42922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E6B"/>
    <w:rsid w:val="00002365"/>
    <w:rsid w:val="00386E6B"/>
    <w:rsid w:val="00395B68"/>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73B07"/>
  <w15:docId w15:val="{34435E26-808C-4FEE-8E85-2EC6C6D9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zotero.org/google-docs/?nPeClv" TargetMode="External"/><Relationship Id="rId18" Type="http://schemas.openxmlformats.org/officeDocument/2006/relationships/hyperlink" Target="https://www.zotero.org/google-docs/?VSyszt" TargetMode="External"/><Relationship Id="rId26" Type="http://schemas.openxmlformats.org/officeDocument/2006/relationships/hyperlink" Target="https://inecip.org/publicaciones/ranking-provincial-de-presos-en-comisarias-segunda-edicion/" TargetMode="External"/><Relationship Id="rId39" Type="http://schemas.openxmlformats.org/officeDocument/2006/relationships/hyperlink" Target="https://www.zotero.org/google-docs/?plF8qC" TargetMode="External"/><Relationship Id="rId21" Type="http://schemas.openxmlformats.org/officeDocument/2006/relationships/hyperlink" Target="https://www.zotero.org/google-docs/?btaQ9y" TargetMode="External"/><Relationship Id="rId34" Type="http://schemas.openxmlformats.org/officeDocument/2006/relationships/hyperlink" Target="https://www.zotero.org/google-docs/?plF8qC" TargetMode="External"/><Relationship Id="rId42" Type="http://schemas.openxmlformats.org/officeDocument/2006/relationships/hyperlink" Target="https://www.zotero.org/google-docs/?plF8qC" TargetMode="External"/><Relationship Id="rId47"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zotero.org/google-docs/?0PgCgV" TargetMode="External"/><Relationship Id="rId29" Type="http://schemas.openxmlformats.org/officeDocument/2006/relationships/hyperlink" Target="https://www.zotero.org/google-docs/?plF8qC" TargetMode="External"/><Relationship Id="rId11" Type="http://schemas.openxmlformats.org/officeDocument/2006/relationships/hyperlink" Target="https://www.zotero.org/google-docs/?EnypQQ" TargetMode="External"/><Relationship Id="rId24" Type="http://schemas.openxmlformats.org/officeDocument/2006/relationships/hyperlink" Target="https://inecip.org/publicaciones/oficina-de-medidas-alternativas-y-sustitutivas-omas-practicas-y-estrategias/" TargetMode="External"/><Relationship Id="rId32" Type="http://schemas.openxmlformats.org/officeDocument/2006/relationships/hyperlink" Target="https://www.zotero.org/google-docs/?plF8qC" TargetMode="External"/><Relationship Id="rId37" Type="http://schemas.openxmlformats.org/officeDocument/2006/relationships/hyperlink" Target="https://www.zotero.org/google-docs/?plF8qC" TargetMode="External"/><Relationship Id="rId40" Type="http://schemas.openxmlformats.org/officeDocument/2006/relationships/hyperlink" Target="https://www.zotero.org/google-docs/?plF8qC" TargetMode="External"/><Relationship Id="rId45" Type="http://schemas.openxmlformats.org/officeDocument/2006/relationships/hyperlink" Target="https://www.zotero.org/google-docs/?plF8qC" TargetMode="External"/><Relationship Id="rId5" Type="http://schemas.openxmlformats.org/officeDocument/2006/relationships/styles" Target="styles.xml"/><Relationship Id="rId15" Type="http://schemas.openxmlformats.org/officeDocument/2006/relationships/hyperlink" Target="https://www.zotero.org/google-docs/?yjJBxq" TargetMode="External"/><Relationship Id="rId23" Type="http://schemas.openxmlformats.org/officeDocument/2006/relationships/hyperlink" Target="https://inecip.org/publicaciones/el-estado-de-la-prision-preventiva-en-argentina-situacion-actual-y-propuestas-de-cambio/" TargetMode="External"/><Relationship Id="rId28" Type="http://schemas.openxmlformats.org/officeDocument/2006/relationships/hyperlink" Target="https://www.zotero.org/google-docs/?plF8qC" TargetMode="External"/><Relationship Id="rId36" Type="http://schemas.openxmlformats.org/officeDocument/2006/relationships/hyperlink" Target="https://www.zotero.org/google-docs/?plF8qC"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zotero.org/google-docs/?3Day9y" TargetMode="External"/><Relationship Id="rId31" Type="http://schemas.openxmlformats.org/officeDocument/2006/relationships/hyperlink" Target="https://www.zotero.org/google-docs/?plF8qC" TargetMode="External"/><Relationship Id="rId44" Type="http://schemas.openxmlformats.org/officeDocument/2006/relationships/hyperlink" Target="https://www.zotero.org/google-docs/?plF8q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zotero.org/google-docs/?qAuV8r" TargetMode="External"/><Relationship Id="rId22" Type="http://schemas.openxmlformats.org/officeDocument/2006/relationships/hyperlink" Target="https://inecip.org/publicaciones/manual-practico-para-defenderse-de-la-carcel/" TargetMode="External"/><Relationship Id="rId27" Type="http://schemas.openxmlformats.org/officeDocument/2006/relationships/hyperlink" Target="https://inecip.org/noticias/monitor-de-la-situacion-de-presos-en-comisarias/" TargetMode="External"/><Relationship Id="rId30" Type="http://schemas.openxmlformats.org/officeDocument/2006/relationships/hyperlink" Target="https://www.zotero.org/google-docs/?plF8qC" TargetMode="External"/><Relationship Id="rId35" Type="http://schemas.openxmlformats.org/officeDocument/2006/relationships/hyperlink" Target="https://www.zotero.org/google-docs/?plF8qC" TargetMode="External"/><Relationship Id="rId43" Type="http://schemas.openxmlformats.org/officeDocument/2006/relationships/hyperlink" Target="https://www.zotero.org/google-docs/?plF8qC"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zotero.org/google-docs/?sHyClk" TargetMode="External"/><Relationship Id="rId17" Type="http://schemas.openxmlformats.org/officeDocument/2006/relationships/hyperlink" Target="https://www.zotero.org/google-docs/?5LY8M3" TargetMode="External"/><Relationship Id="rId25" Type="http://schemas.openxmlformats.org/officeDocument/2006/relationships/hyperlink" Target="https://inecip.org/noticias/no-mas-presxs-en-comisarias/" TargetMode="External"/><Relationship Id="rId33" Type="http://schemas.openxmlformats.org/officeDocument/2006/relationships/hyperlink" Target="https://www.zotero.org/google-docs/?plF8qC" TargetMode="External"/><Relationship Id="rId38" Type="http://schemas.openxmlformats.org/officeDocument/2006/relationships/hyperlink" Target="https://www.zotero.org/google-docs/?plF8qC" TargetMode="External"/><Relationship Id="rId46" Type="http://schemas.openxmlformats.org/officeDocument/2006/relationships/header" Target="header1.xml"/><Relationship Id="rId20" Type="http://schemas.openxmlformats.org/officeDocument/2006/relationships/hyperlink" Target="https://www.zotero.org/google-docs/?slzw5K" TargetMode="External"/><Relationship Id="rId41" Type="http://schemas.openxmlformats.org/officeDocument/2006/relationships/hyperlink" Target="https://www.zotero.org/google-docs/?plF8qC"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inecip.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zotero.org/google-docs/?YnVqlp" TargetMode="External"/><Relationship Id="rId2" Type="http://schemas.openxmlformats.org/officeDocument/2006/relationships/hyperlink" Target="https://www.zotero.org/google-docs/?YJTp7x" TargetMode="External"/><Relationship Id="rId1" Type="http://schemas.openxmlformats.org/officeDocument/2006/relationships/hyperlink" Target="https://cnpt.gob.ar/2022/wp-content/uploads/2025/05/Informe-Anual-2024.pdf" TargetMode="External"/><Relationship Id="rId4" Type="http://schemas.openxmlformats.org/officeDocument/2006/relationships/hyperlink" Target="https://www.lanacion.com.ar/politica/el-gobierno-denunciara-este-lunes-a-la-jueza-andrade-por-liberar-a-los-detenidos-y-pedira-su-nid160320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2025-10-21T15:28:37+00:00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2025-10-21T15:28:37+00:00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2025-10-21T15:28:37+00:00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AF4242-8943-4485-B6AB-6AF2DEDC0D42}">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2.xml><?xml version="1.0" encoding="utf-8"?>
<ds:datastoreItem xmlns:ds="http://schemas.openxmlformats.org/officeDocument/2006/customXml" ds:itemID="{4E92F3A3-AFD7-4BA1-8B5B-0F0791C46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DB4EE9-F4A7-44FB-8B15-D81050F5B31D}">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3610</Words>
  <Characters>20577</Characters>
  <Application>Microsoft Office Word</Application>
  <DocSecurity>0</DocSecurity>
  <Lines>171</Lines>
  <Paragraphs>48</Paragraphs>
  <ScaleCrop>false</ScaleCrop>
  <Company/>
  <LinksUpToDate>false</LinksUpToDate>
  <CharactersWithSpaces>24139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D''Aniello</dc:creator>
  <cp:lastModifiedBy>Denise D''Aniello</cp:lastModifiedBy>
  <cp:revision>2</cp:revision>
  <dcterms:created xsi:type="dcterms:W3CDTF">2025-10-24T14:01:00Z</dcterms:created>
  <dcterms:modified xsi:type="dcterms:W3CDTF">2025-10-24T14:01:00Z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